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keepLines w:val="0"/>
        <w:keepNext w:val="0"/>
        <w:pageBreakBefore w:val="0"/>
        <w:spacing w:line="480" w:lineRule="auto"/>
        <w:widowControl w:val="off"/>
        <w:rPr>
          <w:rFonts w:hint="eastAsia" w:eastAsia="宋体"/>
          <w:color w:val="000000"/>
          <w:sz w:val="22"/>
          <w:szCs w:val="48"/>
          <w:highlight w:val="none"/>
          <w:lang w:eastAsia="zh-CN"/>
        </w:rPr>
      </w:pPr>
      <w:r>
        <w:rPr>
          <w:rFonts w:hint="eastAsia"/>
          <w:color w:val="000000"/>
          <w:sz w:val="48"/>
          <w:szCs w:val="48"/>
          <w:highlight w:val="none"/>
          <w:lang w:eastAsia="zh-CN"/>
        </w:rPr>
        <w:t xml:space="preserve">南通博物苑历史区文物建筑保护利用项目</w:t>
      </w:r>
      <w:r/>
    </w:p>
    <w:p>
      <w:pPr>
        <w:pStyle w:val="964"/>
        <w:rPr>
          <w:color w:val="000000"/>
          <w:highlight w:val="none"/>
        </w:rPr>
      </w:pPr>
      <w:r>
        <w:rPr>
          <w:color w:val="000000"/>
          <w:highlight w:val="none"/>
        </w:rPr>
      </w:r>
      <w:r/>
    </w:p>
    <w:p>
      <w:pPr>
        <w:pStyle w:val="964"/>
        <w:rPr>
          <w:color w:val="000000"/>
          <w:highlight w:val="none"/>
        </w:rPr>
      </w:pPr>
      <w:r>
        <w:rPr>
          <w:color w:val="000000"/>
          <w:highlight w:val="none"/>
        </w:rPr>
      </w:r>
      <w:r/>
    </w:p>
    <w:p>
      <w:pPr>
        <w:jc w:val="center"/>
        <w:spacing w:line="360" w:lineRule="auto"/>
        <w:rPr>
          <w:rFonts w:eastAsia="宋体" w:cs="宋体"/>
          <w:b/>
          <w:color w:val="000000"/>
          <w:sz w:val="72"/>
          <w:szCs w:val="72"/>
          <w:highlight w:val="none"/>
        </w:rPr>
      </w:pPr>
      <w:r>
        <w:rPr>
          <w:rFonts w:hint="eastAsia" w:eastAsia="宋体" w:cs="宋体"/>
          <w:b/>
          <w:color w:val="000000"/>
          <w:sz w:val="72"/>
          <w:szCs w:val="72"/>
          <w:highlight w:val="none"/>
        </w:rPr>
        <w:t xml:space="preserve">公开招标文件</w:t>
      </w:r>
      <w:r/>
    </w:p>
    <w:p>
      <w:pPr>
        <w:jc w:val="center"/>
        <w:spacing w:line="360" w:lineRule="auto"/>
        <w:rPr>
          <w:rFonts w:hint="eastAsia" w:eastAsia="宋体" w:cs="宋体"/>
          <w:b/>
          <w:color w:val="000000"/>
          <w:sz w:val="44"/>
          <w:szCs w:val="44"/>
          <w:highlight w:val="none"/>
        </w:rPr>
      </w:pPr>
      <w:r>
        <w:rPr>
          <w:rFonts w:hint="eastAsia" w:eastAsia="宋体" w:cs="宋体"/>
          <w:b/>
          <w:color w:val="000000"/>
          <w:sz w:val="44"/>
          <w:szCs w:val="44"/>
          <w:highlight w:val="none"/>
        </w:rPr>
        <w:t xml:space="preserve">（资格后审）</w:t>
      </w:r>
      <w:r/>
    </w:p>
    <w:p>
      <w:pPr>
        <w:jc w:val="center"/>
        <w:spacing w:line="360" w:lineRule="auto"/>
        <w:rPr>
          <w:rFonts w:hint="eastAsia" w:ascii="Times New Roman" w:hAnsi="Times New Roman" w:eastAsia="宋体" w:cs="宋体"/>
          <w:b/>
          <w:color w:val="000000"/>
          <w:sz w:val="30"/>
          <w:szCs w:val="30"/>
          <w:highlight w:val="none"/>
        </w:rPr>
      </w:pPr>
      <w:r>
        <w:rPr>
          <w:rFonts w:hint="eastAsia" w:ascii="Times New Roman" w:hAnsi="Times New Roman" w:eastAsia="宋体" w:cs="宋体"/>
          <w:b/>
          <w:color w:val="000000"/>
          <w:sz w:val="30"/>
          <w:szCs w:val="30"/>
          <w:highlight w:val="none"/>
          <w:lang w:eastAsia="zh-CN"/>
        </w:rPr>
        <w:t xml:space="preserve">项目编号</w:t>
      </w:r>
      <w:r>
        <w:rPr>
          <w:rFonts w:hint="eastAsia" w:ascii="Times New Roman" w:hAnsi="Times New Roman" w:eastAsia="宋体" w:cs="宋体"/>
          <w:b/>
          <w:color w:val="000000"/>
          <w:sz w:val="30"/>
          <w:szCs w:val="30"/>
          <w:highlight w:val="none"/>
        </w:rPr>
        <w:t xml:space="preserve">：</w:t>
      </w:r>
      <w:r>
        <w:rPr>
          <w:rFonts w:hint="eastAsia" w:eastAsia="宋体" w:cs="宋体"/>
          <w:b/>
          <w:color w:val="000000"/>
          <w:sz w:val="30"/>
          <w:szCs w:val="30"/>
          <w:highlight w:val="none"/>
          <w:lang w:eastAsia="zh-CN"/>
        </w:rPr>
        <w:t xml:space="preserve">JSZC-320600-NTJC-G2025-0014</w:t>
      </w:r>
      <w:r/>
    </w:p>
    <w:p>
      <w:pPr>
        <w:pStyle w:val="964"/>
        <w:rPr>
          <w:color w:val="000000"/>
          <w:highlight w:val="none"/>
        </w:rPr>
      </w:pPr>
      <w:r>
        <w:rPr>
          <w:color w:val="000000"/>
          <w:highlight w:val="none"/>
        </w:rPr>
      </w:r>
      <w:r/>
    </w:p>
    <w:p>
      <w:pPr>
        <w:pStyle w:val="964"/>
        <w:rPr>
          <w:color w:val="000000"/>
          <w:highlight w:val="none"/>
        </w:rPr>
      </w:pPr>
      <w:r>
        <w:rPr>
          <w:rFonts w:hint="eastAsia"/>
          <w:color w:val="000000"/>
          <w:sz w:val="36"/>
          <w:highlight w:val="none"/>
        </w:rPr>
        <w:tab/>
      </w:r>
      <w:r/>
    </w:p>
    <w:p>
      <w:pPr>
        <w:ind w:firstLine="602"/>
        <w:spacing w:line="360" w:lineRule="auto"/>
        <w:rPr>
          <w:rFonts w:eastAsia="宋体" w:cs="宋体"/>
          <w:b/>
          <w:color w:val="000000"/>
          <w:sz w:val="30"/>
          <w:szCs w:val="30"/>
          <w:highlight w:val="none"/>
        </w:rPr>
      </w:pPr>
      <w:r>
        <w:rPr>
          <w:rFonts w:eastAsia="宋体" w:cs="宋体"/>
          <w:b/>
          <w:color w:val="000000"/>
          <w:sz w:val="30"/>
          <w:szCs w:val="30"/>
          <w:highlight w:val="none"/>
        </w:rPr>
      </w:r>
      <w:r/>
    </w:p>
    <w:p>
      <w:pPr>
        <w:pStyle w:val="914"/>
        <w:ind w:firstLine="643"/>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914"/>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914"/>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914"/>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914"/>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914"/>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914"/>
        <w:ind w:firstLine="643"/>
        <w:jc w:val="both"/>
        <w:keepLines w:val="0"/>
        <w:keepNext w:val="0"/>
        <w:pageBreakBefore w:val="0"/>
        <w:spacing w:line="360" w:lineRule="auto"/>
        <w:widowControl w:val="off"/>
        <w:rPr>
          <w:rFonts w:hint="eastAsia" w:ascii="Times New Roman" w:eastAsia="宋体" w:cs="宋体"/>
          <w:b/>
          <w:color w:val="000000"/>
          <w:sz w:val="32"/>
          <w:szCs w:val="32"/>
          <w:highlight w:val="none"/>
          <w:lang w:eastAsia="zh-CN"/>
        </w:rPr>
      </w:pPr>
      <w:r>
        <w:rPr>
          <w:rFonts w:hint="eastAsia" w:ascii="Times New Roman" w:eastAsia="宋体" w:cs="宋体"/>
          <w:b/>
          <w:color w:val="000000"/>
          <w:sz w:val="32"/>
          <w:szCs w:val="32"/>
          <w:highlight w:val="none"/>
        </w:rPr>
        <w:t xml:space="preserve">采购单位：</w:t>
      </w:r>
      <w:r>
        <w:rPr>
          <w:rFonts w:hint="eastAsia" w:ascii="Times New Roman" w:eastAsia="宋体" w:cs="宋体"/>
          <w:b/>
          <w:color w:val="000000"/>
          <w:sz w:val="32"/>
          <w:szCs w:val="32"/>
          <w:highlight w:val="none"/>
          <w:lang w:eastAsia="zh-CN"/>
        </w:rPr>
        <w:t xml:space="preserve">南通博物苑</w:t>
      </w:r>
      <w:r/>
    </w:p>
    <w:p>
      <w:pPr>
        <w:ind w:firstLine="643"/>
        <w:jc w:val="both"/>
        <w:keepLines w:val="0"/>
        <w:keepNext w:val="0"/>
        <w:pageBreakBefore w:val="0"/>
        <w:spacing w:line="360" w:lineRule="auto"/>
        <w:widowControl w:val="off"/>
        <w:rPr>
          <w:rFonts w:hint="eastAsia" w:eastAsia="宋体" w:cs="宋体"/>
          <w:b/>
          <w:color w:val="000000"/>
          <w:sz w:val="32"/>
          <w:szCs w:val="32"/>
          <w:highlight w:val="none"/>
          <w:lang w:eastAsia="zh-CN"/>
        </w:rPr>
      </w:pPr>
      <w:r>
        <w:rPr>
          <w:rFonts w:hint="eastAsia" w:eastAsia="宋体" w:cs="宋体"/>
          <w:b/>
          <w:color w:val="000000"/>
          <w:sz w:val="32"/>
          <w:szCs w:val="32"/>
          <w:highlight w:val="none"/>
        </w:rPr>
        <w:t xml:space="preserve">代理机构：</w:t>
      </w:r>
      <w:r>
        <w:rPr>
          <w:rFonts w:hint="eastAsia" w:eastAsia="宋体" w:cs="宋体"/>
          <w:b/>
          <w:color w:val="000000"/>
          <w:sz w:val="32"/>
          <w:szCs w:val="32"/>
          <w:highlight w:val="none"/>
          <w:lang w:eastAsia="zh-CN"/>
        </w:rPr>
        <w:t xml:space="preserve">南通建辰工程咨询有限公司</w:t>
      </w:r>
      <w:r/>
    </w:p>
    <w:p>
      <w:pPr>
        <w:ind w:firstLine="643"/>
        <w:jc w:val="both"/>
        <w:keepLines w:val="0"/>
        <w:keepNext w:val="0"/>
        <w:pageBreakBefore w:val="0"/>
        <w:spacing w:line="360" w:lineRule="auto"/>
        <w:widowControl w:val="off"/>
        <w:rPr>
          <w:rFonts w:eastAsia="宋体" w:cs="宋体"/>
          <w:b/>
          <w:color w:val="000000"/>
          <w:sz w:val="32"/>
          <w:szCs w:val="32"/>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000000"/>
          <w:sz w:val="32"/>
          <w:szCs w:val="32"/>
          <w:highlight w:val="none"/>
        </w:rPr>
        <w:t xml:space="preserve">日    期：二○二五年</w:t>
      </w:r>
      <w:r>
        <w:rPr>
          <w:rFonts w:hint="eastAsia" w:eastAsia="宋体" w:cs="宋体"/>
          <w:b/>
          <w:color w:val="000000"/>
          <w:sz w:val="32"/>
          <w:szCs w:val="32"/>
          <w:highlight w:val="none"/>
          <w:lang w:val="en-US" w:eastAsia="zh-CN"/>
        </w:rPr>
        <w:t xml:space="preserve">九</w:t>
      </w:r>
      <w:r>
        <w:rPr>
          <w:rFonts w:hint="eastAsia" w:eastAsia="宋体" w:cs="宋体"/>
          <w:b/>
          <w:color w:val="000000"/>
          <w:sz w:val="32"/>
          <w:szCs w:val="32"/>
          <w:highlight w:val="none"/>
        </w:rPr>
        <w:t xml:space="preserve">月</w:t>
      </w:r>
      <w:r/>
    </w:p>
    <w:p>
      <w:pPr>
        <w:pStyle w:val="892"/>
        <w:jc w:val="center"/>
        <w:keepLines w:val="0"/>
        <w:keepNext w:val="0"/>
        <w:pageBreakBefore w:val="0"/>
        <w:spacing w:line="480" w:lineRule="auto"/>
        <w:widowControl w:val="off"/>
        <w:rPr>
          <w:rFonts w:hint="eastAsia" w:ascii="Times New Roman" w:hAnsi="Times New Roman"/>
          <w:color w:val="000000"/>
          <w:highlight w:val="none"/>
        </w:rPr>
      </w:pPr>
      <w:r>
        <w:rPr>
          <w:rFonts w:hint="eastAsia" w:ascii="Times New Roman" w:hAnsi="Times New Roman"/>
          <w:color w:val="000000"/>
          <w:highlight w:val="none"/>
        </w:rPr>
        <w:t xml:space="preserve">目  录</w:t>
      </w:r>
      <w:r/>
    </w:p>
    <w:p>
      <w:pPr>
        <w:pStyle w:val="914"/>
        <w:ind w:firstLine="643"/>
        <w:jc w:val="both"/>
        <w:keepLines w:val="0"/>
        <w:keepNext w:val="0"/>
        <w:pageBreakBefore w:val="0"/>
        <w:spacing w:line="480" w:lineRule="auto"/>
        <w:widowControl w:val="off"/>
        <w:rPr>
          <w:rFonts w:hint="eastAsia" w:ascii="Times New Roman" w:eastAsia="宋体" w:cs="宋体"/>
          <w:b/>
          <w:color w:val="000000"/>
          <w:sz w:val="32"/>
          <w:szCs w:val="32"/>
          <w:highlight w:val="none"/>
          <w:lang w:eastAsia="zh-CN"/>
        </w:rPr>
      </w:pPr>
      <w:r>
        <w:rPr>
          <w:rFonts w:hint="eastAsia" w:ascii="Times New Roman" w:eastAsia="宋体" w:cs="宋体"/>
          <w:b/>
          <w:color w:val="000000"/>
          <w:sz w:val="32"/>
          <w:szCs w:val="32"/>
          <w:highlight w:val="none"/>
          <w:lang w:eastAsia="zh-CN"/>
        </w:rPr>
      </w:r>
      <w:r/>
    </w:p>
    <w:p>
      <w:pPr>
        <w:pStyle w:val="914"/>
        <w:ind w:firstLine="643"/>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color w:val="000000"/>
          <w:sz w:val="32"/>
          <w:szCs w:val="32"/>
          <w:highlight w:val="none"/>
          <w:lang w:eastAsia="zh-CN"/>
        </w:rPr>
        <w:fldChar w:fldCharType="begin"/>
      </w:r>
      <w:r>
        <w:rPr>
          <w:rFonts w:hint="eastAsia" w:ascii="Times New Roman" w:eastAsia="宋体" w:cs="宋体"/>
          <w:b/>
          <w:color w:val="000000"/>
          <w:sz w:val="32"/>
          <w:szCs w:val="32"/>
          <w:highlight w:val="none"/>
          <w:lang w:eastAsia="zh-CN"/>
        </w:rPr>
        <w:instrText xml:space="preserve"> TOC \o "1-1" </w:instrText>
      </w:r>
      <w:r>
        <w:rPr>
          <w:rFonts w:hint="eastAsia" w:ascii="Times New Roman" w:eastAsia="宋体" w:cs="宋体"/>
          <w:b/>
          <w:color w:val="000000"/>
          <w:sz w:val="32"/>
          <w:szCs w:val="32"/>
          <w:highlight w:val="none"/>
          <w:lang w:eastAsia="zh-CN"/>
        </w:rPr>
        <w:fldChar w:fldCharType="separate"/>
      </w:r>
      <w:r>
        <w:rPr>
          <w:rFonts w:hint="eastAsia" w:ascii="Times New Roman" w:eastAsia="宋体" w:cs="宋体"/>
          <w:b w:val="0"/>
          <w:bCs/>
          <w:color w:val="000000"/>
          <w:sz w:val="32"/>
          <w:szCs w:val="32"/>
          <w:highlight w:val="none"/>
          <w:lang w:eastAsia="zh-CN"/>
        </w:rPr>
        <w:t xml:space="preserve">第一章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招标公告</w:t>
      </w:r>
      <w:r/>
    </w:p>
    <w:p>
      <w:pPr>
        <w:pStyle w:val="914"/>
        <w:ind w:firstLine="640"/>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val="0"/>
          <w:bCs/>
          <w:color w:val="000000"/>
          <w:sz w:val="32"/>
          <w:szCs w:val="32"/>
          <w:highlight w:val="none"/>
          <w:lang w:eastAsia="zh-CN"/>
        </w:rPr>
        <w:t xml:space="preserve">第二章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投标人须知</w:t>
      </w:r>
      <w:r/>
    </w:p>
    <w:p>
      <w:pPr>
        <w:pStyle w:val="914"/>
        <w:ind w:firstLine="640"/>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val="0"/>
          <w:bCs/>
          <w:color w:val="000000"/>
          <w:sz w:val="32"/>
          <w:szCs w:val="32"/>
          <w:highlight w:val="none"/>
          <w:lang w:eastAsia="zh-CN"/>
        </w:rPr>
        <w:t xml:space="preserve">第三章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项目需求</w:t>
      </w:r>
      <w:r/>
    </w:p>
    <w:p>
      <w:pPr>
        <w:pStyle w:val="914"/>
        <w:ind w:firstLine="640"/>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val="0"/>
          <w:bCs/>
          <w:color w:val="000000"/>
          <w:sz w:val="32"/>
          <w:szCs w:val="32"/>
          <w:highlight w:val="none"/>
          <w:lang w:eastAsia="zh-CN"/>
        </w:rPr>
        <w:t xml:space="preserve">第四章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评审方法和程序</w:t>
      </w:r>
      <w:r/>
    </w:p>
    <w:p>
      <w:pPr>
        <w:pStyle w:val="914"/>
        <w:ind w:firstLine="640"/>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val="0"/>
          <w:bCs/>
          <w:color w:val="000000"/>
          <w:sz w:val="32"/>
          <w:szCs w:val="32"/>
          <w:highlight w:val="none"/>
          <w:lang w:eastAsia="zh-CN"/>
        </w:rPr>
        <w:t xml:space="preserve">第五章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合同签订与验收付款</w:t>
      </w:r>
      <w:r/>
    </w:p>
    <w:p>
      <w:pPr>
        <w:pStyle w:val="914"/>
        <w:ind w:firstLine="640"/>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val="0"/>
          <w:bCs/>
          <w:color w:val="000000"/>
          <w:sz w:val="32"/>
          <w:szCs w:val="32"/>
          <w:highlight w:val="none"/>
          <w:lang w:eastAsia="zh-CN"/>
        </w:rPr>
        <w:t xml:space="preserve">第六章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合同授予</w:t>
      </w:r>
      <w:r/>
    </w:p>
    <w:p>
      <w:pPr>
        <w:pStyle w:val="914"/>
        <w:ind w:firstLine="640"/>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val="0"/>
          <w:bCs/>
          <w:color w:val="000000"/>
          <w:sz w:val="32"/>
          <w:szCs w:val="32"/>
          <w:highlight w:val="none"/>
          <w:lang w:eastAsia="zh-CN"/>
        </w:rPr>
        <w:t xml:space="preserve">第七章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质疑与投诉</w:t>
      </w:r>
      <w:r/>
    </w:p>
    <w:p>
      <w:pPr>
        <w:pStyle w:val="914"/>
        <w:ind w:firstLine="640"/>
        <w:jc w:val="both"/>
        <w:keepLines w:val="0"/>
        <w:keepNext w:val="0"/>
        <w:pageBreakBefore w:val="0"/>
        <w:spacing w:line="480" w:lineRule="auto"/>
        <w:widowControl w:val="off"/>
        <w:rPr>
          <w:rFonts w:hint="eastAsia" w:ascii="Times New Roman" w:eastAsia="宋体" w:cs="宋体"/>
          <w:b w:val="0"/>
          <w:bCs/>
          <w:color w:val="000000"/>
          <w:sz w:val="32"/>
          <w:szCs w:val="32"/>
          <w:highlight w:val="none"/>
          <w:lang w:eastAsia="zh-CN"/>
        </w:rPr>
      </w:pPr>
      <w:r>
        <w:rPr>
          <w:rFonts w:hint="eastAsia" w:ascii="Times New Roman" w:eastAsia="宋体" w:cs="宋体"/>
          <w:b w:val="0"/>
          <w:bCs/>
          <w:color w:val="000000"/>
          <w:sz w:val="32"/>
          <w:szCs w:val="32"/>
          <w:highlight w:val="none"/>
          <w:lang w:eastAsia="zh-CN"/>
        </w:rPr>
        <w:t xml:space="preserve">第八章 </w:t>
      </w:r>
      <w:r>
        <w:rPr>
          <w:rFonts w:hint="eastAsia" w:ascii="Times New Roman" w:eastAsia="宋体" w:cs="宋体"/>
          <w:b w:val="0"/>
          <w:bCs/>
          <w:color w:val="000000"/>
          <w:sz w:val="32"/>
          <w:szCs w:val="32"/>
          <w:highlight w:val="none"/>
          <w:lang w:val="en-US" w:eastAsia="zh-CN"/>
        </w:rPr>
        <w:t xml:space="preserve"> </w:t>
      </w:r>
      <w:r>
        <w:rPr>
          <w:rFonts w:hint="eastAsia" w:ascii="Times New Roman" w:eastAsia="宋体" w:cs="宋体"/>
          <w:b w:val="0"/>
          <w:bCs/>
          <w:color w:val="000000"/>
          <w:sz w:val="32"/>
          <w:szCs w:val="32"/>
          <w:highlight w:val="none"/>
          <w:lang w:eastAsia="zh-CN"/>
        </w:rPr>
        <w:t xml:space="preserve">投标文件组成及格式</w:t>
      </w:r>
      <w:r/>
    </w:p>
    <w:p>
      <w:pPr>
        <w:pStyle w:val="914"/>
        <w:ind w:firstLine="643"/>
        <w:jc w:val="both"/>
        <w:keepLines w:val="0"/>
        <w:keepNext w:val="0"/>
        <w:pageBreakBefore w:val="0"/>
        <w:spacing w:line="480" w:lineRule="auto"/>
        <w:widowControl w:val="off"/>
        <w:rPr>
          <w:rFonts w:hint="eastAsia" w:ascii="Times New Roman" w:eastAsia="宋体" w:cs="宋体"/>
          <w:b/>
          <w:color w:val="000000"/>
          <w:sz w:val="32"/>
          <w:szCs w:val="32"/>
          <w:highlight w:val="none"/>
          <w:lang w:eastAsia="zh-CN"/>
        </w:rPr>
      </w:pPr>
      <w:r>
        <w:rPr>
          <w:rFonts w:hint="eastAsia" w:ascii="Times New Roman" w:eastAsia="宋体" w:cs="宋体"/>
          <w:b/>
          <w:color w:val="000000"/>
          <w:sz w:val="32"/>
          <w:szCs w:val="32"/>
          <w:highlight w:val="none"/>
          <w:lang w:eastAsia="zh-CN"/>
        </w:rPr>
      </w:r>
      <w:r/>
    </w:p>
    <w:p>
      <w:pPr>
        <w:pStyle w:val="914"/>
        <w:ind w:firstLine="643"/>
        <w:jc w:val="both"/>
        <w:keepLines w:val="0"/>
        <w:keepNext w:val="0"/>
        <w:pageBreakBefore w:val="0"/>
        <w:spacing w:line="480" w:lineRule="auto"/>
        <w:widowControl w:val="off"/>
        <w:rPr>
          <w:rFonts w:ascii="Times New Roman" w:hAnsi="Times New Roman"/>
          <w:color w:val="000000"/>
          <w:highlight w:val="none"/>
        </w:rPr>
      </w:pPr>
      <w:r>
        <w:rPr>
          <w:rFonts w:hint="eastAsia" w:ascii="Times New Roman" w:eastAsia="宋体" w:cs="宋体"/>
          <w:b/>
          <w:color w:val="000000"/>
          <w:sz w:val="32"/>
          <w:szCs w:val="32"/>
          <w:highlight w:val="none"/>
          <w:lang w:eastAsia="zh-CN"/>
        </w:rPr>
        <w:fldChar w:fldCharType="end"/>
      </w:r>
      <w:r/>
    </w:p>
    <w:p>
      <w:pPr>
        <w:jc w:val="center"/>
        <w:pageBreakBefore w:val="0"/>
        <w:spacing w:line="360" w:lineRule="auto"/>
        <w:widowControl w:val="off"/>
        <w:tabs>
          <w:tab w:val="left" w:pos="1050" w:leader="none"/>
          <w:tab w:val="right" w:pos="9402" w:leader="dot"/>
        </w:tabs>
        <w:rPr>
          <w:rFonts w:eastAsia="宋体" w:cs="宋体"/>
          <w:b/>
          <w:color w:val="000000"/>
          <w:sz w:val="36"/>
          <w:szCs w:val="36"/>
          <w:highlight w:val="none"/>
        </w:rPr>
        <w:outlineLvl w:val="0"/>
      </w:pPr>
      <w:r/>
      <w:bookmarkStart w:id="0" w:name="_Toc363573853"/>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第一章  招标公告</w:t>
      </w:r>
      <w:bookmarkEnd w:id="0"/>
      <w:r/>
      <w:r/>
    </w:p>
    <w:p>
      <w:pPr>
        <w:ind w:firstLine="480"/>
        <w:pageBreakBefore w:val="0"/>
        <w:spacing w:line="360" w:lineRule="auto"/>
        <w:widowControl w:val="off"/>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rPr>
        <w:t xml:space="preserve">项目概况</w:t>
      </w:r>
      <w:r/>
    </w:p>
    <w:p>
      <w:pPr>
        <w:ind w:firstLine="480"/>
        <w:pageBreakBefore w:val="0"/>
        <w:spacing w:line="360" w:lineRule="auto"/>
        <w:widowControl w:val="off"/>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u w:val="single"/>
          <w:lang w:eastAsia="zh-CN"/>
        </w:rPr>
        <w:t xml:space="preserve">南通博物苑历史区文物建筑保护利用项目</w:t>
      </w:r>
      <w:r>
        <w:rPr>
          <w:rFonts w:hint="eastAsia" w:eastAsia="宋体" w:cs="宋体"/>
          <w:bCs/>
          <w:color w:val="000000"/>
          <w:sz w:val="24"/>
          <w:szCs w:val="24"/>
          <w:highlight w:val="none"/>
        </w:rPr>
        <w:t xml:space="preserve">的潜在投标人应在</w:t>
      </w:r>
      <w:r>
        <w:rPr>
          <w:rFonts w:hint="eastAsia" w:eastAsia="宋体"/>
          <w:bCs/>
          <w:color w:val="000000"/>
          <w:sz w:val="24"/>
          <w:szCs w:val="24"/>
          <w:highlight w:val="none"/>
          <w:u w:val="single"/>
        </w:rPr>
        <w:t xml:space="preserve">江苏政府采购网苏采云系统 </w:t>
      </w:r>
      <w:r>
        <w:rPr>
          <w:rFonts w:hint="eastAsia"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rPr>
        <w:t xml:space="preserve">2025年</w:t>
      </w:r>
      <w:r>
        <w:rPr>
          <w:rFonts w:hint="eastAsia" w:eastAsia="宋体" w:cs="宋体"/>
          <w:bCs/>
          <w:color w:val="000000"/>
          <w:sz w:val="24"/>
          <w:szCs w:val="24"/>
          <w:highlight w:val="none"/>
          <w:u w:val="single"/>
          <w:lang w:eastAsia="zh-CN"/>
        </w:rPr>
        <w:t xml:space="preserve">10月20日09时30分</w:t>
      </w:r>
      <w:r>
        <w:rPr>
          <w:rFonts w:hint="eastAsia" w:eastAsia="宋体" w:cs="宋体"/>
          <w:bCs/>
          <w:color w:val="000000"/>
          <w:sz w:val="24"/>
          <w:szCs w:val="24"/>
          <w:highlight w:val="none"/>
        </w:rPr>
        <w:t xml:space="preserve">（北京时间）前递交投标文件。</w:t>
      </w:r>
      <w:r/>
    </w:p>
    <w:p>
      <w:pPr>
        <w:numPr>
          <w:ilvl w:val="0"/>
          <w:numId w:val="0"/>
        </w:numPr>
        <w:contextualSpacing/>
        <w:ind w:firstLine="480"/>
        <w:keepLines w:val="0"/>
        <w:keepNext w:val="0"/>
        <w:pageBreakBefore w:val="0"/>
        <w:spacing w:line="360" w:lineRule="auto"/>
        <w:widowControl w:val="off"/>
        <w:rPr>
          <w:rFonts w:eastAsia="宋体" w:cs="宋体"/>
          <w:bCs/>
          <w:color w:val="000000"/>
          <w:sz w:val="24"/>
          <w:szCs w:val="24"/>
          <w:highlight w:val="none"/>
        </w:rPr>
      </w:pPr>
      <w:r>
        <w:rPr>
          <w:rFonts w:hint="eastAsia" w:ascii="Times New Roman" w:hAnsi="Times New Roman" w:eastAsia="宋体" w:cs="宋体"/>
          <w:bCs/>
          <w:color w:val="000000"/>
          <w:sz w:val="24"/>
          <w:szCs w:val="24"/>
          <w:lang w:val="en-US" w:eastAsia="zh-CN" w:bidi="ar-SA"/>
        </w:rPr>
        <w:t xml:space="preserve">一、</w:t>
      </w:r>
      <w:r>
        <w:rPr>
          <w:rFonts w:hint="eastAsia" w:eastAsia="宋体" w:cs="宋体"/>
          <w:b/>
          <w:bCs/>
          <w:color w:val="000000"/>
          <w:sz w:val="24"/>
          <w:szCs w:val="24"/>
          <w:highlight w:val="none"/>
        </w:rPr>
        <w:t xml:space="preserve">项目基本情况</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项目编号：</w:t>
      </w:r>
      <w:r>
        <w:rPr>
          <w:rFonts w:hint="eastAsia" w:eastAsia="宋体" w:cs="宋体"/>
          <w:color w:val="000000"/>
          <w:sz w:val="24"/>
          <w:szCs w:val="24"/>
          <w:highlight w:val="none"/>
          <w:lang w:eastAsia="zh-CN"/>
        </w:rPr>
        <w:t xml:space="preserve">JSZC-320600-NTJC-G2025-0014</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项目名称：</w:t>
      </w:r>
      <w:r>
        <w:rPr>
          <w:rFonts w:hint="eastAsia" w:eastAsia="宋体" w:cs="宋体"/>
          <w:color w:val="000000"/>
          <w:sz w:val="24"/>
          <w:szCs w:val="24"/>
          <w:highlight w:val="none"/>
          <w:lang w:eastAsia="zh-CN"/>
        </w:rPr>
        <w:t xml:space="preserve">南通博物苑历史区文物建筑保护利用项目</w:t>
      </w:r>
      <w:r/>
    </w:p>
    <w:p>
      <w:pPr>
        <w:ind w:firstLine="480"/>
        <w:jc w:val="left"/>
        <w:keepLines w:val="0"/>
        <w:keepNext w:val="0"/>
        <w:pageBreakBefore w:val="0"/>
        <w:spacing w:line="360" w:lineRule="auto"/>
        <w:widowControl w:val="off"/>
        <w:rPr>
          <w:rFonts w:eastAsia="宋体" w:cs="宋体"/>
          <w:color w:val="000000"/>
          <w:sz w:val="24"/>
          <w:szCs w:val="24"/>
          <w:highlight w:val="none"/>
        </w:rPr>
      </w:pPr>
      <w:r/>
      <w:bookmarkStart w:id="1" w:name="_Toc20597"/>
      <w:r/>
      <w:bookmarkStart w:id="2" w:name="_Toc387526169"/>
      <w:r/>
      <w:bookmarkStart w:id="3" w:name="_Toc387526365"/>
      <w:r/>
      <w:bookmarkStart w:id="4" w:name="_Toc387526273"/>
      <w:r>
        <w:rPr>
          <w:rFonts w:hint="eastAsia" w:eastAsia="宋体" w:cs="宋体"/>
          <w:color w:val="000000"/>
          <w:sz w:val="24"/>
          <w:szCs w:val="24"/>
          <w:highlight w:val="none"/>
        </w:rPr>
        <w:t xml:space="preserve">项目类型：货物</w:t>
      </w:r>
      <w:r/>
    </w:p>
    <w:p>
      <w:pPr>
        <w:ind w:firstLine="480"/>
        <w:jc w:val="left"/>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rPr>
        <w:t xml:space="preserve">预算金额：</w:t>
      </w:r>
      <w:r>
        <w:rPr>
          <w:rFonts w:hint="eastAsia" w:eastAsia="宋体" w:cs="宋体"/>
          <w:color w:val="000000"/>
          <w:sz w:val="24"/>
          <w:szCs w:val="24"/>
          <w:highlight w:val="none"/>
          <w:lang w:val="en-US" w:eastAsia="zh-CN"/>
        </w:rPr>
        <w:t xml:space="preserve">1267.95万元</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color w:val="000000"/>
          <w:sz w:val="24"/>
          <w:szCs w:val="24"/>
          <w:highlight w:val="none"/>
        </w:rPr>
        <w:t xml:space="preserve">最高限价</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1267.95万元，</w:t>
      </w:r>
      <w:r>
        <w:rPr>
          <w:rFonts w:hint="eastAsia" w:eastAsia="宋体" w:cs="宋体"/>
          <w:color w:val="000000"/>
          <w:sz w:val="24"/>
          <w:szCs w:val="24"/>
          <w:highlight w:val="none"/>
        </w:rPr>
        <w:t xml:space="preserve">投标报价超过最高限价的为无效投标。</w:t>
      </w:r>
      <w:r/>
    </w:p>
    <w:p>
      <w:pPr>
        <w:ind w:firstLine="480"/>
        <w:jc w:val="left"/>
        <w:keepLines w:val="0"/>
        <w:keepNext w:val="0"/>
        <w:pageBreakBefore w:val="0"/>
        <w:spacing w:line="360" w:lineRule="auto"/>
        <w:shd w:val="clear" w:color="auto"/>
        <w:widowControl w:val="off"/>
        <w:rPr>
          <w:rFonts w:hint="eastAsia"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项目需求：</w:t>
      </w:r>
      <w:r>
        <w:rPr>
          <w:rFonts w:hint="eastAsia" w:eastAsia="宋体" w:cs="宋体"/>
          <w:color w:val="000000"/>
          <w:sz w:val="24"/>
          <w:szCs w:val="24"/>
          <w:highlight w:val="none"/>
          <w:lang w:val="en-US" w:eastAsia="zh-CN"/>
        </w:rPr>
        <w:t xml:space="preserve">南通博物苑历史区文物建筑保护利用项目</w:t>
      </w:r>
      <w:r>
        <w:rPr>
          <w:rFonts w:hint="eastAsia" w:ascii="Times New Roman" w:hAnsi="Times New Roman" w:eastAsia="宋体" w:cs="宋体"/>
          <w:color w:val="000000"/>
          <w:sz w:val="24"/>
          <w:szCs w:val="24"/>
          <w:highlight w:val="none"/>
          <w:lang w:val="en-US" w:eastAsia="zh-CN"/>
        </w:rPr>
        <w:t xml:space="preserve">，具体详见招标文件第三章项目需求。</w:t>
      </w:r>
      <w:r/>
    </w:p>
    <w:p>
      <w:pPr>
        <w:ind w:firstLine="480"/>
        <w:jc w:val="left"/>
        <w:keepLines w:val="0"/>
        <w:keepNext w:val="0"/>
        <w:pageBreakBefore w:val="0"/>
        <w:spacing w:line="360" w:lineRule="auto"/>
        <w:shd w:val="clear" w:color="auto"/>
        <w:widowControl w:val="off"/>
        <w:rPr>
          <w:rFonts w:hint="eastAsia"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合同履行期限：</w:t>
      </w:r>
      <w:bookmarkEnd w:id="1"/>
      <w:r/>
      <w:bookmarkEnd w:id="2"/>
      <w:r/>
      <w:bookmarkEnd w:id="3"/>
      <w:r/>
      <w:bookmarkEnd w:id="4"/>
      <w:r>
        <w:rPr>
          <w:rFonts w:hint="eastAsia" w:ascii="Times New Roman" w:hAnsi="Times New Roman" w:eastAsia="宋体" w:cs="宋体"/>
          <w:color w:val="000000"/>
          <w:sz w:val="24"/>
          <w:szCs w:val="24"/>
          <w:highlight w:val="none"/>
          <w:lang w:val="en-US" w:eastAsia="zh-CN"/>
        </w:rPr>
        <w:t xml:space="preserve">合同签订生效后至2025年11月30日完成供货、安装、施工、调试和验收合格（具体时间采购单位另行通知）。</w:t>
      </w:r>
      <w:r/>
    </w:p>
    <w:p>
      <w:pPr>
        <w:ind w:firstLine="480"/>
        <w:jc w:val="left"/>
        <w:keepLines w:val="0"/>
        <w:keepNext w:val="0"/>
        <w:pageBreakBefore w:val="0"/>
        <w:spacing w:line="360" w:lineRule="auto"/>
        <w:shd w:val="clear" w:color="auto"/>
        <w:widowControl w:val="off"/>
        <w:rPr>
          <w:rFonts w:hint="default"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本项目（是/否）接受联合体：否。</w:t>
      </w:r>
      <w:r/>
    </w:p>
    <w:p>
      <w:pPr>
        <w:ind w:firstLine="480"/>
        <w:jc w:val="left"/>
        <w:keepLines w:val="0"/>
        <w:keepNext w:val="0"/>
        <w:pageBreakBefore w:val="0"/>
        <w:spacing w:line="360" w:lineRule="auto"/>
        <w:shd w:val="clear" w:color="auto"/>
        <w:widowControl w:val="off"/>
        <w:rPr>
          <w:rFonts w:hint="eastAsia"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本项目（是/否）接受分包：否。</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二、申请人的资格要求：</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lang w:eastAsia="zh-CN"/>
        </w:rPr>
        <w:t xml:space="preserve">（一）满足《中华人民共和国政府采购法》第二十二条规定，并提供下列材料</w:t>
      </w:r>
      <w:r>
        <w:rPr>
          <w:rFonts w:hint="eastAsia" w:eastAsia="宋体" w:cs="宋体"/>
          <w:b/>
          <w:bCs/>
          <w:color w:val="000000"/>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1.投标人符合《中华人民共和国政府采购法》第二十二条规定条件的声明函（格式参见附件）；</w:t>
      </w:r>
      <w:r/>
    </w:p>
    <w:p>
      <w:pPr>
        <w:ind w:firstLine="480"/>
        <w:jc w:val="left"/>
        <w:keepLines w:val="0"/>
        <w:keepNext w:val="0"/>
        <w:pageBreakBefore w:val="0"/>
        <w:spacing w:line="360" w:lineRule="auto"/>
        <w:shd w:val="clear" w:color="auto"/>
        <w:widowControl w:val="off"/>
        <w:rPr>
          <w:rFonts w:hint="eastAsia"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2.提供法人或者其他组织的营业执照等证明文件，如供应商为自然人的，提供其身份证明。</w:t>
      </w:r>
      <w:r/>
    </w:p>
    <w:p>
      <w:pPr>
        <w:ind w:firstLine="482"/>
        <w:keepLines w:val="0"/>
        <w:keepNext w:val="0"/>
        <w:pageBreakBefore w:val="0"/>
        <w:spacing w:line="360" w:lineRule="auto"/>
        <w:widowControl w:val="off"/>
        <w:rPr>
          <w:rFonts w:hint="eastAsia" w:eastAsia="宋体" w:cs="宋体"/>
          <w:b/>
          <w:bCs w:val="0"/>
          <w:color w:val="000000"/>
          <w:sz w:val="24"/>
          <w:szCs w:val="24"/>
          <w:highlight w:val="none"/>
        </w:rPr>
      </w:pPr>
      <w:r>
        <w:rPr>
          <w:rFonts w:hint="eastAsia" w:eastAsia="宋体" w:cs="宋体"/>
          <w:b/>
          <w:bCs w:val="0"/>
          <w:color w:val="000000"/>
          <w:sz w:val="24"/>
          <w:szCs w:val="24"/>
          <w:highlight w:val="none"/>
          <w:lang w:eastAsia="zh-CN"/>
        </w:rPr>
        <w:t xml:space="preserve">（二）</w:t>
      </w:r>
      <w:r>
        <w:rPr>
          <w:rFonts w:hint="eastAsia" w:eastAsia="宋体" w:cs="宋体"/>
          <w:b/>
          <w:bCs w:val="0"/>
          <w:color w:val="000000"/>
          <w:sz w:val="24"/>
          <w:szCs w:val="24"/>
          <w:highlight w:val="none"/>
        </w:rPr>
        <w:t xml:space="preserve">落实政府采购政策需满足的资格要求：</w:t>
      </w:r>
      <w:r/>
    </w:p>
    <w:p>
      <w:pPr>
        <w:contextualSpacing/>
        <w:ind w:firstLine="480"/>
        <w:keepLines w:val="0"/>
        <w:keepNext w:val="0"/>
        <w:pageBreakBefore w:val="0"/>
        <w:spacing w:line="360" w:lineRule="auto"/>
        <w:shd w:val="clear" w:color="auto"/>
        <w:widowControl w:val="off"/>
        <w:rPr>
          <w:rFonts w:hint="eastAsia" w:eastAsia="宋体" w:cs="宋体"/>
          <w:b w:val="0"/>
          <w:bCs/>
          <w:color w:val="000000"/>
          <w:sz w:val="24"/>
          <w:szCs w:val="24"/>
          <w:highlight w:val="none"/>
          <w:shd w:val="clear" w:color="auto" w:fill="ffffff" w:themeFill="background1"/>
          <w:lang w:val="en-US" w:eastAsia="zh-CN"/>
        </w:rPr>
      </w:pPr>
      <w:r>
        <w:rPr>
          <w:rFonts w:hint="eastAsia" w:eastAsia="宋体" w:cs="宋体"/>
          <w:b w:val="0"/>
          <w:bCs/>
          <w:color w:val="000000"/>
          <w:sz w:val="24"/>
          <w:szCs w:val="24"/>
          <w:highlight w:val="none"/>
          <w:lang w:val="en-US" w:eastAsia="zh-CN"/>
        </w:rPr>
        <w:t xml:space="preserve">本项目属于</w:t>
      </w:r>
      <w:r>
        <w:rPr>
          <w:rFonts w:hint="eastAsia" w:eastAsia="宋体" w:cs="宋体"/>
          <w:b w:val="0"/>
          <w:bCs/>
          <w:color w:val="000000"/>
          <w:sz w:val="24"/>
          <w:szCs w:val="24"/>
          <w:highlight w:val="none"/>
          <w:u w:val="single"/>
          <w:lang w:val="en-US" w:eastAsia="zh-CN"/>
        </w:rPr>
        <w:t xml:space="preserve">货物类</w:t>
      </w:r>
      <w:r>
        <w:rPr>
          <w:rFonts w:hint="eastAsia" w:eastAsia="宋体" w:cs="宋体"/>
          <w:b w:val="0"/>
          <w:bCs/>
          <w:color w:val="000000"/>
          <w:sz w:val="24"/>
          <w:szCs w:val="24"/>
          <w:highlight w:val="none"/>
          <w:lang w:val="en-US" w:eastAsia="zh-CN"/>
        </w:rPr>
        <w:t xml:space="preserve">采</w:t>
      </w:r>
      <w:r>
        <w:rPr>
          <w:rFonts w:hint="eastAsia" w:eastAsia="宋体" w:cs="宋体"/>
          <w:b w:val="0"/>
          <w:bCs/>
          <w:color w:val="000000"/>
          <w:sz w:val="24"/>
          <w:szCs w:val="24"/>
          <w:highlight w:val="none"/>
          <w:shd w:val="clear" w:color="auto" w:fill="ffffff" w:themeFill="background1"/>
          <w:lang w:val="en-US" w:eastAsia="zh-CN"/>
        </w:rPr>
        <w:t xml:space="preserve">购，采购标的对应的行业主要为</w:t>
      </w:r>
      <w:r>
        <w:rPr>
          <w:rFonts w:hint="eastAsia" w:eastAsia="宋体" w:cs="宋体"/>
          <w:b w:val="0"/>
          <w:bCs/>
          <w:color w:val="000000"/>
          <w:sz w:val="24"/>
          <w:szCs w:val="24"/>
          <w:highlight w:val="none"/>
          <w:u w:val="single"/>
          <w:shd w:val="clear" w:color="auto" w:fill="ffffff" w:themeFill="background1"/>
          <w:lang w:val="en-US" w:eastAsia="zh-CN"/>
        </w:rPr>
        <w:t xml:space="preserve"> 工业 </w:t>
      </w:r>
      <w:r>
        <w:rPr>
          <w:rFonts w:hint="eastAsia" w:eastAsia="宋体" w:cs="宋体"/>
          <w:b w:val="0"/>
          <w:bCs/>
          <w:color w:val="000000"/>
          <w:sz w:val="24"/>
          <w:szCs w:val="24"/>
          <w:highlight w:val="none"/>
          <w:shd w:val="clear" w:color="auto" w:fill="ffffff" w:themeFill="background1"/>
          <w:lang w:val="en-US" w:eastAsia="zh-CN"/>
        </w:rPr>
        <w:t xml:space="preserve">。本项目为非专门面</w:t>
      </w:r>
      <w:r>
        <w:rPr>
          <w:rFonts w:hint="eastAsia" w:eastAsia="宋体" w:cs="宋体"/>
          <w:b w:val="0"/>
          <w:bCs/>
          <w:color w:val="000000"/>
          <w:sz w:val="24"/>
          <w:szCs w:val="24"/>
          <w:highlight w:val="none"/>
          <w:shd w:val="clear" w:color="auto" w:fill="ffffff" w:themeFill="background1"/>
          <w:lang w:val="en-US" w:eastAsia="zh-CN"/>
        </w:rPr>
        <w:t xml:space="preserve">向中小微企业项目，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r/>
    </w:p>
    <w:p>
      <w:pPr>
        <w:contextualSpacing/>
        <w:ind w:firstLine="482"/>
        <w:keepLines w:val="0"/>
        <w:keepNext w:val="0"/>
        <w:pageBreakBefore w:val="0"/>
        <w:spacing w:line="360" w:lineRule="auto"/>
        <w:widowControl w:val="off"/>
        <w:rPr>
          <w:rFonts w:eastAsia="宋体" w:cs="宋体"/>
          <w:b/>
          <w:bCs w:val="0"/>
          <w:color w:val="000000"/>
          <w:sz w:val="24"/>
          <w:szCs w:val="24"/>
          <w:highlight w:val="none"/>
        </w:rPr>
      </w:pPr>
      <w:r>
        <w:rPr>
          <w:rFonts w:hint="eastAsia" w:eastAsia="宋体" w:cs="宋体"/>
          <w:b/>
          <w:bCs w:val="0"/>
          <w:color w:val="000000"/>
          <w:sz w:val="24"/>
          <w:szCs w:val="24"/>
          <w:highlight w:val="none"/>
          <w:lang w:eastAsia="zh-CN"/>
        </w:rPr>
        <w:t xml:space="preserve">（三）</w:t>
      </w:r>
      <w:r>
        <w:rPr>
          <w:rFonts w:hint="eastAsia" w:eastAsia="宋体" w:cs="宋体"/>
          <w:b/>
          <w:bCs w:val="0"/>
          <w:color w:val="000000"/>
          <w:sz w:val="24"/>
          <w:szCs w:val="24"/>
          <w:highlight w:val="none"/>
        </w:rPr>
        <w:t xml:space="preserve">项目的特定资格要求：</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rPr>
      </w:pPr>
      <w:r>
        <w:rPr>
          <w:rFonts w:hint="eastAsia" w:eastAsia="宋体" w:cs="宋体"/>
          <w:color w:val="000000"/>
          <w:sz w:val="24"/>
          <w:szCs w:val="24"/>
          <w:highlight w:val="none"/>
          <w:lang w:val="en-US" w:eastAsia="zh-CN"/>
        </w:rPr>
        <w:t xml:space="preserve">1.</w:t>
      </w:r>
      <w:r>
        <w:rPr>
          <w:rFonts w:hint="eastAsia" w:eastAsia="宋体" w:cs="宋体"/>
          <w:color w:val="000000"/>
          <w:sz w:val="24"/>
          <w:szCs w:val="24"/>
          <w:highlight w:val="none"/>
        </w:rPr>
        <w:t xml:space="preserve">未被“信用中国”网站（www.creditchina.gov.cn）列入失信被执行人、重大税收违法案件当事人名单、政府采购严重失信行为记录名单；</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rPr>
      </w:pPr>
      <w:r>
        <w:rPr>
          <w:rFonts w:hint="eastAsia" w:eastAsia="宋体" w:cs="宋体"/>
          <w:color w:val="000000"/>
          <w:sz w:val="24"/>
          <w:szCs w:val="24"/>
          <w:highlight w:val="none"/>
          <w:lang w:val="en-US" w:eastAsia="zh-CN"/>
        </w:rPr>
        <w:t xml:space="preserve">2.</w:t>
      </w:r>
      <w:r>
        <w:rPr>
          <w:rFonts w:hint="eastAsia" w:eastAsia="宋体" w:cs="宋体"/>
          <w:color w:val="000000"/>
          <w:sz w:val="24"/>
          <w:szCs w:val="24"/>
          <w:highlight w:val="none"/>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val="en-US" w:eastAsia="zh-CN"/>
        </w:rPr>
        <w:t xml:space="preserve">3</w:t>
      </w:r>
      <w:r>
        <w:rPr>
          <w:rFonts w:hint="eastAsia" w:eastAsia="宋体" w:cs="宋体"/>
          <w:color w:val="000000"/>
          <w:sz w:val="24"/>
          <w:szCs w:val="24"/>
          <w:highlight w:val="none"/>
        </w:rPr>
        <w:t xml:space="preserve">.现场勘察承诺函</w:t>
      </w:r>
      <w:r>
        <w:rPr>
          <w:rFonts w:hint="eastAsia" w:eastAsia="宋体" w:cs="宋体"/>
          <w:b/>
          <w:bCs/>
          <w:color w:val="000000"/>
          <w:sz w:val="24"/>
          <w:szCs w:val="24"/>
          <w:highlight w:val="none"/>
          <w:lang w:val="zh-CN"/>
        </w:rPr>
        <w:t xml:space="preserve">（提供承诺书原件）</w:t>
      </w:r>
      <w:r>
        <w:rPr>
          <w:rFonts w:hint="eastAsia"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lang w:val="zh-CN"/>
        </w:rPr>
      </w:pPr>
      <w:r>
        <w:rPr>
          <w:rFonts w:hint="eastAsia" w:eastAsia="宋体" w:cs="宋体"/>
          <w:color w:val="000000"/>
          <w:sz w:val="24"/>
          <w:szCs w:val="24"/>
          <w:highlight w:val="none"/>
          <w:lang w:val="en-US" w:eastAsia="zh-CN"/>
        </w:rPr>
        <w:t xml:space="preserve">4</w:t>
      </w:r>
      <w:r>
        <w:rPr>
          <w:rFonts w:hint="eastAsia" w:eastAsia="宋体" w:cs="宋体"/>
          <w:color w:val="000000"/>
          <w:sz w:val="24"/>
          <w:szCs w:val="24"/>
          <w:highlight w:val="none"/>
        </w:rPr>
        <w:t xml:space="preserve">.</w:t>
      </w:r>
      <w:r>
        <w:rPr>
          <w:rFonts w:hint="eastAsia" w:eastAsia="宋体" w:cs="宋体"/>
          <w:color w:val="000000"/>
          <w:sz w:val="24"/>
          <w:szCs w:val="24"/>
          <w:highlight w:val="none"/>
          <w:lang w:val="zh-CN"/>
        </w:rPr>
        <w:t xml:space="preserve">拒绝下述投标人参加本次采购活动：</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lang w:val="zh-CN"/>
        </w:rPr>
      </w:pPr>
      <w:r>
        <w:rPr>
          <w:rFonts w:hint="eastAsia" w:eastAsia="宋体" w:cs="宋体"/>
          <w:color w:val="000000"/>
          <w:sz w:val="24"/>
          <w:szCs w:val="24"/>
          <w:highlight w:val="none"/>
          <w:lang w:val="en-US" w:eastAsia="zh-CN"/>
        </w:rPr>
        <w:t xml:space="preserve">4</w:t>
      </w:r>
      <w:r>
        <w:rPr>
          <w:rFonts w:hint="eastAsia" w:eastAsia="宋体" w:cs="宋体"/>
          <w:color w:val="000000"/>
          <w:sz w:val="24"/>
          <w:szCs w:val="24"/>
          <w:highlight w:val="none"/>
        </w:rPr>
        <w:t xml:space="preserve">.1</w:t>
      </w:r>
      <w:r>
        <w:rPr>
          <w:rFonts w:hint="eastAsia" w:eastAsia="宋体" w:cs="宋体"/>
          <w:color w:val="000000"/>
          <w:sz w:val="24"/>
          <w:szCs w:val="24"/>
          <w:highlight w:val="none"/>
          <w:lang w:val="zh-CN"/>
        </w:rPr>
        <w:t xml:space="preserve">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shd w:val="clear" w:color="auto"/>
        <w:widowControl w:val="off"/>
        <w:rPr>
          <w:rFonts w:hint="eastAsia" w:eastAsia="宋体" w:cs="宋体"/>
          <w:color w:val="000000"/>
          <w:sz w:val="24"/>
          <w:szCs w:val="24"/>
          <w:highlight w:val="none"/>
        </w:rPr>
      </w:pPr>
      <w:r>
        <w:rPr>
          <w:rFonts w:hint="eastAsia" w:eastAsia="宋体" w:cs="宋体"/>
          <w:color w:val="000000"/>
          <w:sz w:val="24"/>
          <w:szCs w:val="24"/>
          <w:highlight w:val="none"/>
          <w:lang w:val="en-US" w:eastAsia="zh-CN"/>
        </w:rPr>
        <w:t xml:space="preserve">4</w:t>
      </w:r>
      <w:r>
        <w:rPr>
          <w:rFonts w:hint="eastAsia" w:eastAsia="宋体" w:cs="宋体"/>
          <w:color w:val="000000"/>
          <w:sz w:val="24"/>
          <w:szCs w:val="24"/>
          <w:highlight w:val="none"/>
        </w:rPr>
        <w:t xml:space="preserve">.2</w:t>
      </w:r>
      <w:r>
        <w:rPr>
          <w:rFonts w:hint="eastAsia" w:eastAsia="宋体" w:cs="宋体"/>
          <w:color w:val="000000"/>
          <w:sz w:val="24"/>
          <w:szCs w:val="24"/>
          <w:highlight w:val="none"/>
          <w:lang w:val="zh-CN"/>
        </w:rPr>
        <w:t xml:space="preserve">凡为采购项目提供整体设计、规范编制或者项目管理、监理、检测等服务的供应商，不得再参加本项目的采购活动。</w:t>
      </w:r>
      <w:r/>
    </w:p>
    <w:p>
      <w:pPr>
        <w:contextualSpacing/>
        <w:ind w:firstLine="482"/>
        <w:keepLines w:val="0"/>
        <w:keepNext w:val="0"/>
        <w:pageBreakBefore w:val="0"/>
        <w:spacing w:line="360" w:lineRule="auto"/>
        <w:widowControl w:val="off"/>
        <w:rPr>
          <w:rFonts w:hint="eastAsia" w:eastAsia="宋体" w:cs="宋体"/>
          <w:b/>
          <w:bCs/>
          <w:color w:val="000000"/>
          <w:sz w:val="24"/>
          <w:szCs w:val="24"/>
          <w:highlight w:val="none"/>
        </w:rPr>
      </w:pPr>
      <w:r/>
      <w:bookmarkStart w:id="32" w:name="_GoBack"/>
      <w:r/>
      <w:bookmarkEnd w:id="32"/>
      <w:r>
        <w:rPr>
          <w:rFonts w:hint="eastAsia" w:eastAsia="宋体" w:cs="宋体"/>
          <w:b/>
          <w:bCs/>
          <w:color w:val="000000"/>
          <w:sz w:val="24"/>
          <w:szCs w:val="24"/>
          <w:highlight w:val="none"/>
          <w:lang w:val="zh-CN"/>
        </w:rPr>
        <w:t xml:space="preserve">注：以上所有资格要求条件必须在资格审查材料中逐条提供有效证明材料及相关承诺书并加盖公章，否则投标无效。</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具体资格要求详见第八章中的“资格审查文件”。</w:t>
      </w:r>
      <w:r/>
    </w:p>
    <w:p>
      <w:pPr>
        <w:ind w:firstLine="482"/>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时间：自本项目招标公告发布之日起5个工作日。</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地点：网上注册登记成功后系统内免费下载。</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获取方式：本项目采用网上注册登记方式。</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3.1潜在供应商访问电子招标响应交易平台的网络地址和方法：</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3.2潜在供应商访问“苏采云”系统的网络地址和方法：“苏采云”系统的网址：http://jszfcg.jsczt.cn/。</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3.3“CA数字证书”的获取：</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3.5采购人或招标代理机构（采购代理机构）将数据电文形式的采购文件加载至“苏采云”系统，供潜在供应商下载或者查阅。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注：如潜在供应商未按上述要求操作，将自行承担所产生的风险。</w:t>
      </w:r>
      <w:r/>
    </w:p>
    <w:p>
      <w:pPr>
        <w:ind w:firstLine="482"/>
        <w:keepLines w:val="0"/>
        <w:keepNext w:val="0"/>
        <w:pageBreakBefore w:val="0"/>
        <w:spacing w:line="360" w:lineRule="auto"/>
        <w:widowControl w:val="off"/>
        <w:rPr>
          <w:rFonts w:eastAsia="宋体" w:cs="宋体"/>
          <w:color w:val="000000"/>
          <w:sz w:val="24"/>
          <w:szCs w:val="24"/>
          <w:highlight w:val="none"/>
        </w:rPr>
      </w:pPr>
      <w:r>
        <w:rPr>
          <w:rFonts w:hint="eastAsia"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1</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投标文件提交截止时间：</w:t>
      </w:r>
      <w:r>
        <w:rPr>
          <w:rFonts w:hint="eastAsia" w:eastAsia="宋体" w:cs="宋体"/>
          <w:bCs/>
          <w:color w:val="000000"/>
          <w:sz w:val="24"/>
          <w:szCs w:val="24"/>
          <w:highlight w:val="none"/>
          <w:u w:val="single"/>
        </w:rPr>
        <w:t xml:space="preserve">2025年</w:t>
      </w:r>
      <w:r>
        <w:rPr>
          <w:rFonts w:hint="eastAsia" w:eastAsia="宋体" w:cs="宋体"/>
          <w:bCs/>
          <w:color w:val="000000"/>
          <w:sz w:val="24"/>
          <w:szCs w:val="24"/>
          <w:highlight w:val="none"/>
          <w:u w:val="single"/>
          <w:lang w:eastAsia="zh-CN"/>
        </w:rPr>
        <w:t xml:space="preserve">10月20日09时30分</w:t>
      </w:r>
      <w:r>
        <w:rPr>
          <w:rFonts w:hint="eastAsia" w:eastAsia="宋体"/>
          <w:color w:val="000000"/>
          <w:sz w:val="24"/>
          <w:szCs w:val="24"/>
          <w:highlight w:val="none"/>
        </w:rPr>
        <w:t xml:space="preserve">（北京时间）。逾时，“苏采云”系统将拒绝接受上传响应文件电子文档。</w:t>
      </w:r>
      <w:r/>
    </w:p>
    <w:p>
      <w:pPr>
        <w:ind w:firstLine="480"/>
        <w:jc w:val="left"/>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线上开标地点：“苏采云”系统（网址：http://jszfcg.jsczt.cn/）“开标大厅”。</w:t>
      </w:r>
      <w:r/>
    </w:p>
    <w:p>
      <w:pPr>
        <w:ind w:firstLine="480"/>
        <w:jc w:val="left"/>
        <w:keepLines w:val="0"/>
        <w:keepNext w:val="0"/>
        <w:pageBreakBefore w:val="0"/>
        <w:spacing w:line="360" w:lineRule="auto"/>
        <w:widowControl w:val="off"/>
        <w:rPr>
          <w:rFonts w:eastAsia="宋体"/>
          <w:color w:val="000000"/>
          <w:sz w:val="24"/>
          <w:szCs w:val="24"/>
          <w:highlight w:val="none"/>
          <w:u w:val="single"/>
        </w:rPr>
      </w:pPr>
      <w:r>
        <w:rPr>
          <w:rFonts w:hint="eastAsia" w:eastAsia="宋体"/>
          <w:color w:val="000000"/>
          <w:sz w:val="24"/>
          <w:szCs w:val="24"/>
          <w:highlight w:val="none"/>
        </w:rPr>
        <w:t xml:space="preserve">3</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highlight w:val="none"/>
        </w:rPr>
        <w:t xml:space="preserve">投标供应商解密限定在开标后30分钟之内完成</w:t>
      </w:r>
      <w:r>
        <w:rPr>
          <w:rFonts w:hint="eastAsia" w:eastAsia="宋体"/>
          <w:color w:val="000000"/>
          <w:sz w:val="24"/>
          <w:szCs w:val="24"/>
          <w:highlight w:val="none"/>
        </w:rPr>
        <w:t xml:space="preserve">。</w:t>
      </w:r>
      <w:r>
        <w:rPr>
          <w:rFonts w:hint="eastAsia" w:eastAsia="宋体"/>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val="off"/>
        <w:rPr>
          <w:rFonts w:eastAsia="宋体"/>
          <w:b/>
          <w:color w:val="000000"/>
          <w:sz w:val="24"/>
          <w:szCs w:val="24"/>
          <w:highlight w:val="none"/>
        </w:rPr>
      </w:pPr>
      <w:r>
        <w:rPr>
          <w:rFonts w:hint="eastAsia" w:eastAsia="宋体"/>
          <w:b/>
          <w:color w:val="000000"/>
          <w:sz w:val="24"/>
          <w:szCs w:val="24"/>
          <w:highlight w:val="none"/>
        </w:rPr>
        <w:t xml:space="preserve">注：各供应商请关注开标大厅交流区，在开标结束后，请勿离开开标大厅。</w:t>
      </w:r>
      <w:r/>
    </w:p>
    <w:p>
      <w:pPr>
        <w:contextualSpacing/>
        <w:ind w:firstLine="482"/>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五、公告期限</w:t>
      </w:r>
      <w:r/>
    </w:p>
    <w:p>
      <w:pPr>
        <w:ind w:firstLine="480"/>
        <w:jc w:val="left"/>
        <w:keepLines w:val="0"/>
        <w:keepNext w:val="0"/>
        <w:pageBreakBefore w:val="0"/>
        <w:spacing w:line="360" w:lineRule="auto"/>
        <w:widowControl w:val="off"/>
        <w:rPr>
          <w:rFonts w:eastAsia="宋体" w:cs="宋体"/>
          <w:bCs/>
          <w:color w:val="000000"/>
          <w:sz w:val="24"/>
          <w:szCs w:val="24"/>
          <w:highlight w:val="none"/>
        </w:rPr>
      </w:pPr>
      <w:r>
        <w:rPr>
          <w:rFonts w:hint="eastAsia" w:eastAsia="宋体" w:cs="宋体"/>
          <w:bCs/>
          <w:color w:val="000000"/>
          <w:sz w:val="24"/>
          <w:szCs w:val="24"/>
          <w:highlight w:val="none"/>
        </w:rPr>
        <w:t xml:space="preserve">自本公告发布之日起5个工作日。</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color w:val="000000"/>
          <w:sz w:val="24"/>
          <w:szCs w:val="24"/>
          <w:highlight w:val="none"/>
        </w:rPr>
        <w:t xml:space="preserve">六、其他补充事宜</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投标保证金：免收；本项目招标文件中涉及投标保证金的事项，均按免收投标保证金执行。</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项目开标活动模式：不见面远程投标模式，供应商在各自地点通过不见面交易系统参加开标会。</w:t>
      </w:r>
      <w:r/>
    </w:p>
    <w:p>
      <w:pPr>
        <w:ind w:firstLine="480"/>
        <w:jc w:val="left"/>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rPr>
        <w:t xml:space="preserve">3</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项目演示、样品、答辩等（如有请描述）：</w:t>
      </w:r>
      <w:r/>
    </w:p>
    <w:p>
      <w:pPr>
        <w:ind w:firstLine="482"/>
        <w:jc w:val="left"/>
        <w:keepLines w:val="0"/>
        <w:keepNext w:val="0"/>
        <w:pageBreakBefore w:val="0"/>
        <w:spacing w:line="360" w:lineRule="auto"/>
        <w:widowControl w:val="off"/>
        <w:rPr>
          <w:rFonts w:hint="eastAsia" w:eastAsia="宋体"/>
          <w:b/>
          <w:bCs w:val="0"/>
          <w:color w:val="000000"/>
          <w:sz w:val="24"/>
          <w:szCs w:val="24"/>
          <w:highlight w:val="none"/>
        </w:rPr>
      </w:pPr>
      <w:r>
        <w:rPr>
          <w:rFonts w:hint="eastAsia" w:eastAsia="宋体"/>
          <w:b/>
          <w:bCs w:val="0"/>
          <w:color w:val="000000"/>
          <w:sz w:val="24"/>
          <w:szCs w:val="24"/>
          <w:highlight w:val="none"/>
          <w:lang w:val="en-US" w:eastAsia="zh-CN"/>
        </w:rPr>
        <w:t xml:space="preserve">3.1</w:t>
      </w:r>
      <w:r>
        <w:rPr>
          <w:rFonts w:hint="eastAsia" w:eastAsia="宋体"/>
          <w:b/>
          <w:bCs w:val="0"/>
          <w:color w:val="000000"/>
          <w:sz w:val="24"/>
          <w:szCs w:val="24"/>
          <w:highlight w:val="none"/>
        </w:rPr>
        <w:t xml:space="preserve">本项目需要提交</w:t>
      </w:r>
      <w:r>
        <w:rPr>
          <w:rFonts w:hint="eastAsia" w:eastAsia="宋体"/>
          <w:b/>
          <w:bCs w:val="0"/>
          <w:color w:val="000000"/>
          <w:sz w:val="24"/>
          <w:szCs w:val="24"/>
          <w:highlight w:val="none"/>
          <w:lang w:eastAsia="zh-CN"/>
        </w:rPr>
        <w:t xml:space="preserve">样品：①</w:t>
      </w:r>
      <w:r>
        <w:rPr>
          <w:rFonts w:hint="eastAsia" w:ascii="宋体" w:hAnsi="宋体" w:eastAsia="宋体" w:cs="宋体"/>
          <w:b/>
          <w:bCs/>
          <w:sz w:val="24"/>
          <w:szCs w:val="24"/>
        </w:rPr>
        <w:t xml:space="preserve">展柜样品</w:t>
      </w:r>
      <w:r>
        <w:rPr>
          <w:rFonts w:hint="eastAsia" w:eastAsia="宋体"/>
          <w:b/>
          <w:bCs w:val="0"/>
          <w:color w:val="000000"/>
          <w:sz w:val="24"/>
          <w:szCs w:val="24"/>
          <w:highlight w:val="none"/>
          <w:lang w:eastAsia="zh-CN"/>
        </w:rPr>
        <w:t xml:space="preserve">、②专业灯具样品、③</w:t>
      </w:r>
      <w:r>
        <w:rPr>
          <w:rFonts w:hint="eastAsia" w:eastAsia="宋体"/>
          <w:b/>
          <w:bCs w:val="0"/>
          <w:color w:val="000000"/>
          <w:sz w:val="24"/>
          <w:szCs w:val="24"/>
          <w:highlight w:val="none"/>
          <w:lang w:val="en-US" w:eastAsia="zh-CN"/>
        </w:rPr>
        <w:t xml:space="preserve">户外</w:t>
      </w:r>
      <w:r>
        <w:rPr>
          <w:rFonts w:hint="eastAsia" w:eastAsia="宋体"/>
          <w:b/>
          <w:bCs w:val="0"/>
          <w:color w:val="000000"/>
          <w:sz w:val="24"/>
          <w:szCs w:val="24"/>
          <w:highlight w:val="none"/>
          <w:lang w:eastAsia="zh-CN"/>
        </w:rPr>
        <w:t xml:space="preserve">雕塑样品、④</w:t>
      </w:r>
      <w:r>
        <w:rPr>
          <w:rFonts w:hint="eastAsia" w:eastAsia="宋体"/>
          <w:b/>
          <w:bCs w:val="0"/>
          <w:color w:val="000000"/>
          <w:sz w:val="24"/>
          <w:szCs w:val="24"/>
          <w:highlight w:val="none"/>
          <w:lang w:val="en-US" w:eastAsia="zh-CN"/>
        </w:rPr>
        <w:t xml:space="preserve">户外装置</w:t>
      </w:r>
      <w:r>
        <w:rPr>
          <w:rFonts w:hint="eastAsia" w:eastAsia="宋体"/>
          <w:b/>
          <w:bCs w:val="0"/>
          <w:color w:val="000000"/>
          <w:sz w:val="24"/>
          <w:szCs w:val="24"/>
          <w:highlight w:val="none"/>
          <w:lang w:eastAsia="zh-CN"/>
        </w:rPr>
        <w:t xml:space="preserve">样品，具体要求详见“第三章 项目需求</w:t>
      </w:r>
      <w:r>
        <w:rPr>
          <w:rFonts w:hint="eastAsia" w:eastAsia="宋体"/>
          <w:b/>
          <w:bCs w:val="0"/>
          <w:color w:val="000000"/>
          <w:sz w:val="24"/>
          <w:szCs w:val="24"/>
          <w:highlight w:val="none"/>
          <w:lang w:val="en-US" w:eastAsia="zh-CN"/>
        </w:rPr>
        <w:t xml:space="preserve"> 十二、样品</w:t>
      </w:r>
      <w:r>
        <w:rPr>
          <w:rFonts w:hint="eastAsia" w:eastAsia="宋体"/>
          <w:b/>
          <w:bCs w:val="0"/>
          <w:color w:val="000000"/>
          <w:sz w:val="24"/>
          <w:szCs w:val="24"/>
          <w:highlight w:val="none"/>
          <w:lang w:eastAsia="zh-CN"/>
        </w:rPr>
        <w:t xml:space="preserve">”</w:t>
      </w:r>
      <w:r>
        <w:rPr>
          <w:rFonts w:hint="eastAsia" w:eastAsia="宋体"/>
          <w:b/>
          <w:bCs w:val="0"/>
          <w:color w:val="000000"/>
          <w:sz w:val="24"/>
          <w:szCs w:val="24"/>
          <w:highlight w:val="none"/>
        </w:rPr>
        <w:t xml:space="preserve">；</w:t>
      </w:r>
      <w:r/>
    </w:p>
    <w:p>
      <w:pPr>
        <w:ind w:firstLine="482"/>
        <w:jc w:val="left"/>
        <w:keepLines w:val="0"/>
        <w:keepNext w:val="0"/>
        <w:pageBreakBefore w:val="0"/>
        <w:spacing w:line="360" w:lineRule="auto"/>
        <w:widowControl w:val="off"/>
        <w:rPr>
          <w:rFonts w:hint="eastAsia" w:eastAsia="宋体"/>
          <w:b/>
          <w:bCs w:val="0"/>
          <w:color w:val="000000"/>
          <w:sz w:val="24"/>
          <w:szCs w:val="24"/>
          <w:highlight w:val="none"/>
          <w:lang w:val="en-US" w:eastAsia="zh-CN"/>
        </w:rPr>
      </w:pPr>
      <w:r>
        <w:rPr>
          <w:rFonts w:hint="eastAsia" w:eastAsia="宋体"/>
          <w:b/>
          <w:bCs w:val="0"/>
          <w:color w:val="000000"/>
          <w:sz w:val="24"/>
          <w:szCs w:val="24"/>
          <w:highlight w:val="none"/>
          <w:lang w:val="en-US" w:eastAsia="zh-CN"/>
        </w:rPr>
        <w:t xml:space="preserve">3.2</w:t>
      </w:r>
      <w:r>
        <w:rPr>
          <w:rFonts w:hint="eastAsia" w:eastAsia="宋体"/>
          <w:b/>
          <w:bCs w:val="0"/>
          <w:color w:val="000000"/>
          <w:sz w:val="24"/>
          <w:szCs w:val="24"/>
          <w:highlight w:val="none"/>
        </w:rPr>
        <w:t xml:space="preserve">本项目需要项目负责人</w:t>
      </w:r>
      <w:r>
        <w:rPr>
          <w:rFonts w:hint="eastAsia" w:eastAsia="宋体"/>
          <w:b/>
          <w:bCs w:val="0"/>
          <w:color w:val="000000"/>
          <w:sz w:val="24"/>
          <w:szCs w:val="24"/>
          <w:highlight w:val="none"/>
          <w:lang w:eastAsia="zh-CN"/>
        </w:rPr>
        <w:t xml:space="preserve">现场</w:t>
      </w:r>
      <w:r>
        <w:rPr>
          <w:rFonts w:hint="eastAsia" w:eastAsia="宋体"/>
          <w:b/>
          <w:bCs w:val="0"/>
          <w:color w:val="000000"/>
          <w:sz w:val="24"/>
          <w:szCs w:val="24"/>
          <w:highlight w:val="none"/>
        </w:rPr>
        <w:t xml:space="preserve">讲解论述</w:t>
      </w:r>
      <w:r>
        <w:rPr>
          <w:rFonts w:hint="eastAsia" w:eastAsia="宋体"/>
          <w:b/>
          <w:bCs w:val="0"/>
          <w:color w:val="000000"/>
          <w:sz w:val="24"/>
          <w:szCs w:val="24"/>
          <w:highlight w:val="none"/>
          <w:lang w:eastAsia="zh-CN"/>
        </w:rPr>
        <w:t xml:space="preserve">，具体要求详见“第四章 </w:t>
      </w:r>
      <w:r>
        <w:rPr>
          <w:rFonts w:hint="eastAsia" w:eastAsia="宋体"/>
          <w:b/>
          <w:bCs w:val="0"/>
          <w:color w:val="000000"/>
          <w:sz w:val="24"/>
          <w:szCs w:val="24"/>
          <w:highlight w:val="none"/>
          <w:lang w:val="en-US" w:eastAsia="zh-CN"/>
        </w:rPr>
        <w:t xml:space="preserve"> </w:t>
      </w:r>
      <w:r>
        <w:rPr>
          <w:rFonts w:hint="eastAsia" w:eastAsia="宋体"/>
          <w:b/>
          <w:bCs w:val="0"/>
          <w:color w:val="000000"/>
          <w:sz w:val="24"/>
          <w:szCs w:val="24"/>
          <w:highlight w:val="none"/>
          <w:lang w:eastAsia="zh-CN"/>
        </w:rPr>
        <w:t xml:space="preserve">评审方法和程序”。</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对项目需求部分（投标人其他资格</w:t>
      </w:r>
      <w:r>
        <w:rPr>
          <w:rFonts w:hint="eastAsia" w:eastAsia="宋体"/>
          <w:color w:val="000000"/>
          <w:sz w:val="24"/>
          <w:highlight w:val="none"/>
        </w:rPr>
        <w:t xml:space="preserve">要求</w:t>
      </w:r>
      <w:r>
        <w:rPr>
          <w:rFonts w:hint="eastAsia" w:eastAsia="宋体"/>
          <w:bCs/>
          <w:color w:val="000000"/>
          <w:sz w:val="24"/>
          <w:szCs w:val="24"/>
          <w:highlight w:val="none"/>
        </w:rPr>
        <w:t xml:space="preserve">、项目需求、评分标准）的询问、质疑请向招标人提出，由招标人负责答复；对项目招标文件其它部分的询问请向招标人或招标代理提出。</w:t>
      </w:r>
      <w:r/>
    </w:p>
    <w:p>
      <w:pPr>
        <w:ind w:firstLine="480"/>
        <w:jc w:val="left"/>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投标人应依照规定提交各类声明函、承诺函，不再同时提供原件备查或提供有关部门出具的相关证明文件。但中标人应做好提交声明函、承诺函相应原件的核查准备；</w:t>
      </w:r>
      <w:bookmarkStart w:id="5" w:name="OLE_LINK5"/>
      <w:r>
        <w:rPr>
          <w:rFonts w:hint="eastAsia" w:eastAsia="宋体"/>
          <w:bCs/>
          <w:color w:val="000000"/>
          <w:sz w:val="24"/>
          <w:szCs w:val="24"/>
          <w:highlight w:val="none"/>
        </w:rPr>
        <w:t xml:space="preserve">核查后发现虚假或违背承诺的，依照相关法律法规规定处理。</w:t>
      </w:r>
      <w:bookmarkEnd w:id="5"/>
      <w:r/>
      <w:r/>
    </w:p>
    <w:p>
      <w:pPr>
        <w:contextualSpacing/>
        <w:ind w:firstLine="480"/>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w:t>
      </w:r>
      <w:r>
        <w:rPr>
          <w:rFonts w:hint="eastAsia" w:eastAsia="宋体"/>
          <w:bCs/>
          <w:color w:val="000000"/>
          <w:sz w:val="24"/>
          <w:szCs w:val="24"/>
          <w:highlight w:val="none"/>
          <w:lang w:val="en-US" w:eastAsia="zh-CN"/>
        </w:rPr>
        <w:t xml:space="preserve">.</w:t>
      </w:r>
      <w:r>
        <w:rPr>
          <w:rFonts w:hint="eastAsia" w:eastAsia="宋体"/>
          <w:bCs/>
          <w:color w:val="000000"/>
          <w:sz w:val="24"/>
          <w:szCs w:val="24"/>
          <w:highlight w:val="none"/>
        </w:rPr>
        <w:t xml:space="preserve">本次采购的有关信息将在江苏政府采购网上发布，敬请留意。</w:t>
      </w:r>
      <w:r/>
    </w:p>
    <w:p>
      <w:pPr>
        <w:contextualSpacing/>
        <w:ind w:firstLine="480"/>
        <w:keepLines w:val="0"/>
        <w:keepNext w:val="0"/>
        <w:pageBreakBefore w:val="0"/>
        <w:spacing w:line="360" w:lineRule="auto"/>
        <w:shd w:val="clear" w:color="auto"/>
        <w:widowControl w:val="off"/>
        <w:rPr>
          <w:rFonts w:hint="eastAsia"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7.</w:t>
      </w:r>
      <w:r>
        <w:rPr>
          <w:rFonts w:hint="eastAsia" w:eastAsia="宋体" w:cs="宋体"/>
          <w:b w:val="0"/>
          <w:bCs w:val="0"/>
          <w:color w:val="000000"/>
          <w:sz w:val="24"/>
          <w:szCs w:val="24"/>
          <w:highlight w:val="none"/>
        </w:rPr>
        <w:t xml:space="preserve">请各投标人充分考虑项目周期，谨慎参与交易，</w:t>
      </w:r>
      <w:r>
        <w:rPr>
          <w:rFonts w:hint="eastAsia" w:eastAsia="宋体" w:cs="宋体"/>
          <w:b w:val="0"/>
          <w:bCs w:val="0"/>
          <w:color w:val="000000"/>
          <w:sz w:val="24"/>
          <w:szCs w:val="24"/>
          <w:highlight w:val="none"/>
          <w:lang w:eastAsia="zh-CN"/>
        </w:rPr>
        <w:t xml:space="preserve">中标</w:t>
      </w:r>
      <w:r>
        <w:rPr>
          <w:rFonts w:hint="eastAsia" w:eastAsia="宋体" w:cs="宋体"/>
          <w:b w:val="0"/>
          <w:bCs w:val="0"/>
          <w:color w:val="000000"/>
          <w:sz w:val="24"/>
          <w:szCs w:val="24"/>
          <w:highlight w:val="none"/>
        </w:rPr>
        <w:t xml:space="preserve">后不得以任何理由放弃</w:t>
      </w:r>
      <w:r>
        <w:rPr>
          <w:rFonts w:hint="eastAsia" w:eastAsia="宋体" w:cs="宋体"/>
          <w:b w:val="0"/>
          <w:bCs w:val="0"/>
          <w:color w:val="000000"/>
          <w:sz w:val="24"/>
          <w:szCs w:val="24"/>
          <w:highlight w:val="none"/>
          <w:lang w:eastAsia="zh-CN"/>
        </w:rPr>
        <w:t xml:space="preserve">中标</w:t>
      </w:r>
      <w:r>
        <w:rPr>
          <w:rFonts w:hint="eastAsia" w:eastAsia="宋体" w:cs="宋体"/>
          <w:b w:val="0"/>
          <w:bCs w:val="0"/>
          <w:color w:val="000000"/>
          <w:sz w:val="24"/>
          <w:szCs w:val="24"/>
          <w:highlight w:val="none"/>
        </w:rPr>
        <w:t xml:space="preserve">资格或不按规定履约。</w:t>
      </w:r>
      <w:r/>
    </w:p>
    <w:p>
      <w:pPr>
        <w:contextualSpacing/>
        <w:ind w:firstLine="480"/>
        <w:keepLines w:val="0"/>
        <w:keepNext w:val="0"/>
        <w:pageBreakBefore w:val="0"/>
        <w:spacing w:line="360" w:lineRule="auto"/>
        <w:widowControl w:val="off"/>
        <w:rPr>
          <w:rFonts w:hint="eastAsia"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8</w:t>
      </w:r>
      <w:r>
        <w:rPr>
          <w:rFonts w:hint="eastAsia" w:eastAsia="宋体" w:cs="宋体"/>
          <w:b w:val="0"/>
          <w:bCs w:val="0"/>
          <w:color w:val="000000"/>
          <w:sz w:val="24"/>
          <w:szCs w:val="24"/>
          <w:highlight w:val="none"/>
        </w:rPr>
        <w:t xml:space="preserve">.勘察现场或答疑：本次采购不组织集中勘察现场。投标人如对采购需求有疑问请与采购联系人沟通。现场踏勘前请与采购人提前预约。</w:t>
      </w:r>
      <w:r>
        <w:rPr>
          <w:rFonts w:hint="eastAsia" w:eastAsia="宋体" w:cs="宋体"/>
          <w:b w:val="0"/>
          <w:bCs w:val="0"/>
          <w:color w:val="000000"/>
          <w:sz w:val="24"/>
          <w:szCs w:val="24"/>
          <w:highlight w:val="none"/>
          <w:lang w:val="en-US" w:eastAsia="zh-CN"/>
        </w:rPr>
        <w:t xml:space="preserve">陈先生</w:t>
      </w:r>
      <w:r>
        <w:rPr>
          <w:rFonts w:hint="eastAsia" w:eastAsia="宋体" w:cs="宋体"/>
          <w:b w:val="0"/>
          <w:bCs w:val="0"/>
          <w:color w:val="000000"/>
          <w:sz w:val="24"/>
          <w:szCs w:val="24"/>
          <w:highlight w:val="none"/>
        </w:rPr>
        <w:t xml:space="preserve">，电话：0513-</w:t>
      </w:r>
      <w:r>
        <w:rPr>
          <w:rFonts w:hint="eastAsia" w:eastAsia="宋体" w:cs="宋体"/>
          <w:b w:val="0"/>
          <w:bCs w:val="0"/>
          <w:color w:val="000000"/>
          <w:sz w:val="24"/>
          <w:szCs w:val="24"/>
          <w:highlight w:val="none"/>
          <w:lang w:val="en-US" w:eastAsia="zh-CN"/>
        </w:rPr>
        <w:t xml:space="preserve"> 85062533</w:t>
      </w:r>
      <w:r>
        <w:rPr>
          <w:rFonts w:hint="eastAsia" w:eastAsia="宋体" w:cs="宋体"/>
          <w:b w:val="0"/>
          <w:bCs w:val="0"/>
          <w:color w:val="000000"/>
          <w:sz w:val="24"/>
          <w:szCs w:val="24"/>
          <w:highlight w:val="none"/>
        </w:rPr>
        <w:t xml:space="preserve">，鉴于采购</w:t>
      </w:r>
      <w:r>
        <w:rPr>
          <w:rFonts w:hint="eastAsia" w:eastAsia="宋体" w:cs="宋体"/>
          <w:b w:val="0"/>
          <w:bCs w:val="0"/>
          <w:color w:val="000000"/>
          <w:sz w:val="24"/>
          <w:szCs w:val="24"/>
          <w:highlight w:val="none"/>
          <w:lang w:eastAsia="zh-CN"/>
        </w:rPr>
        <w:t xml:space="preserve">项目的</w:t>
      </w:r>
      <w:r>
        <w:rPr>
          <w:rFonts w:hint="eastAsia" w:eastAsia="宋体" w:cs="宋体"/>
          <w:b w:val="0"/>
          <w:bCs w:val="0"/>
          <w:color w:val="000000"/>
          <w:sz w:val="24"/>
          <w:szCs w:val="24"/>
          <w:highlight w:val="none"/>
        </w:rPr>
        <w:t xml:space="preserve">特殊性，建议现场踏勘。没有现场踏勘的投标人，自行承担因此可能产生的一切后果。</w:t>
      </w:r>
      <w:r/>
    </w:p>
    <w:p>
      <w:pPr>
        <w:contextualSpacing/>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七、对本次招标提出询问，请按以下方式联系。</w:t>
      </w:r>
      <w:r/>
    </w:p>
    <w:p>
      <w:pPr>
        <w:contextualSpacing/>
        <w:ind w:firstLine="480"/>
        <w:keepLines w:val="0"/>
        <w:keepNext w:val="0"/>
        <w:pageBreakBefore w:val="0"/>
        <w:spacing w:line="360" w:lineRule="auto"/>
        <w:widowControl w:val="off"/>
        <w:rPr>
          <w:rFonts w:eastAsia="宋体" w:cs="宋体"/>
          <w:color w:val="000000"/>
          <w:sz w:val="24"/>
          <w:szCs w:val="24"/>
          <w:highlight w:val="none"/>
        </w:rPr>
      </w:pPr>
      <w:r/>
      <w:bookmarkStart w:id="6" w:name="_Toc363573854"/>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招标人信息</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招标人：南通博物苑</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地  址：南通市崇川区濠南路19号</w:t>
      </w:r>
      <w:r/>
    </w:p>
    <w:p>
      <w:pPr>
        <w:contextualSpacing/>
        <w:ind w:firstLine="480"/>
        <w:keepLines w:val="0"/>
        <w:keepNext w:val="0"/>
        <w:pageBreakBefore w:val="0"/>
        <w:spacing w:line="360" w:lineRule="auto"/>
        <w:widowControl w:val="off"/>
        <w:rPr>
          <w:rFonts w:hint="default" w:eastAsia="宋体" w:cs="宋体"/>
          <w:color w:val="000000"/>
          <w:sz w:val="24"/>
          <w:szCs w:val="24"/>
          <w:highlight w:val="none"/>
          <w:lang w:val="en-US" w:eastAsia="zh-CN"/>
        </w:rPr>
      </w:pPr>
      <w:r>
        <w:rPr>
          <w:rFonts w:hint="eastAsia" w:eastAsia="宋体" w:cs="宋体"/>
          <w:color w:val="000000"/>
          <w:sz w:val="24"/>
          <w:szCs w:val="24"/>
          <w:highlight w:val="none"/>
          <w:lang w:eastAsia="zh-CN"/>
        </w:rPr>
        <w:t xml:space="preserve">联系方式：0513-</w:t>
      </w:r>
      <w:r>
        <w:rPr>
          <w:rFonts w:hint="eastAsia" w:eastAsia="宋体" w:cs="宋体"/>
          <w:color w:val="000000"/>
          <w:sz w:val="24"/>
          <w:szCs w:val="24"/>
          <w:highlight w:val="none"/>
          <w:lang w:val="en-US" w:eastAsia="zh-CN"/>
        </w:rPr>
        <w:t xml:space="preserve">85062508</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2.主管部门</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名称：南通市文化广电和旅游局</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地址：南通市崇川区世纪大道6号</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lang w:eastAsia="zh-CN"/>
        </w:rPr>
        <w:t xml:space="preserve">联系方式：0513-85099576</w:t>
      </w:r>
      <w:r/>
    </w:p>
    <w:p>
      <w:pPr>
        <w:contextualSpacing/>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lang w:val="en-US" w:eastAsia="zh-CN"/>
        </w:rPr>
        <w:t xml:space="preserve">3.</w:t>
      </w:r>
      <w:r>
        <w:rPr>
          <w:rFonts w:hint="eastAsia" w:eastAsia="宋体" w:cs="宋体"/>
          <w:color w:val="000000"/>
          <w:sz w:val="24"/>
          <w:szCs w:val="24"/>
          <w:highlight w:val="none"/>
        </w:rPr>
        <w:t xml:space="preserve">招标代理机构信息</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名称：</w:t>
      </w:r>
      <w:r>
        <w:rPr>
          <w:rFonts w:hint="eastAsia" w:eastAsia="宋体" w:cs="宋体"/>
          <w:color w:val="000000"/>
          <w:sz w:val="24"/>
          <w:szCs w:val="24"/>
          <w:highlight w:val="none"/>
          <w:lang w:eastAsia="zh-CN"/>
        </w:rPr>
        <w:t xml:space="preserve">南通建辰工程咨询有限公司</w:t>
      </w:r>
      <w:r/>
    </w:p>
    <w:p>
      <w:pPr>
        <w:ind w:firstLine="480"/>
        <w:keepLines w:val="0"/>
        <w:keepNext w:val="0"/>
        <w:pageBreakBefore w:val="0"/>
        <w:spacing w:line="360" w:lineRule="auto"/>
        <w:widowControl w:val="off"/>
        <w:rPr>
          <w:rFonts w:eastAsia="宋体" w:cs="宋体"/>
          <w:color w:val="000000"/>
          <w:sz w:val="24"/>
          <w:szCs w:val="22"/>
          <w:highlight w:val="none"/>
        </w:rPr>
      </w:pPr>
      <w:r>
        <w:rPr>
          <w:rFonts w:hint="eastAsia" w:eastAsia="宋体" w:cs="宋体"/>
          <w:color w:val="000000"/>
          <w:sz w:val="24"/>
          <w:szCs w:val="22"/>
          <w:highlight w:val="none"/>
        </w:rPr>
        <w:t xml:space="preserve">地 址：南通市红星路1号太阳鑫城1幢东单元6楼</w:t>
      </w:r>
      <w:r/>
    </w:p>
    <w:p>
      <w:pPr>
        <w:ind w:firstLine="480"/>
        <w:keepLines w:val="0"/>
        <w:keepNext w:val="0"/>
        <w:pageBreakBefore w:val="0"/>
        <w:spacing w:line="360" w:lineRule="auto"/>
        <w:widowControl w:val="off"/>
        <w:rPr>
          <w:rFonts w:eastAsia="宋体" w:cs="宋体"/>
          <w:color w:val="000000"/>
          <w:sz w:val="24"/>
          <w:szCs w:val="22"/>
          <w:highlight w:val="none"/>
        </w:rPr>
      </w:pPr>
      <w:r>
        <w:rPr>
          <w:rFonts w:hint="eastAsia" w:eastAsia="宋体" w:cs="宋体"/>
          <w:color w:val="000000"/>
          <w:sz w:val="24"/>
          <w:szCs w:val="22"/>
          <w:highlight w:val="none"/>
        </w:rPr>
        <w:t xml:space="preserve">联系方式：0513-89010636</w:t>
      </w:r>
      <w:r/>
    </w:p>
    <w:p>
      <w:pPr>
        <w:ind w:firstLine="480"/>
        <w:keepLines w:val="0"/>
        <w:keepNext w:val="0"/>
        <w:pageBreakBefore w:val="0"/>
        <w:spacing w:line="360" w:lineRule="auto"/>
        <w:widowControl w:val="off"/>
        <w:rPr>
          <w:rFonts w:eastAsia="宋体" w:cs="宋体"/>
          <w:color w:val="000000"/>
          <w:sz w:val="24"/>
          <w:szCs w:val="22"/>
          <w:highlight w:val="none"/>
        </w:rPr>
      </w:pPr>
      <w:r>
        <w:rPr>
          <w:rFonts w:hint="eastAsia" w:eastAsia="宋体" w:cs="宋体"/>
          <w:color w:val="000000"/>
          <w:sz w:val="24"/>
          <w:szCs w:val="22"/>
          <w:highlight w:val="none"/>
          <w:lang w:val="en-US" w:eastAsia="zh-CN"/>
        </w:rPr>
        <w:t xml:space="preserve">4</w:t>
      </w:r>
      <w:r>
        <w:rPr>
          <w:rFonts w:hint="eastAsia" w:eastAsia="宋体" w:cs="宋体"/>
          <w:color w:val="000000"/>
          <w:sz w:val="24"/>
          <w:szCs w:val="22"/>
          <w:highlight w:val="none"/>
        </w:rPr>
        <w:t xml:space="preserve">.项目联系方式</w:t>
      </w:r>
      <w:r/>
    </w:p>
    <w:p>
      <w:pPr>
        <w:ind w:firstLine="480"/>
        <w:keepLines w:val="0"/>
        <w:keepNext w:val="0"/>
        <w:pageBreakBefore w:val="0"/>
        <w:spacing w:line="360" w:lineRule="auto"/>
        <w:widowControl w:val="off"/>
        <w:rPr>
          <w:rFonts w:hint="eastAsia" w:eastAsia="宋体" w:cs="宋体"/>
          <w:color w:val="000000"/>
          <w:sz w:val="24"/>
          <w:szCs w:val="22"/>
          <w:highlight w:val="none"/>
        </w:rPr>
      </w:pPr>
      <w:r>
        <w:rPr>
          <w:rFonts w:hint="eastAsia" w:eastAsia="宋体" w:cs="宋体"/>
          <w:color w:val="000000"/>
          <w:sz w:val="24"/>
          <w:szCs w:val="22"/>
          <w:highlight w:val="none"/>
        </w:rPr>
        <w:t xml:space="preserve">采购文件制作人：陆语石</w:t>
      </w:r>
      <w:r/>
    </w:p>
    <w:p>
      <w:pPr>
        <w:ind w:firstLine="480"/>
        <w:keepLines w:val="0"/>
        <w:keepNext w:val="0"/>
        <w:pageBreakBefore w:val="0"/>
        <w:spacing w:line="360" w:lineRule="auto"/>
        <w:widowControl w:val="off"/>
        <w:rPr>
          <w:rFonts w:eastAsia="宋体" w:cs="宋体"/>
          <w:color w:val="000000"/>
          <w:sz w:val="24"/>
          <w:szCs w:val="22"/>
          <w:highlight w:val="none"/>
        </w:rPr>
      </w:pPr>
      <w:r>
        <w:rPr>
          <w:rFonts w:hint="eastAsia" w:eastAsia="宋体" w:cs="宋体"/>
          <w:color w:val="000000"/>
          <w:sz w:val="24"/>
          <w:szCs w:val="22"/>
          <w:highlight w:val="none"/>
        </w:rPr>
        <w:t xml:space="preserve">电 话：0513-89010636</w:t>
      </w:r>
      <w:r/>
    </w:p>
    <w:p>
      <w:pPr>
        <w:contextualSpacing/>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lang w:val="en-US" w:eastAsia="zh-CN"/>
        </w:rPr>
        <w:t xml:space="preserve">5.</w:t>
      </w:r>
      <w:r>
        <w:rPr>
          <w:rFonts w:hint="eastAsia" w:eastAsia="宋体" w:cs="宋体"/>
          <w:color w:val="000000"/>
          <w:sz w:val="24"/>
          <w:szCs w:val="24"/>
          <w:highlight w:val="none"/>
        </w:rPr>
        <w:t xml:space="preserve">软件技术支持：0519-86722801</w:t>
      </w:r>
      <w:r/>
    </w:p>
    <w:p>
      <w:pPr>
        <w:contextualSpacing/>
        <w:ind w:firstLine="480"/>
        <w:keepLines w:val="0"/>
        <w:keepNext w:val="0"/>
        <w:pageBreakBefore w:val="0"/>
        <w:spacing w:line="360" w:lineRule="auto"/>
        <w:widowControl w:val="off"/>
        <w:rPr>
          <w:rFonts w:eastAsia="宋体" w:cs="宋体"/>
          <w:color w:val="000000"/>
          <w:sz w:val="24"/>
          <w:szCs w:val="24"/>
          <w:highlight w:val="none"/>
        </w:rPr>
      </w:pPr>
      <w:r>
        <w:rPr>
          <w:rFonts w:eastAsia="宋体" w:cs="宋体"/>
          <w:color w:val="000000"/>
          <w:sz w:val="24"/>
          <w:szCs w:val="24"/>
          <w:highlight w:val="none"/>
        </w:rPr>
      </w:r>
      <w:bookmarkEnd w:id="6"/>
      <w:r/>
      <w:r/>
    </w:p>
    <w:p>
      <w:pPr>
        <w:pStyle w:val="848"/>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附件：</w:t>
      </w:r>
      <w:r/>
    </w:p>
    <w:p>
      <w:pPr>
        <w:pStyle w:val="848"/>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1.公开招标文件</w:t>
      </w:r>
      <w:r/>
    </w:p>
    <w:p>
      <w:pPr>
        <w:pStyle w:val="848"/>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2.政府采购采购人信用承诺书</w:t>
      </w:r>
      <w:r/>
    </w:p>
    <w:p>
      <w:pPr>
        <w:pStyle w:val="848"/>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3.公平竞争审查二维码</w:t>
      </w:r>
      <w:r/>
    </w:p>
    <w:p>
      <w:pPr>
        <w:pStyle w:val="848"/>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4.办理政采贷和履约保函（保险）告知函</w:t>
      </w:r>
      <w:r/>
    </w:p>
    <w:p>
      <w:pPr>
        <w:pStyle w:val="848"/>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5.南通博物苑历史区文物建筑保护利用项目清单</w:t>
      </w:r>
      <w:r/>
    </w:p>
    <w:p>
      <w:pPr>
        <w:pStyle w:val="848"/>
        <w:ind w:left="0" w:right="0" w:firstLine="482"/>
        <w:jc w:val="both"/>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hint="eastAsia" w:ascii="宋体" w:hAnsi="宋体" w:eastAsia="宋体" w:cs="宋体"/>
          <w:b/>
          <w:color w:val="auto"/>
          <w:sz w:val="24"/>
          <w:szCs w:val="24"/>
          <w:highlight w:val="none"/>
          <w:lang w:val="en-US" w:eastAsia="zh-CN"/>
        </w:rPr>
        <w:t xml:space="preserve">6.施工图、陈列大纲、设计方案的获取</w:t>
      </w:r>
      <w:r/>
    </w:p>
    <w:p>
      <w:pPr>
        <w:contextualSpacing/>
        <w:jc w:val="center"/>
        <w:keepLines w:val="0"/>
        <w:keepNext w:val="0"/>
        <w:pageBreakBefore w:val="0"/>
        <w:spacing w:line="360" w:lineRule="auto"/>
        <w:widowControl w:val="off"/>
        <w:rPr>
          <w:rFonts w:eastAsia="宋体"/>
          <w:b/>
          <w:color w:val="000000"/>
          <w:sz w:val="24"/>
          <w:szCs w:val="24"/>
          <w:highlight w:val="none"/>
        </w:rPr>
      </w:pPr>
      <w:r/>
      <w:bookmarkStart w:id="7" w:name="_Toc13543213"/>
      <w:r>
        <w:rPr>
          <w:rFonts w:hint="eastAsia" w:eastAsia="宋体" w:cs="宋体"/>
          <w:b/>
          <w:color w:val="000000"/>
          <w:sz w:val="36"/>
          <w:szCs w:val="36"/>
          <w:highlight w:val="none"/>
        </w:rPr>
        <w:t xml:space="preserve">第二章  投标人须知</w:t>
      </w:r>
      <w:r/>
    </w:p>
    <w:p>
      <w:pPr>
        <w:contextualSpacing/>
        <w:ind w:firstLine="480"/>
        <w:keepLines w:val="0"/>
        <w:keepNext w:val="0"/>
        <w:pageBreakBefore w:val="0"/>
        <w:spacing w:line="360" w:lineRule="auto"/>
        <w:widowControl w:val="off"/>
        <w:rPr>
          <w:rFonts w:eastAsia="宋体"/>
          <w:b/>
          <w:color w:val="000000"/>
          <w:sz w:val="24"/>
          <w:szCs w:val="24"/>
          <w:highlight w:val="none"/>
        </w:rPr>
      </w:pPr>
      <w:r>
        <w:rPr>
          <w:rFonts w:hint="eastAsia" w:eastAsia="宋体"/>
          <w:b/>
          <w:color w:val="000000"/>
          <w:sz w:val="24"/>
          <w:szCs w:val="24"/>
          <w:highlight w:val="none"/>
        </w:rPr>
        <w:t xml:space="preserve">一、总则</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1.招标方式</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1.1 本次招标采取公开招标方式，本招标文件仅适用于招标公告中所述项目。</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2.合格的投标人</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满足招标公告中投标人的资格要求的规定。</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2.2 满足本文件实质性要求和条件的规定。</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3.适用法律</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3.1 本次招标及由此产生的合同受中华人民共和国有关的法律法规制约和保护。</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4.投标费用</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投标人应自行承担所有与参加投标有关的费用，无论投标过程中的做法和结果如何，招标人及代理机构在任何情况下均无义务和责任承担这些费用。</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5.招标文件的约束力</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5.1</w:t>
      </w:r>
      <w:r>
        <w:rPr>
          <w:rFonts w:hint="eastAsia" w:eastAsia="宋体"/>
          <w:color w:val="000000"/>
          <w:sz w:val="24"/>
          <w:szCs w:val="24"/>
          <w:highlight w:val="none"/>
        </w:rPr>
        <w:t xml:space="preserve"> 投标人一旦参加本项目采购活动，即被认为接受了本招标文件的规定和约束。</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6.招标文件的解释</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6.1</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招标文件需求部分（投标人资格要求、项目需求、商务技术评分标准）由招标人解释，其它部分由招标代理机构解释。</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eastAsia="宋体"/>
          <w:b/>
          <w:bCs/>
          <w:color w:val="000000"/>
          <w:sz w:val="24"/>
          <w:szCs w:val="24"/>
          <w:highlight w:val="none"/>
        </w:rPr>
        <w:t xml:space="preserve">二、</w:t>
      </w:r>
      <w:r>
        <w:rPr>
          <w:rFonts w:hint="eastAsia" w:eastAsia="宋体"/>
          <w:b/>
          <w:bCs/>
          <w:color w:val="000000"/>
          <w:sz w:val="24"/>
          <w:szCs w:val="24"/>
          <w:highlight w:val="none"/>
        </w:rPr>
        <w:t xml:space="preserve">招标文件</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1.招标文件构成</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1.1</w:t>
      </w:r>
      <w:r>
        <w:rPr>
          <w:rFonts w:hint="eastAsia" w:eastAsia="宋体"/>
          <w:color w:val="000000"/>
          <w:sz w:val="24"/>
          <w:szCs w:val="24"/>
          <w:highlight w:val="none"/>
        </w:rPr>
        <w:t xml:space="preserve"> 招标文件由以下部分组成：</w:t>
      </w:r>
      <w:r/>
    </w:p>
    <w:p>
      <w:pPr>
        <w:contextualSpacing/>
        <w:ind w:firstLine="482"/>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rPr>
        <w:t xml:space="preserve">（1）</w:t>
      </w:r>
      <w:r>
        <w:rPr>
          <w:rFonts w:hint="eastAsia" w:eastAsia="宋体"/>
          <w:color w:val="000000"/>
          <w:sz w:val="24"/>
          <w:szCs w:val="24"/>
          <w:highlight w:val="none"/>
          <w:lang w:eastAsia="zh-CN"/>
        </w:rPr>
        <w:t xml:space="preserve">招标公告</w:t>
      </w:r>
      <w:r/>
    </w:p>
    <w:p>
      <w:pPr>
        <w:contextualSpacing/>
        <w:ind w:firstLine="482"/>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2</w:t>
      </w:r>
      <w:r>
        <w:rPr>
          <w:rFonts w:hint="eastAsia" w:eastAsia="宋体"/>
          <w:color w:val="000000"/>
          <w:sz w:val="24"/>
          <w:szCs w:val="24"/>
          <w:highlight w:val="none"/>
          <w:lang w:eastAsia="zh-CN"/>
        </w:rPr>
        <w:t xml:space="preserve">）投标人须知</w:t>
      </w:r>
      <w:r/>
    </w:p>
    <w:p>
      <w:pPr>
        <w:contextualSpacing/>
        <w:ind w:firstLine="482"/>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3</w:t>
      </w:r>
      <w:r>
        <w:rPr>
          <w:rFonts w:hint="eastAsia" w:eastAsia="宋体"/>
          <w:color w:val="000000"/>
          <w:sz w:val="24"/>
          <w:szCs w:val="24"/>
          <w:highlight w:val="none"/>
          <w:lang w:eastAsia="zh-CN"/>
        </w:rPr>
        <w:t xml:space="preserve">）项目需求</w:t>
      </w:r>
      <w:r/>
    </w:p>
    <w:p>
      <w:pPr>
        <w:contextualSpacing/>
        <w:ind w:firstLine="482"/>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4</w:t>
      </w:r>
      <w:r>
        <w:rPr>
          <w:rFonts w:hint="eastAsia" w:eastAsia="宋体"/>
          <w:color w:val="000000"/>
          <w:sz w:val="24"/>
          <w:szCs w:val="24"/>
          <w:highlight w:val="none"/>
          <w:lang w:eastAsia="zh-CN"/>
        </w:rPr>
        <w:t xml:space="preserve">）评审方法和程序</w:t>
      </w:r>
      <w:r/>
    </w:p>
    <w:p>
      <w:pPr>
        <w:contextualSpacing/>
        <w:ind w:firstLine="482"/>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5</w:t>
      </w:r>
      <w:r>
        <w:rPr>
          <w:rFonts w:hint="eastAsia" w:eastAsia="宋体"/>
          <w:color w:val="000000"/>
          <w:sz w:val="24"/>
          <w:szCs w:val="24"/>
          <w:highlight w:val="none"/>
          <w:lang w:eastAsia="zh-CN"/>
        </w:rPr>
        <w:t xml:space="preserve">）合同签订与验收付款</w:t>
      </w:r>
      <w:r/>
    </w:p>
    <w:p>
      <w:pPr>
        <w:contextualSpacing/>
        <w:ind w:firstLine="482"/>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6</w:t>
      </w:r>
      <w:r>
        <w:rPr>
          <w:rFonts w:hint="eastAsia" w:eastAsia="宋体"/>
          <w:color w:val="000000"/>
          <w:sz w:val="24"/>
          <w:szCs w:val="24"/>
          <w:highlight w:val="none"/>
          <w:lang w:eastAsia="zh-CN"/>
        </w:rPr>
        <w:t xml:space="preserve">）合同授予</w:t>
      </w:r>
      <w:r/>
    </w:p>
    <w:p>
      <w:pPr>
        <w:contextualSpacing/>
        <w:ind w:firstLine="482"/>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7</w:t>
      </w:r>
      <w:r>
        <w:rPr>
          <w:rFonts w:hint="eastAsia" w:eastAsia="宋体"/>
          <w:color w:val="000000"/>
          <w:sz w:val="24"/>
          <w:szCs w:val="24"/>
          <w:highlight w:val="none"/>
          <w:lang w:eastAsia="zh-CN"/>
        </w:rPr>
        <w:t xml:space="preserve">）质疑与投诉</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8</w:t>
      </w:r>
      <w:r>
        <w:rPr>
          <w:rFonts w:hint="eastAsia" w:eastAsia="宋体"/>
          <w:color w:val="000000"/>
          <w:sz w:val="24"/>
          <w:szCs w:val="24"/>
          <w:highlight w:val="none"/>
          <w:lang w:eastAsia="zh-CN"/>
        </w:rPr>
        <w:t xml:space="preserve">）投标文件组成及格式</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请仔细检查招标文件是否齐全，如有缺漏请立即与</w:t>
      </w:r>
      <w:r>
        <w:rPr>
          <w:rFonts w:hint="eastAsia" w:eastAsia="宋体"/>
          <w:bCs/>
          <w:color w:val="000000"/>
          <w:sz w:val="24"/>
          <w:szCs w:val="24"/>
          <w:highlight w:val="none"/>
        </w:rPr>
        <w:t xml:space="preserve">招标人或招标代理机构</w:t>
      </w:r>
      <w:r>
        <w:rPr>
          <w:rFonts w:hint="eastAsia" w:eastAsia="宋体"/>
          <w:color w:val="000000"/>
          <w:sz w:val="24"/>
          <w:szCs w:val="24"/>
          <w:highlight w:val="none"/>
        </w:rPr>
        <w:t xml:space="preserve">联系解决。</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2.招标文件的澄清</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2.1</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2.2</w:t>
      </w:r>
      <w:r>
        <w:rPr>
          <w:rFonts w:hint="eastAsia" w:eastAsia="宋体"/>
          <w:color w:val="000000"/>
          <w:sz w:val="24"/>
          <w:szCs w:val="24"/>
          <w:highlight w:val="none"/>
          <w:lang w:val="en-US" w:eastAsia="zh-CN"/>
        </w:rPr>
        <w:t xml:space="preserve"> </w:t>
      </w:r>
      <w:r>
        <w:rPr>
          <w:rFonts w:hint="eastAsia" w:eastAsia="宋体"/>
          <w:bCs/>
          <w:color w:val="000000"/>
          <w:sz w:val="24"/>
          <w:szCs w:val="24"/>
          <w:highlight w:val="none"/>
        </w:rPr>
        <w:t xml:space="preserve">招标人</w:t>
      </w:r>
      <w:r>
        <w:rPr>
          <w:rFonts w:hint="eastAsia" w:eastAsia="宋体"/>
          <w:color w:val="000000"/>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olor w:val="000000"/>
          <w:sz w:val="24"/>
          <w:szCs w:val="24"/>
          <w:highlight w:val="none"/>
        </w:rPr>
        <w:t xml:space="preserve">3.招标文件的修改</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3.1 在投标文件提交截止时间前，招标人或招标代理机构可以对招标文件进行修改</w:t>
      </w:r>
      <w:r>
        <w:rPr>
          <w:rFonts w:hint="eastAsia" w:eastAsia="宋体"/>
          <w:color w:val="000000"/>
          <w:sz w:val="24"/>
          <w:szCs w:val="24"/>
          <w:highlight w:val="none"/>
        </w:rPr>
        <w:t xml:space="preserve">，澄清或者修改的内容作为招标文件的组成部分。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3.2 招标人或招标代理机构有权按照法定的要求推迟投标文件提交截止日期和开标日期。</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3.3 招标文件的修改将在江苏政府采购网公布，补充文件将作为招标文件的组成部分，并对投标人具有约束力</w:t>
      </w:r>
      <w:r>
        <w:rPr>
          <w:rFonts w:hint="eastAsia" w:eastAsia="宋体"/>
          <w:color w:val="000000"/>
          <w:sz w:val="24"/>
          <w:szCs w:val="24"/>
          <w:highlight w:val="none"/>
        </w:rPr>
        <w:t xml:space="preserve">。</w:t>
      </w:r>
      <w:r/>
    </w:p>
    <w:p>
      <w:pPr>
        <w:contextualSpacing/>
        <w:ind w:firstLine="480"/>
        <w:keepLines w:val="0"/>
        <w:keepNext w:val="0"/>
        <w:pageBreakBefore w:val="0"/>
        <w:spacing w:line="360" w:lineRule="auto"/>
        <w:widowControl w:val="off"/>
        <w:rPr>
          <w:rFonts w:eastAsia="宋体"/>
          <w:b/>
          <w:bCs/>
          <w:color w:val="000000"/>
          <w:sz w:val="24"/>
          <w:szCs w:val="24"/>
          <w:highlight w:val="none"/>
          <w:u w:val="single"/>
        </w:rPr>
      </w:pPr>
      <w:r>
        <w:rPr>
          <w:rFonts w:hint="eastAsia" w:eastAsia="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三</w:t>
      </w:r>
      <w:r>
        <w:rPr>
          <w:rFonts w:eastAsia="宋体"/>
          <w:b/>
          <w:bCs/>
          <w:color w:val="000000"/>
          <w:sz w:val="24"/>
          <w:szCs w:val="24"/>
          <w:highlight w:val="none"/>
        </w:rPr>
        <w:t xml:space="preserve">、</w:t>
      </w:r>
      <w:r>
        <w:rPr>
          <w:rFonts w:hint="eastAsia" w:eastAsia="宋体"/>
          <w:b/>
          <w:bCs/>
          <w:color w:val="000000"/>
          <w:sz w:val="24"/>
          <w:szCs w:val="24"/>
          <w:highlight w:val="none"/>
        </w:rPr>
        <w:t xml:space="preserve">投标文件的编制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1.投标文件的语言及度量衡单位</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投标人提交的投标文件以及投标人与招标人或招标代理机构就有关投标的所有来往通知、函件和文件均应使用简体中文。</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1.2 除技术性能另有规定外，投标文件所使用的度量衡单位，均须采用国家法定计量单位。</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2.投标文件构成</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 如标书制作工具中格式和内容与“江苏政府采购网”发布的招标文件不一致，请以“江苏政府采购网”发布的招标文件为准。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3.证明投标人及投标标的符合招标文件规定的文件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3.1 投标人应按照法律、法规、规章和规范性文件以及招标文件要求提交证明文件，证明其及投标标的符合招标文件规定。</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招标文件对证明文件无明确形式要求的，证明文件可以以文字资料、图纸和数据等形式提交。</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4.投标分项报价表</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4.1 投标人应按照招标文件规定格式填报投标分项报价表。</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投标货币。投标文件中的单价和总价无特殊规定的采用人民币报价，以元为单位标注。招标文件中另有规定的按规定执行。</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5.技术要求响应及偏离表、商务要求响应及偏离表</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 投标人需对招标文件中的技术要求与商务要求逐项作出响应或偏离，并说明原因。</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5.2 投标人可在投标文件中提供认为需要的其他技术文件或说明。</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6.投标函和开标一览表</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6.1 投标人应按照招标文件中提供的格式完整、正确填写投标函、开标一览表。</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7.投标有效期</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7.1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投标有效期为招标文件规定的投标文件提交截止时间后</w:t>
      </w:r>
      <w:r>
        <w:rPr>
          <w:rFonts w:hint="eastAsia" w:eastAsia="宋体"/>
          <w:bCs/>
          <w:color w:val="000000"/>
          <w:sz w:val="24"/>
          <w:szCs w:val="24"/>
          <w:highlight w:val="none"/>
          <w:u w:val="single"/>
        </w:rPr>
        <w:t xml:space="preserve">六十（60）天</w:t>
      </w:r>
      <w:r>
        <w:rPr>
          <w:rFonts w:hint="eastAsia" w:eastAsia="宋体"/>
          <w:bCs/>
          <w:color w:val="000000"/>
          <w:sz w:val="24"/>
          <w:szCs w:val="24"/>
          <w:highlight w:val="none"/>
        </w:rPr>
        <w:t xml:space="preserve">。投标有效期比规定短的将被视为非实质性响应而予以拒绝。</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8.投标有效期的延长</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8.1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9.电子投标文件其他要求</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电子招标投标交易平台（即“苏采云”系统）相关要求是本招标文件的组成部分。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投标人应对CA证书妥善保管，如被他人盗用投标，因此带来的结果均由投标人自行承担。</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投标人应当对招标文件提出的实质性要求和条件作出实质性响应，并在电子投标系统逐条应答。</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9.4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投标人应对要求提供的资格证明文件（如资质证书、资格证书）、技术资料（如白皮书、彩页、手册、检测报告等）扫描上传至投标系统。 </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keepLines w:val="0"/>
        <w:keepNext w:val="0"/>
        <w:pageBreakBefore w:val="0"/>
        <w:spacing w:line="360" w:lineRule="auto"/>
        <w:widowControl w:val="off"/>
        <w:rPr>
          <w:rFonts w:eastAsia="宋体"/>
          <w:color w:val="000000"/>
          <w:sz w:val="24"/>
          <w:szCs w:val="24"/>
          <w:highlight w:val="none"/>
        </w:rPr>
      </w:pPr>
      <w:r>
        <w:rPr>
          <w:rFonts w:hint="eastAsia" w:eastAsia="宋体"/>
          <w:b/>
          <w:bCs/>
          <w:color w:val="000000"/>
          <w:sz w:val="24"/>
          <w:szCs w:val="24"/>
          <w:highlight w:val="none"/>
          <w:lang w:val="en-US" w:eastAsia="zh-CN"/>
        </w:rPr>
        <w:t xml:space="preserve">四</w:t>
      </w:r>
      <w:r>
        <w:rPr>
          <w:rFonts w:eastAsia="宋体"/>
          <w:b/>
          <w:bCs/>
          <w:color w:val="000000"/>
          <w:sz w:val="24"/>
          <w:szCs w:val="24"/>
          <w:highlight w:val="none"/>
        </w:rPr>
        <w:t xml:space="preserve">、</w:t>
      </w:r>
      <w:r>
        <w:rPr>
          <w:rFonts w:hint="eastAsia" w:eastAsia="宋体" w:cs="宋体"/>
          <w:b/>
          <w:bCs/>
          <w:color w:val="000000"/>
          <w:sz w:val="24"/>
          <w:szCs w:val="24"/>
          <w:highlight w:val="none"/>
        </w:rPr>
        <w:t xml:space="preserve">投标文件的提交</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bCs/>
          <w:color w:val="000000"/>
          <w:sz w:val="24"/>
          <w:szCs w:val="24"/>
          <w:highlight w:val="none"/>
        </w:rPr>
        <w:t xml:space="preserve">1.投标文件的提交</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线上提交与接收地点：投标人应当通过“苏采云”系统提交数据电文形式的投标文件（即电子投标），“苏采云”系统自动接收。</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2.提交投标文件截止日期</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 投标人上传电子投标文件的时间不得迟于公开招标公告中规定的投标文件提交截止时间。</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投标人应充分考虑到网络环境、网络带宽等风险因素，如因投标人自身原因造成的电子投标文件上传不成功由投标人自行承担全部责任。</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3.投标文件的密封（加密）要求：</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投标人须通过“苏采云”系统提供的政府采购客户端工具（使用“CA数字证书”）加盖电子签章。</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说明：投标人应在用CA数字证书以及自备的能够登录“苏采云”系统的电脑，在达到开标时间后，使用CA数字证书解密各自投标文件。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投标人未按规定加密的投标文件，“苏采云”系统将拒收并提示。</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4.投标文件的拒收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4.1 招标代理机构拒绝接收在其规定的投标文件提交截止时间后上传的任何投标文件。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 投标文件的撤回和修改</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 投标文件的撤回</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5.1.1 电子投标文件的撤回</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投标人可在投标文件提交截止时间前，撤回其电子投标文件，具体操作方法见“苏采云”系统供应商操作手册。</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5.1.2 投标人撤回电子投标文件，则认为其不再参与本项目投标活动。</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5.2 投标文件的修改</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投标人可在投标文件提交截止时间前，对其电子投标文件进行修改。具体操作方法见“苏采云”系统供应商操作手册。</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5.3 在投标文件提交截止时间之后，投标人不得对其电子投标文件作任何修改。</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5.4 在投标文件提交截止时间至招标文件中规定的投标有效期满之间的这段时间内，投标人不得撤回其投标文件。</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6.投标文件线上格式要求</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6.1 供应商应当通过“苏采云”系统提交数据电文形式的投标文件（即电子投标）。</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6.2 通过“苏采云”系统提交政府采购客户端工具导出加密的投标文件（后缀名为zip）。响应文件不得超过150M!</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五</w:t>
      </w:r>
      <w:r>
        <w:rPr>
          <w:rFonts w:eastAsia="宋体"/>
          <w:b/>
          <w:bCs/>
          <w:color w:val="000000"/>
          <w:sz w:val="24"/>
          <w:szCs w:val="24"/>
          <w:highlight w:val="none"/>
        </w:rPr>
        <w:t xml:space="preserve">、</w:t>
      </w:r>
      <w:r>
        <w:rPr>
          <w:rFonts w:hint="eastAsia" w:eastAsia="宋体"/>
          <w:b/>
          <w:bCs/>
          <w:color w:val="000000"/>
          <w:sz w:val="24"/>
          <w:szCs w:val="24"/>
          <w:highlight w:val="none"/>
        </w:rPr>
        <w:t xml:space="preserve">开标与评标</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1.开标</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
          <w:bCs w:val="0"/>
          <w:color w:val="000000"/>
          <w:sz w:val="24"/>
          <w:szCs w:val="24"/>
          <w:highlight w:val="none"/>
          <w:lang w:val="en-US" w:eastAsia="en-US"/>
        </w:rPr>
        <w:t xml:space="preserve">开标当天各</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及时登录不见面开标大厅，响应文件提交截止时间后，</w:t>
      </w:r>
      <w:r>
        <w:rPr>
          <w:rFonts w:hint="eastAsia" w:eastAsia="宋体"/>
          <w:b/>
          <w:bCs w:val="0"/>
          <w:color w:val="000000"/>
          <w:sz w:val="24"/>
          <w:szCs w:val="24"/>
          <w:highlight w:val="none"/>
          <w:lang w:val="en-US" w:eastAsia="zh-CN"/>
        </w:rPr>
        <w:t xml:space="preserve">招标</w:t>
      </w:r>
      <w:r>
        <w:rPr>
          <w:rFonts w:hint="eastAsia" w:eastAsia="宋体"/>
          <w:b/>
          <w:bCs w:val="0"/>
          <w:color w:val="000000"/>
          <w:sz w:val="24"/>
          <w:szCs w:val="24"/>
          <w:highlight w:val="none"/>
          <w:lang w:val="en-US" w:eastAsia="en-US"/>
        </w:rPr>
        <w:t xml:space="preserve">代理机构将在系统内公布</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名单，然后通过开标会议区发出响应文件解密的指令，</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按规定时间自行实施远程解密，</w:t>
      </w:r>
      <w:r>
        <w:rPr>
          <w:rFonts w:hint="eastAsia" w:eastAsia="宋体"/>
          <w:b/>
          <w:bCs w:val="0"/>
          <w:color w:val="000000"/>
          <w:sz w:val="24"/>
          <w:szCs w:val="24"/>
          <w:highlight w:val="none"/>
          <w:lang w:val="en-US" w:eastAsia="zh-CN"/>
        </w:rPr>
        <w:t xml:space="preserve">投标人</w:t>
      </w:r>
      <w:r>
        <w:rPr>
          <w:rFonts w:hint="eastAsia" w:eastAsia="宋体"/>
          <w:b/>
          <w:bCs w:val="0"/>
          <w:color w:val="000000"/>
          <w:sz w:val="24"/>
          <w:szCs w:val="24"/>
          <w:highlight w:val="none"/>
          <w:lang w:val="en-US" w:eastAsia="en-US"/>
        </w:rPr>
        <w:t xml:space="preserve">解密限定在开标后30分钟之内完成。</w:t>
      </w:r>
      <w:r/>
    </w:p>
    <w:p>
      <w:pPr>
        <w:contextualSpacing/>
        <w:ind w:firstLine="480"/>
        <w:keepLines w:val="0"/>
        <w:keepNext w:val="0"/>
        <w:pageBreakBefore w:val="0"/>
        <w:spacing w:line="360" w:lineRule="auto"/>
        <w:widowControl w:val="off"/>
        <w:rPr>
          <w:rFonts w:eastAsia="宋体"/>
          <w:b/>
          <w:color w:val="000000"/>
          <w:sz w:val="24"/>
          <w:szCs w:val="24"/>
          <w:highlight w:val="none"/>
        </w:rPr>
      </w:pPr>
      <w:r>
        <w:rPr>
          <w:rFonts w:hint="eastAsia" w:eastAsia="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开标仪式由</w:t>
      </w:r>
      <w:r>
        <w:rPr>
          <w:rFonts w:hint="eastAsia" w:eastAsia="宋体"/>
          <w:bCs/>
          <w:color w:val="000000"/>
          <w:sz w:val="24"/>
          <w:szCs w:val="24"/>
          <w:highlight w:val="none"/>
        </w:rPr>
        <w:t xml:space="preserve">招标代理机构</w:t>
      </w:r>
      <w:r>
        <w:rPr>
          <w:rFonts w:hint="eastAsia" w:eastAsia="宋体"/>
          <w:color w:val="000000"/>
          <w:sz w:val="24"/>
          <w:szCs w:val="24"/>
          <w:highlight w:val="none"/>
        </w:rPr>
        <w:t xml:space="preserve">组织。苏采云系统将自动对项目进行开标，并宣布各投标人名称和投标价格。</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bCs/>
          <w:color w:val="000000"/>
          <w:sz w:val="24"/>
          <w:szCs w:val="24"/>
          <w:highlight w:val="none"/>
        </w:rPr>
        <w:t xml:space="preserve">1.3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投标人在开标过程中涉及到的投标文件解密、开标结果确认等工作，应按照“苏采云”系统供应商操作手册规定执行。</w:t>
      </w:r>
      <w:r/>
    </w:p>
    <w:p>
      <w:pPr>
        <w:contextualSpacing/>
        <w:ind w:firstLine="482"/>
        <w:keepLines w:val="0"/>
        <w:keepNext w:val="0"/>
        <w:pageBreakBefore w:val="0"/>
        <w:spacing w:line="360" w:lineRule="auto"/>
        <w:widowControl w:val="off"/>
        <w:rPr>
          <w:rFonts w:eastAsia="宋体"/>
          <w:b/>
          <w:color w:val="000000"/>
          <w:sz w:val="24"/>
          <w:szCs w:val="24"/>
          <w:highlight w:val="none"/>
        </w:rPr>
      </w:pPr>
      <w:r>
        <w:rPr>
          <w:rFonts w:hint="eastAsia" w:eastAsia="宋体"/>
          <w:color w:val="000000"/>
          <w:sz w:val="24"/>
          <w:szCs w:val="24"/>
          <w:highlight w:val="none"/>
        </w:rPr>
        <w:t xml:space="preserve">1.4</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投标人如果对开标过程和开标记录有疑义，应当根据</w:t>
      </w:r>
      <w:r>
        <w:rPr>
          <w:rFonts w:hint="eastAsia" w:eastAsia="宋体"/>
          <w:bCs/>
          <w:color w:val="000000"/>
          <w:sz w:val="24"/>
          <w:szCs w:val="24"/>
          <w:highlight w:val="none"/>
        </w:rPr>
        <w:t xml:space="preserve">“苏采云”系统供应商操作手册</w:t>
      </w:r>
      <w:r>
        <w:rPr>
          <w:rFonts w:hint="eastAsia" w:eastAsia="宋体"/>
          <w:color w:val="000000"/>
          <w:sz w:val="24"/>
          <w:szCs w:val="24"/>
          <w:highlight w:val="none"/>
        </w:rPr>
        <w:t xml:space="preserve">规定提出，如苏采云系统中《开标记录表》宣布后5分钟内未提出的，视同认可开标结果。</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2.评标委员会</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开标后，招标代理机构将立即组织评标委员会（以下简称评委会）进行评审。</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2.2</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评委会由招标人代表和有关技术、经济等方面的专家组成，且人员构成符合政府采购有关规定。</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2.3</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评标委员会独立工作，负责评审所有投标文件并确定中标候选人。</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 评审过程的保密与公正</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评标委员会、招标人或招标代理机构、相关监督人员等与评审工作有关的人员，对评审情况以及在评审过程中获悉的国家秘密、商业秘密负有保密责任。</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3.2</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在评审过程中，投标人不得以任何行为影响评审过程，否则其投标文件将被作为无效投标文件。</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3.3</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3.4</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凡是与审查、澄清、评价和比较投标的有关资料以及授标建议等，招标人、评标委员会、招标代理机构均不得向投标人或与评标无关的其他人员透露。</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3.5</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在评审期间，招标代理机构将设专门人员与投标人联系。</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3.6</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招标人、招标代理机构和评标委员会不向未中标的投标人解释未中标原因，也不公布评审过程中的相关细节。</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3.7</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采用综合评分法的项目，未中标的投标人可于中标结果公告期限届满之日起通过苏采云系统查看自己的评审得分及排序情况。</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4.投标文件的澄清</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4.1</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4.2</w:t>
      </w:r>
      <w:r>
        <w:rPr>
          <w:rFonts w:hint="eastAsia" w:eastAsia="宋体"/>
          <w:color w:val="000000"/>
          <w:sz w:val="24"/>
          <w:szCs w:val="24"/>
          <w:highlight w:val="none"/>
          <w:lang w:val="en-US" w:eastAsia="zh-CN"/>
        </w:rPr>
        <w:t xml:space="preserve"> </w:t>
      </w:r>
      <w:r>
        <w:rPr>
          <w:rFonts w:hint="eastAsia" w:eastAsia="宋体"/>
          <w:color w:val="000000"/>
          <w:sz w:val="24"/>
          <w:szCs w:val="24"/>
          <w:highlight w:val="none"/>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4.3 接到评标委员会澄清、说明和更正要求的投标人如未按规定做出澄清、说明和 更正，其风险由投标人自行承担。</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5.对投标文件的审查</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投标文件初审分为资格性审查和符合性审查。</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资格性检查：依据法律法规和招标文件的规定，由招标人对投标文件中的资格证明文件进行审查。资格审查的结论，招标人以书面形式向评委会进行反馈。</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5.1.3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未通过资格审查或符合性审查的投标人，招标代理机构将在</w:t>
      </w:r>
      <w:r>
        <w:rPr>
          <w:rFonts w:hint="eastAsia" w:eastAsia="宋体"/>
          <w:color w:val="000000"/>
          <w:sz w:val="24"/>
          <w:szCs w:val="24"/>
          <w:highlight w:val="none"/>
        </w:rPr>
        <w:t xml:space="preserve">苏采云系统</w:t>
      </w:r>
      <w:r>
        <w:rPr>
          <w:rFonts w:hint="eastAsia" w:eastAsia="宋体"/>
          <w:bCs/>
          <w:color w:val="000000"/>
          <w:sz w:val="24"/>
          <w:szCs w:val="24"/>
          <w:highlight w:val="none"/>
        </w:rPr>
        <w:t xml:space="preserve">中告知未通过资格审查或符合性审查的原因，评审结束后，招标代理机构将不再告知未通过资格审查或符合性审查的原因。</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5.2</w:t>
      </w:r>
      <w:r>
        <w:rPr>
          <w:rFonts w:hint="eastAsia" w:eastAsia="宋体"/>
          <w:bCs/>
          <w:color w:val="000000"/>
          <w:sz w:val="24"/>
          <w:szCs w:val="24"/>
          <w:highlight w:val="none"/>
          <w:lang w:val="en-US" w:eastAsia="zh-CN"/>
        </w:rPr>
        <w:t xml:space="preserve"> </w:t>
      </w:r>
      <w:r>
        <w:rPr>
          <w:rFonts w:hint="eastAsia" w:eastAsia="宋体"/>
          <w:color w:val="000000"/>
          <w:sz w:val="24"/>
          <w:szCs w:val="24"/>
          <w:highlight w:val="none"/>
        </w:rPr>
        <w:t xml:space="preserve">在详细评审之前</w:t>
      </w:r>
      <w:r>
        <w:rPr>
          <w:rFonts w:hint="eastAsia" w:eastAsia="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highlight w:val="none"/>
        </w:rPr>
        <w:t xml:space="preserve">重大偏离的认定需经过评委会以少数服从多数的原则作出结论</w:t>
      </w:r>
      <w:r>
        <w:rPr>
          <w:rFonts w:hint="eastAsia" w:eastAsia="宋体"/>
          <w:bCs/>
          <w:color w:val="000000"/>
          <w:sz w:val="24"/>
          <w:szCs w:val="24"/>
          <w:highlight w:val="none"/>
        </w:rPr>
        <w:t xml:space="preserve">。评标委员会决定投标文件的响应性只根据投标文件本身的内容，而不寻求外部的证据。</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如果投标文件实质上没有响应招标文件的要求，评标委员会将予以拒绝，投标人不得通过修改或撤销不合要求的偏离或保留而使其投标文件成为实质性响应的文件。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评标委员会将对确定为实质性响应的文件进行进一步审核，看其是否有计算上或累加上的算术错误，修正错误的原则如下：</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（1）投标文件中开标一览表内容与投标文件中相应内容不一致的，以开标一览表为准。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（2）大写金额和小写金额不一致的，以大写金额为准。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（3）单价金额小数点或者百分比有明显错位的，以开标一览表的总价为准，并修改单价。</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（4）总价金额与按单价汇总金额不一致的，以单价金额计算结果为准。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同时出现两种以上错误的，按照前款规定的顺序修正。</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5.6</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p>
    <w:p>
      <w:pPr>
        <w:contextualSpacing/>
        <w:ind w:firstLine="482"/>
        <w:keepLines w:val="0"/>
        <w:keepNext w:val="0"/>
        <w:pageBreakBefore w:val="0"/>
        <w:spacing w:line="360" w:lineRule="auto"/>
        <w:widowControl w:val="off"/>
        <w:rPr>
          <w:rFonts w:hint="eastAsia" w:eastAsia="宋体"/>
          <w:bCs/>
          <w:color w:val="000000"/>
          <w:sz w:val="24"/>
          <w:szCs w:val="24"/>
          <w:highlight w:val="none"/>
          <w:lang w:val="en-US" w:eastAsia="zh-CN"/>
        </w:rPr>
      </w:pPr>
      <w:r>
        <w:rPr>
          <w:rFonts w:hint="eastAsia" w:eastAsia="宋体"/>
          <w:bCs/>
          <w:color w:val="000000"/>
          <w:sz w:val="24"/>
          <w:szCs w:val="24"/>
          <w:highlight w:val="none"/>
        </w:rPr>
        <w:t xml:space="preserve">5.7 </w:t>
      </w:r>
      <w:r>
        <w:rPr>
          <w:rFonts w:hint="eastAsia" w:eastAsia="宋体"/>
          <w:bCs/>
          <w:color w:val="000000"/>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lang w:val="en-US" w:eastAsia="zh-CN"/>
        </w:rPr>
      </w:pPr>
      <w:r>
        <w:rPr>
          <w:rFonts w:hint="eastAsia" w:eastAsia="宋体"/>
          <w:b/>
          <w:bCs w:val="0"/>
          <w:color w:val="000000"/>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rPr>
      </w:pPr>
      <w:r>
        <w:rPr>
          <w:rFonts w:hint="eastAsia" w:eastAsia="宋体"/>
          <w:b/>
          <w:bCs w:val="0"/>
          <w:color w:val="000000"/>
          <w:sz w:val="24"/>
          <w:szCs w:val="24"/>
          <w:highlight w:val="none"/>
          <w:lang w:val="en-US" w:eastAsia="zh-CN"/>
        </w:rPr>
        <w:t xml:space="preserve">非单一产品采购项目，招标文件中将载明其中的核心产品。多家投标人提供的核心产品品牌相同的，按前两款规定处理。</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lang w:val="en-US" w:eastAsia="zh-CN"/>
        </w:rPr>
        <w:t xml:space="preserve">5.8 </w:t>
      </w:r>
      <w:r>
        <w:rPr>
          <w:rFonts w:hint="eastAsia" w:eastAsia="宋体"/>
          <w:color w:val="000000"/>
          <w:sz w:val="24"/>
          <w:szCs w:val="24"/>
          <w:highlight w:val="none"/>
        </w:rPr>
        <w:t xml:space="preserve">投标人在开、评标全过程中应保持通讯畅通，及时登录苏采云系统查阅、答复相关信息</w:t>
      </w:r>
      <w:r>
        <w:rPr>
          <w:rFonts w:hint="eastAsia" w:eastAsia="宋体"/>
          <w:bCs/>
          <w:color w:val="000000"/>
          <w:sz w:val="24"/>
          <w:szCs w:val="24"/>
          <w:highlight w:val="none"/>
        </w:rPr>
        <w:t xml:space="preserve">，并安排专人与招标人或招标代理机构及评标委员会联系</w:t>
      </w:r>
      <w:r>
        <w:rPr>
          <w:rFonts w:hint="eastAsia" w:eastAsia="宋体"/>
          <w:color w:val="000000"/>
          <w:sz w:val="24"/>
          <w:szCs w:val="24"/>
          <w:highlight w:val="none"/>
        </w:rPr>
        <w:t xml:space="preserve">。</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六</w:t>
      </w:r>
      <w:r>
        <w:rPr>
          <w:rFonts w:eastAsia="宋体"/>
          <w:b/>
          <w:bCs/>
          <w:color w:val="000000"/>
          <w:sz w:val="24"/>
          <w:szCs w:val="24"/>
          <w:highlight w:val="none"/>
        </w:rPr>
        <w:t xml:space="preserve">、</w:t>
      </w:r>
      <w:r>
        <w:rPr>
          <w:rFonts w:hint="eastAsia" w:eastAsia="宋体"/>
          <w:b/>
          <w:bCs/>
          <w:color w:val="000000"/>
          <w:sz w:val="24"/>
          <w:szCs w:val="24"/>
          <w:highlight w:val="none"/>
        </w:rPr>
        <w:t xml:space="preserve">无效投标条款</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1.同一投标人提交两个（含两个）以上不同的投标报价的。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2.投标人不具备招标文件中规定资格要求的。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3.投标人的报价超过了采购预算或最高限价的。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4.未通过符合性审查的。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5.不符合招标文件中规定的实质性要求和条件的。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7.投标文件含有招标人不能接受的附加条件的。</w:t>
      </w:r>
      <w:r/>
    </w:p>
    <w:p>
      <w:pPr>
        <w:contextualSpacing/>
        <w:ind w:firstLine="482"/>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keepLines w:val="0"/>
        <w:keepNext w:val="0"/>
        <w:pageBreakBefore w:val="0"/>
        <w:spacing w:line="360" w:lineRule="auto"/>
        <w:widowControl w:val="off"/>
        <w:rPr>
          <w:rFonts w:hint="eastAsia" w:eastAsia="宋体"/>
          <w:bCs/>
          <w:color w:val="000000"/>
          <w:sz w:val="24"/>
          <w:szCs w:val="24"/>
          <w:highlight w:val="none"/>
        </w:rPr>
      </w:pPr>
      <w:r>
        <w:rPr>
          <w:rFonts w:hint="eastAsia" w:eastAsia="宋体"/>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10.投标文件未按照招标文件要求加盖CA电子公章的。</w:t>
      </w:r>
      <w:r/>
    </w:p>
    <w:p>
      <w:pPr>
        <w:contextualSpacing/>
        <w:ind w:firstLine="482"/>
        <w:keepLines w:val="0"/>
        <w:keepNext w:val="0"/>
        <w:pageBreakBefore w:val="0"/>
        <w:spacing w:line="360" w:lineRule="auto"/>
        <w:widowControl w:val="off"/>
        <w:rPr>
          <w:rFonts w:hint="eastAsia" w:eastAsia="宋体"/>
          <w:bCs/>
          <w:color w:val="000000"/>
          <w:sz w:val="24"/>
          <w:szCs w:val="24"/>
          <w:highlight w:val="none"/>
        </w:rPr>
      </w:pPr>
      <w:r>
        <w:rPr>
          <w:rFonts w:hint="eastAsia" w:eastAsia="宋体"/>
          <w:b/>
          <w:bCs w:val="0"/>
          <w:color w:val="000000"/>
          <w:sz w:val="24"/>
          <w:szCs w:val="24"/>
          <w:highlight w:val="none"/>
        </w:rPr>
        <w:t xml:space="preserve">凡是</w:t>
      </w:r>
      <w:r>
        <w:rPr>
          <w:rFonts w:hint="eastAsia" w:eastAsia="宋体"/>
          <w:b/>
          <w:bCs w:val="0"/>
          <w:color w:val="000000"/>
          <w:sz w:val="24"/>
          <w:szCs w:val="24"/>
          <w:highlight w:val="none"/>
          <w:lang w:val="en-US" w:eastAsia="zh-CN"/>
        </w:rPr>
        <w:t xml:space="preserve">投标</w:t>
      </w:r>
      <w:r>
        <w:rPr>
          <w:rFonts w:hint="eastAsia" w:eastAsia="宋体"/>
          <w:b/>
          <w:bCs w:val="0"/>
          <w:color w:val="000000"/>
          <w:sz w:val="24"/>
          <w:szCs w:val="24"/>
          <w:highlight w:val="none"/>
        </w:rPr>
        <w:t xml:space="preserve">文件中涉及供应商资信认证、人员证书、业绩荣誉等复印件，和要求法定代表人或授权委托人签字，和以供应商名称落款并注明需要盖章的，均需相应盖章或签字。</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11.投标人的商务技术部分得分相差悬殊，评标委员会一致认为得分畸低者有可能影响产品质量或者不能诚信履约的。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12.投标人在苏采云系统规定的时间内未成功解密电子投标文件的。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13.投标人未按照招标文件要求上传电子投标文件的，或上传的文件打不开的。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14.不同的投标人投标文件制作机器码、文件创建标识码一致的。</w:t>
      </w:r>
      <w:r/>
    </w:p>
    <w:p>
      <w:pPr>
        <w:contextualSpacing/>
        <w:ind w:firstLine="482"/>
        <w:keepLines w:val="0"/>
        <w:keepNext w:val="0"/>
        <w:pageBreakBefore w:val="0"/>
        <w:spacing w:line="360" w:lineRule="auto"/>
        <w:widowControl w:val="off"/>
        <w:rPr>
          <w:rFonts w:eastAsia="宋体" w:cs="宋体"/>
          <w:color w:val="000000"/>
          <w:sz w:val="24"/>
          <w:szCs w:val="24"/>
          <w:highlight w:val="none"/>
        </w:rPr>
      </w:pPr>
      <w:r>
        <w:rPr>
          <w:rFonts w:hint="eastAsia" w:eastAsia="宋体"/>
          <w:bCs/>
          <w:color w:val="000000"/>
          <w:sz w:val="24"/>
          <w:szCs w:val="24"/>
          <w:highlight w:val="none"/>
        </w:rPr>
        <w:t xml:space="preserve">15.其他法律、法规及本招标文件规定的属无效投标的情形</w:t>
      </w:r>
      <w:r>
        <w:rPr>
          <w:rFonts w:hint="eastAsia" w:eastAsia="宋体" w:cs="宋体"/>
          <w:color w:val="000000"/>
          <w:sz w:val="24"/>
          <w:szCs w:val="24"/>
          <w:highlight w:val="none"/>
        </w:rPr>
        <w:t xml:space="preserve">。</w:t>
      </w:r>
      <w:r/>
    </w:p>
    <w:p>
      <w:pPr>
        <w:contextualSpacing/>
        <w:ind w:firstLine="480"/>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lang w:val="en-US" w:eastAsia="zh-CN"/>
        </w:rPr>
        <w:t xml:space="preserve">七</w:t>
      </w:r>
      <w:r>
        <w:rPr>
          <w:rFonts w:eastAsia="宋体" w:cs="宋体"/>
          <w:b/>
          <w:bCs/>
          <w:color w:val="000000"/>
          <w:sz w:val="24"/>
          <w:szCs w:val="24"/>
          <w:highlight w:val="none"/>
        </w:rPr>
        <w:t xml:space="preserve">、</w:t>
      </w:r>
      <w:r>
        <w:rPr>
          <w:rFonts w:hint="eastAsia" w:eastAsia="宋体" w:cs="宋体"/>
          <w:b/>
          <w:bCs/>
          <w:color w:val="000000"/>
          <w:sz w:val="24"/>
          <w:szCs w:val="24"/>
          <w:highlight w:val="none"/>
        </w:rPr>
        <w:t xml:space="preserve">废标条款</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1.符合专业条件的供应商或者对招标文件作实质响应的供应商不足三家的（含不同投标人提供</w:t>
      </w:r>
      <w:r>
        <w:rPr>
          <w:rFonts w:hint="eastAsia" w:eastAsia="宋体"/>
          <w:color w:val="000000"/>
          <w:sz w:val="24"/>
          <w:szCs w:val="24"/>
          <w:highlight w:val="none"/>
          <w:lang w:val="en-US" w:eastAsia="zh-CN"/>
        </w:rPr>
        <w:t xml:space="preserve">的核心产品</w:t>
      </w:r>
      <w:r>
        <w:rPr>
          <w:rFonts w:hint="eastAsia" w:eastAsia="宋体"/>
          <w:color w:val="000000"/>
          <w:sz w:val="24"/>
          <w:szCs w:val="24"/>
          <w:highlight w:val="none"/>
        </w:rPr>
        <w:t xml:space="preserve">品牌不足三个的）。</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2.出现影响采购公正的违法、违规行为的。</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3.因重大变故，采购任务取消的。</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4.评标委员会认定招标文件存在歧义、重大缺陷导致评审工作无法进行。</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5.因苏采云系统系统故障原因造成开标不成功的。</w:t>
      </w:r>
      <w:r/>
    </w:p>
    <w:p>
      <w:pPr>
        <w:contextualSpacing/>
        <w:ind w:firstLine="482"/>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6.投标截止时间结束后参加投标的供应商不足三家的处理：</w:t>
      </w:r>
      <w:r/>
    </w:p>
    <w:p>
      <w:pPr>
        <w:contextualSpacing/>
        <w:ind w:firstLine="482"/>
        <w:keepLines w:val="0"/>
        <w:keepNext w:val="0"/>
        <w:pageBreakBefore w:val="0"/>
        <w:spacing w:line="360" w:lineRule="auto"/>
        <w:widowControl w:val="off"/>
        <w:rPr>
          <w:rFonts w:hint="eastAsia" w:eastAsia="宋体"/>
          <w:b/>
          <w:bCs/>
          <w:color w:val="000000"/>
          <w:sz w:val="24"/>
          <w:szCs w:val="24"/>
          <w:highlight w:val="none"/>
          <w:lang w:val="en-US" w:eastAsia="zh-CN"/>
        </w:rPr>
      </w:pPr>
      <w:r>
        <w:rPr>
          <w:rFonts w:hint="eastAsia" w:eastAsia="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八</w:t>
      </w:r>
      <w:r>
        <w:rPr>
          <w:rFonts w:eastAsia="宋体"/>
          <w:b/>
          <w:bCs/>
          <w:color w:val="000000"/>
          <w:sz w:val="24"/>
          <w:szCs w:val="24"/>
          <w:highlight w:val="none"/>
          <w:lang w:val="zh-CN"/>
        </w:rPr>
        <w:t xml:space="preserve">、</w:t>
      </w:r>
      <w:r>
        <w:rPr>
          <w:rFonts w:hint="eastAsia" w:eastAsia="宋体" w:cs="宋体"/>
          <w:b/>
          <w:bCs/>
          <w:color w:val="000000"/>
          <w:sz w:val="24"/>
          <w:szCs w:val="24"/>
          <w:highlight w:val="none"/>
        </w:rPr>
        <w:t xml:space="preserve">定标</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1.确定中标单位</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中标候选人的选取原则和数量见招标文件第四章规定。</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招标人应根据评委会推荐的中标候选人确定中标人。</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1.3 招标代理机构将在“江苏政府采购网”发布中标结果公告，公告期限为1个工作日。</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 若有充分证据证明，中标人出现下列情况之一的，一经查实，将被取消中标资格：</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提供虚假材料谋取中标的。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向招标人或招标代理机构行贿或者评审专家提供其他不正当利益的。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恶意竞争，报价明显低于其自身合理成本且又无法提供证明的。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属于本文件规定的无效条件，但在评审过程中又未被评标委员会发现的。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与评审专家、招标人、其他投标人或者招标代理机构工作人员恶意串通的。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1.4.6</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采取不正当手段诋毁、排挤其他投标人的。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1.4.7</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中标后无正当理由拒不与招标人签订政府采购合同或者未按照招标文件确定的事项签订政府采购合同的。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1.4.8</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将政府采购合同转包的。</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有下列情形之一的，视为投标人串通参与投标，投标无效：</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不同投标人的投标文件由同一单位或者个人编制；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不同投标人委托同一单位或者个人办理投标事宜；</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不同投标人的投标文件载明的项目管理成员或者联系人员为同一人；</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不同投标人的投标文件异常一致或者响应报价呈规律性差异；</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1.5.5</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不同投标人的投标文件相互混装。</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2.质疑处理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keepLines w:val="0"/>
        <w:keepNext w:val="0"/>
        <w:pageBreakBefore w:val="0"/>
        <w:spacing w:line="360" w:lineRule="auto"/>
        <w:widowControl w:val="off"/>
        <w:rPr>
          <w:rFonts w:eastAsia="宋体"/>
          <w:b/>
          <w:bCs w:val="0"/>
          <w:color w:val="000000"/>
          <w:sz w:val="24"/>
          <w:szCs w:val="24"/>
          <w:highlight w:val="none"/>
        </w:rPr>
      </w:pPr>
      <w:r>
        <w:rPr>
          <w:rFonts w:hint="eastAsia" w:eastAsia="宋体"/>
          <w:b/>
          <w:bCs w:val="0"/>
          <w:color w:val="000000"/>
          <w:sz w:val="24"/>
          <w:szCs w:val="24"/>
          <w:highlight w:val="none"/>
        </w:rPr>
        <w:t xml:space="preserve">2.2.1</w:t>
      </w:r>
      <w:r>
        <w:rPr>
          <w:rFonts w:hint="eastAsia" w:eastAsia="宋体"/>
          <w:b/>
          <w:bCs w:val="0"/>
          <w:color w:val="000000"/>
          <w:sz w:val="24"/>
          <w:szCs w:val="24"/>
          <w:highlight w:val="none"/>
          <w:lang w:val="en-US" w:eastAsia="zh-CN"/>
        </w:rPr>
        <w:t xml:space="preserve"> </w:t>
      </w:r>
      <w:r>
        <w:rPr>
          <w:rFonts w:hint="eastAsia" w:eastAsia="宋体"/>
          <w:b/>
          <w:bCs w:val="0"/>
          <w:color w:val="000000"/>
          <w:sz w:val="24"/>
          <w:szCs w:val="24"/>
          <w:highlight w:val="none"/>
        </w:rPr>
        <w:t xml:space="preserve">对可以质疑的招标文件提出质疑的，为收到招标文件之日或者招标文件公告期限届满之日；</w:t>
      </w:r>
      <w:r/>
    </w:p>
    <w:p>
      <w:pPr>
        <w:contextualSpacing/>
        <w:ind w:firstLine="482"/>
        <w:keepLines w:val="0"/>
        <w:keepNext w:val="0"/>
        <w:pageBreakBefore w:val="0"/>
        <w:spacing w:line="360" w:lineRule="auto"/>
        <w:widowControl w:val="off"/>
        <w:rPr>
          <w:rFonts w:eastAsia="宋体"/>
          <w:b/>
          <w:bCs w:val="0"/>
          <w:color w:val="000000"/>
          <w:sz w:val="24"/>
          <w:szCs w:val="24"/>
          <w:highlight w:val="none"/>
        </w:rPr>
      </w:pPr>
      <w:r>
        <w:rPr>
          <w:rFonts w:hint="eastAsia" w:eastAsia="宋体"/>
          <w:b/>
          <w:bCs w:val="0"/>
          <w:color w:val="000000"/>
          <w:sz w:val="24"/>
          <w:szCs w:val="24"/>
          <w:highlight w:val="none"/>
        </w:rPr>
        <w:t xml:space="preserve">2.2.2</w:t>
      </w:r>
      <w:r>
        <w:rPr>
          <w:rFonts w:hint="eastAsia" w:eastAsia="宋体"/>
          <w:b/>
          <w:bCs w:val="0"/>
          <w:color w:val="000000"/>
          <w:sz w:val="24"/>
          <w:szCs w:val="24"/>
          <w:highlight w:val="none"/>
          <w:lang w:val="en-US" w:eastAsia="zh-CN"/>
        </w:rPr>
        <w:t xml:space="preserve"> </w:t>
      </w:r>
      <w:r>
        <w:rPr>
          <w:rFonts w:hint="eastAsia" w:eastAsia="宋体"/>
          <w:b/>
          <w:bCs w:val="0"/>
          <w:color w:val="000000"/>
          <w:sz w:val="24"/>
          <w:szCs w:val="24"/>
          <w:highlight w:val="none"/>
        </w:rPr>
        <w:t xml:space="preserve">对采购过程提出质疑的，为各采购程序环节结束之日；</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对中标结果提出质疑的，为中标结果公告期限届满之日。</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质疑答复依据《政府采购质疑和投诉办法》（财政部令第94号）。</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招标人或招标代理机构质疑接收人及联系方式，见招标文件第一章。</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 以下情形的质疑不予受理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2.5.1 内容不符合《政府采购质疑和投诉办法》第十二条规定的质疑。</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2.5.2 超出政府采购法定期限的质疑。</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2.5.3 未参加投标活动的投标人或在投标活动中自身权益未受到损害的投标人所提出的质疑。</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2.5.4</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投标人组成联合体参加投标，联合体中任何一方或多方未按要求签字、盖章、加盖公章的质疑。</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九</w:t>
      </w:r>
      <w:r>
        <w:rPr>
          <w:rFonts w:eastAsia="宋体"/>
          <w:b/>
          <w:bCs/>
          <w:color w:val="000000"/>
          <w:sz w:val="24"/>
          <w:szCs w:val="24"/>
          <w:highlight w:val="none"/>
          <w:lang w:val="zh-CN"/>
        </w:rPr>
        <w:t xml:space="preserve">、</w:t>
      </w:r>
      <w:r>
        <w:rPr>
          <w:rFonts w:hint="eastAsia" w:eastAsia="宋体"/>
          <w:b/>
          <w:bCs/>
          <w:color w:val="000000"/>
          <w:sz w:val="24"/>
          <w:szCs w:val="24"/>
          <w:highlight w:val="none"/>
        </w:rPr>
        <w:t xml:space="preserve">中标通知书</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特别说明：中标人在下载或收到中标通知书后须提供3套加盖红章的系统内打印的纸质投标文件交给招标代理机构存档。</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十、</w:t>
      </w:r>
      <w:r>
        <w:rPr>
          <w:rFonts w:eastAsia="宋体"/>
          <w:b/>
          <w:bCs/>
          <w:color w:val="000000"/>
          <w:sz w:val="24"/>
          <w:szCs w:val="24"/>
          <w:highlight w:val="none"/>
          <w:lang w:val="zh-CN"/>
        </w:rPr>
        <w:t xml:space="preserve">履约保证金</w:t>
      </w:r>
      <w:r/>
    </w:p>
    <w:p>
      <w:pPr>
        <w:ind w:firstLine="480"/>
        <w:keepLines w:val="0"/>
        <w:keepNext w:val="0"/>
        <w:pageBreakBefore w:val="0"/>
        <w:spacing w:line="360" w:lineRule="auto"/>
        <w:widowControl w:val="off"/>
        <w:rPr>
          <w:rFonts w:hint="eastAsia" w:ascii="Times New Roman" w:hAnsi="Times New Roman" w:eastAsia="宋体" w:cs="宋体"/>
          <w:bCs/>
          <w:color w:val="000000"/>
          <w:sz w:val="24"/>
          <w:szCs w:val="22"/>
          <w:highlight w:val="none"/>
        </w:rPr>
      </w:pPr>
      <w:r>
        <w:rPr>
          <w:rFonts w:hint="eastAsia" w:ascii="Times New Roman" w:hAnsi="Times New Roman" w:eastAsia="宋体" w:cs="宋体"/>
          <w:bCs/>
          <w:color w:val="000000"/>
          <w:sz w:val="24"/>
          <w:szCs w:val="22"/>
          <w:highlight w:val="none"/>
        </w:rPr>
        <w:t xml:space="preserve">1</w:t>
      </w:r>
      <w:r>
        <w:rPr>
          <w:rFonts w:hint="eastAsia" w:ascii="Times New Roman" w:hAnsi="Times New Roman" w:eastAsia="宋体" w:cs="宋体"/>
          <w:bCs/>
          <w:color w:val="000000"/>
          <w:sz w:val="24"/>
          <w:szCs w:val="22"/>
          <w:highlight w:val="none"/>
          <w:lang w:val="en-US" w:eastAsia="zh-CN"/>
        </w:rPr>
        <w:t xml:space="preserve">.</w:t>
      </w:r>
      <w:r>
        <w:rPr>
          <w:rFonts w:hint="eastAsia" w:ascii="Times New Roman" w:hAnsi="Times New Roman" w:eastAsia="宋体" w:cs="宋体"/>
          <w:bCs/>
          <w:color w:val="000000"/>
          <w:sz w:val="24"/>
          <w:szCs w:val="22"/>
          <w:highlight w:val="none"/>
        </w:rPr>
        <w:t xml:space="preserve">本项目中标后的履约保证金为合同总价的</w:t>
      </w:r>
      <w:r>
        <w:rPr>
          <w:rFonts w:hint="eastAsia" w:eastAsia="宋体" w:cs="宋体"/>
          <w:bCs/>
          <w:color w:val="000000"/>
          <w:sz w:val="24"/>
          <w:szCs w:val="22"/>
          <w:highlight w:val="none"/>
          <w:u w:val="single"/>
          <w:lang w:val="en-US" w:eastAsia="zh-CN"/>
        </w:rPr>
        <w:t xml:space="preserve">5</w:t>
      </w:r>
      <w:r>
        <w:rPr>
          <w:rFonts w:hint="eastAsia" w:ascii="Times New Roman" w:hAnsi="Times New Roman" w:eastAsia="宋体" w:cs="宋体"/>
          <w:bCs/>
          <w:color w:val="000000"/>
          <w:sz w:val="24"/>
          <w:szCs w:val="22"/>
          <w:highlight w:val="none"/>
          <w:u w:val="single"/>
        </w:rPr>
        <w:t xml:space="preserve">%</w:t>
      </w:r>
      <w:r>
        <w:rPr>
          <w:rFonts w:hint="eastAsia" w:ascii="Times New Roman" w:hAnsi="Times New Roman" w:eastAsia="宋体" w:cs="宋体"/>
          <w:bCs/>
          <w:color w:val="000000"/>
          <w:sz w:val="24"/>
          <w:szCs w:val="22"/>
          <w:highlight w:val="none"/>
        </w:rPr>
        <w:t xml:space="preserve">，中标人可以选择以支票、汇票、本票、保函等非现金形式缴纳。</w:t>
      </w:r>
      <w:r/>
    </w:p>
    <w:p>
      <w:pPr>
        <w:ind w:firstLine="480"/>
        <w:keepLines w:val="0"/>
        <w:keepNext w:val="0"/>
        <w:pageBreakBefore w:val="0"/>
        <w:spacing w:line="360" w:lineRule="auto"/>
        <w:widowControl w:val="off"/>
        <w:rPr>
          <w:rFonts w:eastAsia="宋体" w:cs="宋体"/>
          <w:bCs/>
          <w:color w:val="000000"/>
          <w:sz w:val="24"/>
          <w:szCs w:val="22"/>
          <w:highlight w:val="none"/>
        </w:rPr>
      </w:pPr>
      <w:r>
        <w:rPr>
          <w:rFonts w:hint="eastAsia" w:eastAsia="宋体" w:cs="宋体"/>
          <w:bCs/>
          <w:color w:val="000000"/>
          <w:sz w:val="24"/>
          <w:szCs w:val="22"/>
          <w:highlight w:val="none"/>
        </w:rPr>
        <w:t xml:space="preserve">2</w:t>
      </w:r>
      <w:r>
        <w:rPr>
          <w:rFonts w:hint="eastAsia" w:eastAsia="宋体" w:cs="宋体"/>
          <w:bCs/>
          <w:color w:val="000000"/>
          <w:sz w:val="24"/>
          <w:szCs w:val="22"/>
          <w:highlight w:val="none"/>
          <w:lang w:val="en-US" w:eastAsia="zh-CN"/>
        </w:rPr>
        <w:t xml:space="preserve">.</w:t>
      </w:r>
      <w:r>
        <w:rPr>
          <w:rFonts w:hint="eastAsia" w:eastAsia="宋体" w:cs="宋体"/>
          <w:bCs/>
          <w:color w:val="000000"/>
          <w:sz w:val="24"/>
          <w:szCs w:val="22"/>
          <w:highlight w:val="none"/>
        </w:rPr>
        <w:t xml:space="preserve">中标人的履约保证金须在签订合同前缴纳，中标人需在中标通知书发出之日起的</w:t>
      </w:r>
      <w:r>
        <w:rPr>
          <w:rFonts w:hint="eastAsia" w:eastAsia="宋体"/>
          <w:bCs/>
          <w:color w:val="000000"/>
          <w:sz w:val="24"/>
          <w:szCs w:val="24"/>
          <w:highlight w:val="none"/>
        </w:rPr>
        <w:t xml:space="preserve">30日内</w:t>
      </w:r>
      <w:r>
        <w:rPr>
          <w:rFonts w:hint="eastAsia" w:eastAsia="宋体" w:cs="宋体"/>
          <w:bCs/>
          <w:color w:val="000000"/>
          <w:sz w:val="24"/>
          <w:szCs w:val="22"/>
          <w:highlight w:val="none"/>
        </w:rPr>
        <w:t xml:space="preserve">凭中标通知书及履约保证金缴纳证明按照采购文件确定的事项与采购单位签订合同。超期或未有协商，则视为自动放弃中标资格。</w:t>
      </w:r>
      <w:r/>
    </w:p>
    <w:p>
      <w:pPr>
        <w:ind w:firstLine="480"/>
        <w:keepLines w:val="0"/>
        <w:keepNext w:val="0"/>
        <w:pageBreakBefore w:val="0"/>
        <w:spacing w:line="360" w:lineRule="auto"/>
        <w:widowControl w:val="off"/>
        <w:rPr>
          <w:rFonts w:hint="eastAsia" w:eastAsia="宋体" w:cs="宋体"/>
          <w:bCs/>
          <w:color w:val="000000"/>
          <w:sz w:val="24"/>
          <w:szCs w:val="22"/>
          <w:highlight w:val="none"/>
        </w:rPr>
      </w:pPr>
      <w:r>
        <w:rPr>
          <w:rFonts w:hint="eastAsia" w:eastAsia="宋体" w:cs="宋体"/>
          <w:bCs/>
          <w:color w:val="000000"/>
          <w:sz w:val="24"/>
          <w:szCs w:val="22"/>
          <w:highlight w:val="none"/>
        </w:rPr>
      </w:r>
      <w:r/>
    </w:p>
    <w:p>
      <w:pPr>
        <w:ind w:firstLine="480"/>
        <w:keepLines w:val="0"/>
        <w:keepNext w:val="0"/>
        <w:pageBreakBefore w:val="0"/>
        <w:spacing w:line="360" w:lineRule="auto"/>
        <w:widowControl w:val="off"/>
        <w:rPr>
          <w:rFonts w:eastAsia="宋体" w:cs="宋体"/>
          <w:bCs/>
          <w:color w:val="000000"/>
          <w:sz w:val="24"/>
          <w:szCs w:val="22"/>
          <w:highlight w:val="none"/>
        </w:rPr>
      </w:pPr>
      <w:r>
        <w:rPr>
          <w:rFonts w:hint="eastAsia" w:eastAsia="宋体" w:cs="宋体"/>
          <w:bCs/>
          <w:color w:val="000000"/>
          <w:sz w:val="24"/>
          <w:szCs w:val="22"/>
          <w:highlight w:val="none"/>
        </w:rPr>
        <w:t xml:space="preserve">3</w:t>
      </w:r>
      <w:r>
        <w:rPr>
          <w:rFonts w:hint="eastAsia" w:eastAsia="宋体" w:cs="宋体"/>
          <w:bCs/>
          <w:color w:val="000000"/>
          <w:sz w:val="24"/>
          <w:szCs w:val="22"/>
          <w:highlight w:val="none"/>
          <w:lang w:val="en-US" w:eastAsia="zh-CN"/>
        </w:rPr>
        <w:t xml:space="preserve">.</w:t>
      </w:r>
      <w:r>
        <w:rPr>
          <w:rFonts w:hint="eastAsia" w:eastAsia="宋体" w:cs="宋体"/>
          <w:bCs/>
          <w:color w:val="000000"/>
          <w:sz w:val="24"/>
          <w:szCs w:val="22"/>
          <w:highlight w:val="none"/>
        </w:rPr>
        <w:t xml:space="preserve">中标供应商全部履约合同义务，经</w:t>
      </w:r>
      <w:r>
        <w:rPr>
          <w:rFonts w:hint="eastAsia" w:eastAsia="宋体" w:cs="宋体"/>
          <w:bCs/>
          <w:color w:val="000000"/>
          <w:sz w:val="24"/>
          <w:szCs w:val="22"/>
          <w:highlight w:val="none"/>
          <w:lang w:eastAsia="zh-CN"/>
        </w:rPr>
        <w:t xml:space="preserve">采购人</w:t>
      </w:r>
      <w:r>
        <w:rPr>
          <w:rFonts w:hint="eastAsia" w:eastAsia="宋体" w:cs="宋体"/>
          <w:bCs/>
          <w:color w:val="000000"/>
          <w:sz w:val="24"/>
          <w:szCs w:val="22"/>
          <w:highlight w:val="none"/>
        </w:rPr>
        <w:t xml:space="preserve">验收合格无质量、进度等问题的，在所有</w:t>
      </w:r>
      <w:r>
        <w:rPr>
          <w:rFonts w:hint="eastAsia" w:eastAsia="宋体" w:cs="宋体"/>
          <w:bCs/>
          <w:color w:val="000000"/>
          <w:sz w:val="24"/>
          <w:szCs w:val="22"/>
          <w:highlight w:val="none"/>
          <w:lang w:eastAsia="zh-CN"/>
        </w:rPr>
        <w:t xml:space="preserve">施工、设备</w:t>
      </w:r>
      <w:r>
        <w:rPr>
          <w:rFonts w:hint="eastAsia" w:eastAsia="宋体" w:cs="宋体"/>
          <w:bCs/>
          <w:color w:val="000000"/>
          <w:sz w:val="24"/>
          <w:szCs w:val="22"/>
          <w:highlight w:val="none"/>
        </w:rPr>
        <w:t xml:space="preserve">验收合格之日起，在30个工作日内一次性退还履约保证金；</w:t>
      </w:r>
      <w:r>
        <w:rPr>
          <w:rFonts w:eastAsia="宋体" w:cs="宋体"/>
          <w:color w:val="000000"/>
          <w:sz w:val="24"/>
          <w:highlight w:val="none"/>
        </w:rPr>
        <w:t xml:space="preserve">如采购人迟于约定时间退还履约保证金，除不可抗力因素外，自超过付款期限之日起，</w:t>
      </w:r>
      <w:r>
        <w:rPr>
          <w:rFonts w:hint="eastAsia" w:eastAsia="宋体" w:cs="宋体"/>
          <w:color w:val="000000"/>
          <w:sz w:val="24"/>
          <w:highlight w:val="none"/>
        </w:rPr>
        <w:t xml:space="preserve">按照逾期部分的每日0.01%支付违约金</w:t>
      </w:r>
      <w:r>
        <w:rPr>
          <w:rFonts w:eastAsia="宋体" w:cs="宋体"/>
          <w:color w:val="000000"/>
          <w:sz w:val="24"/>
          <w:highlight w:val="none"/>
        </w:rPr>
        <w:t xml:space="preserve">。</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2"/>
          <w:highlight w:val="none"/>
        </w:rPr>
        <w:t xml:space="preserve">4</w:t>
      </w:r>
      <w:r>
        <w:rPr>
          <w:rFonts w:hint="eastAsia" w:eastAsia="宋体" w:cs="宋体"/>
          <w:color w:val="000000"/>
          <w:sz w:val="24"/>
          <w:szCs w:val="22"/>
          <w:highlight w:val="none"/>
          <w:lang w:val="en-US" w:eastAsia="zh-CN"/>
        </w:rPr>
        <w:t xml:space="preserve">.</w:t>
      </w:r>
      <w:r>
        <w:rPr>
          <w:rFonts w:hint="eastAsia" w:eastAsia="宋体" w:cs="宋体"/>
          <w:color w:val="000000"/>
          <w:sz w:val="24"/>
          <w:szCs w:val="22"/>
          <w:highlight w:val="none"/>
        </w:rPr>
        <w:t xml:space="preserve">发生以下情况的，履约保证金不予退还或部分退还：</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2"/>
          <w:highlight w:val="none"/>
        </w:rPr>
        <w:t xml:space="preserve">（1）签订合同后，中标供应商不履行合同义务的，采购人有权全额扣除履约保证金，全额不予退还，同时采购人亦有权终止合同，中标供应商还须承担相应的法律赔偿责任。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2"/>
          <w:highlight w:val="none"/>
        </w:rPr>
        <w:t xml:space="preserve">（2）中标供应商在履约过程中发生违约行为，给采购人造成损失的，采购人有权在中标供应商缴纳的履约保证金中予以扣款，以弥补采购人经济损失，不足的部分中标供应商另外补齐。</w:t>
      </w:r>
      <w:r/>
    </w:p>
    <w:p>
      <w:pPr>
        <w:contextualSpacing/>
        <w:ind w:firstLine="482"/>
        <w:jc w:val="left"/>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5</w:t>
      </w:r>
      <w:r>
        <w:rPr>
          <w:rFonts w:hint="eastAsia" w:eastAsia="宋体"/>
          <w:b/>
          <w:bCs/>
          <w:color w:val="000000"/>
          <w:sz w:val="24"/>
          <w:szCs w:val="24"/>
          <w:highlight w:val="none"/>
          <w:lang w:val="en-US" w:eastAsia="zh-CN"/>
        </w:rPr>
        <w:t xml:space="preserve">.</w:t>
      </w:r>
      <w:r>
        <w:rPr>
          <w:rFonts w:hint="eastAsia" w:eastAsia="宋体"/>
          <w:b/>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一</w:t>
      </w:r>
      <w:r>
        <w:rPr>
          <w:rFonts w:hint="eastAsia" w:eastAsia="宋体"/>
          <w:b/>
          <w:bCs/>
          <w:color w:val="000000"/>
          <w:sz w:val="24"/>
          <w:szCs w:val="24"/>
          <w:highlight w:val="none"/>
        </w:rPr>
        <w:t xml:space="preserve">、授予合同</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1.签订合同</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1.l</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中标人应当在中标通知书发出之日起三十日内，按照招标文件确定的事项与招标人签订政府采购合同。</w:t>
      </w:r>
      <w:r/>
    </w:p>
    <w:p>
      <w:pPr>
        <w:contextualSpacing/>
        <w:ind w:firstLine="482"/>
        <w:keepLines w:val="0"/>
        <w:keepNext w:val="0"/>
        <w:pageBreakBefore w:val="0"/>
        <w:spacing w:line="360" w:lineRule="auto"/>
        <w:widowControl w:val="off"/>
        <w:rPr>
          <w:rFonts w:hint="eastAsia" w:eastAsia="宋体"/>
          <w:b/>
          <w:bCs w:val="0"/>
          <w:color w:val="000000"/>
          <w:sz w:val="24"/>
          <w:szCs w:val="24"/>
          <w:highlight w:val="none"/>
        </w:rPr>
      </w:pPr>
      <w:r>
        <w:rPr>
          <w:rFonts w:hint="eastAsia" w:eastAsia="宋体"/>
          <w:b/>
          <w:bCs w:val="0"/>
          <w:color w:val="000000"/>
          <w:sz w:val="24"/>
          <w:szCs w:val="24"/>
          <w:highlight w:val="none"/>
        </w:rPr>
        <w:t xml:space="preserve">签订合同时需做好提交各类声明函、承诺函、业绩证明、资质、职称证书等相应原件的核查准备；核查后发现虚假或违背承诺的，依照相关法律法规规定处理。</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招标文件、中标人的投标文件及投标过程中有关澄清、承诺文件均应作为合同附件。</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1.3</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签订合同后，</w:t>
      </w:r>
      <w:r>
        <w:rPr>
          <w:rFonts w:hint="eastAsia" w:eastAsia="宋体"/>
          <w:bCs/>
          <w:color w:val="000000"/>
          <w:sz w:val="24"/>
          <w:szCs w:val="24"/>
          <w:highlight w:val="none"/>
          <w:u w:val="single"/>
        </w:rPr>
        <w:t xml:space="preserve">中标人不得将合同标的进行转包</w:t>
      </w:r>
      <w:r>
        <w:rPr>
          <w:rFonts w:hint="eastAsia" w:eastAsia="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2.标的物的追加</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2.1</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2"/>
        <w:keepLines w:val="0"/>
        <w:keepNext w:val="0"/>
        <w:pageBreakBefore w:val="0"/>
        <w:spacing w:line="360" w:lineRule="auto"/>
        <w:widowControl w:val="off"/>
        <w:rPr>
          <w:rFonts w:eastAsia="宋体"/>
          <w:bCs/>
          <w:color w:val="000000"/>
          <w:sz w:val="24"/>
          <w:szCs w:val="24"/>
          <w:highlight w:val="none"/>
        </w:rPr>
      </w:pPr>
      <w:r>
        <w:rPr>
          <w:rFonts w:hint="eastAsia" w:eastAsia="宋体"/>
          <w:bCs/>
          <w:color w:val="000000"/>
          <w:sz w:val="24"/>
          <w:szCs w:val="24"/>
          <w:highlight w:val="none"/>
        </w:rPr>
        <w:t xml:space="preserve">2.2</w:t>
      </w:r>
      <w:r>
        <w:rPr>
          <w:rFonts w:hint="eastAsia" w:eastAsia="宋体"/>
          <w:bCs/>
          <w:color w:val="000000"/>
          <w:sz w:val="24"/>
          <w:szCs w:val="24"/>
          <w:highlight w:val="none"/>
          <w:lang w:val="en-US" w:eastAsia="zh-CN"/>
        </w:rPr>
        <w:t xml:space="preserve"> </w:t>
      </w:r>
      <w:r>
        <w:rPr>
          <w:rFonts w:hint="eastAsia" w:eastAsia="宋体"/>
          <w:bCs/>
          <w:color w:val="000000"/>
          <w:sz w:val="24"/>
          <w:szCs w:val="24"/>
          <w:highlight w:val="none"/>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3. 政府采购合同信用融资扶持政策</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0"/>
        <w:keepLines w:val="0"/>
        <w:keepNext w:val="0"/>
        <w:pageBreakBefore w:val="0"/>
        <w:spacing w:line="360" w:lineRule="auto"/>
        <w:widowControl w:val="off"/>
        <w:rPr>
          <w:rFonts w:hint="eastAsia" w:eastAsia="宋体"/>
          <w:b/>
          <w:bCs/>
          <w:color w:val="000000"/>
          <w:sz w:val="24"/>
          <w:szCs w:val="24"/>
          <w:highlight w:val="none"/>
          <w:lang w:val="en-US" w:eastAsia="zh-CN"/>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二</w:t>
      </w:r>
      <w:r>
        <w:rPr>
          <w:rFonts w:hint="eastAsia" w:eastAsia="宋体"/>
          <w:b/>
          <w:bCs/>
          <w:color w:val="000000"/>
          <w:sz w:val="24"/>
          <w:szCs w:val="24"/>
          <w:highlight w:val="none"/>
        </w:rPr>
        <w:t xml:space="preserve">、</w:t>
      </w:r>
      <w:r>
        <w:rPr>
          <w:rFonts w:hint="eastAsia" w:eastAsia="宋体"/>
          <w:b/>
          <w:bCs/>
          <w:color w:val="000000"/>
          <w:sz w:val="24"/>
          <w:szCs w:val="24"/>
          <w:highlight w:val="none"/>
          <w:lang w:val="en-US" w:eastAsia="zh-CN"/>
        </w:rPr>
        <w:t xml:space="preserve">验收</w:t>
      </w:r>
      <w:r/>
    </w:p>
    <w:p>
      <w:pPr>
        <w:contextualSpacing/>
        <w:ind w:firstLine="480"/>
        <w:keepLines w:val="0"/>
        <w:keepNext w:val="0"/>
        <w:pageBreakBefore w:val="0"/>
        <w:spacing w:line="360" w:lineRule="auto"/>
        <w:widowControl w:val="off"/>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contextualSpacing/>
        <w:ind w:firstLine="480"/>
        <w:keepLines w:val="0"/>
        <w:keepNext w:val="0"/>
        <w:pageBreakBefore w:val="0"/>
        <w:spacing w:line="360" w:lineRule="auto"/>
        <w:widowControl w:val="off"/>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2.采购人可以邀请参加本项目的其他投标人或者第三方机构参与验收。参与验收的投标人或者第三方机构的意见作为验收书的参考资料一并存档。</w:t>
      </w:r>
      <w:r/>
    </w:p>
    <w:p>
      <w:pPr>
        <w:contextualSpacing/>
        <w:ind w:firstLine="480"/>
        <w:keepLines w:val="0"/>
        <w:keepNext w:val="0"/>
        <w:pageBreakBefore w:val="0"/>
        <w:spacing w:line="360" w:lineRule="auto"/>
        <w:widowControl w:val="off"/>
        <w:rPr>
          <w:rFonts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480"/>
        <w:keepLines w:val="0"/>
        <w:keepNext w:val="0"/>
        <w:pageBreakBefore w:val="0"/>
        <w:spacing w:line="360" w:lineRule="auto"/>
        <w:widowControl w:val="off"/>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十三、</w:t>
      </w:r>
      <w:r>
        <w:rPr>
          <w:rFonts w:hint="eastAsia" w:eastAsia="宋体"/>
          <w:b/>
          <w:bCs/>
          <w:color w:val="000000"/>
          <w:sz w:val="24"/>
          <w:szCs w:val="24"/>
          <w:highlight w:val="none"/>
        </w:rPr>
        <w:t xml:space="preserve">电子招标投标交易平台</w:t>
      </w:r>
      <w:r/>
    </w:p>
    <w:p>
      <w:pPr>
        <w:contextualSpacing/>
        <w:ind w:firstLine="482"/>
        <w:keepLines w:val="0"/>
        <w:keepNext w:val="0"/>
        <w:pageBreakBefore w:val="0"/>
        <w:spacing w:line="360" w:lineRule="auto"/>
        <w:widowControl w:val="off"/>
        <w:rPr>
          <w:rFonts w:hint="eastAsia" w:eastAsia="宋体"/>
          <w:bCs/>
          <w:color w:val="000000"/>
          <w:sz w:val="24"/>
          <w:szCs w:val="24"/>
          <w:highlight w:val="none"/>
          <w:lang w:val="en-US" w:eastAsia="zh-CN"/>
        </w:rPr>
      </w:pPr>
      <w:r>
        <w:rPr>
          <w:rFonts w:hint="eastAsia" w:eastAsia="宋体"/>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"http://jszfcg.jsczt.cn/）相关要求是本招标文件的组成部分。" \o "http://jszfcg.jsczt.cn/）相关要求是本招标文件的组成部分。" </w:instrText>
      </w:r>
      <w:r>
        <w:rPr>
          <w:color w:val="000000"/>
          <w:highlight w:val="none"/>
        </w:rPr>
        <w:fldChar w:fldCharType="separate"/>
      </w:r>
      <w:r>
        <w:rPr>
          <w:rStyle w:val="974"/>
          <w:rFonts w:hint="eastAsia" w:eastAsia="宋体"/>
          <w:bCs/>
          <w:color w:val="000000"/>
          <w:sz w:val="24"/>
          <w:szCs w:val="24"/>
          <w:highlight w:val="none"/>
        </w:rPr>
        <w:t xml:space="preserve">http://jszfcg.jsczt.cn/）相关要求是本招标文件的组成部分。</w:t>
      </w:r>
      <w:r>
        <w:rPr>
          <w:rStyle w:val="974"/>
          <w:rFonts w:hint="eastAsia" w:eastAsia="宋体"/>
          <w:bCs/>
          <w:color w:val="000000"/>
          <w:sz w:val="24"/>
          <w:szCs w:val="24"/>
          <w:highlight w:val="none"/>
        </w:rPr>
        <w:fldChar w:fldCharType="end"/>
      </w:r>
      <w:r/>
    </w:p>
    <w:p>
      <w:pPr>
        <w:contextualSpacing/>
        <w:ind w:firstLine="480"/>
        <w:keepLines w:val="0"/>
        <w:keepNext w:val="0"/>
        <w:pageBreakBefore w:val="0"/>
        <w:spacing w:line="360" w:lineRule="auto"/>
        <w:widowControl w:val="off"/>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四</w:t>
      </w:r>
      <w:r>
        <w:rPr>
          <w:rFonts w:hint="eastAsia" w:eastAsia="宋体"/>
          <w:b/>
          <w:bCs/>
          <w:color w:val="000000"/>
          <w:sz w:val="24"/>
          <w:szCs w:val="24"/>
          <w:highlight w:val="none"/>
        </w:rPr>
        <w:t xml:space="preserve">、</w:t>
      </w:r>
      <w:r>
        <w:rPr>
          <w:rFonts w:eastAsia="宋体"/>
          <w:b/>
          <w:bCs/>
          <w:color w:val="000000"/>
          <w:sz w:val="24"/>
          <w:szCs w:val="24"/>
          <w:highlight w:val="none"/>
        </w:rPr>
        <w:t xml:space="preserve">未尽事宜</w:t>
      </w:r>
      <w:r/>
    </w:p>
    <w:p>
      <w:pPr>
        <w:contextualSpacing/>
        <w:ind w:firstLine="482"/>
        <w:jc w:val="left"/>
        <w:keepLines w:val="0"/>
        <w:keepNext w:val="0"/>
        <w:pageBreakBefore w:val="0"/>
        <w:spacing w:line="360" w:lineRule="auto"/>
        <w:widowControl w:val="off"/>
        <w:rPr>
          <w:rFonts w:eastAsia="宋体"/>
          <w:b/>
          <w:bCs/>
          <w:color w:val="000000"/>
          <w:sz w:val="21"/>
          <w:szCs w:val="21"/>
          <w:highlight w:val="none"/>
        </w:rPr>
        <w:sectPr>
          <w:headerReference w:type="default" r:id="rId12"/>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000000"/>
          <w:sz w:val="24"/>
          <w:szCs w:val="24"/>
          <w:highlight w:val="none"/>
        </w:rPr>
        <w:t xml:space="preserve">按《中华人民共和国政府采购法》及其他有关法律法规的规定执行。</w:t>
      </w:r>
      <w:r/>
    </w:p>
    <w:p>
      <w:pPr>
        <w:jc w:val="center"/>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第三章 项目需求</w:t>
      </w:r>
      <w:r/>
    </w:p>
    <w:p>
      <w:pPr>
        <w:pStyle w:val="888"/>
        <w:ind w:firstLine="480"/>
        <w:pageBreakBefore w:val="0"/>
        <w:spacing w:line="360" w:lineRule="auto"/>
        <w:widowControl w:val="off"/>
        <w:rPr>
          <w:rFonts w:hint="eastAsia" w:ascii="宋体" w:hAnsi="宋体" w:eastAsia="宋体" w:cs="宋体"/>
          <w:b w:val="0"/>
          <w:color w:val="000000"/>
          <w:sz w:val="24"/>
          <w:szCs w:val="24"/>
          <w:highlight w:val="none"/>
        </w:rPr>
      </w:pPr>
      <w:r/>
      <w:bookmarkStart w:id="8" w:name="_Toc182848996"/>
      <w:r>
        <w:rPr>
          <w:rFonts w:hint="eastAsia" w:ascii="宋体" w:hAnsi="宋体" w:eastAsia="宋体" w:cs="宋体"/>
          <w:b w:val="0"/>
          <w:color w:val="000000"/>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p>
    <w:p>
      <w:pPr>
        <w:pStyle w:val="888"/>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p>
    <w:p>
      <w:pPr>
        <w:contextualSpacing/>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一、需求总则</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1.关于优先采购：</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（2）本次招标采购涉及产品如列入节能产品、环境标志产品实施品目清单的，各公开招标响应供应商应提供国家确定的认证机构出具的、处于有效期之内的节能产品、环境标志产品认证证书。</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2.绿色采购</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1.本次采购需切实履行绿色采购。</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1.1商品包装环保要求：应当按《关于印发〈商品包装政府采购需求标准（试行）〉、〈快递包装政府采购需求标准（试行）〉的通知》（财办库〔2020〕123号）文件执行。</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（1）商品包装层数不得超过 3 层，空隙率不大于40%；</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（2）商品包装尽可能使用单一材质的包装材料，如因功能需求必需使用不同材质，不同材质间应便于分离；</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（3）商品包装中铅、汞、镉、六价铬的总含量应不大于100mg/kg；</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（4）商品包装印刷使用的油墨中挥发性有机化合物(VOCs)含量应不大于 5%（以重量计）；</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（5）塑料材质商品包装上呈现的印刷颜色不得超过 6 色；</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（6）纸质商品包装应使用 75%以上的可再生纤维原料生产；</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（7）木质商品包装的原料应来源于可持续性森林。</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1.2快递包装环保要求：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（1）快递包装中重金属（铅、汞、镉、六价铬）总量应不大于 100mg/kg；</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（2）快递包装印刷使用的油墨中不应添加邻苯二甲酸酯，其挥发性有机化合物(VOCs)含量应不大于5%（以重量计）；</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（3）快递包装中使用纸基材的包装材料，纸基材中的有机氯的含量应不大于 150 mg/kg；</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（5）快递中使用的塑料包装袋不得使用聚氯乙烯作为原料，且原料应为单一材质制成，生物分解率大于60%；</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（6）快递中使用的充气类填充物不得使用聚氯乙烯作为原料，且原料为单一材质制成，生物分解率大于60%；</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（7）快递中使用的集装袋应为单一材质制成，其重复使用次数应不小于 80 次；</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（8）快递中应使用幅宽不大于45mm 的生物降解胶带；</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（9）快递包装中不得使用溶剂型胶粘剂；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（11）快递应使用电子面单；</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（12）直接使用商品包装作为快递包装的商品，其商品包装满足《商品包装政府采购需求标准（试行）》即可；</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（13）快递包装产品质量和封装方式应符合相关国家或行业标准技术指标要求。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关于招标项目涉及产品：</w:t>
      </w:r>
      <w:r/>
    </w:p>
    <w:p>
      <w:pPr>
        <w:contextualSpacing/>
        <w:ind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p>
    <w:p>
      <w:pPr>
        <w:contextualSpacing/>
        <w:ind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3）本项目采购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contextualSpacing/>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二、项目公开招标响应说明</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公开招标响应供应商不能简单照搬照抄招标项目需求说明中的技术要求，必须作实事求是的响应：</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1.照搬照抄项目需求说明中的技术要求，一旦中标，在与采购人签订合同和履约环节中不得提出异议，一切后果和损失由中标人承担。</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2.公开招标响应供应商提供的货物和服务与采购人提出的项目需求说明中的技术要求不同，必</w:t>
      </w:r>
      <w:bookmarkStart w:id="9" w:name="_Hlk69896050"/>
      <w:r>
        <w:rPr>
          <w:rFonts w:hint="eastAsia" w:ascii="宋体" w:hAnsi="宋体" w:eastAsia="宋体" w:cs="宋体"/>
          <w:bCs/>
          <w:color w:val="000000"/>
          <w:sz w:val="24"/>
          <w:szCs w:val="24"/>
          <w:highlight w:val="none"/>
        </w:rPr>
        <w:t xml:space="preserve">须在逐一逐条响应的《技术条款响应正负偏离表》上明示偏离的部分。</w:t>
      </w:r>
      <w:bookmarkEnd w:id="9"/>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3.项目需求产品的技术参数响应：</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（1）指标排它性的证明材料；</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（2）产品调整对比表；</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（3）调整后产品的详细技术参数；</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三、项目范围及要求</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（一）</w:t>
      </w:r>
      <w:r>
        <w:rPr>
          <w:rFonts w:hint="eastAsia" w:ascii="宋体" w:hAnsi="宋体" w:eastAsia="宋体" w:cs="宋体"/>
          <w:b/>
          <w:bCs w:val="0"/>
          <w:color w:val="000000"/>
          <w:sz w:val="24"/>
          <w:szCs w:val="24"/>
          <w:highlight w:val="none"/>
        </w:rPr>
        <w:t xml:space="preserve">项目概况</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南通博物苑作为中国人创办的第一座公共博物馆，融地方历史与自然园林于一体，秉承创办者张謇先生“设为庠序学校以教，多识鸟兽昔草木之名”的办苑宗旨。在创办博物苑的规划、建设过程中，张謇以其对博物馆职能的深切理解，创造性地将中国古代苑囿艺术和西方近代博物馆理相融全，营建成一种陈列馆舍与园林环境有机结合的形式，使博物馆在中国诞生之时，就体现出浓郁的本土化民族特色。</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博物苑展馆与园林结合，室内陈列与室外展示并重，静止的标本与活生生的动植物相映，既充分体现了张謇“设为庠序学校以教，多识鸟兽草木之名”的办馆宗旨，又很好发挥了博物馆传播历史文化与科学知识的功能；苑内各具特色的建筑和精心布局的景点，又为人们的学习、休闲，营造出高雅的环境氛围。</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迎接建苑120周年，增强游客互动体验，讲好古代南通的故事，展现南通悠久的历史和独特的人文，守护好、传承好、展示好中华文明优秀成果，本项目针对博物苑历史区建筑室内布展及部分室外区域进行提升改造。</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（二）项目目标</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旨在通过复原中国第一座博物馆，复现博物馆建设核心理念，强化南通博物苑精神性表达，站在南通视角看中国博物馆事业发展，打造属于博物馆人的圣地。向世界展现张謇“夫学不可以无征”的建苑目的、教育强国强民的梦想，以及超越时代的博物馆理念。</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（三）采购内容</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北馆：张謇的博物馆学思想展览陈列。</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中馆：南通博物苑苑史及苑藏金石碑刻陈列。</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南馆：南通博物苑早期复原陈列。</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东馆：南通博物苑服务接待中心。</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藤东水榭：室内外主题茶歇空间。</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谦亭：多功能展示空间。</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室外区域：苑内历史区内文化导视设计制作（19处）、南馆外古物保护亭深化施工。</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（四）范围和要求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范围</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现对博物苑内北馆、中馆、南馆、东馆、藤东水榭、谦亭及部分室外区域进行布展与提升改造，室内布展面积总计约1466㎡，其中北馆约436㎡，中馆约164㎡，南馆室内约475㎡及户外古物保护亭，东馆约180㎡，藤东水榭室内约31㎡及户外茶歇区，谦亭约180㎡，苑内历史区内文化导视深化制作（19处）。</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项目实施要求：</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 </w:t>
      </w:r>
      <w:r>
        <w:rPr>
          <w:rFonts w:hint="eastAsia" w:ascii="宋体" w:hAnsi="宋体" w:eastAsia="宋体" w:cs="宋体"/>
          <w:bCs/>
          <w:color w:val="000000"/>
          <w:sz w:val="24"/>
          <w:szCs w:val="24"/>
          <w:highlight w:val="none"/>
        </w:rPr>
        <w:t xml:space="preserve">展项落地：包括重点多媒体展项深化及落地、重点艺术场景深化及落地、柜内陈列深化及落地、版面深化及落地、展柜深化及落地、灯光深化及落地、导视导览深化及落地等本项目所涉及的重点深化及落地工作；</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2.2 </w:t>
      </w:r>
      <w:r>
        <w:rPr>
          <w:rFonts w:hint="eastAsia" w:ascii="宋体" w:hAnsi="宋体" w:eastAsia="宋体" w:cs="宋体"/>
          <w:bCs/>
          <w:color w:val="000000"/>
          <w:sz w:val="24"/>
          <w:szCs w:val="24"/>
          <w:highlight w:val="none"/>
        </w:rPr>
        <w:t xml:space="preserve">设备采购：包括所有设备设施的采购、安装及保修期内的保修、缺陷修复等相关服务工作；</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 </w:t>
      </w:r>
      <w:r>
        <w:rPr>
          <w:rFonts w:hint="eastAsia" w:ascii="宋体" w:hAnsi="宋体" w:eastAsia="宋体" w:cs="宋体"/>
          <w:bCs/>
          <w:color w:val="000000"/>
          <w:sz w:val="24"/>
          <w:szCs w:val="24"/>
          <w:highlight w:val="none"/>
        </w:rPr>
        <w:t xml:space="preserve">项目施工：包括展厅基础装饰与搭建、多媒体策划及制作、艺术场景策划及制作安装、展柜制作安装、灯光选型及安装调试、美工制作及安装、导视导览制作安装等与本项目相关的所有内容的施工工作；</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 </w:t>
      </w:r>
      <w:r>
        <w:rPr>
          <w:rFonts w:hint="eastAsia" w:ascii="宋体" w:hAnsi="宋体" w:eastAsia="宋体" w:cs="宋体"/>
          <w:bCs/>
          <w:color w:val="000000"/>
          <w:sz w:val="24"/>
          <w:szCs w:val="24"/>
          <w:highlight w:val="none"/>
        </w:rPr>
        <w:t xml:space="preserve">管理服务：包括各项工作、各个专业、人员之间的管理和协调工作，项目前后期相关手续办理、资料整理存档，配合竣工验收（含各专项验收）及备案、项目移交，做好保修管理等服务。</w:t>
      </w:r>
      <w:r/>
    </w:p>
    <w:p>
      <w:pPr>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验收要求：须符合我国最新颁布的与之相关的技术规范与标准，并同时满足招标文件要求和中标人所作承诺。</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四、重点设备参数要求</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（一）展柜技术参数要求</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（二）专业灯光系统（照明）技术参数要求</w:t>
      </w:r>
      <w:r/>
    </w:p>
    <w:p>
      <w:pPr>
        <w:contextualSpacing/>
        <w:ind w:firstLine="482"/>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（三）多媒体硬件技术参数要求</w:t>
      </w:r>
      <w:r/>
    </w:p>
    <w:p>
      <w:pPr>
        <w:contextualSpacing/>
        <w:ind w:firstLine="482"/>
        <w:pageBreakBefore w:val="0"/>
        <w:spacing w:line="360" w:lineRule="auto"/>
        <w:widowControl w:val="off"/>
        <w:rPr>
          <w:rFonts w:hint="eastAsia" w:eastAsia="宋体" w:cs="宋体"/>
          <w:b/>
          <w:bCs w:val="0"/>
          <w:color w:val="000000"/>
          <w:sz w:val="24"/>
          <w:szCs w:val="24"/>
          <w:highlight w:val="none"/>
          <w:lang w:val="en-US" w:eastAsia="zh-CN"/>
        </w:rPr>
      </w:pPr>
      <w:r>
        <w:rPr>
          <w:rFonts w:hint="eastAsia" w:eastAsia="宋体" w:cs="宋体"/>
          <w:b/>
          <w:bCs w:val="0"/>
          <w:color w:val="000000"/>
          <w:sz w:val="24"/>
          <w:szCs w:val="24"/>
          <w:highlight w:val="none"/>
          <w:lang w:val="en-US" w:eastAsia="zh-CN"/>
        </w:rPr>
        <w:br w:type="page" w:clear="all"/>
      </w:r>
      <w:r/>
    </w:p>
    <w:p>
      <w:pPr>
        <w:jc w:val="center"/>
        <w:keepLines/>
        <w:keepNext/>
        <w:pageBreakBefore w:val="0"/>
        <w:spacing w:after="326"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8"/>
          <w:szCs w:val="28"/>
          <w:lang w:eastAsia="zh-CN"/>
        </w:rPr>
        <w:t xml:space="preserve">（一）</w:t>
      </w:r>
      <w:r>
        <w:rPr>
          <w:rFonts w:hint="eastAsia" w:ascii="宋体" w:hAnsi="宋体" w:eastAsia="宋体" w:cs="宋体"/>
          <w:b/>
          <w:bCs/>
          <w:sz w:val="28"/>
          <w:szCs w:val="28"/>
        </w:rPr>
        <w:t xml:space="preserve">展柜技术参数要求</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1.展柜外观及形式结构要求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（1）展柜外观与展厅展陈设计风格协调统一，箱体及玻璃比例符合美观、安全、开启便利的设计需求，在满足技术和使用功能的情况下综合考虑。</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（2）展柜主体要求采用金属框结构，各部分具备独立空间，互不干扰。</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（3）展柜骨架要求采用标准型金属或复合型坚固材料，具有自重稳定性和抗撞击稳固性，同时具备超强的承载力以及防砸、防撬不易变形的功能。</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（4）展柜箱体要求表面采用喷涂工艺，涂层色泽均匀一致，表面平整、无划痕、无橘皮现象，涂层颜色根据甲方要求定制。</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（5）展柜外形及尺寸要符合招标文件参数要求，误差符合相关标准要求。</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2.展柜性能要求</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 展柜微环境要求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展柜应遵照馆藏展品预防性保护的理念，严格控制展柜制作材料环境安全性等级，展示空间内部使用的制作材料、装饰材料和辅助展具材料，均应为环保材料，对文物的保存无不良影响。展柜应进行封闭处理，以避免甲酸和甲醛等有害气体的释放。</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bCs/>
          <w:color w:val="000000"/>
          <w:sz w:val="24"/>
          <w:szCs w:val="24"/>
        </w:rPr>
        <w:t xml:space="preserve">（2）严格控制柜内使用各种材料所散发的挥发物对文物存在的潜在危害，柜内的污染气体限值需满足，甲醛含量≤0.02mg/m3、苯≤0.01mg/m3、甲苯≤0.01mg/m3、挥发性有机化合物（TVO</w:t>
      </w:r>
      <w:r>
        <w:rPr>
          <w:rFonts w:hint="eastAsia" w:ascii="宋体" w:hAnsi="宋体" w:eastAsia="宋体" w:cs="宋体"/>
          <w:bCs/>
          <w:color w:val="000000"/>
          <w:sz w:val="24"/>
          <w:szCs w:val="24"/>
          <w:shd w:val="clear" w:color="auto"/>
        </w:rPr>
        <w:t xml:space="preserve">C）≤0.5mg/m3、氨≤0.05mg/m3、二氧化硫≤0.01mg/m3、二氧化氮≤0.01mg/m3。</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 展柜密封性要求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展柜为整体密闭型结构，要求展柜具备较高的密闭性，无漏光现象。</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（1）展柜的内部展示部分应与外界采用密闭措施，基座的出入口与展柜的展陈部出入口分别控制，保证展陈部分的安全及密封性。结构零部件应整体化，所有配件与展柜的连接部位也应具备高密封性。</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（2）根据GB/T36110-2018标准中文物展柜密封性能要求及博物馆需要，展柜换气率≤0.5d-1。</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2.3 展柜开启方式要求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展柜展示空间的开启应采用简便、安全的操作方式，满足一人独立操作开启。展柜门的开启应满足文物安全取放需求。展柜照明、环境监控等设备的日常维护应不需开启展示空间，也无需拆卸展柜的某些部分。</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展柜的开关设计优先考虑展品的安全、方便取放。除非采购人特别指定，应按照展陈设计需求，以及展柜的类型、尺寸、位置、展品尺寸、操作人员习惯等因素设计展柜开启方式。无论是何种开启方式，应遵循安全、可一人能独立操作的原则，一般应符合如下基本要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a.通柜一般采用电动推出手动左右平移开启方式；</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b.独立柜一般采用手动90°开启方式或电动推出手动左右平移开启方式；</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c.平柜、桌柜一般采用手动掀起开启方式或电动升降开启方式；</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d.龛柜一般采用电动推出手动左右平移开启、手动90°开启或手动掀起开启。</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其中电动开启方式采用无线平板电脑控制，具有运行平稳快捷、无噪音及阻滞现象的特点，并具备安全可靠，快捷简便的功能，确保安全、可靠性。无线连接采用安全系数更高的蜂窝数据控制方式（不能采用WIFI或者蓝牙的连接方式）；智能开启系统可远距离控制，每台展柜与远距离控制器的连接都使用不同的波段，远距离控制器发出的每个信号只能由一台展柜识别。</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3.展柜安全要求</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3.1 展柜结构安全要求</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bCs/>
          <w:color w:val="000000"/>
          <w:sz w:val="24"/>
          <w:szCs w:val="24"/>
        </w:rPr>
        <w:t xml:space="preserve">（1）根据GB/T 10357.5-2023的技术要求，展柜顶板和底板持续加载试验后，最大挠度小于0.5%；通过结构、底架和支脚强度试验以及跌落试验，所有部件、连接件应无断裂损坏，无严重影响使用功能的磨损或变形。</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bCs/>
          <w:color w:val="000000"/>
          <w:sz w:val="24"/>
          <w:szCs w:val="24"/>
        </w:rPr>
        <w:t xml:space="preserve">（2）为保证展柜整体结构牢固，展柜所用螺栓需符合GB/T 3098.1-2010的技术要求，抗拉强度≥900MPa，下屈服强度≥830MPa。</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3.2 展柜防盗安全要求</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lang w:eastAsia="zh-CN"/>
        </w:rPr>
      </w:pPr>
      <w:r>
        <w:rPr>
          <w:rFonts w:hint="eastAsia" w:ascii="宋体" w:hAnsi="宋体" w:eastAsia="宋体" w:cs="宋体"/>
          <w:bCs/>
          <w:color w:val="000000"/>
          <w:sz w:val="24"/>
          <w:szCs w:val="24"/>
        </w:rPr>
        <w:t xml:space="preserve">（1）所有展柜采用博物馆展柜专用的安全锁具，安全牢固、操作简单方便，锁具安装位置具有隐蔽性。使用的锁体及钥匙的材料为超硬度的耐磨、防锈材料；锁具性能满足GA/T 73-2015《机械防盗锁》中规定的C级检测标准。</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ind w:firstLine="480"/>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（2）所有展柜配备布线、端口等充分考虑系统通用性与兼容性，并预留报警系统空间以备今后检修及改造升级。 </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3.3 展柜电气安全要求</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sz w:val="24"/>
          <w:szCs w:val="24"/>
        </w:rPr>
        <w:t xml:space="preserve">（1）根据GB 4706.1-2005的技术要求，展柜接地端子或接地触点与接地金属部件之间的连接，应具有低电阻值，该电阻值应≤0.1Ω；展柜经过耐潮湿试验后的泄漏电流试验，带电部件和连接金属箔的易触及部件之间电流应≤3.5mA；展柜经过耐潮湿试验后的电气强度试验，带电部件与易触及部件之间应未击穿。</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4.展柜照明要求</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4.1 展柜照明整体要求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(1)展柜照明设计应符合现行国家标准《博物馆建筑设计规范》JGJ66-2015、《博物馆照明设计规范》GB/T23863-2009和《建筑照明设计标准》GB 50034-2013的规定。运用先进的照明设计理念，从文物保护、视觉需求及展示艺术效果出发，合理并有针对性地配置光源。照明设备应合理安装，具有通风散热措施，电器设施空间应与展陈空间分离，以保证陈列与维修的分别管理，保护展陈空间展品。变压器，控制开关，风扇应安装过载保护装置。</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(2)展厅内展品的照明应根据展品的类别确定，且照度标准值不应大于下表的规定：</w:t>
      </w:r>
      <w:r/>
    </w:p>
    <w:p>
      <w:pPr>
        <w:jc w:val="center"/>
        <w:spacing w:line="360" w:lineRule="auto"/>
        <w:shd w:val="clear" w:color="auto"/>
        <w:rPr>
          <w:rFonts w:hint="eastAsia" w:ascii="宋体" w:hAnsi="宋体" w:eastAsia="宋体" w:cs="宋体"/>
          <w:sz w:val="24"/>
          <w:szCs w:val="24"/>
        </w:rPr>
      </w:pPr>
      <w:r>
        <w:rPr>
          <w:rFonts w:hint="eastAsia" w:ascii="宋体" w:hAnsi="宋体" w:eastAsia="宋体" w:cs="宋体"/>
          <w:b/>
          <w:bCs/>
          <w:sz w:val="24"/>
          <w:szCs w:val="24"/>
        </w:rPr>
        <w:t xml:space="preserve">展厅展品照度标准值</w:t>
      </w:r>
      <w:r/>
    </w:p>
    <w:tbl>
      <w:tblPr>
        <w:tblStyle w:val="857"/>
        <w:tblW w:w="9055" w:type="dxa"/>
        <w:jc w:val="center"/>
        <w:tblLayout w:type="fixed"/>
        <w:tblCellMar>
          <w:left w:w="0" w:type="dxa"/>
          <w:top w:w="0" w:type="dxa"/>
          <w:right w:w="0" w:type="dxa"/>
          <w:bottom w:w="0" w:type="dxa"/>
        </w:tblCellMar>
        <w:tblLook w:val="04A0" w:firstRow="1" w:lastRow="0" w:firstColumn="1" w:lastColumn="0" w:noHBand="0" w:noVBand="1"/>
      </w:tblPr>
      <w:tblGrid>
        <w:gridCol w:w="4723"/>
        <w:gridCol w:w="1289"/>
        <w:gridCol w:w="1481"/>
        <w:gridCol w:w="1562"/>
      </w:tblGrid>
      <w:tr>
        <w:trPr>
          <w:jc w:val="center"/>
          <w:trHeight w:val="90"/>
        </w:trPr>
        <w:tc>
          <w:tcPr>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ind w:firstLine="501"/>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类别</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参考平面及其高度</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照度标准值(lx)</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年曝光量</w:t>
            </w:r>
            <w:r/>
          </w:p>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(lx²h/a)</w:t>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spacing w:line="360" w:lineRule="auto"/>
              <w:shd w:val="clear" w:color="auto"/>
              <w:rPr>
                <w:rFonts w:hint="eastAsia" w:ascii="宋体" w:hAnsi="宋体" w:eastAsia="宋体" w:cs="宋体"/>
                <w:sz w:val="24"/>
                <w:szCs w:val="24"/>
              </w:rPr>
            </w:pPr>
            <w:r>
              <w:rPr>
                <w:rFonts w:hint="eastAsia" w:ascii="宋体" w:hAnsi="宋体" w:eastAsia="宋体" w:cs="宋体"/>
                <w:spacing w:val="6"/>
                <w:sz w:val="24"/>
                <w:szCs w:val="24"/>
              </w:rPr>
              <w:t xml:space="preserve">对光特别敏感的展品：纺织品、织绣</w:t>
            </w:r>
            <w:r>
              <w:rPr>
                <w:rFonts w:hint="eastAsia" w:ascii="宋体" w:hAnsi="宋体" w:eastAsia="宋体" w:cs="宋体"/>
                <w:spacing w:val="-115"/>
                <w:sz w:val="24"/>
                <w:szCs w:val="24"/>
              </w:rPr>
              <w:t xml:space="preserve"> </w:t>
            </w:r>
            <w:r>
              <w:rPr>
                <w:rFonts w:hint="eastAsia" w:ascii="宋体" w:hAnsi="宋体" w:eastAsia="宋体" w:cs="宋体"/>
                <w:spacing w:val="5"/>
                <w:sz w:val="24"/>
                <w:szCs w:val="24"/>
              </w:rPr>
              <w:t xml:space="preserve">品、绘画、纸质展品、彩绘、陶(石)</w:t>
            </w:r>
            <w:r>
              <w:rPr>
                <w:rFonts w:hint="eastAsia" w:ascii="宋体" w:hAnsi="宋体" w:eastAsia="宋体" w:cs="宋体"/>
                <w:spacing w:val="-112"/>
                <w:sz w:val="24"/>
                <w:szCs w:val="24"/>
              </w:rPr>
              <w:t xml:space="preserve"> </w:t>
            </w:r>
            <w:r>
              <w:rPr>
                <w:rFonts w:hint="eastAsia" w:ascii="宋体" w:hAnsi="宋体" w:eastAsia="宋体" w:cs="宋体"/>
                <w:sz w:val="24"/>
                <w:szCs w:val="24"/>
              </w:rPr>
              <w:t xml:space="preserve">器、染色皮革、动物标本等</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展品面</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≤50</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≤50000</w:t>
            </w:r>
            <w:r/>
          </w:p>
        </w:tc>
      </w:tr>
      <w:tr>
        <w:trPr>
          <w:jc w:val="center"/>
          <w:trHeight w:val="911"/>
        </w:trPr>
        <w:tc>
          <w:tcPr>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spacing w:line="360" w:lineRule="auto"/>
              <w:shd w:val="clear" w:color="auto"/>
              <w:rPr>
                <w:rFonts w:hint="eastAsia" w:ascii="宋体" w:hAnsi="宋体" w:eastAsia="宋体" w:cs="宋体"/>
                <w:sz w:val="24"/>
                <w:szCs w:val="24"/>
              </w:rPr>
            </w:pPr>
            <w:r>
              <w:rPr>
                <w:rFonts w:hint="eastAsia" w:ascii="宋体" w:hAnsi="宋体" w:eastAsia="宋体" w:cs="宋体"/>
                <w:spacing w:val="6"/>
                <w:sz w:val="24"/>
                <w:szCs w:val="24"/>
              </w:rPr>
              <w:t xml:space="preserve">对光敏感的展品：油画、蛋清画、不</w:t>
            </w:r>
            <w:r>
              <w:rPr>
                <w:rFonts w:hint="eastAsia" w:ascii="宋体" w:hAnsi="宋体" w:eastAsia="宋体" w:cs="宋体"/>
                <w:spacing w:val="-118"/>
                <w:sz w:val="24"/>
                <w:szCs w:val="24"/>
              </w:rPr>
              <w:t xml:space="preserve"> </w:t>
            </w:r>
            <w:r>
              <w:rPr>
                <w:rFonts w:hint="eastAsia" w:ascii="宋体" w:hAnsi="宋体" w:eastAsia="宋体" w:cs="宋体"/>
                <w:spacing w:val="6"/>
                <w:sz w:val="24"/>
                <w:szCs w:val="24"/>
              </w:rPr>
              <w:t xml:space="preserve">染色皮革、角制品、骨制品、象牙制</w:t>
            </w:r>
            <w:r>
              <w:rPr>
                <w:rFonts w:hint="eastAsia" w:ascii="宋体" w:hAnsi="宋体" w:eastAsia="宋体" w:cs="宋体"/>
                <w:spacing w:val="-111"/>
                <w:sz w:val="24"/>
                <w:szCs w:val="24"/>
              </w:rPr>
              <w:t xml:space="preserve"> </w:t>
            </w:r>
            <w:r>
              <w:rPr>
                <w:rFonts w:hint="eastAsia" w:ascii="宋体" w:hAnsi="宋体" w:eastAsia="宋体" w:cs="宋体"/>
                <w:sz w:val="24"/>
                <w:szCs w:val="24"/>
              </w:rPr>
              <w:t xml:space="preserve">品、竹木制品和漆器等</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展品面</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≤150</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≤360000</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spacing w:line="360" w:lineRule="auto"/>
              <w:shd w:val="clear" w:color="auto"/>
              <w:rPr>
                <w:rFonts w:hint="eastAsia" w:ascii="宋体" w:hAnsi="宋体" w:eastAsia="宋体" w:cs="宋体"/>
                <w:sz w:val="24"/>
                <w:szCs w:val="24"/>
              </w:rPr>
            </w:pPr>
            <w:r>
              <w:rPr>
                <w:rFonts w:hint="eastAsia" w:ascii="宋体" w:hAnsi="宋体" w:eastAsia="宋体" w:cs="宋体"/>
                <w:spacing w:val="6"/>
                <w:sz w:val="24"/>
                <w:szCs w:val="24"/>
              </w:rPr>
              <w:t xml:space="preserve">对光不敏感的展品：金属制品、石质</w:t>
            </w:r>
            <w:r>
              <w:rPr>
                <w:rFonts w:hint="eastAsia" w:ascii="宋体" w:hAnsi="宋体" w:eastAsia="宋体" w:cs="宋体"/>
                <w:spacing w:val="-115"/>
                <w:sz w:val="24"/>
                <w:szCs w:val="24"/>
              </w:rPr>
              <w:t xml:space="preserve"> </w:t>
            </w:r>
            <w:r>
              <w:rPr>
                <w:rFonts w:hint="eastAsia" w:ascii="宋体" w:hAnsi="宋体" w:eastAsia="宋体" w:cs="宋体"/>
                <w:spacing w:val="-2"/>
                <w:sz w:val="24"/>
                <w:szCs w:val="24"/>
              </w:rPr>
              <w:t xml:space="preserve">器物、陶瓷器、宝玉石器、岩矿标本、</w:t>
            </w:r>
            <w:r>
              <w:rPr>
                <w:rFonts w:hint="eastAsia" w:ascii="宋体" w:hAnsi="宋体" w:eastAsia="宋体" w:cs="宋体"/>
                <w:spacing w:val="-108"/>
                <w:sz w:val="24"/>
                <w:szCs w:val="24"/>
              </w:rPr>
              <w:t xml:space="preserve"> </w:t>
            </w:r>
            <w:r>
              <w:rPr>
                <w:rFonts w:hint="eastAsia" w:ascii="宋体" w:hAnsi="宋体" w:eastAsia="宋体" w:cs="宋体"/>
                <w:sz w:val="24"/>
                <w:szCs w:val="24"/>
              </w:rPr>
              <w:t xml:space="preserve">玻璃制品、搪瓷制品、法琅器等</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展品面</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≤300</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360" w:lineRule="auto"/>
              <w:shd w:val="clear" w:color="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不限制</w:t>
            </w:r>
            <w:r/>
          </w:p>
        </w:tc>
      </w:tr>
    </w:tbl>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 展柜照明产品要求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(1)展柜内应采用LED光源，最大限度地减少灯具光、热等因素对画作展品的损坏,以减少书画暴露在红外线下的开裂及紫外线下的褪色等现象；</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(2)灯具应当尽量隐藏，灯光的照射范围应尽量控制在柜内的展示区域，根据展品大小，灯具角度可调，并能实现调光的灯具投射展品，凸显出展品的细节。</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(3)灯具光源应采用高品质LED芯片，灯具外观材质（外壳）应为高导热压铸铝合金外壳，无外露明线，表面喷粉处理，确保颜色持久、耐磨性强。线性好、无频闪；具有防护眩光的结构设计。</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(4)灯具芯片整体寿命要求不低于50000小时。</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(5)灯具具有良好的散热设计和工艺，灯具与展品陈列区相隔离，调节、维修更换无需开启展柜，安装维护应简便，不占地方，不影响观瞻。</w:t>
      </w:r>
      <w:r/>
    </w:p>
    <w:p>
      <w:pPr>
        <w:contextualSpacing/>
        <w:ind w:firstLine="480"/>
        <w:spacing w:line="360" w:lineRule="auto"/>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(6)灯具技术要求：色温:3000K或4000K，显色指数 CRI≥95，照明灯具具备调光功能，灯具与展品陈列区相隔离，调节、维修更换无需开启展柜，安装维护应简便，不占地方，不影响观瞻。</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5.展柜材料及工艺要求</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5.1 展柜骨架结构要求及工艺处理</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bCs/>
          <w:color w:val="000000"/>
          <w:sz w:val="24"/>
          <w:szCs w:val="24"/>
        </w:rPr>
        <w:t xml:space="preserve">展柜的结构要求达到摆放稳固，使用强度和安全防护要求。展柜骨架型材采用优质金属冷拔矩形管材，所选材料应耐腐蚀或作防腐蚀处理，展柜主体结构采用100*50*2.5mm、50*50*1.5-2.0m、40*40*1.5-2.5mm规格的优质金属冷拔矩形管材。选材的基本性能符合GB/T 6725-2017的规定，下屈服强度或规定塑性延伸强度Rp0.2大于235MPa，抗拉强度处于370～560MPa之间，断后伸长率大于24%。</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contextualSpacing/>
        <w:ind w:firstLine="482"/>
        <w:spacing w:line="360" w:lineRule="auto"/>
        <w:shd w:val="clear" w:color="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5.2 展柜型材要求及工艺处理</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bCs/>
          <w:color w:val="000000"/>
          <w:sz w:val="24"/>
          <w:szCs w:val="24"/>
        </w:rPr>
        <w:t xml:space="preserve">展柜使用的型材要求采用高性能铝合金材料，壁厚不小于3mm，牌号满足6063，实效状态为T5/T6性能；满足抗拉强度大于270N</w:t>
      </w:r>
      <w:r>
        <w:rPr>
          <w:rFonts w:hint="eastAsia" w:ascii="宋体" w:hAnsi="宋体" w:eastAsia="宋体" w:cs="宋体"/>
          <w:bCs/>
          <w:color w:val="000000"/>
          <w:sz w:val="24"/>
          <w:szCs w:val="24"/>
          <w:shd w:val="clear" w:color="auto"/>
        </w:rPr>
        <w:t xml:space="preserve">/mm2，延伸强度大于260N/mm2，断后伸长率大于8%，韦氏硬度大于8HW的技术要求。</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5.3 展柜板材要求及工艺处理</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展柜应采用优质冷轧钢板，厚度不低于1.5mm；钢板符合金属板材的平整度要求，无划伤、开裂或明显变形，外体表面涂层色泽应与展厅风格相融合，色泽一致，不能出现明显色差，表面装饰涂层无脱落，无橘皮，无褶皱。</w:t>
      </w:r>
      <w:r/>
    </w:p>
    <w:p>
      <w:pPr>
        <w:ind w:firstLine="480"/>
        <w:spacing w:line="360" w:lineRule="auto"/>
        <w:shd w:val="clear" w:color="auto"/>
        <w:rPr>
          <w:rFonts w:hint="eastAsia" w:ascii="宋体" w:hAnsi="宋体" w:eastAsia="宋体" w:cs="宋体"/>
          <w:b/>
          <w:bCs/>
          <w:sz w:val="24"/>
          <w:szCs w:val="24"/>
        </w:rPr>
      </w:pPr>
      <w:r>
        <w:rPr>
          <w:rFonts w:hint="eastAsia" w:ascii="宋体" w:hAnsi="宋体" w:eastAsia="宋体" w:cs="宋体"/>
          <w:sz w:val="24"/>
          <w:szCs w:val="24"/>
        </w:rPr>
        <w:t xml:space="preserve">（1）冷轧钢板选材基本性能需符合GB/T 11253-2019的规定，牌号满足Q235及以上标准，下屈服强度或规定非比例延伸强度Rp0.2大于235Mpa，抗拉强度大于370MPa，断后伸长率大于20%</w:t>
      </w:r>
      <w:r>
        <w:rPr>
          <w:rFonts w:hint="eastAsia" w:ascii="宋体" w:hAnsi="宋体" w:eastAsia="宋体" w:cs="宋体"/>
          <w:b/>
          <w:bCs/>
          <w:sz w:val="24"/>
          <w:szCs w:val="24"/>
        </w:rPr>
        <w:t xml:space="preserve">。</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sz w:val="24"/>
          <w:szCs w:val="24"/>
        </w:rPr>
        <w:t xml:space="preserve">（2）展柜饰面金属板喷涂要求符合GB/T 5237.4-2017的规定，膜层应平滑、均匀，不准许有皱纹、流痕等影响使用的缺陷，光泽度允许偏差不大于±3，耐磨性应大于0.8L/μm，耐沸水性测试后，膜层表面应无脱落、起皱等现象，附着性应达到0级；耐冲击性、抗杯突性、抗弯曲性测试后膜层表面应无开裂或脱落现象；耐盐酸性测试后膜层表面应无气泡或其他明显变化</w:t>
      </w:r>
      <w:r>
        <w:rPr>
          <w:rFonts w:hint="eastAsia" w:ascii="宋体" w:hAnsi="宋体" w:eastAsia="宋体" w:cs="宋体"/>
          <w:b/>
          <w:bCs/>
          <w:sz w:val="24"/>
          <w:szCs w:val="24"/>
        </w:rPr>
        <w:t xml:space="preserve">。</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numPr>
          <w:ilvl w:val="0"/>
          <w:numId w:val="3"/>
        </w:numPr>
        <w:ind w:firstLine="480"/>
        <w:jc w:val="left"/>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展柜柜体表面根据需求进行木纹转印处理，具有抗腐蚀、抗冲击、耐老化、耐磨、防火、不变色等性能。</w:t>
      </w:r>
      <w:r/>
    </w:p>
    <w:p>
      <w:pPr>
        <w:numPr>
          <w:ilvl w:val="0"/>
          <w:numId w:val="3"/>
        </w:numPr>
        <w:ind w:firstLine="480"/>
        <w:jc w:val="left"/>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壁龛柜箱体和玻璃局部表面贴镜面不锈钢（本色），表面应当平整,没有凹凸不平的地方，不得有划痕、挫伤、刻线等表面缺陷。</w:t>
      </w:r>
      <w:r/>
    </w:p>
    <w:p>
      <w:pPr>
        <w:numPr>
          <w:ilvl w:val="0"/>
          <w:numId w:val="3"/>
        </w:numPr>
        <w:ind w:firstLine="480"/>
        <w:jc w:val="left"/>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特定展柜侧板做内凹5mm造型，线条应流畅美观。</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5.4 展柜玻璃要求以及工艺处理</w:t>
      </w:r>
      <w:r/>
    </w:p>
    <w:p>
      <w:pPr>
        <w:pStyle w:val="860"/>
        <w:ind w:firstLine="480"/>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展柜玻璃应选用通透性好、反光率低、色彩还原真实，具有一定抗冲击力及防爆能力、防紫外线的博物馆展柜专用低反射夹胶玻璃，玻璃规格为6+6mm或8+8mm；</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sz w:val="24"/>
          <w:szCs w:val="24"/>
        </w:rPr>
        <w:t xml:space="preserve">（1）光学性能满足博物馆展柜玻璃要求，成品实测可见光透射比≥97%，成品实测可见光反射比≦0.9%，紫外线透射比≦0.3%，显色指数≥99，黄色指数＜0.5，雾度＜0.3%。</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sz w:val="24"/>
          <w:szCs w:val="24"/>
        </w:rPr>
        <w:t xml:space="preserve">（2）安全性能符合GB15763.3-2009《建筑用安全玻璃 第3部分 夹层玻璃》中规定。产品需通过国家认可的第三方检测中心的落球冲击、霰弹袋冲击检测，玻璃受到冲击测试后，不能出现断裂、碎片，不能暴露中间层</w:t>
      </w:r>
      <w:r>
        <w:rPr>
          <w:rFonts w:hint="eastAsia" w:ascii="宋体" w:hAnsi="宋体" w:eastAsia="宋体" w:cs="宋体"/>
          <w:sz w:val="24"/>
          <w:szCs w:val="24"/>
          <w:shd w:val="clear" w:color="auto"/>
        </w:rPr>
        <w:t xml:space="preserve">。</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sz w:val="24"/>
          <w:szCs w:val="24"/>
        </w:rPr>
        <w:t xml:space="preserve">（3）低反射夹层玻璃的外观通过观察无线状缺陷、点状缺陷、裂口、爆边、脱胶、皱痕和条纹。夹层玻璃的弯曲度要符合最大弓形弯曲度≤0.04%，最大波形弯曲度≤0.03%。</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5.5 展柜密封胶条要求</w:t>
      </w:r>
      <w:r/>
    </w:p>
    <w:p>
      <w:pPr>
        <w:numPr>
          <w:ilvl w:val="0"/>
          <w:numId w:val="4"/>
        </w:numPr>
        <w:ind w:firstLine="501"/>
        <w:jc w:val="left"/>
        <w:spacing w:line="360" w:lineRule="auto"/>
        <w:shd w:val="clear" w:color="auto"/>
        <w:rPr>
          <w:rFonts w:hint="eastAsia" w:ascii="宋体" w:hAnsi="宋体" w:eastAsia="宋体" w:cs="宋体"/>
          <w:bCs/>
          <w:sz w:val="24"/>
          <w:szCs w:val="24"/>
        </w:rPr>
      </w:pPr>
      <w:r>
        <w:rPr>
          <w:rFonts w:hint="eastAsia" w:ascii="宋体" w:hAnsi="宋体" w:eastAsia="宋体" w:cs="宋体"/>
          <w:bCs/>
          <w:sz w:val="24"/>
          <w:szCs w:val="24"/>
        </w:rPr>
        <w:t xml:space="preserve">展柜密封胶条应采用有机硅材质，外观应光滑、无扭曲变形，表面无裂纹、无气泡、无明显杂质及其他缺陷，颜色均一致。</w:t>
      </w:r>
      <w:r/>
    </w:p>
    <w:p>
      <w:pPr>
        <w:ind w:firstLine="480"/>
        <w:spacing w:line="360" w:lineRule="auto"/>
        <w:shd w:val="clear" w:color="auto"/>
        <w:rPr>
          <w:rFonts w:hint="eastAsia" w:ascii="宋体" w:hAnsi="宋体" w:eastAsia="宋体" w:cs="宋体"/>
          <w:b/>
          <w:bCs/>
          <w:sz w:val="24"/>
          <w:szCs w:val="24"/>
        </w:rPr>
      </w:pPr>
      <w:r>
        <w:rPr>
          <w:rFonts w:hint="eastAsia" w:ascii="宋体" w:hAnsi="宋体" w:eastAsia="宋体" w:cs="宋体"/>
          <w:bCs/>
          <w:sz w:val="24"/>
          <w:szCs w:val="24"/>
        </w:rPr>
        <w:t xml:space="preserve">（2）展柜密封胶条拉伸强度不应小于7.0Mpa，断裂伸长率应大于300%；撕裂强度应大于15KN/m，硬度为HA60±5，垂直燃烧达到FV</w:t>
      </w:r>
      <w:r>
        <w:rPr>
          <w:rFonts w:hint="eastAsia" w:ascii="宋体" w:hAnsi="宋体" w:eastAsia="宋体" w:cs="宋体"/>
          <w:bCs/>
          <w:spacing w:val="-6"/>
          <w:sz w:val="24"/>
          <w:szCs w:val="24"/>
        </w:rPr>
        <w:t xml:space="preserve">-0级</w:t>
      </w:r>
      <w:r>
        <w:rPr>
          <w:rFonts w:hint="eastAsia" w:ascii="宋体" w:hAnsi="宋体" w:eastAsia="宋体" w:cs="宋体"/>
          <w:bCs/>
          <w:sz w:val="24"/>
          <w:szCs w:val="24"/>
        </w:rPr>
        <w:t xml:space="preserve">。</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5.6 展拒粘接材料要求</w:t>
      </w:r>
      <w:r/>
    </w:p>
    <w:p>
      <w:pPr>
        <w:ind w:firstLine="480"/>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展柜粘接材料采用环保型密封胶，性能稳定、无溶剂、无异味、不含氰酸盐，不散发任何酸性或有害气体。</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sz w:val="24"/>
          <w:szCs w:val="24"/>
        </w:rPr>
        <w:t xml:space="preserve">（1）展柜密封胶应符合GB16776-2005中的规定，产品为细腻、均匀膏状物无气泡、结块、凝胶、结皮，无不易分散的析出物；挤出性≤10s，表干时间≤3h，硬度处于20~60之间，拉伸粘接强度常温状态下（23℃）≥0.60</w:t>
      </w:r>
      <w:r>
        <w:rPr>
          <w:rFonts w:hint="eastAsia" w:ascii="宋体" w:hAnsi="宋体" w:eastAsia="宋体" w:cs="宋体"/>
          <w:color w:val="000000"/>
          <w:sz w:val="24"/>
          <w:szCs w:val="24"/>
          <w:shd w:val="clear" w:color="auto" w:fill="ffffff"/>
        </w:rPr>
        <w:t xml:space="preserve">MPa；热老化试验后，热失重≤5%，无龟裂、无粉化的现象</w:t>
      </w:r>
      <w:r>
        <w:rPr>
          <w:rFonts w:hint="eastAsia" w:ascii="宋体" w:hAnsi="宋体" w:eastAsia="宋体" w:cs="宋体"/>
          <w:color w:val="000000"/>
          <w:sz w:val="24"/>
          <w:szCs w:val="24"/>
          <w:shd w:val="clear" w:color="auto"/>
        </w:rPr>
        <w:t xml:space="preserve">。</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color w:val="000000"/>
          <w:sz w:val="24"/>
          <w:szCs w:val="24"/>
          <w:shd w:val="clear" w:color="auto" w:fill="ffffff"/>
        </w:rPr>
        <w:t xml:space="preserve">（2）展柜</w:t>
      </w:r>
      <w:r>
        <w:rPr>
          <w:rFonts w:hint="eastAsia" w:ascii="宋体" w:hAnsi="宋体" w:eastAsia="宋体" w:cs="宋体"/>
          <w:sz w:val="24"/>
          <w:szCs w:val="24"/>
        </w:rPr>
        <w:t xml:space="preserve">密封胶应符合GB 30982-2014中的规定，总挥发性有机物的含量≤100g/kg，游离甲醛≤0.01g/kg。</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5.7 展柜内布料织物要求</w:t>
      </w:r>
      <w:r/>
    </w:p>
    <w:p>
      <w:pPr>
        <w:numPr>
          <w:ilvl w:val="0"/>
          <w:numId w:val="2"/>
        </w:numPr>
        <w:ind w:left="0" w:firstLine="480"/>
        <w:jc w:val="left"/>
        <w:spacing w:line="360" w:lineRule="auto"/>
        <w:shd w:val="clear" w:color="auto"/>
        <w:rPr>
          <w:rFonts w:hint="eastAsia" w:ascii="宋体" w:hAnsi="宋体" w:eastAsia="宋体" w:cs="宋体"/>
          <w:b/>
          <w:bCs/>
          <w:sz w:val="24"/>
          <w:szCs w:val="24"/>
          <w:shd w:val="clear" w:color="auto"/>
        </w:rPr>
      </w:pPr>
      <w:r>
        <w:rPr>
          <w:rFonts w:hint="eastAsia" w:ascii="宋体" w:hAnsi="宋体" w:eastAsia="宋体" w:cs="宋体"/>
          <w:sz w:val="24"/>
          <w:szCs w:val="24"/>
        </w:rPr>
        <w:t xml:space="preserve">展柜内使用的布料织物应采用无胶粘接的方式固定在板材或面板上，其性能应符合GB 18401-2010中的规定，布料织物甲醛含量应符合A类要求，实测低于20mg/kg，无异味；阻燃性能应符合</w:t>
      </w:r>
      <w:r>
        <w:rPr>
          <w:rFonts w:hint="eastAsia" w:ascii="宋体" w:hAnsi="宋体" w:eastAsia="宋体" w:cs="宋体"/>
          <w:color w:val="000000" w:themeColor="text1"/>
          <w:sz w:val="24"/>
          <w:szCs w:val="24"/>
          <w14:textFill>
            <w14:solidFill>
              <w14:schemeClr w14:val="tx1"/>
            </w14:solidFill>
          </w14:textFill>
        </w:rPr>
        <w:t xml:space="preserve">GB 8624-2012中的规定，燃烧性能达到B1级别</w:t>
      </w:r>
      <w:r>
        <w:rPr>
          <w:rFonts w:hint="eastAsia" w:ascii="宋体" w:hAnsi="宋体" w:eastAsia="宋体" w:cs="宋体"/>
          <w:sz w:val="24"/>
          <w:szCs w:val="24"/>
        </w:rPr>
        <w:t xml:space="preserve">。</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5.8 展柜内中纤板要求</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（1）展柜应遵照WW/T0066-2015馆藏文物预防性保护的理念，严格控制展柜制作材料环境安全性等级，展柜内使用的中纤板应为环保材料，板材经过熏蒸消毒处理，防止虫霉滋生。</w:t>
      </w:r>
      <w:r/>
    </w:p>
    <w:p>
      <w:pPr>
        <w:numPr>
          <w:ilvl w:val="0"/>
          <w:numId w:val="2"/>
        </w:numPr>
        <w:ind w:left="0" w:firstLine="480"/>
        <w:jc w:val="left"/>
        <w:spacing w:line="360" w:lineRule="auto"/>
        <w:shd w:val="clear" w:color="auto"/>
        <w:rPr>
          <w:rFonts w:hint="eastAsia" w:ascii="宋体" w:hAnsi="宋体" w:eastAsia="宋体" w:cs="宋体"/>
          <w:sz w:val="24"/>
          <w:szCs w:val="24"/>
          <w:shd w:val="clear" w:color="auto"/>
        </w:rPr>
      </w:pPr>
      <w:r>
        <w:rPr>
          <w:rFonts w:hint="eastAsia" w:ascii="宋体" w:hAnsi="宋体" w:eastAsia="宋体" w:cs="宋体"/>
          <w:sz w:val="24"/>
          <w:szCs w:val="24"/>
        </w:rPr>
        <w:t xml:space="preserve">（2）中纤板基本性能符合GB/T 11718-2021《中密度纤维板》的规定，满足在干燥状态下使用时，其板内密度偏差、静曲强度、含水率、弹性模量、内结合强度、吸水厚度膨胀、表面胶合强度均达到标准要求；板材外观无分层、鼓包或炭化，无局部松软，无板边缺损，无异物及压痕，达到优等品要求。</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numPr>
          <w:ilvl w:val="0"/>
          <w:numId w:val="2"/>
        </w:numPr>
        <w:ind w:left="0" w:firstLine="480"/>
        <w:jc w:val="left"/>
        <w:spacing w:line="360" w:lineRule="auto"/>
        <w:shd w:val="clear" w:color="auto"/>
        <w:rPr>
          <w:rFonts w:hint="eastAsia" w:ascii="宋体" w:hAnsi="宋体" w:eastAsia="宋体" w:cs="宋体"/>
          <w:sz w:val="24"/>
          <w:szCs w:val="24"/>
          <w:shd w:val="clear" w:color="auto"/>
        </w:rPr>
      </w:pPr>
      <w:r>
        <w:rPr>
          <w:rFonts w:hint="eastAsia" w:ascii="宋体" w:hAnsi="宋体" w:eastAsia="宋体" w:cs="宋体"/>
          <w:sz w:val="24"/>
          <w:szCs w:val="24"/>
        </w:rPr>
        <w:t xml:space="preserve">（3）中纤板应符合GB/T 39600-2021中的规定，中纤板实测甲醛含量低于0.05mg/m3，阻燃性能应符合</w:t>
      </w:r>
      <w:r>
        <w:rPr>
          <w:rFonts w:hint="eastAsia" w:ascii="宋体" w:hAnsi="宋体" w:eastAsia="宋体" w:cs="宋体"/>
          <w:color w:val="000000" w:themeColor="text1"/>
          <w:sz w:val="24"/>
          <w:szCs w:val="24"/>
          <w14:textFill>
            <w14:solidFill>
              <w14:schemeClr w14:val="tx1"/>
            </w14:solidFill>
          </w14:textFill>
        </w:rPr>
        <w:t xml:space="preserve">GB 8624-2012中的规定，燃烧性能达到B1级别</w:t>
      </w:r>
      <w:r>
        <w:rPr>
          <w:rFonts w:hint="eastAsia" w:ascii="宋体" w:hAnsi="宋体" w:eastAsia="宋体" w:cs="宋体"/>
          <w:sz w:val="24"/>
          <w:szCs w:val="24"/>
        </w:rPr>
        <w:t xml:space="preserve">。</w:t>
      </w:r>
      <w:r>
        <w:rPr>
          <w:rFonts w:hint="eastAsia" w:ascii="宋体" w:hAnsi="宋体" w:eastAsia="宋体" w:cs="宋体"/>
          <w:b/>
          <w:bCs/>
          <w:sz w:val="24"/>
          <w:szCs w:val="24"/>
          <w:shd w:val="clear" w:color="auto"/>
          <w:lang w:eastAsia="zh-CN"/>
        </w:rPr>
        <w:t xml:space="preserve">（投标时提供第三方检测机构出具的具备CMA和CNAS标识的检测报告，或承诺供货时提供产品检测报告，未提供或内容不满足要求的视为负偏离。）</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6.展柜恒湿系统要求</w:t>
      </w:r>
      <w:r/>
    </w:p>
    <w:p>
      <w:pPr>
        <w:ind w:firstLine="480"/>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展柜配备的文物保存环境调控设备应根据不同类型、质地藏品的环境温湿度的差异化需求，依据国家文物局制定及出版的《博物馆设计规范》、《博物馆藏品保存环境试行规范》中对文物保存环境的参数规定，须满足各类文物藏品良好保存所必需的湿度环境。应符合下表的规定:</w:t>
      </w:r>
      <w:r/>
    </w:p>
    <w:tbl>
      <w:tblPr>
        <w:tblStyle w:val="857"/>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42"/>
        <w:gridCol w:w="6150"/>
        <w:gridCol w:w="1709"/>
      </w:tblGrid>
      <w:tr>
        <w:trPr>
          <w:jc w:val="center"/>
          <w:trHeight w:val="514"/>
        </w:trPr>
        <w:tc>
          <w:tcPr>
            <w:tcMar>
              <w:left w:w="108" w:type="dxa"/>
              <w:top w:w="0" w:type="dxa"/>
              <w:right w:w="108" w:type="dxa"/>
              <w:bottom w:w="0" w:type="dxa"/>
            </w:tcMar>
            <w:tcW w:w="1042" w:type="dxa"/>
            <w:vAlign w:val="center"/>
            <w:textDirection w:val="lrTb"/>
            <w:noWrap w:val="false"/>
          </w:tcPr>
          <w:p>
            <w:pPr>
              <w:jc w:val="center"/>
              <w:spacing w:before="65" w:line="360" w:lineRule="auto"/>
              <w:shd w:val="clear" w:color="auto"/>
              <w:rPr>
                <w:rFonts w:hint="eastAsia" w:ascii="宋体" w:hAnsi="宋体" w:eastAsia="宋体" w:cs="宋体"/>
                <w:b/>
                <w:bCs/>
                <w:sz w:val="24"/>
                <w:szCs w:val="24"/>
              </w:rPr>
            </w:pPr>
            <w:r>
              <w:rPr>
                <w:rFonts w:hint="eastAsia" w:ascii="宋体" w:hAnsi="宋体" w:eastAsia="宋体" w:cs="宋体"/>
                <w:b/>
                <w:bCs/>
                <w:sz w:val="24"/>
                <w:szCs w:val="24"/>
              </w:rPr>
              <w:t xml:space="preserve">材质</w:t>
            </w:r>
            <w:r/>
          </w:p>
        </w:tc>
        <w:tc>
          <w:tcPr>
            <w:tcMar>
              <w:left w:w="108" w:type="dxa"/>
              <w:top w:w="0" w:type="dxa"/>
              <w:right w:w="108" w:type="dxa"/>
              <w:bottom w:w="0" w:type="dxa"/>
            </w:tcMar>
            <w:tcW w:w="6150" w:type="dxa"/>
            <w:vAlign w:val="center"/>
            <w:textDirection w:val="lrTb"/>
            <w:noWrap w:val="false"/>
          </w:tcPr>
          <w:p>
            <w:pPr>
              <w:jc w:val="center"/>
              <w:spacing w:before="65" w:line="360" w:lineRule="auto"/>
              <w:shd w:val="clear" w:color="auto"/>
              <w:rPr>
                <w:rFonts w:hint="eastAsia" w:ascii="宋体" w:hAnsi="宋体" w:eastAsia="宋体" w:cs="宋体"/>
                <w:b/>
                <w:bCs/>
                <w:sz w:val="24"/>
                <w:szCs w:val="24"/>
              </w:rPr>
            </w:pPr>
            <w:r>
              <w:rPr>
                <w:rFonts w:hint="eastAsia" w:ascii="宋体" w:hAnsi="宋体" w:eastAsia="宋体" w:cs="宋体"/>
                <w:b/>
                <w:bCs/>
                <w:sz w:val="24"/>
                <w:szCs w:val="24"/>
              </w:rPr>
              <w:t xml:space="preserve">藏品类性</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b/>
                <w:bCs/>
                <w:sz w:val="24"/>
                <w:szCs w:val="24"/>
              </w:rPr>
            </w:pPr>
            <w:r>
              <w:rPr>
                <w:rFonts w:hint="eastAsia" w:ascii="宋体" w:hAnsi="宋体" w:eastAsia="宋体" w:cs="宋体"/>
                <w:b/>
                <w:bCs/>
                <w:sz w:val="24"/>
                <w:szCs w:val="24"/>
              </w:rPr>
              <w:t xml:space="preserve">相对湿度(%)</w:t>
            </w:r>
            <w:r/>
          </w:p>
        </w:tc>
      </w:tr>
      <w:tr>
        <w:trPr>
          <w:cantSplit/>
          <w:jc w:val="center"/>
          <w:trHeight w:val="514"/>
        </w:trPr>
        <w:tc>
          <w:tcPr>
            <w:tcMar>
              <w:left w:w="108" w:type="dxa"/>
              <w:top w:w="0" w:type="dxa"/>
              <w:right w:w="108" w:type="dxa"/>
              <w:bottom w:w="0" w:type="dxa"/>
            </w:tcMar>
            <w:tcW w:w="1042" w:type="dxa"/>
            <w:vAlign w:val="center"/>
            <w:vMerge w:val="restart"/>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金属</w:t>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青铜器、铁器、金银器、金属币</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0-40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锡器、铅器</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0-40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珐琅器、搪瓷器</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r>
        <w:trPr>
          <w:cantSplit/>
          <w:jc w:val="center"/>
          <w:trHeight w:val="514"/>
        </w:trPr>
        <w:tc>
          <w:tcPr>
            <w:tcMar>
              <w:left w:w="108" w:type="dxa"/>
              <w:top w:w="0" w:type="dxa"/>
              <w:right w:w="108" w:type="dxa"/>
              <w:bottom w:w="0" w:type="dxa"/>
            </w:tcMar>
            <w:tcW w:w="1042" w:type="dxa"/>
            <w:vAlign w:val="center"/>
            <w:vMerge w:val="restart"/>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硅酸盐</w:t>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陶器、陶俑、唐三彩、紫砂器、砖瓦</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瓷器</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玻璃器</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0-40</w:t>
            </w:r>
            <w:r/>
          </w:p>
        </w:tc>
      </w:tr>
      <w:tr>
        <w:trPr>
          <w:cantSplit/>
          <w:jc w:val="center"/>
          <w:trHeight w:val="514"/>
        </w:trPr>
        <w:tc>
          <w:tcPr>
            <w:tcMar>
              <w:left w:w="108" w:type="dxa"/>
              <w:top w:w="0" w:type="dxa"/>
              <w:right w:w="108" w:type="dxa"/>
              <w:bottom w:w="0" w:type="dxa"/>
            </w:tcMar>
            <w:tcW w:w="1042" w:type="dxa"/>
            <w:vAlign w:val="center"/>
            <w:vMerge w:val="restart"/>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岩石</w:t>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石器、碑刻、石雕、石砚、画像石、岩画、玉器、宝石</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古生物化石、岩矿标本</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彩绘泥塑、壁画</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r>
        <w:trPr>
          <w:cantSplit/>
          <w:jc w:val="center"/>
          <w:trHeight w:val="514"/>
        </w:trPr>
        <w:tc>
          <w:tcPr>
            <w:tcMar>
              <w:left w:w="108" w:type="dxa"/>
              <w:top w:w="0" w:type="dxa"/>
              <w:right w:w="108" w:type="dxa"/>
              <w:bottom w:w="0" w:type="dxa"/>
            </w:tcMar>
            <w:tcW w:w="1042" w:type="dxa"/>
            <w:vAlign w:val="center"/>
            <w:vMerge w:val="restart"/>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动植物</w:t>
            </w:r>
            <w:r/>
          </w:p>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材料</w:t>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纸张、文献、经卷、书法、国画、书籍、拓片、邮票</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50-60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丝毛棉麻纺织品、织绣、服装、帛书、唐卡、油画</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50-60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漆器、木器、木雕、竹器、藤器、家具、版画</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50-60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象牙制品、甲骨制品、角制器、贝壳制品</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50-60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皮革、皮毛</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50-60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动物标本、植物标本</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50-60</w:t>
            </w:r>
            <w:r/>
          </w:p>
        </w:tc>
      </w:tr>
      <w:tr>
        <w:trPr>
          <w:cantSplit/>
          <w:jc w:val="center"/>
          <w:trHeight w:val="514"/>
        </w:trPr>
        <w:tc>
          <w:tcPr>
            <w:tcMar>
              <w:left w:w="108" w:type="dxa"/>
              <w:top w:w="0" w:type="dxa"/>
              <w:right w:w="108" w:type="dxa"/>
              <w:bottom w:w="0" w:type="dxa"/>
            </w:tcMar>
            <w:tcW w:w="1042" w:type="dxa"/>
            <w:vAlign w:val="center"/>
            <w:vMerge w:val="restart"/>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其他</w:t>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黑白照片及胶片</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r>
        <w:trPr>
          <w:cantSplit/>
          <w:jc w:val="center"/>
          <w:trHeight w:val="514"/>
        </w:trPr>
        <w:tc>
          <w:tcPr>
            <w:tcW w:w="1042" w:type="dxa"/>
            <w:vAlign w:val="center"/>
            <w:vMerge w:val="continue"/>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50" w:type="dxa"/>
            <w:vAlign w:val="center"/>
            <w:textDirection w:val="lrTb"/>
            <w:noWrap w:val="false"/>
          </w:tcPr>
          <w:p>
            <w:pP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彩色照片及胶片</w:t>
            </w:r>
            <w:r/>
          </w:p>
        </w:tc>
        <w:tc>
          <w:tcPr>
            <w:tcMar>
              <w:left w:w="108" w:type="dxa"/>
              <w:top w:w="0" w:type="dxa"/>
              <w:right w:w="108" w:type="dxa"/>
              <w:bottom w:w="0" w:type="dxa"/>
            </w:tcMar>
            <w:tcW w:w="1709" w:type="dxa"/>
            <w:textDirection w:val="lrTb"/>
            <w:noWrap w:val="false"/>
          </w:tcPr>
          <w:p>
            <w:pPr>
              <w:jc w:val="center"/>
              <w:spacing w:before="65"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40-50</w:t>
            </w:r>
            <w:r/>
          </w:p>
        </w:tc>
      </w:tr>
    </w:tbl>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恒湿设备性能要求：</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(1)可以24小时不间断稳定运行，为展柜提供一个持续良好的湿度环境。</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(2) 噪音：≤50db</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(3) 恒湿系统的控湿范围：35%RH-75%RH，控制精度:±2.0%。</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(4)采用微正压空气调节及过滤可防止污染微粒流入展柜。</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(5)控制特点：独立控制，小巧，制冷速度快，性能可靠，寿命长。</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(6)稳定性好可靠性高，且操作简易，不锈钢及机壳坚 固耐用、安全可靠。</w:t>
      </w:r>
      <w:r/>
    </w:p>
    <w:p>
      <w:pPr>
        <w:ind w:firstLine="504"/>
        <w:keepLines/>
        <w:keepNext/>
        <w:spacing w:line="360" w:lineRule="auto"/>
        <w:shd w:val="clear" w:color="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7.其他技术要求</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（1）展柜布线应为隐藏式处理。</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（2）展柜内设备具备独立开关控制器，同时配备漏电保护器，预留弱电接口，电容量及布线考虑增加设备及日后升级需求。</w:t>
      </w:r>
      <w:r/>
    </w:p>
    <w:p>
      <w:pPr>
        <w:ind w:firstLine="501"/>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（3）展柜内预留好恒湿、安防、多媒体等设备的安装空间，及其相关管道线路接口。</w:t>
      </w:r>
      <w:r/>
    </w:p>
    <w:p>
      <w:pPr>
        <w:pStyle w:val="1334"/>
        <w:ind w:firstLine="480"/>
        <w:spacing w:line="360" w:lineRule="auto"/>
        <w:shd w:val="clear" w:color="auto"/>
        <w:rPr>
          <w:rFonts w:hint="eastAsia" w:ascii="宋体" w:hAnsi="宋体" w:eastAsia="宋体" w:cs="宋体"/>
          <w:sz w:val="24"/>
          <w:szCs w:val="24"/>
        </w:rPr>
      </w:pPr>
      <w:r>
        <w:rPr>
          <w:rFonts w:hint="eastAsia" w:ascii="宋体" w:hAnsi="宋体" w:eastAsia="宋体" w:cs="宋体"/>
          <w:sz w:val="24"/>
          <w:szCs w:val="24"/>
        </w:rPr>
      </w:r>
      <w:r/>
    </w:p>
    <w:p>
      <w:pPr>
        <w:shd w:val="clear" w:color="auto"/>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keepLines/>
        <w:keepNext/>
        <w:pageBreakBefore w:val="0"/>
        <w:spacing w:after="326"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8"/>
          <w:szCs w:val="28"/>
          <w:lang w:eastAsia="zh-CN"/>
        </w:rPr>
        <w:t xml:space="preserve">（二）</w:t>
      </w:r>
      <w:r>
        <w:rPr>
          <w:rFonts w:hint="eastAsia" w:ascii="宋体" w:hAnsi="宋体" w:eastAsia="宋体" w:cs="宋体"/>
          <w:b/>
          <w:bCs/>
          <w:sz w:val="28"/>
          <w:szCs w:val="28"/>
        </w:rPr>
        <w:t xml:space="preserve">专业灯光系统（照明）技术参数要求</w:t>
      </w:r>
      <w:r/>
    </w:p>
    <w:p>
      <w:pPr>
        <w:pStyle w:val="1334"/>
        <w:ind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投标方须针对不同类型文物的文保和展厅氛围营造要求，提供一整套照明方案，方案获得采购人确认后方可采购实施。照明设计方案的制订及灯具设备的采购，应遵守现行《博物馆照明设计规范》及其它相关规范、规定和标准中相关条文内容的要求；以展览设计效果为主线，突出层次内容，展示主题，用光雕刻、演绎、渲染、烘托、强调、述说文物的故事；用光精雕细琢展项、场景、展品，从小到大，从点到面，从局部到整体的每一处和谐、舒适、合理。一般照明按展品照度值的20%～30%选取。</w:t>
      </w:r>
      <w:r/>
    </w:p>
    <w:p>
      <w:pPr>
        <w:ind w:firstLine="482"/>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sz w:val="24"/>
          <w:szCs w:val="24"/>
        </w:rPr>
        <w:t xml:space="preserve">（1）整体要求</w:t>
      </w:r>
      <w:r/>
    </w:p>
    <w:p>
      <w:pPr>
        <w:pStyle w:val="1334"/>
        <w:ind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①展览LED光源专用灯具须通过国家相关标准认证，优先支持小微企业。根据国家及行业现行的相关规范、标准和法规进行设计制造，采用成熟先进的技术，符合节能环保要求，做到结构合理、低散热、无噪声、安装和维护保养方便。</w:t>
      </w:r>
      <w:r/>
    </w:p>
    <w:p>
      <w:pPr>
        <w:pStyle w:val="1334"/>
        <w:ind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②为满足文物藏品的保护要求，减少照明对文物藏品带来的损害，选择无频闪的紫外、红外辐射含量低的LED光源（或更高标准的光源）并减少蓝光，</w:t>
      </w:r>
      <w:r>
        <w:rPr>
          <w:rFonts w:hint="eastAsia" w:ascii="宋体" w:hAnsi="宋体" w:eastAsia="宋体" w:cs="宋体"/>
          <w:sz w:val="24"/>
          <w:szCs w:val="24"/>
          <w:u w:val="single"/>
        </w:rPr>
        <w:t xml:space="preserve">紫外辐射含量应低于</w:t>
      </w:r>
      <w:r>
        <w:rPr>
          <w:rFonts w:hint="eastAsia" w:ascii="宋体" w:hAnsi="宋体" w:eastAsia="宋体" w:cs="宋体"/>
          <w:color w:val="000000" w:themeColor="text1"/>
          <w:sz w:val="24"/>
          <w:szCs w:val="24"/>
          <w:u w:val="single"/>
          <w14:textFill>
            <w14:solidFill>
              <w14:schemeClr w14:val="tx1"/>
            </w14:solidFill>
          </w14:textFill>
        </w:rPr>
        <w:t xml:space="preserve">5µw/lm</w:t>
      </w:r>
      <w:r>
        <w:rPr>
          <w:rFonts w:hint="eastAsia" w:ascii="宋体" w:hAnsi="宋体" w:eastAsia="宋体" w:cs="宋体"/>
          <w:sz w:val="24"/>
          <w:szCs w:val="24"/>
        </w:rPr>
        <w:t xml:space="preserve">。文物藏品的照度和曝光量严格控制在规范允许的范围内。</w:t>
      </w:r>
      <w:r/>
    </w:p>
    <w:p>
      <w:pPr>
        <w:pStyle w:val="1334"/>
        <w:ind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③为满足展品的多样性及灵活性，针对展品的不同尺寸，主要灯具应可实现同一系列灯具既要保持外形一致，又有不同配光角度，可通过选择透镜或其他光学配件形成</w:t>
      </w:r>
      <w:r>
        <w:rPr>
          <w:rFonts w:hint="eastAsia" w:ascii="宋体" w:hAnsi="宋体" w:eastAsia="宋体" w:cs="宋体"/>
          <w:color w:val="000000" w:themeColor="text1"/>
          <w:sz w:val="24"/>
          <w:szCs w:val="24"/>
          <w14:textFill>
            <w14:solidFill>
              <w14:schemeClr w14:val="tx1"/>
            </w14:solidFill>
          </w14:textFill>
        </w:rPr>
        <w:t xml:space="preserve">窄光</w:t>
      </w:r>
      <w:bookmarkStart w:id="10" w:name="OLE_LINK12"/>
      <w:r>
        <w:rPr>
          <w:rFonts w:hint="eastAsia" w:ascii="宋体" w:hAnsi="宋体" w:eastAsia="宋体" w:cs="宋体"/>
          <w:color w:val="000000" w:themeColor="text1"/>
          <w:sz w:val="24"/>
          <w:szCs w:val="24"/>
          <w14:textFill>
            <w14:solidFill>
              <w14:schemeClr w14:val="tx1"/>
            </w14:solidFill>
          </w14:textFill>
        </w:rPr>
        <w:t xml:space="preserve">（15°±3）、中光（25°±3）、宽光（35°±4）、超宽光（45°±4）、拉伸光型（长宽比2:1和长宽比3：1，长轴不低于50°）、洗墙</w:t>
      </w:r>
      <w:bookmarkEnd w:id="10"/>
      <w:r>
        <w:rPr>
          <w:rFonts w:hint="eastAsia" w:ascii="宋体" w:hAnsi="宋体" w:eastAsia="宋体" w:cs="宋体"/>
          <w:color w:val="000000" w:themeColor="text1"/>
          <w:sz w:val="24"/>
          <w:szCs w:val="24"/>
          <w14:textFill>
            <w14:solidFill>
              <w14:schemeClr w14:val="tx1"/>
            </w14:solidFill>
          </w14:textFill>
        </w:rPr>
        <w:t xml:space="preserve">等光束。</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④灯具输出的光形无二次光斑，均匀度良好，配光准确，光斑边缘退晕柔和、过渡自然。</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⑤应配备整套集成控制系统，控制室内各种灯具，实现不同场景切换，确保稳定性良好，集中管理，减少人为浪费，节约能源，降低运维成本。</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⑥展览专用灯具采用单灯调光或回路开关调光控制。</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（2）照明质量</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①眩光的限制。</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厅内应严格限制直接眩光和反射眩光。首先要科学、合理地进行专业照明设计，包括灯具的选型、安装位置等；其次采取各种减少眩光的措施，例如灯具配置各种防眩光配件，在空间结构上增加遮挡机构等。展厅内一般照明的统一眩光值(UGR) 不宜大于19；</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②显色性。</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显色性的优劣决定了对文物本身颜色的还原程度。LED光源的平均显色指数</w:t>
      </w:r>
      <w:r>
        <w:rPr>
          <w:rFonts w:hint="eastAsia" w:ascii="宋体" w:hAnsi="宋体" w:eastAsia="宋体" w:cs="宋体"/>
          <w:color w:val="000000" w:themeColor="text1"/>
          <w:sz w:val="24"/>
          <w:szCs w:val="24"/>
          <w14:textFill>
            <w14:solidFill>
              <w14:schemeClr w14:val="tx1"/>
            </w14:solidFill>
          </w14:textFill>
        </w:rPr>
        <w:t xml:space="preserve">Ra≥95</w:t>
      </w:r>
      <w:r>
        <w:rPr>
          <w:rFonts w:hint="eastAsia" w:ascii="宋体" w:hAnsi="宋体" w:eastAsia="宋体" w:cs="宋体"/>
          <w:sz w:val="24"/>
          <w:szCs w:val="24"/>
        </w:rPr>
        <w:t xml:space="preserve">，红色显色指数R9≥90，最大程度还原文物本来的颜色。</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③色温及色容差。</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LED光源色容差SDCM≤2或者+/-75K以内，保证灯具色温的一致性，展厅整体颜色一致。</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④展品的呈现效果</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a.展柜内的展品重点照明，条件允许均使用柜内专用灯具，尽可能少地采用柜外照明，减少或避免产生眩光。</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b.展柜内灯光需要完全聚焦于展品本身，减少杂散光溢出到展柜外部。</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c.裸展的展品，采用天花灯具时，要选择合适的光束角，突出展示效果。</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d.二维平面版面、大型背景画等灯光的均匀性和重点强调性要结合考虑。</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e.展品与其背景的照度对比设置合理，突出层次感，对比度。</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（3）展览灯具基本要求</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①天花轨道灯（射灯、洗墙灯）的基本要求：</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a.所有灯具为</w:t>
      </w:r>
      <w:r>
        <w:rPr>
          <w:rFonts w:hint="eastAsia" w:ascii="宋体" w:hAnsi="宋体" w:eastAsia="宋体" w:cs="宋体"/>
          <w:color w:val="000000" w:themeColor="text1"/>
          <w:sz w:val="24"/>
          <w:szCs w:val="24"/>
          <w14:textFill>
            <w14:solidFill>
              <w14:schemeClr w14:val="tx1"/>
            </w14:solidFill>
          </w14:textFill>
        </w:rPr>
        <w:t xml:space="preserve">LED SMD光源灯具，灯具外形美观，品质可靠，灯体整体压铸铝外壳，散热良好。</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b.所有灯具在调光的任意状态工作时，均应无频闪，可以进行高清摄像、拍照。</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c.轨道射灯、轨道洗墙灯具备单灯调光功能，可实现0～100%亮度任意调节；柜内专用灯具，具备回路调光功能，可实现0～100%亮度任意调节。</w:t>
      </w:r>
      <w:r/>
    </w:p>
    <w:p>
      <w:pPr>
        <w:pStyle w:val="1334"/>
        <w:ind w:left="240" w:hanging="24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d.光品质：平均显色性Ra要求不低于95，红色显色性R9不低于90；色温3500K+/-75K；色容差SDCM≤2；</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e.射灯的要求：射灯有多种的光束角可供选择，本项目配置可以通过更换灯具前部的光学镜片来改变光束角的展览专用射灯，光束角度为窄、中、宽、超宽，横向拉伸、竖向拉伸、洗墙。</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f.洗墙灯的均匀性：轨道洗墙灯、嵌装洗墙灯光斑要均匀，反射器或者透镜必须是专业的偏配光。</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g.灯具的配件：具有各种的配件，如防眩光配件、改变光型、改变出光颜色的配件等，不同角度光学镜片可以任意互换，镜片带有明显光型数字/字母标识。</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h.灯具轨道系统，16A三相五线制，必须含地线，确保安全；可用辅件:直型连接器、柔性连接器、L型连接器、尾盖，必须具备良好的通用性，能在不增加额外附件的情况下与其他品牌的轨道射灯兼容性好,所供应之轨道灯对其他品牌的轨道也有较好的兼容性。</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②展柜专用灯具（必须与展柜匹配）</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a.通柜照明</w:t>
      </w:r>
      <w:r/>
    </w:p>
    <w:p>
      <w:pPr>
        <w:pStyle w:val="862"/>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顶光采用“模块化照明系统”(洗墙灯+可变焦小射灯)或导轨灯具系统，底光采用微型轨道灯系统，所有展柜灯具可实现0～100%亮度任意调节。</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(a)顶部“偏配光”的洗墙灯</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对立面的二维展品（书画、图文展板等）进行均匀的洗墙照明。</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(b)顶部的可变焦小射灯</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对三维展品进行聚焦性的重点照明。</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光束角可调节，从6度调节到50度，保证灵活多变，灯具可增配拉伸光型滤镜、防眩网等配件。</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(c)底部补光的微型轨道灯系统，对三维重点展品进行适当的补光，补光灯位置灵活、光束多变、保证补光效果。</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b.独立柜/双面柜照明。</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采用“顶光可变焦射灯+底光微型轨道射灯”。</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(a)顶光可变焦射灯：光束角可调节，从6度调节到50度，保证灵活多变，灯具可增配拉伸光型滤镜、防眩网等配件。</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(b)底光微型轨道：位置灵活、光束多变、保证补光效果；</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(c)展柜灯具可实现0～100%亮度任意调节；</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c.桌柜或平柜。</w:t>
      </w:r>
      <w:r/>
    </w:p>
    <w:p>
      <w:pPr>
        <w:pStyle w:val="1334"/>
        <w:ind w:firstLine="48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采用“立杆式桌柜专用灯”，具有充分的均匀性，灯具无眩光，可以根据柜子的长度来选取合适长度的灯具规格，灯具可以连续拼接且保证光的均匀性。</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（4）展览灯具具体要求</w:t>
      </w:r>
      <w:r/>
    </w:p>
    <w:p>
      <w:pPr>
        <w:pStyle w:val="1334"/>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以下几种常用灯具的技术规格作为采购参考：</w:t>
      </w:r>
      <w:r/>
    </w:p>
    <w:p>
      <w:pPr>
        <w:pStyle w:val="1334"/>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①天花（展柜内）轨道安装灯具（射灯、洗墙灯等）</w:t>
      </w:r>
      <w:r/>
    </w:p>
    <w:p>
      <w:pPr>
        <w:pStyle w:val="1334"/>
        <w:ind w:firstLine="480"/>
        <w:pageBreakBefore w:val="0"/>
        <w:spacing w:line="360" w:lineRule="auto"/>
        <w:widowControl w:val="off"/>
        <w:rPr>
          <w:rFonts w:hint="eastAsia" w:ascii="宋体" w:hAnsi="宋体" w:eastAsia="宋体" w:cs="宋体"/>
          <w:sz w:val="24"/>
          <w:szCs w:val="24"/>
        </w:rPr>
      </w:pPr>
      <w:r/>
      <w:bookmarkStart w:id="11" w:name="_Hlk206842919"/>
      <w:r>
        <w:rPr>
          <w:rFonts w:hint="eastAsia" w:ascii="宋体" w:hAnsi="宋体" w:eastAsia="宋体" w:cs="宋体"/>
          <w:sz w:val="24"/>
          <w:szCs w:val="24"/>
        </w:rPr>
        <w:t xml:space="preserve">●</w:t>
      </w:r>
      <w:bookmarkEnd w:id="11"/>
      <w:r>
        <w:rPr>
          <w:rFonts w:hint="eastAsia" w:ascii="宋体" w:hAnsi="宋体" w:eastAsia="宋体" w:cs="宋体"/>
          <w:sz w:val="24"/>
          <w:szCs w:val="24"/>
        </w:rPr>
        <w:t xml:space="preserve">轨道射灯1</w:t>
      </w:r>
      <w:r/>
    </w:p>
    <w:tbl>
      <w:tblPr>
        <w:tblStyle w:val="857"/>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1560"/>
        <w:gridCol w:w="6573"/>
      </w:tblGrid>
      <w:tr>
        <w:trPr>
          <w:jc w:val="center"/>
          <w:trHeight w:val="458"/>
        </w:trPr>
        <w:tc>
          <w:tcPr>
            <w:gridSpan w:val="2"/>
            <w:tcBorders>
              <w:top w:val="single" w:color="auto" w:sz="4" w:space="0"/>
              <w:left w:val="single" w:color="auto" w:sz="4" w:space="0"/>
              <w:bottom w:val="single" w:color="auto" w:sz="4" w:space="0"/>
              <w:right w:val="single" w:color="auto" w:sz="4" w:space="0"/>
            </w:tcBorders>
            <w:tcW w:w="3015" w:type="dxa"/>
            <w:vAlign w:val="center"/>
            <w:textDirection w:val="lrTb"/>
            <w:noWrap w:val="false"/>
          </w:tcPr>
          <w:p>
            <w:pPr>
              <w:pStyle w:val="1335"/>
              <w:rPr>
                <w:rFonts w:hint="eastAsia" w:ascii="宋体" w:hAnsi="宋体" w:eastAsia="宋体" w:cs="宋体"/>
                <w:sz w:val="24"/>
                <w:szCs w:val="24"/>
              </w:rPr>
            </w:pPr>
            <w:r/>
            <w:bookmarkStart w:id="12" w:name="_Hlk203574383"/>
            <w:r>
              <w:rPr>
                <w:rFonts w:hint="eastAsia" w:ascii="宋体" w:hAnsi="宋体" w:eastAsia="宋体" w:cs="宋体"/>
                <w:sz w:val="24"/>
                <w:szCs w:val="24"/>
              </w:rPr>
              <w:t xml:space="preserve">灯具名称</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轨道射灯1</w:t>
            </w:r>
            <w:r/>
          </w:p>
        </w:tc>
      </w:tr>
      <w:tr>
        <w:trPr>
          <w:jc w:val="center"/>
          <w:trHeight w:val="458"/>
        </w:trPr>
        <w:tc>
          <w:tcPr>
            <w:gridSpan w:val="2"/>
            <w:tcBorders>
              <w:top w:val="single" w:color="auto" w:sz="4" w:space="0"/>
              <w:left w:val="single" w:color="auto" w:sz="4" w:space="0"/>
              <w:bottom w:val="single" w:color="auto" w:sz="4" w:space="0"/>
              <w:right w:val="single" w:color="auto" w:sz="4" w:space="0"/>
            </w:tcBorders>
            <w:tcW w:w="301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bookmarkEnd w:id="12"/>
            <w:r/>
            <w:r/>
          </w:p>
        </w:tc>
      </w:tr>
      <w:tr>
        <w:trPr>
          <w:jc w:val="center"/>
          <w:trHeight w:val="458"/>
        </w:trPr>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jc w:val="center"/>
          <w:trHeight w:val="446"/>
        </w:trPr>
        <w:tc>
          <w:tcPr>
            <w:tcBorders>
              <w:top w:val="single" w:color="auto" w:sz="4" w:space="0"/>
              <w:left w:val="single" w:color="auto" w:sz="4" w:space="0"/>
              <w:right w:val="single" w:color="auto" w:sz="4" w:space="0"/>
            </w:tcBorders>
            <w:tcW w:w="1455"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光源</w:t>
            </w:r>
            <w:r>
              <w:rPr>
                <w:rFonts w:hint="eastAsia" w:ascii="宋体" w:hAnsi="宋体" w:eastAsia="宋体" w:cs="宋体"/>
                <w:sz w:val="24"/>
                <w:szCs w:val="24"/>
              </w:rPr>
              <w:t xml:space="preserve">类型</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LED SMD</w:t>
            </w:r>
            <w:r/>
          </w:p>
        </w:tc>
      </w:tr>
      <w:tr>
        <w:trPr>
          <w:jc w:val="center"/>
          <w:trHeight w:val="446"/>
        </w:trPr>
        <w:tc>
          <w:tcPr>
            <w:tcBorders>
              <w:left w:val="single" w:color="auto" w:sz="4" w:space="0"/>
              <w:right w:val="single" w:color="auto" w:sz="4" w:space="0"/>
            </w:tcBorders>
            <w:tcW w:w="1455"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光源光通量</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≥1600lm</w:t>
            </w:r>
            <w:r/>
          </w:p>
        </w:tc>
      </w:tr>
      <w:tr>
        <w:trPr>
          <w:jc w:val="center"/>
          <w:trHeight w:val="446"/>
        </w:trPr>
        <w:tc>
          <w:tcPr>
            <w:tcBorders>
              <w:left w:val="single" w:color="auto" w:sz="4" w:space="0"/>
              <w:right w:val="single" w:color="auto" w:sz="4" w:space="0"/>
            </w:tcBorders>
            <w:tcW w:w="1455"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功率</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18W-22W</w:t>
            </w:r>
            <w:r/>
          </w:p>
        </w:tc>
      </w:tr>
      <w:tr>
        <w:trPr>
          <w:jc w:val="center"/>
          <w:trHeight w:val="446"/>
        </w:trPr>
        <w:tc>
          <w:tcPr>
            <w:tcBorders>
              <w:left w:val="single" w:color="auto" w:sz="4" w:space="0"/>
              <w:right w:val="single" w:color="auto" w:sz="4" w:space="0"/>
            </w:tcBorders>
            <w:tcW w:w="1455"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显色性</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jc w:val="center"/>
          <w:trHeight w:val="446"/>
        </w:trPr>
        <w:tc>
          <w:tcPr>
            <w:tcBorders>
              <w:left w:val="single" w:color="auto" w:sz="4" w:space="0"/>
              <w:right w:val="single" w:color="auto" w:sz="4" w:space="0"/>
            </w:tcBorders>
            <w:tcW w:w="1455"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色容差</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jc w:val="center"/>
          <w:trHeight w:val="446"/>
        </w:trPr>
        <w:tc>
          <w:tcPr>
            <w:tcBorders>
              <w:left w:val="single" w:color="auto" w:sz="4" w:space="0"/>
              <w:right w:val="single" w:color="auto" w:sz="4" w:space="0"/>
            </w:tcBorders>
            <w:tcW w:w="1455"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色温</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jc w:val="center"/>
          <w:trHeight w:val="470"/>
        </w:trPr>
        <w:tc>
          <w:tcPr>
            <w:tcBorders>
              <w:left w:val="single" w:color="auto" w:sz="4" w:space="0"/>
              <w:right w:val="single" w:color="auto" w:sz="4" w:space="0"/>
            </w:tcBorders>
            <w:tcW w:w="1455"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配光</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光束角范围：（15°±3）、中光（25°±3）、宽光（35°±4）、超宽光（45°±4）、拉伸光型（长宽比2:1和长宽比3：1，长轴不低于50°）、洗墙</w:t>
            </w:r>
            <w:r/>
          </w:p>
        </w:tc>
      </w:tr>
      <w:tr>
        <w:trPr>
          <w:jc w:val="center"/>
          <w:trHeight w:val="458"/>
        </w:trPr>
        <w:tc>
          <w:tcPr>
            <w:tcBorders>
              <w:left w:val="single" w:color="auto" w:sz="4" w:space="0"/>
              <w:bottom w:val="single" w:color="auto" w:sz="4" w:space="0"/>
              <w:right w:val="single" w:color="auto" w:sz="4" w:space="0"/>
            </w:tcBorders>
            <w:tcW w:w="1455"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调光</w:t>
            </w:r>
            <w:r/>
          </w:p>
        </w:tc>
        <w:tc>
          <w:tcPr>
            <w:tcBorders>
              <w:top w:val="single" w:color="auto" w:sz="4" w:space="0"/>
              <w:left w:val="single" w:color="auto" w:sz="4" w:space="0"/>
              <w:bottom w:val="single" w:color="auto" w:sz="4" w:space="0"/>
              <w:right w:val="single" w:color="auto" w:sz="4" w:space="0"/>
            </w:tcBorders>
            <w:tcW w:w="6573"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单灯旋钮调光，调光范围0—100%</w:t>
            </w:r>
            <w:r/>
          </w:p>
        </w:tc>
      </w:tr>
      <w:tr>
        <w:trPr>
          <w:jc w:val="center"/>
          <w:trHeight w:val="2984"/>
        </w:trPr>
        <w:tc>
          <w:tcPr>
            <w:gridSpan w:val="3"/>
            <w:tcBorders>
              <w:top w:val="single" w:color="auto" w:sz="4" w:space="0"/>
              <w:left w:val="single" w:color="auto" w:sz="4" w:space="0"/>
              <w:bottom w:val="single" w:color="auto" w:sz="4" w:space="0"/>
              <w:right w:val="single" w:color="auto" w:sz="4" w:space="0"/>
            </w:tcBorders>
            <w:tcW w:w="9588" w:type="dxa"/>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其他要求：</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1.拓展性：可根据不同的应用场景需求，通过更换灯具前部的光学镜片改变光束角，无</w:t>
            </w:r>
            <w:r>
              <w:rPr>
                <w:rFonts w:hint="eastAsia" w:ascii="宋体" w:hAnsi="宋体" w:eastAsia="宋体" w:cs="宋体"/>
                <w:color w:val="000000" w:themeColor="text1"/>
                <w:sz w:val="24"/>
                <w:szCs w:val="24"/>
                <w14:textFill>
                  <w14:solidFill>
                    <w14:schemeClr w14:val="tx1"/>
                  </w14:solidFill>
                </w14:textFill>
              </w:rPr>
              <w:t xml:space="preserve">需借助工具，操作便捷，并且保持灯具的外观不变；</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2.可加配件：挡光板、防眩网、有色滤镜，色温转换片等；</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3.壳体：灯体整体压铸铝（壳体无塑胶组成部分），表面处理粉末喷涂，颜色持久、耐磨损；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4.适配三回路轨道，自带锁定结构，保证与三回路轨道的可靠机械及电器连接；</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5.调光：可手动调光，线性好、在任何工作状态下均应无频闪；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6.可调方向：可垂直+/-90°调节，水平不小于360°旋转；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7.灯具无外露明线，电器与光源一体内置，无可视散热器；</w:t>
            </w:r>
            <w:r/>
          </w:p>
          <w:p>
            <w:pPr>
              <w:pStyle w:val="133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8.具有防护眩光的结构设计；。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9.灯具强制认证：CCC认证；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10.灯具</w:t>
            </w:r>
            <w:r>
              <w:rPr>
                <w:rFonts w:hint="eastAsia" w:ascii="宋体" w:hAnsi="宋体" w:eastAsia="宋体" w:cs="宋体"/>
                <w:color w:val="000000" w:themeColor="text1"/>
                <w:sz w:val="24"/>
                <w:szCs w:val="24"/>
                <w:lang w:eastAsia="zh-CN"/>
                <w14:textFill>
                  <w14:solidFill>
                    <w14:schemeClr w14:val="tx1"/>
                  </w14:solidFill>
                </w14:textFill>
              </w:rPr>
              <w:t xml:space="preserve">投标时提供第三方检测机构出具的具备CMA和CNAS标识的检测报告，或承诺供货时提供产品检测报告，未提供或内容不满足要求的视为负偏离。</w:t>
            </w:r>
            <w:r/>
          </w:p>
        </w:tc>
      </w:tr>
    </w:tbl>
    <w:p>
      <w:pPr>
        <w:pStyle w:val="1334"/>
        <w:ind w:firstLine="199"/>
        <w:rPr>
          <w:rFonts w:hint="eastAsia" w:ascii="宋体" w:hAnsi="宋体" w:eastAsia="宋体" w:cs="宋体"/>
          <w:sz w:val="24"/>
          <w:szCs w:val="24"/>
        </w:rPr>
      </w:pPr>
      <w:r>
        <w:rPr>
          <w:rFonts w:hint="eastAsia" w:ascii="宋体" w:hAnsi="宋体" w:eastAsia="宋体" w:cs="宋体"/>
          <w:sz w:val="24"/>
          <w:szCs w:val="24"/>
        </w:rPr>
        <w:br/>
      </w:r>
      <w:r>
        <w:rPr>
          <w:rFonts w:hint="eastAsia" w:ascii="宋体" w:hAnsi="宋体" w:eastAsia="宋体" w:cs="宋体"/>
          <w:sz w:val="24"/>
          <w:szCs w:val="24"/>
        </w:rPr>
        <w:t xml:space="preserve">●轨道洗墙灯1</w:t>
      </w:r>
      <w:r/>
    </w:p>
    <w:tbl>
      <w:tblPr>
        <w:tblStyle w:val="857"/>
        <w:tblW w:w="9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1"/>
        <w:gridCol w:w="1995"/>
        <w:gridCol w:w="5993"/>
      </w:tblGrid>
      <w:tr>
        <w:trPr>
          <w:jc w:val="center"/>
          <w:trHeight w:val="623"/>
        </w:trPr>
        <w:tc>
          <w:tcPr>
            <w:gridSpan w:val="3"/>
            <w:tcW w:w="942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灯具技术规格</w:t>
            </w:r>
            <w:r/>
          </w:p>
        </w:tc>
      </w:tr>
      <w:tr>
        <w:trPr>
          <w:jc w:val="center"/>
          <w:trHeight w:val="558"/>
        </w:trPr>
        <w:tc>
          <w:tcPr>
            <w:tcW w:w="1441"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9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轨道洗墙灯1</w:t>
            </w:r>
            <w:r/>
          </w:p>
        </w:tc>
      </w:tr>
      <w:tr>
        <w:trPr>
          <w:jc w:val="center"/>
          <w:trHeight w:val="558"/>
        </w:trPr>
        <w:tc>
          <w:tcPr>
            <w:tcW w:w="1441"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9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图文展板，画等</w:t>
            </w:r>
            <w:r/>
          </w:p>
        </w:tc>
      </w:tr>
      <w:tr>
        <w:trPr>
          <w:jc w:val="center"/>
          <w:trHeight w:val="558"/>
        </w:trPr>
        <w:tc>
          <w:tcPr>
            <w:tcW w:w="1441"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W w:w="599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jc w:val="center"/>
          <w:trHeight w:val="558"/>
        </w:trPr>
        <w:tc>
          <w:tcPr>
            <w:tcW w:w="1441" w:type="dxa"/>
            <w:vAlign w:val="center"/>
            <w:vMerge w:val="restar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199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光源</w:t>
            </w:r>
            <w:r>
              <w:rPr>
                <w:rFonts w:hint="eastAsia" w:ascii="宋体" w:hAnsi="宋体" w:eastAsia="宋体" w:cs="宋体"/>
                <w:sz w:val="24"/>
                <w:szCs w:val="24"/>
              </w:rPr>
              <w:t xml:space="preserve">类型</w:t>
            </w:r>
            <w:r/>
          </w:p>
        </w:tc>
        <w:tc>
          <w:tcPr>
            <w:tcW w:w="599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LED SMD</w:t>
            </w:r>
            <w:r/>
          </w:p>
        </w:tc>
      </w:tr>
      <w:tr>
        <w:trPr>
          <w:jc w:val="center"/>
          <w:trHeight w:val="558"/>
        </w:trPr>
        <w:tc>
          <w:tcPr>
            <w:tcW w:w="1441"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功率</w:t>
            </w:r>
            <w:r/>
          </w:p>
        </w:tc>
        <w:tc>
          <w:tcPr>
            <w:tcW w:w="599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18W-22W</w:t>
            </w:r>
            <w:r/>
          </w:p>
        </w:tc>
      </w:tr>
      <w:tr>
        <w:trPr>
          <w:jc w:val="center"/>
          <w:trHeight w:val="558"/>
        </w:trPr>
        <w:tc>
          <w:tcPr>
            <w:tcW w:w="1441"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光源光通量</w:t>
            </w:r>
            <w:r/>
          </w:p>
        </w:tc>
        <w:tc>
          <w:tcPr>
            <w:tcW w:w="599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≥1600lm</w:t>
            </w:r>
            <w:r/>
          </w:p>
        </w:tc>
      </w:tr>
      <w:tr>
        <w:trPr>
          <w:jc w:val="center"/>
          <w:trHeight w:val="558"/>
        </w:trPr>
        <w:tc>
          <w:tcPr>
            <w:tcW w:w="1441"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显色性</w:t>
            </w:r>
            <w:r/>
          </w:p>
        </w:tc>
        <w:tc>
          <w:tcPr>
            <w:tcW w:w="599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jc w:val="center"/>
          <w:trHeight w:val="558"/>
        </w:trPr>
        <w:tc>
          <w:tcPr>
            <w:tcW w:w="1441"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色容差</w:t>
            </w:r>
            <w:r/>
          </w:p>
        </w:tc>
        <w:tc>
          <w:tcPr>
            <w:tcW w:w="599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jc w:val="center"/>
          <w:trHeight w:val="558"/>
        </w:trPr>
        <w:tc>
          <w:tcPr>
            <w:tcW w:w="1441"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色温</w:t>
            </w:r>
            <w:r/>
          </w:p>
        </w:tc>
        <w:tc>
          <w:tcPr>
            <w:tcW w:w="599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jc w:val="center"/>
          <w:trHeight w:val="558"/>
        </w:trPr>
        <w:tc>
          <w:tcPr>
            <w:tcW w:w="1441"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配光</w:t>
            </w:r>
            <w:r/>
          </w:p>
        </w:tc>
        <w:tc>
          <w:tcPr>
            <w:tcW w:w="599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偏配光，洗墙配光</w:t>
            </w:r>
            <w:r/>
          </w:p>
        </w:tc>
      </w:tr>
      <w:tr>
        <w:trPr>
          <w:jc w:val="center"/>
          <w:trHeight w:val="558"/>
        </w:trPr>
        <w:tc>
          <w:tcPr>
            <w:tcW w:w="1441"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调光</w:t>
            </w:r>
            <w:r/>
          </w:p>
        </w:tc>
        <w:tc>
          <w:tcPr>
            <w:tcW w:w="599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单灯旋钮调光，调光范围0—100%</w:t>
            </w:r>
            <w:r/>
          </w:p>
        </w:tc>
      </w:tr>
      <w:tr>
        <w:trPr>
          <w:jc w:val="center"/>
          <w:trHeight w:val="58"/>
        </w:trPr>
        <w:tc>
          <w:tcPr>
            <w:gridSpan w:val="3"/>
            <w:tcW w:w="942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其他参数：</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配光：洗墙（反射器或透镜）配光；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可加配件：挡光板、防眩网、有色滤镜，色温转换片等；</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3．壳体：灯体整体压铸铝（壳体无塑胶组成部分），表面处理粉末喷涂，颜色持久、耐磨损；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4．适配三回路轨道，自带锁定结构，保证与三回路轨道的可靠机械及电器连接；</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5．调光：可手动调光，线性好、在任何工作状态下均应无频闪；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6．可调方向：可垂直+/-90°调节，水平不小于360°旋转；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7．灯具无外露明线，电器与光源一体内置，无可视散热器；</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8．具有防护眩光的结构设计；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9.灯具强制认证：CCC认证；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10.灯具</w:t>
            </w:r>
            <w:r>
              <w:rPr>
                <w:rFonts w:hint="eastAsia" w:ascii="宋体" w:hAnsi="宋体" w:eastAsia="宋体" w:cs="宋体"/>
                <w:color w:val="000000" w:themeColor="text1"/>
                <w:sz w:val="24"/>
                <w:szCs w:val="24"/>
                <w:lang w:eastAsia="zh-CN"/>
                <w14:textFill>
                  <w14:solidFill>
                    <w14:schemeClr w14:val="tx1"/>
                  </w14:solidFill>
                </w14:textFill>
              </w:rPr>
              <w:t xml:space="preserve">投标时提供第三方检测机构出具的具备CMA和CNAS标识的检测报告，或承诺供货时提供产品检测报告，未提供或内容不满足要求的视为负偏离。</w:t>
            </w:r>
            <w:r/>
          </w:p>
        </w:tc>
      </w:tr>
    </w:tbl>
    <w:p>
      <w:pPr>
        <w:pStyle w:val="1334"/>
        <w:ind w:firstLine="0"/>
        <w:rPr>
          <w:rFonts w:hint="eastAsia" w:ascii="宋体" w:hAnsi="宋体" w:eastAsia="宋体" w:cs="宋体"/>
          <w:sz w:val="24"/>
          <w:szCs w:val="24"/>
        </w:rPr>
      </w:pPr>
      <w:r>
        <w:rPr>
          <w:rFonts w:hint="eastAsia" w:ascii="宋体" w:hAnsi="宋体" w:eastAsia="宋体" w:cs="宋体"/>
          <w:sz w:val="24"/>
          <w:szCs w:val="24"/>
        </w:rPr>
      </w:r>
      <w:r/>
    </w:p>
    <w:p>
      <w:pPr>
        <w:pStyle w:val="1334"/>
        <w:ind w:firstLine="199"/>
        <w:rPr>
          <w:rFonts w:hint="eastAsia" w:ascii="宋体" w:hAnsi="宋体" w:eastAsia="宋体" w:cs="宋体"/>
          <w:sz w:val="24"/>
          <w:szCs w:val="24"/>
        </w:rPr>
      </w:pPr>
      <w:r>
        <w:rPr>
          <w:rFonts w:hint="eastAsia" w:ascii="宋体" w:hAnsi="宋体" w:eastAsia="宋体" w:cs="宋体"/>
          <w:sz w:val="24"/>
          <w:szCs w:val="24"/>
        </w:rPr>
        <w:t xml:space="preserve">●轨道射灯2</w:t>
      </w:r>
      <w:r/>
    </w:p>
    <w:tbl>
      <w:tblPr>
        <w:tblStyle w:val="857"/>
        <w:tblW w:w="9435"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1875"/>
        <w:gridCol w:w="5904"/>
      </w:tblGrid>
      <w:tr>
        <w:trPr>
          <w:trHeight w:val="454"/>
        </w:trPr>
        <w:tc>
          <w:tcPr>
            <w:gridSpan w:val="3"/>
            <w:tcW w:w="943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灯具技术规格</w:t>
            </w:r>
            <w:r/>
          </w:p>
        </w:tc>
      </w:tr>
      <w:tr>
        <w:trPr>
          <w:trHeight w:val="454"/>
        </w:trPr>
        <w:tc>
          <w:tcPr>
            <w:tcW w:w="165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77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轨道射灯2</w:t>
            </w:r>
            <w:r/>
          </w:p>
        </w:tc>
      </w:tr>
      <w:tr>
        <w:trPr>
          <w:trHeight w:val="454"/>
        </w:trPr>
        <w:tc>
          <w:tcPr>
            <w:tcW w:w="165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77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r>
      <w:tr>
        <w:trPr>
          <w:trHeight w:val="454"/>
        </w:trPr>
        <w:tc>
          <w:tcPr>
            <w:tcW w:w="165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187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W w:w="590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trHeight w:val="454"/>
        </w:trPr>
        <w:tc>
          <w:tcPr>
            <w:tcW w:w="1656"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187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光源类型</w:t>
            </w:r>
            <w:r/>
          </w:p>
        </w:tc>
        <w:tc>
          <w:tcPr>
            <w:tcW w:w="590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LED SMD</w:t>
            </w:r>
            <w:r/>
          </w:p>
        </w:tc>
      </w:tr>
      <w:tr>
        <w:trPr>
          <w:trHeight w:val="454"/>
        </w:trPr>
        <w:tc>
          <w:tcPr>
            <w:tcW w:w="165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87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功率</w:t>
            </w:r>
            <w:r/>
          </w:p>
        </w:tc>
        <w:tc>
          <w:tcPr>
            <w:tcW w:w="590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12W-16W</w:t>
            </w:r>
            <w:r/>
          </w:p>
        </w:tc>
      </w:tr>
      <w:tr>
        <w:trPr>
          <w:trHeight w:val="454"/>
        </w:trPr>
        <w:tc>
          <w:tcPr>
            <w:tcW w:w="165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87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光源光通量</w:t>
            </w:r>
            <w:r/>
          </w:p>
        </w:tc>
        <w:tc>
          <w:tcPr>
            <w:tcW w:w="5904"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bookmarkStart w:id="13" w:name="OLE_LINK18"/>
            <w:r/>
            <w:bookmarkStart w:id="14" w:name="OLE_LINK17"/>
            <w:r>
              <w:rPr>
                <w:rFonts w:hint="eastAsia" w:ascii="宋体" w:hAnsi="宋体" w:eastAsia="宋体" w:cs="宋体"/>
                <w:color w:val="000000" w:themeColor="text1"/>
                <w:sz w:val="24"/>
                <w:szCs w:val="24"/>
                <w14:textFill>
                  <w14:solidFill>
                    <w14:schemeClr w14:val="tx1"/>
                  </w14:solidFill>
                </w14:textFill>
              </w:rPr>
              <w:t xml:space="preserve">≥1050lm</w:t>
            </w:r>
            <w:bookmarkEnd w:id="13"/>
            <w:r/>
            <w:bookmarkEnd w:id="14"/>
            <w:r/>
            <w:r/>
          </w:p>
        </w:tc>
      </w:tr>
      <w:tr>
        <w:trPr>
          <w:trHeight w:val="454"/>
        </w:trPr>
        <w:tc>
          <w:tcPr>
            <w:tcW w:w="165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87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显色性</w:t>
            </w:r>
            <w:r/>
          </w:p>
        </w:tc>
        <w:tc>
          <w:tcPr>
            <w:tcW w:w="590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trHeight w:val="454"/>
        </w:trPr>
        <w:tc>
          <w:tcPr>
            <w:tcW w:w="165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87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色容差</w:t>
            </w:r>
            <w:r/>
          </w:p>
        </w:tc>
        <w:tc>
          <w:tcPr>
            <w:tcW w:w="590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trHeight w:val="454"/>
        </w:trPr>
        <w:tc>
          <w:tcPr>
            <w:tcW w:w="165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87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色温</w:t>
            </w:r>
            <w:r/>
          </w:p>
        </w:tc>
        <w:tc>
          <w:tcPr>
            <w:tcW w:w="590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trHeight w:val="454"/>
        </w:trPr>
        <w:tc>
          <w:tcPr>
            <w:tcW w:w="165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87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配光</w:t>
            </w:r>
            <w:r/>
          </w:p>
        </w:tc>
        <w:tc>
          <w:tcPr>
            <w:tcW w:w="590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光束角范围：（15°±3）、中光（25°±3）、宽光（35°±4）、超宽光（45°±4）、拉伸光型（长宽比2:1和长宽比3：1，长轴不低于50°）、洗墙</w:t>
            </w:r>
            <w:r/>
          </w:p>
        </w:tc>
      </w:tr>
      <w:tr>
        <w:trPr>
          <w:trHeight w:val="454"/>
        </w:trPr>
        <w:tc>
          <w:tcPr>
            <w:tcW w:w="165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87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调光</w:t>
            </w:r>
            <w:r/>
          </w:p>
        </w:tc>
        <w:tc>
          <w:tcPr>
            <w:tcW w:w="5904"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单灯旋钮调光，调光范围0—100%</w:t>
            </w:r>
            <w:r/>
          </w:p>
        </w:tc>
      </w:tr>
      <w:tr>
        <w:trPr>
          <w:trHeight w:val="454"/>
        </w:trPr>
        <w:tc>
          <w:tcPr>
            <w:gridSpan w:val="3"/>
            <w:tcW w:w="9435"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其他要求：</w:t>
            </w:r>
            <w:r/>
          </w:p>
          <w:p>
            <w:pPr>
              <w:pStyle w:val="1335"/>
              <w:rPr>
                <w:rFonts w:hint="eastAsia" w:ascii="宋体" w:hAnsi="宋体" w:eastAsia="宋体" w:cs="宋体"/>
                <w:sz w:val="24"/>
                <w:szCs w:val="24"/>
              </w:rPr>
            </w:pPr>
            <w:r>
              <w:rPr>
                <w:rFonts w:hint="eastAsia" w:ascii="宋体" w:hAnsi="宋体" w:eastAsia="宋体" w:cs="宋体"/>
                <w:sz w:val="24"/>
                <w:szCs w:val="24"/>
              </w:rPr>
              <w:t xml:space="preserve">1.拓展性：可根据不同的应用场景需求，通过更换灯具前部的光学镜片改变光束角，无需借助工具，操作便捷，并且保持灯具的外观不变；</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2.可加配</w:t>
            </w:r>
            <w:r>
              <w:rPr>
                <w:rFonts w:hint="eastAsia" w:ascii="宋体" w:hAnsi="宋体" w:eastAsia="宋体" w:cs="宋体"/>
                <w:color w:val="000000" w:themeColor="text1"/>
                <w:sz w:val="24"/>
                <w:szCs w:val="24"/>
                <w14:textFill>
                  <w14:solidFill>
                    <w14:schemeClr w14:val="tx1"/>
                  </w14:solidFill>
                </w14:textFill>
              </w:rPr>
              <w:t xml:space="preserve">件：挡光板、防眩网、有色滤镜，色温转换片等；</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3.壳体：灯体整体压铸铝（壳体无塑胶组成部分），表面处理粉末喷涂，颜色持久、耐磨损；</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4.适配三回路轨道，自带锁定结构，保证与三回路轨道的可靠机械及电器连接；</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5.调光：可手动调光，线性好、在任何工作状态下均应无频闪；</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6.可调方向：可垂直+/-90°调节，水平不小于360°旋转；</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7.灯具无外露明线，电器与光源一体内置，无可视散热器；</w:t>
            </w:r>
            <w:r/>
          </w:p>
          <w:p>
            <w:pPr>
              <w:pStyle w:val="1335"/>
              <w:jc w:val="lef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8.具有防护眩光的结构设计；。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9.灯具强制认证：CCC认证；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10.灯具</w:t>
            </w:r>
            <w:r>
              <w:rPr>
                <w:rFonts w:hint="eastAsia" w:ascii="宋体" w:hAnsi="宋体" w:eastAsia="宋体" w:cs="宋体"/>
                <w:color w:val="000000" w:themeColor="text1"/>
                <w:sz w:val="24"/>
                <w:szCs w:val="24"/>
                <w:lang w:eastAsia="zh-CN"/>
                <w14:textFill>
                  <w14:solidFill>
                    <w14:schemeClr w14:val="tx1"/>
                  </w14:solidFill>
                </w14:textFill>
              </w:rPr>
              <w:t xml:space="preserve">投标时提供第三方检测机构出具的具备CMA和CNAS标识的检测报告，或承诺供货时提供产品检测报告，未提供或内容不满足要求的视为负偏离。</w:t>
            </w:r>
            <w:r/>
          </w:p>
        </w:tc>
      </w:tr>
    </w:tbl>
    <w:p>
      <w:pPr>
        <w:pStyle w:val="1334"/>
        <w:ind w:firstLine="480"/>
        <w:rPr>
          <w:rFonts w:hint="eastAsia" w:ascii="宋体" w:hAnsi="宋体" w:eastAsia="宋体" w:cs="宋体"/>
          <w:sz w:val="24"/>
          <w:szCs w:val="24"/>
        </w:rPr>
      </w:pPr>
      <w:r>
        <w:rPr>
          <w:rFonts w:hint="eastAsia" w:ascii="宋体" w:hAnsi="宋体" w:eastAsia="宋体" w:cs="宋体"/>
          <w:sz w:val="24"/>
          <w:szCs w:val="24"/>
        </w:rPr>
      </w:r>
      <w:r/>
    </w:p>
    <w:p>
      <w:pPr>
        <w:pStyle w:val="1334"/>
        <w:ind w:firstLine="199"/>
        <w:rPr>
          <w:rFonts w:hint="eastAsia" w:ascii="宋体" w:hAnsi="宋体" w:eastAsia="宋体" w:cs="宋体"/>
          <w:sz w:val="24"/>
          <w:szCs w:val="24"/>
        </w:rPr>
      </w:pPr>
      <w:r>
        <w:rPr>
          <w:rFonts w:hint="eastAsia" w:ascii="宋体" w:hAnsi="宋体" w:eastAsia="宋体" w:cs="宋体"/>
          <w:sz w:val="24"/>
          <w:szCs w:val="24"/>
        </w:rPr>
        <w:t xml:space="preserve">●轨道洗墙灯2</w:t>
      </w:r>
      <w:r/>
    </w:p>
    <w:tbl>
      <w:tblPr>
        <w:tblStyle w:val="857"/>
        <w:tblW w:w="9504"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2106"/>
        <w:gridCol w:w="5664"/>
      </w:tblGrid>
      <w:tr>
        <w:trPr>
          <w:trHeight w:val="454"/>
        </w:trPr>
        <w:tc>
          <w:tcPr>
            <w:gridSpan w:val="3"/>
            <w:tcW w:w="950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灯具技术规格</w:t>
            </w:r>
            <w:r/>
          </w:p>
        </w:tc>
      </w:tr>
      <w:tr>
        <w:trPr>
          <w:trHeight w:val="454"/>
        </w:trPr>
        <w:tc>
          <w:tcPr>
            <w:tcW w:w="173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77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轨道洗墙灯2</w:t>
            </w:r>
            <w:r/>
          </w:p>
        </w:tc>
      </w:tr>
      <w:tr>
        <w:trPr>
          <w:trHeight w:val="454"/>
        </w:trPr>
        <w:tc>
          <w:tcPr>
            <w:tcW w:w="173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77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r>
      <w:tr>
        <w:trPr>
          <w:trHeight w:val="454"/>
        </w:trPr>
        <w:tc>
          <w:tcPr>
            <w:tcW w:w="173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210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W w:w="566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trHeight w:val="454"/>
        </w:trPr>
        <w:tc>
          <w:tcPr>
            <w:tcW w:w="1734"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210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光源类型</w:t>
            </w:r>
            <w:r/>
          </w:p>
        </w:tc>
        <w:tc>
          <w:tcPr>
            <w:tcW w:w="566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LED SMD</w:t>
            </w:r>
            <w:r/>
          </w:p>
        </w:tc>
      </w:tr>
      <w:tr>
        <w:trPr>
          <w:trHeight w:val="454"/>
        </w:trPr>
        <w:tc>
          <w:tcPr>
            <w:tcW w:w="1734"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功率</w:t>
            </w:r>
            <w:r/>
          </w:p>
        </w:tc>
        <w:tc>
          <w:tcPr>
            <w:tcW w:w="566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12W-16W</w:t>
            </w:r>
            <w:r/>
          </w:p>
        </w:tc>
      </w:tr>
      <w:tr>
        <w:trPr>
          <w:trHeight w:val="454"/>
        </w:trPr>
        <w:tc>
          <w:tcPr>
            <w:tcW w:w="1734" w:type="dxa"/>
            <w:vAlign w:val="center"/>
            <w:vMerge w:val="continue"/>
            <w:textDirection w:val="lrTb"/>
            <w:noWrap w:val="false"/>
          </w:tcPr>
          <w:p>
            <w:pPr>
              <w:pStyle w:val="1335"/>
              <w:rPr>
                <w:rFonts w:hint="eastAsia" w:ascii="宋体" w:hAnsi="宋体" w:eastAsia="宋体" w:cs="宋体"/>
                <w:sz w:val="24"/>
                <w:szCs w:val="24"/>
              </w:rPr>
            </w:pPr>
            <w:r/>
            <w:bookmarkStart w:id="15" w:name="_Hlk203575121"/>
            <w:r/>
            <w:r/>
          </w:p>
        </w:tc>
        <w:tc>
          <w:tcPr>
            <w:tcW w:w="210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光源光通量</w:t>
            </w:r>
            <w:r/>
          </w:p>
        </w:tc>
        <w:tc>
          <w:tcPr>
            <w:tcW w:w="5664"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≥1050lm</w:t>
            </w:r>
            <w:bookmarkEnd w:id="15"/>
            <w:r/>
            <w:r/>
          </w:p>
        </w:tc>
      </w:tr>
      <w:tr>
        <w:trPr>
          <w:trHeight w:val="454"/>
        </w:trPr>
        <w:tc>
          <w:tcPr>
            <w:tcW w:w="1734"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显色性</w:t>
            </w:r>
            <w:r/>
          </w:p>
        </w:tc>
        <w:tc>
          <w:tcPr>
            <w:tcW w:w="566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trHeight w:val="454"/>
        </w:trPr>
        <w:tc>
          <w:tcPr>
            <w:tcW w:w="1734"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色容差</w:t>
            </w:r>
            <w:r/>
          </w:p>
        </w:tc>
        <w:tc>
          <w:tcPr>
            <w:tcW w:w="566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trHeight w:val="454"/>
        </w:trPr>
        <w:tc>
          <w:tcPr>
            <w:tcW w:w="1734"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色温</w:t>
            </w:r>
            <w:r/>
          </w:p>
        </w:tc>
        <w:tc>
          <w:tcPr>
            <w:tcW w:w="5664"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trHeight w:val="454"/>
        </w:trPr>
        <w:tc>
          <w:tcPr>
            <w:tcW w:w="1734"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配光</w:t>
            </w:r>
            <w:r/>
          </w:p>
        </w:tc>
        <w:tc>
          <w:tcPr>
            <w:tcW w:w="566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偏配光，洗墙配光</w:t>
            </w:r>
            <w:r/>
          </w:p>
        </w:tc>
      </w:tr>
      <w:tr>
        <w:trPr>
          <w:trHeight w:val="454"/>
        </w:trPr>
        <w:tc>
          <w:tcPr>
            <w:tcW w:w="1734" w:type="dxa"/>
            <w:vAlign w:val="center"/>
            <w:vMerge w:val="continue"/>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106"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调光</w:t>
            </w:r>
            <w:r/>
          </w:p>
        </w:tc>
        <w:tc>
          <w:tcPr>
            <w:tcW w:w="5664"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单灯旋钮调光，调光范围0—100%</w:t>
            </w:r>
            <w:r/>
          </w:p>
        </w:tc>
      </w:tr>
      <w:tr>
        <w:trPr>
          <w:trHeight w:val="454"/>
        </w:trPr>
        <w:tc>
          <w:tcPr>
            <w:gridSpan w:val="3"/>
            <w:tcW w:w="9504" w:type="dxa"/>
            <w:vAlign w:val="center"/>
            <w:textDirection w:val="lrTb"/>
            <w:noWrap w:val="false"/>
          </w:tcPr>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其他参数：</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配光：洗墙（反射器或透镜）配光； </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可加配件：挡光板、防眩网、有色滤镜，色温转换片等；</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3</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壳体：灯体整体压铸铝（壳体无塑胶组成部分），表面处理粉末喷涂，颜色持久、耐磨损；</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适配三回路轨道，自带锁定结构，保证与三回路轨道的可靠机械及电器连接；</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调光：可手动调光，线性好、在任何工作状态下均应无频闪；</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可调方向：可垂直+/-90°调节，水平不小于360°旋转； </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灯具无外露明线，电器与光源一体内置，无可视散热器；</w:t>
            </w:r>
            <w:r/>
          </w:p>
          <w:p>
            <w:pPr>
              <w:pStyle w:val="1335"/>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具有防护眩光的结构设计；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9</w:t>
            </w:r>
            <w:r>
              <w:rPr>
                <w:rFonts w:hint="eastAsia"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灯具强制认证：CCC认证；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10</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灯具</w:t>
            </w:r>
            <w:r>
              <w:rPr>
                <w:rFonts w:hint="eastAsia" w:ascii="宋体" w:hAnsi="宋体" w:eastAsia="宋体" w:cs="宋体"/>
                <w:color w:val="000000" w:themeColor="text1"/>
                <w:sz w:val="24"/>
                <w:szCs w:val="24"/>
                <w:lang w:eastAsia="zh-CN"/>
                <w14:textFill>
                  <w14:solidFill>
                    <w14:schemeClr w14:val="tx1"/>
                  </w14:solidFill>
                </w14:textFill>
              </w:rPr>
              <w:t xml:space="preserve">投标时提供第三方检测机构出具的具备CMA和CNAS标识的检测报告，或承诺供货时提供产品检测报告，未提供或内容不满足要求的视为负偏离。</w:t>
            </w:r>
            <w:r/>
          </w:p>
        </w:tc>
      </w:tr>
    </w:tbl>
    <w:p>
      <w:pPr>
        <w:pStyle w:val="1334"/>
        <w:ind w:firstLine="0"/>
        <w:rPr>
          <w:rFonts w:hint="eastAsia" w:ascii="宋体" w:hAnsi="宋体" w:eastAsia="宋体" w:cs="宋体"/>
          <w:sz w:val="24"/>
          <w:szCs w:val="24"/>
        </w:rPr>
      </w:pPr>
      <w:r>
        <w:rPr>
          <w:rFonts w:hint="eastAsia" w:ascii="宋体" w:hAnsi="宋体" w:eastAsia="宋体" w:cs="宋体"/>
          <w:sz w:val="24"/>
          <w:szCs w:val="24"/>
        </w:rPr>
      </w:r>
      <w:r/>
    </w:p>
    <w:p>
      <w:pPr>
        <w:pStyle w:val="1334"/>
        <w:ind w:firstLine="0"/>
        <w:rPr>
          <w:rFonts w:hint="eastAsia" w:ascii="宋体" w:hAnsi="宋体" w:eastAsia="宋体" w:cs="宋体"/>
          <w:sz w:val="24"/>
          <w:szCs w:val="24"/>
        </w:rPr>
      </w:pPr>
      <w:r>
        <w:rPr>
          <w:rFonts w:hint="eastAsia" w:ascii="宋体" w:hAnsi="宋体" w:eastAsia="宋体" w:cs="宋体"/>
          <w:sz w:val="24"/>
          <w:szCs w:val="24"/>
        </w:rPr>
        <w:t xml:space="preserve">②展柜内嵌（明）装灯具（射灯、微型轨道射灯、微型轨道洗墙灯，洗墙灯等）</w:t>
      </w:r>
      <w:r/>
    </w:p>
    <w:p>
      <w:pPr>
        <w:pStyle w:val="1334"/>
        <w:ind w:firstLine="0"/>
        <w:rPr>
          <w:rFonts w:hint="eastAsia" w:ascii="宋体" w:hAnsi="宋体" w:eastAsia="宋体" w:cs="宋体"/>
          <w:sz w:val="24"/>
          <w:szCs w:val="24"/>
        </w:rPr>
      </w:pPr>
      <w:r>
        <w:rPr>
          <w:rFonts w:hint="eastAsia" w:ascii="宋体" w:hAnsi="宋体" w:eastAsia="宋体" w:cs="宋体"/>
          <w:sz w:val="24"/>
          <w:szCs w:val="24"/>
        </w:rPr>
        <w:t xml:space="preserve">●嵌装洗墙灯</w:t>
      </w:r>
      <w:r/>
    </w:p>
    <w:tbl>
      <w:tblPr>
        <w:tblStyle w:val="85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2194"/>
        <w:gridCol w:w="5699"/>
      </w:tblGrid>
      <w:tr>
        <w:trPr>
          <w:jc w:val="center"/>
          <w:trHeight w:val="454"/>
        </w:trPr>
        <w:tc>
          <w:tcPr>
            <w:tcW w:w="164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89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嵌装洗墙灯</w:t>
            </w:r>
            <w:r/>
          </w:p>
        </w:tc>
      </w:tr>
      <w:tr>
        <w:trPr>
          <w:jc w:val="center"/>
          <w:trHeight w:val="454"/>
        </w:trPr>
        <w:tc>
          <w:tcPr>
            <w:tcW w:w="164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893"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通柜背板立面洗墙照明</w:t>
            </w:r>
            <w:r/>
          </w:p>
        </w:tc>
      </w:tr>
      <w:tr>
        <w:trPr>
          <w:jc w:val="center"/>
          <w:trHeight w:val="454"/>
        </w:trPr>
        <w:tc>
          <w:tcPr>
            <w:tcW w:w="164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W w:w="569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jc w:val="center"/>
          <w:trHeight w:val="454"/>
        </w:trPr>
        <w:tc>
          <w:tcPr>
            <w:tcW w:w="1646"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光源</w:t>
            </w:r>
            <w:r>
              <w:rPr>
                <w:rFonts w:hint="eastAsia" w:ascii="宋体" w:hAnsi="宋体" w:eastAsia="宋体" w:cs="宋体"/>
                <w:sz w:val="24"/>
                <w:szCs w:val="24"/>
              </w:rPr>
              <w:t xml:space="preserve">类型</w:t>
            </w:r>
            <w:r/>
          </w:p>
        </w:tc>
        <w:tc>
          <w:tcPr>
            <w:tcW w:w="569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LED SMD</w:t>
            </w:r>
            <w:r/>
          </w:p>
        </w:tc>
      </w:tr>
      <w:tr>
        <w:trPr>
          <w:jc w:val="center"/>
          <w:trHeight w:val="454"/>
        </w:trPr>
        <w:tc>
          <w:tcPr>
            <w:tcW w:w="164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功率</w:t>
            </w:r>
            <w:r/>
          </w:p>
        </w:tc>
        <w:tc>
          <w:tcPr>
            <w:tcW w:w="569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6W-9W；</w:t>
            </w:r>
            <w:r/>
          </w:p>
        </w:tc>
      </w:tr>
      <w:tr>
        <w:trPr>
          <w:jc w:val="center"/>
          <w:trHeight w:val="454"/>
        </w:trPr>
        <w:tc>
          <w:tcPr>
            <w:tcW w:w="164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光源光通量</w:t>
            </w:r>
            <w:r/>
          </w:p>
        </w:tc>
        <w:tc>
          <w:tcPr>
            <w:tcW w:w="569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≥510lm</w:t>
            </w:r>
            <w:r/>
          </w:p>
        </w:tc>
      </w:tr>
      <w:tr>
        <w:trPr>
          <w:jc w:val="center"/>
          <w:trHeight w:val="454"/>
        </w:trPr>
        <w:tc>
          <w:tcPr>
            <w:tcW w:w="164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显色性</w:t>
            </w:r>
            <w:r/>
          </w:p>
        </w:tc>
        <w:tc>
          <w:tcPr>
            <w:tcW w:w="569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jc w:val="center"/>
          <w:trHeight w:val="454"/>
        </w:trPr>
        <w:tc>
          <w:tcPr>
            <w:tcW w:w="164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色容差</w:t>
            </w:r>
            <w:r/>
          </w:p>
        </w:tc>
        <w:tc>
          <w:tcPr>
            <w:tcW w:w="569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jc w:val="center"/>
          <w:trHeight w:val="454"/>
        </w:trPr>
        <w:tc>
          <w:tcPr>
            <w:tcW w:w="164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色温</w:t>
            </w:r>
            <w:r/>
          </w:p>
        </w:tc>
        <w:tc>
          <w:tcPr>
            <w:tcW w:w="569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3500K+/-75K</w:t>
            </w:r>
            <w:r/>
          </w:p>
        </w:tc>
      </w:tr>
      <w:tr>
        <w:trPr>
          <w:jc w:val="center"/>
          <w:trHeight w:val="454"/>
        </w:trPr>
        <w:tc>
          <w:tcPr>
            <w:tcW w:w="164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配光</w:t>
            </w:r>
            <w:r/>
          </w:p>
        </w:tc>
        <w:tc>
          <w:tcPr>
            <w:tcW w:w="569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偏配光，洗墙配光</w:t>
            </w:r>
            <w:r/>
          </w:p>
        </w:tc>
      </w:tr>
      <w:tr>
        <w:trPr>
          <w:jc w:val="center"/>
          <w:trHeight w:val="454"/>
        </w:trPr>
        <w:tc>
          <w:tcPr>
            <w:tcW w:w="1646"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2194"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调光</w:t>
            </w:r>
            <w:r/>
          </w:p>
        </w:tc>
        <w:tc>
          <w:tcPr>
            <w:tcW w:w="569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群组调光，调光范围0—100%</w:t>
            </w:r>
            <w:r/>
          </w:p>
        </w:tc>
      </w:tr>
      <w:tr>
        <w:trPr>
          <w:jc w:val="center"/>
          <w:trHeight w:val="454"/>
        </w:trPr>
        <w:tc>
          <w:tcPr>
            <w:gridSpan w:val="3"/>
            <w:tcW w:w="95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其他参数：</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1.防眩设计：不小于50度深度防眩设计；</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2.配光：洗墙（反射器或透镜）配光；</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3.壳体：表面处理粉末喷涂，颜色持久、耐磨损；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4.安装方式：嵌入式安装；</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5.散热结构设计：散热体与前框分离，散热体部分全部在展柜外部，热量不进入展柜内部，减少展柜内热量；</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6.调光：0-10V手动调光，线性好、在任何工作状态下均应无频闪；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7.配置0-10V可调光驱动电源，调光无频闪；</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8.开孔尺寸：长度118mm以下，宽度24mm以下；</w:t>
            </w:r>
            <w:r>
              <w:rPr>
                <w:rFonts w:hint="eastAsia" w:ascii="宋体" w:hAnsi="宋体" w:eastAsia="宋体" w:cs="宋体"/>
                <w:color w:val="000000" w:themeColor="text1"/>
                <w:sz w:val="24"/>
                <w:szCs w:val="24"/>
                <w14:textFill>
                  <w14:solidFill>
                    <w14:schemeClr w14:val="tx1"/>
                  </w14:solidFill>
                </w14:textFill>
              </w:rPr>
              <w:br/>
            </w:r>
            <w:bookmarkStart w:id="16" w:name="OLE_LINK7"/>
            <w:r>
              <w:rPr>
                <w:rFonts w:hint="eastAsia" w:ascii="宋体" w:hAnsi="宋体" w:eastAsia="宋体" w:cs="宋体"/>
                <w:color w:val="000000" w:themeColor="text1"/>
                <w:sz w:val="24"/>
                <w:szCs w:val="24"/>
                <w14:textFill>
                  <w14:solidFill>
                    <w14:schemeClr w14:val="tx1"/>
                  </w14:solidFill>
                </w14:textFill>
              </w:rPr>
              <w:t xml:space="preserve">9.灯具</w:t>
            </w:r>
            <w:bookmarkEnd w:id="16"/>
            <w:r>
              <w:rPr>
                <w:rFonts w:hint="eastAsia" w:ascii="宋体" w:hAnsi="宋体" w:eastAsia="宋体" w:cs="宋体"/>
                <w:color w:val="000000" w:themeColor="text1"/>
                <w:sz w:val="24"/>
                <w:szCs w:val="24"/>
                <w:lang w:eastAsia="zh-CN"/>
                <w14:textFill>
                  <w14:solidFill>
                    <w14:schemeClr w14:val="tx1"/>
                  </w14:solidFill>
                </w14:textFill>
              </w:rPr>
              <w:t xml:space="preserve">投标时提供第三方检测机构出具的具备CMA和CNAS标识的检测报告，或承诺供货时提供产品检测报告，未提供或内容不满足要求的视为负偏离。</w:t>
            </w:r>
            <w:r/>
          </w:p>
        </w:tc>
      </w:tr>
    </w:tbl>
    <w:p>
      <w:pPr>
        <w:pStyle w:val="1334"/>
        <w:ind w:firstLine="199"/>
        <w:rPr>
          <w:rFonts w:hint="eastAsia" w:ascii="宋体" w:hAnsi="宋体" w:eastAsia="宋体" w:cs="宋体"/>
          <w:sz w:val="24"/>
          <w:szCs w:val="24"/>
        </w:rPr>
      </w:pPr>
      <w:r>
        <w:rPr>
          <w:rFonts w:hint="eastAsia" w:ascii="宋体" w:hAnsi="宋体" w:eastAsia="宋体" w:cs="宋体"/>
          <w:sz w:val="24"/>
          <w:szCs w:val="24"/>
        </w:rPr>
      </w:r>
      <w:r/>
    </w:p>
    <w:p>
      <w:pPr>
        <w:pStyle w:val="1334"/>
        <w:ind w:firstLine="0"/>
        <w:rPr>
          <w:rFonts w:hint="eastAsia" w:ascii="宋体" w:hAnsi="宋体" w:eastAsia="宋体" w:cs="宋体"/>
          <w:sz w:val="24"/>
          <w:szCs w:val="24"/>
        </w:rPr>
      </w:pPr>
      <w:r>
        <w:rPr>
          <w:rFonts w:hint="eastAsia" w:ascii="宋体" w:hAnsi="宋体" w:eastAsia="宋体" w:cs="宋体"/>
          <w:sz w:val="24"/>
          <w:szCs w:val="24"/>
        </w:rPr>
        <w:t xml:space="preserve">●微型轨道洗墙灯</w:t>
      </w:r>
      <w:r/>
    </w:p>
    <w:tbl>
      <w:tblPr>
        <w:tblStyle w:val="85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1982"/>
        <w:gridCol w:w="5839"/>
      </w:tblGrid>
      <w:tr>
        <w:trPr>
          <w:jc w:val="cente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821"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微型轨道洗墙灯</w:t>
            </w:r>
            <w:r/>
          </w:p>
        </w:tc>
      </w:tr>
      <w:tr>
        <w:trPr>
          <w:jc w:val="cente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821"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通柜背板立面洗墙照明</w:t>
            </w:r>
            <w:r/>
          </w:p>
        </w:tc>
      </w:tr>
      <w:tr>
        <w:trPr>
          <w:jc w:val="cente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W w:w="583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jc w:val="center"/>
          <w:trHeight w:val="454"/>
        </w:trPr>
        <w:tc>
          <w:tcPr>
            <w:tcW w:w="1530"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光源</w:t>
            </w:r>
            <w:r>
              <w:rPr>
                <w:rFonts w:hint="eastAsia" w:ascii="宋体" w:hAnsi="宋体" w:eastAsia="宋体" w:cs="宋体"/>
                <w:sz w:val="24"/>
                <w:szCs w:val="24"/>
              </w:rPr>
              <w:t xml:space="preserve">类型</w:t>
            </w:r>
            <w:r/>
          </w:p>
        </w:tc>
        <w:tc>
          <w:tcPr>
            <w:tcW w:w="583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LED SMD</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功率</w:t>
            </w:r>
            <w:r/>
          </w:p>
        </w:tc>
        <w:tc>
          <w:tcPr>
            <w:tcW w:w="583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6W-9W；</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光源光通量</w:t>
            </w:r>
            <w:r/>
          </w:p>
        </w:tc>
        <w:tc>
          <w:tcPr>
            <w:tcW w:w="583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≥510lm</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显色性</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色容差</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色温</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3500K+/-75K</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配光</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偏配光，洗墙配光</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调光</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群组调光，调光范围0—100%</w:t>
            </w:r>
            <w:r/>
          </w:p>
        </w:tc>
      </w:tr>
      <w:tr>
        <w:trPr>
          <w:jc w:val="center"/>
          <w:trHeight w:val="454"/>
        </w:trPr>
        <w:tc>
          <w:tcPr>
            <w:gridSpan w:val="3"/>
            <w:tcW w:w="9351"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其他参数：</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1.防眩设计：不小于50度深度防眩设计；</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2.配光：洗墙（反射器或透镜）配光；</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3.壳体：表面处理阳极氧化，颜色持久、耐磨损；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4.调光：可调光，线性好、在任何工作状态下均应无频闪；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5.可调方向：水平任意方向调节；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6.调光：0-10V手动调光，线性好、在任何工作状态下均应无频闪；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7.配置0-10V可调光驱动电源，调光无频闪；</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8.安装方式：低压轨道安装，</w:t>
            </w:r>
            <w:bookmarkStart w:id="17" w:name="OLE_LINK13"/>
            <w:r/>
            <w:bookmarkStart w:id="18" w:name="OLE_LINK14"/>
            <w:r>
              <w:rPr>
                <w:rFonts w:hint="eastAsia" w:ascii="宋体" w:hAnsi="宋体" w:eastAsia="宋体" w:cs="宋体"/>
                <w:color w:val="000000" w:themeColor="text1"/>
                <w:sz w:val="24"/>
                <w:szCs w:val="24"/>
                <w14:textFill>
                  <w14:solidFill>
                    <w14:schemeClr w14:val="tx1"/>
                  </w14:solidFill>
                </w14:textFill>
              </w:rPr>
              <w:t xml:space="preserve">非磁性安装，轨夹可锁定</w:t>
            </w:r>
            <w:bookmarkEnd w:id="17"/>
            <w:r/>
            <w:bookmarkEnd w:id="18"/>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bl>
    <w:p>
      <w:pPr>
        <w:pStyle w:val="1334"/>
        <w:ind w:firstLine="199"/>
        <w:rPr>
          <w:rFonts w:hint="eastAsia" w:ascii="宋体" w:hAnsi="宋体" w:eastAsia="宋体" w:cs="宋体"/>
          <w:sz w:val="24"/>
          <w:szCs w:val="24"/>
        </w:rPr>
      </w:pPr>
      <w:r>
        <w:rPr>
          <w:rFonts w:hint="eastAsia" w:ascii="宋体" w:hAnsi="宋体" w:eastAsia="宋体" w:cs="宋体"/>
          <w:sz w:val="24"/>
          <w:szCs w:val="24"/>
        </w:rPr>
      </w:r>
      <w:r/>
    </w:p>
    <w:p>
      <w:pPr>
        <w:pStyle w:val="1334"/>
        <w:ind w:firstLine="0"/>
        <w:rPr>
          <w:rFonts w:hint="eastAsia" w:ascii="宋体" w:hAnsi="宋体" w:eastAsia="宋体" w:cs="宋体"/>
          <w:sz w:val="24"/>
          <w:szCs w:val="24"/>
        </w:rPr>
      </w:pPr>
      <w:r>
        <w:rPr>
          <w:rFonts w:hint="eastAsia" w:ascii="宋体" w:hAnsi="宋体" w:eastAsia="宋体" w:cs="宋体"/>
          <w:sz w:val="24"/>
          <w:szCs w:val="24"/>
        </w:rPr>
        <w:t xml:space="preserve">●嵌装射灯</w:t>
      </w:r>
      <w:r/>
    </w:p>
    <w:tbl>
      <w:tblPr>
        <w:tblStyle w:val="85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1982"/>
        <w:gridCol w:w="5839"/>
      </w:tblGrid>
      <w:tr>
        <w:trPr>
          <w:jc w:val="cente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821"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嵌装射灯</w:t>
            </w:r>
            <w:r/>
          </w:p>
        </w:tc>
      </w:tr>
      <w:tr>
        <w:trPr>
          <w:jc w:val="cente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821"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r>
      <w:tr>
        <w:trPr>
          <w:jc w:val="cente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19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W w:w="583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jc w:val="center"/>
          <w:trHeight w:val="454"/>
        </w:trPr>
        <w:tc>
          <w:tcPr>
            <w:tcW w:w="1530"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光源类型</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LED SMD</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功率</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1W-3W；</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光源光通量</w:t>
            </w:r>
            <w:r/>
          </w:p>
        </w:tc>
        <w:tc>
          <w:tcPr>
            <w:tcW w:w="5839"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≥160lm</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显色性</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色容差</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色温</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配光</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6~50°±2°可调节光束角，双重透镜变焦光学</w:t>
            </w:r>
            <w:r/>
          </w:p>
        </w:tc>
      </w:tr>
      <w:tr>
        <w:trPr>
          <w:jc w:val="cente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调光</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群组调光，调光范围0—100%</w:t>
            </w:r>
            <w:r/>
          </w:p>
        </w:tc>
      </w:tr>
      <w:tr>
        <w:trPr>
          <w:jc w:val="center"/>
          <w:trHeight w:val="454"/>
        </w:trPr>
        <w:tc>
          <w:tcPr>
            <w:gridSpan w:val="3"/>
            <w:tcW w:w="9351"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其他参数：</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1.壳体：表面处理阳极氧化，颜色持久、耐磨损；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2.调光：可调光，线性好、在任何工作状态下均应无频闪；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3.可调方向：水平任意方向调节，竖直60°调节；</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4.具有防护眩光的结构设计,并且防眩角度大于30°；</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bookmarkStart w:id="19" w:name="OLE_LINK8"/>
            <w:r/>
            <w:bookmarkStart w:id="20" w:name="OLE_LINK2"/>
            <w:r>
              <w:rPr>
                <w:rFonts w:hint="eastAsia" w:ascii="宋体" w:hAnsi="宋体" w:eastAsia="宋体" w:cs="宋体"/>
                <w:color w:val="000000" w:themeColor="text1"/>
                <w:sz w:val="24"/>
                <w:szCs w:val="24"/>
                <w14:textFill>
                  <w14:solidFill>
                    <w14:schemeClr w14:val="tx1"/>
                  </w14:solidFill>
                </w14:textFill>
              </w:rPr>
              <w:t xml:space="preserve">配置0-10V可调光驱动电源，调光无频闪；</w:t>
            </w:r>
            <w:bookmarkEnd w:id="19"/>
            <w:r/>
            <w:bookmarkEnd w:id="20"/>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6.开孔尺寸：Φ60mm以下；</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7.灯具可增配拉伸光型滤镜、防眩网等配件；</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8.变焦和安装方式：前调焦调节方式,嵌入式安装；</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bl>
    <w:p>
      <w:pPr>
        <w:pStyle w:val="1334"/>
        <w:ind w:firstLine="0"/>
        <w:rPr>
          <w:rFonts w:hint="eastAsia" w:ascii="宋体" w:hAnsi="宋体" w:eastAsia="宋体" w:cs="宋体"/>
          <w:sz w:val="24"/>
          <w:szCs w:val="24"/>
        </w:rPr>
      </w:pPr>
      <w:r>
        <w:rPr>
          <w:rFonts w:hint="eastAsia" w:ascii="宋体" w:hAnsi="宋体" w:eastAsia="宋体" w:cs="宋体"/>
          <w:sz w:val="24"/>
          <w:szCs w:val="24"/>
        </w:rPr>
      </w:r>
      <w:r/>
    </w:p>
    <w:p>
      <w:pPr>
        <w:pStyle w:val="1334"/>
        <w:ind w:firstLine="0"/>
        <w:rPr>
          <w:rFonts w:hint="eastAsia" w:ascii="宋体" w:hAnsi="宋体" w:eastAsia="宋体" w:cs="宋体"/>
          <w:sz w:val="24"/>
          <w:szCs w:val="24"/>
        </w:rPr>
      </w:pPr>
      <w:r>
        <w:rPr>
          <w:rFonts w:hint="eastAsia" w:ascii="宋体" w:hAnsi="宋体" w:eastAsia="宋体" w:cs="宋体"/>
          <w:sz w:val="24"/>
          <w:szCs w:val="24"/>
        </w:rPr>
        <w:t xml:space="preserve">●微型轨道射灯1</w:t>
      </w:r>
      <w:r/>
    </w:p>
    <w:tbl>
      <w:tblPr>
        <w:tblStyle w:val="857"/>
        <w:tblW w:w="9366" w:type="dxa"/>
        <w:tblInd w:w="-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1980"/>
        <w:gridCol w:w="5856"/>
      </w:tblGrid>
      <w:tr>
        <w:trP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83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微型轨道射灯1</w:t>
            </w:r>
            <w:r/>
          </w:p>
        </w:tc>
      </w:tr>
      <w:tr>
        <w:trP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83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r>
      <w:tr>
        <w:trPr>
          <w:trHeight w:val="454"/>
        </w:trPr>
        <w:tc>
          <w:tcPr>
            <w:tcW w:w="153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1980"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W w:w="5856"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trHeight w:val="454"/>
        </w:trPr>
        <w:tc>
          <w:tcPr>
            <w:tcW w:w="1530"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光源类型</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LED SMD</w:t>
            </w:r>
            <w:r/>
          </w:p>
        </w:tc>
      </w:tr>
      <w:tr>
        <w:trP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功率</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1W-3W；</w:t>
            </w:r>
            <w:r/>
          </w:p>
        </w:tc>
      </w:tr>
      <w:tr>
        <w:trP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光源光通量</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≥160lm</w:t>
            </w:r>
            <w:r/>
          </w:p>
        </w:tc>
      </w:tr>
      <w:tr>
        <w:trP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显色性</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色容差</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色温</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配光</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6~50°±2°可调节光束角，</w:t>
            </w:r>
            <w:bookmarkStart w:id="21" w:name="OLE_LINK16"/>
            <w:r/>
            <w:bookmarkStart w:id="22" w:name="OLE_LINK15"/>
            <w:r>
              <w:rPr>
                <w:rFonts w:hint="eastAsia" w:ascii="宋体" w:hAnsi="宋体" w:eastAsia="宋体" w:cs="宋体"/>
                <w:color w:val="000000" w:themeColor="text1"/>
                <w:sz w:val="24"/>
                <w:szCs w:val="24"/>
                <w14:textFill>
                  <w14:solidFill>
                    <w14:schemeClr w14:val="tx1"/>
                  </w14:solidFill>
                </w14:textFill>
              </w:rPr>
              <w:t xml:space="preserve">双重透镜变焦光学</w:t>
            </w:r>
            <w:bookmarkEnd w:id="21"/>
            <w:r/>
            <w:bookmarkEnd w:id="22"/>
            <w:r/>
            <w:r/>
          </w:p>
        </w:tc>
      </w:tr>
      <w:tr>
        <w:trPr>
          <w:trHeight w:val="454"/>
        </w:trPr>
        <w:tc>
          <w:tcPr>
            <w:tcW w:w="1530"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0"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调光</w:t>
            </w:r>
            <w:r/>
          </w:p>
        </w:tc>
        <w:tc>
          <w:tcPr>
            <w:tcW w:w="585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单灯旋钮调光，调光范围0—100%</w:t>
            </w:r>
            <w:r/>
          </w:p>
        </w:tc>
      </w:tr>
      <w:tr>
        <w:trPr>
          <w:trHeight w:val="454"/>
        </w:trPr>
        <w:tc>
          <w:tcPr>
            <w:gridSpan w:val="3"/>
            <w:tcW w:w="936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其他参数：</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1.壳体：表面处理阳极氧化，颜色持久、耐磨损；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2.调光：可调光，线性好、在任何工作状态下均应无频闪；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3.可调方向：水平任意方向调节，竖直90°调节；</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4.具有防护眩光的结构设计,并且防眩角度大于30°；</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5.配置0-10V可调光驱动电源，调光无频闪；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6.灯具可增配拉伸光型滤镜、防眩网等配件；</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7.变焦和安装方式：前调焦调节方式；低压轨道安装，非磁性安装，轨夹可锁定；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bl>
    <w:p>
      <w:pPr>
        <w:pStyle w:val="1334"/>
        <w:ind w:firstLine="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334"/>
        <w:ind w:firstLine="0"/>
        <w:rPr>
          <w:rFonts w:hint="eastAsia" w:ascii="宋体" w:hAnsi="宋体" w:eastAsia="宋体" w:cs="宋体"/>
          <w:sz w:val="24"/>
          <w:szCs w:val="24"/>
        </w:rPr>
      </w:pPr>
      <w:r>
        <w:rPr>
          <w:rFonts w:hint="eastAsia" w:ascii="宋体" w:hAnsi="宋体" w:eastAsia="宋体" w:cs="宋体"/>
          <w:sz w:val="24"/>
          <w:szCs w:val="24"/>
        </w:rPr>
        <w:t xml:space="preserve">●微型轨道射灯2</w:t>
      </w:r>
      <w:r/>
    </w:p>
    <w:tbl>
      <w:tblPr>
        <w:tblStyle w:val="857"/>
        <w:tblW w:w="9503"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1982"/>
        <w:gridCol w:w="5839"/>
      </w:tblGrid>
      <w:tr>
        <w:trPr>
          <w:trHeight w:val="454"/>
        </w:trPr>
        <w:tc>
          <w:tcPr>
            <w:tcW w:w="16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gridSpan w:val="2"/>
            <w:tcW w:w="7821"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微型轨道射灯2</w:t>
            </w:r>
            <w:r/>
          </w:p>
        </w:tc>
      </w:tr>
      <w:tr>
        <w:trPr>
          <w:trHeight w:val="454"/>
        </w:trPr>
        <w:tc>
          <w:tcPr>
            <w:tcW w:w="16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用途：</w:t>
            </w:r>
            <w:r/>
          </w:p>
        </w:tc>
        <w:tc>
          <w:tcPr>
            <w:gridSpan w:val="2"/>
            <w:tcW w:w="7821"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r>
      <w:tr>
        <w:trPr>
          <w:trHeight w:val="454"/>
        </w:trPr>
        <w:tc>
          <w:tcPr>
            <w:tcW w:w="1682" w:type="dxa"/>
            <w:vAlign w:val="center"/>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材质</w:t>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散热结构</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一体压铸铝</w:t>
            </w:r>
            <w:r/>
          </w:p>
        </w:tc>
      </w:tr>
      <w:tr>
        <w:trPr>
          <w:trHeight w:val="454"/>
        </w:trPr>
        <w:tc>
          <w:tcPr>
            <w:tcW w:w="1682" w:type="dxa"/>
            <w:vAlign w:val="center"/>
            <w:vMerge w:val="restart"/>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t xml:space="preserve">技术参数</w:t>
            </w:r>
            <w:r/>
          </w:p>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光源类型</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LED SMD</w:t>
            </w:r>
            <w:r/>
          </w:p>
        </w:tc>
      </w:tr>
      <w:tr>
        <w:trPr>
          <w:trHeight w:val="454"/>
        </w:trPr>
        <w:tc>
          <w:tcPr>
            <w:tcW w:w="1682"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功率</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1W-2W</w:t>
            </w:r>
            <w:r/>
          </w:p>
        </w:tc>
      </w:tr>
      <w:tr>
        <w:trPr>
          <w:trHeight w:val="454"/>
        </w:trPr>
        <w:tc>
          <w:tcPr>
            <w:tcW w:w="1682"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光源光通量</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≥95lm</w:t>
            </w:r>
            <w:r/>
          </w:p>
        </w:tc>
      </w:tr>
      <w:tr>
        <w:trPr>
          <w:trHeight w:val="454"/>
        </w:trPr>
        <w:tc>
          <w:tcPr>
            <w:tcW w:w="1682"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显色性</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trHeight w:val="454"/>
        </w:trPr>
        <w:tc>
          <w:tcPr>
            <w:tcW w:w="1682"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色容差</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trHeight w:val="454"/>
        </w:trPr>
        <w:tc>
          <w:tcPr>
            <w:tcW w:w="1682"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色温</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trHeight w:val="454"/>
        </w:trPr>
        <w:tc>
          <w:tcPr>
            <w:tcW w:w="1682"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配光</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6~30°±2°可调节光束角，双重透镜变焦光学</w:t>
            </w:r>
            <w:r/>
          </w:p>
        </w:tc>
      </w:tr>
      <w:tr>
        <w:trPr>
          <w:trHeight w:val="454"/>
        </w:trPr>
        <w:tc>
          <w:tcPr>
            <w:tcW w:w="1682" w:type="dxa"/>
            <w:vAlign w:val="center"/>
            <w:vMerge w:val="continue"/>
            <w:textDirection w:val="lrTb"/>
            <w:noWrap w:val="false"/>
          </w:tcPr>
          <w:p>
            <w:pPr>
              <w:pStyle w:val="1335"/>
              <w:rPr>
                <w:rFonts w:hint="eastAsia" w:ascii="宋体" w:hAnsi="宋体" w:eastAsia="宋体" w:cs="宋体"/>
                <w:sz w:val="24"/>
                <w:szCs w:val="24"/>
              </w:rPr>
            </w:pPr>
            <w:r>
              <w:rPr>
                <w:rFonts w:hint="eastAsia" w:ascii="宋体" w:hAnsi="宋体" w:eastAsia="宋体" w:cs="宋体"/>
                <w:sz w:val="24"/>
                <w:szCs w:val="24"/>
              </w:rPr>
            </w:r>
            <w:r/>
          </w:p>
        </w:tc>
        <w:tc>
          <w:tcPr>
            <w:tcW w:w="1982"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调光</w:t>
            </w:r>
            <w:r/>
          </w:p>
        </w:tc>
        <w:tc>
          <w:tcPr>
            <w:tcW w:w="5839"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单灯旋钮调光，调光范围0—100%</w:t>
            </w:r>
            <w:r/>
          </w:p>
        </w:tc>
      </w:tr>
      <w:tr>
        <w:trPr>
          <w:trHeight w:val="454"/>
        </w:trPr>
        <w:tc>
          <w:tcPr>
            <w:gridSpan w:val="3"/>
            <w:tcW w:w="9503"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其他参数：</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1.壳体：表面处理阳极氧化，颜色持久、耐磨损；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2.调光：可调光，线性好、在任何工作状态下均应无频闪；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3.可调方向：水平任意方向调节，竖直90°调节；</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4.具有防护眩光的结构设计,并且防眩角度大于30°；</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5.配置0-10V可调光驱动电源，调光无频闪；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6.灯具可增配拉伸光型滤镜、防眩网等配件；</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7.变焦和安装方式：前调焦调节方式；低压轨道安装，非磁性安装，轨夹可锁定；</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●平柜扫光灯</w:t>
      </w:r>
      <w:r/>
    </w:p>
    <w:tbl>
      <w:tblPr>
        <w:tblStyle w:val="857"/>
        <w:tblW w:w="9510" w:type="dxa"/>
        <w:tblInd w:w="-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9"/>
        <w:gridCol w:w="1588"/>
        <w:gridCol w:w="6223"/>
      </w:tblGrid>
      <w:tr>
        <w:trPr>
          <w:trHeight w:val="458"/>
        </w:trPr>
        <w:tc>
          <w:tcPr>
            <w:gridSpan w:val="2"/>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灯具名称</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平柜扫光灯</w:t>
            </w:r>
            <w:r/>
          </w:p>
        </w:tc>
      </w:tr>
      <w:tr>
        <w:trPr>
          <w:trHeight w:val="458"/>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材质</w:t>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散热结构</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一体压铸铝</w:t>
            </w:r>
            <w:r/>
          </w:p>
        </w:tc>
      </w:tr>
      <w:tr>
        <w:trPr>
          <w:trHeight w:val="446"/>
        </w:trPr>
        <w:tc>
          <w:tcPr>
            <w:tcBorders>
              <w:top w:val="single" w:color="auto" w:sz="4" w:space="0"/>
              <w:left w:val="single" w:color="auto" w:sz="4" w:space="0"/>
              <w:right w:val="single" w:color="auto" w:sz="4" w:space="0"/>
            </w:tcBorders>
            <w:tcW w:w="1699" w:type="dxa"/>
            <w:vAlign w:val="center"/>
            <w:vMerge w:val="restar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类型</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LED SMD</w:t>
            </w:r>
            <w:r/>
          </w:p>
        </w:tc>
      </w:tr>
      <w:tr>
        <w:trPr>
          <w:trHeight w:val="446"/>
        </w:trPr>
        <w:tc>
          <w:tcPr>
            <w:tcBorders>
              <w:left w:val="single" w:color="auto" w:sz="4" w:space="0"/>
              <w:right w:val="single" w:color="auto" w:sz="4" w:space="0"/>
            </w:tcBorders>
            <w:tcW w:w="1699"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光源光通量</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≥40lm/W</w:t>
            </w:r>
            <w:r/>
          </w:p>
        </w:tc>
      </w:tr>
      <w:tr>
        <w:trPr>
          <w:trHeight w:val="446"/>
        </w:trPr>
        <w:tc>
          <w:tcPr>
            <w:tcBorders>
              <w:left w:val="single" w:color="auto" w:sz="4" w:space="0"/>
              <w:right w:val="single" w:color="auto" w:sz="4" w:space="0"/>
            </w:tcBorders>
            <w:tcW w:w="1699"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显色性</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Ra≥95,R9≥90</w:t>
            </w:r>
            <w:r/>
          </w:p>
        </w:tc>
      </w:tr>
      <w:tr>
        <w:trPr>
          <w:trHeight w:val="446"/>
        </w:trPr>
        <w:tc>
          <w:tcPr>
            <w:tcBorders>
              <w:left w:val="single" w:color="auto" w:sz="4" w:space="0"/>
              <w:right w:val="single" w:color="auto" w:sz="4" w:space="0"/>
            </w:tcBorders>
            <w:tcW w:w="1699"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色容差：</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SDCM≤2</w:t>
            </w:r>
            <w:r/>
          </w:p>
        </w:tc>
      </w:tr>
      <w:tr>
        <w:trPr>
          <w:trHeight w:val="446"/>
        </w:trPr>
        <w:tc>
          <w:tcPr>
            <w:tcBorders>
              <w:left w:val="single" w:color="auto" w:sz="4" w:space="0"/>
              <w:right w:val="single" w:color="auto" w:sz="4" w:space="0"/>
            </w:tcBorders>
            <w:tcW w:w="1699"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色温</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3500K +/-75K</w:t>
            </w:r>
            <w:r/>
          </w:p>
        </w:tc>
      </w:tr>
      <w:tr>
        <w:trPr>
          <w:trHeight w:val="470"/>
        </w:trPr>
        <w:tc>
          <w:tcPr>
            <w:tcBorders>
              <w:left w:val="single" w:color="auto" w:sz="4" w:space="0"/>
              <w:right w:val="single" w:color="auto" w:sz="4" w:space="0"/>
            </w:tcBorders>
            <w:tcW w:w="1699"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配光</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偏配光</w:t>
            </w:r>
            <w:r/>
          </w:p>
        </w:tc>
      </w:tr>
      <w:tr>
        <w:trPr>
          <w:trHeight w:val="458"/>
        </w:trPr>
        <w:tc>
          <w:tcPr>
            <w:tcBorders>
              <w:left w:val="single" w:color="auto" w:sz="4" w:space="0"/>
              <w:bottom w:val="single" w:color="auto" w:sz="4" w:space="0"/>
              <w:right w:val="single" w:color="auto" w:sz="4" w:space="0"/>
            </w:tcBorders>
            <w:tcW w:w="1699" w:type="dxa"/>
            <w:vAlign w:val="center"/>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调光</w:t>
            </w:r>
            <w:r/>
          </w:p>
        </w:tc>
        <w:tc>
          <w:tcPr>
            <w:tcBorders>
              <w:top w:val="single" w:color="auto" w:sz="4" w:space="0"/>
              <w:left w:val="single" w:color="auto" w:sz="4" w:space="0"/>
              <w:bottom w:val="single" w:color="auto" w:sz="4" w:space="0"/>
              <w:right w:val="single" w:color="auto" w:sz="4" w:space="0"/>
            </w:tcBorders>
            <w:tcW w:w="6223"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群组调光，调光范围0—100%</w:t>
            </w:r>
            <w:r/>
          </w:p>
        </w:tc>
      </w:tr>
      <w:tr>
        <w:trPr>
          <w:trHeight w:val="90"/>
        </w:trPr>
        <w:tc>
          <w:tcPr>
            <w:gridSpan w:val="3"/>
            <w:tcBorders>
              <w:top w:val="single" w:color="auto" w:sz="4" w:space="0"/>
              <w:left w:val="single" w:color="auto" w:sz="4" w:space="0"/>
              <w:bottom w:val="single" w:color="auto" w:sz="4" w:space="0"/>
              <w:right w:val="single" w:color="auto" w:sz="4" w:space="0"/>
            </w:tcBorders>
            <w:tcW w:w="9510" w:type="dxa"/>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其他要求：</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1.壳体：表面处理阳极氧化，颜色持久、耐磨损；</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2.调光：可调光，线性好、在任何工作状态下均应无频闪；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3.可调方向：绕灯体轴线可至少在0~60°范围内调节照射方向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4.具有零眩光的结构设计；扇形出光面宽窄可调，适配桌柜或展品的宽度，避免光溢出；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5.安装方式：表面安装；</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6.配置0-10V可调光驱动电源，调光无频闪；</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7.安装开孔尺寸：不大于Φ10mm；</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8.灯具长度：长度可根据展柜长度选型及任意拼接，灯具拼接处光型过渡均匀自然； </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8.灯具安装高度：可根据展柜高度需要进行量身定制；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9.灯具需提供CQC认证；</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keepLines/>
        <w:keepNext/>
        <w:spacing w:after="326" w:line="360" w:lineRule="auto"/>
        <w:rPr>
          <w:rFonts w:hint="eastAsia" w:ascii="宋体" w:hAnsi="宋体" w:eastAsia="宋体" w:cs="宋体"/>
          <w:b/>
          <w:bCs/>
          <w:sz w:val="24"/>
          <w:szCs w:val="24"/>
        </w:rPr>
        <w:outlineLvl w:val="0"/>
      </w:pPr>
      <w:r>
        <w:rPr>
          <w:rFonts w:hint="eastAsia" w:ascii="宋体" w:hAnsi="宋体" w:eastAsia="宋体" w:cs="宋体"/>
          <w:b/>
          <w:bCs/>
          <w:sz w:val="28"/>
          <w:szCs w:val="28"/>
          <w:lang w:eastAsia="zh-CN"/>
        </w:rPr>
        <w:t xml:space="preserve">（三）</w:t>
      </w:r>
      <w:r>
        <w:rPr>
          <w:rFonts w:hint="eastAsia" w:ascii="宋体" w:hAnsi="宋体" w:eastAsia="宋体" w:cs="宋体"/>
          <w:b/>
          <w:bCs/>
          <w:sz w:val="28"/>
          <w:szCs w:val="28"/>
        </w:rPr>
        <w:t xml:space="preserve">多媒体硬件技术参数要求</w:t>
      </w:r>
      <w:r/>
    </w:p>
    <w:tbl>
      <w:tblPr>
        <w:tblStyle w:val="857"/>
        <w:tblpPr w:horzAnchor="page" w:tblpX="1804" w:vertAnchor="text" w:tblpY="78" w:leftFromText="180" w:topFromText="0" w:rightFromText="180" w:bottomFromText="0"/>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1"/>
        <w:gridCol w:w="3622"/>
        <w:gridCol w:w="1843"/>
        <w:gridCol w:w="1541"/>
      </w:tblGrid>
      <w:tr>
        <w:trPr>
          <w:cantSplit/>
          <w:jc w:val="center"/>
          <w:trHeight w:val="273"/>
        </w:trPr>
        <w:tc>
          <w:tcPr>
            <w:gridSpan w:val="4"/>
            <w:tcBorders>
              <w:top w:val="single" w:color="auto" w:sz="4" w:space="0"/>
              <w:left w:val="single" w:color="auto" w:sz="4" w:space="0"/>
              <w:bottom w:val="single" w:color="auto" w:sz="4" w:space="0"/>
            </w:tcBorders>
            <w:tcW w:w="9107"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全景立体屏</w:t>
            </w:r>
            <w:r/>
          </w:p>
        </w:tc>
      </w:tr>
      <w:tr>
        <w:trPr>
          <w:cantSplit/>
          <w:jc w:val="center"/>
          <w:trHeight w:val="273"/>
        </w:trPr>
        <w:tc>
          <w:tcPr>
            <w:gridSpan w:val="4"/>
            <w:tcBorders>
              <w:top w:val="single" w:color="auto" w:sz="4" w:space="0"/>
              <w:left w:val="single" w:color="auto" w:sz="4" w:space="0"/>
              <w:bottom w:val="single" w:color="auto" w:sz="4" w:space="0"/>
            </w:tcBorders>
            <w:tcW w:w="9107" w:type="dxa"/>
            <w:vAlign w:val="center"/>
            <w:textDirection w:val="lrTb"/>
            <w:noWrap w:val="false"/>
          </w:tcPr>
          <w:p>
            <w:pPr>
              <w:jc w:val="center"/>
              <w:spacing w:line="360" w:lineRule="auto"/>
              <w:rPr>
                <w:rFonts w:hint="eastAsia" w:ascii="宋体" w:hAnsi="宋体" w:eastAsia="宋体" w:cs="宋体"/>
                <w:color w:val="ff0000"/>
                <w:sz w:val="24"/>
                <w:szCs w:val="24"/>
              </w:rPr>
            </w:pPr>
            <w:r>
              <w:rPr>
                <w:rFonts w:hint="eastAsia" w:ascii="宋体" w:hAnsi="宋体" w:eastAsia="宋体" w:cs="宋体"/>
                <w:b/>
                <w:sz w:val="24"/>
                <w:szCs w:val="24"/>
              </w:rPr>
              <w:t xml:space="preserve">（1）3D光学参数</w:t>
            </w:r>
            <w:r/>
          </w:p>
        </w:tc>
      </w:tr>
      <w:tr>
        <w:trPr>
          <w:cantSplit/>
          <w:jc w:val="center"/>
          <w:trHeight w:val="20"/>
        </w:trPr>
        <w:tc>
          <w:tcPr>
            <w:gridSpan w:val="4"/>
            <w:tcBorders>
              <w:top w:val="single" w:color="auto" w:sz="4" w:space="0"/>
              <w:left w:val="single" w:color="auto" w:sz="4" w:space="0"/>
              <w:bottom w:val="single" w:color="auto" w:sz="4" w:space="0"/>
            </w:tcBorders>
            <w:tcW w:w="9107"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采用偏振3D技术，</w:t>
            </w:r>
            <w:r>
              <w:rPr>
                <w:rFonts w:hint="eastAsia" w:ascii="宋体" w:hAnsi="宋体" w:eastAsia="宋体" w:cs="宋体"/>
                <w:color w:val="030303"/>
                <w:sz w:val="24"/>
                <w:szCs w:val="24"/>
                <w:lang w:bidi="ar"/>
              </w:rPr>
              <w:t xml:space="preserve">偏振类型：采用线偏振；分光方式：点交错（棋盘格）；串扰度小于0.2%；分光分辨率系数1.41；透光率≥50%</w:t>
            </w:r>
            <w:r/>
          </w:p>
        </w:tc>
      </w:tr>
      <w:tr>
        <w:trPr>
          <w:cantSplit/>
          <w:jc w:val="center"/>
          <w:trHeight w:val="240"/>
        </w:trPr>
        <w:tc>
          <w:tcPr>
            <w:gridSpan w:val="4"/>
            <w:tcW w:w="9107"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（2）屏体技术参数</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像素</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物理点间距：2mm</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物理密度：250000点/m2</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发光点颜色：1R1G1B</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基    色：1纯红+1纯绿+1纯蓝</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模组尺寸：320mm*160mm</w:t>
            </w:r>
            <w:r/>
          </w:p>
          <w:p>
            <w:pPr>
              <w:pStyle w:val="133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对比度：8000：1</w:t>
            </w:r>
            <w:r/>
          </w:p>
          <w:p>
            <w:pPr>
              <w:pStyle w:val="1335"/>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模组像素点：128*96</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LED灯珠型号</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SMD1515（国星封）</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屏体平均功率</w:t>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≤154W/㎡</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屏体最大功率</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≤460W/㎡</w:t>
            </w:r>
            <w:r/>
          </w:p>
        </w:tc>
      </w:tr>
      <w:tr>
        <w:trPr>
          <w:jc w:val="center"/>
          <w:trHeight w:val="429"/>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屏体亮度</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≥600nit，亮度均匀都≥97%</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色温</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3000K-15000K可调</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可视角度</w:t>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水平≥160°，垂直≥140°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刷新率</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≥3840HZ</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使用寿命(全白)</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≥50000小时</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模组抗静电电压</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≥2500v</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失控点</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＜1/10000，无连续失控点</w:t>
            </w:r>
            <w:r/>
          </w:p>
        </w:tc>
      </w:tr>
      <w:tr>
        <w:trPr>
          <w:jc w:val="center"/>
          <w:trHeight w:val="454"/>
        </w:trPr>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合适观看距离</w:t>
            </w:r>
            <w:r/>
          </w:p>
        </w:tc>
        <w:tc>
          <w:tcPr>
            <w:gridSpan w:val="3"/>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3-32m</w:t>
            </w:r>
            <w:r/>
          </w:p>
        </w:tc>
      </w:tr>
      <w:tr>
        <w:trPr>
          <w:jc w:val="center"/>
          <w:trHeight w:val="454"/>
        </w:trPr>
        <w:tc>
          <w:tcPr>
            <w:gridSpan w:val="4"/>
            <w:tcBorders>
              <w:top w:val="single" w:color="auto" w:sz="4" w:space="0"/>
              <w:left w:val="single" w:color="auto" w:sz="4" w:space="0"/>
              <w:bottom w:val="single" w:color="auto" w:sz="4" w:space="0"/>
              <w:right w:val="single" w:color="auto" w:sz="4" w:space="0"/>
            </w:tcBorders>
            <w:tcW w:w="91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屏体需提供有中国节能产品认证证书、中国国家强制性产品认证证书</w:t>
            </w:r>
            <w:r/>
          </w:p>
        </w:tc>
      </w:tr>
    </w:tbl>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tbl>
      <w:tblPr>
        <w:tblStyle w:val="857"/>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2910"/>
        <w:gridCol w:w="1821"/>
        <w:gridCol w:w="2666"/>
      </w:tblGrid>
      <w:tr>
        <w:trPr>
          <w:jc w:val="center"/>
          <w:trHeight w:val="387"/>
        </w:trPr>
        <w:tc>
          <w:tcPr>
            <w:gridSpan w:val="4"/>
            <w:tcW w:w="90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75寸雾面显示屏</w:t>
            </w:r>
            <w:r/>
          </w:p>
        </w:tc>
      </w:tr>
      <w:tr>
        <w:trPr>
          <w:jc w:val="center"/>
          <w:trHeight w:val="395"/>
        </w:trPr>
        <w:tc>
          <w:tcPr>
            <w:gridSpan w:val="4"/>
            <w:tcW w:w="90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技术参数</w:t>
            </w:r>
            <w:r/>
          </w:p>
        </w:tc>
      </w:tr>
      <w:tr>
        <w:trPr>
          <w:jc w:val="center"/>
          <w:trHeight w:val="402"/>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产品规格</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75寸</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显示比例</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16﹕9</w:t>
            </w:r>
            <w:r/>
          </w:p>
        </w:tc>
      </w:tr>
      <w:tr>
        <w:trPr>
          <w:jc w:val="center"/>
          <w:trHeight w:val="383"/>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亮度(typ)/(nits)</w:t>
            </w:r>
            <w:r>
              <w:rPr>
                <w:rFonts w:hint="eastAsia" w:ascii="宋体" w:hAnsi="宋体" w:eastAsia="宋体" w:cs="宋体"/>
                <w:color w:val="000000" w:themeColor="text1"/>
                <w:sz w:val="24"/>
                <w:szCs w:val="24"/>
                <w14:textFill>
                  <w14:solidFill>
                    <w14:schemeClr w14:val="tx1"/>
                  </w14:solidFill>
                </w14:textFill>
              </w:rPr>
              <w:t xml:space="preserve"> </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color w:val="3f3f3f"/>
                <w:sz w:val="24"/>
                <w:szCs w:val="24"/>
              </w:rPr>
              <w:t xml:space="preserve">≥</w:t>
            </w:r>
            <w:r>
              <w:rPr>
                <w:rFonts w:hint="eastAsia" w:ascii="宋体" w:hAnsi="宋体" w:eastAsia="宋体" w:cs="宋体"/>
                <w:sz w:val="24"/>
                <w:szCs w:val="24"/>
              </w:rPr>
              <w:t xml:space="preserve">500cd/㎡</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分辨率</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3840*2160</w:t>
            </w:r>
            <w:r/>
          </w:p>
        </w:tc>
      </w:tr>
      <w:tr>
        <w:trPr>
          <w:jc w:val="center"/>
          <w:trHeight w:val="383"/>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可视角度</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178（up/down/left/right)</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反应时间</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≤8ms</w:t>
            </w:r>
            <w:r/>
          </w:p>
        </w:tc>
      </w:tr>
      <w:tr>
        <w:trPr>
          <w:jc w:val="center"/>
          <w:trHeight w:val="381"/>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点距</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0.1615(水平）×0.4845（垂直）mm</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颜色</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1.07Ｍ</w:t>
            </w:r>
            <w:r/>
          </w:p>
        </w:tc>
      </w:tr>
      <w:tr>
        <w:trPr>
          <w:jc w:val="center"/>
          <w:trHeight w:val="383"/>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对比度(typ)</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5000:1 (typ.)</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液晶屏</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全新Ａ级屏</w:t>
            </w:r>
            <w:r/>
          </w:p>
        </w:tc>
      </w:tr>
      <w:tr>
        <w:trPr>
          <w:jc w:val="center"/>
          <w:trHeight w:val="242"/>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场频</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56～75Hz</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行频</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68KHz</w:t>
            </w:r>
            <w:r/>
          </w:p>
        </w:tc>
      </w:tr>
      <w:tr>
        <w:trPr>
          <w:jc w:val="center"/>
          <w:trHeight w:val="402"/>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屏体保护</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雾面防眩光钢化</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表面雾度</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AG25%</w:t>
            </w:r>
            <w:r/>
          </w:p>
        </w:tc>
      </w:tr>
      <w:tr>
        <w:trPr>
          <w:jc w:val="center"/>
          <w:trHeight w:val="402"/>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输入电压</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AC110-220V</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电源</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交流:90-264V～ 60/50Hz</w:t>
            </w:r>
            <w:r/>
          </w:p>
        </w:tc>
      </w:tr>
      <w:tr>
        <w:trPr>
          <w:jc w:val="center"/>
          <w:trHeight w:val="402"/>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系统功能</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外接信号，输入显示</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待机功率</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w:t>
            </w:r>
            <w:r/>
          </w:p>
        </w:tc>
      </w:tr>
      <w:tr>
        <w:trPr>
          <w:jc w:val="center"/>
          <w:trHeight w:val="402"/>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信号通道</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自动识别</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工作功率</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≤213W</w:t>
            </w:r>
            <w:r/>
          </w:p>
        </w:tc>
      </w:tr>
      <w:tr>
        <w:trPr>
          <w:jc w:val="center"/>
          <w:trHeight w:val="402"/>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使用环境</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温度‐10℃~55℃/湿度10%RH~90%RH</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存储环境</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温度‐15℃~65℃/湿度10%RH~95%RH</w:t>
            </w:r>
            <w:r/>
          </w:p>
        </w:tc>
      </w:tr>
      <w:tr>
        <w:trPr>
          <w:jc w:val="center"/>
          <w:trHeight w:val="400"/>
        </w:trPr>
        <w:tc>
          <w:tcPr>
            <w:tcW w:w="1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边框材质</w:t>
            </w:r>
            <w:r/>
          </w:p>
        </w:tc>
        <w:tc>
          <w:tcPr>
            <w:tcW w:w="29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铝型材</w:t>
            </w:r>
            <w:r/>
          </w:p>
        </w:tc>
        <w:tc>
          <w:tcPr>
            <w:tcW w:w="18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其它</w:t>
            </w:r>
            <w:r/>
          </w:p>
        </w:tc>
        <w:tc>
          <w:tcPr>
            <w:tcW w:w="26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摇控器  电源线   保修卡  合格证</w:t>
            </w:r>
            <w:r/>
          </w:p>
        </w:tc>
      </w:tr>
      <w:tr>
        <w:trPr>
          <w:jc w:val="center"/>
          <w:trHeight w:val="402"/>
        </w:trPr>
        <w:tc>
          <w:tcPr>
            <w:gridSpan w:val="4"/>
            <w:tcW w:w="90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需提供有中国节能产品认证证书、中国国家强制性产品认证证书</w:t>
            </w:r>
            <w:r/>
          </w:p>
        </w:tc>
      </w:tr>
    </w:tbl>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tbl>
      <w:tblPr>
        <w:tblStyle w:val="857"/>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414"/>
        <w:gridCol w:w="1716"/>
        <w:gridCol w:w="2250"/>
      </w:tblGrid>
      <w:tr>
        <w:trPr>
          <w:jc w:val="center"/>
          <w:trHeight w:val="387"/>
        </w:trPr>
        <w:tc>
          <w:tcPr>
            <w:gridSpan w:val="4"/>
            <w:tcW w:w="9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43寸雾面触摸显示屏</w:t>
            </w:r>
            <w:r/>
          </w:p>
        </w:tc>
      </w:tr>
      <w:tr>
        <w:trPr>
          <w:jc w:val="center"/>
          <w:trHeight w:val="395"/>
        </w:trPr>
        <w:tc>
          <w:tcPr>
            <w:gridSpan w:val="4"/>
            <w:tcW w:w="9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技术参数</w:t>
            </w:r>
            <w:r/>
          </w:p>
        </w:tc>
      </w:tr>
      <w:tr>
        <w:trPr>
          <w:jc w:val="center"/>
          <w:trHeight w:val="402"/>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产品规格</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43寸</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显示比例</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16﹕9</w:t>
            </w:r>
            <w:r/>
          </w:p>
        </w:tc>
      </w:tr>
      <w:tr>
        <w:trPr>
          <w:jc w:val="center"/>
          <w:trHeight w:val="383"/>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亮度(typ)/(nits)</w:t>
            </w:r>
            <w:r>
              <w:rPr>
                <w:rFonts w:hint="eastAsia" w:ascii="宋体" w:hAnsi="宋体" w:eastAsia="宋体" w:cs="宋体"/>
                <w:color w:val="000000" w:themeColor="text1"/>
                <w:sz w:val="24"/>
                <w:szCs w:val="24"/>
                <w14:textFill>
                  <w14:solidFill>
                    <w14:schemeClr w14:val="tx1"/>
                  </w14:solidFill>
                </w14:textFill>
              </w:rPr>
              <w:t xml:space="preserve"> </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color w:val="3f3f3f"/>
                <w:sz w:val="24"/>
                <w:szCs w:val="24"/>
              </w:rPr>
              <w:t xml:space="preserve">≥</w:t>
            </w:r>
            <w:r>
              <w:rPr>
                <w:rFonts w:hint="eastAsia" w:ascii="宋体" w:hAnsi="宋体" w:eastAsia="宋体" w:cs="宋体"/>
                <w:sz w:val="24"/>
                <w:szCs w:val="24"/>
              </w:rPr>
              <w:t xml:space="preserve">500cd/㎡</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分辨率</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1920*1080</w:t>
            </w:r>
            <w:r/>
          </w:p>
        </w:tc>
      </w:tr>
      <w:tr>
        <w:trPr>
          <w:jc w:val="center"/>
          <w:trHeight w:val="383"/>
        </w:trPr>
        <w:tc>
          <w:tcPr>
            <w:tcW w:w="1740" w:type="dxa"/>
            <w:vAlign w:val="center"/>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触摸感应技术</w:t>
            </w:r>
            <w:r/>
          </w:p>
        </w:tc>
        <w:tc>
          <w:tcPr>
            <w:tcW w:w="3414" w:type="dxa"/>
            <w:vAlign w:val="center"/>
            <w:textDirection w:val="lrTb"/>
            <w:noWrap w:val="false"/>
          </w:tcPr>
          <w:p>
            <w:pPr>
              <w:jc w:val="center"/>
              <w:spacing w:line="240" w:lineRule="auto"/>
              <w:rPr>
                <w:rFonts w:hint="eastAsia" w:ascii="宋体" w:hAnsi="宋体" w:eastAsia="宋体" w:cs="宋体"/>
                <w:b/>
                <w:bCs/>
                <w:color w:val="3f3f3f"/>
                <w:sz w:val="24"/>
                <w:szCs w:val="24"/>
              </w:rPr>
            </w:pPr>
            <w:r>
              <w:rPr>
                <w:rFonts w:hint="eastAsia" w:ascii="宋体" w:hAnsi="宋体" w:eastAsia="宋体" w:cs="宋体"/>
                <w:b/>
                <w:bCs/>
                <w:color w:val="3f3f3f"/>
                <w:sz w:val="24"/>
                <w:szCs w:val="24"/>
              </w:rPr>
              <w:t xml:space="preserve">电容感应识别触摸技术(≥10点）</w:t>
            </w:r>
            <w:r/>
          </w:p>
        </w:tc>
        <w:tc>
          <w:tcPr>
            <w:tcW w:w="171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触摸嵌入方式</w:t>
            </w:r>
            <w:r/>
          </w:p>
        </w:tc>
        <w:tc>
          <w:tcPr>
            <w:tcW w:w="2250" w:type="dxa"/>
            <w:vAlign w:val="center"/>
            <w:textDirection w:val="lrTb"/>
            <w:noWrap w:val="false"/>
          </w:tcPr>
          <w:p>
            <w:pPr>
              <w:jc w:val="left"/>
              <w:spacing w:line="240" w:lineRule="auto"/>
              <w:rPr>
                <w:rFonts w:hint="eastAsia" w:ascii="宋体" w:hAnsi="宋体" w:eastAsia="宋体" w:cs="宋体"/>
                <w:b/>
                <w:bCs/>
                <w:color w:val="595959"/>
                <w:sz w:val="24"/>
                <w:szCs w:val="24"/>
              </w:rPr>
            </w:pPr>
            <w:r>
              <w:rPr>
                <w:rFonts w:hint="eastAsia" w:ascii="宋体" w:hAnsi="宋体" w:eastAsia="宋体" w:cs="宋体"/>
                <w:sz w:val="24"/>
                <w:szCs w:val="24"/>
              </w:rPr>
              <w:t xml:space="preserve">内置一体式，非外挂式</w:t>
            </w:r>
            <w:r/>
          </w:p>
        </w:tc>
      </w:tr>
      <w:tr>
        <w:trPr>
          <w:jc w:val="center"/>
          <w:trHeight w:val="383"/>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可视角度</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178（up/down/left/right)</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系统自动识别</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≤15ms</w:t>
            </w:r>
            <w:r/>
          </w:p>
        </w:tc>
      </w:tr>
      <w:tr>
        <w:trPr>
          <w:jc w:val="center"/>
          <w:trHeight w:val="383"/>
        </w:trPr>
        <w:tc>
          <w:tcPr>
            <w:tcW w:w="1740" w:type="dxa"/>
            <w:vAlign w:val="center"/>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光标速度</w:t>
            </w:r>
            <w:r/>
          </w:p>
        </w:tc>
        <w:tc>
          <w:tcPr>
            <w:tcW w:w="341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120点/s</w:t>
            </w:r>
            <w:r/>
          </w:p>
        </w:tc>
        <w:tc>
          <w:tcPr>
            <w:tcW w:w="171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定位精度</w:t>
            </w:r>
            <w:r/>
          </w:p>
        </w:tc>
        <w:tc>
          <w:tcPr>
            <w:tcW w:w="2250" w:type="dxa"/>
            <w:vAlign w:val="center"/>
            <w:textDirection w:val="lrTb"/>
            <w:noWrap w:val="false"/>
          </w:tcPr>
          <w:p>
            <w:pPr>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90%以上触摸区域为±2mm</w:t>
            </w:r>
            <w:r/>
          </w:p>
        </w:tc>
      </w:tr>
      <w:tr>
        <w:trPr>
          <w:jc w:val="center"/>
          <w:trHeight w:val="381"/>
        </w:trPr>
        <w:tc>
          <w:tcPr>
            <w:tcW w:w="1740" w:type="dxa"/>
            <w:vAlign w:val="center"/>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驱动程序</w:t>
            </w:r>
            <w:r/>
          </w:p>
        </w:tc>
        <w:tc>
          <w:tcPr>
            <w:tcW w:w="341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免驱</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颜色</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1.07Ｍ</w:t>
            </w:r>
            <w:r/>
          </w:p>
        </w:tc>
      </w:tr>
      <w:tr>
        <w:trPr>
          <w:jc w:val="center"/>
          <w:trHeight w:val="383"/>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对比度(typ)</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5000:1 (typ.)</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液晶屏</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全新Ａ级屏</w:t>
            </w:r>
            <w:r/>
          </w:p>
        </w:tc>
      </w:tr>
      <w:tr>
        <w:trPr>
          <w:jc w:val="center"/>
          <w:trHeight w:val="242"/>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场频</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56～75Hz</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行频</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68KHz</w:t>
            </w:r>
            <w:r/>
          </w:p>
        </w:tc>
      </w:tr>
      <w:tr>
        <w:trPr>
          <w:jc w:val="center"/>
          <w:trHeight w:val="402"/>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屏体保护</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雾面防眩光钢化</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表面雾度</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AG25%</w:t>
            </w:r>
            <w:r/>
          </w:p>
        </w:tc>
      </w:tr>
      <w:tr>
        <w:trPr>
          <w:jc w:val="center"/>
          <w:trHeight w:val="402"/>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输入电压</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AC110-220V</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电源</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交流:90-264V～ 60/50Hz</w:t>
            </w:r>
            <w:r/>
          </w:p>
        </w:tc>
      </w:tr>
      <w:tr>
        <w:trPr>
          <w:jc w:val="center"/>
          <w:trHeight w:val="402"/>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系统功能</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外接信号，输入显示</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待机功率</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w:t>
            </w:r>
            <w:r/>
          </w:p>
        </w:tc>
      </w:tr>
      <w:tr>
        <w:trPr>
          <w:jc w:val="center"/>
          <w:trHeight w:val="402"/>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信号通道</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自动识别</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工作功率</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≤213W</w:t>
            </w:r>
            <w:r/>
          </w:p>
        </w:tc>
      </w:tr>
      <w:tr>
        <w:trPr>
          <w:jc w:val="center"/>
          <w:trHeight w:val="383"/>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使用环境</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温度‐10℃~55℃/湿度10%RH~90%RH</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存储环境</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温度‐15℃~65℃/湿度10%RH~95%RH</w:t>
            </w:r>
            <w:r/>
          </w:p>
        </w:tc>
      </w:tr>
      <w:tr>
        <w:trPr>
          <w:jc w:val="center"/>
          <w:trHeight w:val="400"/>
        </w:trPr>
        <w:tc>
          <w:tcPr>
            <w:tcW w:w="17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边框材质</w:t>
            </w:r>
            <w:r/>
          </w:p>
        </w:tc>
        <w:tc>
          <w:tcPr>
            <w:tcW w:w="34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铝型材</w:t>
            </w:r>
            <w:r/>
          </w:p>
        </w:tc>
        <w:tc>
          <w:tcPr>
            <w:tcW w:w="17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其它</w:t>
            </w:r>
            <w:r/>
          </w:p>
        </w:tc>
        <w:tc>
          <w:tcPr>
            <w:tcW w:w="22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摇控器  电源线   保修卡  合格证</w:t>
            </w:r>
            <w:r/>
          </w:p>
        </w:tc>
      </w:tr>
      <w:tr>
        <w:trPr>
          <w:jc w:val="center"/>
          <w:trHeight w:val="402"/>
        </w:trPr>
        <w:tc>
          <w:tcPr>
            <w:gridSpan w:val="4"/>
            <w:tcW w:w="9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需提供有中国节能产品认证证书、中国国家强制性产品认证证书</w:t>
            </w:r>
            <w:r/>
          </w:p>
        </w:tc>
      </w:tr>
    </w:tbl>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tbl>
      <w:tblPr>
        <w:tblStyle w:val="857"/>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2880"/>
        <w:gridCol w:w="1710"/>
        <w:gridCol w:w="2565"/>
      </w:tblGrid>
      <w:tr>
        <w:trPr>
          <w:jc w:val="center"/>
          <w:trHeight w:val="387"/>
        </w:trPr>
        <w:tc>
          <w:tcPr>
            <w:gridSpan w:val="4"/>
            <w:tcW w:w="9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55寸雾面电容屏</w:t>
            </w:r>
            <w:r/>
          </w:p>
        </w:tc>
      </w:tr>
      <w:tr>
        <w:trPr>
          <w:jc w:val="center"/>
          <w:trHeight w:val="395"/>
        </w:trPr>
        <w:tc>
          <w:tcPr>
            <w:gridSpan w:val="4"/>
            <w:tcW w:w="9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技术参数</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产品规格</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55寸</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显示比例</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16﹕9</w:t>
            </w:r>
            <w:r/>
          </w:p>
        </w:tc>
      </w:tr>
      <w:tr>
        <w:trPr>
          <w:jc w:val="center"/>
          <w:trHeight w:val="383"/>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亮度(typ)/(nits)</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color w:val="3f3f3f"/>
                <w:sz w:val="24"/>
                <w:szCs w:val="24"/>
              </w:rPr>
              <w:t xml:space="preserve">≥</w:t>
            </w:r>
            <w:r>
              <w:rPr>
                <w:rFonts w:hint="eastAsia" w:ascii="宋体" w:hAnsi="宋体" w:eastAsia="宋体" w:cs="宋体"/>
                <w:sz w:val="24"/>
                <w:szCs w:val="24"/>
              </w:rPr>
              <w:t xml:space="preserve">500cd/㎡</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分辨率</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3840*2160</w:t>
            </w:r>
            <w:r/>
          </w:p>
        </w:tc>
      </w:tr>
      <w:tr>
        <w:trPr>
          <w:jc w:val="center"/>
          <w:trHeight w:val="383"/>
        </w:trPr>
        <w:tc>
          <w:tcPr>
            <w:tcW w:w="196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触摸感应技术</w:t>
            </w:r>
            <w:r/>
          </w:p>
        </w:tc>
        <w:tc>
          <w:tcPr>
            <w:tcW w:w="2880" w:type="dxa"/>
            <w:vAlign w:val="center"/>
            <w:textDirection w:val="lrTb"/>
            <w:noWrap w:val="false"/>
          </w:tcPr>
          <w:p>
            <w:pPr>
              <w:jc w:val="center"/>
              <w:spacing w:line="240" w:lineRule="auto"/>
              <w:rPr>
                <w:rFonts w:hint="eastAsia" w:ascii="宋体" w:hAnsi="宋体" w:eastAsia="宋体" w:cs="宋体"/>
                <w:b/>
                <w:bCs/>
                <w:color w:val="3f3f3f"/>
                <w:sz w:val="24"/>
                <w:szCs w:val="24"/>
              </w:rPr>
            </w:pPr>
            <w:r>
              <w:rPr>
                <w:rFonts w:hint="eastAsia" w:ascii="宋体" w:hAnsi="宋体" w:eastAsia="宋体" w:cs="宋体"/>
                <w:b/>
                <w:bCs/>
                <w:color w:val="3f3f3f"/>
                <w:sz w:val="24"/>
                <w:szCs w:val="24"/>
              </w:rPr>
              <w:t xml:space="preserve">电容感应识别触摸技术(≥10点）</w:t>
            </w:r>
            <w:r/>
          </w:p>
        </w:tc>
        <w:tc>
          <w:tcPr>
            <w:tcW w:w="171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触摸嵌入方式</w:t>
            </w:r>
            <w:r/>
          </w:p>
        </w:tc>
        <w:tc>
          <w:tcPr>
            <w:tcW w:w="2565" w:type="dxa"/>
            <w:vAlign w:val="center"/>
            <w:textDirection w:val="lrTb"/>
            <w:noWrap w:val="false"/>
          </w:tcPr>
          <w:p>
            <w:pPr>
              <w:jc w:val="center"/>
              <w:spacing w:line="240" w:lineRule="auto"/>
              <w:rPr>
                <w:rFonts w:hint="eastAsia" w:ascii="宋体" w:hAnsi="宋体" w:eastAsia="宋体" w:cs="宋体"/>
                <w:b/>
                <w:bCs/>
                <w:color w:val="595959"/>
                <w:sz w:val="24"/>
                <w:szCs w:val="24"/>
              </w:rPr>
            </w:pPr>
            <w:r>
              <w:rPr>
                <w:rFonts w:hint="eastAsia" w:ascii="宋体" w:hAnsi="宋体" w:eastAsia="宋体" w:cs="宋体"/>
                <w:sz w:val="24"/>
                <w:szCs w:val="24"/>
              </w:rPr>
              <w:t xml:space="preserve">内置一体式，非外挂式</w:t>
            </w:r>
            <w:r/>
          </w:p>
        </w:tc>
      </w:tr>
      <w:tr>
        <w:trPr>
          <w:jc w:val="center"/>
          <w:trHeight w:val="383"/>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可视角度</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178（up/down/left/right)</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系统自动识别</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≤15ms</w:t>
            </w:r>
            <w:r/>
          </w:p>
        </w:tc>
      </w:tr>
      <w:tr>
        <w:trPr>
          <w:jc w:val="center"/>
          <w:trHeight w:val="383"/>
        </w:trPr>
        <w:tc>
          <w:tcPr>
            <w:tcW w:w="196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光标速度</w:t>
            </w:r>
            <w:r/>
          </w:p>
        </w:tc>
        <w:tc>
          <w:tcPr>
            <w:tcW w:w="288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120点/s</w:t>
            </w:r>
            <w:r/>
          </w:p>
        </w:tc>
        <w:tc>
          <w:tcPr>
            <w:tcW w:w="171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定位精度</w:t>
            </w:r>
            <w:r/>
          </w:p>
        </w:tc>
        <w:tc>
          <w:tcPr>
            <w:tcW w:w="256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90%以上触摸区域为±2mm</w:t>
            </w:r>
            <w:r/>
          </w:p>
        </w:tc>
      </w:tr>
      <w:tr>
        <w:trPr>
          <w:jc w:val="center"/>
          <w:trHeight w:val="381"/>
        </w:trPr>
        <w:tc>
          <w:tcPr>
            <w:tcW w:w="196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驱动程序</w:t>
            </w:r>
            <w:r/>
          </w:p>
        </w:tc>
        <w:tc>
          <w:tcPr>
            <w:tcW w:w="288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免驱</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颜色</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1.07Ｍ</w:t>
            </w:r>
            <w:r/>
          </w:p>
        </w:tc>
      </w:tr>
      <w:tr>
        <w:trPr>
          <w:jc w:val="center"/>
          <w:trHeight w:val="383"/>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对比度(typ)</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5000:1 (typ.)</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液晶屏</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全新Ａ级屏</w:t>
            </w:r>
            <w:r/>
          </w:p>
        </w:tc>
      </w:tr>
      <w:tr>
        <w:trPr>
          <w:jc w:val="center"/>
          <w:trHeight w:val="24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场频</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56～75Hz</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行频</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68KHz</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屏体保护</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雾面防眩光钢化</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表面雾度</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AG25%</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输入电压</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AC110-220V</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电源</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交流:90-264V～ 60/50Hz</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系统功能</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外接信号，输入显示</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待机功率</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信号通道</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自动识别</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工作功率</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≤213W</w:t>
            </w:r>
            <w:r/>
          </w:p>
        </w:tc>
      </w:tr>
      <w:tr>
        <w:trPr>
          <w:jc w:val="center"/>
          <w:trHeight w:val="383"/>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使用环境</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温度‐10℃~55℃/湿度10%RH~90%RH</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存储环境</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温度‐15℃~65℃/湿度10%RH~95%RH</w:t>
            </w:r>
            <w:r/>
          </w:p>
        </w:tc>
      </w:tr>
      <w:tr>
        <w:trPr>
          <w:jc w:val="center"/>
          <w:trHeight w:val="400"/>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边框材质</w:t>
            </w:r>
            <w:r/>
          </w:p>
        </w:tc>
        <w:tc>
          <w:tcPr>
            <w:tcW w:w="28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铝型材</w:t>
            </w:r>
            <w:r/>
          </w:p>
        </w:tc>
        <w:tc>
          <w:tcPr>
            <w:tcW w:w="1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其它</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摇控器  电源线   保修卡  合格证</w:t>
            </w:r>
            <w:r/>
          </w:p>
        </w:tc>
      </w:tr>
      <w:tr>
        <w:trPr>
          <w:jc w:val="center"/>
          <w:trHeight w:val="402"/>
        </w:trPr>
        <w:tc>
          <w:tcPr>
            <w:gridSpan w:val="4"/>
            <w:tcW w:w="9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需提供有中国节能产品认证证书、中国国家强制性产品认证证书</w:t>
            </w:r>
            <w:r/>
          </w:p>
        </w:tc>
      </w:tr>
    </w:tbl>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tbl>
      <w:tblPr>
        <w:tblStyle w:val="857"/>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3165"/>
        <w:gridCol w:w="1410"/>
        <w:gridCol w:w="2565"/>
      </w:tblGrid>
      <w:tr>
        <w:trPr>
          <w:jc w:val="center"/>
          <w:trHeight w:val="387"/>
        </w:trPr>
        <w:tc>
          <w:tcPr>
            <w:gridSpan w:val="4"/>
            <w:tcW w:w="91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86寸雾面显示屏</w:t>
            </w:r>
            <w:r/>
          </w:p>
        </w:tc>
      </w:tr>
      <w:tr>
        <w:trPr>
          <w:jc w:val="center"/>
          <w:trHeight w:val="395"/>
        </w:trPr>
        <w:tc>
          <w:tcPr>
            <w:gridSpan w:val="4"/>
            <w:tcW w:w="91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技术参数</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产品规格</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86寸</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显示比例</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16﹕9</w:t>
            </w:r>
            <w:r/>
          </w:p>
        </w:tc>
      </w:tr>
      <w:tr>
        <w:trPr>
          <w:jc w:val="center"/>
          <w:trHeight w:val="383"/>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亮度(typ)/(nits)</w:t>
            </w:r>
            <w:r>
              <w:rPr>
                <w:rFonts w:hint="eastAsia" w:ascii="宋体" w:hAnsi="宋体" w:eastAsia="宋体" w:cs="宋体"/>
                <w:color w:val="000000" w:themeColor="text1"/>
                <w:sz w:val="24"/>
                <w:szCs w:val="24"/>
                <w14:textFill>
                  <w14:solidFill>
                    <w14:schemeClr w14:val="tx1"/>
                  </w14:solidFill>
                </w14:textFill>
              </w:rPr>
              <w:t xml:space="preserve"> </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color w:val="3f3f3f"/>
                <w:sz w:val="24"/>
                <w:szCs w:val="24"/>
              </w:rPr>
              <w:t xml:space="preserve">≥</w:t>
            </w:r>
            <w:r>
              <w:rPr>
                <w:rFonts w:hint="eastAsia" w:ascii="宋体" w:hAnsi="宋体" w:eastAsia="宋体" w:cs="宋体"/>
                <w:sz w:val="24"/>
                <w:szCs w:val="24"/>
              </w:rPr>
              <w:t xml:space="preserve">400cd/㎡</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分辨率</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3840*2160</w:t>
            </w:r>
            <w:r/>
          </w:p>
        </w:tc>
      </w:tr>
      <w:tr>
        <w:trPr>
          <w:jc w:val="center"/>
          <w:trHeight w:val="383"/>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可视角度</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178（up/down/left/right)</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反应时间</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≤8ms</w:t>
            </w:r>
            <w:r/>
          </w:p>
        </w:tc>
      </w:tr>
      <w:tr>
        <w:trPr>
          <w:jc w:val="center"/>
          <w:trHeight w:val="381"/>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点距</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0.1615(水平）×0.4845（垂直）mm</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颜色</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1.07Ｍ</w:t>
            </w:r>
            <w:r/>
          </w:p>
        </w:tc>
      </w:tr>
      <w:tr>
        <w:trPr>
          <w:jc w:val="center"/>
          <w:trHeight w:val="383"/>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对比度(typ)</w:t>
            </w:r>
            <w:r>
              <w:rPr>
                <w:rFonts w:hint="eastAsia" w:ascii="宋体" w:hAnsi="宋体" w:eastAsia="宋体" w:cs="宋体"/>
                <w:color w:val="000000" w:themeColor="text1"/>
                <w:sz w:val="24"/>
                <w:szCs w:val="24"/>
                <w14:textFill>
                  <w14:solidFill>
                    <w14:schemeClr w14:val="tx1"/>
                  </w14:solidFill>
                </w14:textFill>
              </w:rPr>
              <w:t xml:space="preserve"> </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color w:val="3f3f3f"/>
                <w:sz w:val="24"/>
                <w:szCs w:val="24"/>
              </w:rPr>
              <w:t xml:space="preserve">≥3</w:t>
            </w:r>
            <w:r>
              <w:rPr>
                <w:rFonts w:hint="eastAsia" w:ascii="宋体" w:hAnsi="宋体" w:eastAsia="宋体" w:cs="宋体"/>
                <w:sz w:val="24"/>
                <w:szCs w:val="24"/>
              </w:rPr>
              <w:t xml:space="preserve">000:1 (typ.)</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液晶屏</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全新Ａ级屏</w:t>
            </w:r>
            <w:r/>
          </w:p>
        </w:tc>
      </w:tr>
      <w:tr>
        <w:trPr>
          <w:jc w:val="center"/>
          <w:trHeight w:val="24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场频</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56～75Hz</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行频</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68KHz</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屏体保护</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雾面防眩光钢化</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表面雾度</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AG25%</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输入电压</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AC110-220V</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电源</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交流:90-264V～ 60/50Hz</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系统功能</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外接信号，输入显示</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待机功率</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信号通道</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自动识别</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工作功率</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≤213W</w:t>
            </w:r>
            <w:r/>
          </w:p>
        </w:tc>
      </w:tr>
      <w:tr>
        <w:trPr>
          <w:jc w:val="center"/>
          <w:trHeight w:val="402"/>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使用环境</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温度‐10℃~55℃/湿度10%RH~90%RH</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存储环境</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温度‐15℃~65℃/湿度10%RH~95%RH</w:t>
            </w:r>
            <w:r/>
          </w:p>
        </w:tc>
      </w:tr>
      <w:tr>
        <w:trPr>
          <w:jc w:val="center"/>
          <w:trHeight w:val="400"/>
        </w:trPr>
        <w:tc>
          <w:tcPr>
            <w:tcW w:w="19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边框材质</w:t>
            </w:r>
            <w:r/>
          </w:p>
        </w:tc>
        <w:tc>
          <w:tcPr>
            <w:tcW w:w="31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铝型材</w:t>
            </w:r>
            <w:r/>
          </w:p>
        </w:tc>
        <w:tc>
          <w:tcPr>
            <w:tcW w:w="14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其它</w:t>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摇控器  电源线   保修卡  合格证</w:t>
            </w:r>
            <w:r/>
          </w:p>
        </w:tc>
      </w:tr>
      <w:tr>
        <w:trPr>
          <w:jc w:val="center"/>
          <w:trHeight w:val="402"/>
        </w:trPr>
        <w:tc>
          <w:tcPr>
            <w:gridSpan w:val="4"/>
            <w:tcW w:w="91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需提供有中国节能产品认证证书、中国国家强制性产品认证证书</w:t>
            </w:r>
            <w:r/>
          </w:p>
        </w:tc>
      </w:tr>
    </w:tbl>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p>
      <w:pPr>
        <w:pStyle w:val="881"/>
        <w:ind w:firstLine="210"/>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tbl>
      <w:tblPr>
        <w:tblStyle w:val="857"/>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2976"/>
        <w:gridCol w:w="1395"/>
        <w:gridCol w:w="3522"/>
      </w:tblGrid>
      <w:tr>
        <w:trPr>
          <w:jc w:val="center"/>
          <w:trHeight w:val="387"/>
        </w:trPr>
        <w:tc>
          <w:tcPr>
            <w:gridSpan w:val="4"/>
            <w:tcW w:w="92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激光工程投影机</w:t>
            </w:r>
            <w:r/>
          </w:p>
        </w:tc>
      </w:tr>
      <w:tr>
        <w:trPr>
          <w:jc w:val="center"/>
          <w:trHeight w:val="395"/>
        </w:trPr>
        <w:tc>
          <w:tcPr>
            <w:gridSpan w:val="4"/>
            <w:tcW w:w="92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技术参数</w:t>
            </w:r>
            <w:r/>
          </w:p>
        </w:tc>
      </w:tr>
      <w:tr>
        <w:trPr>
          <w:jc w:val="center"/>
          <w:trHeight w:val="402"/>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光通量</w:t>
            </w:r>
            <w:r/>
          </w:p>
        </w:tc>
        <w:tc>
          <w:tcPr>
            <w:tcW w:w="29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平均≥5200流明，中心亮度≥5400流明</w:t>
            </w:r>
            <w:r/>
          </w:p>
        </w:tc>
        <w:tc>
          <w:tcPr>
            <w:tcW w:w="13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芯片</w:t>
            </w:r>
            <w:r/>
          </w:p>
        </w:tc>
        <w:tc>
          <w:tcPr>
            <w:tcW w:w="35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HTPS高温多晶硅有源矩阵式液晶显示板≥0.64英寸</w:t>
            </w:r>
            <w:r/>
          </w:p>
        </w:tc>
      </w:tr>
      <w:tr>
        <w:trPr>
          <w:jc w:val="center"/>
          <w:trHeight w:val="383"/>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光源</w:t>
            </w:r>
            <w:r/>
          </w:p>
        </w:tc>
        <w:tc>
          <w:tcPr>
            <w:tcW w:w="29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color w:val="3f3f3f"/>
                <w:sz w:val="24"/>
                <w:szCs w:val="24"/>
              </w:rPr>
              <w:t xml:space="preserve">ALPD激光</w:t>
            </w:r>
            <w:r/>
          </w:p>
        </w:tc>
        <w:tc>
          <w:tcPr>
            <w:tcW w:w="13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光源寿命</w:t>
            </w:r>
            <w:r/>
          </w:p>
        </w:tc>
        <w:tc>
          <w:tcPr>
            <w:tcW w:w="35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25,000小时(标准模式);50,000小时(节能模式）</w:t>
            </w:r>
            <w:r/>
          </w:p>
        </w:tc>
      </w:tr>
      <w:tr>
        <w:trPr>
          <w:jc w:val="center"/>
          <w:trHeight w:val="383"/>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分辨率</w:t>
            </w:r>
            <w:r/>
          </w:p>
        </w:tc>
        <w:tc>
          <w:tcPr>
            <w:tcW w:w="29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1920*1200</w:t>
            </w:r>
            <w:r/>
          </w:p>
        </w:tc>
        <w:tc>
          <w:tcPr>
            <w:tcW w:w="13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投影比例</w:t>
            </w:r>
            <w:r/>
          </w:p>
        </w:tc>
        <w:tc>
          <w:tcPr>
            <w:tcW w:w="35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16：10兼容16：9，4：3</w:t>
            </w:r>
            <w:r/>
          </w:p>
        </w:tc>
      </w:tr>
      <w:tr>
        <w:trPr>
          <w:jc w:val="center"/>
          <w:trHeight w:val="381"/>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对比度</w:t>
            </w:r>
            <w:r/>
          </w:p>
        </w:tc>
        <w:tc>
          <w:tcPr>
            <w:tcW w:w="29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≥5,000,000:1(极致黑)</w:t>
            </w:r>
            <w:r/>
          </w:p>
        </w:tc>
        <w:tc>
          <w:tcPr>
            <w:tcW w:w="13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镜头</w:t>
            </w:r>
            <w:r/>
          </w:p>
        </w:tc>
        <w:tc>
          <w:tcPr>
            <w:tcW w:w="35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固定镜头，可更换</w:t>
            </w:r>
            <w:r/>
          </w:p>
        </w:tc>
      </w:tr>
      <w:tr>
        <w:trPr>
          <w:jc w:val="center"/>
          <w:trHeight w:val="383"/>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输入端口</w:t>
            </w:r>
            <w:r/>
          </w:p>
        </w:tc>
        <w:tc>
          <w:tcPr>
            <w:gridSpan w:val="3"/>
            <w:tcW w:w="7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HDMIx2、15-pin Mini-Dsubx2、AUDIOx1 (3.5mm端口）、Audio in(L/R)--RCAX1、 VIDEOx1、RJ45×1（用于网络控制）、RS232(D-sub 9pin)x1、USB-Ax1(无线局域网&amp;DC5V)、USB-Bx1(用于软件升级)</w:t>
            </w:r>
            <w:r/>
          </w:p>
        </w:tc>
      </w:tr>
      <w:tr>
        <w:trPr>
          <w:jc w:val="center"/>
          <w:trHeight w:val="242"/>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输出端口</w:t>
            </w:r>
            <w:r/>
          </w:p>
        </w:tc>
        <w:tc>
          <w:tcPr>
            <w:gridSpan w:val="3"/>
            <w:tcW w:w="7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15-pin Mini-DsubTx1、Audiox1 (3.5mm端口）</w:t>
            </w:r>
            <w:r/>
          </w:p>
        </w:tc>
      </w:tr>
      <w:tr>
        <w:trPr>
          <w:jc w:val="center"/>
          <w:trHeight w:val="402"/>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屏体保护</w:t>
            </w:r>
            <w:r/>
          </w:p>
        </w:tc>
        <w:tc>
          <w:tcPr>
            <w:tcW w:w="29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雾面防眩光钢化</w:t>
            </w:r>
            <w:r/>
          </w:p>
        </w:tc>
        <w:tc>
          <w:tcPr>
            <w:tcW w:w="13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表面雾度</w:t>
            </w:r>
            <w:r/>
          </w:p>
        </w:tc>
        <w:tc>
          <w:tcPr>
            <w:tcW w:w="35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AG25%</w:t>
            </w:r>
            <w:r/>
          </w:p>
        </w:tc>
      </w:tr>
      <w:tr>
        <w:trPr>
          <w:jc w:val="center"/>
          <w:trHeight w:val="402"/>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电源规格</w:t>
            </w:r>
            <w:r/>
          </w:p>
        </w:tc>
        <w:tc>
          <w:tcPr>
            <w:tcW w:w="29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100-240V,50/60Hz</w:t>
            </w:r>
            <w:r/>
          </w:p>
        </w:tc>
        <w:tc>
          <w:tcPr>
            <w:tcW w:w="13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功率</w:t>
            </w:r>
            <w:r/>
          </w:p>
        </w:tc>
        <w:tc>
          <w:tcPr>
            <w:tcW w:w="35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正常：≤350W</w:t>
            </w:r>
            <w:r/>
          </w:p>
          <w:p>
            <w:pPr>
              <w:jc w:val="center"/>
              <w:rPr>
                <w:rFonts w:hint="eastAsia" w:ascii="宋体" w:hAnsi="宋体" w:eastAsia="宋体" w:cs="宋体"/>
                <w:sz w:val="24"/>
                <w:szCs w:val="24"/>
              </w:rPr>
            </w:pPr>
            <w:r>
              <w:rPr>
                <w:rFonts w:hint="eastAsia" w:ascii="宋体" w:hAnsi="宋体" w:eastAsia="宋体" w:cs="宋体"/>
                <w:sz w:val="24"/>
                <w:szCs w:val="24"/>
              </w:rPr>
              <w:t xml:space="preserve">待机：≤0.5W</w:t>
            </w:r>
            <w:r/>
          </w:p>
        </w:tc>
      </w:tr>
      <w:tr>
        <w:trPr>
          <w:jc w:val="center"/>
          <w:trHeight w:val="402"/>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噪音</w:t>
            </w:r>
            <w:r/>
          </w:p>
        </w:tc>
        <w:tc>
          <w:tcPr>
            <w:tcW w:w="29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≤38db</w:t>
            </w:r>
            <w:r/>
          </w:p>
        </w:tc>
        <w:tc>
          <w:tcPr>
            <w:tcW w:w="139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使用环境</w:t>
            </w:r>
            <w:r/>
          </w:p>
        </w:tc>
        <w:tc>
          <w:tcPr>
            <w:tcW w:w="35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温度0℃~40℃，未凝结/湿度20%RH~80%RH</w:t>
            </w:r>
            <w:r/>
          </w:p>
        </w:tc>
      </w:tr>
      <w:tr>
        <w:trPr>
          <w:jc w:val="center"/>
          <w:trHeight w:val="400"/>
        </w:trPr>
        <w:tc>
          <w:tcPr>
            <w:tcW w:w="1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配件</w:t>
            </w:r>
            <w:r/>
          </w:p>
        </w:tc>
        <w:tc>
          <w:tcPr>
            <w:gridSpan w:val="3"/>
            <w:tcW w:w="78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摇控器  电源线   保修卡  合格证</w:t>
            </w:r>
            <w:r/>
          </w:p>
        </w:tc>
      </w:tr>
      <w:tr>
        <w:trPr>
          <w:jc w:val="center"/>
          <w:trHeight w:val="402"/>
        </w:trPr>
        <w:tc>
          <w:tcPr>
            <w:gridSpan w:val="4"/>
            <w:tcW w:w="92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需提供有中国节能产品认证证书、中国国家强制性产品认证证书</w:t>
            </w:r>
            <w:r/>
          </w:p>
        </w:tc>
      </w:tr>
    </w:tbl>
    <w:p>
      <w:pP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rPr>
          <w:rFonts w:hint="eastAsia" w:eastAsia="宋体" w:cs="宋体"/>
          <w:b/>
          <w:color w:val="000000"/>
          <w:sz w:val="24"/>
          <w:szCs w:val="24"/>
          <w:highlight w:val="none"/>
          <w:lang w:val="en-US" w:eastAsia="zh-CN"/>
        </w:rPr>
      </w:pPr>
      <w:r>
        <w:rPr>
          <w:rFonts w:hint="eastAsia" w:eastAsia="宋体" w:cs="宋体"/>
          <w:b/>
          <w:color w:val="000000"/>
          <w:sz w:val="24"/>
          <w:szCs w:val="24"/>
          <w:highlight w:val="none"/>
          <w:lang w:val="en-US" w:eastAsia="zh-CN"/>
        </w:rPr>
        <w:br w:type="page" w:clear="all"/>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五、采购清单</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需求的设备产品的规格、材质、数量、技术要求、设计和制造标准均为技术先进、产品优质的全新合格产品，并且是从设计、制造、包装、运输到采购人指定地点、负责安装、调试、验收直至最后交付使用及质保的完整性产品项目。</w:t>
      </w:r>
      <w:r/>
    </w:p>
    <w:p>
      <w:pPr>
        <w:contextualSpacing/>
        <w:ind w:firstLine="482"/>
        <w:keepLines w:val="0"/>
        <w:keepNext w:val="0"/>
        <w:pageBreakBefore w:val="0"/>
        <w:spacing w:line="360" w:lineRule="auto"/>
        <w:shd w:val="clear" w:color="auto"/>
        <w:widowControl w:val="off"/>
        <w:rPr>
          <w:rFonts w:hint="eastAsia" w:ascii="宋体" w:hAnsi="宋体" w:eastAsia="宋体" w:cs="宋体"/>
          <w:b/>
          <w:bCs/>
          <w:color w:val="000000"/>
          <w:sz w:val="24"/>
          <w:szCs w:val="24"/>
          <w:highlight w:val="none"/>
          <w:lang w:eastAsia="zh-CN"/>
        </w:rPr>
      </w:pPr>
      <w:r/>
      <w:bookmarkStart w:id="23" w:name="OLE_LINK4"/>
      <w:r>
        <w:rPr>
          <w:rFonts w:hint="eastAsia" w:ascii="宋体" w:hAnsi="宋体" w:eastAsia="宋体" w:cs="宋体"/>
          <w:b/>
          <w:bCs/>
          <w:color w:val="000000"/>
          <w:sz w:val="24"/>
          <w:szCs w:val="24"/>
          <w:highlight w:val="none"/>
          <w:lang w:eastAsia="zh-CN"/>
        </w:rPr>
        <w:t xml:space="preserve">详见附件清单。</w:t>
      </w:r>
      <w:r/>
    </w:p>
    <w:p>
      <w:pPr>
        <w:contextualSpacing/>
        <w:ind w:firstLine="482"/>
        <w:keepLines w:val="0"/>
        <w:keepNext w:val="0"/>
        <w:pageBreakBefore w:val="0"/>
        <w:spacing w:line="360" w:lineRule="auto"/>
        <w:shd w:val="clear" w:color="auto"/>
        <w:widowControl w:val="off"/>
        <w:rPr>
          <w:rFonts w:hint="eastAsia" w:ascii="宋体" w:hAnsi="宋体" w:eastAsia="宋体" w:cs="宋体"/>
          <w:b/>
          <w:bCs/>
          <w:i w:val="0"/>
          <w:iCs w:val="0"/>
          <w:color w:val="000000"/>
          <w:sz w:val="24"/>
          <w:szCs w:val="24"/>
          <w:highlight w:val="none"/>
          <w:u w:val="single"/>
        </w:rPr>
      </w:pPr>
      <w:r>
        <w:rPr>
          <w:rFonts w:hint="eastAsia" w:ascii="宋体" w:hAnsi="宋体" w:eastAsia="宋体" w:cs="宋体"/>
          <w:b/>
          <w:bCs w:val="0"/>
          <w:color w:val="000000"/>
          <w:sz w:val="24"/>
          <w:szCs w:val="24"/>
          <w:highlight w:val="none"/>
          <w:lang w:val="en-US" w:eastAsia="zh-CN"/>
        </w:rPr>
        <w:t xml:space="preserve">本项目为非单一产品采购项目，采购人确定本项目核心产品为：</w:t>
      </w:r>
      <w:r>
        <w:rPr>
          <w:rFonts w:hint="eastAsia" w:ascii="宋体" w:hAnsi="宋体" w:eastAsia="宋体" w:cs="宋体"/>
          <w:b/>
          <w:bCs/>
          <w:color w:val="000000"/>
          <w:sz w:val="24"/>
          <w:szCs w:val="24"/>
          <w:highlight w:val="none"/>
          <w:u w:val="single"/>
          <w:lang w:val="en-US" w:eastAsia="zh-CN"/>
        </w:rPr>
        <w:t xml:space="preserve">展柜及专业灯光 </w:t>
      </w:r>
      <w:r>
        <w:rPr>
          <w:rFonts w:hint="eastAsia" w:ascii="宋体" w:hAnsi="宋体" w:eastAsia="宋体" w:cs="宋体"/>
          <w:b/>
          <w:bCs/>
          <w:i w:val="0"/>
          <w:iCs w:val="0"/>
          <w:color w:val="000000"/>
          <w:sz w:val="24"/>
          <w:szCs w:val="24"/>
          <w:highlight w:val="none"/>
          <w:u w:val="none"/>
        </w:rPr>
        <w:t xml:space="preserve">。</w:t>
      </w:r>
      <w:bookmarkEnd w:id="23"/>
      <w:r/>
      <w:r/>
    </w:p>
    <w:p>
      <w:pPr>
        <w:contextualSpacing/>
        <w:ind w:firstLine="482"/>
        <w:keepLines w:val="0"/>
        <w:keepNext w:val="0"/>
        <w:pageBreakBefore w:val="0"/>
        <w:spacing w:line="360" w:lineRule="auto"/>
        <w:shd w:val="clear" w:color="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val="0"/>
          <w:color w:val="000000"/>
          <w:sz w:val="24"/>
          <w:szCs w:val="24"/>
          <w:highlight w:val="none"/>
          <w:lang w:val="en-US" w:eastAsia="zh-CN"/>
        </w:rPr>
        <w:t xml:space="preserve">如所投产品技术参数条件与采购清单中参数条款不符，须在《技术条款响应正负偏离表》中注明，并给予解释。</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、产品</w:t>
      </w:r>
      <w:r>
        <w:rPr>
          <w:rFonts w:hint="eastAsia" w:ascii="宋体" w:hAnsi="宋体" w:eastAsia="宋体" w:cs="宋体"/>
          <w:b/>
          <w:color w:val="000000"/>
          <w:sz w:val="24"/>
          <w:szCs w:val="24"/>
          <w:highlight w:val="none"/>
          <w:lang w:val="en-US" w:eastAsia="zh-CN"/>
        </w:rPr>
        <w:t xml:space="preserve">质量要求</w:t>
      </w:r>
      <w:r/>
    </w:p>
    <w:p>
      <w:pPr>
        <w:ind w:firstLine="501"/>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w:t>
      </w:r>
      <w:r>
        <w:rPr>
          <w:rFonts w:hint="eastAsia" w:ascii="宋体" w:hAnsi="宋体" w:eastAsia="宋体" w:cs="宋体"/>
          <w:sz w:val="24"/>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p>
    <w:p>
      <w:pPr>
        <w:ind w:firstLine="501"/>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w:t>
      </w:r>
      <w:r>
        <w:rPr>
          <w:rFonts w:hint="eastAsia" w:ascii="宋体" w:hAnsi="宋体" w:eastAsia="宋体" w:cs="宋体"/>
          <w:sz w:val="24"/>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01"/>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产品的包装，国家或行业主管部门有规定的，按规定执行。</w:t>
      </w:r>
      <w:r/>
    </w:p>
    <w:p>
      <w:pPr>
        <w:ind w:firstLine="501"/>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投标人应保证提供的产品不得侵犯第三方专利权、商标权和设计权、版权等。否则，投标人应负全部责任，并承担由此引起的一切后果。</w:t>
      </w:r>
      <w:r/>
    </w:p>
    <w:p>
      <w:pPr>
        <w:ind w:firstLine="501"/>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投标人应保证其货物在正确安装、正常使用下，在其使用寿命期内应具有满意的性能。</w:t>
      </w:r>
      <w:r/>
    </w:p>
    <w:p>
      <w:pPr>
        <w:ind w:firstLine="501"/>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投标人应采取必要的安全措施保证货物的运输及安装的安全，并承担货物的运输及安装过程中产生的风险。</w:t>
      </w:r>
      <w:r/>
    </w:p>
    <w:p>
      <w:pPr>
        <w:ind w:firstLine="501"/>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投标人必须保证所提供的产品符合国家相应质量要求。</w:t>
      </w:r>
      <w:r/>
    </w:p>
    <w:p>
      <w:pPr>
        <w:ind w:firstLine="501"/>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8.除特别约定外，合同条款内项目（标的物）的质保期均自项目（标的物）通过最终验收之日起计算，质保期按投标承诺。</w:t>
      </w:r>
      <w:r/>
    </w:p>
    <w:p>
      <w:pPr>
        <w:contextualSpacing/>
        <w:ind w:firstLine="480"/>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七、项目建设实施</w:t>
      </w:r>
      <w:r/>
    </w:p>
    <w:p>
      <w:pPr>
        <w:contextualSpacing/>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eastAsia="zh-CN"/>
        </w:rPr>
        <w:t xml:space="preserve">施工及</w:t>
      </w:r>
      <w:r>
        <w:rPr>
          <w:rFonts w:hint="eastAsia" w:ascii="宋体" w:hAnsi="宋体" w:eastAsia="宋体" w:cs="宋体"/>
          <w:b/>
          <w:bCs/>
          <w:color w:val="000000"/>
          <w:sz w:val="24"/>
          <w:szCs w:val="24"/>
          <w:highlight w:val="none"/>
        </w:rPr>
        <w:t xml:space="preserve">供货期限：</w:t>
      </w:r>
      <w:r>
        <w:rPr>
          <w:rFonts w:hint="eastAsia" w:ascii="宋体" w:hAnsi="宋体" w:eastAsia="宋体" w:cs="宋体"/>
          <w:b/>
          <w:bCs/>
          <w:color w:val="000000"/>
          <w:sz w:val="24"/>
          <w:szCs w:val="24"/>
          <w:highlight w:val="none"/>
          <w:lang w:val="en-US" w:eastAsia="zh-CN"/>
        </w:rPr>
        <w:t xml:space="preserve">合同签订生效后至2025年11月30日完成供货、安装、施工、调试和验收合格（具体时间采购单位另行通知）。</w:t>
      </w:r>
      <w:r/>
    </w:p>
    <w:p>
      <w:pPr>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产品设备交付</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（1）交货地点：采购人指定地点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并负责安装、调试</w:t>
      </w:r>
      <w:r>
        <w:rPr>
          <w:rFonts w:hint="eastAsia" w:ascii="宋体" w:hAnsi="宋体" w:eastAsia="宋体" w:cs="宋体"/>
          <w:bCs/>
          <w:color w:val="000000"/>
          <w:sz w:val="24"/>
          <w:szCs w:val="24"/>
          <w:highlight w:val="none"/>
        </w:rPr>
        <w:t xml:space="preserve">。</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（2）货物装卸、运输涉及到的保险，其费用包含在合同总价中。</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（3）合同项目涉及到的需求产品交货时，外包装应完整无破损。</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合同项目涉及到的需求产品交货时，必须是全新、未使用过的原装合格正品，</w:t>
      </w:r>
      <w:r>
        <w:rPr>
          <w:rFonts w:hint="eastAsia" w:ascii="宋体" w:hAnsi="宋体" w:eastAsia="宋体" w:cs="宋体"/>
          <w:bCs/>
          <w:color w:val="000000"/>
          <w:sz w:val="24"/>
          <w:szCs w:val="24"/>
          <w:highlight w:val="none"/>
          <w:lang w:val="en-US" w:eastAsia="zh-CN"/>
        </w:rPr>
        <w:t xml:space="preserve">产品完好、无破损。</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2"/>
      </w:pPr>
      <w:r/>
      <w:bookmarkStart w:id="24" w:name="_Hlk74904365"/>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项目建设实施步骤</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3"/>
      </w:pPr>
      <w:r>
        <w:rPr>
          <w:rFonts w:hint="eastAsia" w:ascii="宋体" w:hAnsi="宋体" w:eastAsia="宋体" w:cs="宋体"/>
          <w:b/>
          <w:bCs/>
          <w:color w:val="000000"/>
          <w:sz w:val="24"/>
          <w:szCs w:val="24"/>
          <w:highlight w:val="none"/>
        </w:rPr>
        <w:t xml:space="preserve">（1）项目建设产品设备到货及报验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项目建设需求的产品设备到达采购人指定现场前，应提前3天用函、电通知采购人做好准备，由采购人会同有关单位和人员根据供应商提供的项目产品设备清单，现场对项目需求产品进行点验收货</w:t>
      </w:r>
      <w:r>
        <w:rPr>
          <w:rFonts w:hint="eastAsia" w:ascii="宋体" w:hAnsi="宋体" w:eastAsia="宋体" w:cs="宋体"/>
          <w:bCs/>
          <w:color w:val="00000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3"/>
      </w:pPr>
      <w:r>
        <w:rPr>
          <w:rFonts w:hint="eastAsia" w:ascii="宋体" w:hAnsi="宋体" w:eastAsia="宋体" w:cs="宋体"/>
          <w:b/>
          <w:bCs/>
          <w:color w:val="000000"/>
          <w:sz w:val="24"/>
          <w:szCs w:val="24"/>
          <w:highlight w:val="none"/>
        </w:rPr>
        <w:t xml:space="preserve">（2）提供项目产品设备的安装、调试</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供应商应根据采购单位的要求，在指定地点，根据项目建设要求进行产品设备的安装和调试。为此，</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供应商须提供详细明确的安装标准，包含供货承诺、供货时间及具体安排，并根据用户需求提供详细明确的安装计划，其中含安装人员安排等</w:t>
      </w:r>
      <w:r>
        <w:rPr>
          <w:rFonts w:hint="eastAsia" w:ascii="宋体" w:hAnsi="宋体" w:eastAsia="宋体" w:cs="宋体"/>
          <w:bCs/>
          <w:color w:val="00000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验收</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投标人应就项目的整体标准，提供明确的验收方案，该方案须符合国家相关行业标准和验收标准。</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2.采购人在接到中标人以书面形式提出验收申请后，在7个工作日内及时组织相关专业技术人员，必要时邀请质检等部门共同参与验收，并出具验收报告，作为支付货款的依据。如验收不合格，采购人有权中止合同，验收不合格所发生的一切费用由中标人承担，按照实际发生的费用从履约保证金中扣除，扣完为止。</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3.项目建设整体在通过专项验收时，供应商应对其中的产品设备由于设计、工艺或材料的缺陷而发生的任何不足或故障负责，并承担由此引起的一切后果。</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4.如双方因产品设备的质量问题对项目建设整体（含产品设备）的验收结果有分歧，</w:t>
      </w:r>
      <w:bookmarkStart w:id="25" w:name="_Hlk69515408"/>
      <w:r>
        <w:rPr>
          <w:rFonts w:hint="eastAsia" w:ascii="宋体" w:hAnsi="宋体" w:eastAsia="宋体" w:cs="宋体"/>
          <w:b w:val="0"/>
          <w:bCs/>
          <w:color w:val="000000"/>
          <w:sz w:val="24"/>
          <w:szCs w:val="24"/>
          <w:highlight w:val="none"/>
          <w:lang w:val="en-US" w:eastAsia="zh-CN"/>
        </w:rPr>
        <w:t xml:space="preserve">则以南通市市场监督管理局对可能有缺陷、故障的产品进行检测且以检测结果为准，检验费由有过失的一方支付</w:t>
      </w:r>
      <w:bookmarkEnd w:id="25"/>
      <w:r>
        <w:rPr>
          <w:rFonts w:hint="eastAsia" w:ascii="宋体" w:hAnsi="宋体" w:eastAsia="宋体" w:cs="宋体"/>
          <w:b w:val="0"/>
          <w:bCs/>
          <w:color w:val="000000"/>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5.对于涉及因检测不合格的产品设备（批次），无条件退场，且采购人有权据此认定为是供应商自身的原因而导致该种结果，采购人有权单方面解除本项目的采购合同。</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6.采购人有权拒收未通过验收而涉及到的产品设备。</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7.项目建设整体验收合格的同时，供应商需提供项目内涉及到的产品设备的质保书、保修证明等书面资料给采购人。</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九、质保期</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1.质保期限：本次采购项目建设整体和涉及到的所有产品设备，其质保期限为两年，其中照明灯光源及灯具质保期限为五年（从项目通过最终验收之日起计）。并终身提供使用维保。</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质保期验收合格之日起开始计算，质保期内免费提供项目整体的维护和产品设备的维修，包括非人为因素发生的产品设备修理、更换的费用。</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十、售后服务要求</w:t>
      </w:r>
      <w:bookmarkEnd w:id="24"/>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供应商应就本项目提供详细的售后服务方案。</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中标人应为招标人提供免费培训服务，并指派专人负责与招标人联系售后服务事宜。主要培训内容为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保修期内，中标人负责对其提供的货物进行维修和维护，不再收取任何费用。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若货物故障在检修24工作小时后仍无法排除，中标人应免费提供不低于故障货物规格型号档次的备用货物供招标人使用，直至故障货物修复，如因此给招标人造成损失，中标人应负责赔偿。</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如中标人在接到招标人提出的技术服务要求或维修通知后4小时内没有响应、拒绝或24小时没有派员到达现场提供技术服务、修理或退换货物，招标人有权委托第三人对合同货物进行维修或提供技术服务，由此产生的一切费用由中标人承担。</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在合同货物保修期内，如果由于中标人更换、修理和续补货物，而造成本合同货物不得不停止运行，货物保修期应依照停止运行的实际时间加以延长，如因此给招标人造成损失，中标人应负责赔偿。</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合同货物保修期届满后，中标人保证继续为招标人提供货物的维修服务，招标人应按卖方提供的优惠价格向中标人支付相关费用，中标人保证在合同货物使用期内以不高于本合同货物和相关配件的价格向招标人提供备品备件。</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十一、技术响应要求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供应商应明确投标产品的制造商、产品品牌、型号、规格，并提供详细的技术参数及性能说明。</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供应商需按照上述项目需求货物清单一览表中所有产品清单数量严谨报价，不得缺项、漏项，凡缺项、漏项的视作赠送。</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十二、样品</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（一）本项目需要提交下列样品。样品须按项目需求及样品图示制作。</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1.展柜样品</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1"/>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）样品名称：单面龛柜；</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1"/>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样品的规格及数量：2070mm*500mm*1170mm （长*宽*高）。</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（3）样品数量：1台。</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（4）样品开启方式：手动掀起开启</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1"/>
      </w:pPr>
      <w:r>
        <w:rPr>
          <w:rFonts w:hint="eastAsia" w:ascii="宋体" w:hAnsi="宋体" w:eastAsia="宋体" w:cs="宋体"/>
          <w:bCs/>
          <w:color w:val="000000"/>
          <w:sz w:val="24"/>
          <w:szCs w:val="24"/>
          <w:highlight w:val="none"/>
          <w:lang w:val="en-US" w:eastAsia="zh-CN"/>
        </w:rPr>
        <w:t xml:space="preserve">（5）样品玻璃规格：6+6低反射夹胶玻璃</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展柜样品图片：</w:t>
      </w:r>
      <w:r/>
    </w:p>
    <w:p>
      <w:pPr>
        <w:jc w:val="center"/>
        <w:rPr>
          <w:color w:val="ee0000"/>
        </w:rPr>
      </w:pPr>
      <w:r>
        <mc:AlternateContent>
          <mc:Choice Requires="wpg">
            <w:drawing>
              <wp:inline xmlns:wp="http://schemas.openxmlformats.org/drawingml/2006/wordprocessingDrawing" distT="0" distB="0" distL="0" distR="0">
                <wp:extent cx="5274310" cy="3159760"/>
                <wp:effectExtent l="0" t="0" r="1397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58078" name="图片 1"/>
                        <pic:cNvPicPr>
                          <a:picLocks noChangeAspect="1"/>
                        </pic:cNvPicPr>
                        <pic:nvPr/>
                      </pic:nvPicPr>
                      <pic:blipFill>
                        <a:blip r:embed="rId21"/>
                        <a:stretch/>
                      </pic:blipFill>
                      <pic:spPr bwMode="auto">
                        <a:xfrm>
                          <a:off x="0" y="0"/>
                          <a:ext cx="5274310" cy="315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48.8pt;mso-wrap-distance-left:0.0pt;mso-wrap-distance-top:0.0pt;mso-wrap-distance-right:0.0pt;mso-wrap-distance-bottom:0.0pt;" stroked="f">
                <v:path textboxrect="0,0,0,0"/>
                <v:imagedata r:id="rId21" o:title=""/>
              </v:shape>
            </w:pict>
          </mc:Fallback>
        </mc:AlternateContent>
      </w:r>
      <w:r/>
    </w:p>
    <w:p>
      <w:pPr>
        <w:ind w:firstLine="48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展柜施工图样（详见施工图图纸）：</w:t>
      </w:r>
      <w:r/>
    </w:p>
    <w:p>
      <w:pPr>
        <w:ind w:firstLine="520"/>
        <w:jc w:val="center"/>
        <w:spacing w:line="360" w:lineRule="auto"/>
        <w:outlineLvl w:val="1"/>
      </w:pPr>
      <w:r>
        <mc:AlternateContent>
          <mc:Choice Requires="wpg">
            <w:drawing>
              <wp:inline xmlns:wp="http://schemas.openxmlformats.org/drawingml/2006/wordprocessingDrawing" distT="0" distB="0" distL="0" distR="0">
                <wp:extent cx="5271135" cy="3897630"/>
                <wp:effectExtent l="0" t="0" r="1905"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2"/>
                        <a:stretch/>
                      </pic:blipFill>
                      <pic:spPr bwMode="auto">
                        <a:xfrm>
                          <a:off x="0" y="0"/>
                          <a:ext cx="5271135" cy="3897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306.9pt;mso-wrap-distance-left:0.0pt;mso-wrap-distance-top:0.0pt;mso-wrap-distance-right:0.0pt;mso-wrap-distance-bottom:0.0pt;" stroked="f">
                <v:path textboxrect="0,0,0,0"/>
                <v:imagedata r:id="rId22" o:title=""/>
              </v:shape>
            </w:pict>
          </mc:Fallback>
        </mc:AlternateConten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（6）样品要求：展柜外观与展厅展陈设计风格协调统一，箱体及玻璃比例符合美观、安全、开启便利的设计需求，在满足技术和使用功能的情况下综合考虑。展柜主</w:t>
      </w:r>
      <w:r>
        <w:rPr>
          <w:rFonts w:hint="eastAsia" w:ascii="宋体" w:hAnsi="宋体" w:eastAsia="宋体" w:cs="宋体"/>
          <w:bCs/>
          <w:color w:val="000000"/>
          <w:sz w:val="24"/>
          <w:szCs w:val="24"/>
          <w:highlight w:val="none"/>
          <w:lang w:val="en-US" w:eastAsia="zh-CN"/>
        </w:rPr>
        <w:t xml:space="preserve">体要求采用金属框结构，各部分具备独立空间，互不干扰。展柜骨架要求采用标准型金属或复合型坚固材料，具有自重稳定性和抗撞击稳固性，同时具备超强的承载力以及防砸、防撬不易变形的功能。展柜箱体要求表面采用喷涂工艺，涂层色泽均匀一致，表面平整、无划痕、无橘皮现象。要求展柜换气率≤0.5d-1。展柜内应采用LED光源，灯具应当尽量隐藏，灯光的照射范围应尽量控制在柜内的展示区域，根据展品大小，灯具角度可调，并能实现调光的灯具投射展品，凸显出展品的细节。恒湿设备可以24小时不间断稳定运行，为展柜提供一个持续良好的湿度环境。</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1"/>
      </w:pPr>
      <w:r>
        <w:rPr>
          <w:rFonts w:hint="eastAsia" w:ascii="宋体" w:hAnsi="宋体" w:eastAsia="宋体" w:cs="宋体"/>
          <w:bCs/>
          <w:color w:val="000000"/>
          <w:sz w:val="24"/>
          <w:szCs w:val="24"/>
          <w:highlight w:val="none"/>
          <w:lang w:val="en-US" w:eastAsia="zh-CN"/>
        </w:rPr>
        <w:t xml:space="preserve">恒湿设备噪音≤50db，恒湿系统的控湿范围35%RH-75%RH，控制精度±2.0%。</w:t>
      </w:r>
      <w:r/>
    </w:p>
    <w:p>
      <w:pPr>
        <w:ind w:firstLine="480"/>
        <w:spacing w:line="360" w:lineRule="auto"/>
        <w:rPr>
          <w:rFonts w:eastAsia="宋体" w:cs="宋体"/>
          <w:b/>
          <w:color w:val="000000"/>
          <w:sz w:val="24"/>
          <w:szCs w:val="24"/>
        </w:rPr>
        <w:outlineLvl w:val="1"/>
      </w:pPr>
      <w:r>
        <w:rPr>
          <w:rFonts w:hint="eastAsia" w:eastAsia="宋体" w:cs="宋体"/>
          <w:b/>
          <w:color w:val="000000"/>
          <w:sz w:val="24"/>
          <w:szCs w:val="24"/>
        </w:rPr>
        <w:t xml:space="preserve">展柜样品在规定时间送至指定地点后，由采购人在同一时间统一充气，由第三方专业检测机构在同一时间统一进行密封性测试并记录数据。</w:t>
      </w:r>
      <w:r/>
    </w:p>
    <w:p>
      <w:pPr>
        <w:ind w:firstLine="482"/>
        <w:spacing w:line="360" w:lineRule="auto"/>
        <w:rPr>
          <w:rFonts w:hint="eastAsia" w:eastAsia="宋体" w:cs="宋体"/>
          <w:b/>
          <w:bCs/>
          <w:color w:val="000000"/>
          <w:sz w:val="24"/>
          <w:szCs w:val="24"/>
        </w:rPr>
        <w:outlineLvl w:val="2"/>
      </w:pPr>
      <w:r>
        <w:rPr>
          <w:rFonts w:hint="eastAsia" w:eastAsia="宋体" w:cs="宋体"/>
          <w:b/>
          <w:bCs/>
          <w:color w:val="000000"/>
          <w:sz w:val="24"/>
          <w:szCs w:val="24"/>
        </w:rPr>
      </w:r>
      <w:r/>
    </w:p>
    <w:p>
      <w:pPr>
        <w:ind w:firstLine="482"/>
        <w:spacing w:line="360" w:lineRule="auto"/>
        <w:rPr>
          <w:rFonts w:eastAsia="宋体" w:cs="宋体"/>
          <w:b/>
          <w:bCs/>
          <w:color w:val="000000"/>
          <w:sz w:val="24"/>
          <w:szCs w:val="24"/>
        </w:rPr>
        <w:outlineLvl w:val="2"/>
      </w:pPr>
      <w:r>
        <w:rPr>
          <w:rFonts w:hint="eastAsia" w:eastAsia="宋体" w:cs="宋体"/>
          <w:b/>
          <w:bCs/>
          <w:color w:val="000000"/>
          <w:sz w:val="24"/>
          <w:szCs w:val="24"/>
        </w:rPr>
        <w:t xml:space="preserve">2.专业灯具样品</w:t>
      </w:r>
      <w:r/>
    </w:p>
    <w:p>
      <w:pPr>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（1）样品名称：①微型轨道射灯2（提供样品）； ②微型轨道洗墙灯（提供样品）； ③轨道射灯1（提供样品）；④轨道射灯2（提供样品）。</w:t>
      </w:r>
      <w:r/>
    </w:p>
    <w:p>
      <w:pPr>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（2）样品的规格及数量：</w:t>
      </w:r>
      <w:r/>
    </w:p>
    <w:p>
      <w:pPr>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Ⅰ外观要求：灯具均为黑色，与展厅展陈设计风格相协调统一。</w:t>
      </w:r>
      <w:r/>
    </w:p>
    <w:p>
      <w:pPr>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Ⅱ规格数量：2套，一套在送货时由投标单位现场安装并通电成功，如评标时因投标人原因，未能通电，影响评委评分，后果由投标人承担。另一套摆放整齐，便于评审。</w:t>
      </w:r>
      <w:r/>
    </w:p>
    <w:p>
      <w:pPr>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Ⅲ设备要求：</w:t>
      </w:r>
      <w:r/>
    </w:p>
    <w:p>
      <w:pPr>
        <w:ind w:firstLine="480"/>
        <w:spacing w:line="360" w:lineRule="auto"/>
        <w:rPr>
          <w:rFonts w:eastAsia="宋体" w:cs="宋体"/>
          <w:b/>
          <w:color w:val="000000"/>
          <w:sz w:val="24"/>
          <w:szCs w:val="24"/>
        </w:rPr>
        <w:outlineLvl w:val="1"/>
      </w:pPr>
      <w:r>
        <w:rPr>
          <w:rFonts w:hint="eastAsia" w:eastAsia="宋体" w:cs="宋体"/>
          <w:b/>
          <w:color w:val="000000"/>
          <w:sz w:val="24"/>
          <w:szCs w:val="24"/>
        </w:rPr>
        <w:t xml:space="preserve">①微型轨道射灯2，提供样品2套</w:t>
      </w:r>
      <w:r/>
    </w:p>
    <w:tbl>
      <w:tblPr>
        <w:tblStyle w:val="857"/>
        <w:tblW w:w="7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5839"/>
      </w:tblGrid>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光源类型</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LED SMD</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功率</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1W-</w:t>
            </w:r>
            <w:r>
              <w:rPr>
                <w:rFonts w:eastAsia="宋体"/>
                <w:color w:val="000000" w:themeColor="text1"/>
                <w:szCs w:val="24"/>
                <w14:textFill>
                  <w14:solidFill>
                    <w14:schemeClr w14:val="tx1"/>
                  </w14:solidFill>
                </w14:textFill>
              </w:rPr>
              <w:t xml:space="preserve">2</w:t>
            </w:r>
            <w:r>
              <w:rPr>
                <w:rFonts w:hint="eastAsia" w:eastAsia="宋体"/>
                <w:color w:val="000000" w:themeColor="text1"/>
                <w:szCs w:val="24"/>
                <w14:textFill>
                  <w14:solidFill>
                    <w14:schemeClr w14:val="tx1"/>
                  </w14:solidFill>
                </w14:textFill>
              </w:rPr>
              <w:t xml:space="preserve">W；</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显色性</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Ra≥95,R9≥90</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色容差</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SDCM≤2</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色温</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3500K </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配光</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6~</w:t>
            </w:r>
            <w:r>
              <w:rPr>
                <w:rFonts w:eastAsia="宋体"/>
                <w:color w:val="000000" w:themeColor="text1"/>
                <w:szCs w:val="24"/>
                <w14:textFill>
                  <w14:solidFill>
                    <w14:schemeClr w14:val="tx1"/>
                  </w14:solidFill>
                </w14:textFill>
              </w:rPr>
              <w:t xml:space="preserve">30</w:t>
            </w:r>
            <w:r>
              <w:rPr>
                <w:rFonts w:hint="eastAsia" w:eastAsia="宋体"/>
                <w:color w:val="000000" w:themeColor="text1"/>
                <w:szCs w:val="24"/>
                <w14:textFill>
                  <w14:solidFill>
                    <w14:schemeClr w14:val="tx1"/>
                  </w14:solidFill>
                </w14:textFill>
              </w:rPr>
              <w:t xml:space="preserve">°±2°可调节光束角，双重透镜变焦光学</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调光</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单灯旋钮调光，调光范围0—100%</w:t>
            </w:r>
            <w:r/>
          </w:p>
        </w:tc>
      </w:tr>
    </w:tbl>
    <w:p>
      <w:pPr>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eastAsia="宋体" w:cs="宋体"/>
          <w:b/>
          <w:color w:val="000000"/>
          <w:sz w:val="24"/>
          <w:szCs w:val="24"/>
        </w:rPr>
        <w:outlineLvl w:val="1"/>
      </w:pPr>
      <w:r>
        <w:rPr>
          <w:rFonts w:hint="eastAsia" w:eastAsia="宋体" w:cs="宋体"/>
          <w:b/>
          <w:color w:val="000000"/>
          <w:sz w:val="24"/>
          <w:szCs w:val="24"/>
        </w:rPr>
        <w:t xml:space="preserve">②微型轨道洗墙灯，提供样品2套</w:t>
      </w:r>
      <w:r/>
    </w:p>
    <w:tbl>
      <w:tblPr>
        <w:tblStyle w:val="857"/>
        <w:tblW w:w="7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5839"/>
      </w:tblGrid>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color w:val="000000" w:themeColor="text1"/>
                <w:szCs w:val="24"/>
                <w14:textFill>
                  <w14:solidFill>
                    <w14:schemeClr w14:val="tx1"/>
                  </w14:solidFill>
                </w14:textFill>
              </w:rPr>
              <w:t xml:space="preserve">光源</w:t>
            </w:r>
            <w:r>
              <w:rPr>
                <w:rFonts w:hint="eastAsia" w:eastAsia="宋体"/>
                <w:szCs w:val="24"/>
              </w:rPr>
              <w:t xml:space="preserve">类型</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szCs w:val="24"/>
              </w:rPr>
            </w:pPr>
            <w:r>
              <w:rPr>
                <w:rFonts w:hint="eastAsia" w:eastAsia="宋体"/>
                <w:szCs w:val="24"/>
              </w:rPr>
              <w:t xml:space="preserve">LED SMD</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功率</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szCs w:val="24"/>
              </w:rPr>
            </w:pPr>
            <w:r>
              <w:rPr>
                <w:rFonts w:hint="eastAsia" w:eastAsia="宋体"/>
                <w:szCs w:val="24"/>
              </w:rPr>
              <w:t xml:space="preserve">6W-9W；</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显色性</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Ra≥95，R9≥90</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色容差</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SDCM≤2</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色温</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3500K</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配光</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偏配光，洗墙配光</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调光</w:t>
            </w:r>
            <w:r/>
          </w:p>
        </w:tc>
        <w:tc>
          <w:tcPr>
            <w:tcBorders>
              <w:top w:val="single" w:color="auto" w:sz="4" w:space="0"/>
              <w:left w:val="single" w:color="auto" w:sz="4" w:space="0"/>
              <w:bottom w:val="single" w:color="auto" w:sz="4" w:space="0"/>
              <w:right w:val="single" w:color="auto" w:sz="4" w:space="0"/>
            </w:tcBorders>
            <w:tcW w:w="583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群组调光，调光范围0—100%</w:t>
            </w:r>
            <w:r/>
          </w:p>
        </w:tc>
      </w:tr>
    </w:tbl>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eastAsia="宋体" w:cs="宋体"/>
          <w:b/>
          <w:color w:val="000000"/>
          <w:sz w:val="24"/>
          <w:szCs w:val="24"/>
        </w:rPr>
        <w:outlineLvl w:val="1"/>
      </w:pPr>
      <w:r>
        <w:rPr>
          <w:rFonts w:hint="eastAsia" w:eastAsia="宋体" w:cs="宋体"/>
          <w:b/>
          <w:color w:val="000000"/>
          <w:sz w:val="24"/>
          <w:szCs w:val="24"/>
        </w:rPr>
        <w:t xml:space="preserve">③轨道射灯1，提供样品2套</w:t>
      </w:r>
      <w:r/>
    </w:p>
    <w:tbl>
      <w:tblPr>
        <w:tblStyle w:val="857"/>
        <w:tblW w:w="7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479"/>
      </w:tblGrid>
      <w:tr>
        <w:trPr>
          <w:jc w:val="center"/>
          <w:trHeight w:val="446"/>
        </w:trPr>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335"/>
              <w:rPr>
                <w:rFonts w:hint="eastAsia" w:eastAsia="宋体"/>
                <w:szCs w:val="24"/>
              </w:rPr>
            </w:pPr>
            <w:r>
              <w:rPr>
                <w:rFonts w:hint="eastAsia" w:eastAsia="宋体"/>
                <w:color w:val="000000" w:themeColor="text1"/>
                <w:szCs w:val="24"/>
                <w14:textFill>
                  <w14:solidFill>
                    <w14:schemeClr w14:val="tx1"/>
                  </w14:solidFill>
                </w14:textFill>
              </w:rPr>
              <w:t xml:space="preserve">光源</w:t>
            </w:r>
            <w:r>
              <w:rPr>
                <w:rFonts w:hint="eastAsia" w:eastAsia="宋体"/>
                <w:szCs w:val="24"/>
              </w:rPr>
              <w:t xml:space="preserve">类型</w:t>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335"/>
              <w:rPr>
                <w:rFonts w:hint="eastAsia" w:eastAsia="宋体"/>
                <w:szCs w:val="24"/>
              </w:rPr>
            </w:pPr>
            <w:r>
              <w:rPr>
                <w:rFonts w:hint="eastAsia" w:eastAsia="宋体"/>
                <w:szCs w:val="24"/>
              </w:rPr>
              <w:t xml:space="preserve">LED SMD</w:t>
            </w:r>
            <w:r/>
          </w:p>
        </w:tc>
      </w:tr>
      <w:tr>
        <w:trPr>
          <w:jc w:val="center"/>
          <w:trHeight w:val="446"/>
        </w:trPr>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335"/>
              <w:rPr>
                <w:rFonts w:hint="eastAsia" w:eastAsia="宋体"/>
                <w:szCs w:val="24"/>
              </w:rPr>
            </w:pPr>
            <w:r>
              <w:rPr>
                <w:rFonts w:hint="eastAsia" w:eastAsia="宋体"/>
                <w:szCs w:val="24"/>
              </w:rPr>
              <w:t xml:space="preserve">功率</w:t>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335"/>
              <w:rPr>
                <w:rFonts w:hint="eastAsia" w:eastAsia="宋体"/>
                <w:szCs w:val="24"/>
              </w:rPr>
            </w:pPr>
            <w:r>
              <w:rPr>
                <w:rFonts w:hint="eastAsia" w:eastAsia="宋体"/>
                <w:szCs w:val="24"/>
              </w:rPr>
              <w:t xml:space="preserve">18W-22W</w:t>
            </w:r>
            <w:r/>
          </w:p>
        </w:tc>
      </w:tr>
      <w:tr>
        <w:trPr>
          <w:jc w:val="center"/>
          <w:trHeight w:val="446"/>
        </w:trPr>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335"/>
              <w:rPr>
                <w:rFonts w:hint="eastAsia" w:eastAsia="宋体"/>
                <w:szCs w:val="24"/>
              </w:rPr>
            </w:pPr>
            <w:r>
              <w:rPr>
                <w:rFonts w:hint="eastAsia" w:eastAsia="宋体"/>
                <w:szCs w:val="24"/>
              </w:rPr>
              <w:t xml:space="preserve">显色性</w:t>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Ra≥95,R9≥90</w:t>
            </w:r>
            <w:r/>
          </w:p>
        </w:tc>
      </w:tr>
      <w:tr>
        <w:trPr>
          <w:jc w:val="center"/>
          <w:trHeight w:val="446"/>
        </w:trPr>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335"/>
              <w:rPr>
                <w:rFonts w:hint="eastAsia" w:eastAsia="宋体"/>
                <w:szCs w:val="24"/>
              </w:rPr>
            </w:pPr>
            <w:r>
              <w:rPr>
                <w:rFonts w:hint="eastAsia" w:eastAsia="宋体"/>
                <w:szCs w:val="24"/>
              </w:rPr>
              <w:t xml:space="preserve">色容差</w:t>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SDCM≤2</w:t>
            </w:r>
            <w:r/>
          </w:p>
        </w:tc>
      </w:tr>
      <w:tr>
        <w:trPr>
          <w:jc w:val="center"/>
          <w:trHeight w:val="446"/>
        </w:trPr>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335"/>
              <w:rPr>
                <w:rFonts w:hint="eastAsia" w:eastAsia="宋体"/>
                <w:szCs w:val="24"/>
              </w:rPr>
            </w:pPr>
            <w:r>
              <w:rPr>
                <w:rFonts w:hint="eastAsia" w:eastAsia="宋体"/>
                <w:szCs w:val="24"/>
              </w:rPr>
              <w:t xml:space="preserve">色温</w:t>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3500K </w:t>
            </w:r>
            <w:r/>
          </w:p>
        </w:tc>
      </w:tr>
      <w:tr>
        <w:trPr>
          <w:jc w:val="center"/>
          <w:trHeight w:val="470"/>
        </w:trPr>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335"/>
              <w:rPr>
                <w:rFonts w:hint="eastAsia" w:eastAsia="宋体"/>
                <w:szCs w:val="24"/>
              </w:rPr>
            </w:pPr>
            <w:r>
              <w:rPr>
                <w:rFonts w:hint="eastAsia" w:eastAsia="宋体"/>
                <w:szCs w:val="24"/>
              </w:rPr>
              <w:t xml:space="preserve">配光</w:t>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灯具自带以下一个配光，其他配光需可更换;光束角范围：（15°±3）、中光（25°±3）、宽光（35°±4）、超宽光（45°±4）、拉伸光型（长宽比2:1和长宽比3：1，长轴不低于50°）、洗墙</w:t>
            </w:r>
            <w:r/>
          </w:p>
        </w:tc>
      </w:tr>
      <w:tr>
        <w:trPr>
          <w:jc w:val="center"/>
          <w:trHeight w:val="458"/>
        </w:trPr>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335"/>
              <w:rPr>
                <w:rFonts w:hint="eastAsia" w:eastAsia="宋体"/>
                <w:szCs w:val="24"/>
              </w:rPr>
            </w:pPr>
            <w:r>
              <w:rPr>
                <w:rFonts w:hint="eastAsia" w:eastAsia="宋体"/>
                <w:szCs w:val="24"/>
              </w:rPr>
              <w:t xml:space="preserve">调光</w:t>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335"/>
              <w:rPr>
                <w:rFonts w:hint="eastAsia"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单灯旋钮调光，调光范围0—100%</w:t>
            </w:r>
            <w:r/>
          </w:p>
        </w:tc>
      </w:tr>
    </w:tbl>
    <w:p>
      <w:pPr>
        <w:ind w:firstLine="480"/>
        <w:spacing w:line="360" w:lineRule="auto"/>
        <w:rPr>
          <w:rFonts w:ascii="宋体" w:eastAsia="宋体"/>
        </w:rPr>
        <w:outlineLvl w:val="1"/>
      </w:pPr>
      <w:r>
        <w:rPr>
          <w:rFonts w:ascii="宋体" w:eastAsia="宋体"/>
        </w:rPr>
      </w:r>
      <w:r/>
    </w:p>
    <w:p>
      <w:pPr>
        <w:ind w:firstLine="480"/>
        <w:spacing w:line="360" w:lineRule="auto"/>
        <w:rPr>
          <w:rFonts w:hint="eastAsia" w:ascii="宋体" w:hAnsi="宋体" w:eastAsia="宋体"/>
          <w:b/>
          <w:bCs/>
          <w:sz w:val="24"/>
          <w:szCs w:val="24"/>
        </w:rPr>
        <w:outlineLvl w:val="1"/>
      </w:pPr>
      <w:r>
        <w:rPr>
          <w:rFonts w:hint="eastAsia" w:ascii="宋体" w:eastAsia="宋体"/>
          <w:b/>
          <w:bCs/>
        </w:rPr>
        <w:t xml:space="preserve">④</w:t>
      </w:r>
      <w:r>
        <w:rPr>
          <w:rFonts w:hint="eastAsia" w:ascii="宋体" w:hAnsi="宋体" w:eastAsia="宋体"/>
          <w:b/>
          <w:bCs/>
          <w:sz w:val="24"/>
          <w:szCs w:val="24"/>
        </w:rPr>
        <w:t xml:space="preserve">轨道射灯2，提供样品2套</w:t>
      </w:r>
      <w:r/>
    </w:p>
    <w:tbl>
      <w:tblPr>
        <w:tblStyle w:val="857"/>
        <w:tblW w:w="7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5810"/>
      </w:tblGrid>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光源类型</w:t>
            </w:r>
            <w:r/>
          </w:p>
        </w:tc>
        <w:tc>
          <w:tcPr>
            <w:tcBorders>
              <w:top w:val="single" w:color="auto" w:sz="4" w:space="0"/>
              <w:left w:val="single" w:color="auto" w:sz="4" w:space="0"/>
              <w:bottom w:val="single" w:color="auto" w:sz="4" w:space="0"/>
              <w:right w:val="single" w:color="auto" w:sz="4" w:space="0"/>
            </w:tcBorders>
            <w:tcW w:w="5810" w:type="dxa"/>
            <w:vAlign w:val="center"/>
            <w:textDirection w:val="lrTb"/>
            <w:noWrap w:val="false"/>
          </w:tcPr>
          <w:p>
            <w:pPr>
              <w:pStyle w:val="1335"/>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LED SMD</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功率</w:t>
            </w:r>
            <w:r/>
          </w:p>
        </w:tc>
        <w:tc>
          <w:tcPr>
            <w:tcBorders>
              <w:top w:val="single" w:color="auto" w:sz="4" w:space="0"/>
              <w:left w:val="single" w:color="auto" w:sz="4" w:space="0"/>
              <w:bottom w:val="single" w:color="auto" w:sz="4" w:space="0"/>
              <w:right w:val="single" w:color="auto" w:sz="4" w:space="0"/>
            </w:tcBorders>
            <w:tcW w:w="5810" w:type="dxa"/>
            <w:vAlign w:val="center"/>
            <w:textDirection w:val="lrTb"/>
            <w:noWrap w:val="false"/>
          </w:tcPr>
          <w:p>
            <w:pPr>
              <w:pStyle w:val="1335"/>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12W-16W</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显色性</w:t>
            </w:r>
            <w:r/>
          </w:p>
        </w:tc>
        <w:tc>
          <w:tcPr>
            <w:tcBorders>
              <w:top w:val="single" w:color="auto" w:sz="4" w:space="0"/>
              <w:left w:val="single" w:color="auto" w:sz="4" w:space="0"/>
              <w:bottom w:val="single" w:color="auto" w:sz="4" w:space="0"/>
              <w:right w:val="single" w:color="auto" w:sz="4" w:space="0"/>
            </w:tcBorders>
            <w:tcW w:w="5810" w:type="dxa"/>
            <w:vAlign w:val="center"/>
            <w:textDirection w:val="lrTb"/>
            <w:noWrap w:val="false"/>
          </w:tcPr>
          <w:p>
            <w:pPr>
              <w:pStyle w:val="1335"/>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Ra≥95，R9≥90</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色容差</w:t>
            </w:r>
            <w:r/>
          </w:p>
        </w:tc>
        <w:tc>
          <w:tcPr>
            <w:tcBorders>
              <w:top w:val="single" w:color="auto" w:sz="4" w:space="0"/>
              <w:left w:val="single" w:color="auto" w:sz="4" w:space="0"/>
              <w:bottom w:val="single" w:color="auto" w:sz="4" w:space="0"/>
              <w:right w:val="single" w:color="auto" w:sz="4" w:space="0"/>
            </w:tcBorders>
            <w:tcW w:w="5810" w:type="dxa"/>
            <w:vAlign w:val="center"/>
            <w:textDirection w:val="lrTb"/>
            <w:noWrap w:val="false"/>
          </w:tcPr>
          <w:p>
            <w:pPr>
              <w:pStyle w:val="1335"/>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SDCM≤2</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pStyle w:val="1335"/>
              <w:rPr>
                <w:rFonts w:hint="eastAsia" w:eastAsia="宋体"/>
                <w:szCs w:val="24"/>
              </w:rPr>
            </w:pPr>
            <w:r>
              <w:rPr>
                <w:rFonts w:hint="eastAsia" w:eastAsia="宋体"/>
                <w:szCs w:val="24"/>
              </w:rPr>
              <w:t xml:space="preserve">色温</w:t>
            </w:r>
            <w:r/>
          </w:p>
        </w:tc>
        <w:tc>
          <w:tcPr>
            <w:tcBorders>
              <w:top w:val="single" w:color="auto" w:sz="4" w:space="0"/>
              <w:left w:val="single" w:color="auto" w:sz="4" w:space="0"/>
              <w:bottom w:val="single" w:color="auto" w:sz="4" w:space="0"/>
              <w:right w:val="single" w:color="auto" w:sz="4" w:space="0"/>
            </w:tcBorders>
            <w:tcW w:w="5810" w:type="dxa"/>
            <w:vAlign w:val="center"/>
            <w:textDirection w:val="lrTb"/>
            <w:noWrap w:val="false"/>
          </w:tcPr>
          <w:p>
            <w:pPr>
              <w:pStyle w:val="1335"/>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3500K </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配光</w:t>
            </w:r>
            <w:r/>
          </w:p>
        </w:tc>
        <w:tc>
          <w:tcPr>
            <w:tcBorders>
              <w:top w:val="single" w:color="auto" w:sz="4" w:space="0"/>
              <w:left w:val="single" w:color="auto" w:sz="4" w:space="0"/>
              <w:bottom w:val="single" w:color="auto" w:sz="4" w:space="0"/>
              <w:right w:val="single" w:color="auto" w:sz="4" w:space="0"/>
            </w:tcBorders>
            <w:tcW w:w="5810" w:type="dxa"/>
            <w:vAlign w:val="center"/>
            <w:textDirection w:val="lrTb"/>
            <w:noWrap w:val="false"/>
          </w:tcPr>
          <w:p>
            <w:pPr>
              <w:pStyle w:val="1335"/>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灯具自带以下一个配光，其他配光需可更换;光束角范围：（15°±3）、中光（25°±3）、宽光（35°±4）、超宽光（45°±4）、拉伸光型（长宽比2:1和长宽比3：1，长轴不低于50°）、洗墙</w:t>
            </w:r>
            <w:r/>
          </w:p>
        </w:tc>
      </w:tr>
      <w:tr>
        <w:trPr>
          <w:jc w:val="center"/>
          <w:trHeight w:val="454"/>
        </w:trPr>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调光</w:t>
            </w:r>
            <w:r/>
          </w:p>
        </w:tc>
        <w:tc>
          <w:tcPr>
            <w:tcBorders>
              <w:top w:val="single" w:color="auto" w:sz="4" w:space="0"/>
              <w:left w:val="single" w:color="auto" w:sz="4" w:space="0"/>
              <w:bottom w:val="single" w:color="auto" w:sz="4" w:space="0"/>
              <w:right w:val="single" w:color="auto" w:sz="4" w:space="0"/>
            </w:tcBorders>
            <w:tcW w:w="5810" w:type="dxa"/>
            <w:vAlign w:val="center"/>
            <w:textDirection w:val="lrTb"/>
            <w:noWrap w:val="false"/>
          </w:tcPr>
          <w:p>
            <w:pPr>
              <w:spacing w:line="360" w:lineRule="auto"/>
              <w:rPr>
                <w:rFonts w:hint="eastAsia" w:ascii="宋体" w:hAnsi="宋体" w:eastAsia="宋体" w:cs="仿宋"/>
                <w:color w:val="000000" w:themeColor="text1"/>
                <w:sz w:val="24"/>
                <w:szCs w:val="24"/>
                <w14:textFill>
                  <w14:solidFill>
                    <w14:schemeClr w14:val="tx1"/>
                  </w14:solidFill>
                </w14:textFill>
              </w:rPr>
            </w:pPr>
            <w:r>
              <w:rPr>
                <w:rFonts w:hint="eastAsia" w:ascii="宋体" w:hAnsi="宋体" w:eastAsia="宋体" w:cs="仿宋"/>
                <w:color w:val="000000" w:themeColor="text1"/>
                <w:sz w:val="24"/>
                <w:szCs w:val="24"/>
                <w14:textFill>
                  <w14:solidFill>
                    <w14:schemeClr w14:val="tx1"/>
                  </w14:solidFill>
                </w14:textFill>
              </w:rPr>
              <w:t xml:space="preserve">单灯旋钮调光，调光范围0—100%</w:t>
            </w:r>
            <w:r/>
          </w:p>
        </w:tc>
      </w:tr>
    </w:tbl>
    <w:p>
      <w:pPr>
        <w:ind w:firstLine="482"/>
        <w:spacing w:line="360" w:lineRule="auto"/>
        <w:rPr>
          <w:rFonts w:eastAsia="宋体" w:cs="宋体"/>
          <w:b/>
          <w:bCs/>
          <w:color w:val="000000"/>
          <w:sz w:val="24"/>
          <w:szCs w:val="24"/>
        </w:rPr>
        <w:outlineLvl w:val="2"/>
      </w:pPr>
      <w:r>
        <w:rPr>
          <w:rFonts w:eastAsia="宋体" w:cs="宋体"/>
          <w:b/>
          <w:bCs/>
          <w:color w:val="000000"/>
          <w:sz w:val="24"/>
          <w:szCs w:val="24"/>
        </w:rPr>
      </w:r>
      <w:r/>
    </w:p>
    <w:p>
      <w:pPr>
        <w:ind w:firstLine="482"/>
        <w:spacing w:line="360" w:lineRule="auto"/>
        <w:rPr>
          <w:rFonts w:eastAsia="宋体" w:cs="宋体"/>
          <w:b/>
          <w:bCs/>
          <w:color w:val="000000"/>
          <w:sz w:val="24"/>
          <w:szCs w:val="24"/>
        </w:rPr>
        <w:outlineLvl w:val="2"/>
      </w:pPr>
      <w:r>
        <w:rPr>
          <w:rFonts w:hint="eastAsia" w:eastAsia="宋体" w:cs="宋体"/>
          <w:b/>
          <w:bCs/>
          <w:color w:val="000000"/>
          <w:sz w:val="24"/>
          <w:szCs w:val="24"/>
        </w:rPr>
        <w:t xml:space="preserve">3.</w:t>
      </w:r>
      <w:r>
        <w:rPr>
          <w:rFonts w:hint="eastAsia" w:ascii="宋体" w:hAnsi="宋体" w:eastAsia="宋体" w:cs="宋体"/>
          <w:b/>
          <w:bCs/>
          <w:sz w:val="24"/>
          <w:szCs w:val="24"/>
        </w:rPr>
        <w:t xml:space="preserve">户外雕塑样品</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（1）样品名称：雕塑小样；</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（2）样品的规格及数量：根据效果图及清单制作雕塑小样，材质：泥塑或3D打印，尺寸600mm*450mm（长*宽），数量：1套</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3）创意说明:南通博物苑《张謇和他的朋友圈》群雕创意概念，左起梅兰芳、竺可桢、张謇、马相伯、梁启超，雕塑把来过南通的部分文化名人以穿越时空的方式呈现出来，“与历史同框、与先贤合影、与时代前行”是这组群雕的创意之核心，留有合影空间，铸铜材质，真人比例尺寸，拟放置于藤东水榭前面的草坪之上，设计步道供游客进入主题雕塑空间。</w:t>
      </w:r>
      <w:r/>
    </w:p>
    <w:p>
      <w:pPr>
        <w:pStyle w:val="881"/>
        <w:ind w:firstLine="260"/>
      </w:pPr>
      <w:r/>
      <w:r/>
    </w:p>
    <w:p>
      <w:pPr>
        <w:pStyle w:val="881"/>
        <w:ind w:firstLine="260"/>
        <w:rPr>
          <w:rFonts w:eastAsia="楷体_GB2312"/>
        </w:rPr>
      </w:pPr>
      <w:r>
        <w:rPr>
          <w:rFonts w:hint="eastAsia" w:eastAsia="楷体_GB2312"/>
        </w:rPr>
        <mc:AlternateContent>
          <mc:Choice Requires="wpg">
            <w:drawing>
              <wp:inline xmlns:wp="http://schemas.openxmlformats.org/drawingml/2006/wordprocessingDrawing" distT="0" distB="0" distL="0" distR="0">
                <wp:extent cx="5273675" cy="3192145"/>
                <wp:effectExtent l="0" t="0" r="14604" b="8255"/>
                <wp:docPr id="4" name="图片 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3"/>
                        <pic:cNvPicPr>
                          <a:picLocks noChangeAspect="1"/>
                        </pic:cNvPicPr>
                        <pic:nvPr/>
                      </pic:nvPicPr>
                      <pic:blipFill>
                        <a:blip r:embed="rId23"/>
                        <a:stretch/>
                      </pic:blipFill>
                      <pic:spPr bwMode="auto">
                        <a:xfrm>
                          <a:off x="0" y="0"/>
                          <a:ext cx="5273675" cy="3192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2pt;height:251.3pt;mso-wrap-distance-left:0.0pt;mso-wrap-distance-top:0.0pt;mso-wrap-distance-right:0.0pt;mso-wrap-distance-bottom:0.0pt;" stroked="false">
                <v:path textboxrect="0,0,0,0"/>
                <v:imagedata r:id="rId23" o:title=""/>
              </v:shape>
            </w:pict>
          </mc:Fallback>
        </mc:AlternateContent>
      </w:r>
      <w:r/>
    </w:p>
    <w:p>
      <w:pPr>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雕塑人物：左起梅兰芳、竺可桢、张謇、梁启超、马相伯</w:t>
      </w:r>
      <w:r/>
    </w:p>
    <w:p>
      <w:pPr>
        <w:pStyle w:val="881"/>
        <w:ind w:firstLine="260"/>
        <w:jc w:val="center"/>
        <w:rPr>
          <w:rFonts w:hint="eastAsia" w:ascii="宋体" w:hAnsi="宋体" w:eastAsia="宋体" w:cs="宋体"/>
          <w:b/>
          <w:bCs/>
          <w:sz w:val="24"/>
        </w:rPr>
      </w:pPr>
      <w:r>
        <w:rPr>
          <w:rFonts w:hint="eastAsia" w:eastAsia="楷体_GB2312"/>
        </w:rPr>
        <mc:AlternateContent>
          <mc:Choice Requires="wpg">
            <w:drawing>
              <wp:inline xmlns:wp="http://schemas.openxmlformats.org/drawingml/2006/wordprocessingDrawing" distT="0" distB="0" distL="0" distR="0">
                <wp:extent cx="953770" cy="3238500"/>
                <wp:effectExtent l="0" t="0" r="6350" b="7620"/>
                <wp:docPr id="5" name="图片 8" descr="微信图片_20250907104400_36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50907104400_36_55"/>
                        <pic:cNvPicPr>
                          <a:picLocks noChangeAspect="1"/>
                        </pic:cNvPicPr>
                        <pic:nvPr/>
                      </pic:nvPicPr>
                      <pic:blipFill>
                        <a:blip r:embed="rId24"/>
                        <a:stretch/>
                      </pic:blipFill>
                      <pic:spPr bwMode="auto">
                        <a:xfrm>
                          <a:off x="0" y="0"/>
                          <a:ext cx="953770" cy="3238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1pt;height:255.0pt;mso-wrap-distance-left:0.0pt;mso-wrap-distance-top:0.0pt;mso-wrap-distance-right:0.0pt;mso-wrap-distance-bottom:0.0pt;" stroked="false">
                <v:path textboxrect="0,0,0,0"/>
                <v:imagedata r:id="rId24" o:title=""/>
              </v:shape>
            </w:pict>
          </mc:Fallback>
        </mc:AlternateContent>
      </w:r>
      <w:r>
        <w:rPr>
          <w:rFonts w:hint="eastAsia" w:eastAsia="楷体_GB2312"/>
        </w:rPr>
        <mc:AlternateContent>
          <mc:Choice Requires="wpg">
            <w:drawing>
              <wp:inline xmlns:wp="http://schemas.openxmlformats.org/drawingml/2006/wordprocessingDrawing" distT="0" distB="0" distL="0" distR="0">
                <wp:extent cx="3958590" cy="3225800"/>
                <wp:effectExtent l="0" t="0" r="3810" b="5080"/>
                <wp:docPr id="6" name="图片 6" descr="8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8888"/>
                        <pic:cNvPicPr>
                          <a:picLocks noChangeAspect="1"/>
                        </pic:cNvPicPr>
                        <pic:nvPr/>
                      </pic:nvPicPr>
                      <pic:blipFill>
                        <a:blip r:embed="rId25"/>
                        <a:stretch/>
                      </pic:blipFill>
                      <pic:spPr bwMode="auto">
                        <a:xfrm>
                          <a:off x="0" y="0"/>
                          <a:ext cx="3958589" cy="3225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1.7pt;height:254.0pt;mso-wrap-distance-left:0.0pt;mso-wrap-distance-top:0.0pt;mso-wrap-distance-right:0.0pt;mso-wrap-distance-bottom:0.0pt;" stroked="false">
                <v:path textboxrect="0,0,0,0"/>
                <v:imagedata r:id="rId25" o:title=""/>
              </v:shape>
            </w:pict>
          </mc:Fallback>
        </mc:AlternateContent>
      </w:r>
      <w:r>
        <w:rPr>
          <w:rFonts w:hint="eastAsia"/>
        </w:rPr>
        <w:t xml:space="preserve">                </w:t>
      </w:r>
      <w:r>
        <w:rPr>
          <w:rFonts w:hint="eastAsia" w:ascii="宋体" w:hAnsi="宋体" w:eastAsia="宋体" w:cs="宋体"/>
          <w:b/>
          <w:bCs/>
          <w:sz w:val="24"/>
        </w:rPr>
        <w:t xml:space="preserve">历史照片参考</w:t>
      </w:r>
      <w:r/>
    </w:p>
    <w:p>
      <w:pPr>
        <w:ind w:firstLine="480"/>
        <w:spacing w:line="360" w:lineRule="auto"/>
        <w:rPr>
          <w:rFonts w:eastAsia="宋体" w:cs="宋体"/>
          <w:bCs/>
          <w:color w:val="000000"/>
          <w:sz w:val="24"/>
          <w:szCs w:val="24"/>
        </w:rPr>
        <w:outlineLvl w:val="1"/>
      </w:pPr>
      <w:r>
        <w:rPr>
          <w:rFonts w:hint="eastAsia" w:eastAsia="宋体" w:cs="宋体"/>
          <w:b/>
          <w:bCs/>
          <w:color w:val="000000"/>
          <w:sz w:val="24"/>
          <w:szCs w:val="24"/>
        </w:rPr>
        <w:t xml:space="preserve">4.</w:t>
      </w:r>
      <w:r>
        <w:rPr>
          <w:rFonts w:hint="eastAsia" w:ascii="宋体" w:hAnsi="宋体" w:eastAsia="宋体" w:cs="宋体"/>
          <w:b/>
          <w:bCs/>
          <w:sz w:val="24"/>
          <w:szCs w:val="24"/>
        </w:rPr>
        <w:t xml:space="preserve">户外装置样品</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（1）样品名称：户外装置；</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（2）样品的规格及数量：根据效果图及清单制作户外装置样品，尺寸1：1（2000㎜：1530㎜长*宽），数量：1套。</w:t>
      </w:r>
      <w:r/>
    </w:p>
    <w:p>
      <w:pPr>
        <w:pStyle w:val="881"/>
        <w:ind w:firstLine="260"/>
        <w:jc w:val="center"/>
        <w:rPr>
          <w:color w:val="ee0000"/>
        </w:rPr>
      </w:pPr>
      <w:r>
        <w:rPr>
          <w:rFonts w:hint="eastAsia"/>
        </w:rPr>
        <mc:AlternateContent>
          <mc:Choice Requires="wpg">
            <w:drawing>
              <wp:inline xmlns:wp="http://schemas.openxmlformats.org/drawingml/2006/wordprocessingDrawing" distT="0" distB="0" distL="0" distR="0">
                <wp:extent cx="2910205" cy="3348990"/>
                <wp:effectExtent l="0" t="0" r="635" b="3810"/>
                <wp:docPr id="7" name="图片 3" descr="wechat_2025-09-10_104733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echat_2025-09-10_104733_359"/>
                        <pic:cNvPicPr>
                          <a:picLocks noChangeAspect="1"/>
                        </pic:cNvPicPr>
                        <pic:nvPr/>
                      </pic:nvPicPr>
                      <pic:blipFill>
                        <a:blip r:embed="rId26"/>
                        <a:stretch/>
                      </pic:blipFill>
                      <pic:spPr bwMode="auto">
                        <a:xfrm>
                          <a:off x="0" y="0"/>
                          <a:ext cx="2910205" cy="3348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9.1pt;height:263.7pt;mso-wrap-distance-left:0.0pt;mso-wrap-distance-top:0.0pt;mso-wrap-distance-right:0.0pt;mso-wrap-distance-bottom:0.0pt;" stroked="false">
                <v:path textboxrect="0,0,0,0"/>
                <v:imagedata r:id="rId26" o:title=""/>
              </v:shape>
            </w:pict>
          </mc:Fallback>
        </mc:AlternateContent>
      </w:r>
      <w:r>
        <w:rPr>
          <w:rFonts w:hint="eastAsia"/>
          <w:color w:val="ee0000"/>
        </w:rPr>
        <mc:AlternateContent>
          <mc:Choice Requires="wpg">
            <w:drawing>
              <wp:inline xmlns:wp="http://schemas.openxmlformats.org/drawingml/2006/wordprocessingDrawing" distT="0" distB="0" distL="0" distR="0">
                <wp:extent cx="5262245" cy="3721735"/>
                <wp:effectExtent l="0" t="0" r="10795" b="12065"/>
                <wp:docPr id="8" name="图片 55352232" descr="微信图片_20250910102552_1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2232" name="图片 55352232" descr="微信图片_20250910102552_1_8"/>
                        <pic:cNvPicPr>
                          <a:picLocks noChangeAspect="1"/>
                        </pic:cNvPicPr>
                        <pic:nvPr/>
                      </pic:nvPicPr>
                      <pic:blipFill>
                        <a:blip r:embed="rId27"/>
                        <a:stretch/>
                      </pic:blipFill>
                      <pic:spPr bwMode="auto">
                        <a:xfrm>
                          <a:off x="0" y="0"/>
                          <a:ext cx="5262245" cy="3721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293.1pt;mso-wrap-distance-left:0.0pt;mso-wrap-distance-top:0.0pt;mso-wrap-distance-right:0.0pt;mso-wrap-distance-bottom:0.0pt;" stroked="false">
                <v:path textboxrect="0,0,0,0"/>
                <v:imagedata r:id="rId27" o:title=""/>
              </v:shape>
            </w:pict>
          </mc:Fallback>
        </mc:AlternateContent>
      </w:r>
      <w:r>
        <w:rPr>
          <w:rFonts w:hint="eastAsia"/>
        </w:rPr>
        <w:t xml:space="preserve"> </w:t>
      </w:r>
      <w:r/>
    </w:p>
    <w:p>
      <w:pPr>
        <w:rPr>
          <w:rFonts w:hint="eastAsia" w:ascii="宋体" w:hAnsi="宋体" w:eastAsia="宋体" w:cs="宋体"/>
          <w:b/>
          <w:bCs/>
          <w:sz w:val="24"/>
          <w:szCs w:val="24"/>
        </w:rPr>
      </w:pPr>
      <w:r>
        <w:rPr>
          <w:rFonts w:hint="eastAsia" w:ascii="宋体" w:hAnsi="宋体" w:eastAsia="宋体" w:cs="宋体"/>
          <w:b/>
          <w:bCs/>
          <w:sz w:val="24"/>
          <w:szCs w:val="24"/>
        </w:rPr>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户外装置施工图样（详见施工图图纸）：</w:t>
      </w:r>
      <w:r/>
    </w:p>
    <w:p>
      <w:pPr>
        <w:jc w:val="center"/>
      </w:pPr>
      <w:r>
        <w:rPr>
          <w:rFonts w:hint="eastAsia"/>
          <w:color w:val="ee0000"/>
        </w:rPr>
        <mc:AlternateContent>
          <mc:Choice Requires="wpg">
            <w:drawing>
              <wp:inline xmlns:wp="http://schemas.openxmlformats.org/drawingml/2006/wordprocessingDrawing" distT="0" distB="0" distL="0" distR="0">
                <wp:extent cx="5263515" cy="3721100"/>
                <wp:effectExtent l="0" t="0" r="9525" b="12700"/>
                <wp:docPr id="9" name="图片 2086279190" descr="微信图片_20250910105315_18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279190" name="图片 2086279190" descr="微信图片_20250910105315_18_3"/>
                        <pic:cNvPicPr>
                          <a:picLocks noChangeAspect="1"/>
                        </pic:cNvPicPr>
                        <pic:nvPr/>
                      </pic:nvPicPr>
                      <pic:blipFill>
                        <a:blip r:embed="rId28"/>
                        <a:stretch/>
                      </pic:blipFill>
                      <pic:spPr bwMode="auto">
                        <a:xfrm>
                          <a:off x="0" y="0"/>
                          <a:ext cx="5263515" cy="3721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4pt;height:293.0pt;mso-wrap-distance-left:0.0pt;mso-wrap-distance-top:0.0pt;mso-wrap-distance-right:0.0pt;mso-wrap-distance-bottom:0.0pt;" stroked="false">
                <v:path textboxrect="0,0,0,0"/>
                <v:imagedata r:id="rId28" o:title=""/>
              </v:shape>
            </w:pict>
          </mc:Fallback>
        </mc:AlternateContent>
      </w:r>
      <w:r/>
    </w:p>
    <w:p>
      <w:r/>
      <w:r/>
    </w:p>
    <w:p>
      <w:pPr>
        <w:jc w:val="center"/>
      </w:p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ind w:firstLine="480"/>
        <w:keepLines w:val="0"/>
        <w:keepNext w:val="0"/>
        <w:pageBreakBefore w:val="0"/>
        <w:spacing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（二）中标供应商的样品将“封样”不退回，并以此作为该产品供货进场查验核实的依据。</w:t>
      </w:r>
      <w:r/>
    </w:p>
    <w:p>
      <w:pPr>
        <w:ind w:firstLine="480"/>
        <w:keepLines w:val="0"/>
        <w:keepNext w:val="0"/>
        <w:pageBreakBefore w:val="0"/>
        <w:spacing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三）本项目样品评审为暗标评审，样品不能出现投标人的任何标志、标记如：品牌、制造商、型号等，否则作无效投标处理。采购单位将对中标人的样品进行封存，所有投标人自行承担相关样品制作、运输等费用。未中标单位的样品必须于开标结束后及时搬离样品存放区，采购单位、代理机构不承担样品的保管责任。</w:t>
      </w:r>
      <w:r/>
    </w:p>
    <w:p>
      <w:pPr>
        <w:ind w:firstLine="480"/>
        <w:keepLines w:val="0"/>
        <w:keepNext w:val="0"/>
        <w:pageBreakBefore w:val="0"/>
        <w:spacing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（四）样品提交时间：202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10月19日至</w:t>
      </w:r>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10月19日</w:t>
      </w:r>
      <w:r>
        <w:rPr>
          <w:rFonts w:hint="eastAsia" w:ascii="宋体" w:hAnsi="宋体" w:eastAsia="宋体" w:cs="宋体"/>
          <w:sz w:val="24"/>
          <w:szCs w:val="24"/>
          <w:lang w:eastAsia="zh-CN"/>
        </w:rPr>
        <w:t xml:space="preserve">（上午9：00-1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0和下午1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：00-1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:00前）。样品递交截止时间：202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10月19日</w:t>
      </w: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时。样品接收截止时间后提供的样品不予接收。</w:t>
      </w:r>
      <w:r/>
    </w:p>
    <w:p>
      <w:pPr>
        <w:ind w:firstLine="480"/>
        <w:keepLines w:val="0"/>
        <w:keepNext w:val="0"/>
        <w:pageBreakBefore w:val="0"/>
        <w:spacing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（五）样品递交地点：南通博物苑</w:t>
      </w:r>
      <w:r>
        <w:rPr>
          <w:rFonts w:hint="eastAsia" w:ascii="宋体" w:hAnsi="宋体" w:eastAsia="宋体" w:cs="宋体"/>
          <w:sz w:val="24"/>
          <w:szCs w:val="24"/>
          <w:lang w:val="en-US" w:eastAsia="zh-CN"/>
        </w:rPr>
        <w:t xml:space="preserve">第三展厅</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val="en-US" w:eastAsia="zh-CN"/>
        </w:rPr>
        <w:outlineLvl w:val="1"/>
      </w:pPr>
      <w:r>
        <w:rPr>
          <w:rFonts w:hint="eastAsia" w:ascii="宋体" w:hAnsi="宋体" w:eastAsia="宋体" w:cs="宋体"/>
          <w:sz w:val="24"/>
          <w:szCs w:val="24"/>
          <w:lang w:eastAsia="zh-CN"/>
        </w:rPr>
        <w:t xml:space="preserve">（六）联系人：王曦（招标代理）联系电话：</w:t>
      </w:r>
      <w:r>
        <w:rPr>
          <w:rFonts w:hint="eastAsia" w:ascii="宋体" w:hAnsi="宋体" w:eastAsia="宋体" w:cs="宋体"/>
          <w:sz w:val="24"/>
          <w:szCs w:val="24"/>
          <w:lang w:val="en-US" w:eastAsia="zh-CN"/>
        </w:rPr>
        <w:t xml:space="preserve">13646281036，魏睿林（采购单位）联系电话：19306288756。</w:t>
      </w:r>
      <w:r/>
    </w:p>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2"/>
      </w:pPr>
      <w:r>
        <w:rPr>
          <w:rFonts w:hint="eastAsia" w:eastAsia="宋体" w:cs="宋体"/>
          <w:b/>
          <w:bCs/>
          <w:color w:val="000000"/>
          <w:sz w:val="24"/>
          <w:szCs w:val="24"/>
          <w:highlight w:val="none"/>
          <w:lang w:val="en-US" w:eastAsia="zh-CN"/>
        </w:rPr>
        <w:t xml:space="preserve">十三、付款方式</w:t>
      </w:r>
      <w:r/>
    </w:p>
    <w:p>
      <w:pPr>
        <w:ind w:firstLine="482"/>
        <w:keepLines w:val="0"/>
        <w:keepNext w:val="0"/>
        <w:pageBreakBefore w:val="0"/>
        <w:spacing w:line="360" w:lineRule="auto"/>
        <w:rPr>
          <w:rFonts w:hint="eastAsia"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1.</w:t>
      </w:r>
      <w:r>
        <w:rPr>
          <w:rFonts w:hint="eastAsia" w:eastAsia="宋体" w:cs="宋体"/>
          <w:b w:val="0"/>
          <w:bCs w:val="0"/>
          <w:color w:val="000000"/>
          <w:sz w:val="24"/>
          <w:szCs w:val="24"/>
          <w:highlight w:val="none"/>
        </w:rPr>
        <w:t xml:space="preserve">合同签订生效后，</w:t>
      </w:r>
      <w:r>
        <w:rPr>
          <w:rFonts w:hint="eastAsia" w:eastAsia="宋体" w:cs="宋体"/>
          <w:b w:val="0"/>
          <w:bCs w:val="0"/>
          <w:color w:val="000000"/>
          <w:sz w:val="24"/>
          <w:szCs w:val="24"/>
          <w:highlight w:val="none"/>
          <w:lang w:val="en-US" w:eastAsia="zh-CN"/>
        </w:rPr>
        <w:t xml:space="preserve">采购人</w:t>
      </w:r>
      <w:r>
        <w:rPr>
          <w:rFonts w:hint="eastAsia" w:eastAsia="宋体" w:cs="宋体"/>
          <w:b w:val="0"/>
          <w:bCs w:val="0"/>
          <w:color w:val="000000"/>
          <w:sz w:val="24"/>
          <w:szCs w:val="24"/>
          <w:highlight w:val="none"/>
        </w:rPr>
        <w:t xml:space="preserve">自收到发票后的15日内支付合同总价款的30%作为项目建设实施的预付款；</w:t>
      </w:r>
      <w:r/>
    </w:p>
    <w:p>
      <w:pPr>
        <w:ind w:firstLine="482"/>
        <w:keepLines w:val="0"/>
        <w:keepNext w:val="0"/>
        <w:pageBreakBefore w:val="0"/>
        <w:spacing w:line="360" w:lineRule="auto"/>
        <w:rPr>
          <w:rFonts w:hint="eastAsia" w:eastAsia="宋体" w:cs="宋体"/>
          <w:b w:val="0"/>
          <w:bCs w:val="0"/>
          <w:color w:val="000000"/>
          <w:sz w:val="24"/>
          <w:szCs w:val="24"/>
          <w:highlight w:val="none"/>
          <w:lang w:eastAsia="zh-CN"/>
        </w:rPr>
      </w:pPr>
      <w:r>
        <w:rPr>
          <w:rFonts w:hint="eastAsia" w:eastAsia="宋体" w:cs="宋体"/>
          <w:b w:val="0"/>
          <w:bCs w:val="0"/>
          <w:color w:val="000000"/>
          <w:sz w:val="24"/>
          <w:szCs w:val="24"/>
          <w:highlight w:val="none"/>
        </w:rPr>
        <w:t xml:space="preserve">2</w:t>
      </w:r>
      <w:r>
        <w:rPr>
          <w:rFonts w:hint="eastAsia" w:eastAsia="宋体" w:cs="宋体"/>
          <w:b w:val="0"/>
          <w:bCs w:val="0"/>
          <w:color w:val="000000"/>
          <w:sz w:val="24"/>
          <w:szCs w:val="24"/>
          <w:highlight w:val="none"/>
          <w:lang w:val="en-US" w:eastAsia="zh-CN"/>
        </w:rPr>
        <w:t xml:space="preserve">.施工部分竣工验收合格，</w:t>
      </w:r>
      <w:r>
        <w:rPr>
          <w:rFonts w:hint="eastAsia" w:eastAsia="宋体" w:cs="宋体"/>
          <w:b w:val="0"/>
          <w:bCs w:val="0"/>
          <w:color w:val="000000"/>
          <w:sz w:val="24"/>
          <w:szCs w:val="24"/>
          <w:highlight w:val="none"/>
        </w:rPr>
        <w:t xml:space="preserve">所有产品送达指定地点、安装</w:t>
      </w:r>
      <w:r>
        <w:rPr>
          <w:rFonts w:hint="eastAsia" w:eastAsia="宋体" w:cs="宋体"/>
          <w:b w:val="0"/>
          <w:bCs w:val="0"/>
          <w:color w:val="000000"/>
          <w:sz w:val="24"/>
          <w:szCs w:val="24"/>
          <w:highlight w:val="none"/>
          <w:lang w:eastAsia="zh-CN"/>
        </w:rPr>
        <w:t xml:space="preserve">调试</w:t>
      </w:r>
      <w:r>
        <w:rPr>
          <w:rFonts w:hint="eastAsia" w:eastAsia="宋体" w:cs="宋体"/>
          <w:b w:val="0"/>
          <w:bCs w:val="0"/>
          <w:color w:val="000000"/>
          <w:sz w:val="24"/>
          <w:szCs w:val="24"/>
          <w:highlight w:val="none"/>
        </w:rPr>
        <w:t xml:space="preserve">完毕并通过验收</w:t>
      </w:r>
      <w:r>
        <w:rPr>
          <w:rFonts w:hint="eastAsia" w:eastAsia="宋体" w:cs="宋体"/>
          <w:b w:val="0"/>
          <w:bCs w:val="0"/>
          <w:color w:val="000000"/>
          <w:sz w:val="24"/>
          <w:szCs w:val="24"/>
          <w:highlight w:val="none"/>
          <w:lang w:eastAsia="zh-CN"/>
        </w:rPr>
        <w:t xml:space="preserve">合格</w:t>
      </w:r>
      <w:r>
        <w:rPr>
          <w:rFonts w:hint="eastAsia" w:eastAsia="宋体" w:cs="宋体"/>
          <w:b w:val="0"/>
          <w:bCs w:val="0"/>
          <w:color w:val="000000"/>
          <w:sz w:val="24"/>
          <w:szCs w:val="24"/>
          <w:highlight w:val="none"/>
        </w:rPr>
        <w:t xml:space="preserve">后付至合同价款的</w:t>
      </w:r>
      <w:r>
        <w:rPr>
          <w:rFonts w:hint="eastAsia" w:eastAsia="宋体" w:cs="宋体"/>
          <w:b w:val="0"/>
          <w:bCs w:val="0"/>
          <w:color w:val="000000"/>
          <w:sz w:val="24"/>
          <w:szCs w:val="24"/>
          <w:highlight w:val="none"/>
          <w:lang w:val="en-US" w:eastAsia="zh-CN"/>
        </w:rPr>
        <w:t xml:space="preserve">6</w:t>
      </w:r>
      <w:r>
        <w:rPr>
          <w:rFonts w:hint="eastAsia" w:eastAsia="宋体" w:cs="宋体"/>
          <w:b w:val="0"/>
          <w:bCs w:val="0"/>
          <w:color w:val="000000"/>
          <w:sz w:val="24"/>
          <w:szCs w:val="24"/>
          <w:highlight w:val="none"/>
        </w:rPr>
        <w:t xml:space="preserve">0%（不计息）</w:t>
      </w:r>
      <w:r>
        <w:rPr>
          <w:rFonts w:hint="eastAsia" w:eastAsia="宋体" w:cs="宋体"/>
          <w:b w:val="0"/>
          <w:bCs w:val="0"/>
          <w:color w:val="000000"/>
          <w:sz w:val="24"/>
          <w:szCs w:val="24"/>
          <w:highlight w:val="none"/>
          <w:lang w:eastAsia="zh-CN"/>
        </w:rPr>
        <w:t xml:space="preserve">；</w:t>
      </w:r>
      <w:r/>
    </w:p>
    <w:p>
      <w:pPr>
        <w:ind w:firstLine="482"/>
        <w:keepLines w:val="0"/>
        <w:keepNext w:val="0"/>
        <w:pageBreakBefore w:val="0"/>
        <w:spacing w:line="360" w:lineRule="auto"/>
        <w:rPr>
          <w:rFonts w:hint="eastAsia"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3.项目整体运行稳定半年后，竣工结算经过采购人审计核定，采购人付至审计核定价</w:t>
      </w:r>
      <w:r>
        <w:rPr>
          <w:rFonts w:hint="eastAsia" w:eastAsia="宋体" w:cs="宋体"/>
          <w:b w:val="0"/>
          <w:bCs w:val="0"/>
          <w:color w:val="000000"/>
          <w:sz w:val="24"/>
          <w:szCs w:val="24"/>
          <w:highlight w:val="none"/>
        </w:rPr>
        <w:t xml:space="preserve">的</w:t>
      </w:r>
      <w:r>
        <w:rPr>
          <w:rFonts w:hint="eastAsia" w:eastAsia="宋体" w:cs="宋体"/>
          <w:b w:val="0"/>
          <w:bCs w:val="0"/>
          <w:color w:val="000000"/>
          <w:sz w:val="24"/>
          <w:szCs w:val="24"/>
          <w:highlight w:val="none"/>
          <w:lang w:val="en-US" w:eastAsia="zh-CN"/>
        </w:rPr>
        <w:t xml:space="preserve">10</w:t>
      </w:r>
      <w:r>
        <w:rPr>
          <w:rFonts w:hint="eastAsia" w:eastAsia="宋体" w:cs="宋体"/>
          <w:b w:val="0"/>
          <w:bCs w:val="0"/>
          <w:color w:val="000000"/>
          <w:sz w:val="24"/>
          <w:szCs w:val="24"/>
          <w:highlight w:val="none"/>
        </w:rPr>
        <w:t xml:space="preserve">0%（不计息）</w:t>
      </w:r>
      <w:r>
        <w:rPr>
          <w:rFonts w:hint="eastAsia" w:eastAsia="宋体" w:cs="宋体"/>
          <w:b w:val="0"/>
          <w:bCs w:val="0"/>
          <w:color w:val="000000"/>
          <w:sz w:val="24"/>
          <w:szCs w:val="24"/>
          <w:highlight w:val="none"/>
          <w:lang w:val="en-US" w:eastAsia="zh-CN"/>
        </w:rPr>
        <w:t xml:space="preserve">。</w:t>
      </w:r>
      <w:r/>
    </w:p>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2"/>
      </w:pPr>
      <w:r>
        <w:rPr>
          <w:rFonts w:hint="eastAsia" w:eastAsia="宋体" w:cs="宋体"/>
          <w:b/>
          <w:bCs/>
          <w:color w:val="000000"/>
          <w:sz w:val="24"/>
          <w:szCs w:val="24"/>
          <w:highlight w:val="none"/>
          <w:lang w:val="en-US" w:eastAsia="zh-CN"/>
        </w:rPr>
        <w:t xml:space="preserve">十四、采购需求中必须满足的实质性要求</w:t>
      </w:r>
      <w:r/>
    </w:p>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1.投标人拟投本项目所有设备技术参数须实质性响应本采购文件技术参数要求，不接受负偏离产品应标。提供《技术条款响应正负偏离表》，须根据清单技术参数要求逐条进行应答；未提供或有遗漏或有负偏离均视为未实质性响应，作废标处理。</w:t>
      </w:r>
      <w:r/>
    </w:p>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2.投标人拟投照明灯需通过 CCC认证或者CQC标志认证。提供证明材料复印件加盖投标单位公章；未提供或提供材料不符合要求的均视为未实质性响应，作废标处理。</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1983"/>
        <w:gridCol w:w="3694"/>
        <w:gridCol w:w="2536"/>
      </w:tblGrid>
      <w:tr>
        <w:trPr>
          <w:jc w:val="center"/>
        </w:trPr>
        <w:tc>
          <w:tcPr>
            <w:tcW w:w="545"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983"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灯具名称</w:t>
            </w:r>
            <w:r/>
          </w:p>
        </w:tc>
        <w:tc>
          <w:tcPr>
            <w:tcW w:w="3694"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用途</w:t>
            </w:r>
            <w:r/>
          </w:p>
        </w:tc>
        <w:tc>
          <w:tcPr>
            <w:tcW w:w="2536"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轨道射灯1</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轨道洗墙灯1</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图文展板，画等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轨道射灯2</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轨道洗墙灯2</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嵌装洗墙灯</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通柜背板立面洗墙照明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微型轨道洗墙灯</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通柜背板立面洗墙照明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嵌装射灯</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微型轨道射灯1</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微型轨道射灯2</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98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平柜扫光灯</w:t>
            </w:r>
            <w:r/>
          </w:p>
        </w:tc>
        <w:tc>
          <w:tcPr>
            <w:tcW w:w="369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扫光照明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bl>
    <w:p>
      <w:pPr>
        <w:ind w:firstLine="482"/>
        <w:keepLines w:val="0"/>
        <w:keepNext w:val="0"/>
        <w:pageBreakBefore w:val="0"/>
        <w:spacing w:line="360" w:lineRule="auto"/>
        <w:shd w:val="clear" w:color="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r>
      <w:r/>
    </w:p>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3.投标人拟投多媒体硬件中：①全景立体屏屏体；②75寸雾面显示屏；③43寸雾面触摸显示屏；④55寸雾面电容屏；⑤86寸雾面显示屏；⑥激光工程投影机，需提供有中国节能产品认证证书、中国国家强制性产品认证证书，提供证书复印件加盖投标单位公章；未提供或提供材料不符合要求的均视为未实质性响应，作废标处理。</w:t>
      </w:r>
      <w:r/>
    </w:p>
    <w:p>
      <w:pPr>
        <w:jc w:val="center"/>
        <w:spacing w:line="360" w:lineRule="auto"/>
        <w:rPr>
          <w:rFonts w:eastAsia="宋体" w:cs="宋体"/>
          <w:color w:val="000000"/>
          <w:highlight w:val="none"/>
        </w:rPr>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第四章  评审方法和程序</w:t>
      </w:r>
      <w:bookmarkEnd w:id="8"/>
      <w:r/>
      <w:r/>
    </w:p>
    <w:p>
      <w:pPr>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一、招标人委托招标代理机构组织招标</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成立评标委员会小组，评标委员会由招标人代表和评审专家组成，成员人数应当为</w:t>
      </w:r>
      <w:r>
        <w:rPr>
          <w:rFonts w:hint="eastAsia" w:eastAsia="宋体" w:cs="宋体"/>
          <w:b/>
          <w:bCs/>
          <w:color w:val="000000"/>
          <w:sz w:val="24"/>
          <w:szCs w:val="24"/>
          <w:highlight w:val="none"/>
          <w:lang w:val="en-US" w:eastAsia="zh-CN"/>
        </w:rPr>
        <w:t xml:space="preserve">7</w:t>
      </w:r>
      <w:r>
        <w:rPr>
          <w:rFonts w:hint="eastAsia" w:eastAsia="宋体" w:cs="宋体"/>
          <w:color w:val="000000"/>
          <w:sz w:val="24"/>
          <w:szCs w:val="24"/>
          <w:highlight w:val="none"/>
        </w:rPr>
        <w:t xml:space="preserve">人以上单数，其中评审专家不得少于成员总数的三分之二。</w:t>
      </w:r>
      <w:r/>
    </w:p>
    <w:p>
      <w:pPr>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二、开标</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bCs/>
          <w:color w:val="000000"/>
          <w:sz w:val="24"/>
          <w:szCs w:val="24"/>
          <w:highlight w:val="none"/>
        </w:rPr>
        <w:t xml:space="preserve">不见面远程开标模式：开标当天各投标人在各自地点通过苏采云系统及时登录不见面开标大厅，参加投标活动。</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招标代理机构主持开标并记录，及时处理投标人代表提出的询问或者回避申请。</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投标人不足3家的不得开标。</w:t>
      </w:r>
      <w:r/>
    </w:p>
    <w:p>
      <w:pPr>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三、资格审查</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开标后，招标人及其委托的采购代理机构依据相关法律政策的规定，根据招标文件载明的资格审查要求，对投标人的资格进行审查。</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资格审查合格的投标人进入评标。</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合格投标人不足3家的，不得评标。</w:t>
      </w:r>
      <w:r/>
    </w:p>
    <w:p>
      <w:pPr>
        <w:contextualSpacing/>
        <w:ind w:firstLine="480"/>
        <w:spacing w:line="360" w:lineRule="auto"/>
        <w:rPr>
          <w:rFonts w:eastAsia="宋体" w:cs="宋体"/>
          <w:b/>
          <w:color w:val="000000"/>
          <w:sz w:val="24"/>
          <w:szCs w:val="24"/>
          <w:highlight w:val="none"/>
        </w:rPr>
        <w:outlineLvl w:val="1"/>
      </w:pPr>
      <w:r>
        <w:rPr>
          <w:rFonts w:hint="eastAsia" w:eastAsia="宋体" w:cs="宋体"/>
          <w:b/>
          <w:color w:val="000000"/>
          <w:sz w:val="24"/>
          <w:szCs w:val="24"/>
          <w:highlight w:val="none"/>
        </w:rPr>
        <w:t xml:space="preserve">四、评标</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评标时间</w:t>
      </w:r>
      <w:r>
        <w:rPr>
          <w:rFonts w:hint="eastAsia" w:eastAsia="宋体" w:cs="宋体"/>
          <w:b/>
          <w:color w:val="000000"/>
          <w:sz w:val="24"/>
          <w:szCs w:val="24"/>
          <w:highlight w:val="none"/>
        </w:rPr>
        <w:t xml:space="preserve">：资格审查结束以后。</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招标代理机构负责组织评标工作，并履行下列职责：</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（2）宣布评标纪律。</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（3）公布投标人名单，告知评审专家应当回避的情形。</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（4）组织评标委员会推选评标组长，招标人代表不得担任组长。</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（6）根据评标委员会的要求介绍采购相关政策法规、招标文件。</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①分值汇总计算错误的；</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②分项评分超出评分标准范围的；</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③评标委员会成员对客观评审因素评分不一致的；</w:t>
      </w:r>
      <w:r/>
    </w:p>
    <w:p>
      <w:pPr>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④经评标委员会认定评分畸高、畸低的。</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（10）处理与评标有关的其他事项。</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评标委员会负责具体评标事务：</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评标委员会成员独立履行以下职责与义务：</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（1）遵纪守法，客观、公正、廉洁地履行职责；</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（2）审查合格投标人的投标文件是否实质性响应招标文件要求，并做出评价；</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（3）按照招标文件规定的评标办法和评标标准进行评标，对评审意见承担个人责任；</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（4）可以要求投标人对投标文件有关事项做出解释或澄清；</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（5）对评标过程和结果，以及投标人的商业秘密保密；</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（6）配合相关部门的投诉处理工作；</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（7）配合招标人或招标代理机构答复投标人提出的质疑。</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7</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评审期间，合格投标人的投标文件仍有可能被评标委员会根据规定判为无效投标。</w:t>
      </w:r>
      <w:r/>
    </w:p>
    <w:p>
      <w:pPr>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8</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在投标文件的评审、澄清、评价和比较以及授予合同的过程中，投标人对招标人和评标委员会成员有施加影响的任何行为，都将取消其可能的中标资格。</w:t>
      </w:r>
      <w:r/>
    </w:p>
    <w:p>
      <w:pPr>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五、评审原则</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本项目采用</w:t>
      </w:r>
      <w:r>
        <w:rPr>
          <w:rFonts w:hint="eastAsia" w:eastAsia="宋体" w:cs="宋体"/>
          <w:b/>
          <w:color w:val="000000"/>
          <w:sz w:val="24"/>
          <w:szCs w:val="24"/>
          <w:highlight w:val="none"/>
          <w:u w:val="single"/>
        </w:rPr>
        <w:t xml:space="preserve">综合评分法</w:t>
      </w:r>
      <w:r>
        <w:rPr>
          <w:rFonts w:hint="eastAsia"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对投标文件的评审判定，只依据投标文件内容本身，不依靠开标后任何外来证明文件。</w:t>
      </w:r>
      <w:r/>
    </w:p>
    <w:p>
      <w:pPr>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六、评审方法</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评标程序：</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资格符合性评审——商务技术标评审——价格标评审——确定中标候选人。</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评标委员会将仅对按本招标文件载明的方法与规定，为实质上响应招标文件要求的投标文件评审并进行评价和比较。</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本次项目的商务技术标和价格标评审总分值为100分。两部分评审因素比重如下：</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商务技术标分值占总分值的比重为</w:t>
      </w:r>
      <w:r>
        <w:rPr>
          <w:rFonts w:hint="eastAsia" w:eastAsia="宋体" w:cs="宋体"/>
          <w:b/>
          <w:bCs/>
          <w:color w:val="000000"/>
          <w:sz w:val="24"/>
          <w:szCs w:val="24"/>
          <w:highlight w:val="none"/>
          <w:u w:val="single"/>
          <w:lang w:val="en-US" w:eastAsia="zh-CN"/>
        </w:rPr>
        <w:t xml:space="preserve">70</w:t>
      </w:r>
      <w:r>
        <w:rPr>
          <w:rFonts w:hint="eastAsia" w:eastAsia="宋体" w:cs="宋体"/>
          <w:b/>
          <w:color w:val="000000"/>
          <w:sz w:val="24"/>
          <w:szCs w:val="24"/>
          <w:highlight w:val="none"/>
          <w:u w:val="single"/>
        </w:rPr>
        <w:t xml:space="preserve">%</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价格标分值占总分值的比重为</w:t>
      </w:r>
      <w:r>
        <w:rPr>
          <w:rFonts w:hint="eastAsia" w:eastAsia="宋体" w:cs="宋体"/>
          <w:b/>
          <w:color w:val="000000"/>
          <w:sz w:val="24"/>
          <w:szCs w:val="24"/>
          <w:highlight w:val="none"/>
          <w:u w:val="single"/>
          <w:lang w:val="en-US" w:eastAsia="zh-CN"/>
        </w:rPr>
        <w:t xml:space="preserve">30</w:t>
      </w:r>
      <w:r>
        <w:rPr>
          <w:rFonts w:hint="eastAsia" w:eastAsia="宋体" w:cs="宋体"/>
          <w:b/>
          <w:color w:val="000000"/>
          <w:sz w:val="24"/>
          <w:szCs w:val="24"/>
          <w:highlight w:val="none"/>
          <w:u w:val="single"/>
        </w:rPr>
        <w:t xml:space="preserve">%</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 </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评标委员会严格按照招标文件的要求、条件、评分标准，对投标人所提供服务的先进性、可靠性、售后服务承诺、质量保证承诺等实质性响应内容进行比较。</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商务技术分按评委的算术平均值计算（计算结果均四舍五入保留两位小数）。</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开启投标人的价格报价标，现场唱标后由投标人代表在苏采云系统确认。</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投标人的价格标评审得分直接计算取得，并与其商务技术标得分相加为该投标人的综合得分（计算结果均四舍五入保留两位小数）。</w:t>
      </w:r>
      <w:r/>
    </w:p>
    <w:p>
      <w:pPr>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w:t>
      </w:r>
      <w:r>
        <w:rPr>
          <w:rFonts w:hint="eastAsia" w:eastAsia="宋体" w:cs="宋体"/>
          <w:color w:val="000000"/>
          <w:sz w:val="24"/>
          <w:szCs w:val="24"/>
          <w:highlight w:val="none"/>
          <w:lang w:val="en-US" w:eastAsia="zh-CN"/>
        </w:rPr>
        <w:t xml:space="preserve">.</w:t>
      </w:r>
      <w:r>
        <w:rPr>
          <w:rFonts w:hint="eastAsia" w:eastAsia="宋体"/>
          <w:color w:val="000000"/>
          <w:sz w:val="24"/>
          <w:szCs w:val="24"/>
          <w:highlight w:val="none"/>
        </w:rPr>
        <w:t xml:space="preserve">评标结果按评审后得分由高到低顺序排列。</w:t>
      </w:r>
      <w:r>
        <w:rPr>
          <w:rFonts w:eastAsia="宋体"/>
          <w:color w:val="000000"/>
          <w:sz w:val="24"/>
          <w:szCs w:val="24"/>
          <w:highlight w:val="none"/>
        </w:rPr>
        <w:t xml:space="preserve">得分相同的，按投标报价由低到高顺序排列</w:t>
      </w:r>
      <w:r>
        <w:rPr>
          <w:rFonts w:hint="eastAsia" w:eastAsia="宋体"/>
          <w:color w:val="000000"/>
          <w:sz w:val="24"/>
          <w:szCs w:val="24"/>
          <w:highlight w:val="none"/>
        </w:rPr>
        <w:t xml:space="preserve">。得分且投标报价均相同时则通过抽签方式随机确定排名顺序。投标文件满足招标文件全部实质性要求，且按照评审因素的量化指标评审得分最高的投标人为排名第一的中标候选人</w:t>
      </w:r>
      <w:r>
        <w:rPr>
          <w:rFonts w:hint="eastAsia" w:eastAsia="宋体" w:cs="宋体"/>
          <w:color w:val="000000"/>
          <w:sz w:val="24"/>
          <w:szCs w:val="24"/>
          <w:highlight w:val="none"/>
        </w:rPr>
        <w:t xml:space="preserve">。</w:t>
      </w:r>
      <w:r/>
    </w:p>
    <w:p>
      <w:pPr>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七、关于投标价格评审</w:t>
      </w:r>
      <w:r/>
    </w:p>
    <w:p>
      <w:pPr>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1</w:t>
      </w:r>
      <w:r>
        <w:rPr>
          <w:rFonts w:hint="eastAsia" w:eastAsia="宋体" w:cs="宋体"/>
          <w:b/>
          <w:color w:val="000000"/>
          <w:sz w:val="24"/>
          <w:szCs w:val="24"/>
          <w:highlight w:val="none"/>
          <w:lang w:val="en-US" w:eastAsia="zh-CN"/>
        </w:rPr>
        <w:t xml:space="preserve">.</w:t>
      </w:r>
      <w:r>
        <w:rPr>
          <w:rFonts w:hint="eastAsia" w:eastAsia="宋体" w:cs="宋体"/>
          <w:b/>
          <w:color w:val="000000"/>
          <w:sz w:val="24"/>
          <w:szCs w:val="24"/>
          <w:highlight w:val="none"/>
        </w:rPr>
        <w:t xml:space="preserve">针对投标价格实质响应的评审</w:t>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 </w:t>
      </w:r>
      <w:r/>
    </w:p>
    <w:p>
      <w:pPr>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2</w:t>
      </w:r>
      <w:r>
        <w:rPr>
          <w:rFonts w:hint="eastAsia" w:eastAsia="宋体" w:cs="宋体"/>
          <w:b/>
          <w:color w:val="000000"/>
          <w:sz w:val="24"/>
          <w:szCs w:val="24"/>
          <w:highlight w:val="none"/>
          <w:lang w:val="en-US" w:eastAsia="zh-CN"/>
        </w:rPr>
        <w:t xml:space="preserve">.</w:t>
      </w:r>
      <w:r>
        <w:rPr>
          <w:rFonts w:hint="eastAsia" w:eastAsia="宋体" w:cs="宋体"/>
          <w:b/>
          <w:color w:val="000000"/>
          <w:sz w:val="24"/>
          <w:szCs w:val="24"/>
          <w:highlight w:val="none"/>
        </w:rPr>
        <w:t xml:space="preserve">针对投标价格合理性的评审</w:t>
      </w:r>
      <w:r/>
    </w:p>
    <w:p>
      <w:pPr>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p>
    <w:p>
      <w:pPr>
        <w:ind w:firstLine="482"/>
        <w:keepLines w:val="0"/>
        <w:keepNext w:val="0"/>
        <w:pageBreakBefore w:val="0"/>
        <w:spacing w:line="360" w:lineRule="auto"/>
        <w:widowControl w:val="off"/>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八、评审评分项 </w:t>
      </w:r>
      <w:r/>
    </w:p>
    <w:p>
      <w:pPr>
        <w:ind w:firstLine="482"/>
        <w:keepLines w:val="0"/>
        <w:keepNext w:val="0"/>
        <w:pageBreakBefore w:val="0"/>
        <w:spacing w:line="360" w:lineRule="auto"/>
        <w:widowControl w:val="off"/>
        <w:rPr>
          <w:rFonts w:hint="eastAsia" w:eastAsia="宋体" w:cs="宋体"/>
          <w:b/>
          <w:color w:val="000000"/>
          <w:sz w:val="24"/>
          <w:szCs w:val="24"/>
          <w:highlight w:val="none"/>
        </w:rPr>
      </w:pPr>
      <w:r>
        <w:rPr>
          <w:rFonts w:hint="eastAsia" w:eastAsia="宋体" w:cs="宋体"/>
          <w:b/>
          <w:color w:val="000000"/>
          <w:sz w:val="24"/>
          <w:szCs w:val="24"/>
          <w:highlight w:val="none"/>
        </w:rPr>
        <w:t xml:space="preserve">（一）商务技术标评分：（</w:t>
      </w:r>
      <w:r>
        <w:rPr>
          <w:rFonts w:hint="eastAsia" w:eastAsia="宋体" w:cs="宋体"/>
          <w:b/>
          <w:color w:val="000000"/>
          <w:sz w:val="24"/>
          <w:szCs w:val="24"/>
          <w:highlight w:val="none"/>
          <w:lang w:val="en-US" w:eastAsia="zh-CN"/>
        </w:rPr>
        <w:t xml:space="preserve">70</w:t>
      </w:r>
      <w:r>
        <w:rPr>
          <w:rFonts w:hint="eastAsia" w:eastAsia="宋体" w:cs="宋体"/>
          <w:b/>
          <w:color w:val="000000"/>
          <w:sz w:val="24"/>
          <w:szCs w:val="24"/>
          <w:highlight w:val="none"/>
        </w:rPr>
        <w:t xml:space="preserve">分）</w:t>
      </w:r>
      <w:r/>
    </w:p>
    <w:tbl>
      <w:tblPr>
        <w:tblStyle w:val="857"/>
        <w:tblW w:w="98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347"/>
        <w:gridCol w:w="826"/>
        <w:gridCol w:w="7095"/>
      </w:tblGrid>
      <w:tr>
        <w:trPr>
          <w:jc w:val="center"/>
          <w:trHeight w:val="469"/>
        </w:trPr>
        <w:tc>
          <w:tcPr>
            <w:tcW w:w="546"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347"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p>
        </w:tc>
        <w:tc>
          <w:tcPr>
            <w:tcW w:w="826"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p>
        </w:tc>
        <w:tc>
          <w:tcPr>
            <w:tcW w:w="7095"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p>
        </w:tc>
      </w:tr>
      <w:tr>
        <w:trPr>
          <w:jc w:val="center"/>
          <w:trHeight w:val="469"/>
        </w:trPr>
        <w:tc>
          <w:tcPr>
            <w:tcW w:w="546"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p>
        </w:tc>
        <w:tc>
          <w:tcPr>
            <w:shd w:val="clear" w:color="auto" w:fill="auto"/>
            <w:tcW w:w="1347"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业绩</w:t>
            </w:r>
            <w:r/>
          </w:p>
        </w:tc>
        <w:tc>
          <w:tcPr>
            <w:shd w:val="clear" w:color="auto" w:fill="auto"/>
            <w:tcW w:w="826"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5分</w:t>
            </w:r>
            <w:r/>
          </w:p>
        </w:tc>
        <w:tc>
          <w:tcPr>
            <w:shd w:val="clear" w:color="auto" w:fill="auto"/>
            <w:tcW w:w="7095" w:type="dxa"/>
            <w:vAlign w:val="center"/>
            <w:textDirection w:val="lrTb"/>
            <w:noWrap/>
          </w:tcPr>
          <w:p>
            <w:pPr>
              <w:numPr>
                <w:ilvl w:val="0"/>
                <w:numId w:val="0"/>
              </w:numPr>
              <w:ind w:firstLine="480"/>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投标人自2022年7月1日（含）以来，</w:t>
            </w:r>
            <w:r>
              <w:rPr>
                <w:rFonts w:hint="eastAsia" w:ascii="宋体" w:hAnsi="宋体" w:eastAsia="宋体" w:cs="宋体"/>
                <w:sz w:val="24"/>
                <w:szCs w:val="24"/>
                <w:lang w:val="zh-CN"/>
              </w:rPr>
              <w:t xml:space="preserve">独立承揽</w:t>
            </w:r>
            <w:r>
              <w:rPr>
                <w:rFonts w:hint="eastAsia" w:ascii="宋体" w:hAnsi="宋体" w:eastAsia="宋体" w:cs="宋体"/>
                <w:sz w:val="24"/>
                <w:szCs w:val="24"/>
              </w:rPr>
              <w:t xml:space="preserve">的展馆</w:t>
            </w:r>
            <w:r>
              <w:rPr>
                <w:rFonts w:hint="eastAsia" w:ascii="宋体" w:hAnsi="宋体" w:eastAsia="宋体" w:cs="宋体"/>
                <w:sz w:val="24"/>
                <w:szCs w:val="24"/>
                <w:lang w:val="zh-CN"/>
              </w:rPr>
              <w:t xml:space="preserve">类</w:t>
            </w:r>
            <w:r>
              <w:rPr>
                <w:rFonts w:hint="eastAsia" w:ascii="宋体" w:hAnsi="宋体" w:eastAsia="宋体" w:cs="宋体"/>
                <w:sz w:val="24"/>
                <w:szCs w:val="24"/>
              </w:rPr>
              <w:t xml:space="preserve">展览展陈项目</w:t>
            </w:r>
            <w:r>
              <w:rPr>
                <w:rFonts w:hint="eastAsia" w:ascii="宋体" w:hAnsi="宋体" w:eastAsia="宋体" w:cs="宋体"/>
                <w:sz w:val="24"/>
                <w:szCs w:val="24"/>
                <w:lang w:eastAsia="zh-CN"/>
              </w:rPr>
              <w:t xml:space="preserve">类似</w:t>
            </w:r>
            <w:r>
              <w:rPr>
                <w:rFonts w:hint="eastAsia" w:ascii="宋体" w:hAnsi="宋体" w:eastAsia="宋体" w:cs="宋体"/>
                <w:sz w:val="24"/>
                <w:szCs w:val="24"/>
                <w:lang w:val="zh-CN"/>
              </w:rPr>
              <w:t xml:space="preserve">业绩（需提供合同复印件</w:t>
            </w:r>
            <w:r>
              <w:rPr>
                <w:rFonts w:hint="eastAsia" w:ascii="宋体" w:hAnsi="宋体" w:eastAsia="宋体" w:cs="宋体"/>
                <w:sz w:val="24"/>
                <w:szCs w:val="24"/>
              </w:rPr>
              <w:t xml:space="preserve">、不低于合同金额50%的发票复印件及不低于合同金额50%的收款凭证复印件）。每提供一个符合要求的业绩得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分，本项满分5分。</w:t>
            </w:r>
            <w:r>
              <w:rPr>
                <w:rFonts w:hint="eastAsia" w:ascii="宋体" w:hAnsi="宋体" w:eastAsia="宋体" w:cs="宋体"/>
                <w:sz w:val="24"/>
                <w:szCs w:val="24"/>
                <w:lang w:val="zh-CN"/>
              </w:rPr>
              <w:t xml:space="preserve">证明材料提供不全或未提供的本项不得分</w:t>
            </w:r>
            <w:r>
              <w:rPr>
                <w:rFonts w:hint="eastAsia" w:ascii="宋体" w:hAnsi="宋体" w:eastAsia="宋体" w:cs="宋体"/>
                <w:sz w:val="24"/>
                <w:szCs w:val="24"/>
                <w:lang w:eastAsia="zh-CN"/>
              </w:rPr>
              <w:t xml:space="preserve">。</w:t>
            </w:r>
            <w:r/>
          </w:p>
          <w:p>
            <w:pPr>
              <w:ind w:firstLine="480"/>
              <w:keepLines w:val="0"/>
              <w:keepNext w:val="0"/>
              <w:pageBreakBefore w:val="0"/>
              <w:spacing w:line="360" w:lineRule="exact"/>
              <w:shd w:val="clear" w:color="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注：（1）业绩认定时间以合同签订时间或中标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通知书时间为准，无合同签订时间或中标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通知书时间的，评委会不予认可。 </w:t>
            </w:r>
            <w:r/>
          </w:p>
          <w:p>
            <w:pPr>
              <w:numPr>
                <w:ilvl w:val="0"/>
                <w:numId w:val="0"/>
              </w:numPr>
              <w:ind w:firstLine="520"/>
              <w:jc w:val="both"/>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6"/>
                <w:lang w:val="en-US" w:eastAsia="zh-CN" w:bidi="ar-SA"/>
              </w:rPr>
              <w:t xml:space="preserve">（2）</w:t>
            </w:r>
            <w:r>
              <w:rPr>
                <w:rFonts w:hint="eastAsia" w:ascii="宋体" w:hAnsi="宋体" w:eastAsia="宋体" w:cs="宋体"/>
                <w:sz w:val="24"/>
                <w:highlight w:val="none"/>
              </w:rPr>
              <w:t xml:space="preserve">投标文件中须附中标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通知书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合同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盖采购人和供应商盖章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和竣工验收报告</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盖采购人和供应商盖章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扫描件，合同必须能清楚地反映合同首页和盖章页、合同金额等，若合同中未清楚地反映，须提供合同</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出具的相关证明材料复印件。 相关证明材料须含合同</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公章及合同</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经办人姓名、联系电话，公章名称与合同</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名称一致，且符合以上要求，否则评委会不予认可。相关证明材料格式自拟。</w:t>
            </w:r>
            <w:r/>
          </w:p>
        </w:tc>
      </w:tr>
      <w:tr>
        <w:trPr>
          <w:jc w:val="center"/>
          <w:trHeight w:val="469"/>
        </w:trPr>
        <w:tc>
          <w:tcPr>
            <w:tcW w:w="54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p>
        </w:tc>
        <w:tc>
          <w:tcPr>
            <w:shd w:val="clear" w:color="auto" w:fill="auto"/>
            <w:tcW w:w="13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技术指标响应情况</w:t>
            </w:r>
            <w:r/>
          </w:p>
        </w:tc>
        <w:tc>
          <w:tcPr>
            <w:shd w:val="clear" w:color="auto" w:fill="auto"/>
            <w:tcW w:w="8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分</w:t>
            </w:r>
            <w:r/>
          </w:p>
        </w:tc>
        <w:tc>
          <w:tcPr>
            <w:shd w:val="clear" w:color="auto" w:fill="auto"/>
            <w:tcW w:w="7095" w:type="dxa"/>
            <w:vAlign w:val="center"/>
            <w:textDirection w:val="lrTb"/>
            <w:noWrap w:val="false"/>
          </w:tcPr>
          <w:p>
            <w:pPr>
              <w:numPr>
                <w:ilvl w:val="0"/>
                <w:numId w:val="0"/>
              </w:numPr>
              <w:ind w:firstLine="480"/>
              <w:jc w:val="both"/>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highlight w:val="none"/>
              </w:rPr>
              <w:t xml:space="preserve">招标文件</w:t>
            </w:r>
            <w:r>
              <w:rPr>
                <w:rFonts w:hint="eastAsia" w:ascii="宋体" w:hAnsi="宋体" w:eastAsia="宋体" w:cs="宋体"/>
                <w:sz w:val="24"/>
                <w:highlight w:val="none"/>
                <w:lang w:eastAsia="zh-CN"/>
              </w:rPr>
              <w:t xml:space="preserve">项目需求中用“█”标注的技术</w:t>
            </w:r>
            <w:r>
              <w:rPr>
                <w:rFonts w:hint="eastAsia" w:ascii="宋体" w:hAnsi="宋体" w:eastAsia="宋体" w:cs="宋体"/>
                <w:sz w:val="24"/>
                <w:highlight w:val="none"/>
              </w:rPr>
              <w:t xml:space="preserve">参数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每</w:t>
            </w:r>
            <w:r>
              <w:rPr>
                <w:rFonts w:hint="eastAsia" w:ascii="宋体" w:hAnsi="宋体" w:eastAsia="宋体" w:cs="宋体"/>
                <w:sz w:val="24"/>
                <w:highlight w:val="none"/>
                <w:lang w:eastAsia="zh-CN"/>
              </w:rPr>
              <w:t xml:space="preserve">有</w:t>
            </w:r>
            <w:r>
              <w:rPr>
                <w:rFonts w:hint="eastAsia" w:ascii="宋体" w:hAnsi="宋体" w:eastAsia="宋体" w:cs="宋体"/>
                <w:sz w:val="24"/>
                <w:highlight w:val="none"/>
              </w:rPr>
              <w:t xml:space="preserve">一项满足要求</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本项满分</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分。提供检测报告或品牌厂家证明材料原件扫描件加盖投标人公章予以证明</w:t>
            </w:r>
            <w:r>
              <w:rPr>
                <w:rFonts w:hint="eastAsia" w:ascii="宋体" w:hAnsi="宋体" w:eastAsia="宋体" w:cs="宋体"/>
                <w:sz w:val="24"/>
                <w:highlight w:val="none"/>
                <w:lang w:eastAsia="zh-CN"/>
              </w:rPr>
              <w:t xml:space="preserve">。</w:t>
            </w:r>
            <w:r/>
          </w:p>
        </w:tc>
      </w:tr>
      <w:tr>
        <w:trPr>
          <w:jc w:val="center"/>
          <w:trHeight w:val="469"/>
        </w:trPr>
        <w:tc>
          <w:tcPr>
            <w:tcW w:w="54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p>
        </w:tc>
        <w:tc>
          <w:tcPr>
            <w:shd w:val="clear" w:color="auto" w:fill="auto"/>
            <w:tcW w:w="13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样品</w:t>
            </w:r>
            <w:r/>
          </w:p>
        </w:tc>
        <w:tc>
          <w:tcPr>
            <w:shd w:val="clear" w:color="auto" w:fill="auto"/>
            <w:tcW w:w="8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分</w:t>
            </w:r>
            <w:r/>
          </w:p>
        </w:tc>
        <w:tc>
          <w:tcPr>
            <w:shd w:val="clear" w:color="auto" w:fill="auto"/>
            <w:tcW w:w="7095"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一、展柜样品</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1.样品名称：单面龛柜；</w:t>
            </w:r>
            <w:r/>
          </w:p>
          <w:p>
            <w:pPr>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2.样品的规格及数量：2070mm*500mm*1170mm （长*宽*高），数量：1台。</w:t>
            </w:r>
            <w:r>
              <w:rPr>
                <w:rFonts w:hint="eastAsia" w:ascii="宋体" w:hAnsi="宋体" w:eastAsia="宋体" w:cs="宋体"/>
                <w:sz w:val="24"/>
                <w:szCs w:val="24"/>
                <w:lang w:eastAsia="zh-CN"/>
              </w:rPr>
              <w:t xml:space="preserve">具体详见“第三章 项目需求</w:t>
            </w:r>
            <w:r>
              <w:rPr>
                <w:rFonts w:hint="eastAsia" w:ascii="宋体" w:hAnsi="宋体" w:eastAsia="宋体" w:cs="宋体"/>
                <w:sz w:val="24"/>
                <w:szCs w:val="24"/>
                <w:lang w:val="en-US" w:eastAsia="zh-CN"/>
              </w:rPr>
              <w:t xml:space="preserve"> 十二、样品</w:t>
            </w:r>
            <w:r>
              <w:rPr>
                <w:rFonts w:hint="eastAsia" w:ascii="宋体" w:hAnsi="宋体" w:eastAsia="宋体" w:cs="宋体"/>
                <w:sz w:val="24"/>
                <w:szCs w:val="24"/>
                <w:lang w:eastAsia="zh-CN"/>
              </w:rPr>
              <w:t xml:space="preserve">”要求。</w:t>
            </w:r>
            <w:r/>
          </w:p>
          <w:p>
            <w:pPr>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展柜样品评分标准：</w:t>
            </w:r>
            <w:r/>
          </w:p>
          <w:p>
            <w:pPr>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根据各投标人展柜样品的提供情况进行评分。</w:t>
            </w:r>
            <w:r/>
          </w:p>
          <w:p>
            <w:pPr>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（1）展柜规格尺寸（长*宽*高）符合设计要求，样柜尺寸误差≤2mm，得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分；样柜尺寸3mm＜误差≤5mm，得1分；样柜尺寸误差＞5mm，不得分。</w:t>
            </w:r>
            <w:r/>
          </w:p>
          <w:p>
            <w:pPr>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（2）展柜现场进行密封性测试，展柜换气率≤0.4d-1得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分；0.4d-1~0.5d-1之间得1分；换气率＞0.5d-1不得分。</w:t>
            </w:r>
            <w:r/>
          </w:p>
          <w:p>
            <w:pPr>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（3）展柜开启方式采用手动掀起开启，掀起时可单手开启，开启过程中应顺畅快捷，无阻碍、卡顿以及噪音等现象；满足上述要求得2分，否则不得分。</w:t>
            </w:r>
            <w:r/>
          </w:p>
          <w:p>
            <w:pPr>
              <w:pStyle w:val="863"/>
              <w:jc w:val="both"/>
              <w:keepLines w:val="0"/>
              <w:keepNext w:val="0"/>
              <w:pageBreakBefore w:val="0"/>
              <w:spacing w:line="36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本小项满分</w:t>
            </w:r>
            <w:r>
              <w:rPr>
                <w:rFonts w:hint="eastAsia" w:ascii="宋体" w:hAnsi="宋体" w:eastAsia="宋体" w:cs="宋体"/>
                <w:b/>
                <w:bCs/>
                <w:sz w:val="24"/>
                <w:szCs w:val="24"/>
                <w:lang w:val="en-US" w:eastAsia="zh-CN"/>
              </w:rPr>
              <w:t xml:space="preserve">6分。</w:t>
            </w:r>
            <w:r/>
          </w:p>
          <w:p>
            <w:pPr>
              <w:pStyle w:val="863"/>
              <w:jc w:val="both"/>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jc w:val="both"/>
              <w:keepLines w:val="0"/>
              <w:keepNext w:val="0"/>
              <w:pageBreakBefore w:val="0"/>
              <w:spacing w:line="360" w:lineRule="exact"/>
              <w:widowControl w:val="off"/>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lang w:val="en-US" w:eastAsia="zh-CN"/>
              </w:rPr>
              <w:t xml:space="preserve">二、专业灯具样品</w:t>
            </w:r>
            <w:r/>
          </w:p>
          <w:p>
            <w:pPr>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1.样品名称：①微型轨道射灯2（提供样品）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②微型轨道洗墙灯（提供样品）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③轨道射灯1（提供样品）；④轨道射灯2（提供样品）</w:t>
            </w:r>
            <w:r>
              <w:rPr>
                <w:rFonts w:hint="eastAsia" w:ascii="宋体" w:hAnsi="宋体" w:eastAsia="宋体" w:cs="宋体"/>
                <w:sz w:val="24"/>
                <w:szCs w:val="24"/>
                <w:lang w:eastAsia="zh-CN"/>
              </w:rPr>
              <w:t xml:space="preserve">。</w:t>
            </w:r>
            <w:r/>
          </w:p>
          <w:p>
            <w:pPr>
              <w:jc w:val="both"/>
              <w:keepLines w:val="0"/>
              <w:keepNext w:val="0"/>
              <w:pageBreakBefore w:val="0"/>
              <w:spacing w:line="360" w:lineRule="exact"/>
              <w:widowControl w:val="off"/>
              <w:rPr>
                <w:rFonts w:hint="eastAsia" w:eastAsia="宋体" w:cs="宋体"/>
                <w:bCs/>
                <w:color w:val="000000"/>
                <w:sz w:val="24"/>
                <w:szCs w:val="24"/>
                <w:highlight w:val="none"/>
                <w:lang w:val="en-US" w:eastAsia="zh-CN"/>
              </w:rPr>
            </w:pPr>
            <w:r>
              <w:rPr>
                <w:rFonts w:hint="eastAsia" w:ascii="宋体" w:hAnsi="宋体" w:eastAsia="宋体" w:cs="宋体"/>
                <w:sz w:val="24"/>
                <w:szCs w:val="24"/>
              </w:rPr>
              <w:t xml:space="preserve">2.</w:t>
            </w:r>
            <w:r>
              <w:rPr>
                <w:rFonts w:hint="eastAsia" w:ascii="宋体" w:hAnsi="宋体" w:eastAsia="宋体"/>
                <w:sz w:val="24"/>
                <w:szCs w:val="24"/>
              </w:rPr>
              <w:t xml:space="preserve">外观要求</w:t>
            </w:r>
            <w:r>
              <w:rPr>
                <w:rFonts w:hint="eastAsia" w:ascii="宋体" w:hAnsi="宋体" w:eastAsia="宋体"/>
                <w:b/>
                <w:sz w:val="24"/>
                <w:szCs w:val="24"/>
              </w:rPr>
              <w:t xml:space="preserve">：</w:t>
            </w:r>
            <w:r>
              <w:rPr>
                <w:rFonts w:hint="eastAsia" w:ascii="宋体" w:hAnsi="宋体" w:eastAsia="宋体"/>
                <w:sz w:val="24"/>
                <w:szCs w:val="24"/>
              </w:rPr>
              <w:t xml:space="preserve">灯具均为黑色，与展厅展陈设计风格相协调统一</w:t>
            </w:r>
            <w:r>
              <w:rPr>
                <w:rFonts w:hint="eastAsia" w:ascii="宋体" w:hAnsi="宋体" w:eastAsia="宋体"/>
                <w:sz w:val="24"/>
                <w:szCs w:val="24"/>
                <w:lang w:eastAsia="zh-CN"/>
              </w:rPr>
              <w:t xml:space="preserve">。</w:t>
            </w:r>
            <w:r>
              <w:rPr>
                <w:rFonts w:hint="eastAsia" w:ascii="宋体" w:hAnsi="宋体" w:eastAsia="宋体" w:cs="宋体"/>
                <w:sz w:val="24"/>
                <w:szCs w:val="24"/>
              </w:rPr>
              <w:t xml:space="preserve">样品的规格及数量：</w:t>
            </w:r>
            <w:r>
              <w:rPr>
                <w:rFonts w:hint="eastAsia" w:eastAsia="宋体" w:cs="宋体"/>
                <w:bCs/>
                <w:color w:val="000000"/>
                <w:sz w:val="24"/>
                <w:szCs w:val="24"/>
                <w:highlight w:val="none"/>
                <w:lang w:val="en-US" w:eastAsia="zh-CN"/>
              </w:rPr>
              <w:t xml:space="preserve">数量2套。一套在送货时由投标单位现场安装并通电成功，如评标时因投标人原因，未能通电，影响评委评分，后果由投标人承担。另一套摆放整齐，便于评审。具体详见“第三章 项目需求 十二、样品”要求。</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专业灯具样品评分标准：</w:t>
            </w:r>
            <w:r/>
          </w:p>
          <w:p>
            <w:pPr>
              <w:pStyle w:val="863"/>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根据各投标人专业灯具样品的提供情况进行评分。</w:t>
            </w:r>
            <w:r/>
          </w:p>
          <w:p>
            <w:pPr>
              <w:pStyle w:val="863"/>
              <w:jc w:val="both"/>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（1）外观结构和材质工艺</w:t>
            </w:r>
            <w:r>
              <w:rPr>
                <w:rFonts w:hint="eastAsia" w:ascii="宋体" w:hAnsi="宋体" w:eastAsia="宋体" w:cs="宋体"/>
                <w:sz w:val="24"/>
                <w:szCs w:val="24"/>
                <w:lang w:eastAsia="zh-CN"/>
              </w:rPr>
              <w:t xml:space="preserve">：</w:t>
            </w:r>
            <w:r/>
          </w:p>
          <w:p>
            <w:pPr>
              <w:pStyle w:val="863"/>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灯体整体压铸铝，无外漏明线；表面处理材质颗粒均匀，灯具的材质优良、做工精湛、结构设计优美，无明显加工痕迹；灯具及光型光学配件一体化设计，并可以扩展叠加防眩网、有色滤镜、挡光板等配件；优秀得2分，一般得1分，不提供或不符合要求不得分。</w:t>
            </w:r>
            <w:r/>
          </w:p>
          <w:p>
            <w:pPr>
              <w:pStyle w:val="863"/>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（2）运行状况和视觉效果:</w:t>
            </w:r>
            <w:r/>
          </w:p>
          <w:p>
            <w:pPr>
              <w:pStyle w:val="863"/>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调光后灯光无频闪，支持高清拍摄；灯具转向锁定型良好，打光无位移；光斑均匀，褪晕柔和，无中心光斑过曝现象，光斑周边无色散，无二次光斑；优秀得2分，一般得1分，不提供或不符合要求不得分。</w:t>
            </w:r>
            <w:r/>
          </w:p>
          <w:p>
            <w:pPr>
              <w:pStyle w:val="863"/>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操控便捷:</w:t>
            </w:r>
            <w:r/>
          </w:p>
          <w:p>
            <w:pPr>
              <w:pStyle w:val="863"/>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调光易识别和操作，背部有明显的调光刻度，操作平滑顺畅；含有易识别光束角度数字标识和配件安装方向标识，操作无需借助工具，手动一步即可完成；支持水平360°旋转，垂直≥90°，操作平滑顺畅；优秀得2分，一般得1分，不提供或不符合要求不得分。</w:t>
            </w:r>
            <w:r/>
          </w:p>
          <w:p>
            <w:pPr>
              <w:pStyle w:val="863"/>
              <w:jc w:val="both"/>
              <w:keepLines w:val="0"/>
              <w:keepNext w:val="0"/>
              <w:pageBreakBefore w:val="0"/>
              <w:spacing w:line="36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本小项满分</w:t>
            </w:r>
            <w:r>
              <w:rPr>
                <w:rFonts w:hint="eastAsia" w:ascii="宋体" w:hAnsi="宋体" w:eastAsia="宋体" w:cs="宋体"/>
                <w:b/>
                <w:bCs/>
                <w:sz w:val="24"/>
                <w:szCs w:val="24"/>
                <w:lang w:val="en-US" w:eastAsia="zh-CN"/>
              </w:rPr>
              <w:t xml:space="preserve">6分。</w:t>
            </w:r>
            <w:r/>
          </w:p>
          <w:p>
            <w:pPr>
              <w:jc w:val="both"/>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863"/>
              <w:jc w:val="both"/>
              <w:keepLines w:val="0"/>
              <w:keepNext w:val="0"/>
              <w:pageBreakBefore w:val="0"/>
              <w:spacing w:line="36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户外</w:t>
            </w:r>
            <w:r>
              <w:rPr>
                <w:rFonts w:hint="eastAsia" w:ascii="宋体" w:hAnsi="宋体" w:eastAsia="宋体" w:cs="宋体"/>
                <w:b/>
                <w:bCs/>
                <w:sz w:val="24"/>
                <w:szCs w:val="24"/>
              </w:rPr>
              <w:t xml:space="preserve">雕塑样品</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1.样品名称：</w:t>
            </w:r>
            <w:r>
              <w:rPr>
                <w:rFonts w:hint="eastAsia" w:ascii="宋体" w:hAnsi="宋体" w:eastAsia="宋体" w:cs="宋体"/>
                <w:sz w:val="24"/>
                <w:szCs w:val="24"/>
              </w:rPr>
              <w:t xml:space="preserve">雕塑小样</w:t>
            </w:r>
            <w:r>
              <w:rPr>
                <w:rFonts w:hint="eastAsia" w:ascii="宋体" w:hAnsi="宋体" w:eastAsia="宋体" w:cs="宋体"/>
                <w:sz w:val="24"/>
                <w:szCs w:val="24"/>
              </w:rPr>
              <w:t xml:space="preserve">；</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2.样品的规格及数量：</w:t>
            </w:r>
            <w:r>
              <w:rPr>
                <w:rFonts w:hint="eastAsia" w:ascii="宋体" w:hAnsi="宋体" w:eastAsia="宋体" w:cs="宋体"/>
                <w:sz w:val="24"/>
                <w:szCs w:val="24"/>
                <w:lang w:eastAsia="zh-CN"/>
              </w:rPr>
              <w:t xml:space="preserve">详见“第三章 项目需求</w:t>
            </w:r>
            <w:r>
              <w:rPr>
                <w:rFonts w:hint="eastAsia" w:ascii="宋体" w:hAnsi="宋体" w:eastAsia="宋体" w:cs="宋体"/>
                <w:sz w:val="24"/>
                <w:szCs w:val="24"/>
                <w:lang w:val="en-US" w:eastAsia="zh-CN"/>
              </w:rPr>
              <w:t xml:space="preserve"> 十二、样品</w:t>
            </w:r>
            <w:r>
              <w:rPr>
                <w:rFonts w:hint="eastAsia" w:ascii="宋体" w:hAnsi="宋体" w:eastAsia="宋体" w:cs="宋体"/>
                <w:sz w:val="24"/>
                <w:szCs w:val="24"/>
                <w:lang w:eastAsia="zh-CN"/>
              </w:rPr>
              <w:t xml:space="preserve">”要求</w:t>
            </w:r>
            <w:r>
              <w:rPr>
                <w:rFonts w:hint="eastAsia" w:ascii="宋体" w:hAnsi="宋体" w:eastAsia="宋体" w:cs="宋体"/>
                <w:sz w:val="24"/>
                <w:szCs w:val="24"/>
              </w:rPr>
              <w:t xml:space="preserve">。</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.户外雕塑样品</w:t>
            </w:r>
            <w:r>
              <w:rPr>
                <w:rFonts w:hint="eastAsia" w:ascii="宋体" w:hAnsi="宋体" w:eastAsia="宋体" w:cs="宋体"/>
                <w:sz w:val="24"/>
                <w:szCs w:val="24"/>
              </w:rPr>
              <w:t xml:space="preserve">评分标准：</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根据各投标人样品的提供情况进行评分。</w:t>
            </w:r>
            <w:r/>
          </w:p>
          <w:p>
            <w:pPr>
              <w:jc w:val="both"/>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根据效果图及清单制作雕塑小样，材质：泥塑或3D打印，尺寸600mm*450mm（长*宽），数量：1套</w:t>
            </w:r>
            <w:r>
              <w:rPr>
                <w:rFonts w:hint="eastAsia" w:ascii="宋体" w:hAnsi="宋体" w:eastAsia="宋体" w:cs="宋体"/>
                <w:sz w:val="24"/>
                <w:szCs w:val="24"/>
              </w:rPr>
              <w:t xml:space="preserve">。材质符合效果图及清单要求，能使用艺术化的手法进行优化创作和提升，完美呈现该展项需表达的展示效果，符合</w:t>
            </w:r>
            <w:r>
              <w:rPr>
                <w:rFonts w:hint="eastAsia" w:ascii="宋体" w:hAnsi="宋体" w:eastAsia="宋体" w:cs="宋体"/>
                <w:sz w:val="24"/>
                <w:szCs w:val="24"/>
                <w:lang w:val="en-US" w:eastAsia="zh-CN"/>
              </w:rPr>
              <w:t xml:space="preserve">雕塑体本身运动姿态及运动轨迹，融入地域本身的习性和精神气质，形成视觉冲击力；优秀得4分，一般得2分，不提供或不符合要求不得分。</w:t>
            </w:r>
            <w:r/>
          </w:p>
          <w:p>
            <w:pPr>
              <w:jc w:val="both"/>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本小项满分</w:t>
            </w:r>
            <w:r>
              <w:rPr>
                <w:rFonts w:hint="eastAsia" w:ascii="宋体" w:hAnsi="宋体" w:eastAsia="宋体" w:cs="宋体"/>
                <w:b/>
                <w:bCs/>
                <w:sz w:val="24"/>
                <w:szCs w:val="24"/>
                <w:lang w:val="en-US" w:eastAsia="zh-CN"/>
              </w:rPr>
              <w:t xml:space="preserve">4分。</w:t>
            </w:r>
            <w:r/>
          </w:p>
          <w:p>
            <w:pPr>
              <w:jc w:val="both"/>
              <w:keepLines w:val="0"/>
              <w:keepNext w:val="0"/>
              <w:pageBreakBefore w:val="0"/>
              <w:spacing w:line="360" w:lineRule="exact"/>
              <w:widowControl w:val="off"/>
              <w:rPr>
                <w:rFonts w:hint="eastAsia" w:eastAsia="宋体" w:cs="宋体"/>
                <w:b/>
                <w:bCs/>
                <w:color w:val="000000"/>
                <w:sz w:val="24"/>
                <w:szCs w:val="24"/>
                <w:highlight w:val="none"/>
                <w:lang w:val="en-US" w:eastAsia="zh-CN"/>
              </w:rPr>
            </w:pPr>
            <w:r>
              <w:rPr>
                <w:rFonts w:hint="eastAsia" w:eastAsia="宋体" w:cs="宋体"/>
                <w:b/>
                <w:bCs/>
                <w:color w:val="000000"/>
                <w:sz w:val="24"/>
                <w:szCs w:val="24"/>
                <w:highlight w:val="none"/>
                <w:lang w:val="en-US" w:eastAsia="zh-CN"/>
              </w:rPr>
            </w:r>
            <w:r/>
          </w:p>
          <w:p>
            <w:pPr>
              <w:jc w:val="both"/>
              <w:keepLines w:val="0"/>
              <w:keepNext w:val="0"/>
              <w:pageBreakBefore w:val="0"/>
              <w:spacing w:line="360" w:lineRule="exact"/>
              <w:widowControl w:val="off"/>
              <w:rPr>
                <w:rFonts w:hint="eastAsia" w:ascii="宋体" w:hAnsi="宋体" w:eastAsia="宋体" w:cs="宋体"/>
                <w:b/>
                <w:bCs/>
                <w:sz w:val="24"/>
                <w:szCs w:val="24"/>
              </w:rPr>
            </w:pPr>
            <w:r>
              <w:rPr>
                <w:rFonts w:hint="eastAsia" w:eastAsia="宋体" w:cs="宋体"/>
                <w:b/>
                <w:bCs/>
                <w:color w:val="000000"/>
                <w:sz w:val="24"/>
                <w:szCs w:val="24"/>
                <w:highlight w:val="none"/>
                <w:lang w:val="en-US" w:eastAsia="zh-CN"/>
              </w:rPr>
              <w:t xml:space="preserve">四、</w:t>
            </w:r>
            <w:r>
              <w:rPr>
                <w:rFonts w:hint="eastAsia" w:ascii="宋体" w:hAnsi="宋体" w:eastAsia="宋体" w:cs="宋体"/>
                <w:b/>
                <w:bCs/>
                <w:sz w:val="24"/>
                <w:szCs w:val="24"/>
                <w:lang w:val="en-US" w:eastAsia="zh-CN"/>
              </w:rPr>
              <w:t xml:space="preserve">户外装置</w:t>
            </w:r>
            <w:r>
              <w:rPr>
                <w:rFonts w:hint="eastAsia" w:ascii="宋体" w:hAnsi="宋体" w:eastAsia="宋体" w:cs="宋体"/>
                <w:b/>
                <w:bCs/>
                <w:sz w:val="24"/>
                <w:szCs w:val="24"/>
              </w:rPr>
              <w:t xml:space="preserve">样品</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1.样品名称：</w:t>
            </w:r>
            <w:r>
              <w:rPr>
                <w:rFonts w:hint="eastAsia" w:ascii="宋体" w:hAnsi="宋体" w:eastAsia="宋体" w:cs="宋体"/>
                <w:sz w:val="24"/>
                <w:szCs w:val="24"/>
              </w:rPr>
              <w:t xml:space="preserve">户外装置</w:t>
            </w:r>
            <w:r>
              <w:rPr>
                <w:rFonts w:hint="eastAsia" w:ascii="宋体" w:hAnsi="宋体" w:eastAsia="宋体" w:cs="宋体"/>
                <w:sz w:val="24"/>
                <w:szCs w:val="24"/>
              </w:rPr>
              <w:t xml:space="preserve">；</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2.样品的规格及数量：</w:t>
            </w:r>
            <w:r>
              <w:rPr>
                <w:rFonts w:hint="eastAsia" w:ascii="宋体" w:hAnsi="宋体" w:eastAsia="宋体" w:cs="宋体"/>
                <w:sz w:val="24"/>
                <w:szCs w:val="24"/>
                <w:lang w:eastAsia="zh-CN"/>
              </w:rPr>
              <w:t xml:space="preserve">详见“第三章 项目需求</w:t>
            </w:r>
            <w:r>
              <w:rPr>
                <w:rFonts w:hint="eastAsia" w:ascii="宋体" w:hAnsi="宋体" w:eastAsia="宋体" w:cs="宋体"/>
                <w:sz w:val="24"/>
                <w:szCs w:val="24"/>
                <w:lang w:val="en-US" w:eastAsia="zh-CN"/>
              </w:rPr>
              <w:t xml:space="preserve"> 十二、样品</w:t>
            </w:r>
            <w:r>
              <w:rPr>
                <w:rFonts w:hint="eastAsia" w:ascii="宋体" w:hAnsi="宋体" w:eastAsia="宋体" w:cs="宋体"/>
                <w:sz w:val="24"/>
                <w:szCs w:val="24"/>
                <w:lang w:eastAsia="zh-CN"/>
              </w:rPr>
              <w:t xml:space="preserve">”要求</w:t>
            </w:r>
            <w:r>
              <w:rPr>
                <w:rFonts w:hint="eastAsia" w:ascii="宋体" w:hAnsi="宋体" w:eastAsia="宋体" w:cs="宋体"/>
                <w:sz w:val="24"/>
                <w:szCs w:val="24"/>
              </w:rPr>
              <w:t xml:space="preserve">。</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.户外装置样品</w:t>
            </w:r>
            <w:r>
              <w:rPr>
                <w:rFonts w:hint="eastAsia" w:ascii="宋体" w:hAnsi="宋体" w:eastAsia="宋体" w:cs="宋体"/>
                <w:sz w:val="24"/>
                <w:szCs w:val="24"/>
              </w:rPr>
              <w:t xml:space="preserve">评分标准：</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根据各投标人样品的提供情况进行评分。</w:t>
            </w:r>
            <w:r/>
          </w:p>
          <w:p>
            <w:pPr>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根据效果图及清单制作户外装置样品，尺寸1：1（2000㎜：1530㎜长*宽），数量：1套。</w:t>
            </w:r>
            <w:r>
              <w:rPr>
                <w:rFonts w:hint="eastAsia" w:ascii="宋体" w:hAnsi="宋体" w:eastAsia="宋体" w:cs="宋体"/>
                <w:sz w:val="24"/>
                <w:szCs w:val="24"/>
              </w:rPr>
              <w:t xml:space="preserve">符合效果图要求及清单特征描述，材质坚固、耐用，不易变形，场景布局合理，时代背景和地理环境准确，比例精准，透视关系合理，色彩协调，人物表请和服饰搭配自然；优秀得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分，不提供或不符合要求不得分。</w:t>
            </w:r>
            <w:r/>
          </w:p>
          <w:p>
            <w:pPr>
              <w:jc w:val="both"/>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eastAsia="zh-CN"/>
              </w:rPr>
              <w:t xml:space="preserve">本小项满分</w:t>
            </w:r>
            <w:r>
              <w:rPr>
                <w:rFonts w:hint="eastAsia" w:ascii="宋体" w:hAnsi="宋体" w:eastAsia="宋体" w:cs="宋体"/>
                <w:b/>
                <w:bCs/>
                <w:sz w:val="24"/>
                <w:szCs w:val="24"/>
                <w:lang w:val="en-US" w:eastAsia="zh-CN"/>
              </w:rPr>
              <w:t xml:space="preserve">4分。</w:t>
            </w:r>
            <w:r/>
          </w:p>
        </w:tc>
      </w:tr>
      <w:tr>
        <w:trPr>
          <w:jc w:val="center"/>
          <w:trHeight w:val="469"/>
        </w:trPr>
        <w:tc>
          <w:tcPr>
            <w:tcW w:w="54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p>
        </w:tc>
        <w:tc>
          <w:tcPr>
            <w:shd w:val="clear" w:color="auto" w:fill="auto"/>
            <w:tcW w:w="13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专项实施方案</w:t>
            </w:r>
            <w:r/>
          </w:p>
        </w:tc>
        <w:tc>
          <w:tcPr>
            <w:shd w:val="clear" w:color="auto" w:fill="auto"/>
            <w:tcW w:w="8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30分</w:t>
            </w:r>
            <w:r/>
          </w:p>
        </w:tc>
        <w:tc>
          <w:tcPr>
            <w:shd w:val="clear" w:color="auto" w:fill="auto"/>
            <w:tcW w:w="7095" w:type="dxa"/>
            <w:vAlign w:val="center"/>
            <w:textDirection w:val="lrTb"/>
            <w:noWrap w:val="false"/>
          </w:tcPr>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根据投标人针对本项目提供的实施方案【包含对本项目的理解和描述，</w:t>
            </w:r>
            <w:r>
              <w:rPr>
                <w:rFonts w:hint="eastAsia" w:ascii="宋体" w:hAnsi="宋体" w:eastAsia="宋体" w:cs="宋体"/>
                <w:sz w:val="24"/>
                <w:szCs w:val="24"/>
              </w:rPr>
              <w:t xml:space="preserve">重点多媒体展项优化及</w:t>
            </w:r>
            <w:r>
              <w:rPr>
                <w:rFonts w:hint="eastAsia" w:ascii="宋体" w:hAnsi="宋体" w:eastAsia="宋体" w:cs="宋体"/>
                <w:sz w:val="24"/>
                <w:szCs w:val="24"/>
                <w:lang w:eastAsia="zh-CN"/>
              </w:rPr>
              <w:t xml:space="preserve">实施</w:t>
            </w:r>
            <w:r>
              <w:rPr>
                <w:rFonts w:hint="eastAsia" w:ascii="宋体" w:hAnsi="宋体" w:eastAsia="宋体" w:cs="宋体"/>
                <w:sz w:val="24"/>
                <w:szCs w:val="24"/>
              </w:rPr>
              <w:t xml:space="preserve">方案、多媒体影片策划创作及实施方案、重点艺术场景优化及</w:t>
            </w:r>
            <w:r>
              <w:rPr>
                <w:rFonts w:hint="eastAsia" w:ascii="宋体" w:hAnsi="宋体" w:eastAsia="宋体" w:cs="宋体"/>
                <w:sz w:val="24"/>
                <w:szCs w:val="24"/>
                <w:lang w:eastAsia="zh-CN"/>
              </w:rPr>
              <w:t xml:space="preserve">实施</w:t>
            </w:r>
            <w:r>
              <w:rPr>
                <w:rFonts w:hint="eastAsia" w:ascii="宋体" w:hAnsi="宋体" w:eastAsia="宋体" w:cs="宋体"/>
                <w:sz w:val="24"/>
                <w:szCs w:val="24"/>
              </w:rPr>
              <w:t xml:space="preserve">方案、柜内陈列优化及实施方案、版面优化及实施方案、展柜优化及实施方案、专业灯光优化及实施方案、导视导览优化及实施方案、</w:t>
            </w:r>
            <w:r>
              <w:rPr>
                <w:rFonts w:hint="eastAsia" w:ascii="宋体" w:hAnsi="宋体" w:eastAsia="宋体" w:cs="宋体"/>
                <w:sz w:val="24"/>
                <w:szCs w:val="24"/>
              </w:rPr>
              <w:t xml:space="preserve">供货方案、安装方案（需包括多媒体设备安装方式和维护方式方案、设备与展陈面的结合方式方案、设备与展陈效果的实施性对照方案）】等进行评审：</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重点多媒体提影片策划创作及实施方案，提供的策划创作实施方案全面、合理，落地性强，优于本项目采购需求，策划创作优化方案完整详细，可行性、实用性、针对性强，优秀得5分，良好得3分，一般得1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（2）本项目专业展柜优化及实施方案，提供的实施方案全面、合理，落地性强，优于本项目采购需求，优化方案完整详细，可行性、实用性、针对性强，优秀得5分，良好得3分，一般得1分，不提供不得分。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（3）本项目专业灯光优化及实施方案，提供的实施方案全面、合理，落地性强，优于本项目采购需求，优化方案完整详细，可行性、实用性、针对性强，优秀得5分，良好得3分，一般得1分，不提供不得分。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rPr>
              <w:t xml:space="preserve">重点艺术场景</w:t>
            </w:r>
            <w:r>
              <w:rPr>
                <w:rFonts w:hint="eastAsia" w:ascii="宋体" w:hAnsi="宋体" w:eastAsia="宋体" w:cs="宋体"/>
                <w:sz w:val="24"/>
                <w:szCs w:val="24"/>
              </w:rPr>
              <w:t xml:space="preserve">优化及实施方案，提供的实施方案全面、合理，落地性强，优于本项目采购需求，优化方案完整详细，可行性、实用性、针对性强，优秀得5分，良好得3分，一般得1分，不提供不得分。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（5）本项目辅助展具优化及实施方案，提供的实施方案全面、合理，落地性强，优于本项目采购需求，优化方案完整详细，可行性、实用性、针对性强，优秀得3分，良好得1分，一般得0.5分，不提供不得分。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（6）本项目展陈图文优化及实施方案，提供的实施方案全面、合理，落地性强，优于本项目采购需求，优化方案完整详细，可行性、实用性、针对性强，优秀得3分，良好得1分，一般得0.5分，不提供不得分。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（7）本项目导视系统优化及实施方案，提供的实施方案全面、合理，落地性强，优于本项目采购需求，优化方案完整详细，可行性、实用性、针对性强，优秀得2分，良好得1分，一般得0.5分，不提供不得分。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本项目多媒体设备与展陈面结合方式、安装方式和维护方式优化及实施方案，提供的实施方案全面、合理，落地性强，优于本项目采购需求，优化方案完整详细，可行性、实用性、针对性强，优秀得2分，良好得1分，一般得0.5分，不提供不得分。</w:t>
            </w:r>
            <w:r/>
          </w:p>
          <w:p>
            <w:pPr>
              <w:ind w:firstLine="480"/>
              <w:jc w:val="both"/>
              <w:keepLines w:val="0"/>
              <w:keepNext w:val="0"/>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本小项满分30分。</w:t>
            </w:r>
            <w:r/>
          </w:p>
        </w:tc>
      </w:tr>
      <w:tr>
        <w:trPr>
          <w:jc w:val="center"/>
          <w:trHeight w:val="469"/>
        </w:trPr>
        <w:tc>
          <w:tcPr>
            <w:tcW w:w="54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p>
        </w:tc>
        <w:tc>
          <w:tcPr>
            <w:shd w:val="clear" w:color="auto" w:fill="auto"/>
            <w:tcW w:w="13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项目负责人答辩</w:t>
            </w:r>
            <w:r/>
          </w:p>
        </w:tc>
        <w:tc>
          <w:tcPr>
            <w:shd w:val="clear" w:color="auto" w:fill="auto"/>
            <w:tcW w:w="8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分</w:t>
            </w:r>
            <w:r/>
          </w:p>
        </w:tc>
        <w:tc>
          <w:tcPr>
            <w:shd w:val="clear" w:color="auto" w:fill="auto"/>
            <w:tcW w:w="7095" w:type="dxa"/>
            <w:vAlign w:val="center"/>
            <w:textDirection w:val="lrTb"/>
            <w:noWrap w:val="false"/>
          </w:tcPr>
          <w:p>
            <w:pPr>
              <w:ind w:firstLine="480"/>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项目负责人针对项目理解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优化落地实施</w:t>
            </w:r>
            <w:r>
              <w:rPr>
                <w:rFonts w:hint="eastAsia" w:ascii="宋体" w:hAnsi="宋体" w:eastAsia="宋体" w:cs="宋体"/>
                <w:color w:val="auto"/>
                <w:sz w:val="24"/>
                <w:highlight w:val="none"/>
                <w:lang w:eastAsia="zh-CN"/>
              </w:rPr>
              <w:t xml:space="preserve">及评委现场出题</w:t>
            </w:r>
            <w:r>
              <w:rPr>
                <w:rFonts w:hint="eastAsia" w:ascii="宋体" w:hAnsi="宋体" w:eastAsia="宋体" w:cs="宋体"/>
                <w:color w:val="auto"/>
                <w:sz w:val="24"/>
                <w:highlight w:val="none"/>
              </w:rPr>
              <w:t xml:space="preserve">进行讲解论述，</w:t>
            </w:r>
            <w:r>
              <w:rPr>
                <w:rFonts w:hint="eastAsia" w:ascii="宋体" w:hAnsi="宋体" w:eastAsia="宋体" w:cs="宋体"/>
                <w:color w:val="auto"/>
                <w:sz w:val="24"/>
                <w:highlight w:val="none"/>
                <w:lang w:val="en-US" w:eastAsia="zh-CN"/>
              </w:rPr>
              <w:t xml:space="preserve">在规定时间内回答完成。</w:t>
            </w:r>
            <w:r>
              <w:rPr>
                <w:rFonts w:hint="eastAsia" w:ascii="宋体" w:hAnsi="宋体" w:eastAsia="宋体" w:cs="宋体"/>
                <w:b/>
                <w:bCs/>
                <w:color w:val="auto"/>
                <w:sz w:val="24"/>
                <w:highlight w:val="none"/>
                <w:lang w:val="en-US" w:eastAsia="zh-CN"/>
              </w:rPr>
              <w:t xml:space="preserve">项目负责人答辩的内容不得出现或暗示可以识别投标单位名称及人员姓名的任何标识，否则不得分。</w:t>
            </w:r>
            <w:r/>
          </w:p>
          <w:p>
            <w:pPr>
              <w:ind w:firstLine="48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答题的准确性、逻辑性、深度和与本项目的匹配度较高，回答问题时条理清晰、用词准确、语速适中，能够有效传递信息</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答题的准确性、逻辑性、深度和与本项目的匹配度良好，回答问题时条理比较清晰、用词比较准确、语速适中，能够传递信息</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答题的准确性、逻辑性、深度和与本项目的匹配度一般，回答问题时条理不太清晰、用词不准确、语速适中，不能够传递信息</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未讲解</w:t>
            </w:r>
            <w:r>
              <w:rPr>
                <w:rFonts w:hint="eastAsia" w:ascii="宋体" w:hAnsi="宋体" w:eastAsia="宋体" w:cs="宋体"/>
                <w:color w:val="auto"/>
                <w:sz w:val="24"/>
                <w:highlight w:val="none"/>
              </w:rPr>
              <w:t xml:space="preserve">不得分。</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本小项满分</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投标文件中须提供</w:t>
            </w:r>
            <w:r>
              <w:rPr>
                <w:rFonts w:hint="eastAsia" w:ascii="宋体" w:hAnsi="宋体" w:eastAsia="宋体" w:cs="宋体"/>
                <w:color w:val="auto"/>
                <w:sz w:val="24"/>
                <w:highlight w:val="none"/>
                <w:lang w:eastAsia="zh-CN"/>
              </w:rPr>
              <w:t xml:space="preserve">①身份证扫描件并</w:t>
            </w:r>
            <w:r>
              <w:rPr>
                <w:rFonts w:hint="eastAsia" w:ascii="宋体" w:hAnsi="宋体" w:eastAsia="宋体" w:cs="宋体"/>
                <w:color w:val="auto"/>
                <w:sz w:val="24"/>
                <w:highlight w:val="none"/>
              </w:rPr>
              <w:t xml:space="preserve">加盖公章</w:t>
            </w:r>
            <w:r>
              <w:rPr>
                <w:rFonts w:hint="eastAsia" w:ascii="宋体" w:hAnsi="宋体" w:eastAsia="宋体" w:cs="宋体"/>
                <w:color w:val="auto"/>
                <w:sz w:val="24"/>
                <w:highlight w:val="none"/>
                <w:lang w:eastAsia="zh-CN"/>
              </w:rPr>
              <w:t xml:space="preserve">；②</w:t>
            </w:r>
            <w:r>
              <w:rPr>
                <w:rFonts w:hint="eastAsia" w:ascii="宋体" w:hAnsi="宋体" w:eastAsia="宋体" w:cs="宋体"/>
                <w:color w:val="auto"/>
                <w:sz w:val="24"/>
                <w:highlight w:val="none"/>
              </w:rPr>
              <w:t xml:space="preserve">社保机构出具的近一个月投标人为其缴纳社保的证明材料扫描件</w:t>
            </w:r>
            <w:r>
              <w:rPr>
                <w:rFonts w:hint="eastAsia" w:ascii="宋体" w:hAnsi="宋体" w:eastAsia="宋体" w:cs="宋体"/>
                <w:color w:val="auto"/>
                <w:sz w:val="24"/>
                <w:highlight w:val="none"/>
                <w:lang w:eastAsia="zh-CN"/>
              </w:rPr>
              <w:t xml:space="preserve">并</w:t>
            </w:r>
            <w:r>
              <w:rPr>
                <w:rFonts w:hint="eastAsia" w:ascii="宋体" w:hAnsi="宋体" w:eastAsia="宋体" w:cs="宋体"/>
                <w:color w:val="auto"/>
                <w:sz w:val="24"/>
                <w:highlight w:val="none"/>
              </w:rPr>
              <w:t xml:space="preserve">加盖公章。否则评委会不予计分。</w:t>
            </w:r>
            <w:r/>
          </w:p>
          <w:p>
            <w:pPr>
              <w:ind w:firstLine="480"/>
              <w:keepLines w:val="0"/>
              <w:keepNext w:val="0"/>
              <w:pageBreakBefore w:val="0"/>
              <w:spacing w:line="3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none"/>
                <w:lang w:eastAsia="zh-CN"/>
              </w:rPr>
              <w:t xml:space="preserve">于</w:t>
            </w:r>
            <w:r>
              <w:rPr>
                <w:rFonts w:hint="eastAsia" w:ascii="宋体" w:hAnsi="宋体" w:eastAsia="宋体" w:cs="宋体"/>
                <w:color w:val="auto"/>
                <w:sz w:val="24"/>
                <w:highlight w:val="none"/>
                <w:u w:val="none"/>
                <w:lang w:val="en-US" w:eastAsia="zh-CN"/>
              </w:rPr>
              <w:t xml:space="preserve">2025年10月20日10时30分至11时00分</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，携</w:t>
            </w:r>
            <w:r>
              <w:rPr>
                <w:rFonts w:hint="eastAsia" w:ascii="宋体" w:hAnsi="宋体" w:eastAsia="宋体" w:cs="宋体"/>
                <w:color w:val="auto"/>
                <w:sz w:val="24"/>
                <w:highlight w:val="none"/>
                <w:lang w:val="en-US" w:eastAsia="zh-CN"/>
              </w:rPr>
              <w:t xml:space="preserve">带本人身份证原件及授权委托书原件（以便核验），到</w:t>
            </w:r>
            <w:r>
              <w:rPr>
                <w:rFonts w:hint="eastAsia" w:ascii="宋体" w:hAnsi="宋体" w:eastAsia="宋体" w:cs="宋体"/>
                <w:color w:val="auto"/>
                <w:sz w:val="24"/>
                <w:highlight w:val="none"/>
                <w:lang w:eastAsia="zh-CN"/>
              </w:rPr>
              <w:t xml:space="preserve">南通市红星路1号太阳鑫城1幢东单元6楼会议室现场签到并等候答辩。</w:t>
            </w:r>
            <w:r/>
          </w:p>
          <w:p>
            <w:pPr>
              <w:ind w:firstLine="480"/>
              <w:jc w:val="both"/>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项目负责人讲解论述，时间控制在8分钟以内，</w:t>
            </w:r>
            <w:r>
              <w:rPr>
                <w:rFonts w:hint="eastAsia" w:ascii="宋体" w:hAnsi="宋体" w:eastAsia="宋体" w:cs="宋体"/>
                <w:color w:val="auto"/>
                <w:sz w:val="24"/>
                <w:highlight w:val="none"/>
                <w:lang w:val="en-US" w:eastAsia="zh-CN"/>
              </w:rPr>
              <w:t xml:space="preserve">超过时间停止答辩。</w:t>
            </w:r>
            <w:r>
              <w:rPr>
                <w:rFonts w:hint="eastAsia" w:ascii="宋体" w:hAnsi="宋体" w:eastAsia="宋体" w:cs="宋体"/>
                <w:color w:val="auto"/>
                <w:sz w:val="24"/>
                <w:highlight w:val="none"/>
              </w:rPr>
              <w:t xml:space="preserve">由评委根据讲解论述情况进行评定。</w:t>
            </w:r>
            <w:r/>
          </w:p>
          <w:p>
            <w:pPr>
              <w:ind w:firstLine="480"/>
              <w:jc w:val="both"/>
              <w:keepLines w:val="0"/>
              <w:keepNext w:val="0"/>
              <w:pageBreakBefore w:val="0"/>
              <w:spacing w:line="360" w:lineRule="exact"/>
              <w:widowControl w:val="off"/>
              <w:rPr>
                <w:rFonts w:hint="eastAsia" w:eastAsia="宋体"/>
                <w:lang w:val="en-US" w:eastAsia="zh-CN"/>
              </w:rPr>
            </w:pPr>
            <w:r>
              <w:rPr>
                <w:rFonts w:hint="eastAsia" w:ascii="宋体" w:hAnsi="宋体" w:eastAsia="宋体" w:cs="宋体"/>
                <w:color w:val="auto"/>
                <w:sz w:val="24"/>
                <w:highlight w:val="none"/>
                <w:lang w:val="en-US" w:eastAsia="zh-CN"/>
              </w:rPr>
              <w:t xml:space="preserve">（4）未携带身份证原件或未按上述规定时间、地点参加答辩的，本评分项不得分。</w:t>
            </w:r>
            <w:r/>
          </w:p>
        </w:tc>
      </w:tr>
    </w:tbl>
    <w:p>
      <w:pPr>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rPr>
        <w:t xml:space="preserve">2.评委依据招标文件载明的方法评分，评分四舍五入精确到小数点后两位。</w:t>
      </w:r>
      <w:r/>
    </w:p>
    <w:p>
      <w:pPr>
        <w:ind w:firstLine="482"/>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（二）</w:t>
      </w:r>
      <w:r>
        <w:rPr>
          <w:rFonts w:hint="eastAsia" w:eastAsia="宋体" w:cs="宋体"/>
          <w:b/>
          <w:color w:val="000000"/>
          <w:sz w:val="24"/>
          <w:szCs w:val="24"/>
          <w:highlight w:val="none"/>
          <w:lang w:val="zh-CN"/>
        </w:rPr>
        <w:t xml:space="preserve">价格标</w:t>
      </w:r>
      <w:r>
        <w:rPr>
          <w:rFonts w:hint="eastAsia" w:eastAsia="宋体" w:cs="宋体"/>
          <w:b/>
          <w:color w:val="000000"/>
          <w:sz w:val="24"/>
          <w:szCs w:val="24"/>
          <w:highlight w:val="none"/>
        </w:rPr>
        <w:t xml:space="preserve">评分：（</w:t>
      </w:r>
      <w:r>
        <w:rPr>
          <w:rFonts w:hint="eastAsia" w:eastAsia="宋体" w:cs="宋体"/>
          <w:b/>
          <w:color w:val="000000"/>
          <w:sz w:val="24"/>
          <w:szCs w:val="24"/>
          <w:highlight w:val="none"/>
          <w:lang w:val="en-US" w:eastAsia="zh-CN"/>
        </w:rPr>
        <w:t xml:space="preserve">30</w:t>
      </w:r>
      <w:r>
        <w:rPr>
          <w:rFonts w:hint="eastAsia" w:eastAsia="宋体" w:cs="宋体"/>
          <w:b/>
          <w:color w:val="000000"/>
          <w:sz w:val="24"/>
          <w:szCs w:val="24"/>
          <w:highlight w:val="none"/>
        </w:rPr>
        <w:t xml:space="preserve">分）</w:t>
      </w:r>
      <w:r/>
    </w:p>
    <w:p>
      <w:pPr>
        <w:contextualSpacing/>
        <w:ind w:firstLine="482"/>
        <w:keepLines w:val="0"/>
        <w:keepNext w:val="0"/>
        <w:pageBreakBefore w:val="0"/>
        <w:spacing w:line="360" w:lineRule="auto"/>
        <w:widowControl w:val="off"/>
        <w:rPr>
          <w:rFonts w:eastAsia="宋体"/>
          <w:b/>
          <w:bCs/>
          <w:color w:val="000000"/>
          <w:sz w:val="24"/>
          <w:szCs w:val="24"/>
          <w:highlight w:val="none"/>
        </w:rPr>
      </w:pPr>
      <w:r>
        <w:rPr>
          <w:rFonts w:hint="eastAsia" w:eastAsia="宋体" w:cs="宋体"/>
          <w:b/>
          <w:color w:val="000000"/>
          <w:sz w:val="24"/>
          <w:szCs w:val="24"/>
          <w:highlight w:val="none"/>
        </w:rPr>
        <w:t xml:space="preserve">1</w:t>
      </w:r>
      <w:r>
        <w:rPr>
          <w:rFonts w:hint="eastAsia" w:eastAsia="宋体" w:cs="宋体"/>
          <w:b/>
          <w:color w:val="000000"/>
          <w:sz w:val="24"/>
          <w:szCs w:val="24"/>
          <w:highlight w:val="none"/>
          <w:lang w:val="en-US" w:eastAsia="zh-CN"/>
        </w:rPr>
        <w:t xml:space="preserve">.</w:t>
      </w:r>
      <w:r>
        <w:rPr>
          <w:rFonts w:hint="eastAsia" w:eastAsia="宋体" w:cs="宋体"/>
          <w:b/>
          <w:color w:val="000000"/>
          <w:sz w:val="24"/>
          <w:szCs w:val="24"/>
          <w:highlight w:val="none"/>
        </w:rPr>
        <w:t xml:space="preserve">本次项目最高限价：</w:t>
      </w:r>
      <w:r>
        <w:rPr>
          <w:rFonts w:hint="eastAsia" w:eastAsia="宋体" w:cs="宋体"/>
          <w:b/>
          <w:color w:val="000000"/>
          <w:sz w:val="24"/>
          <w:szCs w:val="24"/>
          <w:highlight w:val="none"/>
          <w:lang w:val="en-US" w:eastAsia="zh-CN"/>
        </w:rPr>
        <w:t xml:space="preserve">1267.95万元，响应报价</w:t>
      </w:r>
      <w:r>
        <w:rPr>
          <w:rFonts w:hint="eastAsia" w:eastAsia="宋体" w:cs="宋体"/>
          <w:b/>
          <w:color w:val="000000"/>
          <w:sz w:val="24"/>
          <w:szCs w:val="24"/>
          <w:highlight w:val="none"/>
        </w:rPr>
        <w:t xml:space="preserve">超过限价作无效标处理。</w:t>
      </w:r>
      <w:r/>
    </w:p>
    <w:p>
      <w:pPr>
        <w:contextualSpacing/>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满足招标文件要求且投标报价最低的报价为评标基准价，其</w:t>
      </w:r>
      <w:r>
        <w:rPr>
          <w:rFonts w:hint="eastAsia" w:eastAsia="宋体" w:cs="宋体"/>
          <w:color w:val="000000"/>
          <w:sz w:val="24"/>
          <w:szCs w:val="24"/>
          <w:highlight w:val="none"/>
          <w:lang w:val="en-US" w:eastAsia="zh-CN"/>
        </w:rPr>
        <w:t xml:space="preserve">价格</w:t>
      </w:r>
      <w:r>
        <w:rPr>
          <w:rFonts w:hint="eastAsia" w:eastAsia="宋体" w:cs="宋体"/>
          <w:color w:val="000000"/>
          <w:sz w:val="24"/>
          <w:szCs w:val="24"/>
          <w:highlight w:val="none"/>
        </w:rPr>
        <w:t xml:space="preserve">标得分为满分。</w:t>
      </w:r>
      <w:r/>
    </w:p>
    <w:p>
      <w:pPr>
        <w:contextualSpacing/>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其他投标供应商的</w:t>
      </w:r>
      <w:r>
        <w:rPr>
          <w:rFonts w:hint="eastAsia" w:eastAsia="宋体" w:cs="宋体"/>
          <w:color w:val="000000"/>
          <w:sz w:val="24"/>
          <w:szCs w:val="24"/>
          <w:highlight w:val="none"/>
          <w:lang w:val="en-US" w:eastAsia="zh-CN"/>
        </w:rPr>
        <w:t xml:space="preserve">价格</w:t>
      </w:r>
      <w:r>
        <w:rPr>
          <w:rFonts w:hint="eastAsia" w:eastAsia="宋体" w:cs="宋体"/>
          <w:color w:val="000000"/>
          <w:sz w:val="24"/>
          <w:szCs w:val="24"/>
          <w:highlight w:val="none"/>
        </w:rPr>
        <w:t xml:space="preserve">标得分按照下列公式计算：</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lang w:val="en-US" w:eastAsia="zh-CN"/>
        </w:rPr>
        <w:t xml:space="preserve">价格</w:t>
      </w:r>
      <w:r>
        <w:rPr>
          <w:rFonts w:hint="eastAsia" w:eastAsia="宋体" w:cs="宋体"/>
          <w:color w:val="000000"/>
          <w:sz w:val="24"/>
          <w:szCs w:val="24"/>
          <w:highlight w:val="none"/>
        </w:rPr>
        <w:t xml:space="preserve">标得分 =（评标基准价/投标报价）×</w:t>
      </w:r>
      <w:r>
        <w:rPr>
          <w:rFonts w:hint="eastAsia" w:eastAsia="宋体" w:cs="宋体"/>
          <w:color w:val="000000"/>
          <w:sz w:val="24"/>
          <w:szCs w:val="24"/>
          <w:highlight w:val="none"/>
          <w:lang w:val="en-US" w:eastAsia="zh-CN"/>
        </w:rPr>
        <w:t xml:space="preserve">30</w:t>
      </w:r>
      <w:r>
        <w:rPr>
          <w:rFonts w:hint="eastAsia" w:eastAsia="宋体" w:cs="宋体"/>
          <w:color w:val="000000"/>
          <w:sz w:val="24"/>
          <w:szCs w:val="24"/>
          <w:highlight w:val="none"/>
        </w:rPr>
        <w:t xml:space="preserve">%×100</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bidi="ar-SA"/>
        </w:rPr>
        <w:t xml:space="preserve">4.</w:t>
      </w:r>
      <w:r>
        <w:rPr>
          <w:rFonts w:hint="eastAsia" w:ascii="宋体" w:hAnsi="宋体" w:eastAsia="宋体" w:cs="宋体"/>
          <w:b/>
          <w:bCs/>
          <w:color w:val="000000"/>
          <w:sz w:val="24"/>
          <w:szCs w:val="24"/>
        </w:rPr>
        <w:t xml:space="preserve">评审过程中出现下列情形之一的，评审委员会应当启动异常低价投标</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响应</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审查程序</w:t>
      </w:r>
      <w:r>
        <w:rPr>
          <w:rFonts w:hint="eastAsia" w:ascii="宋体" w:hAnsi="宋体" w:eastAsia="宋体" w:cs="宋体"/>
          <w:b/>
          <w:bCs/>
          <w:color w:val="000000"/>
          <w:sz w:val="24"/>
          <w:szCs w:val="24"/>
          <w:lang w:eastAsia="zh-CN"/>
        </w:rPr>
        <w:t xml:space="preserve">：</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val="en-US" w:eastAsia="zh-CN"/>
        </w:rPr>
        <w:t xml:space="preserve">4.1 </w:t>
      </w:r>
      <w:r>
        <w:rPr>
          <w:rFonts w:hint="eastAsia" w:eastAsia="宋体" w:cs="宋体"/>
          <w:color w:val="000000"/>
          <w:sz w:val="24"/>
          <w:szCs w:val="24"/>
          <w:highlight w:val="none"/>
        </w:rPr>
        <w:t xml:space="preserve">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报价低于采购项目预算50%的，即投标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报价&lt;采购项目预算×50%</w:t>
      </w:r>
      <w:r>
        <w:rPr>
          <w:rFonts w:hint="eastAsia"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val="en-US" w:eastAsia="zh-CN"/>
        </w:rPr>
        <w:t xml:space="preserve">4.2 </w:t>
      </w:r>
      <w:r>
        <w:rPr>
          <w:rFonts w:hint="eastAsia" w:eastAsia="宋体" w:cs="宋体"/>
          <w:color w:val="000000"/>
          <w:sz w:val="24"/>
          <w:szCs w:val="24"/>
          <w:highlight w:val="none"/>
        </w:rPr>
        <w:t xml:space="preserve">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报价低于采购项目最高限价45%的，即投标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报价&lt;采购项目最高限价×45%</w:t>
      </w:r>
      <w:r>
        <w:rPr>
          <w:rFonts w:hint="eastAsia"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lang w:val="en-US" w:eastAsia="zh-CN"/>
        </w:rPr>
        <w:t xml:space="preserve">4.4 </w:t>
      </w:r>
      <w:r>
        <w:rPr>
          <w:rFonts w:hint="eastAsia" w:eastAsia="宋体" w:cs="宋体"/>
          <w:color w:val="000000"/>
          <w:sz w:val="24"/>
          <w:szCs w:val="24"/>
          <w:highlight w:val="none"/>
        </w:rPr>
        <w:t xml:space="preserve">审委员会认定的供应商报价过低、有可能影响产品质量或者不能诚信履约的其他情形。</w:t>
      </w:r>
      <w:r/>
    </w:p>
    <w:p>
      <w:pPr>
        <w:contextualSpacing/>
        <w:ind w:firstLine="480"/>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5.</w:t>
      </w:r>
      <w:r>
        <w:rPr>
          <w:rFonts w:hint="eastAsia" w:eastAsia="宋体" w:cs="宋体"/>
          <w:color w:val="000000"/>
          <w:sz w:val="24"/>
          <w:szCs w:val="24"/>
          <w:highlight w:val="none"/>
        </w:rPr>
        <w:t xml:space="preserve">启动异常低价投标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审查后，评审委员会应当要求相关供应商在评标现场合理的时间内,提供项目具体成本测算等与报价合理性相关的书面说明及相关证明材料，对投标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价格作出解释，由评审委员会结合同类产品在主要电商平台的价格、该行业当地薪资水平等情况，依据专业经验对供应商报价合理性进行判断。投标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供应商不提供书面说明、证明材料,或者提供的书面说明、证明材料不能证明其报价合理性的，评审委员会应当将其作为无效投标</w:t>
      </w:r>
      <w:r>
        <w:rPr>
          <w:rFonts w:hint="eastAsia" w:eastAsia="宋体" w:cs="宋体"/>
          <w:color w:val="000000"/>
          <w:sz w:val="24"/>
          <w:szCs w:val="24"/>
          <w:highlight w:val="none"/>
          <w:lang w:eastAsia="zh-CN"/>
        </w:rPr>
        <w:t xml:space="preserve">（响应）</w:t>
      </w:r>
      <w:r>
        <w:rPr>
          <w:rFonts w:hint="eastAsia" w:eastAsia="宋体" w:cs="宋体"/>
          <w:color w:val="000000"/>
          <w:sz w:val="24"/>
          <w:szCs w:val="24"/>
          <w:highlight w:val="none"/>
        </w:rPr>
        <w:t xml:space="preserve">处理。审查相关情况应当在评审报告中进行记录。</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（三）政府采购政策功能落实 </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1</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小微型企业价格扣除</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（1）本</w:t>
      </w:r>
      <w:r>
        <w:rPr>
          <w:rFonts w:hint="eastAsia" w:eastAsia="宋体" w:cs="宋体"/>
          <w:color w:val="000000"/>
          <w:sz w:val="24"/>
          <w:szCs w:val="24"/>
          <w:highlight w:val="none"/>
        </w:rPr>
        <w:t xml:space="preserve">项目对小型和</w:t>
      </w:r>
      <w:r>
        <w:rPr>
          <w:rFonts w:hint="eastAsia" w:ascii="宋体" w:hAnsi="宋体" w:eastAsia="宋体" w:cs="宋体"/>
          <w:color w:val="000000"/>
          <w:sz w:val="24"/>
          <w:szCs w:val="24"/>
        </w:rPr>
        <w:t xml:space="preserve">微型企业产品</w:t>
      </w:r>
      <w:r>
        <w:rPr>
          <w:rFonts w:hint="eastAsia" w:ascii="宋体" w:hAnsi="宋体" w:eastAsia="宋体" w:cs="宋体"/>
          <w:color w:val="000000"/>
          <w:sz w:val="24"/>
          <w:szCs w:val="24"/>
          <w:highlight w:val="none"/>
        </w:rPr>
        <w:t xml:space="preserve">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的扣</w:t>
      </w:r>
      <w:r>
        <w:rPr>
          <w:rFonts w:hint="eastAsia" w:eastAsia="宋体"/>
          <w:color w:val="000000"/>
          <w:sz w:val="24"/>
          <w:szCs w:val="24"/>
          <w:highlight w:val="none"/>
        </w:rPr>
        <w:t xml:space="preserve">除价格，用扣除后的价格参与评审。</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（2）供应商需按照采购文件的要求提供相应的《小微企业声明函》。</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2</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残疾人福利单位价格扣除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eastAsia="宋体"/>
          <w:color w:val="000000"/>
          <w:sz w:val="24"/>
          <w:szCs w:val="24"/>
          <w:highlight w:val="none"/>
        </w:rPr>
        <w:t xml:space="preserve">（1）本项目对残</w:t>
      </w:r>
      <w:r>
        <w:rPr>
          <w:rFonts w:hint="eastAsia" w:ascii="宋体" w:hAnsi="宋体" w:eastAsia="宋体" w:cs="宋体"/>
          <w:color w:val="000000"/>
          <w:sz w:val="24"/>
          <w:szCs w:val="24"/>
        </w:rPr>
        <w:t xml:space="preserve">疾人福利性单位视同小型、微型企业，给予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的价格扣除，用扣除后的价格参与评审。</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（2）残疾人福利单位需按照采购文件的要求提供《残疾人福利性单位声明函》。</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3</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监狱和戒毒企业价格扣除</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eastAsia="宋体"/>
          <w:color w:val="000000"/>
          <w:sz w:val="24"/>
          <w:szCs w:val="24"/>
          <w:highlight w:val="none"/>
        </w:rPr>
        <w:t xml:space="preserve">（1）本项目对监狱和戒毒企业（简称监狱企业</w:t>
      </w:r>
      <w:r>
        <w:rPr>
          <w:rFonts w:hint="eastAsia" w:ascii="宋体" w:hAnsi="宋体" w:eastAsia="宋体" w:cs="宋体"/>
          <w:color w:val="000000"/>
          <w:sz w:val="24"/>
          <w:szCs w:val="24"/>
        </w:rPr>
        <w:t xml:space="preserve">）视同小型、微型企业，给予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rPr>
        <w:t xml:space="preserve">价格扣除，用扣除后的价格参与评审。</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360" w:lineRule="auto"/>
        <w:widowControl w:val="off"/>
        <w:rPr>
          <w:rFonts w:hint="eastAsia" w:eastAsia="宋体"/>
          <w:color w:val="000000"/>
          <w:sz w:val="24"/>
          <w:szCs w:val="24"/>
          <w:highlight w:val="none"/>
        </w:rPr>
      </w:pPr>
      <w:r>
        <w:rPr>
          <w:rFonts w:hint="eastAsia" w:eastAsia="宋体"/>
          <w:color w:val="000000"/>
          <w:sz w:val="24"/>
          <w:szCs w:val="24"/>
          <w:highlight w:val="none"/>
        </w:rPr>
        <w:t xml:space="preserve">4</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残疾人福利单位、监狱企业属于小型、微型企业的，不重复享受政策。</w:t>
      </w:r>
      <w:r/>
    </w:p>
    <w:p>
      <w:pPr>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eastAsia="宋体"/>
          <w:color w:val="000000"/>
          <w:sz w:val="24"/>
          <w:szCs w:val="24"/>
          <w:highlight w:val="none"/>
        </w:rPr>
        <w:t xml:space="preserve">5</w:t>
      </w:r>
      <w:r>
        <w:rPr>
          <w:rFonts w:hint="eastAsia" w:eastAsia="宋体"/>
          <w:color w:val="000000"/>
          <w:sz w:val="24"/>
          <w:szCs w:val="24"/>
          <w:highlight w:val="none"/>
          <w:lang w:val="en-US" w:eastAsia="zh-CN"/>
        </w:rPr>
        <w:t xml:space="preserve">.</w:t>
      </w:r>
      <w:r>
        <w:rPr>
          <w:rFonts w:hint="eastAsia" w:eastAsia="宋体"/>
          <w:color w:val="000000"/>
          <w:sz w:val="24"/>
          <w:szCs w:val="24"/>
          <w:highlight w:val="none"/>
        </w:rPr>
        <w:t xml:space="preserve">如本项目同意分包履行合同的,大中型企业向一家或多家小微型企业分包，分包意向协议中约定小微型企业（残疾人福利单位、监狱企业）的合同份额占到合同总金额30%以上的，给予大中型企业</w:t>
      </w:r>
      <w:r>
        <w:rPr>
          <w:rFonts w:hint="eastAsia" w:eastAsia="宋体"/>
          <w:color w:val="000000"/>
          <w:sz w:val="24"/>
          <w:szCs w:val="24"/>
          <w:highlight w:val="none"/>
          <w:u w:val="single"/>
        </w:rPr>
        <w:t xml:space="preserve">6%</w:t>
      </w:r>
      <w:r>
        <w:rPr>
          <w:rFonts w:hint="eastAsia" w:eastAsia="宋体"/>
          <w:color w:val="000000"/>
          <w:sz w:val="24"/>
          <w:szCs w:val="24"/>
          <w:highlight w:val="none"/>
        </w:rPr>
        <w:t xml:space="preserve">的价格扣除，用扣除后的价格参与评审。</w:t>
      </w:r>
      <w:r/>
    </w:p>
    <w:p>
      <w:pPr>
        <w:ind w:firstLine="480"/>
        <w:keepLines w:val="0"/>
        <w:keepNext w:val="0"/>
        <w:pageBreakBefore w:val="0"/>
        <w:spacing w:line="360" w:lineRule="auto"/>
        <w:widowControl w:val="off"/>
        <w:rPr>
          <w:rFonts w:eastAsia="宋体" w:cs="宋体"/>
          <w:b/>
          <w:color w:val="000000"/>
          <w:sz w:val="24"/>
          <w:szCs w:val="24"/>
          <w:highlight w:val="none"/>
        </w:rPr>
      </w:pPr>
      <w:r>
        <w:rPr>
          <w:rFonts w:hint="eastAsia" w:eastAsia="宋体"/>
          <w:color w:val="000000"/>
          <w:sz w:val="24"/>
          <w:szCs w:val="24"/>
          <w:highlight w:val="none"/>
        </w:rPr>
        <w:t xml:space="preserve">  </w:t>
      </w:r>
      <w:bookmarkEnd w:id="7"/>
      <w:r/>
      <w:bookmarkStart w:id="26" w:name="_Toc363573857"/>
      <w:r>
        <w:rPr>
          <w:rFonts w:hint="eastAsia" w:eastAsia="宋体" w:cs="宋体"/>
          <w:b/>
          <w:color w:val="000000"/>
          <w:sz w:val="24"/>
          <w:szCs w:val="24"/>
          <w:highlight w:val="none"/>
        </w:rPr>
        <w:t xml:space="preserve">（四）中标人的确定</w:t>
      </w:r>
      <w:r/>
    </w:p>
    <w:p>
      <w:pPr>
        <w:ind w:firstLine="480"/>
        <w:keepLines w:val="0"/>
        <w:keepNext w:val="0"/>
        <w:pageBreakBefore w:val="0"/>
        <w:spacing w:line="360" w:lineRule="auto"/>
        <w:widowControl w:val="off"/>
        <w:rPr>
          <w:rFonts w:eastAsia="宋体"/>
          <w:color w:val="000000"/>
          <w:sz w:val="24"/>
          <w:szCs w:val="24"/>
          <w:highlight w:val="none"/>
        </w:rPr>
      </w:pPr>
      <w:r>
        <w:rPr>
          <w:rFonts w:hint="eastAsia" w:eastAsia="宋体"/>
          <w:color w:val="000000"/>
          <w:sz w:val="24"/>
          <w:szCs w:val="24"/>
          <w:highlight w:val="none"/>
        </w:rPr>
        <w:t xml:space="preserve">评委会汇总各评委评分后，按照综合得分从高到低的顺序推荐前三名中标候选人，</w:t>
      </w:r>
      <w:r>
        <w:rPr>
          <w:rFonts w:eastAsia="宋体"/>
          <w:color w:val="000000"/>
          <w:sz w:val="24"/>
          <w:szCs w:val="24"/>
          <w:highlight w:val="none"/>
        </w:rPr>
        <w:t xml:space="preserve">得分相同的，按投标报价由低到高顺序排列</w:t>
      </w:r>
      <w:r>
        <w:rPr>
          <w:rFonts w:hint="eastAsia" w:eastAsia="宋体"/>
          <w:color w:val="000000"/>
          <w:sz w:val="24"/>
          <w:szCs w:val="24"/>
          <w:highlight w:val="none"/>
        </w:rPr>
        <w:t xml:space="preserve">。得分且投标报价均相同时则通过抽签方式随机确定排名顺序。投标文件满足招标文件全部实质性要求，且按照评审因素的量化指标评审得分最高的投标人为排名第一的中标候选人，并编写评标报告。</w:t>
      </w:r>
      <w:r/>
    </w:p>
    <w:p>
      <w:pPr>
        <w:ind w:firstLine="480"/>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招标人委托评标委员会直接确定中标人。</w:t>
      </w:r>
      <w:r/>
    </w:p>
    <w:p>
      <w:pPr>
        <w:ind w:firstLine="480"/>
        <w:keepLines w:val="0"/>
        <w:keepNext w:val="0"/>
        <w:pageBreakBefore w:val="0"/>
        <w:spacing w:line="360" w:lineRule="auto"/>
        <w:widowControl w:val="off"/>
        <w:rPr>
          <w:rFonts w:hint="eastAsia" w:eastAsia="宋体" w:cs="宋体"/>
          <w:b/>
          <w:color w:val="000000"/>
          <w:sz w:val="24"/>
          <w:szCs w:val="24"/>
          <w:highlight w:val="none"/>
        </w:rPr>
      </w:pPr>
      <w:r>
        <w:rPr>
          <w:rFonts w:hint="eastAsia" w:eastAsia="宋体"/>
          <w:b/>
          <w:bCs/>
          <w:color w:val="000000"/>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九、评标争议</w:t>
      </w:r>
      <w:r/>
    </w:p>
    <w:p>
      <w:pPr>
        <w:ind w:firstLine="482"/>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评标时评委对评标的细则若有争议，由评标委员会评委集体讨论确定，并对未尽情况有最终解释权。</w:t>
      </w:r>
      <w:r/>
    </w:p>
    <w:p>
      <w:pPr>
        <w:ind w:firstLine="480"/>
        <w:keepLines w:val="0"/>
        <w:keepNext w:val="0"/>
        <w:pageBreakBefore w:val="0"/>
        <w:spacing w:line="360" w:lineRule="auto"/>
        <w:widowControl w:val="off"/>
        <w:rPr>
          <w:rFonts w:eastAsia="宋体" w:cs="宋体"/>
          <w:b/>
          <w:color w:val="000000"/>
          <w:sz w:val="24"/>
          <w:szCs w:val="24"/>
          <w:highlight w:val="none"/>
        </w:rPr>
      </w:pPr>
      <w:r>
        <w:rPr>
          <w:rFonts w:hint="eastAsia" w:eastAsia="宋体" w:cs="宋体"/>
          <w:b/>
          <w:color w:val="000000"/>
          <w:sz w:val="24"/>
          <w:szCs w:val="24"/>
          <w:highlight w:val="none"/>
        </w:rPr>
        <w:t xml:space="preserve">十、落标原因</w:t>
      </w:r>
      <w:r/>
    </w:p>
    <w:p>
      <w:pPr>
        <w:ind w:firstLine="482"/>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评标委员会不对落标的投标人做落标原因的解释。</w:t>
      </w:r>
      <w:r/>
    </w:p>
    <w:p>
      <w:pPr>
        <w:ind w:firstLine="723"/>
        <w:jc w:val="center"/>
        <w:keepLines w:val="0"/>
        <w:keepNext w:val="0"/>
        <w:pageBreakBefore w:val="0"/>
        <w:spacing w:line="360" w:lineRule="auto"/>
        <w:widowControl w:val="off"/>
        <w:rPr>
          <w:rFonts w:eastAsia="宋体" w:cs="宋体"/>
          <w:b/>
          <w:color w:val="000000"/>
          <w:sz w:val="36"/>
          <w:szCs w:val="36"/>
          <w:highlight w:val="none"/>
        </w:rPr>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第五章 合同主要条款</w:t>
      </w:r>
      <w:r/>
    </w:p>
    <w:p>
      <w:pPr>
        <w:ind w:firstLine="562"/>
        <w:jc w:val="center"/>
        <w:keepLines w:val="0"/>
        <w:keepNext w:val="0"/>
        <w:pageBreakBefore w:val="0"/>
        <w:spacing w:line="360" w:lineRule="auto"/>
        <w:widowControl w:val="off"/>
        <w:rPr>
          <w:rFonts w:hint="eastAsia" w:eastAsia="宋体" w:cs="宋体"/>
          <w:b/>
          <w:bCs/>
          <w:color w:val="000000"/>
          <w:sz w:val="28"/>
          <w:szCs w:val="44"/>
          <w:highlight w:val="none"/>
          <w:lang w:eastAsia="zh-CN"/>
        </w:rPr>
      </w:pPr>
      <w:r>
        <w:rPr>
          <w:rFonts w:hint="eastAsia" w:eastAsia="宋体" w:cs="宋体"/>
          <w:b/>
          <w:bCs/>
          <w:color w:val="000000"/>
          <w:sz w:val="28"/>
          <w:szCs w:val="44"/>
          <w:highlight w:val="none"/>
          <w:lang w:eastAsia="zh-CN"/>
        </w:rPr>
        <w:t xml:space="preserve">南通博物苑历史区文物建筑保护利用项目</w:t>
      </w:r>
      <w:bookmarkEnd w:id="26"/>
      <w:r/>
      <w:r/>
    </w:p>
    <w:p>
      <w:pPr>
        <w:ind w:firstLine="562"/>
        <w:jc w:val="center"/>
        <w:keepLines w:val="0"/>
        <w:keepNext w:val="0"/>
        <w:pageBreakBefore w:val="0"/>
        <w:spacing w:line="360" w:lineRule="auto"/>
        <w:widowControl w:val="off"/>
        <w:rPr>
          <w:rFonts w:eastAsia="宋体" w:cs="宋体"/>
          <w:b/>
          <w:bCs/>
          <w:color w:val="000000"/>
          <w:sz w:val="28"/>
          <w:szCs w:val="44"/>
          <w:highlight w:val="none"/>
        </w:rPr>
      </w:pPr>
      <w:r>
        <w:rPr>
          <w:rFonts w:hint="eastAsia" w:eastAsia="宋体" w:cs="宋体"/>
          <w:b/>
          <w:bCs/>
          <w:color w:val="000000"/>
          <w:sz w:val="28"/>
          <w:szCs w:val="44"/>
          <w:highlight w:val="none"/>
        </w:rPr>
        <w:t xml:space="preserve">政府采购合同书</w:t>
      </w:r>
      <w:r/>
    </w:p>
    <w:p>
      <w:pPr>
        <w:ind w:firstLine="498"/>
        <w:keepLines w:val="0"/>
        <w:keepNext w:val="0"/>
        <w:pageBreakBefore w:val="0"/>
        <w:spacing w:line="360" w:lineRule="auto"/>
        <w:widowControl w:val="off"/>
        <w:rPr>
          <w:rFonts w:eastAsia="宋体" w:cs="宋体"/>
          <w:b/>
          <w:bCs/>
          <w:color w:val="000000"/>
          <w:sz w:val="28"/>
          <w:szCs w:val="44"/>
          <w:highlight w:val="none"/>
        </w:rPr>
      </w:pPr>
      <w:r>
        <w:rPr>
          <w:rFonts w:hint="eastAsia" w:eastAsia="宋体" w:cs="宋体"/>
          <w:color w:val="000000"/>
          <w:spacing w:val="46"/>
          <w:sz w:val="24"/>
          <w:szCs w:val="24"/>
          <w:highlight w:val="none"/>
        </w:rPr>
        <w:t xml:space="preserve">采购单</w:t>
      </w:r>
      <w:r>
        <w:rPr>
          <w:rFonts w:hint="eastAsia" w:eastAsia="宋体" w:cs="宋体"/>
          <w:color w:val="000000"/>
          <w:spacing w:val="2"/>
          <w:sz w:val="24"/>
          <w:szCs w:val="24"/>
          <w:highlight w:val="none"/>
        </w:rPr>
        <w:t xml:space="preserve">位</w:t>
      </w:r>
      <w:r>
        <w:rPr>
          <w:rFonts w:hint="eastAsia" w:eastAsia="宋体" w:cs="宋体"/>
          <w:color w:val="000000"/>
          <w:sz w:val="24"/>
          <w:szCs w:val="24"/>
          <w:highlight w:val="none"/>
        </w:rPr>
        <w:t xml:space="preserve">（或称甲方）：</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中标人（或称乙方）：</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签订时间：</w:t>
      </w:r>
      <w:r>
        <w:rPr>
          <w:rFonts w:hint="eastAsia" w:eastAsia="宋体" w:cs="宋体"/>
          <w:color w:val="000000"/>
          <w:sz w:val="24"/>
          <w:szCs w:val="24"/>
          <w:highlight w:val="none"/>
          <w:lang w:val="en-US" w:eastAsia="zh-CN"/>
        </w:rPr>
        <w:t xml:space="preserve">2025</w:t>
      </w:r>
      <w:r>
        <w:rPr>
          <w:rFonts w:hint="eastAsia" w:eastAsia="宋体" w:cs="宋体"/>
          <w:color w:val="000000"/>
          <w:sz w:val="24"/>
          <w:szCs w:val="24"/>
          <w:highlight w:val="none"/>
        </w:rPr>
        <w:t xml:space="preserve">年</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月</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日</w:t>
      </w:r>
      <w:r/>
    </w:p>
    <w:p>
      <w:pPr>
        <w:ind w:firstLine="480"/>
        <w:keepLines w:val="0"/>
        <w:keepNext w:val="0"/>
        <w:pageBreakBefore w:val="0"/>
        <w:spacing w:line="360" w:lineRule="auto"/>
        <w:widowControl w:val="off"/>
        <w:rPr>
          <w:rFonts w:eastAsia="宋体" w:cs="宋体"/>
          <w:color w:val="000000"/>
          <w:sz w:val="24"/>
          <w:szCs w:val="24"/>
          <w:highlight w:val="none"/>
          <w:u w:val="single"/>
        </w:rPr>
      </w:pPr>
      <w:r>
        <w:rPr>
          <w:rFonts w:hint="eastAsia" w:eastAsia="宋体" w:cs="宋体"/>
          <w:color w:val="000000"/>
          <w:sz w:val="24"/>
          <w:szCs w:val="24"/>
          <w:highlight w:val="none"/>
        </w:rPr>
        <w:t xml:space="preserve">签订地点：</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根据《中华人民共和国民法典》</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《中华人民共和国政府采购法》及</w:t>
      </w:r>
      <w:r>
        <w:rPr>
          <w:rFonts w:hint="eastAsia" w:eastAsia="宋体" w:cs="宋体"/>
          <w:color w:val="000000"/>
          <w:sz w:val="24"/>
          <w:szCs w:val="24"/>
          <w:highlight w:val="none"/>
          <w:u w:val="single"/>
          <w:lang w:eastAsia="zh-CN"/>
        </w:rPr>
        <w:t xml:space="preserve">南通博物苑历史区文物建筑保护利用项目</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(采购编号： )的采购结果、采购文件及乙方的公开招标响应文件，经双方协商一致，签订本合同。</w:t>
      </w:r>
      <w:r/>
    </w:p>
    <w:p>
      <w:pPr>
        <w:ind w:firstLine="482"/>
        <w:keepLines w:val="0"/>
        <w:keepNext w:val="0"/>
        <w:pageBreakBefore w:val="0"/>
        <w:spacing w:line="360" w:lineRule="auto"/>
        <w:widowControl w:val="off"/>
        <w:rPr>
          <w:rFonts w:eastAsia="宋体" w:cs="宋体"/>
          <w:color w:val="000000"/>
          <w:sz w:val="24"/>
          <w:szCs w:val="24"/>
          <w:highlight w:val="none"/>
        </w:rPr>
        <w:outlineLvl w:val="1"/>
      </w:pPr>
      <w:r>
        <w:rPr>
          <w:rFonts w:hint="eastAsia" w:eastAsia="宋体" w:cs="宋体"/>
          <w:b/>
          <w:bCs/>
          <w:color w:val="000000"/>
          <w:sz w:val="24"/>
          <w:szCs w:val="24"/>
          <w:highlight w:val="none"/>
        </w:rPr>
        <w:t xml:space="preserve">一、合同一般条款</w:t>
      </w:r>
      <w:r/>
    </w:p>
    <w:p>
      <w:pPr>
        <w:ind w:firstLine="482"/>
        <w:keepLines w:val="0"/>
        <w:keepNext w:val="0"/>
        <w:pageBreakBefore w:val="0"/>
        <w:spacing w:line="360" w:lineRule="auto"/>
        <w:widowControl w:val="off"/>
        <w:rPr>
          <w:rFonts w:eastAsia="宋体" w:cs="宋体"/>
          <w:b/>
          <w:bCs/>
          <w:color w:val="000000"/>
          <w:sz w:val="24"/>
          <w:szCs w:val="24"/>
          <w:highlight w:val="none"/>
        </w:rPr>
        <w:outlineLvl w:val="2"/>
      </w:pPr>
      <w:r>
        <w:rPr>
          <w:rFonts w:hint="eastAsia" w:eastAsia="宋体" w:cs="宋体"/>
          <w:b/>
          <w:bCs/>
          <w:color w:val="000000"/>
          <w:sz w:val="24"/>
          <w:szCs w:val="24"/>
          <w:highlight w:val="none"/>
        </w:rPr>
        <w:t xml:space="preserve">第一部分 合同文件</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1.合同文件适用法律</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适用于合同文件的法律是中华人民共和国现行法律、法规及甲方所在地的地方性法规。</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2.合同文件组成和解释顺序</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合同文件的组成和解释顺序如下：</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2.1.1 合同的特殊性条款</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2.1.2 合同的一般性条款</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2.1.3 洽商、变更等明确双方权利义务的纪要、协议</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2.1.4 中标通知书、采购文件和供应商公开招标响应文件</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2.1.5 标准、规范和其它有关技术资料、技术要求</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2.2 合同的特殊性条款的效力优于合同的一般性条款的效力</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3.合同文件使用文字</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合同文件使用中文书写、解释和说明</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3.2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第二部分 标的物的一般条款</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4.完整物权</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对于提供的标的物或服务，乙方应当拥有完整物权，并且乙方负有保证第三人不得向甲方主张任何权利（包括知识产权）的义务。</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5.质量保证</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由乙方按采购文件要求制定服务方案，并提供服务质量、标准、合同执行期间按此服务标准执行。</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第三部分 对服务质量提出异议的时间和办法</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6.提出异议的时间和办法</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6.1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乙方在服务期间，若甲方认为乙方的服务质量未达到合同规定的。</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6.2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如甲方在验收期满后既不出具验收合格证明又未提出书面异议的视为乙方所交标的物或服务符合合同规定。</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第四部分 合同价款和支付</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7.合同价款和支付</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本合同的结算货币为人民币，单位元。</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乙方应按照双方签订的合同规定服务并在合同特殊条款规定的期限内持下列单据结算合同款项。</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7.2.1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合格的发票；</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7.2.2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甲方盖章后的验收合格证明。</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7.3</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甲方应按合同特殊条款规定的期限和方式付款。</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7.4</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根据现行税法对甲方征收的与本合同有关的一切税费均由甲方承担；根据现行税法对乙方征收的与本合同有关的一切税费均由乙方承担。</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第五部分 违约责任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8.违约责任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9.甲方违约责任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9.1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在合同生效后，甲方要求取消货物服务的，应向乙方偿付合同总价款的5%，作为违约金，违约金不足以补偿损失的，乙方有权要求甲方补足。</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9.2 甲方逾期付款的应按照逾期付款金额的每天万分之四支付逾期付款违约金。</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10.乙方违约责任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10.1 乙方不能按时提供货物服务的，甲方有权解除合同，乙方向甲方偿付合同总价款5%的违约金，违约金不足以补偿损失的甲方有权要求乙方补足。</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11.不可抗力</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11.1 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11.2 合同一方因不可抗力不能履行合同的，应当及时通知对方，以减轻可能给对方造成的损失，并应当在合理期限内提供证明。</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第六部分 合同的解除和转让</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12.合同的解除</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12.1 有下列情形之一，合同一方可以解除合同：</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12.1.1 因不可抗力致使不能实现合同目的，未受不可抗力影响的一方有权解除合同；</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12.1.2 因合同一方违约导致合同不能履行，另一方有权解除合同；</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12.2 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13.合同的转让</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13.1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合同的部分和全部都不得转让。</w:t>
      </w:r>
      <w:r/>
    </w:p>
    <w:p>
      <w:pPr>
        <w:ind w:firstLine="482"/>
        <w:keepLines w:val="0"/>
        <w:keepNext w:val="0"/>
        <w:pageBreakBefore w:val="0"/>
        <w:spacing w:line="360" w:lineRule="auto"/>
        <w:widowControl w:val="off"/>
        <w:rPr>
          <w:rFonts w:eastAsia="宋体" w:cs="宋体"/>
          <w:b/>
          <w:bCs/>
          <w:color w:val="000000"/>
          <w:sz w:val="24"/>
          <w:szCs w:val="24"/>
          <w:highlight w:val="none"/>
        </w:rPr>
        <w:outlineLvl w:val="1"/>
      </w:pPr>
      <w:r/>
      <w:bookmarkStart w:id="27" w:name="_Toc363573859"/>
      <w:r>
        <w:rPr>
          <w:rFonts w:hint="eastAsia" w:eastAsia="宋体" w:cs="宋体"/>
          <w:b/>
          <w:bCs/>
          <w:color w:val="000000"/>
          <w:sz w:val="24"/>
          <w:szCs w:val="24"/>
          <w:highlight w:val="none"/>
        </w:rPr>
        <w:t xml:space="preserve">二、合同特殊条款</w:t>
      </w:r>
      <w:r/>
    </w:p>
    <w:p>
      <w:pPr>
        <w:ind w:firstLine="482"/>
        <w:keepLines w:val="0"/>
        <w:keepNext w:val="0"/>
        <w:pageBreakBefore w:val="0"/>
        <w:spacing w:line="360" w:lineRule="auto"/>
        <w:widowControl w:val="off"/>
        <w:rPr>
          <w:rFonts w:eastAsia="宋体" w:cs="宋体"/>
          <w:b/>
          <w:bCs/>
          <w:color w:val="000000"/>
          <w:sz w:val="24"/>
          <w:szCs w:val="24"/>
          <w:highlight w:val="none"/>
        </w:rPr>
        <w:outlineLvl w:val="2"/>
      </w:pPr>
      <w:r>
        <w:rPr>
          <w:rFonts w:hint="eastAsia" w:eastAsia="宋体" w:cs="宋体"/>
          <w:b/>
          <w:bCs/>
          <w:color w:val="000000"/>
          <w:sz w:val="24"/>
          <w:szCs w:val="24"/>
          <w:highlight w:val="none"/>
        </w:rPr>
        <w:t xml:space="preserve">1.合同标的物</w:t>
      </w:r>
      <w:bookmarkStart w:id="28" w:name="_Hlk48683317"/>
      <w:r/>
      <w:r/>
    </w:p>
    <w:p>
      <w:pPr>
        <w:ind w:firstLine="482"/>
        <w:keepLines w:val="0"/>
        <w:keepNext w:val="0"/>
        <w:pageBreakBefore w:val="0"/>
        <w:spacing w:line="360" w:lineRule="auto"/>
        <w:widowControl w:val="off"/>
        <w:rPr>
          <w:rFonts w:eastAsia="宋体" w:cs="宋体"/>
          <w:b/>
          <w:bCs/>
          <w:color w:val="000000"/>
          <w:sz w:val="24"/>
          <w:szCs w:val="24"/>
          <w:highlight w:val="none"/>
        </w:rPr>
      </w:pPr>
      <w:r>
        <w:rPr>
          <w:rFonts w:hint="eastAsia" w:eastAsia="宋体" w:cs="宋体"/>
          <w:b/>
          <w:bCs/>
          <w:color w:val="000000"/>
          <w:sz w:val="24"/>
          <w:szCs w:val="24"/>
          <w:highlight w:val="none"/>
          <w:u w:val="single"/>
        </w:rPr>
        <w:t xml:space="preserve">详见项目采购文件第三章项目需求中的清单内容</w:t>
      </w:r>
      <w:bookmarkEnd w:id="28"/>
      <w:r>
        <w:rPr>
          <w:rFonts w:hint="eastAsia" w:eastAsia="宋体" w:cs="宋体"/>
          <w:b/>
          <w:bCs/>
          <w:color w:val="000000"/>
          <w:sz w:val="24"/>
          <w:szCs w:val="24"/>
          <w:highlight w:val="none"/>
          <w:u w:val="single"/>
        </w:rPr>
        <w:t xml:space="preserve">（可以将标的物的明细清单作为本合同的附件）</w:t>
      </w:r>
      <w:r>
        <w:rPr>
          <w:rFonts w:hint="eastAsia" w:eastAsia="宋体" w:cs="宋体"/>
          <w:b/>
          <w:bCs/>
          <w:color w:val="000000"/>
          <w:sz w:val="24"/>
          <w:szCs w:val="24"/>
          <w:highlight w:val="none"/>
        </w:rPr>
        <w:t xml:space="preserve">。</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2.价格与支付</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（合同价格按本项目采购成交价格执行）合同总价款为人民币</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lang w:eastAsia="zh-CN"/>
        </w:rPr>
        <w:t xml:space="preserve">元</w:t>
      </w:r>
      <w:r>
        <w:rPr>
          <w:rFonts w:hint="eastAsia" w:eastAsia="宋体" w:cs="宋体"/>
          <w:color w:val="000000"/>
          <w:sz w:val="24"/>
          <w:szCs w:val="24"/>
          <w:highlight w:val="none"/>
        </w:rPr>
        <w:t xml:space="preserve">（¥</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元）。</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合同总价款包含所投项目设备（产品）、备品、备件</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深化、施工</w:t>
      </w:r>
      <w:r>
        <w:rPr>
          <w:rFonts w:hint="eastAsia" w:eastAsia="宋体" w:cs="宋体"/>
          <w:color w:val="000000"/>
          <w:sz w:val="24"/>
          <w:szCs w:val="24"/>
          <w:highlight w:val="none"/>
        </w:rPr>
        <w:t xml:space="preserve">和税费及包装、运至最终目的地的运输、保险、保管、现场安装、吊装、制作安装调试、技术支持与培训、售后服务与维保及相关劳务支出等工作所发生的全部费用，以及供应商企业利润、税金和政策性文件规定及合同包含的所有风险、责任等，即招标物交付使用前的所有费用以及免保期内的服务费用等各项应有费用。</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2.2付款方法：</w:t>
      </w:r>
      <w:r/>
    </w:p>
    <w:p>
      <w:pPr>
        <w:ind w:firstLine="482"/>
        <w:keepLines w:val="0"/>
        <w:keepNext w:val="0"/>
        <w:pageBreakBefore w:val="0"/>
        <w:spacing w:line="360" w:lineRule="auto"/>
        <w:rPr>
          <w:rFonts w:hint="eastAsia"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2.2.1 </w:t>
      </w:r>
      <w:r>
        <w:rPr>
          <w:rFonts w:hint="eastAsia" w:eastAsia="宋体" w:cs="宋体"/>
          <w:b w:val="0"/>
          <w:bCs w:val="0"/>
          <w:color w:val="000000"/>
          <w:sz w:val="24"/>
          <w:szCs w:val="24"/>
          <w:highlight w:val="none"/>
        </w:rPr>
        <w:t xml:space="preserve">合同签订生效后，</w:t>
      </w:r>
      <w:r>
        <w:rPr>
          <w:rFonts w:hint="eastAsia" w:eastAsia="宋体" w:cs="宋体"/>
          <w:b w:val="0"/>
          <w:bCs w:val="0"/>
          <w:color w:val="000000"/>
          <w:sz w:val="24"/>
          <w:szCs w:val="24"/>
          <w:highlight w:val="none"/>
          <w:lang w:val="en-US" w:eastAsia="zh-CN"/>
        </w:rPr>
        <w:t xml:space="preserve">甲方</w:t>
      </w:r>
      <w:r>
        <w:rPr>
          <w:rFonts w:hint="eastAsia" w:eastAsia="宋体" w:cs="宋体"/>
          <w:b w:val="0"/>
          <w:bCs w:val="0"/>
          <w:color w:val="000000"/>
          <w:sz w:val="24"/>
          <w:szCs w:val="24"/>
          <w:highlight w:val="none"/>
        </w:rPr>
        <w:t xml:space="preserve">自收到发票后的15日内支付合同总价款的30%作为项目建设实施的预付款；</w:t>
      </w:r>
      <w:r/>
    </w:p>
    <w:p>
      <w:pPr>
        <w:ind w:firstLine="482"/>
        <w:keepLines w:val="0"/>
        <w:keepNext w:val="0"/>
        <w:pageBreakBefore w:val="0"/>
        <w:spacing w:line="360" w:lineRule="auto"/>
        <w:rPr>
          <w:rFonts w:hint="eastAsia" w:eastAsia="宋体" w:cs="宋体"/>
          <w:b w:val="0"/>
          <w:bCs w:val="0"/>
          <w:color w:val="000000"/>
          <w:sz w:val="24"/>
          <w:szCs w:val="24"/>
          <w:highlight w:val="none"/>
          <w:lang w:eastAsia="zh-CN"/>
        </w:rPr>
      </w:pPr>
      <w:r>
        <w:rPr>
          <w:rFonts w:hint="eastAsia" w:eastAsia="宋体" w:cs="宋体"/>
          <w:b w:val="0"/>
          <w:bCs w:val="0"/>
          <w:color w:val="000000"/>
          <w:sz w:val="24"/>
          <w:szCs w:val="24"/>
          <w:highlight w:val="none"/>
          <w:lang w:val="en-US" w:eastAsia="zh-CN"/>
        </w:rPr>
        <w:t xml:space="preserve">2.2.2 施工部分竣工验收合格，</w:t>
      </w:r>
      <w:r>
        <w:rPr>
          <w:rFonts w:hint="eastAsia" w:eastAsia="宋体" w:cs="宋体"/>
          <w:b w:val="0"/>
          <w:bCs w:val="0"/>
          <w:color w:val="000000"/>
          <w:sz w:val="24"/>
          <w:szCs w:val="24"/>
          <w:highlight w:val="none"/>
        </w:rPr>
        <w:t xml:space="preserve">所有产品送达指定地点、安装</w:t>
      </w:r>
      <w:r>
        <w:rPr>
          <w:rFonts w:hint="eastAsia" w:eastAsia="宋体" w:cs="宋体"/>
          <w:b w:val="0"/>
          <w:bCs w:val="0"/>
          <w:color w:val="000000"/>
          <w:sz w:val="24"/>
          <w:szCs w:val="24"/>
          <w:highlight w:val="none"/>
          <w:lang w:eastAsia="zh-CN"/>
        </w:rPr>
        <w:t xml:space="preserve">调试</w:t>
      </w:r>
      <w:r>
        <w:rPr>
          <w:rFonts w:hint="eastAsia" w:eastAsia="宋体" w:cs="宋体"/>
          <w:b w:val="0"/>
          <w:bCs w:val="0"/>
          <w:color w:val="000000"/>
          <w:sz w:val="24"/>
          <w:szCs w:val="24"/>
          <w:highlight w:val="none"/>
        </w:rPr>
        <w:t xml:space="preserve">完毕并通过验收</w:t>
      </w:r>
      <w:r>
        <w:rPr>
          <w:rFonts w:hint="eastAsia" w:eastAsia="宋体" w:cs="宋体"/>
          <w:b w:val="0"/>
          <w:bCs w:val="0"/>
          <w:color w:val="000000"/>
          <w:sz w:val="24"/>
          <w:szCs w:val="24"/>
          <w:highlight w:val="none"/>
          <w:lang w:eastAsia="zh-CN"/>
        </w:rPr>
        <w:t xml:space="preserve">合格</w:t>
      </w:r>
      <w:r>
        <w:rPr>
          <w:rFonts w:hint="eastAsia" w:eastAsia="宋体" w:cs="宋体"/>
          <w:b w:val="0"/>
          <w:bCs w:val="0"/>
          <w:color w:val="000000"/>
          <w:sz w:val="24"/>
          <w:szCs w:val="24"/>
          <w:highlight w:val="none"/>
        </w:rPr>
        <w:t xml:space="preserve">后付至合同价款的</w:t>
      </w:r>
      <w:r>
        <w:rPr>
          <w:rFonts w:hint="eastAsia" w:eastAsia="宋体" w:cs="宋体"/>
          <w:b w:val="0"/>
          <w:bCs w:val="0"/>
          <w:color w:val="000000"/>
          <w:sz w:val="24"/>
          <w:szCs w:val="24"/>
          <w:highlight w:val="none"/>
          <w:lang w:val="en-US" w:eastAsia="zh-CN"/>
        </w:rPr>
        <w:t xml:space="preserve">6</w:t>
      </w:r>
      <w:r>
        <w:rPr>
          <w:rFonts w:hint="eastAsia" w:eastAsia="宋体" w:cs="宋体"/>
          <w:b w:val="0"/>
          <w:bCs w:val="0"/>
          <w:color w:val="000000"/>
          <w:sz w:val="24"/>
          <w:szCs w:val="24"/>
          <w:highlight w:val="none"/>
        </w:rPr>
        <w:t xml:space="preserve">0%（不计息）</w:t>
      </w:r>
      <w:r>
        <w:rPr>
          <w:rFonts w:hint="eastAsia" w:eastAsia="宋体" w:cs="宋体"/>
          <w:b w:val="0"/>
          <w:bCs w:val="0"/>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2.2.4 项目整体运行稳定半年后，竣工结算经过甲方审计核定，甲方付至审计核定价</w:t>
      </w:r>
      <w:r>
        <w:rPr>
          <w:rFonts w:hint="eastAsia" w:eastAsia="宋体" w:cs="宋体"/>
          <w:b w:val="0"/>
          <w:bCs w:val="0"/>
          <w:color w:val="000000"/>
          <w:sz w:val="24"/>
          <w:szCs w:val="24"/>
          <w:highlight w:val="none"/>
        </w:rPr>
        <w:t xml:space="preserve">的</w:t>
      </w:r>
      <w:r>
        <w:rPr>
          <w:rFonts w:hint="eastAsia" w:eastAsia="宋体" w:cs="宋体"/>
          <w:b w:val="0"/>
          <w:bCs w:val="0"/>
          <w:color w:val="000000"/>
          <w:sz w:val="24"/>
          <w:szCs w:val="24"/>
          <w:highlight w:val="none"/>
          <w:lang w:val="en-US" w:eastAsia="zh-CN"/>
        </w:rPr>
        <w:t xml:space="preserve">10</w:t>
      </w:r>
      <w:r>
        <w:rPr>
          <w:rFonts w:hint="eastAsia" w:eastAsia="宋体" w:cs="宋体"/>
          <w:b w:val="0"/>
          <w:bCs w:val="0"/>
          <w:color w:val="000000"/>
          <w:sz w:val="24"/>
          <w:szCs w:val="24"/>
          <w:highlight w:val="none"/>
        </w:rPr>
        <w:t xml:space="preserve">0%（不计息）</w:t>
      </w:r>
      <w:r>
        <w:rPr>
          <w:rFonts w:hint="eastAsia" w:eastAsia="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2.3</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付款时乙方须提供合格发票。</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2.4</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付款方式：银行转帐。</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3.服务承诺</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按照本合同项目计划采购公开招标文件和乙方在本合同项目计划采购公开招标响应文件中承诺的服务执行。</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4.标的物产品的质量要求</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4.1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乙方应保证货物是全新、未使用过的原装合格正品，并完全符合本合同项目计划采购公开招标文件规定的质量、规格和性能的要求。</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4.2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标的物产品的标准按国家标准执行，无国家标准的，按行业标准执行，无国家和行业标准的，按企业标准执行；但在公开招标文件中有特别要求的，按公开招标文件中规定的要求执行，并且符合相关法律、法规规定的要求。</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4.3</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标的物产品的包装，国家或行业主管部门有规定的，按规定执行。 </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4.4</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乙方应保证提供的产品不得侵犯第三方专利权、商标权和工业设计权、版权等。否则，乙方应负全部责任，并承担由此引起的一切后果。</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4.5</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乙方应保证其所供标的物产品货物在正确安装、正常使用和保养条件下，在其使用寿命期内应具有满意的性能。</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4.6</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乙方应采取必要的安全措施保证货物的运输及安装的安全，并承担货物的运输及安装过程中产生的一切风险及全部责任。</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5.合同履约期限和项目建设实施地点</w:t>
      </w:r>
      <w:r/>
    </w:p>
    <w:p>
      <w:pPr>
        <w:ind w:firstLine="480"/>
        <w:keepLines w:val="0"/>
        <w:keepNext w:val="0"/>
        <w:pageBreakBefore w:val="0"/>
        <w:spacing w:line="360" w:lineRule="auto"/>
        <w:widowControl w:val="off"/>
        <w:rPr>
          <w:rFonts w:eastAsia="宋体" w:cs="宋体"/>
          <w:color w:val="000000"/>
          <w:sz w:val="24"/>
          <w:szCs w:val="24"/>
          <w:highlight w:val="none"/>
          <w:shd w:val="clear" w:color="auto" w:fill="ff0000"/>
        </w:rPr>
      </w:pPr>
      <w:r>
        <w:rPr>
          <w:rFonts w:hint="eastAsia" w:eastAsia="宋体" w:cs="宋体"/>
          <w:color w:val="000000"/>
          <w:sz w:val="24"/>
          <w:szCs w:val="24"/>
          <w:highlight w:val="none"/>
        </w:rPr>
        <w:t xml:space="preserve">5.1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合同履约期限：</w:t>
      </w:r>
      <w:r>
        <w:rPr>
          <w:rFonts w:hint="eastAsia" w:eastAsia="宋体" w:cs="宋体"/>
          <w:color w:val="000000"/>
          <w:sz w:val="24"/>
          <w:szCs w:val="24"/>
          <w:highlight w:val="none"/>
          <w:lang w:val="en-US" w:eastAsia="zh-CN"/>
        </w:rPr>
        <w:t xml:space="preserve">合同签订生效后至2025年11月30日完成供货、安装、施工、调试和验收合格（具体时间采购单位另行通知）。</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5.2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供货安装地点：甲方指定的场所。</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6.项目建设实施步骤</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6.1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项目建设产品设备到货及报验：标的物产品设备到达甲方指定现场前，应提前3天用函、电通知甲方做好准备，由甲方会同有关单位和人员根据乙方提供的项目产品设备清单，现场对标的物产品设备进行点验收货。</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6.2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提供项目产品设备的安装、调试：乙方应根据甲方的要求，在指定地点，根据项目建设要求进行产品设备的安装和调试。</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7.验收</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招标人在接到投标人以书面形式提出验收申请后，在7个工作日内及时组织相关专业技术人员，必要时邀请质检等部门共同参与验收，并出具验收报告，作为支付货款的依据。如验收不合格，使用方有权中止合同，验收不合格所发生的一切费用由中标供应商承担，按照实际发生的费用从履约保证金中扣除，扣完为止。</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项目建设整体在通过专项验收时，供应商应对其中的产品设备由于设计、工艺或材料的缺陷而发生的任何不足或故障负责，并承担由此引起的一切后果。</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7.3.如双方因产品设备的质量问题对项目建设整体（含产品设备）的验收结果有分歧，则以南通市市场监督管理局对可能有缺陷、故障的产品进行检测且以检测结果为准，检验费由有过失的一方支付。</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7.4</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对于涉及因检测不合格的产品设备（批次），无条件退场，且采购人有权据此认定为是供应商自身的原因而导致该种结果，采购人有权单方面解除本项目的采购合同。</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7.5</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采购人有权拒收未通过验收而涉及到的产品设备。</w:t>
      </w:r>
      <w:r/>
    </w:p>
    <w:p>
      <w:pPr>
        <w:ind w:firstLine="480"/>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color w:val="000000"/>
          <w:sz w:val="24"/>
          <w:szCs w:val="24"/>
          <w:highlight w:val="none"/>
        </w:rPr>
        <w:t xml:space="preserve">7.6</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项目建设整体验收合格的同时，供应商需提供项目内涉及到的产品设备的质保书、保修证明等书面资料给采购人。</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8.项目建设整体和标的物产品设备的质保</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8.1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质保期限：</w:t>
      </w:r>
      <w:r/>
    </w:p>
    <w:p>
      <w:pPr>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rPr>
        <w:t xml:space="preserve">本次采购项目建设整体和涉及到的所有产品设备，其质保期限为</w:t>
      </w:r>
      <w:r>
        <w:rPr>
          <w:rFonts w:hint="eastAsia" w:eastAsia="宋体" w:cs="宋体"/>
          <w:color w:val="000000"/>
          <w:sz w:val="24"/>
          <w:szCs w:val="24"/>
          <w:highlight w:val="none"/>
          <w:lang w:val="en-US" w:eastAsia="zh-CN"/>
        </w:rPr>
        <w:t xml:space="preserve">两</w:t>
      </w:r>
      <w:r>
        <w:rPr>
          <w:rFonts w:hint="eastAsia" w:eastAsia="宋体" w:cs="宋体"/>
          <w:color w:val="000000"/>
          <w:sz w:val="24"/>
          <w:szCs w:val="24"/>
          <w:highlight w:val="none"/>
        </w:rPr>
        <w:t xml:space="preserve">年</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其中</w:t>
      </w:r>
      <w:r>
        <w:rPr>
          <w:rFonts w:hint="eastAsia" w:eastAsia="宋体" w:cs="宋体"/>
          <w:color w:val="000000"/>
          <w:sz w:val="24"/>
          <w:szCs w:val="24"/>
          <w:highlight w:val="none"/>
          <w:lang w:eastAsia="zh-CN"/>
        </w:rPr>
        <w:t xml:space="preserve">照明灯光源及灯具质保</w:t>
      </w:r>
      <w:r>
        <w:rPr>
          <w:rFonts w:hint="eastAsia" w:eastAsia="宋体" w:cs="宋体"/>
          <w:color w:val="000000"/>
          <w:sz w:val="24"/>
          <w:szCs w:val="24"/>
          <w:highlight w:val="none"/>
          <w:lang w:val="en-US" w:eastAsia="zh-CN"/>
        </w:rPr>
        <w:t xml:space="preserve">期限为五</w:t>
      </w:r>
      <w:r>
        <w:rPr>
          <w:rFonts w:hint="eastAsia" w:eastAsia="宋体" w:cs="宋体"/>
          <w:color w:val="000000"/>
          <w:sz w:val="24"/>
          <w:szCs w:val="24"/>
          <w:highlight w:val="none"/>
          <w:lang w:eastAsia="zh-CN"/>
        </w:rPr>
        <w:t xml:space="preserve">年</w:t>
      </w:r>
      <w:r>
        <w:rPr>
          <w:rFonts w:hint="eastAsia" w:eastAsia="宋体" w:cs="宋体"/>
          <w:color w:val="000000"/>
          <w:sz w:val="24"/>
          <w:szCs w:val="24"/>
          <w:highlight w:val="none"/>
        </w:rPr>
        <w:t xml:space="preserve">（从项目通过最终验收之日起计）。</w:t>
      </w:r>
      <w:r>
        <w:rPr>
          <w:rFonts w:hint="eastAsia" w:eastAsia="宋体" w:cs="宋体"/>
          <w:color w:val="000000"/>
          <w:sz w:val="24"/>
          <w:szCs w:val="24"/>
          <w:highlight w:val="none"/>
          <w:lang w:eastAsia="zh-CN"/>
        </w:rPr>
        <w:t xml:space="preserve">并</w:t>
      </w:r>
      <w:r>
        <w:rPr>
          <w:rFonts w:hint="eastAsia" w:eastAsia="宋体" w:cs="宋体"/>
          <w:color w:val="000000"/>
          <w:sz w:val="24"/>
          <w:szCs w:val="24"/>
          <w:highlight w:val="none"/>
        </w:rPr>
        <w:t xml:space="preserve">终身提供使用维保。</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8.2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质保期验收合格之日起开始计算，质保期内免费提供项目整体的维护和产品设备的维修，包括非人为因素发生的产品设备修理、更换的费用。</w:t>
      </w:r>
      <w:r/>
    </w:p>
    <w:p>
      <w:pPr>
        <w:ind w:firstLine="482"/>
        <w:keepLines w:val="0"/>
        <w:keepNext w:val="0"/>
        <w:pageBreakBefore w:val="0"/>
        <w:spacing w:line="360" w:lineRule="auto"/>
        <w:widowControl w:val="off"/>
        <w:rPr>
          <w:rFonts w:eastAsia="宋体" w:cs="宋体"/>
          <w:color w:val="000000"/>
          <w:sz w:val="24"/>
          <w:szCs w:val="24"/>
          <w:highlight w:val="none"/>
        </w:rPr>
        <w:outlineLvl w:val="1"/>
      </w:pPr>
      <w:r>
        <w:rPr>
          <w:rFonts w:hint="eastAsia" w:eastAsia="宋体" w:cs="宋体"/>
          <w:b/>
          <w:color w:val="000000"/>
          <w:sz w:val="24"/>
          <w:szCs w:val="24"/>
          <w:highlight w:val="none"/>
          <w:lang w:val="en-US" w:eastAsia="zh-CN"/>
        </w:rPr>
        <w:t xml:space="preserve">9.</w:t>
      </w:r>
      <w:r>
        <w:rPr>
          <w:rFonts w:hint="eastAsia" w:eastAsia="宋体" w:cs="宋体"/>
          <w:b/>
          <w:color w:val="000000"/>
          <w:sz w:val="24"/>
          <w:szCs w:val="24"/>
          <w:highlight w:val="none"/>
        </w:rPr>
        <w:t xml:space="preserve">售后服务要求</w:t>
      </w:r>
      <w:r/>
    </w:p>
    <w:p>
      <w:pPr>
        <w:ind w:firstLine="482"/>
        <w:keepLines w:val="0"/>
        <w:keepNext w:val="0"/>
        <w:pageBreakBefore w:val="0"/>
        <w:spacing w:line="360" w:lineRule="auto"/>
        <w:widowControl w:val="off"/>
        <w:rPr>
          <w:rFonts w:eastAsia="宋体" w:cs="宋体"/>
          <w:color w:val="000000"/>
          <w:sz w:val="24"/>
          <w:szCs w:val="24"/>
          <w:highlight w:val="none"/>
        </w:rPr>
      </w:pPr>
      <w:r>
        <w:rPr>
          <w:rFonts w:hint="eastAsia" w:eastAsia="宋体" w:cs="宋体"/>
          <w:b/>
          <w:bCs/>
          <w:color w:val="000000"/>
          <w:sz w:val="24"/>
          <w:szCs w:val="24"/>
          <w:highlight w:val="none"/>
        </w:rPr>
        <w:t xml:space="preserve">注：公开招标响应供应商应就本项目提供详细的售后服务方案。</w:t>
      </w:r>
      <w:r/>
    </w:p>
    <w:p>
      <w:pPr>
        <w:ind w:firstLine="482"/>
        <w:keepLines w:val="0"/>
        <w:keepNext w:val="0"/>
        <w:pageBreakBefore w:val="0"/>
        <w:spacing w:line="360" w:lineRule="auto"/>
        <w:widowControl w:val="off"/>
        <w:rPr>
          <w:rFonts w:eastAsia="宋体" w:cs="宋体"/>
          <w:color w:val="000000"/>
          <w:sz w:val="24"/>
          <w:szCs w:val="24"/>
          <w:highlight w:val="none"/>
        </w:rPr>
        <w:outlineLvl w:val="1"/>
      </w:pPr>
      <w:r>
        <w:rPr>
          <w:rFonts w:hint="eastAsia" w:eastAsia="宋体" w:cs="宋体"/>
          <w:b/>
          <w:color w:val="000000"/>
          <w:sz w:val="24"/>
          <w:szCs w:val="24"/>
          <w:highlight w:val="none"/>
          <w:lang w:val="en-US" w:eastAsia="zh-CN"/>
        </w:rPr>
        <w:t xml:space="preserve">9.</w:t>
      </w:r>
      <w:r>
        <w:rPr>
          <w:rFonts w:hint="eastAsia" w:eastAsia="宋体" w:cs="宋体"/>
          <w:b/>
          <w:color w:val="000000"/>
          <w:sz w:val="24"/>
          <w:szCs w:val="24"/>
          <w:highlight w:val="none"/>
        </w:rPr>
        <w:t xml:space="preserve">售后服务要求</w:t>
      </w:r>
      <w:r/>
    </w:p>
    <w:p>
      <w:pPr>
        <w:ind w:firstLine="482"/>
        <w:keepLines w:val="0"/>
        <w:keepNext w:val="0"/>
        <w:pageBreakBefore w:val="0"/>
        <w:spacing w:line="360" w:lineRule="auto"/>
        <w:widowControl w:val="off"/>
        <w:rPr>
          <w:rFonts w:eastAsia="宋体" w:cs="宋体"/>
          <w:color w:val="000000"/>
          <w:sz w:val="24"/>
          <w:szCs w:val="24"/>
          <w:highlight w:val="none"/>
        </w:rPr>
      </w:pPr>
      <w:r>
        <w:rPr>
          <w:rFonts w:hint="eastAsia" w:eastAsia="宋体" w:cs="宋体"/>
          <w:b/>
          <w:bCs/>
          <w:color w:val="000000"/>
          <w:sz w:val="24"/>
          <w:szCs w:val="24"/>
          <w:highlight w:val="none"/>
        </w:rPr>
        <w:t xml:space="preserve">注：公开招标响应供应商应就本项目提供详细的售后服务方案。</w:t>
      </w:r>
      <w:r/>
    </w:p>
    <w:p>
      <w:pPr>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lang w:eastAsia="zh-CN"/>
        </w:rPr>
        <w:t xml:space="preserve">9.</w:t>
      </w: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保证甲方的使用人员正常操作项目系统涉及的标的物产品设备的各种功能。</w:t>
      </w:r>
      <w:r/>
    </w:p>
    <w:p>
      <w:pPr>
        <w:ind w:firstLine="480"/>
        <w:keepLines w:val="0"/>
        <w:keepNext w:val="0"/>
        <w:pageBreakBefore w:val="0"/>
        <w:spacing w:line="360" w:lineRule="auto"/>
        <w:widowControl w:val="off"/>
        <w:rPr>
          <w:rFonts w:hint="eastAsia" w:eastAsia="宋体" w:cs="宋体"/>
          <w:color w:val="000000"/>
          <w:sz w:val="24"/>
          <w:szCs w:val="24"/>
          <w:highlight w:val="none"/>
        </w:rPr>
      </w:pPr>
      <w:r>
        <w:rPr>
          <w:rFonts w:hint="eastAsia" w:eastAsia="宋体" w:cs="宋体"/>
          <w:color w:val="000000"/>
          <w:sz w:val="24"/>
          <w:szCs w:val="24"/>
          <w:highlight w:val="none"/>
          <w:lang w:eastAsia="zh-CN"/>
        </w:rPr>
        <w:t xml:space="preserve">9.</w:t>
      </w: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本次采购项目建设整体和涉及到的所有产品设备，其质保期限为</w:t>
      </w:r>
      <w:r>
        <w:rPr>
          <w:rFonts w:hint="eastAsia" w:eastAsia="宋体" w:cs="宋体"/>
          <w:color w:val="000000"/>
          <w:sz w:val="24"/>
          <w:szCs w:val="24"/>
          <w:highlight w:val="none"/>
          <w:lang w:val="en-US" w:eastAsia="zh-CN"/>
        </w:rPr>
        <w:t xml:space="preserve">两</w:t>
      </w:r>
      <w:r>
        <w:rPr>
          <w:rFonts w:hint="eastAsia" w:eastAsia="宋体" w:cs="宋体"/>
          <w:color w:val="000000"/>
          <w:sz w:val="24"/>
          <w:szCs w:val="24"/>
          <w:highlight w:val="none"/>
        </w:rPr>
        <w:t xml:space="preserve">年</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其中</w:t>
      </w:r>
      <w:r>
        <w:rPr>
          <w:rFonts w:hint="eastAsia" w:eastAsia="宋体" w:cs="宋体"/>
          <w:color w:val="000000"/>
          <w:sz w:val="24"/>
          <w:szCs w:val="24"/>
          <w:highlight w:val="none"/>
          <w:lang w:eastAsia="zh-CN"/>
        </w:rPr>
        <w:t xml:space="preserve">照明灯光源及灯具质保</w:t>
      </w:r>
      <w:r>
        <w:rPr>
          <w:rFonts w:hint="eastAsia" w:eastAsia="宋体" w:cs="宋体"/>
          <w:color w:val="000000"/>
          <w:sz w:val="24"/>
          <w:szCs w:val="24"/>
          <w:highlight w:val="none"/>
          <w:lang w:val="en-US" w:eastAsia="zh-CN"/>
        </w:rPr>
        <w:t xml:space="preserve">期限为五</w:t>
      </w:r>
      <w:r>
        <w:rPr>
          <w:rFonts w:hint="eastAsia" w:eastAsia="宋体" w:cs="宋体"/>
          <w:color w:val="000000"/>
          <w:sz w:val="24"/>
          <w:szCs w:val="24"/>
          <w:highlight w:val="none"/>
          <w:lang w:eastAsia="zh-CN"/>
        </w:rPr>
        <w:t xml:space="preserve">年</w:t>
      </w:r>
      <w:r>
        <w:rPr>
          <w:rFonts w:hint="eastAsia" w:eastAsia="宋体" w:cs="宋体"/>
          <w:color w:val="000000"/>
          <w:sz w:val="24"/>
          <w:szCs w:val="24"/>
          <w:highlight w:val="none"/>
        </w:rPr>
        <w:t xml:space="preserve">（从项目通过最终验收之日起计）。</w:t>
      </w:r>
      <w:r>
        <w:rPr>
          <w:rFonts w:hint="eastAsia" w:eastAsia="宋体" w:cs="宋体"/>
          <w:color w:val="000000"/>
          <w:sz w:val="24"/>
          <w:szCs w:val="24"/>
          <w:highlight w:val="none"/>
          <w:lang w:eastAsia="zh-CN"/>
        </w:rPr>
        <w:t xml:space="preserve">并</w:t>
      </w:r>
      <w:r>
        <w:rPr>
          <w:rFonts w:hint="eastAsia" w:eastAsia="宋体" w:cs="宋体"/>
          <w:color w:val="000000"/>
          <w:sz w:val="24"/>
          <w:szCs w:val="24"/>
          <w:highlight w:val="none"/>
        </w:rPr>
        <w:t xml:space="preserve">终身提供使用维保。</w:t>
      </w:r>
      <w:r/>
    </w:p>
    <w:p>
      <w:pPr>
        <w:ind w:firstLine="480"/>
        <w:keepLines w:val="0"/>
        <w:keepNext w:val="0"/>
        <w:pageBreakBefore w:val="0"/>
        <w:spacing w:line="360" w:lineRule="auto"/>
        <w:widowControl w:val="off"/>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eastAsia="zh-CN"/>
        </w:rPr>
        <w:t xml:space="preserve">9.</w:t>
      </w:r>
      <w:r>
        <w:rPr>
          <w:rFonts w:hint="eastAsia"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 在质保期限内，免费维护维修（含维修的整机、零部件、辅配件）及技术支持，质保期限外提供免费维护和技术支持以及有偿的维修只收材料成本费（商检、计量、运输等费用由乙方承担）。</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保修期内，乙方负责对其提供的货物整机进行维修和系统维护，不再收取任何费用。</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lang w:eastAsia="zh-CN"/>
        </w:rPr>
        <w:t xml:space="preserve">9.</w:t>
      </w:r>
      <w:r>
        <w:rPr>
          <w:rFonts w:hint="eastAsia" w:eastAsia="宋体" w:cs="宋体"/>
          <w:color w:val="000000"/>
          <w:sz w:val="24"/>
          <w:szCs w:val="24"/>
          <w:highlight w:val="none"/>
        </w:rPr>
        <w:t xml:space="preserve">4</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若货物故障在检修24工作小时后仍无法排除，乙方应免费提供不低于故障货物规格型号档次的备用货物供甲方使用，直至故障货物修复，如因此给甲方造成损失，乙方应负责赔偿。</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如乙方在接到甲方提出的技术服务要求或维修通知后4小时内没有响应、拒绝或24小时没有派员到达现场提供技术服务、修理或退换货物，甲方有权委托第三人对合同货物进行维修或提供技术服务，由此产生的一切费用由乙方承担。</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在合同货物保修期内，如果由于乙方更换、修理和续补货物，而造成本合同货物不得不停止运行，货物保修期应依照停止运行的实际时间加以延长，如因此给甲方造成损失，乙方应负责赔偿</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lang w:eastAsia="zh-CN"/>
        </w:rPr>
        <w:t xml:space="preserve">9.</w:t>
      </w:r>
      <w:r>
        <w:rPr>
          <w:rFonts w:hint="eastAsia" w:eastAsia="宋体" w:cs="宋体"/>
          <w:color w:val="000000"/>
          <w:sz w:val="24"/>
          <w:szCs w:val="24"/>
          <w:highlight w:val="none"/>
        </w:rPr>
        <w:t xml:space="preserve">5</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所有货物保修服务方式均为乙方上门保修，即由乙方派员到货物使用现场维修，由此产生的一切费用均由乙方承担。如乙方在接到甲方通知后不到场，则甲方有权聘请其他技术人员到场进行技术支持，相关费用由乙方承担，甲方有权在尾款中直接扣除相关费用。</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lang w:eastAsia="zh-CN"/>
        </w:rPr>
        <w:t xml:space="preserve">9.</w:t>
      </w:r>
      <w:r>
        <w:rPr>
          <w:rFonts w:hint="eastAsia"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货物保修期届满后，乙方保证继续为甲方提供货物的维修服务，甲方应按卖方提供的优惠价格向乙方支付相关费用，乙方保证在合同货物使用期内以不高于本合同货物和相关配件的价格向招标人提供备品备件。</w:t>
      </w:r>
      <w:r/>
    </w:p>
    <w:p>
      <w:pPr>
        <w:ind w:firstLine="482"/>
        <w:keepLines w:val="0"/>
        <w:keepNext w:val="0"/>
        <w:pageBreakBefore w:val="0"/>
        <w:spacing w:line="360" w:lineRule="auto"/>
        <w:widowControl w:val="off"/>
        <w:rPr>
          <w:rFonts w:hint="eastAsia" w:eastAsia="宋体" w:cs="宋体"/>
          <w:color w:val="000000"/>
          <w:sz w:val="24"/>
          <w:szCs w:val="24"/>
          <w:highlight w:val="none"/>
        </w:rPr>
        <w:outlineLvl w:val="2"/>
      </w:pPr>
      <w:r>
        <w:rPr>
          <w:rFonts w:hint="eastAsia" w:eastAsia="宋体" w:cs="宋体"/>
          <w:color w:val="000000"/>
          <w:sz w:val="24"/>
          <w:szCs w:val="24"/>
          <w:highlight w:val="none"/>
          <w:lang w:val="en-US" w:eastAsia="zh-CN"/>
        </w:rPr>
        <w:t xml:space="preserve">9.7 </w:t>
      </w:r>
      <w:r>
        <w:rPr>
          <w:rFonts w:hint="eastAsia" w:eastAsia="宋体" w:cs="宋体"/>
          <w:color w:val="000000"/>
          <w:sz w:val="24"/>
          <w:szCs w:val="24"/>
          <w:highlight w:val="none"/>
        </w:rPr>
        <w:t xml:space="preserve">质保期间或过质保期后，标的物产品设备发生非人为操作原因的重大故障，甲方保留追溯乙方责任的权利。</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10.违约责任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按本合同第一条“一般条款”的约定执行。</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11.合同生效及其它</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本合同在乙方提交合同总价款的</w:t>
      </w:r>
      <w:r>
        <w:rPr>
          <w:rFonts w:hint="eastAsia" w:eastAsia="宋体" w:cs="宋体"/>
          <w:color w:val="000000"/>
          <w:sz w:val="24"/>
          <w:szCs w:val="24"/>
          <w:highlight w:val="none"/>
          <w:u w:val="single"/>
        </w:rPr>
        <w:t xml:space="preserve">  5%  </w:t>
      </w:r>
      <w:r>
        <w:rPr>
          <w:rFonts w:hint="eastAsia" w:eastAsia="宋体" w:cs="宋体"/>
          <w:color w:val="000000"/>
          <w:sz w:val="24"/>
          <w:szCs w:val="24"/>
          <w:highlight w:val="none"/>
        </w:rPr>
        <w:t xml:space="preserve">，即人民币</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lang w:eastAsia="zh-CN"/>
        </w:rPr>
        <w:t xml:space="preserve">元</w:t>
      </w:r>
      <w:r>
        <w:rPr>
          <w:rFonts w:hint="eastAsia" w:eastAsia="宋体" w:cs="宋体"/>
          <w:color w:val="000000"/>
          <w:sz w:val="24"/>
          <w:szCs w:val="24"/>
          <w:highlight w:val="none"/>
        </w:rPr>
        <w:t xml:space="preserve">（¥</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元）给甲方的履约保证金凭证后，甲乙双方签订合同。</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11.1.2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乙方可以选择以</w:t>
      </w:r>
      <w:r>
        <w:rPr>
          <w:rFonts w:hint="eastAsia"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rPr>
        <w:t xml:space="preserve">形式提交履约保证金。</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11.1.3</w:t>
      </w:r>
      <w:r>
        <w:rPr>
          <w:rFonts w:hint="eastAsia" w:eastAsia="宋体" w:cs="宋体"/>
          <w:color w:val="000000"/>
          <w:sz w:val="24"/>
          <w:szCs w:val="24"/>
          <w:highlight w:val="none"/>
          <w:lang w:val="en-US" w:eastAsia="zh-CN"/>
        </w:rPr>
        <w:t xml:space="preserve"> </w:t>
      </w:r>
      <w:r>
        <w:rPr>
          <w:rFonts w:hint="eastAsia" w:eastAsia="宋体" w:cs="宋体"/>
          <w:bCs/>
          <w:color w:val="000000"/>
          <w:sz w:val="24"/>
          <w:szCs w:val="22"/>
          <w:highlight w:val="none"/>
        </w:rPr>
        <w:t xml:space="preserve">乙方全部履约合同义务，经甲方验收合格无质量、进度等问题的，在所有</w:t>
      </w:r>
      <w:r>
        <w:rPr>
          <w:rFonts w:hint="eastAsia" w:eastAsia="宋体" w:cs="宋体"/>
          <w:bCs/>
          <w:color w:val="000000"/>
          <w:sz w:val="24"/>
          <w:szCs w:val="22"/>
          <w:highlight w:val="none"/>
          <w:lang w:eastAsia="zh-CN"/>
        </w:rPr>
        <w:t xml:space="preserve">施工、</w:t>
      </w:r>
      <w:r>
        <w:rPr>
          <w:rFonts w:hint="eastAsia" w:eastAsia="宋体" w:cs="宋体"/>
          <w:bCs/>
          <w:color w:val="000000"/>
          <w:sz w:val="24"/>
          <w:szCs w:val="22"/>
          <w:highlight w:val="none"/>
        </w:rPr>
        <w:t xml:space="preserve">设备验收合格之日起，30个工作日内一次性退还履约保证金；</w:t>
      </w:r>
      <w:r>
        <w:rPr>
          <w:rFonts w:eastAsia="宋体" w:cs="宋体"/>
          <w:color w:val="000000"/>
          <w:sz w:val="24"/>
          <w:highlight w:val="none"/>
        </w:rPr>
        <w:t xml:space="preserve">如</w:t>
      </w:r>
      <w:r>
        <w:rPr>
          <w:rFonts w:hint="eastAsia" w:eastAsia="宋体" w:cs="宋体"/>
          <w:color w:val="000000"/>
          <w:sz w:val="24"/>
          <w:highlight w:val="none"/>
        </w:rPr>
        <w:t xml:space="preserve">甲方</w:t>
      </w:r>
      <w:r>
        <w:rPr>
          <w:rFonts w:eastAsia="宋体" w:cs="宋体"/>
          <w:color w:val="000000"/>
          <w:sz w:val="24"/>
          <w:highlight w:val="none"/>
        </w:rPr>
        <w:t xml:space="preserve">迟于约定时间退还履约保证金，除不可抗力因素外，自超过付款期限之日起，</w:t>
      </w:r>
      <w:r>
        <w:rPr>
          <w:rFonts w:hint="eastAsia" w:eastAsia="宋体" w:cs="宋体"/>
          <w:color w:val="000000"/>
          <w:sz w:val="24"/>
          <w:highlight w:val="none"/>
        </w:rPr>
        <w:t xml:space="preserve">按照逾期部分的每日0.01%支付违约金</w:t>
      </w:r>
      <w:r>
        <w:rPr>
          <w:rFonts w:eastAsia="宋体" w:cs="宋体"/>
          <w:color w:val="000000"/>
          <w:sz w:val="24"/>
          <w:highlight w:val="none"/>
        </w:rPr>
        <w:t xml:space="preserve">。</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11.1.4</w:t>
      </w:r>
      <w:bookmarkStart w:id="29" w:name="_Hlk69858441"/>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发生以下情况的，履约保证金不予退还或部分退还：</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（1）签订合同后，乙方不履行合同义务的，甲方有权全额扣除履约保证金，全额不予退还，同时甲方亦有权终止合同，乙方还须承担相应的法律赔偿责任。</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（2）乙方在履约过程中发生违约行为，给甲方造成损失的，甲方有权在乙方缴纳的履约保证金中予以扣款，以弥补甲方经济损失，不足的部分乙方另外补齐。</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11.3</w:t>
      </w:r>
      <w:r>
        <w:rPr>
          <w:rFonts w:hint="eastAsia" w:eastAsia="宋体" w:cs="宋体"/>
          <w:color w:val="000000"/>
          <w:sz w:val="24"/>
          <w:szCs w:val="24"/>
          <w:highlight w:val="none"/>
          <w:lang w:val="en-US" w:eastAsia="zh-CN"/>
        </w:rPr>
        <w:t xml:space="preserve"> </w:t>
      </w:r>
      <w:r>
        <w:rPr>
          <w:rFonts w:hint="eastAsia" w:eastAsia="宋体"/>
          <w:b/>
          <w:bCs/>
          <w:color w:val="000000"/>
          <w:sz w:val="24"/>
          <w:szCs w:val="24"/>
          <w:highlight w:val="none"/>
        </w:rPr>
        <w:t xml:space="preserve">以履约保函（保险）形式向甲方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11.4</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合同在执行过程中出现的未尽事宜，双方在不违背本合同和本合同计划采购文件的原则下协商解决，协商结果以书面形式盖章记录在案，作为本合同的附件，与本合同具有同等效力。</w:t>
      </w:r>
      <w:bookmarkEnd w:id="29"/>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12.合同争议</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12.1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争议解决：甲乙双方因合同发生争议，应在甲方的主持下进行调解，协商不成，任何一方可以向甲方所在地人民法院起诉。</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12.2</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甲方因处理乙方违约所产生的费用应当由乙方予以承担，该费用包括但不限于公证费、诉讼费、保全费、鉴定费、执行费、律师费、车旅费等。</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13.附则</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13.1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本合同一式捌份，甲、乙双方各执肆份。</w:t>
      </w:r>
      <w:r/>
    </w:p>
    <w:p>
      <w:pPr>
        <w:ind w:firstLine="482"/>
        <w:keepLines w:val="0"/>
        <w:keepNext w:val="0"/>
        <w:pageBreakBefore w:val="0"/>
        <w:spacing w:line="360" w:lineRule="auto"/>
        <w:widowControl w:val="off"/>
        <w:rPr>
          <w:rFonts w:eastAsia="宋体" w:cs="宋体"/>
          <w:color w:val="000000"/>
          <w:sz w:val="24"/>
          <w:szCs w:val="24"/>
          <w:highlight w:val="none"/>
        </w:rPr>
        <w:outlineLvl w:val="2"/>
      </w:pPr>
      <w:r>
        <w:rPr>
          <w:rFonts w:hint="eastAsia" w:eastAsia="宋体" w:cs="宋体"/>
          <w:b/>
          <w:bCs/>
          <w:color w:val="000000"/>
          <w:sz w:val="24"/>
          <w:szCs w:val="24"/>
          <w:highlight w:val="none"/>
        </w:rPr>
        <w:t xml:space="preserve">14.未尽事宜</w:t>
      </w:r>
      <w:r/>
    </w:p>
    <w:p>
      <w:pPr>
        <w:ind w:firstLine="480"/>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14.1</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rPr>
        <w:t xml:space="preserve">本合同未尽事宜应按《中华人民共和国民法典》、《中华人民共和国政府采购法》等法律法规之规定解释。</w:t>
      </w:r>
      <w:r/>
    </w:p>
    <w:p>
      <w:pPr>
        <w:ind w:firstLine="480"/>
        <w:keepLines w:val="0"/>
        <w:keepNext w:val="0"/>
        <w:pageBreakBefore w:val="0"/>
        <w:spacing w:line="360" w:lineRule="auto"/>
        <w:widowControl w:val="off"/>
        <w:rPr>
          <w:rFonts w:eastAsia="宋体" w:cs="宋体"/>
          <w:color w:val="000000"/>
          <w:sz w:val="24"/>
          <w:szCs w:val="24"/>
          <w:highlight w:val="none"/>
        </w:rPr>
      </w:pPr>
      <w:r>
        <w:rPr>
          <w:rFonts w:eastAsia="宋体" w:cs="宋体"/>
          <w:color w:val="000000"/>
          <w:sz w:val="24"/>
          <w:szCs w:val="24"/>
          <w:highlight w:val="none"/>
        </w:rPr>
      </w:r>
      <w:r/>
    </w:p>
    <w:p>
      <w:pPr>
        <w:ind w:firstLine="480"/>
        <w:keepLines w:val="0"/>
        <w:keepNext w:val="0"/>
        <w:pageBreakBefore w:val="0"/>
        <w:spacing w:line="360" w:lineRule="auto"/>
        <w:widowControl w:val="off"/>
        <w:rPr>
          <w:rFonts w:eastAsia="宋体" w:cs="宋体"/>
          <w:color w:val="000000"/>
          <w:sz w:val="24"/>
          <w:szCs w:val="24"/>
          <w:highlight w:val="none"/>
        </w:rPr>
      </w:pPr>
      <w:r>
        <w:rPr>
          <w:rFonts w:eastAsia="宋体" w:cs="宋体"/>
          <w:color w:val="000000"/>
          <w:sz w:val="24"/>
          <w:szCs w:val="24"/>
          <w:highlight w:val="none"/>
        </w:rPr>
      </w:r>
      <w:r/>
    </w:p>
    <w:p>
      <w:pPr>
        <w:contextualSpacing/>
        <w:jc w:val="center"/>
        <w:keepLines w:val="0"/>
        <w:keepNext w:val="0"/>
        <w:pageBreakBefore w:val="0"/>
        <w:spacing w:line="360" w:lineRule="auto"/>
        <w:widowControl w:val="off"/>
        <w:rPr>
          <w:rFonts w:eastAsia="宋体" w:cs="宋体"/>
          <w:b/>
          <w:bCs/>
          <w:color w:val="000000"/>
          <w:sz w:val="24"/>
          <w:szCs w:val="24"/>
          <w:highlight w:val="none"/>
        </w:rPr>
        <w:outlineLvl w:val="0"/>
      </w:pPr>
      <w:r>
        <w:rPr>
          <w:rFonts w:hint="eastAsia" w:eastAsia="宋体" w:cs="宋体"/>
          <w:b/>
          <w:color w:val="000000"/>
          <w:sz w:val="24"/>
          <w:szCs w:val="24"/>
          <w:highlight w:val="none"/>
        </w:rPr>
        <w:t xml:space="preserve">采购人保留对合同修改和完善的权利。</w:t>
      </w:r>
      <w:r/>
    </w:p>
    <w:p>
      <w:pPr>
        <w:ind w:firstLine="723"/>
        <w:jc w:val="left"/>
        <w:widowControl/>
        <w:rPr>
          <w:rFonts w:eastAsia="宋体" w:cs="宋体"/>
          <w:b/>
          <w:color w:val="000000"/>
          <w:sz w:val="36"/>
          <w:szCs w:val="36"/>
          <w:highlight w:val="none"/>
        </w:rPr>
      </w:pPr>
      <w:r>
        <w:rPr>
          <w:rFonts w:eastAsia="宋体" w:cs="宋体"/>
          <w:b/>
          <w:color w:val="000000"/>
          <w:sz w:val="36"/>
          <w:szCs w:val="36"/>
          <w:highlight w:val="none"/>
        </w:rPr>
      </w:r>
      <w:r/>
    </w:p>
    <w:p>
      <w:pPr>
        <w:ind w:firstLine="723"/>
        <w:jc w:val="left"/>
        <w:widowControl/>
        <w:rPr>
          <w:rFonts w:eastAsia="宋体" w:cs="宋体"/>
          <w:b/>
          <w:color w:val="000000"/>
          <w:sz w:val="36"/>
          <w:szCs w:val="36"/>
          <w:highlight w:val="none"/>
        </w:rPr>
      </w:pPr>
      <w:r>
        <w:rPr>
          <w:rFonts w:eastAsia="宋体" w:cs="宋体"/>
          <w:b/>
          <w:color w:val="000000"/>
          <w:sz w:val="36"/>
          <w:szCs w:val="36"/>
          <w:highlight w:val="none"/>
        </w:rPr>
        <w:br w:type="page" w:clear="all"/>
      </w:r>
      <w:r/>
    </w:p>
    <w:p>
      <w:pPr>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t xml:space="preserve">第六章  合同授予</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一、</w:t>
      </w:r>
      <w:r>
        <w:rPr>
          <w:rFonts w:hint="eastAsia" w:eastAsia="宋体" w:cs="宋体"/>
          <w:bCs/>
          <w:color w:val="000000"/>
          <w:sz w:val="24"/>
          <w:szCs w:val="24"/>
          <w:highlight w:val="none"/>
        </w:rPr>
        <w:t xml:space="preserve">自中标通知书发出之日起30日内，中标人凭“中标通知书”及履约缴纳凭证与招标人签订合同。</w:t>
      </w:r>
      <w:r>
        <w:rPr>
          <w:rFonts w:hint="eastAsia" w:eastAsia="宋体" w:cs="宋体"/>
          <w:color w:val="000000"/>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三、中标人出现违约情形，应当及时纠正或补偿；造成损失的，按合同约定追究违约责任。</w:t>
      </w:r>
      <w:bookmarkEnd w:id="27"/>
      <w:r/>
      <w:r/>
    </w:p>
    <w:p>
      <w:pPr>
        <w:contextualSpacing/>
        <w:ind w:firstLine="480"/>
        <w:spacing w:line="360" w:lineRule="auto"/>
        <w:rPr>
          <w:rFonts w:eastAsia="宋体" w:cs="宋体"/>
          <w:color w:val="000000"/>
          <w:sz w:val="24"/>
          <w:szCs w:val="21"/>
          <w:highlight w:val="none"/>
        </w:rPr>
      </w:pPr>
      <w:r/>
      <w:bookmarkStart w:id="30" w:name="_Toc363573860"/>
      <w:r>
        <w:rPr>
          <w:rFonts w:hint="eastAsia" w:eastAsia="宋体" w:cs="宋体"/>
          <w:color w:val="000000"/>
          <w:sz w:val="24"/>
          <w:szCs w:val="21"/>
          <w:highlight w:val="none"/>
        </w:rPr>
        <w:t xml:space="preserve">四、不响应付款方式的，视同投标文件无效，按无效投标文件处理。</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五、付款方式详见招标文件第五章，以上项目款的支付不计息。</w:t>
      </w:r>
      <w:r/>
    </w:p>
    <w:p>
      <w:pPr>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40"/>
        <w:spacing w:line="360" w:lineRule="auto"/>
        <w:rPr>
          <w:rFonts w:eastAsia="宋体" w:cs="宋体"/>
          <w:color w:val="000000"/>
          <w:highlight w:val="none"/>
        </w:rPr>
      </w:pPr>
      <w:r>
        <w:rPr>
          <w:rFonts w:eastAsia="宋体" w:cs="宋体"/>
          <w:color w:val="000000"/>
          <w:highlight w:val="none"/>
        </w:rPr>
      </w:r>
      <w:r/>
    </w:p>
    <w:p>
      <w:pPr>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第七章  质疑与投诉</w:t>
      </w:r>
      <w:r/>
    </w:p>
    <w:p>
      <w:pPr>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一、质疑的提出</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2.2对采购过程提出质疑的，为各采购程序环节结束之日；</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2.3对中标结果提出质疑的，为中标结果公告期限届满之日。</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投标人应当在法定质疑期内一次性提出针对同一采购程序环节的质疑。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招标人质疑接收人及联系方式，见招标文件第一章。</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 以下情形的质疑不予受理</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内容不符合《政府采购质疑和投诉办法》财政部第94号令第十二条规定的质疑。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超出政府采购法定期限的质疑。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未参加招投标活动的投标人。</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附件：</w:t>
      </w:r>
      <w:r/>
    </w:p>
    <w:p>
      <w:pPr>
        <w:contextualSpacing/>
        <w:ind w:firstLine="480"/>
        <w:jc w:val="center"/>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32"/>
          <w:szCs w:val="32"/>
          <w:highlight w:val="none"/>
        </w:rPr>
        <w:t xml:space="preserve">质疑函范本</w:t>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一、质疑</w:t>
      </w:r>
      <w:r>
        <w:rPr>
          <w:rFonts w:hint="eastAsia" w:eastAsia="宋体" w:cs="宋体"/>
          <w:color w:val="000000"/>
          <w:sz w:val="24"/>
          <w:szCs w:val="21"/>
          <w:highlight w:val="none"/>
        </w:rPr>
        <w:t xml:space="preserve">投标人</w:t>
      </w:r>
      <w:r>
        <w:rPr>
          <w:rFonts w:hint="eastAsia" w:eastAsia="宋体" w:cs="宋体"/>
          <w:bCs/>
          <w:color w:val="000000"/>
          <w:sz w:val="24"/>
          <w:szCs w:val="21"/>
          <w:highlight w:val="none"/>
        </w:rPr>
        <w:t xml:space="preserve">基本信息</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质疑投标人：</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地址：邮编：</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联系人：联系电话：</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授权代表：</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联系电话：</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地址：邮编：</w:t>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二、质疑项目基本情况</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质疑项目的名称：</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质疑项目的编号：包号：</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招标人名称：</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招标文件获取日期：</w:t>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三、质疑事项具体内容</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质疑事项1：</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事实依据：</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法律依据：</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eastAsia="宋体" w:cs="宋体"/>
          <w:color w:val="000000"/>
          <w:sz w:val="24"/>
          <w:szCs w:val="21"/>
          <w:highlight w:val="none"/>
          <w:u w:val="single"/>
        </w:rPr>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质疑事项2</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w:t>
      </w:r>
      <w:r/>
    </w:p>
    <w:p>
      <w:pPr>
        <w:contextualSpacing/>
        <w:ind w:firstLine="480"/>
        <w:keepLines w:val="0"/>
        <w:keepNext w:val="0"/>
        <w:pageBreakBefore w:val="0"/>
        <w:spacing w:line="360" w:lineRule="auto"/>
        <w:widowControl w:val="off"/>
        <w:rPr>
          <w:rFonts w:eastAsia="宋体" w:cs="宋体"/>
          <w:bCs/>
          <w:color w:val="000000"/>
          <w:sz w:val="24"/>
          <w:szCs w:val="21"/>
          <w:highlight w:val="none"/>
        </w:rPr>
      </w:pPr>
      <w:r>
        <w:rPr>
          <w:rFonts w:hint="eastAsia" w:eastAsia="宋体" w:cs="宋体"/>
          <w:bCs/>
          <w:color w:val="000000"/>
          <w:sz w:val="24"/>
          <w:szCs w:val="21"/>
          <w:highlight w:val="none"/>
        </w:rPr>
        <w:t xml:space="preserve">四、与质疑事项相关的质疑请求</w:t>
      </w:r>
      <w:r/>
    </w:p>
    <w:p>
      <w:pPr>
        <w:contextualSpacing/>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请求：</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签字(签章)：                   公章：                      </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日期：    </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contextualSpacing/>
        <w:ind w:firstLine="482"/>
        <w:keepLines w:val="0"/>
        <w:keepNext w:val="0"/>
        <w:pageBreakBefore w:val="0"/>
        <w:spacing w:line="360" w:lineRule="auto"/>
        <w:widowControl w:val="off"/>
        <w:rPr>
          <w:rFonts w:eastAsia="宋体" w:cs="宋体"/>
          <w:b/>
          <w:color w:val="000000"/>
          <w:sz w:val="24"/>
          <w:szCs w:val="21"/>
          <w:highlight w:val="none"/>
        </w:rPr>
      </w:pPr>
      <w:r>
        <w:rPr>
          <w:rFonts w:eastAsia="宋体" w:cs="宋体"/>
          <w:b/>
          <w:color w:val="000000"/>
          <w:sz w:val="24"/>
          <w:szCs w:val="21"/>
          <w:highlight w:val="none"/>
        </w:rPr>
      </w:r>
      <w:r/>
    </w:p>
    <w:p>
      <w:pPr>
        <w:contextualSpacing/>
        <w:ind w:firstLine="482"/>
        <w:keepLines w:val="0"/>
        <w:keepNext w:val="0"/>
        <w:pageBreakBefore w:val="0"/>
        <w:spacing w:line="360" w:lineRule="auto"/>
        <w:widowControl w:val="off"/>
        <w:rPr>
          <w:rFonts w:hint="eastAsia" w:eastAsia="宋体" w:cs="宋体"/>
          <w:b/>
          <w:color w:val="000000"/>
          <w:sz w:val="24"/>
          <w:szCs w:val="21"/>
          <w:highlight w:val="none"/>
        </w:rPr>
      </w:pPr>
      <w:r>
        <w:rPr>
          <w:rFonts w:hint="eastAsia" w:eastAsia="宋体" w:cs="宋体"/>
          <w:b/>
          <w:color w:val="000000"/>
          <w:sz w:val="24"/>
          <w:szCs w:val="21"/>
          <w:highlight w:val="none"/>
        </w:rPr>
      </w:r>
      <w:r/>
    </w:p>
    <w:p>
      <w:pPr>
        <w:contextualSpacing/>
        <w:ind w:firstLine="482"/>
        <w:keepLines w:val="0"/>
        <w:keepNext w:val="0"/>
        <w:pageBreakBefore w:val="0"/>
        <w:spacing w:line="360" w:lineRule="auto"/>
        <w:widowControl w:val="off"/>
        <w:rPr>
          <w:rFonts w:hint="eastAsia" w:eastAsia="宋体" w:cs="宋体"/>
          <w:b/>
          <w:color w:val="000000"/>
          <w:sz w:val="24"/>
          <w:szCs w:val="21"/>
          <w:highlight w:val="none"/>
        </w:rPr>
      </w:pPr>
      <w:r>
        <w:rPr>
          <w:rFonts w:hint="eastAsia" w:eastAsia="宋体" w:cs="宋体"/>
          <w:b/>
          <w:color w:val="000000"/>
          <w:sz w:val="24"/>
          <w:szCs w:val="21"/>
          <w:highlight w:val="none"/>
        </w:rPr>
      </w:r>
      <w:r/>
    </w:p>
    <w:p>
      <w:pPr>
        <w:contextualSpacing/>
        <w:ind w:firstLine="482"/>
        <w:keepLines w:val="0"/>
        <w:keepNext w:val="0"/>
        <w:pageBreakBefore w:val="0"/>
        <w:spacing w:line="360" w:lineRule="auto"/>
        <w:widowControl w:val="off"/>
        <w:rPr>
          <w:rFonts w:eastAsia="宋体" w:cs="宋体"/>
          <w:b/>
          <w:color w:val="000000"/>
          <w:sz w:val="24"/>
          <w:szCs w:val="21"/>
          <w:highlight w:val="none"/>
        </w:rPr>
      </w:pPr>
      <w:r>
        <w:rPr>
          <w:rFonts w:hint="eastAsia" w:eastAsia="宋体" w:cs="宋体"/>
          <w:b/>
          <w:color w:val="000000"/>
          <w:sz w:val="24"/>
          <w:szCs w:val="21"/>
          <w:highlight w:val="none"/>
        </w:rPr>
        <w:t xml:space="preserve">质疑函制作说明：</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投标人提出质疑时，应提交质疑函和必要的证明材料。</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质疑投标人若对项目的某一分包进行质疑，质疑函中应列明具体分包号。</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质疑函的质疑事项应具体、明确，并有必要的事实依据和法律依据。</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质疑函的质疑请求应与质疑事项相关。</w:t>
      </w:r>
      <w:r/>
    </w:p>
    <w:p>
      <w:pPr>
        <w:contextualSpacing/>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p>
    <w:p>
      <w:pPr>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eastAsia="宋体" w:cs="宋体"/>
          <w:b/>
          <w:color w:val="000000"/>
          <w:sz w:val="36"/>
          <w:szCs w:val="36"/>
          <w:highlight w:val="none"/>
        </w:rPr>
        <w:t xml:space="preserve">第八章  投标文件组成及格式</w:t>
      </w:r>
      <w:bookmarkEnd w:id="30"/>
      <w:r/>
      <w:r/>
    </w:p>
    <w:p>
      <w:pPr>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一、</w:t>
      </w:r>
      <w:r>
        <w:rPr>
          <w:rFonts w:eastAsia="宋体" w:cs="宋体"/>
          <w:b/>
          <w:color w:val="000000"/>
          <w:sz w:val="24"/>
          <w:szCs w:val="21"/>
          <w:highlight w:val="none"/>
        </w:rPr>
        <w:t xml:space="preserve">资格审查文件</w:t>
      </w:r>
      <w:r/>
    </w:p>
    <w:p>
      <w:pPr>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eastAsia="zh-CN"/>
        </w:rPr>
        <w:t xml:space="preserve">1</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lang w:eastAsia="zh-CN"/>
        </w:rPr>
        <w:t xml:space="preserve">投标人符合《中华人民共和国政府采购法》第二十二条规定条件的声明函</w:t>
      </w:r>
      <w:r>
        <w:rPr>
          <w:rFonts w:hint="eastAsia" w:eastAsia="宋体" w:cs="宋体"/>
          <w:b/>
          <w:bCs w:val="0"/>
          <w:color w:val="000000"/>
          <w:sz w:val="24"/>
          <w:szCs w:val="24"/>
          <w:highlight w:val="none"/>
          <w:lang w:eastAsia="zh-CN"/>
        </w:rPr>
        <w:t xml:space="preserve">（格式参见附件）</w:t>
      </w:r>
      <w:r>
        <w:rPr>
          <w:rFonts w:hint="eastAsia" w:eastAsia="宋体" w:cs="宋体"/>
          <w:bCs/>
          <w:color w:val="000000"/>
          <w:sz w:val="24"/>
          <w:szCs w:val="24"/>
          <w:highlight w:val="none"/>
          <w:lang w:eastAsia="zh-CN"/>
        </w:rPr>
        <w:t xml:space="preserve">。</w:t>
      </w:r>
      <w:r/>
    </w:p>
    <w:p>
      <w:pPr>
        <w:contextualSpacing/>
        <w:ind w:firstLine="480"/>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lang w:val="en-US" w:eastAsia="zh-CN"/>
        </w:rPr>
        <w:t xml:space="preserve">2.</w:t>
      </w:r>
      <w:r>
        <w:rPr>
          <w:rFonts w:hint="eastAsia" w:eastAsia="宋体" w:cs="宋体"/>
          <w:bCs/>
          <w:color w:val="000000"/>
          <w:sz w:val="24"/>
          <w:szCs w:val="24"/>
          <w:highlight w:val="none"/>
          <w:lang w:eastAsia="zh-CN"/>
        </w:rPr>
        <w:t xml:space="preserve">提供法人或者其他组织的营业执照等证明文件，如供应商为自然人的，提供其身份证明。</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3.</w:t>
      </w:r>
      <w:r>
        <w:rPr>
          <w:rFonts w:hint="eastAsia" w:eastAsia="宋体" w:cs="宋体"/>
          <w:bCs/>
          <w:color w:val="000000"/>
          <w:sz w:val="24"/>
          <w:szCs w:val="24"/>
          <w:highlight w:val="none"/>
        </w:rPr>
        <w:t xml:space="preserve">如为</w:t>
      </w:r>
      <w:r>
        <w:rPr>
          <w:rFonts w:hint="eastAsia" w:eastAsia="宋体"/>
          <w:color w:val="000000"/>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
          <w:bCs w:val="0"/>
          <w:color w:val="000000"/>
          <w:sz w:val="24"/>
          <w:szCs w:val="24"/>
          <w:highlight w:val="none"/>
        </w:rPr>
        <w:t xml:space="preserve">（格式参见附件）</w:t>
      </w:r>
      <w:r>
        <w:rPr>
          <w:rFonts w:hint="eastAsia" w:eastAsia="宋体" w:cs="宋体"/>
          <w:bCs/>
          <w:color w:val="000000"/>
          <w:sz w:val="24"/>
          <w:szCs w:val="24"/>
          <w:highlight w:val="none"/>
        </w:rPr>
        <w:t xml:space="preserve">。</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eastAsia="宋体" w:cs="宋体"/>
          <w:bCs/>
          <w:color w:val="000000"/>
          <w:sz w:val="24"/>
          <w:szCs w:val="24"/>
          <w:highlight w:val="none"/>
        </w:rPr>
        <w:t xml:space="preserve">投标人须提供</w:t>
      </w:r>
      <w:r>
        <w:rPr>
          <w:rFonts w:hint="eastAsia" w:eastAsia="宋体" w:cs="宋体"/>
          <w:bCs/>
          <w:color w:val="000000"/>
          <w:sz w:val="24"/>
          <w:szCs w:val="24"/>
          <w:highlight w:val="none"/>
          <w:lang w:val="en-US" w:eastAsia="zh-CN"/>
        </w:rPr>
        <w:t xml:space="preserve">供应商信用承诺书</w:t>
      </w:r>
      <w:r>
        <w:rPr>
          <w:rFonts w:hint="eastAsia" w:eastAsia="宋体" w:cs="宋体"/>
          <w:bCs/>
          <w:color w:val="000000"/>
          <w:sz w:val="24"/>
          <w:szCs w:val="24"/>
          <w:highlight w:val="none"/>
        </w:rPr>
        <w:t xml:space="preserve">（格式参见附件）。</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5.</w:t>
      </w:r>
      <w:r>
        <w:rPr>
          <w:rFonts w:hint="eastAsia" w:eastAsia="宋体" w:cs="宋体"/>
          <w:bCs/>
          <w:color w:val="000000"/>
          <w:sz w:val="24"/>
          <w:szCs w:val="24"/>
          <w:highlight w:val="none"/>
        </w:rPr>
        <w:t xml:space="preserve">投标声明函（格式参见附件）。</w:t>
      </w:r>
      <w:r/>
    </w:p>
    <w:p>
      <w:pPr>
        <w:contextualSpacing/>
        <w:ind w:firstLine="480"/>
        <w:spacing w:line="360" w:lineRule="auto"/>
        <w:rPr>
          <w:rFonts w:hint="default" w:eastAsia="宋体" w:cs="宋体"/>
          <w:bCs/>
          <w:color w:val="000000"/>
          <w:sz w:val="24"/>
          <w:szCs w:val="24"/>
          <w:highlight w:val="none"/>
          <w:lang w:val="en-US" w:eastAsia="zh-CN"/>
        </w:rPr>
      </w:pP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.现场勘察承诺函</w:t>
      </w:r>
      <w:r>
        <w:rPr>
          <w:rFonts w:hint="eastAsia" w:ascii="宋体" w:hAnsi="宋体" w:eastAsia="宋体" w:cs="宋体"/>
          <w:b/>
          <w:bCs w:val="0"/>
          <w:color w:val="000000"/>
          <w:sz w:val="24"/>
          <w:lang w:val="zh-CN"/>
        </w:rPr>
        <w:t xml:space="preserve">（提供承诺书原件，</w:t>
      </w:r>
      <w:r>
        <w:rPr>
          <w:rFonts w:hint="eastAsia" w:eastAsia="宋体" w:cs="宋体"/>
          <w:b/>
          <w:bCs w:val="0"/>
          <w:color w:val="000000"/>
          <w:sz w:val="24"/>
          <w:szCs w:val="24"/>
          <w:highlight w:val="none"/>
        </w:rPr>
        <w:t xml:space="preserve">格式参见附件</w:t>
      </w:r>
      <w:r>
        <w:rPr>
          <w:rFonts w:hint="eastAsia" w:ascii="宋体" w:hAnsi="宋体" w:eastAsia="宋体" w:cs="宋体"/>
          <w:b/>
          <w:bCs w:val="0"/>
          <w:color w:val="000000"/>
          <w:sz w:val="24"/>
          <w:lang w:val="zh-CN"/>
        </w:rPr>
        <w:t xml:space="preserve">）</w:t>
      </w:r>
      <w:r>
        <w:rPr>
          <w:rFonts w:hint="eastAsia" w:ascii="宋体" w:hAnsi="宋体" w:eastAsia="宋体" w:cs="宋体"/>
          <w:bCs/>
          <w:color w:val="000000"/>
          <w:sz w:val="24"/>
          <w:lang w:eastAsia="zh-CN"/>
        </w:rPr>
        <w:t xml:space="preserve">。</w:t>
      </w:r>
      <w:r/>
    </w:p>
    <w:p>
      <w:pPr>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7.拒绝下述供应商参加本次采购活动</w:t>
      </w:r>
      <w:r>
        <w:rPr>
          <w:rFonts w:hint="eastAsia" w:eastAsia="宋体" w:cs="宋体"/>
          <w:b/>
          <w:bCs w:val="0"/>
          <w:color w:val="000000"/>
          <w:sz w:val="24"/>
          <w:szCs w:val="24"/>
          <w:highlight w:val="none"/>
          <w:lang w:val="en-US" w:eastAsia="zh-CN"/>
        </w:rPr>
        <w:t xml:space="preserve">（提供声明，</w:t>
      </w:r>
      <w:r>
        <w:rPr>
          <w:rFonts w:hint="eastAsia" w:eastAsia="宋体" w:cs="宋体"/>
          <w:b/>
          <w:bCs w:val="0"/>
          <w:color w:val="000000"/>
          <w:sz w:val="24"/>
          <w:szCs w:val="24"/>
          <w:highlight w:val="none"/>
        </w:rPr>
        <w:t xml:space="preserve">格式参见附件</w:t>
      </w:r>
      <w:r>
        <w:rPr>
          <w:rFonts w:hint="eastAsia" w:eastAsia="宋体" w:cs="宋体"/>
          <w:b/>
          <w:bCs w:val="0"/>
          <w:color w:val="000000"/>
          <w:sz w:val="24"/>
          <w:szCs w:val="24"/>
          <w:highlight w:val="none"/>
          <w:lang w:val="en-US" w:eastAsia="zh-CN"/>
        </w:rPr>
        <w:t xml:space="preserve">）</w:t>
      </w:r>
      <w:r>
        <w:rPr>
          <w:rFonts w:hint="eastAsia" w:eastAsia="宋体" w:cs="宋体"/>
          <w:bCs/>
          <w:color w:val="000000"/>
          <w:sz w:val="24"/>
          <w:szCs w:val="24"/>
          <w:highlight w:val="none"/>
          <w:lang w:val="en-US" w:eastAsia="zh-CN"/>
        </w:rPr>
        <w:t xml:space="preserve">：</w:t>
      </w:r>
      <w:r/>
    </w:p>
    <w:p>
      <w:pPr>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7.1供应商单位负责人为同一人或者存在直接控股、管理关系的不同供应商，不得参加同一合同项下的政府采购活动。</w:t>
      </w:r>
      <w:r/>
    </w:p>
    <w:p>
      <w:pPr>
        <w:contextualSpacing/>
        <w:ind w:firstLine="480"/>
        <w:spacing w:line="360" w:lineRule="auto"/>
        <w:rPr>
          <w:rFonts w:hint="default"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7.2凡为采购项目提供整体设计、规范编制或者项目管理、监理、检测等服务的供应商，不得再参加本项目的采购活动。</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8.</w:t>
      </w:r>
      <w:r>
        <w:rPr>
          <w:rFonts w:hint="eastAsia" w:eastAsia="宋体" w:cs="宋体"/>
          <w:bCs/>
          <w:color w:val="000000"/>
          <w:sz w:val="24"/>
          <w:szCs w:val="24"/>
          <w:highlight w:val="none"/>
        </w:rPr>
        <w:t xml:space="preserve">供应商认为需提供的其他材料。</w:t>
      </w:r>
      <w:r/>
    </w:p>
    <w:p>
      <w:pPr>
        <w:contextualSpacing/>
        <w:ind w:firstLine="482"/>
        <w:jc w:val="left"/>
        <w:spacing w:line="360" w:lineRule="auto"/>
        <w:rPr>
          <w:rFonts w:hint="eastAsia" w:eastAsia="宋体" w:cs="宋体"/>
          <w:b/>
          <w:color w:val="000000"/>
          <w:sz w:val="24"/>
          <w:szCs w:val="24"/>
          <w:highlight w:val="none"/>
          <w:lang w:val="zh-CN" w:eastAsia="zh-CN"/>
        </w:rPr>
      </w:pPr>
      <w:r>
        <w:rPr>
          <w:rFonts w:hint="eastAsia" w:eastAsia="宋体" w:cs="宋体"/>
          <w:b/>
          <w:color w:val="000000"/>
          <w:sz w:val="24"/>
          <w:szCs w:val="24"/>
          <w:highlight w:val="none"/>
          <w:lang w:val="zh-CN" w:eastAsia="zh-CN"/>
        </w:rPr>
        <w:t xml:space="preserve">注：以上所有资格要求条件必须在资格审查材料中逐条提供有效证明材料及相关承诺书并加盖公章，否则投标无效。</w:t>
      </w:r>
      <w:r/>
    </w:p>
    <w:p>
      <w:pPr>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二、符合性审查文件</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投标响应函</w:t>
      </w:r>
      <w:r>
        <w:rPr>
          <w:rFonts w:hint="eastAsia" w:eastAsia="宋体" w:cs="宋体"/>
          <w:b/>
          <w:bCs w:val="0"/>
          <w:color w:val="000000"/>
          <w:sz w:val="24"/>
          <w:szCs w:val="24"/>
          <w:highlight w:val="none"/>
        </w:rPr>
        <w:t xml:space="preserve">（格式参见附件）</w:t>
      </w:r>
      <w:r>
        <w:rPr>
          <w:rFonts w:hint="eastAsia" w:eastAsia="宋体" w:cs="宋体"/>
          <w:bCs/>
          <w:color w:val="000000"/>
          <w:sz w:val="24"/>
          <w:szCs w:val="24"/>
          <w:highlight w:val="none"/>
        </w:rPr>
        <w:t xml:space="preserve">。</w:t>
      </w:r>
      <w:r/>
    </w:p>
    <w:p>
      <w:pPr>
        <w:contextualSpacing/>
        <w:ind w:firstLine="480"/>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供应商情况表</w:t>
      </w:r>
      <w:r>
        <w:rPr>
          <w:rFonts w:hint="eastAsia" w:eastAsia="宋体" w:cs="宋体"/>
          <w:bCs/>
          <w:color w:val="000000"/>
          <w:sz w:val="24"/>
          <w:szCs w:val="24"/>
          <w:highlight w:val="none"/>
          <w:lang w:eastAsia="zh-CN"/>
        </w:rPr>
        <w:t xml:space="preserve">。</w:t>
      </w:r>
      <w:r/>
    </w:p>
    <w:p>
      <w:pPr>
        <w:contextualSpacing/>
        <w:ind w:firstLine="480"/>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rPr>
        <w:t xml:space="preserve">3</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商务条款正负偏离表</w:t>
      </w:r>
      <w:r>
        <w:rPr>
          <w:rFonts w:hint="eastAsia" w:eastAsia="宋体" w:cs="宋体"/>
          <w:bCs/>
          <w:color w:val="000000"/>
          <w:sz w:val="24"/>
          <w:szCs w:val="24"/>
          <w:highlight w:val="none"/>
          <w:lang w:eastAsia="zh-CN"/>
        </w:rPr>
        <w:t xml:space="preserve">。</w:t>
      </w:r>
      <w:r/>
    </w:p>
    <w:p>
      <w:pPr>
        <w:ind w:firstLine="482"/>
        <w:spacing w:line="360" w:lineRule="auto"/>
        <w:rPr>
          <w:rFonts w:hint="eastAsia" w:eastAsia="宋体" w:cs="宋体"/>
          <w:b/>
          <w:bCs/>
          <w:color w:val="000000"/>
          <w:sz w:val="24"/>
          <w:szCs w:val="24"/>
          <w:highlight w:val="none"/>
          <w:lang w:eastAsia="zh-CN"/>
        </w:rPr>
        <w:outlineLvl w:val="1"/>
      </w:pPr>
      <w:r>
        <w:rPr>
          <w:rFonts w:hint="eastAsia" w:eastAsia="宋体" w:cs="宋体"/>
          <w:b/>
          <w:bCs/>
          <w:color w:val="000000"/>
          <w:sz w:val="24"/>
          <w:szCs w:val="24"/>
          <w:highlight w:val="none"/>
          <w:lang w:val="en-US" w:eastAsia="zh-CN"/>
        </w:rPr>
        <w:t xml:space="preserve">4.</w:t>
      </w:r>
      <w:r>
        <w:rPr>
          <w:rFonts w:hint="eastAsia" w:eastAsia="宋体" w:cs="宋体"/>
          <w:b/>
          <w:bCs/>
          <w:color w:val="000000"/>
          <w:sz w:val="24"/>
          <w:szCs w:val="24"/>
          <w:highlight w:val="none"/>
        </w:rPr>
        <w:t xml:space="preserve">采购需求中必须满足的实质性要求</w:t>
      </w:r>
      <w:r>
        <w:rPr>
          <w:rFonts w:hint="eastAsia" w:eastAsia="宋体" w:cs="宋体"/>
          <w:b/>
          <w:bCs/>
          <w:color w:val="000000"/>
          <w:sz w:val="24"/>
          <w:szCs w:val="24"/>
          <w:highlight w:val="none"/>
          <w:lang w:eastAsia="zh-CN"/>
        </w:rPr>
        <w:t xml:space="preserve">：</w:t>
      </w:r>
      <w:r/>
    </w:p>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1）投标人拟投本项目所有设备技术参数须实质性响应本采购文件技术参数要求，不接受负偏离产品应标。提供《技术条款响应正负偏离表》，须根据清单技术参数要求逐条进行应答；未提供或有遗漏或有负偏离均视为未实质性响应，作废标处理。</w:t>
      </w:r>
      <w:r/>
    </w:p>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（2）投标人拟投照明灯需通过 CCC认证或者CQC标志认证。提供证明材料复印件加盖投标单位公章；未提供或提供材料不符合要求的均视为未实质性响应，作废标处理。</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1995"/>
        <w:gridCol w:w="3682"/>
        <w:gridCol w:w="2536"/>
      </w:tblGrid>
      <w:tr>
        <w:trPr>
          <w:jc w:val="center"/>
        </w:trPr>
        <w:tc>
          <w:tcPr>
            <w:tcW w:w="545"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995"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灯具名称</w:t>
            </w:r>
            <w:r/>
          </w:p>
        </w:tc>
        <w:tc>
          <w:tcPr>
            <w:tcW w:w="3682"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用途</w:t>
            </w:r>
            <w:r/>
          </w:p>
        </w:tc>
        <w:tc>
          <w:tcPr>
            <w:tcW w:w="2536" w:type="dxa"/>
            <w:vAlign w:val="center"/>
            <w:textDirection w:val="lrTb"/>
            <w:noWrap w:val="false"/>
          </w:tcPr>
          <w:p>
            <w:pPr>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轨道射灯1</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轨道洗墙灯1</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图文展板，画等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轨道射灯2</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轨道洗墙灯2</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立体展品（展品、雕塑、模型、场景等）</w:t>
            </w:r>
            <w:r/>
          </w:p>
        </w:tc>
        <w:tc>
          <w:tcPr>
            <w:tcW w:w="2536"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灯具强制认证：CCC认证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嵌装洗墙灯</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通柜背板立面洗墙照明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微型轨道洗墙灯</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通柜背板立面洗墙照明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嵌装射灯</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微型轨道射灯1</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微型轨道射灯2</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通柜/独立柜重点照明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r>
        <w:trPr>
          <w:jc w:val="center"/>
        </w:trPr>
        <w:tc>
          <w:tcPr>
            <w:tcW w:w="54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99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平柜扫光灯</w:t>
            </w:r>
            <w:r/>
          </w:p>
        </w:tc>
        <w:tc>
          <w:tcPr>
            <w:tcW w:w="3682"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扫光照明</w:t>
            </w:r>
            <w:r/>
          </w:p>
        </w:tc>
        <w:tc>
          <w:tcPr>
            <w:tcW w:w="253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灯具需提供CQC认证</w:t>
            </w:r>
            <w:r/>
          </w:p>
        </w:tc>
      </w:tr>
    </w:tbl>
    <w:p>
      <w:pPr>
        <w:ind w:firstLine="482"/>
        <w:keepLines w:val="0"/>
        <w:keepNext w:val="0"/>
        <w:pageBreakBefore w:val="0"/>
        <w:spacing w:line="360" w:lineRule="auto"/>
        <w:rPr>
          <w:rFonts w:hint="eastAsia" w:eastAsia="宋体" w:cs="宋体"/>
          <w:b/>
          <w:bCs/>
          <w:color w:val="000000"/>
          <w:sz w:val="24"/>
          <w:szCs w:val="24"/>
          <w:highlight w:val="none"/>
          <w:lang w:val="en-US" w:eastAsia="zh-CN"/>
        </w:rPr>
        <w:outlineLvl w:val="1"/>
      </w:pPr>
      <w:r>
        <w:rPr>
          <w:rFonts w:hint="eastAsia" w:eastAsia="宋体" w:cs="宋体"/>
          <w:b/>
          <w:bCs/>
          <w:color w:val="000000"/>
          <w:sz w:val="24"/>
          <w:szCs w:val="24"/>
          <w:highlight w:val="none"/>
          <w:lang w:val="en-US" w:eastAsia="zh-CN"/>
        </w:rPr>
        <w:t xml:space="preserve">（3）投标人拟投多媒体硬件中：①全景立体屏屏体；②75寸雾面显示屏；③43寸雾面触摸显示屏；④55寸雾面电容屏；⑤86寸雾面显示屏；⑥</w:t>
      </w:r>
      <w:r>
        <w:rPr>
          <w:rFonts w:hint="eastAsia" w:ascii="宋体" w:hAnsi="宋体" w:eastAsia="宋体" w:cs="宋体"/>
          <w:b/>
          <w:bCs/>
          <w:sz w:val="24"/>
          <w:szCs w:val="24"/>
        </w:rPr>
        <w:t xml:space="preserve">激光工程投影机</w:t>
      </w:r>
      <w:r>
        <w:rPr>
          <w:rFonts w:hint="eastAsia" w:ascii="宋体" w:hAnsi="宋体" w:eastAsia="宋体" w:cs="宋体"/>
          <w:b/>
          <w:bCs/>
          <w:sz w:val="24"/>
          <w:szCs w:val="24"/>
          <w:lang w:eastAsia="zh-CN"/>
        </w:rPr>
        <w:t xml:space="preserve">，</w:t>
      </w:r>
      <w:r>
        <w:rPr>
          <w:rFonts w:hint="eastAsia" w:eastAsia="宋体" w:cs="宋体"/>
          <w:b/>
          <w:bCs/>
          <w:color w:val="000000"/>
          <w:sz w:val="24"/>
          <w:szCs w:val="24"/>
          <w:highlight w:val="none"/>
          <w:lang w:val="en-US" w:eastAsia="zh-CN"/>
        </w:rPr>
        <w:t xml:space="preserve">需提供有中国节能产品认证证书、中国国家强制性产品认证证书，提供证书复印件加盖投标单位公章；未提供或提供材料不符合要求的均视为未实质性响应，作废标处理。</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5.</w:t>
      </w:r>
      <w:r>
        <w:rPr>
          <w:rFonts w:hint="eastAsia" w:eastAsia="宋体" w:cs="宋体"/>
          <w:bCs/>
          <w:color w:val="000000"/>
          <w:sz w:val="24"/>
          <w:szCs w:val="24"/>
          <w:highlight w:val="none"/>
        </w:rPr>
        <w:t xml:space="preserve">投标人认为需要提交的其他资料。</w:t>
      </w:r>
      <w:r/>
    </w:p>
    <w:p>
      <w:pPr>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三、商务技术标文件</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评标办法中所涉及的事项需提供的所有资料。</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项目需求中涉及需要投标人提交的材料。</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eastAsia="宋体" w:cs="宋体"/>
          <w:bCs/>
          <w:color w:val="000000"/>
          <w:sz w:val="24"/>
          <w:szCs w:val="24"/>
          <w:highlight w:val="none"/>
          <w:lang w:val="en-US" w:eastAsia="zh-CN"/>
        </w:rPr>
        <w:t xml:space="preserve">.</w:t>
      </w:r>
      <w:r>
        <w:rPr>
          <w:rFonts w:hint="eastAsia" w:eastAsia="宋体" w:cs="宋体"/>
          <w:bCs/>
          <w:color w:val="000000"/>
          <w:sz w:val="24"/>
          <w:szCs w:val="24"/>
          <w:highlight w:val="none"/>
        </w:rPr>
        <w:t xml:space="preserve">招标文件中未涉及的事项，投标人认为需要提交的其他资料。</w:t>
      </w:r>
      <w:r/>
    </w:p>
    <w:p>
      <w:pPr>
        <w:contextualSpacing/>
        <w:ind w:firstLine="482"/>
        <w:jc w:val="left"/>
        <w:spacing w:line="360" w:lineRule="auto"/>
        <w:rPr>
          <w:rFonts w:eastAsia="宋体" w:cs="宋体"/>
          <w:b/>
          <w:bCs/>
          <w:color w:val="000000"/>
          <w:sz w:val="24"/>
          <w:szCs w:val="21"/>
          <w:highlight w:val="none"/>
        </w:rPr>
      </w:pPr>
      <w:r>
        <w:rPr>
          <w:rFonts w:hint="eastAsia" w:eastAsia="宋体" w:cs="宋体"/>
          <w:bCs/>
          <w:color w:val="000000"/>
          <w:sz w:val="24"/>
          <w:szCs w:val="24"/>
          <w:highlight w:val="none"/>
        </w:rPr>
        <w:t xml:space="preserve">注：为方便评委评审，请投标人按评标办法中所涉及的事项顺序进行编制，可以补充相关材料。</w:t>
      </w:r>
      <w:r/>
    </w:p>
    <w:p>
      <w:pPr>
        <w:contextualSpacing/>
        <w:ind w:firstLine="482"/>
        <w:jc w:val="left"/>
        <w:spacing w:line="360" w:lineRule="auto"/>
        <w:rPr>
          <w:rFonts w:eastAsia="宋体" w:cs="宋体"/>
          <w:b/>
          <w:bCs/>
          <w:color w:val="000000"/>
          <w:sz w:val="24"/>
          <w:szCs w:val="21"/>
          <w:highlight w:val="none"/>
        </w:rPr>
      </w:pPr>
      <w:r>
        <w:rPr>
          <w:rFonts w:hint="eastAsia" w:eastAsia="宋体" w:cs="宋体"/>
          <w:b/>
          <w:bCs/>
          <w:color w:val="000000"/>
          <w:sz w:val="24"/>
          <w:szCs w:val="21"/>
          <w:highlight w:val="none"/>
        </w:rPr>
        <w:t xml:space="preserve">四、价格标</w:t>
      </w:r>
      <w:r/>
    </w:p>
    <w:p>
      <w:pPr>
        <w:contextualSpacing/>
        <w:ind w:firstLine="480"/>
        <w:spacing w:line="360" w:lineRule="auto"/>
        <w:rPr>
          <w:rFonts w:hint="eastAsia" w:eastAsia="宋体" w:cs="宋体"/>
          <w:b w:val="0"/>
          <w:bCs/>
          <w:color w:val="000000"/>
          <w:sz w:val="24"/>
          <w:szCs w:val="21"/>
          <w:highlight w:val="none"/>
          <w:lang w:eastAsia="zh-CN"/>
        </w:rPr>
      </w:pPr>
      <w:r>
        <w:rPr>
          <w:rFonts w:hint="eastAsia" w:eastAsia="宋体" w:cs="宋体"/>
          <w:b w:val="0"/>
          <w:bCs/>
          <w:color w:val="000000"/>
          <w:sz w:val="24"/>
          <w:szCs w:val="21"/>
          <w:highlight w:val="none"/>
        </w:rPr>
        <w:t xml:space="preserve">1</w:t>
      </w:r>
      <w:r>
        <w:rPr>
          <w:rFonts w:hint="eastAsia" w:eastAsia="宋体" w:cs="宋体"/>
          <w:b w:val="0"/>
          <w:bCs/>
          <w:color w:val="000000"/>
          <w:sz w:val="24"/>
          <w:szCs w:val="21"/>
          <w:highlight w:val="none"/>
          <w:lang w:val="en-US" w:eastAsia="zh-CN"/>
        </w:rPr>
        <w:t xml:space="preserve">.</w:t>
      </w:r>
      <w:r>
        <w:rPr>
          <w:rFonts w:hint="eastAsia" w:eastAsia="宋体" w:cs="宋体"/>
          <w:b w:val="0"/>
          <w:bCs/>
          <w:color w:val="000000"/>
          <w:sz w:val="24"/>
          <w:szCs w:val="21"/>
          <w:highlight w:val="none"/>
        </w:rPr>
        <w:t xml:space="preserve">投标报价表（</w:t>
      </w:r>
      <w:r>
        <w:rPr>
          <w:rFonts w:hint="eastAsia" w:eastAsia="宋体" w:cs="宋体"/>
          <w:b w:val="0"/>
          <w:bCs/>
          <w:color w:val="000000"/>
          <w:sz w:val="24"/>
          <w:szCs w:val="24"/>
          <w:highlight w:val="none"/>
        </w:rPr>
        <w:t xml:space="preserve">格式参见附件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w:t>
      </w:r>
      <w:r/>
    </w:p>
    <w:p>
      <w:pPr>
        <w:contextualSpacing/>
        <w:ind w:firstLine="480"/>
        <w:spacing w:line="360" w:lineRule="auto"/>
        <w:rPr>
          <w:rFonts w:hint="eastAsia" w:eastAsia="宋体" w:cs="宋体"/>
          <w:b w:val="0"/>
          <w:bCs/>
          <w:color w:val="000000"/>
          <w:sz w:val="24"/>
          <w:szCs w:val="21"/>
          <w:highlight w:val="none"/>
          <w:lang w:eastAsia="zh-CN"/>
        </w:rPr>
      </w:pPr>
      <w:r>
        <w:rPr>
          <w:rFonts w:hint="eastAsia" w:eastAsia="宋体" w:cs="宋体"/>
          <w:b w:val="0"/>
          <w:bCs/>
          <w:color w:val="000000"/>
          <w:sz w:val="24"/>
          <w:szCs w:val="21"/>
          <w:highlight w:val="none"/>
        </w:rPr>
        <w:t xml:space="preserve">2</w:t>
      </w:r>
      <w:r>
        <w:rPr>
          <w:rFonts w:hint="eastAsia" w:eastAsia="宋体" w:cs="宋体"/>
          <w:b w:val="0"/>
          <w:bCs/>
          <w:color w:val="000000"/>
          <w:sz w:val="24"/>
          <w:szCs w:val="21"/>
          <w:highlight w:val="none"/>
          <w:lang w:val="en-US" w:eastAsia="zh-CN"/>
        </w:rPr>
        <w:t xml:space="preserve">.</w:t>
      </w:r>
      <w:r>
        <w:rPr>
          <w:rFonts w:hint="eastAsia" w:eastAsia="宋体" w:cs="宋体"/>
          <w:b w:val="0"/>
          <w:bCs/>
          <w:color w:val="000000"/>
          <w:sz w:val="24"/>
          <w:szCs w:val="21"/>
          <w:highlight w:val="none"/>
        </w:rPr>
        <w:t xml:space="preserve">投标报价明细表（</w:t>
      </w:r>
      <w:r>
        <w:rPr>
          <w:rFonts w:hint="eastAsia" w:eastAsia="宋体" w:cs="宋体"/>
          <w:b w:val="0"/>
          <w:bCs/>
          <w:color w:val="000000"/>
          <w:sz w:val="24"/>
          <w:szCs w:val="24"/>
          <w:highlight w:val="none"/>
        </w:rPr>
        <w:t xml:space="preserve">格式参见附件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w:t>
      </w:r>
      <w:r/>
    </w:p>
    <w:p>
      <w:pPr>
        <w:contextualSpacing/>
        <w:ind w:firstLine="480"/>
        <w:spacing w:line="360" w:lineRule="auto"/>
        <w:rPr>
          <w:rFonts w:hint="eastAsia" w:eastAsia="宋体" w:cs="宋体"/>
          <w:b w:val="0"/>
          <w:bCs/>
          <w:color w:val="000000"/>
          <w:sz w:val="24"/>
          <w:szCs w:val="21"/>
          <w:highlight w:val="none"/>
          <w:lang w:eastAsia="zh-CN"/>
        </w:rPr>
      </w:pPr>
      <w:r>
        <w:rPr>
          <w:rFonts w:hint="eastAsia" w:eastAsia="宋体" w:cs="宋体"/>
          <w:b w:val="0"/>
          <w:bCs/>
          <w:color w:val="000000"/>
          <w:sz w:val="24"/>
          <w:szCs w:val="21"/>
          <w:highlight w:val="none"/>
          <w:lang w:val="en-US" w:eastAsia="zh-CN"/>
        </w:rPr>
        <w:t xml:space="preserve">3.中小企业声明函（货物）</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如有，</w:t>
      </w:r>
      <w:r>
        <w:rPr>
          <w:rFonts w:hint="eastAsia" w:eastAsia="宋体" w:cs="宋体"/>
          <w:b w:val="0"/>
          <w:bCs/>
          <w:color w:val="000000"/>
          <w:sz w:val="24"/>
          <w:szCs w:val="24"/>
          <w:highlight w:val="none"/>
        </w:rPr>
        <w:t xml:space="preserve">格式参见附件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w:t>
      </w:r>
      <w:r/>
    </w:p>
    <w:p>
      <w:pPr>
        <w:contextualSpacing/>
        <w:ind w:firstLine="480"/>
        <w:spacing w:line="360" w:lineRule="auto"/>
        <w:rPr>
          <w:rFonts w:hint="eastAsia" w:eastAsia="宋体" w:cs="宋体"/>
          <w:b w:val="0"/>
          <w:bCs/>
          <w:color w:val="000000"/>
          <w:sz w:val="24"/>
          <w:szCs w:val="21"/>
          <w:highlight w:val="none"/>
          <w:lang w:eastAsia="zh-CN"/>
        </w:rPr>
      </w:pPr>
      <w:r>
        <w:rPr>
          <w:rFonts w:hint="eastAsia" w:eastAsia="宋体" w:cs="宋体"/>
          <w:b w:val="0"/>
          <w:bCs/>
          <w:color w:val="000000"/>
          <w:sz w:val="24"/>
          <w:szCs w:val="21"/>
          <w:highlight w:val="none"/>
          <w:lang w:val="en-US" w:eastAsia="zh-CN"/>
        </w:rPr>
        <w:t xml:space="preserve">4.残疾人福利性单位声明函</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如有，</w:t>
      </w:r>
      <w:r>
        <w:rPr>
          <w:rFonts w:hint="eastAsia" w:eastAsia="宋体" w:cs="宋体"/>
          <w:b w:val="0"/>
          <w:bCs/>
          <w:color w:val="000000"/>
          <w:sz w:val="24"/>
          <w:szCs w:val="24"/>
          <w:highlight w:val="none"/>
        </w:rPr>
        <w:t xml:space="preserve">格式参见附件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w:t>
      </w:r>
      <w:r/>
    </w:p>
    <w:p>
      <w:pPr>
        <w:pStyle w:val="881"/>
        <w:rPr>
          <w:rFonts w:hint="eastAsia" w:eastAsia="宋体" w:cs="宋体"/>
          <w:bCs/>
          <w:color w:val="000000"/>
          <w:sz w:val="24"/>
          <w:szCs w:val="21"/>
          <w:highlight w:val="none"/>
          <w:lang w:val="en-US" w:eastAsia="zh-CN"/>
        </w:rPr>
      </w:pPr>
      <w:r>
        <w:rPr>
          <w:rFonts w:hint="eastAsia" w:eastAsia="宋体" w:cs="宋体"/>
          <w:b w:val="0"/>
          <w:bCs/>
          <w:color w:val="000000"/>
          <w:sz w:val="24"/>
          <w:szCs w:val="21"/>
          <w:highlight w:val="none"/>
          <w:lang w:val="en-US" w:eastAsia="zh-CN"/>
        </w:rPr>
        <w:t xml:space="preserve">5.监狱企业的证明</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如有，</w:t>
      </w:r>
      <w:r>
        <w:rPr>
          <w:rFonts w:hint="eastAsia" w:eastAsia="宋体" w:cs="宋体"/>
          <w:b w:val="0"/>
          <w:bCs/>
          <w:color w:val="000000"/>
          <w:sz w:val="24"/>
          <w:szCs w:val="24"/>
          <w:highlight w:val="none"/>
        </w:rPr>
        <w:t xml:space="preserve">格式参见附件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w:t>
      </w:r>
      <w:r/>
    </w:p>
    <w:p>
      <w:pPr>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         </w:t>
      </w:r>
      <w:r/>
    </w:p>
    <w:p>
      <w:pPr>
        <w:spacing w:line="360" w:lineRule="auto"/>
        <w:rPr>
          <w:rFonts w:eastAsia="宋体" w:cs="宋体"/>
          <w:color w:val="000000"/>
          <w:sz w:val="24"/>
          <w:szCs w:val="24"/>
          <w:highlight w:val="none"/>
        </w:rPr>
      </w:pPr>
      <w:r>
        <w:rPr>
          <w:rFonts w:hint="eastAsia" w:eastAsia="宋体" w:cs="宋体"/>
          <w:bCs/>
          <w:color w:val="000000"/>
          <w:sz w:val="24"/>
          <w:szCs w:val="21"/>
          <w:highlight w:val="none"/>
        </w:rPr>
        <w:br w:type="page" w:clear="all"/>
      </w:r>
      <w:r>
        <w:rPr>
          <w:rFonts w:hint="eastAsia" w:eastAsia="宋体" w:cs="宋体"/>
          <w:b/>
          <w:bCs/>
          <w:color w:val="000000"/>
          <w:sz w:val="24"/>
          <w:szCs w:val="21"/>
          <w:highlight w:val="none"/>
        </w:rPr>
        <w:t xml:space="preserve">附件：相关格式</w:t>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1.投标人符合《政府采购法》第二十二条规定条件的声明函</w:t>
      </w:r>
      <w:r/>
    </w:p>
    <w:p>
      <w:pPr>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ind w:firstLine="480"/>
        <w:spacing w:line="360" w:lineRule="auto"/>
        <w:rPr>
          <w:rFonts w:eastAsia="宋体" w:cs="宋体"/>
          <w:b/>
          <w:bCs/>
          <w:color w:val="000000"/>
          <w:sz w:val="24"/>
          <w:szCs w:val="21"/>
          <w:highlight w:val="none"/>
        </w:rPr>
      </w:pPr>
      <w:r>
        <w:rPr>
          <w:rFonts w:hint="eastAsia" w:eastAsia="宋体" w:cs="宋体"/>
          <w:bCs/>
          <w:color w:val="000000"/>
          <w:sz w:val="24"/>
          <w:szCs w:val="21"/>
          <w:highlight w:val="none"/>
        </w:rPr>
        <w:t xml:space="preserve">我单位参加</w:t>
      </w:r>
      <w:r>
        <w:rPr>
          <w:rFonts w:hint="eastAsia" w:eastAsia="宋体" w:cs="宋体"/>
          <w:bCs/>
          <w:color w:val="000000"/>
          <w:sz w:val="24"/>
          <w:szCs w:val="21"/>
          <w:highlight w:val="none"/>
          <w:u w:val="single"/>
          <w:lang w:val="en-US" w:eastAsia="zh-CN"/>
        </w:rPr>
        <w:t xml:space="preserve">                   </w:t>
      </w:r>
      <w:r>
        <w:rPr>
          <w:rFonts w:hint="eastAsia" w:eastAsia="宋体" w:cs="宋体"/>
          <w:bCs/>
          <w:color w:val="000000"/>
          <w:sz w:val="24"/>
          <w:szCs w:val="21"/>
          <w:highlight w:val="none"/>
        </w:rPr>
        <w:t xml:space="preserve">（项目名称），</w:t>
      </w:r>
      <w:r>
        <w:rPr>
          <w:rFonts w:hint="eastAsia" w:eastAsia="宋体" w:cs="宋体"/>
          <w:bCs/>
          <w:color w:val="000000"/>
          <w:sz w:val="24"/>
          <w:szCs w:val="21"/>
          <w:highlight w:val="none"/>
          <w:u w:val="single"/>
          <w:lang w:val="en-US" w:eastAsia="zh-CN"/>
        </w:rPr>
        <w:t xml:space="preserve">               </w:t>
      </w:r>
      <w:r>
        <w:rPr>
          <w:rFonts w:hint="eastAsia" w:eastAsia="宋体" w:cs="宋体"/>
          <w:bCs/>
          <w:color w:val="000000"/>
          <w:sz w:val="24"/>
          <w:szCs w:val="21"/>
          <w:highlight w:val="none"/>
        </w:rPr>
        <w:t xml:space="preserve">（项目编号）投标活动。针对《中华人民共和国政府采购法》第二十二条规定做出如下声明：</w:t>
      </w:r>
      <w:r/>
    </w:p>
    <w:p>
      <w:pPr>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1.我单位具有独立承担民事责任的能力；</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2.我单位具有良好的商业信誉和健全的财务会计制度；</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3.我单位具有履行合同所必需的设备和专业技术能力；</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4.我单位有依法缴纳税收和社会保障资金的良好记录；</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6.我单位满足法律、行政法规规定的其他条件。</w:t>
      </w:r>
      <w:r/>
    </w:p>
    <w:p>
      <w:pPr>
        <w:pStyle w:val="914"/>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jc w:val="center"/>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ind w:firstLine="566"/>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ind w:firstLine="2920"/>
        <w:spacing w:line="360" w:lineRule="auto"/>
        <w:rPr>
          <w:rFonts w:hint="default" w:eastAsia="宋体" w:cs="宋体"/>
          <w:color w:val="000000"/>
          <w:sz w:val="24"/>
          <w:szCs w:val="24"/>
          <w:highlight w:val="none"/>
          <w:lang w:val="en-US" w:eastAsia="zh-CN"/>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pStyle w:val="914"/>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color w:val="000000"/>
          <w:sz w:val="24"/>
          <w:szCs w:val="21"/>
          <w:highlight w:val="none"/>
        </w:rPr>
        <w:br w:type="page" w:clear="all"/>
      </w:r>
      <w:r>
        <w:rPr>
          <w:rFonts w:hint="eastAsia" w:eastAsia="宋体" w:cs="宋体"/>
          <w:b/>
          <w:bCs/>
          <w:color w:val="000000"/>
          <w:sz w:val="28"/>
          <w:szCs w:val="28"/>
          <w:highlight w:val="none"/>
          <w:lang w:val="en-US" w:eastAsia="zh-CN"/>
        </w:rPr>
        <w:t xml:space="preserve">2.法定代表人身份证明</w:t>
      </w:r>
      <w:r/>
    </w:p>
    <w:p>
      <w:pPr>
        <w:jc w:val="center"/>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（法定代表人参加投标时，须出示此证明）</w:t>
      </w:r>
      <w:r/>
    </w:p>
    <w:p>
      <w:pPr>
        <w:jc w:val="cente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 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附：法定代表人情况：</w:t>
      </w:r>
      <w:r/>
    </w:p>
    <w:p>
      <w:pPr>
        <w:ind w:firstLine="480"/>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p>
    <w:p>
      <w:pPr>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p>
    <w:p>
      <w:pPr>
        <w:ind w:firstLine="48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p>
    <w:p>
      <w:pPr>
        <w:keepLines w:val="0"/>
        <w:keepNext w:val="0"/>
        <w:pageBreakBefore w:val="0"/>
        <w:spacing w:line="360" w:lineRule="auto"/>
        <w:widowControl w:val="off"/>
        <w:rPr>
          <w:rFonts w:hint="eastAsia" w:eastAsia="宋体" w:cs="宋体"/>
          <w:b/>
          <w:bCs/>
          <w:color w:val="000000"/>
          <w:sz w:val="24"/>
          <w:szCs w:val="21"/>
          <w:highlight w:val="none"/>
        </w:rPr>
      </w:pPr>
      <w:r>
        <w:rPr>
          <w:rFonts w:hint="eastAsia" w:eastAsia="宋体" w:cs="宋体"/>
          <w:b/>
          <w:bCs/>
          <w:color w:val="000000"/>
          <w:sz w:val="24"/>
          <w:szCs w:val="21"/>
          <w:highlight w:val="none"/>
        </w:rPr>
      </w:r>
      <w:r/>
    </w:p>
    <w:p>
      <w:pPr>
        <w:keepLines w:val="0"/>
        <w:keepNext w:val="0"/>
        <w:pageBreakBefore w:val="0"/>
        <w:spacing w:line="360" w:lineRule="auto"/>
        <w:widowControl w:val="off"/>
        <w:rPr>
          <w:rFonts w:eastAsia="宋体" w:cs="宋体"/>
          <w:color w:val="000000"/>
          <w:sz w:val="24"/>
          <w:szCs w:val="21"/>
          <w:highlight w:val="none"/>
        </w:rPr>
      </w:pPr>
      <w:r>
        <w:rPr>
          <w:rFonts w:hint="eastAsia" w:eastAsia="宋体" w:cs="宋体"/>
          <w:b/>
          <w:bCs/>
          <w:color w:val="000000"/>
          <w:sz w:val="24"/>
          <w:szCs w:val="21"/>
          <w:highlight w:val="none"/>
        </w:rPr>
        <w:t xml:space="preserve"> 注：提供法定代表人的身份证复印件盖公章</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2920"/>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r>
      <w:r/>
    </w:p>
    <w:p>
      <w:pPr>
        <w:ind w:firstLine="2920"/>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p>
    <w:p>
      <w:pPr>
        <w:ind w:firstLine="2920"/>
        <w:keepLines w:val="0"/>
        <w:keepNext w:val="0"/>
        <w:pageBreakBefore w:val="0"/>
        <w:spacing w:line="360" w:lineRule="auto"/>
        <w:widowControl w:val="off"/>
        <w:rPr>
          <w:rFonts w:hint="eastAsia" w:ascii="宋体" w:hAnsi="宋体" w:eastAsia="宋体" w:cs="宋体"/>
          <w:bCs/>
          <w:sz w:val="24"/>
          <w:lang w:val="en-US" w:eastAsia="zh-CN"/>
        </w:rPr>
      </w:pPr>
      <w:r>
        <w:rPr>
          <w:rFonts w:hint="eastAsia" w:eastAsia="宋体" w:cs="宋体"/>
          <w:color w:val="000000"/>
          <w:sz w:val="24"/>
          <w:szCs w:val="21"/>
          <w:highlight w:val="none"/>
        </w:rPr>
        <w:t xml:space="preserve">法定代表人（签字或加盖CA电子签章）</w:t>
      </w:r>
      <w:r/>
    </w:p>
    <w:p>
      <w:pPr>
        <w:ind w:firstLine="2920"/>
        <w:keepLines w:val="0"/>
        <w:keepNext w:val="0"/>
        <w:pageBreakBefore w:val="0"/>
        <w:spacing w:line="360" w:lineRule="auto"/>
        <w:widowControl w:val="off"/>
        <w:rPr>
          <w:rFonts w:hint="default" w:eastAsia="宋体" w:cs="宋体"/>
          <w:color w:val="000000"/>
          <w:sz w:val="24"/>
          <w:szCs w:val="24"/>
          <w:highlight w:val="none"/>
          <w:lang w:val="en-US" w:eastAsia="zh-CN"/>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keepLines w:val="0"/>
        <w:keepNext w:val="0"/>
        <w:pageBreakBefore w:val="0"/>
        <w:spacing w:line="360" w:lineRule="auto"/>
        <w:widowControl w:val="off"/>
        <w:rPr>
          <w:rFonts w:hint="eastAsia" w:eastAsia="宋体" w:cs="宋体"/>
          <w:color w:val="000000"/>
          <w:sz w:val="24"/>
          <w:szCs w:val="21"/>
          <w:highlight w:val="none"/>
        </w:rPr>
      </w:pPr>
      <w:r>
        <w:rPr>
          <w:rFonts w:hint="eastAsia" w:eastAsia="宋体" w:cs="宋体"/>
          <w:color w:val="000000"/>
          <w:sz w:val="24"/>
          <w:szCs w:val="21"/>
          <w:highlight w:val="none"/>
        </w:rPr>
        <w:t xml:space="preserve">         </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720"/>
        <w:keepLines w:val="0"/>
        <w:keepNext w:val="0"/>
        <w:pageBreakBefore w:val="0"/>
        <w:spacing w:line="360" w:lineRule="auto"/>
        <w:widowControl w:val="off"/>
        <w:rPr>
          <w:rFonts w:hint="eastAsia" w:eastAsia="宋体" w:cs="宋体"/>
          <w:color w:val="000000"/>
          <w:sz w:val="24"/>
          <w:szCs w:val="21"/>
          <w:highlight w:val="none"/>
        </w:rPr>
      </w:pPr>
      <w:r>
        <w:rPr>
          <w:rFonts w:hint="eastAsia" w:eastAsia="宋体" w:cs="宋体"/>
          <w:color w:val="000000"/>
          <w:sz w:val="24"/>
          <w:szCs w:val="21"/>
          <w:highlight w:val="none"/>
        </w:rPr>
      </w:r>
      <w:r/>
    </w:p>
    <w:p>
      <w:pPr>
        <w:ind w:firstLine="720"/>
        <w:keepLines w:val="0"/>
        <w:keepNext w:val="0"/>
        <w:pageBreakBefore w:val="0"/>
        <w:spacing w:line="360" w:lineRule="auto"/>
        <w:widowControl w:val="off"/>
        <w:rPr>
          <w:rFonts w:eastAsia="宋体" w:cs="宋体"/>
          <w:color w:val="000000"/>
          <w:sz w:val="24"/>
          <w:szCs w:val="21"/>
          <w:highlight w:val="none"/>
        </w:rPr>
      </w:pPr>
      <w:r>
        <w:rPr>
          <w:rFonts w:hint="eastAsia" w:eastAsia="宋体" w:cs="宋体"/>
          <w:color w:val="000000"/>
          <w:sz w:val="24"/>
          <w:szCs w:val="21"/>
          <w:highlight w:val="none"/>
        </w:rPr>
        <w:t xml:space="preserve"> </w:t>
      </w:r>
      <w:r/>
    </w:p>
    <w:p>
      <w:pP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0"/>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2"/>
        <w:keepLines w:val="0"/>
        <w:keepNext w:val="0"/>
        <w:pageBreakBefore w:val="0"/>
        <w:spacing w:line="360" w:lineRule="auto"/>
        <w:widowControl w:val="off"/>
        <w:rPr>
          <w:rFonts w:eastAsia="宋体" w:cs="宋体"/>
          <w:b/>
          <w:bCs/>
          <w:color w:val="000000"/>
          <w:sz w:val="24"/>
          <w:szCs w:val="21"/>
          <w:highlight w:val="none"/>
        </w:rPr>
      </w:pPr>
      <w:r>
        <w:rPr>
          <w:rFonts w:eastAsia="宋体" w:cs="宋体"/>
          <w:b/>
          <w:bCs/>
          <w:color w:val="000000"/>
          <w:sz w:val="24"/>
          <w:szCs w:val="21"/>
          <w:highlight w:val="none"/>
        </w:rPr>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b/>
          <w:bCs/>
          <w:color w:val="000000"/>
          <w:sz w:val="24"/>
          <w:szCs w:val="21"/>
          <w:highlight w:val="none"/>
        </w:rPr>
        <w:br w:type="page" w:clear="all"/>
      </w:r>
      <w:r>
        <w:rPr>
          <w:rFonts w:hint="eastAsia" w:eastAsia="宋体" w:cs="宋体"/>
          <w:b/>
          <w:bCs/>
          <w:color w:val="000000"/>
          <w:sz w:val="28"/>
          <w:szCs w:val="28"/>
          <w:highlight w:val="none"/>
          <w:lang w:val="en-US" w:eastAsia="zh-CN"/>
        </w:rPr>
        <w:t xml:space="preserve">3.授权委托书</w:t>
      </w:r>
      <w:r/>
    </w:p>
    <w:p>
      <w:pPr>
        <w:jc w:val="center"/>
        <w:keepLines w:val="0"/>
        <w:keepNext w:val="0"/>
        <w:pageBreakBefore w:val="0"/>
        <w:spacing w:line="360" w:lineRule="auto"/>
        <w:widowControl w:val="off"/>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（被授权人参加投标时，须出示此证明）</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本人</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（授权单位名称）的法定代表人，现委托</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（姓名）（身份证号：</w:t>
      </w:r>
      <w:r>
        <w:rPr>
          <w:rFonts w:hint="eastAsia" w:ascii="宋体" w:hAnsi="宋体" w:eastAsia="宋体" w:cs="宋体"/>
          <w:sz w:val="24"/>
          <w:u w:val="single"/>
        </w:rPr>
        <w:t xml:space="preserve">          </w:t>
      </w:r>
      <w:r>
        <w:rPr>
          <w:rFonts w:hint="eastAsia" w:ascii="宋体" w:hAnsi="宋体" w:eastAsia="宋体" w:cs="宋体"/>
          <w:sz w:val="24"/>
        </w:rPr>
        <w:t xml:space="preserve">）为我方代理人，以我方名义全权处理与本次采购项目</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（项目编号：</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）有关的一切事务，其法律后果由我方承担。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本授权书于2025年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日起生效。代理人无转委托权。</w:t>
      </w:r>
      <w:r/>
    </w:p>
    <w:p>
      <w:pPr>
        <w:ind w:firstLine="36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代理人(被授权人)</w:t>
      </w:r>
      <w:r>
        <w:rPr>
          <w:rFonts w:hint="eastAsia" w:ascii="宋体" w:hAnsi="宋体" w:eastAsia="宋体" w:cs="宋体"/>
          <w:sz w:val="24"/>
          <w:lang w:eastAsia="zh-CN"/>
        </w:rPr>
        <w:t xml:space="preserve">：</w:t>
      </w:r>
      <w:r/>
    </w:p>
    <w:p>
      <w:pPr>
        <w:ind w:firstLine="36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授权单位名称（加盖CA电子签章）：</w:t>
      </w:r>
      <w:r/>
    </w:p>
    <w:p>
      <w:pPr>
        <w:ind w:firstLine="36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授权单位法定代表人（签字或加盖CA电子签章）：</w:t>
      </w:r>
      <w:r/>
    </w:p>
    <w:p>
      <w:pPr>
        <w:jc w:val="righ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jc w:val="righ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zh-CN" w:bidi="ar"/>
        </w:rPr>
        <w:t xml:space="preserve">时间：</w:t>
      </w:r>
      <w:r>
        <w:rPr>
          <w:rFonts w:hint="eastAsia" w:ascii="宋体" w:hAnsi="宋体" w:eastAsia="宋体" w:cs="宋体"/>
          <w:sz w:val="24"/>
          <w:lang w:bidi="ar"/>
        </w:rPr>
        <w:t xml:space="preserve">2025年</w:t>
      </w:r>
      <w:r>
        <w:rPr>
          <w:rFonts w:hint="eastAsia" w:ascii="宋体" w:hAnsi="宋体" w:eastAsia="宋体" w:cs="宋体"/>
          <w:sz w:val="24"/>
          <w:lang w:val="zh-CN" w:bidi="ar"/>
        </w:rPr>
        <w:t xml:space="preserve">  月   日</w:t>
      </w:r>
      <w:r/>
    </w:p>
    <w:p>
      <w:pPr>
        <w:contextualSpacing/>
        <w:ind w:firstLine="463"/>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r>
      <w:r/>
    </w:p>
    <w:p>
      <w:pPr>
        <w:contextualSpacing/>
        <w:ind w:firstLine="463"/>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注：法定代表人本人身份证复印件及被授权人本人身份证复印件盖公章</w:t>
      </w:r>
      <w:r/>
    </w:p>
    <w:p>
      <w:pPr>
        <w:jc w:val="center"/>
        <w:keepLines w:val="0"/>
        <w:keepNext w:val="0"/>
        <w:pageBreakBefore w:val="0"/>
        <w:spacing w:line="360" w:lineRule="auto"/>
        <w:widowControl w:val="off"/>
        <w:rPr>
          <w:rFonts w:eastAsia="宋体" w:cs="宋体"/>
          <w:color w:val="000000"/>
          <w:sz w:val="24"/>
          <w:szCs w:val="21"/>
          <w:highlight w:val="none"/>
        </w:rPr>
      </w:pPr>
      <w:r>
        <w:rPr>
          <w:rFonts w:eastAsia="宋体" w:cs="宋体"/>
          <w:color w:val="000000"/>
          <w:sz w:val="24"/>
          <w:szCs w:val="21"/>
          <w:highlight w:val="none"/>
        </w:rPr>
      </w:r>
      <w:r/>
    </w:p>
    <w:p>
      <w:pPr>
        <w:ind w:firstLine="482"/>
        <w:keepLines w:val="0"/>
        <w:keepNext w:val="0"/>
        <w:pageBreakBefore w:val="0"/>
        <w:spacing w:line="360" w:lineRule="auto"/>
        <w:widowControl w:val="off"/>
        <w:rPr>
          <w:rFonts w:eastAsia="宋体" w:cs="宋体"/>
          <w:b/>
          <w:bCs/>
          <w:color w:val="000000"/>
          <w:sz w:val="24"/>
          <w:szCs w:val="21"/>
          <w:highlight w:val="none"/>
        </w:rPr>
      </w:pPr>
      <w:r>
        <w:rPr>
          <w:rFonts w:eastAsia="宋体" w:cs="宋体"/>
          <w:b/>
          <w:bCs/>
          <w:color w:val="000000"/>
          <w:sz w:val="24"/>
          <w:szCs w:val="21"/>
          <w:highlight w:val="none"/>
        </w:rPr>
      </w:r>
      <w:r/>
    </w:p>
    <w:p>
      <w:pPr>
        <w:keepLines w:val="0"/>
        <w:keepNext w:val="0"/>
        <w:pageBreakBefore w:val="0"/>
        <w:spacing w:line="360" w:lineRule="auto"/>
        <w:widowControl w:val="off"/>
        <w:rPr>
          <w:rFonts w:hint="eastAsia" w:eastAsia="宋体" w:cs="宋体"/>
          <w:color w:val="000000"/>
          <w:sz w:val="24"/>
          <w:szCs w:val="21"/>
          <w:highlight w:val="none"/>
        </w:rPr>
      </w:pPr>
      <w:r>
        <w:rPr>
          <w:rFonts w:hint="eastAsia" w:eastAsia="宋体" w:cs="宋体"/>
          <w:b/>
          <w:bCs/>
          <w:color w:val="000000"/>
          <w:sz w:val="24"/>
          <w:szCs w:val="21"/>
          <w:highlight w:val="none"/>
        </w:rPr>
        <w:br w:type="page" w:clear="all"/>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4.供应商信用承诺书</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为营造公开、公平、公正的公共资源交易环境，树立诚信守法的投标人形象，本人代表本单位作出以下承诺：</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三、严格遵守即时信息公示规定，及时更新公共资源交易中心主体信息库中信息；</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六、自觉接受政府部门、行业组织、社会公众、新闻舆论等监督；</w:t>
      </w:r>
      <w:r/>
    </w:p>
    <w:p>
      <w:pPr>
        <w:ind w:firstLine="480"/>
        <w:spacing w:line="360" w:lineRule="auto"/>
        <w:rPr>
          <w:rFonts w:hint="eastAsia" w:eastAsia="宋体" w:cs="宋体"/>
          <w:color w:val="000000"/>
          <w:sz w:val="24"/>
          <w:szCs w:val="21"/>
          <w:highlight w:val="none"/>
          <w:lang w:val="zh-CN"/>
        </w:rPr>
      </w:pPr>
      <w:r>
        <w:rPr>
          <w:rFonts w:hint="eastAsia" w:eastAsia="宋体" w:cs="宋体"/>
          <w:color w:val="000000"/>
          <w:sz w:val="24"/>
          <w:szCs w:val="21"/>
          <w:highlight w:val="none"/>
          <w:lang w:val="zh-CN"/>
        </w:rPr>
        <w:t xml:space="preserve">七、上述承诺已向本单位员工作了宣传教育；</w:t>
      </w:r>
      <w:r/>
    </w:p>
    <w:p>
      <w:pPr>
        <w:ind w:firstLine="480"/>
        <w:spacing w:line="360" w:lineRule="auto"/>
        <w:rPr>
          <w:rFonts w:hint="eastAsia" w:eastAsia="宋体" w:cs="宋体"/>
          <w:color w:val="000000"/>
          <w:sz w:val="24"/>
          <w:szCs w:val="21"/>
          <w:highlight w:val="none"/>
          <w:lang w:eastAsia="zh-CN"/>
        </w:rPr>
      </w:pPr>
      <w:r>
        <w:rPr>
          <w:rFonts w:hint="eastAsia" w:eastAsia="宋体" w:cs="宋体"/>
          <w:b/>
          <w:bCs/>
          <w:color w:val="000000"/>
          <w:sz w:val="24"/>
          <w:szCs w:val="21"/>
          <w:highlight w:val="none"/>
          <w:lang w:val="zh-CN"/>
        </w:rPr>
        <w:t xml:space="preserve">如有违反上述承诺的不良行为，本单位同意将其予以上网公示。</w:t>
      </w:r>
      <w:r/>
    </w:p>
    <w:p>
      <w:pPr>
        <w:jc w:val="both"/>
        <w:keepLines w:val="0"/>
        <w:keepNext w:val="0"/>
        <w:pageBreakBefore w:val="0"/>
        <w:spacing w:line="360" w:lineRule="auto"/>
        <w:widowControl w:val="off"/>
        <w:rPr>
          <w:rFonts w:hint="eastAsia" w:ascii="宋体" w:hAnsi="宋体" w:eastAsia="宋体" w:cs="宋体"/>
          <w:bCs/>
          <w:sz w:val="24"/>
          <w:lang w:eastAsia="zh-CN"/>
        </w:rPr>
        <w:outlineLvl w:val="4"/>
      </w:pPr>
      <w:r>
        <w:rPr>
          <w:rFonts w:hint="eastAsia" w:ascii="宋体" w:hAnsi="宋体" w:eastAsia="宋体" w:cs="宋体"/>
          <w:bCs/>
          <w:sz w:val="24"/>
          <w:lang w:eastAsia="zh-CN"/>
        </w:rPr>
      </w:r>
      <w:r/>
    </w:p>
    <w:p>
      <w:pPr>
        <w:jc w:val="center"/>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ind w:firstLine="566"/>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ind w:firstLine="2880"/>
        <w:jc w:val="both"/>
        <w:keepLines w:val="0"/>
        <w:keepNext w:val="0"/>
        <w:pageBreakBefore w:val="0"/>
        <w:spacing w:line="360" w:lineRule="auto"/>
        <w:widowControl w:val="off"/>
        <w:rPr>
          <w:rFonts w:eastAsia="宋体" w:cs="宋体"/>
          <w:color w:val="000000"/>
          <w:sz w:val="24"/>
          <w:szCs w:val="24"/>
          <w:highlight w:val="none"/>
        </w:rPr>
        <w:outlineLvl w:val="4"/>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ind w:firstLine="480"/>
        <w:spacing w:line="360" w:lineRule="auto"/>
        <w:rPr>
          <w:rFonts w:eastAsia="宋体" w:cs="宋体"/>
          <w:color w:val="000000"/>
          <w:highlight w:val="none"/>
        </w:rPr>
      </w:pPr>
      <w:r>
        <w:rPr>
          <w:rFonts w:eastAsia="宋体" w:cs="宋体"/>
          <w:color w:val="000000"/>
          <w:highlight w:val="none"/>
        </w:rPr>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4"/>
          <w:szCs w:val="21"/>
          <w:highlight w:val="none"/>
        </w:rPr>
        <w:br w:type="page" w:clear="all"/>
      </w:r>
      <w:r>
        <w:rPr>
          <w:rFonts w:hint="eastAsia" w:eastAsia="宋体" w:cs="宋体"/>
          <w:b/>
          <w:bCs/>
          <w:color w:val="000000"/>
          <w:sz w:val="28"/>
          <w:szCs w:val="28"/>
          <w:highlight w:val="none"/>
          <w:lang w:val="en-US" w:eastAsia="zh-CN"/>
        </w:rPr>
        <w:t xml:space="preserve">5.投标声明函</w:t>
      </w:r>
      <w:r/>
    </w:p>
    <w:p>
      <w:pPr>
        <w:ind w:firstLine="482"/>
        <w:spacing w:line="360" w:lineRule="auto"/>
        <w:rPr>
          <w:rFonts w:eastAsia="宋体" w:cs="宋体"/>
          <w:b/>
          <w:bCs/>
          <w:color w:val="000000"/>
          <w:sz w:val="24"/>
          <w:szCs w:val="21"/>
          <w:highlight w:val="none"/>
        </w:rPr>
      </w:pPr>
      <w:r>
        <w:rPr>
          <w:rFonts w:hint="eastAsia" w:eastAsia="宋体" w:cs="宋体"/>
          <w:b w:val="0"/>
          <w:bCs w:val="0"/>
          <w:color w:val="000000"/>
          <w:sz w:val="24"/>
          <w:szCs w:val="21"/>
          <w:highlight w:val="none"/>
        </w:rPr>
        <w:t xml:space="preserve">致：</w:t>
      </w:r>
      <w:r>
        <w:rPr>
          <w:rFonts w:hint="eastAsia" w:eastAsia="宋体" w:cs="宋体"/>
          <w:b w:val="0"/>
          <w:bCs w:val="0"/>
          <w:color w:val="000000"/>
          <w:sz w:val="24"/>
          <w:szCs w:val="21"/>
          <w:highlight w:val="none"/>
          <w:u w:val="single"/>
          <w:shd w:val="clear" w:color="auto" w:fill="ffffff"/>
        </w:rPr>
        <w:t xml:space="preserve">   </w:t>
      </w:r>
      <w:r>
        <w:rPr>
          <w:rFonts w:hint="eastAsia" w:eastAsia="宋体" w:cs="宋体"/>
          <w:b w:val="0"/>
          <w:bCs w:val="0"/>
          <w:color w:val="000000"/>
          <w:sz w:val="24"/>
          <w:szCs w:val="21"/>
          <w:highlight w:val="none"/>
          <w:u w:val="single"/>
          <w:shd w:val="clear" w:color="auto" w:fill="ffffff"/>
          <w:lang w:val="en-US" w:eastAsia="zh-CN"/>
        </w:rPr>
        <w:t xml:space="preserve">      </w:t>
      </w:r>
      <w:r>
        <w:rPr>
          <w:rFonts w:hint="eastAsia" w:eastAsia="宋体" w:cs="宋体"/>
          <w:b w:val="0"/>
          <w:bCs w:val="0"/>
          <w:color w:val="000000"/>
          <w:sz w:val="24"/>
          <w:szCs w:val="21"/>
          <w:highlight w:val="none"/>
          <w:u w:val="single"/>
          <w:shd w:val="clear" w:color="auto" w:fill="ffffff"/>
        </w:rPr>
        <w:t xml:space="preserve">  </w:t>
      </w:r>
      <w:r>
        <w:rPr>
          <w:rFonts w:hint="eastAsia" w:eastAsia="宋体" w:cs="宋体"/>
          <w:b w:val="0"/>
          <w:bCs w:val="0"/>
          <w:color w:val="000000"/>
          <w:sz w:val="24"/>
          <w:szCs w:val="21"/>
          <w:highlight w:val="none"/>
          <w:u w:val="none"/>
          <w:shd w:val="clear" w:color="auto" w:fill="ffffff"/>
        </w:rPr>
        <w:t xml:space="preserve">（采购人）</w:t>
      </w:r>
      <w:r>
        <w:rPr>
          <w:rFonts w:hint="eastAsia" w:eastAsia="宋体" w:cs="宋体"/>
          <w:b w:val="0"/>
          <w:bCs w:val="0"/>
          <w:color w:val="000000"/>
          <w:sz w:val="24"/>
          <w:szCs w:val="21"/>
          <w:highlight w:val="none"/>
          <w:lang w:eastAsia="zh-CN"/>
        </w:rPr>
        <w:t xml:space="preserve">：</w:t>
      </w:r>
      <w:r>
        <w:rPr>
          <w:rFonts w:hint="eastAsia" w:eastAsia="宋体" w:cs="宋体"/>
          <w:b/>
          <w:bCs/>
          <w:color w:val="000000"/>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highlight w:val="none"/>
        </w:rPr>
      </w:pPr>
      <w:r/>
      <w:bookmarkStart w:id="31" w:name="_Toc396833717"/>
      <w:r>
        <w:rPr>
          <w:rFonts w:hint="eastAsia" w:eastAsia="宋体" w:cs="宋体"/>
          <w:color w:val="000000"/>
          <w:sz w:val="24"/>
          <w:szCs w:val="21"/>
          <w:highlight w:val="none"/>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p>
    <w:p>
      <w:pPr>
        <w:numPr>
          <w:ilvl w:val="1"/>
          <w:numId w:val="0"/>
        </w:numPr>
        <w:ind w:left="0"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default" w:ascii="Times New Roman" w:hAnsi="Times New Roman" w:eastAsia="宋体" w:cs="Times New Roman"/>
          <w:color w:val="000000"/>
          <w:sz w:val="24"/>
          <w:szCs w:val="21"/>
          <w:lang w:val="en-US" w:eastAsia="zh-CN" w:bidi="ar-SA"/>
        </w:rPr>
        <w:t xml:space="preserve">1</w:t>
      </w:r>
      <w:r>
        <w:rPr>
          <w:rFonts w:hint="eastAsia" w:eastAsia="宋体" w:cs="Times New Roman"/>
          <w:color w:val="000000"/>
          <w:sz w:val="24"/>
          <w:szCs w:val="21"/>
          <w:lang w:val="en-US" w:eastAsia="zh-CN" w:bidi="ar-SA"/>
        </w:rPr>
        <w:t xml:space="preserve">.</w:t>
      </w:r>
      <w:r>
        <w:rPr>
          <w:rFonts w:hint="eastAsia" w:eastAsia="宋体" w:cs="宋体"/>
          <w:color w:val="000000"/>
          <w:sz w:val="24"/>
          <w:szCs w:val="21"/>
          <w:highlight w:val="none"/>
        </w:rPr>
        <w:t xml:space="preserve">我方承诺信用记录中未</w:t>
      </w:r>
      <w:r>
        <w:rPr>
          <w:rFonts w:hint="eastAsia" w:eastAsia="宋体" w:cs="宋体"/>
          <w:color w:val="000000"/>
          <w:sz w:val="24"/>
          <w:szCs w:val="24"/>
          <w:highlight w:val="none"/>
        </w:rPr>
        <w:t xml:space="preserve">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eastAsia="宋体" w:cs="宋体"/>
          <w:color w:val="000000"/>
          <w:sz w:val="24"/>
          <w:szCs w:val="24"/>
          <w:highlight w:val="none"/>
        </w:rPr>
        <w:t xml:space="preserve">www.creditchina.gov.cn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)、中华人民共和国最高人民法院网站（</w:t>
      </w:r>
      <w:r>
        <w:rPr>
          <w:color w:val="000000"/>
          <w:highlight w:val="none"/>
        </w:rPr>
        <w:fldChar w:fldCharType="begin"/>
      </w:r>
      <w:r>
        <w:rPr>
          <w:color w:val="000000"/>
          <w:highlight w:val="none"/>
        </w:rPr>
        <w:instrText xml:space="preserve"> HYPERLINK "http://www.court.gov.cn/" \o "http://www.court.gov.cn/" </w:instrText>
      </w:r>
      <w:r>
        <w:rPr>
          <w:color w:val="000000"/>
          <w:highlight w:val="none"/>
        </w:rPr>
        <w:fldChar w:fldCharType="separate"/>
      </w:r>
      <w:r>
        <w:rPr>
          <w:rFonts w:hint="eastAsia" w:eastAsia="宋体" w:cs="宋体"/>
          <w:color w:val="000000"/>
          <w:sz w:val="24"/>
          <w:szCs w:val="24"/>
          <w:highlight w:val="none"/>
        </w:rPr>
        <w:t xml:space="preserve">http://www.court.gov.cn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）等渠道列入信用记录失信被执行人，未被中国政府采购网(</w:t>
      </w:r>
      <w:r>
        <w:rPr>
          <w:color w:val="000000"/>
          <w:highlight w:val="none"/>
        </w:rPr>
        <w:fldChar w:fldCharType="begin"/>
      </w:r>
      <w:r>
        <w:rPr>
          <w:color w:val="000000"/>
          <w:highlight w:val="none"/>
        </w:rPr>
        <w:instrText xml:space="preserve"> HYPERLINK "http://www.ccgp.gov.cn" \o "http://www.ccgp.gov.cn" </w:instrText>
      </w:r>
      <w:r>
        <w:rPr>
          <w:color w:val="000000"/>
          <w:highlight w:val="none"/>
        </w:rPr>
        <w:fldChar w:fldCharType="separate"/>
      </w:r>
      <w:r>
        <w:rPr>
          <w:rFonts w:hint="eastAsia" w:eastAsia="宋体" w:cs="宋体"/>
          <w:color w:val="000000"/>
          <w:sz w:val="24"/>
          <w:szCs w:val="24"/>
          <w:highlight w:val="none"/>
        </w:rPr>
        <w:t xml:space="preserve">www.ccgp.gov.cn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000000"/>
          <w:highlight w:val="none"/>
        </w:rPr>
        <w:fldChar w:fldCharType="begin"/>
      </w:r>
      <w:r>
        <w:rPr>
          <w:color w:val="000000"/>
          <w:highlight w:val="none"/>
        </w:rPr>
        <w:instrText xml:space="preserve"> HYPERLINK "http://hd.chinatax.gov.cn/xxk/" \o "http://hd.chinatax.gov.cn/xxk/" </w:instrText>
      </w:r>
      <w:r>
        <w:rPr>
          <w:color w:val="000000"/>
          <w:highlight w:val="none"/>
        </w:rPr>
        <w:fldChar w:fldCharType="separate"/>
      </w:r>
      <w:r>
        <w:rPr>
          <w:rFonts w:hint="eastAsia" w:eastAsia="宋体" w:cs="宋体"/>
          <w:color w:val="000000"/>
          <w:sz w:val="24"/>
          <w:szCs w:val="24"/>
          <w:highlight w:val="none"/>
        </w:rPr>
        <w:t xml:space="preserve">http://hd.chinatax.gov.cn/xxk</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）等渠道列入重大税收违法案件当事人名单，未被国家企业信用信息公示系统（</w:t>
      </w:r>
      <w:r>
        <w:rPr>
          <w:color w:val="000000"/>
          <w:highlight w:val="none"/>
        </w:rPr>
        <w:fldChar w:fldCharType="begin"/>
      </w:r>
      <w:r>
        <w:rPr>
          <w:color w:val="000000"/>
          <w:highlight w:val="none"/>
        </w:rPr>
        <w:instrText xml:space="preserve"> HYPERLINK "http://www.gsxt.gov.cn" \o "http://www.gsxt.gov.cn" </w:instrText>
      </w:r>
      <w:r>
        <w:rPr>
          <w:color w:val="000000"/>
          <w:highlight w:val="none"/>
        </w:rPr>
        <w:fldChar w:fldCharType="separate"/>
      </w:r>
      <w:r>
        <w:rPr>
          <w:rFonts w:hint="eastAsia" w:eastAsia="宋体" w:cs="宋体"/>
          <w:color w:val="000000"/>
          <w:sz w:val="24"/>
          <w:szCs w:val="24"/>
          <w:highlight w:val="none"/>
        </w:rPr>
        <w:t xml:space="preserve">http://www.gsxt.gov.cn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）等渠道列入经营异常名录、严重违法失信企业名单，未被全国公共资源交易平台（</w:t>
      </w:r>
      <w:r>
        <w:rPr>
          <w:color w:val="000000"/>
          <w:highlight w:val="none"/>
        </w:rPr>
        <w:fldChar w:fldCharType="begin"/>
      </w:r>
      <w:r>
        <w:rPr>
          <w:color w:val="000000"/>
          <w:highlight w:val="none"/>
        </w:rPr>
        <w:instrText xml:space="preserve"> HYPERLINK "http://www.ggzy.gov.cn" \o "http://www.ggzy.gov.cn" </w:instrText>
      </w:r>
      <w:r>
        <w:rPr>
          <w:color w:val="000000"/>
          <w:highlight w:val="none"/>
        </w:rPr>
        <w:fldChar w:fldCharType="separate"/>
      </w:r>
      <w:r>
        <w:rPr>
          <w:rFonts w:hint="eastAsia" w:eastAsia="宋体" w:cs="宋体"/>
          <w:color w:val="000000"/>
          <w:sz w:val="24"/>
          <w:szCs w:val="24"/>
          <w:highlight w:val="none"/>
        </w:rPr>
        <w:t xml:space="preserve">http://www.ggzy.gov.cn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）等渠道列入黑名单</w:t>
      </w:r>
      <w:r>
        <w:rPr>
          <w:rFonts w:hint="eastAsia" w:eastAsia="宋体" w:cs="宋体"/>
          <w:color w:val="000000"/>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2.</w:t>
      </w:r>
      <w:r>
        <w:rPr>
          <w:rFonts w:hint="eastAsia" w:eastAsia="宋体" w:cs="宋体"/>
          <w:color w:val="000000"/>
          <w:sz w:val="24"/>
          <w:szCs w:val="21"/>
          <w:highlight w:val="none"/>
        </w:rPr>
        <w:t xml:space="preserve">我方承诺参加本次采购活动前三年内，在经营活动中没有重大违法记录，否则，可将我方的投标文件按照无效投标文件处理。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3.</w:t>
      </w:r>
      <w:r>
        <w:rPr>
          <w:rFonts w:hint="eastAsia" w:eastAsia="宋体" w:cs="宋体"/>
          <w:color w:val="000000"/>
          <w:sz w:val="24"/>
          <w:szCs w:val="21"/>
          <w:highlight w:val="none"/>
        </w:rPr>
        <w:t xml:space="preserve">我方承诺按照本项目招标文件和相关技术标准的条件，提供货物及相关服务，并承担因货物质量或服务等引起的一切责任。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4.</w:t>
      </w:r>
      <w:r>
        <w:rPr>
          <w:rFonts w:hint="eastAsia" w:eastAsia="宋体" w:cs="宋体"/>
          <w:color w:val="000000"/>
          <w:sz w:val="24"/>
          <w:szCs w:val="21"/>
          <w:highlight w:val="none"/>
        </w:rPr>
        <w:t xml:space="preserve">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5.</w:t>
      </w:r>
      <w:r>
        <w:rPr>
          <w:rFonts w:hint="eastAsia" w:eastAsia="宋体" w:cs="宋体"/>
          <w:color w:val="000000"/>
          <w:sz w:val="24"/>
          <w:szCs w:val="21"/>
          <w:highlight w:val="none"/>
        </w:rPr>
        <w:t xml:space="preserve">我方投标文件有效期为自开标日起</w:t>
      </w:r>
      <w:r>
        <w:rPr>
          <w:rFonts w:hint="eastAsia" w:eastAsia="宋体" w:cs="宋体"/>
          <w:color w:val="000000"/>
          <w:sz w:val="24"/>
          <w:szCs w:val="21"/>
          <w:highlight w:val="none"/>
          <w:u w:val="single"/>
        </w:rPr>
        <w:t xml:space="preserve">60</w:t>
      </w:r>
      <w:r>
        <w:rPr>
          <w:rFonts w:hint="eastAsia" w:eastAsia="宋体" w:cs="宋体"/>
          <w:color w:val="000000"/>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6.</w:t>
      </w:r>
      <w:r>
        <w:rPr>
          <w:rFonts w:hint="eastAsia" w:eastAsia="宋体" w:cs="宋体"/>
          <w:color w:val="000000"/>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7.</w:t>
      </w:r>
      <w:r>
        <w:rPr>
          <w:rFonts w:hint="eastAsia" w:eastAsia="宋体" w:cs="宋体"/>
          <w:color w:val="000000"/>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8.</w:t>
      </w:r>
      <w:r>
        <w:rPr>
          <w:rFonts w:hint="eastAsia" w:eastAsia="宋体" w:cs="宋体"/>
          <w:color w:val="000000"/>
          <w:sz w:val="24"/>
          <w:szCs w:val="21"/>
          <w:highlight w:val="none"/>
        </w:rPr>
        <w:t xml:space="preserve">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9.</w:t>
      </w:r>
      <w:r>
        <w:rPr>
          <w:rFonts w:hint="eastAsia" w:eastAsia="宋体" w:cs="宋体"/>
          <w:color w:val="000000"/>
          <w:sz w:val="24"/>
          <w:szCs w:val="21"/>
          <w:highlight w:val="none"/>
        </w:rPr>
        <w:t xml:space="preserve">我方委托授权(姓名：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val="en-US" w:eastAsia="zh-CN"/>
        </w:rPr>
        <w:t xml:space="preserve">10.</w:t>
      </w:r>
      <w:r>
        <w:rPr>
          <w:rFonts w:hint="eastAsia" w:eastAsia="宋体" w:cs="宋体"/>
          <w:color w:val="000000"/>
          <w:sz w:val="24"/>
          <w:szCs w:val="21"/>
          <w:highlight w:val="none"/>
        </w:rPr>
        <w:t xml:space="preserve">我方承诺将严格遵守相关法律法规，若存在违法违规行为，将承担相应的法律后果。</w:t>
      </w:r>
      <w:r/>
    </w:p>
    <w:p>
      <w:pPr>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r/>
    </w:p>
    <w:p>
      <w:pPr>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bookmarkEnd w:id="31"/>
      <w:r/>
      <w:r/>
    </w:p>
    <w:p>
      <w:pPr>
        <w:jc w:val="center"/>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ind w:firstLine="566"/>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ind w:firstLine="2920"/>
        <w:spacing w:line="360" w:lineRule="auto"/>
        <w:rPr>
          <w:rFonts w:eastAsia="宋体" w:cs="宋体"/>
          <w:color w:val="000000"/>
          <w:sz w:val="24"/>
          <w:szCs w:val="21"/>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rPr>
          <w:rFonts w:eastAsia="宋体" w:cs="宋体"/>
          <w:color w:val="000000"/>
          <w:sz w:val="24"/>
          <w:szCs w:val="21"/>
          <w:highlight w:val="none"/>
        </w:rPr>
      </w:pPr>
      <w:r>
        <w:rPr>
          <w:rFonts w:hint="eastAsia" w:eastAsia="宋体" w:cs="宋体"/>
          <w:color w:val="000000"/>
          <w:sz w:val="24"/>
          <w:szCs w:val="21"/>
          <w:highlight w:val="none"/>
        </w:rPr>
        <w:br w:type="page" w:clear="all"/>
      </w:r>
      <w:r/>
    </w:p>
    <w:p>
      <w:pPr>
        <w:jc w:val="center"/>
        <w:spacing w:line="360" w:lineRule="auto"/>
        <w:rPr>
          <w:rFonts w:hint="eastAsia" w:ascii="Times New Roman" w:hAnsi="Times New Roman"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6</w:t>
      </w:r>
      <w:r>
        <w:rPr>
          <w:rFonts w:hint="eastAsia" w:ascii="Times New Roman" w:hAnsi="Times New Roman" w:eastAsia="宋体" w:cs="宋体"/>
          <w:b/>
          <w:bCs/>
          <w:color w:val="000000"/>
          <w:sz w:val="28"/>
          <w:szCs w:val="28"/>
          <w:highlight w:val="none"/>
          <w:lang w:val="en-US" w:eastAsia="zh-CN"/>
        </w:rPr>
        <w:t xml:space="preserve">.现场勘察承诺函</w:t>
      </w:r>
      <w:r/>
    </w:p>
    <w:p>
      <w:pPr>
        <w:jc w:val="left"/>
        <w:keepLines w:val="0"/>
        <w:keepNext w:val="0"/>
        <w:pageBreakBefore w:val="0"/>
        <w:spacing w:line="360" w:lineRule="auto"/>
        <w:widowControl w:val="off"/>
        <w:rPr>
          <w:sz w:val="24"/>
          <w:u w:val="single"/>
        </w:rPr>
        <w:outlineLvl w:val="4"/>
      </w:pPr>
      <w:r>
        <w:rPr>
          <w:sz w:val="24"/>
          <w:u w:val="single"/>
        </w:rPr>
      </w:r>
      <w:r/>
    </w:p>
    <w:p>
      <w:pPr>
        <w:jc w:val="left"/>
        <w:keepLines w:val="0"/>
        <w:keepNext w:val="0"/>
        <w:pageBreakBefore w:val="0"/>
        <w:spacing w:line="360" w:lineRule="auto"/>
        <w:widowControl w:val="off"/>
        <w:rPr>
          <w:rFonts w:hint="eastAsia" w:ascii="宋体" w:hAnsi="宋体" w:eastAsia="宋体" w:cs="宋体"/>
          <w:sz w:val="24"/>
        </w:rPr>
        <w:outlineLvl w:val="4"/>
      </w:pPr>
      <w:r>
        <w:rPr>
          <w:rFonts w:hint="eastAsia" w:ascii="宋体" w:hAnsi="宋体" w:eastAsia="宋体" w:cs="宋体"/>
          <w:sz w:val="24"/>
          <w:u w:val="single"/>
        </w:rPr>
        <w:t xml:space="preserve">                       </w:t>
      </w:r>
      <w:r>
        <w:rPr>
          <w:rFonts w:hint="eastAsia" w:ascii="宋体" w:hAnsi="宋体" w:eastAsia="宋体" w:cs="宋体"/>
          <w:sz w:val="24"/>
        </w:rPr>
        <w:t xml:space="preserve">（采购人）：</w:t>
      </w:r>
      <w:r/>
    </w:p>
    <w:p>
      <w:pPr>
        <w:ind w:firstLine="480"/>
        <w:jc w:val="left"/>
        <w:keepLines w:val="0"/>
        <w:keepNext w:val="0"/>
        <w:pageBreakBefore w:val="0"/>
        <w:spacing w:line="360" w:lineRule="auto"/>
        <w:widowControl w:val="off"/>
        <w:rPr>
          <w:rFonts w:hint="eastAsia" w:ascii="宋体" w:hAnsi="宋体" w:eastAsia="宋体" w:cs="宋体"/>
          <w:sz w:val="24"/>
        </w:rPr>
        <w:outlineLvl w:val="4"/>
      </w:pPr>
      <w:r>
        <w:rPr>
          <w:rFonts w:hint="eastAsia" w:ascii="宋体" w:hAnsi="宋体" w:eastAsia="宋体" w:cs="宋体"/>
          <w:sz w:val="24"/>
        </w:rPr>
        <w:t xml:space="preserve">依据贵单位________（采购项目名称、项目编号）项目采购文件的要求。我方已于2025年__月__日对该项目进行了现场勘察，现就现场勘察情况做如下承诺：</w:t>
      </w:r>
      <w:r/>
    </w:p>
    <w:p>
      <w:pPr>
        <w:ind w:firstLine="480"/>
        <w:jc w:val="left"/>
        <w:keepLines w:val="0"/>
        <w:keepNext w:val="0"/>
        <w:pageBreakBefore w:val="0"/>
        <w:spacing w:line="360" w:lineRule="auto"/>
        <w:widowControl w:val="off"/>
        <w:rPr>
          <w:rFonts w:hint="eastAsia" w:ascii="宋体" w:hAnsi="宋体" w:eastAsia="宋体" w:cs="宋体"/>
          <w:sz w:val="24"/>
        </w:rPr>
        <w:outlineLvl w:val="4"/>
      </w:pPr>
      <w:r>
        <w:rPr>
          <w:rFonts w:hint="eastAsia" w:ascii="宋体" w:hAnsi="宋体" w:eastAsia="宋体" w:cs="宋体"/>
          <w:sz w:val="24"/>
        </w:rPr>
        <w:t xml:space="preserve">1.经现场勘察，我方已熟悉与该项目相关的供货及安装现场、施工环境、现场周围交通道路等所有情况。</w:t>
      </w:r>
      <w:r/>
    </w:p>
    <w:p>
      <w:pPr>
        <w:ind w:firstLine="480"/>
        <w:jc w:val="left"/>
        <w:keepLines w:val="0"/>
        <w:keepNext w:val="0"/>
        <w:pageBreakBefore w:val="0"/>
        <w:spacing w:line="360" w:lineRule="auto"/>
        <w:widowControl w:val="off"/>
        <w:rPr>
          <w:rFonts w:hint="eastAsia" w:ascii="宋体" w:hAnsi="宋体" w:eastAsia="宋体" w:cs="宋体"/>
          <w:sz w:val="24"/>
        </w:rPr>
        <w:outlineLvl w:val="4"/>
      </w:pPr>
      <w:r>
        <w:rPr>
          <w:rFonts w:hint="eastAsia" w:ascii="宋体" w:hAnsi="宋体" w:eastAsia="宋体" w:cs="宋体"/>
          <w:sz w:val="24"/>
        </w:rPr>
        <w:t xml:space="preserve">2.我方承诺自行承担本次现场勘察所发生的所有费用并承担勘察现场的相关责任和风险。</w:t>
      </w:r>
      <w:r/>
    </w:p>
    <w:p>
      <w:pPr>
        <w:ind w:firstLine="480"/>
        <w:jc w:val="left"/>
        <w:keepLines w:val="0"/>
        <w:keepNext w:val="0"/>
        <w:pageBreakBefore w:val="0"/>
        <w:spacing w:line="360" w:lineRule="auto"/>
        <w:widowControl w:val="off"/>
        <w:rPr>
          <w:rFonts w:hint="eastAsia" w:ascii="宋体" w:hAnsi="宋体" w:eastAsia="宋体" w:cs="宋体"/>
          <w:sz w:val="24"/>
        </w:rPr>
        <w:outlineLvl w:val="4"/>
      </w:pPr>
      <w:r>
        <w:rPr>
          <w:rFonts w:hint="eastAsia" w:ascii="宋体" w:hAnsi="宋体" w:eastAsia="宋体" w:cs="宋体"/>
          <w:sz w:val="24"/>
        </w:rPr>
        <w:t xml:space="preserve">3.如我方未进行现场勘察，将自行承担由此发生的和可能带来的一切后果和费用。</w:t>
      </w:r>
      <w:r/>
    </w:p>
    <w:p>
      <w:pPr>
        <w:ind w:firstLine="480"/>
        <w:jc w:val="left"/>
        <w:keepLines w:val="0"/>
        <w:keepNext w:val="0"/>
        <w:pageBreakBefore w:val="0"/>
        <w:spacing w:line="360" w:lineRule="auto"/>
        <w:widowControl w:val="off"/>
        <w:rPr>
          <w:rFonts w:hint="eastAsia" w:ascii="宋体" w:hAnsi="宋体" w:eastAsia="宋体" w:cs="宋体"/>
          <w:b/>
          <w:bCs/>
          <w:color w:val="000000"/>
          <w:sz w:val="28"/>
          <w:szCs w:val="28"/>
          <w:highlight w:val="none"/>
        </w:rPr>
        <w:outlineLvl w:val="4"/>
      </w:pPr>
      <w:r>
        <w:rPr>
          <w:rFonts w:hint="eastAsia" w:ascii="宋体" w:hAnsi="宋体" w:eastAsia="宋体" w:cs="宋体"/>
          <w:sz w:val="24"/>
        </w:rPr>
        <w:t xml:space="preserve">4.我方承诺在任何情况下均不以不完全了解现场情况为理由而向采购单位提出任何索赔的要求。</w:t>
      </w:r>
      <w:r/>
    </w:p>
    <w:p>
      <w:pPr>
        <w:jc w:val="center"/>
        <w:spacing w:line="360" w:lineRule="auto"/>
        <w:rPr>
          <w:rFonts w:hint="eastAsia" w:eastAsia="宋体" w:cs="宋体"/>
          <w:b/>
          <w:bCs/>
          <w:color w:val="000000"/>
          <w:sz w:val="28"/>
          <w:szCs w:val="28"/>
          <w:highlight w:val="none"/>
        </w:rPr>
        <w:outlineLvl w:val="3"/>
      </w:pPr>
      <w:r>
        <w:rPr>
          <w:rFonts w:hint="eastAsia" w:eastAsia="宋体" w:cs="宋体"/>
          <w:b/>
          <w:bCs/>
          <w:color w:val="000000"/>
          <w:sz w:val="28"/>
          <w:szCs w:val="28"/>
          <w:highlight w:val="none"/>
        </w:rPr>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b/>
          <w:bCs/>
          <w:sz w:val="24"/>
        </w:rPr>
        <w:t xml:space="preserve"> </w:t>
      </w:r>
      <w:r>
        <w:rPr>
          <w:rFonts w:hint="eastAsia" w:ascii="Times New Roman" w:hAnsi="Times New Roman" w:eastAsia="宋体" w:cs="Times New Roman"/>
          <w:bCs/>
          <w:sz w:val="24"/>
          <w:lang w:val="en-US" w:eastAsia="zh-CN"/>
        </w:rPr>
        <w:t xml:space="preserve">投标人</w:t>
      </w:r>
      <w:r>
        <w:rPr>
          <w:rFonts w:hint="eastAsia" w:ascii="Times New Roman" w:hAnsi="Times New Roman" w:eastAsia="宋体" w:cs="Times New Roman"/>
          <w:bCs/>
          <w:sz w:val="24"/>
        </w:rPr>
        <w:t xml:space="preserve">（加盖CA电子签章）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lang w:eastAsia="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w:t>
      </w:r>
      <w:r>
        <w:rPr>
          <w:rFonts w:hint="eastAsia" w:ascii="Times New Roman" w:hAnsi="Times New Roman" w:eastAsia="宋体" w:cs="Times New Roman"/>
          <w:bCs/>
          <w:sz w:val="24"/>
          <w:lang w:eastAsia="zh-CN"/>
        </w:rPr>
        <w:t xml:space="preserve">）</w:t>
      </w:r>
      <w:r/>
    </w:p>
    <w:p>
      <w:pPr>
        <w:ind w:firstLine="2880"/>
        <w:jc w:val="both"/>
        <w:keepLines w:val="0"/>
        <w:keepNext w:val="0"/>
        <w:pageBreakBefore w:val="0"/>
        <w:spacing w:line="360" w:lineRule="auto"/>
        <w:widowControl w:val="off"/>
        <w:rPr>
          <w:rFonts w:hint="eastAsia" w:eastAsia="宋体" w:cs="宋体"/>
          <w:b/>
          <w:bCs/>
          <w:color w:val="000000"/>
          <w:sz w:val="28"/>
          <w:szCs w:val="28"/>
          <w:highlight w:val="none"/>
        </w:rPr>
        <w:outlineLvl w:val="4"/>
      </w:pPr>
      <w:r>
        <w:rPr>
          <w:rFonts w:hint="eastAsia" w:ascii="Times New Roman" w:hAnsi="Times New Roman" w:eastAsia="宋体" w:cs="Times New Roman"/>
          <w:bCs/>
          <w:sz w:val="24"/>
          <w:lang w:val="zh-CN"/>
        </w:rPr>
        <w:t xml:space="preserve">时间：</w:t>
      </w:r>
      <w:r>
        <w:rPr>
          <w:rFonts w:hint="eastAsia" w:ascii="Times New Roman" w:hAnsi="Times New Roman" w:eastAsia="宋体" w:cs="Times New Roman"/>
          <w:bCs/>
          <w:sz w:val="24"/>
        </w:rPr>
        <w:t xml:space="preserve">2025年</w:t>
      </w:r>
      <w:r>
        <w:rPr>
          <w:rFonts w:hint="eastAsia" w:ascii="Times New Roman" w:hAnsi="Times New Roman" w:eastAsia="宋体" w:cs="Times New Roman"/>
          <w:bCs/>
          <w:sz w:val="24"/>
          <w:lang w:val="zh-CN"/>
        </w:rPr>
        <w:t xml:space="preserve">  月   日</w:t>
      </w:r>
      <w:r/>
    </w:p>
    <w:p>
      <w:pPr>
        <w:rPr>
          <w:rFonts w:hint="eastAsia" w:eastAsia="宋体" w:cs="宋体"/>
          <w:b/>
          <w:bCs/>
          <w:color w:val="000000"/>
          <w:sz w:val="28"/>
          <w:szCs w:val="28"/>
          <w:highlight w:val="none"/>
        </w:rPr>
      </w:pPr>
      <w:r>
        <w:rPr>
          <w:rFonts w:hint="eastAsia" w:eastAsia="宋体" w:cs="宋体"/>
          <w:b/>
          <w:bCs/>
          <w:color w:val="000000"/>
          <w:sz w:val="28"/>
          <w:szCs w:val="28"/>
          <w:highlight w:val="none"/>
        </w:rPr>
        <w:br w:type="page" w:clear="all"/>
      </w:r>
      <w:r/>
    </w:p>
    <w:p>
      <w:pPr>
        <w:jc w:val="center"/>
        <w:spacing w:line="360" w:lineRule="auto"/>
        <w:rPr>
          <w:rFonts w:hint="eastAsia" w:ascii="Times New Roman" w:hAnsi="Times New Roman" w:eastAsia="宋体" w:cs="宋体"/>
          <w:b/>
          <w:bCs/>
          <w:color w:val="000000"/>
          <w:sz w:val="28"/>
          <w:szCs w:val="28"/>
          <w:highlight w:val="none"/>
          <w:lang w:val="en-US" w:eastAsia="zh-CN"/>
        </w:rPr>
        <w:outlineLvl w:val="3"/>
      </w:pPr>
      <w:r>
        <w:rPr>
          <w:rFonts w:hint="eastAsia" w:ascii="Times New Roman" w:hAnsi="Times New Roman" w:eastAsia="宋体" w:cs="宋体"/>
          <w:b/>
          <w:bCs/>
          <w:color w:val="000000"/>
          <w:sz w:val="28"/>
          <w:szCs w:val="28"/>
          <w:highlight w:val="none"/>
          <w:lang w:val="en-US" w:eastAsia="zh-CN"/>
        </w:rPr>
        <w:t xml:space="preserve">7.声 明</w:t>
      </w:r>
      <w:r/>
    </w:p>
    <w:p>
      <w:pPr>
        <w:ind w:firstLine="420"/>
        <w:keepLines w:val="0"/>
        <w:keepNext w:val="0"/>
        <w:pageBreakBefore w:val="0"/>
        <w:spacing w:line="360" w:lineRule="auto"/>
        <w:rPr>
          <w:rFonts w:ascii="宋体" w:hAnsi="宋体" w:cs="宋体"/>
          <w:sz w:val="24"/>
          <w:u w:val="single"/>
        </w:rPr>
      </w:pPr>
      <w:r>
        <w:rPr>
          <w:rFonts w:ascii="宋体" w:hAnsi="宋体" w:cs="宋体"/>
          <w:sz w:val="24"/>
          <w:u w:val="single"/>
        </w:rPr>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w:t>
      </w:r>
      <w:r/>
    </w:p>
    <w:p>
      <w:pPr>
        <w:ind w:firstLine="42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我单位不存在以下情况：</w:t>
      </w:r>
      <w:r/>
    </w:p>
    <w:p>
      <w:pPr>
        <w:ind w:firstLine="42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单位负责人为同一人或者存在直接控股、管理关系的不同供应商，同时参加同一合同项下的政府采购活动。</w:t>
      </w:r>
      <w:r/>
    </w:p>
    <w:p>
      <w:pPr>
        <w:ind w:left="18" w:right="1" w:firstLine="420"/>
        <w:jc w:val="left"/>
        <w:keepLines w:val="0"/>
        <w:keepNext w:val="0"/>
        <w:pageBreakBefore w:val="0"/>
        <w:spacing w:line="360"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2.为采购项目提供整体设计、规范编制或者项目管理、监理、检测等服务的供应商，再参加该采购项目的其他采购活动。</w:t>
      </w:r>
      <w:r/>
    </w:p>
    <w:p>
      <w:pPr>
        <w:ind w:left="18" w:right="1" w:firstLine="42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特此声明。</w:t>
      </w:r>
      <w:r/>
    </w:p>
    <w:p>
      <w:pPr>
        <w:keepLines w:val="0"/>
        <w:keepNext w:val="0"/>
        <w:pageBreakBefore w:val="0"/>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ind w:firstLine="566"/>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ind w:firstLine="3160"/>
        <w:spacing w:line="360" w:lineRule="auto"/>
        <w:rPr>
          <w:rFonts w:hint="eastAsia" w:ascii="宋体" w:hAnsi="宋体" w:eastAsia="宋体" w:cs="宋体"/>
          <w:color w:val="000000"/>
          <w:sz w:val="24"/>
          <w:szCs w:val="26"/>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jc w:val="center"/>
        <w:spacing w:line="360" w:lineRule="auto"/>
        <w:widowControl/>
        <w:rPr>
          <w:rFonts w:eastAsia="宋体" w:cs="宋体"/>
          <w:color w:val="000000"/>
          <w:sz w:val="24"/>
          <w:szCs w:val="21"/>
          <w:highlight w:val="none"/>
        </w:rPr>
      </w:pPr>
      <w:r>
        <w:rPr>
          <w:rFonts w:eastAsia="宋体" w:cs="宋体"/>
          <w:color w:val="000000"/>
          <w:sz w:val="24"/>
          <w:szCs w:val="21"/>
          <w:highlight w:val="none"/>
        </w:rPr>
      </w:r>
      <w:r/>
    </w:p>
    <w:p>
      <w:pPr>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p>
    <w:p>
      <w:pPr>
        <w:jc w:val="center"/>
        <w:spacing w:line="360" w:lineRule="auto"/>
        <w:rPr>
          <w:rFonts w:hint="eastAsia" w:eastAsia="宋体" w:cs="宋体"/>
          <w:b/>
          <w:bCs/>
          <w:color w:val="000000"/>
          <w:sz w:val="28"/>
          <w:szCs w:val="28"/>
          <w:highlight w:val="none"/>
        </w:rPr>
        <w:outlineLvl w:val="3"/>
      </w:pPr>
      <w:r>
        <w:rPr>
          <w:rFonts w:hint="eastAsia" w:eastAsia="宋体" w:cs="宋体"/>
          <w:b/>
          <w:bCs/>
          <w:color w:val="000000"/>
          <w:sz w:val="28"/>
          <w:szCs w:val="28"/>
          <w:highlight w:val="none"/>
          <w:lang w:val="en-US" w:eastAsia="zh-CN"/>
        </w:rPr>
        <w:t xml:space="preserve">8.</w:t>
      </w:r>
      <w:r>
        <w:rPr>
          <w:rFonts w:hint="eastAsia" w:eastAsia="宋体" w:cs="宋体"/>
          <w:b/>
          <w:bCs/>
          <w:color w:val="000000"/>
          <w:sz w:val="28"/>
          <w:szCs w:val="28"/>
          <w:highlight w:val="none"/>
        </w:rPr>
        <w:t xml:space="preserve">投标响应函（格式不得变动）</w:t>
      </w:r>
      <w:r/>
    </w:p>
    <w:p>
      <w:pPr>
        <w:jc w:val="left"/>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val="en-US" w:eastAsia="zh-CN"/>
        </w:rPr>
        <w:t xml:space="preserve">              </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u w:val="none"/>
          <w:lang w:eastAsia="zh-CN"/>
        </w:rPr>
        <w:t xml:space="preserve">（采购人）</w:t>
      </w:r>
      <w:r>
        <w:rPr>
          <w:rFonts w:hint="eastAsia" w:eastAsia="宋体" w:cs="宋体"/>
          <w:color w:val="000000"/>
          <w:sz w:val="24"/>
          <w:szCs w:val="21"/>
          <w:highlight w:val="none"/>
        </w:rPr>
        <w:t xml:space="preserve">：</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依据贵单位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（招标项目名称）项目公开招标采购的邀请，我方授权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（职务）为全权代表参加该项目的投标工作，全权处理本次投标的有关事宜。同时，我公司声明如下：</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我方同意并接受本项目招标文件的各项要求，遵守招标文件中的各项规定，按招标文件的要求提供报价。</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我方愿意提供招标人在招标文件中要求的所有资料。</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我方承诺在本次招标响应中提供的一切文件，无论是原件还是复印件均真实有效，绝无任何虚假、伪造和夸大的成份。否则，愿承担相应的后果和法律责任。</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我方尊重评标小组所作的评定结果，同时也清楚理解到投标报价最低并非意味着必定获得中标资格。</w:t>
      </w:r>
      <w:r/>
    </w:p>
    <w:p>
      <w:pPr>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eastAsia="宋体" w:cs="宋体"/>
          <w:color w:val="000000"/>
          <w:sz w:val="24"/>
          <w:szCs w:val="21"/>
          <w:highlight w:val="none"/>
          <w:lang w:val="en-US" w:eastAsia="zh-CN"/>
        </w:rPr>
        <w:t xml:space="preserve">.</w:t>
      </w:r>
      <w:r>
        <w:rPr>
          <w:rFonts w:hint="eastAsia" w:eastAsia="宋体" w:cs="宋体"/>
          <w:color w:val="000000"/>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eastAsia="宋体" w:cs="宋体"/>
          <w:color w:val="000000"/>
          <w:sz w:val="24"/>
          <w:szCs w:val="21"/>
          <w:highlight w:val="none"/>
        </w:rPr>
      </w:pPr>
      <w:r>
        <w:rPr>
          <w:rFonts w:eastAsia="宋体" w:cs="宋体"/>
          <w:color w:val="000000"/>
          <w:sz w:val="24"/>
          <w:szCs w:val="21"/>
          <w:highlight w:val="none"/>
        </w:rPr>
      </w:r>
      <w:r/>
    </w:p>
    <w:p>
      <w:pPr>
        <w:jc w:val="center"/>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val="en-US" w:eastAsia="zh-CN"/>
        </w:rPr>
        <w:t xml:space="preserve">    </w:t>
      </w: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ind w:firstLine="566"/>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jc w:val="center"/>
        <w:spacing w:line="360" w:lineRule="auto"/>
        <w:rPr>
          <w:rFonts w:eastAsia="宋体" w:cs="宋体"/>
          <w:color w:val="000000"/>
          <w:sz w:val="24"/>
          <w:szCs w:val="21"/>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pStyle w:val="892"/>
        <w:ind w:firstLine="723"/>
        <w:rPr>
          <w:rFonts w:ascii="Times New Roman" w:hAnsi="Times New Roman"/>
          <w:color w:val="000000"/>
          <w:highlight w:val="none"/>
        </w:rPr>
      </w:pPr>
      <w:r>
        <w:rPr>
          <w:rFonts w:ascii="Times New Roman" w:hAnsi="Times New Roman"/>
          <w:color w:val="000000"/>
          <w:highlight w:val="none"/>
        </w:rPr>
      </w:r>
      <w:r/>
    </w:p>
    <w:p>
      <w:pPr>
        <w:ind w:firstLine="482"/>
        <w:jc w:val="center"/>
        <w:spacing w:line="360" w:lineRule="auto"/>
        <w:rPr>
          <w:rFonts w:eastAsia="宋体" w:cs="宋体"/>
          <w:b/>
          <w:bCs/>
          <w:color w:val="000000"/>
          <w:sz w:val="24"/>
          <w:szCs w:val="24"/>
          <w:highlight w:val="none"/>
        </w:rPr>
      </w:pPr>
      <w:r>
        <w:rPr>
          <w:rFonts w:hint="eastAsia" w:eastAsia="宋体" w:cs="宋体"/>
          <w:b/>
          <w:bCs/>
          <w:color w:val="000000"/>
          <w:szCs w:val="21"/>
          <w:highlight w:val="none"/>
        </w:rPr>
        <w:br w:type="page" w:clear="all"/>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9.商务条款正负偏离表</w:t>
      </w:r>
      <w:r/>
    </w:p>
    <w:p>
      <w:pPr>
        <w:pStyle w:val="1170"/>
        <w:spacing w:line="360" w:lineRule="auto"/>
        <w:rPr>
          <w:rFonts w:eastAsia="宋体" w:cs="宋体"/>
          <w:color w:val="000000"/>
          <w:szCs w:val="24"/>
          <w:highlight w:val="none"/>
        </w:rPr>
      </w:pPr>
      <w:r>
        <w:rPr>
          <w:rFonts w:hint="eastAsia" w:eastAsia="宋体" w:cs="宋体"/>
          <w:color w:val="000000"/>
          <w:szCs w:val="24"/>
          <w:highlight w:val="none"/>
        </w:rPr>
        <w:t xml:space="preserve">项目名称：</w:t>
      </w:r>
      <w:r/>
    </w:p>
    <w:tbl>
      <w:tblPr>
        <w:tblStyle w:val="85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序号</w:t>
            </w:r>
            <w:r/>
          </w:p>
        </w:tc>
        <w:tc>
          <w:tcPr>
            <w:tcW w:w="2331"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招标文件要求的商务条款</w:t>
            </w:r>
            <w:r/>
          </w:p>
        </w:tc>
        <w:tc>
          <w:tcPr>
            <w:tcW w:w="2297"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投标文件响应情况</w:t>
            </w:r>
            <w:r/>
          </w:p>
        </w:tc>
        <w:tc>
          <w:tcPr>
            <w:tcW w:w="2362"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偏离说明</w:t>
            </w:r>
            <w:r/>
          </w:p>
        </w:tc>
        <w:tc>
          <w:tcPr>
            <w:tcW w:w="144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备注</w:t>
            </w:r>
            <w:r/>
          </w:p>
        </w:tc>
      </w:tr>
      <w:tr>
        <w:trPr>
          <w:trHeight w:val="441"/>
        </w:trPr>
        <w:tc>
          <w:tcPr>
            <w:tcW w:w="851"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41"/>
        </w:trPr>
        <w:tc>
          <w:tcPr>
            <w:tcW w:w="851"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41"/>
        </w:trPr>
        <w:tc>
          <w:tcPr>
            <w:tcW w:w="851"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41"/>
        </w:trPr>
        <w:tc>
          <w:tcPr>
            <w:tcW w:w="851"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p>
        </w:tc>
        <w:tc>
          <w:tcPr>
            <w:tcW w:w="2331"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spacing w:line="360" w:lineRule="auto"/>
        <w:rPr>
          <w:rFonts w:eastAsia="宋体" w:cs="宋体"/>
          <w:color w:val="000000"/>
          <w:sz w:val="24"/>
          <w:szCs w:val="24"/>
          <w:highlight w:val="none"/>
        </w:rPr>
      </w:pPr>
      <w:r>
        <w:rPr>
          <w:rFonts w:eastAsia="宋体" w:cs="宋体"/>
          <w:color w:val="000000"/>
          <w:sz w:val="24"/>
          <w:szCs w:val="24"/>
          <w:highlight w:val="none"/>
        </w:rPr>
      </w:r>
      <w:r/>
    </w:p>
    <w:p>
      <w:pPr>
        <w:jc w:val="lef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lef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pStyle w:val="1170"/>
        <w:jc w:val="left"/>
        <w:spacing w:line="360" w:lineRule="auto"/>
        <w:rPr>
          <w:rFonts w:eastAsia="宋体" w:cs="宋体"/>
          <w:color w:val="000000"/>
          <w:szCs w:val="24"/>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pStyle w:val="1170"/>
        <w:spacing w:line="360" w:lineRule="auto"/>
        <w:rPr>
          <w:rFonts w:eastAsia="宋体" w:cs="宋体"/>
          <w:color w:val="000000"/>
          <w:szCs w:val="24"/>
          <w:highlight w:val="none"/>
        </w:rPr>
      </w:pPr>
      <w:r>
        <w:rPr>
          <w:rFonts w:eastAsia="宋体" w:cs="宋体"/>
          <w:color w:val="000000"/>
          <w:szCs w:val="24"/>
          <w:highlight w:val="none"/>
        </w:rPr>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注：1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供应商提交的响应文件中与招标文件第三部分“项目需求”中的</w:t>
      </w:r>
      <w:r>
        <w:rPr>
          <w:rFonts w:hint="eastAsia" w:eastAsia="宋体" w:cs="宋体"/>
          <w:b/>
          <w:bCs/>
          <w:color w:val="000000"/>
          <w:sz w:val="24"/>
          <w:szCs w:val="24"/>
          <w:highlight w:val="none"/>
          <w:lang w:val="zh-CN"/>
        </w:rPr>
        <w:t xml:space="preserve">商务</w:t>
      </w:r>
      <w:r>
        <w:rPr>
          <w:rFonts w:hint="eastAsia" w:eastAsia="宋体" w:cs="宋体"/>
          <w:color w:val="000000"/>
          <w:sz w:val="24"/>
          <w:szCs w:val="24"/>
          <w:highlight w:val="none"/>
          <w:lang w:val="zh-CN"/>
        </w:rPr>
        <w:t xml:space="preserve">要求，应逐条填列在偏离表中。也可以提供经签署、盖章的空白表格，招标人将视为供应商完全接受第三部分“项目需求”中的商务部分的条款内容。</w:t>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“偏离说明”一栏选择“正偏离”、“负偏离”进行填写。正偏离的确认和负偏离的是否响应采购文件，经三分之二评委认定。</w:t>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3</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供应商如果虚假响应，将承担被暂停参加招标人招标活动的风险。</w:t>
      </w:r>
      <w:r/>
    </w:p>
    <w:p>
      <w:pPr>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4</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lang w:val="zh-CN"/>
        </w:rPr>
        <w:t xml:space="preserve">供应商若提供其他增值服务，可以在表中自行据实填写。</w:t>
      </w:r>
      <w:r/>
    </w:p>
    <w:p>
      <w:pPr>
        <w:spacing w:line="360" w:lineRule="auto"/>
        <w:rPr>
          <w:rFonts w:eastAsia="宋体" w:cs="宋体"/>
          <w:color w:val="000000"/>
          <w:sz w:val="24"/>
          <w:szCs w:val="24"/>
          <w:highlight w:val="none"/>
        </w:rPr>
      </w:pPr>
      <w:r>
        <w:rPr>
          <w:rFonts w:eastAsia="宋体" w:cs="宋体"/>
          <w:color w:val="000000"/>
          <w:sz w:val="24"/>
          <w:szCs w:val="24"/>
          <w:highlight w:val="none"/>
        </w:rPr>
      </w:r>
      <w:r/>
    </w:p>
    <w:p>
      <w:pPr>
        <w:jc w:val="center"/>
        <w:spacing w:line="360" w:lineRule="auto"/>
        <w:rPr>
          <w:rFonts w:hint="eastAsia" w:eastAsia="宋体" w:cs="宋体"/>
          <w:b/>
          <w:bCs/>
          <w:color w:val="000000"/>
          <w:sz w:val="28"/>
          <w:szCs w:val="28"/>
          <w:highlight w:val="none"/>
          <w:lang w:val="en-US" w:eastAsia="zh-CN"/>
        </w:rPr>
        <w:outlineLvl w:val="3"/>
      </w:pPr>
      <w:r>
        <w:rPr>
          <w:rFonts w:hint="eastAsia" w:ascii="Times New Roman" w:hAnsi="Times New Roman"/>
          <w:color w:val="000000"/>
          <w:szCs w:val="21"/>
          <w:highlight w:val="none"/>
        </w:rPr>
        <w:br w:type="page" w:clear="all"/>
      </w:r>
      <w:r>
        <w:rPr>
          <w:rFonts w:hint="eastAsia" w:eastAsia="宋体" w:cs="宋体"/>
          <w:b/>
          <w:bCs/>
          <w:color w:val="000000"/>
          <w:sz w:val="28"/>
          <w:szCs w:val="28"/>
          <w:highlight w:val="none"/>
          <w:lang w:val="en-US" w:eastAsia="zh-CN"/>
        </w:rPr>
        <w:t xml:space="preserve">10.投标人一般情况表</w:t>
      </w:r>
      <w:r/>
    </w:p>
    <w:tbl>
      <w:tblPr>
        <w:tblStyle w:val="85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公司具备的相关资质等级及相应的证书号</w:t>
            </w:r>
            <w:r/>
          </w:p>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（请附有关证书的复印件）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w:t>
            </w:r>
            <w:r>
              <w:rPr>
                <w:rFonts w:hint="eastAsia" w:eastAsia="宋体" w:cs="宋体"/>
                <w:color w:val="000000"/>
                <w:sz w:val="24"/>
                <w:szCs w:val="24"/>
                <w:highlight w:val="none"/>
                <w:u w:val="single"/>
              </w:rPr>
              <w:t xml:space="preserve">   （是否通过，何种）   </w:t>
            </w:r>
            <w:r>
              <w:rPr>
                <w:rFonts w:hint="eastAsia" w:eastAsia="宋体" w:cs="宋体"/>
                <w:color w:val="000000"/>
                <w:sz w:val="24"/>
                <w:szCs w:val="24"/>
                <w:highlight w:val="none"/>
              </w:rPr>
              <w:t xml:space="preserve">质量保证体系认证（如通过请附相关在有效期内的证书复印件）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营业执照载明：</w:t>
            </w:r>
            <w:r/>
          </w:p>
          <w:p>
            <w:pPr>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u w:val="single"/>
              </w:rPr>
              <w:t xml:space="preserve">                                               </w:t>
            </w:r>
            <w:r/>
          </w:p>
          <w:p>
            <w:pPr>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u w:val="single"/>
              </w:rPr>
              <w:t xml:space="preserve">                                               </w:t>
            </w:r>
            <w:r/>
          </w:p>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ind w:firstLine="480"/>
        <w:jc w:val="right"/>
        <w:spacing w:line="360" w:lineRule="auto"/>
        <w:rPr>
          <w:rFonts w:eastAsia="宋体" w:cs="宋体"/>
          <w:color w:val="000000"/>
          <w:sz w:val="24"/>
          <w:szCs w:val="24"/>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spacing w:line="360" w:lineRule="auto"/>
        <w:widowControl/>
        <w:rPr>
          <w:rFonts w:eastAsia="宋体" w:cs="宋体"/>
          <w:bCs/>
          <w:color w:val="000000"/>
          <w:sz w:val="24"/>
          <w:szCs w:val="22"/>
          <w:highlight w:val="none"/>
        </w:rPr>
      </w:pPr>
      <w:r>
        <w:rPr>
          <w:rFonts w:eastAsia="宋体" w:cs="宋体"/>
          <w:bCs/>
          <w:color w:val="000000"/>
          <w:sz w:val="24"/>
          <w:szCs w:val="22"/>
          <w:highlight w:val="none"/>
        </w:rPr>
        <w:t xml:space="preserve"> </w:t>
      </w:r>
      <w:r/>
    </w:p>
    <w:p>
      <w:pPr>
        <w:ind w:firstLine="4109"/>
        <w:spacing w:line="460" w:lineRule="exact"/>
        <w:rPr>
          <w:rFonts w:eastAsia="宋体" w:cs="宋体"/>
          <w:bCs/>
          <w:color w:val="000000"/>
          <w:sz w:val="24"/>
          <w:szCs w:val="22"/>
          <w:highlight w:val="none"/>
        </w:rPr>
      </w:pPr>
      <w:r>
        <w:rPr>
          <w:rFonts w:eastAsia="宋体" w:cs="宋体"/>
          <w:bCs/>
          <w:color w:val="000000"/>
          <w:sz w:val="24"/>
          <w:szCs w:val="22"/>
          <w:highlight w:val="none"/>
        </w:rPr>
      </w:r>
      <w:r/>
    </w:p>
    <w:p>
      <w:pPr>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p>
    <w:p>
      <w:pPr>
        <w:jc w:val="center"/>
        <w:spacing w:line="360" w:lineRule="auto"/>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11.《技术条款响应正负偏离表》</w:t>
      </w:r>
      <w:r/>
    </w:p>
    <w:p>
      <w:pPr>
        <w:ind w:firstLine="480"/>
        <w:jc w:val="left"/>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供应商必须满足响应文件中针对产品设备提出的全部技术规格与要求，逐一逐条响应填写《技术条款响应正负偏离表》；</w:t>
      </w:r>
      <w:r/>
    </w:p>
    <w:p>
      <w:pPr>
        <w:ind w:firstLine="480"/>
        <w:jc w:val="left"/>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lang w:val="en-US" w:eastAsia="zh-CN"/>
        </w:rPr>
        <w:t xml:space="preserve">.</w:t>
      </w:r>
      <w:r>
        <w:rPr>
          <w:rFonts w:hint="eastAsia" w:eastAsia="宋体" w:cs="宋体"/>
          <w:color w:val="000000"/>
          <w:sz w:val="24"/>
          <w:szCs w:val="24"/>
          <w:highlight w:val="none"/>
        </w:rPr>
        <w:t xml:space="preserve">供应商提供的货物和服务与采购人提出的项目需求说明中的技术要求不同，必须在逐一逐条填写响应的《技术条款响应正负偏离表》上明示偏离的部分。</w:t>
      </w:r>
      <w:r/>
    </w:p>
    <w:p>
      <w:pPr>
        <w:ind w:firstLine="485"/>
        <w:jc w:val="center"/>
        <w:spacing w:line="420" w:lineRule="exact"/>
        <w:tabs>
          <w:tab w:val="left" w:pos="720" w:leader="none"/>
        </w:tabs>
        <w:rPr>
          <w:rFonts w:eastAsia="宋体" w:cs="宋体"/>
          <w:color w:val="000000"/>
          <w:sz w:val="24"/>
          <w:szCs w:val="24"/>
          <w:highlight w:val="none"/>
        </w:rPr>
      </w:pPr>
      <w:r>
        <w:rPr>
          <w:rFonts w:hint="eastAsia" w:eastAsia="宋体" w:cs="宋体"/>
          <w:color w:val="000000"/>
          <w:sz w:val="24"/>
          <w:szCs w:val="24"/>
          <w:highlight w:val="none"/>
        </w:rPr>
        <w:t xml:space="preserve">《技术条款响应正负偏离表》</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jc w:val="center"/>
          <w:trHeight w:val="44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序号</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项目名称</w:t>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品牌型号</w:t>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公开招标文件设备参数要求</w:t>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所投设备</w:t>
            </w:r>
            <w:r/>
          </w:p>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技术响应参数</w:t>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偏离/响应</w:t>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说明</w:t>
            </w:r>
            <w:r/>
          </w:p>
        </w:tc>
      </w:tr>
      <w:tr>
        <w:trPr>
          <w:jc w:val="center"/>
          <w:trHeight w:val="41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1</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r>
        <w:trPr>
          <w:jc w:val="center"/>
          <w:trHeight w:val="416"/>
        </w:trPr>
        <w:tc>
          <w:tcPr>
            <w:tcW w:w="743" w:type="dxa"/>
            <w:vAlign w:val="center"/>
            <w:textDirection w:val="lrTb"/>
            <w:noWrap w:val="false"/>
          </w:tcPr>
          <w:p>
            <w:pPr>
              <w:jc w:val="center"/>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w:t>
            </w:r>
            <w:r/>
          </w:p>
        </w:tc>
        <w:tc>
          <w:tcPr>
            <w:tcW w:w="124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59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jc w:val="center"/>
              <w:spacing w:line="420" w:lineRule="exact"/>
              <w:rPr>
                <w:rFonts w:eastAsia="宋体" w:cs="宋体"/>
                <w:color w:val="000000"/>
                <w:sz w:val="24"/>
                <w:szCs w:val="24"/>
                <w:highlight w:val="none"/>
              </w:rPr>
            </w:pPr>
            <w:r>
              <w:rPr>
                <w:rFonts w:eastAsia="宋体" w:cs="宋体"/>
                <w:color w:val="000000"/>
                <w:sz w:val="24"/>
                <w:szCs w:val="24"/>
                <w:highlight w:val="none"/>
              </w:rPr>
            </w:r>
            <w:r/>
          </w:p>
        </w:tc>
      </w:tr>
    </w:tbl>
    <w:p>
      <w:pPr>
        <w:ind w:firstLine="485"/>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注：①公开招标响应供应商应对照公开招标文件第三章项目需求内的要求，逐一填写。②公开招标响应供应商不能简单照搬照抄采购单位项目需求说</w:t>
      </w:r>
      <w:r>
        <w:rPr>
          <w:rFonts w:hint="eastAsia" w:eastAsia="宋体" w:cs="宋体"/>
          <w:color w:val="000000"/>
          <w:sz w:val="24"/>
          <w:szCs w:val="24"/>
          <w:highlight w:val="none"/>
        </w:rPr>
        <w:t xml:space="preserve">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本项目需求产品所有技术规格参数要求，须实质性响应不接受负偏离。④该表不作为公开招标响应供应商对项目需求产品技术要求等的详细描述和说明的替代。⑤公开招标响应供应商如果虚假响应，将承担一切可能的风险。⑥所投品牌型号，必须确定、唯一。</w:t>
      </w:r>
      <w:r/>
    </w:p>
    <w:p>
      <w:pPr>
        <w:ind w:firstLine="485"/>
        <w:spacing w:line="420" w:lineRule="exact"/>
        <w:rPr>
          <w:rFonts w:eastAsia="宋体" w:cs="宋体"/>
          <w:color w:val="000000"/>
          <w:sz w:val="24"/>
          <w:szCs w:val="24"/>
          <w:highlight w:val="none"/>
        </w:rPr>
      </w:pPr>
      <w:r>
        <w:rPr>
          <w:rFonts w:eastAsia="宋体" w:cs="宋体"/>
          <w:color w:val="000000"/>
          <w:sz w:val="24"/>
          <w:szCs w:val="24"/>
          <w:highlight w:val="none"/>
        </w:rPr>
      </w:r>
      <w:r/>
    </w:p>
    <w:p>
      <w:pPr>
        <w:jc w:val="righ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righ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jc w:val="right"/>
        <w:spacing w:line="420" w:lineRule="exact"/>
        <w:rPr>
          <w:rFonts w:eastAsia="宋体" w:cs="宋体"/>
          <w:color w:val="000000"/>
          <w:sz w:val="30"/>
          <w:szCs w:val="30"/>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r>
      <w:r/>
    </w:p>
    <w:p>
      <w:pPr>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p>
    <w:p>
      <w:pPr>
        <w:jc w:val="center"/>
        <w:spacing w:line="360" w:lineRule="auto"/>
        <w:rPr>
          <w:rFonts w:hint="eastAsia" w:eastAsia="宋体" w:cs="宋体"/>
          <w:b/>
          <w:bCs/>
          <w:color w:val="000000"/>
          <w:sz w:val="28"/>
          <w:szCs w:val="28"/>
          <w:highlight w:val="none"/>
          <w:lang w:val="en-US" w:eastAsia="zh-CN"/>
        </w:rPr>
        <w:outlineLvl w:val="3"/>
      </w:pPr>
      <w:r>
        <w:rPr>
          <w:rFonts w:hint="default" w:eastAsia="宋体" w:cs="宋体"/>
          <w:b/>
          <w:bCs/>
          <w:color w:val="000000"/>
          <w:sz w:val="28"/>
          <w:szCs w:val="28"/>
          <w:highlight w:val="none"/>
          <w:lang w:val="en-US" w:eastAsia="zh-CN"/>
        </w:rPr>
        <w:t xml:space="preserve">1</w:t>
      </w:r>
      <w:r>
        <w:rPr>
          <w:rFonts w:hint="eastAsia" w:eastAsia="宋体" w:cs="宋体"/>
          <w:b/>
          <w:bCs/>
          <w:color w:val="000000"/>
          <w:sz w:val="28"/>
          <w:szCs w:val="28"/>
          <w:highlight w:val="none"/>
          <w:lang w:val="en-US" w:eastAsia="zh-CN"/>
        </w:rPr>
        <w:t xml:space="preserve">2</w:t>
      </w:r>
      <w:r>
        <w:rPr>
          <w:rFonts w:hint="default" w:eastAsia="宋体" w:cs="宋体"/>
          <w:b/>
          <w:bCs/>
          <w:color w:val="000000"/>
          <w:sz w:val="28"/>
          <w:szCs w:val="28"/>
          <w:highlight w:val="none"/>
          <w:lang w:val="en-US" w:eastAsia="zh-CN"/>
        </w:rPr>
        <w:t xml:space="preserve">.</w:t>
      </w:r>
      <w:r>
        <w:rPr>
          <w:rFonts w:hint="eastAsia" w:eastAsia="宋体" w:cs="宋体"/>
          <w:b/>
          <w:bCs/>
          <w:color w:val="000000"/>
          <w:sz w:val="28"/>
          <w:szCs w:val="28"/>
          <w:highlight w:val="none"/>
          <w:lang w:val="en-US" w:eastAsia="zh-CN"/>
        </w:rPr>
        <w:t xml:space="preserve">投标响应报价表</w:t>
      </w:r>
      <w:r/>
    </w:p>
    <w:p>
      <w:pPr>
        <w:pStyle w:val="962"/>
        <w:numPr>
          <w:ilvl w:val="0"/>
          <w:numId w:val="0"/>
        </w:numPr>
      </w:pPr>
      <w:r/>
      <w:r/>
    </w:p>
    <w:tbl>
      <w:tblPr>
        <w:tblStyle w:val="857"/>
        <w:tblW w:w="50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4"/>
        <w:gridCol w:w="6232"/>
      </w:tblGrid>
      <w:tr>
        <w:trPr>
          <w:trHeight w:val="674"/>
        </w:trPr>
        <w:tc>
          <w:tcPr>
            <w:tcW w:w="1604" w:type="dxa"/>
            <w:vAlign w:val="center"/>
            <w:textDirection w:val="lrTb"/>
            <w:noWrap w:val="false"/>
          </w:tcPr>
          <w:p>
            <w:pPr>
              <w:jc w:val="center"/>
              <w:spacing w:line="360" w:lineRule="auto"/>
              <w:rPr>
                <w:rFonts w:eastAsia="宋体"/>
                <w:color w:val="000000"/>
                <w:sz w:val="24"/>
                <w:szCs w:val="21"/>
                <w:highlight w:val="none"/>
              </w:rPr>
            </w:pPr>
            <w:r>
              <w:rPr>
                <w:rFonts w:hint="eastAsia" w:eastAsia="宋体"/>
                <w:bCs/>
                <w:color w:val="000000"/>
                <w:sz w:val="24"/>
                <w:szCs w:val="24"/>
                <w:highlight w:val="none"/>
              </w:rPr>
              <w:t xml:space="preserve">项目名称</w:t>
            </w:r>
            <w:r/>
          </w:p>
        </w:tc>
        <w:tc>
          <w:tcPr>
            <w:tcW w:w="3395" w:type="dxa"/>
            <w:vAlign w:val="center"/>
            <w:textDirection w:val="lrTb"/>
            <w:noWrap w:val="false"/>
          </w:tcPr>
          <w:p>
            <w:pPr>
              <w:spacing w:line="360" w:lineRule="auto"/>
              <w:rPr>
                <w:rFonts w:eastAsia="宋体"/>
                <w:color w:val="000000"/>
                <w:sz w:val="24"/>
                <w:szCs w:val="21"/>
                <w:highlight w:val="none"/>
              </w:rPr>
            </w:pPr>
            <w:r>
              <w:rPr>
                <w:rFonts w:eastAsia="宋体"/>
                <w:color w:val="000000"/>
                <w:sz w:val="24"/>
                <w:szCs w:val="21"/>
                <w:highlight w:val="none"/>
              </w:rPr>
            </w:r>
            <w:r/>
          </w:p>
        </w:tc>
      </w:tr>
      <w:tr>
        <w:trPr>
          <w:trHeight w:val="674"/>
        </w:trPr>
        <w:tc>
          <w:tcPr>
            <w:tcW w:w="1604" w:type="dxa"/>
            <w:vAlign w:val="center"/>
            <w:textDirection w:val="lrTb"/>
            <w:noWrap w:val="false"/>
          </w:tcPr>
          <w:p>
            <w:pPr>
              <w:jc w:val="center"/>
              <w:spacing w:line="360" w:lineRule="auto"/>
              <w:rPr>
                <w:rFonts w:eastAsia="宋体"/>
                <w:color w:val="000000"/>
                <w:sz w:val="24"/>
                <w:szCs w:val="21"/>
                <w:highlight w:val="none"/>
              </w:rPr>
            </w:pPr>
            <w:r>
              <w:rPr>
                <w:rFonts w:eastAsia="宋体"/>
                <w:color w:val="000000"/>
                <w:sz w:val="24"/>
                <w:szCs w:val="21"/>
                <w:highlight w:val="none"/>
              </w:rPr>
              <w:t xml:space="preserve">项目编号</w:t>
            </w:r>
            <w:r/>
          </w:p>
        </w:tc>
        <w:tc>
          <w:tcPr>
            <w:tcW w:w="3395" w:type="dxa"/>
            <w:vAlign w:val="center"/>
            <w:textDirection w:val="lrTb"/>
            <w:noWrap w:val="false"/>
          </w:tcPr>
          <w:p>
            <w:pPr>
              <w:spacing w:line="360" w:lineRule="auto"/>
              <w:rPr>
                <w:rFonts w:eastAsia="宋体"/>
                <w:color w:val="000000"/>
                <w:sz w:val="24"/>
                <w:szCs w:val="21"/>
                <w:highlight w:val="none"/>
              </w:rPr>
            </w:pPr>
            <w:r>
              <w:rPr>
                <w:rFonts w:eastAsia="宋体"/>
                <w:color w:val="000000"/>
                <w:sz w:val="24"/>
                <w:szCs w:val="21"/>
                <w:highlight w:val="none"/>
              </w:rPr>
            </w:r>
            <w:r/>
          </w:p>
        </w:tc>
      </w:tr>
      <w:tr>
        <w:trPr>
          <w:trHeight w:val="1427"/>
        </w:trPr>
        <w:tc>
          <w:tcPr>
            <w:tcW w:w="1604" w:type="dxa"/>
            <w:vAlign w:val="center"/>
            <w:textDirection w:val="lrTb"/>
            <w:noWrap w:val="false"/>
          </w:tcPr>
          <w:p>
            <w:pPr>
              <w:jc w:val="center"/>
              <w:spacing w:line="360" w:lineRule="auto"/>
              <w:rPr>
                <w:rFonts w:eastAsia="宋体"/>
                <w:color w:val="000000"/>
                <w:sz w:val="24"/>
                <w:szCs w:val="21"/>
                <w:highlight w:val="none"/>
              </w:rPr>
            </w:pPr>
            <w:r>
              <w:rPr>
                <w:rFonts w:eastAsia="宋体"/>
                <w:color w:val="000000"/>
                <w:sz w:val="24"/>
                <w:szCs w:val="21"/>
                <w:highlight w:val="none"/>
              </w:rPr>
              <w:t xml:space="preserve">投标报价</w:t>
            </w:r>
            <w:r/>
          </w:p>
        </w:tc>
        <w:tc>
          <w:tcPr>
            <w:tcW w:w="3395" w:type="dxa"/>
            <w:vAlign w:val="center"/>
            <w:textDirection w:val="lrTb"/>
            <w:noWrap w:val="false"/>
          </w:tcPr>
          <w:p>
            <w:pPr>
              <w:spacing w:line="360" w:lineRule="auto"/>
              <w:rPr>
                <w:rFonts w:eastAsia="宋体"/>
                <w:bCs/>
                <w:color w:val="000000"/>
                <w:sz w:val="24"/>
                <w:szCs w:val="24"/>
                <w:highlight w:val="none"/>
              </w:rPr>
            </w:pPr>
            <w:r>
              <w:rPr>
                <w:rFonts w:hint="eastAsia" w:eastAsia="宋体"/>
                <w:bCs/>
                <w:color w:val="000000"/>
                <w:sz w:val="24"/>
                <w:szCs w:val="24"/>
                <w:highlight w:val="none"/>
              </w:rPr>
              <w:t xml:space="preserve">大写</w:t>
            </w:r>
            <w:r>
              <w:rPr>
                <w:rFonts w:hint="eastAsia" w:eastAsia="宋体"/>
                <w:bCs/>
                <w:color w:val="000000"/>
                <w:sz w:val="24"/>
                <w:szCs w:val="24"/>
                <w:highlight w:val="none"/>
                <w:u w:val="single"/>
              </w:rPr>
              <w:t xml:space="preserve">：                    元</w:t>
            </w:r>
            <w:r>
              <w:rPr>
                <w:rFonts w:hint="eastAsia" w:eastAsia="宋体"/>
                <w:bCs/>
                <w:color w:val="000000"/>
                <w:sz w:val="24"/>
                <w:szCs w:val="24"/>
                <w:highlight w:val="none"/>
              </w:rPr>
              <w:t xml:space="preserve">；</w:t>
            </w:r>
            <w:r/>
          </w:p>
          <w:p>
            <w:pPr>
              <w:spacing w:line="360" w:lineRule="auto"/>
              <w:rPr>
                <w:rFonts w:eastAsia="宋体"/>
                <w:color w:val="000000"/>
                <w:szCs w:val="22"/>
                <w:highlight w:val="none"/>
              </w:rPr>
            </w:pPr>
            <w:r>
              <w:rPr>
                <w:rFonts w:hint="eastAsia" w:eastAsia="宋体"/>
                <w:bCs/>
                <w:color w:val="000000"/>
                <w:sz w:val="24"/>
                <w:szCs w:val="24"/>
                <w:highlight w:val="none"/>
              </w:rPr>
              <w:t xml:space="preserve">小写</w:t>
            </w:r>
            <w:r>
              <w:rPr>
                <w:rFonts w:hint="eastAsia" w:eastAsia="宋体"/>
                <w:bCs/>
                <w:color w:val="000000"/>
                <w:sz w:val="24"/>
                <w:szCs w:val="24"/>
                <w:highlight w:val="none"/>
                <w:u w:val="single"/>
              </w:rPr>
              <w:t xml:space="preserve">：                     元</w:t>
            </w:r>
            <w:r>
              <w:rPr>
                <w:rFonts w:hint="eastAsia" w:eastAsia="宋体"/>
                <w:bCs/>
                <w:color w:val="000000"/>
                <w:sz w:val="24"/>
                <w:szCs w:val="24"/>
                <w:highlight w:val="none"/>
              </w:rPr>
              <w:t xml:space="preserve">。</w:t>
            </w:r>
            <w:r/>
          </w:p>
        </w:tc>
      </w:tr>
    </w:tbl>
    <w:p>
      <w:pPr>
        <w:spacing w:line="360" w:lineRule="auto"/>
        <w:rPr>
          <w:rFonts w:eastAsia="宋体"/>
          <w:color w:val="000000"/>
          <w:sz w:val="24"/>
          <w:szCs w:val="21"/>
          <w:highlight w:val="none"/>
        </w:rPr>
      </w:pPr>
      <w:r>
        <w:rPr>
          <w:rFonts w:eastAsia="宋体"/>
          <w:color w:val="000000"/>
          <w:sz w:val="24"/>
          <w:szCs w:val="21"/>
          <w:highlight w:val="none"/>
        </w:rPr>
      </w:r>
      <w:r/>
    </w:p>
    <w:p>
      <w:pPr>
        <w:jc w:val="lef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lef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spacing w:line="360" w:lineRule="auto"/>
        <w:rPr>
          <w:rFonts w:eastAsia="宋体"/>
          <w:b/>
          <w:bCs/>
          <w:color w:val="000000"/>
          <w:sz w:val="24"/>
          <w:szCs w:val="21"/>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ind w:firstLine="496"/>
        <w:spacing w:line="360" w:lineRule="auto"/>
        <w:rPr>
          <w:rFonts w:eastAsia="宋体"/>
          <w:b/>
          <w:bCs/>
          <w:color w:val="000000"/>
          <w:sz w:val="24"/>
          <w:szCs w:val="21"/>
          <w:highlight w:val="none"/>
        </w:rPr>
      </w:pPr>
      <w:r>
        <w:rPr>
          <w:rFonts w:eastAsia="宋体"/>
          <w:b/>
          <w:bCs/>
          <w:color w:val="000000"/>
          <w:sz w:val="24"/>
          <w:szCs w:val="21"/>
          <w:highlight w:val="none"/>
        </w:rPr>
      </w:r>
      <w:r/>
    </w:p>
    <w:p>
      <w:pPr>
        <w:ind w:firstLine="496"/>
        <w:spacing w:line="360" w:lineRule="auto"/>
        <w:rPr>
          <w:rFonts w:eastAsia="宋体"/>
          <w:bCs/>
          <w:color w:val="000000"/>
          <w:sz w:val="24"/>
          <w:szCs w:val="21"/>
          <w:highlight w:val="none"/>
        </w:rPr>
      </w:pPr>
      <w:r>
        <w:rPr>
          <w:rFonts w:eastAsia="宋体"/>
          <w:b/>
          <w:bCs/>
          <w:color w:val="000000"/>
          <w:sz w:val="24"/>
          <w:szCs w:val="21"/>
          <w:highlight w:val="none"/>
        </w:rPr>
        <w:t xml:space="preserve">注：</w:t>
      </w:r>
      <w:r>
        <w:rPr>
          <w:rFonts w:eastAsia="宋体"/>
          <w:bCs/>
          <w:color w:val="000000"/>
          <w:sz w:val="24"/>
          <w:szCs w:val="21"/>
          <w:highlight w:val="none"/>
        </w:rPr>
        <w:t xml:space="preserve"> </w:t>
      </w:r>
      <w:r/>
    </w:p>
    <w:p>
      <w:pPr>
        <w:ind w:firstLine="480"/>
        <w:spacing w:line="360" w:lineRule="auto"/>
        <w:rPr>
          <w:rFonts w:eastAsia="宋体"/>
          <w:color w:val="000000"/>
          <w:sz w:val="24"/>
          <w:szCs w:val="21"/>
          <w:highlight w:val="none"/>
        </w:rPr>
      </w:pPr>
      <w:r>
        <w:rPr>
          <w:rFonts w:eastAsia="宋体"/>
          <w:color w:val="000000"/>
          <w:sz w:val="24"/>
          <w:szCs w:val="21"/>
          <w:highlight w:val="none"/>
        </w:rPr>
        <w:t xml:space="preserve">（1）本表为格式表，不得自行改动，必须提供。</w:t>
      </w:r>
      <w:r/>
    </w:p>
    <w:p>
      <w:pPr>
        <w:ind w:firstLine="480"/>
        <w:spacing w:line="360" w:lineRule="auto"/>
        <w:rPr>
          <w:rFonts w:hint="default" w:eastAsia="宋体"/>
          <w:color w:val="000000"/>
          <w:sz w:val="24"/>
          <w:szCs w:val="21"/>
          <w:highlight w:val="none"/>
          <w:lang w:val="en-US" w:eastAsia="zh-CN"/>
        </w:rPr>
      </w:pPr>
      <w:r>
        <w:rPr>
          <w:rFonts w:hint="eastAsia" w:eastAsia="宋体"/>
          <w:color w:val="000000"/>
          <w:sz w:val="24"/>
          <w:szCs w:val="21"/>
          <w:highlight w:val="none"/>
        </w:rPr>
        <w:t xml:space="preserve">（2）</w:t>
      </w:r>
      <w:r>
        <w:rPr>
          <w:rFonts w:eastAsia="宋体"/>
          <w:color w:val="000000"/>
          <w:sz w:val="24"/>
          <w:szCs w:val="21"/>
          <w:highlight w:val="none"/>
        </w:rPr>
        <w:t xml:space="preserve">本表投标报价（以人民币计价）</w:t>
      </w:r>
      <w:r>
        <w:rPr>
          <w:rFonts w:hint="eastAsia" w:eastAsia="宋体"/>
          <w:bCs/>
          <w:color w:val="000000"/>
          <w:sz w:val="24"/>
          <w:szCs w:val="24"/>
          <w:highlight w:val="none"/>
        </w:rPr>
        <w:t xml:space="preserve">包含但不限于完成该项工作所需的</w:t>
      </w:r>
      <w:r>
        <w:rPr>
          <w:rFonts w:hint="eastAsia" w:eastAsia="宋体"/>
          <w:bCs/>
          <w:color w:val="000000"/>
          <w:sz w:val="24"/>
          <w:szCs w:val="24"/>
          <w:highlight w:val="none"/>
          <w:lang w:eastAsia="zh-CN"/>
        </w:rPr>
        <w:t xml:space="preserve">深化、货物的成本、施工、利润、税金、市场材料价格风险费、政策性调整风险费等的所有费用</w:t>
      </w:r>
      <w:r>
        <w:rPr>
          <w:rFonts w:hint="eastAsia" w:eastAsia="宋体"/>
          <w:bCs/>
          <w:color w:val="000000"/>
          <w:sz w:val="24"/>
          <w:szCs w:val="24"/>
          <w:highlight w:val="none"/>
        </w:rPr>
        <w:t xml:space="preserve">；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p>
    <w:p>
      <w:pPr>
        <w:jc w:val="center"/>
        <w:spacing w:line="360" w:lineRule="auto"/>
        <w:rPr>
          <w:rFonts w:hint="eastAsia" w:eastAsia="宋体" w:cs="宋体"/>
          <w:b/>
          <w:bCs/>
          <w:color w:val="000000"/>
          <w:sz w:val="28"/>
          <w:szCs w:val="28"/>
          <w:highlight w:val="none"/>
          <w:lang w:val="en-US" w:eastAsia="zh-CN"/>
        </w:rPr>
        <w:outlineLvl w:val="3"/>
      </w:pPr>
      <w:r>
        <w:rPr>
          <w:rFonts w:eastAsia="宋体" w:cs="宋体"/>
          <w:b/>
          <w:color w:val="000000"/>
          <w:highlight w:val="none"/>
        </w:rPr>
        <w:br w:type="page" w:clear="all"/>
      </w:r>
      <w:r>
        <w:rPr>
          <w:rFonts w:hint="eastAsia" w:eastAsia="宋体" w:cs="宋体"/>
          <w:b/>
          <w:bCs/>
          <w:color w:val="000000"/>
          <w:sz w:val="28"/>
          <w:szCs w:val="28"/>
          <w:highlight w:val="none"/>
          <w:lang w:val="en-US" w:eastAsia="zh-CN"/>
        </w:rPr>
        <w:t xml:space="preserve">13.投标报价明细表</w:t>
      </w:r>
      <w:r/>
    </w:p>
    <w:p>
      <w:pPr>
        <w:jc w:val="left"/>
        <w:keepLines w:val="0"/>
        <w:keepNext w:val="0"/>
        <w:pageBreakBefore w:val="0"/>
        <w:spacing w:line="360" w:lineRule="auto"/>
        <w:widowControl w:val="off"/>
        <w:rPr>
          <w:rFonts w:hint="default" w:ascii="宋体" w:hAnsi="宋体" w:eastAsia="宋体" w:cs="宋体"/>
          <w:bCs/>
          <w:sz w:val="24"/>
          <w:lang w:val="en-US" w:eastAsia="zh-CN"/>
        </w:rPr>
        <w:outlineLvl w:val="4"/>
      </w:pPr>
      <w:r>
        <w:rPr>
          <w:rFonts w:hint="eastAsia" w:ascii="宋体" w:hAnsi="宋体" w:eastAsia="宋体" w:cs="宋体"/>
          <w:bCs/>
          <w:sz w:val="24"/>
          <w:lang w:val="en-US" w:eastAsia="zh-CN"/>
        </w:rPr>
        <w:t xml:space="preserve">详见附件南通博物苑历史区文物建筑保护利用项目清单</w:t>
      </w:r>
      <w:r/>
    </w:p>
    <w:p>
      <w:pPr>
        <w:jc w:val="left"/>
        <w:keepLines w:val="0"/>
        <w:keepNext w:val="0"/>
        <w:pageBreakBefore w:val="0"/>
        <w:spacing w:line="360" w:lineRule="auto"/>
        <w:widowControl w:val="off"/>
        <w:rPr>
          <w:rFonts w:hint="eastAsia" w:ascii="宋体" w:hAnsi="宋体" w:eastAsia="宋体" w:cs="宋体"/>
          <w:bCs/>
          <w:sz w:val="24"/>
          <w:lang w:eastAsia="zh-CN"/>
        </w:rPr>
        <w:outlineLvl w:val="4"/>
      </w:pPr>
      <w:r>
        <w:rPr>
          <w:rFonts w:hint="eastAsia" w:ascii="宋体" w:hAnsi="宋体" w:eastAsia="宋体" w:cs="宋体"/>
          <w:bCs/>
          <w:sz w:val="24"/>
          <w:lang w:eastAsia="zh-CN"/>
        </w:rPr>
      </w:r>
      <w:r/>
    </w:p>
    <w:p>
      <w:pPr>
        <w:jc w:val="left"/>
        <w:keepLines w:val="0"/>
        <w:keepNext w:val="0"/>
        <w:pageBreakBefore w:val="0"/>
        <w:spacing w:line="360" w:lineRule="auto"/>
        <w:widowControl w:val="off"/>
        <w:rPr>
          <w:rFonts w:hint="eastAsia" w:ascii="宋体" w:hAnsi="宋体" w:eastAsia="宋体" w:cs="宋体"/>
          <w:bCs/>
          <w:sz w:val="24"/>
        </w:rPr>
        <w:outlineLvl w:val="4"/>
      </w:pPr>
      <w:r>
        <w:rPr>
          <w:rFonts w:hint="eastAsia" w:ascii="宋体" w:hAnsi="宋体" w:eastAsia="宋体" w:cs="宋体"/>
          <w:bCs/>
          <w:sz w:val="24"/>
          <w:lang w:eastAsia="zh-CN"/>
        </w:rPr>
        <w:t xml:space="preserve">投标人</w:t>
      </w:r>
      <w:r>
        <w:rPr>
          <w:rFonts w:hint="eastAsia" w:ascii="宋体" w:hAnsi="宋体" w:eastAsia="宋体" w:cs="宋体"/>
          <w:bCs/>
          <w:sz w:val="24"/>
        </w:rPr>
        <w:t xml:space="preserve">（加盖CA电子签章）</w:t>
      </w:r>
      <w:r>
        <w:rPr>
          <w:rFonts w:hint="eastAsia" w:ascii="宋体" w:hAnsi="宋体" w:eastAsia="宋体" w:cs="宋体"/>
          <w:bCs/>
          <w:sz w:val="24"/>
          <w:lang w:eastAsia="zh-CN"/>
        </w:rPr>
        <w:t xml:space="preserve">：</w:t>
      </w:r>
      <w:r>
        <w:rPr>
          <w:rFonts w:hint="eastAsia" w:ascii="宋体" w:hAnsi="宋体" w:eastAsia="宋体" w:cs="宋体"/>
          <w:bCs/>
          <w:sz w:val="24"/>
        </w:rPr>
        <w:t xml:space="preserve"> </w:t>
      </w:r>
      <w:r/>
    </w:p>
    <w:p>
      <w:pPr>
        <w:jc w:val="left"/>
        <w:keepLines w:val="0"/>
        <w:keepNext w:val="0"/>
        <w:pageBreakBefore w:val="0"/>
        <w:spacing w:line="360" w:lineRule="auto"/>
        <w:widowControl w:val="off"/>
        <w:rPr>
          <w:rFonts w:hint="eastAsia" w:ascii="宋体" w:hAnsi="宋体" w:eastAsia="宋体" w:cs="宋体"/>
          <w:bCs/>
          <w:sz w:val="24"/>
          <w:lang w:val="en-US" w:eastAsia="zh-CN"/>
        </w:rPr>
        <w:outlineLvl w:val="4"/>
      </w:pPr>
      <w:r>
        <w:rPr>
          <w:rFonts w:hint="eastAsia" w:ascii="宋体" w:hAnsi="宋体" w:eastAsia="宋体" w:cs="宋体"/>
          <w:bCs/>
          <w:sz w:val="24"/>
        </w:rPr>
        <w:t xml:space="preserve">法定代表人或被授权人（签字或加盖CA电子签章</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 </w:t>
      </w:r>
      <w:r/>
    </w:p>
    <w:p>
      <w:pPr>
        <w:spacing w:line="360" w:lineRule="auto"/>
        <w:rPr>
          <w:rFonts w:hint="eastAsia" w:eastAsia="宋体"/>
          <w:bCs/>
          <w:color w:val="000000"/>
          <w:sz w:val="24"/>
          <w:szCs w:val="24"/>
          <w:highlight w:val="none"/>
        </w:rPr>
      </w:pPr>
      <w:r>
        <w:rPr>
          <w:rFonts w:hint="eastAsia" w:ascii="宋体" w:hAnsi="宋体" w:eastAsia="宋体" w:cs="宋体"/>
          <w:bCs/>
          <w:sz w:val="24"/>
          <w:lang w:val="zh-CN"/>
        </w:rPr>
        <w:t xml:space="preserve">时间：</w:t>
      </w:r>
      <w:r>
        <w:rPr>
          <w:rFonts w:hint="eastAsia" w:ascii="宋体" w:hAnsi="宋体" w:eastAsia="宋体" w:cs="宋体"/>
          <w:bCs/>
          <w:sz w:val="24"/>
        </w:rPr>
        <w:t xml:space="preserve">2025年</w:t>
      </w:r>
      <w:r>
        <w:rPr>
          <w:rFonts w:hint="eastAsia" w:ascii="宋体" w:hAnsi="宋体" w:eastAsia="宋体" w:cs="宋体"/>
          <w:bCs/>
          <w:sz w:val="24"/>
          <w:lang w:val="zh-CN"/>
        </w:rPr>
        <w:t xml:space="preserve">  月   日</w:t>
      </w:r>
      <w:r/>
    </w:p>
    <w:p>
      <w:pPr>
        <w:spacing w:line="360" w:lineRule="auto"/>
        <w:rPr>
          <w:rFonts w:eastAsia="宋体"/>
          <w:bCs/>
          <w:color w:val="000000"/>
          <w:sz w:val="24"/>
          <w:szCs w:val="24"/>
          <w:highlight w:val="none"/>
        </w:rPr>
      </w:pPr>
      <w:r>
        <w:rPr>
          <w:rFonts w:hint="eastAsia" w:eastAsia="宋体"/>
          <w:bCs/>
          <w:color w:val="000000"/>
          <w:sz w:val="24"/>
          <w:szCs w:val="24"/>
          <w:highlight w:val="none"/>
        </w:rPr>
        <w:t xml:space="preserve">注：</w:t>
      </w:r>
      <w:r/>
    </w:p>
    <w:p>
      <w:pPr>
        <w:numPr>
          <w:ilvl w:val="0"/>
          <w:numId w:val="0"/>
        </w:numPr>
        <w:ind w:firstLine="480"/>
        <w:spacing w:line="360" w:lineRule="auto"/>
        <w:rPr>
          <w:rFonts w:eastAsia="宋体"/>
          <w:bCs/>
          <w:color w:val="000000"/>
          <w:sz w:val="24"/>
          <w:szCs w:val="24"/>
          <w:highlight w:val="none"/>
        </w:rPr>
      </w:pPr>
      <w:r>
        <w:rPr>
          <w:rFonts w:hint="default" w:ascii="Times New Roman" w:hAnsi="Times New Roman" w:eastAsia="宋体" w:cs="Times New Roman"/>
          <w:bCs/>
          <w:color w:val="000000"/>
          <w:sz w:val="24"/>
          <w:szCs w:val="24"/>
          <w:lang w:val="en-US" w:eastAsia="zh-CN" w:bidi="ar-SA"/>
        </w:rPr>
        <w:t xml:space="preserve">1</w:t>
      </w:r>
      <w:r>
        <w:rPr>
          <w:rFonts w:hint="eastAsia" w:eastAsia="宋体" w:cs="Times New Roman"/>
          <w:bCs/>
          <w:color w:val="000000"/>
          <w:sz w:val="24"/>
          <w:szCs w:val="24"/>
          <w:lang w:val="en-US" w:eastAsia="zh-CN" w:bidi="ar-SA"/>
        </w:rPr>
        <w:t xml:space="preserve">.</w:t>
      </w:r>
      <w:r>
        <w:rPr>
          <w:rFonts w:hint="eastAsia" w:eastAsia="宋体"/>
          <w:bCs/>
          <w:color w:val="000000"/>
          <w:sz w:val="24"/>
          <w:szCs w:val="24"/>
          <w:highlight w:val="none"/>
        </w:rPr>
        <w:t xml:space="preserve">此表可以根据需要自行增减行数。</w:t>
      </w:r>
      <w:r/>
    </w:p>
    <w:p>
      <w:pPr>
        <w:numPr>
          <w:ilvl w:val="0"/>
          <w:numId w:val="0"/>
        </w:numPr>
        <w:ind w:firstLine="480"/>
        <w:spacing w:line="360" w:lineRule="auto"/>
        <w:rPr>
          <w:rFonts w:eastAsia="宋体"/>
          <w:bCs/>
          <w:color w:val="000000"/>
          <w:sz w:val="24"/>
          <w:szCs w:val="24"/>
          <w:highlight w:val="none"/>
        </w:rPr>
      </w:pPr>
      <w:r>
        <w:rPr>
          <w:rFonts w:hint="default" w:ascii="Times New Roman" w:hAnsi="Times New Roman" w:eastAsia="宋体" w:cs="Times New Roman"/>
          <w:bCs/>
          <w:color w:val="000000"/>
          <w:sz w:val="24"/>
          <w:szCs w:val="24"/>
          <w:lang w:val="en-US" w:eastAsia="zh-CN" w:bidi="ar-SA"/>
        </w:rPr>
        <w:t xml:space="preserve">2</w:t>
      </w:r>
      <w:r>
        <w:rPr>
          <w:rFonts w:hint="eastAsia" w:eastAsia="宋体" w:cs="Times New Roman"/>
          <w:bCs/>
          <w:color w:val="000000"/>
          <w:sz w:val="24"/>
          <w:szCs w:val="24"/>
          <w:lang w:val="en-US" w:eastAsia="zh-CN" w:bidi="ar-SA"/>
        </w:rPr>
        <w:t xml:space="preserve">.</w:t>
      </w:r>
      <w:r>
        <w:rPr>
          <w:rFonts w:hint="eastAsia" w:eastAsia="宋体"/>
          <w:bCs/>
          <w:color w:val="000000"/>
          <w:sz w:val="24"/>
          <w:szCs w:val="24"/>
          <w:highlight w:val="none"/>
        </w:rPr>
        <w:t xml:space="preserve">本项目投标报价已包括完成本项目所需的一切费用，包含但不限于完成该项工作所需的</w:t>
      </w:r>
      <w:r>
        <w:rPr>
          <w:rFonts w:hint="eastAsia" w:eastAsia="宋体"/>
          <w:bCs/>
          <w:color w:val="000000"/>
          <w:sz w:val="24"/>
          <w:szCs w:val="24"/>
          <w:highlight w:val="none"/>
          <w:lang w:eastAsia="zh-CN"/>
        </w:rPr>
        <w:t xml:space="preserve">深化、货物的成本、施工、利润、税金、市场材料价格风险费、政策性调整风险费等的所有费用</w:t>
      </w:r>
      <w:r>
        <w:rPr>
          <w:rFonts w:hint="eastAsia" w:eastAsia="宋体"/>
          <w:bCs/>
          <w:color w:val="000000"/>
          <w:sz w:val="24"/>
          <w:szCs w:val="24"/>
          <w:highlight w:val="none"/>
        </w:rPr>
        <w:t xml:space="preserve">；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p>
    <w:p>
      <w:pPr>
        <w:numPr>
          <w:ilvl w:val="0"/>
          <w:numId w:val="0"/>
        </w:numPr>
        <w:ind w:firstLine="480"/>
        <w:spacing w:line="360" w:lineRule="auto"/>
        <w:rPr>
          <w:rFonts w:eastAsia="宋体"/>
          <w:bCs/>
          <w:color w:val="000000"/>
          <w:sz w:val="24"/>
          <w:szCs w:val="24"/>
          <w:highlight w:val="none"/>
        </w:rPr>
      </w:pPr>
      <w:r>
        <w:rPr>
          <w:rFonts w:hint="default" w:ascii="Times New Roman" w:hAnsi="Times New Roman" w:eastAsia="宋体" w:cs="Times New Roman"/>
          <w:bCs/>
          <w:color w:val="000000"/>
          <w:sz w:val="24"/>
          <w:szCs w:val="24"/>
          <w:lang w:val="en-US" w:eastAsia="zh-CN" w:bidi="ar-SA"/>
        </w:rPr>
        <w:t xml:space="preserve">3</w:t>
      </w:r>
      <w:r>
        <w:rPr>
          <w:rFonts w:hint="eastAsia" w:eastAsia="宋体" w:cs="Times New Roman"/>
          <w:bCs/>
          <w:color w:val="000000"/>
          <w:sz w:val="24"/>
          <w:szCs w:val="24"/>
          <w:lang w:val="en-US" w:eastAsia="zh-CN" w:bidi="ar-SA"/>
        </w:rPr>
        <w:t xml:space="preserve">.</w:t>
      </w:r>
      <w:r>
        <w:rPr>
          <w:rFonts w:hint="eastAsia" w:eastAsia="宋体"/>
          <w:bCs/>
          <w:color w:val="000000"/>
          <w:sz w:val="24"/>
          <w:szCs w:val="24"/>
          <w:highlight w:val="none"/>
        </w:rPr>
        <w:t xml:space="preserve">如果按单价计算的结果与总价不一致，以单价为准，修正总价。</w:t>
      </w:r>
      <w:r/>
    </w:p>
    <w:p>
      <w:pPr>
        <w:numPr>
          <w:ilvl w:val="0"/>
          <w:numId w:val="0"/>
        </w:numPr>
        <w:ind w:firstLine="480"/>
        <w:spacing w:line="360" w:lineRule="auto"/>
        <w:rPr>
          <w:rFonts w:eastAsia="宋体" w:cs="宋体"/>
          <w:b/>
          <w:color w:val="000000"/>
          <w:highlight w:val="none"/>
        </w:rPr>
      </w:pPr>
      <w:r>
        <w:rPr>
          <w:rFonts w:hint="default" w:ascii="Times New Roman" w:hAnsi="Times New Roman" w:eastAsia="宋体" w:cs="Times New Roman"/>
          <w:bCs/>
          <w:color w:val="000000"/>
          <w:sz w:val="24"/>
          <w:szCs w:val="24"/>
          <w:lang w:val="en-US" w:eastAsia="zh-CN" w:bidi="ar-SA"/>
        </w:rPr>
        <w:t xml:space="preserve">4</w:t>
      </w:r>
      <w:r>
        <w:rPr>
          <w:rFonts w:hint="eastAsia" w:eastAsia="宋体" w:cs="Times New Roman"/>
          <w:bCs/>
          <w:color w:val="000000"/>
          <w:sz w:val="24"/>
          <w:szCs w:val="24"/>
          <w:lang w:val="en-US" w:eastAsia="zh-CN" w:bidi="ar-SA"/>
        </w:rPr>
        <w:t xml:space="preserve">.</w:t>
      </w:r>
      <w:r>
        <w:rPr>
          <w:rFonts w:hint="eastAsia" w:eastAsia="宋体"/>
          <w:bCs/>
          <w:color w:val="000000"/>
          <w:sz w:val="24"/>
          <w:szCs w:val="24"/>
          <w:highlight w:val="none"/>
        </w:rPr>
        <w:t xml:space="preserve">如果不提供详细分项报价将视为未实质性响应招标文件。</w:t>
      </w:r>
      <w:r>
        <w:rPr>
          <w:rFonts w:eastAsia="宋体" w:cs="宋体"/>
          <w:b/>
          <w:color w:val="000000"/>
          <w:highlight w:val="none"/>
        </w:rPr>
        <w:br w:type="page" w:clear="all"/>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14.中小企业声明函（货物）</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 xml:space="preserve">（单位名称）</w:t>
      </w:r>
      <w:r>
        <w:rPr>
          <w:rFonts w:hint="eastAsia" w:ascii="宋体" w:hAnsi="宋体" w:eastAsia="宋体" w:cs="宋体"/>
          <w:sz w:val="24"/>
          <w:szCs w:val="24"/>
          <w:lang w:bidi="zh-CN"/>
        </w:rPr>
        <w:t xml:space="preserve">的</w:t>
      </w:r>
      <w:r>
        <w:rPr>
          <w:rFonts w:hint="eastAsia" w:ascii="宋体" w:hAnsi="宋体" w:eastAsia="宋体" w:cs="宋体"/>
          <w:sz w:val="24"/>
          <w:szCs w:val="24"/>
          <w:u w:val="single"/>
          <w:lang w:bidi="zh-CN"/>
        </w:rPr>
        <w:t xml:space="preserve">（项目名称）</w:t>
      </w:r>
      <w:r>
        <w:rPr>
          <w:rFonts w:hint="eastAsia" w:ascii="宋体" w:hAnsi="宋体" w:eastAsia="宋体" w:cs="宋体"/>
          <w:sz w:val="24"/>
          <w:szCs w:val="24"/>
          <w:lang w:bidi="zh-CN"/>
        </w:rPr>
        <w:t xml:space="preserve">采购活动，提供的货物全部由符合政策要求的中小企业制造。相关企业（含联合体中的中小企业、签订分包意向协议的中小企业） 的具体情况如下：</w:t>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1.</w:t>
      </w:r>
      <w:r>
        <w:rPr>
          <w:rFonts w:hint="eastAsia" w:ascii="宋体" w:hAnsi="宋体" w:eastAsia="宋体" w:cs="宋体"/>
          <w:sz w:val="24"/>
          <w:szCs w:val="24"/>
          <w:u w:val="single"/>
          <w:lang w:bidi="zh-CN"/>
        </w:rPr>
        <w:t xml:space="preserve"> （标的名称）</w:t>
      </w:r>
      <w:r>
        <w:rPr>
          <w:rFonts w:hint="eastAsia" w:ascii="宋体" w:hAnsi="宋体" w:eastAsia="宋体" w:cs="宋体"/>
          <w:sz w:val="24"/>
          <w:szCs w:val="24"/>
          <w:lang w:bidi="zh-CN"/>
        </w:rPr>
        <w:t xml:space="preserve"> ，属于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行业；制造商为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2.</w:t>
      </w:r>
      <w:r>
        <w:rPr>
          <w:rFonts w:hint="eastAsia" w:ascii="宋体" w:hAnsi="宋体" w:eastAsia="宋体" w:cs="宋体"/>
          <w:i/>
          <w:sz w:val="24"/>
          <w:szCs w:val="24"/>
          <w:u w:val="single"/>
          <w:lang w:bidi="zh-CN"/>
        </w:rPr>
        <w:t xml:space="preserve"> </w:t>
      </w:r>
      <w:r>
        <w:rPr>
          <w:rFonts w:hint="eastAsia" w:ascii="宋体" w:hAnsi="宋体" w:eastAsia="宋体" w:cs="宋体"/>
          <w:sz w:val="24"/>
          <w:szCs w:val="24"/>
          <w:u w:val="single"/>
          <w:lang w:bidi="zh-CN"/>
        </w:rPr>
        <w:t xml:space="preserve">（标的名称） </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行业；制造商为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本企业对上述声明内容的真实性负责。如有虚假，将依法承担相应责任。</w:t>
      </w:r>
      <w:r/>
    </w:p>
    <w:p>
      <w:pPr>
        <w:keepLines w:val="0"/>
        <w:keepNext w:val="0"/>
        <w:pageBreakBefore w:val="0"/>
        <w:spacing w:line="360" w:lineRule="auto"/>
        <w:widowControl w:val="off"/>
        <w:rPr>
          <w:rFonts w:hint="eastAsia" w:ascii="宋体" w:hAnsi="宋体" w:eastAsia="宋体" w:cs="宋体"/>
          <w:sz w:val="24"/>
          <w:szCs w:val="24"/>
          <w:highlight w:val="green"/>
          <w:lang w:bidi="zh-CN"/>
        </w:rPr>
        <w:outlineLvl w:val="0"/>
      </w:pPr>
      <w:r>
        <w:rPr>
          <w:rFonts w:hint="eastAsia" w:ascii="宋体" w:hAnsi="宋体" w:eastAsia="宋体" w:cs="宋体"/>
          <w:sz w:val="24"/>
          <w:szCs w:val="24"/>
          <w:highlight w:val="green"/>
          <w:lang w:bidi="zh-CN"/>
        </w:rPr>
      </w:r>
      <w:r/>
    </w:p>
    <w:p>
      <w:pPr>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注：1.如项目属性为“货物”，请按本表填写。</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2.从业人员、营业收入、资产总额填报上一年度数据，无上一年度数据的新成立企业可不填报。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3.投标供应商须根据上述要求，详细列明货物清单中所有产品制造商的具体情况，否则不能享受中小企业扶持政策。</w:t>
      </w:r>
      <w:r/>
    </w:p>
    <w:p>
      <w:pPr>
        <w:ind w:firstLine="480"/>
        <w:keepLines w:val="0"/>
        <w:keepNext w:val="0"/>
        <w:pageBreakBefore w:val="0"/>
        <w:spacing w:line="360" w:lineRule="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shd w:val="clear" w:color="auto"/>
        <w:widowControl w:val="off"/>
        <w:rPr>
          <w:rFonts w:hint="eastAsia" w:ascii="宋体" w:hAnsi="宋体" w:eastAsia="宋体" w:cs="宋体"/>
          <w:sz w:val="24"/>
          <w:szCs w:val="24"/>
          <w:lang w:bidi="zh-CN"/>
        </w:rPr>
        <w:outlineLvl w:val="0"/>
      </w:pPr>
      <w:r>
        <w:rPr>
          <w:rFonts w:hint="eastAsia" w:ascii="宋体" w:hAnsi="宋体" w:eastAsia="宋体" w:cs="宋体"/>
          <w:sz w:val="24"/>
          <w:szCs w:val="24"/>
          <w:lang w:bidi="zh-CN"/>
        </w:rPr>
      </w:r>
      <w:r/>
    </w:p>
    <w:p>
      <w:pPr>
        <w:ind w:firstLine="4200"/>
        <w:jc w:val="center"/>
        <w:keepLines w:val="0"/>
        <w:keepNext w:val="0"/>
        <w:pageBreakBefore w:val="0"/>
        <w:spacing w:line="360" w:lineRule="auto"/>
        <w:widowControl w:val="off"/>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企业名称（</w:t>
      </w:r>
      <w:r>
        <w:rPr>
          <w:rFonts w:hint="eastAsia" w:ascii="宋体" w:hAnsi="宋体" w:eastAsia="宋体" w:cs="宋体"/>
          <w:bCs/>
          <w:sz w:val="24"/>
        </w:rPr>
        <w:t xml:space="preserve">加盖CA电子签章</w:t>
      </w:r>
      <w:r>
        <w:rPr>
          <w:rFonts w:hint="eastAsia" w:eastAsia="宋体" w:cs="宋体"/>
          <w:color w:val="000000"/>
          <w:sz w:val="24"/>
          <w:szCs w:val="28"/>
          <w:highlight w:val="none"/>
          <w:lang w:bidi="zh-CN"/>
        </w:rPr>
        <w:t xml:space="preserve">）：</w:t>
      </w:r>
      <w:r/>
    </w:p>
    <w:p>
      <w:pPr>
        <w:ind w:firstLine="4800"/>
        <w:keepLines w:val="0"/>
        <w:keepNext w:val="0"/>
        <w:pageBreakBefore w:val="0"/>
        <w:spacing w:line="360" w:lineRule="auto"/>
        <w:widowControl w:val="off"/>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日 期：</w:t>
      </w:r>
      <w:r/>
    </w:p>
    <w:p>
      <w:pPr>
        <w:ind w:right="561"/>
        <w:spacing w:line="360" w:lineRule="auto"/>
        <w:rPr>
          <w:rFonts w:eastAsia="宋体" w:cs="宋体"/>
          <w:color w:val="000000"/>
          <w:sz w:val="24"/>
          <w:szCs w:val="21"/>
          <w:highlight w:val="none"/>
        </w:rPr>
      </w:pPr>
      <w:r>
        <w:rPr>
          <w:rFonts w:eastAsia="宋体" w:cs="宋体"/>
          <w:color w:val="000000"/>
          <w:sz w:val="24"/>
          <w:szCs w:val="21"/>
          <w:highlight w:val="none"/>
        </w:rPr>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color w:val="000000"/>
          <w:sz w:val="24"/>
          <w:szCs w:val="21"/>
          <w:highlight w:val="none"/>
        </w:rPr>
        <w:br w:type="page" w:clear="all"/>
      </w:r>
      <w:r>
        <w:rPr>
          <w:rFonts w:hint="eastAsia" w:eastAsia="宋体" w:cs="宋体"/>
          <w:b/>
          <w:bCs/>
          <w:color w:val="000000"/>
          <w:sz w:val="28"/>
          <w:szCs w:val="28"/>
          <w:highlight w:val="none"/>
          <w:lang w:val="en-US" w:eastAsia="zh-CN"/>
        </w:rPr>
        <w:t xml:space="preserve">残疾人福利性单位声明函</w:t>
      </w:r>
      <w:r/>
    </w:p>
    <w:p>
      <w:pPr>
        <w:ind w:firstLine="480"/>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本单位对上述声明的真实性负责。如有虚假，将依法承担相应责任。</w:t>
      </w:r>
      <w:r/>
    </w:p>
    <w:p>
      <w:pPr>
        <w:ind w:firstLine="480"/>
        <w:jc w:val="center"/>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                   供应商公章：</w:t>
      </w:r>
      <w:r/>
    </w:p>
    <w:p>
      <w:pPr>
        <w:ind w:firstLine="480"/>
        <w:jc w:val="center"/>
        <w:keepLines w:val="0"/>
        <w:keepNext w:val="0"/>
        <w:pageBreakBefore w:val="0"/>
        <w:spacing w:line="360" w:lineRule="auto"/>
        <w:widowControl w:val="off"/>
        <w:rPr>
          <w:rFonts w:eastAsia="宋体" w:cs="宋体"/>
          <w:color w:val="000000"/>
          <w:sz w:val="24"/>
          <w:highlight w:val="none"/>
        </w:rPr>
      </w:pPr>
      <w:r>
        <w:rPr>
          <w:rFonts w:hint="eastAsia" w:eastAsia="宋体" w:cs="宋体"/>
          <w:color w:val="000000"/>
          <w:sz w:val="24"/>
          <w:highlight w:val="none"/>
        </w:rPr>
        <w:t xml:space="preserve">                         日期：</w:t>
      </w:r>
      <w:r/>
    </w:p>
    <w:p>
      <w:pPr>
        <w:ind w:firstLine="566"/>
        <w:keepLines w:val="0"/>
        <w:keepNext w:val="0"/>
        <w:pageBreakBefore w:val="0"/>
        <w:spacing w:line="360" w:lineRule="auto"/>
        <w:widowControl w:val="off"/>
        <w:rPr>
          <w:rFonts w:eastAsia="宋体"/>
          <w:color w:val="000000"/>
          <w:sz w:val="24"/>
          <w:szCs w:val="26"/>
          <w:highlight w:val="none"/>
        </w:rPr>
      </w:pPr>
      <w:r>
        <w:rPr>
          <w:rFonts w:eastAsia="宋体"/>
          <w:color w:val="000000"/>
          <w:sz w:val="24"/>
          <w:szCs w:val="26"/>
          <w:highlight w:val="none"/>
        </w:rPr>
      </w:r>
      <w:r/>
    </w:p>
    <w:p>
      <w:pPr>
        <w:ind w:firstLine="566"/>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rPr>
        <w:t xml:space="preserve">享受政府采购支持政策的残疾人福利性单位应当同时满足以下条件：</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rPr>
        <w:t xml:space="preserve">（一）安置的残疾人占本单位在职职工人数的比例不低于25%（含25%），并且安置的残疾人人数不少于10人（含10人）；</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rPr>
        <w:t xml:space="preserve">（二）依法与安置的每位残疾人签订了一年以上（含一年）的劳动合同或服务协议；</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rPr>
        <w:t xml:space="preserve">（三）为安置的每位残疾人按月足额缴纳了基本养老保险、基本医疗保险、失业保险、工伤保险和生育保险等社会保险费；</w:t>
      </w:r>
      <w:r/>
    </w:p>
    <w:p>
      <w:pPr>
        <w:ind w:firstLine="480"/>
        <w:keepLines w:val="0"/>
        <w:keepNext w:val="0"/>
        <w:pageBreakBefore w:val="0"/>
        <w:spacing w:line="360" w:lineRule="auto"/>
        <w:widowControl w:val="off"/>
        <w:rPr>
          <w:rFonts w:eastAsia="宋体"/>
          <w:color w:val="000000"/>
          <w:sz w:val="24"/>
          <w:szCs w:val="26"/>
          <w:highlight w:val="none"/>
        </w:rPr>
      </w:pPr>
      <w:r>
        <w:rPr>
          <w:rFonts w:hint="eastAsia" w:eastAsia="宋体"/>
          <w:color w:val="000000"/>
          <w:sz w:val="24"/>
          <w:szCs w:val="26"/>
          <w:highlight w:val="none"/>
        </w:rPr>
        <w:t xml:space="preserve">（四）通过银行等金融机构向安置的每位残疾人，按月支付了不低于单位所在区县适用的经省级人民政府批准的月最低工资标准的工资；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widowControl w:val="off"/>
        <w:rPr>
          <w:rFonts w:hint="eastAsia" w:eastAsia="宋体"/>
          <w:color w:val="000000"/>
          <w:sz w:val="24"/>
          <w:szCs w:val="26"/>
          <w:highlight w:val="none"/>
        </w:rPr>
      </w:pPr>
      <w:r>
        <w:rPr>
          <w:rFonts w:hint="eastAsia" w:eastAsia="宋体"/>
          <w:color w:val="000000"/>
          <w:sz w:val="24"/>
          <w:szCs w:val="26"/>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eastAsia="宋体" w:cs="宋体"/>
          <w:color w:val="000000"/>
          <w:highlight w:val="none"/>
        </w:rPr>
      </w:pPr>
      <w:r>
        <w:rPr>
          <w:rFonts w:hint="eastAsia" w:eastAsia="宋体"/>
          <w:color w:val="000000"/>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eastAsia="宋体" w:cs="宋体"/>
          <w:color w:val="000000"/>
          <w:highlight w:val="none"/>
        </w:rPr>
        <w:t xml:space="preserve">  </w:t>
      </w:r>
      <w:r/>
    </w:p>
    <w:p>
      <w:pPr>
        <w:rPr>
          <w:rFonts w:eastAsia="宋体" w:cs="宋体"/>
          <w:b/>
          <w:color w:val="000000"/>
          <w:szCs w:val="24"/>
          <w:highlight w:val="none"/>
        </w:rPr>
      </w:pPr>
      <w:r>
        <w:rPr>
          <w:rFonts w:eastAsia="宋体" w:cs="宋体"/>
          <w:b/>
          <w:color w:val="000000"/>
          <w:szCs w:val="24"/>
          <w:highlight w:val="none"/>
        </w:rPr>
        <w:br w:type="page" w:clear="all"/>
      </w:r>
      <w:r/>
    </w:p>
    <w:p>
      <w:pPr>
        <w:jc w:val="center"/>
        <w:keepLines w:val="0"/>
        <w:keepNext w:val="0"/>
        <w:pageBreakBefore w:val="0"/>
        <w:spacing w:line="360" w:lineRule="auto"/>
        <w:widowControl w:val="off"/>
        <w:rPr>
          <w:rFonts w:hint="eastAsia" w:eastAsia="宋体" w:cs="宋体"/>
          <w:b/>
          <w:bCs/>
          <w:color w:val="000000"/>
          <w:sz w:val="28"/>
          <w:szCs w:val="28"/>
          <w:highlight w:val="none"/>
          <w:lang w:val="en-US" w:eastAsia="zh-CN"/>
        </w:rPr>
        <w:outlineLvl w:val="3"/>
      </w:pPr>
      <w:r>
        <w:rPr>
          <w:rFonts w:hint="eastAsia" w:eastAsia="宋体" w:cs="宋体"/>
          <w:b/>
          <w:bCs/>
          <w:color w:val="000000"/>
          <w:sz w:val="28"/>
          <w:szCs w:val="28"/>
          <w:highlight w:val="none"/>
          <w:lang w:val="en-US" w:eastAsia="zh-CN"/>
        </w:rPr>
        <w:t xml:space="preserve">监狱企业的证明</w:t>
      </w:r>
      <w:r/>
    </w:p>
    <w:p>
      <w:pPr>
        <w:jc w:val="center"/>
        <w:keepLines w:val="0"/>
        <w:keepNext w:val="0"/>
        <w:pageBreakBefore w:val="0"/>
        <w:spacing w:line="360" w:lineRule="auto"/>
        <w:widowControl w:val="off"/>
        <w:rPr>
          <w:rFonts w:eastAsia="宋体"/>
          <w:color w:val="000000"/>
          <w:sz w:val="24"/>
          <w:szCs w:val="26"/>
          <w:highlight w:val="none"/>
        </w:rPr>
      </w:pPr>
      <w:r>
        <w:rPr>
          <w:rFonts w:eastAsia="宋体"/>
          <w:color w:val="000000"/>
          <w:sz w:val="24"/>
          <w:szCs w:val="26"/>
          <w:highlight w:val="none"/>
        </w:rPr>
        <w:t xml:space="preserve">（格式自拟）</w:t>
      </w:r>
      <w:r/>
    </w:p>
    <w:p>
      <w:pPr>
        <w:ind w:firstLine="566"/>
        <w:keepLines w:val="0"/>
        <w:keepNext w:val="0"/>
        <w:pageBreakBefore w:val="0"/>
        <w:spacing w:line="360" w:lineRule="auto"/>
        <w:widowControl w:val="off"/>
        <w:rPr>
          <w:rFonts w:eastAsia="宋体"/>
          <w:color w:val="000000"/>
          <w:sz w:val="24"/>
          <w:szCs w:val="26"/>
          <w:highlight w:val="none"/>
        </w:rPr>
      </w:pPr>
      <w:r>
        <w:rPr>
          <w:rFonts w:eastAsia="宋体"/>
          <w:color w:val="000000"/>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keepLines w:val="0"/>
        <w:keepNext w:val="0"/>
        <w:pageBreakBefore w:val="0"/>
        <w:spacing w:line="360" w:lineRule="auto"/>
        <w:widowControl w:val="off"/>
        <w:rPr>
          <w:rFonts w:hint="eastAsia" w:eastAsia="宋体" w:cs="宋体"/>
          <w:color w:val="000000"/>
          <w:highlight w:val="none"/>
        </w:rPr>
      </w:pPr>
      <w:r>
        <w:rPr>
          <w:rFonts w:hint="eastAsia" w:eastAsia="宋体" w:cs="宋体"/>
          <w:color w:val="000000"/>
          <w:highlight w:val="none"/>
        </w:rPr>
      </w:r>
      <w:r/>
    </w:p>
    <w:p>
      <w:pPr>
        <w:rPr>
          <w:rFonts w:hint="eastAsia" w:eastAsia="宋体" w:cs="宋体"/>
          <w:color w:val="000000"/>
          <w:highlight w:val="none"/>
        </w:rPr>
      </w:pPr>
      <w:r>
        <w:rPr>
          <w:rFonts w:hint="eastAsia" w:eastAsia="宋体" w:cs="宋体"/>
          <w:color w:val="000000"/>
          <w:highlight w:val="none"/>
        </w:rPr>
        <w:br w:type="page" w:clear="all"/>
      </w:r>
      <w:r/>
    </w:p>
    <w:p>
      <w:pPr>
        <w:jc w:val="left"/>
        <w:keepLines w:val="0"/>
        <w:keepNext w:val="0"/>
        <w:pageBreakBefore w:val="0"/>
        <w:spacing w:line="380" w:lineRule="exact"/>
        <w:widowControl w:val="off"/>
        <w:rPr>
          <w:rFonts w:eastAsia="宋体"/>
          <w:b/>
          <w:color w:val="000000"/>
          <w:sz w:val="21"/>
          <w:szCs w:val="22"/>
          <w:highlight w:val="none"/>
        </w:rPr>
      </w:pPr>
      <w:r>
        <w:rPr>
          <w:rFonts w:hint="eastAsia" w:eastAsia="宋体" w:cs="宋体"/>
          <w:color w:val="000000"/>
          <w:highlight w:val="none"/>
        </w:rPr>
        <w:t xml:space="preserve">附件：</w:t>
      </w:r>
      <w:r/>
    </w:p>
    <w:p>
      <w:pPr>
        <w:ind w:right="561"/>
        <w:jc w:val="center"/>
        <w:keepLines w:val="0"/>
        <w:keepNext w:val="0"/>
        <w:pageBreakBefore w:val="0"/>
        <w:spacing w:line="380" w:lineRule="exact"/>
        <w:widowControl w:val="off"/>
        <w:rPr>
          <w:rFonts w:hint="eastAsia" w:eastAsia="宋体" w:cs="宋体"/>
          <w:b/>
          <w:color w:val="000000"/>
          <w:sz w:val="24"/>
          <w:szCs w:val="24"/>
          <w:highlight w:val="none"/>
        </w:rPr>
      </w:pPr>
      <w:r>
        <w:rPr>
          <w:rFonts w:hint="eastAsia" w:eastAsia="宋体" w:cs="宋体"/>
          <w:b/>
          <w:color w:val="000000"/>
          <w:sz w:val="24"/>
          <w:szCs w:val="24"/>
          <w:highlight w:val="none"/>
        </w:rPr>
        <w:t xml:space="preserve">中小企业划型标准规定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各行业划型标准为：</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80" w:lineRule="exact"/>
        <w:widowControl w:val="off"/>
        <w:rPr>
          <w:rFonts w:eastAsia="宋体" w:cs="宋体"/>
          <w:color w:val="000000"/>
          <w:sz w:val="24"/>
          <w:highlight w:val="none"/>
        </w:rPr>
      </w:pPr>
      <w:r>
        <w:rPr>
          <w:rFonts w:hint="eastAsia" w:eastAsia="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keepLines w:val="0"/>
        <w:keepNext w:val="0"/>
        <w:pageBreakBefore w:val="0"/>
        <w:spacing w:line="380" w:lineRule="exact"/>
        <w:widowControl w:val="off"/>
        <w:rPr>
          <w:rFonts w:hint="eastAsia" w:eastAsia="宋体" w:cs="宋体"/>
          <w:color w:val="000000"/>
          <w:sz w:val="24"/>
          <w:highlight w:val="none"/>
        </w:rPr>
      </w:pPr>
      <w:r>
        <w:rPr>
          <w:rFonts w:hint="eastAsia" w:eastAsia="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80"/>
        <w:keepLines w:val="0"/>
        <w:keepNext w:val="0"/>
        <w:pageBreakBefore w:val="0"/>
        <w:spacing w:line="380" w:lineRule="exact"/>
        <w:widowControl w:val="off"/>
        <w:rPr>
          <w:rFonts w:hint="eastAsia" w:eastAsia="宋体" w:cs="宋体"/>
          <w:color w:val="000000"/>
          <w:sz w:val="24"/>
          <w:highlight w:val="none"/>
        </w:rPr>
      </w:pPr>
      <w:r>
        <w:rPr>
          <w:rFonts w:hint="eastAsia" w:eastAsia="宋体" w:cs="宋体"/>
          <w:color w:val="000000"/>
          <w:sz w:val="24"/>
          <w:highlight w:val="none"/>
        </w:rPr>
      </w:r>
      <w:r/>
    </w:p>
    <w:sectPr>
      <w:headerReference w:type="default" r:id="rId13"/>
      <w:headerReference w:type="first" r:id="rId14"/>
      <w:footerReference w:type="default" r:id="rId18"/>
      <w:footerReference w:type="first" r:id="rId19"/>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方正仿宋_GBK">
    <w:panose1 w:val="020B0503020202020204"/>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仿宋">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9"/>
      </w:rPr>
      <w:framePr w:wrap="around" w:vAnchor="text" w:hAnchor="margin" w:xAlign="right" w:y="1"/>
    </w:pPr>
    <w:r>
      <w:fldChar w:fldCharType="begin"/>
    </w:r>
    <w:r>
      <w:rPr>
        <w:rStyle w:val="969"/>
      </w:rPr>
      <w:instrText xml:space="preserve">PAGE  </w:instrText>
    </w:r>
    <w:r>
      <w:fldChar w:fldCharType="end"/>
    </w:r>
    <w:r/>
  </w:p>
  <w:p>
    <w:pPr>
      <w:pStyle w:val="93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rPr>
        <w:rFonts w:hint="eastAsia"/>
        <w:b/>
        <w:sz w:val="24"/>
        <w:szCs w:val="24"/>
      </w:rPr>
      <w:t xml:space="preserve"> </w:t>
    </w:r>
    <w:r/>
  </w:p>
  <w:p>
    <w:pPr>
      <w:pStyle w:val="93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nothing"/>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891"/>
      <w:isLgl w:val="false"/>
      <w:suff w:val="tab"/>
      <w:lvlText w:val="%1.%2.%3.%4.%5"/>
      <w:lvlJc w:val="left"/>
      <w:pPr>
        <w:ind w:left="1008" w:hanging="1008"/>
        <w:tabs>
          <w:tab w:val="left" w:pos="1008" w:leader="none"/>
        </w:tabs>
      </w:pPr>
    </w:lvl>
    <w:lvl w:ilvl="5">
      <w:start w:val="1"/>
      <w:numFmt w:val="decimal"/>
      <w:pStyle w:val="893"/>
      <w:isLgl w:val="false"/>
      <w:suff w:val="tab"/>
      <w:lvlText w:val="%1.%2.%3.%4.%5.%6"/>
      <w:lvlJc w:val="left"/>
      <w:pPr>
        <w:ind w:left="1152" w:hanging="1152"/>
        <w:tabs>
          <w:tab w:val="left" w:pos="1152" w:leader="none"/>
        </w:tabs>
      </w:pPr>
    </w:lvl>
    <w:lvl w:ilvl="6">
      <w:start w:val="1"/>
      <w:numFmt w:val="decimal"/>
      <w:pStyle w:val="894"/>
      <w:isLgl w:val="false"/>
      <w:suff w:val="tab"/>
      <w:lvlText w:val="%1.%2.%3.%4.%5.%6.%7"/>
      <w:lvlJc w:val="left"/>
      <w:pPr>
        <w:ind w:left="1296" w:hanging="1296"/>
        <w:tabs>
          <w:tab w:val="left" w:pos="1296" w:leader="none"/>
        </w:tabs>
      </w:pPr>
    </w:lvl>
    <w:lvl w:ilvl="7">
      <w:start w:val="1"/>
      <w:numFmt w:val="decimal"/>
      <w:pStyle w:val="895"/>
      <w:isLgl w:val="false"/>
      <w:suff w:val="tab"/>
      <w:lvlText w:val="%1.%2.%3.%4.%5.%6.%7.%8"/>
      <w:lvlJc w:val="left"/>
      <w:pPr>
        <w:ind w:left="1440" w:hanging="1440"/>
        <w:tabs>
          <w:tab w:val="left" w:pos="1440" w:leader="none"/>
        </w:tabs>
      </w:pPr>
    </w:lvl>
    <w:lvl w:ilvl="8">
      <w:start w:val="1"/>
      <w:numFmt w:val="decimal"/>
      <w:pStyle w:val="896"/>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next w:val="858"/>
    <w:link w:val="1329"/>
    <w:uiPriority w:val="0"/>
    <w:qFormat/>
    <w:pPr>
      <w:jc w:val="both"/>
      <w:widowControl w:val="off"/>
    </w:pPr>
    <w:rPr>
      <w:rFonts w:hint="default" w:ascii="Times New Roman" w:hAnsi="Times New Roman" w:eastAsia="楷体_GB2312" w:cs="Times New Roman"/>
      <w:sz w:val="26"/>
      <w:lang w:val="en-US" w:eastAsia="zh-CN" w:bidi="ar-SA"/>
    </w:rPr>
  </w:style>
  <w:style w:type="paragraph" w:styleId="847">
    <w:name w:val="Heading 1"/>
    <w:basedOn w:val="846"/>
    <w:next w:val="846"/>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1"/>
    <w:basedOn w:val="846"/>
    <w:next w:val="846"/>
    <w:uiPriority w:val="39"/>
    <w:unhideWhenUsed/>
    <w:qFormat/>
    <w:pPr>
      <w:ind w:left="0" w:right="0" w:firstLine="0"/>
      <w:spacing w:after="57"/>
    </w:pPr>
  </w:style>
  <w:style w:type="paragraph" w:styleId="859">
    <w:name w:val="toc 7"/>
    <w:basedOn w:val="846"/>
    <w:next w:val="846"/>
    <w:uiPriority w:val="39"/>
    <w:unhideWhenUsed/>
    <w:qFormat/>
    <w:pPr>
      <w:ind w:left="1701" w:right="0" w:firstLine="0"/>
      <w:spacing w:after="57"/>
    </w:pPr>
  </w:style>
  <w:style w:type="paragraph" w:styleId="860">
    <w:name w:val="Normal Indent"/>
    <w:basedOn w:val="846"/>
    <w:uiPriority w:val="0"/>
    <w:qFormat/>
    <w:pPr>
      <w:ind w:firstLine="420"/>
      <w:jc w:val="left"/>
    </w:pPr>
    <w:rPr>
      <w:rFonts w:ascii="宋体" w:hAnsi="仿宋" w:eastAsia="仿宋" w:cs="仿宋"/>
      <w:sz w:val="24"/>
      <w:szCs w:val="22"/>
    </w:rPr>
  </w:style>
  <w:style w:type="paragraph" w:styleId="861">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annotation text"/>
    <w:basedOn w:val="846"/>
    <w:uiPriority w:val="99"/>
    <w:unhideWhenUsed/>
    <w:qFormat/>
    <w:pPr>
      <w:jc w:val="left"/>
      <w:spacing w:line="300" w:lineRule="auto"/>
    </w:pPr>
    <w:rPr>
      <w:rFonts w:asciiTheme="minorEastAsia"/>
      <w:sz w:val="24"/>
      <w:szCs w:val="21"/>
    </w:rPr>
  </w:style>
  <w:style w:type="paragraph" w:styleId="863">
    <w:name w:val="Body Text"/>
    <w:basedOn w:val="846"/>
    <w:next w:val="846"/>
    <w:uiPriority w:val="99"/>
    <w:unhideWhenUsed/>
    <w:qFormat/>
    <w:pPr>
      <w:spacing w:line="315" w:lineRule="atLeast"/>
    </w:pPr>
    <w:rPr>
      <w:rFonts w:ascii="仿宋_GB2312" w:eastAsia="仿宋_GB2312"/>
    </w:rPr>
  </w:style>
  <w:style w:type="paragraph" w:styleId="864">
    <w:name w:val="Body Text Indent"/>
    <w:basedOn w:val="846"/>
    <w:next w:val="865"/>
    <w:uiPriority w:val="99"/>
    <w:unhideWhenUsed/>
    <w:qFormat/>
    <w:pPr>
      <w:ind w:left="420"/>
      <w:spacing w:after="120"/>
    </w:pPr>
    <w:rPr>
      <w:szCs w:val="24"/>
    </w:rPr>
  </w:style>
  <w:style w:type="paragraph" w:styleId="865">
    <w:name w:val="envelope return"/>
    <w:basedOn w:val="846"/>
    <w:uiPriority w:val="99"/>
    <w:unhideWhenUsed/>
    <w:qFormat/>
    <w:rPr>
      <w:rFonts w:ascii="Arial" w:hAnsi="Arial"/>
    </w:rPr>
  </w:style>
  <w:style w:type="paragraph" w:styleId="866">
    <w:name w:val="toc 5"/>
    <w:basedOn w:val="846"/>
    <w:next w:val="846"/>
    <w:uiPriority w:val="39"/>
    <w:unhideWhenUsed/>
    <w:qFormat/>
    <w:pPr>
      <w:ind w:left="1134" w:right="0" w:firstLine="0"/>
      <w:spacing w:after="57"/>
    </w:pPr>
  </w:style>
  <w:style w:type="paragraph" w:styleId="867">
    <w:name w:val="toc 3"/>
    <w:basedOn w:val="846"/>
    <w:next w:val="846"/>
    <w:uiPriority w:val="39"/>
    <w:unhideWhenUsed/>
    <w:qFormat/>
    <w:pPr>
      <w:ind w:left="567" w:right="0" w:firstLine="0"/>
      <w:spacing w:after="57"/>
    </w:pPr>
  </w:style>
  <w:style w:type="paragraph" w:styleId="868">
    <w:name w:val="toc 8"/>
    <w:basedOn w:val="846"/>
    <w:next w:val="846"/>
    <w:uiPriority w:val="39"/>
    <w:unhideWhenUsed/>
    <w:qFormat/>
    <w:pPr>
      <w:ind w:left="1984" w:right="0" w:firstLine="0"/>
      <w:spacing w:after="57"/>
    </w:pPr>
  </w:style>
  <w:style w:type="paragraph" w:styleId="869">
    <w:name w:val="endnote text"/>
    <w:basedOn w:val="846"/>
    <w:uiPriority w:val="99"/>
    <w:semiHidden/>
    <w:unhideWhenUsed/>
    <w:qFormat/>
    <w:pPr>
      <w:spacing w:after="0" w:line="240" w:lineRule="auto"/>
    </w:pPr>
    <w:rPr>
      <w:sz w:val="20"/>
    </w:rPr>
  </w:style>
  <w:style w:type="paragraph" w:styleId="870">
    <w:name w:val="Footer"/>
    <w:basedOn w:val="846"/>
    <w:uiPriority w:val="99"/>
    <w:unhideWhenUsed/>
    <w:qFormat/>
    <w:pPr>
      <w:spacing w:after="0" w:line="240" w:lineRule="auto"/>
      <w:tabs>
        <w:tab w:val="center" w:pos="7143" w:leader="none"/>
        <w:tab w:val="right" w:pos="14287" w:leader="none"/>
      </w:tabs>
    </w:pPr>
  </w:style>
  <w:style w:type="paragraph" w:styleId="871">
    <w:name w:val="Header"/>
    <w:basedOn w:val="846"/>
    <w:uiPriority w:val="99"/>
    <w:unhideWhenUsed/>
    <w:qFormat/>
    <w:pPr>
      <w:spacing w:after="0" w:line="240" w:lineRule="auto"/>
      <w:tabs>
        <w:tab w:val="center" w:pos="7143" w:leader="none"/>
        <w:tab w:val="right" w:pos="14287" w:leader="none"/>
      </w:tabs>
    </w:pPr>
  </w:style>
  <w:style w:type="paragraph" w:styleId="872">
    <w:name w:val="toc 4"/>
    <w:basedOn w:val="846"/>
    <w:next w:val="846"/>
    <w:uiPriority w:val="39"/>
    <w:unhideWhenUsed/>
    <w:qFormat/>
    <w:pPr>
      <w:ind w:left="850" w:right="0" w:firstLine="0"/>
      <w:spacing w:after="57"/>
    </w:pPr>
  </w:style>
  <w:style w:type="paragraph" w:styleId="873">
    <w:name w:val="Subtitle"/>
    <w:basedOn w:val="846"/>
    <w:next w:val="846"/>
    <w:uiPriority w:val="11"/>
    <w:qFormat/>
    <w:pPr>
      <w:spacing w:before="200" w:after="200"/>
    </w:pPr>
    <w:rPr>
      <w:sz w:val="24"/>
      <w:szCs w:val="24"/>
    </w:rPr>
  </w:style>
  <w:style w:type="paragraph" w:styleId="874">
    <w:name w:val="footnote text"/>
    <w:basedOn w:val="846"/>
    <w:uiPriority w:val="99"/>
    <w:semiHidden/>
    <w:unhideWhenUsed/>
    <w:qFormat/>
    <w:pPr>
      <w:spacing w:after="40" w:line="240" w:lineRule="auto"/>
    </w:pPr>
    <w:rPr>
      <w:sz w:val="18"/>
    </w:rPr>
  </w:style>
  <w:style w:type="paragraph" w:styleId="875">
    <w:name w:val="toc 6"/>
    <w:basedOn w:val="846"/>
    <w:next w:val="846"/>
    <w:uiPriority w:val="39"/>
    <w:unhideWhenUsed/>
    <w:qFormat/>
    <w:pPr>
      <w:ind w:left="1417" w:right="0" w:firstLine="0"/>
      <w:spacing w:after="57"/>
    </w:pPr>
  </w:style>
  <w:style w:type="paragraph" w:styleId="876">
    <w:name w:val="table of figures"/>
    <w:basedOn w:val="846"/>
    <w:next w:val="846"/>
    <w:uiPriority w:val="99"/>
    <w:unhideWhenUsed/>
    <w:qFormat/>
    <w:pPr>
      <w:spacing w:after="0" w:afterAutospacing="0"/>
    </w:pPr>
  </w:style>
  <w:style w:type="paragraph" w:styleId="877">
    <w:name w:val="toc 2"/>
    <w:basedOn w:val="846"/>
    <w:next w:val="846"/>
    <w:uiPriority w:val="39"/>
    <w:unhideWhenUsed/>
    <w:qFormat/>
    <w:pPr>
      <w:ind w:left="283" w:right="0" w:firstLine="0"/>
      <w:spacing w:after="57"/>
    </w:pPr>
  </w:style>
  <w:style w:type="paragraph" w:styleId="878">
    <w:name w:val="toc 9"/>
    <w:basedOn w:val="846"/>
    <w:next w:val="846"/>
    <w:uiPriority w:val="39"/>
    <w:unhideWhenUsed/>
    <w:qFormat/>
    <w:pPr>
      <w:ind w:left="2268" w:right="0" w:firstLine="0"/>
      <w:spacing w:after="57"/>
    </w:pPr>
  </w:style>
  <w:style w:type="paragraph" w:styleId="879">
    <w:name w:val="Body Text 2"/>
    <w:basedOn w:val="846"/>
    <w:uiPriority w:val="0"/>
    <w:qFormat/>
    <w:pPr>
      <w:spacing w:after="120" w:line="480" w:lineRule="auto"/>
    </w:pPr>
  </w:style>
  <w:style w:type="paragraph" w:styleId="880">
    <w:name w:val="Title"/>
    <w:basedOn w:val="846"/>
    <w:next w:val="846"/>
    <w:uiPriority w:val="10"/>
    <w:qFormat/>
    <w:pPr>
      <w:contextualSpacing/>
      <w:spacing w:before="300" w:after="200"/>
    </w:pPr>
    <w:rPr>
      <w:sz w:val="48"/>
      <w:szCs w:val="48"/>
    </w:rPr>
  </w:style>
  <w:style w:type="paragraph" w:styleId="881">
    <w:name w:val="Body Text First Indent"/>
    <w:basedOn w:val="863"/>
    <w:uiPriority w:val="99"/>
    <w:unhideWhenUsed/>
    <w:qFormat/>
    <w:pPr>
      <w:ind w:firstLine="420"/>
      <w:spacing w:after="120" w:line="240" w:lineRule="auto"/>
    </w:pPr>
    <w:rPr>
      <w:rFonts w:ascii="Times New Roman"/>
      <w:sz w:val="21"/>
      <w:szCs w:val="24"/>
    </w:rPr>
  </w:style>
  <w:style w:type="paragraph" w:styleId="882">
    <w:name w:val="Body Text First Indent 2"/>
    <w:basedOn w:val="864"/>
    <w:next w:val="846"/>
    <w:uiPriority w:val="99"/>
    <w:unhideWhenUsed/>
    <w:qFormat/>
    <w:pPr>
      <w:ind w:firstLine="200"/>
    </w:p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paragraph" w:styleId="887" w:customStyle="1">
    <w:name w:val="标题 111"/>
    <w:basedOn w:val="846"/>
    <w:next w:val="846"/>
    <w:link w:val="900"/>
    <w:uiPriority w:val="0"/>
    <w:qFormat/>
    <w:pPr>
      <w:keepLines/>
      <w:keepNext/>
      <w:spacing w:before="340" w:after="330" w:line="578" w:lineRule="auto"/>
      <w:outlineLvl w:val="0"/>
    </w:pPr>
    <w:rPr>
      <w:b/>
      <w:sz w:val="44"/>
    </w:rPr>
  </w:style>
  <w:style w:type="paragraph" w:styleId="888" w:customStyle="1">
    <w:name w:val="标题 211"/>
    <w:basedOn w:val="846"/>
    <w:next w:val="846"/>
    <w:link w:val="901"/>
    <w:uiPriority w:val="0"/>
    <w:qFormat/>
    <w:pPr>
      <w:jc w:val="left"/>
      <w:keepLines/>
      <w:keepNext/>
      <w:outlineLvl w:val="1"/>
    </w:pPr>
    <w:rPr>
      <w:rFonts w:ascii="宋体" w:hAnsi="宋体"/>
      <w:b/>
    </w:rPr>
  </w:style>
  <w:style w:type="paragraph" w:styleId="889" w:customStyle="1">
    <w:name w:val="标题 311"/>
    <w:basedOn w:val="846"/>
    <w:next w:val="846"/>
    <w:link w:val="902"/>
    <w:uiPriority w:val="99"/>
    <w:qFormat/>
    <w:pPr>
      <w:jc w:val="left"/>
      <w:keepLines/>
      <w:keepNext/>
      <w:outlineLvl w:val="2"/>
    </w:pPr>
    <w:rPr>
      <w:b/>
    </w:rPr>
  </w:style>
  <w:style w:type="paragraph" w:styleId="890" w:customStyle="1">
    <w:name w:val="标题 411"/>
    <w:basedOn w:val="846"/>
    <w:next w:val="846"/>
    <w:link w:val="903"/>
    <w:uiPriority w:val="0"/>
    <w:qFormat/>
    <w:pPr>
      <w:ind w:firstLine="200"/>
      <w:keepLines/>
      <w:keepNext/>
      <w:spacing w:before="280" w:after="290" w:line="372" w:lineRule="auto"/>
      <w:outlineLvl w:val="3"/>
    </w:pPr>
    <w:rPr>
      <w:rFonts w:ascii="Arial" w:hAnsi="Arial" w:eastAsia="黑体"/>
      <w:b/>
      <w:sz w:val="28"/>
    </w:rPr>
  </w:style>
  <w:style w:type="paragraph" w:styleId="891" w:customStyle="1">
    <w:name w:val="标题 511"/>
    <w:basedOn w:val="846"/>
    <w:next w:val="892"/>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892" w:customStyle="1">
    <w:name w:val="正文缩进1"/>
    <w:basedOn w:val="846"/>
    <w:link w:val="904"/>
    <w:uiPriority w:val="0"/>
    <w:qFormat/>
    <w:pPr>
      <w:jc w:val="center"/>
      <w:spacing w:line="360" w:lineRule="auto"/>
    </w:pPr>
    <w:rPr>
      <w:rFonts w:ascii="宋体" w:hAnsi="宋体" w:eastAsia="宋体"/>
      <w:b/>
      <w:sz w:val="36"/>
    </w:rPr>
  </w:style>
  <w:style w:type="paragraph" w:styleId="893" w:customStyle="1">
    <w:name w:val="标题 611"/>
    <w:basedOn w:val="846"/>
    <w:next w:val="892"/>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894" w:customStyle="1">
    <w:name w:val="标题 711"/>
    <w:basedOn w:val="846"/>
    <w:next w:val="892"/>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895" w:customStyle="1">
    <w:name w:val="标题 811"/>
    <w:basedOn w:val="846"/>
    <w:next w:val="892"/>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896" w:customStyle="1">
    <w:name w:val="标题 911"/>
    <w:basedOn w:val="846"/>
    <w:next w:val="892"/>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897" w:customStyle="1">
    <w:name w:val="默认段落字体1"/>
    <w:link w:val="846"/>
    <w:uiPriority w:val="1"/>
    <w:unhideWhenUsed/>
    <w:qFormat/>
  </w:style>
  <w:style w:type="table" w:styleId="898" w:customStyle="1">
    <w:name w:val="普通表格1"/>
    <w:uiPriority w:val="99"/>
    <w:unhideWhenUsed/>
    <w:qFormat/>
    <w:tblPr/>
  </w:style>
  <w:style w:type="paragraph" w:styleId="899" w:customStyle="1">
    <w:name w:val="标题二、"/>
    <w:basedOn w:val="846"/>
    <w:uiPriority w:val="99"/>
    <w:qFormat/>
    <w:pPr>
      <w:ind w:firstLine="200"/>
      <w:spacing w:line="360" w:lineRule="auto"/>
      <w:outlineLvl w:val="2"/>
    </w:pPr>
    <w:rPr>
      <w:rFonts w:ascii="宋体" w:hAnsi="宋体"/>
      <w:b/>
      <w:szCs w:val="21"/>
    </w:rPr>
  </w:style>
  <w:style w:type="character" w:styleId="900" w:customStyle="1">
    <w:name w:val="标题 1 字符"/>
    <w:link w:val="887"/>
    <w:uiPriority w:val="0"/>
    <w:qFormat/>
    <w:rPr>
      <w:rFonts w:eastAsia="楷体_GB2312"/>
      <w:b/>
      <w:sz w:val="44"/>
    </w:rPr>
  </w:style>
  <w:style w:type="character" w:styleId="901" w:customStyle="1">
    <w:name w:val="标题 2 字符"/>
    <w:link w:val="888"/>
    <w:uiPriority w:val="0"/>
    <w:qFormat/>
    <w:rPr>
      <w:rFonts w:ascii="宋体" w:hAnsi="宋体" w:eastAsia="楷体_GB2312"/>
      <w:b/>
      <w:sz w:val="26"/>
      <w:lang w:val="en-US" w:eastAsia="zh-CN" w:bidi="ar-SA"/>
    </w:rPr>
  </w:style>
  <w:style w:type="character" w:styleId="902" w:customStyle="1">
    <w:name w:val="标题 3 字符"/>
    <w:link w:val="889"/>
    <w:uiPriority w:val="99"/>
    <w:qFormat/>
    <w:rPr>
      <w:rFonts w:eastAsia="楷体_GB2312"/>
      <w:b/>
      <w:sz w:val="26"/>
    </w:rPr>
  </w:style>
  <w:style w:type="character" w:styleId="903" w:customStyle="1">
    <w:name w:val="标题 4 字符"/>
    <w:link w:val="890"/>
    <w:uiPriority w:val="0"/>
    <w:qFormat/>
    <w:rPr>
      <w:rFonts w:ascii="Arial" w:hAnsi="Arial" w:eastAsia="黑体"/>
      <w:b/>
      <w:sz w:val="28"/>
    </w:rPr>
  </w:style>
  <w:style w:type="character" w:styleId="904" w:customStyle="1">
    <w:name w:val="正文缩进 字符"/>
    <w:link w:val="892"/>
    <w:uiPriority w:val="0"/>
    <w:qFormat/>
    <w:rPr>
      <w:rFonts w:ascii="宋体" w:hAnsi="宋体"/>
      <w:b/>
      <w:sz w:val="36"/>
    </w:rPr>
  </w:style>
  <w:style w:type="paragraph" w:styleId="905" w:customStyle="1">
    <w:name w:val="目录 71"/>
    <w:basedOn w:val="846"/>
    <w:next w:val="846"/>
    <w:uiPriority w:val="0"/>
    <w:qFormat/>
    <w:pPr>
      <w:ind w:left="2520"/>
    </w:pPr>
  </w:style>
  <w:style w:type="paragraph" w:styleId="906" w:customStyle="1">
    <w:name w:val="索引 81"/>
    <w:basedOn w:val="846"/>
    <w:next w:val="846"/>
    <w:uiPriority w:val="0"/>
    <w:qFormat/>
    <w:pPr>
      <w:ind w:left="2940"/>
    </w:pPr>
  </w:style>
  <w:style w:type="paragraph" w:styleId="907" w:customStyle="1">
    <w:name w:val="题注11"/>
    <w:basedOn w:val="846"/>
    <w:next w:val="846"/>
    <w:uiPriority w:val="35"/>
    <w:unhideWhenUsed/>
    <w:qFormat/>
    <w:pPr>
      <w:spacing w:line="276" w:lineRule="auto"/>
    </w:pPr>
    <w:rPr>
      <w:b/>
      <w:bCs/>
      <w:color w:val="4f81bd"/>
      <w:sz w:val="18"/>
      <w:szCs w:val="18"/>
    </w:rPr>
  </w:style>
  <w:style w:type="paragraph" w:styleId="908" w:customStyle="1">
    <w:name w:val="索引 51"/>
    <w:basedOn w:val="846"/>
    <w:next w:val="846"/>
    <w:uiPriority w:val="0"/>
    <w:qFormat/>
    <w:pPr>
      <w:ind w:left="1680"/>
    </w:pPr>
  </w:style>
  <w:style w:type="paragraph" w:styleId="909" w:customStyle="1">
    <w:name w:val="文档结构图1"/>
    <w:basedOn w:val="846"/>
    <w:link w:val="910"/>
    <w:uiPriority w:val="0"/>
    <w:qFormat/>
    <w:pPr>
      <w:shd w:val="clear" w:color="auto" w:fill="000080"/>
    </w:pPr>
  </w:style>
  <w:style w:type="character" w:styleId="910" w:customStyle="1">
    <w:name w:val="文档结构图 字符"/>
    <w:link w:val="909"/>
    <w:uiPriority w:val="0"/>
    <w:qFormat/>
    <w:rPr>
      <w:rFonts w:eastAsia="楷体_GB2312"/>
      <w:sz w:val="26"/>
      <w:shd w:val="clear" w:color="auto" w:fill="000080"/>
    </w:rPr>
  </w:style>
  <w:style w:type="paragraph" w:styleId="911" w:customStyle="1">
    <w:name w:val="批注文字1"/>
    <w:basedOn w:val="846"/>
    <w:link w:val="912"/>
    <w:uiPriority w:val="0"/>
    <w:qFormat/>
    <w:pPr>
      <w:jc w:val="left"/>
    </w:pPr>
  </w:style>
  <w:style w:type="character" w:styleId="912" w:customStyle="1">
    <w:name w:val="批注文字 字符"/>
    <w:link w:val="911"/>
    <w:uiPriority w:val="0"/>
    <w:qFormat/>
    <w:rPr>
      <w:rFonts w:eastAsia="楷体_GB2312"/>
      <w:sz w:val="26"/>
    </w:rPr>
  </w:style>
  <w:style w:type="paragraph" w:styleId="913" w:customStyle="1">
    <w:name w:val="索引 61"/>
    <w:basedOn w:val="846"/>
    <w:next w:val="846"/>
    <w:uiPriority w:val="0"/>
    <w:qFormat/>
    <w:pPr>
      <w:ind w:left="2100"/>
    </w:pPr>
  </w:style>
  <w:style w:type="paragraph" w:styleId="914" w:customStyle="1">
    <w:name w:val="正文文本1"/>
    <w:basedOn w:val="846"/>
    <w:next w:val="846"/>
    <w:link w:val="916"/>
    <w:uiPriority w:val="0"/>
    <w:qFormat/>
    <w:pPr>
      <w:spacing w:line="400" w:lineRule="exact"/>
    </w:pPr>
    <w:rPr>
      <w:rFonts w:ascii="楷体_GB2312"/>
      <w:sz w:val="28"/>
    </w:rPr>
  </w:style>
  <w:style w:type="paragraph" w:styleId="915" w:customStyle="1">
    <w:name w:val="Default"/>
    <w:uiPriority w:val="0"/>
    <w:qFormat/>
    <w:pPr>
      <w:widowControl w:val="off"/>
    </w:pPr>
    <w:rPr>
      <w:rFonts w:hint="default" w:ascii="宋体" w:hAnsi="宋体" w:eastAsia="宋体" w:cs="宋体"/>
      <w:color w:val="000000"/>
      <w:sz w:val="24"/>
      <w:szCs w:val="24"/>
      <w:lang w:val="en-US" w:eastAsia="zh-CN" w:bidi="ar-SA"/>
    </w:rPr>
  </w:style>
  <w:style w:type="character" w:styleId="916" w:customStyle="1">
    <w:name w:val="正文文本 字符2"/>
    <w:link w:val="914"/>
    <w:uiPriority w:val="0"/>
    <w:qFormat/>
    <w:rPr>
      <w:rFonts w:ascii="楷体_GB2312" w:eastAsia="楷体_GB2312"/>
      <w:sz w:val="28"/>
    </w:rPr>
  </w:style>
  <w:style w:type="paragraph" w:styleId="917" w:customStyle="1">
    <w:name w:val="正文文本缩进11"/>
    <w:basedOn w:val="846"/>
    <w:next w:val="918"/>
    <w:link w:val="919"/>
    <w:uiPriority w:val="0"/>
    <w:qFormat/>
    <w:pPr>
      <w:ind w:left="570"/>
      <w:spacing w:line="520" w:lineRule="exact"/>
    </w:pPr>
    <w:rPr>
      <w:rFonts w:hint="eastAsia" w:ascii="楷体_GB2312"/>
    </w:rPr>
  </w:style>
  <w:style w:type="paragraph" w:styleId="918" w:customStyle="1">
    <w:name w:val="寄信人地址11"/>
    <w:basedOn w:val="846"/>
    <w:uiPriority w:val="99"/>
    <w:unhideWhenUsed/>
    <w:qFormat/>
    <w:rPr>
      <w:rFonts w:ascii="Arial" w:hAnsi="Arial"/>
    </w:rPr>
  </w:style>
  <w:style w:type="character" w:styleId="919" w:customStyle="1">
    <w:name w:val="正文文本缩进 字符"/>
    <w:link w:val="917"/>
    <w:uiPriority w:val="0"/>
    <w:qFormat/>
    <w:rPr>
      <w:rFonts w:hint="eastAsia" w:ascii="楷体_GB2312" w:eastAsia="楷体_GB2312" w:cs="楷体_GB2312"/>
      <w:sz w:val="26"/>
    </w:rPr>
  </w:style>
  <w:style w:type="paragraph" w:styleId="920" w:customStyle="1">
    <w:name w:val="索引 41"/>
    <w:basedOn w:val="846"/>
    <w:next w:val="846"/>
    <w:uiPriority w:val="0"/>
    <w:qFormat/>
    <w:pPr>
      <w:ind w:left="1260"/>
    </w:pPr>
  </w:style>
  <w:style w:type="paragraph" w:styleId="921" w:customStyle="1">
    <w:name w:val="目录 51"/>
    <w:basedOn w:val="846"/>
    <w:next w:val="846"/>
    <w:uiPriority w:val="0"/>
    <w:qFormat/>
    <w:pPr>
      <w:ind w:left="1680"/>
    </w:pPr>
  </w:style>
  <w:style w:type="paragraph" w:styleId="922" w:customStyle="1">
    <w:name w:val="目录 31"/>
    <w:basedOn w:val="846"/>
    <w:next w:val="846"/>
    <w:link w:val="923"/>
    <w:uiPriority w:val="0"/>
    <w:qFormat/>
    <w:pPr>
      <w:ind w:left="840"/>
    </w:pPr>
  </w:style>
  <w:style w:type="character" w:styleId="923" w:customStyle="1">
    <w:name w:val="TOC 3 字符"/>
    <w:link w:val="922"/>
    <w:uiPriority w:val="0"/>
    <w:qFormat/>
    <w:rPr>
      <w:rFonts w:eastAsia="楷体_GB2312"/>
      <w:sz w:val="26"/>
    </w:rPr>
  </w:style>
  <w:style w:type="paragraph" w:styleId="924" w:customStyle="1">
    <w:name w:val="纯文本11"/>
    <w:basedOn w:val="846"/>
    <w:link w:val="925"/>
    <w:uiPriority w:val="0"/>
    <w:qFormat/>
    <w:rPr>
      <w:rFonts w:ascii="宋体" w:hAnsi="Courier New"/>
    </w:rPr>
  </w:style>
  <w:style w:type="character" w:styleId="925" w:customStyle="1">
    <w:name w:val="纯文本 字符1"/>
    <w:link w:val="924"/>
    <w:uiPriority w:val="0"/>
    <w:qFormat/>
    <w:rPr>
      <w:rFonts w:ascii="宋体" w:hAnsi="Courier New" w:eastAsia="楷体_GB2312"/>
      <w:sz w:val="26"/>
      <w:lang w:val="en-US" w:eastAsia="zh-CN" w:bidi="ar-SA"/>
    </w:rPr>
  </w:style>
  <w:style w:type="paragraph" w:styleId="926" w:customStyle="1">
    <w:name w:val="目录 81"/>
    <w:basedOn w:val="846"/>
    <w:next w:val="846"/>
    <w:uiPriority w:val="0"/>
    <w:qFormat/>
    <w:pPr>
      <w:ind w:left="2940"/>
    </w:pPr>
  </w:style>
  <w:style w:type="paragraph" w:styleId="927" w:customStyle="1">
    <w:name w:val="索引 31"/>
    <w:basedOn w:val="846"/>
    <w:next w:val="846"/>
    <w:uiPriority w:val="0"/>
    <w:qFormat/>
    <w:pPr>
      <w:ind w:left="840"/>
    </w:pPr>
  </w:style>
  <w:style w:type="paragraph" w:styleId="928" w:customStyle="1">
    <w:name w:val="日期1"/>
    <w:basedOn w:val="846"/>
    <w:next w:val="846"/>
    <w:link w:val="929"/>
    <w:uiPriority w:val="0"/>
    <w:qFormat/>
    <w:rPr>
      <w:rFonts w:ascii="宋体" w:hAnsi="宋体"/>
      <w:sz w:val="24"/>
    </w:rPr>
  </w:style>
  <w:style w:type="character" w:styleId="929" w:customStyle="1">
    <w:name w:val="日期 字符"/>
    <w:link w:val="928"/>
    <w:uiPriority w:val="0"/>
    <w:qFormat/>
    <w:rPr>
      <w:rFonts w:ascii="宋体" w:hAnsi="宋体" w:eastAsia="楷体_GB2312"/>
      <w:sz w:val="24"/>
    </w:rPr>
  </w:style>
  <w:style w:type="paragraph" w:styleId="930" w:customStyle="1">
    <w:name w:val="正文文本缩进 21"/>
    <w:basedOn w:val="846"/>
    <w:uiPriority w:val="0"/>
    <w:qFormat/>
    <w:pPr>
      <w:ind w:firstLine="502"/>
      <w:spacing w:line="360" w:lineRule="auto"/>
      <w:tabs>
        <w:tab w:val="left" w:pos="0" w:leader="none"/>
      </w:tabs>
    </w:pPr>
    <w:rPr>
      <w:rFonts w:ascii="宋体" w:eastAsia="宋体"/>
      <w:b/>
      <w:bCs/>
      <w:sz w:val="24"/>
    </w:rPr>
  </w:style>
  <w:style w:type="paragraph" w:styleId="931" w:customStyle="1">
    <w:name w:val="尾注文本1"/>
    <w:basedOn w:val="846"/>
    <w:link w:val="932"/>
    <w:uiPriority w:val="99"/>
    <w:unhideWhenUsed/>
    <w:qFormat/>
    <w:rPr>
      <w:rFonts w:eastAsia="宋体"/>
      <w:sz w:val="20"/>
    </w:rPr>
  </w:style>
  <w:style w:type="character" w:styleId="932" w:customStyle="1">
    <w:name w:val="尾注文本 字符"/>
    <w:link w:val="931"/>
    <w:uiPriority w:val="99"/>
    <w:qFormat/>
    <w:rPr>
      <w:sz w:val="20"/>
    </w:rPr>
  </w:style>
  <w:style w:type="paragraph" w:styleId="933" w:customStyle="1">
    <w:name w:val="批注框文本1"/>
    <w:basedOn w:val="846"/>
    <w:link w:val="934"/>
    <w:uiPriority w:val="0"/>
    <w:qFormat/>
    <w:rPr>
      <w:sz w:val="18"/>
      <w:szCs w:val="18"/>
    </w:rPr>
  </w:style>
  <w:style w:type="character" w:styleId="934" w:customStyle="1">
    <w:name w:val="批注框文本 字符"/>
    <w:link w:val="933"/>
    <w:uiPriority w:val="0"/>
    <w:qFormat/>
    <w:rPr>
      <w:rFonts w:eastAsia="楷体_GB2312"/>
      <w:sz w:val="18"/>
      <w:szCs w:val="18"/>
    </w:rPr>
  </w:style>
  <w:style w:type="paragraph" w:styleId="935" w:customStyle="1">
    <w:name w:val="页脚11"/>
    <w:basedOn w:val="846"/>
    <w:link w:val="936"/>
    <w:uiPriority w:val="99"/>
    <w:qFormat/>
    <w:pPr>
      <w:jc w:val="left"/>
      <w:tabs>
        <w:tab w:val="center" w:pos="4153" w:leader="none"/>
        <w:tab w:val="right" w:pos="8306" w:leader="none"/>
      </w:tabs>
    </w:pPr>
    <w:rPr>
      <w:sz w:val="18"/>
    </w:rPr>
  </w:style>
  <w:style w:type="character" w:styleId="936" w:customStyle="1">
    <w:name w:val="页脚 字符"/>
    <w:link w:val="935"/>
    <w:uiPriority w:val="99"/>
    <w:qFormat/>
    <w:rPr>
      <w:rFonts w:eastAsia="楷体_GB2312"/>
      <w:sz w:val="18"/>
    </w:rPr>
  </w:style>
  <w:style w:type="paragraph" w:styleId="937" w:customStyle="1">
    <w:name w:val="页眉11"/>
    <w:basedOn w:val="846"/>
    <w:link w:val="938"/>
    <w:uiPriority w:val="99"/>
    <w:qFormat/>
    <w:pPr>
      <w:jc w:val="center"/>
      <w:tabs>
        <w:tab w:val="center" w:pos="4153" w:leader="none"/>
        <w:tab w:val="right" w:pos="8306" w:leader="none"/>
      </w:tabs>
      <w:pBdr>
        <w:bottom w:val="single" w:color="000000" w:sz="6" w:space="1"/>
      </w:pBdr>
    </w:pPr>
    <w:rPr>
      <w:sz w:val="18"/>
    </w:rPr>
  </w:style>
  <w:style w:type="character" w:styleId="938" w:customStyle="1">
    <w:name w:val="页眉 字符"/>
    <w:link w:val="937"/>
    <w:uiPriority w:val="99"/>
    <w:qFormat/>
    <w:rPr>
      <w:rFonts w:eastAsia="楷体_GB2312"/>
      <w:sz w:val="18"/>
    </w:rPr>
  </w:style>
  <w:style w:type="paragraph" w:styleId="939" w:customStyle="1">
    <w:name w:val="签名1"/>
    <w:basedOn w:val="846"/>
    <w:uiPriority w:val="0"/>
    <w:qFormat/>
    <w:pPr>
      <w:jc w:val="center"/>
      <w:spacing w:after="600" w:line="312" w:lineRule="atLeast"/>
    </w:pPr>
    <w:rPr>
      <w:rFonts w:eastAsia="仿宋_GB2312"/>
      <w:sz w:val="24"/>
    </w:rPr>
  </w:style>
  <w:style w:type="paragraph" w:styleId="940" w:customStyle="1">
    <w:name w:val="目录 11"/>
    <w:basedOn w:val="846"/>
    <w:next w:val="846"/>
    <w:uiPriority w:val="0"/>
    <w:qFormat/>
    <w:pPr>
      <w:jc w:val="left"/>
    </w:pPr>
    <w:rPr>
      <w:sz w:val="24"/>
    </w:rPr>
  </w:style>
  <w:style w:type="paragraph" w:styleId="941" w:customStyle="1">
    <w:name w:val="目录 41"/>
    <w:basedOn w:val="846"/>
    <w:next w:val="846"/>
    <w:uiPriority w:val="0"/>
    <w:qFormat/>
    <w:pPr>
      <w:ind w:left="1260"/>
    </w:pPr>
  </w:style>
  <w:style w:type="paragraph" w:styleId="942" w:customStyle="1">
    <w:name w:val="索引标题1"/>
    <w:basedOn w:val="846"/>
    <w:next w:val="943"/>
    <w:uiPriority w:val="0"/>
    <w:qFormat/>
  </w:style>
  <w:style w:type="paragraph" w:styleId="943" w:customStyle="1">
    <w:name w:val="索引 11"/>
    <w:basedOn w:val="846"/>
    <w:next w:val="846"/>
    <w:uiPriority w:val="0"/>
    <w:qFormat/>
  </w:style>
  <w:style w:type="paragraph" w:styleId="944" w:customStyle="1">
    <w:name w:val="副标题1"/>
    <w:basedOn w:val="846"/>
    <w:next w:val="846"/>
    <w:link w:val="945"/>
    <w:uiPriority w:val="11"/>
    <w:qFormat/>
    <w:pPr>
      <w:spacing w:before="200" w:after="200"/>
    </w:pPr>
    <w:rPr>
      <w:rFonts w:eastAsia="宋体"/>
      <w:sz w:val="24"/>
      <w:szCs w:val="24"/>
    </w:rPr>
  </w:style>
  <w:style w:type="character" w:styleId="945" w:customStyle="1">
    <w:name w:val="副标题 字符"/>
    <w:link w:val="944"/>
    <w:uiPriority w:val="11"/>
    <w:qFormat/>
    <w:rPr>
      <w:sz w:val="24"/>
      <w:szCs w:val="24"/>
    </w:rPr>
  </w:style>
  <w:style w:type="paragraph" w:styleId="946" w:customStyle="1">
    <w:name w:val="脚注文本1"/>
    <w:basedOn w:val="846"/>
    <w:link w:val="947"/>
    <w:uiPriority w:val="99"/>
    <w:qFormat/>
    <w:pPr>
      <w:jc w:val="left"/>
    </w:pPr>
    <w:rPr>
      <w:rFonts w:eastAsia="宋体"/>
      <w:sz w:val="18"/>
    </w:rPr>
  </w:style>
  <w:style w:type="character" w:styleId="947" w:customStyle="1">
    <w:name w:val="脚注文本 字符"/>
    <w:link w:val="946"/>
    <w:uiPriority w:val="99"/>
    <w:qFormat/>
    <w:rPr>
      <w:sz w:val="18"/>
    </w:rPr>
  </w:style>
  <w:style w:type="paragraph" w:styleId="948" w:customStyle="1">
    <w:name w:val="目录 61"/>
    <w:basedOn w:val="846"/>
    <w:next w:val="846"/>
    <w:uiPriority w:val="0"/>
    <w:qFormat/>
    <w:pPr>
      <w:ind w:left="2100"/>
    </w:pPr>
  </w:style>
  <w:style w:type="paragraph" w:styleId="949" w:customStyle="1">
    <w:name w:val="正文文本缩进 31"/>
    <w:basedOn w:val="846"/>
    <w:uiPriority w:val="0"/>
    <w:qFormat/>
    <w:pPr>
      <w:ind w:firstLine="617"/>
      <w:spacing w:line="360" w:lineRule="auto"/>
    </w:pPr>
    <w:rPr>
      <w:rFonts w:eastAsia="宋体"/>
      <w:sz w:val="24"/>
      <w:szCs w:val="24"/>
    </w:rPr>
  </w:style>
  <w:style w:type="paragraph" w:styleId="950" w:customStyle="1">
    <w:name w:val="索引 71"/>
    <w:basedOn w:val="846"/>
    <w:next w:val="846"/>
    <w:uiPriority w:val="0"/>
    <w:qFormat/>
    <w:pPr>
      <w:ind w:left="2520"/>
    </w:pPr>
  </w:style>
  <w:style w:type="paragraph" w:styleId="951" w:customStyle="1">
    <w:name w:val="索引 91"/>
    <w:basedOn w:val="846"/>
    <w:next w:val="846"/>
    <w:uiPriority w:val="0"/>
    <w:qFormat/>
    <w:pPr>
      <w:ind w:left="3360"/>
    </w:pPr>
  </w:style>
  <w:style w:type="paragraph" w:styleId="952" w:customStyle="1">
    <w:name w:val="图表目录1"/>
    <w:basedOn w:val="846"/>
    <w:next w:val="846"/>
    <w:uiPriority w:val="0"/>
    <w:qFormat/>
    <w:pPr>
      <w:ind w:left="420" w:hanging="420"/>
      <w:jc w:val="left"/>
    </w:pPr>
    <w:rPr>
      <w:smallCaps/>
      <w:sz w:val="24"/>
    </w:rPr>
  </w:style>
  <w:style w:type="paragraph" w:styleId="953" w:customStyle="1">
    <w:name w:val="目录 21"/>
    <w:basedOn w:val="846"/>
    <w:next w:val="846"/>
    <w:uiPriority w:val="0"/>
    <w:qFormat/>
    <w:pPr>
      <w:ind w:left="420"/>
    </w:pPr>
  </w:style>
  <w:style w:type="paragraph" w:styleId="954" w:customStyle="1">
    <w:name w:val="目录 91"/>
    <w:basedOn w:val="846"/>
    <w:next w:val="846"/>
    <w:uiPriority w:val="0"/>
    <w:qFormat/>
    <w:pPr>
      <w:ind w:left="3360"/>
    </w:pPr>
  </w:style>
  <w:style w:type="paragraph" w:styleId="955" w:customStyle="1">
    <w:name w:val="HTML 预设格式1"/>
    <w:basedOn w:val="8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6" w:customStyle="1">
    <w:name w:val="普通(网站)1"/>
    <w:basedOn w:val="846"/>
    <w:link w:val="957"/>
    <w:uiPriority w:val="0"/>
    <w:qFormat/>
    <w:rPr>
      <w:sz w:val="24"/>
      <w:szCs w:val="24"/>
    </w:rPr>
  </w:style>
  <w:style w:type="character" w:styleId="957" w:customStyle="1">
    <w:name w:val="普通(网站) 字符"/>
    <w:link w:val="956"/>
    <w:uiPriority w:val="0"/>
    <w:qFormat/>
    <w:rPr>
      <w:rFonts w:eastAsia="楷体_GB2312"/>
      <w:sz w:val="24"/>
      <w:szCs w:val="24"/>
    </w:rPr>
  </w:style>
  <w:style w:type="paragraph" w:styleId="958" w:customStyle="1">
    <w:name w:val="索引 21"/>
    <w:basedOn w:val="846"/>
    <w:next w:val="846"/>
    <w:uiPriority w:val="0"/>
    <w:qFormat/>
    <w:pPr>
      <w:ind w:left="420"/>
    </w:pPr>
  </w:style>
  <w:style w:type="paragraph" w:styleId="959" w:customStyle="1">
    <w:name w:val="标题1"/>
    <w:basedOn w:val="846"/>
    <w:next w:val="846"/>
    <w:link w:val="960"/>
    <w:uiPriority w:val="10"/>
    <w:qFormat/>
    <w:pPr>
      <w:contextualSpacing/>
      <w:spacing w:before="300" w:after="200"/>
    </w:pPr>
    <w:rPr>
      <w:rFonts w:eastAsia="宋体"/>
      <w:sz w:val="48"/>
      <w:szCs w:val="48"/>
    </w:rPr>
  </w:style>
  <w:style w:type="character" w:styleId="960" w:customStyle="1">
    <w:name w:val="标题 字符"/>
    <w:link w:val="959"/>
    <w:uiPriority w:val="10"/>
    <w:qFormat/>
    <w:rPr>
      <w:sz w:val="48"/>
      <w:szCs w:val="48"/>
    </w:rPr>
  </w:style>
  <w:style w:type="paragraph" w:styleId="961" w:customStyle="1">
    <w:name w:val="批注主题1"/>
    <w:basedOn w:val="911"/>
    <w:next w:val="911"/>
    <w:uiPriority w:val="0"/>
    <w:qFormat/>
    <w:rPr>
      <w:b/>
      <w:bCs/>
    </w:rPr>
  </w:style>
  <w:style w:type="paragraph" w:styleId="962" w:customStyle="1">
    <w:name w:val="正文首行缩进11"/>
    <w:basedOn w:val="914"/>
    <w:link w:val="963"/>
    <w:uiPriority w:val="0"/>
    <w:qFormat/>
    <w:pPr>
      <w:ind w:firstLine="420"/>
      <w:spacing w:after="120" w:line="240" w:lineRule="auto"/>
    </w:pPr>
    <w:rPr>
      <w:rFonts w:ascii="Calibri"/>
      <w:sz w:val="26"/>
    </w:rPr>
  </w:style>
  <w:style w:type="character" w:styleId="963" w:customStyle="1">
    <w:name w:val="正文文本首行缩进 字符1"/>
    <w:link w:val="962"/>
    <w:uiPriority w:val="0"/>
    <w:qFormat/>
  </w:style>
  <w:style w:type="paragraph" w:styleId="964" w:customStyle="1">
    <w:name w:val="正文首行缩进 211"/>
    <w:basedOn w:val="917"/>
    <w:link w:val="965"/>
    <w:uiPriority w:val="0"/>
    <w:unhideWhenUsed/>
    <w:qFormat/>
    <w:pPr>
      <w:ind w:left="0"/>
      <w:jc w:val="center"/>
      <w:spacing w:line="360" w:lineRule="auto"/>
    </w:pPr>
    <w:rPr>
      <w:rFonts w:ascii="Times New Roman" w:eastAsia="宋体" w:cs="宋体"/>
      <w:b/>
      <w:color w:val="000000"/>
      <w:sz w:val="48"/>
      <w:szCs w:val="48"/>
    </w:rPr>
  </w:style>
  <w:style w:type="character" w:styleId="965" w:customStyle="1">
    <w:name w:val="正文文本首行缩进 2 字符"/>
    <w:link w:val="964"/>
    <w:uiPriority w:val="0"/>
    <w:qFormat/>
    <w:rPr>
      <w:rFonts w:cs="宋体"/>
      <w:b/>
      <w:color w:val="000000"/>
      <w:sz w:val="48"/>
      <w:szCs w:val="48"/>
    </w:rPr>
  </w:style>
  <w:style w:type="table" w:styleId="966" w:customStyle="1">
    <w:name w:val="网格型11"/>
    <w:basedOn w:val="898"/>
    <w:uiPriority w:val="0"/>
    <w:qFormat/>
    <w:pPr>
      <w:jc w:val="both"/>
      <w:widowControl w:val="off"/>
    </w:pPr>
    <w:tblPr/>
  </w:style>
  <w:style w:type="character" w:styleId="967" w:customStyle="1">
    <w:name w:val="要点1"/>
    <w:link w:val="846"/>
    <w:uiPriority w:val="22"/>
    <w:qFormat/>
    <w:rPr>
      <w:b/>
    </w:rPr>
  </w:style>
  <w:style w:type="character" w:styleId="968" w:customStyle="1">
    <w:name w:val="尾注引用1"/>
    <w:link w:val="846"/>
    <w:uiPriority w:val="99"/>
    <w:unhideWhenUsed/>
    <w:qFormat/>
    <w:rPr>
      <w:vertAlign w:val="superscript"/>
    </w:rPr>
  </w:style>
  <w:style w:type="character" w:styleId="969" w:customStyle="1">
    <w:name w:val="页码1"/>
    <w:link w:val="846"/>
    <w:uiPriority w:val="0"/>
    <w:qFormat/>
  </w:style>
  <w:style w:type="character" w:styleId="970" w:customStyle="1">
    <w:name w:val="已访问的超链接1"/>
    <w:link w:val="846"/>
    <w:uiPriority w:val="99"/>
    <w:qFormat/>
    <w:rPr>
      <w:color w:val="333333"/>
      <w:u w:val="none"/>
    </w:rPr>
  </w:style>
  <w:style w:type="character" w:styleId="971" w:customStyle="1">
    <w:name w:val="强调1"/>
    <w:link w:val="846"/>
    <w:uiPriority w:val="0"/>
    <w:qFormat/>
    <w:rPr>
      <w:i/>
      <w:iCs/>
    </w:rPr>
  </w:style>
  <w:style w:type="character" w:styleId="972" w:customStyle="1">
    <w:name w:val="行号1"/>
    <w:link w:val="846"/>
    <w:uiPriority w:val="0"/>
    <w:qFormat/>
  </w:style>
  <w:style w:type="character" w:styleId="973" w:customStyle="1">
    <w:name w:val="HTML 定义1"/>
    <w:link w:val="846"/>
    <w:uiPriority w:val="0"/>
    <w:qFormat/>
    <w:rPr>
      <w:i/>
    </w:rPr>
  </w:style>
  <w:style w:type="character" w:styleId="974" w:customStyle="1">
    <w:name w:val="超链接1"/>
    <w:link w:val="846"/>
    <w:uiPriority w:val="99"/>
    <w:qFormat/>
    <w:rPr>
      <w:color w:val="333333"/>
      <w:u w:val="none"/>
    </w:rPr>
  </w:style>
  <w:style w:type="character" w:styleId="975" w:customStyle="1">
    <w:name w:val="HTML 代码1"/>
    <w:link w:val="846"/>
    <w:uiPriority w:val="0"/>
    <w:qFormat/>
    <w:rPr>
      <w:rFonts w:ascii="Menlo" w:hAnsi="Menlo" w:eastAsia="Menlo" w:cs="Menlo"/>
      <w:color w:val="c7254e"/>
      <w:sz w:val="21"/>
      <w:szCs w:val="21"/>
      <w:shd w:val="clear" w:color="auto" w:fill="f9f2f4"/>
    </w:rPr>
  </w:style>
  <w:style w:type="character" w:styleId="976" w:customStyle="1">
    <w:name w:val="批注引用1"/>
    <w:link w:val="846"/>
    <w:uiPriority w:val="0"/>
    <w:qFormat/>
    <w:rPr>
      <w:sz w:val="21"/>
      <w:szCs w:val="21"/>
    </w:rPr>
  </w:style>
  <w:style w:type="character" w:styleId="977" w:customStyle="1">
    <w:name w:val="HTML 引文1"/>
    <w:link w:val="846"/>
    <w:uiPriority w:val="0"/>
    <w:qFormat/>
  </w:style>
  <w:style w:type="character" w:styleId="978" w:customStyle="1">
    <w:name w:val="脚注引用1"/>
    <w:link w:val="846"/>
    <w:uiPriority w:val="0"/>
    <w:qFormat/>
    <w:rPr>
      <w:vertAlign w:val="superscript"/>
    </w:rPr>
  </w:style>
  <w:style w:type="character" w:styleId="979" w:customStyle="1">
    <w:name w:val="HTML 键盘1"/>
    <w:link w:val="846"/>
    <w:uiPriority w:val="0"/>
    <w:qFormat/>
    <w:rPr>
      <w:rFonts w:ascii="Menlo" w:hAnsi="Menlo" w:eastAsia="Menlo" w:cs="Menlo"/>
      <w:sz w:val="21"/>
      <w:szCs w:val="21"/>
    </w:rPr>
  </w:style>
  <w:style w:type="character" w:styleId="980" w:customStyle="1">
    <w:name w:val="HTML 样本1"/>
    <w:link w:val="846"/>
    <w:uiPriority w:val="0"/>
    <w:qFormat/>
    <w:rPr>
      <w:rFonts w:ascii="Menlo" w:hAnsi="Menlo" w:eastAsia="Menlo" w:cs="Menlo"/>
      <w:sz w:val="21"/>
      <w:szCs w:val="21"/>
    </w:rPr>
  </w:style>
  <w:style w:type="paragraph" w:styleId="981" w:customStyle="1">
    <w:name w:val="正文首行缩进1"/>
    <w:basedOn w:val="982"/>
    <w:uiPriority w:val="0"/>
    <w:qFormat/>
    <w:pPr>
      <w:ind w:firstLine="200"/>
      <w:spacing w:line="360" w:lineRule="auto"/>
    </w:pPr>
    <w:rPr>
      <w:rFonts w:ascii="仿宋_GB2312" w:hAnsi="Times New Roman" w:eastAsia="仿宋_GB2312"/>
      <w:sz w:val="30"/>
      <w:szCs w:val="30"/>
    </w:rPr>
  </w:style>
  <w:style w:type="paragraph" w:styleId="982" w:customStyle="1">
    <w:name w:val="正文文本11"/>
    <w:basedOn w:val="846"/>
    <w:next w:val="846"/>
    <w:uiPriority w:val="0"/>
    <w:qFormat/>
    <w:rPr>
      <w:rFonts w:ascii="楷体_GB2312" w:hAnsi="Arial" w:eastAsia="楷体_GB2312"/>
      <w:sz w:val="28"/>
      <w:szCs w:val="28"/>
    </w:rPr>
  </w:style>
  <w:style w:type="paragraph" w:styleId="983" w:customStyle="1">
    <w:name w:val="正文首行缩进 21"/>
    <w:basedOn w:val="984"/>
    <w:uiPriority w:val="0"/>
    <w:unhideWhenUsed/>
    <w:qFormat/>
    <w:pPr>
      <w:ind w:firstLine="420"/>
    </w:pPr>
  </w:style>
  <w:style w:type="paragraph" w:styleId="984" w:customStyle="1">
    <w:name w:val="正文文本缩进1"/>
    <w:basedOn w:val="846"/>
    <w:next w:val="985"/>
    <w:uiPriority w:val="0"/>
    <w:unhideWhenUsed/>
    <w:qFormat/>
    <w:pPr>
      <w:ind w:left="420"/>
      <w:spacing w:after="120"/>
    </w:pPr>
    <w:rPr>
      <w:lang w:eastAsia="en-US"/>
    </w:rPr>
  </w:style>
  <w:style w:type="paragraph" w:styleId="985" w:customStyle="1">
    <w:name w:val="寄信人地址1"/>
    <w:basedOn w:val="846"/>
    <w:uiPriority w:val="99"/>
    <w:unhideWhenUsed/>
    <w:qFormat/>
    <w:rPr>
      <w:rFonts w:ascii="Arial" w:hAnsi="Arial"/>
    </w:rPr>
  </w:style>
  <w:style w:type="table" w:styleId="986" w:customStyle="1">
    <w:name w:val="Plain Table 1"/>
    <w:basedOn w:val="898"/>
    <w:uiPriority w:val="59"/>
    <w:qFormat/>
    <w:pPr>
      <w:spacing w:after="0" w:line="240" w:lineRule="auto"/>
    </w:pPr>
    <w:tblPr/>
  </w:style>
  <w:style w:type="table" w:styleId="987" w:customStyle="1">
    <w:name w:val="Plain Table 2"/>
    <w:basedOn w:val="898"/>
    <w:uiPriority w:val="59"/>
    <w:qFormat/>
    <w:pPr>
      <w:spacing w:after="0" w:line="240" w:lineRule="auto"/>
    </w:pPr>
    <w:tblPr/>
  </w:style>
  <w:style w:type="table" w:styleId="988" w:customStyle="1">
    <w:name w:val="Plain Table 3"/>
    <w:basedOn w:val="898"/>
    <w:uiPriority w:val="99"/>
    <w:qFormat/>
    <w:pPr>
      <w:spacing w:after="0" w:line="240" w:lineRule="auto"/>
    </w:pPr>
    <w:tblPr/>
  </w:style>
  <w:style w:type="table" w:styleId="989" w:customStyle="1">
    <w:name w:val="Plain Table 4"/>
    <w:basedOn w:val="898"/>
    <w:uiPriority w:val="99"/>
    <w:qFormat/>
    <w:pPr>
      <w:spacing w:after="0" w:line="240" w:lineRule="auto"/>
    </w:pPr>
    <w:tblPr/>
  </w:style>
  <w:style w:type="table" w:styleId="990" w:customStyle="1">
    <w:name w:val="Plain Table 5"/>
    <w:basedOn w:val="898"/>
    <w:uiPriority w:val="99"/>
    <w:qFormat/>
    <w:pPr>
      <w:spacing w:after="0" w:line="240" w:lineRule="auto"/>
    </w:pPr>
    <w:tblPr/>
  </w:style>
  <w:style w:type="table" w:styleId="991" w:customStyle="1">
    <w:name w:val="Grid Table 1 Light"/>
    <w:basedOn w:val="898"/>
    <w:uiPriority w:val="99"/>
    <w:qFormat/>
    <w:pPr>
      <w:spacing w:after="0" w:line="240" w:lineRule="auto"/>
    </w:pPr>
    <w:tblPr/>
  </w:style>
  <w:style w:type="table" w:styleId="992" w:customStyle="1">
    <w:name w:val="Grid Table 2"/>
    <w:basedOn w:val="898"/>
    <w:uiPriority w:val="99"/>
    <w:qFormat/>
    <w:pPr>
      <w:spacing w:after="0" w:line="240" w:lineRule="auto"/>
    </w:pPr>
    <w:tblPr/>
  </w:style>
  <w:style w:type="table" w:styleId="993" w:customStyle="1">
    <w:name w:val="Grid Table 3"/>
    <w:basedOn w:val="898"/>
    <w:uiPriority w:val="99"/>
    <w:qFormat/>
    <w:pPr>
      <w:spacing w:after="0" w:line="240" w:lineRule="auto"/>
    </w:pPr>
    <w:tblPr/>
  </w:style>
  <w:style w:type="table" w:styleId="994" w:customStyle="1">
    <w:name w:val="Grid Table 4"/>
    <w:basedOn w:val="898"/>
    <w:uiPriority w:val="59"/>
    <w:qFormat/>
    <w:pPr>
      <w:spacing w:after="0" w:line="240" w:lineRule="auto"/>
    </w:pPr>
    <w:tblPr/>
  </w:style>
  <w:style w:type="table" w:styleId="995" w:customStyle="1">
    <w:name w:val="Grid Table 5 Dark"/>
    <w:basedOn w:val="898"/>
    <w:uiPriority w:val="99"/>
    <w:qFormat/>
    <w:pPr>
      <w:spacing w:after="0" w:line="240" w:lineRule="auto"/>
    </w:pPr>
    <w:tblPr/>
  </w:style>
  <w:style w:type="table" w:styleId="996" w:customStyle="1">
    <w:name w:val="Grid Table 6 Colorful"/>
    <w:basedOn w:val="898"/>
    <w:uiPriority w:val="99"/>
    <w:qFormat/>
    <w:pPr>
      <w:spacing w:after="0" w:line="240" w:lineRule="auto"/>
    </w:pPr>
    <w:tblPr/>
  </w:style>
  <w:style w:type="table" w:styleId="997" w:customStyle="1">
    <w:name w:val="Grid Table 7 Colorful"/>
    <w:basedOn w:val="898"/>
    <w:uiPriority w:val="99"/>
    <w:qFormat/>
    <w:pPr>
      <w:spacing w:after="0" w:line="240" w:lineRule="auto"/>
    </w:pPr>
    <w:tblPr/>
  </w:style>
  <w:style w:type="table" w:styleId="998" w:customStyle="1">
    <w:name w:val="List Table 1 Light"/>
    <w:basedOn w:val="898"/>
    <w:uiPriority w:val="99"/>
    <w:qFormat/>
    <w:pPr>
      <w:spacing w:after="0" w:line="240" w:lineRule="auto"/>
    </w:pPr>
    <w:tblPr/>
  </w:style>
  <w:style w:type="table" w:styleId="999" w:customStyle="1">
    <w:name w:val="List Table 2"/>
    <w:basedOn w:val="898"/>
    <w:uiPriority w:val="99"/>
    <w:qFormat/>
    <w:pPr>
      <w:spacing w:after="0" w:line="240" w:lineRule="auto"/>
    </w:pPr>
    <w:tblPr/>
  </w:style>
  <w:style w:type="table" w:styleId="1000" w:customStyle="1">
    <w:name w:val="List Table 3"/>
    <w:basedOn w:val="898"/>
    <w:uiPriority w:val="99"/>
    <w:qFormat/>
    <w:pPr>
      <w:spacing w:after="0" w:line="240" w:lineRule="auto"/>
    </w:pPr>
    <w:tblPr/>
  </w:style>
  <w:style w:type="table" w:styleId="1001" w:customStyle="1">
    <w:name w:val="List Table 4"/>
    <w:basedOn w:val="898"/>
    <w:uiPriority w:val="99"/>
    <w:qFormat/>
    <w:pPr>
      <w:spacing w:after="0" w:line="240" w:lineRule="auto"/>
    </w:pPr>
    <w:tblPr/>
  </w:style>
  <w:style w:type="table" w:styleId="1002" w:customStyle="1">
    <w:name w:val="List Table 5 Dark"/>
    <w:basedOn w:val="898"/>
    <w:uiPriority w:val="99"/>
    <w:qFormat/>
    <w:pPr>
      <w:spacing w:after="0" w:line="240" w:lineRule="auto"/>
    </w:pPr>
    <w:tblPr/>
  </w:style>
  <w:style w:type="table" w:styleId="1003" w:customStyle="1">
    <w:name w:val="List Table 6 Colorful"/>
    <w:basedOn w:val="898"/>
    <w:uiPriority w:val="99"/>
    <w:qFormat/>
    <w:pPr>
      <w:spacing w:after="0" w:line="240" w:lineRule="auto"/>
    </w:pPr>
    <w:tblPr/>
  </w:style>
  <w:style w:type="table" w:styleId="1004" w:customStyle="1">
    <w:name w:val="List Table 7 Colorful"/>
    <w:basedOn w:val="898"/>
    <w:uiPriority w:val="99"/>
    <w:qFormat/>
    <w:pPr>
      <w:spacing w:after="0" w:line="240" w:lineRule="auto"/>
    </w:pPr>
    <w:tblPr/>
  </w:style>
  <w:style w:type="paragraph" w:styleId="1005" w:customStyle="1">
    <w:name w:val="TOC Heading"/>
    <w:uiPriority w:val="39"/>
    <w:unhideWhenUsed/>
    <w:qFormat/>
    <w:rPr>
      <w:rFonts w:hint="default" w:ascii="Times New Roman" w:hAnsi="Times New Roman" w:eastAsia="宋体" w:cs="Times New Roman"/>
    </w:rPr>
  </w:style>
  <w:style w:type="character" w:styleId="1006" w:customStyle="1">
    <w:name w:val="Title Char"/>
    <w:basedOn w:val="897"/>
    <w:link w:val="846"/>
    <w:uiPriority w:val="10"/>
    <w:qFormat/>
    <w:rPr>
      <w:sz w:val="48"/>
      <w:szCs w:val="48"/>
    </w:rPr>
  </w:style>
  <w:style w:type="character" w:styleId="1007" w:customStyle="1">
    <w:name w:val="Subtitle Char"/>
    <w:basedOn w:val="897"/>
    <w:link w:val="846"/>
    <w:uiPriority w:val="11"/>
    <w:qFormat/>
    <w:rPr>
      <w:sz w:val="24"/>
      <w:szCs w:val="24"/>
    </w:rPr>
  </w:style>
  <w:style w:type="character" w:styleId="1008" w:customStyle="1">
    <w:name w:val="Quote Char"/>
    <w:link w:val="846"/>
    <w:uiPriority w:val="29"/>
    <w:qFormat/>
    <w:rPr>
      <w:i/>
    </w:rPr>
  </w:style>
  <w:style w:type="character" w:styleId="1009" w:customStyle="1">
    <w:name w:val="Intense Quote Char"/>
    <w:link w:val="846"/>
    <w:uiPriority w:val="30"/>
    <w:qFormat/>
    <w:rPr>
      <w:i/>
    </w:rPr>
  </w:style>
  <w:style w:type="character" w:styleId="1010" w:customStyle="1">
    <w:name w:val="Footnote Text Char"/>
    <w:link w:val="846"/>
    <w:uiPriority w:val="99"/>
    <w:qFormat/>
    <w:rPr>
      <w:sz w:val="18"/>
    </w:rPr>
  </w:style>
  <w:style w:type="character" w:styleId="1011" w:customStyle="1">
    <w:name w:val="Endnote Text Char"/>
    <w:link w:val="846"/>
    <w:uiPriority w:val="99"/>
    <w:qFormat/>
    <w:rPr>
      <w:sz w:val="20"/>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paragraph" w:styleId="1013" w:customStyle="1">
    <w:name w:val="标题 11"/>
    <w:basedOn w:val="846"/>
    <w:next w:val="846"/>
    <w:link w:val="1014"/>
    <w:uiPriority w:val="9"/>
    <w:qFormat/>
    <w:pPr>
      <w:keepLines/>
      <w:keepNext/>
      <w:spacing w:before="480" w:after="200"/>
      <w:outlineLvl w:val="0"/>
    </w:pPr>
    <w:rPr>
      <w:rFonts w:ascii="Arial" w:hAnsi="Arial" w:eastAsia="Arial"/>
      <w:sz w:val="40"/>
      <w:szCs w:val="40"/>
    </w:rPr>
  </w:style>
  <w:style w:type="character" w:styleId="1014" w:customStyle="1">
    <w:name w:val="Heading 1 Char"/>
    <w:link w:val="1013"/>
    <w:uiPriority w:val="9"/>
    <w:qFormat/>
    <w:rPr>
      <w:rFonts w:ascii="Arial" w:hAnsi="Arial" w:eastAsia="Arial" w:cs="Arial"/>
      <w:sz w:val="40"/>
      <w:szCs w:val="40"/>
    </w:rPr>
  </w:style>
  <w:style w:type="paragraph" w:styleId="1015" w:customStyle="1">
    <w:name w:val="标题 21"/>
    <w:basedOn w:val="846"/>
    <w:next w:val="846"/>
    <w:link w:val="1016"/>
    <w:uiPriority w:val="9"/>
    <w:unhideWhenUsed/>
    <w:qFormat/>
    <w:pPr>
      <w:keepLines/>
      <w:keepNext/>
      <w:spacing w:before="360" w:after="200"/>
      <w:outlineLvl w:val="1"/>
    </w:pPr>
    <w:rPr>
      <w:rFonts w:ascii="Arial" w:hAnsi="Arial" w:eastAsia="Arial"/>
      <w:sz w:val="34"/>
    </w:rPr>
  </w:style>
  <w:style w:type="character" w:styleId="1016" w:customStyle="1">
    <w:name w:val="Heading 2 Char"/>
    <w:link w:val="1015"/>
    <w:uiPriority w:val="9"/>
    <w:qFormat/>
    <w:rPr>
      <w:rFonts w:ascii="Arial" w:hAnsi="Arial" w:eastAsia="Arial" w:cs="Arial"/>
      <w:sz w:val="34"/>
    </w:rPr>
  </w:style>
  <w:style w:type="paragraph" w:styleId="1017" w:customStyle="1">
    <w:name w:val="标题 31"/>
    <w:basedOn w:val="846"/>
    <w:next w:val="846"/>
    <w:link w:val="1018"/>
    <w:uiPriority w:val="9"/>
    <w:unhideWhenUsed/>
    <w:qFormat/>
    <w:pPr>
      <w:keepLines/>
      <w:keepNext/>
      <w:spacing w:before="320" w:after="200"/>
      <w:outlineLvl w:val="2"/>
    </w:pPr>
    <w:rPr>
      <w:rFonts w:ascii="Arial" w:hAnsi="Arial" w:eastAsia="Arial"/>
      <w:sz w:val="30"/>
      <w:szCs w:val="30"/>
    </w:rPr>
  </w:style>
  <w:style w:type="character" w:styleId="1018" w:customStyle="1">
    <w:name w:val="Heading 3 Char"/>
    <w:link w:val="1017"/>
    <w:uiPriority w:val="9"/>
    <w:qFormat/>
    <w:rPr>
      <w:rFonts w:ascii="Arial" w:hAnsi="Arial" w:eastAsia="Arial" w:cs="Arial"/>
      <w:sz w:val="30"/>
      <w:szCs w:val="30"/>
    </w:rPr>
  </w:style>
  <w:style w:type="paragraph" w:styleId="1019" w:customStyle="1">
    <w:name w:val="标题 41"/>
    <w:basedOn w:val="846"/>
    <w:next w:val="846"/>
    <w:link w:val="1020"/>
    <w:uiPriority w:val="9"/>
    <w:unhideWhenUsed/>
    <w:qFormat/>
    <w:pPr>
      <w:keepLines/>
      <w:keepNext/>
      <w:spacing w:before="320" w:after="200"/>
      <w:outlineLvl w:val="3"/>
    </w:pPr>
    <w:rPr>
      <w:rFonts w:ascii="Arial" w:hAnsi="Arial" w:eastAsia="Arial"/>
      <w:b/>
      <w:bCs/>
      <w:szCs w:val="26"/>
    </w:rPr>
  </w:style>
  <w:style w:type="character" w:styleId="1020" w:customStyle="1">
    <w:name w:val="Heading 4 Char"/>
    <w:link w:val="1019"/>
    <w:uiPriority w:val="9"/>
    <w:qFormat/>
    <w:rPr>
      <w:rFonts w:ascii="Arial" w:hAnsi="Arial" w:eastAsia="Arial" w:cs="Arial"/>
      <w:b/>
      <w:bCs/>
      <w:sz w:val="26"/>
      <w:szCs w:val="26"/>
    </w:rPr>
  </w:style>
  <w:style w:type="paragraph" w:styleId="1021" w:customStyle="1">
    <w:name w:val="标题 51"/>
    <w:basedOn w:val="846"/>
    <w:next w:val="846"/>
    <w:link w:val="1022"/>
    <w:uiPriority w:val="9"/>
    <w:unhideWhenUsed/>
    <w:qFormat/>
    <w:pPr>
      <w:keepLines/>
      <w:keepNext/>
      <w:spacing w:before="320" w:after="200"/>
      <w:outlineLvl w:val="4"/>
    </w:pPr>
    <w:rPr>
      <w:rFonts w:ascii="Arial" w:hAnsi="Arial" w:eastAsia="Arial"/>
      <w:b/>
      <w:bCs/>
      <w:sz w:val="24"/>
      <w:szCs w:val="24"/>
    </w:rPr>
  </w:style>
  <w:style w:type="character" w:styleId="1022" w:customStyle="1">
    <w:name w:val="Heading 5 Char"/>
    <w:link w:val="1021"/>
    <w:uiPriority w:val="9"/>
    <w:qFormat/>
    <w:rPr>
      <w:rFonts w:ascii="Arial" w:hAnsi="Arial" w:eastAsia="Arial" w:cs="Arial"/>
      <w:b/>
      <w:bCs/>
      <w:sz w:val="24"/>
      <w:szCs w:val="24"/>
    </w:rPr>
  </w:style>
  <w:style w:type="paragraph" w:styleId="1023" w:customStyle="1">
    <w:name w:val="标题 61"/>
    <w:basedOn w:val="846"/>
    <w:next w:val="846"/>
    <w:link w:val="1024"/>
    <w:uiPriority w:val="9"/>
    <w:unhideWhenUsed/>
    <w:qFormat/>
    <w:pPr>
      <w:keepLines/>
      <w:keepNext/>
      <w:spacing w:before="320" w:after="200"/>
      <w:outlineLvl w:val="5"/>
    </w:pPr>
    <w:rPr>
      <w:rFonts w:ascii="Arial" w:hAnsi="Arial" w:eastAsia="Arial"/>
      <w:b/>
      <w:bCs/>
      <w:sz w:val="22"/>
      <w:szCs w:val="22"/>
    </w:rPr>
  </w:style>
  <w:style w:type="character" w:styleId="1024" w:customStyle="1">
    <w:name w:val="Heading 6 Char"/>
    <w:link w:val="1023"/>
    <w:uiPriority w:val="9"/>
    <w:qFormat/>
    <w:rPr>
      <w:rFonts w:ascii="Arial" w:hAnsi="Arial" w:eastAsia="Arial" w:cs="Arial"/>
      <w:b/>
      <w:bCs/>
      <w:sz w:val="22"/>
      <w:szCs w:val="22"/>
    </w:rPr>
  </w:style>
  <w:style w:type="paragraph" w:styleId="1025" w:customStyle="1">
    <w:name w:val="标题 71"/>
    <w:basedOn w:val="846"/>
    <w:next w:val="846"/>
    <w:link w:val="1026"/>
    <w:uiPriority w:val="9"/>
    <w:unhideWhenUsed/>
    <w:qFormat/>
    <w:pPr>
      <w:keepLines/>
      <w:keepNext/>
      <w:spacing w:before="320" w:after="200"/>
      <w:outlineLvl w:val="6"/>
    </w:pPr>
    <w:rPr>
      <w:rFonts w:ascii="Arial" w:hAnsi="Arial" w:eastAsia="Arial"/>
      <w:b/>
      <w:bCs/>
      <w:i/>
      <w:iCs/>
      <w:sz w:val="22"/>
      <w:szCs w:val="22"/>
    </w:rPr>
  </w:style>
  <w:style w:type="character" w:styleId="1026" w:customStyle="1">
    <w:name w:val="Heading 7 Char"/>
    <w:link w:val="1025"/>
    <w:uiPriority w:val="9"/>
    <w:qFormat/>
    <w:rPr>
      <w:rFonts w:ascii="Arial" w:hAnsi="Arial" w:eastAsia="Arial" w:cs="Arial"/>
      <w:b/>
      <w:bCs/>
      <w:i/>
      <w:iCs/>
      <w:sz w:val="22"/>
      <w:szCs w:val="22"/>
    </w:rPr>
  </w:style>
  <w:style w:type="paragraph" w:styleId="1027" w:customStyle="1">
    <w:name w:val="标题 81"/>
    <w:basedOn w:val="846"/>
    <w:next w:val="846"/>
    <w:link w:val="1028"/>
    <w:uiPriority w:val="9"/>
    <w:unhideWhenUsed/>
    <w:qFormat/>
    <w:pPr>
      <w:keepLines/>
      <w:keepNext/>
      <w:spacing w:before="320" w:after="200"/>
      <w:outlineLvl w:val="7"/>
    </w:pPr>
    <w:rPr>
      <w:rFonts w:ascii="Arial" w:hAnsi="Arial" w:eastAsia="Arial"/>
      <w:i/>
      <w:iCs/>
      <w:sz w:val="22"/>
      <w:szCs w:val="22"/>
    </w:rPr>
  </w:style>
  <w:style w:type="character" w:styleId="1028" w:customStyle="1">
    <w:name w:val="Heading 8 Char"/>
    <w:link w:val="1027"/>
    <w:uiPriority w:val="9"/>
    <w:qFormat/>
    <w:rPr>
      <w:rFonts w:ascii="Arial" w:hAnsi="Arial" w:eastAsia="Arial" w:cs="Arial"/>
      <w:i/>
      <w:iCs/>
      <w:sz w:val="22"/>
      <w:szCs w:val="22"/>
    </w:rPr>
  </w:style>
  <w:style w:type="paragraph" w:styleId="1029" w:customStyle="1">
    <w:name w:val="标题 91"/>
    <w:basedOn w:val="846"/>
    <w:next w:val="846"/>
    <w:link w:val="1030"/>
    <w:uiPriority w:val="9"/>
    <w:unhideWhenUsed/>
    <w:qFormat/>
    <w:pPr>
      <w:keepLines/>
      <w:keepNext/>
      <w:spacing w:before="320" w:after="200"/>
      <w:outlineLvl w:val="8"/>
    </w:pPr>
    <w:rPr>
      <w:rFonts w:ascii="Arial" w:hAnsi="Arial" w:eastAsia="Arial"/>
      <w:i/>
      <w:iCs/>
      <w:sz w:val="21"/>
      <w:szCs w:val="21"/>
    </w:rPr>
  </w:style>
  <w:style w:type="character" w:styleId="1030" w:customStyle="1">
    <w:name w:val="Heading 9 Char"/>
    <w:link w:val="1029"/>
    <w:uiPriority w:val="9"/>
    <w:qFormat/>
    <w:rPr>
      <w:rFonts w:ascii="Arial" w:hAnsi="Arial" w:eastAsia="Arial" w:cs="Arial"/>
      <w:i/>
      <w:iCs/>
      <w:sz w:val="21"/>
      <w:szCs w:val="21"/>
    </w:rPr>
  </w:style>
  <w:style w:type="paragraph" w:styleId="1031">
    <w:name w:val="List Paragraph"/>
    <w:basedOn w:val="846"/>
    <w:link w:val="1032"/>
    <w:uiPriority w:val="0"/>
    <w:qFormat/>
    <w:pPr>
      <w:ind w:firstLine="420"/>
    </w:pPr>
    <w:rPr>
      <w:rFonts w:eastAsia="宋体"/>
      <w:sz w:val="21"/>
      <w:szCs w:val="24"/>
    </w:rPr>
  </w:style>
  <w:style w:type="character" w:styleId="1032" w:customStyle="1">
    <w:name w:val="列表段落 字符"/>
    <w:link w:val="1031"/>
    <w:uiPriority w:val="0"/>
    <w:qFormat/>
    <w:rPr>
      <w:sz w:val="21"/>
      <w:szCs w:val="24"/>
    </w:rPr>
  </w:style>
  <w:style w:type="paragraph" w:styleId="1033">
    <w:name w:val="No Spacing"/>
    <w:uiPriority w:val="99"/>
    <w:qFormat/>
    <w:pPr>
      <w:jc w:val="both"/>
      <w:widowControl w:val="off"/>
    </w:pPr>
    <w:rPr>
      <w:rFonts w:hint="default" w:ascii="Times New Roman" w:hAnsi="Times New Roman" w:eastAsia="楷体_GB2312" w:cs="Times New Roman"/>
      <w:sz w:val="26"/>
      <w:lang w:val="en-US" w:eastAsia="zh-CN" w:bidi="ar-SA"/>
    </w:rPr>
  </w:style>
  <w:style w:type="paragraph" w:styleId="1034">
    <w:name w:val="Quote"/>
    <w:basedOn w:val="846"/>
    <w:next w:val="846"/>
    <w:link w:val="1035"/>
    <w:uiPriority w:val="29"/>
    <w:qFormat/>
    <w:pPr>
      <w:ind w:left="720" w:right="720"/>
    </w:pPr>
    <w:rPr>
      <w:rFonts w:eastAsia="宋体"/>
      <w:i/>
      <w:sz w:val="20"/>
    </w:rPr>
  </w:style>
  <w:style w:type="character" w:styleId="1035" w:customStyle="1">
    <w:name w:val="引用 字符"/>
    <w:link w:val="1034"/>
    <w:uiPriority w:val="29"/>
    <w:qFormat/>
    <w:rPr>
      <w:i/>
    </w:rPr>
  </w:style>
  <w:style w:type="paragraph" w:styleId="1036">
    <w:name w:val="Intense Quote"/>
    <w:basedOn w:val="846"/>
    <w:next w:val="846"/>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37" w:customStyle="1">
    <w:name w:val="明显引用 字符"/>
    <w:link w:val="1036"/>
    <w:uiPriority w:val="30"/>
    <w:qFormat/>
    <w:rPr>
      <w:i/>
    </w:rPr>
  </w:style>
  <w:style w:type="paragraph" w:styleId="1038" w:customStyle="1">
    <w:name w:val="页眉1"/>
    <w:basedOn w:val="846"/>
    <w:link w:val="1039"/>
    <w:uiPriority w:val="0"/>
    <w:unhideWhenUsed/>
    <w:qFormat/>
    <w:pPr>
      <w:tabs>
        <w:tab w:val="center" w:pos="7143" w:leader="none"/>
        <w:tab w:val="right" w:pos="14287" w:leader="none"/>
      </w:tabs>
    </w:pPr>
    <w:rPr>
      <w:rFonts w:eastAsia="宋体"/>
      <w:sz w:val="18"/>
    </w:rPr>
  </w:style>
  <w:style w:type="character" w:styleId="1039" w:customStyle="1">
    <w:name w:val="Header Char"/>
    <w:link w:val="1038"/>
    <w:uiPriority w:val="0"/>
    <w:qFormat/>
    <w:rPr>
      <w:sz w:val="18"/>
    </w:rPr>
  </w:style>
  <w:style w:type="paragraph" w:styleId="1040" w:customStyle="1">
    <w:name w:val="页脚1"/>
    <w:basedOn w:val="846"/>
    <w:link w:val="1041"/>
    <w:uiPriority w:val="99"/>
    <w:unhideWhenUsed/>
    <w:qFormat/>
    <w:pPr>
      <w:tabs>
        <w:tab w:val="center" w:pos="7143" w:leader="none"/>
        <w:tab w:val="right" w:pos="14287" w:leader="none"/>
      </w:tabs>
    </w:pPr>
  </w:style>
  <w:style w:type="character" w:styleId="1041" w:customStyle="1">
    <w:name w:val="Caption Char"/>
    <w:link w:val="1040"/>
    <w:uiPriority w:val="99"/>
    <w:qFormat/>
  </w:style>
  <w:style w:type="character" w:styleId="1042" w:customStyle="1">
    <w:name w:val="Footer Char"/>
    <w:link w:val="846"/>
    <w:uiPriority w:val="99"/>
    <w:qFormat/>
  </w:style>
  <w:style w:type="paragraph" w:styleId="1043" w:customStyle="1">
    <w:name w:val="题注1"/>
    <w:basedOn w:val="846"/>
    <w:next w:val="846"/>
    <w:uiPriority w:val="35"/>
    <w:unhideWhenUsed/>
    <w:qFormat/>
    <w:pPr>
      <w:spacing w:line="276" w:lineRule="auto"/>
    </w:pPr>
    <w:rPr>
      <w:b/>
      <w:bCs/>
      <w:color w:val="4f81bd"/>
      <w:sz w:val="18"/>
      <w:szCs w:val="18"/>
    </w:rPr>
  </w:style>
  <w:style w:type="table" w:styleId="1044" w:customStyle="1">
    <w:name w:val="Table Grid Light"/>
    <w:uiPriority w:val="59"/>
    <w:qFormat/>
    <w:tblPr/>
  </w:style>
  <w:style w:type="table" w:styleId="1045" w:customStyle="1">
    <w:name w:val="无格式表格 11"/>
    <w:uiPriority w:val="59"/>
    <w:qFormat/>
    <w:tblPr/>
  </w:style>
  <w:style w:type="table" w:styleId="1046" w:customStyle="1">
    <w:name w:val="无格式表格 21"/>
    <w:uiPriority w:val="59"/>
    <w:qFormat/>
    <w:tblPr/>
  </w:style>
  <w:style w:type="table" w:styleId="1047" w:customStyle="1">
    <w:name w:val="无格式表格 31"/>
    <w:uiPriority w:val="99"/>
    <w:qFormat/>
    <w:tblPr/>
  </w:style>
  <w:style w:type="table" w:styleId="1048" w:customStyle="1">
    <w:name w:val="无格式表格 41"/>
    <w:uiPriority w:val="99"/>
    <w:qFormat/>
    <w:tblPr/>
  </w:style>
  <w:style w:type="table" w:styleId="1049" w:customStyle="1">
    <w:name w:val="无格式表格 51"/>
    <w:uiPriority w:val="99"/>
    <w:qFormat/>
    <w:tblPr/>
  </w:style>
  <w:style w:type="table" w:styleId="1050" w:customStyle="1">
    <w:name w:val="网格表 1 浅色1"/>
    <w:uiPriority w:val="99"/>
    <w:qFormat/>
    <w:tblPr/>
  </w:style>
  <w:style w:type="table" w:styleId="1051" w:customStyle="1">
    <w:name w:val="Grid Table 1 Light - Accent 1"/>
    <w:uiPriority w:val="99"/>
    <w:qFormat/>
    <w:tblPr/>
  </w:style>
  <w:style w:type="table" w:styleId="1052" w:customStyle="1">
    <w:name w:val="Grid Table 1 Light - Accent 2"/>
    <w:uiPriority w:val="99"/>
    <w:qFormat/>
    <w:tblPr/>
  </w:style>
  <w:style w:type="table" w:styleId="1053" w:customStyle="1">
    <w:name w:val="Grid Table 1 Light - Accent 3"/>
    <w:uiPriority w:val="99"/>
    <w:qFormat/>
    <w:tblPr/>
  </w:style>
  <w:style w:type="table" w:styleId="1054" w:customStyle="1">
    <w:name w:val="Grid Table 1 Light - Accent 4"/>
    <w:uiPriority w:val="99"/>
    <w:qFormat/>
    <w:tblPr/>
  </w:style>
  <w:style w:type="table" w:styleId="1055" w:customStyle="1">
    <w:name w:val="Grid Table 1 Light - Accent 5"/>
    <w:uiPriority w:val="99"/>
    <w:qFormat/>
    <w:tblPr/>
  </w:style>
  <w:style w:type="table" w:styleId="1056" w:customStyle="1">
    <w:name w:val="Grid Table 1 Light - Accent 6"/>
    <w:uiPriority w:val="99"/>
    <w:qFormat/>
    <w:tblPr/>
  </w:style>
  <w:style w:type="table" w:styleId="1057" w:customStyle="1">
    <w:name w:val="网格表 21"/>
    <w:uiPriority w:val="99"/>
    <w:qFormat/>
    <w:tblPr/>
  </w:style>
  <w:style w:type="table" w:styleId="1058" w:customStyle="1">
    <w:name w:val="Grid Table 2 - Accent 1"/>
    <w:uiPriority w:val="99"/>
    <w:qFormat/>
    <w:tblPr/>
  </w:style>
  <w:style w:type="table" w:styleId="1059" w:customStyle="1">
    <w:name w:val="Grid Table 2 - Accent 2"/>
    <w:uiPriority w:val="99"/>
    <w:qFormat/>
    <w:tblPr/>
  </w:style>
  <w:style w:type="table" w:styleId="1060" w:customStyle="1">
    <w:name w:val="Grid Table 2 - Accent 3"/>
    <w:uiPriority w:val="99"/>
    <w:qFormat/>
    <w:tblPr/>
  </w:style>
  <w:style w:type="table" w:styleId="1061" w:customStyle="1">
    <w:name w:val="Grid Table 2 - Accent 4"/>
    <w:uiPriority w:val="99"/>
    <w:qFormat/>
    <w:tblPr/>
  </w:style>
  <w:style w:type="table" w:styleId="1062" w:customStyle="1">
    <w:name w:val="Grid Table 2 - Accent 5"/>
    <w:uiPriority w:val="99"/>
    <w:qFormat/>
    <w:tblPr/>
  </w:style>
  <w:style w:type="table" w:styleId="1063" w:customStyle="1">
    <w:name w:val="Grid Table 2 - Accent 6"/>
    <w:uiPriority w:val="99"/>
    <w:qFormat/>
    <w:tblPr/>
  </w:style>
  <w:style w:type="table" w:styleId="1064" w:customStyle="1">
    <w:name w:val="网格表 31"/>
    <w:uiPriority w:val="99"/>
    <w:qFormat/>
    <w:tblPr/>
  </w:style>
  <w:style w:type="table" w:styleId="1065" w:customStyle="1">
    <w:name w:val="Grid Table 3 - Accent 1"/>
    <w:uiPriority w:val="99"/>
    <w:qFormat/>
    <w:tblPr/>
  </w:style>
  <w:style w:type="table" w:styleId="1066" w:customStyle="1">
    <w:name w:val="Grid Table 3 - Accent 2"/>
    <w:uiPriority w:val="99"/>
    <w:qFormat/>
    <w:tblPr/>
  </w:style>
  <w:style w:type="table" w:styleId="1067" w:customStyle="1">
    <w:name w:val="Grid Table 3 - Accent 3"/>
    <w:uiPriority w:val="99"/>
    <w:qFormat/>
    <w:tblPr/>
  </w:style>
  <w:style w:type="table" w:styleId="1068" w:customStyle="1">
    <w:name w:val="Grid Table 3 - Accent 4"/>
    <w:uiPriority w:val="99"/>
    <w:qFormat/>
    <w:tblPr/>
  </w:style>
  <w:style w:type="table" w:styleId="1069" w:customStyle="1">
    <w:name w:val="Grid Table 3 - Accent 5"/>
    <w:uiPriority w:val="99"/>
    <w:qFormat/>
    <w:tblPr/>
  </w:style>
  <w:style w:type="table" w:styleId="1070" w:customStyle="1">
    <w:name w:val="Grid Table 3 - Accent 6"/>
    <w:uiPriority w:val="99"/>
    <w:qFormat/>
    <w:tblPr/>
  </w:style>
  <w:style w:type="table" w:styleId="1071" w:customStyle="1">
    <w:name w:val="网格表 41"/>
    <w:uiPriority w:val="59"/>
    <w:qFormat/>
    <w:tblPr/>
  </w:style>
  <w:style w:type="table" w:styleId="1072" w:customStyle="1">
    <w:name w:val="Grid Table 4 - Accent 1"/>
    <w:uiPriority w:val="59"/>
    <w:qFormat/>
    <w:tblPr/>
  </w:style>
  <w:style w:type="table" w:styleId="1073" w:customStyle="1">
    <w:name w:val="Grid Table 4 - Accent 2"/>
    <w:uiPriority w:val="59"/>
    <w:qFormat/>
    <w:tblPr/>
  </w:style>
  <w:style w:type="table" w:styleId="1074" w:customStyle="1">
    <w:name w:val="Grid Table 4 - Accent 3"/>
    <w:uiPriority w:val="59"/>
    <w:qFormat/>
    <w:tblPr/>
  </w:style>
  <w:style w:type="table" w:styleId="1075" w:customStyle="1">
    <w:name w:val="Grid Table 4 - Accent 4"/>
    <w:uiPriority w:val="59"/>
    <w:qFormat/>
    <w:tblPr/>
  </w:style>
  <w:style w:type="table" w:styleId="1076" w:customStyle="1">
    <w:name w:val="Grid Table 4 - Accent 5"/>
    <w:uiPriority w:val="59"/>
    <w:qFormat/>
    <w:tblPr/>
  </w:style>
  <w:style w:type="table" w:styleId="1077" w:customStyle="1">
    <w:name w:val="Grid Table 4 - Accent 6"/>
    <w:uiPriority w:val="59"/>
    <w:qFormat/>
    <w:tblPr/>
  </w:style>
  <w:style w:type="table" w:styleId="1078" w:customStyle="1">
    <w:name w:val="网格表 5 深色1"/>
    <w:uiPriority w:val="99"/>
    <w:qFormat/>
    <w:tblPr/>
  </w:style>
  <w:style w:type="table" w:styleId="1079" w:customStyle="1">
    <w:name w:val="Grid Table 5 Dark- Accent 1"/>
    <w:uiPriority w:val="99"/>
    <w:qFormat/>
    <w:tblPr/>
  </w:style>
  <w:style w:type="table" w:styleId="1080" w:customStyle="1">
    <w:name w:val="Grid Table 5 Dark - Accent 2"/>
    <w:uiPriority w:val="99"/>
    <w:qFormat/>
    <w:tblPr/>
  </w:style>
  <w:style w:type="table" w:styleId="1081" w:customStyle="1">
    <w:name w:val="Grid Table 5 Dark - Accent 3"/>
    <w:uiPriority w:val="99"/>
    <w:qFormat/>
    <w:tblPr/>
  </w:style>
  <w:style w:type="table" w:styleId="1082" w:customStyle="1">
    <w:name w:val="Grid Table 5 Dark- Accent 4"/>
    <w:uiPriority w:val="99"/>
    <w:qFormat/>
    <w:tblPr/>
  </w:style>
  <w:style w:type="table" w:styleId="1083" w:customStyle="1">
    <w:name w:val="Grid Table 5 Dark - Accent 5"/>
    <w:uiPriority w:val="99"/>
    <w:qFormat/>
    <w:tblPr/>
  </w:style>
  <w:style w:type="table" w:styleId="1084" w:customStyle="1">
    <w:name w:val="Grid Table 5 Dark - Accent 6"/>
    <w:uiPriority w:val="99"/>
    <w:qFormat/>
    <w:tblPr/>
  </w:style>
  <w:style w:type="table" w:styleId="1085" w:customStyle="1">
    <w:name w:val="网格表 6 彩色1"/>
    <w:uiPriority w:val="99"/>
    <w:qFormat/>
    <w:tblPr/>
  </w:style>
  <w:style w:type="table" w:styleId="1086" w:customStyle="1">
    <w:name w:val="Grid Table 6 Colorful - Accent 1"/>
    <w:uiPriority w:val="99"/>
    <w:qFormat/>
    <w:tblPr/>
  </w:style>
  <w:style w:type="table" w:styleId="1087" w:customStyle="1">
    <w:name w:val="Grid Table 6 Colorful - Accent 2"/>
    <w:uiPriority w:val="99"/>
    <w:qFormat/>
    <w:tblPr/>
  </w:style>
  <w:style w:type="table" w:styleId="1088" w:customStyle="1">
    <w:name w:val="Grid Table 6 Colorful - Accent 3"/>
    <w:uiPriority w:val="99"/>
    <w:qFormat/>
    <w:tblPr/>
  </w:style>
  <w:style w:type="table" w:styleId="1089" w:customStyle="1">
    <w:name w:val="Grid Table 6 Colorful - Accent 4"/>
    <w:uiPriority w:val="99"/>
    <w:qFormat/>
    <w:tblPr/>
  </w:style>
  <w:style w:type="table" w:styleId="1090" w:customStyle="1">
    <w:name w:val="Grid Table 6 Colorful - Accent 5"/>
    <w:uiPriority w:val="99"/>
    <w:qFormat/>
    <w:tblPr/>
  </w:style>
  <w:style w:type="table" w:styleId="1091" w:customStyle="1">
    <w:name w:val="Grid Table 6 Colorful - Accent 6"/>
    <w:uiPriority w:val="99"/>
    <w:qFormat/>
    <w:tblPr/>
  </w:style>
  <w:style w:type="table" w:styleId="1092" w:customStyle="1">
    <w:name w:val="网格表 7 彩色1"/>
    <w:uiPriority w:val="99"/>
    <w:qFormat/>
    <w:tblPr/>
  </w:style>
  <w:style w:type="table" w:styleId="1093" w:customStyle="1">
    <w:name w:val="Grid Table 7 Colorful - Accent 1"/>
    <w:uiPriority w:val="99"/>
    <w:qFormat/>
    <w:tblPr/>
  </w:style>
  <w:style w:type="table" w:styleId="1094" w:customStyle="1">
    <w:name w:val="Grid Table 7 Colorful - Accent 2"/>
    <w:uiPriority w:val="99"/>
    <w:qFormat/>
    <w:tblPr/>
  </w:style>
  <w:style w:type="table" w:styleId="1095" w:customStyle="1">
    <w:name w:val="Grid Table 7 Colorful - Accent 3"/>
    <w:uiPriority w:val="99"/>
    <w:qFormat/>
    <w:tblPr/>
  </w:style>
  <w:style w:type="table" w:styleId="1096" w:customStyle="1">
    <w:name w:val="Grid Table 7 Colorful - Accent 4"/>
    <w:uiPriority w:val="99"/>
    <w:qFormat/>
    <w:tblPr/>
  </w:style>
  <w:style w:type="table" w:styleId="1097" w:customStyle="1">
    <w:name w:val="Grid Table 7 Colorful - Accent 5"/>
    <w:uiPriority w:val="99"/>
    <w:qFormat/>
    <w:tblPr/>
  </w:style>
  <w:style w:type="table" w:styleId="1098" w:customStyle="1">
    <w:name w:val="Grid Table 7 Colorful - Accent 6"/>
    <w:uiPriority w:val="99"/>
    <w:qFormat/>
    <w:tblPr/>
  </w:style>
  <w:style w:type="table" w:styleId="1099" w:customStyle="1">
    <w:name w:val="清单表 1 浅色1"/>
    <w:uiPriority w:val="99"/>
    <w:qFormat/>
    <w:tblPr/>
  </w:style>
  <w:style w:type="table" w:styleId="1100" w:customStyle="1">
    <w:name w:val="List Table 1 Light - Accent 1"/>
    <w:uiPriority w:val="99"/>
    <w:qFormat/>
    <w:tblPr/>
  </w:style>
  <w:style w:type="table" w:styleId="1101" w:customStyle="1">
    <w:name w:val="List Table 1 Light - Accent 2"/>
    <w:uiPriority w:val="99"/>
    <w:qFormat/>
    <w:tblPr/>
  </w:style>
  <w:style w:type="table" w:styleId="1102" w:customStyle="1">
    <w:name w:val="List Table 1 Light - Accent 3"/>
    <w:uiPriority w:val="99"/>
    <w:qFormat/>
    <w:tblPr/>
  </w:style>
  <w:style w:type="table" w:styleId="1103" w:customStyle="1">
    <w:name w:val="List Table 1 Light - Accent 4"/>
    <w:uiPriority w:val="99"/>
    <w:qFormat/>
    <w:tblPr/>
  </w:style>
  <w:style w:type="table" w:styleId="1104" w:customStyle="1">
    <w:name w:val="List Table 1 Light - Accent 5"/>
    <w:uiPriority w:val="99"/>
    <w:qFormat/>
    <w:tblPr/>
  </w:style>
  <w:style w:type="table" w:styleId="1105" w:customStyle="1">
    <w:name w:val="List Table 1 Light - Accent 6"/>
    <w:uiPriority w:val="99"/>
    <w:qFormat/>
    <w:tblPr/>
  </w:style>
  <w:style w:type="table" w:styleId="1106" w:customStyle="1">
    <w:name w:val="清单表 21"/>
    <w:uiPriority w:val="99"/>
    <w:qFormat/>
    <w:tblPr/>
  </w:style>
  <w:style w:type="table" w:styleId="1107" w:customStyle="1">
    <w:name w:val="List Table 2 - Accent 1"/>
    <w:uiPriority w:val="99"/>
    <w:qFormat/>
    <w:tblPr/>
  </w:style>
  <w:style w:type="table" w:styleId="1108" w:customStyle="1">
    <w:name w:val="List Table 2 - Accent 2"/>
    <w:uiPriority w:val="99"/>
    <w:qFormat/>
    <w:tblPr/>
  </w:style>
  <w:style w:type="table" w:styleId="1109" w:customStyle="1">
    <w:name w:val="List Table 2 - Accent 3"/>
    <w:uiPriority w:val="99"/>
    <w:qFormat/>
    <w:tblPr/>
  </w:style>
  <w:style w:type="table" w:styleId="1110" w:customStyle="1">
    <w:name w:val="List Table 2 - Accent 4"/>
    <w:uiPriority w:val="99"/>
    <w:qFormat/>
    <w:tblPr/>
  </w:style>
  <w:style w:type="table" w:styleId="1111" w:customStyle="1">
    <w:name w:val="List Table 2 - Accent 5"/>
    <w:uiPriority w:val="99"/>
    <w:qFormat/>
    <w:tblPr/>
  </w:style>
  <w:style w:type="table" w:styleId="1112" w:customStyle="1">
    <w:name w:val="List Table 2 - Accent 6"/>
    <w:uiPriority w:val="99"/>
    <w:qFormat/>
    <w:tblPr/>
  </w:style>
  <w:style w:type="table" w:styleId="1113" w:customStyle="1">
    <w:name w:val="清单表 31"/>
    <w:uiPriority w:val="99"/>
    <w:qFormat/>
    <w:tblPr/>
  </w:style>
  <w:style w:type="table" w:styleId="1114" w:customStyle="1">
    <w:name w:val="List Table 3 - Accent 1"/>
    <w:uiPriority w:val="99"/>
    <w:qFormat/>
    <w:tblPr/>
  </w:style>
  <w:style w:type="table" w:styleId="1115" w:customStyle="1">
    <w:name w:val="List Table 3 - Accent 2"/>
    <w:uiPriority w:val="99"/>
    <w:qFormat/>
    <w:tblPr/>
  </w:style>
  <w:style w:type="table" w:styleId="1116" w:customStyle="1">
    <w:name w:val="List Table 3 - Accent 3"/>
    <w:uiPriority w:val="99"/>
    <w:qFormat/>
    <w:tblPr/>
  </w:style>
  <w:style w:type="table" w:styleId="1117" w:customStyle="1">
    <w:name w:val="List Table 3 - Accent 4"/>
    <w:uiPriority w:val="99"/>
    <w:qFormat/>
    <w:tblPr/>
  </w:style>
  <w:style w:type="table" w:styleId="1118" w:customStyle="1">
    <w:name w:val="List Table 3 - Accent 5"/>
    <w:uiPriority w:val="99"/>
    <w:qFormat/>
    <w:tblPr/>
  </w:style>
  <w:style w:type="table" w:styleId="1119" w:customStyle="1">
    <w:name w:val="List Table 3 - Accent 6"/>
    <w:uiPriority w:val="99"/>
    <w:qFormat/>
    <w:tblPr/>
  </w:style>
  <w:style w:type="table" w:styleId="1120" w:customStyle="1">
    <w:name w:val="清单表 41"/>
    <w:uiPriority w:val="99"/>
    <w:qFormat/>
    <w:tblPr/>
  </w:style>
  <w:style w:type="table" w:styleId="1121" w:customStyle="1">
    <w:name w:val="List Table 4 - Accent 1"/>
    <w:uiPriority w:val="99"/>
    <w:qFormat/>
    <w:tblPr/>
  </w:style>
  <w:style w:type="table" w:styleId="1122" w:customStyle="1">
    <w:name w:val="List Table 4 - Accent 2"/>
    <w:uiPriority w:val="99"/>
    <w:qFormat/>
    <w:tblPr/>
  </w:style>
  <w:style w:type="table" w:styleId="1123" w:customStyle="1">
    <w:name w:val="List Table 4 - Accent 3"/>
    <w:uiPriority w:val="99"/>
    <w:qFormat/>
    <w:tblPr/>
  </w:style>
  <w:style w:type="table" w:styleId="1124" w:customStyle="1">
    <w:name w:val="List Table 4 - Accent 4"/>
    <w:uiPriority w:val="99"/>
    <w:qFormat/>
    <w:tblPr/>
  </w:style>
  <w:style w:type="table" w:styleId="1125" w:customStyle="1">
    <w:name w:val="List Table 4 - Accent 5"/>
    <w:uiPriority w:val="99"/>
    <w:qFormat/>
    <w:tblPr/>
  </w:style>
  <w:style w:type="table" w:styleId="1126" w:customStyle="1">
    <w:name w:val="List Table 4 - Accent 6"/>
    <w:uiPriority w:val="99"/>
    <w:qFormat/>
    <w:tblPr/>
  </w:style>
  <w:style w:type="table" w:styleId="1127" w:customStyle="1">
    <w:name w:val="清单表 5 深色1"/>
    <w:uiPriority w:val="99"/>
    <w:qFormat/>
    <w:tblPr/>
  </w:style>
  <w:style w:type="table" w:styleId="1128" w:customStyle="1">
    <w:name w:val="List Table 5 Dark - Accent 1"/>
    <w:uiPriority w:val="99"/>
    <w:qFormat/>
    <w:tblPr/>
  </w:style>
  <w:style w:type="table" w:styleId="1129" w:customStyle="1">
    <w:name w:val="List Table 5 Dark - Accent 2"/>
    <w:uiPriority w:val="99"/>
    <w:qFormat/>
    <w:tblPr/>
  </w:style>
  <w:style w:type="table" w:styleId="1130" w:customStyle="1">
    <w:name w:val="List Table 5 Dark - Accent 3"/>
    <w:uiPriority w:val="99"/>
    <w:qFormat/>
    <w:tblPr/>
  </w:style>
  <w:style w:type="table" w:styleId="1131" w:customStyle="1">
    <w:name w:val="List Table 5 Dark - Accent 4"/>
    <w:uiPriority w:val="99"/>
    <w:qFormat/>
    <w:tblPr/>
  </w:style>
  <w:style w:type="table" w:styleId="1132" w:customStyle="1">
    <w:name w:val="List Table 5 Dark - Accent 5"/>
    <w:uiPriority w:val="99"/>
    <w:qFormat/>
    <w:tblPr/>
  </w:style>
  <w:style w:type="table" w:styleId="1133" w:customStyle="1">
    <w:name w:val="List Table 5 Dark - Accent 6"/>
    <w:uiPriority w:val="99"/>
    <w:qFormat/>
    <w:tblPr/>
  </w:style>
  <w:style w:type="table" w:styleId="1134" w:customStyle="1">
    <w:name w:val="清单表 6 彩色1"/>
    <w:uiPriority w:val="99"/>
    <w:qFormat/>
    <w:tblPr/>
  </w:style>
  <w:style w:type="table" w:styleId="1135" w:customStyle="1">
    <w:name w:val="List Table 6 Colorful - Accent 1"/>
    <w:uiPriority w:val="99"/>
    <w:qFormat/>
    <w:tblPr/>
  </w:style>
  <w:style w:type="table" w:styleId="1136" w:customStyle="1">
    <w:name w:val="List Table 6 Colorful - Accent 2"/>
    <w:uiPriority w:val="99"/>
    <w:qFormat/>
    <w:tblPr/>
  </w:style>
  <w:style w:type="table" w:styleId="1137" w:customStyle="1">
    <w:name w:val="List Table 6 Colorful - Accent 3"/>
    <w:uiPriority w:val="99"/>
    <w:qFormat/>
    <w:tblPr/>
  </w:style>
  <w:style w:type="table" w:styleId="1138" w:customStyle="1">
    <w:name w:val="List Table 6 Colorful - Accent 4"/>
    <w:uiPriority w:val="99"/>
    <w:qFormat/>
    <w:tblPr/>
  </w:style>
  <w:style w:type="table" w:styleId="1139" w:customStyle="1">
    <w:name w:val="List Table 6 Colorful - Accent 5"/>
    <w:uiPriority w:val="99"/>
    <w:qFormat/>
    <w:tblPr/>
  </w:style>
  <w:style w:type="table" w:styleId="1140" w:customStyle="1">
    <w:name w:val="List Table 6 Colorful - Accent 6"/>
    <w:uiPriority w:val="99"/>
    <w:qFormat/>
    <w:tblPr/>
  </w:style>
  <w:style w:type="table" w:styleId="1141" w:customStyle="1">
    <w:name w:val="清单表 7 彩色1"/>
    <w:uiPriority w:val="99"/>
    <w:qFormat/>
    <w:tblPr/>
  </w:style>
  <w:style w:type="table" w:styleId="1142" w:customStyle="1">
    <w:name w:val="List Table 7 Colorful - Accent 1"/>
    <w:uiPriority w:val="99"/>
    <w:qFormat/>
    <w:tblPr/>
  </w:style>
  <w:style w:type="table" w:styleId="1143" w:customStyle="1">
    <w:name w:val="List Table 7 Colorful - Accent 2"/>
    <w:uiPriority w:val="99"/>
    <w:qFormat/>
    <w:tblPr/>
  </w:style>
  <w:style w:type="table" w:styleId="1144" w:customStyle="1">
    <w:name w:val="List Table 7 Colorful - Accent 3"/>
    <w:uiPriority w:val="99"/>
    <w:qFormat/>
    <w:tblPr/>
  </w:style>
  <w:style w:type="table" w:styleId="1145" w:customStyle="1">
    <w:name w:val="List Table 7 Colorful - Accent 4"/>
    <w:uiPriority w:val="99"/>
    <w:qFormat/>
    <w:tblPr/>
  </w:style>
  <w:style w:type="table" w:styleId="1146" w:customStyle="1">
    <w:name w:val="List Table 7 Colorful - Accent 5"/>
    <w:uiPriority w:val="99"/>
    <w:qFormat/>
    <w:tblPr/>
  </w:style>
  <w:style w:type="table" w:styleId="1147" w:customStyle="1">
    <w:name w:val="List Table 7 Colorful - Accent 6"/>
    <w:uiPriority w:val="99"/>
    <w:qFormat/>
    <w:tblPr/>
  </w:style>
  <w:style w:type="table" w:styleId="1148" w:customStyle="1">
    <w:name w:val="Lined - Accent"/>
    <w:uiPriority w:val="99"/>
    <w:qFormat/>
    <w:rPr>
      <w:color w:val="404040"/>
    </w:rPr>
    <w:tblPr/>
  </w:style>
  <w:style w:type="table" w:styleId="1149" w:customStyle="1">
    <w:name w:val="Lined - Accent 1"/>
    <w:uiPriority w:val="99"/>
    <w:qFormat/>
    <w:rPr>
      <w:color w:val="404040"/>
    </w:rPr>
    <w:tblPr/>
  </w:style>
  <w:style w:type="table" w:styleId="1150" w:customStyle="1">
    <w:name w:val="Lined - Accent 2"/>
    <w:uiPriority w:val="99"/>
    <w:qFormat/>
    <w:rPr>
      <w:color w:val="404040"/>
    </w:rPr>
    <w:tblPr/>
  </w:style>
  <w:style w:type="table" w:styleId="1151" w:customStyle="1">
    <w:name w:val="Lined - Accent 3"/>
    <w:uiPriority w:val="99"/>
    <w:qFormat/>
    <w:rPr>
      <w:color w:val="404040"/>
    </w:rPr>
    <w:tblPr/>
  </w:style>
  <w:style w:type="table" w:styleId="1152" w:customStyle="1">
    <w:name w:val="Lined - Accent 4"/>
    <w:uiPriority w:val="99"/>
    <w:qFormat/>
    <w:rPr>
      <w:color w:val="404040"/>
    </w:rPr>
    <w:tblPr/>
  </w:style>
  <w:style w:type="table" w:styleId="1153" w:customStyle="1">
    <w:name w:val="Lined - Accent 5"/>
    <w:uiPriority w:val="99"/>
    <w:qFormat/>
    <w:rPr>
      <w:color w:val="404040"/>
    </w:rPr>
    <w:tblPr/>
  </w:style>
  <w:style w:type="table" w:styleId="1154" w:customStyle="1">
    <w:name w:val="Lined - Accent 6"/>
    <w:uiPriority w:val="99"/>
    <w:qFormat/>
    <w:rPr>
      <w:color w:val="404040"/>
    </w:rPr>
    <w:tblPr/>
  </w:style>
  <w:style w:type="table" w:styleId="1155" w:customStyle="1">
    <w:name w:val="Bordered &amp; Lined - Accent"/>
    <w:uiPriority w:val="99"/>
    <w:qFormat/>
    <w:rPr>
      <w:color w:val="404040"/>
    </w:rPr>
    <w:tblPr/>
  </w:style>
  <w:style w:type="table" w:styleId="1156" w:customStyle="1">
    <w:name w:val="Bordered &amp; Lined - Accent 1"/>
    <w:uiPriority w:val="99"/>
    <w:qFormat/>
    <w:rPr>
      <w:color w:val="404040"/>
    </w:rPr>
    <w:tblPr/>
  </w:style>
  <w:style w:type="table" w:styleId="1157" w:customStyle="1">
    <w:name w:val="Bordered &amp; Lined - Accent 2"/>
    <w:uiPriority w:val="99"/>
    <w:qFormat/>
    <w:rPr>
      <w:color w:val="404040"/>
    </w:rPr>
    <w:tblPr/>
  </w:style>
  <w:style w:type="table" w:styleId="1158" w:customStyle="1">
    <w:name w:val="Bordered &amp; Lined - Accent 3"/>
    <w:uiPriority w:val="99"/>
    <w:qFormat/>
    <w:rPr>
      <w:color w:val="404040"/>
    </w:rPr>
    <w:tblPr/>
  </w:style>
  <w:style w:type="table" w:styleId="1159" w:customStyle="1">
    <w:name w:val="Bordered &amp; Lined - Accent 4"/>
    <w:uiPriority w:val="99"/>
    <w:qFormat/>
    <w:rPr>
      <w:color w:val="404040"/>
    </w:rPr>
    <w:tblPr/>
  </w:style>
  <w:style w:type="table" w:styleId="1160" w:customStyle="1">
    <w:name w:val="Bordered &amp; Lined - Accent 5"/>
    <w:uiPriority w:val="99"/>
    <w:qFormat/>
    <w:rPr>
      <w:color w:val="404040"/>
    </w:rPr>
    <w:tblPr/>
  </w:style>
  <w:style w:type="table" w:styleId="1161" w:customStyle="1">
    <w:name w:val="Bordered &amp; Lined - Accent 6"/>
    <w:uiPriority w:val="99"/>
    <w:qFormat/>
    <w:rPr>
      <w:color w:val="404040"/>
    </w:rPr>
    <w:tblPr/>
  </w:style>
  <w:style w:type="table" w:styleId="1162" w:customStyle="1">
    <w:name w:val="Bordered"/>
    <w:uiPriority w:val="99"/>
    <w:qFormat/>
    <w:tblPr/>
  </w:style>
  <w:style w:type="table" w:styleId="1163" w:customStyle="1">
    <w:name w:val="Bordered - Accent 1"/>
    <w:uiPriority w:val="99"/>
    <w:qFormat/>
    <w:tblPr/>
  </w:style>
  <w:style w:type="table" w:styleId="1164" w:customStyle="1">
    <w:name w:val="Bordered - Accent 2"/>
    <w:uiPriority w:val="99"/>
    <w:qFormat/>
    <w:tblPr/>
  </w:style>
  <w:style w:type="table" w:styleId="1165" w:customStyle="1">
    <w:name w:val="Bordered - Accent 3"/>
    <w:uiPriority w:val="99"/>
    <w:qFormat/>
    <w:tblPr/>
  </w:style>
  <w:style w:type="table" w:styleId="1166" w:customStyle="1">
    <w:name w:val="Bordered - Accent 4"/>
    <w:uiPriority w:val="99"/>
    <w:qFormat/>
    <w:tblPr/>
  </w:style>
  <w:style w:type="table" w:styleId="1167" w:customStyle="1">
    <w:name w:val="Bordered - Accent 5"/>
    <w:uiPriority w:val="99"/>
    <w:qFormat/>
    <w:tblPr/>
  </w:style>
  <w:style w:type="table" w:styleId="1168" w:customStyle="1">
    <w:name w:val="Bordered - Accent 6"/>
    <w:uiPriority w:val="99"/>
    <w:qFormat/>
    <w:tblPr/>
  </w:style>
  <w:style w:type="paragraph" w:styleId="1169" w:customStyle="1">
    <w:name w:val="TOC 标题11"/>
    <w:uiPriority w:val="39"/>
    <w:unhideWhenUsed/>
    <w:qFormat/>
    <w:rPr>
      <w:rFonts w:hint="default" w:ascii="Times New Roman" w:hAnsi="Times New Roman" w:eastAsia="宋体" w:cs="Times New Roman"/>
      <w:lang w:val="en-US" w:eastAsia="zh-CN" w:bidi="ar-SA"/>
    </w:rPr>
  </w:style>
  <w:style w:type="paragraph" w:styleId="1170"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character" w:styleId="1171" w:customStyle="1">
    <w:name w:val="正文文本首行缩进 字符"/>
    <w:link w:val="846"/>
    <w:uiPriority w:val="0"/>
    <w:qFormat/>
    <w:rPr>
      <w:rFonts w:eastAsia="楷体_GB2312"/>
      <w:sz w:val="26"/>
    </w:rPr>
  </w:style>
  <w:style w:type="character" w:styleId="1172" w:customStyle="1">
    <w:name w:val="Char Char4"/>
    <w:link w:val="846"/>
    <w:uiPriority w:val="0"/>
    <w:qFormat/>
    <w:rPr>
      <w:rFonts w:ascii="方正仿宋简体" w:hAnsi="创艺简仿宋" w:eastAsia="方正仿宋简体"/>
      <w:sz w:val="24"/>
      <w:lang w:val="en-US" w:eastAsia="zh-CN" w:bidi="ar-SA"/>
    </w:rPr>
  </w:style>
  <w:style w:type="character" w:styleId="1173" w:customStyle="1">
    <w:name w:val="state"/>
    <w:link w:val="846"/>
    <w:uiPriority w:val="0"/>
    <w:qFormat/>
    <w:rPr>
      <w:b/>
      <w:color w:val="ffffff"/>
      <w:sz w:val="19"/>
      <w:szCs w:val="19"/>
    </w:rPr>
  </w:style>
  <w:style w:type="character" w:styleId="1174" w:customStyle="1">
    <w:name w:val="bds_more6"/>
    <w:link w:val="846"/>
    <w:uiPriority w:val="0"/>
    <w:qFormat/>
  </w:style>
  <w:style w:type="character" w:styleId="1175" w:customStyle="1">
    <w:name w:val="hilite"/>
    <w:link w:val="846"/>
    <w:uiPriority w:val="0"/>
    <w:qFormat/>
    <w:rPr>
      <w:color w:val="ffffff"/>
      <w:shd w:val="clear" w:color="auto" w:fill="776666"/>
    </w:rPr>
  </w:style>
  <w:style w:type="character" w:styleId="1176" w:customStyle="1">
    <w:name w:val="bds_nopic"/>
    <w:link w:val="846"/>
    <w:uiPriority w:val="0"/>
    <w:qFormat/>
  </w:style>
  <w:style w:type="character" w:styleId="1177" w:customStyle="1">
    <w:name w:val="Char Char2"/>
    <w:link w:val="846"/>
    <w:uiPriority w:val="0"/>
    <w:qFormat/>
    <w:rPr>
      <w:rFonts w:ascii="宋体" w:hAnsi="宋体" w:eastAsia="楷体_GB2312"/>
      <w:b/>
      <w:sz w:val="26"/>
      <w:lang w:val="en-US" w:eastAsia="zh-CN" w:bidi="ar-SA"/>
    </w:rPr>
  </w:style>
  <w:style w:type="character" w:styleId="1178" w:customStyle="1">
    <w:name w:val="hover61"/>
    <w:link w:val="846"/>
    <w:uiPriority w:val="0"/>
    <w:qFormat/>
    <w:rPr>
      <w:shd w:val="clear" w:color="auto" w:fill="ff0000"/>
    </w:rPr>
  </w:style>
  <w:style w:type="character" w:styleId="1179" w:customStyle="1">
    <w:name w:val="font51"/>
    <w:link w:val="846"/>
    <w:uiPriority w:val="99"/>
    <w:qFormat/>
    <w:rPr>
      <w:rFonts w:hint="eastAsia" w:ascii="宋体" w:hAnsi="宋体" w:eastAsia="宋体" w:cs="宋体"/>
      <w:color w:val="ff0000"/>
      <w:sz w:val="20"/>
      <w:szCs w:val="20"/>
      <w:u w:val="none"/>
    </w:rPr>
  </w:style>
  <w:style w:type="character" w:styleId="1180" w:customStyle="1">
    <w:name w:val="grid"/>
    <w:link w:val="846"/>
    <w:uiPriority w:val="0"/>
    <w:qFormat/>
  </w:style>
  <w:style w:type="character" w:styleId="1181" w:customStyle="1">
    <w:name w:val="bds_more7"/>
    <w:link w:val="846"/>
    <w:uiPriority w:val="0"/>
    <w:qFormat/>
  </w:style>
  <w:style w:type="character" w:styleId="1182" w:customStyle="1">
    <w:name w:val="bds_more8"/>
    <w:link w:val="846"/>
    <w:uiPriority w:val="0"/>
    <w:qFormat/>
    <w:rPr>
      <w:rFonts w:hint="eastAsia" w:ascii="宋体" w:hAnsi="宋体" w:eastAsia="宋体" w:cs="宋体"/>
    </w:rPr>
  </w:style>
  <w:style w:type="character" w:styleId="1183" w:customStyle="1">
    <w:name w:val="bds_more4"/>
    <w:link w:val="846"/>
    <w:uiPriority w:val="0"/>
    <w:qFormat/>
    <w:rPr>
      <w:rFonts w:hint="eastAsia" w:ascii="宋体" w:hAnsi="宋体" w:eastAsia="宋体" w:cs="宋体"/>
    </w:rPr>
  </w:style>
  <w:style w:type="character" w:styleId="1184" w:customStyle="1">
    <w:name w:val="bds_nopic1"/>
    <w:link w:val="846"/>
    <w:uiPriority w:val="0"/>
    <w:qFormat/>
  </w:style>
  <w:style w:type="character" w:styleId="1185" w:customStyle="1">
    <w:name w:val="hilite6"/>
    <w:link w:val="846"/>
    <w:uiPriority w:val="0"/>
    <w:qFormat/>
    <w:rPr>
      <w:color w:val="ffffff"/>
      <w:shd w:val="clear" w:color="auto" w:fill="776666"/>
    </w:rPr>
  </w:style>
  <w:style w:type="character" w:styleId="1186" w:customStyle="1">
    <w:name w:val="正文缩进2格 Char Char"/>
    <w:link w:val="1187"/>
    <w:uiPriority w:val="0"/>
    <w:qFormat/>
    <w:rPr>
      <w:rFonts w:ascii="仿宋_GB2312" w:hAnsi="宋体" w:eastAsia="仿宋_GB2312"/>
      <w:sz w:val="31"/>
      <w:szCs w:val="28"/>
    </w:rPr>
  </w:style>
  <w:style w:type="paragraph" w:styleId="1187" w:customStyle="1">
    <w:name w:val="正文缩进2格"/>
    <w:basedOn w:val="846"/>
    <w:link w:val="1186"/>
    <w:uiPriority w:val="0"/>
    <w:qFormat/>
    <w:pPr>
      <w:ind w:firstLine="639"/>
      <w:spacing w:line="600" w:lineRule="exact"/>
    </w:pPr>
    <w:rPr>
      <w:rFonts w:ascii="仿宋_GB2312" w:hAnsi="宋体" w:eastAsia="仿宋_GB2312"/>
      <w:sz w:val="31"/>
      <w:szCs w:val="28"/>
    </w:rPr>
  </w:style>
  <w:style w:type="character" w:styleId="1188" w:customStyle="1">
    <w:name w:val="grid2"/>
    <w:link w:val="846"/>
    <w:uiPriority w:val="0"/>
    <w:qFormat/>
  </w:style>
  <w:style w:type="character" w:styleId="1189" w:customStyle="1">
    <w:name w:val="other"/>
    <w:link w:val="846"/>
    <w:uiPriority w:val="0"/>
    <w:qFormat/>
  </w:style>
  <w:style w:type="character" w:styleId="1190" w:customStyle="1">
    <w:name w:val="font01"/>
    <w:link w:val="846"/>
    <w:uiPriority w:val="0"/>
    <w:qFormat/>
    <w:rPr>
      <w:rFonts w:hint="eastAsia" w:ascii="宋体" w:hAnsi="宋体" w:eastAsia="宋体" w:cs="宋体"/>
      <w:b/>
      <w:color w:val="000000"/>
      <w:sz w:val="20"/>
      <w:szCs w:val="20"/>
      <w:u w:val="none"/>
    </w:rPr>
  </w:style>
  <w:style w:type="character" w:styleId="1191" w:customStyle="1">
    <w:name w:val="noused"/>
    <w:link w:val="846"/>
    <w:uiPriority w:val="0"/>
    <w:qFormat/>
    <w:rPr>
      <w:b/>
      <w:color w:val="ffffff"/>
      <w:sz w:val="21"/>
      <w:szCs w:val="21"/>
    </w:rPr>
  </w:style>
  <w:style w:type="character" w:styleId="1192" w:customStyle="1">
    <w:name w:val="active8"/>
    <w:link w:val="846"/>
    <w:uiPriority w:val="0"/>
    <w:qFormat/>
    <w:rPr>
      <w:color w:val="00ff00"/>
      <w:shd w:val="clear" w:color="auto" w:fill="000000"/>
    </w:rPr>
  </w:style>
  <w:style w:type="character" w:styleId="1193" w:customStyle="1">
    <w:name w:val="font61"/>
    <w:link w:val="846"/>
    <w:uiPriority w:val="0"/>
    <w:qFormat/>
    <w:rPr>
      <w:rFonts w:hint="eastAsia" w:ascii="宋体" w:hAnsi="宋体" w:eastAsia="宋体" w:cs="宋体"/>
      <w:color w:val="000000"/>
      <w:sz w:val="20"/>
      <w:szCs w:val="20"/>
      <w:u w:val="none"/>
    </w:rPr>
  </w:style>
  <w:style w:type="character" w:styleId="1194" w:customStyle="1">
    <w:name w:val="bds_more5"/>
    <w:link w:val="846"/>
    <w:uiPriority w:val="0"/>
    <w:qFormat/>
  </w:style>
  <w:style w:type="character" w:styleId="1195" w:customStyle="1">
    <w:name w:val="bds_nopic2"/>
    <w:link w:val="846"/>
    <w:uiPriority w:val="0"/>
    <w:qFormat/>
  </w:style>
  <w:style w:type="character" w:styleId="1196" w:customStyle="1">
    <w:name w:val="active"/>
    <w:link w:val="846"/>
    <w:uiPriority w:val="0"/>
    <w:qFormat/>
    <w:rPr>
      <w:color w:val="00ff00"/>
      <w:shd w:val="clear" w:color="auto" w:fill="000000"/>
    </w:rPr>
  </w:style>
  <w:style w:type="character" w:styleId="1197" w:customStyle="1">
    <w:name w:val="font41"/>
    <w:link w:val="846"/>
    <w:uiPriority w:val="0"/>
    <w:qFormat/>
    <w:rPr>
      <w:rFonts w:hint="eastAsia" w:ascii="宋体" w:hAnsi="宋体" w:eastAsia="宋体" w:cs="宋体"/>
      <w:color w:val="000000"/>
      <w:sz w:val="20"/>
      <w:szCs w:val="20"/>
      <w:u w:val="none"/>
    </w:rPr>
  </w:style>
  <w:style w:type="character" w:styleId="1198" w:customStyle="1">
    <w:name w:val="font11"/>
    <w:link w:val="846"/>
    <w:uiPriority w:val="0"/>
    <w:qFormat/>
    <w:rPr>
      <w:rFonts w:ascii="宋体" w:hAnsi="宋体" w:eastAsia="宋体"/>
      <w:color w:val="000000"/>
      <w:sz w:val="28"/>
      <w:u w:val="none"/>
    </w:rPr>
  </w:style>
  <w:style w:type="character" w:styleId="1199" w:customStyle="1">
    <w:name w:val="font81"/>
    <w:link w:val="846"/>
    <w:uiPriority w:val="0"/>
    <w:qFormat/>
    <w:rPr>
      <w:rFonts w:ascii="宋体" w:hAnsi="宋体" w:eastAsia="宋体"/>
      <w:b/>
      <w:color w:val="000000"/>
      <w:sz w:val="18"/>
      <w:u w:val="none"/>
    </w:rPr>
  </w:style>
  <w:style w:type="character" w:styleId="1200" w:customStyle="1">
    <w:name w:val="font71"/>
    <w:link w:val="846"/>
    <w:uiPriority w:val="0"/>
    <w:qFormat/>
    <w:rPr>
      <w:rFonts w:hint="eastAsia" w:ascii="宋体" w:hAnsi="宋体" w:eastAsia="宋体" w:cs="宋体"/>
      <w:color w:val="000000"/>
      <w:sz w:val="20"/>
      <w:szCs w:val="20"/>
      <w:u w:val="none"/>
      <w:vertAlign w:val="superscript"/>
    </w:rPr>
  </w:style>
  <w:style w:type="character" w:styleId="1201" w:customStyle="1">
    <w:name w:val="正文文本缩进 Char1"/>
    <w:link w:val="846"/>
    <w:uiPriority w:val="0"/>
    <w:qFormat/>
    <w:rPr>
      <w:rFonts w:eastAsia="楷体_GB2312"/>
      <w:sz w:val="26"/>
    </w:rPr>
  </w:style>
  <w:style w:type="character" w:styleId="1202" w:customStyle="1">
    <w:name w:val="font101"/>
    <w:link w:val="846"/>
    <w:uiPriority w:val="0"/>
    <w:qFormat/>
    <w:rPr>
      <w:rFonts w:hint="eastAsia" w:ascii="微软雅黑" w:hAnsi="微软雅黑" w:eastAsia="微软雅黑" w:cs="微软雅黑"/>
      <w:color w:val="000000"/>
      <w:sz w:val="20"/>
      <w:szCs w:val="20"/>
      <w:u w:val="none"/>
      <w:vertAlign w:val="superscript"/>
    </w:rPr>
  </w:style>
  <w:style w:type="character" w:styleId="1203" w:customStyle="1">
    <w:name w:val="日期 Char1"/>
    <w:link w:val="846"/>
    <w:uiPriority w:val="0"/>
    <w:qFormat/>
    <w:rPr>
      <w:rFonts w:eastAsia="楷体_GB2312"/>
      <w:sz w:val="26"/>
      <w:szCs w:val="26"/>
    </w:rPr>
  </w:style>
  <w:style w:type="character" w:styleId="1204" w:customStyle="1">
    <w:name w:val="Balloon Text Char"/>
    <w:link w:val="846"/>
    <w:uiPriority w:val="0"/>
    <w:semiHidden/>
    <w:qFormat/>
    <w:rPr>
      <w:rFonts w:eastAsia="宋体"/>
      <w:sz w:val="18"/>
      <w:lang w:val="en-US" w:eastAsia="zh-CN"/>
    </w:rPr>
  </w:style>
  <w:style w:type="character" w:styleId="1205" w:customStyle="1">
    <w:name w:val="font21"/>
    <w:link w:val="846"/>
    <w:uiPriority w:val="0"/>
    <w:qFormat/>
    <w:rPr>
      <w:rFonts w:hint="eastAsia" w:ascii="宋体" w:hAnsi="宋体" w:eastAsia="宋体" w:cs="宋体"/>
      <w:b/>
      <w:color w:val="000000"/>
      <w:sz w:val="20"/>
      <w:szCs w:val="20"/>
      <w:u w:val="none"/>
    </w:rPr>
  </w:style>
  <w:style w:type="character" w:styleId="1206" w:customStyle="1">
    <w:name w:val="font31"/>
    <w:link w:val="846"/>
    <w:uiPriority w:val="0"/>
    <w:qFormat/>
    <w:rPr>
      <w:rFonts w:ascii="宋体" w:hAnsi="宋体" w:eastAsia="宋体"/>
      <w:color w:val="000000"/>
      <w:sz w:val="20"/>
      <w:u w:val="none"/>
    </w:rPr>
  </w:style>
  <w:style w:type="character" w:styleId="1207" w:customStyle="1">
    <w:name w:val="Body Text Indent Char"/>
    <w:link w:val="846"/>
    <w:uiPriority w:val="0"/>
    <w:qFormat/>
    <w:rPr>
      <w:rFonts w:ascii="方正仿宋简体" w:hAnsi="创艺简仿宋" w:eastAsia="方正仿宋简体"/>
      <w:sz w:val="24"/>
    </w:rPr>
  </w:style>
  <w:style w:type="character" w:styleId="1208" w:customStyle="1">
    <w:name w:val="Header Char1"/>
    <w:link w:val="846"/>
    <w:uiPriority w:val="0"/>
    <w:qFormat/>
    <w:rPr>
      <w:rFonts w:eastAsia="楷体_GB2312"/>
      <w:sz w:val="18"/>
    </w:rPr>
  </w:style>
  <w:style w:type="character" w:styleId="1209" w:customStyle="1">
    <w:name w:val="正文文本缩进 Char2"/>
    <w:link w:val="846"/>
    <w:uiPriority w:val="0"/>
    <w:qFormat/>
    <w:rPr>
      <w:rFonts w:eastAsia="楷体_GB2312"/>
      <w:sz w:val="26"/>
      <w:szCs w:val="26"/>
    </w:rPr>
  </w:style>
  <w:style w:type="character" w:styleId="1210" w:customStyle="1">
    <w:name w:val="NormalCharacter1"/>
    <w:link w:val="846"/>
    <w:uiPriority w:val="0"/>
    <w:qFormat/>
  </w:style>
  <w:style w:type="paragraph" w:styleId="1211" w:customStyle="1">
    <w:name w:val="列出段落1"/>
    <w:basedOn w:val="846"/>
    <w:uiPriority w:val="0"/>
    <w:qFormat/>
    <w:pPr>
      <w:ind w:firstLine="420"/>
    </w:pPr>
    <w:rPr>
      <w:rFonts w:ascii="Calibri" w:hAnsi="Calibri" w:eastAsia="宋体" w:cs="黑体"/>
      <w:szCs w:val="22"/>
    </w:rPr>
  </w:style>
  <w:style w:type="paragraph" w:styleId="1212" w:customStyle="1">
    <w:name w:val="p0"/>
    <w:basedOn w:val="846"/>
    <w:uiPriority w:val="0"/>
    <w:qFormat/>
    <w:pPr>
      <w:widowControl/>
    </w:pPr>
    <w:rPr>
      <w:rFonts w:eastAsia="宋体"/>
      <w:sz w:val="21"/>
      <w:szCs w:val="21"/>
    </w:rPr>
  </w:style>
  <w:style w:type="paragraph" w:styleId="1213" w:customStyle="1">
    <w:name w:val="纯文本1"/>
    <w:basedOn w:val="846"/>
    <w:uiPriority w:val="0"/>
    <w:qFormat/>
    <w:rPr>
      <w:rFonts w:ascii="宋体" w:hAnsi="Courier New"/>
      <w:sz w:val="28"/>
    </w:rPr>
  </w:style>
  <w:style w:type="paragraph" w:styleId="1214" w:customStyle="1">
    <w:name w:val="Char Char1 Char Char Char Char"/>
    <w:basedOn w:val="909"/>
    <w:uiPriority w:val="0"/>
    <w:qFormat/>
    <w:pPr>
      <w:spacing w:line="360" w:lineRule="auto"/>
    </w:pPr>
    <w:rPr>
      <w:rFonts w:ascii="Tahoma" w:hAnsi="Tahoma" w:eastAsia="宋体"/>
      <w:sz w:val="24"/>
      <w:szCs w:val="24"/>
    </w:rPr>
  </w:style>
  <w:style w:type="paragraph" w:styleId="1215" w:customStyle="1">
    <w:name w:val="Char Char1 Char Char Char Char Char Char Char"/>
    <w:basedOn w:val="846"/>
    <w:uiPriority w:val="0"/>
    <w:qFormat/>
    <w:rPr>
      <w:rFonts w:ascii="Tahoma" w:hAnsi="Tahoma"/>
      <w:sz w:val="24"/>
    </w:rPr>
  </w:style>
  <w:style w:type="paragraph" w:styleId="1216" w:customStyle="1">
    <w:name w:val="Char"/>
    <w:basedOn w:val="846"/>
    <w:uiPriority w:val="0"/>
    <w:qFormat/>
    <w:pPr>
      <w:jc w:val="left"/>
      <w:spacing w:after="160" w:line="240" w:lineRule="exact"/>
      <w:widowControl/>
    </w:pPr>
    <w:rPr>
      <w:rFonts w:ascii="Verdana" w:hAnsi="Verdana" w:eastAsia="宋体"/>
      <w:sz w:val="21"/>
      <w:lang w:eastAsia="en-US"/>
    </w:rPr>
  </w:style>
  <w:style w:type="paragraph" w:styleId="1217" w:customStyle="1">
    <w:name w:val="Char1"/>
    <w:basedOn w:val="846"/>
    <w:uiPriority w:val="0"/>
    <w:qFormat/>
    <w:rPr>
      <w:rFonts w:ascii="Tahoma" w:hAnsi="Tahoma" w:eastAsia="宋体"/>
      <w:sz w:val="24"/>
    </w:rPr>
  </w:style>
  <w:style w:type="paragraph" w:styleId="1218" w:customStyle="1">
    <w:name w:val="图"/>
    <w:basedOn w:val="846"/>
    <w:uiPriority w:val="0"/>
    <w:qFormat/>
    <w:pPr>
      <w:jc w:val="center"/>
      <w:keepNext/>
      <w:spacing w:before="60" w:after="60" w:line="300" w:lineRule="auto"/>
    </w:pPr>
    <w:rPr>
      <w:rFonts w:eastAsia="宋体"/>
      <w:spacing w:val="20"/>
      <w:sz w:val="24"/>
    </w:rPr>
  </w:style>
  <w:style w:type="paragraph" w:styleId="1219" w:customStyle="1">
    <w:name w:val="纯文本2"/>
    <w:basedOn w:val="846"/>
    <w:uiPriority w:val="0"/>
    <w:qFormat/>
    <w:rPr>
      <w:rFonts w:ascii="宋体" w:hAnsi="Courier New"/>
    </w:rPr>
  </w:style>
  <w:style w:type="paragraph" w:styleId="1220" w:customStyle="1">
    <w:name w:val="Table Paragraph"/>
    <w:basedOn w:val="846"/>
    <w:uiPriority w:val="1"/>
    <w:qFormat/>
    <w:rPr>
      <w:rFonts w:ascii="仿宋" w:hAnsi="仿宋" w:eastAsia="仿宋" w:cs="仿宋"/>
      <w:sz w:val="21"/>
      <w:szCs w:val="22"/>
      <w:lang w:val="zh-CN" w:bidi="zh-CN"/>
    </w:rPr>
  </w:style>
  <w:style w:type="paragraph" w:styleId="1221" w:customStyle="1">
    <w:name w:val="xl107"/>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2" w:customStyle="1">
    <w:name w:val="font10"/>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23" w:customStyle="1">
    <w:name w:val="xl108"/>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4" w:customStyle="1">
    <w:name w:val="xl127"/>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5" w:customStyle="1">
    <w:name w:val="xl124"/>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6" w:customStyle="1">
    <w:name w:val="font7"/>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27" w:customStyle="1">
    <w:name w:val="xl162"/>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28" w:customStyle="1">
    <w:name w:val="xl123"/>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9" w:customStyle="1">
    <w:name w:val="xl113"/>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30" w:customStyle="1">
    <w:name w:val="font12"/>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31" w:customStyle="1">
    <w:name w:val="xl145"/>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32" w:customStyle="1">
    <w:name w:val="font22"/>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33" w:customStyle="1">
    <w:name w:val="xl157"/>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34" w:customStyle="1">
    <w:name w:val="xl156"/>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35" w:customStyle="1">
    <w:name w:val="xl111"/>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6" w:customStyle="1">
    <w:name w:val="xl143"/>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7" w:customStyle="1">
    <w:name w:val="xl128"/>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8" w:customStyle="1">
    <w:name w:val="xl138"/>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9" w:customStyle="1">
    <w:name w:val="xl152"/>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0" w:customStyle="1">
    <w:name w:val="xl117"/>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1" w:customStyle="1">
    <w:name w:val="xl149"/>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2" w:customStyle="1">
    <w:name w:val="xl154"/>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3" w:customStyle="1">
    <w:name w:val="xl146"/>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4" w:customStyle="1">
    <w:name w:val="xl122"/>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5" w:customStyle="1">
    <w:name w:val="font8"/>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46" w:customStyle="1">
    <w:name w:val="xl142"/>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7" w:customStyle="1">
    <w:name w:val="xl125"/>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8" w:customStyle="1">
    <w:name w:val="font6"/>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49" w:customStyle="1">
    <w:name w:val="xl126"/>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0" w:customStyle="1">
    <w:name w:val="xl105"/>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1" w:customStyle="1">
    <w:name w:val="xl109"/>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2" w:customStyle="1">
    <w:name w:val="xl136"/>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3" w:customStyle="1">
    <w:name w:val="xl101"/>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54" w:customStyle="1">
    <w:name w:val="列出段落11"/>
    <w:basedOn w:val="846"/>
    <w:uiPriority w:val="34"/>
    <w:qFormat/>
    <w:pPr>
      <w:ind w:firstLine="420"/>
    </w:pPr>
    <w:rPr>
      <w:rFonts w:ascii="Calibri" w:hAnsi="Calibri" w:eastAsia="宋体"/>
      <w:szCs w:val="26"/>
    </w:rPr>
  </w:style>
  <w:style w:type="paragraph" w:styleId="1255" w:customStyle="1">
    <w:name w:val="font15"/>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56" w:customStyle="1">
    <w:name w:val="xl161"/>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57" w:customStyle="1">
    <w:name w:val="xl141"/>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8" w:customStyle="1">
    <w:name w:val="xl118"/>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9" w:customStyle="1">
    <w:name w:val="xl153"/>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0" w:customStyle="1">
    <w:name w:val="xl133"/>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1" w:customStyle="1">
    <w:name w:val="font17"/>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62" w:customStyle="1">
    <w:name w:val="xl140"/>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3" w:customStyle="1">
    <w:name w:val="xl159"/>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4" w:customStyle="1">
    <w:name w:val="xl103"/>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5" w:customStyle="1">
    <w:name w:val="xl120"/>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6" w:customStyle="1">
    <w:name w:val="xl148"/>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7" w:customStyle="1">
    <w:name w:val="xl150"/>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8" w:customStyle="1">
    <w:name w:val="xl110"/>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9" w:customStyle="1">
    <w:name w:val="正文1"/>
    <w:uiPriority w:val="0"/>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270" w:customStyle="1">
    <w:name w:val="xl132"/>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1" w:customStyle="1">
    <w:name w:val="font16"/>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72" w:customStyle="1">
    <w:name w:val="Normal_20"/>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73" w:customStyle="1">
    <w:name w:val="xl114"/>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4" w:customStyle="1">
    <w:name w:val="xl131"/>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5" w:customStyle="1">
    <w:name w:val="_Style 7"/>
    <w:basedOn w:val="846"/>
    <w:uiPriority w:val="0"/>
    <w:qFormat/>
    <w:pPr>
      <w:ind w:firstLine="420"/>
    </w:pPr>
    <w:rPr>
      <w:rFonts w:eastAsia="宋体"/>
      <w:szCs w:val="26"/>
    </w:rPr>
  </w:style>
  <w:style w:type="paragraph" w:styleId="1276" w:customStyle="1">
    <w:name w:val="xl106"/>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7" w:customStyle="1">
    <w:name w:val="xl137"/>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8" w:customStyle="1">
    <w:name w:val="font14"/>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79" w:customStyle="1">
    <w:name w:val="xl100"/>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80" w:customStyle="1">
    <w:name w:val="xl99"/>
    <w:basedOn w:val="846"/>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281" w:customStyle="1">
    <w:name w:val="xl151"/>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2" w:customStyle="1">
    <w:name w:val="_Style 26"/>
    <w:next w:val="846"/>
    <w:uiPriority w:val="99"/>
    <w:qFormat/>
    <w:pPr>
      <w:jc w:val="both"/>
      <w:widowControl w:val="off"/>
    </w:pPr>
    <w:rPr>
      <w:rFonts w:hint="default" w:ascii="Times New Roman" w:hAnsi="Times New Roman" w:eastAsia="楷体_GB2312" w:cs="Times New Roman"/>
      <w:sz w:val="26"/>
      <w:szCs w:val="26"/>
      <w:lang w:val="en-US" w:eastAsia="zh-CN" w:bidi="ar-SA"/>
    </w:rPr>
  </w:style>
  <w:style w:type="paragraph" w:styleId="1283" w:customStyle="1">
    <w:name w:val="样式 标题 1 + 宋体 段前: 0 磅 段后: 0 磅 行距: 单倍行距"/>
    <w:basedOn w:val="887"/>
    <w:next w:val="846"/>
    <w:uiPriority w:val="0"/>
    <w:qFormat/>
    <w:pPr>
      <w:jc w:val="center"/>
      <w:spacing w:line="240" w:lineRule="auto"/>
    </w:pPr>
    <w:rPr>
      <w:rFonts w:ascii="仿宋_GB2312" w:hAnsi="宋体" w:eastAsia="仿宋_GB2312" w:cs="宋体"/>
      <w:bCs/>
      <w:szCs w:val="44"/>
    </w:rPr>
  </w:style>
  <w:style w:type="paragraph" w:styleId="1284" w:customStyle="1">
    <w:name w:val="font9"/>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85" w:customStyle="1">
    <w:name w:val="font20"/>
    <w:basedOn w:val="846"/>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86" w:customStyle="1">
    <w:name w:val="font13"/>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87" w:customStyle="1">
    <w:name w:val="xl102"/>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8" w:customStyle="1">
    <w:name w:val="xl116"/>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9" w:customStyle="1">
    <w:name w:val="xl134"/>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0" w:customStyle="1">
    <w:name w:val="font18"/>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91" w:customStyle="1">
    <w:name w:val="xl121"/>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2" w:customStyle="1">
    <w:name w:val="xl158"/>
    <w:basedOn w:val="846"/>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93" w:customStyle="1">
    <w:name w:val="xl119"/>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4" w:customStyle="1">
    <w:name w:val="xl135"/>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5" w:customStyle="1">
    <w:name w:val="font5"/>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96" w:customStyle="1">
    <w:name w:val="xl155"/>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7" w:customStyle="1">
    <w:name w:val="font19"/>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98" w:customStyle="1">
    <w:name w:val="xl160"/>
    <w:basedOn w:val="8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9" w:customStyle="1">
    <w:name w:val="xl112"/>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0" w:customStyle="1">
    <w:name w:val="xl104"/>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1" w:customStyle="1">
    <w:name w:val="xl139"/>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02" w:customStyle="1">
    <w:name w:val="xl130"/>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3" w:customStyle="1">
    <w:name w:val="xl129"/>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4" w:customStyle="1">
    <w:name w:val="xl115"/>
    <w:basedOn w:val="84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5" w:customStyle="1">
    <w:name w:val="xl147"/>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6" w:customStyle="1">
    <w:name w:val="xl144"/>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07" w:customStyle="1">
    <w:name w:val="网格型1"/>
    <w:basedOn w:val="898"/>
    <w:uiPriority w:val="0"/>
    <w:qFormat/>
    <w:pPr>
      <w:jc w:val="both"/>
      <w:widowControl w:val="off"/>
    </w:pPr>
    <w:tblPr/>
  </w:style>
  <w:style w:type="character" w:styleId="1308" w:customStyle="1">
    <w:name w:val="纯文本 字符"/>
    <w:link w:val="846"/>
    <w:uiPriority w:val="0"/>
    <w:qFormat/>
    <w:rPr>
      <w:rFonts w:ascii="宋体" w:hAnsi="Courier New" w:eastAsia="楷体_GB2312"/>
      <w:sz w:val="26"/>
      <w:lang w:val="en-US" w:eastAsia="zh-CN" w:bidi="ar-SA"/>
    </w:rPr>
  </w:style>
  <w:style w:type="paragraph" w:styleId="1309" w:customStyle="1">
    <w:name w:val="_Style 225"/>
    <w:uiPriority w:val="0"/>
    <w:qFormat/>
    <w:pPr>
      <w:ind w:firstLine="420"/>
      <w:jc w:val="both"/>
      <w:spacing w:after="120"/>
      <w:widowControl w:val="off"/>
    </w:pPr>
    <w:rPr>
      <w:rFonts w:hint="default" w:ascii="Times New Roman" w:hAnsi="Times New Roman" w:eastAsia="楷体_GB2312" w:cs="Times New Roman"/>
      <w:sz w:val="26"/>
      <w:lang w:val="en-US" w:eastAsia="zh-CN" w:bidi="ar-SA"/>
    </w:rPr>
  </w:style>
  <w:style w:type="character" w:styleId="1310" w:customStyle="1">
    <w:name w:val="正文文本 字符"/>
    <w:link w:val="846"/>
    <w:uiPriority w:val="0"/>
    <w:qFormat/>
    <w:rPr>
      <w:rFonts w:ascii="楷体_GB2312" w:eastAsia="楷体_GB2312"/>
      <w:sz w:val="28"/>
    </w:rPr>
  </w:style>
  <w:style w:type="character" w:styleId="1311" w:customStyle="1">
    <w:name w:val="正文文本 字符1"/>
    <w:link w:val="846"/>
    <w:uiPriority w:val="0"/>
    <w:qFormat/>
    <w:rPr>
      <w:rFonts w:ascii="楷体_GB2312" w:eastAsia="楷体_GB2312"/>
      <w:sz w:val="28"/>
    </w:rPr>
  </w:style>
  <w:style w:type="table" w:styleId="1312" w:customStyle="1">
    <w:name w:val="Table Normal"/>
    <w:uiPriority w:val="2"/>
    <w:unhideWhenUsed/>
    <w:qFormat/>
    <w:pPr>
      <w:widowControl w:val="off"/>
    </w:pPr>
    <w:rPr>
      <w:sz w:val="22"/>
      <w:szCs w:val="22"/>
      <w:lang w:eastAsia="en-US"/>
    </w:rPr>
    <w:tblPr/>
  </w:style>
  <w:style w:type="table" w:styleId="1313" w:customStyle="1">
    <w:name w:val="Table Normal1"/>
    <w:uiPriority w:val="2"/>
    <w:unhideWhenUsed/>
    <w:qFormat/>
    <w:pPr>
      <w:widowControl w:val="off"/>
    </w:pPr>
    <w:rPr>
      <w:sz w:val="22"/>
      <w:szCs w:val="22"/>
      <w:lang w:eastAsia="en-US"/>
    </w:rPr>
    <w:tblPr/>
  </w:style>
  <w:style w:type="table" w:styleId="1314" w:customStyle="1">
    <w:name w:val="Table Normal2"/>
    <w:uiPriority w:val="2"/>
    <w:unhideWhenUsed/>
    <w:qFormat/>
    <w:pPr>
      <w:widowControl w:val="off"/>
    </w:pPr>
    <w:rPr>
      <w:sz w:val="22"/>
      <w:szCs w:val="22"/>
      <w:lang w:eastAsia="en-US"/>
    </w:rPr>
    <w:tblPr/>
  </w:style>
  <w:style w:type="table" w:styleId="1315" w:customStyle="1">
    <w:name w:val="Table Normal3"/>
    <w:uiPriority w:val="2"/>
    <w:unhideWhenUsed/>
    <w:qFormat/>
    <w:pPr>
      <w:widowControl w:val="off"/>
    </w:pPr>
    <w:rPr>
      <w:sz w:val="22"/>
      <w:szCs w:val="22"/>
      <w:lang w:eastAsia="en-US"/>
    </w:rPr>
    <w:tblPr/>
  </w:style>
  <w:style w:type="character" w:styleId="1316" w:customStyle="1">
    <w:name w:val="UserStyle_2"/>
    <w:link w:val="1317"/>
    <w:uiPriority w:val="0"/>
    <w:qFormat/>
    <w:rPr>
      <w:rFonts w:ascii="宋体" w:hAnsi="宋体"/>
      <w:color w:val="000000"/>
      <w:sz w:val="21"/>
    </w:rPr>
  </w:style>
  <w:style w:type="paragraph" w:styleId="1317" w:customStyle="1">
    <w:name w:val="UserStyle_3"/>
    <w:basedOn w:val="846"/>
    <w:link w:val="1316"/>
    <w:uiPriority w:val="0"/>
    <w:qFormat/>
    <w:pPr>
      <w:ind w:firstLine="420"/>
      <w:jc w:val="left"/>
      <w:spacing w:before="40" w:after="160" w:line="288" w:lineRule="auto"/>
      <w:widowControl/>
    </w:pPr>
    <w:rPr>
      <w:rFonts w:ascii="宋体" w:hAnsi="宋体" w:eastAsia="宋体"/>
      <w:color w:val="000000"/>
      <w:sz w:val="21"/>
    </w:rPr>
  </w:style>
  <w:style w:type="character" w:styleId="1318" w:customStyle="1">
    <w:name w:val="font141"/>
    <w:basedOn w:val="897"/>
    <w:link w:val="846"/>
    <w:uiPriority w:val="0"/>
    <w:qFormat/>
    <w:rPr>
      <w:rFonts w:hint="eastAsia" w:ascii="宋体" w:hAnsi="宋体" w:eastAsia="宋体" w:cs="宋体"/>
      <w:b/>
      <w:bCs/>
      <w:color w:val="ff0000"/>
      <w:sz w:val="18"/>
      <w:szCs w:val="18"/>
      <w:u w:val="none"/>
    </w:rPr>
  </w:style>
  <w:style w:type="character" w:styleId="1319" w:customStyle="1">
    <w:name w:val="标题 1 Char Char"/>
    <w:link w:val="846"/>
    <w:uiPriority w:val="0"/>
    <w:qFormat/>
    <w:rPr>
      <w:rFonts w:hint="eastAsia" w:ascii="宋体" w:hAnsi="宋体" w:eastAsia="宋体"/>
      <w:b/>
      <w:spacing w:val="-2"/>
      <w:sz w:val="24"/>
      <w:lang w:val="en-US" w:eastAsia="zh-CN"/>
    </w:rPr>
  </w:style>
  <w:style w:type="paragraph" w:styleId="1320" w:customStyle="1">
    <w:name w:val="样式 样式 标题 4 + 非加粗 + (中文) 黑体 段前: 0 磅 段后: 0 磅 行距: 固定值 22 磅"/>
    <w:basedOn w:val="846"/>
    <w:uiPriority w:val="0"/>
    <w:qFormat/>
    <w:pPr>
      <w:keepLines/>
      <w:keepNext/>
      <w:spacing w:before="156" w:after="156" w:line="500" w:lineRule="exact"/>
      <w:outlineLvl w:val="3"/>
    </w:pPr>
    <w:rPr>
      <w:rFonts w:ascii="Arial" w:hAnsi="Arial" w:cs="宋体"/>
      <w:b/>
      <w:bCs/>
      <w:sz w:val="24"/>
    </w:rPr>
  </w:style>
  <w:style w:type="paragraph" w:styleId="1321" w:customStyle="1">
    <w:name w:val="样式 宋体 首行缩进:  0.87 厘米"/>
    <w:basedOn w:val="846"/>
    <w:uiPriority w:val="0"/>
    <w:qFormat/>
    <w:pPr>
      <w:ind w:firstLine="493"/>
      <w:spacing w:line="480" w:lineRule="exact"/>
    </w:pPr>
    <w:rPr>
      <w:rFonts w:ascii="宋体" w:hAnsi="宋体" w:cs="宋体"/>
      <w:spacing w:val="6"/>
      <w:sz w:val="24"/>
    </w:rPr>
  </w:style>
  <w:style w:type="paragraph" w:styleId="1322" w:customStyle="1">
    <w:name w:val="样式 正文（首行缩进两字） + 宋体"/>
    <w:basedOn w:val="892"/>
    <w:uiPriority w:val="0"/>
    <w:qFormat/>
    <w:pPr>
      <w:ind w:firstLine="200"/>
      <w:spacing w:line="460" w:lineRule="exact"/>
    </w:pPr>
    <w:rPr>
      <w:spacing w:val="6"/>
      <w:szCs w:val="24"/>
    </w:rPr>
  </w:style>
  <w:style w:type="paragraph" w:styleId="1323" w:customStyle="1">
    <w:name w:val="样式 正文（首行缩进两字） + 宋体 首行缩进:  0 字符"/>
    <w:basedOn w:val="892"/>
    <w:uiPriority w:val="0"/>
    <w:qFormat/>
    <w:pPr>
      <w:spacing w:line="460" w:lineRule="exact"/>
    </w:pPr>
    <w:rPr>
      <w:rFonts w:cs="宋体"/>
      <w:spacing w:val="6"/>
      <w:szCs w:val="24"/>
    </w:rPr>
  </w:style>
  <w:style w:type="paragraph" w:styleId="1324" w:customStyle="1">
    <w:name w:val="样式 正文（首行缩进两字） + 宋体 左侧:  0 厘米 悬挂缩进: 1.43 字符"/>
    <w:basedOn w:val="892"/>
    <w:uiPriority w:val="0"/>
    <w:qFormat/>
    <w:pPr>
      <w:ind w:left="359" w:hanging="359"/>
      <w:spacing w:line="460" w:lineRule="exact"/>
    </w:pPr>
    <w:rPr>
      <w:rFonts w:cs="宋体"/>
      <w:spacing w:val="6"/>
      <w:szCs w:val="24"/>
    </w:rPr>
  </w:style>
  <w:style w:type="character" w:styleId="1325" w:customStyle="1">
    <w:name w:val="p141"/>
    <w:link w:val="846"/>
    <w:uiPriority w:val="0"/>
    <w:qFormat/>
    <w:rPr>
      <w:sz w:val="21"/>
      <w:szCs w:val="21"/>
    </w:rPr>
  </w:style>
  <w:style w:type="paragraph" w:styleId="1326" w:customStyle="1">
    <w:name w:val="标题2"/>
    <w:basedOn w:val="888"/>
    <w:uiPriority w:val="0"/>
    <w:qFormat/>
    <w:pPr>
      <w:keepLines w:val="0"/>
      <w:keepNext w:val="0"/>
      <w:spacing w:line="360" w:lineRule="auto"/>
    </w:pPr>
    <w:rPr>
      <w:rFonts w:ascii="Times New Roman" w:hAnsi="Times New Roman" w:eastAsia="宋体"/>
      <w:sz w:val="24"/>
    </w:rPr>
  </w:style>
  <w:style w:type="paragraph" w:styleId="1327" w:customStyle="1">
    <w:name w:val="普通正文"/>
    <w:basedOn w:val="846"/>
    <w:uiPriority w:val="0"/>
    <w:qFormat/>
    <w:pPr>
      <w:ind w:firstLine="480"/>
      <w:jc w:val="left"/>
      <w:spacing w:before="120" w:after="120" w:line="360" w:lineRule="auto"/>
    </w:pPr>
    <w:rPr>
      <w:rFonts w:ascii="Arial" w:hAnsi="Arial" w:eastAsia="宋体"/>
      <w:sz w:val="24"/>
      <w:szCs w:val="24"/>
    </w:rPr>
  </w:style>
  <w:style w:type="paragraph" w:styleId="1328" w:customStyle="1">
    <w:name w:val="正文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29" w:customStyle="1">
    <w:name w:val="font91"/>
    <w:basedOn w:val="897"/>
    <w:link w:val="846"/>
    <w:uiPriority w:val="0"/>
    <w:qFormat/>
    <w:rPr>
      <w:rFonts w:ascii="方正仿宋_GBK" w:hAnsi="方正仿宋_GBK" w:eastAsia="方正仿宋_GBK" w:cs="方正仿宋_GBK"/>
      <w:color w:val="ff0000"/>
      <w:sz w:val="20"/>
      <w:szCs w:val="20"/>
      <w:u w:val="none"/>
    </w:rPr>
  </w:style>
  <w:style w:type="paragraph" w:styleId="1330" w:customStyle="1">
    <w:name w:val="段"/>
    <w:basedOn w:val="846"/>
    <w:next w:val="846"/>
    <w:uiPriority w:val="0"/>
    <w:qFormat/>
    <w:pPr>
      <w:ind w:firstLine="200"/>
      <w:spacing w:line="360" w:lineRule="auto"/>
      <w:widowControl/>
    </w:pPr>
    <w:rPr>
      <w:rFonts w:ascii="宋体" w:hAnsi="宋体" w:eastAsia="宋体" w:cs="宋体"/>
      <w:sz w:val="24"/>
      <w:szCs w:val="24"/>
    </w:rPr>
  </w:style>
  <w:style w:type="paragraph" w:styleId="1331" w:customStyle="1">
    <w:name w:val="_Style 3"/>
    <w:next w:val="949"/>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188"/>
    <w:uiPriority w:val="0"/>
    <w:qFormat/>
    <w:pPr>
      <w:ind w:firstLine="420"/>
      <w:jc w:val="both"/>
    </w:pPr>
    <w:rPr>
      <w:rFonts w:ascii="Arial Unicode MS" w:hAnsi="Arial Unicode MS" w:eastAsia="Arial Unicode MS" w:cs="Times New Roman"/>
      <w:color w:val="000000"/>
      <w:sz w:val="21"/>
      <w:szCs w:val="21"/>
      <w:lang w:val="en-US" w:eastAsia="zh-CN" w:bidi="ar-SA"/>
    </w:rPr>
  </w:style>
  <w:style w:type="character" w:styleId="1333" w:customStyle="1">
    <w:name w:val="NormalCharacter"/>
    <w:uiPriority w:val="0"/>
    <w:semiHidden/>
    <w:qFormat/>
  </w:style>
  <w:style w:type="paragraph" w:styleId="1334" w:customStyle="1">
    <w:name w:val="正文-首缩2字符"/>
    <w:basedOn w:val="846"/>
    <w:uiPriority w:val="99"/>
    <w:qFormat/>
    <w:pPr>
      <w:ind w:firstLine="200"/>
      <w:jc w:val="left"/>
      <w:spacing w:line="300" w:lineRule="auto"/>
    </w:pPr>
    <w:rPr>
      <w:rFonts w:hAnsi="宋体" w:cs="宋体" w:asciiTheme="minorEastAsia"/>
      <w:sz w:val="24"/>
    </w:rPr>
  </w:style>
  <w:style w:type="paragraph" w:styleId="1335" w:customStyle="1">
    <w:name w:val="正文-表格内文字"/>
    <w:basedOn w:val="846"/>
    <w:uiPriority w:val="0"/>
    <w:qFormat/>
    <w:rPr>
      <w:rFonts w:ascii="宋体" w:hAnsi="宋体" w:cs="仿宋"/>
      <w:sz w:val="24"/>
      <w:szCs w:val="21"/>
    </w:rPr>
  </w:style>
  <w:style w:type="numbering" w:styleId="1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jpg"/><Relationship Id="rId24" Type="http://schemas.openxmlformats.org/officeDocument/2006/relationships/image" Target="media/image4.jpg"/><Relationship Id="rId25" Type="http://schemas.openxmlformats.org/officeDocument/2006/relationships/image" Target="media/image5.jpg"/><Relationship Id="rId26" Type="http://schemas.openxmlformats.org/officeDocument/2006/relationships/image" Target="media/image6.png"/><Relationship Id="rId27" Type="http://schemas.openxmlformats.org/officeDocument/2006/relationships/image" Target="media/image7.jpg"/><Relationship Id="rId28"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余管琦</cp:lastModifiedBy>
  <cp:revision>7</cp:revision>
  <dcterms:created xsi:type="dcterms:W3CDTF">2025-02-06T06:33:00Z</dcterms:created>
  <dcterms:modified xsi:type="dcterms:W3CDTF">2025-09-18T03:15:48Z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eyJoZGlkIjoiNzczMDFlYjNmNWE2MjNkODg5YjBlYjc2NzVlYzJiY2EiLCJ1c2VySWQiOiIzMTEyNzcyNzUifQ==</vt:lpwstr>
  </property>
  <property fmtid="{D5CDD505-2E9C-101B-9397-08002B2CF9AE}" pid="3" name="KSOProductBuildVer">
    <vt:lpwstr>2052-12.1.0.22529</vt:lpwstr>
  </property>
  <property fmtid="{D5CDD505-2E9C-101B-9397-08002B2CF9AE}" pid="4" name="ICV">
    <vt:lpwstr>571BA0FBB0024691A538800A02790979_13</vt:lpwstr>
  </property>
</Properties>
</file>