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1011"/>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1011"/>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p>
    <w:p>
      <w:pPr>
        <w:pStyle w:val="101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101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1011"/>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23"/>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JSZC-320200-JZCG-G2024-0253</w:t>
      </w:r>
      <w:r>
        <w:rPr>
          <w:rFonts w:ascii="黑体" w:hAnsi="华文中宋" w:eastAsia="黑体"/>
          <w:bCs/>
          <w:color w:val="auto"/>
          <w:sz w:val="32"/>
          <w:szCs w:val="32"/>
          <w:highlight w:val="none"/>
        </w:rPr>
      </w:r>
      <w:r>
        <w:rPr>
          <w:color w:val="auto"/>
          <w:highlight w:val="none"/>
        </w:rPr>
      </w:r>
    </w:p>
    <w:p>
      <w:pPr>
        <w:pStyle w:val="923"/>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市级医疗信息共享平台软件开发项目</w:t>
      </w:r>
      <w:r>
        <w:rPr>
          <w:rFonts w:hint="eastAsia" w:ascii="黑体" w:hAnsi="华文中宋" w:eastAsia="黑体"/>
          <w:bCs/>
          <w:color w:val="auto"/>
          <w:sz w:val="32"/>
          <w:szCs w:val="32"/>
          <w:highlight w:val="none"/>
        </w:rPr>
      </w:r>
      <w:r>
        <w:rPr>
          <w:color w:val="auto"/>
          <w:highlight w:val="none"/>
        </w:rPr>
      </w:r>
    </w:p>
    <w:p>
      <w:pPr>
        <w:pStyle w:val="923"/>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无锡市卫生健康委员会</w:t>
      </w:r>
      <w:r>
        <w:rPr>
          <w:rFonts w:hint="eastAsia" w:ascii="黑体" w:hAnsi="华文中宋" w:eastAsia="黑体"/>
          <w:bCs/>
          <w:color w:val="auto"/>
          <w:sz w:val="32"/>
          <w:szCs w:val="32"/>
          <w:highlight w:val="none"/>
        </w:rPr>
      </w:r>
      <w:r>
        <w:rPr>
          <w:color w:val="auto"/>
          <w:highlight w:val="none"/>
        </w:rPr>
      </w:r>
    </w:p>
    <w:p>
      <w:pPr>
        <w:pStyle w:val="923"/>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101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1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1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1011"/>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101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四</w:t>
      </w:r>
      <w:r>
        <w:rPr>
          <w:rFonts w:hint="eastAsia" w:ascii="黑体" w:hAnsi="华文中宋" w:eastAsia="黑体"/>
          <w:bCs/>
          <w:color w:val="auto"/>
          <w:sz w:val="32"/>
          <w:szCs w:val="32"/>
          <w:highlight w:val="none"/>
        </w:rPr>
        <w:t xml:space="preserve">年十二月</w:t>
      </w:r>
      <w:r>
        <w:rPr>
          <w:rFonts w:ascii="黑体" w:hAnsi="华文中宋" w:eastAsia="黑体"/>
          <w:bCs/>
          <w:color w:val="auto"/>
          <w:sz w:val="32"/>
          <w:szCs w:val="32"/>
          <w:highlight w:val="none"/>
        </w:rPr>
      </w:r>
      <w:r>
        <w:rPr>
          <w:color w:val="auto"/>
          <w:highlight w:val="none"/>
        </w:rPr>
      </w:r>
    </w:p>
    <w:p>
      <w:pPr>
        <w:pStyle w:val="1011"/>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923"/>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92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92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92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92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92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923"/>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923"/>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923"/>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无锡市卫生健康委员会</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市级医疗信息共享平台软件开发项目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JSZC-320200-JZCG-G2024-0253</w:t>
      </w:r>
      <w:r>
        <w:rPr>
          <w:rFonts w:hint="eastAsia" w:ascii="宋体" w:hAnsi="宋体"/>
          <w:color w:val="auto"/>
          <w:sz w:val="24"/>
          <w:szCs w:val="24"/>
          <w:highlight w:val="none"/>
        </w:rPr>
        <w:t xml:space="preserve">）进行公开招标采购，欢迎符合条</w:t>
      </w:r>
      <w:r>
        <w:rPr>
          <w:rFonts w:hint="eastAsia" w:ascii="宋体" w:hAnsi="宋体"/>
          <w:color w:val="auto"/>
          <w:sz w:val="24"/>
          <w:szCs w:val="24"/>
          <w:highlight w:val="none"/>
        </w:rPr>
        <w:t xml:space="preserve">件的供应商投标。</w:t>
      </w:r>
      <w:r>
        <w:rPr>
          <w:rFonts w:ascii="宋体" w:hAnsi="宋体"/>
          <w:color w:val="auto"/>
          <w:sz w:val="24"/>
          <w:szCs w:val="24"/>
          <w:highlight w:val="none"/>
          <w:shd w:val="clear" w:color="ffffff" w:fill="d9d9d9"/>
        </w:rPr>
      </w:r>
      <w:r>
        <w:rPr>
          <w:color w:val="auto"/>
          <w:highlight w:val="none"/>
        </w:rPr>
      </w:r>
    </w:p>
    <w:p>
      <w:pPr>
        <w:pStyle w:val="923"/>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923"/>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市级医疗信息共享平台软件开发项目</w:t>
      </w:r>
      <w:r>
        <w:rPr>
          <w:rFonts w:hint="eastAsia" w:ascii="宋体" w:hAnsi="宋体"/>
          <w:color w:val="auto"/>
          <w:sz w:val="24"/>
          <w:szCs w:val="24"/>
          <w:highlight w:val="none"/>
        </w:rPr>
        <w:t xml:space="preserve">采购项目的潜在投标人应在“无锡政府采购</w:t>
      </w:r>
      <w:r>
        <w:rPr>
          <w:rFonts w:hint="eastAsia" w:ascii="宋体" w:hAnsi="宋体"/>
          <w:color w:val="auto"/>
          <w:sz w:val="24"/>
          <w:szCs w:val="24"/>
          <w:highlight w:val="none"/>
        </w:rPr>
        <w:t xml:space="preserve">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2025</w:t>
      </w:r>
      <w:r>
        <w:rPr>
          <w:rFonts w:hint="eastAsia" w:ascii="宋体" w:hAnsi="宋体"/>
          <w:color w:val="auto"/>
          <w:sz w:val="24"/>
          <w:szCs w:val="24"/>
          <w:highlight w:val="none"/>
        </w:rPr>
        <w:t xml:space="preserve">年</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月</w:t>
      </w: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日0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926"/>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JSZC-320200-JZCG-G2024-0253</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市级医疗信息共享平台软件开发项目</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279.22</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279.22</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926"/>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923"/>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92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923"/>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p>
    <w:p>
      <w:pPr>
        <w:pStyle w:val="923"/>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bCs/>
          <w:color w:val="auto"/>
          <w:sz w:val="24"/>
          <w:szCs w:val="24"/>
          <w:highlight w:val="none"/>
        </w:rPr>
      </w:r>
      <w:r>
        <w:rPr>
          <w:color w:val="auto"/>
          <w:highlight w:val="none"/>
        </w:rPr>
      </w:r>
    </w:p>
    <w:p>
      <w:pPr>
        <w:pStyle w:val="923"/>
        <w:ind w:firstLine="540"/>
        <w:spacing w:line="500" w:lineRule="exact"/>
        <w:rPr>
          <w:rStyle w:val="1000"/>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1000"/>
          <w:color w:val="auto"/>
          <w:highlight w:val="none"/>
        </w:rPr>
      </w:r>
      <w:r>
        <w:rPr>
          <w:color w:val="auto"/>
          <w:highlight w:val="none"/>
        </w:rPr>
      </w:r>
    </w:p>
    <w:p>
      <w:pPr>
        <w:pStyle w:val="923"/>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92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p>
    <w:p>
      <w:pPr>
        <w:pStyle w:val="923"/>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926"/>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92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926"/>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无锡市卫生健康委员会</w:t>
      </w:r>
      <w:r>
        <w:rPr>
          <w:rFonts w:ascii="宋体" w:hAnsi="宋体" w:cs="宋体"/>
          <w:color w:val="auto"/>
          <w:sz w:val="24"/>
          <w:szCs w:val="24"/>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无锡市市民中心4号楼4楼</w:t>
      </w:r>
      <w:r>
        <w:rPr>
          <w:rFonts w:ascii="宋体" w:hAnsi="宋体" w:cs="宋体"/>
          <w:color w:val="auto"/>
          <w:sz w:val="24"/>
          <w:szCs w:val="24"/>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923"/>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冯晶</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85749089</w:t>
      </w:r>
      <w:r>
        <w:rPr>
          <w:rFonts w:hint="eastAsia" w:ascii="宋体" w:hAnsi="宋体" w:cs="宋体"/>
          <w:color w:val="auto"/>
          <w:sz w:val="24"/>
          <w:szCs w:val="24"/>
          <w:highlight w:val="none"/>
        </w:rPr>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冯晶</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85749089</w:t>
      </w:r>
      <w:r>
        <w:rPr>
          <w:rFonts w:hint="eastAsia" w:ascii="宋体" w:hAnsi="宋体" w:cs="宋体"/>
          <w:color w:val="auto"/>
          <w:sz w:val="24"/>
          <w:szCs w:val="24"/>
          <w:highlight w:val="none"/>
        </w:rPr>
      </w:r>
      <w:r>
        <w:rPr>
          <w:color w:val="auto"/>
          <w:highlight w:val="none"/>
        </w:rPr>
      </w:r>
    </w:p>
    <w:p>
      <w:pPr>
        <w:pStyle w:val="923"/>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92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923"/>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923"/>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923"/>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923"/>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p>
    <w:p>
      <w:pPr>
        <w:pStyle w:val="923"/>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shd w:val="clear" w:color="ffffff" w:fill="d9d9d9"/>
        </w:rPr>
      </w:r>
      <w:r>
        <w:rPr>
          <w:color w:val="auto"/>
          <w:highlight w:val="none"/>
        </w:rPr>
      </w:r>
    </w:p>
    <w:p>
      <w:pPr>
        <w:pStyle w:val="923"/>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923"/>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w:t>
      </w:r>
      <w:r>
        <w:rPr>
          <w:rFonts w:hint="eastAsia" w:ascii="宋体" w:hAnsi="宋体"/>
          <w:color w:val="auto"/>
          <w:sz w:val="24"/>
          <w:highlight w:val="none"/>
        </w:rPr>
        <w:t xml:space="preserve">，</w:t>
      </w:r>
      <w:r>
        <w:rPr>
          <w:rFonts w:hint="eastAsia" w:ascii="宋体" w:hAnsi="宋体"/>
          <w:color w:val="auto"/>
          <w:sz w:val="24"/>
          <w:highlight w:val="none"/>
        </w:rPr>
        <w:t xml:space="preserve">完整、正确填写投标函、承诺书</w:t>
      </w:r>
      <w:r>
        <w:rPr>
          <w:rFonts w:hint="eastAsia" w:ascii="宋体" w:hAnsi="宋体"/>
          <w:color w:val="auto"/>
          <w:sz w:val="24"/>
          <w:highlight w:val="none"/>
        </w:rPr>
        <w:t xml:space="preserve">；投标人应按照“苏采云”系统中的</w:t>
      </w:r>
      <w:r>
        <w:rPr>
          <w:rFonts w:hint="eastAsia" w:ascii="宋体" w:hAnsi="宋体"/>
          <w:color w:val="auto"/>
          <w:sz w:val="24"/>
          <w:highlight w:val="none"/>
        </w:rPr>
        <w:t xml:space="preserve">给定格式</w:t>
      </w:r>
      <w:r>
        <w:rPr>
          <w:rFonts w:hint="eastAsia" w:ascii="宋体" w:hAnsi="宋体"/>
          <w:color w:val="auto"/>
          <w:sz w:val="24"/>
          <w:highlight w:val="none"/>
        </w:rPr>
        <w:t xml:space="preserve">模块为准，完整、正确填写开标一览表</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923"/>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1036"/>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923"/>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rPr>
        <w:t xml:space="preserve">。</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923"/>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rFonts w:hint="eastAsia" w:ascii="宋体" w:hAnsi="宋体"/>
          <w:color w:val="auto"/>
          <w:sz w:val="24"/>
          <w:szCs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923"/>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92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92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923"/>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923"/>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923"/>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923"/>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rFonts w:hint="eastAsia" w:ascii="宋体" w:hAnsi="宋体"/>
          <w:bCs/>
          <w:color w:val="auto"/>
          <w:sz w:val="24"/>
          <w:highlight w:val="none"/>
          <w:shd w:val="clear" w:color="ffffff" w:fill="d9d9d9"/>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highlight w:val="none"/>
        </w:rPr>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92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92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92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923"/>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92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p>
    <w:p>
      <w:pPr>
        <w:pStyle w:val="923"/>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923"/>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92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923"/>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923"/>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923"/>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923"/>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926"/>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923"/>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92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938"/>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p>
    <w:p>
      <w:pPr>
        <w:pStyle w:val="923"/>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923"/>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rFonts w:ascii="宋体" w:hAnsi="宋体"/>
          <w:b/>
          <w:bCs/>
          <w:color w:val="auto"/>
          <w:sz w:val="30"/>
          <w:szCs w:val="20"/>
          <w:highlight w:val="none"/>
        </w:rPr>
      </w:r>
      <w:r>
        <w:rPr>
          <w:color w:val="auto"/>
          <w:highlight w:val="none"/>
        </w:rPr>
      </w:r>
    </w:p>
    <w:p>
      <w:pPr>
        <w:pStyle w:val="962"/>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p>
    <w:p>
      <w:pPr>
        <w:pStyle w:val="962"/>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p>
    <w:p>
      <w:pPr>
        <w:pStyle w:val="962"/>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rFonts w:hint="eastAsia" w:hAnsi="宋体"/>
          <w:color w:val="auto"/>
          <w:sz w:val="24"/>
          <w:szCs w:val="24"/>
          <w:highlight w:val="none"/>
        </w:rPr>
      </w:r>
      <w:r>
        <w:rPr>
          <w:color w:val="auto"/>
          <w:highlight w:val="none"/>
        </w:rPr>
      </w:r>
    </w:p>
    <w:p>
      <w:pPr>
        <w:pStyle w:val="962"/>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rFonts w:hAnsi="宋体"/>
          <w:b/>
          <w:color w:val="auto"/>
          <w:sz w:val="24"/>
          <w:szCs w:val="24"/>
          <w:highlight w:val="none"/>
        </w:rPr>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p>
    <w:p>
      <w:pPr>
        <w:pStyle w:val="962"/>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p>
    <w:p>
      <w:pPr>
        <w:pStyle w:val="962"/>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rFonts w:hAnsi="宋体"/>
          <w:color w:val="auto"/>
          <w:sz w:val="24"/>
          <w:szCs w:val="24"/>
          <w:highlight w:val="none"/>
        </w:rPr>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Ansi="宋体"/>
          <w:color w:val="auto"/>
          <w:sz w:val="24"/>
          <w:szCs w:val="24"/>
          <w:highlight w:val="none"/>
        </w:rPr>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p>
    <w:p>
      <w:pPr>
        <w:pStyle w:val="962"/>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rFonts w:hint="eastAsia" w:hAnsi="宋体"/>
          <w:color w:val="auto"/>
          <w:sz w:val="24"/>
          <w:szCs w:val="24"/>
          <w:highlight w:val="none"/>
        </w:rPr>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p>
    <w:p>
      <w:pPr>
        <w:pStyle w:val="962"/>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p>
    <w:p>
      <w:pPr>
        <w:pStyle w:val="962"/>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rFonts w:hint="eastAsia" w:hAnsi="宋体"/>
          <w:color w:val="auto"/>
          <w:sz w:val="24"/>
          <w:szCs w:val="24"/>
          <w:highlight w:val="none"/>
        </w:rPr>
      </w:r>
      <w:r>
        <w:rPr>
          <w:color w:val="auto"/>
          <w:highlight w:val="none"/>
        </w:rPr>
      </w:r>
    </w:p>
    <w:p>
      <w:pPr>
        <w:pStyle w:val="962"/>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rFonts w:hAnsi="宋体"/>
          <w:color w:val="auto"/>
          <w:sz w:val="24"/>
          <w:szCs w:val="24"/>
          <w:highlight w:val="none"/>
          <w:u w:val="single"/>
        </w:rPr>
      </w:r>
      <w:r>
        <w:rPr>
          <w:color w:val="auto"/>
          <w:highlight w:val="none"/>
        </w:rPr>
      </w:r>
    </w:p>
    <w:p>
      <w:pPr>
        <w:pStyle w:val="962"/>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rFonts w:hAnsi="宋体"/>
          <w:color w:val="auto"/>
          <w:sz w:val="24"/>
          <w:szCs w:val="24"/>
          <w:highlight w:val="none"/>
          <w:u w:val="single"/>
        </w:rPr>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p>
    <w:p>
      <w:pPr>
        <w:pStyle w:val="962"/>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p>
    <w:p>
      <w:pPr>
        <w:pStyle w:val="962"/>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rFonts w:hAnsi="宋体"/>
          <w:color w:val="auto"/>
          <w:sz w:val="24"/>
          <w:szCs w:val="24"/>
          <w:highlight w:val="none"/>
        </w:rPr>
      </w:r>
      <w:r>
        <w:rPr>
          <w:color w:val="auto"/>
          <w:highlight w:val="none"/>
        </w:rPr>
      </w:r>
    </w:p>
    <w:p>
      <w:pPr>
        <w:pStyle w:val="923"/>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923"/>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923"/>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rFonts w:hint="eastAsia" w:ascii="宋体" w:hAnsi="宋体"/>
          <w:color w:val="auto"/>
          <w:sz w:val="24"/>
          <w:szCs w:val="24"/>
          <w:highlight w:val="none"/>
        </w:rPr>
      </w:r>
      <w:r>
        <w:rPr>
          <w:color w:val="auto"/>
          <w:highlight w:val="none"/>
        </w:rPr>
      </w:r>
    </w:p>
    <w:p>
      <w:pPr>
        <w:pStyle w:val="923"/>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rFonts w:ascii="宋体" w:hAnsi="宋体" w:eastAsia="仿宋_GB2312"/>
          <w:color w:val="auto"/>
          <w:sz w:val="24"/>
          <w:szCs w:val="24"/>
          <w:highlight w:val="none"/>
        </w:rPr>
      </w:r>
      <w:r>
        <w:rPr>
          <w:color w:val="auto"/>
          <w:highlight w:val="none"/>
        </w:rPr>
      </w:r>
    </w:p>
    <w:p>
      <w:pPr>
        <w:pStyle w:val="962"/>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p>
    <w:p>
      <w:pPr>
        <w:pStyle w:val="962"/>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尾款支付时间：服务结束并验收合格,采购人收到发票后</w:t>
      </w:r>
      <w:r>
        <w:rPr>
          <w:rFonts w:hint="eastAsia" w:hAnsi="宋体"/>
          <w:color w:val="auto"/>
          <w:sz w:val="24"/>
          <w:szCs w:val="24"/>
          <w:highlight w:val="none"/>
          <w:lang w:eastAsia="zh-CN"/>
        </w:rPr>
        <w:t xml:space="preserve">10个工作日</w:t>
      </w:r>
      <w:r>
        <w:rPr>
          <w:rFonts w:hint="eastAsia" w:hAnsi="宋体"/>
          <w:color w:val="auto"/>
          <w:sz w:val="24"/>
          <w:szCs w:val="24"/>
          <w:highlight w:val="none"/>
        </w:rPr>
        <w:t xml:space="preserve">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62"/>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auto"/>
          <w:sz w:val="24"/>
          <w:szCs w:val="24"/>
          <w:highlight w:val="none"/>
        </w:rPr>
        <w:t xml:space="preserve">如</w:t>
      </w:r>
      <w:r>
        <w:rPr>
          <w:rFonts w:hint="eastAsia" w:hAnsi="宋体"/>
          <w:bCs/>
          <w:color w:val="auto"/>
          <w:sz w:val="24"/>
          <w:szCs w:val="24"/>
          <w:highlight w:val="none"/>
        </w:rPr>
        <w:t xml:space="preserve">供应商明确表示无需预付款或者主动要求降低预付款比例的，采购人可不适用前述规定。）</w:t>
      </w:r>
      <w:r>
        <w:rPr>
          <w:rFonts w:hint="eastAsia" w:hAnsi="宋体"/>
          <w:bCs/>
          <w:color w:val="auto"/>
          <w:sz w:val="24"/>
          <w:szCs w:val="24"/>
          <w:highlight w:val="none"/>
        </w:rPr>
      </w:r>
      <w:r>
        <w:rPr>
          <w:color w:val="auto"/>
          <w:highlight w:val="none"/>
        </w:rPr>
      </w:r>
    </w:p>
    <w:p>
      <w:pPr>
        <w:pStyle w:val="923"/>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923"/>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rFonts w:hAnsi="宋体"/>
          <w:b/>
          <w:color w:val="auto"/>
          <w:sz w:val="24"/>
          <w:szCs w:val="24"/>
          <w:highlight w:val="none"/>
        </w:rPr>
      </w:r>
      <w:r>
        <w:rPr>
          <w:color w:val="auto"/>
          <w:highlight w:val="none"/>
        </w:rPr>
      </w:r>
    </w:p>
    <w:p>
      <w:pPr>
        <w:pStyle w:val="962"/>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p>
    <w:p>
      <w:pPr>
        <w:pStyle w:val="962"/>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p>
    <w:p>
      <w:pPr>
        <w:pStyle w:val="962"/>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p>
    <w:p>
      <w:pPr>
        <w:pStyle w:val="962"/>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p>
    <w:p>
      <w:pPr>
        <w:pStyle w:val="962"/>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p>
    <w:p>
      <w:pPr>
        <w:pStyle w:val="962"/>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p>
    <w:p>
      <w:pPr>
        <w:pStyle w:val="962"/>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rFonts w:hint="eastAsia"/>
          <w:color w:val="auto"/>
          <w:highlight w:val="none"/>
        </w:rPr>
      </w:r>
      <w:r>
        <w:rPr>
          <w:color w:val="auto"/>
          <w:highlight w:val="none"/>
        </w:rPr>
      </w:r>
    </w:p>
    <w:p>
      <w:pPr>
        <w:pStyle w:val="923"/>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sz w:val="24"/>
          <w:szCs w:val="24"/>
          <w:highlight w:val="none"/>
        </w:rPr>
      </w:r>
      <w:r>
        <w:rPr>
          <w:color w:val="auto"/>
          <w:highlight w:val="none"/>
        </w:rPr>
      </w:r>
    </w:p>
    <w:p>
      <w:pPr>
        <w:pStyle w:val="923"/>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hAnsi="宋体"/>
          <w:color w:val="auto"/>
          <w:sz w:val="36"/>
          <w:szCs w:val="36"/>
          <w:highlight w:val="none"/>
        </w:rPr>
      </w:r>
      <w:r>
        <w:rPr>
          <w:color w:val="auto"/>
          <w:highlight w:val="none"/>
        </w:rPr>
      </w:r>
    </w:p>
    <w:p>
      <w:pPr>
        <w:pStyle w:val="923"/>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p>
    <w:p>
      <w:pPr>
        <w:pStyle w:val="923"/>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p>
    <w:p>
      <w:pPr>
        <w:pStyle w:val="923"/>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p>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1.项目背景</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随着医疗技术的快速发展和信息化建设的深入推进，医学影像检查结果的互认已经成为提高医疗服务效率、降低医疗成本、提升患者就医体验的重要手段。江苏省卫生健康委员会和江苏省医疗保障局联合印发《关于做好江苏省卫生健康云（影像平台）检查结果医疗机构间互认工作的通知》（苏卫医政 [2022] 18号），旨在推动全省医疗机构间的医学影像检查结果互认工作。</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江苏省卫生健康委依托国家健康医疗大数据(东部)中心，推进省卫生健康云整体建设，其中省“影像平台”为全省医疗机构提供医学影像检查结果统一云存储，逐步支撑省内医疗机构检查结果共享互认和评价管理工作。这为医学影像检查结果的互认提供了技术基础。</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无锡市人民政府办公室《关于印发无锡市政务云平台管理办法（试行）的通知》（锡政办发〔2021〕5号）要求使用单位应当全面梳理已建、在建政务信息系统的建设、运维和使用情况，制定集约迁移上云工作计划，在 2022 年底前全部迁移到政务云平台上。如信息系统因特殊原因无法迁移上云，须由使用单位提供充分必要的材料报市大数据管理局审批同意。</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同时，无锡市大数据管理局《关于印发 2023 年度无锡市市级政务信息化项目建设计划的通知》（锡数发〔2023〕14号）提到“建设市级医疗信息共享平台，推动电子病历、医学影像等数据在不同层级医疗卫生机构间的授权使用，实现互联互通互认；实施全民健康信息平台的提档升级，依托“灵锡”APP 等多种渠道，向群众提供本人健康档案、诊疗信息、体检报告查询等服务。”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因此，本次项目是推进我市医疗健康信息化建设的具体实践，是践行“互联网+行业管理”模式的探索，对准任务、精准锚定数字化转型，加快推进检查结果互认共享多跨协同应用场景建设，从而改善人民群众就医体验。以信息化技术手段将传统管理逐步转变为数字化的一种创新。通过项目建设能够实现计算和存储资源7*24小时的实时监管，能够有效提升我市卫生健康行业单位信息化安全防护能力，让安全可视化和绩效指标化，降低卫生健康行业信息安全事件发生的风险。</w:t>
      </w:r>
      <w:r>
        <w:rPr>
          <w:color w:val="auto"/>
          <w:highlight w:val="none"/>
        </w:rPr>
      </w:r>
    </w:p>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2.现状描述</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无锡市卫生健康委现有软件平台情况</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全民健康信息平台：市全民健康信息平台遵照卫生健康行业互联互通评测标准建设，拥有众多业务系统组成的综合体。其自身立足于全员人口信息库、居民健康档案库、电子病历库、卫生健康服务资源库、健康知识库以及基础资源库，构建居民自助、业务协同、业务运营和综合管理4大数据中心，集成市卫生健康委多年来建成的各类业务系统，实现区域健康信息的统筹管理和卫生健康业务的协同互动。</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主要业务系统如下：</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（1）市民健康档案系统：利用医保网络，</w:t>
      </w:r>
      <w:r>
        <w:rPr>
          <w:rFonts w:hint="eastAsia" w:ascii="宋体" w:hAnsi="宋体"/>
          <w:bCs/>
          <w:color w:val="auto"/>
          <w:sz w:val="24"/>
          <w:szCs w:val="24"/>
          <w:highlight w:val="none"/>
        </w:rPr>
        <w:t xml:space="preserve">延伸</w:t>
      </w:r>
      <w:r>
        <w:rPr>
          <w:rFonts w:hint="eastAsia" w:ascii="宋体" w:hAnsi="宋体"/>
          <w:bCs/>
          <w:color w:val="auto"/>
          <w:sz w:val="24"/>
          <w:szCs w:val="24"/>
          <w:highlight w:val="none"/>
        </w:rPr>
        <w:t xml:space="preserve">至各社区卫生服务中心，满足基本医疗和基本公共卫生服务需求，为市民建档500余万份，与多个业务系统构建成熟数据流。</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（2）区域影像云中心：运行于医保网络，由医疗机构上传影像数据，是拥有600TB以上影像数据的实时在线服务平台。</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（3）区域医疗数据中心：运行于医保网络，以市属医院为基础，立足电子病历等诊疗信息的数据集成平台，实现医院间病患信息互联互通。</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（4）人口和计划生育工作平台：运行于政务网络，实现社区、街道、区、市四级联通，满足自上而下的计生管理需求和自下而上的计生服务需求。</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（5）健康E家（医家）APP：运行于医保网络和互联网，对内构建医生端、对外构建居民端，是以家医签约在线服务为基础，实现居民医疗信息自主管理的基于物联网技术的智能健康管理平台。</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市级胸痛救治中心平台：市级胸痛救治中心是基于院前院内信息互联互通建设成果，建设全市胸痛救治绿色通道，使急性心肌梗死、主动脉夹层、肺动脉栓塞等以急性胸痛为主要临床表现的急危重症患者救治变得“更快、更准、更好”。充分整合院前、院内及院后各项资源，科学简化救治流程，有效提高了救治效率并直接提升胸痛病人的救治能力。</w:t>
      </w:r>
      <w:r>
        <w:rPr>
          <w:color w:val="auto"/>
          <w:highlight w:val="none"/>
        </w:rPr>
      </w:r>
    </w:p>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3.建设目标</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于无锡市全民健康信息平台，配合完成省卫生健康云（影像平台）建设，完成支撑检查互认应用升级改造。建设市政务云（医疗行业云），实现市卫生健康委和委各直属单位数据中心计算和存储资源统一云纳管。通过构建基于区块链技术的数据安全协同系统，实现可控、可信、可溯源的数据管理，大大降低信息泄露的风险。提升市卫生健康委网络安全体系，加强网络安全“防御、监测、响应”机制，升级行业信息化项目管理手段，强化系统底册管理和安全通报闭环处置。</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医学影像云服务：包含市“三重复”智能提醒工作升级、市医学影像云服务升级。基于现有的无锡市全民健康信息平台完成支撑检查互认应用的升级改造，配合完成无锡市检查互认服务和完善平台端影像互认监管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市政务云（医疗行业云）系统：通过采购和部署云平台，实现市卫生健康委及委各直属医院数据中心的云纳管，无需进行大规模系统迁移就能完成上云要求，有效保障系统稳定性。同时，云平台管理账户分发到各单位，可以实现各单位基础资源的云化管理，实质建成行业云计算、云存储应用。再则，通过展示页面开发，可以实现统一的运营管理，有效支持各单位领导管理决策。市政务云卫生行业云实现与市政务云多云纳管服务商对接，完成管理数据上传，并获得市大数据管理局确认。</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健康医疗数据安全协同系统：建设区块链技术应用。通过基于区块链技术的数据保护服务，保护医疗健康数据整个生命周期的安全，实现数据的可信、可控、可监管。并且在各直属医院及区卫生健康委实现三个应用场景的研发和部署：电子病历数据溯源，“智能提醒”业务协同，影像数据共享。</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项目建设管理系统：升级原数据中心运营管理系统为市卫健</w:t>
      </w:r>
      <w:r>
        <w:rPr>
          <w:rFonts w:hint="eastAsia" w:ascii="宋体" w:hAnsi="宋体"/>
          <w:bCs/>
          <w:color w:val="auto"/>
          <w:sz w:val="24"/>
          <w:szCs w:val="24"/>
          <w:highlight w:val="none"/>
        </w:rPr>
        <w:t xml:space="preserve">委</w:t>
      </w:r>
      <w:r>
        <w:rPr>
          <w:rFonts w:hint="eastAsia" w:ascii="宋体" w:hAnsi="宋体"/>
          <w:bCs/>
          <w:color w:val="auto"/>
          <w:sz w:val="24"/>
          <w:szCs w:val="24"/>
          <w:highlight w:val="none"/>
        </w:rPr>
        <w:t xml:space="preserve">项目建设管理系统。针对市卫生健康委员会内部，完善项目管理，确保项目进度和落实情况；针对我市卫生健康行业单位完善现有信息化安全管理，新增与市公安局网安系统对接，扩充通报数据来源，提供每日报告功能，满足重保期间工作情况统计上报；针对直属单位提供信息系统数据填报功能，对接行业云接口，获取服务器信息和项目信息。</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态势感知平台：升级市卫生健康委态势感知系统，满足行业监管需要；在委各直属医院、锡山区卫生健康委和惠山区卫生健康委通过探针或接口对接采集安全日志。</w:t>
      </w:r>
      <w:r>
        <w:rPr>
          <w:color w:val="auto"/>
          <w:highlight w:val="none"/>
        </w:rPr>
      </w:r>
    </w:p>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4.建设规划</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（1）医学影像云服务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项目按照省、市两级架构，遵循全省统一标准对数据进行处理。在此架构下，市系统承担本市内医疗机构的检查结果的调阅、共享及互认服务，省级承担跨市等的检查结果的调阅、共享及互认服务。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923"/>
        <w:ind w:firstLine="480"/>
        <w:jc w:val="center"/>
        <w:spacing w:line="360" w:lineRule="auto"/>
        <w:rPr>
          <w:rFonts w:hint="eastAsia" w:ascii="宋体" w:hAnsi="宋体"/>
          <w:bCs/>
          <w:color w:val="auto"/>
          <w:sz w:val="24"/>
          <w:szCs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3990975" cy="22860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990975"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4.2pt;height:180.0pt;mso-wrap-distance-left:0.0pt;mso-wrap-distance-top:0.0pt;mso-wrap-distance-right:0.0pt;mso-wrap-distance-bottom:0.0pt;" stroked="f">
                <v:path textboxrect="0,0,0,0"/>
                <v:imagedata r:id="rId12" o:title=""/>
              </v:shape>
            </w:pict>
          </mc:Fallback>
        </mc:AlternateConten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医疗机构：医生接诊患者和医生开检查单，通过医生工作站触发前哨接口，通过医院前置机转发消息到市级互认服务端，服务通过前置机返回给前哨相应的互认服务。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省级互认：市级互认系统服务端，通过与省级系统的交互，请求省级互认服务。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升级改造后的市区域影像平台架构设计如下：</w:t>
      </w:r>
      <w:r>
        <w:rPr>
          <w:color w:val="auto"/>
          <w:highlight w:val="none"/>
        </w:rPr>
      </w:r>
    </w:p>
    <w:p>
      <w:pPr>
        <w:pStyle w:val="923"/>
        <w:ind w:firstLine="480"/>
        <w:jc w:val="center"/>
        <w:spacing w:line="360" w:lineRule="auto"/>
        <w:rPr>
          <w:rFonts w:hint="eastAsia" w:ascii="宋体" w:hAnsi="宋体"/>
          <w:bCs/>
          <w:color w:val="auto"/>
          <w:sz w:val="24"/>
          <w:szCs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3462998" cy="283781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2998" cy="283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72.7pt;height:223.4pt;mso-wrap-distance-left:0.0pt;mso-wrap-distance-top:0.0pt;mso-wrap-distance-right:0.0pt;mso-wrap-distance-bottom:0.0pt;" stroked="f">
                <v:path textboxrect="0,0,0,0"/>
                <v:imagedata r:id="rId13" o:title=""/>
              </v:shape>
            </w:pict>
          </mc:Fallback>
        </mc:AlternateConten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升级改造后的市区域影像平台的业务数据流程主要分为基层医疗机构数据上传至市平台、三级医院和市平台数据上传至省平台两个</w:t>
      </w:r>
      <w:r>
        <w:rPr>
          <w:rFonts w:hint="eastAsia" w:ascii="宋体" w:hAnsi="宋体"/>
          <w:bCs/>
          <w:color w:val="auto"/>
          <w:sz w:val="24"/>
          <w:szCs w:val="24"/>
          <w:highlight w:val="none"/>
        </w:rPr>
        <w:t xml:space="preserve">部分</w:t>
      </w:r>
      <w:r>
        <w:rPr>
          <w:rFonts w:hint="eastAsia" w:ascii="宋体" w:hAnsi="宋体"/>
          <w:bCs/>
          <w:color w:val="auto"/>
          <w:sz w:val="24"/>
          <w:szCs w:val="24"/>
          <w:highlight w:val="none"/>
        </w:rPr>
        <w:t xml:space="preserve">。</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（2)市政务云（医疗行业云）</w:t>
      </w:r>
      <w:r>
        <w:rPr>
          <w:color w:val="auto"/>
          <w:highlight w:val="none"/>
        </w:rPr>
      </w:r>
    </w:p>
    <w:p>
      <w:pPr>
        <w:pStyle w:val="923"/>
        <w:ind w:firstLine="480"/>
        <w:jc w:val="center"/>
        <w:spacing w:line="360" w:lineRule="auto"/>
        <w:rPr>
          <w:rFonts w:hint="eastAsia" w:ascii="宋体" w:hAnsi="宋体"/>
          <w:bCs/>
          <w:color w:val="auto"/>
          <w:sz w:val="24"/>
          <w:szCs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167784" cy="19716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167783" cy="1971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8.2pt;height:155.2pt;mso-wrap-distance-left:0.0pt;mso-wrap-distance-top:0.0pt;mso-wrap-distance-right:0.0pt;mso-wrap-distance-bottom:0.0pt;" stroked="f">
                <v:path textboxrect="0,0,0,0"/>
                <v:imagedata r:id="rId14" o:title=""/>
              </v:shape>
            </w:pict>
          </mc:Fallback>
        </mc:AlternateConten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建设市政务云（医疗行业云），统一纳管市卫生健康委及委各直属单位已有数据中心计算和存储资源。云平台对接运营商政务云管理系统，实现行业云纳管数据上传至政务云，进而实现政务资源统一管理，满足市大数据管理局统筹管理需要。</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资源扩容：各单位通过购买服务方式，扩容现有硬件资源，满足业务发展与数据增长需求。</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系统部署：市政务云（医疗行业云）云管系统部署于市卫生健康委数据中心。各直属医院数据中心与市政务云（医疗行业云）云管系统通过专用网络对接，可按需求开放管理员账户权限或只读账户权限。八家委直属医院和市卫校需逐步通过专网与云管平台进行对接，形成云节点，市政务云（医疗行业云）云管系统统一汇总各单位计算和存储资源数据。</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业务迁移：委各直属公共卫生机构业务系统迁移至市卫生健康委数据中心。具体工作包括业务梳理、系统迁移或重部署、数据备份迁移、网络调试。</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（3）健康医疗数据安全协同系统</w:t>
      </w:r>
      <w:r>
        <w:rPr>
          <w:rFonts w:hint="eastAsia" w:ascii="宋体" w:hAnsi="宋体"/>
          <w:bCs/>
          <w:color w:val="auto"/>
          <w:sz w:val="24"/>
          <w:szCs w:val="24"/>
          <w:highlight w:val="none"/>
        </w:rPr>
      </w:r>
      <w:r>
        <w:rPr>
          <w:color w:val="auto"/>
          <w:highlight w:val="none"/>
        </w:rPr>
      </w:r>
    </w:p>
    <w:p>
      <w:pPr>
        <w:pStyle w:val="923"/>
        <w:ind w:firstLine="480"/>
        <w:jc w:val="center"/>
        <w:spacing w:line="360" w:lineRule="auto"/>
        <w:rPr>
          <w:rFonts w:hint="eastAsia" w:ascii="宋体" w:hAnsi="宋体"/>
          <w:bCs/>
          <w:color w:val="auto"/>
          <w:sz w:val="24"/>
          <w:szCs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4157053" cy="224565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157053" cy="22456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7.3pt;height:176.8pt;mso-wrap-distance-left:0.0pt;mso-wrap-distance-top:0.0pt;mso-wrap-distance-right:0.0pt;mso-wrap-distance-bottom:0.0pt;" stroked="f">
                <v:path textboxrect="0,0,0,0"/>
                <v:imagedata r:id="rId15" o:title=""/>
              </v:shape>
            </w:pict>
          </mc:Fallback>
        </mc:AlternateConten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区块链采用联盟链方式部署，联盟生态运营分层 4 个层次。最核心的层次1是区块链生态，进行交易共识过程。包含区块链（Fabric）平台需要的对等节点和排队节点，其中各参与机构需要部署对等节点，核心机构和联盟运营管理机构需要部署排队节点。</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层次2是各个机构内部基于区块链平台的定制的应用服务节点，基础服务和中间件的服务集成节点，数据存储需要的归档节点。</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层次3是各个机构的管理和业务运营节点。负责对内进行管理，对外提供服务。</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区块链子节点服务：完成委各直属医院及锡山区、惠山区卫生健康委区块链子节点服务、日志等相关部署。</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区块链平台安全：交易签名/加密、防止伪造他人、交易加密防止其他人查看。</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（4）项目建设管理系统</w:t>
      </w:r>
      <w:r>
        <w:rPr>
          <w:rFonts w:hint="eastAsia" w:ascii="宋体" w:hAnsi="宋体"/>
          <w:bCs/>
          <w:color w:val="auto"/>
          <w:sz w:val="24"/>
          <w:szCs w:val="24"/>
          <w:highlight w:val="none"/>
        </w:rPr>
      </w:r>
      <w:r>
        <w:rPr>
          <w:color w:val="auto"/>
          <w:highlight w:val="none"/>
        </w:rPr>
      </w:r>
    </w:p>
    <w:p>
      <w:pPr>
        <w:pStyle w:val="923"/>
        <w:ind w:firstLine="480"/>
        <w:jc w:val="center"/>
        <w:spacing w:line="360" w:lineRule="auto"/>
        <w:rPr>
          <w:rFonts w:hint="eastAsia" w:ascii="宋体" w:hAnsi="宋体"/>
          <w:bCs/>
          <w:color w:val="auto"/>
          <w:sz w:val="24"/>
          <w:szCs w:val="24"/>
          <w:highlight w:val="none"/>
        </w:rPr>
      </w:pP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4105275" cy="308301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05275" cy="30830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3.2pt;height:242.8pt;mso-wrap-distance-left:0.0pt;mso-wrap-distance-top:0.0pt;mso-wrap-distance-right:0.0pt;mso-wrap-distance-bottom:0.0pt;" stroked="f">
                <v:path textboxrect="0,0,0,0"/>
                <v:imagedata r:id="rId16" o:title=""/>
              </v:shape>
            </w:pict>
          </mc:Fallback>
        </mc:AlternateConten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整体架构为5层模型：</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基础层：网络（路由、交换、存储、安全等设备）及基础平台设备（服务器、操作系统、数据库等）。</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数据层：项目信息、组织机构、安全联系单、方案管理等基础数据库。</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支撑层：由应用支撑平台上构建相关应用的开发，可大大缩短开发周期。</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应用层：本系统包含的相应内容，具体包括项目管理、上会项目、网安安全联系单、每日安全报告、统计分析、资源管理、联络簿、信息系统数据同步及手机端等。</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表现层：统一工作门户，不同的角色用户可通过相应的安全认证后登录系统。</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安全及管理体系及相关业务数据标准体系，为应用系统的建设和使用提供相关规范标准。</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（5）态势感知平台</w:t>
      </w:r>
      <w:r>
        <w:rPr>
          <w:rFonts w:hint="eastAsia" w:ascii="宋体" w:hAnsi="宋体"/>
          <w:bCs/>
          <w:color w:val="auto"/>
          <w:sz w:val="24"/>
          <w:szCs w:val="24"/>
          <w:highlight w:val="none"/>
        </w:rPr>
      </w:r>
      <w:r>
        <w:rPr>
          <w:color w:val="auto"/>
          <w:highlight w:val="none"/>
        </w:rPr>
      </w:r>
    </w:p>
    <w:p>
      <w:pPr>
        <w:pStyle w:val="923"/>
        <w:ind w:firstLine="480"/>
        <w:jc w:val="center"/>
        <w:spacing w:line="360" w:lineRule="auto"/>
        <w:rPr>
          <w:rFonts w:hint="eastAsia" w:ascii="宋体" w:hAnsi="宋体"/>
          <w:bCs/>
          <w:color w:val="auto"/>
          <w:sz w:val="24"/>
          <w:szCs w:val="24"/>
          <w:highlight w:val="none"/>
        </w:rPr>
      </w:pPr>
      <w:r>
        <w:rPr>
          <w:rFonts w:ascii="宋体" w:hAnsi="宋体" w:cs="宋体"/>
          <w:color w:val="auto"/>
          <w:sz w:val="24"/>
          <w:szCs w:val="24"/>
          <w:highlight w:val="none"/>
        </w:rPr>
        <mc:AlternateContent>
          <mc:Choice Requires="wpg">
            <w:drawing>
              <wp:inline xmlns:wp="http://schemas.openxmlformats.org/drawingml/2006/wordprocessingDrawing" distT="0" distB="0" distL="0" distR="0">
                <wp:extent cx="3771900" cy="278408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771900" cy="2784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7.0pt;height:219.2pt;mso-wrap-distance-left:0.0pt;mso-wrap-distance-top:0.0pt;mso-wrap-distance-right:0.0pt;mso-wrap-distance-bottom:0.0pt;" stroked="f">
                <v:path textboxrect="0,0,0,0"/>
                <v:imagedata r:id="rId17" o:title=""/>
              </v:shape>
            </w:pict>
          </mc:Fallback>
        </mc:AlternateConten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态势感知平台：通过部署次级节点和探针，汇总委各直属医院、锡山区卫生健康委和惠山区卫生健康委数据中心安全日志数据，下一步可扩展至其他区县卫健委和区辖医院。</w:t>
      </w:r>
      <w:r>
        <w:rPr>
          <w:color w:val="auto"/>
          <w:highlight w:val="none"/>
        </w:rPr>
      </w:r>
    </w:p>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5.软件定制采购清单</w:t>
      </w:r>
      <w:r>
        <w:rPr>
          <w:color w:val="auto"/>
          <w:highlight w:val="none"/>
        </w:rPr>
      </w:r>
    </w:p>
    <w:tbl>
      <w:tblPr>
        <w:tblW w:w="7654"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08"/>
        <w:gridCol w:w="2486"/>
        <w:gridCol w:w="3169"/>
        <w:gridCol w:w="1291"/>
      </w:tblGrid>
      <w:tr>
        <w:trPr/>
        <w:tc>
          <w:tcPr>
            <w:tcBorders>
              <w:top w:val="single" w:color="000000" w:sz="8" w:space="0"/>
              <w:left w:val="single" w:color="000000" w:sz="8" w:space="0"/>
              <w:bottom w:val="single" w:color="000000" w:sz="8" w:space="0"/>
              <w:right w:val="single" w:color="000000" w:sz="8" w:space="0"/>
            </w:tcBorders>
            <w:tcW w:w="708"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序号</w:t>
            </w:r>
            <w:r>
              <w:rPr>
                <w:rFonts w:ascii="宋体" w:hAnsi="宋体" w:cs="宋体"/>
                <w:b/>
                <w:bCs/>
                <w:color w:val="auto"/>
                <w:sz w:val="18"/>
                <w:szCs w:val="18"/>
                <w:highlight w:val="none"/>
              </w:rPr>
            </w:r>
            <w:r>
              <w:rPr>
                <w:color w:val="auto"/>
                <w:highlight w:val="none"/>
              </w:rPr>
            </w:r>
          </w:p>
        </w:tc>
        <w:tc>
          <w:tcPr>
            <w:tcBorders>
              <w:top w:val="single" w:color="000000" w:sz="8" w:space="0"/>
              <w:left w:val="none" w:color="000000" w:sz="4" w:space="0"/>
              <w:bottom w:val="single" w:color="000000" w:sz="8" w:space="0"/>
              <w:right w:val="single" w:color="000000" w:sz="8" w:space="0"/>
            </w:tcBorders>
            <w:tcW w:w="2486"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设备及软件名称</w:t>
            </w:r>
            <w:r>
              <w:rPr>
                <w:rFonts w:ascii="宋体" w:hAnsi="宋体" w:cs="宋体"/>
                <w:b/>
                <w:bCs/>
                <w:color w:val="auto"/>
                <w:sz w:val="18"/>
                <w:szCs w:val="18"/>
                <w:highlight w:val="none"/>
              </w:rPr>
            </w:r>
            <w:r>
              <w:rPr>
                <w:color w:val="auto"/>
                <w:highlight w:val="none"/>
              </w:rPr>
            </w:r>
          </w:p>
        </w:tc>
        <w:tc>
          <w:tcPr>
            <w:tcBorders>
              <w:top w:val="single" w:color="000000" w:sz="8" w:space="0"/>
              <w:left w:val="none" w:color="000000" w:sz="4" w:space="0"/>
              <w:bottom w:val="single" w:color="000000" w:sz="8" w:space="0"/>
              <w:right w:val="single" w:color="000000" w:sz="8" w:space="0"/>
            </w:tcBorders>
            <w:tcW w:w="3169"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规格要求</w:t>
            </w:r>
            <w:r>
              <w:rPr>
                <w:rFonts w:ascii="宋体" w:hAnsi="宋体" w:cs="宋体"/>
                <w:b/>
                <w:bCs/>
                <w:color w:val="auto"/>
                <w:sz w:val="18"/>
                <w:szCs w:val="18"/>
                <w:highlight w:val="none"/>
              </w:rPr>
            </w:r>
            <w:r>
              <w:rPr>
                <w:color w:val="auto"/>
                <w:highlight w:val="none"/>
              </w:rPr>
            </w:r>
          </w:p>
        </w:tc>
        <w:tc>
          <w:tcPr>
            <w:tcBorders>
              <w:top w:val="single" w:color="000000" w:sz="8" w:space="0"/>
              <w:left w:val="none" w:color="000000" w:sz="4" w:space="0"/>
              <w:bottom w:val="single" w:color="000000" w:sz="8" w:space="0"/>
              <w:right w:val="single" w:color="000000" w:sz="8" w:space="0"/>
            </w:tcBorders>
            <w:tcW w:w="1291"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数量</w:t>
            </w:r>
            <w:r>
              <w:rPr>
                <w:rFonts w:ascii="宋体" w:hAnsi="宋体" w:cs="宋体"/>
                <w:b/>
                <w:bCs/>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一</w:t>
            </w:r>
            <w:r>
              <w:rPr>
                <w:rFonts w:ascii="宋体" w:hAnsi="宋体" w:cs="宋体"/>
                <w:b/>
                <w:bCs/>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安全软件</w:t>
            </w:r>
            <w:r>
              <w:rPr>
                <w:rFonts w:ascii="宋体" w:hAnsi="宋体" w:cs="宋体"/>
                <w:b/>
                <w:bCs/>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态势感知平台</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详见技术指标和功能要求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云管平台</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详见技术指标和功能要求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二</w:t>
            </w:r>
            <w:r>
              <w:rPr>
                <w:rFonts w:ascii="宋体" w:hAnsi="宋体" w:cs="宋体"/>
                <w:b/>
                <w:bCs/>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定制开发应用软件</w:t>
            </w:r>
            <w:r>
              <w:rPr>
                <w:rFonts w:ascii="宋体" w:hAnsi="宋体" w:cs="宋体"/>
                <w:b/>
                <w:bCs/>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医学影像云服务</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详见技术指标和功能要求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市政务云（医疗行业云）</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详见技术指标和功能要求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项目建设管理系统</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详见技术指标和功能要求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2486"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健康医疗数据安全协同系统</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3169" w:type="dxa"/>
            <w:vAlign w:val="center"/>
            <w:textDirection w:val="lrTb"/>
            <w:noWrap w:val="false"/>
          </w:tcPr>
          <w:p>
            <w:pPr>
              <w:pStyle w:val="923"/>
              <w:jc w:val="left"/>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详见技术指标和功能要求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1291"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r>
    </w:tbl>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6.技术要求</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1）以下所列技术指标要求为衡量和评估的重要指标，投标人所投内容必须满足以下要求。</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2）本项目所涉及的知识产权和所提供的软件、技术资料是合法取得，不会因为采购人的使用而被责令停止使用、追偿或者要求赔偿。</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3）所提供相关基础设施最终注册采购人信息必须为：无锡市卫生健康委员会。项目免费服务期满后设备所有权归采购人所有。</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4）在项目实施时</w:t>
      </w:r>
      <w:r>
        <w:rPr>
          <w:rFonts w:hint="eastAsia" w:ascii="宋体" w:hAnsi="宋体"/>
          <w:bCs/>
          <w:color w:val="auto"/>
          <w:sz w:val="24"/>
          <w:szCs w:val="24"/>
          <w:highlight w:val="none"/>
        </w:rPr>
        <w:t xml:space="preserve">应</w:t>
      </w:r>
      <w:r>
        <w:rPr>
          <w:rFonts w:hint="eastAsia" w:ascii="宋体" w:hAnsi="宋体"/>
          <w:bCs/>
          <w:color w:val="auto"/>
          <w:sz w:val="24"/>
          <w:szCs w:val="24"/>
          <w:highlight w:val="none"/>
        </w:rPr>
        <w:t xml:space="preserve">最大程度减少对在线系统的影响，不可随意导致在线系统停止服务。</w:t>
      </w:r>
      <w:r>
        <w:rPr>
          <w:rFonts w:hint="eastAsia" w:ascii="宋体" w:hAnsi="宋体"/>
          <w:bCs/>
          <w:color w:val="auto"/>
          <w:sz w:val="24"/>
          <w:szCs w:val="24"/>
          <w:highlight w:val="none"/>
        </w:rPr>
      </w:r>
      <w:r>
        <w:rPr>
          <w:color w:val="auto"/>
          <w:highlight w:val="none"/>
        </w:rPr>
      </w:r>
    </w:p>
    <w:p>
      <w:pPr>
        <w:pStyle w:val="923"/>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7.技术指标和功能要求</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（1）态势感知平台</w:t>
      </w:r>
      <w:r>
        <w:rPr>
          <w:rFonts w:hint="eastAsia" w:ascii="宋体" w:hAnsi="宋体"/>
          <w:bCs/>
          <w:color w:val="auto"/>
          <w:sz w:val="24"/>
          <w:szCs w:val="24"/>
          <w:highlight w:val="none"/>
        </w:rPr>
      </w:r>
      <w:r>
        <w:rPr>
          <w:color w:val="auto"/>
          <w:highlight w:val="none"/>
        </w:rPr>
      </w:r>
    </w:p>
    <w:tbl>
      <w:tblPr>
        <w:tblW w:w="83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6"/>
        <w:gridCol w:w="6718"/>
      </w:tblGrid>
      <w:tr>
        <w:trPr/>
        <w:tc>
          <w:tcPr>
            <w:tcW w:w="1666"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指标项</w:t>
            </w:r>
            <w:r>
              <w:rPr>
                <w:rFonts w:ascii="宋体" w:hAnsi="宋体" w:cs="宋体"/>
                <w:b/>
                <w:bCs/>
                <w:color w:val="auto"/>
                <w:sz w:val="18"/>
                <w:szCs w:val="18"/>
                <w:highlight w:val="none"/>
              </w:rPr>
            </w:r>
            <w:r>
              <w:rPr>
                <w:color w:val="auto"/>
                <w:highlight w:val="none"/>
              </w:rPr>
            </w:r>
          </w:p>
        </w:tc>
        <w:tc>
          <w:tcPr>
            <w:tcW w:w="6718"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规格要求</w:t>
            </w:r>
            <w:r>
              <w:rPr>
                <w:rFonts w:ascii="宋体" w:hAnsi="宋体" w:cs="宋体"/>
                <w:b/>
                <w:bCs/>
                <w:color w:val="auto"/>
                <w:sz w:val="18"/>
                <w:szCs w:val="18"/>
                <w:highlight w:val="none"/>
              </w:rPr>
            </w:r>
            <w:r>
              <w:rPr>
                <w:color w:val="auto"/>
                <w:highlight w:val="none"/>
              </w:rPr>
            </w:r>
          </w:p>
        </w:tc>
      </w:tr>
      <w:tr>
        <w:trPr/>
        <w:tc>
          <w:tcPr>
            <w:tcW w:w="1666" w:type="dxa"/>
            <w:vAlign w:val="center"/>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基本功能</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海量多源异构的数据分析；全网资产与脆弱性精细管控；AI精细发现高级威胁；全过程溯源分析举证；事件自动化闭环处置；安全态势全方位感知；量化安全运营工作绩效；含200个第三方接入授权</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监控中心</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安全态势的可视化呈现，以大屏的方式从全网安全态势感知大屏、安全事件态势、通报/工单预警态势、资产态势、设备运行态势、外联风险态势大屏等多个大屏展示。支持大屏轮播及自定义大屏顺序设置和大屏名称</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支持数据中心大屏可视化，以数据流展示各资产组到数据中心的整体访问情况，包括正常访问线、攻击线，支持颜色区分各资产的健康状况</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资产感知</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支持主机类资产识别能够识别资产数据来源、IP地址、主机名、MAC地址、基线异常、操作系统、操作系统</w:t>
            </w:r>
            <w:r>
              <w:rPr>
                <w:rFonts w:hint="eastAsia" w:ascii="宋体" w:hAnsi="宋体" w:cs="宋体"/>
                <w:color w:val="auto"/>
                <w:sz w:val="18"/>
                <w:szCs w:val="18"/>
                <w:highlight w:val="none"/>
              </w:rPr>
              <w:t xml:space="preserve">详情</w:t>
            </w:r>
            <w:r>
              <w:rPr>
                <w:rFonts w:hint="eastAsia" w:ascii="宋体" w:hAnsi="宋体" w:cs="宋体"/>
                <w:color w:val="auto"/>
                <w:sz w:val="18"/>
                <w:szCs w:val="18"/>
                <w:highlight w:val="none"/>
              </w:rPr>
              <w:t xml:space="preserve">、主机类型、服务与端口、状态、责任人、EDR状态、标签、最近上线时间、所属资产组织、资产名称、应用、IP类型、识别方式、首次发现时间及备注等</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责任人管理功能，可对资产进行全生命周期管理，包括自动识别资产、入库审核、离线资产识别、自动识别资产图库、手动导入资产退库、自定义资产名称等。针对自动识别资产退库功能，可设置全局退库时间，数据更新时间。支持主机资产分级管理，责任人管理</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资产属性重新识别，当发现资产数据不准确时，可清空该资产属性，如主机名、备注、操作系统、标签、地理位置、硬件信息、应用软件信息、账号信息、责任人信息、端口信息等，重新发起识别后，平台会自动补齐资产属性，可批量操作</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rPr>
                <w:rFonts w:ascii="宋体" w:hAnsi="宋体" w:cs="宋体"/>
                <w:color w:val="auto"/>
                <w:sz w:val="18"/>
                <w:szCs w:val="18"/>
                <w:highlight w:val="none"/>
              </w:rPr>
            </w:pPr>
            <w:r>
              <w:rPr>
                <w:rFonts w:hint="eastAsia" w:ascii="宋体" w:hAnsi="宋体" w:cs="宋体"/>
                <w:color w:val="auto"/>
                <w:sz w:val="18"/>
                <w:szCs w:val="18"/>
                <w:highlight w:val="none"/>
              </w:rPr>
              <w:t xml:space="preserve">脆弱性感知</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流量实时识别漏洞分析，漏洞分析类型包含配置错误漏洞、OpenSSH漏洞、OpenLDAP等操作系统、数据库、Web等，页面上支持展示业务脆弱性风险分布、漏洞类型分析、漏洞态势与危害和处置建议，并支持导出脆弱性感知报告</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web登录结果自定义，可根据登录行为检测是否登录成功，支持基于响应状态码、响应内容格式、URL、关键字、服务器IP地址、所属资产组等信息判定成功或失败的通用规则设置，支持机器学习引擎持续学习用户登录行为，生成登录成功规则模型</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威胁专项分析</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安全检测日志、审计日志、第三方日志存储，日志类型包括漏洞利用攻击、网站攻击、僵尸网络、业务弱点、DOS攻击、邮件安全、文件安全、网络流量、DNS、HTTP、数据库、文件审计、POP3、SMTP、IMAP、LDAP、FTP、Telnet等</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挖矿专项检测页面，基于规则的本地挖矿检测和基于主动探测技术的云端挖矿检测，以实现挖矿病毒的全面检测，支持挖矿实时检测播报本地和云端的挖矿检测分析结果，支持基于攻击阶段展示挖矿主机数量，便于掌握各阶段挖矿主机分布情况，支持以列表的形式展示挖矿事件，包括最近发生时间、威胁描述、威胁定性、挖矿阶段、威胁等级、受害者IP、攻击次数、威胁情报等信息</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勒索专项检测页面，可对勒索主题的安全告警进行统一展示和管理，支持以勒索病毒的感染途径/方式为维度进行分类，包括勒索常用端口、勒索常用漏洞、RDP爆破、感染勒索病毒、黑客勒索攻击、勒索C&amp;C通信等维度，支持展示受害资产以及受害资产攻击数TOP5，支持以列表的形式展示勒索事件，包括最近发生时间、威胁描述、威胁定性、勒索风险、威胁等级、受害者IP、攻击次数等信息</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支持基于可视化的形式展示威胁的影响面，通过大数据分析和关联检索技术，能够直观的看到失陷主机的威胁影响面，同时基于列表模式展示攻击、违规访问、风险访问、可疑行为、正常访问等详细信息</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异常行为分析</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利用EBA技术进行资产的行为分析，对这些对象进行持续的学习和行为画像构建，以基线画像的形式检测异于基线的异常行为作为入口点，结合以降维、聚类、决策树为主的计算处理模型发现异常用户/资产行为。并支持用户对EBA基线进行自定义调整，优化模型</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具备元数据行为分析引擎：httpflow、dnsflow、adflow、icmpflow、mailflow等, 通过异常行为分析，结合各类机器学习算法完成未知威胁检测。包括：内网穿透、代理、远控、隧道、反弹shell等事后检测场景</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处置中心</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同时支持自动化编排的自定义处置流程策略的设置，灵活剧本设置，融入事件自动处置流程，节省运维处置时间，可联动同品牌或者第三方品牌安全设备进行安全事件处置</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支持文件、邮件、勒索、挖矿相关安全事件专项页面展示，且所有专项告警支持直接进行联动处置，联动处置支持自动调用内置处置策略模板，也支持自动化编排的自定义处置流程策略</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重保中心</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具备实时告警分析能力，支持备战阶段的对外服务器外网暴露面分析、内网服务器暴露面分析；支持实战阶段的实时告警分析和攻击者分析，支持全过程可视溯源分析</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支持云端与本地威胁情报共享，实时收集同步攻击者IP，并详细展示情报列表，包括IOC、区域、来源、更新时间、剩余封锁时间、状态、操作等</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实时检测到关注告警类型的威胁可以发出声音告警提醒用户。支持受害者IP/攻击者IP/代理服务器IP/威胁描述/威胁类型等维度自定义告警复制，支持基于威胁定性、重点关注资产以及威胁类型排行等维度对告警进行筛选</w:t>
            </w:r>
            <w:r>
              <w:rPr>
                <w:rFonts w:ascii="宋体" w:hAnsi="宋体" w:cs="宋体"/>
                <w:color w:val="auto"/>
                <w:sz w:val="18"/>
                <w:szCs w:val="18"/>
                <w:highlight w:val="none"/>
              </w:rPr>
            </w:r>
            <w:r>
              <w:rPr>
                <w:color w:val="auto"/>
                <w:highlight w:val="none"/>
              </w:rPr>
            </w:r>
          </w:p>
        </w:tc>
      </w:tr>
      <w:tr>
        <w:trPr>
          <w:cantSplit/>
        </w:trPr>
        <w:tc>
          <w:tcPr>
            <w:tcW w:w="1666" w:type="dxa"/>
            <w:vAlign w:val="center"/>
            <w:vMerge w:val="restart"/>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系统管理</w:t>
            </w:r>
            <w:r>
              <w:rPr>
                <w:rFonts w:ascii="宋体" w:hAnsi="宋体" w:cs="宋体"/>
                <w:color w:val="auto"/>
                <w:sz w:val="18"/>
                <w:szCs w:val="18"/>
                <w:highlight w:val="none"/>
              </w:rPr>
            </w:r>
            <w:r>
              <w:rPr>
                <w:color w:val="auto"/>
                <w:highlight w:val="none"/>
              </w:rP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安全白名单支持安全告警白名单和脆弱性检测白名单新增、启用、禁用、还支持设置生效设备和时间，并支持导入导出白名单等操作。安全白名单可多选或全选威胁类型</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该功能支持一</w:t>
            </w:r>
            <w:r>
              <w:rPr>
                <w:rFonts w:hint="eastAsia" w:ascii="宋体" w:hAnsi="宋体" w:cs="宋体"/>
                <w:color w:val="auto"/>
                <w:sz w:val="18"/>
                <w:szCs w:val="18"/>
                <w:highlight w:val="none"/>
              </w:rPr>
              <w:t xml:space="preserve">键</w:t>
            </w:r>
            <w:r>
              <w:rPr>
                <w:rFonts w:hint="eastAsia" w:ascii="宋体" w:hAnsi="宋体" w:cs="宋体"/>
                <w:color w:val="auto"/>
                <w:sz w:val="18"/>
                <w:szCs w:val="18"/>
                <w:highlight w:val="none"/>
              </w:rPr>
              <w:t xml:space="preserve">检测评估配置的状态和探针配置的状态，已告警的方式提醒和处置建议提醒用户解决和闭环，包括基础配置、平台运行状况、接入设备状况、流量检测情、代理识别、探针加固检测、平台加固检测等</w:t>
            </w:r>
            <w:r>
              <w:rPr>
                <w:rFonts w:ascii="宋体" w:hAnsi="宋体" w:cs="宋体"/>
                <w:color w:val="auto"/>
                <w:sz w:val="18"/>
                <w:szCs w:val="18"/>
                <w:highlight w:val="none"/>
              </w:rPr>
            </w:r>
            <w:r>
              <w:rPr>
                <w:color w:val="auto"/>
                <w:highlight w:val="none"/>
              </w:rPr>
            </w:r>
          </w:p>
        </w:tc>
      </w:tr>
      <w:tr>
        <w:trPr>
          <w:cantSplit/>
        </w:trPr>
        <w:tc>
          <w:tcPr>
            <w:tcW w:w="1666" w:type="dxa"/>
            <w:vAlign w:val="center"/>
            <w:vMerge w:val="continue"/>
            <w:textDirection w:val="lrTb"/>
            <w:noWrap w:val="false"/>
          </w:tcPr>
          <w:p>
            <w:pPr>
              <w:pStyle w:val="923"/>
              <w:jc w:val="left"/>
              <w:widowControl/>
              <w:rPr>
                <w:rFonts w:ascii="宋体" w:hAnsi="宋体" w:cs="宋体"/>
                <w:color w:val="000000"/>
                <w:sz w:val="18"/>
                <w:szCs w:val="18"/>
              </w:rPr>
            </w:pPr>
            <w:r>
              <w:rPr>
                <w:rFonts w:ascii="宋体" w:hAnsi="宋体" w:cs="宋体"/>
                <w:color w:val="000000"/>
                <w:sz w:val="18"/>
                <w:szCs w:val="18"/>
              </w:rPr>
            </w:r>
            <w:r/>
          </w:p>
        </w:tc>
        <w:tc>
          <w:tcPr>
            <w:tcW w:w="6718" w:type="dxa"/>
            <w:vAlign w:val="top"/>
            <w:textDirection w:val="lrTb"/>
            <w:noWrap w:val="false"/>
          </w:tcPr>
          <w:p>
            <w:pPr>
              <w:pStyle w:val="923"/>
              <w:widowControl/>
              <w:rPr>
                <w:rFonts w:ascii="宋体" w:hAnsi="宋体" w:cs="宋体"/>
                <w:color w:val="auto"/>
                <w:sz w:val="18"/>
                <w:szCs w:val="18"/>
                <w:highlight w:val="none"/>
              </w:rPr>
            </w:pPr>
            <w:r>
              <w:rPr>
                <w:rFonts w:hint="eastAsia" w:ascii="宋体" w:hAnsi="宋体" w:cs="宋体"/>
                <w:color w:val="auto"/>
                <w:sz w:val="18"/>
                <w:szCs w:val="18"/>
                <w:highlight w:val="none"/>
              </w:rPr>
              <w:t xml:space="preserve">支持管理员账号的新增、删除、启用、禁用等，支持免登陆及单点登录设置，支持可信IP设置。支持系统管理员、安全保密管理员和安全审计员三个管理员角色</w:t>
            </w:r>
            <w:r>
              <w:rPr>
                <w:rFonts w:ascii="宋体" w:hAnsi="宋体" w:cs="宋体"/>
                <w:color w:val="auto"/>
                <w:sz w:val="18"/>
                <w:szCs w:val="18"/>
                <w:highlight w:val="none"/>
              </w:rPr>
            </w:r>
            <w:r>
              <w:rPr>
                <w:color w:val="auto"/>
                <w:highlight w:val="none"/>
              </w:rPr>
            </w:r>
          </w:p>
        </w:tc>
      </w:tr>
    </w:tbl>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（2）云管平台</w:t>
      </w:r>
      <w:r>
        <w:rPr>
          <w:rFonts w:hint="eastAsia" w:ascii="宋体" w:hAnsi="宋体"/>
          <w:bCs/>
          <w:color w:val="auto"/>
          <w:sz w:val="24"/>
          <w:szCs w:val="24"/>
          <w:highlight w:val="none"/>
        </w:rPr>
      </w:r>
      <w:r>
        <w:rPr>
          <w:color w:val="auto"/>
          <w:highlight w:val="none"/>
        </w:rPr>
      </w:r>
    </w:p>
    <w:tbl>
      <w:tblPr>
        <w:tblW w:w="8303"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800"/>
        <w:gridCol w:w="6503"/>
      </w:tblGrid>
      <w:tr>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指标项</w:t>
            </w:r>
            <w:r>
              <w:rPr>
                <w:rFonts w:ascii="宋体" w:hAnsi="宋体" w:cs="宋体"/>
                <w:b/>
                <w:bCs/>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6503" w:type="dxa"/>
            <w:vAlign w:val="center"/>
            <w:textDirection w:val="lrTb"/>
            <w:noWrap w:val="false"/>
          </w:tcPr>
          <w:p>
            <w:pPr>
              <w:pStyle w:val="923"/>
              <w:jc w:val="center"/>
              <w:widowControl/>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规格要求</w:t>
            </w:r>
            <w:r>
              <w:rPr>
                <w:rFonts w:ascii="宋体" w:hAnsi="宋体" w:cs="宋体"/>
                <w:b/>
                <w:bCs/>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bCs/>
                <w:color w:val="auto"/>
                <w:sz w:val="18"/>
                <w:szCs w:val="18"/>
                <w:highlight w:val="none"/>
              </w:rPr>
              <w:t xml:space="preserve">配置参数</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6503" w:type="dxa"/>
            <w:vAlign w:val="center"/>
            <w:textDirection w:val="lrTb"/>
            <w:noWrap w:val="false"/>
          </w:tcPr>
          <w:p>
            <w:pPr>
              <w:pStyle w:val="923"/>
              <w:widowControl/>
              <w:rPr>
                <w:rFonts w:ascii="宋体" w:hAnsi="宋体" w:cs="宋体"/>
                <w:color w:val="auto"/>
                <w:sz w:val="18"/>
                <w:szCs w:val="18"/>
                <w:highlight w:val="none"/>
              </w:rPr>
            </w:pPr>
            <w:r>
              <w:rPr>
                <w:rFonts w:hint="eastAsia" w:ascii="宋体" w:hAnsi="宋体" w:cs="宋体"/>
                <w:bCs/>
                <w:color w:val="auto"/>
                <w:sz w:val="18"/>
                <w:szCs w:val="18"/>
                <w:highlight w:val="none"/>
              </w:rPr>
              <w:t xml:space="preserve">包含服务门户和管理门户，管理门户包括系统管理员门户和组织管理员门户，分别面向业务部门应用开发测试运维人员提供应用运行环境资源在线服务以及查找、操作管理，面向 IT 管理员提供虚拟化、私有云、公有云资源纳管、自动同步、用户组织角色权限管理、分权分域管理、生命周期管理、服务目录管理、逻辑资源池及网络分配管理、流程管理等</w:t>
            </w:r>
            <w:r>
              <w:rPr>
                <w:rFonts w:ascii="宋体" w:hAnsi="宋体" w:cs="宋体"/>
                <w:color w:val="auto"/>
                <w:sz w:val="18"/>
                <w:szCs w:val="18"/>
                <w:highlight w:val="none"/>
              </w:rPr>
            </w:r>
            <w:r>
              <w:rPr>
                <w:color w:val="auto"/>
                <w:highlight w:val="none"/>
              </w:rPr>
            </w:r>
          </w:p>
        </w:tc>
      </w:tr>
      <w:tr>
        <w:trPr/>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923"/>
              <w:jc w:val="center"/>
              <w:widowControl/>
              <w:rPr>
                <w:rFonts w:ascii="宋体" w:hAnsi="宋体" w:cs="宋体"/>
                <w:color w:val="auto"/>
                <w:sz w:val="18"/>
                <w:szCs w:val="18"/>
                <w:highlight w:val="none"/>
              </w:rPr>
            </w:pPr>
            <w:r>
              <w:rPr>
                <w:rFonts w:hint="eastAsia" w:ascii="宋体" w:hAnsi="宋体" w:cs="宋体"/>
                <w:bCs/>
                <w:color w:val="auto"/>
                <w:sz w:val="18"/>
                <w:szCs w:val="18"/>
                <w:highlight w:val="none"/>
              </w:rPr>
              <w:t xml:space="preserve">服务要求</w:t>
            </w:r>
            <w:r>
              <w:rPr>
                <w:rFonts w:ascii="宋体" w:hAnsi="宋体" w:cs="宋体"/>
                <w:color w:val="auto"/>
                <w:sz w:val="18"/>
                <w:szCs w:val="18"/>
                <w:highlight w:val="none"/>
              </w:rPr>
            </w:r>
            <w:r>
              <w:rPr>
                <w:color w:val="auto"/>
                <w:highlight w:val="none"/>
              </w:rPr>
            </w:r>
          </w:p>
        </w:tc>
        <w:tc>
          <w:tcPr>
            <w:tcBorders>
              <w:top w:val="single" w:color="000000" w:sz="4" w:space="0"/>
              <w:left w:val="none" w:color="000000" w:sz="4" w:space="0"/>
              <w:bottom w:val="single" w:color="000000" w:sz="4" w:space="0"/>
              <w:right w:val="single" w:color="000000" w:sz="4" w:space="0"/>
            </w:tcBorders>
            <w:tcW w:w="6503" w:type="dxa"/>
            <w:vAlign w:val="center"/>
            <w:textDirection w:val="lrTb"/>
            <w:noWrap w:val="false"/>
          </w:tcPr>
          <w:p>
            <w:pPr>
              <w:pStyle w:val="923"/>
              <w:widowControl/>
              <w:rPr>
                <w:rFonts w:ascii="宋体" w:hAnsi="宋体" w:cs="宋体"/>
                <w:color w:val="auto"/>
                <w:sz w:val="18"/>
                <w:szCs w:val="18"/>
                <w:highlight w:val="none"/>
              </w:rPr>
            </w:pPr>
            <w:r>
              <w:rPr>
                <w:rFonts w:hint="eastAsia" w:ascii="宋体" w:hAnsi="宋体" w:cs="宋体"/>
                <w:bCs/>
                <w:color w:val="auto"/>
                <w:sz w:val="18"/>
                <w:szCs w:val="18"/>
                <w:highlight w:val="none"/>
              </w:rPr>
              <w:t xml:space="preserve">含8家市卫生健康委直属医院软件部署工作及3家市公卫机构上云迁移工作。</w:t>
            </w:r>
            <w:r>
              <w:rPr>
                <w:rFonts w:ascii="宋体" w:hAnsi="宋体" w:cs="宋体"/>
                <w:color w:val="auto"/>
                <w:sz w:val="18"/>
                <w:szCs w:val="18"/>
                <w:highlight w:val="none"/>
              </w:rPr>
            </w:r>
            <w:r>
              <w:rPr>
                <w:color w:val="auto"/>
                <w:highlight w:val="none"/>
              </w:rPr>
            </w:r>
          </w:p>
        </w:tc>
      </w:tr>
    </w:tbl>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（3）医学影像云服务</w:t>
      </w:r>
      <w:r>
        <w:rPr>
          <w:color w:val="auto"/>
          <w:highlight w:val="none"/>
        </w:rPr>
      </w:r>
    </w:p>
    <w:p>
      <w:pPr>
        <w:pStyle w:val="923"/>
        <w:numPr>
          <w:ilvl w:val="0"/>
          <w:numId w:val="22"/>
        </w:num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市“三重复”智能提醒工具升级</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卫生健康委统筹推进全市公立医疗机构及所辖县（市、区）的整体接入到省级卫生健康云（影像平台），实现医学影像检查结果的跨院查询、调阅及互认。基于现有无锡市全民健康信息平台完成支撑检查互认应用的升级改造，配合完成无锡市检查互认服务和完善平台端影像互认监管服务，重点对市“三重复”智能提醒工具升级。</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1）互认日志管理</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互认接口日志包括医生工作站日志记录与管理及互认系统日志记录与管理。</w:t>
      </w:r>
      <w:r>
        <w:rPr>
          <w:rFonts w:hint="eastAsia"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医生工作站日志管理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后台管理系统设有日志管理模块，将记录临床医生使用过程中的审计日志，日志中涵盖了业务调用时间、操作人、业务服务操作、服务响应及其他操作信息要素。</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医生工作站日志监管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系统会对记录的日志进行监管。</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医生工作站日志追溯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同时系统对所有接口服务提供日志追溯查询服务，包括与 HIS接口入参和出参，跨院调阅页面数据服务接口等。</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互认系统日志管理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提供互认查询服务，与医生工作站诊疗日志相关联，提供全流程日志记录服务，可追溯，可监管。</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区域内互认日志管理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通过临床医生多次开具的申请单，平台判断临床医院是否进行区域内互认日志操作。</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工作站控件监控</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互认服务依托目前的智能提醒工具，延续与 HIS 厂商的接口实现互认系统应用。通过对工作站控件的运行监管，实现对应用服务的全流程运行监管，主要监管内容有：控件是否正常运行、接口触发点是否正常调用、互认信息返回是否正常等后台监控服务。</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检查调阅日志管理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临床医师通过 HIS 主动触发跨院调阅按钮，调阅检查报告的操作日志记录。</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影像调阅日志管理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临床医师通过 HIS 主动触发跨院调阅按钮，调阅影像文件的操作日志记录。</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互认检查规则日志管理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互认规则的增、删、改会直接影响互认服务，进而影响医生诊间操作，因此需要对互认规则的启动和应用提供日志记录和追溯查询服务，包括对互认规则的增删改查操作等记录日志。</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检查互认规则日志记录于独立的表，便于检查相关规则的维护与监控，便于快速定位重复提醒异常规则。</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互认影像规则日志管理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互认规则的增、删、改会直接影响互认服务，进而影响医生诊间操作，因此需要对互认规则的启动和应用提供日志记录和追溯查询服务，包括对互认规则的增删改查操作等记录日志。</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影像互认规则日志记录于独立的表，便于影像相关规则的维护与监控，便于快速定位重复提醒异常规则。</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互认遵从校验日志管理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针对系统验证的重复项目，系统会校验医生的处方遵从情况。在互认日志管理中，系统会对互认遵从校验情况提供日志记录和查询服务。</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互认中心服务请求日志管理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中心端服务内部微服务的请求交互日志记录，包含市区两级互认服务中心端的异常服务进行监控，包括互认接口、互认服务、检查调阅等与中心端业务交互相关的服务，并记录日志，提供后续的统计分析及查询服务。</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互认中心服务响应日志管理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中心端服务内部微服务的响应交互日志记录，包含市区两级互认服务中心端的异常服务进行监控，包括互认接口、互认服务、报告调阅等与中心端业务交互相关的服务，并记录日志，提供后续的统计分析及查询服务。</w:t>
      </w:r>
      <w:r>
        <w:rPr>
          <w:rFonts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2）互认可视化展示</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于底层智能工具支撑以及交互服务的监测结果，维度化拆分数据因子，从基础运行效能、业务完成效率、流程完整跟踪等角度全面评估互认业务开展情况。并按照业务归属访问区别，将核心业务汇集于智能监测大屏，将整体运行指标接入全民健康信息平台，将明细工作记录集中于智能分析平台。</w:t>
      </w:r>
      <w:r>
        <w:rPr>
          <w:rFonts w:hint="eastAsia"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智能监测大屏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主要包括：监测指标分类、统一服务编制、一屏总览、态势感知、一日总览、互认排名、专项业务分析。</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互认监管明细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智能监测大屏满足整体运行情况的预览和跟踪，为业务更深入的开展优化，需要对监测指标进行细化和优化，主要包括：指标明细查询、指标结果导出。</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互认监管共享</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互认监管指标的应用和展示不仅限于专项智能大屏和业务监测，同时要保持与市本级整体监管体系的融合对接，并在各个区域和业务分析中进行应用，为此需要实现：服务标准化共享、单点服务共享。</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3）省级互认服务对接</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检查结果共享安全管控接口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该接口用于生态方获取访问资源接口认证凭据。</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检查结果共享跨院调阅接口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在医生工作站添加相应按钮，如“跨院调阅”，通过该按钮访问省“影像平台”医学影像数据跨院共享系统，实现医学影像检查结果的跨院查询、调阅及互认。</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患者近期检查项目数量查询接口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医生使用医生工作站查看患者信息的时候，会在省“影像平台”比对该患者近期是否有过检查，从而进行省“影像平台”数据层的预缓存，以加速智能提醒的效率。不论该患者是否存在检查，均对院端现有主流程不造成任何影响。</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患者近期类似检查项目接口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当医生在医生工作站开具申请单/检查单时，会将患者本次的检查部位所对应的院内 HIS 院内编码传递到省“影像平台”，省“影像平台”会返回该患者近期「是/否」有类似部位的检查记录。如果有类似的检查记录，则会在医生工作站进行自动弹窗提醒，医生可以通过点击弹窗上的“查看”按键，跳转访问省“影像平台”医学影像数据跨院共享系统，进行类似检查结果的跨院查询、调阅及互认。</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医生开单回执接口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在医生执行确认开单操作时，院内 HIS 系统会将本次实际开单的详细内容回执给“影像平台”，省“影像平台”会存证开单内容。</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权限控制接口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通过访问控制功能，为接口使用方提供不同的访问权限，方便用户使用。</w:t>
      </w:r>
      <w:r>
        <w:rPr>
          <w:rFonts w:ascii="宋体" w:hAnsi="宋体"/>
          <w:bCs/>
          <w:color w:val="auto"/>
          <w:sz w:val="24"/>
          <w:szCs w:val="24"/>
          <w:highlight w:val="none"/>
        </w:rPr>
      </w:r>
      <w:r>
        <w:rPr>
          <w:color w:val="auto"/>
          <w:highlight w:val="none"/>
        </w:rPr>
      </w:r>
    </w:p>
    <w:p>
      <w:pPr>
        <w:pStyle w:val="923"/>
        <w:numPr>
          <w:ilvl w:val="0"/>
          <w:numId w:val="2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市医学影像云服务升级</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1）数据库升级</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数据库字段对照更新</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根据省平台接口采集标准与根据省平台字段标准要求进行对照，以实现数据字段标准统一，涉及科室字段统一、检查项目统一、各数据项统一。</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根据要求，未来将实现省内各级医疗机构各影像学医技科室的各类影像数据采集接入，包括放射、超声、内镜、病理、核医学等数据，涉及全业务流程中的申请、检查、报告、影像、质控等相关信息内容。</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根据《江苏省放射互认检查项目清单（2022 版）》更新检查项目对照表。根据《国家科室分类（江苏增补）代码表（2022 版）》更新科室字段对照表。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根据《江苏省卫生健康云（影像平台）数据采集接口标准V2.0》中的数据标准部分，更新全流程的数据字段。</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数据库新增接入字段</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省卫生健康云（影像平台）数据采集接口标准以检查业务为主线，采集各影像学医技科室检查业务流程中的申请、检查、报告、影像、质控等相关信息内容。原有市影像平台未覆盖全流程业务数据，因此需要增加接入字段，优化原有数据结构，以支撑新的对接需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具体将新增以下内容：申请信息字段、检查信息字段、序列信息字段、图像信息重构改造、报告信息字段、报告快照信息 PDF 文件生成、质控信息字段。</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color w:val="auto"/>
          <w:highlight w:val="none"/>
        </w:rPr>
      </w:pPr>
      <w:r>
        <w:rPr>
          <w:rFonts w:hint="eastAsia" w:ascii="宋体" w:hAnsi="宋体"/>
          <w:bCs/>
          <w:color w:val="auto"/>
          <w:sz w:val="24"/>
          <w:szCs w:val="24"/>
          <w:highlight w:val="none"/>
        </w:rPr>
        <w:t xml:space="preserve">数据库表更新与优化</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新增的字段需要增加新的数据库表，对各类数据表进行关联与索引，此外为了保持数据的一致性与完整性，要增加逻辑校验机制，确保表与表之间的对应关系。主要包括以下工作：数据库分库分表、申请信息表新增优化、检查信息表新增优化、图像信息表新增优化、报告信息表新增优化、质控信息表新增优化、其他表新增优化。</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数据库分库分表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为支持高并发、高可用、亿级数据量，系统采用 Mycat 数据库中间件来实现分库分表方案实施。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2）Nacos 注册服务</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登录</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进入注册中心/配置中心登录页面，依次输入用户名，密码，点击【提交】，登录注册中心/配置中心。</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配置中心</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进入注册中心/配置中心后，默认进入配置管理模块（配置中心）的配置列表。在该模块，您可将医学影像服务的各个服务的配置在此新建、导入、修改、克隆、删除，并应用于不同的业务环境。</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注册中心</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进入注册中心/配置中心后，点击服务管理（注册中心）进入服务列表模块。如下图所示。在该模块，您可将医学影像服务的各个服务在此创建注册、删除，并应用于不同的业务环境。</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服务列表帮助用户以统一的视图管理其所有的医学影像服务以及服务健康状态。整体界面布局是左上角有服务的搜索框和搜索按钮，页面中央是服务列表的展示。服务列表主要展示服务名、集群数目、实例数目、健康实例数目和详情按钮五个栏目。</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命名空间</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进入注册中心/配置中心后，点击命名空间进入该模块。</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点击【新建命名空间】，填写空间名和描述，点击【确认】按钮，帮助用户逻辑隔离多个命名空间，更好的管理测试、预发、生产等多环境服务和配置，让每个环境的同一个配置（如数据库数据源）可以定义不同的值。</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点击【编辑】按钮，即可修改命名空间。</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点击【删除】按钮，即可删除该命名空间。</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集群管理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进入注册中心/配置中心后，点击集群管理进入该模块，在节点列表中，可查看当前集群的节点详情。</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3）影像采集节点管理</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采集服务列表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包括采集服务名称、采集服务 ID、机构名称、机构编码、采集服务 IP、任务类型、QR 本地 AE、QR 服务器 IP、FTP 地址、LAN 地址、LAN 映射盘符、采集服务版本号、服务端版本号。</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添加采集服务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提供采集节点列表维护功能。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4）存储节点管理</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存储节点列表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括存储节点名称、存储节点 id、连接用户名、本地路径、FTP路径、LAN 路径、S3 路径、容量使用情况、阈值(单位:百分比)。</w:t>
      </w:r>
      <w:r>
        <w:rPr>
          <w:rFonts w:ascii="宋体" w:hAnsi="宋体"/>
          <w:bCs/>
          <w:color w:val="auto"/>
          <w:sz w:val="24"/>
          <w:szCs w:val="24"/>
          <w:highlight w:val="none"/>
        </w:rPr>
      </w:r>
      <w:r>
        <w:rPr>
          <w:color w:val="auto"/>
          <w:highlight w:val="none"/>
        </w:rPr>
      </w:r>
    </w:p>
    <w:p>
      <w:pPr>
        <w:pStyle w:val="923"/>
        <w:numPr>
          <w:ilvl w:val="0"/>
          <w:numId w:val="21"/>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添加存储节点</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提供存储节点添加服务。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5）检查管理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支持按姓名、机构、平台唯一标识、检查号、病历号、检查设备类型、影像状态、检查日期，进行患者影像信息快速检索查询。</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支持补采服务，可按照病历号、报告号、日期、检查类型进行患者影像数据批量导入。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支持患者影像数据批量下载服务。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支持患者影像数据批量恢复下载。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支持患者影像数据查看服务，包含机构名称、平台唯一标识、姓名、检查号、病历号、年龄、性别、类型、部位、设备类型、系统类型、身份证号、身份证合法性、检查时间、影像状态等内容查看。</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6）图像下载服务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支持平台唯一标识、检查号、采集服务 Ip、存储节点 Id、任务类型、下载时间进行影像数据快速查询。</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支持平台唯一标识、检查号、采集服务 Id、采集服务 Ip、存储节点 Id、存储节点路径、任务类型、原因、下载开始时间、下载结束时间等内容的数据展示。</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7）系统用户管理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主要包括：用户管理、角色管理、机构管理。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8）可视化数据展现</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关键数据的统计与分析，构建完整的、多层次、多模态的可视化运营平台。实时掌控数据及存储状态，业务及质量可视化监管，图形化统计。包含业务数据量汇总、影像统计、性别年龄分布、检查类型统计、图像采集分析、科室检查量统计、科室分析等数据的可视化展示。</w:t>
      </w:r>
      <w:r>
        <w:rPr>
          <w:rFonts w:ascii="宋体" w:hAnsi="宋体"/>
          <w:bCs/>
          <w:color w:val="auto"/>
          <w:sz w:val="24"/>
          <w:szCs w:val="24"/>
          <w:highlight w:val="none"/>
        </w:rPr>
      </w:r>
      <w:r>
        <w:rPr>
          <w:color w:val="auto"/>
          <w:highlight w:val="none"/>
        </w:rPr>
      </w:r>
    </w:p>
    <w:p>
      <w:pPr>
        <w:pStyle w:val="923"/>
        <w:numPr>
          <w:ilvl w:val="0"/>
          <w:numId w:val="2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医院接口改造</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完成6家委直属医院 HIS 系统和 PACS 系统按照省方案调整业务功能，扩充字段项，并提供2个接口和2个中间库给省系统调取数据。同时，HIS 系统适配市新版“三重复”工具，对接3个接口，实现省数据调阅和重复提醒功能。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检查结果共享互认：在医生工作站添加相应按钮，如“跨院调阅”，通过该按钮依托市“三重复”智能提醒工具访问省“影像平台”医学影像数据跨院共享系统，实现医学影像检查结果的跨院查询、调阅及互认。</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重复检查智能提醒：在医生使用医生工作站查看患者信息的时候，会在省“影</w:t>
      </w:r>
      <w:r>
        <w:rPr>
          <w:rFonts w:hint="eastAsia" w:ascii="宋体" w:hAnsi="宋体"/>
          <w:bCs/>
          <w:color w:val="auto"/>
          <w:sz w:val="24"/>
          <w:szCs w:val="24"/>
          <w:highlight w:val="none"/>
        </w:rPr>
        <w:t xml:space="preserve">像平台”比对该患者近期是否有过检查，从而进行省“影像平台”数据层的预缓存，以加速智能提醒的效率。不论该患者是否存在检查，均对院端现有主流程不造成任何影响。当医生在医生工作站开具申请单/检查单时，会将患者本次的检查部位所对应的院内 HIS 院内编码传递到省“影像平台”，省“影像平台”会返回该患者近期「是/否」有类似部位的检查记录。如果有类似的检查记录，则会在医生工作站进行自动弹窗提醒，医生可以通过点击弹窗上的“查看”按键，跳转访问省“影像平台”医学影像数据跨院共享系统，进行类似检查结果的跨院查询、调阅及互认。</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（4）市政务云（医疗行业云）</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医疗行业云本质上是一个管理框架，也是使用云的平衡器，帮助市卫生健康委及委直属单位在云服务使用、云服务管理和云服务治理上达到符合内部业务需求再平衡，更好的满足政务上云需求，实现数据采集、推送、管理于一体。</w:t>
      </w:r>
      <w:r>
        <w:rPr>
          <w:rFonts w:ascii="宋体" w:hAnsi="宋体"/>
          <w:bCs/>
          <w:color w:val="auto"/>
          <w:sz w:val="24"/>
          <w:szCs w:val="24"/>
          <w:highlight w:val="none"/>
        </w:rPr>
      </w:r>
      <w:r>
        <w:rPr>
          <w:color w:val="auto"/>
          <w:highlight w:val="none"/>
        </w:rPr>
      </w:r>
    </w:p>
    <w:p>
      <w:pPr>
        <w:pStyle w:val="923"/>
        <w:numPr>
          <w:ilvl w:val="0"/>
          <w:numId w:val="25"/>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展示页面开发</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屏显示需要对海量的数据信息进行率的分析，实现硬件搭载软件的结合，帮助用户发现数据背后的关系和规律，为决策提供依据。通过搭载飞线、热力、区块等技术，生动友好地活化数据，同时也能结合丰富的交互功能和实时性，让数据开口说话，传达出超出其本身的信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大屏展示模块通过对数据的采集、分析、整合，根据业务展示需求进行定制化开发，从数据概览，资源统计辅助用户迅速掌握全局态势；从整体资源使用率、使用趋势等图形化分析，直观趋势走向，支撑用户制定决策；配合异常告警与资源使用 Top 分析，简化运维难度，提供资源调配整改依据。后期还可以根据用户不同需求进行不同功能区域的图形化展示，满足多种业务场景的展示需求，从整体展示层面，打通数据分析全链路，确保数据应用高效落地。</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②</w:t>
      </w:r>
      <w:r>
        <w:rPr>
          <w:rFonts w:hint="eastAsia" w:ascii="宋体" w:hAnsi="宋体"/>
          <w:bCs/>
          <w:color w:val="auto"/>
          <w:sz w:val="24"/>
          <w:szCs w:val="24"/>
          <w:highlight w:val="none"/>
        </w:rPr>
        <w:t xml:space="preserve">市政务云接口</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云平台须主动适配运营商政务云接口，实现与运营商政务云对接，完成纳管数据上传。</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（5）项目建设管理系统</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该模块提供对项目的综合管理功能，要求操作者拥有相应权限方可进行对应操作，包含项目的维护管理、进度确认和预警提醒等功能。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3" w:name="_Toc139637229"/>
      <w:r>
        <w:rPr>
          <w:color w:val="auto"/>
          <w:highlight w:val="none"/>
        </w:rPr>
      </w:r>
      <w:bookmarkEnd w:id="193"/>
      <w:r>
        <w:rPr>
          <w:rFonts w:hint="eastAsia" w:ascii="宋体" w:hAnsi="宋体"/>
          <w:bCs/>
          <w:color w:val="auto"/>
          <w:sz w:val="24"/>
          <w:szCs w:val="24"/>
          <w:highlight w:val="none"/>
        </w:rPr>
        <w:t xml:space="preserve">1）信息登记</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提供信息登记功能，对项目信息进行登记和管理。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4" w:name="_Toc139637230"/>
      <w:r>
        <w:rPr>
          <w:color w:val="auto"/>
          <w:highlight w:val="none"/>
        </w:rPr>
      </w:r>
      <w:bookmarkEnd w:id="194"/>
      <w:r>
        <w:rPr>
          <w:rFonts w:hint="eastAsia" w:ascii="宋体" w:hAnsi="宋体"/>
          <w:bCs/>
          <w:color w:val="auto"/>
          <w:sz w:val="24"/>
          <w:szCs w:val="24"/>
          <w:highlight w:val="none"/>
        </w:rPr>
        <w:t xml:space="preserve">2）采购流程</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支持采购流程添加功能。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5" w:name="_Toc139637231"/>
      <w:r>
        <w:rPr>
          <w:color w:val="auto"/>
          <w:highlight w:val="none"/>
        </w:rPr>
      </w:r>
      <w:bookmarkEnd w:id="195"/>
      <w:r>
        <w:rPr>
          <w:rFonts w:hint="eastAsia" w:ascii="宋体" w:hAnsi="宋体"/>
          <w:bCs/>
          <w:color w:val="auto"/>
          <w:sz w:val="24"/>
          <w:szCs w:val="24"/>
          <w:highlight w:val="none"/>
        </w:rPr>
        <w:t xml:space="preserve">3）合同管理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此功能主要为相应的部门及人员开通权限，跟踪整个项目从合同登记及合同执行整个流程，项目参与人可查看整个项目流转过程。</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6" w:name="_Toc139637232"/>
      <w:r>
        <w:rPr>
          <w:color w:val="auto"/>
          <w:highlight w:val="none"/>
        </w:rPr>
      </w:r>
      <w:bookmarkEnd w:id="196"/>
      <w:r>
        <w:rPr>
          <w:rFonts w:hint="eastAsia" w:ascii="宋体" w:hAnsi="宋体"/>
          <w:bCs/>
          <w:color w:val="auto"/>
          <w:sz w:val="24"/>
          <w:szCs w:val="24"/>
          <w:highlight w:val="none"/>
        </w:rPr>
        <w:t xml:space="preserve">4）付款进度 </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主要功能包括：付款设置、付款进度查看、尾款提醒。</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7" w:name="_Toc139637233"/>
      <w:r>
        <w:rPr>
          <w:color w:val="auto"/>
          <w:highlight w:val="none"/>
        </w:rPr>
      </w:r>
      <w:bookmarkEnd w:id="197"/>
      <w:r>
        <w:rPr>
          <w:rFonts w:hint="eastAsia" w:ascii="宋体" w:hAnsi="宋体"/>
          <w:bCs/>
          <w:color w:val="auto"/>
          <w:sz w:val="24"/>
          <w:szCs w:val="24"/>
          <w:highlight w:val="none"/>
        </w:rPr>
        <w:t xml:space="preserve">5）项目查询</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为拥有相应权限的用户提供项目查询功能，查询功能可分为快速精确查询以及多条件组合查询。</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8" w:name="_Toc139637234"/>
      <w:r>
        <w:rPr>
          <w:color w:val="auto"/>
          <w:highlight w:val="none"/>
        </w:rPr>
      </w:r>
      <w:bookmarkEnd w:id="198"/>
      <w:r>
        <w:rPr>
          <w:rFonts w:hint="eastAsia" w:ascii="宋体" w:hAnsi="宋体"/>
          <w:bCs/>
          <w:color w:val="auto"/>
          <w:sz w:val="24"/>
          <w:szCs w:val="24"/>
          <w:highlight w:val="none"/>
        </w:rPr>
        <w:t xml:space="preserve">6）项目一览</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一览功能以综合列表形式罗列展示项目明细，简明扼要地展示了项目名称、合同名称、合同金额、签订时间、付款方式、已付金额、待付金额、付款进度、付款进度年度、和经办人等重要信息，帮助管理人员对相关项目有一个全面、直观的了解，方便其快速掌握整体情况。</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199" w:name="_Toc139637235"/>
      <w:r>
        <w:rPr>
          <w:color w:val="auto"/>
          <w:highlight w:val="none"/>
        </w:rPr>
      </w:r>
      <w:bookmarkEnd w:id="199"/>
      <w:r>
        <w:rPr>
          <w:rFonts w:hint="eastAsia" w:ascii="宋体" w:hAnsi="宋体"/>
          <w:bCs/>
          <w:color w:val="auto"/>
          <w:sz w:val="24"/>
          <w:szCs w:val="24"/>
          <w:highlight w:val="none"/>
        </w:rPr>
        <w:t xml:space="preserve">7）专家库管理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建设专家库，对专家信息进行登记入库和管理。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8）专家评审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专家评审的目的是通过汇集领域专家的知识和经验，提供对项目计划、进展和决策的独立和客观的评估。主要分为方案评审、验收评审和其他评审。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00" w:name="_Toc139637236"/>
      <w:r>
        <w:rPr>
          <w:color w:val="auto"/>
          <w:highlight w:val="none"/>
        </w:rPr>
      </w:r>
      <w:bookmarkEnd w:id="200"/>
      <w:r>
        <w:rPr>
          <w:rFonts w:hint="eastAsia" w:ascii="宋体" w:hAnsi="宋体"/>
          <w:bCs/>
          <w:color w:val="auto"/>
          <w:sz w:val="24"/>
          <w:szCs w:val="24"/>
          <w:highlight w:val="none"/>
        </w:rPr>
        <w:t xml:space="preserve">9）项目结项</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主要功能包括：付款校验、终验校验。</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采购时间管理</w:t>
      </w:r>
      <w:r>
        <w:rPr>
          <w:rFonts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1）项目导入</w:t>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提供上会项目信息导入功能。</w:t>
      </w:r>
      <w:r>
        <w:rPr>
          <w:rFonts w:hint="eastAsia"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2）进度控制</w:t>
      </w:r>
      <w:r>
        <w:rPr>
          <w:rFonts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提供内部流程时间进度控制功能，按照项目属性不同，分为遴选与委托招投标两种形式进行划分。</w:t>
      </w:r>
      <w:r>
        <w:rPr>
          <w:rFonts w:hint="eastAsia"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3）项目提醒</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提供项目预警功能，支持对立项时间、建设周期和支付进度做出预警，主要以手机短信和首页面通知的形式进行预警。</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网安安全联系单</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01" w:name="_Toc139637238"/>
      <w:r>
        <w:rPr>
          <w:color w:val="auto"/>
          <w:highlight w:val="none"/>
        </w:rPr>
      </w:r>
      <w:bookmarkEnd w:id="201"/>
      <w:r>
        <w:rPr>
          <w:rFonts w:hint="eastAsia" w:ascii="宋体" w:hAnsi="宋体"/>
          <w:bCs/>
          <w:color w:val="auto"/>
          <w:sz w:val="24"/>
          <w:szCs w:val="24"/>
          <w:highlight w:val="none"/>
        </w:rPr>
        <w:t xml:space="preserve">1）网安联系单处理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通过与市公安局网安平台实现对接，自动获取与我市卫生健康行业相关的通报数据。同步后的数据可根据对应的区划，转至市卫生健康委或对应的区县卫生健康委派单督办。</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02" w:name="_Toc139637239"/>
      <w:r>
        <w:rPr>
          <w:color w:val="auto"/>
          <w:highlight w:val="none"/>
        </w:rPr>
      </w:r>
      <w:bookmarkEnd w:id="202"/>
      <w:r>
        <w:rPr>
          <w:rFonts w:hint="eastAsia" w:ascii="宋体" w:hAnsi="宋体"/>
          <w:bCs/>
          <w:color w:val="auto"/>
          <w:sz w:val="24"/>
          <w:szCs w:val="24"/>
          <w:highlight w:val="none"/>
        </w:rPr>
        <w:t xml:space="preserve">2）网安联系单汇总</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对网安联系单进行汇总，可查看所有网安联系单详情，包括通报编号、通报标题、通报单位、通报时间、威胁类型、是否误报、反馈状态和通报状态等信息。</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color w:val="auto"/>
          <w:highlight w:val="none"/>
        </w:rPr>
      </w:r>
      <w:bookmarkStart w:id="203" w:name="_Toc139637240"/>
      <w:r>
        <w:rPr>
          <w:color w:val="auto"/>
          <w:highlight w:val="none"/>
        </w:rPr>
      </w:r>
      <w:bookmarkEnd w:id="203"/>
      <w:r>
        <w:rPr>
          <w:rFonts w:hint="eastAsia" w:ascii="宋体" w:hAnsi="宋体"/>
          <w:bCs/>
          <w:color w:val="auto"/>
          <w:sz w:val="24"/>
          <w:szCs w:val="24"/>
          <w:highlight w:val="none"/>
        </w:rPr>
        <w:t xml:space="preserve">每日安全报告</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bookmarkStart w:id="204" w:name="_Toc139637241"/>
      <w:r>
        <w:rPr>
          <w:rFonts w:hint="eastAsia" w:ascii="宋体" w:hAnsi="宋体"/>
          <w:bCs/>
          <w:color w:val="auto"/>
          <w:sz w:val="24"/>
          <w:szCs w:val="24"/>
          <w:highlight w:val="none"/>
        </w:rPr>
        <w:t xml:space="preserve">安全报告管理</w:t>
      </w:r>
      <w:bookmarkEnd w:id="204"/>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各地和委各直属单位提供每日安全情况上报渠道，需对每日是否有安全事件进行确认。选择是的单位必须附件上报发生事件详细情况。市卫生健康委每日统计各地和委各直属单位上报打卡情况，查阅上报的具体事件情况。</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color w:val="auto"/>
          <w:highlight w:val="none"/>
        </w:rPr>
      </w:r>
      <w:bookmarkStart w:id="205" w:name="_Toc139637242"/>
      <w:r>
        <w:rPr>
          <w:color w:val="auto"/>
          <w:highlight w:val="none"/>
        </w:rPr>
      </w:r>
      <w:bookmarkEnd w:id="205"/>
      <w:r>
        <w:rPr>
          <w:rFonts w:hint="eastAsia" w:ascii="宋体" w:hAnsi="宋体"/>
          <w:bCs/>
          <w:color w:val="auto"/>
          <w:sz w:val="24"/>
          <w:szCs w:val="24"/>
          <w:highlight w:val="none"/>
        </w:rPr>
        <w:t xml:space="preserve">统计分析</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06" w:name="_Toc139637243"/>
      <w:r>
        <w:rPr>
          <w:color w:val="auto"/>
          <w:highlight w:val="none"/>
        </w:rPr>
      </w:r>
      <w:bookmarkEnd w:id="206"/>
      <w:r>
        <w:rPr>
          <w:rFonts w:hint="eastAsia" w:ascii="宋体" w:hAnsi="宋体"/>
          <w:bCs/>
          <w:color w:val="auto"/>
          <w:sz w:val="24"/>
          <w:szCs w:val="24"/>
          <w:highlight w:val="none"/>
        </w:rPr>
        <w:t xml:space="preserve">1）安全报告统计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提供安全报告统计功能，可统计各地和委各直属单位每日安全报告情况。</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07" w:name="_Toc139637244"/>
      <w:r>
        <w:rPr>
          <w:color w:val="auto"/>
          <w:highlight w:val="none"/>
        </w:rPr>
      </w:r>
      <w:bookmarkEnd w:id="207"/>
      <w:r>
        <w:rPr>
          <w:rFonts w:hint="eastAsia" w:ascii="宋体" w:hAnsi="宋体"/>
          <w:bCs/>
          <w:color w:val="auto"/>
          <w:sz w:val="24"/>
          <w:szCs w:val="24"/>
          <w:highlight w:val="none"/>
        </w:rPr>
        <w:t xml:space="preserve">2）通报次数统计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支持通报次数统计功能，可查看各单位通报次数，包括一般通报次数、中等通报次数和严重通报次数。</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bookmarkStart w:id="208" w:name="_Toc139637245"/>
      <w:r>
        <w:rPr>
          <w:rFonts w:hint="eastAsia" w:ascii="宋体" w:hAnsi="宋体"/>
          <w:bCs/>
          <w:color w:val="auto"/>
          <w:sz w:val="24"/>
          <w:szCs w:val="24"/>
          <w:highlight w:val="none"/>
        </w:rPr>
        <w:t xml:space="preserve">资源管理</w:t>
      </w:r>
      <w:bookmarkEnd w:id="208"/>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09" w:name="_Toc139637246"/>
      <w:r>
        <w:rPr>
          <w:color w:val="auto"/>
          <w:highlight w:val="none"/>
        </w:rPr>
      </w:r>
      <w:bookmarkEnd w:id="209"/>
      <w:r>
        <w:rPr>
          <w:rFonts w:hint="eastAsia" w:ascii="宋体" w:hAnsi="宋体"/>
          <w:bCs/>
          <w:color w:val="auto"/>
          <w:sz w:val="24"/>
          <w:szCs w:val="24"/>
          <w:highlight w:val="none"/>
        </w:rPr>
        <w:t xml:space="preserve">1）油卡管理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管理员设置相应的油卡使用申请流程，相关用户发起油卡申请，写明申请人、部门、申请时间、车牌号、加油卡号、能源种类、加充费用、油品单价和事由等信息，流转至审批人员。</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0" w:name="_Toc139637247"/>
      <w:r>
        <w:rPr>
          <w:color w:val="auto"/>
          <w:highlight w:val="none"/>
        </w:rPr>
      </w:r>
      <w:bookmarkEnd w:id="210"/>
      <w:r>
        <w:rPr>
          <w:rFonts w:hint="eastAsia" w:ascii="宋体" w:hAnsi="宋体"/>
          <w:bCs/>
          <w:color w:val="auto"/>
          <w:sz w:val="24"/>
          <w:szCs w:val="24"/>
          <w:highlight w:val="none"/>
        </w:rPr>
        <w:t xml:space="preserve">2）餐券管理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餐券申请</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1" w:name="_Hlk50563825"/>
      <w:r>
        <w:rPr>
          <w:color w:val="auto"/>
          <w:highlight w:val="none"/>
        </w:rPr>
      </w:r>
      <w:bookmarkEnd w:id="211"/>
      <w:r>
        <w:rPr>
          <w:rFonts w:hint="eastAsia" w:ascii="宋体" w:hAnsi="宋体"/>
          <w:bCs/>
          <w:color w:val="auto"/>
          <w:sz w:val="24"/>
          <w:szCs w:val="24"/>
          <w:highlight w:val="none"/>
        </w:rPr>
        <w:t xml:space="preserve">领用人员通过餐券申请功能发起申请，登记餐券申请单，填写申请人、部门、申请时间、申请张数和事由等信息，登记完后，选择下一步审批人员进入餐券领用的办理流程。</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餐券管理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对餐券进行管理，可对餐券进行添加、删除、查询和修改等操作，并能实时查看餐券剩余张数。</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color w:val="auto"/>
          <w:highlight w:val="none"/>
        </w:rPr>
      </w:r>
      <w:bookmarkStart w:id="212" w:name="_Toc139637248"/>
      <w:r>
        <w:rPr>
          <w:color w:val="auto"/>
          <w:highlight w:val="none"/>
        </w:rPr>
      </w:r>
      <w:bookmarkEnd w:id="212"/>
      <w:r>
        <w:rPr>
          <w:rFonts w:hint="eastAsia" w:ascii="宋体" w:hAnsi="宋体"/>
          <w:bCs/>
          <w:color w:val="auto"/>
          <w:sz w:val="24"/>
          <w:szCs w:val="24"/>
          <w:highlight w:val="none"/>
        </w:rPr>
        <w:t xml:space="preserve">联络簿</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提供内部联络簿功能，为用户提供了所有人员的联系信息，以部门组织结构树的形式罗列人员，支持按姓名、手机号的搜索功能，同时支持在线编辑短信发送和直接发起邮件或在线消息的功能。</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color w:val="auto"/>
          <w:highlight w:val="none"/>
        </w:rPr>
      </w:r>
      <w:bookmarkStart w:id="213" w:name="_Toc139637249"/>
      <w:r>
        <w:rPr>
          <w:color w:val="auto"/>
          <w:highlight w:val="none"/>
        </w:rPr>
      </w:r>
      <w:bookmarkEnd w:id="213"/>
      <w:r>
        <w:rPr>
          <w:rFonts w:hint="eastAsia" w:ascii="宋体" w:hAnsi="宋体"/>
          <w:bCs/>
          <w:color w:val="auto"/>
          <w:sz w:val="24"/>
          <w:szCs w:val="24"/>
          <w:highlight w:val="none"/>
        </w:rPr>
        <w:t xml:space="preserve">信息系统数据同步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4" w:name="_Toc139637250"/>
      <w:r>
        <w:rPr>
          <w:color w:val="auto"/>
          <w:highlight w:val="none"/>
        </w:rPr>
      </w:r>
      <w:bookmarkEnd w:id="214"/>
      <w:r>
        <w:rPr>
          <w:rFonts w:hint="eastAsia" w:ascii="宋体" w:hAnsi="宋体"/>
          <w:bCs/>
          <w:color w:val="auto"/>
          <w:sz w:val="24"/>
          <w:szCs w:val="24"/>
          <w:highlight w:val="none"/>
        </w:rPr>
        <w:t xml:space="preserve">1）信息系统管理升级</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对直属单位管理进行升级，提供直属单位信息系统数据填报功能，包括信息系统ID、上行业云时间、信息系统所属项目名称、信息系统所属项目建设年份、是否通过等保测评、实施机构等字段。</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5" w:name="_Toc139637251"/>
      <w:r>
        <w:rPr>
          <w:color w:val="auto"/>
          <w:highlight w:val="none"/>
        </w:rPr>
      </w:r>
      <w:bookmarkEnd w:id="215"/>
      <w:r>
        <w:rPr>
          <w:rFonts w:hint="eastAsia" w:ascii="宋体" w:hAnsi="宋体"/>
          <w:bCs/>
          <w:color w:val="auto"/>
          <w:sz w:val="24"/>
          <w:szCs w:val="24"/>
          <w:highlight w:val="none"/>
        </w:rPr>
        <w:t xml:space="preserve">2）与行业云对接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对接行业云，直属单位通过项目建设管理系统填报信息系统数据时，填报人可通过接口获取服务器信息，同时与建设系统绑定，直属单位填报完成之后，信息系统数据同步至行业云。</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6" w:name="_Toc139637252"/>
      <w:r>
        <w:rPr>
          <w:color w:val="auto"/>
          <w:highlight w:val="none"/>
        </w:rPr>
      </w:r>
      <w:bookmarkEnd w:id="216"/>
      <w:r>
        <w:rPr>
          <w:rFonts w:hint="eastAsia" w:ascii="宋体" w:hAnsi="宋体"/>
          <w:bCs/>
          <w:color w:val="auto"/>
          <w:sz w:val="24"/>
          <w:szCs w:val="24"/>
          <w:highlight w:val="none"/>
        </w:rPr>
        <w:t xml:space="preserve">3）与朗新对接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对接朗新接口，直属单位通过朗新接口获取项目信息，填报信息系统所属项目名称。</w:t>
      </w:r>
      <w:r>
        <w:rPr>
          <w:rFonts w:ascii="宋体" w:hAnsi="宋体"/>
          <w:bCs/>
          <w:color w:val="auto"/>
          <w:sz w:val="24"/>
          <w:szCs w:val="24"/>
          <w:highlight w:val="none"/>
        </w:rPr>
      </w:r>
      <w:r>
        <w:rPr>
          <w:color w:val="auto"/>
          <w:highlight w:val="none"/>
        </w:rPr>
      </w:r>
    </w:p>
    <w:p>
      <w:pPr>
        <w:pStyle w:val="923"/>
        <w:numPr>
          <w:ilvl w:val="0"/>
          <w:numId w:val="26"/>
        </w:numPr>
        <w:ind w:firstLine="480"/>
        <w:spacing w:line="360" w:lineRule="auto"/>
        <w:rPr>
          <w:rFonts w:ascii="宋体" w:hAnsi="宋体"/>
          <w:bCs/>
          <w:color w:val="auto"/>
          <w:sz w:val="24"/>
          <w:szCs w:val="24"/>
          <w:highlight w:val="none"/>
        </w:rPr>
      </w:pPr>
      <w:r>
        <w:rPr>
          <w:color w:val="auto"/>
          <w:highlight w:val="none"/>
        </w:rPr>
      </w:r>
      <w:bookmarkStart w:id="217" w:name="_Toc139637253"/>
      <w:r>
        <w:rPr>
          <w:color w:val="auto"/>
          <w:highlight w:val="none"/>
        </w:rPr>
      </w:r>
      <w:bookmarkEnd w:id="217"/>
      <w:r>
        <w:rPr>
          <w:rFonts w:hint="eastAsia" w:ascii="宋体" w:hAnsi="宋体"/>
          <w:bCs/>
          <w:color w:val="auto"/>
          <w:sz w:val="24"/>
          <w:szCs w:val="24"/>
          <w:highlight w:val="none"/>
        </w:rPr>
        <w:t xml:space="preserve">手机端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手机端主要提供了基于无线网和互联网，让使用手持设备（PAD、智能手机）的人员可以通过移动网络访问系统，并使用相应的功能。基于手机用户的唯一可标识性，通过多重技术认证手段，用户能够通过移动终端的统一门户入口访问现有的系统和内部信息资源，实现在任何时间、任何地点的移动化工作。</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手机端同步PC端相关功能模块，包含每日安全报告填报和信息安全联系单处理。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8" w:name="_Toc139637254"/>
      <w:r>
        <w:rPr>
          <w:color w:val="auto"/>
          <w:highlight w:val="none"/>
        </w:rPr>
      </w:r>
      <w:bookmarkEnd w:id="218"/>
      <w:r>
        <w:rPr>
          <w:rFonts w:hint="eastAsia" w:ascii="宋体" w:hAnsi="宋体"/>
          <w:bCs/>
          <w:color w:val="auto"/>
          <w:sz w:val="24"/>
          <w:szCs w:val="24"/>
          <w:highlight w:val="none"/>
        </w:rPr>
        <w:t xml:space="preserve">1）每日安全报告填报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各地和委各直属单位可通过手机端对每日安全情况进行填报，需对每日是否有安全事件进行确认，选择是的单位可直接在手机端上报发生事件详细情况。</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color w:val="auto"/>
          <w:highlight w:val="none"/>
        </w:rPr>
      </w:r>
      <w:bookmarkStart w:id="219" w:name="_Toc139637255"/>
      <w:r>
        <w:rPr>
          <w:color w:val="auto"/>
          <w:highlight w:val="none"/>
        </w:rPr>
      </w:r>
      <w:bookmarkEnd w:id="219"/>
      <w:r>
        <w:rPr>
          <w:rFonts w:hint="eastAsia" w:ascii="宋体" w:hAnsi="宋体"/>
          <w:bCs/>
          <w:color w:val="auto"/>
          <w:sz w:val="24"/>
          <w:szCs w:val="24"/>
          <w:highlight w:val="none"/>
        </w:rPr>
        <w:t xml:space="preserve">2）信息安全联系单处理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同步PC端信息安全联系单数据，移动端信息安全联系单处理功能除联系单的登记、查看等常规功能外，更加注重的是针对安全员提供的联系单处理移动辅助功能，包括接收联系单、查看联系单、反馈结果等。</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3）联络簿</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用户可在移动端查看所有人员的联系信息，能够进行一次点击快速拨打电话，发送消息，发送电子邮件等操作，方便实用。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（6）健康医疗数据安全协同系统</w:t>
      </w:r>
      <w:r>
        <w:rPr>
          <w:rFonts w:ascii="宋体" w:hAnsi="宋体"/>
          <w:bCs/>
          <w:color w:val="auto"/>
          <w:sz w:val="24"/>
          <w:szCs w:val="24"/>
          <w:highlight w:val="none"/>
        </w:rPr>
      </w:r>
      <w:r>
        <w:rPr>
          <w:color w:val="auto"/>
          <w:highlight w:val="none"/>
        </w:rPr>
      </w:r>
    </w:p>
    <w:p>
      <w:pPr>
        <w:pStyle w:val="923"/>
        <w:numPr>
          <w:ilvl w:val="0"/>
          <w:numId w:val="2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电子病历数据溯源</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当前基础区块链已具有溯源管理，为了进一步满足电子病历数据溯源场景，需增加如下内容：</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1）电子病历上链溯源管理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了保证电子病历溯源发送端上报数据的安全和可控，电子病历数据上报过程中采用非对称加密算法和电子病历验签机制。针对电子病历文件大小、总行数做比对，如果接口异常也增加禁用操作和警告通知。该模块主要分为电子病历医院注册和电子病历医院上报两个功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电子病历医院注册包含所有医院的注册信息,按照每页 10 条分页方式按创建时间倒序方式展示,显示字段有机构名称、联系人、联 系电话、上报地址、启用状态、创建人、创建时间。管理人员可以添加医院机构信息，查看全部机构注册信息，对指定机构字段（机 构名称、联系人、联系电话、启用状态）进行编辑，同时可以查看机构的详细信息。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电子病历医院上报包含所有医院的电子病历文件上链信息,按照每页10条分页方式按上报时间倒序方式展示,显示字段有区块链订单号、机构名称、机构上报数、第三方订单号、文件名、MD5 值、上报时间。数据鉴权平台管理人员仅可以查看全部上链信息无法对其进行编辑，同时对应的区块链订单号可以快捷的跳转到交易订单查看完整的上链信息，针对上报信息可以查看详情。</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2）电子病历接收对账管理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了保证电子病历溯源接收端上报数据的安全和可控，需要对其文件大小、总行数跟上报端数据进行链上比对，对账通过视为接收完成。对账失败，视为接收失败，后台也增加禁用操作和警告通知。该模块主要包含电子病历卫健委对账功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电子病历卫健委对账包含所有通过卫健委的比</w:t>
      </w:r>
      <w:r>
        <w:rPr>
          <w:rFonts w:hint="eastAsia" w:ascii="宋体" w:hAnsi="宋体"/>
          <w:bCs/>
          <w:color w:val="auto"/>
          <w:sz w:val="24"/>
          <w:szCs w:val="24"/>
          <w:highlight w:val="none"/>
        </w:rPr>
        <w:t xml:space="preserve">对信息,按照每页10 条分页方式按注册时间倒序方式展示,显示字段有区块链订单号、机构名称、机构上报数、第三方订单号、文件名、状态、上报时间。数据鉴权平台管理人员仅可以查看全部对账信息无法对其进行编辑，同时对应的区块链订单号可以快捷的跳转到交易订单查看完整的上链信息。针对对账信息可以查看详情，详情页面显示医院订单号、区块链订单号、医院机构 ID、医院机构名称、机构上报数量、市卫健委机构 ID、市卫健委机构名称、文件名、第三方业务流水号、上报文件 md5 值、检测文件 md5 值、数据文件是否被篡改、上报时间。</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3）电子病历异步消息管理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考虑电子数据上链的准确性，采用异步的方式进行溯源消息上链。目前采用 RabbitMq 实现异步发送。将电子病历文件大小、数据总行数写入消息队列，需要消息的系统自己从消息队列中订阅，从而上游系统不需要做任何修改。针对电子病历溯源发送端和接收端数据文件、总行数的处理分析，消息结果上链。</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4）电子病历溯源规则管理 </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电子病历溯源对账处理支持多种规则的配置，如数据文件 md5值、数据文件流对应字节码的 hash 等等，正常默认情况下都以数据文件 md5 值规则，溯源机构和在注册的时候进行选择。目前电子病历配置的是 md5 和文件大小双重溯源规则。</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5）电子病历溯源运营数据报表 </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后台定时脚本，每天凌晨 3 点定时统计分析前一天的各机构对账数据文件的篡改和非篡改数量，然后汇总到一张按天统计的报表中，运营人员后台看到的数据报表均来自该数据表。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运营数据报表包含所有医院的电子病历上报对比信息,按照每页10 条分页方式按日期倒序方式展示,显示字段有日期、机构名称、机构 ID、上报数据文件数量、篡改数量、未篡改数量、医院上报文件数量、卫健委文件数量。数据鉴权平台管理人员仅可以查看报表信息，同时针对每一条数据单独的查看详情，详情页面显示日期、机构名称、申请的机构ID、上报数据文件数量、检测数量、篡改数量、未篡改数量、医院上报文件数、卫健委文件数。</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6）电子病历数据溯源展示页面 </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电子病历数据溯源会医院电子病历文件 FT</w:t>
      </w:r>
      <w:r>
        <w:rPr>
          <w:rFonts w:hint="eastAsia" w:ascii="宋体" w:hAnsi="宋体"/>
          <w:bCs/>
          <w:color w:val="auto"/>
          <w:sz w:val="24"/>
          <w:szCs w:val="24"/>
          <w:highlight w:val="none"/>
        </w:rPr>
        <w:t xml:space="preserve">P 上报、区块链数据同步、卫健委从 FTP 获取电子文件、电子病历文件对账比对四个过程去追踪数据的整个业务流程。电子病历数据溯源具体显示了电子病历文件对应的医院系统订单号、电子病历文件上链对应的区块链交易订单号、医院机构 ID、医院名称、电子病历文件的数据量、市卫健委机构 ID、市卫健委名称、电子病历文件名称、第三方业务系统的流水号、区块链同步的电子病历文件 md5 值、卫健委从 FTP 获取的电子病历对应的文件 md5 值、电子病历文件是否被篡改的结果、电子病历文件上报时间、电子病历是否被篡改比对时间。 </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7）电子病历接口改造数据对接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电子病历接口改造数据对接主要包含如下三个接口：医院数据上报、获取数据上链比对、获取指定机构配置信息。</w:t>
      </w:r>
      <w:r>
        <w:rPr>
          <w:rFonts w:ascii="宋体" w:hAnsi="宋体"/>
          <w:bCs/>
          <w:color w:val="auto"/>
          <w:sz w:val="24"/>
          <w:szCs w:val="24"/>
          <w:highlight w:val="none"/>
        </w:rPr>
      </w:r>
      <w:r>
        <w:rPr>
          <w:color w:val="auto"/>
          <w:highlight w:val="none"/>
        </w:rPr>
      </w:r>
    </w:p>
    <w:p>
      <w:pPr>
        <w:pStyle w:val="923"/>
        <w:numPr>
          <w:ilvl w:val="0"/>
          <w:numId w:val="2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“智能提醒”业务协同</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当前基础区块链已经具有数据协同服务管理，为进一步满足“智能提醒”场景，需做如下提升：</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1）“智能提醒”协同数据管理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“智能提醒”协同端检验基础数据、检查基础数据、处方基础数据上链，业务系统在调用上链服务的时候返回结果数据，满足医院的医疗场景。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2）“智能提醒”异步通知管理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考虑检验、检验、处方的基础数据上链的准确性，采用异步的方式进行消息上链。目前采用RabbitMq实现异步发送。将基础数据的唯一索引值写入消息队列，需要消息的系统自己从消息队列中订阅，从而上游系统不需要做任何修改。针对“智能提醒”业务系统能准确的获取通知结果。</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3）“智能提醒”异步脚本管理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“智能提醒”通知的异步后台自动化脚本，会异步分析各协同端上报的数据，按照不同纬度进行统计，最终计算出统计结果。</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4）“智能提醒”协同数据密钥管理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为了对数据上链的机构进行监管，需要监管后台进行机构注册，机构注册提供机构 ID、验签密钥供数据上报接口调用使用。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“智能提醒”对于后台管理人员会为每个协同端分配唯一的数据上报接口验签机制需要用到的密钥。管理人员会根据接口的调用异常情况，进行密钥的禁用和启用。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5）“智能提醒”协同数据溯源管理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针对业务系统重复结果的上链，用户可以在后台根据时间段筛选，查询某个时间段的上报数据记录。每条记录包含订单号、业务代码、业务类型、状态、区块链交易 hash、发起机构 ID、参与方机构 ID 集合，并能对于重复的总数量、时间段内重复的数量、不同机构之间重复的数量进行分析和统计。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6）“智能提醒”运营数据报表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后台定时脚本，每天凌晨 3 点定时统计分析前一天的各机构对账数据文件的篡改和非篡改数量，然后汇总到一张按天统计的报表中，运营人员后台看到的数据报表均来自该数据表。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运营数据报表含所有医院的信息,按照每页10条分页方式按日期倒序方式展示,显示字段有机构（医院）、日期、总上报数、上报异常数、成功数、失败数。数据鉴权平台管理人员仅可以查看报表信息。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7）“智能提醒”展示页面</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该后台模块包含所有机构的检验检查数据信息,按照每页10条分页方式按日期倒序方式展示,显示字段有推送机构、日期、近期检验数、近期检查数、基本信息数、用药信息数。</w:t>
      </w:r>
      <w:r>
        <w:rPr>
          <w:rFonts w:ascii="宋体" w:hAnsi="宋体"/>
          <w:bCs/>
          <w:color w:val="auto"/>
          <w:sz w:val="24"/>
          <w:szCs w:val="24"/>
          <w:highlight w:val="none"/>
        </w:rPr>
      </w:r>
      <w:r>
        <w:rPr>
          <w:color w:val="auto"/>
          <w:highlight w:val="none"/>
        </w:rPr>
      </w:r>
    </w:p>
    <w:p>
      <w:pPr>
        <w:pStyle w:val="923"/>
        <w:numPr>
          <w:ilvl w:val="0"/>
          <w:numId w:val="29"/>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影像数据共享</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当前基础区块链已具有数据共享API管理功能，为进一步满足影像数据共享场景，需做如下提升：</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1）影像数据共享包管理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影像数据数据共享服务包的 APP，在影像数据链接的基础上，APP管理做了代码混淆，非对称加密，H5页面封装等技术手段，让数据无法被复制、盗取、</w:t>
      </w:r>
      <w:r>
        <w:rPr>
          <w:rFonts w:hint="eastAsia" w:ascii="宋体" w:hAnsi="宋体"/>
          <w:bCs/>
          <w:color w:val="auto"/>
          <w:sz w:val="24"/>
          <w:szCs w:val="24"/>
          <w:highlight w:val="none"/>
        </w:rPr>
        <w:t xml:space="preserve">篡改</w:t>
      </w:r>
      <w:r>
        <w:rPr>
          <w:rFonts w:hint="eastAsia" w:ascii="宋体" w:hAnsi="宋体"/>
          <w:bCs/>
          <w:color w:val="auto"/>
          <w:sz w:val="24"/>
          <w:szCs w:val="24"/>
          <w:highlight w:val="none"/>
        </w:rPr>
        <w:t xml:space="preserve">。在管理人员进行APP的注册管理，绑定对应的APP应用开发商信息，并对指定的版本数据共享服务包进行打包和下载处理，然后集成到自己的APP中。第三方APP按照数据共享服务集成规则进行集成。</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2）影像数据共享记录溯源管理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影像数据共享记录数据共享服务包调用记录，支持共享服务包的可溯源查询。影像数据共享运营数据报表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后台定时脚本，每天凌晨 3 点定时统计分析前一天的各机构对账数据文件的篡改和非篡改数量，然后汇总到一张按天统计的报表中，运营人员后台看到的数据报表均来自该数据表。</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运营数据报表包含所有应用的调用信息,按照每页10条分页方式按日期倒序方式展示,显示字段有日期、应用名称、应用 id、加载开始次数、加载结束次数、上链数量。数据鉴权平台管理人员仅可以查看调用分析信息。</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3）影像数据共享展示页面</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第三方应用集成了数据共享 SDK，可以将SDK封装的H5页面在APP中展示，目前支持卫健委开放的居民影像数据和个人健康档案。</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4）灵锡、健康E家对应的IOS版和Android版本集成对接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由于每种APP对应的系统版本差异性，影像数据共享 SDK 在集成的过程中需要做适配和兼容。因为数据共享 SDK 涉及个人隐私信息的查询，故对安全性的要求比较高。主要实现了如下的安全措施：</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在UI层面只提供及必要的事件处理，其他事件则一律禁止，系统提供的功能采用了禁用方式。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对保存在本地的数据进行了加密处理，不以明文的形式使用或处理。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对网络传输的数据加密传输，同时网络访问采用https请求，防止数据泄露。</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程序运行过程中禁用日志输出功能。</w:t>
      </w:r>
      <w:r>
        <w:rPr>
          <w:rFonts w:ascii="宋体" w:hAnsi="宋体"/>
          <w:bCs/>
          <w:color w:val="auto"/>
          <w:sz w:val="24"/>
          <w:szCs w:val="24"/>
          <w:highlight w:val="none"/>
        </w:rPr>
      </w:r>
      <w:r>
        <w:rPr>
          <w:color w:val="auto"/>
          <w:highlight w:val="none"/>
        </w:rPr>
      </w:r>
    </w:p>
    <w:p>
      <w:pPr>
        <w:pStyle w:val="923"/>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8.项目实施要求</w:t>
      </w:r>
      <w:r>
        <w:rPr>
          <w:rFonts w:ascii="宋体" w:hAnsi="宋体"/>
          <w:b/>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（1）项目组要求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人应合理成立本项目的实施团队，确保有效人力和物力的投入。项目实施团队应由项目负责人、业务专家、系统架构设计、程序设计开发、质量控制管理、信息安全设计开发、系统集成、系统测试、网络工程师和系统工程师等方面人员组成。合同签订生效后，中标人应向采购人提供项目组人员清单，因中标服务商人员变更原因所造成的进度滞后、质量问题等后果，由中标服务商承担一切责任。</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（2）实施进度要求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中标人应根据项目建设内容和要求，制定项目实施进度计划和完成时间。中标服务商如不能按照如下项目进度要求交付，采购人有权予以追究违约责任并终止合同。</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合同签订</w:t>
      </w:r>
      <w:r>
        <w:rPr>
          <w:rFonts w:hint="eastAsia" w:ascii="宋体" w:hAnsi="宋体"/>
          <w:bCs/>
          <w:color w:val="auto"/>
          <w:sz w:val="24"/>
          <w:szCs w:val="24"/>
          <w:highlight w:val="none"/>
        </w:rPr>
        <w:t xml:space="preserve">生效</w:t>
      </w:r>
      <w:r>
        <w:rPr>
          <w:rFonts w:hint="eastAsia" w:ascii="宋体" w:hAnsi="宋体"/>
          <w:bCs/>
          <w:color w:val="auto"/>
          <w:sz w:val="24"/>
          <w:szCs w:val="24"/>
          <w:highlight w:val="none"/>
        </w:rPr>
        <w:t xml:space="preserve">后7个月内完成系统所有功能的建设、安装、上线试运行。</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（3）质量保障要求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中标人应参照国家有关标准，制定本项目的质量管理措施和保障措施，严格把关成果质量。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实施期间采购人可对项目进度、质量、人员能力等情况进行动态考核，过程中出现项目管理、人员、工期、质量协调控制不力的情况，采购人有权要求更换项目负责人，中标服务商必须予以配合，并采取补救措施确保不影响项目建设的进度和质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在项目实施过程中，</w:t>
      </w: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须接受采购人监督，响应监理单位的监督，完成专家团队整改意见的整改。对各实施阶段产生的成果严格进行校审，强化成果审查和测试工作，及时汇报。对软件产品进行严格测试，严把各阶段质量关，确保整个项目的质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（4）测试与验收要求</w:t>
      </w:r>
      <w:r>
        <w:rPr>
          <w:rFonts w:ascii="宋体" w:hAnsi="宋体"/>
          <w:bCs/>
          <w:color w:val="auto"/>
          <w:sz w:val="24"/>
          <w:szCs w:val="24"/>
          <w:highlight w:val="none"/>
        </w:rPr>
      </w:r>
      <w:r>
        <w:rPr>
          <w:color w:val="auto"/>
          <w:highlight w:val="none"/>
        </w:rPr>
      </w:r>
    </w:p>
    <w:p>
      <w:pPr>
        <w:pStyle w:val="923"/>
        <w:numPr>
          <w:ilvl w:val="0"/>
          <w:numId w:val="3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测试要求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应完成包括不限于定制开发软件依据软件需求分析、总体设计、详细设计等，编写测试方案，自行负责软件测试，测试后形成测试报告，测试方案和测试报告需提交采购人核查。</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2)采购人按照系统功能、安装程序、设计开发文档的三统一要求，对中标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完成的软件进行用户测试。中标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在用户测试之前，需提交有关文档资料，如</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总体设计，详细设计，操作手册。</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3)在项目验收阶段，中标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需配合采购人进行用户测试，用户的测试依据是合同的功能和性能要求，以及系统设计的具体要求。测试出的问题，中标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必须按照采购人要求，限期完成整改。</w:t>
      </w:r>
      <w:r>
        <w:rPr>
          <w:rFonts w:ascii="宋体" w:hAnsi="宋体"/>
          <w:bCs/>
          <w:color w:val="auto"/>
          <w:sz w:val="24"/>
          <w:szCs w:val="24"/>
          <w:highlight w:val="none"/>
        </w:rPr>
      </w:r>
      <w:r>
        <w:rPr>
          <w:color w:val="auto"/>
          <w:highlight w:val="none"/>
        </w:rPr>
      </w:r>
    </w:p>
    <w:p>
      <w:pPr>
        <w:pStyle w:val="923"/>
        <w:numPr>
          <w:ilvl w:val="0"/>
          <w:numId w:val="3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验收方法</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本项目验收将按《无锡市使用财政性资金信息化项目验收管理办法(试行)》（锡数发【2021】24号）文件要求，本</w:t>
      </w:r>
      <w:r>
        <w:rPr>
          <w:rFonts w:hint="eastAsia" w:ascii="宋体" w:hAnsi="宋体"/>
          <w:bCs/>
          <w:color w:val="auto"/>
          <w:sz w:val="24"/>
          <w:szCs w:val="24"/>
          <w:highlight w:val="none"/>
        </w:rPr>
        <w:t xml:space="preserve">项目验收包括初步验收、竣工验收两个环节，依托无锡市信息化项目全流程</w:t>
      </w:r>
      <w:r>
        <w:rPr>
          <w:rFonts w:hint="eastAsia" w:ascii="宋体" w:hAnsi="宋体"/>
          <w:bCs/>
          <w:color w:val="auto"/>
          <w:sz w:val="24"/>
          <w:szCs w:val="24"/>
          <w:highlight w:val="none"/>
        </w:rPr>
        <w:t xml:space="preserve">管理系统开展。初步验收通过后进入试运行阶段，试运行通过后才能进入竣工验收阶段。项目初步验收由项目建设单位自行组织。竣工验收由市大数据管理局组织，由项目建设</w:t>
      </w:r>
      <w:r>
        <w:rPr>
          <w:rFonts w:hint="eastAsia" w:ascii="宋体" w:hAnsi="宋体"/>
          <w:bCs/>
          <w:color w:val="auto"/>
          <w:sz w:val="24"/>
          <w:szCs w:val="24"/>
          <w:highlight w:val="none"/>
        </w:rPr>
        <w:t xml:space="preserve">单</w:t>
      </w:r>
      <w:r>
        <w:rPr>
          <w:rFonts w:hint="eastAsia" w:ascii="宋体" w:hAnsi="宋体"/>
          <w:bCs/>
          <w:color w:val="auto"/>
          <w:sz w:val="24"/>
          <w:szCs w:val="24"/>
          <w:highlight w:val="none"/>
        </w:rPr>
        <w:t xml:space="preserve">位在项目试运行期满后，向市大数据管理局提出验收申请。</w:t>
      </w:r>
      <w:r>
        <w:rPr>
          <w:rFonts w:ascii="宋体" w:hAnsi="宋体"/>
          <w:bCs/>
          <w:color w:val="auto"/>
          <w:sz w:val="24"/>
          <w:szCs w:val="24"/>
          <w:highlight w:val="none"/>
        </w:rPr>
      </w:r>
      <w:r>
        <w:rPr>
          <w:color w:val="auto"/>
          <w:highlight w:val="none"/>
        </w:rPr>
      </w:r>
    </w:p>
    <w:p>
      <w:pPr>
        <w:pStyle w:val="923"/>
        <w:numPr>
          <w:ilvl w:val="0"/>
          <w:numId w:val="3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初步验收内容</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项目初步验收内容</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检查总体情况。主要检查建设内容、建设规模是否按照批准的建设方案(项目建议书、可行性研究报告、初步设计及概算)，责任书，合同书等有关文件约定建成，项目建设中发生重大变更是否获得相关部门的批准。</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2)检查施工质量。主要检查软件产品以及定制开发应用软件的施工质量。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3)检查档案资料。主要检查项目建设的批复文件及有关档案，单项设计、施工、建立、集成、验收等档案，合同档案、各类标准、管理文件及过程控制文件等档案资料。</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4)检查应用系统</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项目管理审查。对项目计划、采用标准、需求方案及其执行情况进行审查和评价；</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技术文档检查。对项目承建单位交付的文档资料 (纸质文档和电子文档)进行审查。</w:t>
      </w:r>
      <w:r>
        <w:rPr>
          <w:rFonts w:ascii="宋体" w:hAnsi="宋体"/>
          <w:bCs/>
          <w:color w:val="auto"/>
          <w:sz w:val="24"/>
          <w:szCs w:val="24"/>
          <w:highlight w:val="none"/>
        </w:rPr>
      </w:r>
      <w:r>
        <w:rPr>
          <w:color w:val="auto"/>
          <w:highlight w:val="none"/>
        </w:rPr>
      </w:r>
    </w:p>
    <w:p>
      <w:pPr>
        <w:pStyle w:val="923"/>
        <w:numPr>
          <w:ilvl w:val="0"/>
          <w:numId w:val="30"/>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竣工验收内容包括(但不限于)</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1)项目流程合规性验收。项目申报、审核、审批、采购、实施、管理等流程符合《无锡市使用财政性资金信息化项目管理办法》(锡政办发 【2022】96号)及其配</w:t>
      </w:r>
      <w:r>
        <w:rPr>
          <w:rFonts w:hint="eastAsia" w:ascii="宋体" w:hAnsi="宋体"/>
          <w:bCs/>
          <w:color w:val="auto"/>
          <w:sz w:val="24"/>
          <w:szCs w:val="24"/>
          <w:highlight w:val="none"/>
        </w:rPr>
        <w:t xml:space="preserve">套</w:t>
      </w:r>
      <w:r>
        <w:rPr>
          <w:rFonts w:hint="eastAsia" w:ascii="宋体" w:hAnsi="宋体"/>
          <w:bCs/>
          <w:color w:val="auto"/>
          <w:sz w:val="24"/>
          <w:szCs w:val="24"/>
          <w:highlight w:val="none"/>
        </w:rPr>
        <w:t xml:space="preserve">管理规范的相关要求。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2)验收材料完备性和符合性验收。验收材料符合《无锡市使用财政性资金信息化项目管理办法》(锡政办发 【2022】96号)及其配套管理规范的相关要求。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3)建设内容一致性和适用性验收。建设内容与相关批复文件、招投标文件、合同文件要求保持一致。主要验收内容包括硬件设备验收、软件产品验收、定制开发应用软件验收等。</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（5）培训要求</w:t>
      </w:r>
      <w:r>
        <w:rPr>
          <w:rFonts w:ascii="宋体" w:hAnsi="宋体"/>
          <w:bCs/>
          <w:color w:val="auto"/>
          <w:sz w:val="24"/>
          <w:szCs w:val="24"/>
          <w:highlight w:val="none"/>
        </w:rPr>
      </w:r>
      <w:r>
        <w:rPr>
          <w:color w:val="auto"/>
          <w:highlight w:val="none"/>
        </w:rPr>
      </w:r>
    </w:p>
    <w:p>
      <w:pPr>
        <w:pStyle w:val="923"/>
        <w:numPr>
          <w:ilvl w:val="0"/>
          <w:numId w:val="3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中标人应根据项目实施的计划、进度和需要，及时对相关人员进行培训，使其基本掌握相关软件产品、定制开发应用软件的功能，能够独立完成其操作。</w:t>
      </w:r>
      <w:r>
        <w:rPr>
          <w:rFonts w:ascii="宋体" w:hAnsi="宋体"/>
          <w:bCs/>
          <w:color w:val="auto"/>
          <w:sz w:val="24"/>
          <w:szCs w:val="24"/>
          <w:highlight w:val="none"/>
        </w:rPr>
      </w:r>
      <w:r>
        <w:rPr>
          <w:color w:val="auto"/>
          <w:highlight w:val="none"/>
        </w:rPr>
      </w:r>
    </w:p>
    <w:p>
      <w:pPr>
        <w:pStyle w:val="923"/>
        <w:numPr>
          <w:ilvl w:val="0"/>
          <w:numId w:val="3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培训次数和课时数要根据采购人参加培训人数、培训效果确定，如培训后未完全掌握讲授知识，中标人应再次提供培训，直到培训对象完全掌握并能熟练操作。</w:t>
      </w:r>
      <w:r>
        <w:rPr>
          <w:rFonts w:ascii="宋体" w:hAnsi="宋体"/>
          <w:bCs/>
          <w:color w:val="auto"/>
          <w:sz w:val="24"/>
          <w:szCs w:val="24"/>
          <w:highlight w:val="none"/>
        </w:rPr>
      </w:r>
      <w:r>
        <w:rPr>
          <w:color w:val="auto"/>
          <w:highlight w:val="none"/>
        </w:rPr>
      </w:r>
    </w:p>
    <w:p>
      <w:pPr>
        <w:pStyle w:val="923"/>
        <w:numPr>
          <w:ilvl w:val="0"/>
          <w:numId w:val="31"/>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培训需求和计划</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培训需求为无锡市卫生健康委员会及相关人员，培训内容涉及采购清单中所有软件产品的功能、操作及技术管理等。具体的培训需求和计划如下：</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1)培训目的</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人员培训是项目实施的重要环节，对整个项目的实施至关重要，通过培训，希望工作人员得到日常工作需要的专业技术知识和经验，从而保障整个系统的有效使用和顺利运行。</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2)培训方式</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了加强培训效果，提高培训效率，针对不同类型人员进行不同针对性培训。培训方式可以采用集中培训、现场培训、在线培训等；其中，集中培训和现场培训为必选方式，以求达到高质量、高效率的培训效果。培训课程必须包含软件产品培训，业务操作培训，答疑培训等。</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3)培训对象</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本项目的主要培训对象如下，在启动培训工作时，必须包含以下人员：</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无锡市卫生健康委员会以及相关人员。</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4)培训安排</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按需进行集中培训，集中培训范围包含所有使用该系统的用户，如果集中培训人数较多可采取分批培训的方式进行。</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（6）售后及运维服务要求</w:t>
      </w:r>
      <w:r>
        <w:rPr>
          <w:rFonts w:ascii="宋体" w:hAnsi="宋体"/>
          <w:bCs/>
          <w:color w:val="auto"/>
          <w:sz w:val="24"/>
          <w:szCs w:val="24"/>
          <w:highlight w:val="none"/>
        </w:rPr>
      </w:r>
      <w:r>
        <w:rPr>
          <w:color w:val="auto"/>
          <w:highlight w:val="none"/>
        </w:rPr>
      </w:r>
    </w:p>
    <w:p>
      <w:pPr>
        <w:pStyle w:val="923"/>
        <w:numPr>
          <w:ilvl w:val="0"/>
          <w:numId w:val="3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系统免费维护服务期限：项目通过竣工验收合格后，中标服务商需提供项目终验之日起3年的免费服务。免费服务期内，中标服务商需提供技术人员服务，进行系统的使用指导和售后服务工作，费用由中标服务商自行承担；在期限内，中标服务商负责各应用软件的正常运行维护与升级，确保系统的安全性、可靠性和稳定性，相关费用均由中标服务商承担。中标服务商应提供7*24小时的售后服务，并保证在系统发生故障的1小时内响应，4小时以内解决问题，不能当场修复的，必须提供相关应急预案。</w:t>
      </w:r>
      <w:r>
        <w:rPr>
          <w:rFonts w:ascii="宋体" w:hAnsi="宋体"/>
          <w:bCs/>
          <w:color w:val="auto"/>
          <w:sz w:val="24"/>
          <w:szCs w:val="24"/>
          <w:highlight w:val="none"/>
        </w:rPr>
      </w:r>
      <w:r>
        <w:rPr>
          <w:color w:val="auto"/>
          <w:highlight w:val="none"/>
        </w:rPr>
      </w:r>
    </w:p>
    <w:p>
      <w:pPr>
        <w:pStyle w:val="923"/>
        <w:numPr>
          <w:ilvl w:val="0"/>
          <w:numId w:val="3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服务商需有能力提供长期服务，软件产品出现运行故障，中标服务商必须负责判断、分析故障原因，及时排除系统故障(所有因此发生的费用需在投标时予以考虑，如成交供应商有无法自行解决的问题，必须向相关原厂商购买符合要求的上门服务)；如无法及时排除故障，或原因不清的情况下，必须由中标服务商提交应急方案，保证系统正常运行，并在最短时间内解决影响系统正常运行的任何故障、隐患。中标服务商需建立系统维护制度，制定网络运营保障预案，费用均须包括在此次投标总价中；中标服务商</w:t>
      </w:r>
      <w:r>
        <w:rPr>
          <w:rFonts w:hint="eastAsia" w:ascii="宋体" w:hAnsi="宋体"/>
          <w:bCs/>
          <w:color w:val="auto"/>
          <w:sz w:val="24"/>
          <w:szCs w:val="24"/>
          <w:highlight w:val="none"/>
        </w:rPr>
        <w:t xml:space="preserve">必须</w:t>
      </w:r>
      <w:r>
        <w:rPr>
          <w:rFonts w:hint="eastAsia" w:ascii="宋体" w:hAnsi="宋体"/>
          <w:bCs/>
          <w:color w:val="auto"/>
          <w:sz w:val="24"/>
          <w:szCs w:val="24"/>
          <w:highlight w:val="none"/>
        </w:rPr>
        <w:t xml:space="preserve">对采购人网络及网络安全建设的最终技术方案和部署细节进行保密。</w:t>
      </w:r>
      <w:r>
        <w:rPr>
          <w:rFonts w:ascii="宋体" w:hAnsi="宋体"/>
          <w:bCs/>
          <w:color w:val="auto"/>
          <w:sz w:val="24"/>
          <w:szCs w:val="24"/>
          <w:highlight w:val="none"/>
        </w:rPr>
      </w:r>
      <w:r>
        <w:rPr>
          <w:color w:val="auto"/>
          <w:highlight w:val="none"/>
        </w:rPr>
      </w:r>
    </w:p>
    <w:p>
      <w:pPr>
        <w:pStyle w:val="923"/>
        <w:numPr>
          <w:ilvl w:val="0"/>
          <w:numId w:val="32"/>
        </w:num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售后服务范围</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因系统自身原因造成的运行不稳定，中标人应及时免费维护。</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（7）保密要求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须在与采购人签订安全保密协议后，方可开展项目建设工作。中标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必须保证项目相关技术和数据的秘密，未经采购人许可，不得转存或拷贝平台数据，不得披露平台相关技术和信息。中标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未遵守保密要求而引发的一切后果，均由中标</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自行承担。</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中标人</w:t>
      </w:r>
      <w:r>
        <w:rPr>
          <w:rFonts w:hint="eastAsia" w:ascii="宋体" w:hAnsi="宋体"/>
          <w:bCs/>
          <w:color w:val="auto"/>
          <w:sz w:val="24"/>
          <w:szCs w:val="24"/>
          <w:highlight w:val="none"/>
        </w:rPr>
        <w:t xml:space="preserve">须严格执行采购人的保密要求。</w:t>
      </w:r>
      <w:r>
        <w:rPr>
          <w:rFonts w:ascii="宋体" w:hAnsi="宋体"/>
          <w:bCs/>
          <w:color w:val="auto"/>
          <w:sz w:val="24"/>
          <w:szCs w:val="24"/>
          <w:highlight w:val="none"/>
        </w:rPr>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（8）知识产权</w:t>
      </w:r>
      <w:r>
        <w:rPr>
          <w:rFonts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本项目中涉及定制开发的信息化建设内容，知识产权归采购人所有。</w:t>
      </w:r>
      <w:r>
        <w:rPr>
          <w:rFonts w:hint="eastAsia" w:ascii="宋体" w:hAnsi="宋体"/>
          <w:bCs/>
          <w:color w:val="auto"/>
          <w:sz w:val="24"/>
          <w:szCs w:val="24"/>
          <w:highlight w:val="none"/>
        </w:rPr>
      </w:r>
      <w:r>
        <w:rPr>
          <w:color w:val="auto"/>
          <w:highlight w:val="none"/>
        </w:rPr>
      </w:r>
    </w:p>
    <w:p>
      <w:pPr>
        <w:pStyle w:val="923"/>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923"/>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923"/>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合同签订生效之日起7个月内完成整体项目竣工验收。</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自项目验收合格之日起三年。</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合同签订生效后支付合同总价的30%；项目经采购方竣工验收通过后支付合同总价的60%；竣工验收三年后经采购方绩效评价通过后支付合同总价的10%。</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923"/>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923"/>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none"/>
        </w:rPr>
      </w:r>
      <w:r>
        <w:rPr>
          <w:color w:val="auto"/>
          <w:highlight w:val="none"/>
        </w:rP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none"/>
        </w:rPr>
      </w:r>
      <w:r>
        <w:rPr>
          <w:color w:val="auto"/>
          <w:highlight w:val="none"/>
        </w:rPr>
      </w:r>
    </w:p>
    <w:p>
      <w:pPr>
        <w:pStyle w:val="923"/>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none"/>
        </w:rPr>
      </w:r>
      <w:r>
        <w:rPr>
          <w:color w:val="auto"/>
          <w:highlight w:val="none"/>
        </w:rP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auto"/>
          <w:sz w:val="24"/>
          <w:szCs w:val="24"/>
          <w:highlight w:val="none"/>
        </w:rPr>
      </w:r>
      <w:r>
        <w:rPr>
          <w:color w:val="auto"/>
          <w:highlight w:val="none"/>
        </w:rPr>
      </w:r>
    </w:p>
    <w:p>
      <w:pPr>
        <w:pStyle w:val="92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923"/>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none"/>
          <w:lang w:val="en"/>
        </w:rPr>
      </w:r>
      <w:r>
        <w:rPr>
          <w:color w:val="auto"/>
          <w:highlight w:val="none"/>
        </w:rPr>
      </w:r>
    </w:p>
    <w:p>
      <w:pPr>
        <w:pStyle w:val="92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923"/>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220"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rFonts w:hint="eastAsia" w:ascii="黑体" w:hAnsi="黑体" w:eastAsia="黑体"/>
          <w:bCs/>
          <w:color w:val="auto"/>
          <w:sz w:val="36"/>
          <w:szCs w:val="36"/>
          <w:highlight w:val="none"/>
        </w:rPr>
      </w:r>
      <w:r>
        <w:rPr>
          <w:color w:val="auto"/>
          <w:highlight w:val="none"/>
        </w:rPr>
      </w:r>
    </w:p>
    <w:p>
      <w:pPr>
        <w:pStyle w:val="1011"/>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1011"/>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1011"/>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1011"/>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一，以此类推，按排名先后顺序选取3名中标候选人。</w:t>
      </w:r>
      <w:r>
        <w:rPr>
          <w:rFonts w:hint="eastAsia" w:ascii="宋体" w:hAnsi="宋体"/>
          <w:bCs/>
          <w:color w:val="auto"/>
          <w:highlight w:val="none"/>
        </w:rPr>
      </w:r>
      <w:r>
        <w:rPr>
          <w:color w:val="auto"/>
          <w:highlight w:val="none"/>
        </w:rPr>
      </w:r>
    </w:p>
    <w:p>
      <w:pPr>
        <w:pStyle w:val="1011"/>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1011"/>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1011"/>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923"/>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92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92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92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923"/>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92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923"/>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23"/>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1011"/>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color w:val="auto"/>
          <w:highlight w:val="none"/>
          <w:shd w:val="clear" w:color="ffffff" w:fill="d9d9d9"/>
        </w:rPr>
      </w:r>
      <w:r>
        <w:rPr>
          <w:color w:val="auto"/>
          <w:highlight w:val="none"/>
        </w:rP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25</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23"/>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923"/>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23"/>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bCs/>
          <w:color w:val="auto"/>
          <w:sz w:val="24"/>
          <w:szCs w:val="24"/>
          <w:highlight w:val="none"/>
        </w:rPr>
      </w:r>
      <w:r>
        <w:rPr>
          <w:color w:val="auto"/>
          <w:highlight w:val="none"/>
        </w:rP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10</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auto"/>
          <w:sz w:val="24"/>
          <w:szCs w:val="24"/>
          <w:highlight w:val="none"/>
        </w:rPr>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2.1  </w:t>
      </w:r>
      <w:r>
        <w:rPr>
          <w:rFonts w:hint="eastAsia" w:ascii="宋体" w:hAnsi="宋体"/>
          <w:color w:val="auto"/>
          <w:sz w:val="24"/>
          <w:highlight w:val="none"/>
        </w:rPr>
        <w:t xml:space="preserve">项目负责人（3分）：投标人为本项目实施、服务配备一名项目负责人，该项目负责人具有信息系统项目管理师（高级）</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、IT服务项目经理</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、注册信息安全管理人员（</w:t>
      </w:r>
      <w:r>
        <w:rPr>
          <w:rFonts w:hint="eastAsia" w:ascii="宋体" w:hAnsi="宋体"/>
          <w:color w:val="auto"/>
          <w:sz w:val="24"/>
          <w:highlight w:val="none"/>
        </w:rPr>
        <w:t xml:space="preserve">CISO）证书的得1分；须提供相应有效证书证明材料。</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w:t>
      </w:r>
      <w:r>
        <w:rPr>
          <w:rFonts w:hint="eastAsia" w:ascii="宋体" w:hAnsi="宋体"/>
          <w:color w:val="auto"/>
          <w:sz w:val="24"/>
          <w:highlight w:val="none"/>
        </w:rPr>
        <w:t xml:space="preserve">技术负责人（3分）：投标人为本项目实施、服务配备一名技术负责人</w:t>
      </w:r>
      <w:r>
        <w:rPr>
          <w:rFonts w:hint="eastAsia" w:ascii="宋体" w:hAnsi="宋体"/>
          <w:color w:val="auto"/>
          <w:sz w:val="24"/>
          <w:highlight w:val="none"/>
        </w:rPr>
        <w:t xml:space="preserve">（与项目负责人不能是同一人）</w:t>
      </w:r>
      <w:r>
        <w:rPr>
          <w:rFonts w:hint="eastAsia" w:ascii="宋体" w:hAnsi="宋体"/>
          <w:color w:val="auto"/>
          <w:sz w:val="24"/>
          <w:highlight w:val="none"/>
        </w:rPr>
        <w:t xml:space="preserve">，该技术负责人具有系统架构师（高级）</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、系统规划与管理师（高级）</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、注册信息安全工程师（CISE）</w:t>
      </w:r>
      <w:r>
        <w:rPr>
          <w:rFonts w:hint="eastAsia" w:ascii="宋体" w:hAnsi="宋体"/>
          <w:color w:val="auto"/>
          <w:sz w:val="24"/>
          <w:highlight w:val="none"/>
        </w:rPr>
        <w:t xml:space="preserve">证书的得1分；须提供相应有效证书证明材料。</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  </w:t>
      </w:r>
      <w:r>
        <w:rPr>
          <w:rFonts w:hint="eastAsia" w:ascii="宋体" w:hAnsi="宋体"/>
          <w:color w:val="auto"/>
          <w:sz w:val="24"/>
          <w:highlight w:val="none"/>
        </w:rPr>
        <w:t xml:space="preserve">项目组成员（4分）：</w:t>
      </w:r>
      <w:r>
        <w:rPr>
          <w:rFonts w:hint="eastAsia" w:ascii="宋体" w:hAnsi="宋体"/>
          <w:color w:val="auto"/>
          <w:sz w:val="24"/>
          <w:highlight w:val="none"/>
        </w:rPr>
        <w:t xml:space="preserve">除上述项目经理、技术负责人外，</w:t>
      </w:r>
      <w:r>
        <w:rPr>
          <w:rFonts w:hint="eastAsia" w:ascii="宋体" w:hAnsi="宋体"/>
          <w:color w:val="auto"/>
          <w:sz w:val="24"/>
          <w:highlight w:val="none"/>
        </w:rPr>
        <w:t xml:space="preserve">项目组成员</w:t>
      </w:r>
      <w:r>
        <w:rPr>
          <w:rFonts w:hint="eastAsia" w:ascii="宋体" w:hAnsi="宋体"/>
          <w:color w:val="auto"/>
          <w:sz w:val="24"/>
          <w:highlight w:val="none"/>
        </w:rPr>
        <w:t xml:space="preserve">具有：</w:t>
      </w:r>
      <w:r>
        <w:rPr>
          <w:rFonts w:hint="eastAsia" w:ascii="宋体" w:hAnsi="宋体"/>
          <w:color w:val="auto"/>
          <w:sz w:val="24"/>
          <w:highlight w:val="none"/>
        </w:rPr>
        <w:t xml:space="preserve">软件设计师</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、软件技术开发工程师（高级）</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、IT运维工程师（高级）</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、网络信息安全工程师（高级）</w:t>
      </w:r>
      <w:r>
        <w:rPr>
          <w:rFonts w:hint="eastAsia" w:ascii="宋体" w:hAnsi="宋体"/>
          <w:color w:val="auto"/>
          <w:sz w:val="24"/>
          <w:highlight w:val="none"/>
        </w:rPr>
        <w:t xml:space="preserve">证书的得1分，同一人具有上</w:t>
      </w:r>
      <w:r>
        <w:rPr>
          <w:rFonts w:hint="eastAsia" w:ascii="宋体" w:hAnsi="宋体"/>
          <w:color w:val="auto"/>
          <w:sz w:val="24"/>
          <w:highlight w:val="none"/>
        </w:rPr>
        <w:t xml:space="preserve">述多种证书的只计算一次，同一种证书也只计算一次，均不重复得分；须提供相应有</w:t>
      </w:r>
      <w:r>
        <w:rPr>
          <w:rFonts w:hint="eastAsia" w:ascii="宋体" w:hAnsi="宋体"/>
          <w:color w:val="auto"/>
          <w:sz w:val="24"/>
          <w:highlight w:val="none"/>
        </w:rPr>
        <w:t xml:space="preserve">效证书证明材料。</w:t>
      </w:r>
      <w:r>
        <w:rPr>
          <w:color w:val="auto"/>
          <w:highlight w:val="none"/>
        </w:rP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5</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业绩（</w:t>
      </w:r>
      <w:r>
        <w:rPr>
          <w:rFonts w:hint="eastAsia" w:ascii="宋体" w:hAnsi="宋体"/>
          <w:color w:val="auto"/>
          <w:sz w:val="24"/>
          <w:highlight w:val="none"/>
        </w:rPr>
        <w:t xml:space="preserve">2</w:t>
      </w:r>
      <w:r>
        <w:rPr>
          <w:rFonts w:hint="eastAsia" w:ascii="宋体" w:hAnsi="宋体"/>
          <w:color w:val="auto"/>
          <w:sz w:val="24"/>
          <w:highlight w:val="none"/>
        </w:rPr>
        <w:t xml:space="preserve">分）：投标人自2021年1月1日以来（以合同签订时间为准），具有与本项目类似项目案例的，每有一个得</w:t>
      </w:r>
      <w:r>
        <w:rPr>
          <w:rFonts w:hint="eastAsia" w:ascii="宋体" w:hAnsi="宋体"/>
          <w:color w:val="auto"/>
          <w:sz w:val="24"/>
          <w:highlight w:val="none"/>
        </w:rPr>
        <w:t xml:space="preserve">1</w:t>
      </w:r>
      <w:r>
        <w:rPr>
          <w:rFonts w:hint="eastAsia" w:ascii="宋体" w:hAnsi="宋体"/>
          <w:color w:val="auto"/>
          <w:sz w:val="24"/>
          <w:highlight w:val="none"/>
        </w:rPr>
        <w:t xml:space="preserve">分，最高</w:t>
      </w:r>
      <w:r>
        <w:rPr>
          <w:rFonts w:hint="eastAsia" w:ascii="宋体" w:hAnsi="宋体"/>
          <w:color w:val="auto"/>
          <w:sz w:val="24"/>
          <w:highlight w:val="none"/>
        </w:rPr>
        <w:t xml:space="preserve">2</w:t>
      </w:r>
      <w:r>
        <w:rPr>
          <w:rFonts w:hint="eastAsia" w:ascii="宋体" w:hAnsi="宋体"/>
          <w:color w:val="auto"/>
          <w:sz w:val="24"/>
          <w:highlight w:val="none"/>
        </w:rPr>
        <w:t xml:space="preserve">分；须提供相应有效合同扫描件。</w:t>
      </w:r>
      <w:r>
        <w:rPr>
          <w:rFonts w:ascii="宋体" w:hAnsi="宋体"/>
          <w:color w:val="auto"/>
          <w:sz w:val="24"/>
          <w:highlight w:val="none"/>
        </w:rPr>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体系认证（3分）：投标人具有有效的：</w:t>
      </w:r>
      <w:r>
        <w:rPr>
          <w:rFonts w:hint="eastAsia" w:ascii="宋体" w:hAnsi="宋体"/>
          <w:color w:val="auto"/>
          <w:sz w:val="24"/>
          <w:highlight w:val="none"/>
        </w:rPr>
        <w:t xml:space="preserve">信息安全管理体系认证证书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、信息技术服务管理体系认证证书</w:t>
      </w:r>
      <w:r>
        <w:rPr>
          <w:rFonts w:hint="eastAsia" w:ascii="宋体" w:hAnsi="宋体"/>
          <w:color w:val="auto"/>
          <w:sz w:val="24"/>
          <w:highlight w:val="none"/>
        </w:rPr>
        <w:t xml:space="preserve">的得1分</w:t>
      </w:r>
      <w:r>
        <w:rPr>
          <w:rFonts w:hint="eastAsia" w:ascii="宋体" w:hAnsi="宋体"/>
          <w:color w:val="auto"/>
          <w:sz w:val="24"/>
          <w:highlight w:val="none"/>
        </w:rPr>
        <w:t xml:space="preserve">、业务连续性管理体系认证证书</w:t>
      </w:r>
      <w:r>
        <w:rPr>
          <w:rFonts w:hint="eastAsia" w:ascii="宋体" w:hAnsi="宋体"/>
          <w:color w:val="auto"/>
          <w:sz w:val="24"/>
          <w:highlight w:val="none"/>
        </w:rPr>
        <w:t xml:space="preserve">的得1分；须提供相应有效体系认证证书扫描件</w:t>
      </w:r>
      <w:r>
        <w:rPr>
          <w:rFonts w:hint="eastAsia" w:ascii="宋体" w:hAnsi="宋体"/>
          <w:color w:val="auto"/>
          <w:sz w:val="24"/>
          <w:highlight w:val="none"/>
        </w:rPr>
        <w:t xml:space="preserve">，同时还须提供该证书在“国家市场监督管理总局-全国认证认可信息公共服务平台”网站查询到的有效认证截图并加盖投标人公章。</w:t>
      </w:r>
      <w:r>
        <w:rPr>
          <w:rFonts w:ascii="宋体" w:hAnsi="宋体"/>
          <w:color w:val="auto"/>
          <w:sz w:val="24"/>
          <w:highlight w:val="none"/>
        </w:rPr>
      </w:r>
      <w:r>
        <w:rPr>
          <w:color w:val="auto"/>
          <w:highlight w:val="none"/>
        </w:rP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产品要求</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ascii="宋体" w:hAnsi="宋体"/>
          <w:b/>
          <w:bCs/>
          <w:color w:val="auto"/>
          <w:sz w:val="24"/>
          <w:szCs w:val="24"/>
          <w:highlight w:val="none"/>
        </w:rPr>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4.1  产品兼容性（1分）：投标人</w:t>
      </w:r>
      <w:r>
        <w:rPr>
          <w:rFonts w:hint="eastAsia" w:ascii="宋体" w:hAnsi="宋体"/>
          <w:color w:val="auto"/>
          <w:sz w:val="24"/>
          <w:highlight w:val="none"/>
        </w:rPr>
        <w:t xml:space="preserve">承诺</w:t>
      </w:r>
      <w:r>
        <w:rPr>
          <w:rFonts w:hint="eastAsia" w:ascii="宋体" w:hAnsi="宋体"/>
          <w:color w:val="auto"/>
          <w:sz w:val="24"/>
          <w:highlight w:val="none"/>
        </w:rPr>
        <w:t xml:space="preserve">所投云管平台产品能够保证与国内各主流技术路线芯片（如鲲鹏、龙芯、飞腾、兆芯）兼容的得1分；须提供</w:t>
      </w:r>
      <w:r>
        <w:rPr>
          <w:rFonts w:hint="eastAsia" w:ascii="宋体" w:hAnsi="宋体"/>
          <w:color w:val="auto"/>
          <w:sz w:val="24"/>
          <w:highlight w:val="none"/>
        </w:rPr>
        <w:t xml:space="preserve">投标人承诺函</w:t>
      </w:r>
      <w:r>
        <w:rPr>
          <w:rFonts w:hint="eastAsia" w:ascii="宋体" w:hAnsi="宋体"/>
          <w:color w:val="auto"/>
          <w:sz w:val="24"/>
          <w:highlight w:val="none"/>
        </w:rPr>
        <w:t xml:space="preserve">。</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rPr>
        <w:t xml:space="preserve">2</w:t>
      </w:r>
      <w:r>
        <w:rPr>
          <w:rFonts w:hint="eastAsia" w:ascii="宋体" w:hAnsi="宋体"/>
          <w:color w:val="auto"/>
          <w:sz w:val="24"/>
          <w:highlight w:val="none"/>
        </w:rPr>
        <w:t xml:space="preserve">  产品证书（</w:t>
      </w:r>
      <w:r>
        <w:rPr>
          <w:rFonts w:hint="eastAsia" w:ascii="宋体" w:hAnsi="宋体"/>
          <w:color w:val="auto"/>
          <w:sz w:val="24"/>
          <w:highlight w:val="none"/>
        </w:rPr>
        <w:t xml:space="preserve">1</w:t>
      </w:r>
      <w:r>
        <w:rPr>
          <w:rFonts w:hint="eastAsia" w:ascii="宋体" w:hAnsi="宋体"/>
          <w:color w:val="auto"/>
          <w:sz w:val="24"/>
          <w:highlight w:val="none"/>
        </w:rPr>
        <w:t xml:space="preserve">分）：</w:t>
      </w:r>
      <w:r>
        <w:rPr>
          <w:rFonts w:hint="eastAsia" w:ascii="宋体" w:hAnsi="宋体"/>
          <w:color w:val="auto"/>
          <w:sz w:val="24"/>
          <w:highlight w:val="none"/>
        </w:rPr>
        <w:t xml:space="preserve">所投态势感知平台产品具有网络安全专用产品检测证书的得1分；须提供证书扫描件。</w:t>
      </w:r>
      <w:r>
        <w:rPr>
          <w:rFonts w:hint="eastAsia" w:ascii="宋体" w:hAnsi="宋体"/>
          <w:color w:val="auto"/>
          <w:sz w:val="24"/>
          <w:highlight w:val="none"/>
        </w:rPr>
      </w:r>
      <w:r>
        <w:rPr>
          <w:color w:val="auto"/>
          <w:highlight w:val="none"/>
        </w:rP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演示（</w:t>
      </w:r>
      <w:r>
        <w:rPr>
          <w:rFonts w:hint="eastAsia" w:ascii="宋体" w:hAnsi="宋体"/>
          <w:b/>
          <w:bCs/>
          <w:color w:val="auto"/>
          <w:sz w:val="24"/>
          <w:szCs w:val="24"/>
          <w:highlight w:val="none"/>
        </w:rPr>
        <w:t xml:space="preserve">8</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投标人须按照招标文件规定的演示内容制作演示视频文件，演</w:t>
      </w:r>
      <w:r>
        <w:rPr>
          <w:rFonts w:hint="eastAsia" w:ascii="宋体" w:hAnsi="宋体"/>
          <w:bCs/>
          <w:color w:val="auto"/>
          <w:sz w:val="24"/>
          <w:szCs w:val="24"/>
          <w:highlight w:val="none"/>
        </w:rPr>
        <w:t xml:space="preserve">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hint="eastAsia" w:ascii="宋体" w:hAnsi="宋体"/>
          <w:b/>
          <w:bCs/>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5.1  </w:t>
      </w:r>
      <w:r>
        <w:rPr>
          <w:rFonts w:hint="eastAsia" w:ascii="宋体" w:hAnsi="宋体"/>
          <w:color w:val="auto"/>
          <w:sz w:val="24"/>
          <w:highlight w:val="none"/>
        </w:rPr>
        <w:t xml:space="preserve">项目建设管理系统-合同管理功能（2分）：项目建设管理系统能够对合同进行登记，记录合同相关信息，包括采购名称、合同名称、单位名称、合同金额、签订时间。全部按要求进行演示的得2分，未按要求演示、演示不全、未提供演示的均不得分。</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5.2  项目建设管理系统-项目查询功能（2分）：操作者拥有相应权限方可进行操作，用户可查询相关项目详细信息。全部按要求进行演示的得2分，未按要求演示、演示不全、未提供演示的均不得分。</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5.3  项目建设管理系统-预付款提醒功能（2分）：在每个月月初，都会记录下当月需要付款的合同信息，并且通过短信的方式通知经办人及时处理。全部按要求进行演示的得2分，未按要求演示、演示不全、未提供演示的均不得分。</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5.4  项目建设管理系统-项目一览功能（2分）：可以查看当前账户下所有项目的情况，包括合同名称、合同金额、付款方式、付款进度、经办人等一系列信息。全部按要求进行演示的得2分，未按要求演示、演示不全、未提供演示的均不得分。</w:t>
      </w:r>
      <w:r>
        <w:rPr>
          <w:rFonts w:hint="eastAsia" w:ascii="宋体" w:hAnsi="宋体"/>
          <w:color w:val="auto"/>
          <w:sz w:val="24"/>
          <w:highlight w:val="none"/>
        </w:rPr>
      </w:r>
      <w:r>
        <w:rPr>
          <w:color w:val="auto"/>
          <w:highlight w:val="none"/>
        </w:rPr>
      </w:r>
    </w:p>
    <w:p>
      <w:pPr>
        <w:pStyle w:val="923"/>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50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：无方案不得分。</w:t>
      </w:r>
      <w:r>
        <w:rPr>
          <w:rFonts w:ascii="宋体" w:hAnsi="宋体"/>
          <w:b/>
          <w:bCs/>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rPr>
        <w:t xml:space="preserve">.1  </w:t>
      </w:r>
      <w:r>
        <w:rPr>
          <w:rFonts w:hint="eastAsia" w:ascii="宋体" w:hAnsi="宋体"/>
          <w:color w:val="auto"/>
          <w:sz w:val="24"/>
          <w:highlight w:val="none"/>
        </w:rPr>
        <w:t xml:space="preserve">项目需求理解（</w:t>
      </w:r>
      <w:r>
        <w:rPr>
          <w:rFonts w:hint="eastAsia" w:ascii="宋体" w:hAnsi="宋体"/>
          <w:color w:val="auto"/>
          <w:sz w:val="24"/>
          <w:highlight w:val="none"/>
        </w:rPr>
        <w:t xml:space="preserve">13</w:t>
      </w:r>
      <w:r>
        <w:rPr>
          <w:rFonts w:hint="eastAsia" w:ascii="宋体" w:hAnsi="宋体"/>
          <w:color w:val="auto"/>
          <w:sz w:val="24"/>
          <w:highlight w:val="none"/>
        </w:rPr>
        <w:t xml:space="preserve">分）：根据投标人对用户现状与项目需求的理解，投标人的总体设计思路与项目各个子系统的设计方案是否科学，包括但不限于系统设计思想、技术实现方法和路线等。</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w:t>
      </w:r>
      <w:r>
        <w:rPr>
          <w:rFonts w:hint="eastAsia" w:ascii="宋体" w:hAnsi="宋体"/>
          <w:color w:val="auto"/>
          <w:sz w:val="24"/>
          <w:highlight w:val="none"/>
        </w:rPr>
        <w:t xml:space="preserve">13</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w:t>
      </w:r>
      <w:r>
        <w:rPr>
          <w:rFonts w:hint="eastAsia" w:ascii="宋体" w:hAnsi="宋体"/>
          <w:color w:val="auto"/>
          <w:sz w:val="24"/>
          <w:highlight w:val="none"/>
        </w:rPr>
        <w:t xml:space="preserve">11</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w:t>
      </w:r>
      <w:r>
        <w:rPr>
          <w:rFonts w:hint="eastAsia" w:ascii="宋体" w:hAnsi="宋体"/>
          <w:color w:val="auto"/>
          <w:sz w:val="24"/>
          <w:highlight w:val="none"/>
        </w:rPr>
        <w:t xml:space="preserve">9</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方案基本</w:t>
      </w:r>
      <w:r>
        <w:rPr>
          <w:rFonts w:hint="eastAsia" w:ascii="宋体" w:hAnsi="宋体"/>
          <w:color w:val="auto"/>
          <w:sz w:val="24"/>
          <w:highlight w:val="none"/>
        </w:rPr>
        <w:t xml:space="preserve">满足要求的，得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color w:val="auto"/>
          <w:sz w:val="24"/>
          <w:highlight w:val="none"/>
        </w:rPr>
        <w:t xml:space="preserve">.2  </w:t>
      </w:r>
      <w:r>
        <w:rPr>
          <w:rFonts w:hint="eastAsia" w:ascii="宋体" w:hAnsi="宋体"/>
          <w:color w:val="auto"/>
          <w:sz w:val="24"/>
          <w:highlight w:val="none"/>
        </w:rPr>
        <w:t xml:space="preserve">项目实施及进度安排（</w:t>
      </w:r>
      <w:r>
        <w:rPr>
          <w:rFonts w:hint="eastAsia" w:ascii="宋体" w:hAnsi="宋体"/>
          <w:color w:val="auto"/>
          <w:sz w:val="24"/>
          <w:highlight w:val="none"/>
        </w:rPr>
        <w:t xml:space="preserve">13</w:t>
      </w:r>
      <w:r>
        <w:rPr>
          <w:rFonts w:hint="eastAsia" w:ascii="宋体" w:hAnsi="宋体"/>
          <w:color w:val="auto"/>
          <w:sz w:val="24"/>
          <w:highlight w:val="none"/>
        </w:rPr>
        <w:t xml:space="preserve">分）：根据投标人提供的组织施工方案，就其工作进度安排是否合理、各工作方案内容是否完整且切实可行进行给分。</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，得13分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，得11分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，得9分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方案基本</w:t>
      </w:r>
      <w:r>
        <w:rPr>
          <w:rFonts w:hint="eastAsia" w:ascii="宋体" w:hAnsi="宋体"/>
          <w:color w:val="auto"/>
          <w:sz w:val="24"/>
          <w:highlight w:val="none"/>
        </w:rPr>
        <w:t xml:space="preserve">满足要求的，得7分。</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6.3  </w:t>
      </w:r>
      <w:r>
        <w:rPr>
          <w:rFonts w:hint="eastAsia" w:ascii="宋体" w:hAnsi="宋体"/>
          <w:color w:val="auto"/>
          <w:sz w:val="24"/>
          <w:highlight w:val="none"/>
        </w:rPr>
        <w:t xml:space="preserve">服务方案（</w:t>
      </w:r>
      <w:r>
        <w:rPr>
          <w:rFonts w:hint="eastAsia" w:ascii="宋体" w:hAnsi="宋体"/>
          <w:color w:val="auto"/>
          <w:sz w:val="24"/>
          <w:highlight w:val="none"/>
        </w:rPr>
        <w:t xml:space="preserve">12</w:t>
      </w:r>
      <w:r>
        <w:rPr>
          <w:rFonts w:hint="eastAsia" w:ascii="宋体" w:hAnsi="宋体"/>
          <w:color w:val="auto"/>
          <w:sz w:val="24"/>
          <w:highlight w:val="none"/>
        </w:rPr>
        <w:t xml:space="preserve">分）：投标人保障项目能够达到招标文件设定的使用和运行状态，提供售后技术保障措施、售后人员配置、售后服务内容等。</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，得12分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，得10分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方案基本</w:t>
      </w:r>
      <w:r>
        <w:rPr>
          <w:rFonts w:hint="eastAsia" w:ascii="宋体" w:hAnsi="宋体"/>
          <w:color w:val="auto"/>
          <w:sz w:val="24"/>
          <w:highlight w:val="none"/>
        </w:rPr>
        <w:t xml:space="preserve">满足要求的，得6分。</w:t>
      </w:r>
      <w:r>
        <w:rPr>
          <w:rFonts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6.4  </w:t>
      </w:r>
      <w:r>
        <w:rPr>
          <w:rFonts w:hint="eastAsia" w:ascii="宋体" w:hAnsi="宋体"/>
          <w:color w:val="auto"/>
          <w:sz w:val="24"/>
          <w:highlight w:val="none"/>
        </w:rPr>
        <w:t xml:space="preserve">培训方案（</w:t>
      </w:r>
      <w:r>
        <w:rPr>
          <w:rFonts w:hint="eastAsia" w:ascii="宋体" w:hAnsi="宋体"/>
          <w:color w:val="auto"/>
          <w:sz w:val="24"/>
          <w:highlight w:val="none"/>
        </w:rPr>
        <w:t xml:space="preserve">12</w:t>
      </w:r>
      <w:r>
        <w:rPr>
          <w:rFonts w:hint="eastAsia" w:ascii="宋体" w:hAnsi="宋体"/>
          <w:color w:val="auto"/>
          <w:sz w:val="24"/>
          <w:highlight w:val="none"/>
        </w:rPr>
        <w:t xml:space="preserve">分）：根据投标文件中投标人是否有针对管理人员、操作人员完整的、系统的培训方案等情况进行打分，方案包括但不限于培训计划、培训方式、培训内容等。</w:t>
      </w:r>
      <w:r>
        <w:rPr>
          <w:rFonts w:hint="eastAsia" w:ascii="宋体" w:hAnsi="宋体"/>
          <w:color w:val="auto"/>
          <w:sz w:val="24"/>
          <w:highlight w:val="none"/>
        </w:rPr>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方案清晰、合理、详细、全面、针对性强、可行性强的</w:t>
      </w:r>
      <w:r>
        <w:rPr>
          <w:rFonts w:hint="eastAsia" w:ascii="宋体" w:hAnsi="宋体"/>
          <w:color w:val="auto"/>
          <w:sz w:val="24"/>
          <w:highlight w:val="none"/>
        </w:rPr>
        <w:t xml:space="preserve">，得12分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方案较清晰、较合理、较详细、较全面、针对性较强、可行性较强的</w:t>
      </w:r>
      <w:r>
        <w:rPr>
          <w:rFonts w:hint="eastAsia" w:ascii="宋体" w:hAnsi="宋体"/>
          <w:color w:val="auto"/>
          <w:sz w:val="24"/>
          <w:highlight w:val="none"/>
        </w:rPr>
        <w:t xml:space="preserve">，得10分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w:t>
      </w:r>
      <w:r>
        <w:rPr>
          <w:rFonts w:hint="eastAsia" w:ascii="宋体" w:hAnsi="宋体"/>
          <w:color w:val="auto"/>
          <w:sz w:val="24"/>
          <w:highlight w:val="none"/>
        </w:rPr>
        <w:t xml:space="preserve">均</w:t>
      </w:r>
      <w:r>
        <w:rPr>
          <w:rFonts w:hint="eastAsia" w:ascii="宋体" w:hAnsi="宋体"/>
          <w:color w:val="auto"/>
          <w:sz w:val="24"/>
          <w:highlight w:val="none"/>
        </w:rPr>
        <w:t xml:space="preserve">一般的</w:t>
      </w:r>
      <w:r>
        <w:rPr>
          <w:rFonts w:hint="eastAsia" w:ascii="宋体" w:hAnsi="宋体"/>
          <w:color w:val="auto"/>
          <w:sz w:val="24"/>
          <w:highlight w:val="none"/>
        </w:rPr>
        <w:t xml:space="preserve">，得8分</w:t>
      </w:r>
      <w:r>
        <w:rPr>
          <w:rFonts w:hint="eastAsia" w:ascii="宋体" w:hAnsi="宋体"/>
          <w:color w:val="auto"/>
          <w:sz w:val="24"/>
          <w:highlight w:val="none"/>
        </w:rPr>
        <w:t xml:space="preserve">；</w:t>
      </w:r>
      <w:r>
        <w:rPr>
          <w:color w:val="auto"/>
          <w:highlight w:val="none"/>
        </w:rPr>
      </w:r>
    </w:p>
    <w:p>
      <w:pPr>
        <w:pStyle w:val="923"/>
        <w:ind w:firstLine="480"/>
        <w:spacing w:line="500" w:lineRule="exact"/>
        <w:rPr>
          <w:rFonts w:ascii="宋体" w:hAnsi="宋体"/>
          <w:color w:val="auto"/>
          <w:sz w:val="24"/>
          <w:highlight w:val="none"/>
        </w:rPr>
      </w:pPr>
      <w:r>
        <w:rPr>
          <w:rFonts w:hint="eastAsia" w:ascii="宋体" w:hAnsi="宋体"/>
          <w:color w:val="auto"/>
          <w:sz w:val="24"/>
          <w:highlight w:val="none"/>
        </w:rPr>
        <w:t xml:space="preserve">方案基本</w:t>
      </w:r>
      <w:r>
        <w:rPr>
          <w:rFonts w:hint="eastAsia" w:ascii="宋体" w:hAnsi="宋体"/>
          <w:color w:val="auto"/>
          <w:sz w:val="24"/>
          <w:highlight w:val="none"/>
        </w:rPr>
        <w:t xml:space="preserve">满足要求的，得6分。</w:t>
      </w:r>
      <w:r>
        <w:rPr>
          <w:rFonts w:ascii="宋体" w:hAnsi="宋体"/>
          <w:color w:val="auto"/>
          <w:sz w:val="24"/>
          <w:highlight w:val="none"/>
        </w:rPr>
      </w:r>
      <w:r>
        <w:rPr>
          <w:color w:val="auto"/>
          <w:highlight w:val="none"/>
        </w:rPr>
      </w:r>
    </w:p>
    <w:p>
      <w:pPr>
        <w:pStyle w:val="923"/>
        <w:ind w:firstLine="480"/>
        <w:spacing w:line="500" w:lineRule="exact"/>
        <w:rPr>
          <w:rFonts w:ascii="宋体" w:hAnsi="宋体"/>
          <w:color w:val="auto"/>
          <w:sz w:val="24"/>
          <w:highlight w:val="none"/>
        </w:rPr>
      </w:pPr>
      <w:r>
        <w:rPr>
          <w:rFonts w:ascii="宋体" w:hAnsi="宋体"/>
          <w:color w:val="auto"/>
          <w:sz w:val="24"/>
          <w:highlight w:val="none"/>
        </w:rPr>
      </w:r>
      <w:r>
        <w:rPr>
          <w:color w:val="auto"/>
          <w:highlight w:val="none"/>
        </w:rPr>
      </w:r>
    </w:p>
    <w:p>
      <w:pPr>
        <w:pStyle w:val="1011"/>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220"/>
      <w:r>
        <w:rPr>
          <w:rFonts w:hint="eastAsia" w:ascii="黑体" w:eastAsia="黑体"/>
          <w:bCs/>
          <w:color w:val="auto"/>
          <w:sz w:val="36"/>
          <w:szCs w:val="36"/>
          <w:highlight w:val="none"/>
        </w:rPr>
        <w:t xml:space="preserve">投标文件内容与格式</w:t>
      </w:r>
      <w:r>
        <w:rPr>
          <w:color w:val="auto"/>
          <w:highlight w:val="none"/>
        </w:rPr>
      </w:r>
    </w:p>
    <w:p>
      <w:pPr>
        <w:pStyle w:val="1011"/>
        <w:ind w:firstLine="602"/>
        <w:spacing w:before="0" w:after="0" w:line="500" w:lineRule="exact"/>
        <w:rPr>
          <w:rFonts w:hint="eastAsia" w:cs="Arial"/>
          <w:b/>
          <w:color w:val="auto"/>
          <w:sz w:val="30"/>
          <w:szCs w:val="30"/>
          <w:highlight w:val="none"/>
        </w:rPr>
      </w:pPr>
      <w:r>
        <w:rPr>
          <w:color w:val="auto"/>
          <w:highlight w:val="none"/>
        </w:rPr>
      </w:r>
      <w:bookmarkStart w:id="221" w:name="_Hlt26955039"/>
      <w:r>
        <w:rPr>
          <w:color w:val="auto"/>
          <w:highlight w:val="none"/>
        </w:rPr>
      </w:r>
      <w:bookmarkEnd w:id="221"/>
      <w:r>
        <w:rPr>
          <w:color w:val="auto"/>
          <w:highlight w:val="none"/>
        </w:rPr>
      </w:r>
      <w:bookmarkStart w:id="222" w:name="_Toc49090576"/>
      <w:r>
        <w:rPr>
          <w:color w:val="auto"/>
          <w:highlight w:val="none"/>
        </w:rPr>
      </w:r>
      <w:bookmarkStart w:id="223" w:name="_Toc120614282"/>
      <w:r>
        <w:rPr>
          <w:color w:val="auto"/>
          <w:highlight w:val="none"/>
        </w:rPr>
      </w:r>
      <w:bookmarkStart w:id="224" w:name="_Toc26554094"/>
      <w:r>
        <w:rPr>
          <w:color w:val="auto"/>
          <w:highlight w:val="none"/>
        </w:rPr>
      </w:r>
      <w:bookmarkStart w:id="225" w:name="_Hlt26671244"/>
      <w:r>
        <w:rPr>
          <w:color w:val="auto"/>
          <w:highlight w:val="none"/>
        </w:rPr>
      </w:r>
      <w:bookmarkEnd w:id="225"/>
      <w:r>
        <w:rPr>
          <w:rFonts w:hint="eastAsia" w:cs="Arial"/>
          <w:b/>
          <w:color w:val="auto"/>
          <w:sz w:val="30"/>
          <w:szCs w:val="30"/>
          <w:highlight w:val="none"/>
        </w:rPr>
        <w:t xml:space="preserve">第一部分  投标文件内容</w:t>
      </w:r>
      <w:r>
        <w:rPr>
          <w:color w:val="auto"/>
          <w:highlight w:val="none"/>
        </w:rPr>
      </w:r>
    </w:p>
    <w:p>
      <w:pPr>
        <w:pStyle w:val="1011"/>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01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1011"/>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1011"/>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101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101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101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101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0"/>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101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101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1011"/>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101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1011"/>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p>
        </w:tc>
        <w:tc>
          <w:tcPr>
            <w:tcW w:w="6104" w:type="dxa"/>
            <w:vAlign w:val="center"/>
            <w:textDirection w:val="lrTb"/>
            <w:noWrap w:val="false"/>
          </w:tcPr>
          <w:p>
            <w:pPr>
              <w:pStyle w:val="1011"/>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tc>
        <w:tc>
          <w:tcPr>
            <w:tcW w:w="2449" w:type="dxa"/>
            <w:vAlign w:val="center"/>
            <w:textDirection w:val="lrTb"/>
            <w:noWrap w:val="false"/>
          </w:tcPr>
          <w:p>
            <w:pPr>
              <w:pStyle w:val="1011"/>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rFonts w:ascii="宋体" w:hAnsi="宋体" w:cs="宋体"/>
                <w:color w:val="auto"/>
                <w:highlight w:val="none"/>
              </w:rPr>
            </w:r>
            <w:r>
              <w:rPr>
                <w:color w:val="auto"/>
                <w:highlight w:val="none"/>
              </w:rPr>
            </w:r>
          </w:p>
        </w:tc>
      </w:tr>
      <w:tr>
        <w:trPr>
          <w:trHeight w:val="726"/>
        </w:trPr>
        <w:tc>
          <w:tcPr>
            <w:tcW w:w="719" w:type="dxa"/>
            <w:vAlign w:val="center"/>
            <w:textDirection w:val="lrTb"/>
            <w:noWrap w:val="false"/>
          </w:tcPr>
          <w:p>
            <w:pPr>
              <w:pStyle w:val="101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1011"/>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1011"/>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1011"/>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1011"/>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rFonts w:hint="eastAsia" w:ascii="宋体" w:hAnsi="宋体" w:cs="宋体"/>
                <w:color w:val="auto"/>
                <w:highlight w:val="none"/>
              </w:rPr>
            </w:r>
            <w:r>
              <w:rPr>
                <w:color w:val="auto"/>
                <w:highlight w:val="none"/>
              </w:rPr>
            </w:r>
          </w:p>
        </w:tc>
      </w:tr>
    </w:tbl>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23"/>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923"/>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p>
    <w:p>
      <w:pPr>
        <w:pStyle w:val="923"/>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none"/>
        </w:rPr>
      </w:r>
      <w:r>
        <w:rPr>
          <w:color w:val="auto"/>
          <w:highlight w:val="none"/>
        </w:rPr>
      </w:r>
    </w:p>
    <w:p>
      <w:pPr>
        <w:pStyle w:val="923"/>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923"/>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rFonts w:hint="eastAsia" w:ascii="宋体" w:hAnsi="宋体"/>
          <w:color w:val="auto"/>
          <w:sz w:val="24"/>
          <w:szCs w:val="24"/>
          <w:highlight w:val="none"/>
        </w:rPr>
      </w:r>
      <w:r>
        <w:rPr>
          <w:color w:val="auto"/>
          <w:highlight w:val="none"/>
        </w:rPr>
      </w:r>
    </w:p>
    <w:p>
      <w:pPr>
        <w:pStyle w:val="923"/>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rFonts w:hint="eastAsia"/>
          <w:b/>
          <w:color w:val="auto"/>
          <w:sz w:val="28"/>
          <w:szCs w:val="28"/>
          <w:highlight w:val="none"/>
        </w:rPr>
      </w:r>
      <w:r>
        <w:rPr>
          <w:color w:val="auto"/>
          <w:highlight w:val="none"/>
        </w:rPr>
      </w:r>
    </w:p>
    <w:p>
      <w:pPr>
        <w:pStyle w:val="923"/>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011"/>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1011"/>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1011"/>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101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1011"/>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1011"/>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101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color w:val="auto"/>
                <w:highlight w:val="none"/>
              </w:rPr>
              <w:t xml:space="preserve">“苏采云”系统中</w:t>
            </w:r>
            <w:r>
              <w:rPr>
                <w:rFonts w:hint="eastAsia" w:ascii="宋体" w:hAnsi="宋体"/>
                <w:color w:val="auto"/>
                <w:highlight w:val="none"/>
              </w:rPr>
              <w:t xml:space="preserve">给定格式</w:t>
            </w:r>
            <w:r>
              <w:rPr>
                <w:rFonts w:hint="eastAsia" w:ascii="宋体" w:hAnsi="宋体"/>
                <w:color w:val="auto"/>
                <w:highlight w:val="none"/>
              </w:rPr>
              <w:t xml:space="preserve">）</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1011"/>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1011"/>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1011"/>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1011"/>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1011"/>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1011"/>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1011"/>
              <w:ind w:firstLine="0"/>
              <w:jc w:val="center"/>
              <w:spacing w:before="0" w:after="0" w:line="240" w:lineRule="auto"/>
              <w:rPr>
                <w:rFonts w:hint="eastAsia" w:cs="Arial"/>
              </w:rPr>
            </w:pPr>
            <w:r>
              <w:rPr>
                <w:rFonts w:hint="eastAsia" w:cs="Arial"/>
              </w:rPr>
            </w:r>
            <w:r/>
          </w:p>
        </w:tc>
      </w:tr>
    </w:tbl>
    <w:p>
      <w:pPr>
        <w:pStyle w:val="923"/>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23"/>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p>
    <w:p>
      <w:pPr>
        <w:pStyle w:val="923"/>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rFonts w:hint="eastAsia" w:ascii="宋体" w:hAnsi="宋体"/>
          <w:color w:val="auto"/>
          <w:sz w:val="24"/>
          <w:szCs w:val="24"/>
          <w:highlight w:val="none"/>
        </w:rPr>
      </w:r>
      <w:r>
        <w:rPr>
          <w:color w:val="auto"/>
          <w:highlight w:val="none"/>
        </w:rPr>
      </w:r>
    </w:p>
    <w:p>
      <w:pPr>
        <w:pStyle w:val="923"/>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r>
      <w:r>
        <w:rPr>
          <w:color w:val="auto"/>
          <w:highlight w:val="none"/>
        </w:rPr>
      </w:r>
    </w:p>
    <w:p>
      <w:pPr>
        <w:pStyle w:val="923"/>
        <w:rPr>
          <w:rFonts w:hint="eastAsia"/>
          <w:b/>
          <w:color w:val="auto"/>
          <w:sz w:val="28"/>
          <w:szCs w:val="28"/>
          <w:highlight w:val="none"/>
        </w:rPr>
      </w:pPr>
      <w:r>
        <w:rPr>
          <w:rFonts w:hint="eastAsia"/>
          <w:b/>
          <w:color w:val="auto"/>
          <w:sz w:val="28"/>
          <w:szCs w:val="28"/>
          <w:highlight w:val="none"/>
        </w:rPr>
      </w:r>
      <w:r>
        <w:rPr>
          <w:color w:val="auto"/>
          <w:highlight w:val="none"/>
        </w:rPr>
      </w:r>
    </w:p>
    <w:p>
      <w:pPr>
        <w:pStyle w:val="923"/>
        <w:rPr>
          <w:rFonts w:hint="eastAsia"/>
          <w:b/>
          <w:color w:val="auto"/>
          <w:sz w:val="28"/>
          <w:szCs w:val="28"/>
          <w:highlight w:val="none"/>
        </w:rPr>
      </w:pPr>
      <w:r>
        <w:rPr>
          <w:rFonts w:hint="eastAsia"/>
          <w:b/>
          <w:color w:val="auto"/>
          <w:sz w:val="28"/>
          <w:szCs w:val="28"/>
          <w:highlight w:val="none"/>
        </w:rPr>
        <w:t xml:space="preserve">（二）其他证明文件</w:t>
      </w:r>
      <w:r>
        <w:rPr>
          <w:rFonts w:hint="eastAsia"/>
          <w:b/>
          <w:color w:val="auto"/>
          <w:sz w:val="28"/>
          <w:szCs w:val="28"/>
          <w:highlight w:val="none"/>
        </w:rPr>
      </w:r>
      <w:r>
        <w:rPr>
          <w:color w:val="auto"/>
          <w:highlight w:val="none"/>
        </w:rPr>
      </w:r>
    </w:p>
    <w:p>
      <w:pPr>
        <w:pStyle w:val="923"/>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923"/>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p>
    <w:p>
      <w:pPr>
        <w:pStyle w:val="923"/>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1011"/>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92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3"/>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92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3"/>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23"/>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JSZC-320200-JZCG-G2024-0253</w:t>
      </w:r>
      <w:r>
        <w:rPr>
          <w:rFonts w:ascii="黑体" w:hAnsi="华文中宋" w:eastAsia="黑体"/>
          <w:bCs/>
          <w:color w:val="auto"/>
          <w:sz w:val="30"/>
          <w:szCs w:val="30"/>
          <w:highlight w:val="none"/>
        </w:rPr>
      </w:r>
      <w:r>
        <w:rPr>
          <w:color w:val="auto"/>
          <w:highlight w:val="none"/>
        </w:rPr>
      </w:r>
    </w:p>
    <w:p>
      <w:pPr>
        <w:pStyle w:val="923"/>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市级医疗信息共享平台软件开发项目</w:t>
      </w:r>
      <w:r>
        <w:rPr>
          <w:rFonts w:hint="eastAsia" w:ascii="黑体" w:hAnsi="华文中宋" w:eastAsia="黑体"/>
          <w:bCs/>
          <w:color w:val="auto"/>
          <w:sz w:val="30"/>
          <w:szCs w:val="30"/>
          <w:highlight w:val="none"/>
        </w:rPr>
      </w:r>
      <w:r>
        <w:rPr>
          <w:color w:val="auto"/>
          <w:highlight w:val="none"/>
        </w:rPr>
      </w:r>
    </w:p>
    <w:p>
      <w:pPr>
        <w:pStyle w:val="923"/>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923"/>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923"/>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923"/>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1009"/>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JSZC-320200-JZCG-G2024-0253</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1009"/>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1009"/>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1009"/>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1009"/>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1009"/>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1009"/>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1009"/>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1009"/>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rFonts w:hint="eastAsia"/>
          <w:color w:val="auto"/>
          <w:sz w:val="24"/>
          <w:szCs w:val="24"/>
          <w:highlight w:val="none"/>
        </w:rPr>
      </w:r>
      <w:r>
        <w:rPr>
          <w:color w:val="auto"/>
          <w:highlight w:val="none"/>
        </w:rPr>
      </w:r>
    </w:p>
    <w:p>
      <w:pPr>
        <w:pStyle w:val="1009"/>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p>
    <w:p>
      <w:pPr>
        <w:pStyle w:val="1009"/>
        <w:numPr>
          <w:ilvl w:val="0"/>
          <w:numId w:val="12"/>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p>
    <w:p>
      <w:pPr>
        <w:pStyle w:val="1009"/>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p>
    <w:p>
      <w:pPr>
        <w:pStyle w:val="1009"/>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p>
    <w:p>
      <w:pPr>
        <w:pStyle w:val="1009"/>
        <w:numPr>
          <w:ilvl w:val="0"/>
          <w:numId w:val="12"/>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auto"/>
          <w:sz w:val="24"/>
          <w:szCs w:val="20"/>
          <w:highlight w:val="none"/>
        </w:rPr>
      </w:r>
      <w:r>
        <w:rPr>
          <w:color w:val="auto"/>
          <w:highlight w:val="none"/>
        </w:rPr>
      </w:r>
    </w:p>
    <w:p>
      <w:pPr>
        <w:pStyle w:val="1009"/>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923"/>
        <w:jc w:val="center"/>
        <w:rPr>
          <w:rFonts w:ascii="黑体" w:eastAsia="黑体"/>
          <w:bCs/>
          <w:color w:val="auto"/>
          <w:sz w:val="28"/>
          <w:szCs w:val="28"/>
          <w:highlight w:val="none"/>
        </w:rPr>
        <w:outlineLvl w:val="0"/>
      </w:pPr>
      <w:r>
        <w:rPr>
          <w:color w:val="auto"/>
          <w:highlight w:val="none"/>
        </w:rPr>
      </w:r>
      <w:bookmarkStart w:id="226" w:name="报价方关于资格的声明函（格式）"/>
      <w:r>
        <w:rPr>
          <w:color w:val="auto"/>
          <w:highlight w:val="none"/>
        </w:rPr>
      </w:r>
      <w:bookmarkEnd w:id="226"/>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923"/>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3"/>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923"/>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JSZC-320200-JZCG-G2024-0253</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rFonts w:ascii="宋体" w:hAnsi="宋体"/>
          <w:bCs/>
          <w:color w:val="auto"/>
          <w:sz w:val="24"/>
          <w:szCs w:val="24"/>
          <w:highlight w:val="none"/>
        </w:rPr>
      </w:r>
      <w:r>
        <w:rPr>
          <w:color w:val="auto"/>
          <w:highlight w:val="none"/>
        </w:rPr>
      </w:r>
    </w:p>
    <w:p>
      <w:pPr>
        <w:pStyle w:val="92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92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923"/>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23"/>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923"/>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3"/>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923"/>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923"/>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p>
    <w:p>
      <w:pPr>
        <w:pStyle w:val="92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92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23"/>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2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923"/>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p>
    <w:p>
      <w:pPr>
        <w:pStyle w:val="923"/>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923"/>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23"/>
        <w:ind w:firstLine="420"/>
        <w:spacing w:line="360" w:lineRule="auto"/>
        <w:rPr>
          <w:rFonts w:hint="eastAsia"/>
          <w:color w:val="auto"/>
          <w:highlight w:val="none"/>
        </w:rPr>
      </w:pPr>
      <w:r>
        <w:rPr>
          <w:rFonts w:hint="eastAsia"/>
          <w:color w:val="auto"/>
          <w:highlight w:val="none"/>
        </w:rPr>
      </w:r>
      <w:r>
        <w:rPr>
          <w:color w:val="auto"/>
          <w:highlight w:val="none"/>
        </w:rPr>
      </w:r>
    </w:p>
    <w:p>
      <w:pPr>
        <w:pStyle w:val="923"/>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923"/>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p>
    <w:p>
      <w:pPr>
        <w:pStyle w:val="923"/>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923"/>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923"/>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923"/>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923"/>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2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92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923"/>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23"/>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2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923"/>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23"/>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923"/>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23"/>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923"/>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923"/>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3"/>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JSZC-320200-JZCG-G2024-0253</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rFonts w:ascii="宋体"/>
          <w:bCs/>
          <w:color w:val="auto"/>
          <w:sz w:val="24"/>
          <w:szCs w:val="24"/>
          <w:highlight w:val="none"/>
        </w:rPr>
      </w:r>
      <w:r>
        <w:rPr>
          <w:color w:val="auto"/>
          <w:highlight w:val="none"/>
        </w:rPr>
      </w:r>
    </w:p>
    <w:p>
      <w:pPr>
        <w:pStyle w:val="923"/>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98"/>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998"/>
          <w:bCs/>
          <w:color w:val="auto"/>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923"/>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923"/>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23"/>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923"/>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923"/>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923"/>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923"/>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923"/>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JSZC-320200-JZCG-G2024-0253</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923"/>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92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923"/>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923"/>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923"/>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92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23"/>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923"/>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23"/>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923"/>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23"/>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923"/>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rPr>
          <w:color w:val="auto"/>
          <w:highlight w:val="none"/>
        </w:rPr>
      </w:r>
    </w:p>
    <w:p>
      <w:pPr>
        <w:pStyle w:val="923"/>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923"/>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923"/>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3"/>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rPr>
          <w:rFonts w:hint="eastAsia" w:ascii="黑体" w:eastAsia="黑体"/>
          <w:bCs/>
          <w:color w:val="auto"/>
          <w:sz w:val="24"/>
          <w:szCs w:val="24"/>
          <w:highlight w:val="none"/>
        </w:rPr>
      </w:r>
      <w:r>
        <w:rPr>
          <w:color w:val="auto"/>
          <w:highlight w:val="none"/>
        </w:rPr>
      </w:r>
    </w:p>
    <w:p>
      <w:pPr>
        <w:pStyle w:val="923"/>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23"/>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JSZC-320200-JZCG-G2024-0253</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23"/>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923"/>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1037"/>
              <w:jc w:val="center"/>
              <w:spacing w:line="400" w:lineRule="exact"/>
              <w:rPr>
                <w:rFonts w:hAnsi="宋体"/>
                <w:bCs/>
                <w:color w:val="auto"/>
                <w:szCs w:val="24"/>
                <w:highlight w:val="none"/>
              </w:rPr>
            </w:pPr>
            <w:r>
              <w:rPr>
                <w:rFonts w:hint="eastAsia" w:hAnsi="宋体"/>
                <w:bCs/>
                <w:color w:val="auto"/>
                <w:szCs w:val="24"/>
                <w:highlight w:val="none"/>
              </w:rPr>
              <w:t xml:space="preserve">市级医疗信息共享平台软件开发项目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1037"/>
              <w:jc w:val="center"/>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923"/>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92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p>
    <w:p>
      <w:pPr>
        <w:pStyle w:val="92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2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23"/>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w:t>
      </w:r>
      <w:r>
        <w:rPr>
          <w:rFonts w:hint="eastAsia" w:ascii="黑体" w:eastAsia="黑体"/>
          <w:bCs/>
          <w:color w:val="auto"/>
          <w:sz w:val="24"/>
          <w:szCs w:val="24"/>
          <w:highlight w:val="none"/>
        </w:rPr>
        <w:t xml:space="preserve">因</w:t>
      </w:r>
      <w:r>
        <w:rPr>
          <w:rFonts w:hint="eastAsia" w:ascii="黑体" w:eastAsia="黑体"/>
          <w:bCs/>
          <w:color w:val="auto"/>
          <w:sz w:val="24"/>
          <w:szCs w:val="24"/>
          <w:highlight w:val="none"/>
        </w:rPr>
        <w:t xml:space="preserve">“苏采云”系统</w:t>
      </w:r>
      <w:r>
        <w:rPr>
          <w:rFonts w:hint="eastAsia" w:ascii="黑体" w:eastAsia="黑体"/>
          <w:bCs/>
          <w:color w:val="auto"/>
          <w:sz w:val="24"/>
          <w:szCs w:val="24"/>
          <w:highlight w:val="none"/>
        </w:rPr>
        <w:t xml:space="preserve">自带</w:t>
      </w:r>
      <w:r>
        <w:rPr>
          <w:rFonts w:hint="eastAsia" w:ascii="黑体" w:eastAsia="黑体"/>
          <w:bCs/>
          <w:color w:val="auto"/>
          <w:sz w:val="24"/>
          <w:szCs w:val="24"/>
          <w:highlight w:val="none"/>
        </w:rPr>
        <w:t xml:space="preserve">“开标一览表”模块，</w:t>
      </w:r>
      <w:r>
        <w:rPr>
          <w:rFonts w:hint="eastAsia" w:ascii="黑体" w:eastAsia="黑体"/>
          <w:bCs/>
          <w:color w:val="auto"/>
          <w:sz w:val="24"/>
          <w:szCs w:val="24"/>
          <w:highlight w:val="none"/>
        </w:rPr>
        <w:t xml:space="preserve">投标人</w:t>
      </w:r>
      <w:r>
        <w:rPr>
          <w:rFonts w:hint="eastAsia" w:ascii="黑体" w:eastAsia="黑体"/>
          <w:bCs/>
          <w:color w:val="auto"/>
          <w:sz w:val="24"/>
          <w:szCs w:val="24"/>
          <w:highlight w:val="none"/>
        </w:rPr>
        <w:t xml:space="preserve">须按“苏采云”系统中给定</w:t>
      </w:r>
      <w:r>
        <w:rPr>
          <w:rFonts w:hint="eastAsia" w:ascii="黑体" w:eastAsia="黑体"/>
          <w:bCs/>
          <w:color w:val="auto"/>
          <w:sz w:val="24"/>
          <w:szCs w:val="24"/>
          <w:highlight w:val="none"/>
        </w:rPr>
        <w:t xml:space="preserve">的</w:t>
      </w:r>
      <w:r>
        <w:rPr>
          <w:rFonts w:hint="eastAsia" w:ascii="黑体" w:eastAsia="黑体"/>
          <w:bCs/>
          <w:color w:val="auto"/>
          <w:sz w:val="24"/>
          <w:szCs w:val="24"/>
          <w:highlight w:val="none"/>
        </w:rPr>
        <w:t xml:space="preserve">模块</w:t>
      </w:r>
      <w:r>
        <w:rPr>
          <w:rFonts w:hint="eastAsia" w:ascii="黑体" w:eastAsia="黑体"/>
          <w:bCs/>
          <w:color w:val="auto"/>
          <w:sz w:val="24"/>
          <w:szCs w:val="24"/>
          <w:highlight w:val="none"/>
        </w:rPr>
        <w:t xml:space="preserve">格式</w:t>
      </w:r>
      <w:r>
        <w:rPr>
          <w:rFonts w:hint="eastAsia" w:ascii="黑体" w:eastAsia="黑体"/>
          <w:bCs/>
          <w:color w:val="auto"/>
          <w:sz w:val="24"/>
          <w:szCs w:val="24"/>
          <w:highlight w:val="none"/>
        </w:rPr>
        <w:t xml:space="preserve">，完整、正确地进行填报（具体位置为“基本目录”</w:t>
      </w:r>
      <w:r>
        <w:rPr>
          <w:rFonts w:hint="eastAsia" w:ascii="黑体" w:eastAsia="黑体"/>
          <w:bCs/>
          <w:color w:val="auto"/>
          <w:sz w:val="24"/>
          <w:szCs w:val="24"/>
          <w:highlight w:val="none"/>
        </w:rPr>
        <w:t xml:space="preserve">——“开标一览表”</w:t>
      </w:r>
      <w:r>
        <w:rPr>
          <w:rFonts w:hint="eastAsia" w:ascii="黑体" w:eastAsia="黑体"/>
          <w:bCs/>
          <w:color w:val="auto"/>
          <w:sz w:val="24"/>
          <w:szCs w:val="24"/>
          <w:highlight w:val="none"/>
        </w:rPr>
        <w:t xml:space="preserve">）</w:t>
      </w:r>
      <w:r>
        <w:rPr>
          <w:rFonts w:hint="eastAsia" w:ascii="黑体" w:eastAsia="黑体"/>
          <w:bCs/>
          <w:color w:val="auto"/>
          <w:sz w:val="24"/>
          <w:szCs w:val="24"/>
          <w:highlight w:val="none"/>
        </w:rPr>
        <w:t xml:space="preserve">，此处</w:t>
      </w:r>
      <w:r>
        <w:rPr>
          <w:rFonts w:hint="eastAsia" w:ascii="黑体" w:eastAsia="黑体"/>
          <w:bCs/>
          <w:color w:val="auto"/>
          <w:sz w:val="24"/>
          <w:szCs w:val="24"/>
          <w:highlight w:val="none"/>
        </w:rPr>
        <w:t xml:space="preserve">可不用再重复填报</w:t>
      </w:r>
      <w:r>
        <w:rPr>
          <w:rFonts w:hint="eastAsia" w:ascii="黑体" w:eastAsia="黑体"/>
          <w:bCs/>
          <w:color w:val="auto"/>
          <w:sz w:val="24"/>
          <w:szCs w:val="24"/>
          <w:highlight w:val="none"/>
        </w:rPr>
        <w:t xml:space="preserve">。投标人的“开标一览表”及</w:t>
      </w:r>
      <w:r>
        <w:rPr>
          <w:rFonts w:hint="eastAsia" w:ascii="黑体" w:eastAsia="黑体"/>
          <w:bCs/>
          <w:color w:val="auto"/>
          <w:sz w:val="24"/>
          <w:szCs w:val="24"/>
          <w:highlight w:val="none"/>
        </w:rPr>
        <w:t xml:space="preserve">表</w:t>
      </w:r>
      <w:r>
        <w:rPr>
          <w:rFonts w:hint="eastAsia" w:ascii="黑体" w:eastAsia="黑体"/>
          <w:bCs/>
          <w:color w:val="auto"/>
          <w:sz w:val="24"/>
          <w:szCs w:val="24"/>
          <w:highlight w:val="none"/>
        </w:rPr>
        <w:t xml:space="preserve">中所填</w:t>
      </w:r>
      <w:r>
        <w:rPr>
          <w:rFonts w:hint="eastAsia" w:ascii="黑体" w:eastAsia="黑体"/>
          <w:bCs/>
          <w:color w:val="auto"/>
          <w:sz w:val="24"/>
          <w:szCs w:val="24"/>
          <w:highlight w:val="none"/>
        </w:rPr>
        <w:t xml:space="preserve">的投标</w:t>
      </w:r>
      <w:r>
        <w:rPr>
          <w:rFonts w:hint="eastAsia" w:ascii="黑体" w:eastAsia="黑体"/>
          <w:bCs/>
          <w:color w:val="auto"/>
          <w:sz w:val="24"/>
          <w:szCs w:val="24"/>
          <w:highlight w:val="none"/>
        </w:rPr>
        <w:t xml:space="preserve">报价均将</w:t>
      </w:r>
      <w:r>
        <w:rPr>
          <w:rFonts w:hint="eastAsia" w:ascii="黑体" w:eastAsia="黑体"/>
          <w:bCs/>
          <w:color w:val="auto"/>
          <w:sz w:val="24"/>
          <w:szCs w:val="24"/>
          <w:highlight w:val="none"/>
        </w:rPr>
        <w:t xml:space="preserve">以</w:t>
      </w:r>
      <w:r>
        <w:rPr>
          <w:rFonts w:hint="eastAsia" w:ascii="黑体" w:eastAsia="黑体"/>
          <w:bCs/>
          <w:color w:val="auto"/>
          <w:sz w:val="24"/>
          <w:szCs w:val="24"/>
          <w:highlight w:val="none"/>
        </w:rPr>
        <w:t xml:space="preserve">投标人在“苏采云”系统</w:t>
      </w:r>
      <w:r>
        <w:rPr>
          <w:rFonts w:hint="eastAsia" w:ascii="黑体" w:eastAsia="黑体"/>
          <w:bCs/>
          <w:color w:val="auto"/>
          <w:sz w:val="24"/>
          <w:szCs w:val="24"/>
          <w:highlight w:val="none"/>
        </w:rPr>
        <w:t xml:space="preserve">自带的</w:t>
      </w:r>
      <w:r>
        <w:rPr>
          <w:rFonts w:hint="eastAsia" w:ascii="黑体" w:eastAsia="黑体"/>
          <w:bCs/>
          <w:color w:val="auto"/>
          <w:sz w:val="24"/>
          <w:szCs w:val="24"/>
          <w:highlight w:val="none"/>
        </w:rPr>
        <w:t xml:space="preserve">模块格式中填报的为准。</w:t>
      </w:r>
      <w:r>
        <w:rPr>
          <w:rFonts w:hint="eastAsia" w:ascii="黑体" w:eastAsia="黑体"/>
          <w:bCs/>
          <w:color w:val="auto"/>
          <w:sz w:val="24"/>
          <w:szCs w:val="24"/>
          <w:highlight w:val="none"/>
        </w:rPr>
      </w:r>
      <w:r>
        <w:rPr>
          <w:color w:val="auto"/>
          <w:highlight w:val="none"/>
        </w:rPr>
      </w:r>
    </w:p>
    <w:p>
      <w:pPr>
        <w:pStyle w:val="923"/>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923"/>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23"/>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923"/>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JSZC-320200-JZCG-G2024-0253</w:t>
      </w:r>
      <w:r>
        <w:rPr>
          <w:rFonts w:ascii="黑体" w:eastAsia="黑体"/>
          <w:bCs/>
          <w:color w:val="auto"/>
          <w:sz w:val="24"/>
          <w:szCs w:val="24"/>
          <w:highlight w:val="none"/>
        </w:rPr>
      </w:r>
      <w:r>
        <w:rPr>
          <w:color w:val="auto"/>
          <w:highlight w:val="none"/>
        </w:rP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23"/>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23"/>
              <w:jc w:val="center"/>
              <w:spacing w:before="5"/>
              <w:rPr>
                <w:color w:val="auto"/>
                <w:sz w:val="18"/>
                <w:highlight w:val="none"/>
              </w:rPr>
            </w:pPr>
            <w:r>
              <w:rPr>
                <w:color w:val="auto"/>
                <w:sz w:val="18"/>
                <w:highlight w:val="none"/>
              </w:rPr>
              <w:t xml:space="preserve">服务内容</w:t>
            </w:r>
            <w:r>
              <w:rPr>
                <w:color w:val="auto"/>
                <w:highlight w:val="none"/>
              </w:rPr>
            </w:r>
          </w:p>
        </w:tc>
        <w:tc>
          <w:tcPr>
            <w:tcW w:w="851" w:type="dxa"/>
            <w:vAlign w:val="center"/>
            <w:textDirection w:val="lrTb"/>
            <w:noWrap w:val="false"/>
          </w:tcPr>
          <w:p>
            <w:pPr>
              <w:pStyle w:val="923"/>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3"/>
              <w:jc w:val="center"/>
              <w:spacing w:before="5"/>
              <w:rPr>
                <w:color w:val="auto"/>
                <w:sz w:val="18"/>
                <w:highlight w:val="none"/>
              </w:rPr>
            </w:pPr>
            <w:r>
              <w:rPr>
                <w:rFonts w:hint="eastAsia"/>
                <w:color w:val="auto"/>
                <w:sz w:val="18"/>
                <w:highlight w:val="none"/>
              </w:rPr>
              <w:t xml:space="preserve">单位</w:t>
            </w:r>
            <w:r>
              <w:rPr>
                <w:color w:val="auto"/>
                <w:sz w:val="18"/>
                <w:highlight w:val="none"/>
              </w:rPr>
            </w:r>
            <w:r>
              <w:rPr>
                <w:color w:val="auto"/>
                <w:highlight w:val="none"/>
              </w:rPr>
            </w:r>
          </w:p>
        </w:tc>
        <w:tc>
          <w:tcPr>
            <w:tcW w:w="1134" w:type="dxa"/>
            <w:vAlign w:val="center"/>
            <w:textDirection w:val="lrTb"/>
            <w:noWrap w:val="false"/>
          </w:tcPr>
          <w:p>
            <w:pPr>
              <w:pStyle w:val="923"/>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1276" w:type="dxa"/>
            <w:vAlign w:val="center"/>
            <w:textDirection w:val="lrTb"/>
            <w:noWrap w:val="false"/>
          </w:tcPr>
          <w:p>
            <w:pPr>
              <w:pStyle w:val="923"/>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73"/>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4930" w:type="dxa"/>
            <w:vAlign w:val="center"/>
            <w:textDirection w:val="lrTb"/>
            <w:noWrap/>
          </w:tcPr>
          <w:p>
            <w:pPr>
              <w:pStyle w:val="92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23"/>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2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3"/>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23"/>
              <w:jc w:val="center"/>
              <w:rPr>
                <w:rFonts w:ascii="宋体"/>
                <w:color w:val="auto"/>
                <w:sz w:val="18"/>
                <w:highlight w:val="none"/>
              </w:rPr>
            </w:pP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23"/>
              <w:jc w:val="center"/>
              <w:rPr>
                <w:rFonts w:hint="eastAsia" w:ascii="黑体" w:eastAsia="黑体"/>
                <w:b/>
                <w:bCs/>
                <w:color w:val="auto"/>
                <w:highlight w:val="none"/>
              </w:rPr>
            </w:pPr>
            <w:r>
              <w:rPr>
                <w:rFonts w:ascii="黑体" w:eastAsia="黑体"/>
                <w:b/>
                <w:bCs/>
                <w:color w:val="auto"/>
                <w:highlight w:val="none"/>
              </w:rPr>
              <w:t xml:space="preserve">……</w:t>
            </w:r>
            <w:r>
              <w:rPr>
                <w:rFonts w:hint="eastAsia" w:ascii="黑体" w:eastAsia="黑体"/>
                <w:b/>
                <w:bCs/>
                <w:color w:val="auto"/>
                <w:highlight w:val="none"/>
              </w:rPr>
            </w:r>
            <w:r>
              <w:rPr>
                <w:color w:val="auto"/>
                <w:highlight w:val="none"/>
              </w:rPr>
            </w:r>
          </w:p>
        </w:tc>
        <w:tc>
          <w:tcPr>
            <w:tcW w:w="851"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23"/>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134"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23"/>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923"/>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923"/>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923"/>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923"/>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923"/>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rFonts w:ascii="宋体" w:hAnsi="宋体"/>
          <w:bCs/>
          <w:color w:val="auto"/>
          <w:highlight w:val="none"/>
        </w:rPr>
      </w:r>
      <w:r>
        <w:rPr>
          <w:color w:val="auto"/>
          <w:highlight w:val="none"/>
        </w:rPr>
      </w:r>
    </w:p>
    <w:p>
      <w:pPr>
        <w:pStyle w:val="923"/>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222"/>
      <w:r>
        <w:rPr>
          <w:color w:val="auto"/>
          <w:highlight w:val="none"/>
        </w:rPr>
      </w:r>
      <w:bookmarkEnd w:id="223"/>
      <w:r>
        <w:rPr>
          <w:color w:val="auto"/>
          <w:highlight w:val="none"/>
        </w:rPr>
      </w:r>
      <w:bookmarkEnd w:id="224"/>
      <w:r>
        <w:rPr>
          <w:color w:val="auto"/>
          <w:highlight w:val="none"/>
        </w:rPr>
      </w:r>
      <w:bookmarkStart w:id="227"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923"/>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3"/>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923"/>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3"/>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23"/>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JSZC-320200-JZCG-G2024-0253</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3"/>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3"/>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23"/>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23"/>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23"/>
              <w:jc w:val="center"/>
              <w:rPr>
                <w:rFonts w:ascii="宋体"/>
                <w:bCs/>
                <w:color w:val="auto"/>
                <w:highlight w:val="none"/>
              </w:rPr>
            </w:pPr>
            <w:r>
              <w:rPr>
                <w:rFonts w:ascii="宋体"/>
                <w:bCs/>
                <w:color w:val="auto"/>
                <w:highlight w:val="none"/>
              </w:rPr>
            </w:r>
            <w:r>
              <w:rPr>
                <w:color w:val="auto"/>
                <w:highlight w:val="none"/>
              </w:rPr>
            </w:r>
          </w:p>
        </w:tc>
      </w:tr>
    </w:tbl>
    <w:p>
      <w:pPr>
        <w:pStyle w:val="923"/>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923"/>
        <w:rPr>
          <w:rFonts w:ascii="宋体"/>
          <w:bCs/>
          <w:color w:val="auto"/>
          <w:sz w:val="30"/>
          <w:highlight w:val="none"/>
        </w:rPr>
      </w:pPr>
      <w:r>
        <w:rPr>
          <w:rFonts w:ascii="宋体"/>
          <w:bCs/>
          <w:color w:val="auto"/>
          <w:sz w:val="30"/>
          <w:highlight w:val="none"/>
        </w:rPr>
      </w:r>
      <w:r>
        <w:rPr>
          <w:color w:val="auto"/>
          <w:highlight w:val="none"/>
        </w:rPr>
      </w:r>
    </w:p>
    <w:p>
      <w:pPr>
        <w:pStyle w:val="923"/>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923"/>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923"/>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27"/>
      <w:r>
        <w:rPr>
          <w:color w:val="auto"/>
          <w:highlight w:val="none"/>
        </w:rPr>
      </w:r>
      <w:bookmarkStart w:id="228" w:name="_Hlt26671374"/>
      <w:r>
        <w:rPr>
          <w:color w:val="auto"/>
          <w:highlight w:val="none"/>
        </w:rPr>
      </w:r>
      <w:bookmarkEnd w:id="228"/>
      <w:r>
        <w:rPr>
          <w:color w:val="auto"/>
          <w:highlight w:val="none"/>
        </w:rPr>
      </w:r>
      <w:bookmarkStart w:id="229" w:name="_格式2__法定代表人授权书"/>
      <w:r>
        <w:rPr>
          <w:color w:val="auto"/>
          <w:highlight w:val="none"/>
        </w:rPr>
      </w:r>
      <w:bookmarkEnd w:id="229"/>
      <w:r>
        <w:rPr>
          <w:color w:val="auto"/>
          <w:highlight w:val="none"/>
        </w:rPr>
      </w:r>
      <w:bookmarkStart w:id="230" w:name="_Hlt26955066"/>
      <w:r>
        <w:rPr>
          <w:color w:val="auto"/>
          <w:highlight w:val="none"/>
        </w:rPr>
      </w:r>
      <w:bookmarkEnd w:id="230"/>
      <w:r>
        <w:rPr>
          <w:color w:val="auto"/>
          <w:highlight w:val="none"/>
        </w:rPr>
      </w:r>
      <w:bookmarkStart w:id="231" w:name="_Hlt26609389"/>
      <w:r>
        <w:rPr>
          <w:color w:val="auto"/>
          <w:highlight w:val="none"/>
        </w:rPr>
      </w:r>
      <w:bookmarkEnd w:id="231"/>
      <w:r>
        <w:rPr>
          <w:rFonts w:hint="eastAsia" w:ascii="宋体" w:hAnsi="宋体"/>
          <w:bCs/>
          <w:color w:val="auto"/>
          <w:sz w:val="24"/>
          <w:szCs w:val="24"/>
          <w:highlight w:val="none"/>
        </w:rPr>
      </w:r>
      <w:r>
        <w:rPr>
          <w:color w:val="auto"/>
          <w:highlight w:val="none"/>
        </w:rPr>
      </w:r>
    </w:p>
    <w:p>
      <w:pPr>
        <w:pStyle w:val="923"/>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rPr>
          <w:color w:val="auto"/>
          <w:highlight w:val="none"/>
        </w:rPr>
      </w:r>
    </w:p>
    <w:p>
      <w:pPr>
        <w:pStyle w:val="923"/>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p>
    <w:p>
      <w:pPr>
        <w:pStyle w:val="923"/>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b/>
          <w:color w:val="auto"/>
          <w:sz w:val="28"/>
          <w:szCs w:val="28"/>
          <w:highlight w:val="none"/>
        </w:rPr>
      </w:r>
      <w:r>
        <w:rPr>
          <w:color w:val="auto"/>
          <w:highlight w:val="none"/>
        </w:rPr>
      </w:r>
    </w:p>
    <w:p>
      <w:pPr>
        <w:pStyle w:val="923"/>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23"/>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p>
    <w:p>
      <w:pPr>
        <w:pStyle w:val="923"/>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23"/>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JSZC-320200-JZCG-G2024-0253</w:t>
      </w:r>
      <w:r>
        <w:rPr>
          <w:rFonts w:ascii="黑体" w:eastAsia="黑体"/>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23"/>
              <w:jc w:val="center"/>
              <w:rPr>
                <w:b/>
                <w:color w:val="auto"/>
                <w:sz w:val="24"/>
                <w:highlight w:val="none"/>
              </w:rPr>
            </w:pPr>
            <w:r>
              <w:rPr>
                <w:rFonts w:hint="eastAsia"/>
                <w:b/>
                <w:color w:val="auto"/>
                <w:sz w:val="24"/>
                <w:highlight w:val="none"/>
              </w:rPr>
              <w:t xml:space="preserve">序号</w:t>
            </w:r>
            <w:r>
              <w:rPr>
                <w:b/>
                <w:color w:val="auto"/>
                <w:sz w:val="24"/>
                <w:highlight w:val="none"/>
              </w:rPr>
            </w:r>
            <w:r>
              <w:rPr>
                <w:color w:val="auto"/>
                <w:highlight w:val="none"/>
              </w:rPr>
            </w:r>
          </w:p>
        </w:tc>
        <w:tc>
          <w:tcPr>
            <w:tcW w:w="1476" w:type="dxa"/>
            <w:vAlign w:val="center"/>
            <w:textDirection w:val="lrTb"/>
            <w:noWrap w:val="false"/>
          </w:tcPr>
          <w:p>
            <w:pPr>
              <w:pStyle w:val="923"/>
              <w:jc w:val="center"/>
              <w:rPr>
                <w:b/>
                <w:color w:val="auto"/>
                <w:sz w:val="24"/>
                <w:highlight w:val="none"/>
              </w:rPr>
            </w:pPr>
            <w:r>
              <w:rPr>
                <w:rFonts w:hint="eastAsia"/>
                <w:b/>
                <w:color w:val="auto"/>
                <w:sz w:val="24"/>
                <w:highlight w:val="none"/>
              </w:rPr>
              <w:t xml:space="preserve">姓名</w:t>
            </w:r>
            <w:r>
              <w:rPr>
                <w:b/>
                <w:color w:val="auto"/>
                <w:sz w:val="24"/>
                <w:highlight w:val="none"/>
              </w:rPr>
            </w:r>
            <w:r>
              <w:rPr>
                <w:color w:val="auto"/>
                <w:highlight w:val="none"/>
              </w:rPr>
            </w:r>
          </w:p>
        </w:tc>
        <w:tc>
          <w:tcPr>
            <w:tcW w:w="720" w:type="dxa"/>
            <w:vAlign w:val="center"/>
            <w:textDirection w:val="lrTb"/>
            <w:noWrap w:val="false"/>
          </w:tcPr>
          <w:p>
            <w:pPr>
              <w:pStyle w:val="923"/>
              <w:jc w:val="center"/>
              <w:rPr>
                <w:b/>
                <w:color w:val="auto"/>
                <w:sz w:val="24"/>
                <w:highlight w:val="none"/>
              </w:rPr>
            </w:pPr>
            <w:r>
              <w:rPr>
                <w:rFonts w:hint="eastAsia"/>
                <w:b/>
                <w:color w:val="auto"/>
                <w:sz w:val="24"/>
                <w:highlight w:val="none"/>
              </w:rPr>
              <w:t xml:space="preserve">年龄</w:t>
            </w:r>
            <w:r>
              <w:rPr>
                <w:b/>
                <w:color w:val="auto"/>
                <w:sz w:val="24"/>
                <w:highlight w:val="none"/>
              </w:rPr>
            </w:r>
            <w:r>
              <w:rPr>
                <w:color w:val="auto"/>
                <w:highlight w:val="none"/>
              </w:rPr>
            </w:r>
          </w:p>
        </w:tc>
        <w:tc>
          <w:tcPr>
            <w:tcW w:w="2520" w:type="dxa"/>
            <w:vAlign w:val="center"/>
            <w:textDirection w:val="lrTb"/>
            <w:noWrap w:val="false"/>
          </w:tcPr>
          <w:p>
            <w:pPr>
              <w:pStyle w:val="923"/>
              <w:jc w:val="center"/>
              <w:rPr>
                <w:b/>
                <w:color w:val="auto"/>
                <w:sz w:val="24"/>
                <w:highlight w:val="none"/>
              </w:rPr>
            </w:pPr>
            <w:r>
              <w:rPr>
                <w:rFonts w:hint="eastAsia"/>
                <w:b/>
                <w:color w:val="auto"/>
                <w:sz w:val="24"/>
                <w:highlight w:val="none"/>
              </w:rPr>
              <w:t xml:space="preserve">本项目职责</w:t>
            </w:r>
            <w:r>
              <w:rPr>
                <w:b/>
                <w:color w:val="auto"/>
                <w:sz w:val="24"/>
                <w:highlight w:val="none"/>
              </w:rPr>
            </w:r>
            <w:r>
              <w:rPr>
                <w:color w:val="auto"/>
                <w:highlight w:val="none"/>
              </w:rPr>
            </w:r>
          </w:p>
        </w:tc>
        <w:tc>
          <w:tcPr>
            <w:tcW w:w="3274" w:type="dxa"/>
            <w:vAlign w:val="center"/>
            <w:textDirection w:val="lrTb"/>
            <w:noWrap w:val="false"/>
          </w:tcPr>
          <w:p>
            <w:pPr>
              <w:pStyle w:val="923"/>
              <w:jc w:val="center"/>
              <w:rPr>
                <w:b/>
                <w:color w:val="auto"/>
                <w:sz w:val="24"/>
                <w:highlight w:val="none"/>
              </w:rPr>
            </w:pPr>
            <w:r>
              <w:rPr>
                <w:rFonts w:hint="eastAsia"/>
                <w:b/>
                <w:color w:val="auto"/>
                <w:sz w:val="24"/>
                <w:highlight w:val="none"/>
              </w:rPr>
              <w:t xml:space="preserve">人员证书名称</w:t>
            </w:r>
            <w:r>
              <w:rPr>
                <w:b/>
                <w:color w:val="auto"/>
                <w:sz w:val="24"/>
                <w:highlight w:val="none"/>
              </w:rPr>
            </w:r>
            <w:r>
              <w:rPr>
                <w:color w:val="auto"/>
                <w:highlight w:val="none"/>
              </w:rPr>
            </w:r>
          </w:p>
        </w:tc>
      </w:tr>
      <w:tr>
        <w:trPr>
          <w:trHeight w:val="680"/>
        </w:trPr>
        <w:tc>
          <w:tcPr>
            <w:tcW w:w="70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23"/>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bl>
    <w:p>
      <w:pPr>
        <w:pStyle w:val="923"/>
        <w:rPr>
          <w:b/>
          <w:bCs/>
          <w:color w:val="auto"/>
          <w:sz w:val="24"/>
          <w:szCs w:val="24"/>
          <w:highlight w:val="none"/>
        </w:rPr>
      </w:pPr>
      <w:r>
        <w:rPr>
          <w:rFonts w:hint="eastAsia" w:ascii="黑体" w:eastAsia="黑体"/>
          <w:bCs/>
          <w:color w:val="auto"/>
          <w:sz w:val="24"/>
          <w:szCs w:val="24"/>
          <w:highlight w:val="none"/>
        </w:rPr>
        <w:t xml:space="preserve">投标人名称（盖章）</w:t>
      </w:r>
      <w:r>
        <w:rPr>
          <w:b/>
          <w:bCs/>
          <w:color w:val="auto"/>
          <w:sz w:val="24"/>
          <w:szCs w:val="24"/>
          <w:highlight w:val="none"/>
        </w:rPr>
      </w:r>
      <w:r>
        <w:rPr>
          <w:color w:val="auto"/>
          <w:highlight w:val="none"/>
        </w:rPr>
      </w:r>
    </w:p>
    <w:p>
      <w:pPr>
        <w:pStyle w:val="923"/>
        <w:rPr>
          <w:rFonts w:hint="eastAsia" w:ascii="宋体" w:hAnsi="宋体"/>
          <w:bCs/>
          <w:color w:val="auto"/>
          <w:highlight w:val="none"/>
        </w:rPr>
      </w:pPr>
      <w:r>
        <w:rPr>
          <w:rFonts w:hint="eastAsia" w:ascii="宋体" w:hAnsi="宋体"/>
          <w:bCs/>
          <w:color w:val="auto"/>
          <w:highlight w:val="none"/>
        </w:rPr>
      </w:r>
      <w:r>
        <w:rPr>
          <w:color w:val="auto"/>
          <w:highlight w:val="none"/>
        </w:rPr>
      </w:r>
    </w:p>
    <w:p>
      <w:pPr>
        <w:pStyle w:val="923"/>
        <w:rPr>
          <w:rFonts w:ascii="宋体" w:hAnsi="宋体"/>
          <w:bCs/>
          <w:color w:val="auto"/>
          <w:highlight w:val="none"/>
        </w:rPr>
      </w:pPr>
      <w:r>
        <w:rPr>
          <w:rFonts w:hint="eastAsia" w:ascii="宋体" w:hAnsi="宋体"/>
          <w:bCs/>
          <w:color w:val="auto"/>
          <w:highlight w:val="none"/>
        </w:rPr>
        <w:t xml:space="preserve">注：1. 表格不够可自行延长。</w:t>
      </w:r>
      <w:r>
        <w:rPr>
          <w:rFonts w:ascii="宋体" w:hAnsi="宋体"/>
          <w:bCs/>
          <w:color w:val="auto"/>
          <w:highlight w:val="none"/>
        </w:rPr>
      </w:r>
      <w:r>
        <w:rPr>
          <w:color w:val="auto"/>
          <w:highlight w:val="none"/>
        </w:rPr>
      </w:r>
    </w:p>
    <w:p>
      <w:pPr>
        <w:pStyle w:val="923"/>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w:t>
      </w:r>
      <w:r>
        <w:rPr>
          <w:rFonts w:hint="eastAsia" w:ascii="宋体" w:hAnsi="宋体"/>
          <w:bCs/>
          <w:color w:val="auto"/>
          <w:highlight w:val="none"/>
        </w:rPr>
        <w:t xml:space="preserve">证明</w:t>
      </w:r>
      <w:r>
        <w:rPr>
          <w:rFonts w:hint="eastAsia" w:ascii="宋体" w:hAnsi="宋体"/>
          <w:bCs/>
          <w:color w:val="auto"/>
          <w:highlight w:val="none"/>
        </w:rPr>
        <w:t xml:space="preserve">件作为填列证明材料，证明材料请附在本表之后。</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Fonts w:ascii="宋体" w:hAnsi="宋体"/>
      </w:rPr>
      <w:framePr w:wrap="around" w:vAnchor="text" w:hAnchor="margin" w:xAlign="center" w:y="1"/>
    </w:pPr>
    <w:r>
      <w:rPr>
        <w:rFonts w:ascii="宋体" w:hAnsi="宋体"/>
      </w:rPr>
      <w:fldChar w:fldCharType="begin"/>
    </w:r>
    <w:r>
      <w:rPr>
        <w:rStyle w:val="996"/>
        <w:rFonts w:ascii="宋体" w:hAnsi="宋体"/>
      </w:rPr>
      <w:instrText xml:space="preserve">PAGE  </w:instrText>
    </w:r>
    <w:r>
      <w:rPr>
        <w:rFonts w:ascii="宋体" w:hAnsi="宋体"/>
      </w:rPr>
      <w:fldChar w:fldCharType="separate"/>
    </w:r>
    <w:r>
      <w:rPr>
        <w:rStyle w:val="996"/>
        <w:rFonts w:ascii="宋体" w:hAnsi="宋体"/>
      </w:rPr>
      <w:t xml:space="preserve">５７</w:t>
    </w:r>
    <w:r>
      <w:rPr>
        <w:rFonts w:ascii="宋体" w:hAnsi="宋体"/>
      </w:rPr>
      <w:fldChar w:fldCharType="end"/>
    </w:r>
    <w:r>
      <w:rPr>
        <w:rStyle w:val="996"/>
        <w:rFonts w:ascii="宋体" w:hAnsi="宋体"/>
      </w:rPr>
    </w:r>
    <w:r/>
  </w:p>
  <w:p>
    <w:pPr>
      <w:pStyle w:val="971"/>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9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4">
    <w:multiLevelType w:val="hybridMultilevel"/>
    <w:lvl w:ilvl="0">
      <w:start w:val="1"/>
      <w:numFmt w:val="upperLetter"/>
      <w:pStyle w:val="1003"/>
      <w:isLgl w:val="false"/>
      <w:suff w:val="tab"/>
      <w:lvlText w:val="附录%1."/>
      <w:lvlJc w:val="left"/>
      <w:pPr>
        <w:pStyle w:val="92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7">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8">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9">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0">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11">
    <w:multiLevelType w:val="hybridMultilevel"/>
    <w:lvl w:ilvl="0">
      <w:start w:val="1"/>
      <w:numFmt w:val="japaneseCounting"/>
      <w:isLgl w:val="false"/>
      <w:suff w:val="tab"/>
      <w:lvlText w:val="第%1条"/>
      <w:lvlJc w:val="left"/>
      <w:pPr>
        <w:pStyle w:val="923"/>
        <w:ind w:left="1505" w:hanging="945"/>
        <w:tabs>
          <w:tab w:val="num" w:pos="1505" w:leader="none"/>
        </w:tabs>
      </w:pPr>
      <w:rPr>
        <w:rFonts w:hint="eastAsia"/>
      </w:rPr>
    </w:lvl>
    <w:lvl w:ilvl="1">
      <w:start w:val="1"/>
      <w:numFmt w:val="decimal"/>
      <w:isLgl w:val="false"/>
      <w:suff w:val="tab"/>
      <w:lvlText w:val="%2、"/>
      <w:lvlJc w:val="left"/>
      <w:pPr>
        <w:pStyle w:val="923"/>
        <w:ind w:left="1340" w:hanging="360"/>
        <w:tabs>
          <w:tab w:val="num" w:pos="1340" w:leader="none"/>
        </w:tabs>
      </w:pPr>
      <w:rPr>
        <w:rFonts w:hint="eastAsia"/>
      </w:rPr>
    </w:lvl>
    <w:lvl w:ilvl="2">
      <w:start w:val="1"/>
      <w:numFmt w:val="japaneseCounting"/>
      <w:isLgl w:val="false"/>
      <w:suff w:val="tab"/>
      <w:lvlText w:val="%3、"/>
      <w:lvlJc w:val="left"/>
      <w:pPr>
        <w:pStyle w:val="923"/>
        <w:ind w:left="1820" w:hanging="420"/>
        <w:tabs>
          <w:tab w:val="num" w:pos="1820" w:leader="none"/>
        </w:tabs>
      </w:pPr>
      <w:rPr>
        <w:rFonts w:hint="eastAsia"/>
      </w:rPr>
    </w:lvl>
    <w:lvl w:ilvl="3">
      <w:start w:val="1"/>
      <w:numFmt w:val="decimal"/>
      <w:isLgl w:val="false"/>
      <w:suff w:val="tab"/>
      <w:lvlText w:val="%4."/>
      <w:lvlJc w:val="left"/>
      <w:pPr>
        <w:pStyle w:val="923"/>
        <w:ind w:left="2240" w:hanging="420"/>
        <w:tabs>
          <w:tab w:val="num" w:pos="2240" w:leader="none"/>
        </w:tabs>
      </w:pPr>
    </w:lvl>
    <w:lvl w:ilvl="4">
      <w:start w:val="1"/>
      <w:numFmt w:val="lowerLetter"/>
      <w:isLgl w:val="false"/>
      <w:suff w:val="tab"/>
      <w:lvlText w:val="%5)"/>
      <w:lvlJc w:val="left"/>
      <w:pPr>
        <w:pStyle w:val="923"/>
        <w:ind w:left="2660" w:hanging="420"/>
        <w:tabs>
          <w:tab w:val="num" w:pos="2660" w:leader="none"/>
        </w:tabs>
      </w:pPr>
    </w:lvl>
    <w:lvl w:ilvl="5">
      <w:start w:val="1"/>
      <w:numFmt w:val="lowerRoman"/>
      <w:isLgl w:val="false"/>
      <w:suff w:val="tab"/>
      <w:lvlText w:val="%6."/>
      <w:lvlJc w:val="right"/>
      <w:pPr>
        <w:pStyle w:val="923"/>
        <w:ind w:left="3080" w:hanging="420"/>
        <w:tabs>
          <w:tab w:val="num" w:pos="3080" w:leader="none"/>
        </w:tabs>
      </w:pPr>
    </w:lvl>
    <w:lvl w:ilvl="6">
      <w:start w:val="1"/>
      <w:numFmt w:val="decimal"/>
      <w:isLgl w:val="false"/>
      <w:suff w:val="tab"/>
      <w:lvlText w:val="%7."/>
      <w:lvlJc w:val="left"/>
      <w:pPr>
        <w:pStyle w:val="923"/>
        <w:ind w:left="3500" w:hanging="420"/>
        <w:tabs>
          <w:tab w:val="num" w:pos="3500" w:leader="none"/>
        </w:tabs>
      </w:pPr>
    </w:lvl>
    <w:lvl w:ilvl="7">
      <w:start w:val="1"/>
      <w:numFmt w:val="lowerLetter"/>
      <w:isLgl w:val="false"/>
      <w:suff w:val="tab"/>
      <w:lvlText w:val="%8)"/>
      <w:lvlJc w:val="left"/>
      <w:pPr>
        <w:pStyle w:val="923"/>
        <w:ind w:left="3920" w:hanging="420"/>
        <w:tabs>
          <w:tab w:val="num" w:pos="3920" w:leader="none"/>
        </w:tabs>
      </w:pPr>
    </w:lvl>
    <w:lvl w:ilvl="8">
      <w:start w:val="1"/>
      <w:numFmt w:val="lowerRoman"/>
      <w:isLgl w:val="false"/>
      <w:suff w:val="tab"/>
      <w:lvlText w:val="%9."/>
      <w:lvlJc w:val="right"/>
      <w:pPr>
        <w:pStyle w:val="923"/>
        <w:ind w:left="4340" w:hanging="420"/>
        <w:tabs>
          <w:tab w:val="num" w:pos="4340" w:leader="none"/>
        </w:tabs>
      </w:pPr>
    </w:lvl>
  </w:abstractNum>
  <w:abstractNum w:abstractNumId="12">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3">
    <w:multiLevelType w:val="hybridMultilevel"/>
    <w:lvl w:ilvl="0">
      <w:start w:val="8"/>
      <w:numFmt w:val="japaneseCounting"/>
      <w:isLgl w:val="false"/>
      <w:suff w:val="tab"/>
      <w:lvlText w:val="（%1）"/>
      <w:lvlJc w:val="left"/>
      <w:pPr>
        <w:pStyle w:val="923"/>
        <w:ind w:left="1239" w:hanging="720"/>
      </w:pPr>
      <w:rPr>
        <w:rFonts w:hAnsi="宋体"/>
      </w:rPr>
    </w:lvl>
    <w:lvl w:ilvl="1">
      <w:start w:val="1"/>
      <w:numFmt w:val="lowerLetter"/>
      <w:isLgl w:val="false"/>
      <w:suff w:val="tab"/>
      <w:lvlText w:val="%2)"/>
      <w:lvlJc w:val="left"/>
      <w:pPr>
        <w:pStyle w:val="923"/>
        <w:ind w:left="1359" w:hanging="420"/>
      </w:pPr>
    </w:lvl>
    <w:lvl w:ilvl="2">
      <w:start w:val="1"/>
      <w:numFmt w:val="lowerRoman"/>
      <w:isLgl w:val="false"/>
      <w:suff w:val="tab"/>
      <w:lvlText w:val="%3."/>
      <w:lvlJc w:val="right"/>
      <w:pPr>
        <w:pStyle w:val="923"/>
        <w:ind w:left="1779" w:hanging="420"/>
      </w:pPr>
    </w:lvl>
    <w:lvl w:ilvl="3">
      <w:start w:val="1"/>
      <w:numFmt w:val="decimal"/>
      <w:isLgl w:val="false"/>
      <w:suff w:val="tab"/>
      <w:lvlText w:val="%4."/>
      <w:lvlJc w:val="left"/>
      <w:pPr>
        <w:pStyle w:val="923"/>
        <w:ind w:left="2199" w:hanging="420"/>
      </w:pPr>
    </w:lvl>
    <w:lvl w:ilvl="4">
      <w:start w:val="1"/>
      <w:numFmt w:val="lowerLetter"/>
      <w:isLgl w:val="false"/>
      <w:suff w:val="tab"/>
      <w:lvlText w:val="%5)"/>
      <w:lvlJc w:val="left"/>
      <w:pPr>
        <w:pStyle w:val="923"/>
        <w:ind w:left="2619" w:hanging="420"/>
      </w:pPr>
    </w:lvl>
    <w:lvl w:ilvl="5">
      <w:start w:val="1"/>
      <w:numFmt w:val="lowerRoman"/>
      <w:isLgl w:val="false"/>
      <w:suff w:val="tab"/>
      <w:lvlText w:val="%6."/>
      <w:lvlJc w:val="right"/>
      <w:pPr>
        <w:pStyle w:val="923"/>
        <w:ind w:left="3039" w:hanging="420"/>
      </w:pPr>
    </w:lvl>
    <w:lvl w:ilvl="6">
      <w:start w:val="1"/>
      <w:numFmt w:val="decimal"/>
      <w:isLgl w:val="false"/>
      <w:suff w:val="tab"/>
      <w:lvlText w:val="%7."/>
      <w:lvlJc w:val="left"/>
      <w:pPr>
        <w:pStyle w:val="923"/>
        <w:ind w:left="3459" w:hanging="420"/>
      </w:pPr>
    </w:lvl>
    <w:lvl w:ilvl="7">
      <w:start w:val="1"/>
      <w:numFmt w:val="lowerLetter"/>
      <w:isLgl w:val="false"/>
      <w:suff w:val="tab"/>
      <w:lvlText w:val="%8)"/>
      <w:lvlJc w:val="left"/>
      <w:pPr>
        <w:pStyle w:val="923"/>
        <w:ind w:left="3879" w:hanging="420"/>
      </w:pPr>
    </w:lvl>
    <w:lvl w:ilvl="8">
      <w:start w:val="1"/>
      <w:numFmt w:val="lowerRoman"/>
      <w:isLgl w:val="false"/>
      <w:suff w:val="tab"/>
      <w:lvlText w:val="%9."/>
      <w:lvlJc w:val="right"/>
      <w:pPr>
        <w:pStyle w:val="923"/>
        <w:ind w:left="4299" w:hanging="420"/>
      </w:pPr>
    </w:lvl>
  </w:abstractNum>
  <w:abstractNum w:abstractNumId="14">
    <w:multiLevelType w:val="hybridMultilevel"/>
    <w:lvl w:ilvl="0">
      <w:start w:val="1"/>
      <w:numFmt w:val="decimal"/>
      <w:pStyle w:val="1020"/>
      <w:isLgl w:val="false"/>
      <w:suff w:val="tab"/>
      <w:lvlText w:val="%1."/>
      <w:lvlJc w:val="left"/>
      <w:pPr>
        <w:pStyle w:val="923"/>
        <w:ind w:left="709" w:hanging="709"/>
        <w:tabs>
          <w:tab w:val="num" w:pos="709" w:leader="none"/>
        </w:tabs>
      </w:pPr>
      <w:rPr>
        <w:rFonts w:hint="eastAsia"/>
      </w:rPr>
    </w:lvl>
    <w:lvl w:ilvl="1">
      <w:start w:val="1"/>
      <w:numFmt w:val="decimal"/>
      <w:isLgl w:val="false"/>
      <w:suff w:val="tab"/>
      <w:lvlText w:val="%1.%2"/>
      <w:lvlJc w:val="left"/>
      <w:pPr>
        <w:pStyle w:val="923"/>
        <w:ind w:left="709" w:hanging="709"/>
        <w:tabs>
          <w:tab w:val="num" w:pos="709" w:leader="none"/>
        </w:tabs>
      </w:pPr>
      <w:rPr>
        <w:rFonts w:hint="eastAsia"/>
      </w:rPr>
    </w:lvl>
    <w:lvl w:ilvl="2">
      <w:start w:val="1"/>
      <w:numFmt w:val="decimal"/>
      <w:isLgl w:val="false"/>
      <w:suff w:val="tab"/>
      <w:lvlText w:val="%1.%2.%3."/>
      <w:lvlJc w:val="left"/>
      <w:pPr>
        <w:pStyle w:val="923"/>
        <w:ind w:left="425" w:hanging="425"/>
        <w:tabs>
          <w:tab w:val="num" w:pos="425" w:leader="none"/>
        </w:tabs>
      </w:pPr>
      <w:rPr>
        <w:rFonts w:hint="eastAsia"/>
      </w:rPr>
    </w:lvl>
    <w:lvl w:ilvl="3">
      <w:start w:val="1"/>
      <w:numFmt w:val="decimal"/>
      <w:isLgl w:val="false"/>
      <w:suff w:val="tab"/>
      <w:lvlText w:val="%1.%2.%3.%4."/>
      <w:lvlJc w:val="left"/>
      <w:pPr>
        <w:pStyle w:val="923"/>
        <w:ind w:left="851" w:hanging="851"/>
        <w:tabs>
          <w:tab w:val="num" w:pos="851" w:leader="none"/>
        </w:tabs>
      </w:pPr>
      <w:rPr>
        <w:rFonts w:hint="eastAsia"/>
      </w:rPr>
    </w:lvl>
    <w:lvl w:ilvl="4">
      <w:start w:val="1"/>
      <w:numFmt w:val="decimal"/>
      <w:isLgl w:val="false"/>
      <w:suff w:val="tab"/>
      <w:lvlText w:val="%1.%2.%3.%4.%5."/>
      <w:lvlJc w:val="left"/>
      <w:pPr>
        <w:pStyle w:val="923"/>
        <w:ind w:left="992" w:hanging="992"/>
        <w:tabs>
          <w:tab w:val="num" w:pos="992" w:leader="none"/>
        </w:tabs>
      </w:pPr>
      <w:rPr>
        <w:rFonts w:hint="eastAsia"/>
      </w:rPr>
    </w:lvl>
    <w:lvl w:ilvl="5">
      <w:start w:val="1"/>
      <w:numFmt w:val="decimal"/>
      <w:isLgl w:val="false"/>
      <w:suff w:val="tab"/>
      <w:lvlText w:val="%1.%2.%3.%4.%5.%6."/>
      <w:lvlJc w:val="left"/>
      <w:pPr>
        <w:pStyle w:val="923"/>
        <w:ind w:left="1134" w:hanging="1134"/>
        <w:tabs>
          <w:tab w:val="num" w:pos="1134" w:leader="none"/>
        </w:tabs>
      </w:pPr>
      <w:rPr>
        <w:rFonts w:hint="eastAsia"/>
      </w:rPr>
    </w:lvl>
    <w:lvl w:ilvl="6">
      <w:start w:val="1"/>
      <w:numFmt w:val="decimal"/>
      <w:isLgl w:val="false"/>
      <w:suff w:val="tab"/>
      <w:lvlText w:val="%1.%2.%3.%4.%5.%6.%7."/>
      <w:lvlJc w:val="left"/>
      <w:pPr>
        <w:pStyle w:val="923"/>
        <w:ind w:left="1276" w:hanging="1276"/>
        <w:tabs>
          <w:tab w:val="num" w:pos="1276" w:leader="none"/>
        </w:tabs>
      </w:pPr>
      <w:rPr>
        <w:rFonts w:hint="eastAsia"/>
      </w:rPr>
    </w:lvl>
    <w:lvl w:ilvl="7">
      <w:start w:val="1"/>
      <w:numFmt w:val="decimal"/>
      <w:isLgl w:val="false"/>
      <w:suff w:val="tab"/>
      <w:lvlText w:val="%1.%2.%3.%4.%5.%6.%7.%8."/>
      <w:lvlJc w:val="left"/>
      <w:pPr>
        <w:pStyle w:val="923"/>
        <w:ind w:left="1418" w:hanging="1418"/>
        <w:tabs>
          <w:tab w:val="num" w:pos="1418" w:leader="none"/>
        </w:tabs>
      </w:pPr>
      <w:rPr>
        <w:rFonts w:hint="eastAsia"/>
      </w:rPr>
    </w:lvl>
    <w:lvl w:ilvl="8">
      <w:start w:val="1"/>
      <w:numFmt w:val="decimal"/>
      <w:isLgl w:val="false"/>
      <w:suff w:val="tab"/>
      <w:lvlText w:val="%1.%2.%3.%4.%5.%6.%7.%8.%9."/>
      <w:lvlJc w:val="left"/>
      <w:pPr>
        <w:pStyle w:val="923"/>
        <w:ind w:left="1559" w:hanging="1559"/>
        <w:tabs>
          <w:tab w:val="num" w:pos="1559" w:leader="none"/>
        </w:tabs>
      </w:pPr>
      <w:rPr>
        <w:rFonts w:hint="eastAsia"/>
      </w:rPr>
    </w:lvl>
  </w:abstractNum>
  <w:abstractNum w:abstractNumId="15">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16">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17">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18">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19">
    <w:multiLevelType w:val="hybridMultilevel"/>
    <w:lvl w:ilvl="0">
      <w:start w:val="1"/>
      <w:numFmt w:val="japaneseCounting"/>
      <w:isLgl w:val="false"/>
      <w:suff w:val="tab"/>
      <w:lvlText w:val="（%1）"/>
      <w:lvlJc w:val="left"/>
      <w:pPr>
        <w:pStyle w:val="923"/>
        <w:ind w:left="1080" w:hanging="1080"/>
        <w:tabs>
          <w:tab w:val="num" w:pos="1080" w:leader="none"/>
        </w:tabs>
      </w:pPr>
      <w:rPr>
        <w:rFonts w:hint="eastAsia" w:cs="Times New Roman"/>
      </w:rPr>
    </w:lvl>
    <w:lvl w:ilvl="1">
      <w:start w:val="1"/>
      <w:numFmt w:val="decimal"/>
      <w:isLgl w:val="false"/>
      <w:suff w:val="tab"/>
      <w:lvlText w:val="%2."/>
      <w:lvlJc w:val="left"/>
      <w:pPr>
        <w:pStyle w:val="92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23"/>
        <w:ind w:left="1260" w:hanging="420"/>
        <w:tabs>
          <w:tab w:val="num" w:pos="126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0">
    <w:multiLevelType w:val="hybridMultilevel"/>
    <w:lvl w:ilvl="0">
      <w:start w:val="1"/>
      <w:numFmt w:val="chineseCountingThousand"/>
      <w:isLgl w:val="false"/>
      <w:suff w:val="nothing"/>
      <w:lvlText w:val="第%1章 "/>
      <w:lvlJc w:val="left"/>
      <w:pPr>
        <w:pStyle w:val="923"/>
        <w:ind w:left="0" w:firstLine="0"/>
      </w:pPr>
      <w:rPr>
        <w:rFonts w:hint="eastAsia"/>
      </w:rPr>
    </w:lvl>
    <w:lvl w:ilvl="1">
      <w:start w:val="1"/>
      <w:numFmt w:val="decimal"/>
      <w:isLgl w:val="false"/>
      <w:suff w:val="nothing"/>
      <w:lvlText w:val="%2、"/>
      <w:lvlJc w:val="left"/>
      <w:pPr>
        <w:pStyle w:val="923"/>
        <w:ind w:left="0" w:firstLine="0"/>
      </w:pPr>
      <w:rPr>
        <w:rFonts w:hint="eastAsia"/>
      </w:rPr>
    </w:lvl>
    <w:lvl w:ilvl="2">
      <w:start w:val="1"/>
      <w:numFmt w:val="decimal"/>
      <w:isLgl w:val="false"/>
      <w:suff w:val="nothing"/>
      <w:lvlText w:val="%2.%3 "/>
      <w:lvlJc w:val="left"/>
      <w:pPr>
        <w:pStyle w:val="923"/>
        <w:ind w:left="0" w:firstLine="0"/>
      </w:pPr>
      <w:rPr>
        <w:rFonts w:hint="eastAsia"/>
      </w:rPr>
    </w:lvl>
    <w:lvl w:ilvl="3">
      <w:start w:val="1"/>
      <w:numFmt w:val="decimal"/>
      <w:isLgl w:val="false"/>
      <w:suff w:val="nothing"/>
      <w:lvlText w:val="%2.%3.%4 "/>
      <w:lvlJc w:val="left"/>
      <w:pPr>
        <w:pStyle w:val="923"/>
        <w:ind w:left="0" w:firstLine="0"/>
      </w:pPr>
      <w:rPr>
        <w:rFonts w:hint="eastAsia"/>
      </w:rPr>
    </w:lvl>
    <w:lvl w:ilvl="4">
      <w:start w:val="1"/>
      <w:numFmt w:val="decimal"/>
      <w:isLgl w:val="false"/>
      <w:suff w:val="nothing"/>
      <w:lvlText w:val="%2.%3.%4.%5 "/>
      <w:lvlJc w:val="left"/>
      <w:pPr>
        <w:pStyle w:val="923"/>
        <w:ind w:left="0" w:firstLine="0"/>
      </w:pPr>
      <w:rPr>
        <w:rFonts w:hint="eastAsia"/>
      </w:rPr>
    </w:lvl>
    <w:lvl w:ilvl="5">
      <w:start w:val="1"/>
      <w:numFmt w:val="decimal"/>
      <w:pStyle w:val="929"/>
      <w:isLgl w:val="false"/>
      <w:suff w:val="nothing"/>
      <w:lvlText w:val=""/>
      <w:lvlJc w:val="left"/>
      <w:pPr>
        <w:pStyle w:val="923"/>
        <w:ind w:left="0" w:firstLine="0"/>
      </w:pPr>
      <w:rPr>
        <w:rFonts w:hint="eastAsia"/>
      </w:rPr>
    </w:lvl>
    <w:lvl w:ilvl="6">
      <w:start w:val="1"/>
      <w:numFmt w:val="decimal"/>
      <w:pStyle w:val="930"/>
      <w:isLgl w:val="false"/>
      <w:suff w:val="nothing"/>
      <w:lvlText w:val=""/>
      <w:lvlJc w:val="left"/>
      <w:pPr>
        <w:pStyle w:val="923"/>
        <w:ind w:left="0" w:firstLine="0"/>
      </w:pPr>
      <w:rPr>
        <w:rFonts w:hint="eastAsia"/>
      </w:rPr>
    </w:lvl>
    <w:lvl w:ilvl="7">
      <w:start w:val="1"/>
      <w:numFmt w:val="decimal"/>
      <w:pStyle w:val="931"/>
      <w:isLgl w:val="false"/>
      <w:suff w:val="nothing"/>
      <w:lvlText w:val=""/>
      <w:lvlJc w:val="left"/>
      <w:pPr>
        <w:pStyle w:val="923"/>
        <w:ind w:left="0" w:firstLine="0"/>
      </w:pPr>
      <w:rPr>
        <w:rFonts w:hint="eastAsia"/>
      </w:rPr>
    </w:lvl>
    <w:lvl w:ilvl="8">
      <w:start w:val="1"/>
      <w:numFmt w:val="decimal"/>
      <w:pStyle w:val="932"/>
      <w:isLgl w:val="false"/>
      <w:suff w:val="nothing"/>
      <w:lvlText w:val=""/>
      <w:lvlJc w:val="left"/>
      <w:pPr>
        <w:pStyle w:val="923"/>
        <w:ind w:left="0" w:firstLine="0"/>
      </w:pPr>
      <w:rPr>
        <w:rFonts w:hint="eastAsia"/>
      </w:rPr>
    </w:lvl>
  </w:abstractNum>
  <w:abstractNum w:abstractNumId="21">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2">
    <w:multiLevelType w:val="hybridMultilevel"/>
    <w:lvl w:ilvl="0">
      <w:start w:val="1"/>
      <w:numFmt w:val="japaneseCounting"/>
      <w:isLgl w:val="false"/>
      <w:suff w:val="tab"/>
      <w:lvlText w:val="%1、"/>
      <w:lvlJc w:val="left"/>
      <w:pPr>
        <w:pStyle w:val="92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23"/>
        <w:ind w:left="840" w:hanging="420"/>
        <w:tabs>
          <w:tab w:val="num" w:pos="840" w:leader="none"/>
        </w:tabs>
      </w:pPr>
      <w:rPr>
        <w:rFonts w:cs="Times New Roman"/>
      </w:rPr>
    </w:lvl>
    <w:lvl w:ilvl="2">
      <w:start w:val="10"/>
      <w:numFmt w:val="decimal"/>
      <w:isLgl w:val="false"/>
      <w:suff w:val="tab"/>
      <w:lvlText w:val="%3."/>
      <w:lvlJc w:val="left"/>
      <w:pPr>
        <w:pStyle w:val="923"/>
        <w:ind w:left="1200" w:hanging="360"/>
        <w:tabs>
          <w:tab w:val="num" w:pos="1200" w:leader="none"/>
        </w:tabs>
      </w:pPr>
      <w:rPr>
        <w:rFonts w:cs="Times New Roman"/>
      </w:rPr>
    </w:lvl>
    <w:lvl w:ilvl="3">
      <w:start w:val="1"/>
      <w:numFmt w:val="decimal"/>
      <w:isLgl w:val="false"/>
      <w:suff w:val="tab"/>
      <w:lvlText w:val="%4."/>
      <w:lvlJc w:val="left"/>
      <w:pPr>
        <w:pStyle w:val="923"/>
        <w:ind w:left="1680" w:hanging="420"/>
        <w:tabs>
          <w:tab w:val="num" w:pos="1680" w:leader="none"/>
        </w:tabs>
      </w:pPr>
      <w:rPr>
        <w:rFonts w:cs="Times New Roman"/>
      </w:rPr>
    </w:lvl>
    <w:lvl w:ilvl="4">
      <w:start w:val="1"/>
      <w:numFmt w:val="lowerLetter"/>
      <w:isLgl w:val="false"/>
      <w:suff w:val="tab"/>
      <w:lvlText w:val="%5)"/>
      <w:lvlJc w:val="left"/>
      <w:pPr>
        <w:pStyle w:val="923"/>
        <w:ind w:left="2100" w:hanging="420"/>
        <w:tabs>
          <w:tab w:val="num" w:pos="2100" w:leader="none"/>
        </w:tabs>
      </w:pPr>
      <w:rPr>
        <w:rFonts w:cs="Times New Roman"/>
      </w:rPr>
    </w:lvl>
    <w:lvl w:ilvl="5">
      <w:start w:val="1"/>
      <w:numFmt w:val="lowerRoman"/>
      <w:isLgl w:val="false"/>
      <w:suff w:val="tab"/>
      <w:lvlText w:val="%6."/>
      <w:lvlJc w:val="right"/>
      <w:pPr>
        <w:pStyle w:val="923"/>
        <w:ind w:left="2520" w:hanging="420"/>
        <w:tabs>
          <w:tab w:val="num" w:pos="2520" w:leader="none"/>
        </w:tabs>
      </w:pPr>
      <w:rPr>
        <w:rFonts w:cs="Times New Roman"/>
      </w:rPr>
    </w:lvl>
    <w:lvl w:ilvl="6">
      <w:start w:val="1"/>
      <w:numFmt w:val="decimal"/>
      <w:isLgl w:val="false"/>
      <w:suff w:val="tab"/>
      <w:lvlText w:val="%7."/>
      <w:lvlJc w:val="left"/>
      <w:pPr>
        <w:pStyle w:val="923"/>
        <w:ind w:left="2940" w:hanging="420"/>
        <w:tabs>
          <w:tab w:val="num" w:pos="2940" w:leader="none"/>
        </w:tabs>
      </w:pPr>
      <w:rPr>
        <w:rFonts w:cs="Times New Roman"/>
      </w:rPr>
    </w:lvl>
    <w:lvl w:ilvl="7">
      <w:start w:val="1"/>
      <w:numFmt w:val="lowerLetter"/>
      <w:isLgl w:val="false"/>
      <w:suff w:val="tab"/>
      <w:lvlText w:val="%8)"/>
      <w:lvlJc w:val="left"/>
      <w:pPr>
        <w:pStyle w:val="923"/>
        <w:ind w:left="3360" w:hanging="420"/>
        <w:tabs>
          <w:tab w:val="num" w:pos="3360" w:leader="none"/>
        </w:tabs>
      </w:pPr>
      <w:rPr>
        <w:rFonts w:cs="Times New Roman"/>
      </w:rPr>
    </w:lvl>
    <w:lvl w:ilvl="8">
      <w:start w:val="1"/>
      <w:numFmt w:val="lowerRoman"/>
      <w:isLgl w:val="false"/>
      <w:suff w:val="tab"/>
      <w:lvlText w:val="%9."/>
      <w:lvlJc w:val="right"/>
      <w:pPr>
        <w:pStyle w:val="923"/>
        <w:ind w:left="3780" w:hanging="420"/>
        <w:tabs>
          <w:tab w:val="num" w:pos="3780" w:leader="none"/>
        </w:tabs>
      </w:pPr>
      <w:rPr>
        <w:rFonts w:cs="Times New Roman"/>
      </w:rPr>
    </w:lvl>
  </w:abstractNum>
  <w:abstractNum w:abstractNumId="23">
    <w:multiLevelType w:val="hybridMultilevel"/>
    <w:lvl w:ilvl="0">
      <w:start w:val="1"/>
      <w:numFmt w:val="decimal"/>
      <w:isLgl w:val="false"/>
      <w:suff w:val="tab"/>
      <w:lvlText w:val="（%1）"/>
      <w:lvlJc w:val="left"/>
      <w:pPr>
        <w:pStyle w:val="923"/>
        <w:ind w:left="720" w:hanging="720"/>
        <w:tabs>
          <w:tab w:val="num" w:pos="720" w:leader="none"/>
        </w:tabs>
      </w:pPr>
      <w:rPr>
        <w:rFonts w:hint="eastAsia" w:cs="Times New Roman"/>
      </w:rPr>
    </w:lvl>
    <w:lvl w:ilvl="1">
      <w:start w:val="2"/>
      <w:numFmt w:val="decimal"/>
      <w:isLgl w:val="false"/>
      <w:suff w:val="tab"/>
      <w:lvlText w:val="%2."/>
      <w:lvlJc w:val="left"/>
      <w:pPr>
        <w:pStyle w:val="923"/>
        <w:ind w:left="1770" w:hanging="360"/>
        <w:tabs>
          <w:tab w:val="num" w:pos="1770" w:leader="none"/>
        </w:tabs>
      </w:pPr>
      <w:rPr>
        <w:rFonts w:cs="Times New Roman"/>
      </w:rPr>
    </w:lvl>
    <w:lvl w:ilvl="2">
      <w:start w:val="1"/>
      <w:numFmt w:val="lowerRoman"/>
      <w:isLgl w:val="false"/>
      <w:suff w:val="tab"/>
      <w:lvlText w:val="%3."/>
      <w:lvlJc w:val="right"/>
      <w:pPr>
        <w:pStyle w:val="923"/>
        <w:ind w:left="2250" w:hanging="420"/>
        <w:tabs>
          <w:tab w:val="num" w:pos="2250" w:leader="none"/>
        </w:tabs>
      </w:pPr>
      <w:rPr>
        <w:rFonts w:cs="Times New Roman"/>
      </w:rPr>
    </w:lvl>
    <w:lvl w:ilvl="3">
      <w:start w:val="1"/>
      <w:numFmt w:val="decimal"/>
      <w:isLgl w:val="false"/>
      <w:suff w:val="tab"/>
      <w:lvlText w:val="%4."/>
      <w:lvlJc w:val="left"/>
      <w:pPr>
        <w:pStyle w:val="923"/>
        <w:ind w:left="2670" w:hanging="420"/>
        <w:tabs>
          <w:tab w:val="num" w:pos="2670" w:leader="none"/>
        </w:tabs>
      </w:pPr>
      <w:rPr>
        <w:rFonts w:cs="Times New Roman"/>
      </w:rPr>
    </w:lvl>
    <w:lvl w:ilvl="4">
      <w:start w:val="1"/>
      <w:numFmt w:val="lowerLetter"/>
      <w:isLgl w:val="false"/>
      <w:suff w:val="tab"/>
      <w:lvlText w:val="%5)"/>
      <w:lvlJc w:val="left"/>
      <w:pPr>
        <w:pStyle w:val="923"/>
        <w:ind w:left="3090" w:hanging="420"/>
        <w:tabs>
          <w:tab w:val="num" w:pos="3090" w:leader="none"/>
        </w:tabs>
      </w:pPr>
      <w:rPr>
        <w:rFonts w:cs="Times New Roman"/>
      </w:rPr>
    </w:lvl>
    <w:lvl w:ilvl="5">
      <w:start w:val="1"/>
      <w:numFmt w:val="lowerRoman"/>
      <w:isLgl w:val="false"/>
      <w:suff w:val="tab"/>
      <w:lvlText w:val="%6."/>
      <w:lvlJc w:val="right"/>
      <w:pPr>
        <w:pStyle w:val="923"/>
        <w:ind w:left="3510" w:hanging="420"/>
        <w:tabs>
          <w:tab w:val="num" w:pos="3510" w:leader="none"/>
        </w:tabs>
      </w:pPr>
      <w:rPr>
        <w:rFonts w:cs="Times New Roman"/>
      </w:rPr>
    </w:lvl>
    <w:lvl w:ilvl="6">
      <w:start w:val="1"/>
      <w:numFmt w:val="decimal"/>
      <w:isLgl w:val="false"/>
      <w:suff w:val="tab"/>
      <w:lvlText w:val="%7."/>
      <w:lvlJc w:val="left"/>
      <w:pPr>
        <w:pStyle w:val="923"/>
        <w:ind w:left="3930" w:hanging="420"/>
        <w:tabs>
          <w:tab w:val="num" w:pos="3930" w:leader="none"/>
        </w:tabs>
      </w:pPr>
      <w:rPr>
        <w:rFonts w:cs="Times New Roman"/>
      </w:rPr>
    </w:lvl>
    <w:lvl w:ilvl="7">
      <w:start w:val="1"/>
      <w:numFmt w:val="lowerLetter"/>
      <w:isLgl w:val="false"/>
      <w:suff w:val="tab"/>
      <w:lvlText w:val="%8)"/>
      <w:lvlJc w:val="left"/>
      <w:pPr>
        <w:pStyle w:val="923"/>
        <w:ind w:left="4350" w:hanging="420"/>
        <w:tabs>
          <w:tab w:val="num" w:pos="4350" w:leader="none"/>
        </w:tabs>
      </w:pPr>
      <w:rPr>
        <w:rFonts w:cs="Times New Roman"/>
      </w:rPr>
    </w:lvl>
    <w:lvl w:ilvl="8">
      <w:start w:val="1"/>
      <w:numFmt w:val="lowerRoman"/>
      <w:isLgl w:val="false"/>
      <w:suff w:val="tab"/>
      <w:lvlText w:val="%9."/>
      <w:lvlJc w:val="right"/>
      <w:pPr>
        <w:pStyle w:val="923"/>
        <w:ind w:left="4770" w:hanging="420"/>
        <w:tabs>
          <w:tab w:val="num" w:pos="4770" w:leader="none"/>
        </w:tabs>
      </w:pPr>
      <w:rPr>
        <w:rFonts w:cs="Times New Roman"/>
      </w:rPr>
    </w:lvl>
  </w:abstractNum>
  <w:abstractNum w:abstractNumId="24">
    <w:multiLevelType w:val="hybridMultilevel"/>
    <w:lvl w:ilvl="0">
      <w:start w:val="1"/>
      <w:numFmt w:val="decimal"/>
      <w:isLgl w:val="false"/>
      <w:suff w:val="tab"/>
      <w:lvlText w:val="%1."/>
      <w:lvlJc w:val="left"/>
      <w:pPr>
        <w:pStyle w:val="923"/>
        <w:ind w:left="510" w:hanging="360"/>
        <w:tabs>
          <w:tab w:val="num" w:pos="510" w:leader="none"/>
        </w:tabs>
      </w:pPr>
      <w:rPr>
        <w:rFonts w:hint="eastAsia" w:cs="Times New Roman"/>
      </w:rPr>
    </w:lvl>
    <w:lvl w:ilvl="1">
      <w:start w:val="1"/>
      <w:numFmt w:val="decimal"/>
      <w:isLgl w:val="false"/>
      <w:suff w:val="tab"/>
      <w:lvlText w:val="%2．"/>
      <w:lvlJc w:val="left"/>
      <w:pPr>
        <w:pStyle w:val="923"/>
        <w:ind w:left="1290" w:hanging="720"/>
        <w:tabs>
          <w:tab w:val="num" w:pos="1290" w:leader="none"/>
        </w:tabs>
      </w:pPr>
      <w:rPr>
        <w:rFonts w:hint="eastAsia" w:cs="Times New Roman"/>
      </w:rPr>
    </w:lvl>
    <w:lvl w:ilvl="2">
      <w:start w:val="3"/>
      <w:numFmt w:val="decimal"/>
      <w:isLgl w:val="false"/>
      <w:suff w:val="tab"/>
      <w:lvlText w:val="（%3）"/>
      <w:lvlJc w:val="left"/>
      <w:pPr>
        <w:pStyle w:val="923"/>
        <w:ind w:left="1140" w:hanging="720"/>
        <w:tabs>
          <w:tab w:val="num" w:pos="1140" w:leader="none"/>
        </w:tabs>
      </w:pPr>
      <w:rPr>
        <w:rFonts w:hint="eastAsia" w:cs="Times New Roman"/>
      </w:rPr>
    </w:lvl>
    <w:lvl w:ilvl="3">
      <w:start w:val="1"/>
      <w:numFmt w:val="decimal"/>
      <w:isLgl w:val="false"/>
      <w:suff w:val="tab"/>
      <w:lvlText w:val="（%4）"/>
      <w:lvlJc w:val="left"/>
      <w:pPr>
        <w:pStyle w:val="92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23"/>
        <w:ind w:left="2250" w:hanging="420"/>
        <w:tabs>
          <w:tab w:val="num" w:pos="2250" w:leader="none"/>
        </w:tabs>
      </w:pPr>
      <w:rPr>
        <w:rFonts w:hint="eastAsia"/>
        <w:b/>
        <w:lang w:val="en-US"/>
      </w:rPr>
    </w:lvl>
    <w:lvl w:ilvl="5">
      <w:start w:val="10"/>
      <w:numFmt w:val="japaneseCounting"/>
      <w:isLgl w:val="false"/>
      <w:suff w:val="tab"/>
      <w:lvlText w:val="（%6）"/>
      <w:lvlJc w:val="left"/>
      <w:pPr>
        <w:pStyle w:val="923"/>
        <w:ind w:left="2970" w:hanging="720"/>
      </w:pPr>
      <w:rPr>
        <w:rFonts w:cs="Times New Roman"/>
      </w:rPr>
    </w:lvl>
    <w:lvl w:ilvl="6">
      <w:start w:val="1"/>
      <w:numFmt w:val="decimal"/>
      <w:isLgl w:val="false"/>
      <w:suff w:val="tab"/>
      <w:lvlText w:val="（%7）"/>
      <w:lvlJc w:val="left"/>
      <w:pPr>
        <w:pStyle w:val="92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23"/>
        <w:ind w:left="3510" w:hanging="420"/>
        <w:tabs>
          <w:tab w:val="num" w:pos="3510" w:leader="none"/>
        </w:tabs>
      </w:pPr>
      <w:rPr>
        <w:rFonts w:cs="Times New Roman"/>
      </w:rPr>
    </w:lvl>
    <w:lvl w:ilvl="8">
      <w:start w:val="1"/>
      <w:numFmt w:val="lowerRoman"/>
      <w:isLgl w:val="false"/>
      <w:suff w:val="tab"/>
      <w:lvlText w:val="%9."/>
      <w:lvlJc w:val="right"/>
      <w:pPr>
        <w:pStyle w:val="923"/>
        <w:ind w:left="3930" w:hanging="420"/>
        <w:tabs>
          <w:tab w:val="num" w:pos="3930" w:leader="none"/>
        </w:tabs>
      </w:pPr>
      <w:rPr>
        <w:rFonts w:cs="Times New Roman"/>
      </w:rPr>
    </w:lvl>
  </w:abstractNum>
  <w:abstractNum w:abstractNumId="25">
    <w:multiLevelType w:val="hybridMultilevel"/>
    <w:lvl w:ilvl="0">
      <w:start w:val="1"/>
      <w:numFmt w:val="decimal"/>
      <w:isLgl w:val="false"/>
      <w:suff w:val="nothing"/>
      <w:lvlText w:val="（%1）"/>
      <w:lvlJc w:val="left"/>
      <w:pPr>
        <w:pStyle w:val="9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japaneseCounting"/>
      <w:isLgl w:val="false"/>
      <w:suff w:val="tab"/>
      <w:lvlText w:val="第%1章"/>
      <w:lvlJc w:val="left"/>
      <w:pPr>
        <w:pStyle w:val="92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abstractNum w:abstractNumId="28">
    <w:multiLevelType w:val="hybridMultilevel"/>
    <w:lvl w:ilvl="0">
      <w:start w:val="1"/>
      <w:numFmt w:val="bullet"/>
      <w:isLgl w:val="false"/>
      <w:suff w:val="tab"/>
      <w:lvlText w:val=""/>
      <w:lvlJc w:val="left"/>
      <w:pPr>
        <w:pStyle w:val="923"/>
        <w:ind w:left="920" w:hanging="440"/>
      </w:pPr>
      <w:rPr>
        <w:rFonts w:ascii="Wingdings" w:hAnsi="Wingdings"/>
      </w:rPr>
    </w:lvl>
    <w:lvl w:ilvl="1">
      <w:start w:val="1"/>
      <w:numFmt w:val="bullet"/>
      <w:isLgl w:val="false"/>
      <w:suff w:val="tab"/>
      <w:lvlText w:val=""/>
      <w:lvlJc w:val="left"/>
      <w:pPr>
        <w:pStyle w:val="923"/>
        <w:ind w:left="1360" w:hanging="440"/>
      </w:pPr>
      <w:rPr>
        <w:rFonts w:ascii="Wingdings" w:hAnsi="Wingdings"/>
      </w:rPr>
    </w:lvl>
    <w:lvl w:ilvl="2">
      <w:start w:val="1"/>
      <w:numFmt w:val="bullet"/>
      <w:isLgl w:val="false"/>
      <w:suff w:val="tab"/>
      <w:lvlText w:val=""/>
      <w:lvlJc w:val="left"/>
      <w:pPr>
        <w:pStyle w:val="923"/>
        <w:ind w:left="1800" w:hanging="440"/>
      </w:pPr>
      <w:rPr>
        <w:rFonts w:ascii="Wingdings" w:hAnsi="Wingdings"/>
      </w:rPr>
    </w:lvl>
    <w:lvl w:ilvl="3">
      <w:start w:val="1"/>
      <w:numFmt w:val="bullet"/>
      <w:isLgl w:val="false"/>
      <w:suff w:val="tab"/>
      <w:lvlText w:val=""/>
      <w:lvlJc w:val="left"/>
      <w:pPr>
        <w:pStyle w:val="923"/>
        <w:ind w:left="2240" w:hanging="440"/>
      </w:pPr>
      <w:rPr>
        <w:rFonts w:ascii="Wingdings" w:hAnsi="Wingdings"/>
      </w:rPr>
    </w:lvl>
    <w:lvl w:ilvl="4">
      <w:start w:val="1"/>
      <w:numFmt w:val="bullet"/>
      <w:isLgl w:val="false"/>
      <w:suff w:val="tab"/>
      <w:lvlText w:val=""/>
      <w:lvlJc w:val="left"/>
      <w:pPr>
        <w:pStyle w:val="923"/>
        <w:ind w:left="2680" w:hanging="440"/>
      </w:pPr>
      <w:rPr>
        <w:rFonts w:ascii="Wingdings" w:hAnsi="Wingdings"/>
      </w:rPr>
    </w:lvl>
    <w:lvl w:ilvl="5">
      <w:start w:val="1"/>
      <w:numFmt w:val="bullet"/>
      <w:isLgl w:val="false"/>
      <w:suff w:val="tab"/>
      <w:lvlText w:val=""/>
      <w:lvlJc w:val="left"/>
      <w:pPr>
        <w:pStyle w:val="923"/>
        <w:ind w:left="3120" w:hanging="440"/>
      </w:pPr>
      <w:rPr>
        <w:rFonts w:ascii="Wingdings" w:hAnsi="Wingdings"/>
      </w:rPr>
    </w:lvl>
    <w:lvl w:ilvl="6">
      <w:start w:val="1"/>
      <w:numFmt w:val="bullet"/>
      <w:isLgl w:val="false"/>
      <w:suff w:val="tab"/>
      <w:lvlText w:val=""/>
      <w:lvlJc w:val="left"/>
      <w:pPr>
        <w:pStyle w:val="923"/>
        <w:ind w:left="3560" w:hanging="440"/>
      </w:pPr>
      <w:rPr>
        <w:rFonts w:ascii="Wingdings" w:hAnsi="Wingdings"/>
      </w:rPr>
    </w:lvl>
    <w:lvl w:ilvl="7">
      <w:start w:val="1"/>
      <w:numFmt w:val="bullet"/>
      <w:isLgl w:val="false"/>
      <w:suff w:val="tab"/>
      <w:lvlText w:val=""/>
      <w:lvlJc w:val="left"/>
      <w:pPr>
        <w:pStyle w:val="923"/>
        <w:ind w:left="4000" w:hanging="440"/>
      </w:pPr>
      <w:rPr>
        <w:rFonts w:ascii="Wingdings" w:hAnsi="Wingdings"/>
      </w:rPr>
    </w:lvl>
    <w:lvl w:ilvl="8">
      <w:start w:val="1"/>
      <w:numFmt w:val="bullet"/>
      <w:isLgl w:val="false"/>
      <w:suff w:val="tab"/>
      <w:lvlText w:val=""/>
      <w:lvlJc w:val="left"/>
      <w:pPr>
        <w:pStyle w:val="923"/>
        <w:ind w:left="4440" w:hanging="440"/>
      </w:pPr>
      <w:rPr>
        <w:rFonts w:ascii="Wingdings" w:hAnsi="Wingdings"/>
      </w:rPr>
    </w:lvl>
  </w:abstractNum>
  <w:abstractNum w:abstractNumId="29">
    <w:multiLevelType w:val="hybridMultilevel"/>
    <w:lvl w:ilvl="0">
      <w:start w:val="1"/>
      <w:numFmt w:val="decimalEnclosedCircleChinese"/>
      <w:isLgl w:val="false"/>
      <w:suff w:val="nothing"/>
      <w:lvlText w:val="%1　"/>
      <w:lvlJc w:val="left"/>
      <w:pPr>
        <w:pStyle w:val="923"/>
        <w:ind w:left="0" w:firstLine="400"/>
      </w:pPr>
      <w:rPr>
        <w:rFonts w:hint="eastAsia" w:ascii="宋体" w:hAnsi="宋体" w:eastAsia="宋体"/>
      </w:rPr>
    </w:lvl>
    <w:lvl w:ilvl="1">
      <w:start w:val="1"/>
      <w:numFmt w:val="decimal"/>
      <w:isLgl w:val="false"/>
      <w:suff w:val="tab"/>
      <w:lvlText w:val="%2."/>
      <w:lvlJc w:val="left"/>
      <w:pPr>
        <w:pStyle w:val="923"/>
        <w:ind w:left="1440" w:hanging="360"/>
        <w:tabs>
          <w:tab w:val="left" w:pos="1440" w:leader="none"/>
        </w:tabs>
      </w:pPr>
    </w:lvl>
    <w:lvl w:ilvl="2">
      <w:start w:val="1"/>
      <w:numFmt w:val="decimal"/>
      <w:isLgl w:val="false"/>
      <w:suff w:val="tab"/>
      <w:lvlText w:val="%3."/>
      <w:lvlJc w:val="left"/>
      <w:pPr>
        <w:pStyle w:val="923"/>
        <w:ind w:left="2160" w:hanging="360"/>
        <w:tabs>
          <w:tab w:val="left" w:pos="2160" w:leader="none"/>
        </w:tabs>
      </w:pPr>
    </w:lvl>
    <w:lvl w:ilvl="3">
      <w:start w:val="1"/>
      <w:numFmt w:val="decimal"/>
      <w:isLgl w:val="false"/>
      <w:suff w:val="tab"/>
      <w:lvlText w:val="%4."/>
      <w:lvlJc w:val="left"/>
      <w:pPr>
        <w:pStyle w:val="923"/>
        <w:ind w:left="2880" w:hanging="360"/>
        <w:tabs>
          <w:tab w:val="left" w:pos="2880" w:leader="none"/>
        </w:tabs>
      </w:pPr>
    </w:lvl>
    <w:lvl w:ilvl="4">
      <w:start w:val="1"/>
      <w:numFmt w:val="decimal"/>
      <w:isLgl w:val="false"/>
      <w:suff w:val="tab"/>
      <w:lvlText w:val="%5."/>
      <w:lvlJc w:val="left"/>
      <w:pPr>
        <w:pStyle w:val="923"/>
        <w:ind w:left="3600" w:hanging="360"/>
        <w:tabs>
          <w:tab w:val="left" w:pos="3600" w:leader="none"/>
        </w:tabs>
      </w:pPr>
    </w:lvl>
    <w:lvl w:ilvl="5">
      <w:start w:val="1"/>
      <w:numFmt w:val="decimal"/>
      <w:isLgl w:val="false"/>
      <w:suff w:val="tab"/>
      <w:lvlText w:val="%6."/>
      <w:lvlJc w:val="left"/>
      <w:pPr>
        <w:pStyle w:val="923"/>
        <w:ind w:left="4320" w:hanging="360"/>
        <w:tabs>
          <w:tab w:val="left" w:pos="4320" w:leader="none"/>
        </w:tabs>
      </w:pPr>
    </w:lvl>
    <w:lvl w:ilvl="6">
      <w:start w:val="1"/>
      <w:numFmt w:val="decimal"/>
      <w:isLgl w:val="false"/>
      <w:suff w:val="tab"/>
      <w:lvlText w:val="%7."/>
      <w:lvlJc w:val="left"/>
      <w:pPr>
        <w:pStyle w:val="923"/>
        <w:ind w:left="5040" w:hanging="360"/>
        <w:tabs>
          <w:tab w:val="left" w:pos="5040" w:leader="none"/>
        </w:tabs>
      </w:pPr>
    </w:lvl>
    <w:lvl w:ilvl="7">
      <w:start w:val="1"/>
      <w:numFmt w:val="decimal"/>
      <w:isLgl w:val="false"/>
      <w:suff w:val="tab"/>
      <w:lvlText w:val="%8."/>
      <w:lvlJc w:val="left"/>
      <w:pPr>
        <w:pStyle w:val="923"/>
        <w:ind w:left="5760" w:hanging="360"/>
        <w:tabs>
          <w:tab w:val="left" w:pos="5760" w:leader="none"/>
        </w:tabs>
      </w:pPr>
    </w:lvl>
    <w:lvl w:ilvl="8">
      <w:start w:val="1"/>
      <w:numFmt w:val="decimal"/>
      <w:isLgl w:val="false"/>
      <w:suff w:val="tab"/>
      <w:lvlText w:val="%9."/>
      <w:lvlJc w:val="left"/>
      <w:pPr>
        <w:pStyle w:val="923"/>
        <w:ind w:left="6480" w:hanging="360"/>
        <w:tabs>
          <w:tab w:val="left" w:pos="6480" w:leader="none"/>
        </w:tabs>
      </w:pPr>
    </w:lvl>
  </w:abstractNum>
  <w:num w:numId="1">
    <w:abstractNumId w:val="20"/>
  </w:num>
  <w:num w:numId="2">
    <w:abstractNumId w:val="4"/>
  </w:num>
  <w:num w:numId="3">
    <w:abstractNumId w:val="14"/>
  </w:num>
  <w:num w:numId="4">
    <w:abstractNumId w:val="26"/>
  </w:num>
  <w:num w:numId="5">
    <w:abstractNumId w:val="23"/>
  </w:num>
  <w:num w:numId="6">
    <w:abstractNumId w:val="13"/>
  </w:num>
  <w:num w:numId="7">
    <w:abstractNumId w:val="5"/>
  </w:num>
  <w:num w:numId="8">
    <w:abstractNumId w:val="1"/>
  </w:num>
  <w:num w:numId="9">
    <w:abstractNumId w:val="21"/>
  </w:num>
  <w:num w:numId="10">
    <w:abstractNumId w:val="2"/>
  </w:num>
  <w:num w:numId="11">
    <w:abstractNumId w:val="25"/>
  </w:num>
  <w:num w:numId="12">
    <w:abstractNumId w:val="0"/>
  </w:num>
  <w:num w:numId="13">
    <w:abstractNumId w:val="22"/>
  </w:num>
  <w:num w:numId="14">
    <w:abstractNumId w:val="11"/>
  </w:num>
  <w:num w:numId="15">
    <w:abstractNumId w:val="19"/>
  </w:num>
  <w:num w:numId="16">
    <w:abstractNumId w:val="6"/>
  </w:num>
  <w:num w:numId="17">
    <w:abstractNumId w:val="9"/>
  </w:num>
  <w:num w:numId="18">
    <w:abstractNumId w:val="12"/>
  </w:num>
  <w:num w:numId="19">
    <w:abstractNumId w:val="24"/>
  </w:num>
  <w:num w:numId="20">
    <w:abstractNumId w:val="18"/>
  </w:num>
  <w:num w:numId="21">
    <w:abstractNumId w:val="28"/>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0"/>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29"/>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rFonts w:ascii="Times New Roman" w:hAnsi="Times New Roman"/>
      <w:sz w:val="21"/>
      <w:szCs w:val="21"/>
      <w:lang w:val="en-US" w:eastAsia="zh-CN" w:bidi="ar-SA"/>
    </w:rPr>
  </w:style>
  <w:style w:type="paragraph" w:styleId="924">
    <w:name w:val="标题 1"/>
    <w:basedOn w:val="923"/>
    <w:next w:val="923"/>
    <w:link w:val="936"/>
    <w:qFormat/>
    <w:pPr>
      <w:jc w:val="center"/>
      <w:keepNext/>
      <w:outlineLvl w:val="0"/>
    </w:pPr>
    <w:rPr>
      <w:rFonts w:ascii="楷体_GB2312" w:eastAsia="楷体_GB2312"/>
      <w:sz w:val="28"/>
      <w:szCs w:val="28"/>
      <w:lang w:val="en-US" w:eastAsia="en-US"/>
    </w:rPr>
  </w:style>
  <w:style w:type="paragraph" w:styleId="925">
    <w:name w:val="标题 2"/>
    <w:basedOn w:val="923"/>
    <w:next w:val="938"/>
    <w:link w:val="93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26">
    <w:name w:val="标题 3"/>
    <w:basedOn w:val="923"/>
    <w:next w:val="938"/>
    <w:link w:val="940"/>
    <w:qFormat/>
    <w:pPr>
      <w:keepLines/>
      <w:keepNext/>
      <w:spacing w:before="260" w:after="260" w:line="416" w:lineRule="auto"/>
      <w:outlineLvl w:val="2"/>
    </w:pPr>
    <w:rPr>
      <w:b/>
      <w:bCs/>
      <w:sz w:val="32"/>
      <w:szCs w:val="32"/>
      <w:lang w:val="en-US" w:eastAsia="en-US"/>
    </w:rPr>
  </w:style>
  <w:style w:type="paragraph" w:styleId="927">
    <w:name w:val="标题 4"/>
    <w:basedOn w:val="923"/>
    <w:next w:val="938"/>
    <w:link w:val="941"/>
    <w:qFormat/>
    <w:pPr>
      <w:keepLines/>
      <w:keepNext/>
      <w:spacing w:before="280" w:after="290" w:line="376" w:lineRule="auto"/>
      <w:outlineLvl w:val="3"/>
    </w:pPr>
    <w:rPr>
      <w:rFonts w:ascii="Arial" w:hAnsi="Arial" w:eastAsia="黑体"/>
      <w:b/>
      <w:bCs/>
      <w:sz w:val="28"/>
      <w:szCs w:val="28"/>
      <w:lang w:val="en-US" w:eastAsia="en-US"/>
    </w:rPr>
  </w:style>
  <w:style w:type="paragraph" w:styleId="928">
    <w:name w:val="标题 5"/>
    <w:basedOn w:val="923"/>
    <w:next w:val="938"/>
    <w:link w:val="942"/>
    <w:qFormat/>
    <w:pPr>
      <w:keepNext/>
      <w:outlineLvl w:val="4"/>
    </w:pPr>
    <w:rPr>
      <w:rFonts w:ascii="宋体"/>
      <w:color w:val="000000"/>
      <w:sz w:val="28"/>
      <w:szCs w:val="28"/>
      <w:lang w:val="en-US" w:eastAsia="en-US"/>
    </w:rPr>
  </w:style>
  <w:style w:type="paragraph" w:styleId="929">
    <w:name w:val="标题 6"/>
    <w:basedOn w:val="923"/>
    <w:next w:val="923"/>
    <w:link w:val="94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30">
    <w:name w:val="标题 7"/>
    <w:basedOn w:val="923"/>
    <w:next w:val="923"/>
    <w:link w:val="944"/>
    <w:qFormat/>
    <w:pPr>
      <w:numPr>
        <w:ilvl w:val="6"/>
        <w:numId w:val="1"/>
      </w:numPr>
      <w:keepLines/>
      <w:keepNext/>
      <w:spacing w:before="240" w:after="64" w:line="320" w:lineRule="auto"/>
      <w:outlineLvl w:val="6"/>
    </w:pPr>
    <w:rPr>
      <w:b/>
      <w:bCs/>
      <w:sz w:val="24"/>
      <w:szCs w:val="24"/>
      <w:lang w:val="en-US" w:eastAsia="en-US"/>
    </w:rPr>
  </w:style>
  <w:style w:type="paragraph" w:styleId="931">
    <w:name w:val="标题 8"/>
    <w:basedOn w:val="923"/>
    <w:next w:val="923"/>
    <w:link w:val="94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32">
    <w:name w:val="标题 9"/>
    <w:basedOn w:val="923"/>
    <w:next w:val="923"/>
    <w:link w:val="94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33">
    <w:name w:val="默认段落字体"/>
    <w:next w:val="933"/>
    <w:link w:val="923"/>
    <w:uiPriority w:val="1"/>
    <w:unhideWhenUsed/>
  </w:style>
  <w:style w:type="table" w:styleId="934">
    <w:name w:val="普通表格"/>
    <w:next w:val="934"/>
    <w:link w:val="923"/>
    <w:uiPriority w:val="99"/>
    <w:unhideWhenUsed/>
    <w:tblPr/>
  </w:style>
  <w:style w:type="numbering" w:styleId="935">
    <w:name w:val="无列表"/>
    <w:next w:val="935"/>
    <w:link w:val="923"/>
    <w:uiPriority w:val="99"/>
    <w:semiHidden/>
    <w:unhideWhenUsed/>
  </w:style>
  <w:style w:type="character" w:styleId="936">
    <w:name w:val="标题 1 Char"/>
    <w:next w:val="936"/>
    <w:link w:val="924"/>
    <w:rPr>
      <w:rFonts w:ascii="楷体_GB2312" w:hAnsi="Times New Roman" w:eastAsia="楷体_GB2312" w:cs="Times New Roman"/>
      <w:sz w:val="28"/>
      <w:szCs w:val="28"/>
    </w:rPr>
  </w:style>
  <w:style w:type="character" w:styleId="937">
    <w:name w:val="标题 2 Char"/>
    <w:next w:val="937"/>
    <w:link w:val="925"/>
    <w:rPr>
      <w:rFonts w:ascii="Arial" w:hAnsi="Arial" w:eastAsia="幼圆" w:cs="Arial"/>
      <w:b/>
      <w:bCs/>
      <w:sz w:val="44"/>
      <w:szCs w:val="44"/>
    </w:rPr>
  </w:style>
  <w:style w:type="paragraph" w:styleId="938">
    <w:name w:val="正文缩进"/>
    <w:basedOn w:val="923"/>
    <w:next w:val="938"/>
    <w:link w:val="939"/>
    <w:pPr>
      <w:ind w:firstLine="420"/>
    </w:pPr>
    <w:rPr>
      <w:sz w:val="20"/>
      <w:lang w:val="en-US" w:eastAsia="en-US"/>
    </w:rPr>
  </w:style>
  <w:style w:type="character" w:styleId="939">
    <w:name w:val="正文缩进 Char"/>
    <w:next w:val="939"/>
    <w:link w:val="938"/>
    <w:rPr>
      <w:rFonts w:ascii="Times New Roman" w:hAnsi="Times New Roman" w:eastAsia="宋体" w:cs="Times New Roman"/>
      <w:szCs w:val="21"/>
    </w:rPr>
  </w:style>
  <w:style w:type="character" w:styleId="940">
    <w:name w:val="标题 3 Char"/>
    <w:next w:val="940"/>
    <w:link w:val="926"/>
    <w:rPr>
      <w:rFonts w:ascii="Times New Roman" w:hAnsi="Times New Roman" w:eastAsia="宋体" w:cs="Times New Roman"/>
      <w:b/>
      <w:bCs/>
      <w:sz w:val="32"/>
      <w:szCs w:val="32"/>
    </w:rPr>
  </w:style>
  <w:style w:type="character" w:styleId="941">
    <w:name w:val="标题 4 Char"/>
    <w:next w:val="941"/>
    <w:link w:val="927"/>
    <w:rPr>
      <w:rFonts w:ascii="Arial" w:hAnsi="Arial" w:eastAsia="黑体" w:cs="Arial"/>
      <w:b/>
      <w:bCs/>
      <w:sz w:val="28"/>
      <w:szCs w:val="28"/>
    </w:rPr>
  </w:style>
  <w:style w:type="character" w:styleId="942">
    <w:name w:val="标题 5 Char"/>
    <w:next w:val="942"/>
    <w:link w:val="928"/>
    <w:rPr>
      <w:rFonts w:ascii="宋体" w:hAnsi="Times New Roman" w:eastAsia="宋体" w:cs="Times New Roman"/>
      <w:color w:val="000000"/>
      <w:sz w:val="28"/>
      <w:szCs w:val="28"/>
    </w:rPr>
  </w:style>
  <w:style w:type="character" w:styleId="943">
    <w:name w:val="标题 6 Char"/>
    <w:next w:val="943"/>
    <w:link w:val="929"/>
    <w:rPr>
      <w:rFonts w:ascii="Arial" w:hAnsi="Arial" w:eastAsia="黑体" w:cs="Times New Roman"/>
      <w:b/>
      <w:bCs/>
      <w:sz w:val="24"/>
      <w:szCs w:val="24"/>
    </w:rPr>
  </w:style>
  <w:style w:type="character" w:styleId="944">
    <w:name w:val="标题 7 Char"/>
    <w:next w:val="944"/>
    <w:link w:val="930"/>
    <w:rPr>
      <w:rFonts w:ascii="Times New Roman" w:hAnsi="Times New Roman" w:eastAsia="宋体" w:cs="Times New Roman"/>
      <w:b/>
      <w:bCs/>
      <w:sz w:val="24"/>
      <w:szCs w:val="24"/>
    </w:rPr>
  </w:style>
  <w:style w:type="character" w:styleId="945">
    <w:name w:val="标题 8 Char"/>
    <w:next w:val="945"/>
    <w:link w:val="931"/>
    <w:rPr>
      <w:rFonts w:ascii="Arial" w:hAnsi="Arial" w:eastAsia="黑体" w:cs="Times New Roman"/>
      <w:sz w:val="24"/>
      <w:szCs w:val="24"/>
    </w:rPr>
  </w:style>
  <w:style w:type="character" w:styleId="946">
    <w:name w:val="标题 9 Char"/>
    <w:next w:val="946"/>
    <w:link w:val="932"/>
    <w:rPr>
      <w:rFonts w:ascii="Arial" w:hAnsi="Arial" w:eastAsia="黑体" w:cs="Times New Roman"/>
      <w:szCs w:val="21"/>
    </w:rPr>
  </w:style>
  <w:style w:type="paragraph" w:styleId="947">
    <w:name w:val="列表 3"/>
    <w:basedOn w:val="923"/>
    <w:next w:val="947"/>
    <w:link w:val="923"/>
    <w:pPr>
      <w:ind w:left="100" w:hanging="200"/>
    </w:pPr>
  </w:style>
  <w:style w:type="paragraph" w:styleId="948">
    <w:name w:val="目录 7"/>
    <w:basedOn w:val="923"/>
    <w:next w:val="923"/>
    <w:link w:val="923"/>
    <w:semiHidden/>
    <w:pPr>
      <w:ind w:left="1260"/>
      <w:jc w:val="left"/>
    </w:pPr>
  </w:style>
  <w:style w:type="paragraph" w:styleId="949">
    <w:name w:val="文档结构图"/>
    <w:basedOn w:val="923"/>
    <w:next w:val="949"/>
    <w:link w:val="950"/>
    <w:semiHidden/>
    <w:pPr>
      <w:shd w:val="clear" w:color="auto" w:fill="000080"/>
    </w:pPr>
    <w:rPr>
      <w:sz w:val="20"/>
      <w:lang w:val="en-US" w:eastAsia="en-US"/>
    </w:rPr>
  </w:style>
  <w:style w:type="character" w:styleId="950">
    <w:name w:val="文档结构图 Char"/>
    <w:next w:val="950"/>
    <w:link w:val="949"/>
    <w:semiHidden/>
    <w:rPr>
      <w:rFonts w:ascii="Times New Roman" w:hAnsi="Times New Roman" w:eastAsia="宋体" w:cs="Times New Roman"/>
      <w:szCs w:val="21"/>
      <w:shd w:val="clear" w:color="auto" w:fill="000080"/>
    </w:rPr>
  </w:style>
  <w:style w:type="paragraph" w:styleId="951">
    <w:name w:val="批注文字"/>
    <w:basedOn w:val="923"/>
    <w:next w:val="951"/>
    <w:link w:val="952"/>
    <w:semiHidden/>
    <w:pPr>
      <w:jc w:val="left"/>
    </w:pPr>
    <w:rPr>
      <w:sz w:val="20"/>
      <w:lang w:val="en-US" w:eastAsia="en-US"/>
    </w:rPr>
  </w:style>
  <w:style w:type="character" w:styleId="952">
    <w:name w:val="批注文字 Char"/>
    <w:next w:val="952"/>
    <w:link w:val="951"/>
    <w:semiHidden/>
    <w:rPr>
      <w:rFonts w:ascii="Times New Roman" w:hAnsi="Times New Roman" w:eastAsia="宋体" w:cs="Times New Roman"/>
      <w:szCs w:val="21"/>
    </w:rPr>
  </w:style>
  <w:style w:type="paragraph" w:styleId="953">
    <w:name w:val="正文文本 3"/>
    <w:basedOn w:val="923"/>
    <w:next w:val="953"/>
    <w:link w:val="954"/>
    <w:rPr>
      <w:rFonts w:ascii="仿宋_GB2312" w:hAnsi="Arial" w:eastAsia="仿宋_GB2312"/>
      <w:sz w:val="32"/>
      <w:szCs w:val="32"/>
      <w:lang w:val="en-US" w:eastAsia="en-US"/>
    </w:rPr>
  </w:style>
  <w:style w:type="character" w:styleId="954">
    <w:name w:val="正文文本 3 Char"/>
    <w:next w:val="954"/>
    <w:link w:val="953"/>
    <w:rPr>
      <w:rFonts w:ascii="仿宋_GB2312" w:hAnsi="Arial" w:eastAsia="仿宋_GB2312" w:cs="Times New Roman"/>
      <w:sz w:val="32"/>
      <w:szCs w:val="32"/>
    </w:rPr>
  </w:style>
  <w:style w:type="paragraph" w:styleId="955">
    <w:name w:val="正文文本"/>
    <w:basedOn w:val="923"/>
    <w:next w:val="955"/>
    <w:link w:val="956"/>
    <w:rPr>
      <w:rFonts w:ascii="楷体_GB2312" w:hAnsi="Arial" w:eastAsia="楷体_GB2312"/>
      <w:sz w:val="28"/>
      <w:szCs w:val="28"/>
      <w:lang w:val="en-US" w:eastAsia="en-US"/>
    </w:rPr>
  </w:style>
  <w:style w:type="character" w:styleId="956">
    <w:name w:val="正文文本 Char"/>
    <w:next w:val="956"/>
    <w:link w:val="955"/>
    <w:rPr>
      <w:rFonts w:ascii="楷体_GB2312" w:hAnsi="Arial" w:eastAsia="楷体_GB2312" w:cs="Times New Roman"/>
      <w:sz w:val="28"/>
      <w:szCs w:val="28"/>
    </w:rPr>
  </w:style>
  <w:style w:type="paragraph" w:styleId="957">
    <w:name w:val="正文文本缩进"/>
    <w:basedOn w:val="923"/>
    <w:next w:val="957"/>
    <w:link w:val="958"/>
    <w:pPr>
      <w:ind w:firstLine="645"/>
    </w:pPr>
    <w:rPr>
      <w:rFonts w:ascii="楷体_GB2312" w:eastAsia="楷体_GB2312"/>
      <w:sz w:val="32"/>
      <w:szCs w:val="32"/>
      <w:lang w:val="en-US" w:eastAsia="en-US"/>
    </w:rPr>
  </w:style>
  <w:style w:type="character" w:styleId="958">
    <w:name w:val="正文文本缩进 Char"/>
    <w:next w:val="958"/>
    <w:link w:val="957"/>
    <w:rPr>
      <w:rFonts w:ascii="楷体_GB2312" w:hAnsi="Times New Roman" w:eastAsia="楷体_GB2312" w:cs="Times New Roman"/>
      <w:sz w:val="32"/>
      <w:szCs w:val="32"/>
    </w:rPr>
  </w:style>
  <w:style w:type="paragraph" w:styleId="959">
    <w:name w:val="列表 2"/>
    <w:basedOn w:val="923"/>
    <w:next w:val="959"/>
    <w:link w:val="923"/>
    <w:pPr>
      <w:ind w:left="100" w:hanging="200"/>
    </w:pPr>
  </w:style>
  <w:style w:type="paragraph" w:styleId="960">
    <w:name w:val="目录 5"/>
    <w:basedOn w:val="923"/>
    <w:next w:val="923"/>
    <w:link w:val="923"/>
    <w:semiHidden/>
    <w:pPr>
      <w:ind w:left="840"/>
      <w:jc w:val="left"/>
    </w:pPr>
  </w:style>
  <w:style w:type="paragraph" w:styleId="961">
    <w:name w:val="目录 3"/>
    <w:basedOn w:val="923"/>
    <w:next w:val="923"/>
    <w:link w:val="923"/>
    <w:semiHidden/>
    <w:pPr>
      <w:ind w:left="420"/>
      <w:jc w:val="left"/>
    </w:pPr>
    <w:rPr>
      <w:i/>
      <w:iCs/>
      <w:szCs w:val="24"/>
    </w:rPr>
  </w:style>
  <w:style w:type="paragraph" w:styleId="962">
    <w:name w:val="纯文本"/>
    <w:basedOn w:val="923"/>
    <w:next w:val="962"/>
    <w:link w:val="963"/>
    <w:rPr>
      <w:rFonts w:ascii="宋体" w:hAnsi="Courier New"/>
      <w:sz w:val="20"/>
      <w:lang w:val="en-US" w:eastAsia="en-US"/>
    </w:rPr>
  </w:style>
  <w:style w:type="character" w:styleId="963">
    <w:name w:val="纯文本 Char"/>
    <w:next w:val="963"/>
    <w:link w:val="962"/>
    <w:rPr>
      <w:rFonts w:ascii="宋体" w:hAnsi="Courier New" w:eastAsia="宋体" w:cs="Courier New"/>
      <w:szCs w:val="21"/>
    </w:rPr>
  </w:style>
  <w:style w:type="paragraph" w:styleId="964">
    <w:name w:val="目录 8"/>
    <w:basedOn w:val="923"/>
    <w:next w:val="923"/>
    <w:link w:val="923"/>
    <w:semiHidden/>
    <w:pPr>
      <w:ind w:left="1470"/>
      <w:jc w:val="left"/>
    </w:pPr>
  </w:style>
  <w:style w:type="paragraph" w:styleId="965">
    <w:name w:val="日期"/>
    <w:basedOn w:val="923"/>
    <w:next w:val="923"/>
    <w:link w:val="966"/>
    <w:rPr>
      <w:sz w:val="24"/>
      <w:szCs w:val="24"/>
      <w:lang w:val="en-US" w:eastAsia="en-US"/>
    </w:rPr>
  </w:style>
  <w:style w:type="character" w:styleId="966">
    <w:name w:val="日期 Char"/>
    <w:next w:val="966"/>
    <w:link w:val="965"/>
    <w:rPr>
      <w:rFonts w:ascii="Times New Roman" w:hAnsi="Times New Roman" w:eastAsia="宋体" w:cs="Times New Roman"/>
      <w:sz w:val="24"/>
      <w:szCs w:val="24"/>
    </w:rPr>
  </w:style>
  <w:style w:type="paragraph" w:styleId="967">
    <w:name w:val="正文文本缩进 2"/>
    <w:basedOn w:val="923"/>
    <w:next w:val="967"/>
    <w:link w:val="968"/>
    <w:pPr>
      <w:ind w:left="630" w:firstLine="645"/>
    </w:pPr>
    <w:rPr>
      <w:rFonts w:ascii="Arial" w:hAnsi="Arial" w:eastAsia="仿宋_GB2312"/>
      <w:sz w:val="32"/>
      <w:szCs w:val="32"/>
      <w:lang w:val="en-US" w:eastAsia="en-US"/>
    </w:rPr>
  </w:style>
  <w:style w:type="character" w:styleId="968">
    <w:name w:val="正文文本缩进 2 Char"/>
    <w:next w:val="968"/>
    <w:link w:val="967"/>
    <w:rPr>
      <w:rFonts w:ascii="Arial" w:hAnsi="Arial" w:eastAsia="仿宋_GB2312" w:cs="Arial"/>
      <w:sz w:val="32"/>
      <w:szCs w:val="32"/>
    </w:rPr>
  </w:style>
  <w:style w:type="paragraph" w:styleId="969">
    <w:name w:val="批注框文本"/>
    <w:basedOn w:val="923"/>
    <w:next w:val="969"/>
    <w:link w:val="970"/>
    <w:semiHidden/>
    <w:rPr>
      <w:sz w:val="18"/>
      <w:szCs w:val="18"/>
      <w:lang w:val="en-US" w:eastAsia="en-US"/>
    </w:rPr>
  </w:style>
  <w:style w:type="character" w:styleId="970">
    <w:name w:val="批注框文本 Char"/>
    <w:next w:val="970"/>
    <w:link w:val="969"/>
    <w:semiHidden/>
    <w:rPr>
      <w:rFonts w:ascii="Times New Roman" w:hAnsi="Times New Roman" w:eastAsia="宋体" w:cs="Times New Roman"/>
      <w:sz w:val="18"/>
      <w:szCs w:val="18"/>
    </w:rPr>
  </w:style>
  <w:style w:type="paragraph" w:styleId="971">
    <w:name w:val="页脚"/>
    <w:basedOn w:val="923"/>
    <w:next w:val="971"/>
    <w:link w:val="972"/>
    <w:pPr>
      <w:jc w:val="left"/>
      <w:tabs>
        <w:tab w:val="center" w:pos="4153" w:leader="none"/>
        <w:tab w:val="right" w:pos="8306" w:leader="none"/>
      </w:tabs>
    </w:pPr>
    <w:rPr>
      <w:sz w:val="18"/>
      <w:szCs w:val="18"/>
      <w:lang w:val="en-US" w:eastAsia="en-US"/>
    </w:rPr>
  </w:style>
  <w:style w:type="character" w:styleId="972">
    <w:name w:val="页脚 Char"/>
    <w:next w:val="972"/>
    <w:link w:val="971"/>
    <w:rPr>
      <w:rFonts w:ascii="Times New Roman" w:hAnsi="Times New Roman" w:eastAsia="宋体" w:cs="Times New Roman"/>
      <w:sz w:val="18"/>
      <w:szCs w:val="18"/>
    </w:rPr>
  </w:style>
  <w:style w:type="paragraph" w:styleId="973">
    <w:name w:val="页眉"/>
    <w:basedOn w:val="923"/>
    <w:next w:val="973"/>
    <w:link w:val="97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74">
    <w:name w:val="页眉 Char"/>
    <w:next w:val="974"/>
    <w:link w:val="973"/>
    <w:uiPriority w:val="99"/>
    <w:qFormat/>
    <w:rPr>
      <w:rFonts w:ascii="Times New Roman" w:hAnsi="Times New Roman" w:eastAsia="宋体" w:cs="Times New Roman"/>
      <w:sz w:val="18"/>
      <w:szCs w:val="18"/>
    </w:rPr>
  </w:style>
  <w:style w:type="paragraph" w:styleId="975">
    <w:name w:val="目录 1"/>
    <w:basedOn w:val="923"/>
    <w:next w:val="923"/>
    <w:link w:val="923"/>
    <w:semiHidden/>
    <w:pPr>
      <w:jc w:val="left"/>
      <w:spacing w:before="120" w:after="120" w:line="400" w:lineRule="exact"/>
      <w:tabs>
        <w:tab w:val="right" w:pos="8720" w:leader="dot"/>
      </w:tabs>
    </w:pPr>
    <w:rPr>
      <w:rFonts w:ascii="宋体" w:hAnsi="宋体"/>
      <w:caps/>
      <w:sz w:val="24"/>
      <w:szCs w:val="24"/>
    </w:rPr>
  </w:style>
  <w:style w:type="paragraph" w:styleId="976">
    <w:name w:val="目录 4"/>
    <w:basedOn w:val="923"/>
    <w:next w:val="923"/>
    <w:link w:val="923"/>
    <w:semiHidden/>
    <w:pPr>
      <w:ind w:left="630"/>
      <w:jc w:val="left"/>
    </w:pPr>
  </w:style>
  <w:style w:type="paragraph" w:styleId="977">
    <w:name w:val="列表"/>
    <w:basedOn w:val="923"/>
    <w:next w:val="977"/>
    <w:link w:val="923"/>
    <w:pPr>
      <w:ind w:left="200" w:hanging="200"/>
    </w:pPr>
  </w:style>
  <w:style w:type="paragraph" w:styleId="978">
    <w:name w:val="目录 6"/>
    <w:basedOn w:val="923"/>
    <w:next w:val="923"/>
    <w:link w:val="923"/>
    <w:semiHidden/>
    <w:pPr>
      <w:ind w:left="1050"/>
      <w:jc w:val="left"/>
    </w:pPr>
  </w:style>
  <w:style w:type="paragraph" w:styleId="979">
    <w:name w:val="正文文本缩进 3"/>
    <w:basedOn w:val="923"/>
    <w:next w:val="979"/>
    <w:link w:val="980"/>
    <w:pPr>
      <w:ind w:left="645" w:firstLine="645"/>
    </w:pPr>
    <w:rPr>
      <w:rFonts w:ascii="Arial" w:hAnsi="Arial" w:eastAsia="仿宋_GB2312"/>
      <w:color w:val="ffff00"/>
      <w:sz w:val="32"/>
      <w:szCs w:val="32"/>
      <w:lang w:val="en-US" w:eastAsia="en-US"/>
    </w:rPr>
  </w:style>
  <w:style w:type="character" w:styleId="980">
    <w:name w:val="正文文本缩进 3 Char"/>
    <w:next w:val="980"/>
    <w:link w:val="979"/>
    <w:rPr>
      <w:rFonts w:ascii="Arial" w:hAnsi="Arial" w:eastAsia="仿宋_GB2312" w:cs="Arial"/>
      <w:color w:val="ffff00"/>
      <w:sz w:val="32"/>
      <w:szCs w:val="32"/>
    </w:rPr>
  </w:style>
  <w:style w:type="paragraph" w:styleId="981">
    <w:name w:val="图表目录"/>
    <w:basedOn w:val="923"/>
    <w:next w:val="923"/>
    <w:link w:val="923"/>
    <w:semiHidden/>
    <w:pPr>
      <w:ind w:left="840" w:hanging="420"/>
    </w:pPr>
  </w:style>
  <w:style w:type="paragraph" w:styleId="982">
    <w:name w:val="目录 2"/>
    <w:basedOn w:val="923"/>
    <w:next w:val="923"/>
    <w:link w:val="923"/>
    <w:semiHidden/>
    <w:pPr>
      <w:ind w:left="210"/>
      <w:jc w:val="left"/>
    </w:pPr>
    <w:rPr>
      <w:smallCaps/>
      <w:szCs w:val="24"/>
    </w:rPr>
  </w:style>
  <w:style w:type="paragraph" w:styleId="983">
    <w:name w:val="目录 9"/>
    <w:basedOn w:val="923"/>
    <w:next w:val="923"/>
    <w:link w:val="923"/>
    <w:semiHidden/>
    <w:pPr>
      <w:ind w:left="1680"/>
      <w:jc w:val="left"/>
    </w:pPr>
  </w:style>
  <w:style w:type="paragraph" w:styleId="984">
    <w:name w:val="正文文本 2"/>
    <w:basedOn w:val="923"/>
    <w:next w:val="984"/>
    <w:link w:val="985"/>
    <w:pPr>
      <w:jc w:val="center"/>
      <w:widowControl/>
    </w:pPr>
    <w:rPr>
      <w:rFonts w:ascii="楷体_GB2312" w:eastAsia="楷体_GB2312"/>
      <w:sz w:val="28"/>
      <w:szCs w:val="28"/>
      <w:lang w:val="en-US" w:eastAsia="en-US"/>
    </w:rPr>
  </w:style>
  <w:style w:type="character" w:styleId="985">
    <w:name w:val="正文文本 2 Char"/>
    <w:next w:val="985"/>
    <w:link w:val="984"/>
    <w:rPr>
      <w:rFonts w:ascii="楷体_GB2312" w:hAnsi="Times New Roman" w:eastAsia="楷体_GB2312" w:cs="Times New Roman"/>
      <w:sz w:val="28"/>
      <w:szCs w:val="28"/>
    </w:rPr>
  </w:style>
  <w:style w:type="paragraph" w:styleId="986">
    <w:name w:val="普通(网站)"/>
    <w:basedOn w:val="923"/>
    <w:next w:val="986"/>
    <w:link w:val="923"/>
    <w:uiPriority w:val="99"/>
    <w:pPr>
      <w:jc w:val="left"/>
      <w:spacing w:before="100" w:beforeAutospacing="1" w:after="100" w:afterAutospacing="1"/>
      <w:widowControl/>
    </w:pPr>
    <w:rPr>
      <w:rFonts w:ascii="宋体" w:hAnsi="宋体" w:cs="宋体"/>
      <w:sz w:val="24"/>
      <w:szCs w:val="24"/>
    </w:rPr>
  </w:style>
  <w:style w:type="paragraph" w:styleId="987">
    <w:name w:val="索引 1"/>
    <w:basedOn w:val="923"/>
    <w:next w:val="923"/>
    <w:link w:val="923"/>
    <w:semiHidden/>
    <w:pPr>
      <w:spacing w:line="240" w:lineRule="atLeast"/>
    </w:pPr>
    <w:rPr>
      <w:b/>
      <w:bCs/>
    </w:rPr>
  </w:style>
  <w:style w:type="paragraph" w:styleId="988">
    <w:name w:val="批注主题"/>
    <w:basedOn w:val="951"/>
    <w:next w:val="951"/>
    <w:link w:val="989"/>
    <w:semiHidden/>
    <w:rPr>
      <w:b/>
      <w:bCs/>
    </w:rPr>
  </w:style>
  <w:style w:type="character" w:styleId="989">
    <w:name w:val="批注主题 Char"/>
    <w:next w:val="989"/>
    <w:link w:val="988"/>
    <w:semiHidden/>
    <w:rPr>
      <w:rFonts w:ascii="Times New Roman" w:hAnsi="Times New Roman" w:eastAsia="宋体" w:cs="Times New Roman"/>
      <w:b/>
      <w:bCs/>
      <w:szCs w:val="21"/>
    </w:rPr>
  </w:style>
  <w:style w:type="paragraph" w:styleId="990">
    <w:name w:val="正文首行缩进"/>
    <w:basedOn w:val="923"/>
    <w:next w:val="990"/>
    <w:link w:val="991"/>
    <w:pPr>
      <w:ind w:firstLine="200"/>
      <w:spacing w:line="360" w:lineRule="auto"/>
    </w:pPr>
    <w:rPr>
      <w:rFonts w:ascii="仿宋_GB2312" w:eastAsia="仿宋_GB2312"/>
      <w:sz w:val="30"/>
      <w:szCs w:val="30"/>
      <w:lang w:val="en-US" w:eastAsia="en-US"/>
    </w:rPr>
  </w:style>
  <w:style w:type="character" w:styleId="991">
    <w:name w:val="正文首行缩进 Char"/>
    <w:next w:val="991"/>
    <w:link w:val="990"/>
    <w:rPr>
      <w:rFonts w:ascii="仿宋_GB2312" w:hAnsi="Times New Roman" w:eastAsia="仿宋_GB2312" w:cs="Times New Roman"/>
      <w:sz w:val="30"/>
      <w:szCs w:val="30"/>
    </w:rPr>
  </w:style>
  <w:style w:type="paragraph" w:styleId="992">
    <w:name w:val="正文首行缩进 2"/>
    <w:basedOn w:val="957"/>
    <w:next w:val="992"/>
    <w:link w:val="993"/>
    <w:pPr>
      <w:ind w:firstLine="420"/>
      <w:spacing w:line="360" w:lineRule="auto"/>
    </w:pPr>
    <w:rPr>
      <w:rFonts w:ascii="宋体" w:hAnsi="宋体" w:eastAsia="宋体"/>
      <w:szCs w:val="20"/>
    </w:rPr>
  </w:style>
  <w:style w:type="character" w:styleId="993">
    <w:name w:val="正文首行缩进 2 Char"/>
    <w:next w:val="993"/>
    <w:link w:val="992"/>
    <w:rPr>
      <w:rFonts w:ascii="宋体" w:hAnsi="宋体" w:eastAsia="宋体" w:cs="Times New Roman"/>
      <w:sz w:val="32"/>
      <w:szCs w:val="20"/>
    </w:rPr>
  </w:style>
  <w:style w:type="table" w:styleId="994">
    <w:name w:val="网格型"/>
    <w:basedOn w:val="934"/>
    <w:next w:val="994"/>
    <w:link w:val="923"/>
    <w:pPr>
      <w:jc w:val="both"/>
      <w:widowControl w:val="off"/>
    </w:pPr>
    <w:rPr>
      <w:rFonts w:ascii="Times New Roman" w:hAnsi="Times New Roman" w:eastAsia="宋体" w:cs="Times New Roman"/>
      <w:sz w:val="20"/>
      <w:szCs w:val="20"/>
    </w:rPr>
    <w:tblPr/>
  </w:style>
  <w:style w:type="character" w:styleId="995">
    <w:name w:val="要点"/>
    <w:next w:val="995"/>
    <w:link w:val="923"/>
    <w:qFormat/>
    <w:rPr>
      <w:b/>
      <w:bCs/>
    </w:rPr>
  </w:style>
  <w:style w:type="character" w:styleId="996">
    <w:name w:val="页码"/>
    <w:next w:val="996"/>
    <w:link w:val="923"/>
  </w:style>
  <w:style w:type="character" w:styleId="997">
    <w:name w:val="已访问的超链接"/>
    <w:next w:val="997"/>
    <w:link w:val="923"/>
    <w:rPr>
      <w:color w:val="800080"/>
      <w:u w:val="single"/>
    </w:rPr>
  </w:style>
  <w:style w:type="character" w:styleId="998">
    <w:name w:val="HTML 打字机"/>
    <w:next w:val="998"/>
    <w:link w:val="923"/>
    <w:uiPriority w:val="99"/>
    <w:rPr>
      <w:rFonts w:ascii="宋体" w:hAnsi="宋体" w:eastAsia="宋体" w:cs="宋体"/>
      <w:sz w:val="24"/>
      <w:szCs w:val="24"/>
    </w:rPr>
  </w:style>
  <w:style w:type="character" w:styleId="999">
    <w:name w:val="超链接"/>
    <w:next w:val="999"/>
    <w:link w:val="923"/>
    <w:rPr>
      <w:color w:val="0000ff"/>
      <w:u w:val="single"/>
    </w:rPr>
  </w:style>
  <w:style w:type="character" w:styleId="1000">
    <w:name w:val="批注引用"/>
    <w:next w:val="1000"/>
    <w:link w:val="923"/>
    <w:semiHidden/>
    <w:rPr>
      <w:sz w:val="21"/>
      <w:szCs w:val="21"/>
    </w:rPr>
  </w:style>
  <w:style w:type="character" w:styleId="1001">
    <w:name w:val="font5 Char"/>
    <w:next w:val="1001"/>
    <w:link w:val="923"/>
    <w:rPr>
      <w:rFonts w:ascii="宋体" w:hAnsi="宋体" w:eastAsia="宋体"/>
      <w:sz w:val="28"/>
      <w:szCs w:val="28"/>
      <w:lang w:val="en-US" w:eastAsia="zh-CN" w:bidi="ar-SA"/>
    </w:rPr>
  </w:style>
  <w:style w:type="character" w:styleId="1002">
    <w:name w:val="二级目录 Char"/>
    <w:next w:val="1002"/>
    <w:link w:val="1003"/>
    <w:rPr>
      <w:b/>
      <w:sz w:val="30"/>
      <w:szCs w:val="28"/>
      <w:lang w:val="en-US" w:eastAsia="zh-CN" w:bidi="ar-SA"/>
    </w:rPr>
  </w:style>
  <w:style w:type="paragraph" w:styleId="1003">
    <w:name w:val="二级目录"/>
    <w:next w:val="923"/>
    <w:link w:val="1002"/>
    <w:pPr>
      <w:numPr>
        <w:ilvl w:val="0"/>
        <w:numId w:val="2"/>
      </w:numPr>
      <w:tabs>
        <w:tab w:val="left" w:pos="907" w:leader="none"/>
        <w:tab w:val="left" w:pos="1145" w:leader="none"/>
      </w:tabs>
      <w:outlineLvl w:val="1"/>
    </w:pPr>
    <w:rPr>
      <w:b/>
      <w:sz w:val="30"/>
      <w:szCs w:val="28"/>
      <w:lang w:val="en-US" w:eastAsia="zh-CN" w:bidi="ar-SA"/>
    </w:rPr>
  </w:style>
  <w:style w:type="character" w:styleId="1004">
    <w:name w:val="列出段落 Char,Bullet List Char,numbered Char,FooterText Char,List Paragraph1 Char,Paragraphe de liste1 Char"/>
    <w:next w:val="1004"/>
    <w:link w:val="1005"/>
    <w:rPr>
      <w:rFonts w:ascii="Calibri" w:hAnsi="Calibri"/>
      <w:sz w:val="24"/>
      <w:szCs w:val="24"/>
      <w:lang w:eastAsia="en-US" w:bidi="en-US"/>
    </w:rPr>
  </w:style>
  <w:style w:type="paragraph" w:styleId="1005">
    <w:name w:val="列出段落1"/>
    <w:basedOn w:val="923"/>
    <w:next w:val="1005"/>
    <w:link w:val="1004"/>
    <w:qFormat/>
    <w:pPr>
      <w:contextualSpacing/>
      <w:ind w:left="720"/>
      <w:jc w:val="left"/>
      <w:widowControl/>
    </w:pPr>
    <w:rPr>
      <w:rFonts w:ascii="Calibri" w:hAnsi="Calibri"/>
      <w:sz w:val="24"/>
      <w:szCs w:val="24"/>
      <w:lang w:val="en-US" w:eastAsia="en-US" w:bidi="en-US"/>
    </w:rPr>
  </w:style>
  <w:style w:type="paragraph" w:styleId="1006">
    <w:name w:val="Body Text(ch)"/>
    <w:basedOn w:val="923"/>
    <w:next w:val="955"/>
    <w:link w:val="923"/>
    <w:pPr>
      <w:spacing w:after="120"/>
    </w:pPr>
    <w:rPr>
      <w:rFonts w:ascii="宋体" w:hAnsi="Arial"/>
      <w:bCs/>
      <w:iCs/>
      <w:szCs w:val="24"/>
    </w:rPr>
  </w:style>
  <w:style w:type="paragraph" w:styleId="1007">
    <w:name w:val="xl27"/>
    <w:basedOn w:val="923"/>
    <w:next w:val="1007"/>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6"/>
    <w:basedOn w:val="923"/>
    <w:next w:val="1008"/>
    <w:link w:val="9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9">
    <w:name w:val="Char"/>
    <w:basedOn w:val="923"/>
    <w:next w:val="1009"/>
    <w:link w:val="923"/>
    <w:pPr>
      <w:ind w:firstLine="200"/>
      <w:tabs>
        <w:tab w:val="left" w:pos="360" w:leader="none"/>
      </w:tabs>
    </w:pPr>
    <w:rPr>
      <w:sz w:val="28"/>
      <w:szCs w:val="30"/>
    </w:rPr>
  </w:style>
  <w:style w:type="paragraph" w:styleId="1010">
    <w:name w:val=" Char"/>
    <w:basedOn w:val="949"/>
    <w:next w:val="1010"/>
    <w:link w:val="923"/>
    <w:rPr>
      <w:rFonts w:ascii="Tahoma" w:hAnsi="Tahoma"/>
      <w:sz w:val="24"/>
      <w:szCs w:val="24"/>
    </w:rPr>
  </w:style>
  <w:style w:type="paragraph" w:styleId="1011">
    <w:name w:val="普通正文"/>
    <w:basedOn w:val="923"/>
    <w:next w:val="1011"/>
    <w:link w:val="923"/>
    <w:pPr>
      <w:ind w:firstLine="480"/>
      <w:jc w:val="left"/>
      <w:spacing w:before="120" w:after="120" w:line="360" w:lineRule="auto"/>
    </w:pPr>
    <w:rPr>
      <w:rFonts w:ascii="Arial" w:hAnsi="Arial"/>
      <w:sz w:val="24"/>
      <w:szCs w:val="24"/>
    </w:rPr>
  </w:style>
  <w:style w:type="paragraph" w:styleId="1012">
    <w:name w:val="table_lines"/>
    <w:basedOn w:val="923"/>
    <w:next w:val="1012"/>
    <w:link w:val="923"/>
    <w:pPr>
      <w:jc w:val="left"/>
      <w:widowControl/>
    </w:pPr>
    <w:rPr>
      <w:sz w:val="20"/>
      <w:szCs w:val="20"/>
      <w:lang w:val="de-DE" w:eastAsia="de-DE"/>
    </w:rPr>
  </w:style>
  <w:style w:type="paragraph" w:styleId="1013">
    <w:name w:val="附录1"/>
    <w:next w:val="1013"/>
    <w:link w:val="92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4">
    <w:name w:val="font7"/>
    <w:basedOn w:val="923"/>
    <w:next w:val="1014"/>
    <w:link w:val="923"/>
    <w:pPr>
      <w:jc w:val="left"/>
      <w:spacing w:before="100" w:beforeAutospacing="1" w:after="100" w:afterAutospacing="1"/>
      <w:widowControl/>
    </w:pPr>
    <w:rPr>
      <w:rFonts w:hint="eastAsia" w:ascii="宋体" w:hAnsi="宋体"/>
      <w:sz w:val="18"/>
      <w:szCs w:val="18"/>
    </w:rPr>
  </w:style>
  <w:style w:type="paragraph" w:styleId="1015">
    <w:name w:val=" Char Char Char Char"/>
    <w:basedOn w:val="949"/>
    <w:next w:val="1015"/>
    <w:link w:val="923"/>
    <w:pPr>
      <w:spacing w:line="360" w:lineRule="auto"/>
    </w:pPr>
    <w:rPr>
      <w:rFonts w:ascii="Tahoma" w:hAnsi="Tahoma"/>
      <w:sz w:val="24"/>
      <w:szCs w:val="24"/>
    </w:rPr>
  </w:style>
  <w:style w:type="paragraph" w:styleId="1016">
    <w:name w:val="列出段落"/>
    <w:basedOn w:val="923"/>
    <w:next w:val="1016"/>
    <w:link w:val="923"/>
    <w:uiPriority w:val="99"/>
    <w:qFormat/>
    <w:pPr>
      <w:contextualSpacing/>
      <w:ind w:left="720"/>
      <w:jc w:val="left"/>
      <w:widowControl/>
    </w:pPr>
    <w:rPr>
      <w:rFonts w:ascii="Calibri" w:hAnsi="Calibri"/>
      <w:sz w:val="24"/>
      <w:szCs w:val="24"/>
      <w:lang w:eastAsia="en-US" w:bidi="en-US"/>
    </w:rPr>
  </w:style>
  <w:style w:type="paragraph" w:styleId="1017">
    <w:name w:val="4"/>
    <w:basedOn w:val="923"/>
    <w:next w:val="979"/>
    <w:link w:val="923"/>
    <w:pPr>
      <w:ind w:firstLine="420"/>
      <w:spacing w:line="360" w:lineRule="auto"/>
    </w:pPr>
    <w:rPr>
      <w:color w:val="ff0000"/>
      <w:sz w:val="24"/>
      <w:szCs w:val="24"/>
    </w:rPr>
  </w:style>
  <w:style w:type="paragraph" w:styleId="1018">
    <w:name w:val="普通 (Web)"/>
    <w:basedOn w:val="923"/>
    <w:next w:val="1018"/>
    <w:link w:val="923"/>
    <w:pPr>
      <w:jc w:val="left"/>
      <w:spacing w:before="100" w:beforeAutospacing="1" w:after="100" w:afterAutospacing="1"/>
      <w:widowControl/>
    </w:pPr>
    <w:rPr>
      <w:rFonts w:ascii="宋体" w:hAnsi="宋体"/>
      <w:sz w:val="24"/>
      <w:szCs w:val="24"/>
    </w:rPr>
  </w:style>
  <w:style w:type="paragraph" w:styleId="1019">
    <w:name w:val=" Char Char Char Char Char Char Char Char Char Char"/>
    <w:basedOn w:val="923"/>
    <w:next w:val="1019"/>
    <w:link w:val="923"/>
    <w:pPr>
      <w:spacing w:line="360" w:lineRule="auto"/>
    </w:pPr>
    <w:rPr>
      <w:sz w:val="24"/>
      <w:szCs w:val="20"/>
    </w:rPr>
  </w:style>
  <w:style w:type="paragraph" w:styleId="1020">
    <w:name w:val="样式1"/>
    <w:basedOn w:val="923"/>
    <w:next w:val="1020"/>
    <w:link w:val="923"/>
    <w:pPr>
      <w:numPr>
        <w:ilvl w:val="0"/>
        <w:numId w:val="3"/>
      </w:numPr>
      <w:tabs>
        <w:tab w:val="left" w:pos="709" w:leader="none"/>
      </w:tabs>
    </w:pPr>
    <w:rPr>
      <w:rFonts w:ascii="宋体" w:hAnsi="宋体"/>
    </w:rPr>
  </w:style>
  <w:style w:type="paragraph" w:styleId="1021">
    <w:name w:val="font6"/>
    <w:basedOn w:val="923"/>
    <w:next w:val="1021"/>
    <w:link w:val="923"/>
    <w:pPr>
      <w:jc w:val="left"/>
      <w:spacing w:before="100" w:beforeAutospacing="1" w:after="100" w:afterAutospacing="1"/>
      <w:widowControl/>
    </w:pPr>
    <w:rPr>
      <w:rFonts w:hint="eastAsia" w:ascii="宋体" w:hAnsi="宋体"/>
      <w:sz w:val="28"/>
      <w:szCs w:val="28"/>
      <w:u w:val="single"/>
    </w:rPr>
  </w:style>
  <w:style w:type="paragraph" w:styleId="1022">
    <w:name w:val="xl25"/>
    <w:basedOn w:val="923"/>
    <w:next w:val="1022"/>
    <w:link w:val="9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3">
    <w:name w:val="图标"/>
    <w:basedOn w:val="923"/>
    <w:next w:val="923"/>
    <w:link w:val="9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name w:val="标题3"/>
    <w:basedOn w:val="923"/>
    <w:next w:val="923"/>
    <w:link w:val="923"/>
    <w:pPr>
      <w:ind w:firstLine="624"/>
      <w:spacing w:line="590" w:lineRule="atLeast"/>
    </w:pPr>
    <w:rPr>
      <w:rFonts w:ascii="方正黑体_GBK" w:eastAsia="方正黑体_GBK"/>
      <w:sz w:val="32"/>
      <w:szCs w:val="32"/>
    </w:rPr>
  </w:style>
  <w:style w:type="paragraph" w:styleId="1025">
    <w:name w:val="xl24"/>
    <w:basedOn w:val="923"/>
    <w:next w:val="1025"/>
    <w:link w:val="9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name w:val="xl29"/>
    <w:basedOn w:val="923"/>
    <w:next w:val="1026"/>
    <w:link w:val="92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7">
    <w:name w:val="Char Char Char Char Char Char Char Char"/>
    <w:basedOn w:val="923"/>
    <w:next w:val="1027"/>
    <w:link w:val="923"/>
    <w:pPr>
      <w:jc w:val="left"/>
      <w:spacing w:after="160" w:line="240" w:lineRule="exact"/>
      <w:widowControl/>
    </w:pPr>
    <w:rPr>
      <w:rFonts w:ascii="Verdana" w:hAnsi="Verdana"/>
      <w:sz w:val="20"/>
      <w:szCs w:val="20"/>
      <w:lang w:eastAsia="en-US"/>
    </w:rPr>
  </w:style>
  <w:style w:type="paragraph" w:styleId="1028">
    <w:name w:val="xl28"/>
    <w:basedOn w:val="923"/>
    <w:next w:val="1028"/>
    <w:link w:val="9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9">
    <w:name w:val=" Char Char Char Char Char Char Char Char"/>
    <w:basedOn w:val="923"/>
    <w:next w:val="1029"/>
    <w:link w:val="923"/>
    <w:pPr>
      <w:jc w:val="left"/>
      <w:spacing w:after="160" w:line="240" w:lineRule="exact"/>
      <w:widowControl/>
    </w:pPr>
    <w:rPr>
      <w:rFonts w:ascii="Verdana" w:hAnsi="Verdana"/>
      <w:sz w:val="20"/>
      <w:szCs w:val="20"/>
      <w:lang w:eastAsia="en-US"/>
    </w:rPr>
  </w:style>
  <w:style w:type="paragraph" w:styleId="1030">
    <w:name w:val="xl30"/>
    <w:basedOn w:val="923"/>
    <w:next w:val="1030"/>
    <w:link w:val="923"/>
    <w:pPr>
      <w:jc w:val="center"/>
      <w:spacing w:before="100" w:beforeAutospacing="1" w:after="100" w:afterAutospacing="1"/>
      <w:widowControl/>
    </w:pPr>
    <w:rPr>
      <w:rFonts w:ascii="宋体" w:hAnsi="宋体"/>
      <w:b/>
      <w:bCs/>
      <w:sz w:val="36"/>
      <w:szCs w:val="36"/>
    </w:rPr>
  </w:style>
  <w:style w:type="paragraph" w:styleId="1031">
    <w:name w:val="Char Char Char Char"/>
    <w:basedOn w:val="949"/>
    <w:next w:val="1031"/>
    <w:link w:val="923"/>
    <w:pPr>
      <w:spacing w:line="360" w:lineRule="auto"/>
    </w:pPr>
    <w:rPr>
      <w:rFonts w:ascii="Tahoma" w:hAnsi="Tahoma"/>
      <w:sz w:val="24"/>
      <w:szCs w:val="24"/>
    </w:rPr>
  </w:style>
  <w:style w:type="paragraph" w:styleId="1032">
    <w:name w:val="table_1stline"/>
    <w:basedOn w:val="923"/>
    <w:next w:val="1032"/>
    <w:link w:val="923"/>
    <w:pPr>
      <w:jc w:val="left"/>
      <w:spacing w:before="120"/>
      <w:widowControl/>
    </w:pPr>
    <w:rPr>
      <w:bCs/>
      <w:sz w:val="20"/>
      <w:szCs w:val="20"/>
      <w:lang w:val="de-DE" w:eastAsia="de-DE"/>
    </w:rPr>
  </w:style>
  <w:style w:type="paragraph" w:styleId="1033">
    <w:name w:val="font5"/>
    <w:basedOn w:val="923"/>
    <w:next w:val="1033"/>
    <w:link w:val="923"/>
    <w:pPr>
      <w:jc w:val="left"/>
      <w:spacing w:before="100" w:beforeAutospacing="1" w:after="100" w:afterAutospacing="1"/>
      <w:widowControl/>
    </w:pPr>
    <w:rPr>
      <w:rFonts w:hint="eastAsia" w:ascii="宋体" w:hAnsi="宋体"/>
      <w:sz w:val="28"/>
      <w:szCs w:val="28"/>
    </w:rPr>
  </w:style>
  <w:style w:type="paragraph" w:styleId="1034">
    <w:name w:val="标题1"/>
    <w:basedOn w:val="923"/>
    <w:next w:val="923"/>
    <w:link w:val="92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name w:val="修订"/>
    <w:next w:val="1035"/>
    <w:link w:val="923"/>
    <w:uiPriority w:val="99"/>
    <w:semiHidden/>
    <w:rPr>
      <w:rFonts w:ascii="Times New Roman" w:hAnsi="Times New Roman"/>
      <w:sz w:val="21"/>
      <w:szCs w:val="21"/>
      <w:lang w:val="en-US" w:eastAsia="zh-CN" w:bidi="ar-SA"/>
    </w:rPr>
  </w:style>
  <w:style w:type="paragraph" w:styleId="1036">
    <w:name w:val="无间隔"/>
    <w:next w:val="1036"/>
    <w:link w:val="923"/>
    <w:uiPriority w:val="99"/>
    <w:qFormat/>
    <w:pPr>
      <w:jc w:val="both"/>
      <w:widowControl w:val="off"/>
    </w:pPr>
    <w:rPr>
      <w:rFonts w:ascii="Times New Roman" w:hAnsi="Times New Roman"/>
      <w:sz w:val="21"/>
      <w:szCs w:val="21"/>
      <w:lang w:val="en-US" w:eastAsia="zh-CN" w:bidi="ar-SA"/>
    </w:rPr>
  </w:style>
  <w:style w:type="paragraph" w:styleId="1037">
    <w:name w:val="普通文字"/>
    <w:basedOn w:val="923"/>
    <w:next w:val="923"/>
    <w:link w:val="923"/>
    <w:uiPriority w:val="99"/>
    <w:rPr>
      <w:rFonts w:ascii="宋体" w:hAnsi="Times New Roman" w:eastAsia="宋体" w:cs="Times New Roman"/>
      <w:sz w:val="24"/>
      <w:szCs w:val="20"/>
      <w:u w:val="none"/>
    </w:rPr>
  </w:style>
  <w:style w:type="paragraph" w:styleId="1038">
    <w:name w:val="目录 111"/>
    <w:basedOn w:val="923"/>
    <w:next w:val="923"/>
    <w:link w:val="923"/>
    <w:uiPriority w:val="39"/>
    <w:unhideWhenUsed/>
    <w:qFormat/>
    <w:pPr>
      <w:jc w:val="left"/>
      <w:spacing w:after="100" w:line="259" w:lineRule="auto"/>
      <w:widowControl/>
    </w:pPr>
    <w:rPr>
      <w:rFonts w:ascii="Calibri" w:hAnsi="Calibri" w:eastAsia="宋体"/>
      <w:sz w:val="22"/>
      <w:szCs w:val="22"/>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627</cp:revision>
  <dcterms:created xsi:type="dcterms:W3CDTF">2023-03-16T02:16:00Z</dcterms:created>
  <dcterms:modified xsi:type="dcterms:W3CDTF">2024-12-05T07:26:01Z</dcterms:modified>
  <cp:version>786432</cp:version>
</cp:coreProperties>
</file>