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868"/>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868"/>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868"/>
        <w:jc w:val="both"/>
        <w:spacing w:before="120" w:beforeAutospacing="0" w:after="120" w:afterAutospacing="0"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color w:val="auto"/>
          <w:sz w:val="32"/>
          <w:szCs w:val="32"/>
          <w:highlight w:val="none"/>
        </w:rPr>
        <w:t xml:space="preserve">项目名称：</w:t>
      </w:r>
      <w:r>
        <w:rPr>
          <w:rFonts w:hint="eastAsia" w:asciiTheme="minorEastAsia" w:hAnsiTheme="minorEastAsia" w:cstheme="minorEastAsia"/>
          <w:b/>
          <w:color w:val="auto"/>
          <w:sz w:val="32"/>
          <w:szCs w:val="32"/>
          <w:highlight w:val="none"/>
          <w:lang w:val="en-US" w:eastAsia="zh-CN"/>
        </w:rPr>
        <w:t xml:space="preserve">盐</w:t>
      </w:r>
      <w:r>
        <w:rPr>
          <w:rFonts w:hint="eastAsia" w:asciiTheme="minorEastAsia" w:hAnsiTheme="minorEastAsia" w:eastAsiaTheme="minorEastAsia" w:cstheme="minorEastAsia"/>
          <w:b/>
          <w:color w:val="auto"/>
          <w:sz w:val="32"/>
          <w:szCs w:val="32"/>
          <w:highlight w:val="none"/>
          <w:lang w:eastAsia="zh-CN"/>
        </w:rPr>
        <w:t xml:space="preserve">都未来食品产业园孵化区物业管理服务项目</w:t>
      </w:r>
      <w:r/>
    </w:p>
    <w:p>
      <w:pPr>
        <w:pStyle w:val="868"/>
        <w:jc w:val="both"/>
        <w:spacing w:beforeAutospacing="0" w:afterAutospacing="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color w:val="auto"/>
          <w:sz w:val="32"/>
          <w:szCs w:val="32"/>
          <w:highlight w:val="none"/>
        </w:rPr>
        <w:t xml:space="preserve">项目</w:t>
      </w:r>
      <w:bookmarkStart w:id="209" w:name="_GoBack"/>
      <w:r>
        <w:rPr>
          <w:rFonts w:hint="eastAsia" w:asciiTheme="minorEastAsia" w:hAnsiTheme="minorEastAsia" w:eastAsiaTheme="minorEastAsia" w:cstheme="minorEastAsia"/>
          <w:b/>
          <w:color w:val="auto"/>
          <w:sz w:val="32"/>
          <w:szCs w:val="32"/>
          <w:highlight w:val="none"/>
        </w:rPr>
        <w:t xml:space="preserve">编号</w:t>
      </w:r>
      <w:bookmarkEnd w:id="209"/>
      <w:r>
        <w:rPr>
          <w:rFonts w:hint="eastAsia" w:asciiTheme="minorEastAsia" w:hAnsiTheme="minorEastAsia" w:eastAsiaTheme="minorEastAsia" w:cstheme="minorEastAsia"/>
          <w:b/>
          <w:color w:val="auto"/>
          <w:sz w:val="32"/>
          <w:szCs w:val="32"/>
          <w:highlight w:val="none"/>
        </w:rPr>
        <w:t xml:space="preserve">：JSZC-320903-JZCG-G2025-0009</w:t>
      </w:r>
      <w:r>
        <w:rPr>
          <w:rFonts w:hint="eastAsia" w:asciiTheme="minorEastAsia" w:hAnsiTheme="minorEastAsia" w:eastAsiaTheme="minorEastAsia" w:cstheme="minorEastAsia"/>
          <w:b/>
          <w:color w:val="auto"/>
          <w:sz w:val="32"/>
          <w:szCs w:val="32"/>
          <w:highlight w:val="none"/>
          <w:lang w:val="en-US" w:eastAsia="zh-CN"/>
        </w:rPr>
        <w:t xml:space="preserve"> </w:t>
      </w:r>
      <w:r/>
    </w:p>
    <w:p>
      <w:pPr>
        <w:pStyle w:val="8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lang w:eastAsia="zh-CN"/>
        </w:rPr>
        <w:t xml:space="preserve">盐城市盐都区龙冈镇人民政府</w:t>
      </w:r>
      <w:r/>
    </w:p>
    <w:p>
      <w:pPr>
        <w:pStyle w:val="868"/>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202</w:t>
      </w:r>
      <w:r>
        <w:rPr>
          <w:rFonts w:hint="eastAsia" w:asciiTheme="minorEastAsia" w:hAnsiTheme="minorEastAsia" w:eastAsiaTheme="minorEastAsia" w:cstheme="minorEastAsia"/>
          <w:b/>
          <w:color w:val="auto"/>
          <w:sz w:val="32"/>
          <w:szCs w:val="32"/>
          <w:highlight w:val="none"/>
          <w:lang w:val="en-US" w:eastAsia="zh-CN"/>
        </w:rPr>
        <w:t xml:space="preserve">5</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eastAsiaTheme="minorEastAsia" w:cstheme="minorEastAsia"/>
          <w:b/>
          <w:color w:val="auto"/>
          <w:sz w:val="32"/>
          <w:szCs w:val="32"/>
          <w:highlight w:val="none"/>
          <w:lang w:val="en-US" w:eastAsia="zh-CN"/>
        </w:rPr>
        <w:t xml:space="preserve">5</w:t>
      </w:r>
      <w:r>
        <w:rPr>
          <w:rFonts w:hint="eastAsia" w:asciiTheme="minorEastAsia" w:hAnsiTheme="minorEastAsia" w:eastAsiaTheme="minorEastAsia" w:cstheme="minorEastAsia"/>
          <w:b/>
          <w:color w:val="auto"/>
          <w:sz w:val="32"/>
          <w:szCs w:val="32"/>
          <w:highlight w:val="none"/>
        </w:rPr>
        <w:t xml:space="preserve">月</w:t>
      </w:r>
      <w:r/>
    </w:p>
    <w:p>
      <w:pPr>
        <w:pStyle w:val="868"/>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 </w:t>
      </w:r>
      <w:bookmarkStart w:id="0" w:name="_Toc16938516"/>
      <w:r/>
      <w:bookmarkStart w:id="1" w:name="_Toc513029200"/>
      <w:r/>
      <w:bookmarkStart w:id="2" w:name="_Toc479757206"/>
      <w:r/>
      <w:bookmarkStart w:id="3" w:name="_Toc20823272"/>
      <w:r/>
      <w:bookmarkStart w:id="4" w:name="_Toc523127445"/>
      <w:r/>
      <w:bookmarkStart w:id="5" w:name="_Toc120614210"/>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b/>
          <w:color w:val="auto"/>
          <w:sz w:val="44"/>
          <w:szCs w:val="44"/>
          <w:highlight w:val="none"/>
        </w:rPr>
        <w:t xml:space="preserve">总  目  录</w:t>
      </w:r>
      <w:bookmarkEnd w:id="0"/>
      <w:r/>
      <w:bookmarkEnd w:id="1"/>
      <w:r/>
      <w:bookmarkEnd w:id="2"/>
      <w:r/>
      <w:bookmarkEnd w:id="3"/>
      <w:r/>
      <w:bookmarkEnd w:id="4"/>
      <w:r/>
      <w:bookmarkEnd w:id="5"/>
      <w:r/>
      <w:r/>
    </w:p>
    <w:p>
      <w:pPr>
        <w:pStyle w:val="868"/>
        <w:jc w:val="both"/>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 xml:space="preserve">招标公告…………………………………… </w:t>
      </w:r>
      <w:r/>
    </w:p>
    <w:p>
      <w:pPr>
        <w:pStyle w:val="868"/>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 xml:space="preserve">投标人须知…………………………………  </w:t>
      </w:r>
      <w:r/>
    </w:p>
    <w:p>
      <w:pPr>
        <w:pStyle w:val="868"/>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 xml:space="preserve">合同文本……………………………………</w:t>
      </w:r>
      <w:r/>
    </w:p>
    <w:p>
      <w:pPr>
        <w:pStyle w:val="868"/>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 xml:space="preserve">采购需求……………………………………</w:t>
      </w:r>
      <w:r/>
    </w:p>
    <w:p>
      <w:pPr>
        <w:pStyle w:val="868"/>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 xml:space="preserve">评标方法与评标标准………………………</w:t>
      </w:r>
      <w:r/>
    </w:p>
    <w:p>
      <w:pPr>
        <w:pStyle w:val="868"/>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 xml:space="preserve">投标文件格式………………………………</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keepNext/>
        <w:spacing w:beforeAutospacing="0" w:afterAutospacing="0"/>
        <w:rPr>
          <w:rFonts w:hint="eastAsia" w:asciiTheme="minorEastAsia" w:hAnsiTheme="minorEastAsia" w:eastAsiaTheme="minorEastAsia" w:cstheme="minorEastAsia"/>
          <w:color w:val="auto"/>
          <w:highlight w:val="none"/>
        </w:rPr>
      </w:pPr>
      <w:r/>
      <w:bookmarkStart w:id="6" w:name="_Toc28359009"/>
      <w:r>
        <w:rPr>
          <w:rFonts w:hint="eastAsia" w:asciiTheme="minorEastAsia" w:hAnsiTheme="minorEastAsia" w:eastAsiaTheme="minorEastAsia" w:cstheme="minorEastAsia"/>
          <w:color w:val="auto"/>
          <w:sz w:val="44"/>
          <w:szCs w:val="44"/>
          <w:highlight w:val="none"/>
        </w:rPr>
        <w:t xml:space="preserve">第一章 招标公告</w:t>
      </w:r>
      <w:r/>
    </w:p>
    <w:p>
      <w:pPr>
        <w:pStyle w:val="868"/>
        <w:ind w:firstLine="480"/>
        <w:jc w:val="both"/>
        <w:pageBreakBefore w:val="0"/>
        <w:spacing w:beforeAutospacing="0" w:afterAutospacing="0" w:line="520" w:lineRule="exact"/>
        <w:rPr>
          <w:rFonts w:hint="eastAsia" w:asciiTheme="minorEastAsia" w:hAnsiTheme="minorEastAsia" w:eastAsiaTheme="minorEastAsia" w:cstheme="min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color w:val="auto"/>
          <w:sz w:val="24"/>
          <w:szCs w:val="24"/>
          <w:highlight w:val="none"/>
        </w:rPr>
        <w:t xml:space="preserve">项目概况</w:t>
      </w:r>
      <w:r/>
    </w:p>
    <w:p>
      <w:pPr>
        <w:pStyle w:val="868"/>
        <w:ind w:firstLine="480"/>
        <w:jc w:val="both"/>
        <w:pageBreakBefore w:val="0"/>
        <w:spacing w:beforeAutospacing="0" w:afterAutospacing="0" w:line="520" w:lineRule="exact"/>
        <w:rPr>
          <w:rFonts w:hint="eastAsia" w:asciiTheme="minorEastAsia" w:hAnsiTheme="minorEastAsia" w:eastAsiaTheme="minorEastAsia" w:cstheme="min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auto"/>
          <w:sz w:val="24"/>
          <w:szCs w:val="24"/>
          <w:highlight w:val="none"/>
          <w:u w:val="single"/>
          <w:lang w:val="en-US" w:eastAsia="zh-CN"/>
        </w:rPr>
        <w:t xml:space="preserve">盐</w:t>
      </w:r>
      <w:r>
        <w:rPr>
          <w:rFonts w:hint="eastAsia" w:asciiTheme="minorEastAsia" w:hAnsiTheme="minorEastAsia" w:eastAsiaTheme="minorEastAsia" w:cstheme="minorEastAsia"/>
          <w:color w:val="auto"/>
          <w:sz w:val="24"/>
          <w:szCs w:val="24"/>
          <w:highlight w:val="none"/>
          <w:u w:val="single"/>
          <w:lang w:eastAsia="zh-CN"/>
        </w:rPr>
        <w:t xml:space="preserve">都未来食品产业园孵化区物业管理服务项目</w:t>
      </w:r>
      <w:r>
        <w:rPr>
          <w:rFonts w:hint="eastAsia" w:asciiTheme="minorEastAsia" w:hAnsiTheme="minorEastAsia" w:eastAsiaTheme="minorEastAsia" w:cstheme="minorEastAsia"/>
          <w:color w:val="auto"/>
          <w:sz w:val="24"/>
          <w:szCs w:val="24"/>
          <w:highlight w:val="none"/>
        </w:rPr>
        <w:t xml:space="preserve">招标项目的潜在投标人可在“苏采云”系统内免费下载（投标人必须在苏采云系统中获取采购文件，方能参与政府采购项目），并于</w:t>
      </w:r>
      <w:r>
        <w:rPr>
          <w:rFonts w:hint="eastAsia" w:asciiTheme="minorEastAsia" w:hAnsiTheme="minorEastAsia" w:eastAsiaTheme="minorEastAsia" w:cstheme="minorEastAsia"/>
          <w:color w:val="auto"/>
          <w:sz w:val="24"/>
          <w:szCs w:val="24"/>
          <w:highlight w:val="none"/>
          <w:u w:val="single"/>
        </w:rPr>
        <w:t xml:space="preserve"> 202</w:t>
      </w:r>
      <w:r>
        <w:rPr>
          <w:rFonts w:hint="eastAsia" w:asciiTheme="minorEastAsia" w:hAnsiTheme="minorEastAsia" w:eastAsiaTheme="minorEastAsia" w:cstheme="minorEastAsia"/>
          <w:color w:val="auto"/>
          <w:sz w:val="24"/>
          <w:szCs w:val="24"/>
          <w:highlight w:val="none"/>
          <w:u w:val="single"/>
          <w:lang w:val="en-US" w:eastAsia="zh-CN"/>
        </w:rPr>
        <w:t xml:space="preserve">5</w:t>
      </w:r>
      <w:r>
        <w:rPr>
          <w:rFonts w:hint="eastAsia" w:asciiTheme="minorEastAsia" w:hAnsiTheme="minorEastAsia" w:eastAsiaTheme="minorEastAsia" w:cstheme="minorEastAsia"/>
          <w:color w:val="auto"/>
          <w:sz w:val="24"/>
          <w:szCs w:val="24"/>
          <w:highlight w:val="none"/>
          <w:u w:val="single"/>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月9</w:t>
      </w:r>
      <w:r>
        <w:rPr>
          <w:rFonts w:hint="eastAsia" w:asciiTheme="minorEastAsia" w:hAnsiTheme="minorEastAsia" w:eastAsiaTheme="minorEastAsia" w:cstheme="minorEastAsia"/>
          <w:color w:val="auto"/>
          <w:sz w:val="24"/>
          <w:szCs w:val="24"/>
          <w:highlight w:val="none"/>
          <w:u w:val="single"/>
        </w:rPr>
        <w:t xml:space="preserve">日</w:t>
      </w:r>
      <w:r>
        <w:rPr>
          <w:rFonts w:hint="eastAsia" w:asciiTheme="minorEastAsia" w:hAnsiTheme="minorEastAsia" w:eastAsiaTheme="minorEastAsia" w:cstheme="minorEastAsia"/>
          <w:color w:val="auto"/>
          <w:sz w:val="24"/>
          <w:szCs w:val="24"/>
          <w:highlight w:val="none"/>
          <w:u w:val="single"/>
          <w:lang w:val="en-US" w:eastAsia="zh-CN"/>
        </w:rPr>
        <w:t xml:space="preserve">9</w:t>
      </w:r>
      <w:r>
        <w:rPr>
          <w:rFonts w:hint="eastAsia" w:asciiTheme="minorEastAsia" w:hAnsiTheme="minorEastAsia" w:eastAsiaTheme="minorEastAsia" w:cstheme="minorEastAsia"/>
          <w:color w:val="auto"/>
          <w:sz w:val="24"/>
          <w:szCs w:val="24"/>
          <w:highlight w:val="none"/>
          <w:u w:val="single"/>
        </w:rPr>
        <w:t xml:space="preserve">点</w:t>
      </w:r>
      <w:r>
        <w:rPr>
          <w:rFonts w:hint="eastAsia" w:asciiTheme="minorEastAsia" w:hAnsiTheme="minorEastAsia" w:eastAsiaTheme="minorEastAsia" w:cstheme="minorEastAsia"/>
          <w:color w:val="auto"/>
          <w:sz w:val="24"/>
          <w:szCs w:val="24"/>
          <w:highlight w:val="none"/>
          <w:u w:val="single"/>
          <w:lang w:val="en-US" w:eastAsia="zh-CN"/>
        </w:rPr>
        <w:t xml:space="preserve">00</w:t>
      </w:r>
      <w:r>
        <w:rPr>
          <w:rFonts w:hint="eastAsia" w:asciiTheme="minorEastAsia" w:hAnsiTheme="minorEastAsia" w:eastAsiaTheme="minorEastAsia" w:cstheme="minorEastAsia"/>
          <w:color w:val="auto"/>
          <w:sz w:val="24"/>
          <w:szCs w:val="24"/>
          <w:highlight w:val="none"/>
          <w:u w:val="single"/>
        </w:rPr>
        <w:t xml:space="preserve">分（</w:t>
      </w:r>
      <w:r>
        <w:rPr>
          <w:rFonts w:hint="eastAsia" w:asciiTheme="minorEastAsia" w:hAnsiTheme="minorEastAsia" w:eastAsiaTheme="minorEastAsia" w:cstheme="minorEastAsia"/>
          <w:color w:val="auto"/>
          <w:sz w:val="24"/>
          <w:szCs w:val="24"/>
          <w:highlight w:val="none"/>
        </w:rPr>
        <w:t xml:space="preserve">北京时间）前递交投标文件。</w:t>
      </w:r>
      <w:r/>
    </w:p>
    <w:p>
      <w:pPr>
        <w:pStyle w:val="868"/>
        <w:ind w:firstLine="498"/>
        <w:jc w:val="both"/>
        <w:keepLines/>
        <w:keepNext/>
        <w:pageBreakBefore w:val="0"/>
        <w:spacing w:before="145" w:beforeAutospacing="0" w:after="145" w:afterAutospacing="0" w:line="520" w:lineRule="exact"/>
        <w:rPr>
          <w:rFonts w:hint="eastAsia" w:asciiTheme="minorEastAsia" w:hAnsiTheme="minorEastAsia" w:eastAsiaTheme="minorEastAsia" w:cstheme="minorEastAsia"/>
          <w:color w:val="auto"/>
          <w:highlight w:val="none"/>
        </w:rPr>
      </w:pPr>
      <w:r/>
      <w:bookmarkStart w:id="7" w:name="_Toc28359079"/>
      <w:r/>
      <w:bookmarkStart w:id="8" w:name="_Toc35393621"/>
      <w:r/>
      <w:bookmarkStart w:id="9" w:name="_Toc28359002"/>
      <w:r/>
      <w:bookmarkStart w:id="10" w:name="_Hlk24379207"/>
      <w:r/>
      <w:bookmarkStart w:id="11" w:name="_Toc38985263"/>
      <w:r/>
      <w:bookmarkStart w:id="12" w:name="_Toc35393790"/>
      <w:r>
        <w:rPr>
          <w:rFonts w:hint="eastAsia" w:asciiTheme="minorEastAsia" w:hAnsiTheme="minorEastAsia" w:eastAsiaTheme="minorEastAsia" w:cstheme="minorEastAsia"/>
          <w:b/>
          <w:color w:val="auto"/>
          <w:sz w:val="32"/>
          <w:szCs w:val="32"/>
          <w:highlight w:val="none"/>
        </w:rPr>
        <w:t xml:space="preserve">一、项目基本情况</w:t>
      </w:r>
      <w:bookmarkEnd w:id="7"/>
      <w:r/>
      <w:bookmarkEnd w:id="8"/>
      <w:r/>
      <w:bookmarkEnd w:id="9"/>
      <w:r/>
      <w:bookmarkEnd w:id="10"/>
      <w:r/>
      <w:bookmarkEnd w:id="11"/>
      <w:r/>
      <w:bookmarkEnd w:id="12"/>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1.项目编号：</w:t>
      </w:r>
      <w:r>
        <w:rPr>
          <w:rFonts w:hint="eastAsia" w:asciiTheme="minorEastAsia" w:hAnsiTheme="minorEastAsia" w:eastAsiaTheme="minorEastAsia" w:cstheme="minorEastAsia"/>
          <w:color w:val="auto"/>
          <w:sz w:val="24"/>
          <w:szCs w:val="24"/>
          <w:highlight w:val="none"/>
        </w:rPr>
        <w:t xml:space="preserve">JSZC-320903-JZCG-G2025-0009 </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cstheme="minorEastAsia"/>
          <w:color w:val="auto"/>
          <w:sz w:val="24"/>
          <w:szCs w:val="24"/>
          <w:highlight w:val="none"/>
          <w:lang w:val="en-US" w:eastAsia="zh-CN"/>
        </w:rPr>
        <w:t xml:space="preserve">盐</w:t>
      </w:r>
      <w:r>
        <w:rPr>
          <w:rFonts w:hint="eastAsia" w:asciiTheme="minorEastAsia" w:hAnsiTheme="minorEastAsia" w:eastAsiaTheme="minorEastAsia" w:cstheme="minorEastAsia"/>
          <w:color w:val="auto"/>
          <w:sz w:val="24"/>
          <w:szCs w:val="24"/>
          <w:highlight w:val="none"/>
          <w:lang w:eastAsia="zh-CN"/>
        </w:rPr>
        <w:t xml:space="preserve">都未来食品产业园孵化区物业管理服务项目</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3.采购方式：公开招标</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4.预算金额：</w:t>
      </w:r>
      <w:r>
        <w:rPr>
          <w:rFonts w:hint="eastAsia" w:asciiTheme="minorEastAsia" w:hAnsiTheme="minorEastAsia" w:eastAsiaTheme="minorEastAsia" w:cstheme="minorEastAsia"/>
          <w:color w:val="auto"/>
          <w:sz w:val="24"/>
          <w:szCs w:val="24"/>
          <w:highlight w:val="none"/>
          <w:lang w:val="en-US" w:eastAsia="zh-CN"/>
        </w:rPr>
        <w:t xml:space="preserve">15.4万</w:t>
      </w:r>
      <w:r>
        <w:rPr>
          <w:rFonts w:hint="eastAsia" w:asciiTheme="minorEastAsia" w:hAnsiTheme="minorEastAsia" w:eastAsiaTheme="minorEastAsia" w:cstheme="minorEastAsia"/>
          <w:color w:val="auto"/>
          <w:sz w:val="24"/>
          <w:szCs w:val="24"/>
          <w:highlight w:val="none"/>
          <w:lang w:eastAsia="zh-CN"/>
        </w:rPr>
        <w:t xml:space="preserve">元</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最高限价：</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cstheme="minorEastAsia"/>
          <w:color w:val="auto"/>
          <w:sz w:val="24"/>
          <w:szCs w:val="24"/>
          <w:highlight w:val="none"/>
          <w:lang w:val="en-US" w:eastAsia="zh-CN"/>
        </w:rPr>
        <w:t xml:space="preserve">.4万</w:t>
      </w:r>
      <w:r>
        <w:rPr>
          <w:rFonts w:hint="eastAsia" w:asciiTheme="minorEastAsia" w:hAnsiTheme="minorEastAsia" w:eastAsiaTheme="minorEastAsia" w:cstheme="minorEastAsia"/>
          <w:color w:val="auto"/>
          <w:sz w:val="24"/>
          <w:szCs w:val="24"/>
          <w:highlight w:val="none"/>
          <w:lang w:eastAsia="zh-CN"/>
        </w:rPr>
        <w:t xml:space="preserve">元</w:t>
      </w:r>
      <w:r>
        <w:rPr>
          <w:rFonts w:hint="eastAsia" w:asciiTheme="minorEastAsia" w:hAnsiTheme="minorEastAsia" w:eastAsiaTheme="minorEastAsia" w:cstheme="minorEastAsia"/>
          <w:color w:val="auto"/>
          <w:sz w:val="24"/>
          <w:szCs w:val="24"/>
          <w:highlight w:val="none"/>
          <w:lang w:val="en-US" w:eastAsia="zh-CN"/>
        </w:rPr>
        <w:t xml:space="preserve">，投标人投标报价高于最高投标限价的，其投标将被否决</w:t>
      </w:r>
      <w:r>
        <w:rPr>
          <w:rFonts w:hint="eastAsia" w:asciiTheme="minorEastAsia" w:hAnsiTheme="minorEastAsia" w:eastAsiaTheme="minorEastAsia" w:cstheme="minorEastAsia"/>
          <w:color w:val="auto"/>
          <w:sz w:val="24"/>
          <w:szCs w:val="24"/>
          <w:highlight w:val="none"/>
        </w:rPr>
        <w:t xml:space="preserve">。</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5.采购需求：</w:t>
      </w:r>
      <w:r>
        <w:rPr>
          <w:rFonts w:hint="eastAsia" w:asciiTheme="minorEastAsia" w:hAnsiTheme="minorEastAsia" w:eastAsiaTheme="minorEastAsia" w:cstheme="minorEastAsia"/>
          <w:color w:val="auto"/>
          <w:sz w:val="24"/>
          <w:szCs w:val="24"/>
          <w:highlight w:val="none"/>
          <w:lang w:eastAsia="zh-CN"/>
        </w:rPr>
        <w:t xml:space="preserve">盐都未来食品产业园孵化区物业管理服务项目</w:t>
      </w:r>
      <w:r>
        <w:rPr>
          <w:rFonts w:hint="eastAsia" w:asciiTheme="minorEastAsia" w:hAnsiTheme="minorEastAsia" w:eastAsiaTheme="minorEastAsia" w:cstheme="minorEastAsia"/>
          <w:color w:val="auto"/>
          <w:sz w:val="24"/>
          <w:szCs w:val="24"/>
          <w:highlight w:val="none"/>
        </w:rPr>
        <w:t xml:space="preserve">，详细内容见本招标文件第四章。</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7.合同履行期限：</w:t>
      </w:r>
      <w:r>
        <w:rPr>
          <w:rFonts w:hint="eastAsia" w:asciiTheme="minorEastAsia" w:hAnsiTheme="minorEastAsia" w:eastAsiaTheme="minorEastAsia" w:cstheme="minorEastAsia"/>
          <w:color w:val="auto"/>
          <w:sz w:val="24"/>
          <w:szCs w:val="24"/>
          <w:highlight w:val="none"/>
          <w:lang w:val="en-US" w:eastAsia="zh-CN"/>
        </w:rPr>
        <w:t xml:space="preserve">一年</w:t>
      </w:r>
      <w:r>
        <w:rPr>
          <w:rFonts w:hint="eastAsia" w:asciiTheme="minorEastAsia" w:hAnsiTheme="minorEastAsia" w:eastAsiaTheme="minorEastAsia" w:cstheme="minorEastAsia"/>
          <w:color w:val="auto"/>
          <w:sz w:val="24"/>
          <w:szCs w:val="24"/>
          <w:highlight w:val="none"/>
        </w:rPr>
        <w:t xml:space="preserve">，以合同签订日期为准。</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8"/>
          <w:szCs w:val="28"/>
          <w:highlight w:val="none"/>
          <w:shd w:val="clear" w:color="auto" w:fill="ffff00"/>
        </w:rPr>
      </w:pPr>
      <w:r>
        <w:rPr>
          <w:rFonts w:hint="eastAsia" w:asciiTheme="minorEastAsia" w:hAnsiTheme="minorEastAsia" w:eastAsiaTheme="minorEastAsia" w:cstheme="minorEastAsia"/>
          <w:color w:val="auto"/>
          <w:sz w:val="24"/>
          <w:szCs w:val="24"/>
          <w:highlight w:val="none"/>
          <w:shd w:val="clear" w:color="auto" w:fill="ffffff"/>
        </w:rPr>
        <w:t xml:space="preserve">8.本项目不接受联合体</w:t>
      </w:r>
      <w:r>
        <w:rPr>
          <w:rFonts w:hint="eastAsia" w:asciiTheme="minorEastAsia" w:hAnsiTheme="minorEastAsia" w:eastAsiaTheme="minorEastAsia" w:cstheme="minorEastAsia"/>
          <w:color w:val="auto"/>
          <w:sz w:val="24"/>
          <w:szCs w:val="24"/>
          <w:highlight w:val="none"/>
        </w:rPr>
        <w:t xml:space="preserve">参与</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w:t>
      </w:r>
      <w:r/>
    </w:p>
    <w:p>
      <w:pPr>
        <w:pStyle w:val="868"/>
        <w:ind w:firstLine="643"/>
        <w:jc w:val="both"/>
        <w:keepLines/>
        <w:keepNext/>
        <w:pageBreakBefore w:val="0"/>
        <w:spacing w:beforeAutospacing="0" w:afterAutospacing="0" w:line="560" w:lineRule="exact"/>
        <w:rPr>
          <w:rFonts w:hint="eastAsia" w:asciiTheme="minorEastAsia" w:hAnsiTheme="minorEastAsia" w:eastAsiaTheme="minorEastAsia" w:cstheme="minorEastAsia"/>
          <w:color w:val="auto"/>
          <w:highlight w:val="none"/>
        </w:rPr>
      </w:pPr>
      <w:r/>
      <w:bookmarkStart w:id="13" w:name="_Toc38985264"/>
      <w:r/>
      <w:bookmarkStart w:id="14" w:name="_Toc35393622"/>
      <w:r/>
      <w:bookmarkStart w:id="15" w:name="_Toc28359003"/>
      <w:r/>
      <w:bookmarkStart w:id="16" w:name="_Toc35393791"/>
      <w:r/>
      <w:bookmarkStart w:id="17" w:name="_Toc28359080"/>
      <w:r>
        <w:rPr>
          <w:rFonts w:hint="eastAsia" w:asciiTheme="minorEastAsia" w:hAnsiTheme="minorEastAsia" w:eastAsiaTheme="minorEastAsia" w:cstheme="minorEastAsia"/>
          <w:b/>
          <w:color w:val="auto"/>
          <w:sz w:val="32"/>
          <w:szCs w:val="32"/>
          <w:highlight w:val="none"/>
        </w:rPr>
        <w:t xml:space="preserve">二、申请人的资格要求：</w:t>
      </w:r>
      <w:bookmarkEnd w:id="13"/>
      <w:r/>
      <w:bookmarkEnd w:id="14"/>
      <w:r/>
      <w:bookmarkEnd w:id="15"/>
      <w:r/>
      <w:bookmarkEnd w:id="16"/>
      <w:r/>
      <w:bookmarkEnd w:id="17"/>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1.满足《中华人民共和国政府采购法》第二十二条规定，并提供下列材料：</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1.1 法人或者其他组织的营业执照等证明文件，自然人的身份证明</w:t>
      </w:r>
      <w:r>
        <w:rPr>
          <w:rFonts w:hint="eastAsia" w:asciiTheme="minorEastAsia" w:hAnsiTheme="minorEastAsia" w:eastAsiaTheme="minorEastAsia" w:cstheme="minorEastAsia"/>
          <w:color w:val="auto"/>
          <w:sz w:val="24"/>
          <w:szCs w:val="24"/>
          <w:highlight w:val="none"/>
          <w:lang w:eastAsia="zh-CN"/>
        </w:rPr>
        <w:t xml:space="preserve">；</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lang w:eastAsia="zh-CN"/>
        </w:rPr>
        <w:t xml:space="preserve">上一年度的财务状况报表</w:t>
      </w:r>
      <w:r>
        <w:rPr>
          <w:rFonts w:hint="eastAsia" w:asciiTheme="minorEastAsia" w:hAnsiTheme="minorEastAsia" w:eastAsiaTheme="minorEastAsia" w:cstheme="minorEastAsia"/>
          <w:color w:val="auto"/>
          <w:sz w:val="24"/>
          <w:szCs w:val="24"/>
          <w:highlight w:val="none"/>
        </w:rPr>
        <w:t xml:space="preserve">（成立不满一年无需提供）</w:t>
      </w:r>
      <w:r>
        <w:rPr>
          <w:rFonts w:hint="eastAsia" w:asciiTheme="minorEastAsia" w:hAnsiTheme="minorEastAsia" w:eastAsiaTheme="minorEastAsia" w:cstheme="minorEastAsia"/>
          <w:color w:val="auto"/>
          <w:sz w:val="24"/>
          <w:szCs w:val="24"/>
          <w:highlight w:val="none"/>
          <w:lang w:eastAsia="zh-CN"/>
        </w:rPr>
        <w:t xml:space="preserve">；</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1.3具备履行合同所必需的设备和专业技术能力的书面声明</w:t>
      </w:r>
      <w:r>
        <w:rPr>
          <w:rFonts w:hint="eastAsia" w:asciiTheme="minorEastAsia" w:hAnsiTheme="minorEastAsia" w:eastAsiaTheme="minorEastAsia" w:cstheme="minorEastAsia"/>
          <w:color w:val="auto"/>
          <w:sz w:val="24"/>
          <w:szCs w:val="24"/>
          <w:highlight w:val="none"/>
          <w:lang w:eastAsia="zh-CN"/>
        </w:rPr>
        <w:t xml:space="preserve">；</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1.4依法缴纳税收和社会保障资金的相关材料（提供提交</w:t>
      </w:r>
      <w:r>
        <w:rPr>
          <w:rFonts w:hint="eastAsia" w:ascii="宋体" w:hAnsi="宋体" w:eastAsia="宋体" w:cs="宋体"/>
          <w:color w:val="auto"/>
          <w:sz w:val="24"/>
          <w:szCs w:val="24"/>
          <w:highlight w:val="none"/>
        </w:rPr>
        <w:t xml:space="preserve">响应</w:t>
      </w:r>
      <w:r>
        <w:rPr>
          <w:rFonts w:hint="eastAsia" w:asciiTheme="minorEastAsia" w:hAnsiTheme="minorEastAsia" w:eastAsiaTheme="minorEastAsia" w:cstheme="minorEastAsia"/>
          <w:color w:val="auto"/>
          <w:sz w:val="24"/>
          <w:szCs w:val="24"/>
          <w:highlight w:val="none"/>
          <w:lang w:eastAsia="zh-CN"/>
        </w:rPr>
        <w:t xml:space="preserve">文件</w:t>
      </w:r>
      <w:r>
        <w:rPr>
          <w:rFonts w:hint="eastAsia" w:asciiTheme="minorEastAsia" w:hAnsiTheme="minorEastAsia" w:eastAsiaTheme="minorEastAsia" w:cstheme="minorEastAsia"/>
          <w:color w:val="auto"/>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Theme="minorEastAsia" w:hAnsiTheme="minorEastAsia" w:eastAsiaTheme="minorEastAsia" w:cstheme="minorEastAsia"/>
          <w:color w:val="auto"/>
          <w:sz w:val="24"/>
          <w:szCs w:val="24"/>
          <w:highlight w:val="none"/>
          <w:lang w:eastAsia="zh-CN"/>
        </w:rPr>
        <w:t xml:space="preserve">；</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1.5参加政府采购活动前3年内在经营活动中没有重大违法记录的书面声明。</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1.6法律、行政法规规定的其他条件。</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eastAsiaTheme="minorEastAsia" w:cstheme="minorEastAsia"/>
          <w:color w:val="auto"/>
          <w:sz w:val="24"/>
          <w:szCs w:val="24"/>
          <w:highlight w:val="none"/>
          <w:lang w:eastAsia="zh-CN"/>
        </w:rPr>
        <w:t xml:space="preserve">投标文件</w:t>
      </w:r>
      <w:r>
        <w:rPr>
          <w:rFonts w:hint="eastAsia" w:asciiTheme="minorEastAsia" w:hAnsiTheme="minorEastAsia" w:eastAsiaTheme="minorEastAsia" w:cstheme="minorEastAsia"/>
          <w:color w:val="auto"/>
          <w:sz w:val="24"/>
          <w:szCs w:val="24"/>
          <w:highlight w:val="none"/>
        </w:rPr>
        <w:t xml:space="preserve">中无需提供证明材料）</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1.8单位负责人为同一人或者存在直接控股、管理关系的不同供应商，不得参加同一合同项下的政府采购活动。</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2.落实政府采购政策需满足的资格要求：本项目专门面向中小企业采购。采购标的的所属行业为物业管理，投标人需按照采购文件的要求提供相应的《</w:t>
      </w:r>
      <w:r>
        <w:rPr>
          <w:rFonts w:hint="eastAsia" w:asciiTheme="minorEastAsia" w:hAnsiTheme="minorEastAsia" w:eastAsiaTheme="minorEastAsia" w:cstheme="minorEastAsia"/>
          <w:color w:val="auto"/>
          <w:sz w:val="24"/>
          <w:szCs w:val="24"/>
          <w:highlight w:val="none"/>
          <w:lang w:val="en-US" w:eastAsia="zh-CN"/>
        </w:rPr>
        <w:t xml:space="preserve">中小</w:t>
      </w:r>
      <w:r>
        <w:rPr>
          <w:rFonts w:hint="eastAsia" w:asciiTheme="minorEastAsia" w:hAnsiTheme="minorEastAsia" w:eastAsiaTheme="minorEastAsia" w:cstheme="minorEastAsia"/>
          <w:color w:val="auto"/>
          <w:sz w:val="24"/>
          <w:szCs w:val="24"/>
          <w:highlight w:val="none"/>
        </w:rPr>
        <w:t xml:space="preserve">企业声明函》。企业标准请参照《关于印发中小企业划型标准规定的通知》（工信部联企业[2011]300号）文件规定自行填写。</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4"/>
          <w:szCs w:val="24"/>
          <w:highlight w:val="none"/>
        </w:rPr>
        <w:t xml:space="preserve">3.本项目的特定资格要求：无</w:t>
      </w:r>
      <w:r>
        <w:rPr>
          <w:rFonts w:hint="eastAsia" w:asciiTheme="minorEastAsia" w:hAnsiTheme="minorEastAsia" w:eastAsiaTheme="minorEastAsia" w:cstheme="minorEastAsia"/>
          <w:color w:val="auto"/>
          <w:sz w:val="24"/>
          <w:szCs w:val="24"/>
          <w:highlight w:val="none"/>
          <w:lang w:eastAsia="zh-CN"/>
        </w:rPr>
        <w:t xml:space="preserve">。</w:t>
      </w:r>
      <w:r/>
    </w:p>
    <w:p>
      <w:pPr>
        <w:pStyle w:val="868"/>
        <w:ind w:firstLine="643"/>
        <w:jc w:val="both"/>
        <w:keepLines/>
        <w:keepNext/>
        <w:pageBreakBefore w:val="0"/>
        <w:spacing w:beforeAutospacing="0" w:afterAutospacing="0" w:line="5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三、获取招标文件</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lang w:val="en-US" w:eastAsia="zh-CN"/>
        </w:rPr>
      </w:pPr>
      <w:r/>
      <w:bookmarkStart w:id="18" w:name="_Toc28359082"/>
      <w:r/>
      <w:bookmarkStart w:id="19" w:name="_Toc38985266"/>
      <w:r/>
      <w:bookmarkStart w:id="20" w:name="_Toc28359005"/>
      <w:r/>
      <w:bookmarkStart w:id="21" w:name="_Toc35393793"/>
      <w:r/>
      <w:bookmarkStart w:id="22" w:name="_Toc35393624"/>
      <w:r>
        <w:rPr>
          <w:rFonts w:hint="eastAsia" w:asciiTheme="minorEastAsia" w:hAnsiTheme="minorEastAsia" w:eastAsiaTheme="minorEastAsia" w:cstheme="minorEastAsia"/>
          <w:color w:val="auto"/>
          <w:sz w:val="24"/>
          <w:szCs w:val="24"/>
          <w:highlight w:val="none"/>
        </w:rPr>
        <w:t xml:space="preserve">1.时间：</w:t>
      </w:r>
      <w:bookmarkEnd w:id="18"/>
      <w:r/>
      <w:bookmarkEnd w:id="19"/>
      <w:r/>
      <w:bookmarkEnd w:id="20"/>
      <w:r/>
      <w:bookmarkEnd w:id="21"/>
      <w:r/>
      <w:bookmarkEnd w:id="22"/>
      <w:r>
        <w:rPr>
          <w:rFonts w:hint="eastAsia" w:asciiTheme="minorEastAsia" w:hAnsiTheme="minorEastAsia" w:eastAsiaTheme="minorEastAsia" w:cstheme="minorEastAsia"/>
          <w:color w:val="auto"/>
          <w:sz w:val="24"/>
          <w:szCs w:val="24"/>
          <w:highlight w:val="none"/>
        </w:rPr>
        <w:t xml:space="preserve">自招标文件公告发布之日起5个工作日</w:t>
      </w:r>
      <w:r>
        <w:rPr>
          <w:rFonts w:hint="eastAsia" w:asciiTheme="minorEastAsia" w:hAnsiTheme="minorEastAsia" w:eastAsiaTheme="minorEastAsia" w:cstheme="minorEastAsia"/>
          <w:color w:val="auto"/>
          <w:sz w:val="24"/>
          <w:szCs w:val="24"/>
          <w:highlight w:val="none"/>
          <w:lang w:val="en-US" w:eastAsia="zh-CN"/>
        </w:rPr>
        <w:tab/>
      </w:r>
      <w:r/>
    </w:p>
    <w:p>
      <w:pPr>
        <w:ind w:firstLine="480"/>
        <w:jc w:val="left"/>
        <w:pageBreakBefore w:val="0"/>
        <w:spacing w:line="5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2.地点：</w:t>
      </w:r>
      <w:r>
        <w:rPr>
          <w:rFonts w:hint="eastAsia" w:asciiTheme="minorEastAsia" w:hAnsiTheme="minorEastAsia" w:eastAsiaTheme="minorEastAsia" w:cstheme="minorEastAsia"/>
          <w:color w:val="auto"/>
          <w:sz w:val="24"/>
          <w:szCs w:val="24"/>
          <w:highlight w:val="none"/>
        </w:rPr>
        <w:t xml:space="preserve">“苏采云”系统内免费下载（投标人必须在苏采云系统中获取采购文件，方能参与政府采购项目）</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3.方式：本项目采用网上注册登记方式</w:t>
      </w:r>
      <w:r/>
    </w:p>
    <w:p>
      <w:pPr>
        <w:ind w:firstLine="480"/>
        <w:jc w:val="left"/>
        <w:pageBreakBefore w:val="0"/>
        <w:spacing w:line="560" w:lineRule="exact"/>
        <w:widowControl/>
        <w:rPr>
          <w:rFonts w:hint="eastAsia" w:asciiTheme="minorEastAsia" w:hAnsiTheme="minorEastAsia" w:eastAsiaTheme="minorEastAsia" w:cstheme="minorEastAsia"/>
          <w:color w:val="auto"/>
          <w:sz w:val="20"/>
          <w:szCs w:val="22"/>
          <w:highlight w:val="none"/>
        </w:rPr>
      </w:pPr>
      <w:r>
        <w:rPr>
          <w:rFonts w:hint="eastAsia" w:asciiTheme="minorEastAsia" w:hAnsiTheme="minorEastAsia" w:eastAsiaTheme="minorEastAsia" w:cstheme="minorEastAsia"/>
          <w:color w:val="auto"/>
          <w:sz w:val="24"/>
          <w:szCs w:val="24"/>
          <w:highlight w:val="none"/>
        </w:rPr>
        <w:t xml:space="preserve">4.售价：0元</w:t>
      </w:r>
      <w:r/>
    </w:p>
    <w:p>
      <w:pPr>
        <w:pStyle w:val="868"/>
        <w:ind w:firstLine="643"/>
        <w:jc w:val="both"/>
        <w:keepLines/>
        <w:keepNext/>
        <w:pageBreakBefore w:val="0"/>
        <w:spacing w:beforeAutospacing="0" w:afterAutospacing="0" w:line="5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四、提交投标文件截止时间、开标时间和地点</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1.时间：</w:t>
      </w:r>
      <w:r>
        <w:rPr>
          <w:rFonts w:hint="eastAsia" w:asciiTheme="minorEastAsia" w:hAnsiTheme="minorEastAsia" w:eastAsiaTheme="minorEastAsia" w:cstheme="minorEastAsia"/>
          <w:color w:val="auto"/>
          <w:sz w:val="24"/>
          <w:szCs w:val="24"/>
          <w:highlight w:val="none"/>
          <w:u w:val="single"/>
          <w:shd w:val="clear" w:color="auto" w:fill="ffffff"/>
        </w:rPr>
        <w:t xml:space="preserve">202</w:t>
      </w:r>
      <w:r>
        <w:rPr>
          <w:rFonts w:hint="eastAsia" w:asciiTheme="minorEastAsia" w:hAnsiTheme="minorEastAsia" w:eastAsiaTheme="minorEastAsia" w:cstheme="minorEastAsia"/>
          <w:color w:val="auto"/>
          <w:sz w:val="24"/>
          <w:szCs w:val="24"/>
          <w:highlight w:val="none"/>
          <w:u w:val="single"/>
          <w:shd w:val="clear" w:color="auto" w:fill="ffffff"/>
          <w:lang w:val="en-US" w:eastAsia="zh-CN"/>
        </w:rPr>
        <w:t xml:space="preserve">5</w:t>
      </w:r>
      <w:r>
        <w:rPr>
          <w:rFonts w:hint="eastAsia" w:asciiTheme="minorEastAsia" w:hAnsiTheme="minorEastAsia" w:eastAsiaTheme="minorEastAsia" w:cstheme="minorEastAsia"/>
          <w:color w:val="auto"/>
          <w:sz w:val="24"/>
          <w:szCs w:val="24"/>
          <w:highlight w:val="none"/>
          <w:u w:val="single"/>
          <w:shd w:val="clear" w:color="auto" w:fill="ffffff"/>
        </w:rPr>
        <w:t xml:space="preserve">年</w:t>
      </w:r>
      <w:r>
        <w:rPr>
          <w:rFonts w:hint="eastAsia" w:asciiTheme="minorEastAsia" w:hAnsiTheme="minorEastAsia" w:cstheme="minorEastAsia"/>
          <w:color w:val="auto"/>
          <w:sz w:val="24"/>
          <w:szCs w:val="24"/>
          <w:highlight w:val="none"/>
          <w:u w:val="single"/>
          <w:shd w:val="clear" w:color="auto" w:fill="ffffff"/>
          <w:lang w:val="en-US" w:eastAsia="zh-CN"/>
        </w:rPr>
        <w:t xml:space="preserve">6</w:t>
      </w:r>
      <w:r>
        <w:rPr>
          <w:rFonts w:hint="eastAsia" w:asciiTheme="minorEastAsia" w:hAnsiTheme="minorEastAsia" w:eastAsiaTheme="minorEastAsia" w:cstheme="minorEastAsia"/>
          <w:color w:val="auto"/>
          <w:sz w:val="24"/>
          <w:szCs w:val="24"/>
          <w:highlight w:val="none"/>
          <w:u w:val="single"/>
          <w:shd w:val="clear" w:color="auto" w:fill="ffffff"/>
        </w:rPr>
        <w:t xml:space="preserve">月</w:t>
      </w:r>
      <w:r>
        <w:rPr>
          <w:rFonts w:hint="eastAsia" w:asciiTheme="minorEastAsia" w:hAnsiTheme="minorEastAsia" w:cstheme="minorEastAsia"/>
          <w:color w:val="auto"/>
          <w:sz w:val="24"/>
          <w:szCs w:val="24"/>
          <w:highlight w:val="none"/>
          <w:u w:val="single"/>
          <w:shd w:val="clear" w:color="auto" w:fill="ffffff"/>
          <w:lang w:val="en-US" w:eastAsia="zh-CN"/>
        </w:rPr>
        <w:t xml:space="preserve">9</w:t>
      </w:r>
      <w:r>
        <w:rPr>
          <w:rFonts w:hint="eastAsia" w:asciiTheme="minorEastAsia" w:hAnsiTheme="minorEastAsia" w:eastAsiaTheme="minorEastAsia" w:cstheme="minorEastAsia"/>
          <w:color w:val="auto"/>
          <w:sz w:val="24"/>
          <w:szCs w:val="24"/>
          <w:highlight w:val="none"/>
          <w:u w:val="single"/>
          <w:shd w:val="clear" w:color="auto" w:fill="ffffff"/>
        </w:rPr>
        <w:t xml:space="preserve">日</w:t>
      </w:r>
      <w:r>
        <w:rPr>
          <w:rFonts w:hint="eastAsia" w:asciiTheme="minorEastAsia" w:hAnsiTheme="minorEastAsia" w:eastAsiaTheme="minorEastAsia" w:cstheme="minorEastAsia"/>
          <w:color w:val="auto"/>
          <w:sz w:val="24"/>
          <w:szCs w:val="24"/>
          <w:highlight w:val="none"/>
          <w:u w:val="single"/>
          <w:shd w:val="clear" w:color="auto" w:fill="ffffff"/>
          <w:lang w:val="en-US" w:eastAsia="zh-CN"/>
        </w:rPr>
        <w:t xml:space="preserve">9：00</w:t>
      </w:r>
      <w:r>
        <w:rPr>
          <w:rFonts w:hint="eastAsia" w:asciiTheme="minorEastAsia" w:hAnsiTheme="minorEastAsia" w:eastAsiaTheme="minorEastAsia" w:cstheme="minorEastAsia"/>
          <w:color w:val="auto"/>
          <w:sz w:val="24"/>
          <w:szCs w:val="24"/>
          <w:highlight w:val="none"/>
        </w:rPr>
        <w:t xml:space="preserve">（北京时间）。</w:t>
      </w:r>
      <w:r/>
    </w:p>
    <w:p>
      <w:pPr>
        <w:pStyle w:val="868"/>
        <w:ind w:firstLine="480"/>
        <w:jc w:val="both"/>
        <w:pageBreakBefore w:val="0"/>
        <w:spacing w:beforeAutospacing="0" w:afterAutospacing="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2.地点：苏采云“不见面”开标大厅。</w:t>
      </w:r>
      <w:r/>
    </w:p>
    <w:p>
      <w:pPr>
        <w:pStyle w:val="868"/>
        <w:ind w:firstLine="643"/>
        <w:jc w:val="both"/>
        <w:keepLines/>
        <w:keepNext/>
        <w:pageBreakBefore w:val="0"/>
        <w:spacing w:beforeAutospacing="0" w:afterAutospacing="0" w:line="560" w:lineRule="exact"/>
        <w:rPr>
          <w:rFonts w:hint="eastAsia" w:asciiTheme="minorEastAsia" w:hAnsiTheme="minorEastAsia" w:eastAsiaTheme="minorEastAsia" w:cstheme="minorEastAsia"/>
          <w:color w:val="auto"/>
          <w:highlight w:val="none"/>
        </w:rPr>
      </w:pPr>
      <w:r/>
      <w:bookmarkStart w:id="23" w:name="_Toc28359007"/>
      <w:r/>
      <w:bookmarkStart w:id="24" w:name="_Toc28359084"/>
      <w:r/>
      <w:bookmarkStart w:id="25" w:name="_Toc35393625"/>
      <w:r/>
      <w:bookmarkStart w:id="26" w:name="_Toc38985267"/>
      <w:r/>
      <w:bookmarkStart w:id="27" w:name="_Toc35393794"/>
      <w:r>
        <w:rPr>
          <w:rFonts w:hint="eastAsia" w:asciiTheme="minorEastAsia" w:hAnsiTheme="minorEastAsia" w:eastAsiaTheme="minorEastAsia" w:cstheme="minorEastAsia"/>
          <w:b/>
          <w:color w:val="auto"/>
          <w:sz w:val="32"/>
          <w:szCs w:val="32"/>
          <w:highlight w:val="none"/>
        </w:rPr>
        <w:t xml:space="preserve">五、公告期限</w:t>
      </w:r>
      <w:bookmarkEnd w:id="23"/>
      <w:r/>
      <w:bookmarkEnd w:id="24"/>
      <w:r/>
      <w:bookmarkEnd w:id="25"/>
      <w:r/>
      <w:bookmarkEnd w:id="26"/>
      <w:r/>
      <w:bookmarkEnd w:id="27"/>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8"/>
          <w:szCs w:val="28"/>
          <w:highlight w:val="none"/>
          <w:shd w:val="clear" w:color="auto" w:fill="ffffff"/>
        </w:rPr>
      </w:pPr>
      <w:r/>
      <w:bookmarkStart w:id="28" w:name="_Toc35393795"/>
      <w:r/>
      <w:bookmarkStart w:id="29" w:name="_Toc35393626"/>
      <w:r/>
      <w:bookmarkStart w:id="30" w:name="_Toc38985268"/>
      <w:r>
        <w:rPr>
          <w:rFonts w:hint="eastAsia" w:asciiTheme="minorEastAsia" w:hAnsiTheme="minorEastAsia" w:eastAsiaTheme="minorEastAsia" w:cstheme="minorEastAsia"/>
          <w:color w:val="auto"/>
          <w:sz w:val="24"/>
          <w:szCs w:val="24"/>
          <w:highlight w:val="none"/>
          <w:shd w:val="clear" w:color="auto" w:fill="ffffff"/>
        </w:rPr>
        <w:t xml:space="preserve">自本公告发布之日起5个工作日。</w:t>
      </w:r>
      <w:bookmarkEnd w:id="28"/>
      <w:r/>
      <w:bookmarkEnd w:id="29"/>
      <w:r/>
      <w:bookmarkEnd w:id="30"/>
      <w:r/>
      <w:r/>
    </w:p>
    <w:p>
      <w:pPr>
        <w:pStyle w:val="868"/>
        <w:ind w:firstLine="643"/>
        <w:jc w:val="both"/>
        <w:keepLines/>
        <w:keepNext/>
        <w:pageBreakBefore w:val="0"/>
        <w:spacing w:beforeAutospacing="0" w:afterAutospacing="0" w:line="5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六、其他补充事宜</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bookmarkStart w:id="31" w:name="_Toc28359018"/>
      <w:r>
        <w:rPr>
          <w:rFonts w:hint="eastAsia" w:asciiTheme="minorEastAsia" w:hAnsiTheme="minorEastAsia" w:eastAsiaTheme="minorEastAsia" w:cstheme="minorEastAsia"/>
          <w:color w:val="auto"/>
          <w:sz w:val="24"/>
          <w:szCs w:val="24"/>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2.潜在供应商访问电子招标响应交易平台的网络地址和方法： </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2.2 潜在投标人访问“苏采云”系统方法：江苏省政府采购网首页-“苏采云”链接。 </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2.3 采购文件（后缀名为“.kedt”）、供应商操作手册及政府采购客户端 工具可通过“苏采云”系统相应链接进行下载。 </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2.4 采购代理机构将数据电文形式的采购文件加载至“苏采云”系统，供潜在供应商下载或者查阅。 </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2.5 请潜在投标单位提前安装相应的控件（详见《“苏采云”系统供应商操作手册》）并使用谷歌浏览器登录“苏采云”系统参与不见面开评标。 </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如潜在投标人未按上述要求操作，将自行承担所产生的风险。</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3.有关本次招标的事项若存在变动或修改，敬请及时关注盐城市盐都区公共资源交易中心在“中国政府采购网”、“江苏政府采购网”、“盐城市政府采购网”发布的更正公告。</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4.本次招标不收取投标保证金，不收取质量保证金</w:t>
      </w:r>
      <w:r>
        <w:rPr>
          <w:rFonts w:hint="eastAsia" w:asciiTheme="minorEastAsia" w:hAnsiTheme="minorEastAsia" w:eastAsiaTheme="minorEastAsia" w:cstheme="minorEastAsia"/>
          <w:color w:val="auto"/>
          <w:sz w:val="24"/>
          <w:szCs w:val="24"/>
          <w:highlight w:val="none"/>
          <w:shd w:val="clear" w:color="auto" w:fill="ffffff"/>
        </w:rPr>
        <w:t xml:space="preserve">。</w:t>
      </w:r>
      <w:r/>
    </w:p>
    <w:p>
      <w:pPr>
        <w:pStyle w:val="868"/>
        <w:ind w:firstLine="456"/>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868"/>
        <w:ind w:firstLine="321"/>
        <w:jc w:val="both"/>
        <w:keepLines/>
        <w:keepNext/>
        <w:pageBreakBefore w:val="0"/>
        <w:spacing w:beforeAutospacing="0" w:afterAutospacing="0"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七、对本次招标提出询问，请按以下方式联系。</w:t>
      </w:r>
      <w:bookmarkEnd w:id="31"/>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1.采购人信息</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lang w:eastAsia="zh-CN"/>
        </w:rPr>
      </w:pPr>
      <w:r>
        <w:rPr>
          <w:rFonts w:hint="eastAsia" w:asciiTheme="minorEastAsia" w:hAnsiTheme="minorEastAsia" w:eastAsiaTheme="minorEastAsia" w:cstheme="minorEastAsia"/>
          <w:color w:val="auto"/>
          <w:sz w:val="24"/>
          <w:szCs w:val="24"/>
          <w:highlight w:val="none"/>
          <w:shd w:val="clear" w:color="auto" w:fill="ffffff"/>
        </w:rPr>
        <w:t xml:space="preserve">名 称：</w:t>
      </w:r>
      <w:r>
        <w:rPr>
          <w:rFonts w:hint="eastAsia" w:asciiTheme="minorEastAsia" w:hAnsiTheme="minorEastAsia" w:eastAsiaTheme="minorEastAsia" w:cstheme="minorEastAsia"/>
          <w:color w:val="auto"/>
          <w:sz w:val="24"/>
          <w:szCs w:val="24"/>
          <w:highlight w:val="none"/>
          <w:shd w:val="clear" w:color="auto" w:fill="ffffff"/>
          <w:lang w:eastAsia="zh-CN"/>
        </w:rPr>
        <w:t xml:space="preserve">盐城市盐都区龙冈镇人民政府</w:t>
      </w:r>
      <w:r/>
    </w:p>
    <w:p>
      <w:pPr>
        <w:pStyle w:val="868"/>
        <w:ind w:firstLine="480"/>
        <w:jc w:val="both"/>
        <w:keepLines w:val="0"/>
        <w:keepNext w:val="0"/>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rPr>
        <w:t xml:space="preserve">地 址：</w:t>
      </w:r>
      <w:r>
        <w:rPr>
          <w:rFonts w:hint="eastAsia" w:asciiTheme="minorEastAsia" w:hAnsiTheme="minorEastAsia" w:eastAsiaTheme="minorEastAsia" w:cstheme="minorEastAsia"/>
          <w:color w:val="auto"/>
          <w:sz w:val="24"/>
          <w:szCs w:val="24"/>
          <w:highlight w:val="none"/>
          <w:shd w:val="clear" w:color="auto" w:fill="ffffff"/>
          <w:lang w:eastAsia="zh-CN"/>
        </w:rPr>
        <w:t xml:space="preserve">盐城市盐都区</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龙冈镇华兴大道1号</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rPr>
        <w:t xml:space="preserve">联系人：</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杨先生</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联系方式：</w:t>
      </w:r>
      <w:r>
        <w:rPr>
          <w:rFonts w:hint="eastAsia" w:asciiTheme="minorEastAsia" w:hAnsiTheme="minorEastAsia" w:eastAsiaTheme="minorEastAsia" w:cstheme="minorEastAsia"/>
          <w:color w:val="auto"/>
          <w:sz w:val="24"/>
          <w:szCs w:val="24"/>
          <w:highlight w:val="none"/>
          <w:shd w:val="clear" w:color="auto" w:fill="ffffff"/>
          <w:lang w:eastAsia="zh-CN"/>
        </w:rPr>
        <w:t xml:space="preserve">13770042066</w:t>
      </w:r>
      <w:r>
        <w:rPr>
          <w:rFonts w:hint="eastAsia" w:asciiTheme="minorEastAsia" w:hAnsiTheme="minorEastAsia" w:eastAsiaTheme="minorEastAsia" w:cstheme="minorEastAsia"/>
          <w:color w:val="auto"/>
          <w:sz w:val="24"/>
          <w:szCs w:val="24"/>
          <w:highlight w:val="none"/>
          <w:shd w:val="clear" w:color="auto" w:fill="ffffff"/>
        </w:rPr>
        <w:t xml:space="preserve">         </w:t>
      </w:r>
      <w:bookmarkStart w:id="32" w:name="_Toc28359087"/>
      <w:r/>
      <w:bookmarkStart w:id="33" w:name="_Toc28359010"/>
      <w:r>
        <w:rPr>
          <w:rFonts w:hint="eastAsia" w:asciiTheme="minorEastAsia" w:hAnsiTheme="minorEastAsia" w:eastAsiaTheme="minorEastAsia" w:cstheme="minorEastAsia"/>
          <w:color w:val="auto"/>
          <w:sz w:val="24"/>
          <w:szCs w:val="24"/>
          <w:highlight w:val="none"/>
          <w:shd w:val="clear" w:color="auto" w:fill="ffffff"/>
        </w:rPr>
        <w:t xml:space="preserve">      </w:t>
      </w:r>
      <w:bookmarkEnd w:id="32"/>
      <w:r/>
      <w:bookmarkEnd w:id="33"/>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2.采购代理机构信息（如有）</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单位名称：盐城市盐都区公共资源交易中心</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单位地址：盐城市盐都区世纪大道1188号服务大厦808室</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lang w:eastAsia="zh-CN"/>
        </w:rPr>
      </w:pPr>
      <w:r>
        <w:rPr>
          <w:rFonts w:hint="eastAsia" w:asciiTheme="minorEastAsia" w:hAnsiTheme="minorEastAsia" w:eastAsiaTheme="minorEastAsia" w:cstheme="minorEastAsia"/>
          <w:color w:val="auto"/>
          <w:sz w:val="24"/>
          <w:szCs w:val="24"/>
          <w:highlight w:val="none"/>
          <w:shd w:val="clear" w:color="auto" w:fill="ffffff"/>
        </w:rPr>
        <w:t xml:space="preserve">联系人：</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朱工</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rPr>
        <w:t xml:space="preserve">联系电话：</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18751468378</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3.项目联系方式</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项目联系人：</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朱工</w:t>
      </w:r>
      <w:r/>
    </w:p>
    <w:p>
      <w:pPr>
        <w:pStyle w:val="868"/>
        <w:ind w:firstLine="480"/>
        <w:jc w:val="both"/>
        <w:pageBreakBefore w:val="0"/>
        <w:spacing w:beforeAutospacing="0" w:afterAutospacing="0" w:line="560" w:lineRule="exact"/>
        <w:shd w:val="clear" w:color="auto" w:fill="ffffff"/>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电话：</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18751468378</w:t>
      </w:r>
      <w:r>
        <w:rPr>
          <w:rFonts w:hint="eastAsia" w:asciiTheme="minorEastAsia" w:hAnsiTheme="minorEastAsia" w:eastAsiaTheme="minorEastAsia" w:cstheme="minorEastAsia"/>
          <w:color w:val="auto"/>
          <w:sz w:val="24"/>
          <w:szCs w:val="24"/>
          <w:highlight w:val="none"/>
          <w:shd w:val="clear" w:color="auto" w:fill="ffffff"/>
        </w:rPr>
        <w:t xml:space="preserve">　　　　　　　　　</w:t>
      </w:r>
      <w:r>
        <w:rPr>
          <w:rFonts w:hint="eastAsia" w:asciiTheme="minorEastAsia" w:hAnsiTheme="minorEastAsia" w:eastAsiaTheme="minorEastAsia" w:cstheme="minorEastAsia"/>
          <w:color w:val="auto"/>
          <w:sz w:val="22"/>
          <w:szCs w:val="22"/>
          <w:highlight w:val="none"/>
        </w:rPr>
        <w:t xml:space="preserve"> </w:t>
      </w: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b/>
          <w:color w:val="auto"/>
          <w:sz w:val="44"/>
          <w:szCs w:val="44"/>
          <w:highlight w:val="none"/>
        </w:rPr>
      </w:pPr>
      <w:r/>
      <w:bookmarkStart w:id="34" w:name="_Toc120614211"/>
      <w:r>
        <w:rPr>
          <w:rFonts w:hint="eastAsia" w:asciiTheme="minorEastAsia" w:hAnsiTheme="minorEastAsia" w:eastAsiaTheme="minorEastAsia" w:cstheme="minorEastAsia"/>
          <w:b/>
          <w:color w:val="auto"/>
          <w:sz w:val="44"/>
          <w:szCs w:val="44"/>
          <w:highlight w:val="none"/>
        </w:rPr>
        <w:br w:type="page" w:clear="all"/>
      </w:r>
      <w:r/>
    </w:p>
    <w:p>
      <w:pPr>
        <w:pStyle w:val="868"/>
        <w:ind w:firstLine="2429"/>
        <w:jc w:val="both"/>
        <w:keepLines/>
        <w:keepNext/>
        <w:spacing w:before="260" w:beforeAutospacing="0" w:after="260" w:afterAutospacing="0" w:line="415"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第二章  </w:t>
      </w:r>
      <w:bookmarkEnd w:id="34"/>
      <w:r/>
      <w:bookmarkStart w:id="35" w:name="_Toc16938518"/>
      <w:r/>
      <w:bookmarkStart w:id="36" w:name="_Toc513029202"/>
      <w:r/>
      <w:bookmarkStart w:id="37" w:name="_Toc20823274"/>
      <w:r/>
      <w:bookmarkStart w:id="38" w:name="_Toc120614213"/>
      <w:r>
        <w:rPr>
          <w:rFonts w:hint="eastAsia" w:asciiTheme="minorEastAsia" w:hAnsiTheme="minorEastAsia" w:eastAsiaTheme="minorEastAsia" w:cstheme="minorEastAsia"/>
          <w:b/>
          <w:color w:val="auto"/>
          <w:sz w:val="44"/>
          <w:szCs w:val="44"/>
          <w:highlight w:val="none"/>
        </w:rPr>
        <w:t xml:space="preserve">投标人须知</w:t>
      </w:r>
      <w:bookmarkEnd w:id="35"/>
      <w:r/>
      <w:bookmarkEnd w:id="36"/>
      <w:r/>
      <w:bookmarkEnd w:id="37"/>
      <w:r/>
      <w:bookmarkEnd w:id="38"/>
      <w:r/>
      <w:r/>
    </w:p>
    <w:p>
      <w:pPr>
        <w:pStyle w:val="868"/>
        <w:ind w:left="0" w:firstLine="482"/>
        <w:jc w:val="both"/>
        <w:keepLines/>
        <w:keepNext/>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bookmarkStart w:id="39" w:name="_Toc20823275"/>
      <w:r/>
      <w:bookmarkStart w:id="40" w:name="_Toc513029203"/>
      <w:r/>
      <w:bookmarkStart w:id="41" w:name="_Toc120614214"/>
      <w:r/>
      <w:bookmarkStart w:id="42" w:name="_Toc16938519"/>
      <w:r>
        <w:rPr>
          <w:rFonts w:hint="eastAsia" w:asciiTheme="minorEastAsia" w:hAnsiTheme="minorEastAsia" w:eastAsiaTheme="minorEastAsia" w:cstheme="minorEastAsia"/>
          <w:b/>
          <w:color w:val="auto"/>
          <w:sz w:val="24"/>
          <w:szCs w:val="24"/>
          <w:highlight w:val="none"/>
        </w:rPr>
        <w:t xml:space="preserve">一、总则</w:t>
      </w:r>
      <w:bookmarkEnd w:id="39"/>
      <w:r/>
      <w:bookmarkEnd w:id="40"/>
      <w:r/>
      <w:bookmarkEnd w:id="41"/>
      <w:r/>
      <w:bookmarkEnd w:id="42"/>
      <w:r/>
      <w:r/>
    </w:p>
    <w:p>
      <w:pPr>
        <w:pStyle w:val="868"/>
        <w:ind w:left="0" w:firstLine="480"/>
        <w:jc w:val="both"/>
        <w:keepLines/>
        <w:keepNext/>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bookmarkStart w:id="43" w:name="_Toc16938520"/>
      <w:r/>
      <w:bookmarkStart w:id="44" w:name="_Toc458694821"/>
      <w:r/>
      <w:bookmarkStart w:id="45" w:name="_Toc513029204"/>
      <w:r/>
      <w:bookmarkStart w:id="46" w:name="_Toc20823276"/>
      <w:r/>
      <w:bookmarkStart w:id="47" w:name="_Hlt16619475"/>
      <w:r>
        <w:rPr>
          <w:rFonts w:hint="eastAsia" w:asciiTheme="minorEastAsia" w:hAnsiTheme="minorEastAsia" w:eastAsiaTheme="minorEastAsia" w:cstheme="minorEastAsia"/>
          <w:color w:val="auto"/>
          <w:sz w:val="24"/>
          <w:szCs w:val="24"/>
          <w:highlight w:val="none"/>
        </w:rPr>
        <w:t xml:space="preserve">1</w:t>
      </w:r>
      <w:bookmarkEnd w:id="43"/>
      <w:r>
        <w:rPr>
          <w:rFonts w:hint="eastAsia" w:asciiTheme="minorEastAsia" w:hAnsiTheme="minorEastAsia" w:eastAsiaTheme="minorEastAsia" w:cstheme="minorEastAsia"/>
          <w:color w:val="auto"/>
          <w:sz w:val="24"/>
          <w:szCs w:val="24"/>
          <w:highlight w:val="none"/>
        </w:rPr>
        <w:t xml:space="preserve">、招标方式</w:t>
      </w:r>
      <w:bookmarkEnd w:id="44"/>
      <w:r/>
      <w:bookmarkEnd w:id="45"/>
      <w:r/>
      <w:bookmarkEnd w:id="46"/>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1.1本次招标采取公开招标方式，本招标文件仅适用于招标公告中所述项目。</w:t>
      </w:r>
      <w:r/>
    </w:p>
    <w:p>
      <w:pPr>
        <w:pStyle w:val="868"/>
        <w:ind w:left="0" w:firstLine="480"/>
        <w:jc w:val="both"/>
        <w:keepLines/>
        <w:keepNext/>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bookmarkStart w:id="48" w:name="_Toc513029205"/>
      <w:r/>
      <w:bookmarkStart w:id="49" w:name="_Toc20823277"/>
      <w:r/>
      <w:bookmarkStart w:id="50" w:name="_Toc16938521"/>
      <w:r>
        <w:rPr>
          <w:rFonts w:hint="eastAsia" w:asciiTheme="minorEastAsia" w:hAnsiTheme="minorEastAsia" w:eastAsiaTheme="minorEastAsia" w:cstheme="minorEastAsia"/>
          <w:color w:val="auto"/>
          <w:sz w:val="24"/>
          <w:szCs w:val="24"/>
          <w:highlight w:val="none"/>
        </w:rPr>
        <w:t xml:space="preserve">2、合格的投标人</w:t>
      </w:r>
      <w:bookmarkEnd w:id="48"/>
      <w:r/>
      <w:bookmarkEnd w:id="49"/>
      <w:r/>
      <w:bookmarkEnd w:id="50"/>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2.1满足招标公告中供应商的资格要求的规定。</w:t>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2.2满足本文件实质性要求和条件的规定。</w:t>
      </w:r>
      <w:r/>
    </w:p>
    <w:p>
      <w:pPr>
        <w:pStyle w:val="868"/>
        <w:ind w:left="0" w:firstLine="480"/>
        <w:jc w:val="both"/>
        <w:keepLines/>
        <w:keepNext/>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bookmarkStart w:id="51" w:name="_Toc20823278"/>
      <w:r/>
      <w:bookmarkStart w:id="52" w:name="_Toc16938522"/>
      <w:r/>
      <w:bookmarkStart w:id="53" w:name="_Toc513029206"/>
      <w:r>
        <w:rPr>
          <w:rFonts w:hint="eastAsia" w:asciiTheme="minorEastAsia" w:hAnsiTheme="minorEastAsia" w:eastAsiaTheme="minorEastAsia" w:cstheme="minorEastAsia"/>
          <w:color w:val="auto"/>
          <w:sz w:val="24"/>
          <w:szCs w:val="24"/>
          <w:highlight w:val="none"/>
        </w:rPr>
        <w:t xml:space="preserve">3、适用法律</w:t>
      </w:r>
      <w:bookmarkEnd w:id="51"/>
      <w:r/>
      <w:bookmarkEnd w:id="52"/>
      <w:r/>
      <w:bookmarkEnd w:id="53"/>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3.1本次招标及由此产生的合同受中华人民共和国有关的法律法规制约和保护。</w:t>
      </w:r>
      <w:r/>
    </w:p>
    <w:p>
      <w:pPr>
        <w:pStyle w:val="868"/>
        <w:ind w:left="0" w:firstLine="480"/>
        <w:jc w:val="both"/>
        <w:keepLines/>
        <w:keepNext/>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bookmarkStart w:id="54" w:name="_Toc462564067"/>
      <w:r/>
      <w:bookmarkStart w:id="55" w:name="_Toc20823279"/>
      <w:r/>
      <w:bookmarkStart w:id="56" w:name="_Toc513029207"/>
      <w:r/>
      <w:bookmarkStart w:id="57" w:name="_Toc16938523"/>
      <w:r>
        <w:rPr>
          <w:rFonts w:hint="eastAsia" w:asciiTheme="minorEastAsia" w:hAnsiTheme="minorEastAsia" w:eastAsiaTheme="minorEastAsia" w:cstheme="minorEastAsia"/>
          <w:color w:val="auto"/>
          <w:sz w:val="24"/>
          <w:szCs w:val="24"/>
          <w:highlight w:val="none"/>
        </w:rPr>
        <w:t xml:space="preserve">4、投标费用</w:t>
      </w:r>
      <w:bookmarkEnd w:id="54"/>
      <w:r/>
      <w:bookmarkEnd w:id="55"/>
      <w:r/>
      <w:bookmarkEnd w:id="56"/>
      <w:r/>
      <w:bookmarkEnd w:id="57"/>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4.1投标人应自行承担所有与参加投标有关的费用，无论投标过程中的做法和结果如何，盐城市盐都区公共资源交易中心（以下简称交易中心）在任何情况下均无义务和责任承担这些费用。</w:t>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4.2本次招标交易中心和采购人不收取标书工本费与中标服务费。</w:t>
      </w:r>
      <w:r/>
    </w:p>
    <w:p>
      <w:pPr>
        <w:pStyle w:val="868"/>
        <w:ind w:left="0" w:firstLine="482"/>
        <w:jc w:val="both"/>
        <w:keepLines/>
        <w:keepNext/>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rPr>
        <w:t xml:space="preserve">招标文件的约束力</w:t>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5.1投标人一旦参加本项目采购活动，即被认为接受了本招标文件的规定和约束。</w:t>
      </w:r>
      <w:bookmarkStart w:id="58" w:name="_Toc20823281"/>
      <w:r/>
      <w:bookmarkStart w:id="59" w:name="_Toc120614215"/>
      <w:r/>
      <w:bookmarkStart w:id="60" w:name="_Toc16938525"/>
      <w:r/>
      <w:bookmarkStart w:id="61" w:name="_Toc513029209"/>
      <w:r/>
      <w:r/>
    </w:p>
    <w:p>
      <w:pPr>
        <w:pStyle w:val="868"/>
        <w:numPr>
          <w:ilvl w:val="0"/>
          <w:numId w:val="1"/>
        </w:numPr>
        <w:ind w:left="0" w:firstLine="482"/>
        <w:jc w:val="both"/>
        <w:pageBreakBefore w:val="0"/>
        <w:spacing w:beforeAutospacing="0" w:afterAutospacing="0" w:line="6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招标文件</w:t>
      </w:r>
      <w:bookmarkEnd w:id="58"/>
      <w:r/>
      <w:bookmarkEnd w:id="59"/>
      <w:r/>
      <w:bookmarkEnd w:id="60"/>
      <w:r/>
      <w:bookmarkEnd w:id="61"/>
      <w:r/>
      <w:bookmarkStart w:id="62" w:name="_Toc513029210"/>
      <w:r/>
      <w:bookmarkStart w:id="63" w:name="_Toc16938526"/>
      <w:r/>
      <w:bookmarkStart w:id="64" w:name="_Toc20823282"/>
      <w:r/>
      <w:r/>
    </w:p>
    <w:p>
      <w:pPr>
        <w:pStyle w:val="868"/>
        <w:numPr>
          <w:ilvl w:val="0"/>
          <w:numId w:val="0"/>
        </w:numPr>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6、招标文件构成</w:t>
      </w:r>
      <w:bookmarkEnd w:id="62"/>
      <w:r/>
      <w:bookmarkEnd w:id="63"/>
      <w:r/>
      <w:bookmarkEnd w:id="64"/>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 招标文件由以下部分组成：</w:t>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（1）招标公告</w:t>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（2）投标人须知</w:t>
      </w:r>
      <w:r/>
    </w:p>
    <w:p>
      <w:pPr>
        <w:pStyle w:val="868"/>
        <w:ind w:left="0" w:firstLine="480"/>
        <w:jc w:val="both"/>
        <w:pageBreakBefore w:val="0"/>
        <w:spacing w:beforeAutospacing="0" w:afterAutospacing="0" w:line="6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（3）合同文本</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（4）采购需求</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（5）评标方法与评标标准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（6）投标文件格式</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请仔细检查招标文件是否齐全，如有缺漏请立即与采购人联系解决。</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65" w:name="_Toc20823283"/>
      <w:r/>
      <w:bookmarkStart w:id="66" w:name="_Toc16938527"/>
      <w:r/>
      <w:bookmarkStart w:id="67" w:name="_Toc513029211"/>
      <w:r/>
      <w:bookmarkStart w:id="68" w:name="_Toc462564070"/>
      <w:r>
        <w:rPr>
          <w:rFonts w:hint="eastAsia" w:asciiTheme="minorEastAsia" w:hAnsiTheme="minorEastAsia" w:eastAsiaTheme="minorEastAsia" w:cstheme="minorEastAsia"/>
          <w:color w:val="auto"/>
          <w:sz w:val="24"/>
          <w:szCs w:val="24"/>
          <w:highlight w:val="none"/>
        </w:rPr>
        <w:t xml:space="preserve">7、招标文件的澄清</w:t>
      </w:r>
      <w:bookmarkEnd w:id="65"/>
      <w:r/>
      <w:bookmarkEnd w:id="66"/>
      <w:r/>
      <w:bookmarkEnd w:id="67"/>
      <w:r/>
      <w:bookmarkEnd w:id="68"/>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7.1任何要求对招标文件进行澄清的投标人，应在投标截止期十日前按招标公告中的通讯地址，以书面形式通知采购人。</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69" w:name="_Toc513029212"/>
      <w:r/>
      <w:bookmarkStart w:id="70" w:name="_Toc462564071"/>
      <w:r/>
      <w:bookmarkStart w:id="71" w:name="_Toc20823284"/>
      <w:r/>
      <w:bookmarkStart w:id="72" w:name="_Toc16938528"/>
      <w:r>
        <w:rPr>
          <w:rFonts w:hint="eastAsia" w:asciiTheme="minorEastAsia" w:hAnsiTheme="minorEastAsia" w:eastAsiaTheme="minorEastAsia" w:cstheme="minorEastAsia"/>
          <w:color w:val="auto"/>
          <w:sz w:val="24"/>
          <w:szCs w:val="24"/>
          <w:highlight w:val="none"/>
        </w:rPr>
        <w:t xml:space="preserve">8、招标文件的修改</w:t>
      </w:r>
      <w:bookmarkEnd w:id="69"/>
      <w:r/>
      <w:bookmarkEnd w:id="70"/>
      <w:r/>
      <w:bookmarkEnd w:id="71"/>
      <w:r/>
      <w:bookmarkEnd w:id="72"/>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8.1在投标截止时间前，采购人可以对招标文件进行修改。</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8.2交易中心和采购人有权按照法定的要求推迟投标截止日期和开标日期。</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8.3招标文件的修改将在“中国政府采购网”、“江苏政府采购网”、“盐城市政府采购网”、“盐城市盐都区人民政府网”公布，补充文件将作为招标文件的组成部分，并对投标人具有约束力。</w:t>
      </w:r>
      <w:r/>
    </w:p>
    <w:p>
      <w:pPr>
        <w:pStyle w:val="868"/>
        <w:ind w:left="0" w:firstLine="482"/>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73" w:name="_Toc120614216"/>
      <w:r/>
      <w:bookmarkStart w:id="74" w:name="_Toc462564072"/>
      <w:r/>
      <w:bookmarkStart w:id="75" w:name="_Toc16938529"/>
      <w:r/>
      <w:bookmarkStart w:id="76" w:name="_Toc20823285"/>
      <w:r/>
      <w:bookmarkStart w:id="77" w:name="_Toc513029213"/>
      <w:r>
        <w:rPr>
          <w:rFonts w:hint="eastAsia" w:asciiTheme="minorEastAsia" w:hAnsiTheme="minorEastAsia" w:eastAsiaTheme="minorEastAsia" w:cstheme="minorEastAsia"/>
          <w:b/>
          <w:color w:val="auto"/>
          <w:sz w:val="24"/>
          <w:szCs w:val="24"/>
          <w:highlight w:val="none"/>
        </w:rPr>
        <w:t xml:space="preserve">三、投标文件的编制</w:t>
      </w:r>
      <w:bookmarkEnd w:id="73"/>
      <w:r/>
      <w:bookmarkEnd w:id="74"/>
      <w:r/>
      <w:bookmarkEnd w:id="75"/>
      <w:r/>
      <w:bookmarkEnd w:id="76"/>
      <w:r/>
      <w:bookmarkEnd w:id="77"/>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78" w:name="_Toc16938530"/>
      <w:r/>
      <w:bookmarkStart w:id="79" w:name="_Toc513029214"/>
      <w:r/>
      <w:bookmarkStart w:id="80" w:name="_Toc462564073"/>
      <w:r/>
      <w:bookmarkStart w:id="81" w:name="_Toc20823286"/>
      <w:r>
        <w:rPr>
          <w:rFonts w:hint="eastAsia" w:asciiTheme="minorEastAsia" w:hAnsiTheme="minorEastAsia" w:eastAsiaTheme="minorEastAsia" w:cstheme="minorEastAsia"/>
          <w:color w:val="auto"/>
          <w:sz w:val="24"/>
          <w:szCs w:val="24"/>
          <w:highlight w:val="none"/>
        </w:rPr>
        <w:t xml:space="preserve">9、投标文件的语言及度量衡单位</w:t>
      </w:r>
      <w:bookmarkEnd w:id="78"/>
      <w:r/>
      <w:bookmarkEnd w:id="79"/>
      <w:r/>
      <w:bookmarkEnd w:id="80"/>
      <w:r/>
      <w:bookmarkEnd w:id="81"/>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9.1投标人提交的投标文件以及投标人与采购人就有关投标的所有来往通知、函件和文件均应使用</w:t>
      </w:r>
      <w:r>
        <w:rPr>
          <w:rFonts w:hint="eastAsia" w:asciiTheme="minorEastAsia" w:hAnsiTheme="minorEastAsia" w:eastAsiaTheme="minorEastAsia" w:cstheme="minorEastAsia"/>
          <w:b/>
          <w:color w:val="auto"/>
          <w:sz w:val="24"/>
          <w:szCs w:val="24"/>
          <w:highlight w:val="none"/>
        </w:rPr>
        <w:t xml:space="preserve">简体中文</w:t>
      </w:r>
      <w:r>
        <w:rPr>
          <w:rFonts w:hint="eastAsia" w:asciiTheme="minorEastAsia" w:hAnsiTheme="minorEastAsia" w:eastAsiaTheme="minorEastAsia" w:cstheme="minorEastAsia"/>
          <w:color w:val="auto"/>
          <w:sz w:val="24"/>
          <w:szCs w:val="24"/>
          <w:highlight w:val="none"/>
        </w:rPr>
        <w:t xml:space="preserve">。</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9.2除技术性能另有规定外，投标文件所使用的度量衡单位，均须采用国家法定计量单位。</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82" w:name="_Toc513029215"/>
      <w:r/>
      <w:bookmarkStart w:id="83" w:name="_Toc20823287"/>
      <w:r/>
      <w:bookmarkStart w:id="84" w:name="_Toc462564074"/>
      <w:r/>
      <w:bookmarkStart w:id="85" w:name="_Toc16938531"/>
      <w:r>
        <w:rPr>
          <w:rFonts w:hint="eastAsia" w:asciiTheme="minorEastAsia" w:hAnsiTheme="minorEastAsia" w:eastAsiaTheme="minorEastAsia" w:cstheme="minorEastAsia"/>
          <w:color w:val="auto"/>
          <w:sz w:val="24"/>
          <w:szCs w:val="24"/>
          <w:highlight w:val="none"/>
        </w:rPr>
        <w:t xml:space="preserve">10、投标文件构成</w:t>
      </w:r>
      <w:bookmarkEnd w:id="82"/>
      <w:r/>
      <w:bookmarkEnd w:id="83"/>
      <w:r/>
      <w:bookmarkEnd w:id="84"/>
      <w:r/>
      <w:bookmarkEnd w:id="85"/>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10.2如标书制作工具中格式和内容与“中国政府采购网”、“江苏政府采购网”、“盐城市政府采购网”、“盐城市盐都区人民政府网”发布的招标文件不一致，请以“中国政府采购网”、“江苏政府采购网”、“盐城市政府采购网”发布的招标文件为准。</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86" w:name="_Toc513029219"/>
      <w:r/>
      <w:bookmarkStart w:id="87" w:name="_Toc49090509"/>
      <w:r/>
      <w:bookmarkStart w:id="88" w:name="_Toc14577357"/>
      <w:r/>
      <w:bookmarkStart w:id="89" w:name="_Toc14577354"/>
      <w:r/>
      <w:bookmarkStart w:id="90" w:name="_Toc49090507"/>
      <w:r/>
      <w:bookmarkStart w:id="91" w:name="_Toc513029216"/>
      <w:r/>
      <w:bookmarkStart w:id="92" w:name="_Hlt26954838"/>
      <w:r/>
      <w:bookmarkStart w:id="93" w:name="_Hlt26668975"/>
      <w:r/>
      <w:bookmarkStart w:id="94" w:name="_Hlt26670360"/>
      <w:r>
        <w:rPr>
          <w:rFonts w:hint="eastAsia" w:asciiTheme="minorEastAsia" w:hAnsiTheme="minorEastAsia" w:eastAsiaTheme="minorEastAsia" w:cstheme="minorEastAsia"/>
          <w:color w:val="auto"/>
          <w:sz w:val="24"/>
          <w:szCs w:val="24"/>
          <w:highlight w:val="none"/>
        </w:rPr>
        <w:t xml:space="preserve">11、证明投标人及投标标的符合招标文件规定的文件</w:t>
      </w:r>
      <w:bookmarkEnd w:id="86"/>
      <w:r/>
      <w:bookmarkEnd w:id="87"/>
      <w:r/>
      <w:bookmarkEnd w:id="88"/>
      <w:r/>
      <w:bookmarkEnd w:id="89"/>
      <w:r/>
      <w:bookmarkEnd w:id="90"/>
      <w:r/>
      <w:bookmarkEnd w:id="91"/>
      <w:r/>
      <w:bookmarkStart w:id="95" w:name="_Toc49090508"/>
      <w:r/>
      <w:bookmarkStart w:id="96" w:name="_Toc14577355"/>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11.1投标人应按照法律、法规、规章和规范性文件以及招标文件要求提交证明文件，证明其及投标标的符合招标文件规定。</w:t>
      </w:r>
      <w:bookmarkEnd w:id="95"/>
      <w:r/>
      <w:bookmarkEnd w:id="96"/>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11.2招标文件对证明文件无明确形式要求的，证明文件可以以文字资料、图纸和数据等形式提交。</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12、投标分项报价</w:t>
      </w:r>
      <w:bookmarkStart w:id="97" w:name="_Hlt26670373"/>
      <w:r>
        <w:rPr>
          <w:rFonts w:hint="eastAsia" w:asciiTheme="minorEastAsia" w:hAnsiTheme="minorEastAsia" w:eastAsiaTheme="minorEastAsia" w:cstheme="minorEastAsia"/>
          <w:color w:val="auto"/>
          <w:sz w:val="24"/>
          <w:szCs w:val="24"/>
          <w:highlight w:val="none"/>
        </w:rPr>
        <w:t xml:space="preserve">表</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12.1投</w:t>
      </w:r>
      <w:bookmarkStart w:id="98" w:name="_Hlt26954840"/>
      <w:r>
        <w:rPr>
          <w:rFonts w:hint="eastAsia" w:asciiTheme="minorEastAsia" w:hAnsiTheme="minorEastAsia" w:eastAsiaTheme="minorEastAsia" w:cstheme="minorEastAsia"/>
          <w:color w:val="auto"/>
          <w:sz w:val="24"/>
          <w:szCs w:val="24"/>
          <w:highlight w:val="none"/>
        </w:rPr>
        <w:t xml:space="preserve">标人应按照招标文件规定格式填报投标分项报价表</w:t>
      </w:r>
      <w:bookmarkStart w:id="99" w:name="_Hlt26670399"/>
      <w:r>
        <w:rPr>
          <w:rFonts w:hint="eastAsia" w:asciiTheme="minorEastAsia" w:hAnsiTheme="minorEastAsia" w:eastAsiaTheme="minorEastAsia" w:cstheme="minorEastAsia"/>
          <w:color w:val="auto"/>
          <w:sz w:val="24"/>
          <w:szCs w:val="24"/>
          <w:highlight w:val="none"/>
        </w:rPr>
        <w:t xml:space="preserve">。</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12.2投标货币。投标文件中的单价和总价无特殊规定的采用人民币报价，以元为单位标注。招标文件中另有规定的按规定执行。</w:t>
      </w:r>
      <w:bookmarkStart w:id="100" w:name="_Hlt26670482"/>
      <w:r/>
      <w:bookmarkStart w:id="101" w:name="_Hlt26954731"/>
      <w:r/>
      <w:bookmarkStart w:id="102" w:name="_Hlt26670403"/>
      <w:r/>
      <w:bookmarkStart w:id="103" w:name="_Hlt26954848"/>
      <w:r/>
      <w:bookmarkStart w:id="104" w:name="_Hlt26954846"/>
      <w:r/>
      <w:bookmarkStart w:id="105" w:name="_Hlt26668983"/>
      <w:r/>
      <w:bookmarkStart w:id="106" w:name="_Hlt26954842"/>
      <w:r/>
      <w:bookmarkStart w:id="107" w:name="_Hlt26670486"/>
      <w:r/>
      <w:bookmarkStart w:id="108" w:name="_Hlt26670425"/>
      <w:r/>
      <w:bookmarkStart w:id="109" w:name="_Hlt26954844"/>
      <w:r/>
      <w:r/>
    </w:p>
    <w:p>
      <w:pPr>
        <w:pStyle w:val="868"/>
        <w:ind w:left="0" w:firstLine="482"/>
        <w:jc w:val="both"/>
        <w:pageBreakBefore w:val="0"/>
        <w:spacing w:beforeAutospacing="0" w:afterAutospacing="0" w:line="56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12.3投标配置和分项明细报价，不仅应包括所有人员的工资</w:t>
      </w:r>
      <w:r>
        <w:rPr>
          <w:rFonts w:hint="eastAsia" w:asciiTheme="minorEastAsia" w:hAnsi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社保、公积金，还应包括：管理、劳务、培训、风险、税金、合理利润及政策性文件规定等各项应有费用，以及为完成招标文件规定的物业服务工作所涉及到的一切相关费用。</w:t>
      </w:r>
      <w:r/>
    </w:p>
    <w:p>
      <w:pPr>
        <w:pStyle w:val="868"/>
        <w:ind w:left="0" w:firstLine="482"/>
        <w:jc w:val="both"/>
        <w:pageBreakBefore w:val="0"/>
        <w:spacing w:beforeAutospacing="0" w:afterAutospacing="0" w:line="560" w:lineRule="exact"/>
        <w:widowControl w:val="off"/>
        <w:rPr>
          <w:rFonts w:hint="eastAsia" w:asciiTheme="minorEastAsia" w:hAnsiTheme="minorEastAsia" w:eastAsiaTheme="minorEastAsia" w:cstheme="minorEastAsia"/>
          <w:b/>
          <w:bCs/>
          <w:color w:val="auto"/>
          <w:sz w:val="24"/>
          <w:szCs w:val="24"/>
          <w:highlight w:val="none"/>
          <w:lang w:val="zh-CN" w:eastAsia="zh-CN"/>
        </w:rPr>
      </w:pPr>
      <w:r>
        <w:rPr>
          <w:rFonts w:hint="eastAsia" w:asciiTheme="minorEastAsia" w:hAnsiTheme="minorEastAsia" w:eastAsiaTheme="minorEastAsia" w:cstheme="minorEastAsia"/>
          <w:b/>
          <w:bCs/>
          <w:color w:val="auto"/>
          <w:sz w:val="24"/>
          <w:szCs w:val="24"/>
          <w:highlight w:val="none"/>
          <w:lang w:val="en-US" w:eastAsia="zh-CN"/>
        </w:rPr>
        <w:t xml:space="preserve">12.4</w:t>
      </w:r>
      <w:r>
        <w:rPr>
          <w:rFonts w:hint="eastAsia" w:asciiTheme="minorEastAsia" w:hAnsiTheme="minorEastAsia" w:eastAsiaTheme="minorEastAsia" w:cstheme="minorEastAsia"/>
          <w:b/>
          <w:bCs/>
          <w:color w:val="auto"/>
          <w:sz w:val="24"/>
          <w:szCs w:val="24"/>
          <w:highlight w:val="none"/>
          <w:lang w:val="zh-CN" w:eastAsia="zh-CN"/>
        </w:rPr>
        <w:t xml:space="preserve">人员工资及相关费用测算依据根据按</w:t>
      </w:r>
      <w:r>
        <w:rPr>
          <w:rFonts w:hint="eastAsia" w:asciiTheme="minorEastAsia" w:hAnsiTheme="minorEastAsia" w:eastAsiaTheme="minorEastAsia" w:cstheme="minorEastAsia"/>
          <w:b/>
          <w:bCs/>
          <w:color w:val="auto"/>
          <w:sz w:val="24"/>
          <w:szCs w:val="24"/>
          <w:highlight w:val="none"/>
          <w:lang w:val="zh-CN" w:eastAsia="zh-CN"/>
        </w:rPr>
        <w:t xml:space="preserve">苏人社规〔2023〕4号《江苏省人力资源社会保障厅关于调整全省最低工资标准的通知》：所有工作人员工资不低于本市最新公布的最低工资标准（2260元/人每月）、社保费用应执行江苏省省人力资源社会保障厅、省财政厅、省医疗保障局、省税务局关于发布2024年度社会保险有关基数的通知，五险（缴费基数为4879元，养老保险16%、医疗保险8%、工伤保险0.7%、生育保险0.9%、失业保险0.5%及大病保险6元）按1279.42元/人/月测算），各投标人统一按照6.72%缴纳法定税费，低于此费用的投标报价符合性审查不通过。</w:t>
      </w:r>
      <w:r/>
    </w:p>
    <w:p>
      <w:pPr>
        <w:pStyle w:val="868"/>
        <w:ind w:left="0" w:firstLine="482"/>
        <w:jc w:val="both"/>
        <w:pageBreakBefore w:val="0"/>
        <w:spacing w:beforeAutospacing="0" w:afterAutospacing="0" w:line="560" w:lineRule="exact"/>
        <w:widowControl w:val="off"/>
        <w:rPr>
          <w:rFonts w:hint="eastAsia" w:asciiTheme="minorEastAsia" w:hAnsiTheme="minorEastAsia" w:eastAsiaTheme="minorEastAsia" w:cstheme="minorEastAsia"/>
          <w:b/>
          <w:bCs/>
          <w:color w:val="auto"/>
          <w:sz w:val="24"/>
          <w:szCs w:val="24"/>
          <w:highlight w:val="none"/>
          <w:lang w:val="zh-CN" w:eastAsia="zh-CN"/>
        </w:rPr>
      </w:pPr>
      <w:r>
        <w:rPr>
          <w:rFonts w:hint="eastAsia" w:asciiTheme="minorEastAsia" w:hAnsiTheme="minorEastAsia" w:eastAsiaTheme="minorEastAsia" w:cstheme="minorEastAsia"/>
          <w:b/>
          <w:bCs/>
          <w:color w:val="auto"/>
          <w:sz w:val="24"/>
          <w:szCs w:val="24"/>
          <w:highlight w:val="none"/>
          <w:lang w:val="zh-CN" w:eastAsia="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pStyle w:val="868"/>
        <w:ind w:left="0" w:firstLine="482"/>
        <w:jc w:val="both"/>
        <w:pageBreakBefore w:val="0"/>
        <w:spacing w:beforeAutospacing="0" w:afterAutospacing="0" w:line="56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12.5  投标人根据招标内容的要求准确报价，一经报出，不得更改。</w:t>
      </w:r>
      <w:r/>
    </w:p>
    <w:p>
      <w:pPr>
        <w:pStyle w:val="868"/>
        <w:ind w:left="0" w:firstLine="482"/>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12.6投标报价的单位为人民币(元)。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12.7对于超出招标文件的其他临时性服务项目，由甲乙双方协商解决。</w:t>
      </w:r>
      <w:r/>
    </w:p>
    <w:p>
      <w:pPr>
        <w:pStyle w:val="868"/>
        <w:numPr>
          <w:ilvl w:val="0"/>
          <w:numId w:val="2"/>
        </w:numPr>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技术要求响应及偏离表、商务要求响应及偏离表</w:t>
      </w:r>
      <w:r/>
    </w:p>
    <w:p>
      <w:pPr>
        <w:pStyle w:val="868"/>
        <w:numPr>
          <w:ilvl w:val="0"/>
          <w:numId w:val="0"/>
        </w:numPr>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13.1投标人需对招标文件中的技术要求与商务要求逐项作出响应或偏离，并说明原因。</w:t>
      </w:r>
      <w:r/>
    </w:p>
    <w:p>
      <w:pPr>
        <w:pStyle w:val="868"/>
        <w:ind w:left="0" w:firstLine="480"/>
        <w:jc w:val="both"/>
        <w:pageBreakBefore w:val="0"/>
        <w:spacing w:beforeAutospacing="0" w:afterAutospacing="0" w:line="560" w:lineRule="exact"/>
        <w:widowControl w:val="off"/>
        <w:tabs>
          <w:tab w:val="left" w:pos="1036"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13.2投标人可在投标文件中提供认为需要的其他技术文件或说明。</w:t>
      </w:r>
      <w:bookmarkStart w:id="110" w:name="_Toc14577359"/>
      <w:r/>
      <w:bookmarkStart w:id="111" w:name="_Toc49090510"/>
      <w:r/>
      <w:r/>
    </w:p>
    <w:p>
      <w:pPr>
        <w:pStyle w:val="868"/>
        <w:ind w:left="0" w:firstLine="480"/>
        <w:jc w:val="both"/>
        <w:pageBreakBefore w:val="0"/>
        <w:spacing w:beforeAutospacing="0" w:afterAutospacing="0" w:line="560" w:lineRule="exact"/>
        <w:widowControl w:val="off"/>
        <w:tabs>
          <w:tab w:val="left" w:pos="1036"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14、投标函和开标一览表</w:t>
      </w:r>
      <w:bookmarkEnd w:id="110"/>
      <w:r/>
      <w:bookmarkEnd w:id="111"/>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14.1投标人应按照招标文件中提供的格式完整、正确填写投标函、开标一览表。</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cstheme="minorEastAsia"/>
          <w:b/>
          <w:color w:val="auto"/>
          <w:sz w:val="24"/>
          <w:szCs w:val="24"/>
          <w:highlight w:val="none"/>
        </w:rPr>
        <w:t xml:space="preserve">。</w:t>
      </w:r>
      <w:r/>
    </w:p>
    <w:p>
      <w:pPr>
        <w:ind w:left="0" w:firstLine="480"/>
        <w:pageBreakBefore w:val="0"/>
        <w:spacing w:line="56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14.3投标文件的大写金额和小写金额不一致的，以大写金额为准；对不同文字文本投标的解释发生异议的，以中文文本为准。</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12" w:name="_Toc49090511"/>
      <w:r/>
      <w:bookmarkStart w:id="113" w:name="_Toc14577360"/>
      <w:r/>
      <w:bookmarkStart w:id="114" w:name="_Hlt26954850"/>
      <w:r/>
      <w:bookmarkStart w:id="115" w:name="_Hlt26954734"/>
      <w:r/>
      <w:bookmarkStart w:id="116" w:name="_Hlt26670489"/>
      <w:r>
        <w:rPr>
          <w:rFonts w:hint="eastAsia" w:asciiTheme="minorEastAsia" w:hAnsiTheme="minorEastAsia" w:eastAsiaTheme="minorEastAsia" w:cstheme="minorEastAsia"/>
          <w:color w:val="auto"/>
          <w:sz w:val="24"/>
          <w:szCs w:val="24"/>
          <w:highlight w:val="none"/>
        </w:rPr>
        <w:t xml:space="preserve">15、投标有效期</w:t>
      </w:r>
      <w:bookmarkEnd w:id="112"/>
      <w:r/>
      <w:bookmarkEnd w:id="113"/>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15.1投标有效期为采购人规定的开标之日后</w:t>
      </w:r>
      <w:r>
        <w:rPr>
          <w:rFonts w:hint="eastAsia" w:asciiTheme="minorEastAsia" w:hAnsiTheme="minorEastAsia" w:eastAsiaTheme="minorEastAsia" w:cstheme="minorEastAsia"/>
          <w:b/>
          <w:color w:val="auto"/>
          <w:sz w:val="24"/>
          <w:szCs w:val="24"/>
          <w:highlight w:val="none"/>
          <w:u w:val="single"/>
          <w:lang w:val="en-US" w:eastAsia="zh-CN"/>
        </w:rPr>
        <w:t xml:space="preserve">九</w:t>
      </w:r>
      <w:r>
        <w:rPr>
          <w:rFonts w:hint="eastAsia" w:asciiTheme="minorEastAsia" w:hAnsiTheme="minorEastAsia" w:eastAsiaTheme="minorEastAsia" w:cstheme="minorEastAsia"/>
          <w:b/>
          <w:color w:val="auto"/>
          <w:sz w:val="24"/>
          <w:szCs w:val="24"/>
          <w:highlight w:val="none"/>
          <w:u w:val="single"/>
        </w:rPr>
        <w:t xml:space="preserve">十（</w:t>
      </w:r>
      <w:r>
        <w:rPr>
          <w:rFonts w:hint="eastAsia" w:asciiTheme="minorEastAsia" w:hAnsiTheme="minorEastAsia" w:eastAsiaTheme="minorEastAsia" w:cstheme="minorEastAsia"/>
          <w:b/>
          <w:color w:val="auto"/>
          <w:sz w:val="24"/>
          <w:szCs w:val="24"/>
          <w:highlight w:val="none"/>
          <w:u w:val="single"/>
          <w:lang w:val="en-US" w:eastAsia="zh-CN"/>
        </w:rPr>
        <w:t xml:space="preserve">90</w:t>
      </w:r>
      <w:r>
        <w:rPr>
          <w:rFonts w:hint="eastAsia" w:asciiTheme="minorEastAsia" w:hAnsiTheme="minorEastAsia" w:eastAsiaTheme="minorEastAsia" w:cstheme="minorEastAsia"/>
          <w:b/>
          <w:color w:val="auto"/>
          <w:sz w:val="24"/>
          <w:szCs w:val="24"/>
          <w:highlight w:val="none"/>
          <w:u w:val="single"/>
        </w:rPr>
        <w:t xml:space="preserve">）天</w:t>
      </w:r>
      <w:r>
        <w:rPr>
          <w:rFonts w:hint="eastAsia" w:asciiTheme="minorEastAsia" w:hAnsiTheme="minorEastAsia" w:eastAsiaTheme="minorEastAsia" w:cstheme="minorEastAsia"/>
          <w:color w:val="auto"/>
          <w:sz w:val="24"/>
          <w:szCs w:val="24"/>
          <w:highlight w:val="none"/>
        </w:rPr>
        <w:t xml:space="preserve">。投标有效期比规定短的将被视为未实质性响应招标文件而予以拒绝。</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16、投标有效期的延长</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68"/>
        <w:ind w:left="0" w:firstLine="482"/>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17" w:name="_Toc513029224"/>
      <w:r/>
      <w:bookmarkStart w:id="118" w:name="_Toc16938540"/>
      <w:r/>
      <w:bookmarkStart w:id="119" w:name="_Toc20823296"/>
      <w:r/>
      <w:bookmarkStart w:id="120" w:name="_Toc120614217"/>
      <w:r/>
      <w:bookmarkStart w:id="121" w:name="_Hlt26954852"/>
      <w:r/>
      <w:bookmarkStart w:id="122" w:name="_Hlt26954739"/>
      <w:r>
        <w:rPr>
          <w:rFonts w:hint="eastAsia" w:asciiTheme="minorEastAsia" w:hAnsiTheme="minorEastAsia" w:eastAsiaTheme="minorEastAsia" w:cstheme="minorEastAsia"/>
          <w:b/>
          <w:color w:val="auto"/>
          <w:sz w:val="24"/>
          <w:szCs w:val="24"/>
          <w:highlight w:val="none"/>
        </w:rPr>
        <w:t xml:space="preserve">四、投标文件的递交</w:t>
      </w:r>
      <w:bookmarkEnd w:id="117"/>
      <w:r/>
      <w:bookmarkEnd w:id="118"/>
      <w:r/>
      <w:bookmarkEnd w:id="119"/>
      <w:r/>
      <w:bookmarkEnd w:id="120"/>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23" w:name="_Toc20823297"/>
      <w:r/>
      <w:bookmarkStart w:id="124" w:name="_Toc16938541"/>
      <w:r/>
      <w:bookmarkStart w:id="125" w:name="_Toc513029225"/>
      <w:r/>
      <w:bookmarkStart w:id="126" w:name="_Toc462564084"/>
      <w:r>
        <w:rPr>
          <w:rFonts w:hint="eastAsia" w:asciiTheme="minorEastAsia" w:hAnsiTheme="minorEastAsia" w:eastAsiaTheme="minorEastAsia" w:cstheme="minorEastAsia"/>
          <w:color w:val="auto"/>
          <w:sz w:val="24"/>
          <w:szCs w:val="24"/>
          <w:highlight w:val="none"/>
        </w:rPr>
        <w:t xml:space="preserve">17、投标文件</w:t>
      </w:r>
      <w:bookmarkEnd w:id="123"/>
      <w:r/>
      <w:bookmarkEnd w:id="124"/>
      <w:r/>
      <w:bookmarkEnd w:id="125"/>
      <w:r/>
      <w:bookmarkEnd w:id="126"/>
      <w:r>
        <w:rPr>
          <w:rFonts w:hint="eastAsia" w:asciiTheme="minorEastAsia" w:hAnsiTheme="minorEastAsia" w:eastAsiaTheme="minorEastAsia" w:cstheme="minorEastAsia"/>
          <w:color w:val="auto"/>
          <w:sz w:val="24"/>
          <w:szCs w:val="24"/>
          <w:highlight w:val="none"/>
        </w:rPr>
        <w:t xml:space="preserve">的递交</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17.1 电子投标文件的递交</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投标人应当按照《操作手册》规定，在投标截止时间前制作并上传电子投标文件。</w:t>
      </w:r>
      <w:bookmarkStart w:id="127" w:name="_Toc16938542"/>
      <w:r/>
      <w:bookmarkEnd w:id="127"/>
      <w:r/>
      <w:bookmarkStart w:id="128" w:name="_Toc20823298"/>
      <w:r/>
      <w:bookmarkEnd w:id="128"/>
      <w:r/>
      <w:bookmarkStart w:id="129" w:name="_Toc513029226"/>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18、投标截止时间</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18.1投标人上传电子投标文件的时间不得迟于招标公告中规定的投标截止时间。</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30" w:name="_Toc513029227"/>
      <w:r/>
      <w:bookmarkStart w:id="131" w:name="_Toc16938543"/>
      <w:r/>
      <w:bookmarkStart w:id="132" w:name="_Toc20823299"/>
      <w:r>
        <w:rPr>
          <w:rFonts w:hint="eastAsia" w:asciiTheme="minorEastAsia" w:hAnsiTheme="minorEastAsia" w:eastAsiaTheme="minorEastAsia" w:cstheme="minorEastAsia"/>
          <w:color w:val="auto"/>
          <w:sz w:val="24"/>
          <w:szCs w:val="24"/>
          <w:highlight w:val="none"/>
        </w:rPr>
        <w:t xml:space="preserve">19、投标文件</w:t>
      </w:r>
      <w:bookmarkEnd w:id="130"/>
      <w:r/>
      <w:bookmarkEnd w:id="131"/>
      <w:r/>
      <w:bookmarkEnd w:id="132"/>
      <w:r>
        <w:rPr>
          <w:rFonts w:hint="eastAsia" w:asciiTheme="minorEastAsia" w:hAnsiTheme="minorEastAsia" w:eastAsiaTheme="minorEastAsia" w:cstheme="minorEastAsia"/>
          <w:color w:val="auto"/>
          <w:sz w:val="24"/>
          <w:szCs w:val="24"/>
          <w:highlight w:val="none"/>
        </w:rPr>
        <w:t xml:space="preserve">的拒收</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19.1采购人拒绝接收在其规定的投标截止时间后上传的任何投标文件。</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33" w:name="_Toc16938544"/>
      <w:r/>
      <w:bookmarkStart w:id="134" w:name="_Toc20823300"/>
      <w:r/>
      <w:bookmarkStart w:id="135" w:name="_Toc513029228"/>
      <w:r>
        <w:rPr>
          <w:rFonts w:hint="eastAsia" w:asciiTheme="minorEastAsia" w:hAnsiTheme="minorEastAsia" w:eastAsiaTheme="minorEastAsia" w:cstheme="minorEastAsia"/>
          <w:color w:val="auto"/>
          <w:sz w:val="24"/>
          <w:szCs w:val="24"/>
          <w:highlight w:val="none"/>
        </w:rPr>
        <w:t xml:space="preserve">20、投标文件的撤回和修改</w:t>
      </w:r>
      <w:bookmarkEnd w:id="133"/>
      <w:r/>
      <w:bookmarkEnd w:id="134"/>
      <w:r/>
      <w:bookmarkEnd w:id="135"/>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20.1投标文件的撤回</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20.1.1电子投标文件的撤回</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投标人可在投标截止时间前，撤回其电子投标文件，具体操作方法见《操作手册》。</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20.1.2投标人撤回电子投标文件，则认为其不再参与本项目投标活动。</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 投标文件的修改</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20.2.1投标人可在投标截止时间前，对其电子投标文件进行修改，具体操作方法见《操作手册》。</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20.2.2在投标截止时间之后，投标人不得对其电子投标文件作任何修改。</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20.3在投标截止时间至招标文件中规定的投标有效期满之间的这段时间内，投标人不得撤回其投标。</w:t>
      </w:r>
      <w:r/>
    </w:p>
    <w:p>
      <w:pPr>
        <w:pStyle w:val="868"/>
        <w:ind w:left="0" w:firstLine="482"/>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36" w:name="_Toc20823301"/>
      <w:r/>
      <w:bookmarkStart w:id="137" w:name="_Toc16938545"/>
      <w:r/>
      <w:bookmarkStart w:id="138" w:name="_Toc120614218"/>
      <w:r/>
      <w:bookmarkStart w:id="139" w:name="_Toc513029229"/>
      <w:r>
        <w:rPr>
          <w:rFonts w:hint="eastAsia" w:asciiTheme="minorEastAsia" w:hAnsiTheme="minorEastAsia" w:eastAsiaTheme="minorEastAsia" w:cstheme="minorEastAsia"/>
          <w:b/>
          <w:color w:val="auto"/>
          <w:sz w:val="24"/>
          <w:szCs w:val="24"/>
          <w:highlight w:val="none"/>
        </w:rPr>
        <w:t xml:space="preserve">五、开标与评标</w:t>
      </w:r>
      <w:bookmarkEnd w:id="136"/>
      <w:r/>
      <w:bookmarkEnd w:id="137"/>
      <w:r/>
      <w:bookmarkEnd w:id="138"/>
      <w:r/>
      <w:bookmarkEnd w:id="139"/>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40" w:name="_Toc16938546"/>
      <w:r/>
      <w:bookmarkStart w:id="141" w:name="_Toc20823302"/>
      <w:r/>
      <w:bookmarkStart w:id="142" w:name="_Toc513029230"/>
      <w:r>
        <w:rPr>
          <w:rFonts w:hint="eastAsia" w:asciiTheme="minorEastAsia" w:hAnsiTheme="minorEastAsia" w:eastAsiaTheme="minorEastAsia" w:cstheme="minorEastAsia"/>
          <w:color w:val="auto"/>
          <w:sz w:val="24"/>
          <w:szCs w:val="24"/>
          <w:highlight w:val="none"/>
        </w:rPr>
        <w:t xml:space="preserve">21、开标</w:t>
      </w:r>
      <w:bookmarkEnd w:id="140"/>
      <w:r/>
      <w:bookmarkEnd w:id="141"/>
      <w:r/>
      <w:bookmarkEnd w:id="142"/>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21.1交易中心将在招标公告中规定的时间和地点组织公开开标。投标人应当按照《操作手册》规定，参加开标活动和在苏采云系统规定的时间内对投标文件进行解密。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21.2开标仪式由交易中心组织。苏采云系统将自动对项目进行开标，并宣布各投标人名称和投标价格。</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21.3投标人在开标过程中涉及到的投标文件解密、开标结果确认等工作，应按照《操作手册》规定执行。</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43" w:name="_Toc20823303"/>
      <w:r/>
      <w:bookmarkStart w:id="144" w:name="_Toc16938547"/>
      <w:r/>
      <w:bookmarkStart w:id="145" w:name="_Toc513029231"/>
      <w:r>
        <w:rPr>
          <w:rFonts w:hint="eastAsia" w:asciiTheme="minorEastAsia" w:hAnsiTheme="minorEastAsia" w:eastAsiaTheme="minorEastAsia" w:cstheme="minorEastAsia"/>
          <w:color w:val="auto"/>
          <w:sz w:val="24"/>
          <w:szCs w:val="24"/>
          <w:highlight w:val="none"/>
        </w:rPr>
        <w:t xml:space="preserve">22、评标委员会</w:t>
      </w:r>
      <w:bookmarkEnd w:id="143"/>
      <w:r/>
      <w:bookmarkEnd w:id="144"/>
      <w:r/>
      <w:bookmarkEnd w:id="145"/>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22.1开标后，交易中心将立即组织评标委员会（以下简称评委会）进行评标。</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22.2评委会由采购人代表和有关技术、经济等方面的专家组成，且人员构成符合政府采购有关规定。</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22.3评委会独立工作，负责评审所有投标文件并确定中标侯选人。</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23、评标过程的保密与公正</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23.1凡是与审查、澄清、评价和比较投标的有关资料以及授标建议等，采购人、评委、交易中心均不得向投标人或与评标无关的其他人员透露。</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23.2在评标过程中，投标人不得以任何行为影响评标过程，否则其投标文件将被作为无效投标文件。</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23.3交易中心和评标委员会不向未中标的投标人解释未中标原因，也不公布评标过程中的相关细节。</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23.4采用综合评分法的项目，未中标的投标人可于中标结果公告期限届满之日起通过苏采云系统查看自己的评审得分及排序情况。</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46" w:name="_Toc16938548"/>
      <w:r/>
      <w:bookmarkStart w:id="147" w:name="_Toc513029232"/>
      <w:r/>
      <w:bookmarkStart w:id="148" w:name="_Toc20823304"/>
      <w:r>
        <w:rPr>
          <w:rFonts w:hint="eastAsia" w:asciiTheme="minorEastAsia" w:hAnsiTheme="minorEastAsia" w:eastAsiaTheme="minorEastAsia" w:cstheme="minorEastAsia"/>
          <w:color w:val="auto"/>
          <w:sz w:val="24"/>
          <w:szCs w:val="24"/>
          <w:highlight w:val="none"/>
        </w:rPr>
        <w:t xml:space="preserve">24、投标文件的澄清</w:t>
      </w:r>
      <w:bookmarkEnd w:id="146"/>
      <w:r/>
      <w:bookmarkEnd w:id="147"/>
      <w:r/>
      <w:bookmarkEnd w:id="148"/>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投标人的澄清、说明或者补正不得超出投标文件的范围或者改变投标文件的实质性内容。</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评标委员会并非对每个投标人都做澄清要求。</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24.3接到评委会澄清、说明和补正要求的投标人如未按规定做出澄清、说明和补正，其风险由投标人自行承担。</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49" w:name="_Toc16938549"/>
      <w:r/>
      <w:bookmarkStart w:id="150" w:name="_Toc513029233"/>
      <w:r/>
      <w:bookmarkStart w:id="151" w:name="_Toc20823305"/>
      <w:r>
        <w:rPr>
          <w:rFonts w:hint="eastAsia" w:asciiTheme="minorEastAsia" w:hAnsiTheme="minorEastAsia" w:eastAsiaTheme="minorEastAsia" w:cstheme="minorEastAsia"/>
          <w:color w:val="auto"/>
          <w:sz w:val="24"/>
          <w:szCs w:val="24"/>
          <w:highlight w:val="none"/>
        </w:rPr>
        <w:t xml:space="preserve">25、对投标文件的初审</w:t>
      </w:r>
      <w:bookmarkEnd w:id="149"/>
      <w:r/>
      <w:bookmarkEnd w:id="150"/>
      <w:r/>
      <w:bookmarkEnd w:id="151"/>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25.1投标文件初审分为资格审查和符合性审查。</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25.4评委会将对确定为实质性响应的投标进行进一步审核，确定其是否有计算上或累加上的算术错误，修正错误的原则如下：</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（1）投标文件中开标一览表内容与投标文件中相应内容不一致的，以开标一览表为准。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（2）大写金额和小写金额不一致的，以大写金额为准。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（3）单价金额小数点或者百分比有明显错位的，以开标一览表的总价为准，并修改单价。</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（4）总价金额与按单价汇总金额不一致的，以单价金额计算结果为准。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同时出现两种以上错误的，按照前款规定的顺序修正。</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52" w:name="_Toc20823306"/>
      <w:r/>
      <w:bookmarkStart w:id="153" w:name="_Toc16938550"/>
      <w:r/>
      <w:bookmarkStart w:id="154" w:name="_Toc513029234"/>
      <w:r>
        <w:rPr>
          <w:rFonts w:hint="eastAsia" w:asciiTheme="minorEastAsia" w:hAnsiTheme="minorEastAsia" w:eastAsiaTheme="minorEastAsia" w:cstheme="minorEastAsia"/>
          <w:color w:val="auto"/>
          <w:sz w:val="24"/>
          <w:szCs w:val="24"/>
          <w:highlight w:val="none"/>
        </w:rPr>
        <w:t xml:space="preserve">25.6投标人在开、评标全过程中应保持通讯畅通，及时登录苏采云系统查阅、答复相关信息，并安排专人与交易中心及评标委员会联系。</w:t>
      </w:r>
      <w:bookmarkEnd w:id="152"/>
      <w:r/>
      <w:bookmarkEnd w:id="153"/>
      <w:r/>
      <w:bookmarkEnd w:id="154"/>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26、无效投标条款和废标条款</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55" w:name="_Toc513029235"/>
      <w:r/>
      <w:bookmarkStart w:id="156" w:name="_Toc20823307"/>
      <w:r/>
      <w:bookmarkStart w:id="157" w:name="_Toc16938551"/>
      <w:r>
        <w:rPr>
          <w:rFonts w:hint="eastAsia" w:asciiTheme="minorEastAsia" w:hAnsiTheme="minorEastAsia" w:eastAsiaTheme="minorEastAsia" w:cstheme="minorEastAsia"/>
          <w:color w:val="auto"/>
          <w:sz w:val="24"/>
          <w:szCs w:val="24"/>
          <w:highlight w:val="none"/>
        </w:rPr>
        <w:t xml:space="preserve">26.1无效投标条款</w:t>
      </w:r>
      <w:bookmarkEnd w:id="155"/>
      <w:r/>
      <w:bookmarkEnd w:id="156"/>
      <w:r/>
      <w:bookmarkEnd w:id="157"/>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26.1.1投标人在苏采云系统规定的时间内未成功解密电子投标文件的。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26.1.2投标人未按照招标文件要求上传电子投标文件的。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26.1.3同一投标人提交两个（含两个）以上不同的投标报价的。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26.1.4投标人不具备招标文件中规定资格要求的。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26.1.5投标人的报价超过了采购预算或最高限价的。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26.1.6未通过符合性审查的。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26.1.7不符合招标文件中规定的实质性要求和条件的（</w:t>
      </w:r>
      <w:r>
        <w:rPr>
          <w:rFonts w:hint="eastAsia" w:asciiTheme="minorEastAsia" w:hAnsiTheme="minorEastAsia" w:eastAsiaTheme="minorEastAsia" w:cstheme="minorEastAsia"/>
          <w:i/>
          <w:color w:val="auto"/>
          <w:sz w:val="24"/>
          <w:szCs w:val="24"/>
          <w:highlight w:val="none"/>
          <w:u w:val="single"/>
        </w:rPr>
        <w:t xml:space="preserve">本招标文件中斜体且有下划线部分为实质性要求和条件）。</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26.1.9投标文件含有采购人不能接受的附加条件的。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26.1.11投标文件未按照招标文件要求加盖CA电子公章的。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26.1.12其他法律、法规及本招标文件规定的属无效投标的情形。</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26.2废标条款</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26.2.1符合专业条件的供应商或者对招标文件作实质响应的供应商不足三家的。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26.2.2出现影响采购公正的违法、违规行为的。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26.2.3因重大变故，采购任务取消的。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26.2.4评标委员会认定招标文件存在歧义、重大缺陷导致评审工作无法进行。</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26.2.5因苏采云系统系统故障原因造成开标不成功的。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26.3 投标截止时间结束后参加投标的供应商不足三家的处理：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8"/>
        <w:ind w:left="0" w:firstLine="482"/>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58" w:name="_Toc120614219"/>
      <w:r>
        <w:rPr>
          <w:rFonts w:hint="eastAsia" w:asciiTheme="minorEastAsia" w:hAnsiTheme="minorEastAsia" w:eastAsiaTheme="minorEastAsia" w:cstheme="minorEastAsia"/>
          <w:b/>
          <w:color w:val="auto"/>
          <w:sz w:val="24"/>
          <w:szCs w:val="24"/>
          <w:highlight w:val="none"/>
        </w:rPr>
        <w:t xml:space="preserve">六、定标</w:t>
      </w:r>
      <w:bookmarkEnd w:id="158"/>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59" w:name="_Toc20823310"/>
      <w:r/>
      <w:bookmarkStart w:id="160" w:name="_Toc513029238"/>
      <w:r/>
      <w:bookmarkStart w:id="161" w:name="_Toc16938554"/>
      <w:r>
        <w:rPr>
          <w:rFonts w:hint="eastAsia" w:asciiTheme="minorEastAsia" w:hAnsiTheme="minorEastAsia" w:eastAsiaTheme="minorEastAsia" w:cstheme="minorEastAsia"/>
          <w:color w:val="auto"/>
          <w:sz w:val="24"/>
          <w:szCs w:val="24"/>
          <w:highlight w:val="none"/>
        </w:rPr>
        <w:t xml:space="preserve">27、</w:t>
      </w:r>
      <w:bookmarkEnd w:id="159"/>
      <w:r>
        <w:rPr>
          <w:rFonts w:hint="eastAsia" w:asciiTheme="minorEastAsia" w:hAnsiTheme="minorEastAsia" w:eastAsiaTheme="minorEastAsia" w:cstheme="minorEastAsia"/>
          <w:color w:val="auto"/>
          <w:sz w:val="24"/>
          <w:szCs w:val="24"/>
          <w:highlight w:val="none"/>
        </w:rPr>
        <w:t xml:space="preserve">确定</w:t>
      </w:r>
      <w:bookmarkEnd w:id="160"/>
      <w:r/>
      <w:bookmarkEnd w:id="161"/>
      <w:r>
        <w:rPr>
          <w:rFonts w:hint="eastAsia" w:asciiTheme="minorEastAsia" w:hAnsiTheme="minorEastAsia" w:eastAsiaTheme="minorEastAsia" w:cstheme="minorEastAsia"/>
          <w:color w:val="auto"/>
          <w:sz w:val="24"/>
          <w:szCs w:val="24"/>
          <w:highlight w:val="none"/>
        </w:rPr>
        <w:t xml:space="preserve">中标单位</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27.1中标候选人的选取原则和数量见招标文件第五章规定。 </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27.2采购人应根据评委会推荐的中标候选人确定中标人。</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27.3交易中心将在</w:t>
      </w:r>
      <w:r>
        <w:rPr>
          <w:rFonts w:hint="eastAsia" w:asciiTheme="minorEastAsia" w:hAnsiTheme="minorEastAsia" w:eastAsiaTheme="minorEastAsia" w:cstheme="minorEastAsia"/>
          <w:color w:val="auto"/>
          <w:sz w:val="24"/>
          <w:szCs w:val="24"/>
          <w:highlight w:val="none"/>
          <w:shd w:val="clear" w:color="auto" w:fill="ffffff"/>
        </w:rPr>
        <w:t xml:space="preserve">“</w:t>
      </w:r>
      <w:r>
        <w:rPr>
          <w:rFonts w:hint="eastAsia" w:asciiTheme="minorEastAsia" w:hAnsiTheme="minorEastAsia" w:eastAsiaTheme="minorEastAsia" w:cstheme="minorEastAsia"/>
          <w:color w:val="auto"/>
          <w:sz w:val="24"/>
          <w:szCs w:val="24"/>
          <w:highlight w:val="none"/>
        </w:rPr>
        <w:t xml:space="preserve">中国政府采购网</w:t>
      </w:r>
      <w:r>
        <w:rPr>
          <w:rFonts w:hint="eastAsia" w:asciiTheme="minorEastAsia" w:hAnsiTheme="minorEastAsia" w:eastAsiaTheme="minorEastAsia" w:cstheme="minorEastAsia"/>
          <w:color w:val="auto"/>
          <w:sz w:val="24"/>
          <w:szCs w:val="24"/>
          <w:highlight w:val="none"/>
          <w:shd w:val="clear" w:color="auto" w:fill="ffffff"/>
        </w:rPr>
        <w:t xml:space="preserve">”、“江苏政府采购网”、“盐城市政府采购网”、“盐城市盐都区人民政府网”</w:t>
      </w:r>
      <w:r>
        <w:rPr>
          <w:rFonts w:hint="eastAsia" w:asciiTheme="minorEastAsia" w:hAnsiTheme="minorEastAsia" w:eastAsiaTheme="minorEastAsia" w:cstheme="minorEastAsia"/>
          <w:color w:val="auto"/>
          <w:sz w:val="24"/>
          <w:szCs w:val="24"/>
          <w:highlight w:val="none"/>
        </w:rPr>
        <w:t xml:space="preserve">发布中标公告，公告期限为1个工作日。</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27.4若有充分证据证明，中标人出现下列情况之一的，一经查实，将被取消中标资格：</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27.4.1提供虚假材料谋取中标的。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27.4.2向采购人、交易中心行贿或者提供其他不正当利益的。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27.4.3属于本文件规定的无效条件，但在评标过程中又未被评委会发现的。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27.4.4与采购人或者其他供应商恶意串通的。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27.4.5采取不正当手段诋毁、排挤其他供应商的。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62" w:name="_Toc200451960"/>
      <w:r>
        <w:rPr>
          <w:rFonts w:hint="eastAsia" w:asciiTheme="minorEastAsia" w:hAnsiTheme="minorEastAsia" w:eastAsiaTheme="minorEastAsia" w:cstheme="minorEastAsia"/>
          <w:color w:val="auto"/>
          <w:sz w:val="24"/>
          <w:szCs w:val="24"/>
          <w:highlight w:val="none"/>
        </w:rPr>
        <w:t xml:space="preserve">27.5 有下列情形之一的，视为投标人串通投标，投标无效：</w:t>
      </w:r>
      <w:bookmarkEnd w:id="162"/>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27.5.1不同投标人的投标文件由同一单位或者个人编制。</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27.5.2不同投标人委托同一单位或者个人办理投标事宜。</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27.5.3不同投标人的投标文件载明的项目管理成员或者联系人员为同一人。</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27.5.4不同投标人的投标文件异常一致或者投标报价呈规律性差异。</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28、质疑处理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28.2.1对可以质疑的采购文件提出质疑的，为收到采购文件之日或者采购文件公告期限届满之日；</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28.2.2对采购过程提出质疑的，为各采购程序环节结束之日；</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28.2.3对中标或者成交结果提出质疑的，为中标或者成交结果公告期限届满之日。</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28.4供应商（含潜在供应商）对与本项目有关的所有询问、质疑均请向采购人提出，由采购人负责答复。</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采购人只接收以纸质原件形式送达的质疑,采购人不接受未填写快递运单的快件。</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 以下情形的质疑不予受理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28.5.1内容不符合《政府采购质疑和投诉办法》第十二条规定的质疑。</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28.5.2超出政府采购法定期限的质疑。</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28.5.3以传真、电子邮件等方式递交的非原件形式的质疑。</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28.5.4未参加投标活动的供应商或在投标活动中自身权益未受到损害的供应商所提出的质疑。</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28.5.5供应商组成联合体参加投标，联合体中任何一方或多方未按要求签字、盖章、加盖公章的质疑。</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28.6供应商提出书面质疑必须有理、有据，不得捏造事实、提供虚假材料进行恶意质疑。否则，一经查实，</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有权依据政府采购的有关规定，报请政府采购监管部门对该供应商进行相应的行政处罚和记录该供应商的失信信息。</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29、中标通知书</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8"/>
        <w:ind w:left="0" w:firstLine="482"/>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63" w:name="_Toc16938552"/>
      <w:r/>
      <w:bookmarkStart w:id="164" w:name="_Toc120614220"/>
      <w:r/>
      <w:bookmarkStart w:id="165" w:name="_Toc20823308"/>
      <w:r/>
      <w:bookmarkStart w:id="166" w:name="_Toc513029236"/>
      <w:r>
        <w:rPr>
          <w:rFonts w:hint="eastAsia" w:asciiTheme="minorEastAsia" w:hAnsiTheme="minorEastAsia" w:eastAsiaTheme="minorEastAsia" w:cstheme="minorEastAsia"/>
          <w:b/>
          <w:color w:val="auto"/>
          <w:sz w:val="24"/>
          <w:szCs w:val="24"/>
          <w:highlight w:val="none"/>
        </w:rPr>
        <w:t xml:space="preserve">七、授予合同</w:t>
      </w:r>
      <w:bookmarkEnd w:id="163"/>
      <w:r/>
      <w:bookmarkEnd w:id="164"/>
      <w:r/>
      <w:bookmarkEnd w:id="165"/>
      <w:r/>
      <w:bookmarkEnd w:id="166"/>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67" w:name="_Toc513029237"/>
      <w:r/>
      <w:bookmarkStart w:id="168" w:name="_Toc16938553"/>
      <w:r/>
      <w:bookmarkStart w:id="169" w:name="_Toc20823309"/>
      <w:r>
        <w:rPr>
          <w:rFonts w:hint="eastAsia" w:asciiTheme="minorEastAsia" w:hAnsiTheme="minorEastAsia" w:eastAsiaTheme="minorEastAsia" w:cstheme="minorEastAsia"/>
          <w:color w:val="auto"/>
          <w:sz w:val="24"/>
          <w:szCs w:val="24"/>
          <w:highlight w:val="none"/>
        </w:rPr>
        <w:t xml:space="preserve">30.签订合同</w:t>
      </w:r>
      <w:bookmarkEnd w:id="167"/>
      <w:r/>
      <w:bookmarkEnd w:id="168"/>
      <w:r/>
      <w:bookmarkEnd w:id="169"/>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30.l中标人应当在中标通知书发出之日起三十日内，按照招标文件确定的事项与采购人签订政府采购合同。</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30.2招标文件、中标人的投标文件及招标过程中有关澄清、承诺文件均应作为合同附件。</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30.3签订合同后，</w:t>
      </w:r>
      <w:r>
        <w:rPr>
          <w:rFonts w:hint="eastAsia" w:asciiTheme="minorEastAsia" w:hAnsiTheme="minorEastAsia" w:eastAsiaTheme="minorEastAsia" w:cstheme="minorEastAsia"/>
          <w:i/>
          <w:color w:val="auto"/>
          <w:sz w:val="24"/>
          <w:szCs w:val="24"/>
          <w:highlight w:val="none"/>
          <w:u w:val="single"/>
        </w:rPr>
        <w:t xml:space="preserve">中标人不得将合同标的进行转包</w:t>
      </w:r>
      <w:r>
        <w:rPr>
          <w:rFonts w:hint="eastAsia" w:asciiTheme="minorEastAsia" w:hAnsiTheme="minorEastAsia" w:eastAsiaTheme="minorEastAsia" w:cstheme="minorEastAsia"/>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服务（包含与服务相关的货物）的追加</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8"/>
        <w:ind w:left="0" w:firstLine="480"/>
        <w:jc w:val="both"/>
        <w:keepLines/>
        <w:keepNext/>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70" w:name="_Toc16938558"/>
      <w:r/>
      <w:bookmarkStart w:id="171" w:name="_Toc20823314"/>
      <w:r/>
      <w:bookmarkStart w:id="172" w:name="_Toc120614221"/>
      <w:r/>
      <w:bookmarkStart w:id="173" w:name="_Toc479757207"/>
      <w:r/>
      <w:bookmarkStart w:id="174" w:name="_Toc513029242"/>
      <w:r>
        <w:rPr>
          <w:rFonts w:hint="eastAsia" w:asciiTheme="minorEastAsia" w:hAnsiTheme="minorEastAsia" w:eastAsiaTheme="minorEastAsia" w:cstheme="minorEastAsia"/>
          <w:color w:val="auto"/>
          <w:sz w:val="24"/>
          <w:szCs w:val="24"/>
          <w:highlight w:val="none"/>
        </w:rPr>
        <w:t xml:space="preserve">32</w:t>
      </w:r>
      <w:bookmarkEnd w:id="170"/>
      <w:r/>
      <w:bookmarkEnd w:id="171"/>
      <w:r/>
      <w:bookmarkEnd w:id="172"/>
      <w:r/>
      <w:bookmarkEnd w:id="173"/>
      <w:r/>
      <w:bookmarkEnd w:id="174"/>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政府采购政策功能落实</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32.1政府采购线上合同信用融资政策</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32.2进口产品</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32.3中小企业、监狱企业及残疾人福利性单位</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32.3.1中小企业定义：</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中小企业是</w:t>
      </w:r>
      <w:r>
        <w:rPr>
          <w:rFonts w:hint="eastAsia" w:asciiTheme="minorEastAsia" w:hAnsiTheme="minorEastAsia" w:eastAsiaTheme="minorEastAsia" w:cstheme="minorEastAsia"/>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32.3.2供应商提供的货物、工程或者服务符合下列情形的，享受中小企业扶持政策：</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32.3.2.1在货物采购项目中，货物由中小企业制造，即货物由中小企业生产且使用该中小企业商号或者注册商标；</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32.3.2.2在工程采购项目中，工程由中小企业承建，即工程施工单位为中小企业；</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32.3.2.3在服务采购项目中，服务由中小企业承接，即提供服务的人员为中小企业依照《中华人民共和国劳动合同法》订立劳动合同的从业人员。</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32.3.3在货物采购项目中，供应商提供的货物既有中小企业制造货物，也有大型企业制造货物的，不享受中小企业扶持政策。</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32.3.6残疾人福利单位定义：享受政府采购支持政策的残疾人福利性单位应当同时满足以下条件：</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32.3.6.1安置的残疾人占本单位在职职工人数的比例不低于25%（含25%），并且安置的残疾人人数不少于10 人（含10 人）；</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32.3.6.2依法与安置的每位残疾人签订了一年以上（含一年）的劳动合同或服务协议；</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32.3.6.3为安置的每位残疾人按月足额缴纳了基本养老保险、基本医疗保险、失业保险、工伤保险和生育保险等社会保险费；</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32.3.6.4通过银行等金融机构向安置的每位残疾人，按月支付了不低于单位所在区县适用的经省级人民政府批准的月最低工资标准的工资；</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32.3.7本项目是否专门面向中小企业预留采购份额见第一章《招标公告》。</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32.3.8采购标的对应的中小企业划分标准所属行业见第四章《采购需求》。</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32.3.9小微企业价格评审优惠的政策：见第五章《评标方法和评标标准》。</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32.4政府采购节能产品、环境标志产品</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32.4.1严格执行政府采购关于支持</w:t>
      </w:r>
      <w:r>
        <w:rPr>
          <w:rFonts w:hint="eastAsia" w:asciiTheme="minorEastAsia" w:hAnsiTheme="minorEastAsia" w:eastAsiaTheme="minorEastAsia" w:cstheme="minorEastAsia"/>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32.5绿色包装</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32.6政府采购创新产品</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采购人优先采购各级政府部门公开发布的有效期内的创新产品、创新服务、首台套、首购首用等《目录》的创新产品。</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32.7绿色数据中心政策 </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32.8履约保证金政策</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确需收取履约保证金的，履约保证金的缴纳形式：</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如以履约保函（保险）形式缴纳履约保证金，供应商可通过政府采购电子履约保函（保险）平台（www.jsdzbh.com）在线申请履约保函（保险）。</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履约保证金金额</w:t>
      </w:r>
      <w:r>
        <w:rPr>
          <w:rFonts w:hint="eastAsia" w:asciiTheme="minorEastAsia" w:hAnsiTheme="minorEastAsia" w:eastAsiaTheme="minorEastAsia" w:cstheme="minorEastAsia"/>
          <w:color w:val="auto"/>
          <w:sz w:val="24"/>
          <w:szCs w:val="24"/>
          <w:highlight w:val="none"/>
          <w:lang w:val="en-US" w:eastAsia="zh-CN"/>
        </w:rPr>
        <w:t xml:space="preserve">为</w:t>
      </w:r>
      <w:r>
        <w:rPr>
          <w:rFonts w:hint="eastAsia" w:asciiTheme="minorEastAsia" w:hAnsiTheme="minorEastAsia" w:eastAsiaTheme="minorEastAsia" w:cstheme="minorEastAsia"/>
          <w:color w:val="auto"/>
          <w:sz w:val="24"/>
          <w:szCs w:val="24"/>
          <w:highlight w:val="none"/>
        </w:rPr>
        <w:t xml:space="preserve">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降低</w:t>
      </w:r>
      <w:r>
        <w:rPr>
          <w:rFonts w:hint="eastAsia" w:ascii="宋体" w:hAnsi="宋体" w:eastAsia="宋体" w:cs="宋体"/>
          <w:sz w:val="24"/>
          <w:szCs w:val="24"/>
          <w:lang w:val="en-US" w:eastAsia="zh-CN"/>
        </w:rPr>
        <w:t xml:space="preserve">比例为</w:t>
      </w:r>
      <w:r>
        <w:rPr>
          <w:rFonts w:hint="eastAsia" w:ascii="宋体" w:hAnsi="宋体" w:eastAsia="宋体" w:cs="宋体"/>
          <w:sz w:val="24"/>
          <w:szCs w:val="24"/>
        </w:rPr>
        <w:t xml:space="preserve">合同金额的</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p>
    <w:p>
      <w:pPr>
        <w:pStyle w:val="868"/>
        <w:ind w:left="0" w:firstLine="480"/>
        <w:jc w:val="both"/>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 预付款制度</w:t>
      </w:r>
      <w:r/>
    </w:p>
    <w:p>
      <w:pPr>
        <w:pStyle w:val="868"/>
        <w:ind w:left="0" w:firstLine="480"/>
        <w:jc w:val="both"/>
        <w:keepLines w:val="0"/>
        <w:keepNext w:val="0"/>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本项目落实预付款制度，预付款比例为</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%。在签订合同时，中标、成交供应商明确书面表示无需预付款或者主动要求降低预付款比例的，采购人可就预付款比例作相应调整。</w:t>
      </w:r>
      <w:r/>
    </w:p>
    <w:p>
      <w:pPr>
        <w:pStyle w:val="868"/>
        <w:ind w:left="0" w:firstLine="560"/>
        <w:jc w:val="both"/>
        <w:keepLines w:val="0"/>
        <w:keepNext w:val="0"/>
        <w:pageBreakBefore w:val="0"/>
        <w:spacing w:beforeAutospacing="0" w:afterAutospacing="0" w:line="56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第三章  合同文本</w:t>
      </w:r>
      <w:r/>
    </w:p>
    <w:p>
      <w:pPr>
        <w:pStyle w:val="868"/>
        <w:ind w:firstLine="480"/>
        <w:jc w:val="left"/>
        <w:keepLines w:val="0"/>
        <w:keepNext w:val="0"/>
        <w:pageBreakBefore w:val="0"/>
        <w:spacing w:beforeAutospacing="0" w:afterAutospacing="0" w:line="560" w:lineRule="exact"/>
        <w:widowControl w:val="off"/>
        <w:rPr>
          <w:rFonts w:hint="eastAsia" w:asciiTheme="minorEastAsia" w:hAnsiTheme="minorEastAsia" w:eastAsiaTheme="minorEastAsia" w:cstheme="minorEastAsia"/>
          <w:color w:val="auto"/>
          <w:sz w:val="24"/>
          <w:szCs w:val="24"/>
          <w:highlight w:val="none"/>
        </w:rPr>
      </w:pPr>
      <w:r/>
      <w:bookmarkStart w:id="175" w:name="_Toc513029243"/>
      <w:r/>
      <w:bookmarkStart w:id="176" w:name="_Toc20823315"/>
      <w:r/>
      <w:bookmarkStart w:id="177" w:name="_Toc16938559"/>
      <w:r>
        <w:rPr>
          <w:rFonts w:hint="eastAsia" w:asciiTheme="minorEastAsia" w:hAnsiTheme="minorEastAsia" w:eastAsiaTheme="minorEastAsia" w:cstheme="minorEastAsia"/>
          <w:color w:val="auto"/>
          <w:sz w:val="24"/>
          <w:szCs w:val="24"/>
          <w:highlight w:val="none"/>
        </w:rPr>
        <w:t xml:space="preserve">以下为中标后签定本项目合同的通用条款，中标人不得提出实质性的修改。</w:t>
      </w:r>
      <w:bookmarkEnd w:id="175"/>
      <w:r/>
      <w:bookmarkEnd w:id="176"/>
      <w:r/>
      <w:bookmarkEnd w:id="177"/>
      <w:r/>
      <w:r/>
    </w:p>
    <w:p>
      <w:pPr>
        <w:pStyle w:val="868"/>
        <w:jc w:val="center"/>
        <w:keepLines w:val="0"/>
        <w:keepNext w:val="0"/>
        <w:pageBreakBefore w:val="0"/>
        <w:spacing w:before="145" w:beforeAutospacing="0" w:after="145" w:afterAutospacing="0"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盐城市政府采购合同（服务）（合同编号）</w:t>
      </w:r>
      <w:r/>
    </w:p>
    <w:p>
      <w:pPr>
        <w:ind w:left="-525" w:right="-525" w:firstLine="480"/>
        <w:jc w:val="left"/>
        <w:keepLines w:val="0"/>
        <w:pageBreakBefore w:val="0"/>
        <w:spacing w:line="440" w:lineRule="exact"/>
        <w:tabs>
          <w:tab w:val="left" w:pos="900" w:leader="none"/>
        </w:tabs>
        <w:rPr>
          <w:rFonts w:hint="eastAsia" w:asciiTheme="minorEastAsia" w:hAnsiTheme="minorEastAsia" w:eastAsiaTheme="minorEastAsia" w:cstheme="minorEastAsia"/>
          <w:bCs/>
          <w:color w:val="auto"/>
          <w:sz w:val="24"/>
          <w:szCs w:val="24"/>
          <w:highlight w:val="none"/>
        </w:rPr>
      </w:pPr>
      <w:r/>
      <w:bookmarkStart w:id="178" w:name="_Toc479757211"/>
      <w:r/>
      <w:bookmarkStart w:id="179" w:name="_Toc16938590"/>
      <w:r/>
      <w:bookmarkStart w:id="180" w:name="_Toc120614244"/>
      <w:r/>
      <w:bookmarkStart w:id="181" w:name="_Hlt16619350"/>
      <w:r/>
      <w:bookmarkStart w:id="182" w:name="_Toc20823346"/>
      <w:r/>
      <w:bookmarkStart w:id="183" w:name="_Toc462564139"/>
      <w:r/>
      <w:bookmarkStart w:id="184" w:name="_Hlt16619369"/>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cstheme="minorEastAsia"/>
          <w:color w:val="auto"/>
          <w:sz w:val="24"/>
          <w:szCs w:val="24"/>
          <w:highlight w:val="none"/>
          <w:u w:val="single"/>
          <w:lang w:val="en-US" w:eastAsia="zh-CN"/>
        </w:rPr>
        <w:t xml:space="preserve">盐</w:t>
      </w:r>
      <w:r>
        <w:rPr>
          <w:rFonts w:hint="eastAsia" w:asciiTheme="minorEastAsia" w:hAnsiTheme="minorEastAsia" w:eastAsiaTheme="minorEastAsia" w:cstheme="minorEastAsia"/>
          <w:bCs/>
          <w:color w:val="auto"/>
          <w:sz w:val="24"/>
          <w:szCs w:val="24"/>
          <w:highlight w:val="none"/>
          <w:u w:val="single"/>
          <w:lang w:val="en-US" w:eastAsia="zh-CN"/>
        </w:rPr>
        <w:t xml:space="preserve">都未来食品产业园孵化区物业管理服务项目</w:t>
      </w:r>
      <w:r>
        <w:rPr>
          <w:rFonts w:hint="eastAsia" w:asciiTheme="minorEastAsia" w:hAnsiTheme="minorEastAsia" w:eastAsiaTheme="minorEastAsia" w:cstheme="minorEastAsia"/>
          <w:bCs/>
          <w:color w:val="auto"/>
          <w:sz w:val="24"/>
          <w:szCs w:val="24"/>
          <w:highlight w:val="none"/>
        </w:rPr>
        <w:t xml:space="preserve">   </w:t>
      </w:r>
      <w:r/>
    </w:p>
    <w:p>
      <w:pPr>
        <w:ind w:left="-525" w:right="-525" w:firstLine="480"/>
        <w:jc w:val="left"/>
        <w:keepLines w:val="0"/>
        <w:pageBreakBefore w:val="0"/>
        <w:spacing w:line="44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bCs/>
          <w:color w:val="auto"/>
          <w:sz w:val="24"/>
          <w:szCs w:val="24"/>
          <w:highlight w:val="none"/>
          <w:u w:val="single"/>
        </w:rPr>
        <w:t xml:space="preserve"> JSZC-320903-JZCG-G2025-0009 </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 xml:space="preserve">甲方：（买方）</w:t>
      </w:r>
      <w:r>
        <w:rPr>
          <w:rFonts w:hint="eastAsia" w:asciiTheme="minorEastAsia" w:hAnsiTheme="minorEastAsia" w:eastAsiaTheme="minorEastAsia" w:cstheme="minorEastAsia"/>
          <w:color w:val="auto"/>
          <w:sz w:val="24"/>
          <w:szCs w:val="24"/>
          <w:highlight w:val="none"/>
          <w:u w:val="single"/>
          <w:lang w:val="en-US" w:eastAsia="zh-CN"/>
        </w:rPr>
        <w:t xml:space="preserve">         </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 xml:space="preserve">乙方：（卖方）</w:t>
      </w:r>
      <w:r>
        <w:rPr>
          <w:rFonts w:hint="eastAsia" w:asciiTheme="minorEastAsia" w:hAnsiTheme="minorEastAsia" w:eastAsiaTheme="minorEastAsia" w:cstheme="minorEastAsia"/>
          <w:color w:val="auto"/>
          <w:sz w:val="24"/>
          <w:szCs w:val="24"/>
          <w:highlight w:val="none"/>
          <w:u w:val="single"/>
          <w:lang w:val="en-US" w:eastAsia="zh-CN"/>
        </w:rPr>
        <w:t xml:space="preserve">         </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甲、乙双方根据盐城市盐都区公共资源交易中心</w:t>
      </w:r>
      <w:r>
        <w:rPr>
          <w:rFonts w:hint="eastAsia" w:asciiTheme="minorEastAsia" w:hAnsiTheme="minorEastAsia" w:cstheme="minorEastAsia"/>
          <w:color w:val="auto"/>
          <w:sz w:val="24"/>
          <w:szCs w:val="24"/>
          <w:highlight w:val="none"/>
          <w:u w:val="single"/>
          <w:lang w:val="en-US" w:eastAsia="zh-CN"/>
        </w:rPr>
        <w:t xml:space="preserve">盐</w:t>
      </w:r>
      <w:r>
        <w:rPr>
          <w:rFonts w:hint="eastAsia" w:asciiTheme="minorEastAsia" w:hAnsiTheme="minorEastAsia" w:eastAsiaTheme="minorEastAsia" w:cstheme="minorEastAsia"/>
          <w:color w:val="auto"/>
          <w:sz w:val="24"/>
          <w:szCs w:val="24"/>
          <w:highlight w:val="none"/>
          <w:u w:val="single"/>
          <w:lang w:eastAsia="zh-CN"/>
        </w:rPr>
        <w:t xml:space="preserve">都未来食品产业园孵化区物业管理服务项目</w:t>
      </w:r>
      <w:r>
        <w:rPr>
          <w:rFonts w:hint="eastAsia" w:asciiTheme="minorEastAsia" w:hAnsiTheme="minorEastAsia" w:eastAsiaTheme="minorEastAsia" w:cstheme="minorEastAsia"/>
          <w:color w:val="auto"/>
          <w:sz w:val="24"/>
          <w:szCs w:val="24"/>
          <w:highlight w:val="none"/>
        </w:rPr>
        <w:t xml:space="preserve">公开招标的结果，签署本合同。</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一、合同内容</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标的名称：</w:t>
      </w:r>
      <w:r>
        <w:rPr>
          <w:rFonts w:hint="eastAsia" w:asciiTheme="minorEastAsia" w:hAnsiTheme="minorEastAsia" w:eastAsiaTheme="minorEastAsia" w:cstheme="minorEastAsia"/>
          <w:color w:val="auto"/>
          <w:sz w:val="24"/>
          <w:szCs w:val="24"/>
          <w:highlight w:val="none"/>
          <w:lang w:val="en-US" w:eastAsia="zh-CN"/>
        </w:rPr>
        <w:t xml:space="preserve">盐</w:t>
      </w:r>
      <w:r>
        <w:rPr>
          <w:rFonts w:hint="eastAsia" w:asciiTheme="minorEastAsia" w:hAnsiTheme="minorEastAsia" w:eastAsiaTheme="minorEastAsia" w:cstheme="minorEastAsia"/>
          <w:color w:val="auto"/>
          <w:sz w:val="24"/>
          <w:szCs w:val="24"/>
          <w:highlight w:val="none"/>
          <w:lang w:eastAsia="zh-CN"/>
        </w:rPr>
        <w:t xml:space="preserve">都未来食品产业园孵化区物业管理服务项目</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1.2标的质量：</w:t>
      </w:r>
      <w:r>
        <w:rPr>
          <w:rFonts w:hint="eastAsia" w:asciiTheme="minorEastAsia" w:hAnsiTheme="minorEastAsia" w:eastAsiaTheme="minorEastAsia" w:cstheme="minorEastAsia"/>
          <w:color w:val="auto"/>
          <w:sz w:val="24"/>
          <w:szCs w:val="24"/>
          <w:highlight w:val="none"/>
          <w:lang w:val="en-US" w:eastAsia="zh-CN"/>
        </w:rPr>
        <w:t xml:space="preserve">符合采购人要求</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标的数量（规模）：本次采购包括</w:t>
      </w:r>
      <w:r>
        <w:rPr>
          <w:rFonts w:hint="eastAsia" w:asciiTheme="minorEastAsia" w:hAnsiTheme="minorEastAsia" w:cstheme="minorEastAsia"/>
          <w:color w:val="auto"/>
          <w:sz w:val="24"/>
          <w:szCs w:val="24"/>
          <w:highlight w:val="none"/>
          <w:u w:val="none"/>
          <w:lang w:val="en-US" w:eastAsia="zh-CN"/>
        </w:rPr>
        <w:t xml:space="preserve">盐</w:t>
      </w:r>
      <w:r>
        <w:rPr>
          <w:rFonts w:hint="eastAsia" w:asciiTheme="minorEastAsia" w:hAnsiTheme="minorEastAsia" w:eastAsiaTheme="minorEastAsia" w:cstheme="minorEastAsia"/>
          <w:color w:val="auto"/>
          <w:sz w:val="24"/>
          <w:szCs w:val="24"/>
          <w:highlight w:val="none"/>
          <w:u w:val="none"/>
          <w:lang w:eastAsia="zh-CN"/>
        </w:rPr>
        <w:t xml:space="preserve">都未来食品产业园孵化区物业管理服务项目</w:t>
      </w:r>
      <w:r>
        <w:rPr>
          <w:rFonts w:hint="eastAsia" w:asciiTheme="minorEastAsia" w:hAnsiTheme="minorEastAsia" w:eastAsiaTheme="minorEastAsia" w:cstheme="minorEastAsia"/>
          <w:color w:val="auto"/>
          <w:sz w:val="24"/>
          <w:szCs w:val="24"/>
          <w:highlight w:val="none"/>
        </w:rPr>
        <w:t xml:space="preserve">。具体详见</w:t>
      </w:r>
      <w:r>
        <w:rPr>
          <w:rFonts w:hint="eastAsia" w:asciiTheme="minorEastAsia" w:hAnsiTheme="minorEastAsia" w:eastAsiaTheme="minorEastAsia" w:cstheme="minorEastAsia"/>
          <w:color w:val="auto"/>
          <w:sz w:val="24"/>
          <w:szCs w:val="24"/>
          <w:highlight w:val="none"/>
          <w:lang w:val="en-US" w:eastAsia="zh-CN"/>
        </w:rPr>
        <w:t xml:space="preserve">采购需求</w:t>
      </w:r>
      <w:r>
        <w:rPr>
          <w:rFonts w:hint="eastAsia" w:asciiTheme="minorEastAsia" w:hAnsiTheme="minorEastAsia" w:eastAsiaTheme="minorEastAsia" w:cstheme="minorEastAsia"/>
          <w:color w:val="auto"/>
          <w:sz w:val="24"/>
          <w:szCs w:val="24"/>
          <w:highlight w:val="none"/>
        </w:rPr>
        <w:t xml:space="preserve">。</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 履行时间（期限）：</w:t>
      </w:r>
      <w:r>
        <w:rPr>
          <w:rFonts w:hint="eastAsia" w:asciiTheme="minorEastAsia" w:hAnsiTheme="minorEastAsia" w:eastAsiaTheme="minorEastAsia" w:cstheme="minorEastAsia"/>
          <w:color w:val="auto"/>
          <w:sz w:val="24"/>
          <w:szCs w:val="24"/>
          <w:highlight w:val="none"/>
          <w:lang w:val="en-US" w:eastAsia="zh-CN"/>
        </w:rPr>
        <w:t xml:space="preserve">一年，以合同签订日期为准。</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1.5 履行地点：</w:t>
      </w:r>
      <w:r>
        <w:rPr>
          <w:rFonts w:hint="eastAsia" w:asciiTheme="minorEastAsia" w:hAnsiTheme="minorEastAsia" w:cstheme="minorEastAsia"/>
          <w:color w:val="auto"/>
          <w:sz w:val="24"/>
          <w:szCs w:val="24"/>
          <w:highlight w:val="none"/>
          <w:u w:val="none"/>
          <w:lang w:val="en-US" w:eastAsia="zh-CN"/>
        </w:rPr>
        <w:t xml:space="preserve">盐</w:t>
      </w:r>
      <w:r>
        <w:rPr>
          <w:rFonts w:hint="eastAsia" w:asciiTheme="minorEastAsia" w:hAnsiTheme="minorEastAsia" w:eastAsiaTheme="minorEastAsia" w:cstheme="minorEastAsia"/>
          <w:color w:val="auto"/>
          <w:sz w:val="24"/>
          <w:szCs w:val="24"/>
          <w:highlight w:val="none"/>
          <w:u w:val="none"/>
          <w:lang w:eastAsia="zh-CN"/>
        </w:rPr>
        <w:t xml:space="preserve">都未来食品产业园孵化区</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二、合同金额</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2.1本合同金额为（大写）：_______________圆（__________元）人民币或其他币种。</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三、技术资料</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3.1乙方应按招标文件规定的时间向甲方提供服务（包含与服务相关的货物）的有关技术资料。</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rPr>
        <w:t xml:space="preserve">、知识产权</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五、产权担保</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5.1乙方保证所交付的服务（包含与服务相关的货物）的所有权完全属于乙方且无任何抵押、查封等产权瑕疵。</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六</w:t>
      </w:r>
      <w:r>
        <w:rPr>
          <w:rFonts w:hint="eastAsia" w:asciiTheme="minorEastAsia" w:hAnsiTheme="minorEastAsia" w:eastAsiaTheme="minorEastAsia" w:cstheme="minorEastAsia"/>
          <w:b/>
          <w:bCs/>
          <w:color w:val="auto"/>
          <w:sz w:val="24"/>
          <w:szCs w:val="24"/>
          <w:highlight w:val="none"/>
        </w:rPr>
        <w:t xml:space="preserve">、履约保证金</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6.1乙方交纳人民币_________元作为本合同的履约保证金。</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（备注：合同金额的10%，采购人应当对AA评级及以上政府采购供应商（需提供信用管理部门备案的第三方信用报告）免收履约保证金或降低履约保证金缴纳比例。）</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6.2确需收取履约保证金的，履约保证金的缴纳形式：</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6.3合同履行结束后，甲方应及时退还交纳的履约保证金。</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6.4履约保证金的退还：</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6.4.1方式：退还至投标人缴纳履约保证金的账户。如为保函，在到期时自行失效。</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6.4.2时间：验收合格且采购人收到发票后30日内。</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6.4.3条件：按合同要求全部履约完成并经采购人验收合格，且采购人收到中标人出具的发票。</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6.4.4不予退还情形：</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除不可抗力情况外，投标人出现下列情形之一的，其履约保证金，招标人将视情节决定不予退还或部分不予退还。</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（1）中标人无正当理由拒绝签订合同的，或者在签订合同时向采购人提出附加条件或者更改合同实质性内容要求的；</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（2）中标人不履行与采购人订立的合同的；</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（3）中标人所供货物或服务不符合招标文件规定要求的；</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（4）中标人采取欺骗、弄虚作假方式投标的或与其它投标人串通投标的；</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（5）中标人将合同内容转包、违法分包的；</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（6）中标人故意捏造事实或伪造证明材料，进行虚假恶意投诉或反映的。</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七</w:t>
      </w:r>
      <w:r>
        <w:rPr>
          <w:rFonts w:hint="eastAsia" w:asciiTheme="minorEastAsia" w:hAnsiTheme="minorEastAsia" w:eastAsiaTheme="minorEastAsia" w:cstheme="minorEastAsia"/>
          <w:b/>
          <w:bCs/>
          <w:color w:val="auto"/>
          <w:sz w:val="24"/>
          <w:szCs w:val="24"/>
          <w:highlight w:val="none"/>
        </w:rPr>
        <w:t xml:space="preserve">、合同转包或分包</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.1乙方不得将合同标的转包给他人履行。</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.2乙方不得将合同标的分包给他人履行。</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.3乙方如有转包或未经甲方同意的分包行为，甲方有权解除合同。</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八</w:t>
      </w:r>
      <w:r>
        <w:rPr>
          <w:rFonts w:hint="eastAsia" w:asciiTheme="minorEastAsia" w:hAnsiTheme="minorEastAsia" w:eastAsiaTheme="minorEastAsia" w:cstheme="minorEastAsia"/>
          <w:b/>
          <w:bCs/>
          <w:color w:val="auto"/>
          <w:sz w:val="24"/>
          <w:szCs w:val="24"/>
          <w:highlight w:val="none"/>
        </w:rPr>
        <w:t xml:space="preserve">、合同款项支付</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.1合同款项的支付方式及进度安排</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.1.1 预付款支付时间：合同签订后，</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rPr>
        <w:t xml:space="preserve">收到发票后</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个工作日内，预付款支付比例：合同金额的</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.1.2 进度款支付时间：项进度款支付时间：项目月月考核，按季度支付服务费。每季度支付费用=总物业服务费/</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—预付款/</w:t>
      </w:r>
      <w:r>
        <w:rPr>
          <w:rFonts w:hint="eastAsia" w:asciiTheme="minorEastAsia" w:hAnsiTheme="minorEastAsia" w:eastAsiaTheme="minorEastAsia" w:cstheme="minorEastAsia"/>
          <w:color w:val="auto"/>
          <w:sz w:val="24"/>
          <w:szCs w:val="24"/>
          <w:highlight w:val="none"/>
          <w:lang w:val="en-US" w:eastAsia="zh-CN"/>
        </w:rPr>
        <w:t xml:space="preserve">4；</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8.1.3尾款支付时间：服务结束并验收合格,采购人收到发票后10个工作日内，支付剩余1个季度服务费。</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注：乙方每次付款前需向甲方提供有效的发票，每三个月付款一次，于第四个月的20号前，支付上三个月的考核服务费。</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九</w:t>
      </w:r>
      <w:r>
        <w:rPr>
          <w:rFonts w:hint="eastAsia" w:asciiTheme="minorEastAsia" w:hAnsiTheme="minorEastAsia" w:eastAsiaTheme="minorEastAsia" w:cstheme="minorEastAsia"/>
          <w:b/>
          <w:bCs/>
          <w:color w:val="auto"/>
          <w:sz w:val="24"/>
          <w:szCs w:val="24"/>
          <w:highlight w:val="none"/>
        </w:rPr>
        <w:t xml:space="preserve">、税费</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.1本合同执行中相关的一切税费均由乙方负担。</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十</w:t>
      </w:r>
      <w:r>
        <w:rPr>
          <w:rFonts w:hint="eastAsia" w:asciiTheme="minorEastAsia" w:hAnsiTheme="minorEastAsia" w:eastAsiaTheme="minorEastAsia" w:cstheme="minorEastAsia"/>
          <w:b/>
          <w:bCs/>
          <w:color w:val="auto"/>
          <w:sz w:val="24"/>
          <w:szCs w:val="24"/>
          <w:highlight w:val="none"/>
        </w:rPr>
        <w:t xml:space="preserve">、项目验收</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10.1甲方依法组织履约验收工作。</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10.3对于实际使用人和甲方分离的项目，甲方邀请实际使用人参与验收。</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10.4如有必要，甲方邀请参加本项目的其他供应商或第三方专业机构及专家参与验收，相关意见将作为验收书的参考资料。</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十一</w:t>
      </w:r>
      <w:r>
        <w:rPr>
          <w:rFonts w:hint="eastAsia" w:asciiTheme="minorEastAsia" w:hAnsiTheme="minorEastAsia" w:eastAsiaTheme="minorEastAsia" w:cstheme="minorEastAsia"/>
          <w:b/>
          <w:bCs/>
          <w:color w:val="auto"/>
          <w:sz w:val="24"/>
          <w:szCs w:val="24"/>
          <w:highlight w:val="none"/>
        </w:rPr>
        <w:t xml:space="preserve">、甲方的责任与义务</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.1审定乙方拟定的服务计划和方案；</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.3在合同履行期间，如乙方中途退出或发生责任事故，给甲方带来不良影响的，或者因乙方工作严重不力，影响甲方正常工作秩序的，甲方有权终止本合同，并要求乙方给予经济赔偿；</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.4对拒绝、不服从或抵触甲方领导指挥的乙方使用人员严加教育，屡教不改的，甲方有权要求乙方进行调换，否则甲方有权终止本合同，并对乙方进行经济处罚；</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.5监督、指导乙方人员在区域内的一切行为和活动；</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.6依据相关法律、法规规定享有的其他权利。</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十二</w:t>
      </w:r>
      <w:r>
        <w:rPr>
          <w:rFonts w:hint="eastAsia" w:asciiTheme="minorEastAsia" w:hAnsiTheme="minorEastAsia" w:eastAsiaTheme="minorEastAsia" w:cstheme="minorEastAsia"/>
          <w:b/>
          <w:bCs/>
          <w:color w:val="auto"/>
          <w:sz w:val="24"/>
          <w:szCs w:val="24"/>
          <w:highlight w:val="none"/>
        </w:rPr>
        <w:t xml:space="preserve">、乙方的责任与义务</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12.1</w:t>
      </w:r>
      <w:r>
        <w:rPr>
          <w:rFonts w:hint="eastAsia" w:asciiTheme="minorEastAsia" w:hAnsiTheme="minorEastAsia" w:eastAsiaTheme="minorEastAsia" w:cstheme="minorEastAsia"/>
          <w:color w:val="auto"/>
          <w:sz w:val="24"/>
          <w:szCs w:val="24"/>
          <w:highlight w:val="none"/>
        </w:rPr>
        <w:t xml:space="preserve">乙方收到甲方进驻现场书面通知后，要积极做好准备，准时进驻现场。</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12.2</w:t>
      </w:r>
      <w:r>
        <w:rPr>
          <w:rFonts w:hint="eastAsia" w:asciiTheme="minorEastAsia" w:hAnsiTheme="minorEastAsia" w:eastAsiaTheme="minorEastAsia" w:cstheme="minorEastAsia"/>
          <w:color w:val="auto"/>
          <w:sz w:val="24"/>
          <w:szCs w:val="24"/>
          <w:highlight w:val="none"/>
        </w:rPr>
        <w:t xml:space="preserve">认真完成合同约定的作业内容并达到乙方方案中承诺的质量标准。</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12.3</w:t>
      </w:r>
      <w:r>
        <w:rPr>
          <w:rFonts w:hint="eastAsia" w:asciiTheme="minorEastAsia" w:hAnsiTheme="minorEastAsia" w:eastAsiaTheme="minorEastAsia" w:cstheme="minorEastAsia"/>
          <w:color w:val="auto"/>
          <w:sz w:val="24"/>
          <w:szCs w:val="24"/>
          <w:highlight w:val="none"/>
        </w:rPr>
        <w:t xml:space="preserve">依照有关规定和本合同约定，制定物业管理服务制度，对物业及其环境、秩序进行管理。</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12.4</w:t>
      </w:r>
      <w:r>
        <w:rPr>
          <w:rFonts w:hint="eastAsia" w:asciiTheme="minorEastAsia" w:hAnsiTheme="minorEastAsia" w:eastAsiaTheme="minorEastAsia" w:cstheme="minorEastAsia"/>
          <w:color w:val="auto"/>
          <w:sz w:val="24"/>
          <w:szCs w:val="24"/>
          <w:highlight w:val="none"/>
        </w:rPr>
        <w:t xml:space="preserve">按照物业管理情况及要求进行服务与管理。</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12.5</w:t>
      </w:r>
      <w:r>
        <w:rPr>
          <w:rFonts w:hint="eastAsia" w:asciiTheme="minorEastAsia" w:hAnsiTheme="minorEastAsia" w:eastAsiaTheme="minorEastAsia" w:cstheme="minorEastAsia"/>
          <w:color w:val="auto"/>
          <w:sz w:val="24"/>
          <w:szCs w:val="24"/>
          <w:highlight w:val="none"/>
        </w:rPr>
        <w:t xml:space="preserve">依照本合同约定向甲方收取物业管理服务费。</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12.6</w:t>
      </w:r>
      <w:r>
        <w:rPr>
          <w:rFonts w:hint="eastAsia" w:asciiTheme="minorEastAsia" w:hAnsiTheme="minorEastAsia" w:eastAsiaTheme="minorEastAsia" w:cstheme="minorEastAsia"/>
          <w:color w:val="auto"/>
          <w:sz w:val="24"/>
          <w:szCs w:val="24"/>
          <w:highlight w:val="none"/>
        </w:rPr>
        <w:t xml:space="preserve">工作人员在业务上受乙方的领导，同时受甲方的监督，所有人员服从甲方调配。</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12.7</w:t>
      </w:r>
      <w:r>
        <w:rPr>
          <w:rFonts w:hint="eastAsia" w:asciiTheme="minorEastAsia" w:hAnsiTheme="minorEastAsia" w:eastAsiaTheme="minorEastAsia" w:cstheme="minorEastAsia"/>
          <w:color w:val="auto"/>
          <w:sz w:val="24"/>
          <w:szCs w:val="24"/>
          <w:highlight w:val="none"/>
        </w:rPr>
        <w:t xml:space="preserve">负责提供服务必须的工具及其它耗材。</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12.8</w:t>
      </w:r>
      <w:r>
        <w:rPr>
          <w:rFonts w:hint="eastAsia" w:asciiTheme="minorEastAsia" w:hAnsiTheme="minorEastAsia" w:eastAsiaTheme="minorEastAsia" w:cstheme="minorEastAsia"/>
          <w:color w:val="auto"/>
          <w:sz w:val="24"/>
          <w:szCs w:val="24"/>
          <w:highlight w:val="none"/>
        </w:rPr>
        <w:t xml:space="preserve">乙方为保证物业服务质量，须根据不同材质，采用相适应的清洁原料和操作方法。</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12.9</w:t>
      </w:r>
      <w:r>
        <w:rPr>
          <w:rFonts w:hint="eastAsia" w:asciiTheme="minorEastAsia" w:hAnsiTheme="minorEastAsia" w:eastAsiaTheme="minorEastAsia" w:cstheme="minorEastAsia"/>
          <w:color w:val="auto"/>
          <w:sz w:val="24"/>
          <w:szCs w:val="24"/>
          <w:highlight w:val="none"/>
        </w:rPr>
        <w:t xml:space="preserve">爱护甲方内、外各项设备设施，注意节水节电。</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12.10</w:t>
      </w:r>
      <w:r>
        <w:rPr>
          <w:rFonts w:hint="eastAsia" w:asciiTheme="minorEastAsia" w:hAnsiTheme="minorEastAsia" w:eastAsiaTheme="minorEastAsia" w:cstheme="minorEastAsia"/>
          <w:color w:val="auto"/>
          <w:sz w:val="24"/>
          <w:szCs w:val="24"/>
          <w:highlight w:val="none"/>
        </w:rPr>
        <w:t xml:space="preserve">乙方在清洁作业中应严格要求服务人员，做好各项防护措施，非紧急和必要不得擅自挪用甲方的物品。</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12.11</w:t>
      </w:r>
      <w:r>
        <w:rPr>
          <w:rFonts w:hint="eastAsia" w:asciiTheme="minorEastAsia" w:hAnsiTheme="minorEastAsia" w:eastAsiaTheme="minorEastAsia" w:cstheme="minorEastAsia"/>
          <w:color w:val="auto"/>
          <w:sz w:val="24"/>
          <w:szCs w:val="24"/>
          <w:highlight w:val="none"/>
        </w:rPr>
        <w:t xml:space="preserve">乙方负责对派遣员工的安全生产教育，对派遣员工在服务过程中的安全生产责任负责，并给所有派遣员工缴纳社会保险，费用由乙方自行承担。</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12.12</w:t>
      </w:r>
      <w:r>
        <w:rPr>
          <w:rFonts w:hint="eastAsia" w:asciiTheme="minorEastAsia" w:hAnsiTheme="minorEastAsia" w:eastAsiaTheme="minorEastAsia" w:cstheme="minorEastAsia"/>
          <w:color w:val="auto"/>
          <w:sz w:val="24"/>
          <w:szCs w:val="24"/>
          <w:highlight w:val="none"/>
        </w:rPr>
        <w:t xml:space="preserve">乙方清洁作业应按照规范流程实施并遵守甲方规定的时间要求，如有变更，双方协商解决。</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12.13</w:t>
      </w:r>
      <w:r>
        <w:rPr>
          <w:rFonts w:hint="eastAsia" w:asciiTheme="minorEastAsia" w:hAnsiTheme="minorEastAsia" w:eastAsiaTheme="minorEastAsia" w:cstheme="minorEastAsia"/>
          <w:color w:val="auto"/>
          <w:sz w:val="24"/>
          <w:szCs w:val="24"/>
          <w:highlight w:val="none"/>
        </w:rPr>
        <w:t xml:space="preserve">本合同终止乙方不再管理本物业时，必须向甲方移交全部借用的物品、管理用房及物业管理的全部档案资料。</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12.14</w:t>
      </w:r>
      <w:r>
        <w:rPr>
          <w:rFonts w:hint="eastAsia" w:asciiTheme="minorEastAsia" w:hAnsiTheme="minorEastAsia" w:eastAsiaTheme="minorEastAsia" w:cstheme="minorEastAsia"/>
          <w:color w:val="auto"/>
          <w:sz w:val="24"/>
          <w:szCs w:val="24"/>
          <w:highlight w:val="none"/>
        </w:rPr>
        <w:t xml:space="preserve">在本物业管理区域内发生治安案件或者各类灾害事故时，应当及时向甲方或公安和有关部门报告，并协助做好救助和调查工作。</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12.15</w:t>
      </w:r>
      <w:r>
        <w:rPr>
          <w:rFonts w:hint="eastAsia" w:asciiTheme="minorEastAsia" w:hAnsiTheme="minorEastAsia" w:eastAsiaTheme="minorEastAsia" w:cstheme="minorEastAsia"/>
          <w:color w:val="auto"/>
          <w:sz w:val="24"/>
          <w:szCs w:val="24"/>
          <w:highlight w:val="none"/>
        </w:rPr>
        <w:t xml:space="preserve">因乙方未能履行本服务合同的约定，导致甲方人身、财产安全受到损害的，乙方应当依法承担相应的法律责任及经济赔偿。</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12.16</w:t>
      </w:r>
      <w:r>
        <w:rPr>
          <w:rFonts w:hint="eastAsia" w:asciiTheme="minorEastAsia" w:hAnsiTheme="minorEastAsia" w:eastAsiaTheme="minorEastAsia" w:cstheme="minorEastAsia"/>
          <w:color w:val="auto"/>
          <w:sz w:val="24"/>
          <w:szCs w:val="24"/>
          <w:highlight w:val="none"/>
        </w:rPr>
        <w:t xml:space="preserve">乙方管理人员进行如下物业管理活动时，对甲方造成的财产损失可不承担民事赔偿责任；</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⑴为救助他人生命而造成的必要财产损失；</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⑵为避免甲方财产受损或可能受损而造成的必要财产损失（如失火又无人在内，为不使其造成巨大损失，物业管理者强行入内救助）；</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⑶为抓捕违法犯罪分子、制止不法侵害行为而造成的必要财产损失。</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十三</w:t>
      </w:r>
      <w:r>
        <w:rPr>
          <w:rFonts w:hint="eastAsia" w:asciiTheme="minorEastAsia" w:hAnsiTheme="minorEastAsia" w:eastAsiaTheme="minorEastAsia" w:cstheme="minorEastAsia"/>
          <w:b/>
          <w:bCs/>
          <w:color w:val="auto"/>
          <w:sz w:val="24"/>
          <w:szCs w:val="24"/>
          <w:highlight w:val="none"/>
        </w:rPr>
        <w:t xml:space="preserve">、违约责任</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13.1甲方无正当理由拒绝接受乙方提供服务的，甲方向乙方偿付拒绝接受服务合同价款总值百分之五的违约金。</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13.2甲方无故逾期验收和办理合同款项支付手续的,甲方应按逾期付款总额万分之五 每日向乙方支付违约金。</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百分之五 的违约金，如造成甲方损失超过违约金的，超出部分由乙方继续承担赔偿责任。 </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13.4乙方所提供服务的标准不符合合同规定及招标文件规定标准的，甲方有权拒绝接受服务，并可单方面解除合同。</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十四</w:t>
      </w:r>
      <w:r>
        <w:rPr>
          <w:rFonts w:hint="eastAsia" w:asciiTheme="minorEastAsia" w:hAnsiTheme="minorEastAsia" w:eastAsiaTheme="minorEastAsia" w:cstheme="minorEastAsia"/>
          <w:b/>
          <w:bCs/>
          <w:color w:val="auto"/>
          <w:sz w:val="24"/>
          <w:szCs w:val="24"/>
          <w:highlight w:val="none"/>
        </w:rPr>
        <w:t xml:space="preserve">、质量承诺</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rPr>
        <w:t xml:space="preserve">.1乙方保证认真完成合同范围内规定的服务项目和标准，确保质量，达到客户满意。</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rPr>
        <w:t xml:space="preserve">.2乙方在工作中未达到质量标准（实际上经过限期整改可以达到质量标准的），经甲方两次口头警告通知，仍未达到标准，将以书面形式通知乙方，每发出一次书面通知，经乙方确认后，可以扣除当月物业服务费的1—2%。</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、损害赔偿</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1乙方在作业中应严格要求工作人员，做好各种防护措施，不得擅自挪用甲方的物品。要加强管理，安全生产。乙方工程进行中，如发现甲方物业材质有破损迹象，应及时保护现场，立即向甲方通报。由于乙方在日常服务工作不慎给甲方设施设备等造成损失，乙方应承担赔偿责任。因设施设备自然损耗、内在缺陷、安装不当等原因造成的损失，乙方不承担责任。</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六</w:t>
      </w:r>
      <w:r>
        <w:rPr>
          <w:rFonts w:hint="eastAsia" w:asciiTheme="minorEastAsia" w:hAnsiTheme="minorEastAsia" w:eastAsiaTheme="minorEastAsia" w:cstheme="minorEastAsia"/>
          <w:b/>
          <w:bCs/>
          <w:color w:val="auto"/>
          <w:sz w:val="24"/>
          <w:szCs w:val="24"/>
          <w:highlight w:val="none"/>
        </w:rPr>
        <w:t xml:space="preserve">、监督检查</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.1甲方对乙方提供的服务享有监督权和检查权，有权对乙方服务提出意见和建议的权利。</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.2乙方应当保证其服务质量，服务工作完毕应主动邀请甲方进行检查；对不合格部分，乙方应进行重新处理，直到甲方满意为止。</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.3乙方的服务不能达到合同要求的，甲方可对乙方提出异议和要求返工；</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.4乙方应积极采纳甲方的合理化建议，协助甲方处理有关投诉。</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七</w:t>
      </w:r>
      <w:r>
        <w:rPr>
          <w:rFonts w:hint="eastAsia" w:asciiTheme="minorEastAsia" w:hAnsiTheme="minorEastAsia" w:eastAsiaTheme="minorEastAsia" w:cstheme="minorEastAsia"/>
          <w:b/>
          <w:bCs/>
          <w:color w:val="auto"/>
          <w:sz w:val="24"/>
          <w:szCs w:val="24"/>
          <w:highlight w:val="none"/>
        </w:rPr>
        <w:t xml:space="preserve">、不可抗力事件处理</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.1在合同有效期内，任何一方因不可抗力事件导致不能履行合同，则合同履行期可延长，其延长期与不可抗力影响期相同。</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.2不可抗力事件发生后，应立即通知对方，并寄送有关权威机构出具的证明。</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.3不可抗力事件延续120天以上，双方应通过友好协商，确定是否继续履行合同。</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八</w:t>
      </w:r>
      <w:r>
        <w:rPr>
          <w:rFonts w:hint="eastAsia" w:asciiTheme="minorEastAsia" w:hAnsiTheme="minorEastAsia" w:eastAsiaTheme="minorEastAsia" w:cstheme="minorEastAsia"/>
          <w:b/>
          <w:bCs/>
          <w:color w:val="auto"/>
          <w:sz w:val="24"/>
          <w:szCs w:val="24"/>
          <w:highlight w:val="none"/>
        </w:rPr>
        <w:t xml:space="preserve">、解决争议的方法</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.1双方在签订、履行合同中所发生的一切争议，应通过友好协商解决。如协商不成，由甲方住所地人民法院管辖。</w:t>
      </w:r>
      <w:r/>
    </w:p>
    <w:p>
      <w:pPr>
        <w:pStyle w:val="868"/>
        <w:ind w:left="-525" w:right="-525" w:firstLine="482"/>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九</w:t>
      </w:r>
      <w:r>
        <w:rPr>
          <w:rFonts w:hint="eastAsia" w:asciiTheme="minorEastAsia" w:hAnsiTheme="minorEastAsia" w:eastAsiaTheme="minorEastAsia" w:cstheme="minorEastAsia"/>
          <w:b/>
          <w:bCs/>
          <w:color w:val="auto"/>
          <w:sz w:val="24"/>
          <w:szCs w:val="24"/>
          <w:highlight w:val="none"/>
        </w:rPr>
        <w:t xml:space="preserve">、合同生效及其它</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.1合同经双方法定代表人或授权委托代表人签字并加盖单位公章后生效。</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.2本合同未尽事宜，遵照《民法典》、《政府采购法》有关条文执行。</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.3 本合同一式</w:t>
      </w:r>
      <w:r>
        <w:rPr>
          <w:rFonts w:hint="eastAsia" w:asciiTheme="minorEastAsia" w:hAnsiTheme="minorEastAsia" w:eastAsiaTheme="minorEastAsia" w:cstheme="minorEastAsia"/>
          <w:color w:val="auto"/>
          <w:sz w:val="24"/>
          <w:szCs w:val="24"/>
          <w:highlight w:val="none"/>
          <w:lang w:val="en-US" w:eastAsia="zh-CN"/>
        </w:rPr>
        <w:t xml:space="preserve">陆</w:t>
      </w:r>
      <w:r>
        <w:rPr>
          <w:rFonts w:hint="eastAsia" w:asciiTheme="minorEastAsia" w:hAnsiTheme="minorEastAsia" w:eastAsiaTheme="minorEastAsia" w:cstheme="minorEastAsia"/>
          <w:color w:val="auto"/>
          <w:sz w:val="24"/>
          <w:szCs w:val="24"/>
          <w:highlight w:val="none"/>
        </w:rPr>
        <w:t xml:space="preserve">份，具有同等法律效力，甲方、乙方各执</w:t>
      </w:r>
      <w:r>
        <w:rPr>
          <w:rFonts w:hint="eastAsia" w:asciiTheme="minorEastAsia" w:hAnsiTheme="minorEastAsia" w:eastAsiaTheme="minorEastAsia" w:cstheme="minorEastAsia"/>
          <w:color w:val="auto"/>
          <w:sz w:val="24"/>
          <w:szCs w:val="24"/>
          <w:highlight w:val="none"/>
          <w:lang w:val="en-US" w:eastAsia="zh-CN"/>
        </w:rPr>
        <w:t xml:space="preserve">叁</w:t>
      </w:r>
      <w:r>
        <w:rPr>
          <w:rFonts w:hint="eastAsia" w:asciiTheme="minorEastAsia" w:hAnsiTheme="minorEastAsia" w:eastAsiaTheme="minorEastAsia" w:cstheme="minorEastAsia"/>
          <w:color w:val="auto"/>
          <w:sz w:val="24"/>
          <w:szCs w:val="24"/>
          <w:highlight w:val="none"/>
        </w:rPr>
        <w:t xml:space="preserve">份。</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乙方： </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地址： </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法定代表人或授权代表：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法定代表人或授权代表：</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联系电话：          </w:t>
      </w:r>
      <w:r/>
    </w:p>
    <w:p>
      <w:pPr>
        <w:pStyle w:val="868"/>
        <w:ind w:left="-525" w:right="-525" w:firstLine="480"/>
        <w:jc w:val="both"/>
        <w:keepLines w:val="0"/>
        <w:pageBreakBefore w:val="0"/>
        <w:spacing w:before="120" w:beforeAutospacing="0" w:after="120" w:afterAutospacing="0"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年    月   日 </w:t>
      </w:r>
      <w:r/>
    </w:p>
    <w:p>
      <w:pPr>
        <w:pStyle w:val="868"/>
        <w:ind w:left="-525" w:right="-525" w:firstLine="560"/>
        <w:jc w:val="right"/>
        <w:keepLines w:val="0"/>
        <w:keepNext w:val="0"/>
        <w:pageBreakBefore w:val="0"/>
        <w:spacing w:before="120" w:beforeAutospacing="0" w:after="120" w:afterAutospacing="0" w:line="56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868"/>
        <w:jc w:val="center"/>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w:t>
      </w:r>
      <w:bookmarkEnd w:id="178"/>
      <w:r>
        <w:rPr>
          <w:rFonts w:hint="eastAsia" w:asciiTheme="minorEastAsia" w:hAnsiTheme="minorEastAsia" w:eastAsiaTheme="minorEastAsia" w:cstheme="minorEastAsia"/>
          <w:color w:val="auto"/>
          <w:sz w:val="44"/>
          <w:szCs w:val="44"/>
          <w:highlight w:val="none"/>
        </w:rPr>
        <w:t xml:space="preserve">四章 采购需求</w:t>
      </w:r>
      <w:bookmarkEnd w:id="179"/>
      <w:r/>
      <w:bookmarkEnd w:id="180"/>
      <w:r/>
      <w:bookmarkEnd w:id="181"/>
      <w:r/>
      <w:bookmarkEnd w:id="182"/>
      <w:r/>
      <w:bookmarkEnd w:id="183"/>
      <w:r/>
      <w:r/>
    </w:p>
    <w:p>
      <w:pPr>
        <w:ind w:firstLine="482"/>
        <w:keepLines/>
        <w:keepNext/>
        <w:pageBreakBefore w:val="0"/>
        <w:spacing w:beforeAutospacing="0" w:afterAutospacing="0" w:line="520" w:lineRule="exact"/>
        <w:rPr>
          <w:rFonts w:hint="eastAsia" w:ascii="宋体" w:hAnsi="宋体" w:eastAsia="宋体" w:cs="宋体"/>
          <w:b/>
          <w:bCs/>
          <w:color w:val="000000"/>
          <w:sz w:val="24"/>
          <w:szCs w:val="24"/>
          <w:highlight w:val="none"/>
        </w:rPr>
        <w:outlineLvl w:val="2"/>
      </w:pPr>
      <w:r/>
      <w:bookmarkStart w:id="185" w:name="_Toc120614281"/>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、项目概述</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盐</w:t>
      </w:r>
      <w:r>
        <w:rPr>
          <w:rFonts w:hint="eastAsia" w:ascii="宋体" w:hAnsi="宋体" w:eastAsia="宋体" w:cs="宋体"/>
          <w:color w:val="000000"/>
          <w:sz w:val="24"/>
          <w:szCs w:val="24"/>
          <w:highlight w:val="none"/>
        </w:rPr>
        <w:t xml:space="preserve">都未来食品产业园孵化区物业管理服务项目，包括办公地点内的</w:t>
      </w:r>
      <w:r>
        <w:rPr>
          <w:rFonts w:hint="eastAsia" w:ascii="宋体" w:hAnsi="宋体" w:eastAsia="宋体" w:cs="宋体"/>
          <w:color w:val="000000"/>
          <w:sz w:val="24"/>
          <w:szCs w:val="24"/>
          <w:highlight w:val="none"/>
          <w:lang w:eastAsia="zh-CN"/>
        </w:rPr>
        <w:t xml:space="preserve">保安</w:t>
      </w:r>
      <w:r>
        <w:rPr>
          <w:rFonts w:hint="eastAsia" w:ascii="宋体" w:hAnsi="宋体" w:eastAsia="宋体" w:cs="宋体"/>
          <w:color w:val="000000"/>
          <w:sz w:val="24"/>
          <w:szCs w:val="24"/>
          <w:highlight w:val="none"/>
        </w:rPr>
        <w:t xml:space="preserve">、保洁服务等内容。</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机场管理处项目服务地址位于</w:t>
      </w:r>
      <w:r>
        <w:rPr>
          <w:rFonts w:hint="eastAsia" w:ascii="宋体" w:hAnsi="宋体" w:eastAsia="宋体" w:cs="宋体"/>
          <w:color w:val="000000"/>
          <w:sz w:val="24"/>
          <w:szCs w:val="24"/>
          <w:highlight w:val="none"/>
          <w:lang w:val="en-US" w:eastAsia="zh-CN"/>
        </w:rPr>
        <w:t xml:space="preserve">盐城市盐都区龙冈镇</w:t>
      </w:r>
      <w:r>
        <w:rPr>
          <w:rFonts w:hint="eastAsia" w:ascii="宋体" w:hAnsi="宋体" w:eastAsia="宋体" w:cs="宋体"/>
          <w:color w:val="000000"/>
          <w:sz w:val="24"/>
          <w:szCs w:val="24"/>
          <w:highlight w:val="none"/>
        </w:rPr>
        <w:t xml:space="preserve">，占地面积20000平方米，项目经费</w:t>
      </w:r>
      <w:r>
        <w:rPr>
          <w:rFonts w:hint="eastAsia" w:ascii="宋体" w:hAnsi="宋体" w:eastAsia="宋体" w:cs="宋体"/>
          <w:color w:val="000000"/>
          <w:sz w:val="24"/>
          <w:szCs w:val="24"/>
          <w:highlight w:val="none"/>
          <w:lang w:val="en-US" w:eastAsia="zh-CN"/>
        </w:rPr>
        <w:t xml:space="preserve">15.4</w:t>
      </w:r>
      <w:r>
        <w:rPr>
          <w:rFonts w:hint="eastAsia" w:ascii="宋体" w:hAnsi="宋体" w:eastAsia="宋体" w:cs="宋体"/>
          <w:color w:val="000000"/>
          <w:sz w:val="24"/>
          <w:szCs w:val="24"/>
          <w:highlight w:val="none"/>
        </w:rPr>
        <w:t xml:space="preserve">万元。</w:t>
      </w:r>
      <w:r/>
    </w:p>
    <w:p>
      <w:pPr>
        <w:numPr>
          <w:ilvl w:val="0"/>
          <w:numId w:val="0"/>
        </w:num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合同履行期限：本项目服务期为</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w:t>
      </w:r>
      <w:r/>
    </w:p>
    <w:p>
      <w:pPr>
        <w:ind w:firstLine="482"/>
        <w:keepLines/>
        <w:keepNext/>
        <w:pageBreakBefore w:val="0"/>
        <w:spacing w:beforeAutospacing="0" w:afterAutospacing="0" w:line="5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、服务人员数量要求及岗位配置情况</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（一）人员及岗位配置（以下为最低配置要求）：</w:t>
      </w:r>
      <w:r/>
    </w:p>
    <w:tbl>
      <w:tblPr>
        <w:tblStyle w:val="853"/>
        <w:tblW w:w="43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9"/>
        <w:gridCol w:w="2760"/>
        <w:gridCol w:w="2353"/>
      </w:tblGrid>
      <w:tr>
        <w:trPr>
          <w:jc w:val="center"/>
          <w:trHeight w:val="624"/>
        </w:trPr>
        <w:tc>
          <w:tcPr>
            <w:tcW w:w="2279" w:type="dxa"/>
            <w:vAlign w:val="center"/>
            <w:textDirection w:val="lrTb"/>
            <w:noWrap w:val="false"/>
          </w:tcPr>
          <w:p>
            <w:pPr>
              <w:ind w:firstLine="480"/>
              <w:jc w:val="center"/>
              <w:keepLines w:val="0"/>
              <w:keepNext w:val="0"/>
              <w:pageBreakBefore w:val="0"/>
              <w:spacing w:beforeAutospacing="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760" w:type="dxa"/>
            <w:vAlign w:val="center"/>
            <w:textDirection w:val="lrTb"/>
            <w:noWrap w:val="false"/>
          </w:tcPr>
          <w:p>
            <w:pPr>
              <w:ind w:firstLine="480"/>
              <w:jc w:val="center"/>
              <w:keepLines w:val="0"/>
              <w:keepNext w:val="0"/>
              <w:pageBreakBefore w:val="0"/>
              <w:spacing w:beforeAutospacing="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部门</w:t>
            </w:r>
            <w:r/>
          </w:p>
        </w:tc>
        <w:tc>
          <w:tcPr>
            <w:tcW w:w="2353" w:type="dxa"/>
            <w:vAlign w:val="center"/>
            <w:textDirection w:val="lrTb"/>
            <w:noWrap w:val="false"/>
          </w:tcPr>
          <w:p>
            <w:pPr>
              <w:ind w:firstLine="480"/>
              <w:jc w:val="center"/>
              <w:keepLines w:val="0"/>
              <w:keepNext w:val="0"/>
              <w:pageBreakBefore w:val="0"/>
              <w:spacing w:beforeAutospacing="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人数</w:t>
            </w:r>
            <w:r/>
          </w:p>
        </w:tc>
      </w:tr>
      <w:tr>
        <w:trPr>
          <w:jc w:val="center"/>
          <w:trHeight w:val="624" w:hRule="exact"/>
        </w:trPr>
        <w:tc>
          <w:tcPr>
            <w:tcW w:w="2279" w:type="dxa"/>
            <w:vAlign w:val="center"/>
            <w:textDirection w:val="lrTb"/>
            <w:noWrap w:val="false"/>
          </w:tcPr>
          <w:p>
            <w:pPr>
              <w:ind w:firstLine="480"/>
              <w:jc w:val="center"/>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right w:val="single" w:color="auto" w:sz="4" w:space="0"/>
            </w:tcBorders>
            <w:tcW w:w="2760" w:type="dxa"/>
            <w:vAlign w:val="center"/>
            <w:textDirection w:val="lrTb"/>
            <w:noWrap w:val="false"/>
          </w:tcPr>
          <w:p>
            <w:pPr>
              <w:ind w:firstLine="480"/>
              <w:jc w:val="center"/>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员</w:t>
            </w:r>
            <w:r/>
          </w:p>
        </w:tc>
        <w:tc>
          <w:tcPr>
            <w:tcW w:w="2353" w:type="dxa"/>
            <w:vAlign w:val="center"/>
            <w:textDirection w:val="lrTb"/>
            <w:noWrap w:val="false"/>
          </w:tcPr>
          <w:p>
            <w:pPr>
              <w:ind w:firstLine="480"/>
              <w:jc w:val="center"/>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624" w:hRule="exact"/>
        </w:trPr>
        <w:tc>
          <w:tcPr>
            <w:tcW w:w="2279" w:type="dxa"/>
            <w:vAlign w:val="center"/>
            <w:textDirection w:val="lrTb"/>
            <w:noWrap w:val="false"/>
          </w:tcPr>
          <w:p>
            <w:pPr>
              <w:ind w:firstLine="480"/>
              <w:jc w:val="center"/>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p>
        </w:tc>
        <w:tc>
          <w:tcPr>
            <w:tcBorders>
              <w:right w:val="single" w:color="auto" w:sz="4" w:space="0"/>
            </w:tcBorders>
            <w:tcW w:w="2760" w:type="dxa"/>
            <w:vAlign w:val="center"/>
            <w:textDirection w:val="lrTb"/>
            <w:noWrap w:val="false"/>
          </w:tcPr>
          <w:p>
            <w:pPr>
              <w:ind w:firstLine="480"/>
              <w:jc w:val="center"/>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保安</w:t>
            </w:r>
            <w:r>
              <w:rPr>
                <w:rFonts w:hint="eastAsia" w:ascii="宋体" w:hAnsi="宋体" w:eastAsia="宋体" w:cs="宋体"/>
                <w:color w:val="000000"/>
                <w:sz w:val="24"/>
                <w:szCs w:val="24"/>
                <w:highlight w:val="none"/>
              </w:rPr>
              <w:t xml:space="preserve">人员</w:t>
            </w:r>
            <w:r/>
          </w:p>
        </w:tc>
        <w:tc>
          <w:tcPr>
            <w:tcW w:w="2353" w:type="dxa"/>
            <w:vAlign w:val="center"/>
            <w:textDirection w:val="lrTb"/>
            <w:noWrap w:val="false"/>
          </w:tcPr>
          <w:p>
            <w:pPr>
              <w:ind w:firstLine="480"/>
              <w:jc w:val="center"/>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p>
        </w:tc>
      </w:tr>
      <w:tr>
        <w:trPr>
          <w:jc w:val="center"/>
          <w:trHeight w:val="624"/>
        </w:trPr>
        <w:tc>
          <w:tcPr>
            <w:tcW w:w="2279" w:type="dxa"/>
            <w:vAlign w:val="center"/>
            <w:textDirection w:val="lrTb"/>
            <w:noWrap w:val="false"/>
          </w:tcPr>
          <w:p>
            <w:pPr>
              <w:ind w:firstLine="480"/>
              <w:jc w:val="center"/>
              <w:keepLines w:val="0"/>
              <w:keepNext w:val="0"/>
              <w:pageBreakBefore w:val="0"/>
              <w:spacing w:beforeAutospacing="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Borders>
              <w:right w:val="single" w:color="auto" w:sz="4" w:space="0"/>
            </w:tcBorders>
            <w:tcW w:w="2760" w:type="dxa"/>
            <w:vAlign w:val="center"/>
            <w:textDirection w:val="lrTb"/>
            <w:noWrap w:val="false"/>
          </w:tcPr>
          <w:p>
            <w:pPr>
              <w:ind w:firstLine="480"/>
              <w:jc w:val="center"/>
              <w:keepLines w:val="0"/>
              <w:keepNext w:val="0"/>
              <w:pageBreakBefore w:val="0"/>
              <w:spacing w:beforeAutospacing="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auto" w:sz="4" w:space="0"/>
            </w:tcBorders>
            <w:tcW w:w="2353" w:type="dxa"/>
            <w:vAlign w:val="center"/>
            <w:textDirection w:val="lrTb"/>
            <w:noWrap w:val="false"/>
          </w:tcPr>
          <w:p>
            <w:pPr>
              <w:ind w:firstLine="480"/>
              <w:jc w:val="center"/>
              <w:keepLines w:val="0"/>
              <w:keepNext w:val="0"/>
              <w:pageBreakBefore w:val="0"/>
              <w:spacing w:beforeAutospacing="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r>
    </w:tbl>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配置人员必须遵守国家的好素养和上岗资质，政治清白，无不良记录及嗜好，爱岗敬业、工作勤快，礼貌待人、和蔼处事，相貌端正、着装统一，身材适中、身体健康（无传染性疾病）。本项目拟派驻所有人员须具备《健康证》。根据国家有关规定，相关岗位必须具备相应上岗资质。所有人员必须提供无犯罪记录证明、入职体检证明等交采购人或项目留档备查。</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）保洁人员</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人（包含外场保洁）：负责物业管理区域公共卫生保洁，含“门前三包”范围的环境卫生保洁，经过岗前培训。</w:t>
      </w:r>
      <w:r/>
    </w:p>
    <w:p>
      <w:pPr>
        <w:ind w:firstLine="480"/>
        <w:pageBreakBefore w:val="0"/>
        <w:spacing w:beforeAutospacing="0" w:afterAutospacing="0" w:line="52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保安员</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人，具备两年以上同岗位工作经验，退伍军人优先，持有保安员证书；处理突发事件的经验；保持良好上岗仪态，做到文明礼貌执勤，能够较快熟悉办公环境。</w:t>
      </w:r>
      <w:r>
        <w:rPr>
          <w:rFonts w:hint="eastAsia" w:ascii="宋体" w:hAnsi="宋体" w:eastAsia="宋体" w:cs="宋体"/>
          <w:color w:val="000000"/>
          <w:sz w:val="24"/>
          <w:szCs w:val="24"/>
          <w:highlight w:val="yellow"/>
          <w:lang w:val="en-US" w:eastAsia="zh-CN"/>
        </w:rPr>
        <w:t xml:space="preserve">中标后签订合同前需提供</w:t>
      </w:r>
      <w:r>
        <w:rPr>
          <w:rFonts w:hint="eastAsia" w:ascii="宋体" w:hAnsi="宋体" w:eastAsia="宋体" w:cs="宋体"/>
          <w:color w:val="000000"/>
          <w:sz w:val="24"/>
          <w:szCs w:val="24"/>
          <w:highlight w:val="yellow"/>
        </w:rPr>
        <w:t xml:space="preserve">保安员证书。</w:t>
      </w:r>
      <w:r/>
    </w:p>
    <w:p>
      <w:pPr>
        <w:ind w:firstLine="480"/>
        <w:pageBreakBefore w:val="0"/>
        <w:spacing w:beforeAutospacing="0" w:afterAutospacing="0" w:line="520" w:lineRule="exact"/>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sz w:val="24"/>
          <w:szCs w:val="24"/>
        </w:rPr>
        <w:t xml:space="preserve">男性年龄不超过</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周岁，女性年龄不超过50周岁。身体健康，形象端正，无重大器官残疾或传染疾病，无不良嗜好，无违法犯罪记录，口齿清晰，能说普通话，有沟通能力，工作认真负责，吃苦耐劳。</w:t>
      </w:r>
      <w:r/>
    </w:p>
    <w:p>
      <w:pPr>
        <w:ind w:firstLine="480"/>
        <w:pageBreakBefore w:val="0"/>
        <w:spacing w:beforeAutospacing="0" w:afterAutospacing="0" w:line="52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（二）成交供应商应将所有人员报采购人审批同意后方可进场服务，采购人有权对中标人各项服务及现场人员进行考察，考察期为三个月。在考察期内，中标人向采购方提供所有服务人员的身份证复印件、</w:t>
      </w:r>
      <w:r>
        <w:rPr>
          <w:rFonts w:hint="eastAsia" w:ascii="宋体" w:hAnsi="宋体" w:eastAsia="宋体" w:cs="宋体"/>
          <w:color w:val="000000"/>
          <w:sz w:val="24"/>
          <w:szCs w:val="24"/>
          <w:highlight w:val="none"/>
          <w:lang w:val="en-US" w:eastAsia="zh-CN"/>
        </w:rPr>
        <w:t xml:space="preserve">健康证、</w:t>
      </w:r>
      <w:r>
        <w:rPr>
          <w:rFonts w:hint="eastAsia" w:ascii="宋体" w:hAnsi="宋体" w:eastAsia="宋体" w:cs="宋体"/>
          <w:color w:val="000000"/>
          <w:sz w:val="24"/>
          <w:szCs w:val="24"/>
          <w:highlight w:val="none"/>
        </w:rPr>
        <w:t xml:space="preserve">无犯罪记录证明。对不符合要求的人员，中标人需无条件遵守人员更换调整的要求，中标人派驻的人员需保持相对稳定，未经采购人同意中标人不得随意调剂人员（个人原因辞职、试用期内不合格者、工伤、病假的除外），各项目人员调剂需提前向采购人申请，征得同意后方可进行调剂；未提前申请的或未经同意的，一经发现将进行考核。</w:t>
      </w:r>
      <w:r/>
    </w:p>
    <w:p>
      <w:pPr>
        <w:ind w:firstLine="482"/>
        <w:keepLines/>
        <w:keepNext/>
        <w:pageBreakBefore w:val="0"/>
        <w:spacing w:beforeAutospacing="0" w:afterAutospacing="0" w:line="5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、主要服务内容</w:t>
      </w:r>
      <w:r/>
    </w:p>
    <w:p>
      <w:pPr>
        <w:ind w:firstLine="482"/>
        <w:pageBreakBefore w:val="0"/>
        <w:spacing w:beforeAutospacing="0" w:afterAutospacing="0"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安全保卫服务内容</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（1）园区进出口的治安、来访接待登记服务；</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（2）办公大楼门前区域及内部机动车辆、非机动车辆的秩序维护工作；</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（3）协助快递人员做好信函、快递收发工作；</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（4）办公楼内的安全和秩序；</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（5）做好楼内及其他责任范围内“防火、防盗、防爆、防破坏”的“四防”工作；</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（6）定期向采购人汇报安全工作情况，及时反映问题，整改落实，遇有重大情况立即通报；</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（7）接受采购人求助，回答业主询问；</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（8）采购人交办的其他相关工作。</w:t>
      </w:r>
      <w:r/>
    </w:p>
    <w:p>
      <w:pPr>
        <w:ind w:firstLine="482"/>
        <w:pageBreakBefore w:val="0"/>
        <w:spacing w:beforeAutospacing="0" w:afterAutospacing="0"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保洁服务内容</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有公共走廊、安全通道、电梯、卫生间、开水间、门厅、大堂以及甲方领导办公室、会议室、接待室、餐厅、包间、厨房、淋浴房、健身房、自行车库等区域的地面、墙面、顶面及内窗、纱窗的卫生清洁工作；</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（2）门厅、通道及楼梯台阶、楼梯扶手、栏杆、窗台、开关、公共灯具、消防栓、消防器材、指示牌、垃圾箱（桶）、果皮箱、自行车库等卫生清洁工作；</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（3）物业管理服务区域内公共绿化的监督管理；</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（4）园区道路清扫、地面冲洗，绿化带内卫生清理等；</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（5）采购人交办的其他相关工作。</w:t>
      </w:r>
      <w:r/>
    </w:p>
    <w:p>
      <w:pPr>
        <w:ind w:firstLine="482"/>
        <w:keepLines/>
        <w:keepNext/>
        <w:pageBreakBefore w:val="0"/>
        <w:spacing w:beforeAutospacing="0" w:afterAutospacing="0" w:line="5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、商务条款</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（一）服务期</w:t>
      </w:r>
      <w:r/>
    </w:p>
    <w:p>
      <w:pPr>
        <w:numPr>
          <w:ilvl w:val="0"/>
          <w:numId w:val="0"/>
        </w:num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本项目服务期为</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w:t>
      </w:r>
      <w:r/>
    </w:p>
    <w:p>
      <w:pPr>
        <w:numPr>
          <w:ilvl w:val="0"/>
          <w:numId w:val="3"/>
        </w:numPr>
        <w:ind w:firstLine="480"/>
        <w:pageBreakBefore w:val="0"/>
        <w:spacing w:beforeAutospacing="0" w:afterAutospacing="0" w:line="52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费用支付</w:t>
      </w:r>
      <w:r/>
    </w:p>
    <w:p>
      <w:pPr>
        <w:ind w:firstLine="480"/>
        <w:pageBreakBefore w:val="0"/>
        <w:spacing w:beforeAutospacing="0" w:afterAutospacing="0" w:line="520" w:lineRule="exact"/>
        <w:rPr>
          <w:rFonts w:hint="eastAsia" w:ascii="宋体" w:hAnsi="宋体" w:eastAsia="宋体" w:cs="宋体"/>
          <w:color w:val="000000"/>
          <w:sz w:val="24"/>
          <w:szCs w:val="24"/>
          <w:highlight w:val="yellow"/>
          <w:lang w:eastAsia="zh-CN"/>
        </w:rPr>
      </w:pPr>
      <w:r>
        <w:rPr>
          <w:rFonts w:hint="eastAsia" w:asciiTheme="minorEastAsia" w:hAnsiTheme="minorEastAsia" w:eastAsiaTheme="minorEastAsia" w:cstheme="minorEastAsia"/>
          <w:color w:val="auto"/>
          <w:sz w:val="24"/>
          <w:szCs w:val="24"/>
          <w:highlight w:val="yellow"/>
        </w:rPr>
        <w:t xml:space="preserve"> </w:t>
      </w:r>
      <w:r>
        <w:rPr>
          <w:rFonts w:hint="eastAsia" w:asciiTheme="minorEastAsia" w:hAnsiTheme="minorEastAsia" w:cstheme="minorEastAsia"/>
          <w:color w:val="auto"/>
          <w:sz w:val="24"/>
          <w:szCs w:val="24"/>
          <w:highlight w:val="yellow"/>
          <w:lang w:val="en-US" w:eastAsia="zh-CN"/>
        </w:rPr>
        <w:t xml:space="preserve">1.</w:t>
      </w:r>
      <w:r>
        <w:rPr>
          <w:rFonts w:hint="eastAsia" w:ascii="宋体" w:hAnsi="宋体" w:eastAsia="宋体" w:cs="宋体"/>
          <w:color w:val="000000"/>
          <w:sz w:val="24"/>
          <w:szCs w:val="24"/>
          <w:highlight w:val="yellow"/>
        </w:rPr>
        <w:t xml:space="preserve">预付款支付时间：合同签订后，</w:t>
      </w:r>
      <w:r>
        <w:rPr>
          <w:rFonts w:hint="eastAsia" w:ascii="宋体" w:hAnsi="宋体" w:eastAsia="宋体" w:cs="宋体"/>
          <w:color w:val="000000"/>
          <w:sz w:val="24"/>
          <w:szCs w:val="24"/>
          <w:highlight w:val="yellow"/>
          <w:lang w:val="en-US" w:eastAsia="zh-CN"/>
        </w:rPr>
        <w:t xml:space="preserve">甲方</w:t>
      </w:r>
      <w:r>
        <w:rPr>
          <w:rFonts w:hint="eastAsia" w:ascii="宋体" w:hAnsi="宋体" w:eastAsia="宋体" w:cs="宋体"/>
          <w:color w:val="000000"/>
          <w:sz w:val="24"/>
          <w:szCs w:val="24"/>
          <w:highlight w:val="yellow"/>
        </w:rPr>
        <w:t xml:space="preserve">收到发票后</w:t>
      </w:r>
      <w:r>
        <w:rPr>
          <w:rFonts w:hint="eastAsia" w:ascii="宋体" w:hAnsi="宋体" w:eastAsia="宋体" w:cs="宋体"/>
          <w:color w:val="000000"/>
          <w:sz w:val="24"/>
          <w:szCs w:val="24"/>
          <w:highlight w:val="yellow"/>
          <w:lang w:val="en-US" w:eastAsia="zh-CN"/>
        </w:rPr>
        <w:t xml:space="preserve">10</w:t>
      </w:r>
      <w:r>
        <w:rPr>
          <w:rFonts w:hint="eastAsia" w:ascii="宋体" w:hAnsi="宋体" w:eastAsia="宋体" w:cs="宋体"/>
          <w:color w:val="000000"/>
          <w:sz w:val="24"/>
          <w:szCs w:val="24"/>
          <w:highlight w:val="yellow"/>
        </w:rPr>
        <w:t xml:space="preserve">个工作日内，预付款支付比例：合同金额的</w:t>
      </w:r>
      <w:r>
        <w:rPr>
          <w:rFonts w:hint="eastAsia" w:ascii="宋体" w:hAnsi="宋体" w:eastAsia="宋体" w:cs="宋体"/>
          <w:color w:val="000000"/>
          <w:sz w:val="24"/>
          <w:szCs w:val="24"/>
          <w:highlight w:val="yellow"/>
          <w:lang w:val="en-US" w:eastAsia="zh-CN"/>
        </w:rPr>
        <w:t xml:space="preserve">30</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sz w:val="24"/>
          <w:szCs w:val="24"/>
          <w:highlight w:val="yellow"/>
          <w:lang w:eastAsia="zh-CN"/>
        </w:rPr>
        <w:t xml:space="preserve">；</w:t>
      </w:r>
      <w:r/>
    </w:p>
    <w:p>
      <w:pPr>
        <w:ind w:firstLine="480"/>
        <w:pageBreakBefore w:val="0"/>
        <w:spacing w:beforeAutospacing="0" w:afterAutospacing="0" w:line="52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lang w:val="en-US" w:eastAsia="zh-CN"/>
        </w:rPr>
        <w:t xml:space="preserve">2.</w:t>
      </w:r>
      <w:r>
        <w:rPr>
          <w:rFonts w:hint="eastAsia" w:ascii="宋体" w:hAnsi="宋体" w:eastAsia="宋体" w:cs="宋体"/>
          <w:color w:val="000000"/>
          <w:sz w:val="24"/>
          <w:szCs w:val="24"/>
          <w:highlight w:val="yellow"/>
        </w:rPr>
        <w:t xml:space="preserve">进度款支付时间：项进度款支付时间：项目月月考核，按季度支付服务费。每季度支付费用=总物业服务费/</w:t>
      </w:r>
      <w:r>
        <w:rPr>
          <w:rFonts w:hint="eastAsia" w:ascii="宋体" w:hAnsi="宋体" w:eastAsia="宋体" w:cs="宋体"/>
          <w:color w:val="000000"/>
          <w:sz w:val="24"/>
          <w:szCs w:val="24"/>
          <w:highlight w:val="yellow"/>
          <w:lang w:val="en-US" w:eastAsia="zh-CN"/>
        </w:rPr>
        <w:t xml:space="preserve">4</w:t>
      </w:r>
      <w:r>
        <w:rPr>
          <w:rFonts w:hint="eastAsia" w:ascii="宋体" w:hAnsi="宋体" w:eastAsia="宋体" w:cs="宋体"/>
          <w:color w:val="000000"/>
          <w:sz w:val="24"/>
          <w:szCs w:val="24"/>
          <w:highlight w:val="yellow"/>
        </w:rPr>
        <w:t xml:space="preserve">—预付款/</w:t>
      </w:r>
      <w:r>
        <w:rPr>
          <w:rFonts w:hint="eastAsia" w:ascii="宋体" w:hAnsi="宋体" w:eastAsia="宋体" w:cs="宋体"/>
          <w:color w:val="000000"/>
          <w:sz w:val="24"/>
          <w:szCs w:val="24"/>
          <w:highlight w:val="yellow"/>
          <w:lang w:val="en-US" w:eastAsia="zh-CN"/>
        </w:rPr>
        <w:t xml:space="preserve">4；</w:t>
      </w:r>
      <w:r/>
    </w:p>
    <w:p>
      <w:pPr>
        <w:ind w:firstLine="480"/>
        <w:pageBreakBefore w:val="0"/>
        <w:spacing w:beforeAutospacing="0" w:afterAutospacing="0" w:line="52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lang w:val="en-US" w:eastAsia="zh-CN"/>
        </w:rPr>
        <w:t xml:space="preserve">3.尾款支付时间：服务结束并验收合格,采购人收到发票后10个工作日内，支付剩余1个季度服务费。</w:t>
      </w:r>
      <w:r/>
    </w:p>
    <w:p>
      <w:pPr>
        <w:ind w:firstLine="480"/>
        <w:pageBreakBefore w:val="0"/>
        <w:spacing w:beforeAutospacing="0" w:afterAutospacing="0"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yellow"/>
          <w:lang w:val="en-US" w:eastAsia="zh-CN"/>
        </w:rPr>
        <w:t xml:space="preserve">注：乙方每次付款前需向甲方提供有效的发票，每三个月付款一次，于第四个月的20号前，支付上三个月的考核服务费。</w:t>
      </w:r>
      <w:r/>
    </w:p>
    <w:p>
      <w:pPr>
        <w:ind w:firstLine="482"/>
        <w:keepLines/>
        <w:keepNext/>
        <w:pageBreakBefore w:val="0"/>
        <w:spacing w:beforeAutospacing="0" w:afterAutospacing="0" w:line="5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、服务要求</w:t>
      </w:r>
      <w:r/>
    </w:p>
    <w:p>
      <w:pPr>
        <w:ind w:firstLine="482"/>
        <w:pageBreakBefore w:val="0"/>
        <w:spacing w:beforeAutospacing="0" w:afterAutospacing="0"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安全保卫服务要求及标准</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（1）安护人员须严格执行相关规章制度、作息时间、上班流程及</w:t>
      </w:r>
      <w:r>
        <w:rPr>
          <w:rFonts w:hint="eastAsia" w:ascii="宋体" w:hAnsi="宋体" w:eastAsia="宋体" w:cs="宋体"/>
          <w:color w:val="000000"/>
          <w:sz w:val="24"/>
          <w:szCs w:val="24"/>
          <w:highlight w:val="none"/>
          <w:lang w:eastAsia="zh-CN"/>
        </w:rPr>
        <w:t xml:space="preserve">保安</w:t>
      </w:r>
      <w:r>
        <w:rPr>
          <w:rFonts w:hint="eastAsia" w:ascii="宋体" w:hAnsi="宋体" w:eastAsia="宋体" w:cs="宋体"/>
          <w:color w:val="000000"/>
          <w:sz w:val="24"/>
          <w:szCs w:val="24"/>
          <w:highlight w:val="none"/>
        </w:rPr>
        <w:t xml:space="preserve">岗位职责，严禁脱岗、睡岗、酒后上岗、岗上喝酒、违规使用电器等现象；</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（2）安护人员持证上岗，身体健康，定期接受培训，能正确使用各类消防、物防、技防器械和设备；</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（3）熟悉区内环境，熟知治安管理有关法律法规，熟悉各类刑事、治安案件和各类灾害事故的应急预案；</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（4）上岗时统一着装、精神饱满，动作规范，语言表达清晰；</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（5）定期检查维护安全消防设施，落实消防责任制，及时消除火险隐患；</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（6）全天24小时不间断楼内安全巡视（监控），按设定路线每4小时巡查一次并记录夜间通道巡查每天不少于两次，发现问题及时处理。</w:t>
      </w:r>
      <w:r/>
    </w:p>
    <w:p>
      <w:pPr>
        <w:ind w:firstLine="482"/>
        <w:pageBreakBefore w:val="0"/>
        <w:spacing w:beforeAutospacing="0" w:afterAutospacing="0"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保洁服务要求及标准</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（1）于甲方上班前20分钟完成楼内主要公共区域及领导办公室的保洁工作，上班期间不间断巡查，做到及时清洁维护；</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（2）领导办公室每天清洁一次，确保办公桌椅、办公设备、地面、内窗无尘无污渍，及时清洁茶几、烟缸；办公室墙面、顶面每月除尘一次； </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（3）公共区域大理石、地砖地面每日至少清洁一次，并采取循环保洁制，发现垃圾杂物及时清除；</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（4）门厅玻璃每日除尘擦洗，确保窗明几净，大厅墙面每日除尘去污；</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（5）办公楼内公共区域墙面、顶面每月除尘一次，确保无灰尘、无污迹、无蜘蛛网；</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楼梯扶手、栏杆、窗台、开关等每日擦拭，确保无尘无污渍；公共灯具每月除尘二次，确保天花板、灯盖、灯罩、灯座目视无灰尘、无污迹、无蜘蛛网，整洁明亮；镜子、金属门扶手随时保持光亮；每周擦拭公共区域内窗户玻璃，确保玻璃洁净、光亮、无灰尘；纱窗清洗每年两次。</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每天上午、下午人流量较低时对卫生间进行全面清洁工作；两次全面清洁间隙，需每隔一小时进行局部清洁工作，确保洗手间无异味、无水迹、尿迹；镜面清洁光亮；墙面、隔断无污迹、无灰尘；垃圾桶内外干净，垃圾袋内垃圾不超过2/3；及时补充更换洗手液、卷纸、垃圾袋等；厕位、水箱等设备损坏或发生故障及时修理；</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会议室/接待室每天清洁一次，使用结束后做到及时清洁整理，确保会议室/接待室内地面、办公桌椅、办公设备干净整洁，桌椅摆放整齐，茶几、烟缸及时清理，墙面、顶面无尘无蜘蛛网，地毯每月吸尘一次，确保地毯干净松软无污渍； </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）自行车库每周清扫一次；发现油迹、污迹、锈迹及时擦洗干净，确保无异味、空气清新；</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）每天早晚定时清理两次垃圾筒，确保垃圾袋内垃圾不超过2/3；</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）保洁员身体健康，无传染性疾病，符合国家卫生服务许可标准；</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）定期对保洁服务人员进行业务培训，及时落实采购人提出的整改意见，提高服务质量。</w:t>
      </w:r>
      <w:r/>
    </w:p>
    <w:p>
      <w:pPr>
        <w:ind w:firstLine="482"/>
        <w:pageBreakBefore w:val="0"/>
        <w:spacing w:beforeAutospacing="0" w:afterAutospacing="0"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突发事件</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提供针对本项目特点的任务保障制定临时性重大活动的应对保障方案和措施，针对各类纠纷、消防、台风、暴雨、冻雪等灾害性天气及预防泄密、水电气突发故障提供相应的应急处置预案。</w:t>
      </w:r>
      <w:r/>
    </w:p>
    <w:p>
      <w:pPr>
        <w:ind w:firstLine="482"/>
        <w:pageBreakBefore w:val="0"/>
        <w:spacing w:beforeAutospacing="0" w:afterAutospacing="0" w:line="520" w:lineRule="exact"/>
        <w:tabs>
          <w:tab w:val="left" w:pos="1808"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人员培训及服务团队建设</w:t>
      </w:r>
      <w:r>
        <w:rPr>
          <w:rFonts w:hint="eastAsia" w:ascii="宋体" w:hAnsi="宋体" w:eastAsia="宋体" w:cs="宋体"/>
          <w:b/>
          <w:bCs/>
          <w:color w:val="000000"/>
          <w:sz w:val="24"/>
          <w:szCs w:val="24"/>
          <w:highlight w:val="none"/>
        </w:rPr>
        <w:tab/>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特点，科学制定人员管理和团队建设方案。投标人提供适合本项目的物业管理人员培训和考核方案，包括日常培训、专业技能提升培训、参加技能比赛等，对员工进行岗位技能、职业素养考核，有奖惩制度和措施。</w:t>
      </w:r>
      <w:r/>
    </w:p>
    <w:p>
      <w:pPr>
        <w:ind w:firstLine="482"/>
        <w:pageBreakBefore w:val="0"/>
        <w:spacing w:beforeAutospacing="0" w:afterAutospacing="0"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重点、难点服务内容</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要求对本项目的重点和难点进行全面描述和深刻分析，并制订科学合理且符合本项目实际的措施。</w:t>
      </w:r>
      <w:r/>
    </w:p>
    <w:p>
      <w:pPr>
        <w:ind w:firstLine="482"/>
        <w:pageBreakBefore w:val="0"/>
        <w:spacing w:beforeAutospacing="0" w:afterAutospacing="0"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服务承诺响应要求</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（1）本项目要求积极响应招标文件，完全理解和接受采购人提出要求，对招标文件要求对服务事项作出的承诺完整细致，有明确的质量保证并承诺有额外的实质性提供服务措施。</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（2）本项目要求员工最低工种工资不低于所在地年度最低工资标准。本项目要保证按</w:t>
      </w:r>
      <w:r>
        <w:rPr>
          <w:rFonts w:hint="eastAsia" w:ascii="宋体" w:hAnsi="宋体" w:eastAsia="宋体" w:cs="宋体"/>
          <w:bCs/>
          <w:color w:val="000000"/>
          <w:sz w:val="24"/>
          <w:szCs w:val="24"/>
          <w:highlight w:val="none"/>
        </w:rPr>
        <w:t xml:space="preserve">投标文件</w:t>
      </w:r>
      <w:r>
        <w:rPr>
          <w:rFonts w:hint="eastAsia" w:ascii="宋体" w:hAnsi="宋体" w:eastAsia="宋体" w:cs="宋体"/>
          <w:color w:val="000000"/>
          <w:sz w:val="24"/>
          <w:szCs w:val="24"/>
          <w:highlight w:val="none"/>
        </w:rPr>
        <w:t xml:space="preserve">所列人员全部上岗，</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要有专门的培训部门和制度，有新进员工上岗前培训计划及针对本项目中标后员工培训计划，本项目员工上岗培训率应达到100％。</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及</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派出本项目服务人员应当对其工作结果负责；在本项目履约过程中，因</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的原因，发生事故，造成人身伤害和财产损失的，由</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承担全部赔偿责任；</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保证与派出本项目服务人员签订书面合法有效的劳动合同，依法保障本项目服务人员的合法权益；</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负责为本项目服务人员根据相关法律法规及劳动合同的要求办理社会保险，建立本项目服务人员档案。如因</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未尽到上述保障义务，造成本项目服务人员利益受损或导致采购人卷入纠纷的，由</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承担全部责任，并有义务赔偿采购人造成的一切损失；</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对本项目服务人员承担国家法律、法规中应由用人单位承担的一切责任，若上述人员发生休假、加班、工伤、大病、生育、工资、社会保险、公积金等任何劳资纠纷，采购人除了根据本项目合同向</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支付物业服务费用之外，不承担</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本项目服务人员的任何费用，包括但不限于工资、社会保险、公积金、经济补偿金、经济赔偿金；</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如因第三人侵权造成</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本项目服务人员人身及财产受损的，由第三人向</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本项目服务人员承担相应的法律责任，采购人仅予以必要的协助；本项目服务人员损害未得到足额赔付的，由</w:t>
      </w:r>
      <w:r>
        <w:rPr>
          <w:rFonts w:hint="eastAsia" w:ascii="宋体" w:hAnsi="宋体" w:eastAsia="宋体" w:cs="宋体"/>
          <w:bCs/>
          <w:color w:val="000000"/>
          <w:sz w:val="24"/>
          <w:szCs w:val="24"/>
          <w:highlight w:val="none"/>
        </w:rPr>
        <w:t xml:space="preserve">投标人</w:t>
      </w:r>
      <w:r>
        <w:rPr>
          <w:rFonts w:hint="eastAsia" w:ascii="宋体" w:hAnsi="宋体" w:eastAsia="宋体" w:cs="宋体"/>
          <w:color w:val="000000"/>
          <w:sz w:val="24"/>
          <w:szCs w:val="24"/>
          <w:highlight w:val="none"/>
        </w:rPr>
        <w:t xml:space="preserve">自行弥补。</w:t>
      </w:r>
      <w:r/>
    </w:p>
    <w:p>
      <w:pPr>
        <w:ind w:firstLine="482"/>
        <w:keepLines/>
        <w:keepNext/>
        <w:pageBreakBefore w:val="0"/>
        <w:spacing w:beforeAutospacing="0" w:afterAutospacing="0" w:line="5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、其他要求</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（一）物业服务报价应包括（不限于以下内容）：</w:t>
      </w:r>
      <w:r/>
    </w:p>
    <w:p>
      <w:pPr>
        <w:pStyle w:val="880"/>
        <w:ind w:firstLine="480"/>
        <w:pageBreakBefore w:val="0"/>
        <w:spacing w:beforeAutospacing="0" w:after="0" w:afterAutospacing="0" w:line="520" w:lineRule="exact"/>
        <w:rPr>
          <w:rFonts w:hint="eastAsia" w:ascii="宋体" w:hAnsi="宋体" w:eastAsia="宋体" w:cs="宋体"/>
          <w:sz w:val="24"/>
          <w:szCs w:val="24"/>
        </w:rPr>
      </w:pPr>
      <w:r>
        <w:rPr>
          <w:rFonts w:hint="eastAsia" w:ascii="宋体" w:hAnsi="宋体" w:eastAsia="宋体" w:cs="宋体"/>
          <w:sz w:val="24"/>
          <w:szCs w:val="24"/>
        </w:rPr>
        <w:t xml:space="preserve">投标人的报价应包括但不限于</w:t>
      </w:r>
      <w:r>
        <w:rPr>
          <w:rFonts w:hint="eastAsia" w:ascii="宋体" w:hAnsi="宋体"/>
          <w:sz w:val="24"/>
          <w:szCs w:val="24"/>
        </w:rPr>
        <w:t xml:space="preserve">服务人员的工资、社保费、法定税费和合理利润及公共区域清洁卫生、消毒费用；清洁器具、耗材（垃圾袋、清洁剂、卫生球、洗衣粉、扫帚、抹布等）；物业办公、服装、节日装点等各类费用；还应包括：管理、劳务、培训、风险、税金及政策性文件规定及其它一切相关费用等</w:t>
      </w:r>
      <w:r>
        <w:rPr>
          <w:rFonts w:hint="eastAsia" w:ascii="宋体" w:hAnsi="宋体"/>
          <w:sz w:val="24"/>
          <w:szCs w:val="24"/>
          <w:lang w:eastAsia="zh-CN"/>
        </w:rPr>
        <w:t xml:space="preserve">。</w:t>
      </w:r>
      <w:r/>
    </w:p>
    <w:p>
      <w:pPr>
        <w:ind w:firstLine="480"/>
        <w:pageBreakBefore w:val="0"/>
        <w:spacing w:beforeAutospacing="0" w:afterAutospacing="0" w:line="520" w:lineRule="exact"/>
        <w:rPr>
          <w:rFonts w:hint="eastAsia" w:ascii="宋体" w:hAnsi="宋体" w:eastAsia="宋体" w:cs="宋体"/>
          <w:i w:val="0"/>
          <w:iCs w:val="0"/>
          <w:color w:val="000000"/>
          <w:sz w:val="24"/>
          <w:szCs w:val="24"/>
          <w:highlight w:val="yellow"/>
        </w:rPr>
      </w:pPr>
      <w:r>
        <w:rPr>
          <w:rFonts w:hint="eastAsia" w:ascii="宋体" w:hAnsi="宋体" w:eastAsia="宋体" w:cs="宋体"/>
          <w:i w:val="0"/>
          <w:iCs w:val="0"/>
          <w:color w:val="000000"/>
          <w:sz w:val="24"/>
          <w:szCs w:val="24"/>
          <w:highlight w:val="yellow"/>
        </w:rPr>
        <w:t xml:space="preserve">1）员工人工成本：</w:t>
      </w:r>
      <w:r>
        <w:rPr>
          <w:rFonts w:hint="eastAsia" w:ascii="宋体" w:hAnsi="宋体" w:eastAsia="宋体" w:cs="宋体"/>
          <w:b/>
          <w:bCs/>
          <w:i w:val="0"/>
          <w:iCs w:val="0"/>
          <w:color w:val="000000"/>
          <w:sz w:val="24"/>
          <w:szCs w:val="24"/>
          <w:highlight w:val="yellow"/>
          <w:u w:val="single"/>
        </w:rPr>
        <w:t xml:space="preserve">投标人在其投标文件列出所有的配置人员的工资不得低于项目所在地的最低工资标准。</w:t>
      </w:r>
      <w:r/>
    </w:p>
    <w:p>
      <w:pPr>
        <w:ind w:firstLine="480"/>
        <w:pageBreakBefore w:val="0"/>
        <w:spacing w:beforeAutospacing="0" w:afterAutospacing="0" w:line="520" w:lineRule="exact"/>
        <w:rPr>
          <w:rFonts w:hint="eastAsia" w:ascii="宋体" w:hAnsi="宋体" w:eastAsia="宋体" w:cs="宋体"/>
          <w:i w:val="0"/>
          <w:iCs w:val="0"/>
          <w:color w:val="000000"/>
          <w:sz w:val="24"/>
          <w:szCs w:val="24"/>
          <w:highlight w:val="yellow"/>
        </w:rPr>
      </w:pPr>
      <w:r>
        <w:rPr>
          <w:rFonts w:hint="eastAsia" w:ascii="宋体" w:hAnsi="宋体" w:eastAsia="宋体" w:cs="宋体"/>
          <w:i w:val="0"/>
          <w:iCs w:val="0"/>
          <w:color w:val="000000"/>
          <w:sz w:val="24"/>
          <w:szCs w:val="24"/>
          <w:highlight w:val="yellow"/>
        </w:rPr>
        <w:t xml:space="preserve">2）员工</w:t>
      </w:r>
      <w:r>
        <w:rPr>
          <w:rFonts w:hint="eastAsia" w:ascii="宋体" w:hAnsi="宋体" w:eastAsia="宋体" w:cs="宋体"/>
          <w:i w:val="0"/>
          <w:iCs w:val="0"/>
          <w:color w:val="000000"/>
          <w:sz w:val="24"/>
          <w:szCs w:val="24"/>
          <w:highlight w:val="yellow"/>
          <w:lang w:val="en-US" w:eastAsia="zh-CN"/>
        </w:rPr>
        <w:t xml:space="preserve">的保险</w:t>
      </w:r>
      <w:r>
        <w:rPr>
          <w:rFonts w:hint="eastAsia" w:ascii="宋体" w:hAnsi="宋体" w:eastAsia="宋体" w:cs="宋体"/>
          <w:i w:val="0"/>
          <w:iCs w:val="0"/>
          <w:color w:val="000000"/>
          <w:sz w:val="24"/>
          <w:szCs w:val="24"/>
          <w:highlight w:val="yellow"/>
        </w:rPr>
        <w:t xml:space="preserve">等社会保障费用：</w:t>
      </w:r>
      <w:r>
        <w:rPr>
          <w:rFonts w:hint="eastAsia" w:ascii="宋体" w:hAnsi="宋体" w:eastAsia="宋体" w:cs="宋体"/>
          <w:b/>
          <w:bCs/>
          <w:i w:val="0"/>
          <w:iCs w:val="0"/>
          <w:color w:val="000000"/>
          <w:sz w:val="24"/>
          <w:szCs w:val="24"/>
          <w:highlight w:val="yellow"/>
          <w:u w:val="single"/>
        </w:rPr>
        <w:t xml:space="preserve">投标人在投标文件列出所有的配置人员的社保待遇不得低于当地规定的最低社保缴费标准，并要求所有人员都</w:t>
      </w:r>
      <w:r>
        <w:rPr>
          <w:rFonts w:hint="eastAsia" w:ascii="宋体" w:hAnsi="宋体" w:eastAsia="宋体" w:cs="宋体"/>
          <w:b/>
          <w:bCs/>
          <w:i w:val="0"/>
          <w:iCs w:val="0"/>
          <w:color w:val="000000"/>
          <w:sz w:val="24"/>
          <w:szCs w:val="24"/>
          <w:highlight w:val="yellow"/>
          <w:u w:val="single"/>
          <w:lang w:val="en-US" w:eastAsia="zh-CN"/>
        </w:rPr>
        <w:t xml:space="preserve">缴纳</w:t>
      </w:r>
      <w:r>
        <w:rPr>
          <w:rFonts w:hint="eastAsia" w:ascii="宋体" w:hAnsi="宋体" w:eastAsia="宋体" w:cs="宋体"/>
          <w:b/>
          <w:bCs/>
          <w:i w:val="0"/>
          <w:iCs w:val="0"/>
          <w:color w:val="000000"/>
          <w:sz w:val="24"/>
          <w:szCs w:val="24"/>
          <w:highlight w:val="yellow"/>
          <w:u w:val="single"/>
        </w:rPr>
        <w:t xml:space="preserve">社保。</w:t>
      </w:r>
      <w:r/>
    </w:p>
    <w:p>
      <w:pPr>
        <w:pStyle w:val="851"/>
        <w:ind w:firstLine="482"/>
        <w:jc w:val="both"/>
        <w:keepLines w:val="0"/>
        <w:keepNext w:val="0"/>
        <w:pageBreakBefore w:val="0"/>
        <w:spacing w:before="0" w:beforeAutospacing="0" w:after="0" w:afterAutospacing="0" w:line="52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（二）其他事项说明</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（1）除采购人同意的服务项目外，其余服务均不接受任何形式的转包、分包或代管。</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（2）在实施物业管理过程中，无论是中标人单位工作人员还是中标人外包项目的工作人员，在工作中发生安全责任事故，中标人负全部责任。</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（3）供应商按劳动法规定规范用工，与劳动者签订劳动合同，按规定时间、标准支付工资和缴付社保基金。并将支付凭证复印件交采购人核查。 </w:t>
      </w:r>
      <w:r/>
    </w:p>
    <w:p>
      <w:pPr>
        <w:pStyle w:val="851"/>
        <w:ind w:firstLine="482"/>
        <w:jc w:val="both"/>
        <w:keepLines w:val="0"/>
        <w:keepNext w:val="0"/>
        <w:pageBreakBefore w:val="0"/>
        <w:spacing w:before="0" w:beforeAutospacing="0" w:after="0" w:afterAutospacing="0" w:line="52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（三）考核</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的评价评定作为物业服务费支付的重要依据。采购人每月组织相关人员对物业管理服务进行评定，月度考核得分90分（含90分）以上的为满意，当月的物业服务费按合同约定金额全额结算；月度考核得分80分-89分，为基本满意，当月的物业服务费按合同约定金额的80%结算；月度考核得分在80分以下的，为不满意，扣除当月的物业服务费；每季度中有两次考核得分在80分以下的，采购人有权立即解除合同，不承担其他任何费用。</w:t>
      </w:r>
      <w:r/>
    </w:p>
    <w:p>
      <w:pPr>
        <w:ind w:firstLine="480"/>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（2）日常工作中发生重、特大安全责任事故，除赔偿损失外，视情况解除物业管理合同。</w:t>
      </w:r>
      <w:r/>
    </w:p>
    <w:p>
      <w:pPr>
        <w:ind w:firstLine="422"/>
        <w:pageBreakBefore w:val="0"/>
        <w:spacing w:line="520" w:lineRule="exact"/>
        <w:widowControl/>
        <w:rPr>
          <w:rFonts w:hint="eastAsia" w:ascii="宋体" w:hAnsi="宋体"/>
          <w:b/>
          <w:bCs/>
          <w:szCs w:val="21"/>
        </w:rPr>
      </w:pPr>
      <w:r>
        <w:rPr>
          <w:rFonts w:hint="eastAsia" w:ascii="宋体" w:hAnsi="宋体" w:eastAsia="宋体" w:cs="宋体"/>
          <w:color w:val="000000"/>
          <w:sz w:val="24"/>
          <w:szCs w:val="24"/>
          <w:highlight w:val="none"/>
          <w:lang w:val="en-US" w:eastAsia="zh-CN"/>
        </w:rPr>
        <w:t xml:space="preserve">七、</w:t>
      </w:r>
      <w:r>
        <w:rPr>
          <w:rFonts w:hint="eastAsia" w:ascii="宋体" w:hAnsi="宋体"/>
          <w:b/>
          <w:bCs/>
          <w:szCs w:val="21"/>
        </w:rPr>
        <w:t xml:space="preserve">采购标的对应的中小企业划分标准所属行业一览表</w:t>
      </w:r>
      <w:r/>
    </w:p>
    <w:tbl>
      <w:tblPr>
        <w:tblStyle w:val="853"/>
        <w:tblW w:w="859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3209"/>
        <w:gridCol w:w="4623"/>
      </w:tblGrid>
      <w:tr>
        <w:trPr>
          <w:jc w:val="center"/>
          <w:trHeight w:val="2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pageBreakBefore w:val="0"/>
              <w:spacing w:line="520" w:lineRule="exac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tcPr>
          <w:p>
            <w:pPr>
              <w:jc w:val="center"/>
              <w:pageBreakBefore w:val="0"/>
              <w:spacing w:line="520" w:lineRule="exac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3" w:type="dxa"/>
            <w:vAlign w:val="center"/>
            <w:textDirection w:val="lrTb"/>
            <w:noWrap/>
          </w:tcPr>
          <w:p>
            <w:pPr>
              <w:jc w:val="center"/>
              <w:pageBreakBefore w:val="0"/>
              <w:spacing w:line="520" w:lineRule="exac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t xml:space="preserve">对应中小企业划分标准所属行业</w:t>
            </w:r>
            <w:r/>
          </w:p>
        </w:tc>
      </w:tr>
      <w:tr>
        <w:trPr>
          <w:jc w:val="center"/>
          <w:trHeight w:val="2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firstLine="210"/>
              <w:pageBreakBefore w:val="0"/>
              <w:spacing w:line="520" w:lineRule="exac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tcPr>
          <w:p>
            <w:pPr>
              <w:jc w:val="center"/>
              <w:pageBreakBefore w:val="0"/>
              <w:spacing w:line="520" w:lineRule="exac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物业服务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3" w:type="dxa"/>
            <w:vAlign w:val="center"/>
            <w:textDirection w:val="lrTb"/>
            <w:noWrap/>
          </w:tcPr>
          <w:p>
            <w:pPr>
              <w:ind w:firstLine="420"/>
              <w:jc w:val="center"/>
              <w:pageBreakBefore w:val="0"/>
              <w:spacing w:line="520" w:lineRule="exac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物业管理</w:t>
            </w:r>
            <w:r/>
          </w:p>
        </w:tc>
      </w:tr>
    </w:tbl>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pStyle w:val="872"/>
        <w:rPr>
          <w:rFonts w:hint="eastAsia" w:eastAsia="宋体"/>
          <w:lang w:val="en-US" w:eastAsia="zh-CN"/>
        </w:rPr>
      </w:pPr>
      <w:r>
        <w:rPr>
          <w:rFonts w:hint="eastAsia" w:eastAsia="宋体"/>
          <w:lang w:val="en-US" w:eastAsia="zh-CN"/>
        </w:rPr>
      </w:r>
      <w:r/>
    </w:p>
    <w:p>
      <w:pPr>
        <w:ind w:firstLine="480"/>
        <w:jc w:val="left"/>
        <w:pageBreakBefore w:val="0"/>
        <w:spacing w:beforeAutospacing="0" w:afterAutospacing="0"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p>
    <w:p>
      <w:pPr>
        <w:ind w:firstLine="482"/>
        <w:jc w:val="center"/>
        <w:pageBreakBefore w:val="0"/>
        <w:spacing w:beforeAutospacing="0" w:afterAutospacing="0" w:line="5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物业服务考核办法</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一、考核依据</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《物业管理服务合同》（含附件及本考核办法）与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二、考核方法</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由甲方就委托管理项目对乙方按月进行考核。考核结果将作为甲方对乙方管理服务质量考评的依据。采用资料查核、实地巡查、抽样检查、询问等方法对物业的服务进行管理、监督和考核，每月不低于一次。</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月度考核采取百分制打分。甲方对乙方的工作质量进行评价和考核，每月考核按甲方考核标准评分，并按约定的扣分比例对乙方进行经济考核，即月度考核得分平均分（各岗位得分总分/岗位总人数）90分（含90分）以上的为满意，全额支付当月的物业服务费；月度考核得分平均分80分-89分，为基本满意，支付当月物业服务费的80%；月度考核得分平均分在80分以下的，为不满意，暂停支付当月的物业服务费；每季度中有两次考核得分在80分以下的，采购人有权立即解除合同，不承担其他任何费用。</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三、考核内容</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（一）制度建设</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（1）建立健全安全突发性应急事件预案和处理办法，基础台帐等制度，制度和台帐不健全。不符合要求的，扣除当月物业服务费的2%。</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（2）建立健全各项岗位管理制度。不符合要求的，扣除当月物业服务费的2%。</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（3）物业保洁管理服务工作有详细的工作流程和质量标准，各项管理内控记录齐全。不符合要求的，扣除当月物业服务费的2%。</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（4）建立健全人员使用审查和报告制度。有员工招聘审查、培训办法，有岗位职责、人员分工表等内部管理考核台帐。不符合要求的，扣除当月物业服务费的5%。</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（二）人员管理</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（1）新进员工必须经培训合格后上岗，每月组织一次安全及业务培训，并做好台账记录。不符合要求的，扣除当月物业服务费的2%。</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（2）培训合格上岗后的员工，无特殊情况，不得随意换人。不符合要求的，扣除当月物业服务费的1%。</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（3）员工离职需及时上报。不符合要求的，扣除当月物业服务费的1%。</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）员工按规定统一着装，佩戴统一标识，服装上无污渍、无破损，注重仪表仪容，不留长发、不蓄胡子，注意文明用语等。不符合要求，扣除当月物业服务费的2%。</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）员工在班期间不得因私事及脱岗、串岗、睡岗；酒后上岗。不符合要求的，扣除当月物业服务费的5%。</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）员工有盗窃、失密等违法乱纪行为，当事员工应解除合同，并扣除当月物业服务费的20%，情节严重按相关法规处理。</w:t>
      </w:r>
      <w:r/>
    </w:p>
    <w:p>
      <w:pPr>
        <w:ind w:firstLine="48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）员工需遵守相关规章制度。违法规定的，扣除当月物业服务费的2%。</w:t>
      </w:r>
      <w:r/>
    </w:p>
    <w:p>
      <w:pPr>
        <w:ind w:firstLine="420"/>
        <w:spacing w:line="360" w:lineRule="auto"/>
        <w:rPr>
          <w:rFonts w:ascii="Times New Roman" w:hAnsi="Times New Roman"/>
          <w:color w:val="000000"/>
          <w:highlight w:val="none"/>
        </w:rPr>
      </w:pPr>
      <w:r>
        <w:rPr>
          <w:rFonts w:ascii="Times New Roman" w:hAnsi="Times New Roman"/>
          <w:color w:val="000000"/>
          <w:highlight w:val="none"/>
        </w:rPr>
      </w:r>
      <w:r/>
    </w:p>
    <w:p>
      <w:pPr>
        <w:ind w:firstLine="420"/>
        <w:spacing w:line="360" w:lineRule="auto"/>
        <w:rPr>
          <w:rFonts w:ascii="Times New Roman" w:hAnsi="Times New Roman"/>
          <w:color w:val="000000"/>
          <w:highlight w:val="none"/>
        </w:rPr>
      </w:pPr>
      <w:r>
        <w:rPr>
          <w:rFonts w:ascii="Times New Roman" w:hAnsi="Times New Roman"/>
          <w:color w:val="000000"/>
          <w:highlight w:val="none"/>
        </w:rPr>
      </w:r>
      <w:r/>
    </w:p>
    <w:p>
      <w:pPr>
        <w:ind w:firstLine="420"/>
        <w:spacing w:line="360" w:lineRule="auto"/>
        <w:rPr>
          <w:rFonts w:ascii="Times New Roman" w:hAnsi="Times New Roman"/>
          <w:color w:val="000000"/>
          <w:highlight w:val="none"/>
        </w:rPr>
      </w:pPr>
      <w:r>
        <w:rPr>
          <w:rFonts w:ascii="Times New Roman" w:hAnsi="Times New Roman"/>
          <w:color w:val="000000"/>
          <w:highlight w:val="none"/>
        </w:rPr>
      </w:r>
      <w:r/>
    </w:p>
    <w:p>
      <w:pPr>
        <w:ind w:firstLine="420"/>
        <w:spacing w:line="360" w:lineRule="auto"/>
        <w:rPr>
          <w:rFonts w:ascii="Times New Roman" w:hAnsi="Times New Roman"/>
          <w:color w:val="000000"/>
          <w:highlight w:val="none"/>
        </w:rPr>
      </w:pPr>
      <w:r>
        <w:rPr>
          <w:rFonts w:ascii="Times New Roman" w:hAnsi="Times New Roman"/>
          <w:color w:val="000000"/>
          <w:highlight w:val="none"/>
        </w:rPr>
      </w:r>
      <w:r/>
    </w:p>
    <w:p>
      <w:pPr>
        <w:ind w:firstLine="420"/>
        <w:spacing w:line="360" w:lineRule="auto"/>
        <w:rPr>
          <w:rFonts w:ascii="Times New Roman" w:hAnsi="Times New Roman"/>
          <w:color w:val="000000"/>
          <w:highlight w:val="none"/>
        </w:rPr>
      </w:pPr>
      <w:r>
        <w:rPr>
          <w:rFonts w:ascii="Times New Roman" w:hAnsi="Times New Roman"/>
          <w:color w:val="000000"/>
          <w:highlight w:val="none"/>
        </w:rPr>
      </w:r>
      <w:r/>
    </w:p>
    <w:p>
      <w:pPr>
        <w:ind w:firstLine="420"/>
        <w:spacing w:line="360" w:lineRule="auto"/>
        <w:rPr>
          <w:rFonts w:ascii="Times New Roman" w:hAnsi="Times New Roman"/>
          <w:color w:val="000000"/>
          <w:highlight w:val="none"/>
        </w:rPr>
      </w:pPr>
      <w:r>
        <w:rPr>
          <w:rFonts w:ascii="Times New Roman" w:hAnsi="Times New Roman"/>
          <w:color w:val="000000"/>
          <w:highlight w:val="none"/>
        </w:rPr>
      </w:r>
      <w:r/>
    </w:p>
    <w:p>
      <w:pPr>
        <w:ind w:firstLine="420"/>
        <w:spacing w:line="360" w:lineRule="auto"/>
        <w:rPr>
          <w:rFonts w:ascii="Times New Roman" w:hAnsi="Times New Roman"/>
          <w:color w:val="000000"/>
          <w:highlight w:val="none"/>
        </w:rPr>
      </w:pPr>
      <w:r>
        <w:rPr>
          <w:rFonts w:ascii="Times New Roman" w:hAnsi="Times New Roman"/>
          <w:color w:val="000000"/>
          <w:highlight w:val="none"/>
        </w:rPr>
      </w:r>
      <w:r/>
    </w:p>
    <w:p>
      <w:pPr>
        <w:ind w:firstLine="420"/>
        <w:spacing w:line="360" w:lineRule="auto"/>
        <w:rPr>
          <w:rFonts w:ascii="Times New Roman" w:hAnsi="Times New Roman"/>
          <w:color w:val="000000"/>
          <w:highlight w:val="none"/>
        </w:rPr>
      </w:pPr>
      <w:r>
        <w:rPr>
          <w:rFonts w:ascii="Times New Roman" w:hAnsi="Times New Roman"/>
          <w:color w:val="000000"/>
          <w:highlight w:val="none"/>
        </w:rPr>
      </w:r>
      <w:r/>
    </w:p>
    <w:p>
      <w:pPr>
        <w:ind w:firstLine="420"/>
        <w:spacing w:line="360" w:lineRule="auto"/>
        <w:rPr>
          <w:rFonts w:ascii="Times New Roman" w:hAnsi="Times New Roman"/>
          <w:color w:val="000000"/>
          <w:highlight w:val="none"/>
        </w:rPr>
      </w:pPr>
      <w:r>
        <w:rPr>
          <w:rFonts w:ascii="Times New Roman" w:hAnsi="Times New Roman"/>
          <w:color w:val="000000"/>
          <w:highlight w:val="none"/>
        </w:rPr>
      </w:r>
      <w:r/>
    </w:p>
    <w:p>
      <w:pPr>
        <w:ind w:firstLine="420"/>
        <w:spacing w:line="360" w:lineRule="auto"/>
        <w:rPr>
          <w:rFonts w:ascii="Times New Roman" w:hAnsi="Times New Roman"/>
          <w:color w:val="000000"/>
          <w:highlight w:val="none"/>
        </w:rPr>
      </w:pPr>
      <w:r>
        <w:rPr>
          <w:rFonts w:ascii="Times New Roman" w:hAnsi="Times New Roman"/>
          <w:color w:val="000000"/>
          <w:highlight w:val="none"/>
        </w:rPr>
      </w:r>
      <w:r/>
    </w:p>
    <w:p>
      <w:pPr>
        <w:jc w:val="center"/>
        <w:spacing w:line="360" w:lineRule="auto"/>
        <w:rPr>
          <w:b/>
          <w:bCs/>
          <w:color w:val="000000"/>
          <w:sz w:val="24"/>
          <w:szCs w:val="24"/>
          <w:highlight w:val="none"/>
        </w:rPr>
      </w:pPr>
      <w:r>
        <w:rPr>
          <w:rFonts w:hint="eastAsia"/>
          <w:b/>
          <w:bCs/>
          <w:color w:val="000000"/>
          <w:sz w:val="24"/>
          <w:szCs w:val="24"/>
          <w:highlight w:val="none"/>
          <w:lang w:val="en-US" w:eastAsia="zh-CN"/>
        </w:rPr>
        <w:t xml:space="preserve">物业服务</w:t>
      </w:r>
      <w:r>
        <w:rPr>
          <w:b/>
          <w:bCs/>
          <w:color w:val="000000"/>
          <w:sz w:val="24"/>
          <w:szCs w:val="24"/>
          <w:highlight w:val="none"/>
        </w:rPr>
        <w:t xml:space="preserve">考核</w:t>
      </w:r>
      <w:r>
        <w:rPr>
          <w:rFonts w:hint="eastAsia"/>
          <w:b/>
          <w:bCs/>
          <w:color w:val="000000"/>
          <w:sz w:val="24"/>
          <w:szCs w:val="24"/>
          <w:highlight w:val="none"/>
        </w:rPr>
        <w:t xml:space="preserve">表</w:t>
      </w:r>
      <w:r>
        <w:rPr>
          <w:b/>
          <w:bCs/>
          <w:color w:val="000000"/>
          <w:sz w:val="24"/>
          <w:szCs w:val="24"/>
          <w:highlight w:val="none"/>
        </w:rPr>
        <w:t xml:space="preserve">（满分100分）</w:t>
      </w:r>
      <w:r/>
    </w:p>
    <w:tbl>
      <w:tblPr>
        <w:tblStyle w:val="853"/>
        <w:tblW w:w="92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7211"/>
        <w:gridCol w:w="675"/>
        <w:gridCol w:w="739"/>
      </w:tblGrid>
      <w:tr>
        <w:trPr>
          <w:jc w:val="center"/>
          <w:trHeight w:val="454"/>
        </w:trPr>
        <w:tc>
          <w:tcPr>
            <w:tcW w:w="664" w:type="dxa"/>
            <w:vAlign w:val="center"/>
            <w:textDirection w:val="lrTb"/>
            <w:noWrap w:val="false"/>
          </w:tcPr>
          <w:p>
            <w:pPr>
              <w:jc w:val="center"/>
              <w:widowControl/>
              <w:rPr>
                <w:b/>
                <w:bCs/>
                <w:color w:val="000000"/>
                <w:szCs w:val="21"/>
                <w:highlight w:val="none"/>
              </w:rPr>
            </w:pPr>
            <w:r>
              <w:rPr>
                <w:b/>
                <w:bCs/>
                <w:color w:val="000000"/>
                <w:szCs w:val="21"/>
                <w:highlight w:val="none"/>
              </w:rPr>
              <w:t xml:space="preserve">序号</w:t>
            </w:r>
            <w:r/>
          </w:p>
        </w:tc>
        <w:tc>
          <w:tcPr>
            <w:tcW w:w="7211" w:type="dxa"/>
            <w:vAlign w:val="center"/>
            <w:textDirection w:val="lrTb"/>
            <w:noWrap w:val="false"/>
          </w:tcPr>
          <w:p>
            <w:pPr>
              <w:jc w:val="center"/>
              <w:widowControl/>
              <w:rPr>
                <w:b/>
                <w:bCs/>
                <w:color w:val="000000"/>
                <w:szCs w:val="21"/>
                <w:highlight w:val="none"/>
              </w:rPr>
            </w:pPr>
            <w:r>
              <w:rPr>
                <w:b/>
                <w:bCs/>
                <w:color w:val="000000"/>
                <w:szCs w:val="21"/>
                <w:highlight w:val="none"/>
              </w:rPr>
              <w:t xml:space="preserve">考核标准</w:t>
            </w:r>
            <w:r/>
          </w:p>
        </w:tc>
        <w:tc>
          <w:tcPr>
            <w:tcW w:w="675" w:type="dxa"/>
            <w:vAlign w:val="center"/>
            <w:textDirection w:val="lrTb"/>
            <w:noWrap w:val="false"/>
          </w:tcPr>
          <w:p>
            <w:pPr>
              <w:jc w:val="center"/>
              <w:widowControl/>
              <w:rPr>
                <w:b/>
                <w:bCs/>
                <w:color w:val="000000"/>
                <w:szCs w:val="21"/>
                <w:highlight w:val="none"/>
              </w:rPr>
            </w:pPr>
            <w:r>
              <w:rPr>
                <w:b/>
                <w:bCs/>
                <w:color w:val="000000"/>
                <w:szCs w:val="21"/>
                <w:highlight w:val="none"/>
              </w:rPr>
              <w:t xml:space="preserve">扣分</w:t>
            </w:r>
            <w:r/>
          </w:p>
        </w:tc>
        <w:tc>
          <w:tcPr>
            <w:tcW w:w="739" w:type="dxa"/>
            <w:vAlign w:val="center"/>
            <w:textDirection w:val="lrTb"/>
            <w:noWrap w:val="false"/>
          </w:tcPr>
          <w:p>
            <w:pPr>
              <w:jc w:val="center"/>
              <w:widowControl/>
              <w:rPr>
                <w:b/>
                <w:bCs/>
                <w:color w:val="000000"/>
                <w:szCs w:val="21"/>
                <w:highlight w:val="none"/>
              </w:rPr>
            </w:pPr>
            <w:r>
              <w:rPr>
                <w:b/>
                <w:bCs/>
                <w:color w:val="000000"/>
                <w:szCs w:val="21"/>
                <w:highlight w:val="none"/>
              </w:rPr>
              <w:t xml:space="preserve">备注</w:t>
            </w:r>
            <w:r/>
          </w:p>
        </w:tc>
      </w:tr>
      <w:tr>
        <w:trPr>
          <w:jc w:val="center"/>
          <w:trHeight w:val="397"/>
        </w:trPr>
        <w:tc>
          <w:tcPr>
            <w:tcW w:w="664" w:type="dxa"/>
            <w:vAlign w:val="center"/>
            <w:textDirection w:val="lrTb"/>
            <w:noWrap/>
          </w:tcPr>
          <w:p>
            <w:pPr>
              <w:jc w:val="center"/>
              <w:widowControl/>
              <w:rPr>
                <w:color w:val="000000"/>
                <w:szCs w:val="21"/>
                <w:highlight w:val="none"/>
              </w:rPr>
            </w:pPr>
            <w:r>
              <w:rPr>
                <w:color w:val="000000"/>
                <w:szCs w:val="21"/>
                <w:highlight w:val="none"/>
              </w:rPr>
              <w:t xml:space="preserve">1</w:t>
            </w:r>
            <w:r/>
          </w:p>
        </w:tc>
        <w:tc>
          <w:tcPr>
            <w:tcW w:w="7211" w:type="dxa"/>
            <w:vAlign w:val="center"/>
            <w:textDirection w:val="lrTb"/>
            <w:noWrap w:val="false"/>
          </w:tcPr>
          <w:p>
            <w:pPr>
              <w:jc w:val="left"/>
              <w:widowControl/>
              <w:rPr>
                <w:color w:val="000000"/>
                <w:szCs w:val="21"/>
                <w:highlight w:val="none"/>
              </w:rPr>
            </w:pPr>
            <w:r>
              <w:rPr>
                <w:color w:val="000000"/>
                <w:szCs w:val="21"/>
                <w:highlight w:val="none"/>
              </w:rPr>
              <w:t xml:space="preserve">保洁区域有杂物、有异味（发现一次扣2分）</w:t>
            </w:r>
            <w:r/>
          </w:p>
        </w:tc>
        <w:tc>
          <w:tcPr>
            <w:tcW w:w="675" w:type="dxa"/>
            <w:vAlign w:val="center"/>
            <w:textDirection w:val="lrTb"/>
            <w:noWrap w:val="false"/>
          </w:tcPr>
          <w:p>
            <w:pPr>
              <w:jc w:val="center"/>
              <w:widowControl/>
              <w:rPr>
                <w:color w:val="000000"/>
                <w:szCs w:val="21"/>
                <w:highlight w:val="none"/>
              </w:rPr>
            </w:pPr>
            <w:r>
              <w:rPr>
                <w:color w:val="000000"/>
                <w:szCs w:val="21"/>
                <w:highlight w:val="none"/>
              </w:rPr>
            </w:r>
            <w:r/>
          </w:p>
        </w:tc>
        <w:tc>
          <w:tcPr>
            <w:tcW w:w="739" w:type="dxa"/>
            <w:vAlign w:val="center"/>
            <w:textDirection w:val="lrTb"/>
            <w:noWrap w:val="false"/>
          </w:tcPr>
          <w:p>
            <w:pPr>
              <w:jc w:val="center"/>
              <w:widowControl/>
              <w:rPr>
                <w:color w:val="000000"/>
                <w:szCs w:val="21"/>
                <w:highlight w:val="none"/>
              </w:rPr>
            </w:pPr>
            <w:r>
              <w:rPr>
                <w:color w:val="000000"/>
                <w:szCs w:val="21"/>
                <w:highlight w:val="none"/>
              </w:rPr>
              <w:t xml:space="preserve">　</w:t>
            </w:r>
            <w:r/>
          </w:p>
        </w:tc>
      </w:tr>
      <w:tr>
        <w:trPr>
          <w:jc w:val="center"/>
          <w:trHeight w:val="397"/>
        </w:trPr>
        <w:tc>
          <w:tcPr>
            <w:tcW w:w="664" w:type="dxa"/>
            <w:vAlign w:val="center"/>
            <w:textDirection w:val="lrTb"/>
            <w:noWrap/>
          </w:tcPr>
          <w:p>
            <w:pPr>
              <w:jc w:val="center"/>
              <w:widowControl/>
              <w:rPr>
                <w:rFonts w:hint="eastAsia" w:eastAsia="宋体"/>
                <w:color w:val="000000"/>
                <w:szCs w:val="21"/>
                <w:highlight w:val="none"/>
                <w:lang w:eastAsia="zh-CN"/>
              </w:rPr>
            </w:pPr>
            <w:r>
              <w:rPr>
                <w:rFonts w:hint="eastAsia"/>
                <w:color w:val="000000"/>
                <w:szCs w:val="21"/>
                <w:highlight w:val="none"/>
                <w:lang w:val="en-US" w:eastAsia="zh-CN"/>
              </w:rPr>
              <w:t xml:space="preserve">2</w:t>
            </w:r>
            <w:r/>
          </w:p>
        </w:tc>
        <w:tc>
          <w:tcPr>
            <w:tcW w:w="7211" w:type="dxa"/>
            <w:vAlign w:val="center"/>
            <w:textDirection w:val="lrTb"/>
            <w:noWrap w:val="false"/>
          </w:tcPr>
          <w:p>
            <w:pPr>
              <w:jc w:val="left"/>
              <w:widowControl/>
              <w:rPr>
                <w:color w:val="000000"/>
                <w:szCs w:val="21"/>
                <w:highlight w:val="none"/>
              </w:rPr>
            </w:pPr>
            <w:r>
              <w:rPr>
                <w:color w:val="000000"/>
                <w:szCs w:val="21"/>
                <w:highlight w:val="none"/>
              </w:rPr>
              <w:t xml:space="preserve">地面有积水、脚印、污迹，烟头、纸屑等杂物（发现一次扣2分）</w:t>
            </w:r>
            <w:r/>
          </w:p>
        </w:tc>
        <w:tc>
          <w:tcPr>
            <w:tcW w:w="675" w:type="dxa"/>
            <w:vAlign w:val="center"/>
            <w:textDirection w:val="lrTb"/>
            <w:noWrap w:val="false"/>
          </w:tcPr>
          <w:p>
            <w:pPr>
              <w:jc w:val="center"/>
              <w:widowControl/>
              <w:rPr>
                <w:color w:val="000000"/>
                <w:szCs w:val="21"/>
                <w:highlight w:val="none"/>
              </w:rPr>
            </w:pPr>
            <w:r>
              <w:rPr>
                <w:color w:val="000000"/>
                <w:szCs w:val="21"/>
                <w:highlight w:val="none"/>
              </w:rPr>
            </w:r>
            <w:r/>
          </w:p>
        </w:tc>
        <w:tc>
          <w:tcPr>
            <w:tcW w:w="739" w:type="dxa"/>
            <w:vAlign w:val="center"/>
            <w:textDirection w:val="lrTb"/>
            <w:noWrap w:val="false"/>
          </w:tcPr>
          <w:p>
            <w:pPr>
              <w:jc w:val="center"/>
              <w:widowControl/>
              <w:rPr>
                <w:color w:val="000000"/>
                <w:szCs w:val="21"/>
                <w:highlight w:val="none"/>
              </w:rPr>
            </w:pPr>
            <w:r>
              <w:rPr>
                <w:color w:val="000000"/>
                <w:szCs w:val="21"/>
                <w:highlight w:val="none"/>
              </w:rPr>
              <w:t xml:space="preserve">　</w:t>
            </w:r>
            <w:r/>
          </w:p>
        </w:tc>
      </w:tr>
      <w:tr>
        <w:trPr>
          <w:jc w:val="center"/>
          <w:trHeight w:val="397"/>
        </w:trPr>
        <w:tc>
          <w:tcPr>
            <w:tcW w:w="664" w:type="dxa"/>
            <w:vAlign w:val="center"/>
            <w:textDirection w:val="lrTb"/>
            <w:noWrap/>
          </w:tcPr>
          <w:p>
            <w:pPr>
              <w:jc w:val="center"/>
              <w:widowControl/>
              <w:rPr>
                <w:rFonts w:hint="eastAsia" w:eastAsia="宋体"/>
                <w:color w:val="000000"/>
                <w:szCs w:val="21"/>
                <w:highlight w:val="none"/>
                <w:lang w:eastAsia="zh-CN"/>
              </w:rPr>
            </w:pPr>
            <w:r>
              <w:rPr>
                <w:rFonts w:hint="eastAsia"/>
                <w:color w:val="000000"/>
                <w:szCs w:val="21"/>
                <w:highlight w:val="none"/>
                <w:lang w:val="en-US" w:eastAsia="zh-CN"/>
              </w:rPr>
              <w:t xml:space="preserve">3</w:t>
            </w:r>
            <w:r/>
          </w:p>
        </w:tc>
        <w:tc>
          <w:tcPr>
            <w:tcW w:w="7211" w:type="dxa"/>
            <w:vAlign w:val="center"/>
            <w:textDirection w:val="lrTb"/>
            <w:noWrap w:val="false"/>
          </w:tcPr>
          <w:p>
            <w:pPr>
              <w:jc w:val="left"/>
              <w:widowControl/>
              <w:rPr>
                <w:color w:val="000000"/>
                <w:szCs w:val="21"/>
                <w:highlight w:val="none"/>
              </w:rPr>
            </w:pPr>
            <w:r>
              <w:rPr>
                <w:color w:val="000000"/>
                <w:szCs w:val="21"/>
                <w:highlight w:val="none"/>
              </w:rPr>
              <w:t xml:space="preserve">洗手池、台面、镜面有污垢、有水迹（发现一次扣2分）</w:t>
            </w:r>
            <w:r/>
          </w:p>
        </w:tc>
        <w:tc>
          <w:tcPr>
            <w:tcW w:w="675" w:type="dxa"/>
            <w:vAlign w:val="center"/>
            <w:textDirection w:val="lrTb"/>
            <w:noWrap w:val="false"/>
          </w:tcPr>
          <w:p>
            <w:pPr>
              <w:jc w:val="center"/>
              <w:widowControl/>
              <w:rPr>
                <w:color w:val="000000"/>
                <w:szCs w:val="21"/>
                <w:highlight w:val="none"/>
              </w:rPr>
            </w:pPr>
            <w:r>
              <w:rPr>
                <w:color w:val="000000"/>
                <w:szCs w:val="21"/>
                <w:highlight w:val="none"/>
              </w:rPr>
            </w:r>
            <w:r/>
          </w:p>
        </w:tc>
        <w:tc>
          <w:tcPr>
            <w:tcW w:w="739" w:type="dxa"/>
            <w:vAlign w:val="center"/>
            <w:textDirection w:val="lrTb"/>
            <w:noWrap w:val="false"/>
          </w:tcPr>
          <w:p>
            <w:pPr>
              <w:jc w:val="center"/>
              <w:widowControl/>
              <w:rPr>
                <w:color w:val="000000"/>
                <w:szCs w:val="21"/>
                <w:highlight w:val="none"/>
              </w:rPr>
            </w:pPr>
            <w:r>
              <w:rPr>
                <w:color w:val="000000"/>
                <w:szCs w:val="21"/>
                <w:highlight w:val="none"/>
              </w:rPr>
              <w:t xml:space="preserve">　</w:t>
            </w:r>
            <w:r/>
          </w:p>
        </w:tc>
      </w:tr>
      <w:tr>
        <w:trPr>
          <w:jc w:val="center"/>
          <w:trHeight w:val="397"/>
        </w:trPr>
        <w:tc>
          <w:tcPr>
            <w:tcW w:w="664" w:type="dxa"/>
            <w:vAlign w:val="center"/>
            <w:textDirection w:val="lrTb"/>
            <w:noWrap/>
          </w:tcPr>
          <w:p>
            <w:pPr>
              <w:jc w:val="center"/>
              <w:widowControl/>
              <w:rPr>
                <w:rFonts w:hint="eastAsia" w:eastAsia="宋体"/>
                <w:color w:val="000000"/>
                <w:szCs w:val="21"/>
                <w:highlight w:val="none"/>
                <w:lang w:eastAsia="zh-CN"/>
              </w:rPr>
            </w:pPr>
            <w:r>
              <w:rPr>
                <w:rFonts w:hint="eastAsia"/>
                <w:color w:val="000000"/>
                <w:szCs w:val="21"/>
                <w:highlight w:val="none"/>
                <w:lang w:val="en-US" w:eastAsia="zh-CN"/>
              </w:rPr>
              <w:t xml:space="preserve">4</w:t>
            </w:r>
            <w:r/>
          </w:p>
        </w:tc>
        <w:tc>
          <w:tcPr>
            <w:tcW w:w="7211" w:type="dxa"/>
            <w:vAlign w:val="center"/>
            <w:textDirection w:val="lrTb"/>
            <w:noWrap w:val="false"/>
          </w:tcPr>
          <w:p>
            <w:pPr>
              <w:jc w:val="left"/>
              <w:widowControl/>
              <w:rPr>
                <w:color w:val="000000"/>
                <w:szCs w:val="21"/>
                <w:highlight w:val="none"/>
              </w:rPr>
            </w:pPr>
            <w:r>
              <w:rPr>
                <w:color w:val="000000"/>
                <w:szCs w:val="21"/>
                <w:highlight w:val="none"/>
              </w:rPr>
              <w:t xml:space="preserve">大、小便器有积便、污垢和水锈（发现一次扣2分）</w:t>
            </w:r>
            <w:r/>
          </w:p>
        </w:tc>
        <w:tc>
          <w:tcPr>
            <w:tcW w:w="675" w:type="dxa"/>
            <w:vAlign w:val="center"/>
            <w:textDirection w:val="lrTb"/>
            <w:noWrap w:val="false"/>
          </w:tcPr>
          <w:p>
            <w:pPr>
              <w:jc w:val="center"/>
              <w:widowControl/>
              <w:rPr>
                <w:color w:val="000000"/>
                <w:szCs w:val="21"/>
                <w:highlight w:val="none"/>
              </w:rPr>
            </w:pPr>
            <w:r>
              <w:rPr>
                <w:color w:val="000000"/>
                <w:szCs w:val="21"/>
                <w:highlight w:val="none"/>
              </w:rPr>
            </w:r>
            <w:r/>
          </w:p>
        </w:tc>
        <w:tc>
          <w:tcPr>
            <w:tcW w:w="739" w:type="dxa"/>
            <w:vAlign w:val="center"/>
            <w:textDirection w:val="lrTb"/>
            <w:noWrap w:val="false"/>
          </w:tcPr>
          <w:p>
            <w:pPr>
              <w:jc w:val="center"/>
              <w:widowControl/>
              <w:rPr>
                <w:color w:val="000000"/>
                <w:szCs w:val="21"/>
                <w:highlight w:val="none"/>
              </w:rPr>
            </w:pPr>
            <w:r>
              <w:rPr>
                <w:color w:val="000000"/>
                <w:szCs w:val="21"/>
                <w:highlight w:val="none"/>
              </w:rPr>
              <w:t xml:space="preserve">　</w:t>
            </w:r>
            <w:r/>
          </w:p>
        </w:tc>
      </w:tr>
      <w:tr>
        <w:trPr>
          <w:jc w:val="center"/>
          <w:trHeight w:val="397"/>
        </w:trPr>
        <w:tc>
          <w:tcPr>
            <w:tcW w:w="664" w:type="dxa"/>
            <w:vAlign w:val="center"/>
            <w:textDirection w:val="lrTb"/>
            <w:noWrap/>
          </w:tcPr>
          <w:p>
            <w:pPr>
              <w:jc w:val="center"/>
              <w:widowControl/>
              <w:rPr>
                <w:rFonts w:hint="eastAsia" w:eastAsia="宋体"/>
                <w:color w:val="000000"/>
                <w:szCs w:val="21"/>
                <w:highlight w:val="none"/>
                <w:lang w:eastAsia="zh-CN"/>
              </w:rPr>
            </w:pPr>
            <w:r>
              <w:rPr>
                <w:rFonts w:hint="eastAsia"/>
                <w:color w:val="000000"/>
                <w:szCs w:val="21"/>
                <w:highlight w:val="none"/>
                <w:lang w:val="en-US" w:eastAsia="zh-CN"/>
              </w:rPr>
              <w:t xml:space="preserve">5</w:t>
            </w:r>
            <w:r/>
          </w:p>
        </w:tc>
        <w:tc>
          <w:tcPr>
            <w:tcW w:w="7211" w:type="dxa"/>
            <w:vAlign w:val="center"/>
            <w:textDirection w:val="lrTb"/>
            <w:noWrap w:val="false"/>
          </w:tcPr>
          <w:p>
            <w:pPr>
              <w:jc w:val="left"/>
              <w:widowControl/>
              <w:rPr>
                <w:color w:val="000000"/>
                <w:szCs w:val="21"/>
                <w:highlight w:val="none"/>
              </w:rPr>
            </w:pPr>
            <w:r>
              <w:rPr>
                <w:color w:val="000000"/>
                <w:szCs w:val="21"/>
                <w:highlight w:val="none"/>
              </w:rPr>
              <w:t xml:space="preserve">垃圾桶未套垃圾袋或垃圾超过三分之二（发现一次扣2分）</w:t>
            </w:r>
            <w:r/>
          </w:p>
        </w:tc>
        <w:tc>
          <w:tcPr>
            <w:tcW w:w="675" w:type="dxa"/>
            <w:vAlign w:val="center"/>
            <w:textDirection w:val="lrTb"/>
            <w:noWrap w:val="false"/>
          </w:tcPr>
          <w:p>
            <w:pPr>
              <w:jc w:val="center"/>
              <w:widowControl/>
              <w:rPr>
                <w:color w:val="000000"/>
                <w:szCs w:val="21"/>
                <w:highlight w:val="none"/>
              </w:rPr>
            </w:pPr>
            <w:r>
              <w:rPr>
                <w:color w:val="000000"/>
                <w:szCs w:val="21"/>
                <w:highlight w:val="none"/>
              </w:rPr>
            </w:r>
            <w:r/>
          </w:p>
        </w:tc>
        <w:tc>
          <w:tcPr>
            <w:tcW w:w="739" w:type="dxa"/>
            <w:vAlign w:val="center"/>
            <w:textDirection w:val="lrTb"/>
            <w:noWrap w:val="false"/>
          </w:tcPr>
          <w:p>
            <w:pPr>
              <w:jc w:val="center"/>
              <w:widowControl/>
              <w:rPr>
                <w:color w:val="000000"/>
                <w:szCs w:val="21"/>
                <w:highlight w:val="none"/>
              </w:rPr>
            </w:pPr>
            <w:r>
              <w:rPr>
                <w:color w:val="000000"/>
                <w:szCs w:val="21"/>
                <w:highlight w:val="none"/>
              </w:rPr>
              <w:t xml:space="preserve">　</w:t>
            </w:r>
            <w:r/>
          </w:p>
        </w:tc>
      </w:tr>
      <w:tr>
        <w:trPr>
          <w:jc w:val="center"/>
          <w:trHeight w:val="567"/>
        </w:trPr>
        <w:tc>
          <w:tcPr>
            <w:tcW w:w="664" w:type="dxa"/>
            <w:vAlign w:val="center"/>
            <w:textDirection w:val="lrTb"/>
            <w:noWrap/>
          </w:tcPr>
          <w:p>
            <w:pPr>
              <w:jc w:val="center"/>
              <w:widowControl/>
              <w:rPr>
                <w:rFonts w:hint="eastAsia" w:eastAsia="宋体"/>
                <w:color w:val="000000"/>
                <w:szCs w:val="21"/>
                <w:highlight w:val="none"/>
                <w:lang w:eastAsia="zh-CN"/>
              </w:rPr>
            </w:pPr>
            <w:r>
              <w:rPr>
                <w:rFonts w:hint="eastAsia"/>
                <w:color w:val="000000"/>
                <w:szCs w:val="21"/>
                <w:highlight w:val="none"/>
                <w:lang w:val="en-US" w:eastAsia="zh-CN"/>
              </w:rPr>
              <w:t xml:space="preserve">6</w:t>
            </w:r>
            <w:r/>
          </w:p>
        </w:tc>
        <w:tc>
          <w:tcPr>
            <w:tcW w:w="7211" w:type="dxa"/>
            <w:vAlign w:val="center"/>
            <w:textDirection w:val="lrTb"/>
            <w:noWrap w:val="false"/>
          </w:tcPr>
          <w:p>
            <w:pPr>
              <w:jc w:val="left"/>
              <w:widowControl/>
              <w:rPr>
                <w:color w:val="000000"/>
                <w:szCs w:val="21"/>
                <w:highlight w:val="none"/>
              </w:rPr>
            </w:pPr>
            <w:r>
              <w:rPr>
                <w:color w:val="000000"/>
                <w:szCs w:val="21"/>
                <w:highlight w:val="none"/>
              </w:rPr>
              <w:t xml:space="preserve">设施和设备有灰尘，有破损；发现损坏未及时报修（管理员）（发现一次扣2分）</w:t>
            </w:r>
            <w:r/>
          </w:p>
        </w:tc>
        <w:tc>
          <w:tcPr>
            <w:tcW w:w="675" w:type="dxa"/>
            <w:vAlign w:val="center"/>
            <w:textDirection w:val="lrTb"/>
            <w:noWrap w:val="false"/>
          </w:tcPr>
          <w:p>
            <w:pPr>
              <w:jc w:val="center"/>
              <w:widowControl/>
              <w:rPr>
                <w:color w:val="000000"/>
                <w:szCs w:val="21"/>
                <w:highlight w:val="none"/>
              </w:rPr>
            </w:pPr>
            <w:r>
              <w:rPr>
                <w:color w:val="000000"/>
                <w:szCs w:val="21"/>
                <w:highlight w:val="none"/>
              </w:rPr>
            </w:r>
            <w:r/>
          </w:p>
        </w:tc>
        <w:tc>
          <w:tcPr>
            <w:tcW w:w="739" w:type="dxa"/>
            <w:vAlign w:val="center"/>
            <w:textDirection w:val="lrTb"/>
            <w:noWrap w:val="false"/>
          </w:tcPr>
          <w:p>
            <w:pPr>
              <w:jc w:val="center"/>
              <w:widowControl/>
              <w:rPr>
                <w:color w:val="000000"/>
                <w:szCs w:val="21"/>
                <w:highlight w:val="none"/>
              </w:rPr>
            </w:pPr>
            <w:r>
              <w:rPr>
                <w:color w:val="000000"/>
                <w:szCs w:val="21"/>
                <w:highlight w:val="none"/>
              </w:rPr>
              <w:t xml:space="preserve">　</w:t>
            </w:r>
            <w:r/>
          </w:p>
        </w:tc>
      </w:tr>
      <w:tr>
        <w:trPr>
          <w:jc w:val="center"/>
          <w:trHeight w:val="397"/>
        </w:trPr>
        <w:tc>
          <w:tcPr>
            <w:tcW w:w="664" w:type="dxa"/>
            <w:vAlign w:val="center"/>
            <w:textDirection w:val="lrTb"/>
            <w:noWrap/>
          </w:tcPr>
          <w:p>
            <w:pPr>
              <w:jc w:val="center"/>
              <w:widowControl/>
              <w:rPr>
                <w:rFonts w:hint="eastAsia" w:eastAsia="宋体"/>
                <w:color w:val="000000"/>
                <w:szCs w:val="21"/>
                <w:highlight w:val="none"/>
                <w:lang w:eastAsia="zh-CN"/>
              </w:rPr>
            </w:pPr>
            <w:r>
              <w:rPr>
                <w:rFonts w:hint="eastAsia"/>
                <w:color w:val="000000"/>
                <w:szCs w:val="21"/>
                <w:highlight w:val="none"/>
                <w:lang w:val="en-US" w:eastAsia="zh-CN"/>
              </w:rPr>
              <w:t xml:space="preserve">7</w:t>
            </w:r>
            <w:r/>
          </w:p>
        </w:tc>
        <w:tc>
          <w:tcPr>
            <w:tcW w:w="7211" w:type="dxa"/>
            <w:vAlign w:val="center"/>
            <w:textDirection w:val="lrTb"/>
            <w:noWrap w:val="false"/>
          </w:tcPr>
          <w:p>
            <w:pPr>
              <w:jc w:val="left"/>
              <w:widowControl/>
              <w:rPr>
                <w:color w:val="000000"/>
                <w:szCs w:val="21"/>
                <w:highlight w:val="none"/>
              </w:rPr>
            </w:pPr>
            <w:r>
              <w:rPr>
                <w:color w:val="000000"/>
                <w:szCs w:val="21"/>
                <w:highlight w:val="none"/>
              </w:rPr>
              <w:t xml:space="preserve">卫生区域每天打扫不及时（发现一次扣2分）</w:t>
            </w:r>
            <w:r/>
          </w:p>
        </w:tc>
        <w:tc>
          <w:tcPr>
            <w:tcW w:w="675" w:type="dxa"/>
            <w:vAlign w:val="center"/>
            <w:textDirection w:val="lrTb"/>
            <w:noWrap w:val="false"/>
          </w:tcPr>
          <w:p>
            <w:pPr>
              <w:jc w:val="center"/>
              <w:widowControl/>
              <w:rPr>
                <w:color w:val="000000"/>
                <w:szCs w:val="21"/>
                <w:highlight w:val="none"/>
              </w:rPr>
            </w:pPr>
            <w:r>
              <w:rPr>
                <w:color w:val="000000"/>
                <w:szCs w:val="21"/>
                <w:highlight w:val="none"/>
              </w:rPr>
            </w:r>
            <w:r/>
          </w:p>
        </w:tc>
        <w:tc>
          <w:tcPr>
            <w:tcW w:w="739" w:type="dxa"/>
            <w:vAlign w:val="center"/>
            <w:textDirection w:val="lrTb"/>
            <w:noWrap w:val="false"/>
          </w:tcPr>
          <w:p>
            <w:pPr>
              <w:jc w:val="center"/>
              <w:widowControl/>
              <w:rPr>
                <w:color w:val="000000"/>
                <w:szCs w:val="21"/>
                <w:highlight w:val="none"/>
              </w:rPr>
            </w:pPr>
            <w:r>
              <w:rPr>
                <w:color w:val="000000"/>
                <w:szCs w:val="21"/>
                <w:highlight w:val="none"/>
              </w:rPr>
              <w:t xml:space="preserve">　</w:t>
            </w:r>
            <w:r/>
          </w:p>
        </w:tc>
      </w:tr>
      <w:tr>
        <w:trPr>
          <w:jc w:val="center"/>
          <w:trHeight w:val="397"/>
        </w:trPr>
        <w:tc>
          <w:tcPr>
            <w:tcW w:w="664" w:type="dxa"/>
            <w:vAlign w:val="center"/>
            <w:textDirection w:val="lrTb"/>
            <w:noWrap/>
          </w:tcPr>
          <w:p>
            <w:pPr>
              <w:jc w:val="center"/>
              <w:widowControl/>
              <w:rPr>
                <w:rFonts w:hint="eastAsia" w:eastAsia="宋体"/>
                <w:color w:val="000000"/>
                <w:szCs w:val="21"/>
                <w:highlight w:val="none"/>
                <w:lang w:eastAsia="zh-CN"/>
              </w:rPr>
            </w:pPr>
            <w:r>
              <w:rPr>
                <w:rFonts w:hint="eastAsia"/>
                <w:color w:val="000000"/>
                <w:szCs w:val="21"/>
                <w:highlight w:val="none"/>
                <w:lang w:val="en-US" w:eastAsia="zh-CN"/>
              </w:rPr>
              <w:t xml:space="preserve">8</w:t>
            </w:r>
            <w:r/>
          </w:p>
        </w:tc>
        <w:tc>
          <w:tcPr>
            <w:tcW w:w="7211" w:type="dxa"/>
            <w:vAlign w:val="center"/>
            <w:textDirection w:val="lrTb"/>
            <w:noWrap w:val="false"/>
          </w:tcPr>
          <w:p>
            <w:pPr>
              <w:jc w:val="left"/>
              <w:widowControl/>
              <w:rPr>
                <w:color w:val="000000"/>
                <w:szCs w:val="21"/>
                <w:highlight w:val="none"/>
              </w:rPr>
            </w:pPr>
            <w:r>
              <w:rPr>
                <w:color w:val="000000"/>
                <w:szCs w:val="21"/>
                <w:highlight w:val="none"/>
              </w:rPr>
              <w:t xml:space="preserve">垃圾房及垃圾桶每天未定时清洁，有异味（发现一次扣2分）</w:t>
            </w:r>
            <w:r/>
          </w:p>
        </w:tc>
        <w:tc>
          <w:tcPr>
            <w:tcW w:w="675" w:type="dxa"/>
            <w:vAlign w:val="center"/>
            <w:textDirection w:val="lrTb"/>
            <w:noWrap w:val="false"/>
          </w:tcPr>
          <w:p>
            <w:pPr>
              <w:jc w:val="center"/>
              <w:widowControl/>
              <w:rPr>
                <w:color w:val="000000"/>
                <w:szCs w:val="21"/>
                <w:highlight w:val="none"/>
              </w:rPr>
            </w:pPr>
            <w:r>
              <w:rPr>
                <w:color w:val="000000"/>
                <w:szCs w:val="21"/>
                <w:highlight w:val="none"/>
              </w:rPr>
            </w:r>
            <w:r/>
          </w:p>
        </w:tc>
        <w:tc>
          <w:tcPr>
            <w:tcW w:w="739" w:type="dxa"/>
            <w:vAlign w:val="center"/>
            <w:textDirection w:val="lrTb"/>
            <w:noWrap w:val="false"/>
          </w:tcPr>
          <w:p>
            <w:pPr>
              <w:jc w:val="center"/>
              <w:widowControl/>
              <w:rPr>
                <w:color w:val="000000"/>
                <w:szCs w:val="21"/>
                <w:highlight w:val="none"/>
              </w:rPr>
            </w:pPr>
            <w:r>
              <w:rPr>
                <w:color w:val="000000"/>
                <w:szCs w:val="21"/>
                <w:highlight w:val="none"/>
              </w:rPr>
              <w:t xml:space="preserve">　</w:t>
            </w:r>
            <w:r/>
          </w:p>
        </w:tc>
      </w:tr>
      <w:tr>
        <w:trPr>
          <w:jc w:val="center"/>
          <w:trHeight w:val="397"/>
        </w:trPr>
        <w:tc>
          <w:tcPr>
            <w:tcW w:w="664" w:type="dxa"/>
            <w:vAlign w:val="center"/>
            <w:textDirection w:val="lrTb"/>
            <w:noWrap/>
          </w:tcPr>
          <w:p>
            <w:pPr>
              <w:jc w:val="center"/>
              <w:widowControl/>
              <w:rPr>
                <w:rFonts w:hint="eastAsia" w:eastAsia="宋体"/>
                <w:color w:val="000000"/>
                <w:szCs w:val="21"/>
                <w:highlight w:val="none"/>
                <w:lang w:eastAsia="zh-CN"/>
              </w:rPr>
            </w:pPr>
            <w:r>
              <w:rPr>
                <w:rFonts w:hint="eastAsia"/>
                <w:color w:val="000000"/>
                <w:szCs w:val="21"/>
                <w:highlight w:val="none"/>
                <w:lang w:val="en-US" w:eastAsia="zh-CN"/>
              </w:rPr>
              <w:t xml:space="preserve">9</w:t>
            </w:r>
            <w:r/>
          </w:p>
        </w:tc>
        <w:tc>
          <w:tcPr>
            <w:tcW w:w="7211" w:type="dxa"/>
            <w:vAlign w:val="center"/>
            <w:textDirection w:val="lrTb"/>
            <w:noWrap w:val="false"/>
          </w:tcPr>
          <w:p>
            <w:pPr>
              <w:jc w:val="left"/>
              <w:widowControl/>
              <w:rPr>
                <w:color w:val="000000"/>
                <w:szCs w:val="21"/>
                <w:highlight w:val="none"/>
              </w:rPr>
            </w:pPr>
            <w:r>
              <w:rPr>
                <w:color w:val="000000"/>
                <w:szCs w:val="21"/>
                <w:highlight w:val="none"/>
              </w:rPr>
              <w:t xml:space="preserve">卫生包干区内草坪落叶未及时清理，草坪内有白色垃圾等（发现一次扣2分）</w:t>
            </w:r>
            <w:r/>
          </w:p>
        </w:tc>
        <w:tc>
          <w:tcPr>
            <w:tcW w:w="675" w:type="dxa"/>
            <w:vAlign w:val="center"/>
            <w:textDirection w:val="lrTb"/>
            <w:noWrap w:val="false"/>
          </w:tcPr>
          <w:p>
            <w:pPr>
              <w:jc w:val="center"/>
              <w:widowControl/>
              <w:rPr>
                <w:color w:val="000000"/>
                <w:szCs w:val="21"/>
                <w:highlight w:val="none"/>
              </w:rPr>
            </w:pPr>
            <w:r>
              <w:rPr>
                <w:color w:val="000000"/>
                <w:szCs w:val="21"/>
                <w:highlight w:val="none"/>
              </w:rPr>
            </w:r>
            <w:r/>
          </w:p>
        </w:tc>
        <w:tc>
          <w:tcPr>
            <w:tcW w:w="739" w:type="dxa"/>
            <w:vAlign w:val="center"/>
            <w:textDirection w:val="lrTb"/>
            <w:noWrap w:val="false"/>
          </w:tcPr>
          <w:p>
            <w:pPr>
              <w:jc w:val="center"/>
              <w:widowControl/>
              <w:rPr>
                <w:color w:val="000000"/>
                <w:szCs w:val="21"/>
                <w:highlight w:val="none"/>
              </w:rPr>
            </w:pPr>
            <w:r>
              <w:rPr>
                <w:color w:val="000000"/>
                <w:szCs w:val="21"/>
                <w:highlight w:val="none"/>
              </w:rPr>
              <w:t xml:space="preserve">　</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eastAsia="宋体"/>
                <w:color w:val="000000"/>
                <w:szCs w:val="21"/>
                <w:highlight w:val="none"/>
                <w:lang w:val="en-US" w:eastAsia="zh-CN"/>
              </w:rPr>
            </w:pPr>
            <w:r>
              <w:rPr>
                <w:color w:val="000000"/>
                <w:szCs w:val="21"/>
                <w:highlight w:val="none"/>
              </w:rPr>
              <w:t xml:space="preserve">1</w:t>
            </w:r>
            <w:r>
              <w:rPr>
                <w:rFonts w:hint="eastAsia"/>
                <w:color w:val="000000"/>
                <w:szCs w:val="21"/>
                <w:highlight w:val="none"/>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未实行岗位责任制，保安人员不熟悉区域环境，未按要求规定文明执勤（发现一次扣2分）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val="false"/>
          </w:tcPr>
          <w:p>
            <w:pPr>
              <w:jc w:val="center"/>
              <w:widowControl/>
              <w:rPr>
                <w:color w:val="000000"/>
                <w:szCs w:val="21"/>
                <w:highlight w:val="none"/>
              </w:rPr>
            </w:pPr>
            <w:r>
              <w:rPr>
                <w:color w:val="000000"/>
                <w:szCs w:val="21"/>
                <w:highlight w:val="none"/>
              </w:rPr>
              <w:t xml:space="preserve">　</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11</w:t>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发生刑事案件、偷盗事件、重大治安事件（发现一次扣10分）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t xml:space="preserve">　</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未制订安全防范措施，</w:t>
            </w:r>
            <w:r>
              <w:rPr>
                <w:rFonts w:hint="eastAsia"/>
                <w:color w:val="000000"/>
                <w:szCs w:val="21"/>
                <w:highlight w:val="none"/>
                <w:lang w:eastAsia="zh-CN"/>
              </w:rPr>
              <w:t xml:space="preserve">保安</w:t>
            </w:r>
            <w:r>
              <w:rPr>
                <w:color w:val="000000"/>
                <w:szCs w:val="21"/>
                <w:highlight w:val="none"/>
              </w:rPr>
              <w:t xml:space="preserve">人员未对特殊车辆按规定实行询问、登记等制度（发现一次扣2分）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t xml:space="preserve">　</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不熟练操作监控及消防设备，对管理区域内的安全情况不熟悉，未定期检查；发生报警后，未在5分钟之内达到现场并上报（发现一次扣5分）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t xml:space="preserve">　</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14</w:t>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晚班</w:t>
            </w:r>
            <w:r>
              <w:rPr>
                <w:rFonts w:hint="eastAsia"/>
                <w:color w:val="000000"/>
                <w:szCs w:val="21"/>
                <w:highlight w:val="none"/>
                <w:lang w:eastAsia="zh-CN"/>
              </w:rPr>
              <w:t xml:space="preserve">保安</w:t>
            </w:r>
            <w:r>
              <w:rPr>
                <w:color w:val="000000"/>
                <w:szCs w:val="21"/>
                <w:highlight w:val="none"/>
              </w:rPr>
              <w:t xml:space="preserve">人员在工作时间内出现睡觉、玩手机等做与工作无关的事（发现一次扣2分）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t xml:space="preserve">　</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7211" w:type="dxa"/>
            <w:vAlign w:val="center"/>
            <w:textDirection w:val="lrTb"/>
            <w:noWrap/>
          </w:tcPr>
          <w:p>
            <w:pPr>
              <w:widowControl/>
              <w:rPr>
                <w:color w:val="000000"/>
                <w:szCs w:val="21"/>
                <w:highlight w:val="none"/>
              </w:rPr>
            </w:pPr>
            <w:r>
              <w:rPr>
                <w:color w:val="000000"/>
                <w:szCs w:val="21"/>
                <w:highlight w:val="none"/>
              </w:rPr>
              <w:t xml:space="preserve">未对各种车辆进行有序管理安排，无专人指挥、未及时疏导，有堵塞交通，影响行人通行（发现一次扣2分）</w:t>
            </w:r>
            <w:r/>
          </w:p>
        </w:tc>
        <w:tc>
          <w:tcPr>
            <w:tcBorders>
              <w:top w:val="none" w:color="000000" w:sz="4" w:space="0"/>
              <w:left w:val="singl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rFonts w:hint="eastAsia"/>
                <w:color w:val="000000"/>
                <w:szCs w:val="21"/>
                <w:highlight w:val="none"/>
                <w:lang w:eastAsia="zh-CN"/>
              </w:rPr>
              <w:t xml:space="preserve">保安</w:t>
            </w:r>
            <w:r>
              <w:rPr>
                <w:color w:val="000000"/>
                <w:szCs w:val="21"/>
                <w:highlight w:val="none"/>
              </w:rPr>
              <w:t xml:space="preserve">队员未能了解突发事件的操作流程（凶杀、抢劫、勒索、打架、闹事、伤亡…），对突发事件不能有效处理上报（发现一次扣5分）</w:t>
            </w:r>
            <w:r/>
          </w:p>
        </w:tc>
        <w:tc>
          <w:tcPr>
            <w:tcBorders>
              <w:top w:val="none" w:color="000000" w:sz="4" w:space="0"/>
              <w:left w:val="singl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t xml:space="preserve">　</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17</w:t>
            </w:r>
            <w:r/>
          </w:p>
        </w:tc>
        <w:tc>
          <w:tcPr>
            <w:tcBorders>
              <w:top w:val="singl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每月</w:t>
            </w:r>
            <w:r>
              <w:rPr>
                <w:rFonts w:hint="eastAsia"/>
                <w:color w:val="000000"/>
                <w:szCs w:val="21"/>
                <w:highlight w:val="none"/>
              </w:rPr>
              <w:t xml:space="preserve">末</w:t>
            </w:r>
            <w:r>
              <w:rPr>
                <w:color w:val="000000"/>
                <w:szCs w:val="21"/>
                <w:highlight w:val="none"/>
              </w:rPr>
              <w:t xml:space="preserve">对消防设施设备未进行检查，未能熟悉掌握基本消防器械的使用方法（发现一次扣3分）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t xml:space="preserve">　</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18</w:t>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未按规定开、关照明设施、电梯、边门、侧门、正门等（发现一次扣2分）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eastAsia="宋体"/>
                <w:color w:val="000000"/>
                <w:szCs w:val="21"/>
                <w:highlight w:val="none"/>
                <w:lang w:eastAsia="zh-CN"/>
              </w:rPr>
            </w:pPr>
            <w:r>
              <w:rPr>
                <w:color w:val="000000"/>
                <w:szCs w:val="21"/>
                <w:highlight w:val="none"/>
              </w:rPr>
              <w:t xml:space="preserve">1</w:t>
            </w:r>
            <w:r>
              <w:rPr>
                <w:rFonts w:hint="eastAsia"/>
                <w:color w:val="000000"/>
                <w:szCs w:val="21"/>
                <w:highlight w:val="none"/>
                <w:lang w:val="en-US" w:eastAsia="zh-CN"/>
              </w:rPr>
              <w:t xml:space="preserve">9</w:t>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各类消防器材</w:t>
            </w:r>
            <w:r>
              <w:rPr>
                <w:rFonts w:hint="eastAsia"/>
                <w:color w:val="000000"/>
                <w:szCs w:val="21"/>
                <w:highlight w:val="none"/>
              </w:rPr>
              <w:t xml:space="preserve">及</w:t>
            </w:r>
            <w:r>
              <w:rPr>
                <w:color w:val="000000"/>
                <w:szCs w:val="21"/>
                <w:highlight w:val="none"/>
              </w:rPr>
              <w:t xml:space="preserve">各类设施、设备</w:t>
            </w:r>
            <w:r>
              <w:rPr>
                <w:rFonts w:hint="eastAsia"/>
                <w:color w:val="000000"/>
                <w:szCs w:val="21"/>
                <w:highlight w:val="none"/>
              </w:rPr>
              <w:t xml:space="preserve">未</w:t>
            </w:r>
            <w:r>
              <w:rPr>
                <w:color w:val="000000"/>
                <w:szCs w:val="21"/>
                <w:highlight w:val="none"/>
              </w:rPr>
              <w:t xml:space="preserve">定期</w:t>
            </w:r>
            <w:r>
              <w:rPr>
                <w:rFonts w:hint="eastAsia"/>
                <w:color w:val="000000"/>
                <w:szCs w:val="21"/>
                <w:highlight w:val="none"/>
              </w:rPr>
              <w:t xml:space="preserve">巡检</w:t>
            </w:r>
            <w:r>
              <w:rPr>
                <w:color w:val="000000"/>
                <w:szCs w:val="21"/>
                <w:highlight w:val="none"/>
              </w:rPr>
              <w:t xml:space="preserve">维保，发现损坏未及时上报（发现一次扣2分） </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t xml:space="preserve">　</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20</w:t>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未按规定进行定时巡查，发现可疑情况及人员或不安全因素，未进行严密监视或</w:t>
            </w:r>
            <w:r>
              <w:rPr>
                <w:rFonts w:hint="eastAsia"/>
                <w:color w:val="000000"/>
                <w:szCs w:val="21"/>
                <w:highlight w:val="none"/>
              </w:rPr>
              <w:t xml:space="preserve">上报不及时</w:t>
            </w:r>
            <w:r>
              <w:rPr>
                <w:color w:val="000000"/>
                <w:szCs w:val="21"/>
                <w:highlight w:val="none"/>
              </w:rPr>
              <w:t xml:space="preserve">（发现一次扣2分）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21</w:t>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未严格按照巡逻间隔时间及路线打更（发现一次扣2分）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default" w:eastAsia="宋体"/>
                <w:color w:val="000000"/>
                <w:szCs w:val="21"/>
                <w:highlight w:val="none"/>
                <w:lang w:val="en-US" w:eastAsia="zh-CN"/>
              </w:rPr>
            </w:pPr>
            <w:r>
              <w:rPr>
                <w:rFonts w:hint="eastAsia"/>
                <w:color w:val="000000"/>
                <w:szCs w:val="21"/>
                <w:highlight w:val="none"/>
                <w:lang w:val="en-US" w:eastAsia="zh-CN"/>
              </w:rPr>
              <w:t xml:space="preserve">22</w:t>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widowControl/>
              <w:rPr>
                <w:color w:val="000000"/>
                <w:szCs w:val="21"/>
                <w:highlight w:val="none"/>
              </w:rPr>
            </w:pPr>
            <w:r>
              <w:rPr>
                <w:color w:val="000000"/>
                <w:szCs w:val="21"/>
                <w:highlight w:val="none"/>
              </w:rPr>
              <w:t xml:space="preserve">在值班室、设备房（间）等禁烟场所吸烟（发现一次扣2分）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jc w:val="center"/>
              <w:widowControl/>
              <w:rPr>
                <w:color w:val="000000"/>
                <w:szCs w:val="21"/>
                <w:highlight w:val="none"/>
              </w:rPr>
            </w:pPr>
            <w:r>
              <w:rPr>
                <w:color w:val="000000"/>
                <w:szCs w:val="21"/>
                <w:highlight w:val="none"/>
              </w:rPr>
              <w:t xml:space="preserve">扣分合计</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jc w:val="center"/>
              <w:widowControl/>
              <w:rPr>
                <w:color w:val="000000"/>
                <w:szCs w:val="21"/>
                <w:highlight w:val="none"/>
              </w:rPr>
            </w:pPr>
            <w:r>
              <w:rPr>
                <w:color w:val="000000"/>
                <w:szCs w:val="21"/>
                <w:highlight w:val="none"/>
              </w:rPr>
              <w:t xml:space="preserve">最终得分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11" w:type="dxa"/>
            <w:vAlign w:val="center"/>
            <w:textDirection w:val="lrTb"/>
            <w:noWrap w:val="false"/>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jc w:val="center"/>
              <w:widowControl/>
              <w:rPr>
                <w:color w:val="000000"/>
                <w:szCs w:val="21"/>
                <w:highlight w:val="none"/>
              </w:rPr>
            </w:pPr>
            <w:r>
              <w:rPr>
                <w:color w:val="000000"/>
                <w:szCs w:val="21"/>
                <w:highlight w:val="none"/>
              </w:rPr>
            </w:r>
            <w:r/>
          </w:p>
        </w:tc>
      </w:tr>
    </w:tbl>
    <w:p>
      <w:pPr>
        <w:pStyle w:val="868"/>
        <w:jc w:val="center"/>
        <w:spacing w:beforeAutospacing="0" w:afterAutospacing="0" w:line="0" w:lineRule="atLeast"/>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68"/>
        <w:jc w:val="both"/>
        <w:spacing w:beforeAutospacing="0" w:afterAutospacing="0"/>
        <w:rPr>
          <w:color w:val="auto"/>
          <w:highlight w:val="none"/>
        </w:rPr>
      </w:pPr>
      <w:r>
        <w:rPr>
          <w:color w:val="auto"/>
          <w:highlight w:val="none"/>
        </w:rPr>
        <w:t xml:space="preserve"> </w:t>
      </w:r>
      <w:r/>
    </w:p>
    <w:p>
      <w:pPr>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68"/>
        <w:ind w:firstLine="441"/>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1、小微型企业价格扣除</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（1）本项目专门面向中小企业采购，不再对小型和微型企业报价给予价格扣除。</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（2）供应商需按照采购文件的要求提供相应的《中小企业声明函》。</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（3）企业标准请参照《关于印发中小企业划型标准规定的通知》（工信部联企业[2011]300号）文件规定自行填写。</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2、残疾人福利单位价格扣除</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（1）本项目对残疾人福利性单位视同小型、微型企业。</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（2）残疾人福利单位需按照采购文件的要求提供《残疾人福利性单位声明函》。</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（3）残疾人福利单位标准请参照《关于促进残疾人就业政府采购政策的通知》（财库〔2017〕141号）。</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3、监狱和戒毒企业价格扣除</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（1）本项目对监狱和戒毒企业（简称监狱企业）视同小型、微型企业。</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（3）监狱企业标准请参照《关于政府采购支持监狱企业发展有关问题的通知》（财库[2014]68号）。</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4、残疾人福利单位、监狱企业属于小型、微型企业的，不重复享受政策。</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5、严格执行政府采购关于支持</w:t>
      </w:r>
      <w:r>
        <w:rPr>
          <w:rFonts w:hint="eastAsia" w:ascii="宋体" w:hAnsi="宋体" w:eastAsia="宋体" w:cs="宋体"/>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ind w:firstLine="480"/>
        <w:spacing w:line="520" w:lineRule="exact"/>
        <w:widowControl/>
        <w:rPr>
          <w:rFonts w:hint="eastAsia" w:ascii="宋体" w:hAnsi="宋体" w:eastAsia="宋体" w:cs="宋体"/>
          <w:sz w:val="24"/>
          <w:szCs w:val="20"/>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sz w:val="24"/>
          <w:szCs w:val="20"/>
          <w:highlight w:val="none"/>
          <w:lang w:val="en-US" w:eastAsia="zh-CN"/>
        </w:rPr>
        <w:t xml:space="preserve">本项目评分总分值为100分。</w:t>
      </w:r>
      <w:r/>
    </w:p>
    <w:tbl>
      <w:tblPr>
        <w:tblStyle w:val="853"/>
        <w:tblW w:w="8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6778"/>
        <w:gridCol w:w="664"/>
      </w:tblGrid>
      <w:tr>
        <w:trPr>
          <w:jc w:val="center"/>
          <w:trHeight w:val="701"/>
        </w:trPr>
        <w:tc>
          <w:tcPr>
            <w:tcBorders>
              <w:right w:val="single" w:color="auto" w:sz="4" w:space="0"/>
            </w:tcBorders>
            <w:tcW w:w="1260" w:type="dxa"/>
            <w:vAlign w:val="center"/>
            <w:textDirection w:val="lrTb"/>
            <w:noWrap w:val="false"/>
          </w:tcPr>
          <w:p>
            <w:pPr>
              <w:jc w:val="center"/>
              <w:keepLines w:val="0"/>
              <w:keepNext w:val="0"/>
              <w:pageBreakBefore w:val="0"/>
              <w:spacing w:line="400" w:lineRule="exact"/>
              <w:rPr>
                <w:rFonts w:ascii="宋体" w:hAnsi="宋体"/>
                <w:b w:val="0"/>
                <w:bCs w:val="0"/>
                <w:sz w:val="24"/>
                <w:highlight w:val="none"/>
              </w:rPr>
            </w:pPr>
            <w:r>
              <w:rPr>
                <w:rFonts w:hint="eastAsia" w:ascii="宋体" w:hAnsi="宋体"/>
                <w:b w:val="0"/>
                <w:bCs w:val="0"/>
                <w:sz w:val="24"/>
                <w:highlight w:val="none"/>
              </w:rPr>
              <w:t xml:space="preserve">评审</w:t>
            </w:r>
            <w:r/>
          </w:p>
          <w:p>
            <w:pPr>
              <w:jc w:val="center"/>
              <w:keepLines w:val="0"/>
              <w:keepNext w:val="0"/>
              <w:pageBreakBefore w:val="0"/>
              <w:spacing w:line="400" w:lineRule="exact"/>
              <w:rPr>
                <w:rFonts w:ascii="宋体" w:hAnsi="宋体"/>
                <w:b w:val="0"/>
                <w:bCs w:val="0"/>
                <w:sz w:val="24"/>
                <w:highlight w:val="none"/>
              </w:rPr>
            </w:pPr>
            <w:r>
              <w:rPr>
                <w:rFonts w:hint="eastAsia" w:ascii="宋体" w:hAnsi="宋体"/>
                <w:b w:val="0"/>
                <w:bCs w:val="0"/>
                <w:sz w:val="24"/>
                <w:highlight w:val="none"/>
              </w:rPr>
              <w:t xml:space="preserve">项目</w:t>
            </w:r>
            <w:r/>
          </w:p>
        </w:tc>
        <w:tc>
          <w:tcPr>
            <w:tcBorders>
              <w:left w:val="single" w:color="auto" w:sz="4" w:space="0"/>
            </w:tcBorders>
            <w:tcW w:w="6778" w:type="dxa"/>
            <w:vAlign w:val="center"/>
            <w:textDirection w:val="lrTb"/>
            <w:noWrap w:val="false"/>
          </w:tcPr>
          <w:p>
            <w:pPr>
              <w:jc w:val="center"/>
              <w:keepLines w:val="0"/>
              <w:keepNext w:val="0"/>
              <w:pageBreakBefore w:val="0"/>
              <w:spacing w:line="400" w:lineRule="exact"/>
              <w:rPr>
                <w:rFonts w:ascii="宋体" w:hAnsi="宋体"/>
                <w:b w:val="0"/>
                <w:bCs w:val="0"/>
                <w:sz w:val="24"/>
                <w:highlight w:val="none"/>
              </w:rPr>
            </w:pPr>
            <w:r>
              <w:rPr>
                <w:rFonts w:hint="eastAsia" w:ascii="宋体" w:hAnsi="宋体"/>
                <w:b w:val="0"/>
                <w:bCs w:val="0"/>
                <w:sz w:val="24"/>
                <w:highlight w:val="none"/>
              </w:rPr>
              <w:t xml:space="preserve">评审标准</w:t>
            </w:r>
            <w:r/>
          </w:p>
        </w:tc>
        <w:tc>
          <w:tcPr>
            <w:tcBorders>
              <w:bottom w:val="single" w:color="auto" w:sz="4" w:space="0"/>
            </w:tcBorders>
            <w:tcW w:w="664" w:type="dxa"/>
            <w:vAlign w:val="center"/>
            <w:textDirection w:val="lrTb"/>
            <w:noWrap w:val="false"/>
          </w:tcPr>
          <w:p>
            <w:pPr>
              <w:jc w:val="center"/>
              <w:keepLines w:val="0"/>
              <w:keepNext w:val="0"/>
              <w:pageBreakBefore w:val="0"/>
              <w:spacing w:line="400" w:lineRule="exact"/>
              <w:rPr>
                <w:rFonts w:ascii="宋体" w:hAnsi="宋体"/>
                <w:b w:val="0"/>
                <w:bCs w:val="0"/>
                <w:sz w:val="24"/>
                <w:highlight w:val="none"/>
              </w:rPr>
            </w:pPr>
            <w:r>
              <w:rPr>
                <w:rFonts w:hint="eastAsia" w:ascii="宋体" w:hAnsi="宋体"/>
                <w:b w:val="0"/>
                <w:bCs w:val="0"/>
                <w:sz w:val="24"/>
                <w:highlight w:val="none"/>
              </w:rPr>
              <w:t xml:space="preserve">分值</w:t>
            </w:r>
            <w:r/>
          </w:p>
        </w:tc>
      </w:tr>
      <w:tr>
        <w:trPr>
          <w:jc w:val="center"/>
          <w:trHeight w:val="905"/>
        </w:trPr>
        <w:tc>
          <w:tcPr>
            <w:tcBorders>
              <w:right w:val="single" w:color="auto" w:sz="4" w:space="0"/>
            </w:tcBorders>
            <w:tcW w:w="1260" w:type="dxa"/>
            <w:vAlign w:val="center"/>
            <w:textDirection w:val="lrTb"/>
            <w:noWrap w:val="false"/>
          </w:tcPr>
          <w:p>
            <w:pPr>
              <w:jc w:val="center"/>
              <w:keepLines w:val="0"/>
              <w:keepNext w:val="0"/>
              <w:pageBreakBefore w:val="0"/>
              <w:spacing w:line="400" w:lineRule="exact"/>
              <w:widowControl w:val="off"/>
              <w:rPr>
                <w:rFonts w:ascii="宋体" w:hAnsi="宋体" w:eastAsia="宋体" w:cs="宋体"/>
                <w:b w:val="0"/>
                <w:bCs w:val="0"/>
                <w:sz w:val="24"/>
                <w:szCs w:val="20"/>
                <w:highlight w:val="none"/>
              </w:rPr>
            </w:pPr>
            <w:r>
              <w:rPr>
                <w:rFonts w:hint="eastAsia" w:ascii="宋体" w:hAnsi="宋体" w:eastAsia="宋体" w:cs="宋体"/>
                <w:b w:val="0"/>
                <w:bCs w:val="0"/>
                <w:sz w:val="24"/>
                <w:szCs w:val="20"/>
                <w:highlight w:val="none"/>
              </w:rPr>
              <w:t xml:space="preserve">投标报价</w:t>
            </w:r>
            <w:r/>
          </w:p>
        </w:tc>
        <w:tc>
          <w:tcPr>
            <w:tcBorders>
              <w:left w:val="single" w:color="auto" w:sz="4" w:space="0"/>
              <w:right w:val="single" w:color="auto" w:sz="4" w:space="0"/>
            </w:tcBorders>
            <w:tcW w:w="6778"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bidi="ar-SA"/>
              </w:rPr>
              <w:t xml:space="preserve">1、采用低价优先法，即满足招标文件要求且投标价格最低的投标报价为评标基准价，其价格分为满分。</w:t>
            </w:r>
            <w:r/>
          </w:p>
          <w:p>
            <w:pPr>
              <w:ind w:firstLine="480"/>
              <w:keepLines w:val="0"/>
              <w:keepNext w:val="0"/>
              <w:pageBreakBefore w:val="0"/>
              <w:spacing w:line="400" w:lineRule="exact"/>
              <w:widowControl/>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bidi="ar-SA"/>
              </w:rPr>
              <w:t xml:space="preserve">2、其他投标人的价格分统一按下列公式计算：投标报价得分＝（评标基准价/投标报价）×30（小数点保留两位）</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keepLines w:val="0"/>
              <w:keepNext w:val="0"/>
              <w:pageBreakBefore w:val="0"/>
              <w:spacing w:line="400" w:lineRule="exact"/>
              <w:rPr>
                <w:rFonts w:hint="default" w:ascii="宋体" w:hAnsi="宋体" w:eastAsia="宋体" w:cs="宋体"/>
                <w:b w:val="0"/>
                <w:bCs w:val="0"/>
                <w:sz w:val="24"/>
                <w:szCs w:val="20"/>
                <w:highlight w:val="none"/>
                <w:lang w:val="en-US"/>
              </w:rPr>
            </w:pPr>
            <w:r>
              <w:rPr>
                <w:rFonts w:hint="eastAsia" w:ascii="宋体" w:hAnsi="宋体" w:eastAsia="宋体" w:cs="宋体"/>
                <w:b w:val="0"/>
                <w:bCs w:val="0"/>
                <w:sz w:val="24"/>
                <w:szCs w:val="20"/>
                <w:highlight w:val="none"/>
                <w:lang w:val="en-US" w:eastAsia="zh-CN"/>
              </w:rPr>
              <w:t xml:space="preserve">30</w:t>
            </w:r>
            <w:r/>
          </w:p>
        </w:tc>
      </w:tr>
      <w:tr>
        <w:trPr>
          <w:jc w:val="center"/>
          <w:trHeight w:val="926"/>
        </w:trPr>
        <w:tc>
          <w:tcPr>
            <w:tcBorders>
              <w:right w:val="single" w:color="auto" w:sz="4" w:space="0"/>
            </w:tcBorders>
            <w:tcW w:w="1260" w:type="dxa"/>
            <w:vAlign w:val="center"/>
            <w:vMerge w:val="restart"/>
            <w:textDirection w:val="lrTb"/>
            <w:noWrap w:val="false"/>
          </w:tcPr>
          <w:p>
            <w:pPr>
              <w:jc w:val="center"/>
              <w:keepLines w:val="0"/>
              <w:keepNext w:val="0"/>
              <w:pageBreakBefore w:val="0"/>
              <w:spacing w:line="400" w:lineRule="exact"/>
              <w:widowControl w:val="off"/>
              <w:rPr>
                <w:rFonts w:hint="default" w:ascii="宋体" w:hAnsi="宋体" w:eastAsia="宋体" w:cs="宋体"/>
                <w:b w:val="0"/>
                <w:bCs w:val="0"/>
                <w:sz w:val="24"/>
                <w:szCs w:val="20"/>
                <w:highlight w:val="none"/>
                <w:lang w:val="en-US" w:eastAsia="zh-CN"/>
              </w:rPr>
            </w:pPr>
            <w:r>
              <w:rPr>
                <w:rFonts w:hint="eastAsia" w:ascii="宋体" w:hAnsi="宋体" w:eastAsia="宋体" w:cs="宋体"/>
                <w:b w:val="0"/>
                <w:bCs w:val="0"/>
                <w:sz w:val="24"/>
                <w:szCs w:val="20"/>
                <w:highlight w:val="none"/>
                <w:lang w:val="en-US" w:eastAsia="zh-CN"/>
              </w:rPr>
              <w:t xml:space="preserve">服务方案</w:t>
            </w:r>
            <w:r/>
          </w:p>
        </w:tc>
        <w:tc>
          <w:tcPr>
            <w:tcBorders>
              <w:left w:val="single" w:color="auto" w:sz="4" w:space="0"/>
              <w:bottom w:val="single" w:color="auto" w:sz="4" w:space="0"/>
            </w:tcBorders>
            <w:tcW w:w="6778"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bidi="ar-SA"/>
              </w:rPr>
              <w:t xml:space="preserve">1、项目认知、服务定位、管理理念、整体设想（本项最高得12分）</w:t>
            </w:r>
            <w:r/>
          </w:p>
          <w:p>
            <w:pPr>
              <w:ind w:firstLine="480"/>
              <w:keepLines w:val="0"/>
              <w:keepNext w:val="0"/>
              <w:pageBreakBefore w:val="0"/>
              <w:spacing w:line="400" w:lineRule="exact"/>
              <w:widowControl/>
              <w:rPr>
                <w:rFonts w:hint="eastAsia" w:ascii="宋体" w:hAnsi="宋体" w:eastAsia="宋体" w:cs="宋体"/>
                <w:b w:val="0"/>
                <w:bCs w:val="0"/>
                <w:sz w:val="24"/>
                <w:szCs w:val="20"/>
                <w:highlight w:val="none"/>
                <w:lang w:val="en-US" w:eastAsia="zh-CN" w:bidi="ar-SA"/>
              </w:rPr>
            </w:pPr>
            <w:r>
              <w:rPr>
                <w:rFonts w:hint="eastAsia" w:ascii="宋体" w:hAnsi="宋体" w:eastAsia="宋体" w:cs="宋体"/>
                <w:b w:val="0"/>
                <w:bCs w:val="0"/>
                <w:sz w:val="24"/>
                <w:szCs w:val="20"/>
                <w:highlight w:val="none"/>
                <w:lang w:val="en-US" w:eastAsia="zh-CN" w:bidi="ar-SA"/>
              </w:rPr>
              <w:t xml:space="preserve">评委根据投标人对本物业项目认知、服务定位、管理理念、整体方案设想的合理性、全面性、针对性及可操作性等进行评审，优于项目需求得12分，满足项目需求得11分，不满足或不提供得0分。 </w:t>
            </w:r>
            <w:r/>
          </w:p>
        </w:tc>
        <w:tc>
          <w:tcPr>
            <w:tcBorders>
              <w:top w:val="single" w:color="auto" w:sz="4" w:space="0"/>
            </w:tcBorders>
            <w:tcW w:w="664" w:type="dxa"/>
            <w:vAlign w:val="center"/>
            <w:vMerge w:val="restart"/>
            <w:textDirection w:val="lrTb"/>
            <w:noWrap w:val="false"/>
          </w:tcPr>
          <w:p>
            <w:pPr>
              <w:jc w:val="center"/>
              <w:keepLines w:val="0"/>
              <w:keepNext w:val="0"/>
              <w:pageBreakBefore w:val="0"/>
              <w:spacing w:line="400" w:lineRule="exact"/>
              <w:rPr>
                <w:rFonts w:hint="default" w:ascii="宋体" w:hAnsi="宋体" w:eastAsia="宋体" w:cs="宋体"/>
                <w:b w:val="0"/>
                <w:bCs w:val="0"/>
                <w:sz w:val="24"/>
                <w:szCs w:val="20"/>
                <w:highlight w:val="none"/>
                <w:lang w:val="en-US" w:eastAsia="zh-CN"/>
              </w:rPr>
            </w:pPr>
            <w:r>
              <w:rPr>
                <w:rFonts w:hint="eastAsia" w:ascii="宋体" w:hAnsi="宋体" w:eastAsia="宋体" w:cs="宋体"/>
                <w:b w:val="0"/>
                <w:bCs w:val="0"/>
                <w:sz w:val="24"/>
                <w:szCs w:val="20"/>
                <w:highlight w:val="none"/>
                <w:lang w:val="en-US" w:eastAsia="zh-CN"/>
              </w:rPr>
              <w:t xml:space="preserve">57</w:t>
            </w:r>
            <w:r/>
          </w:p>
        </w:tc>
      </w:tr>
      <w:tr>
        <w:trPr>
          <w:jc w:val="center"/>
          <w:trHeight w:val="504"/>
        </w:trPr>
        <w:tc>
          <w:tcPr>
            <w:tcBorders>
              <w:right w:val="single" w:color="auto" w:sz="4" w:space="0"/>
            </w:tcBorders>
            <w:tcW w:w="126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sz w:val="24"/>
                <w:szCs w:val="20"/>
                <w:highlight w:val="none"/>
                <w:lang w:eastAsia="zh-CN"/>
              </w:rPr>
            </w:pPr>
            <w:r>
              <w:rPr>
                <w:rFonts w:hint="eastAsia" w:ascii="宋体" w:hAnsi="宋体" w:eastAsia="宋体" w:cs="宋体"/>
                <w:b w:val="0"/>
                <w:bCs w:val="0"/>
                <w:sz w:val="24"/>
                <w:szCs w:val="20"/>
                <w:highlight w:val="none"/>
                <w:lang w:eastAsia="zh-CN"/>
              </w:rPr>
            </w:r>
            <w:r/>
          </w:p>
        </w:tc>
        <w:tc>
          <w:tcPr>
            <w:tcBorders>
              <w:left w:val="single" w:color="auto" w:sz="4" w:space="0"/>
              <w:bottom w:val="single" w:color="auto" w:sz="4" w:space="0"/>
            </w:tcBorders>
            <w:tcW w:w="6778"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b w:val="0"/>
                <w:bCs w:val="0"/>
                <w:sz w:val="24"/>
                <w:szCs w:val="20"/>
                <w:highlight w:val="none"/>
                <w:lang w:val="en-US" w:eastAsia="zh-CN" w:bidi="ar-SA"/>
              </w:rPr>
            </w:pPr>
            <w:r>
              <w:rPr>
                <w:rFonts w:hint="eastAsia" w:ascii="宋体" w:hAnsi="宋体" w:eastAsia="宋体" w:cs="宋体"/>
                <w:b w:val="0"/>
                <w:bCs w:val="0"/>
                <w:sz w:val="24"/>
                <w:szCs w:val="20"/>
                <w:highlight w:val="none"/>
                <w:lang w:val="en-US" w:eastAsia="zh-CN" w:bidi="ar-SA"/>
              </w:rPr>
              <w:t xml:space="preserve">2、岗位设置及职责、培训考核等管理制度及投入物资、设备和各岗位人员（本项最高得11分）</w:t>
            </w:r>
            <w:r/>
          </w:p>
          <w:p>
            <w:pPr>
              <w:ind w:firstLine="480"/>
              <w:keepLines w:val="0"/>
              <w:keepNext w:val="0"/>
              <w:pageBreakBefore w:val="0"/>
              <w:spacing w:line="400" w:lineRule="exact"/>
              <w:widowControl/>
              <w:rPr>
                <w:rFonts w:hint="eastAsia" w:ascii="宋体" w:hAnsi="宋体" w:eastAsia="宋体" w:cs="宋体"/>
                <w:b w:val="0"/>
                <w:bCs w:val="0"/>
                <w:sz w:val="24"/>
                <w:szCs w:val="20"/>
                <w:highlight w:val="none"/>
                <w:lang w:val="en-US" w:eastAsia="zh-CN" w:bidi="ar-SA"/>
              </w:rPr>
            </w:pPr>
            <w:r>
              <w:rPr>
                <w:rFonts w:hint="eastAsia" w:ascii="宋体" w:hAnsi="宋体" w:eastAsia="宋体" w:cs="宋体"/>
                <w:b w:val="0"/>
                <w:bCs w:val="0"/>
                <w:sz w:val="24"/>
                <w:szCs w:val="20"/>
                <w:highlight w:val="none"/>
                <w:lang w:val="en-US" w:eastAsia="zh-CN" w:bidi="ar-SA"/>
              </w:rPr>
              <w:t xml:space="preserve">由评委根据各投标人对本物业制定的岗位设置及职责、培训考核等管理制度和投入物资、设备和岗位人员分配的科学性、完整性、针对性及可操作性等进行评审，优于项目需求得11分，满足项目需求得10分，不满足或不提供得0分。</w:t>
            </w:r>
            <w:r/>
          </w:p>
        </w:tc>
        <w:tc>
          <w:tcPr>
            <w:tcW w:w="664"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val="0"/>
                <w:bCs w:val="0"/>
                <w:sz w:val="24"/>
                <w:szCs w:val="20"/>
                <w:highlight w:val="none"/>
                <w:lang w:val="en-US" w:eastAsia="zh-CN"/>
              </w:rPr>
            </w:pPr>
            <w:r>
              <w:rPr>
                <w:rFonts w:hint="eastAsia" w:ascii="宋体" w:hAnsi="宋体" w:eastAsia="宋体" w:cs="宋体"/>
                <w:b w:val="0"/>
                <w:bCs w:val="0"/>
                <w:sz w:val="24"/>
                <w:szCs w:val="20"/>
                <w:highlight w:val="none"/>
                <w:lang w:val="en-US" w:eastAsia="zh-CN"/>
              </w:rPr>
            </w:r>
            <w:r/>
          </w:p>
        </w:tc>
      </w:tr>
      <w:tr>
        <w:trPr>
          <w:jc w:val="center"/>
          <w:trHeight w:val="926"/>
        </w:trPr>
        <w:tc>
          <w:tcPr>
            <w:tcBorders>
              <w:right w:val="single" w:color="auto" w:sz="4" w:space="0"/>
            </w:tcBorders>
            <w:tcW w:w="126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sz w:val="24"/>
                <w:szCs w:val="20"/>
                <w:highlight w:val="none"/>
                <w:lang w:eastAsia="zh-CN"/>
              </w:rPr>
            </w:pPr>
            <w:r>
              <w:rPr>
                <w:rFonts w:hint="eastAsia" w:ascii="宋体" w:hAnsi="宋体" w:eastAsia="宋体" w:cs="宋体"/>
                <w:b w:val="0"/>
                <w:bCs w:val="0"/>
                <w:sz w:val="24"/>
                <w:szCs w:val="20"/>
                <w:highlight w:val="none"/>
                <w:lang w:eastAsia="zh-CN"/>
              </w:rPr>
            </w:r>
            <w:r/>
          </w:p>
        </w:tc>
        <w:tc>
          <w:tcPr>
            <w:tcBorders>
              <w:left w:val="single" w:color="auto" w:sz="4" w:space="0"/>
              <w:bottom w:val="single" w:color="auto" w:sz="4" w:space="0"/>
            </w:tcBorders>
            <w:tcW w:w="6778"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b w:val="0"/>
                <w:bCs w:val="0"/>
                <w:sz w:val="24"/>
                <w:szCs w:val="20"/>
                <w:highlight w:val="none"/>
                <w:lang w:val="en-US" w:eastAsia="zh-CN" w:bidi="ar-SA"/>
              </w:rPr>
            </w:pPr>
            <w:r>
              <w:rPr>
                <w:rFonts w:hint="eastAsia" w:ascii="宋体" w:hAnsi="宋体" w:eastAsia="宋体" w:cs="宋体"/>
                <w:b w:val="0"/>
                <w:bCs w:val="0"/>
                <w:sz w:val="24"/>
                <w:szCs w:val="20"/>
                <w:highlight w:val="none"/>
                <w:lang w:val="en-US" w:eastAsia="zh-CN" w:bidi="ar-SA"/>
              </w:rPr>
              <w:t xml:space="preserve">3、具体服务方案及实施运作流程（本项最高得12分）</w:t>
            </w:r>
            <w:r/>
          </w:p>
          <w:p>
            <w:pPr>
              <w:ind w:firstLine="480"/>
              <w:keepLines w:val="0"/>
              <w:keepNext w:val="0"/>
              <w:pageBreakBefore w:val="0"/>
              <w:spacing w:line="400" w:lineRule="exact"/>
              <w:widowControl/>
              <w:rPr>
                <w:rFonts w:hint="eastAsia" w:ascii="宋体" w:hAnsi="宋体" w:eastAsia="宋体" w:cs="宋体"/>
                <w:b w:val="0"/>
                <w:bCs w:val="0"/>
                <w:sz w:val="24"/>
                <w:szCs w:val="20"/>
                <w:highlight w:val="none"/>
                <w:lang w:val="en-US" w:eastAsia="zh-CN" w:bidi="ar-SA"/>
              </w:rPr>
            </w:pPr>
            <w:r>
              <w:rPr>
                <w:rFonts w:hint="eastAsia" w:ascii="宋体" w:hAnsi="宋体" w:eastAsia="宋体" w:cs="宋体"/>
                <w:b w:val="0"/>
                <w:bCs w:val="0"/>
                <w:sz w:val="24"/>
                <w:szCs w:val="20"/>
                <w:highlight w:val="none"/>
                <w:lang w:val="en-US" w:eastAsia="zh-CN" w:bidi="ar-SA"/>
              </w:rPr>
              <w:t xml:space="preserve">由评委根据各投标人对本物业物业管理服务流程、工作标准、管理工作控制方式、信息反馈方法及管理等方面内容的科学性、合理性、针对性及可操作性等进行评审，优于项目需求得12分，满足项目需求得11分，不满足或不提供得0分。</w:t>
            </w:r>
            <w:r/>
          </w:p>
        </w:tc>
        <w:tc>
          <w:tcPr>
            <w:tcW w:w="664"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val="0"/>
                <w:bCs w:val="0"/>
                <w:sz w:val="24"/>
                <w:szCs w:val="20"/>
                <w:highlight w:val="none"/>
                <w:lang w:val="en-US" w:eastAsia="zh-CN"/>
              </w:rPr>
            </w:pPr>
            <w:r>
              <w:rPr>
                <w:rFonts w:hint="eastAsia" w:ascii="宋体" w:hAnsi="宋体" w:eastAsia="宋体" w:cs="宋体"/>
                <w:b w:val="0"/>
                <w:bCs w:val="0"/>
                <w:sz w:val="24"/>
                <w:szCs w:val="20"/>
                <w:highlight w:val="none"/>
                <w:lang w:val="en-US" w:eastAsia="zh-CN"/>
              </w:rPr>
            </w:r>
            <w:r/>
          </w:p>
        </w:tc>
      </w:tr>
      <w:tr>
        <w:trPr>
          <w:jc w:val="center"/>
          <w:trHeight w:val="926"/>
        </w:trPr>
        <w:tc>
          <w:tcPr>
            <w:tcBorders>
              <w:right w:val="single" w:color="auto" w:sz="4" w:space="0"/>
            </w:tcBorders>
            <w:tcW w:w="126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sz w:val="24"/>
                <w:szCs w:val="20"/>
                <w:highlight w:val="none"/>
                <w:lang w:eastAsia="zh-CN"/>
              </w:rPr>
            </w:pPr>
            <w:r>
              <w:rPr>
                <w:rFonts w:hint="eastAsia" w:ascii="宋体" w:hAnsi="宋体" w:eastAsia="宋体" w:cs="宋体"/>
                <w:b w:val="0"/>
                <w:bCs w:val="0"/>
                <w:sz w:val="24"/>
                <w:szCs w:val="20"/>
                <w:highlight w:val="none"/>
                <w:lang w:eastAsia="zh-CN"/>
              </w:rPr>
            </w:r>
            <w:r/>
          </w:p>
        </w:tc>
        <w:tc>
          <w:tcPr>
            <w:tcBorders>
              <w:left w:val="single" w:color="auto" w:sz="4" w:space="0"/>
              <w:bottom w:val="single" w:color="auto" w:sz="4" w:space="0"/>
            </w:tcBorders>
            <w:tcW w:w="6778"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0"/>
                <w:highlight w:val="none"/>
                <w:lang w:val="en-US" w:eastAsia="zh-CN" w:bidi="ar-SA"/>
              </w:rPr>
              <w:t xml:space="preserve">4、</w:t>
            </w:r>
            <w:r>
              <w:rPr>
                <w:rFonts w:hint="eastAsia" w:ascii="宋体" w:hAnsi="宋体" w:eastAsia="宋体" w:cs="宋体"/>
                <w:b w:val="0"/>
                <w:bCs w:val="0"/>
                <w:sz w:val="24"/>
                <w:szCs w:val="24"/>
                <w:highlight w:val="none"/>
              </w:rPr>
              <w:t xml:space="preserve">物业</w:t>
            </w:r>
            <w:r>
              <w:rPr>
                <w:rFonts w:hint="eastAsia" w:ascii="宋体" w:hAnsi="宋体" w:eastAsia="宋体" w:cs="宋体"/>
                <w:b w:val="0"/>
                <w:bCs w:val="0"/>
                <w:sz w:val="24"/>
                <w:szCs w:val="24"/>
                <w:highlight w:val="none"/>
              </w:rPr>
              <w:t xml:space="preserve">管理服务及质量保证措施（</w:t>
            </w:r>
            <w:r>
              <w:rPr>
                <w:rFonts w:hint="eastAsia" w:ascii="宋体" w:hAnsi="宋体" w:eastAsia="宋体" w:cs="宋体"/>
                <w:b w:val="0"/>
                <w:bCs w:val="0"/>
                <w:sz w:val="24"/>
                <w:szCs w:val="20"/>
                <w:highlight w:val="none"/>
                <w:lang w:val="en-US" w:eastAsia="zh-CN" w:bidi="ar-SA"/>
              </w:rPr>
              <w:t xml:space="preserve">本项最高得11分</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400" w:lineRule="exact"/>
              <w:widowControl/>
              <w:rPr>
                <w:rFonts w:hint="eastAsia" w:ascii="宋体" w:hAnsi="宋体" w:eastAsia="宋体" w:cs="宋体"/>
                <w:b w:val="0"/>
                <w:bCs w:val="0"/>
                <w:sz w:val="24"/>
                <w:szCs w:val="20"/>
                <w:highlight w:val="none"/>
                <w:lang w:val="en-US" w:eastAsia="zh-CN" w:bidi="ar-SA"/>
              </w:rPr>
            </w:pPr>
            <w:r>
              <w:rPr>
                <w:rFonts w:hint="eastAsia" w:ascii="宋体" w:hAnsi="宋体" w:eastAsia="宋体" w:cs="宋体"/>
                <w:b w:val="0"/>
                <w:bCs w:val="0"/>
                <w:sz w:val="24"/>
                <w:szCs w:val="24"/>
                <w:highlight w:val="none"/>
              </w:rPr>
              <w:t xml:space="preserve">由评委根据各投标人提供的物业管理要求相应方案、应急情况处理方案、提高服务质量及保证安全、文明的优质服务措施等内容合理性、完整性、可操作性等进行评审</w:t>
            </w:r>
            <w:r>
              <w:rPr>
                <w:rFonts w:hint="eastAsia" w:ascii="宋体" w:hAnsi="宋体" w:eastAsia="宋体" w:cs="宋体"/>
                <w:b w:val="0"/>
                <w:bCs w:val="0"/>
                <w:sz w:val="24"/>
                <w:szCs w:val="20"/>
                <w:highlight w:val="none"/>
                <w:lang w:val="en-US" w:eastAsia="zh-CN" w:bidi="ar-SA"/>
              </w:rPr>
              <w:t xml:space="preserve">，优于项目需求得11分，满足项目需求得10分，不满足或不提供得0分。</w:t>
            </w:r>
            <w:r/>
          </w:p>
        </w:tc>
        <w:tc>
          <w:tcPr>
            <w:tcW w:w="664"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val="0"/>
                <w:bCs w:val="0"/>
                <w:sz w:val="24"/>
                <w:szCs w:val="20"/>
                <w:highlight w:val="none"/>
                <w:lang w:val="en-US" w:eastAsia="zh-CN"/>
              </w:rPr>
            </w:pPr>
            <w:r>
              <w:rPr>
                <w:rFonts w:hint="eastAsia" w:ascii="宋体" w:hAnsi="宋体" w:eastAsia="宋体" w:cs="宋体"/>
                <w:b w:val="0"/>
                <w:bCs w:val="0"/>
                <w:sz w:val="24"/>
                <w:szCs w:val="20"/>
                <w:highlight w:val="none"/>
                <w:lang w:val="en-US" w:eastAsia="zh-CN"/>
              </w:rPr>
            </w:r>
            <w:r/>
          </w:p>
        </w:tc>
      </w:tr>
      <w:tr>
        <w:trPr>
          <w:jc w:val="center"/>
          <w:trHeight w:val="1865"/>
        </w:trPr>
        <w:tc>
          <w:tcPr>
            <w:tcBorders>
              <w:right w:val="single" w:color="auto" w:sz="4" w:space="0"/>
            </w:tcBorders>
            <w:tcW w:w="126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sz w:val="24"/>
                <w:szCs w:val="20"/>
                <w:highlight w:val="none"/>
                <w:lang w:eastAsia="zh-CN"/>
              </w:rPr>
            </w:pPr>
            <w:r>
              <w:rPr>
                <w:rFonts w:hint="eastAsia" w:ascii="宋体" w:hAnsi="宋体" w:eastAsia="宋体" w:cs="宋体"/>
                <w:b w:val="0"/>
                <w:bCs w:val="0"/>
                <w:sz w:val="24"/>
                <w:szCs w:val="20"/>
                <w:highlight w:val="none"/>
                <w:lang w:eastAsia="zh-CN"/>
              </w:rPr>
            </w:r>
            <w:r/>
          </w:p>
        </w:tc>
        <w:tc>
          <w:tcPr>
            <w:tcBorders>
              <w:left w:val="single" w:color="auto" w:sz="4" w:space="0"/>
              <w:bottom w:val="single" w:color="auto" w:sz="4" w:space="0"/>
            </w:tcBorders>
            <w:tcW w:w="6778"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bidi="ar-SA"/>
              </w:rPr>
              <w:t xml:space="preserve">5、适合本项目的各种突发事件的处理预案（本项最高得11分）</w:t>
            </w:r>
            <w:r/>
          </w:p>
          <w:p>
            <w:pPr>
              <w:ind w:firstLine="480"/>
              <w:keepLines w:val="0"/>
              <w:keepNext w:val="0"/>
              <w:pageBreakBefore w:val="0"/>
              <w:spacing w:line="400" w:lineRule="exact"/>
              <w:widowControl/>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bidi="ar-SA"/>
              </w:rPr>
              <w:t xml:space="preserve">评委根据投标人对本项目制定的各种突发事件的处理预案的合理性、科学性、全面性、针对性及可操作性等进行评审，优于项目需求得11分，满足项目需求得10分，不满足或不提供得0分。 </w:t>
            </w:r>
            <w:r/>
          </w:p>
        </w:tc>
        <w:tc>
          <w:tcPr>
            <w:tcBorders>
              <w:bottom w:val="single" w:color="auto" w:sz="4" w:space="0"/>
            </w:tcBorders>
            <w:tcW w:w="664"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val="0"/>
                <w:bCs w:val="0"/>
                <w:sz w:val="24"/>
                <w:szCs w:val="20"/>
                <w:highlight w:val="none"/>
                <w:lang w:val="en-US" w:eastAsia="zh-CN"/>
              </w:rPr>
            </w:pPr>
            <w:r>
              <w:rPr>
                <w:rFonts w:hint="eastAsia" w:ascii="宋体" w:hAnsi="宋体" w:eastAsia="宋体" w:cs="宋体"/>
                <w:b w:val="0"/>
                <w:bCs w:val="0"/>
                <w:sz w:val="24"/>
                <w:szCs w:val="20"/>
                <w:highlight w:val="none"/>
                <w:lang w:val="en-US" w:eastAsia="zh-CN"/>
              </w:rPr>
            </w:r>
            <w:r/>
          </w:p>
        </w:tc>
      </w:tr>
      <w:tr>
        <w:trPr>
          <w:jc w:val="center"/>
          <w:trHeight w:val="640"/>
        </w:trPr>
        <w:tc>
          <w:tcPr>
            <w:tcBorders>
              <w:right w:val="single" w:color="auto" w:sz="4" w:space="0"/>
            </w:tcBorders>
            <w:tcW w:w="12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rPr>
              <w:t xml:space="preserve">企业业绩</w:t>
            </w:r>
            <w:r/>
          </w:p>
        </w:tc>
        <w:tc>
          <w:tcPr>
            <w:tcBorders>
              <w:left w:val="single" w:color="auto" w:sz="4" w:space="0"/>
            </w:tcBorders>
            <w:tcW w:w="6778"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b w:val="0"/>
                <w:bCs w:val="0"/>
                <w:sz w:val="24"/>
                <w:szCs w:val="20"/>
                <w:highlight w:val="none"/>
                <w:lang w:val="en-US" w:eastAsia="zh-CN" w:bidi="ar-SA"/>
              </w:rPr>
            </w:pPr>
            <w:r>
              <w:rPr>
                <w:rFonts w:hint="eastAsia" w:ascii="宋体" w:hAnsi="宋体" w:eastAsia="宋体" w:cs="宋体"/>
                <w:b w:val="0"/>
                <w:bCs w:val="0"/>
                <w:sz w:val="24"/>
                <w:szCs w:val="20"/>
                <w:highlight w:val="none"/>
                <w:lang w:val="en-US" w:eastAsia="zh-CN" w:bidi="ar-SA"/>
              </w:rPr>
              <w:t xml:space="preserve">投标人自2022年1月1日以来（以合同签订时间为准）承接过类似物业管理项目，每有一个得2分，本项最高分得10分。（提供合同原件扫描件，否则不得分。）</w:t>
            </w:r>
            <w:r/>
          </w:p>
          <w:p>
            <w:pPr>
              <w:ind w:firstLine="480"/>
              <w:keepLines w:val="0"/>
              <w:keepNext w:val="0"/>
              <w:pageBreakBefore w:val="0"/>
              <w:spacing w:line="400" w:lineRule="exact"/>
              <w:widowControl/>
              <w:rPr>
                <w:rFonts w:hint="default"/>
                <w:b w:val="0"/>
                <w:bCs w:val="0"/>
                <w:highlight w:val="none"/>
                <w:lang w:val="en-US"/>
              </w:rPr>
            </w:pPr>
            <w:r>
              <w:rPr>
                <w:rFonts w:hint="eastAsia" w:ascii="宋体" w:hAnsi="宋体" w:eastAsia="宋体" w:cs="宋体"/>
                <w:b w:val="0"/>
                <w:bCs w:val="0"/>
                <w:sz w:val="24"/>
                <w:szCs w:val="20"/>
                <w:highlight w:val="none"/>
                <w:lang w:val="en-US" w:eastAsia="zh-CN" w:bidi="ar-SA"/>
              </w:rPr>
              <w:t xml:space="preserve">注：如合同为一年一签的同一项目，只认同为一项业绩。</w:t>
            </w:r>
            <w:r/>
          </w:p>
        </w:tc>
        <w:tc>
          <w:tcPr>
            <w:tcW w:w="664" w:type="dxa"/>
            <w:vAlign w:val="center"/>
            <w:textDirection w:val="lrTb"/>
            <w:noWrap w:val="false"/>
          </w:tcPr>
          <w:p>
            <w:pPr>
              <w:jc w:val="center"/>
              <w:keepLines w:val="0"/>
              <w:keepNext w:val="0"/>
              <w:pageBreakBefore w:val="0"/>
              <w:spacing w:line="400" w:lineRule="exact"/>
              <w:rPr>
                <w:rFonts w:hint="default" w:ascii="宋体" w:hAnsi="宋体" w:eastAsia="宋体" w:cs="宋体"/>
                <w:b w:val="0"/>
                <w:bCs w:val="0"/>
                <w:sz w:val="24"/>
                <w:szCs w:val="20"/>
                <w:highlight w:val="none"/>
                <w:lang w:val="en-US"/>
              </w:rPr>
            </w:pPr>
            <w:r>
              <w:rPr>
                <w:rFonts w:hint="eastAsia" w:ascii="宋体" w:hAnsi="宋体" w:eastAsia="宋体" w:cs="宋体"/>
                <w:b w:val="0"/>
                <w:bCs w:val="0"/>
                <w:sz w:val="24"/>
                <w:szCs w:val="20"/>
                <w:highlight w:val="none"/>
                <w:lang w:val="en-US" w:eastAsia="zh-CN"/>
              </w:rPr>
              <w:t xml:space="preserve">10</w:t>
            </w:r>
            <w:r/>
          </w:p>
        </w:tc>
      </w:tr>
      <w:tr>
        <w:trPr>
          <w:jc w:val="center"/>
          <w:trHeight w:val="2610"/>
        </w:trPr>
        <w:tc>
          <w:tcPr>
            <w:tcBorders>
              <w:right w:val="single" w:color="auto" w:sz="4" w:space="0"/>
            </w:tcBorders>
            <w:tcW w:w="126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rPr>
              <w:t xml:space="preserve">企业实力</w:t>
            </w:r>
            <w:r/>
          </w:p>
        </w:tc>
        <w:tc>
          <w:tcPr>
            <w:tcBorders>
              <w:left w:val="single" w:color="auto" w:sz="4" w:space="0"/>
            </w:tcBorders>
            <w:tcW w:w="6778" w:type="dxa"/>
            <w:vAlign w:val="center"/>
            <w:textDirection w:val="lrTb"/>
            <w:noWrap w:val="false"/>
          </w:tcPr>
          <w:p>
            <w:pPr>
              <w:numPr>
                <w:ilvl w:val="0"/>
                <w:numId w:val="0"/>
              </w:numPr>
              <w:ind w:firstLine="480"/>
              <w:keepLines w:val="0"/>
              <w:keepNext w:val="0"/>
              <w:pageBreakBefore w:val="0"/>
              <w:spacing w:line="400" w:lineRule="exact"/>
              <w:widowControl/>
              <w:rPr>
                <w:rFonts w:hint="eastAsia" w:ascii="宋体" w:hAnsi="宋体" w:eastAsia="宋体" w:cs="宋体"/>
                <w:b w:val="0"/>
                <w:bCs w:val="0"/>
                <w:sz w:val="24"/>
                <w:szCs w:val="20"/>
                <w:highlight w:val="none"/>
                <w:lang w:val="en-US" w:eastAsia="zh-CN" w:bidi="ar-SA"/>
              </w:rPr>
            </w:pPr>
            <w:r>
              <w:rPr>
                <w:rFonts w:hint="eastAsia" w:ascii="宋体" w:hAnsi="宋体" w:eastAsia="宋体" w:cs="宋体"/>
                <w:b w:val="0"/>
                <w:bCs w:val="0"/>
                <w:sz w:val="24"/>
                <w:szCs w:val="20"/>
                <w:highlight w:val="none"/>
                <w:lang w:val="en-US" w:eastAsia="zh-CN" w:bidi="ar-SA"/>
              </w:rPr>
              <w:t xml:space="preserve">投标人具备有效期内的质量管理体系认证证书、环境管理体系认证证书、职业健康安全管理体系认证证书，每提供1个得1分，最高得3分。（注：投标时提供上述证书的扫描件，同时须提供上述证书在中国国家认证认可监督管理委员会网站http://www.cnca.gov.cn/查询页面完整截图，以上材料均加盖投标人公章，否则不得分。）</w:t>
            </w:r>
            <w:r/>
          </w:p>
        </w:tc>
        <w:tc>
          <w:tcPr>
            <w:tcW w:w="664" w:type="dxa"/>
            <w:vAlign w:val="center"/>
            <w:textDirection w:val="lrTb"/>
            <w:noWrap w:val="false"/>
          </w:tcPr>
          <w:p>
            <w:pPr>
              <w:jc w:val="center"/>
              <w:keepLines w:val="0"/>
              <w:keepNext w:val="0"/>
              <w:pageBreakBefore w:val="0"/>
              <w:spacing w:line="400" w:lineRule="exact"/>
              <w:rPr>
                <w:rFonts w:hint="default" w:ascii="宋体" w:hAnsi="宋体" w:eastAsia="宋体" w:cs="宋体"/>
                <w:b w:val="0"/>
                <w:bCs w:val="0"/>
                <w:sz w:val="24"/>
                <w:szCs w:val="20"/>
                <w:highlight w:val="none"/>
                <w:lang w:val="en-US"/>
              </w:rPr>
            </w:pPr>
            <w:r>
              <w:rPr>
                <w:rFonts w:hint="eastAsia" w:ascii="宋体" w:hAnsi="宋体" w:eastAsia="宋体" w:cs="宋体"/>
                <w:b w:val="0"/>
                <w:bCs w:val="0"/>
                <w:sz w:val="24"/>
                <w:szCs w:val="20"/>
                <w:highlight w:val="none"/>
                <w:lang w:val="en-US" w:eastAsia="zh-CN"/>
              </w:rPr>
              <w:t xml:space="preserve">3</w:t>
            </w:r>
            <w:r/>
          </w:p>
        </w:tc>
      </w:tr>
    </w:tbl>
    <w:p>
      <w:pPr>
        <w:ind w:firstLine="560"/>
        <w:keepLines w:val="0"/>
        <w:keepNext w:val="0"/>
        <w:pageBreakBefore w:val="0"/>
        <w:spacing w:line="560" w:lineRule="exact"/>
        <w:widowControl w:val="off"/>
        <w:rPr>
          <w:rFonts w:hint="eastAsia" w:asciiTheme="minorEastAsia" w:hAnsiTheme="minorEastAsia" w:eastAsiaTheme="minorEastAsia" w:cstheme="minorEastAsia"/>
          <w:color w:val="auto"/>
          <w:sz w:val="28"/>
          <w:szCs w:val="28"/>
          <w:highlight w:val="yellow"/>
        </w:rPr>
      </w:pPr>
      <w:r>
        <w:rPr>
          <w:rFonts w:hint="eastAsia" w:asciiTheme="minorEastAsia" w:hAnsiTheme="minorEastAsia" w:eastAsiaTheme="minorEastAsia" w:cstheme="minorEastAsia"/>
          <w:color w:val="auto"/>
          <w:sz w:val="28"/>
          <w:szCs w:val="28"/>
          <w:highlight w:val="yellow"/>
        </w:rPr>
        <w:br w:type="page" w:clear="all"/>
      </w:r>
      <w:r/>
    </w:p>
    <w:p>
      <w:pPr>
        <w:pStyle w:val="868"/>
        <w:jc w:val="center"/>
        <w:keepNext/>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第六章  投标文件格式 </w:t>
      </w:r>
      <w:r/>
    </w:p>
    <w:p>
      <w:pPr>
        <w:pStyle w:val="868"/>
        <w:jc w:val="center"/>
        <w:spacing w:beforeAutospacing="0" w:afterAutospacing="0"/>
        <w:rPr>
          <w:rFonts w:hint="eastAsia" w:asciiTheme="minorEastAsia" w:hAnsiTheme="minorEastAsia" w:eastAsiaTheme="minorEastAsia" w:cstheme="minorEastAsia"/>
          <w:b/>
          <w:color w:val="auto"/>
          <w:sz w:val="72"/>
          <w:szCs w:val="72"/>
          <w:highlight w:val="none"/>
        </w:rPr>
      </w:pPr>
      <w:r/>
      <w:bookmarkStart w:id="186" w:name="_Toc26554094"/>
      <w:r/>
      <w:bookmarkEnd w:id="186"/>
      <w:r/>
      <w:bookmarkStart w:id="187" w:name="_Hlt26955039"/>
      <w:r/>
      <w:bookmarkEnd w:id="187"/>
      <w:r/>
      <w:bookmarkStart w:id="188" w:name="_Hlt26671244"/>
      <w:r/>
      <w:bookmarkEnd w:id="188"/>
      <w:r/>
      <w:bookmarkStart w:id="189" w:name="_Toc49090576"/>
      <w:r/>
      <w:bookmarkStart w:id="190" w:name="_Toc120614282"/>
      <w:r/>
      <w:r/>
    </w:p>
    <w:p>
      <w:pPr>
        <w:pStyle w:val="868"/>
        <w:jc w:val="center"/>
        <w:spacing w:beforeAutospacing="0" w:afterAutospacing="0"/>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pStyle w:val="868"/>
        <w:jc w:val="center"/>
        <w:spacing w:beforeAutospacing="0" w:afterAutospacing="0"/>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72"/>
          <w:szCs w:val="72"/>
          <w:highlight w:val="none"/>
        </w:rPr>
        <w:t xml:space="preserve">投  标  文  件</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firstLine="1084"/>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项目 名 称：</w:t>
      </w:r>
      <w:r>
        <w:rPr>
          <w:rFonts w:hint="eastAsia" w:asciiTheme="minorEastAsia" w:hAnsiTheme="minorEastAsia" w:eastAsiaTheme="minorEastAsia" w:cstheme="minorEastAsia"/>
          <w:b/>
          <w:color w:val="auto"/>
          <w:sz w:val="36"/>
          <w:szCs w:val="36"/>
          <w:highlight w:val="none"/>
          <w:u w:val="single"/>
        </w:rPr>
        <w:t xml:space="preserve">               </w:t>
      </w:r>
      <w:r/>
    </w:p>
    <w:p>
      <w:pPr>
        <w:pStyle w:val="868"/>
        <w:ind w:firstLine="1084"/>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项目 编 号：</w:t>
      </w:r>
      <w:r>
        <w:rPr>
          <w:rFonts w:hint="eastAsia" w:asciiTheme="minorEastAsia" w:hAnsiTheme="minorEastAsia" w:eastAsiaTheme="minorEastAsia" w:cstheme="minorEastAsia"/>
          <w:b/>
          <w:color w:val="auto"/>
          <w:sz w:val="36"/>
          <w:szCs w:val="36"/>
          <w:highlight w:val="none"/>
          <w:u w:val="singl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   投标人名称 ：</w:t>
      </w:r>
      <w:r>
        <w:rPr>
          <w:rFonts w:hint="eastAsia" w:asciiTheme="minorEastAsia" w:hAnsiTheme="minorEastAsia" w:eastAsiaTheme="minorEastAsia" w:cstheme="minorEastAsia"/>
          <w:b/>
          <w:color w:val="auto"/>
          <w:sz w:val="36"/>
          <w:szCs w:val="36"/>
          <w:highlight w:val="none"/>
          <w:u w:val="single"/>
        </w:rPr>
        <w:t xml:space="preserve">（加盖CA电子公章）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   日   期 ：</w:t>
      </w:r>
      <w:r>
        <w:rPr>
          <w:rFonts w:hint="eastAsia" w:asciiTheme="minorEastAsia" w:hAnsiTheme="minorEastAsia" w:eastAsiaTheme="minorEastAsia" w:cstheme="minorEastAsia"/>
          <w:b/>
          <w:color w:val="auto"/>
          <w:sz w:val="36"/>
          <w:szCs w:val="36"/>
          <w:highlight w:val="none"/>
          <w:u w:val="single"/>
        </w:rPr>
        <w:t xml:space="preserve">                     </w:t>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0" w:lineRule="atLeast"/>
        <w:rPr>
          <w:rFonts w:hint="eastAsia" w:asciiTheme="minorEastAsia" w:hAnsiTheme="minorEastAsia" w:eastAsiaTheme="minorEastAsia" w:cstheme="minorEastAsia"/>
          <w:b/>
          <w:color w:val="auto"/>
          <w:sz w:val="36"/>
          <w:szCs w:val="36"/>
          <w:highlight w:val="none"/>
          <w:u w:val="single"/>
        </w:rPr>
      </w:pPr>
      <w:r>
        <w:rPr>
          <w:rFonts w:hint="eastAsia" w:asciiTheme="minorEastAsia" w:hAnsiTheme="minorEastAsia" w:eastAsiaTheme="minorEastAsia" w:cstheme="minorEastAsia"/>
          <w:b/>
          <w:color w:val="auto"/>
          <w:sz w:val="36"/>
          <w:szCs w:val="36"/>
          <w:highlight w:val="none"/>
          <w:u w:val="single"/>
        </w:rPr>
      </w:r>
      <w:r/>
    </w:p>
    <w:p>
      <w:pPr>
        <w:pStyle w:val="868"/>
        <w:jc w:val="center"/>
        <w:spacing w:beforeAutospacing="0" w:afterAutospacing="0" w:line="0" w:lineRule="atLeast"/>
        <w:rPr>
          <w:rFonts w:hint="eastAsia" w:asciiTheme="minorEastAsia" w:hAnsiTheme="minorEastAsia" w:eastAsiaTheme="minorEastAsia" w:cstheme="minorEastAsia"/>
          <w:b/>
          <w:color w:val="auto"/>
          <w:sz w:val="36"/>
          <w:szCs w:val="36"/>
          <w:highlight w:val="none"/>
          <w:u w:val="single"/>
        </w:rPr>
      </w:pPr>
      <w:r>
        <w:rPr>
          <w:rFonts w:hint="eastAsia" w:asciiTheme="minorEastAsia" w:hAnsiTheme="minorEastAsia" w:eastAsiaTheme="minorEastAsia" w:cstheme="minorEastAsia"/>
          <w:b/>
          <w:color w:val="auto"/>
          <w:sz w:val="36"/>
          <w:szCs w:val="36"/>
          <w:highlight w:val="none"/>
          <w:u w:val="single"/>
        </w:rPr>
      </w:r>
      <w:r/>
    </w:p>
    <w:p>
      <w:pPr>
        <w:pStyle w:val="868"/>
        <w:jc w:val="center"/>
        <w:spacing w:beforeAutospacing="0" w:afterAutospacing="0" w:line="0" w:lineRule="atLeast"/>
        <w:rPr>
          <w:rFonts w:hint="eastAsia" w:asciiTheme="minorEastAsia" w:hAnsiTheme="minorEastAsia" w:eastAsiaTheme="minorEastAsia" w:cstheme="minorEastAsia"/>
          <w:b/>
          <w:color w:val="auto"/>
          <w:sz w:val="36"/>
          <w:szCs w:val="36"/>
          <w:highlight w:val="none"/>
          <w:u w:val="single"/>
        </w:rPr>
      </w:pPr>
      <w:r>
        <w:rPr>
          <w:rFonts w:hint="eastAsia" w:asciiTheme="minorEastAsia" w:hAnsiTheme="minorEastAsia" w:eastAsiaTheme="minorEastAsia" w:cstheme="minorEastAsia"/>
          <w:b/>
          <w:color w:val="auto"/>
          <w:sz w:val="36"/>
          <w:szCs w:val="36"/>
          <w:highlight w:val="none"/>
          <w:u w:val="single"/>
        </w:rPr>
      </w:r>
      <w:r/>
    </w:p>
    <w:p>
      <w:pPr>
        <w:pStyle w:val="868"/>
        <w:jc w:val="center"/>
        <w:spacing w:beforeAutospacing="0" w:afterAutospacing="0" w:line="0" w:lineRule="atLeast"/>
        <w:rPr>
          <w:rFonts w:hint="eastAsia" w:asciiTheme="minorEastAsia" w:hAnsiTheme="minorEastAsia" w:eastAsiaTheme="minorEastAsia" w:cstheme="minorEastAsia"/>
          <w:b/>
          <w:color w:val="auto"/>
          <w:sz w:val="36"/>
          <w:szCs w:val="36"/>
          <w:highlight w:val="none"/>
          <w:u w:val="single"/>
        </w:rPr>
      </w:pPr>
      <w:r>
        <w:rPr>
          <w:rFonts w:hint="eastAsia" w:asciiTheme="minorEastAsia" w:hAnsiTheme="minorEastAsia" w:eastAsiaTheme="minorEastAsia" w:cstheme="minorEastAsia"/>
          <w:b/>
          <w:color w:val="auto"/>
          <w:sz w:val="36"/>
          <w:szCs w:val="36"/>
          <w:highlight w:val="none"/>
          <w:u w:val="single"/>
        </w:rPr>
      </w:r>
      <w:r/>
    </w:p>
    <w:p>
      <w:pPr>
        <w:pStyle w:val="868"/>
        <w:jc w:val="center"/>
        <w:spacing w:beforeAutospacing="0" w:afterAutospacing="0" w:line="0" w:lineRule="atLeast"/>
        <w:rPr>
          <w:rFonts w:hint="eastAsia" w:asciiTheme="minorEastAsia" w:hAnsiTheme="minorEastAsia" w:eastAsiaTheme="minorEastAsia" w:cstheme="minorEastAsia"/>
          <w:b/>
          <w:color w:val="auto"/>
          <w:sz w:val="36"/>
          <w:szCs w:val="36"/>
          <w:highlight w:val="none"/>
          <w:u w:val="single"/>
        </w:rPr>
      </w:pPr>
      <w:r>
        <w:rPr>
          <w:rFonts w:hint="eastAsia" w:asciiTheme="minorEastAsia" w:hAnsiTheme="minorEastAsia" w:eastAsiaTheme="minorEastAsia" w:cstheme="minorEastAsia"/>
          <w:b/>
          <w:color w:val="auto"/>
          <w:sz w:val="36"/>
          <w:szCs w:val="36"/>
          <w:highlight w:val="none"/>
          <w:u w:val="single"/>
        </w:rPr>
      </w:r>
      <w:r/>
    </w:p>
    <w:p>
      <w:pPr>
        <w:pStyle w:val="868"/>
        <w:jc w:val="center"/>
        <w:spacing w:beforeAutospacing="0" w:afterAutospacing="0" w:line="0" w:lineRule="atLeast"/>
        <w:rPr>
          <w:rFonts w:hint="eastAsia" w:asciiTheme="minorEastAsia" w:hAnsiTheme="minorEastAsia" w:eastAsiaTheme="minorEastAsia" w:cstheme="minorEastAsia"/>
          <w:b/>
          <w:color w:val="auto"/>
          <w:sz w:val="36"/>
          <w:szCs w:val="36"/>
          <w:highlight w:val="none"/>
          <w:u w:val="single"/>
        </w:rPr>
      </w:pPr>
      <w:r>
        <w:rPr>
          <w:rFonts w:hint="eastAsia" w:asciiTheme="minorEastAsia" w:hAnsiTheme="minorEastAsia" w:eastAsiaTheme="minorEastAsia" w:cstheme="minorEastAsia"/>
          <w:b/>
          <w:color w:val="auto"/>
          <w:sz w:val="36"/>
          <w:szCs w:val="36"/>
          <w:highlight w:val="none"/>
          <w:u w:val="single"/>
        </w:rPr>
      </w:r>
      <w:r/>
    </w:p>
    <w:p>
      <w:pPr>
        <w:pStyle w:val="868"/>
        <w:jc w:val="center"/>
        <w:spacing w:beforeAutospacing="0" w:afterAutospacing="0" w:line="0" w:lineRule="atLeast"/>
        <w:rPr>
          <w:rFonts w:hint="eastAsia" w:asciiTheme="minorEastAsia" w:hAnsiTheme="minorEastAsia" w:eastAsiaTheme="minorEastAsia" w:cstheme="minorEastAsia"/>
          <w:b/>
          <w:color w:val="auto"/>
          <w:sz w:val="36"/>
          <w:szCs w:val="36"/>
          <w:highlight w:val="none"/>
          <w:u w:val="single"/>
        </w:rPr>
      </w:pPr>
      <w:r>
        <w:rPr>
          <w:rFonts w:hint="eastAsia" w:asciiTheme="minorEastAsia" w:hAnsiTheme="minorEastAsia" w:eastAsiaTheme="minorEastAsia" w:cstheme="minorEastAsia"/>
          <w:b/>
          <w:color w:val="auto"/>
          <w:sz w:val="36"/>
          <w:szCs w:val="36"/>
          <w:highlight w:val="none"/>
          <w:u w:val="single"/>
        </w:rPr>
      </w:r>
      <w:r/>
    </w:p>
    <w:p>
      <w:pPr>
        <w:pStyle w:val="868"/>
        <w:jc w:val="center"/>
        <w:spacing w:beforeAutospacing="0" w:afterAutospacing="0" w:line="0" w:lineRule="atLeast"/>
        <w:rPr>
          <w:rFonts w:hint="eastAsia" w:asciiTheme="minorEastAsia" w:hAnsiTheme="minorEastAsia" w:eastAsiaTheme="minorEastAsia" w:cstheme="minorEastAsia"/>
          <w:b/>
          <w:color w:val="auto"/>
          <w:sz w:val="36"/>
          <w:szCs w:val="36"/>
          <w:highlight w:val="none"/>
          <w:u w:val="single"/>
        </w:rPr>
      </w:pPr>
      <w:r>
        <w:rPr>
          <w:rFonts w:hint="eastAsia" w:asciiTheme="minorEastAsia" w:hAnsiTheme="minorEastAsia" w:eastAsiaTheme="minorEastAsia" w:cstheme="minorEastAsia"/>
          <w:b/>
          <w:color w:val="auto"/>
          <w:sz w:val="36"/>
          <w:szCs w:val="36"/>
          <w:highlight w:val="none"/>
          <w:u w:val="single"/>
        </w:rPr>
      </w:r>
      <w:r/>
    </w:p>
    <w:p>
      <w:pPr>
        <w:pStyle w:val="868"/>
        <w:jc w:val="center"/>
        <w:spacing w:beforeAutospacing="0" w:afterAutospacing="0" w:line="0" w:lineRule="atLeast"/>
        <w:rPr>
          <w:rFonts w:hint="eastAsia" w:asciiTheme="minorEastAsia" w:hAnsiTheme="minorEastAsia" w:eastAsiaTheme="minorEastAsia" w:cstheme="minorEastAsia"/>
          <w:b/>
          <w:color w:val="auto"/>
          <w:sz w:val="36"/>
          <w:szCs w:val="36"/>
          <w:highlight w:val="none"/>
          <w:u w:val="single"/>
        </w:rPr>
      </w:pPr>
      <w:r>
        <w:rPr>
          <w:rFonts w:hint="eastAsia" w:asciiTheme="minorEastAsia" w:hAnsiTheme="minorEastAsia" w:eastAsiaTheme="minorEastAsia" w:cstheme="minorEastAsia"/>
          <w:b/>
          <w:color w:val="auto"/>
          <w:sz w:val="36"/>
          <w:szCs w:val="36"/>
          <w:highlight w:val="none"/>
          <w:u w:val="single"/>
        </w:rPr>
      </w:r>
      <w:r/>
    </w:p>
    <w:p>
      <w:pPr>
        <w:pStyle w:val="868"/>
        <w:jc w:val="center"/>
        <w:spacing w:beforeAutospacing="0" w:afterAutospacing="0" w:line="0" w:lineRule="atLeast"/>
        <w:rPr>
          <w:rFonts w:hint="eastAsia" w:asciiTheme="minorEastAsia" w:hAnsiTheme="minorEastAsia" w:eastAsiaTheme="minorEastAsia" w:cstheme="minorEastAsia"/>
          <w:b/>
          <w:color w:val="auto"/>
          <w:sz w:val="36"/>
          <w:szCs w:val="36"/>
          <w:highlight w:val="none"/>
          <w:u w:val="single"/>
        </w:rPr>
      </w:pPr>
      <w:r>
        <w:rPr>
          <w:rFonts w:hint="eastAsia" w:asciiTheme="minorEastAsia" w:hAnsiTheme="minorEastAsia" w:eastAsiaTheme="minorEastAsia" w:cstheme="minorEastAsia"/>
          <w:b/>
          <w:color w:val="auto"/>
          <w:sz w:val="36"/>
          <w:szCs w:val="36"/>
          <w:highlight w:val="none"/>
          <w:u w:val="singl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投标文件目录</w:t>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left="480"/>
        <w:jc w:val="both"/>
        <w:spacing w:beforeAutospacing="0" w:afterAutospacing="0"/>
        <w:rPr>
          <w:rFonts w:hint="eastAsia" w:asciiTheme="minorEastAsia" w:hAnsiTheme="minorEastAsia" w:eastAsiaTheme="minorEastAsia" w:cstheme="minorEastAsia"/>
          <w:i/>
          <w:color w:val="auto"/>
          <w:highlight w:val="none"/>
          <w:u w:val="single"/>
        </w:rPr>
      </w:pPr>
      <w:r>
        <w:rPr>
          <w:rFonts w:hint="eastAsia" w:asciiTheme="minorEastAsia" w:hAnsiTheme="minorEastAsia" w:eastAsiaTheme="minorEastAsia" w:cstheme="minorEastAsia"/>
          <w:i/>
          <w:color w:val="auto"/>
          <w:highlight w:val="none"/>
          <w:u w:val="single"/>
        </w:rPr>
        <w:t xml:space="preserve">一、法人或者其他组织的营业执照等证明文件，自然人的身份证明</w:t>
      </w:r>
      <w:r/>
    </w:p>
    <w:p>
      <w:pPr>
        <w:pStyle w:val="868"/>
        <w:ind w:left="480"/>
        <w:jc w:val="both"/>
        <w:spacing w:beforeAutospacing="0" w:afterAutospacing="0"/>
        <w:rPr>
          <w:rFonts w:hint="eastAsia" w:asciiTheme="minorEastAsia" w:hAnsiTheme="minorEastAsia" w:eastAsiaTheme="minorEastAsia" w:cstheme="minorEastAsia"/>
          <w:i/>
          <w:color w:val="auto"/>
          <w:highlight w:val="none"/>
          <w:u w:val="single"/>
        </w:rPr>
      </w:pPr>
      <w:r>
        <w:rPr>
          <w:rFonts w:hint="eastAsia" w:asciiTheme="minorEastAsia" w:hAnsiTheme="minorEastAsia" w:eastAsiaTheme="minorEastAsia" w:cstheme="minorEastAsia"/>
          <w:i/>
          <w:color w:val="auto"/>
          <w:highlight w:val="none"/>
          <w:u w:val="single"/>
        </w:rPr>
        <w:t xml:space="preserve">二、</w:t>
      </w:r>
      <w:r>
        <w:rPr>
          <w:rFonts w:hint="eastAsia" w:asciiTheme="minorEastAsia" w:hAnsiTheme="minorEastAsia" w:eastAsiaTheme="minorEastAsia" w:cstheme="minorEastAsia"/>
          <w:i/>
          <w:color w:val="auto"/>
          <w:highlight w:val="none"/>
          <w:u w:val="single"/>
          <w:lang w:eastAsia="zh-CN"/>
        </w:rPr>
        <w:t xml:space="preserve">上一年度的财务状况报表</w:t>
      </w:r>
      <w:r>
        <w:rPr>
          <w:rFonts w:hint="eastAsia" w:asciiTheme="minorEastAsia" w:hAnsiTheme="minorEastAsia" w:eastAsiaTheme="minorEastAsia" w:cstheme="minorEastAsia"/>
          <w:i/>
          <w:color w:val="auto"/>
          <w:highlight w:val="none"/>
          <w:u w:val="single"/>
        </w:rPr>
        <w:t xml:space="preserve">（至少提供资产负债表、利润表、现金流量表，投标人成立不满一年无需提供）</w:t>
      </w:r>
      <w:r/>
    </w:p>
    <w:p>
      <w:pPr>
        <w:pStyle w:val="868"/>
        <w:ind w:left="480"/>
        <w:jc w:val="both"/>
        <w:spacing w:beforeAutospacing="0" w:afterAutospacing="0"/>
        <w:rPr>
          <w:rFonts w:hint="eastAsia" w:asciiTheme="minorEastAsia" w:hAnsiTheme="minorEastAsia" w:eastAsiaTheme="minorEastAsia" w:cstheme="minorEastAsia"/>
          <w:i/>
          <w:color w:val="auto"/>
          <w:highlight w:val="none"/>
          <w:u w:val="single"/>
        </w:rPr>
      </w:pPr>
      <w:r>
        <w:rPr>
          <w:rFonts w:hint="eastAsia" w:asciiTheme="minorEastAsia" w:hAnsiTheme="minorEastAsia" w:eastAsiaTheme="minorEastAsia" w:cstheme="minorEastAsia"/>
          <w:i/>
          <w:color w:val="auto"/>
          <w:highlight w:val="none"/>
          <w:u w:val="single"/>
        </w:rPr>
        <w:t xml:space="preserve">三、具备履行合同所必需的设备和专业技术能力的书面声明</w:t>
      </w:r>
      <w:r/>
    </w:p>
    <w:p>
      <w:pPr>
        <w:pStyle w:val="868"/>
        <w:ind w:left="480"/>
        <w:jc w:val="both"/>
        <w:spacing w:beforeAutospacing="0" w:afterAutospacing="0"/>
        <w:rPr>
          <w:rFonts w:hint="eastAsia" w:asciiTheme="minorEastAsia" w:hAnsiTheme="minorEastAsia" w:eastAsiaTheme="minorEastAsia" w:cstheme="minorEastAsia"/>
          <w:i/>
          <w:color w:val="auto"/>
          <w:highlight w:val="none"/>
          <w:u w:val="single"/>
        </w:rPr>
      </w:pPr>
      <w:r>
        <w:rPr>
          <w:rFonts w:hint="eastAsia" w:asciiTheme="minorEastAsia" w:hAnsiTheme="minorEastAsia" w:eastAsiaTheme="minorEastAsia" w:cstheme="minorEastAsia"/>
          <w:i/>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8"/>
        <w:ind w:left="480"/>
        <w:jc w:val="both"/>
        <w:spacing w:beforeAutospacing="0" w:afterAutospacing="0"/>
        <w:rPr>
          <w:rFonts w:hint="eastAsia" w:asciiTheme="minorEastAsia" w:hAnsiTheme="minorEastAsia" w:eastAsiaTheme="minorEastAsia" w:cstheme="minorEastAsia"/>
          <w:i/>
          <w:color w:val="auto"/>
          <w:highlight w:val="none"/>
          <w:u w:val="single"/>
        </w:rPr>
      </w:pPr>
      <w:r>
        <w:rPr>
          <w:rFonts w:hint="eastAsia" w:asciiTheme="minorEastAsia" w:hAnsiTheme="minorEastAsia" w:eastAsiaTheme="minorEastAsia" w:cstheme="minorEastAsia"/>
          <w:i/>
          <w:color w:val="auto"/>
          <w:highlight w:val="none"/>
          <w:u w:val="single"/>
        </w:rPr>
        <w:t xml:space="preserve">五、参加政府采购活动前 3 年内在经营活动中没有重大违法记录的书面声明</w:t>
      </w:r>
      <w:r/>
    </w:p>
    <w:p>
      <w:pPr>
        <w:pStyle w:val="868"/>
        <w:ind w:left="480"/>
        <w:jc w:val="both"/>
        <w:spacing w:beforeAutospacing="0" w:afterAutospacing="0"/>
        <w:rPr>
          <w:rFonts w:hint="eastAsia" w:asciiTheme="minorEastAsia" w:hAnsiTheme="minorEastAsia" w:eastAsiaTheme="minorEastAsia" w:cstheme="minorEastAsia"/>
          <w:i/>
          <w:color w:val="auto"/>
          <w:highlight w:val="none"/>
          <w:u w:val="single"/>
        </w:rPr>
      </w:pPr>
      <w:r>
        <w:rPr>
          <w:rFonts w:hint="eastAsia" w:asciiTheme="minorEastAsia" w:hAnsiTheme="minorEastAsia" w:eastAsiaTheme="minorEastAsia" w:cstheme="minorEastAsia"/>
          <w:i/>
          <w:color w:val="auto"/>
          <w:highlight w:val="none"/>
          <w:u w:val="single"/>
        </w:rPr>
        <w:t xml:space="preserve">六、特定资格要求的证明文件（如果本项目设置特定资格要求，则需要提供）</w:t>
      </w:r>
      <w:r/>
    </w:p>
    <w:p>
      <w:pPr>
        <w:pStyle w:val="868"/>
        <w:ind w:left="480"/>
        <w:jc w:val="both"/>
        <w:spacing w:beforeAutospacing="0" w:afterAutospacing="0"/>
        <w:rPr>
          <w:rFonts w:hint="eastAsia" w:asciiTheme="minorEastAsia" w:hAnsiTheme="minorEastAsia" w:eastAsiaTheme="minorEastAsia" w:cstheme="minorEastAsia"/>
          <w:i/>
          <w:color w:val="auto"/>
          <w:highlight w:val="none"/>
          <w:u w:val="single"/>
        </w:rPr>
      </w:pPr>
      <w:r>
        <w:rPr>
          <w:rFonts w:hint="eastAsia" w:asciiTheme="minorEastAsia" w:hAnsiTheme="minorEastAsia" w:eastAsiaTheme="minorEastAsia" w:cstheme="minorEastAsia"/>
          <w:i/>
          <w:color w:val="auto"/>
          <w:highlight w:val="none"/>
          <w:u w:val="single"/>
        </w:rPr>
        <w:t xml:space="preserve">七、法人授权书</w:t>
      </w:r>
      <w:r/>
    </w:p>
    <w:p>
      <w:pPr>
        <w:pStyle w:val="868"/>
        <w:ind w:left="480"/>
        <w:jc w:val="both"/>
        <w:spacing w:beforeAutospacing="0" w:afterAutospacing="0"/>
        <w:rPr>
          <w:rFonts w:hint="eastAsia" w:asciiTheme="minorEastAsia" w:hAnsiTheme="minorEastAsia" w:eastAsiaTheme="minorEastAsia" w:cstheme="minorEastAsia"/>
          <w:i/>
          <w:color w:val="auto"/>
          <w:highlight w:val="none"/>
          <w:u w:val="single"/>
        </w:rPr>
      </w:pPr>
      <w:r>
        <w:rPr>
          <w:rFonts w:hint="eastAsia" w:asciiTheme="minorEastAsia" w:hAnsiTheme="minorEastAsia" w:eastAsiaTheme="minorEastAsia" w:cstheme="minorEastAsia"/>
          <w:i/>
          <w:color w:val="auto"/>
          <w:highlight w:val="none"/>
          <w:u w:val="single"/>
        </w:rPr>
        <w:t xml:space="preserve">八、投标函</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九、中小企业声明函</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十、残疾人福利性单位声明函</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十一、投标分项报价表</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w:t>
      </w:r>
      <w:r>
        <w:rPr>
          <w:rFonts w:hint="eastAsia" w:asciiTheme="minorEastAsia" w:hAnsiTheme="minorEastAsia" w:eastAsiaTheme="minorEastAsia" w:cstheme="minorEastAsia"/>
          <w:color w:val="auto"/>
          <w:highlight w:val="none"/>
          <w:lang w:val="en-US" w:eastAsia="zh-CN"/>
        </w:rPr>
        <w:t xml:space="preserve">二</w:t>
      </w:r>
      <w:r>
        <w:rPr>
          <w:rFonts w:hint="eastAsia" w:asciiTheme="minorEastAsia" w:hAnsiTheme="minorEastAsia" w:eastAsiaTheme="minorEastAsia" w:cstheme="minorEastAsia"/>
          <w:color w:val="auto"/>
          <w:highlight w:val="none"/>
        </w:rPr>
        <w:t xml:space="preserve">、技术要求响应及偏离表</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w:t>
      </w:r>
      <w:r>
        <w:rPr>
          <w:rFonts w:hint="eastAsia" w:asciiTheme="minorEastAsia" w:hAnsiTheme="minorEastAsia" w:eastAsiaTheme="minorEastAsia" w:cstheme="minorEastAsia"/>
          <w:color w:val="auto"/>
          <w:highlight w:val="none"/>
          <w:lang w:val="en-US" w:eastAsia="zh-CN"/>
        </w:rPr>
        <w:t xml:space="preserve">三</w:t>
      </w:r>
      <w:r>
        <w:rPr>
          <w:rFonts w:hint="eastAsia" w:asciiTheme="minorEastAsia" w:hAnsiTheme="minorEastAsia" w:eastAsiaTheme="minorEastAsia" w:cstheme="minorEastAsia"/>
          <w:color w:val="auto"/>
          <w:highlight w:val="none"/>
        </w:rPr>
        <w:t xml:space="preserve">、商务要求响应及偏离表</w:t>
      </w:r>
      <w:r/>
    </w:p>
    <w:p>
      <w:pPr>
        <w:pStyle w:val="868"/>
        <w:ind w:left="480"/>
        <w:jc w:val="both"/>
        <w:spacing w:beforeAutospacing="0" w:afterAutospacing="0"/>
        <w:rPr>
          <w:rFonts w:hint="eastAsia" w:asciiTheme="minorEastAsia" w:hAnsiTheme="minorEastAsia" w:eastAsiaTheme="minorEastAsia" w:cstheme="minorEastAsia"/>
          <w:i/>
          <w:color w:val="auto"/>
          <w:highlight w:val="none"/>
          <w:u w:val="single"/>
        </w:rPr>
      </w:pPr>
      <w:r>
        <w:rPr>
          <w:rFonts w:hint="eastAsia" w:asciiTheme="minorEastAsia" w:hAnsiTheme="minorEastAsia" w:eastAsiaTheme="minorEastAsia" w:cstheme="minorEastAsia"/>
          <w:i/>
          <w:color w:val="auto"/>
          <w:highlight w:val="none"/>
          <w:u w:val="single"/>
        </w:rPr>
        <w:t xml:space="preserve">十</w:t>
      </w:r>
      <w:r>
        <w:rPr>
          <w:rFonts w:hint="eastAsia" w:asciiTheme="minorEastAsia" w:hAnsiTheme="minorEastAsia" w:eastAsiaTheme="minorEastAsia" w:cstheme="minorEastAsia"/>
          <w:i/>
          <w:color w:val="auto"/>
          <w:highlight w:val="none"/>
          <w:u w:val="single"/>
          <w:lang w:val="en-US" w:eastAsia="zh-CN"/>
        </w:rPr>
        <w:t xml:space="preserve">四</w:t>
      </w:r>
      <w:r>
        <w:rPr>
          <w:rFonts w:hint="eastAsia" w:asciiTheme="minorEastAsia" w:hAnsiTheme="minorEastAsia" w:eastAsiaTheme="minorEastAsia" w:cstheme="minorEastAsia"/>
          <w:i/>
          <w:color w:val="auto"/>
          <w:highlight w:val="none"/>
          <w:u w:val="single"/>
        </w:rPr>
        <w:t xml:space="preserve">、开标一览表</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十</w:t>
      </w:r>
      <w:r>
        <w:rPr>
          <w:rFonts w:hint="eastAsia" w:asciiTheme="minorEastAsia" w:hAnsiTheme="minorEastAsia" w:eastAsiaTheme="minorEastAsia" w:cstheme="minorEastAsia"/>
          <w:color w:val="auto"/>
          <w:highlight w:val="none"/>
          <w:lang w:val="en-US" w:eastAsia="zh-CN"/>
        </w:rPr>
        <w:t xml:space="preserve">五</w:t>
      </w:r>
      <w:r>
        <w:rPr>
          <w:rFonts w:hint="eastAsia" w:asciiTheme="minorEastAsia" w:hAnsiTheme="minorEastAsia" w:eastAsiaTheme="minorEastAsia" w:cstheme="minorEastAsia"/>
          <w:color w:val="auto"/>
          <w:highlight w:val="none"/>
        </w:rPr>
        <w:t xml:space="preserve">、技术方案、服务承诺、培训承诺等</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w:t>
      </w:r>
      <w:r>
        <w:rPr>
          <w:rFonts w:hint="eastAsia" w:asciiTheme="minorEastAsia" w:hAnsiTheme="minorEastAsia" w:eastAsiaTheme="minorEastAsia" w:cstheme="minorEastAsia"/>
          <w:color w:val="auto"/>
          <w:highlight w:val="none"/>
          <w:lang w:val="en-US" w:eastAsia="zh-CN"/>
        </w:rPr>
        <w:t xml:space="preserve">六</w:t>
      </w:r>
      <w:r>
        <w:rPr>
          <w:rFonts w:hint="eastAsia" w:asciiTheme="minorEastAsia" w:hAnsiTheme="minorEastAsia" w:eastAsiaTheme="minorEastAsia" w:cstheme="minorEastAsia"/>
          <w:color w:val="auto"/>
          <w:highlight w:val="none"/>
        </w:rPr>
        <w:t xml:space="preserve">、盐都区政府采购事前信用承诺书</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一、法人或者其他组织的营业执照等证明文件，自然人的身份证明</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i/>
          <w:color w:val="auto"/>
          <w:sz w:val="32"/>
          <w:szCs w:val="32"/>
          <w:highlight w:val="none"/>
          <w:u w:val="single"/>
        </w:rPr>
        <w:t xml:space="preserve">二、</w:t>
      </w:r>
      <w:r>
        <w:rPr>
          <w:rFonts w:hint="eastAsia" w:asciiTheme="minorEastAsia" w:hAnsiTheme="minorEastAsia" w:eastAsiaTheme="minorEastAsia" w:cstheme="minorEastAsia"/>
          <w:i/>
          <w:color w:val="auto"/>
          <w:sz w:val="32"/>
          <w:szCs w:val="32"/>
          <w:highlight w:val="none"/>
          <w:u w:val="single"/>
          <w:lang w:eastAsia="zh-CN"/>
        </w:rPr>
        <w:t xml:space="preserve">上一年度的财务状况报表</w:t>
      </w:r>
      <w:r/>
    </w:p>
    <w:p>
      <w:pPr>
        <w:pStyle w:val="868"/>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投标人成立不满一年不需提供</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三、具备履行合同所必需的设备和专业技术能力的书面声明</w:t>
      </w:r>
      <w:r/>
    </w:p>
    <w:p>
      <w:pPr>
        <w:pStyle w:val="868"/>
        <w:ind w:firstLine="492"/>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8"/>
        <w:ind w:firstLine="492"/>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四、依法缴纳税收和社会保障资金的相关材料</w:t>
      </w:r>
      <w:r/>
    </w:p>
    <w:p>
      <w:pPr>
        <w:pStyle w:val="868"/>
        <w:ind w:firstLine="480"/>
        <w:jc w:val="both"/>
        <w:spacing w:beforeAutospacing="0" w:afterAutospacing="0"/>
        <w:rPr>
          <w:rFonts w:hint="eastAsia" w:asciiTheme="minorEastAsia" w:hAnsiTheme="minorEastAsia" w:eastAsiaTheme="minorEastAsia" w:cstheme="minorEastAsia"/>
          <w:color w:val="auto"/>
          <w:highlight w:val="none"/>
        </w:rPr>
      </w:pPr>
      <w:r/>
      <w:bookmarkStart w:id="191" w:name="_Toc120614284"/>
      <w:r>
        <w:rPr>
          <w:rFonts w:hint="eastAsia" w:asciiTheme="minorEastAsia" w:hAnsiTheme="minorEastAsia" w:eastAsiaTheme="minorEastAsia" w:cstheme="minorEastAsia"/>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五、参加政府采购活动前 3 年内在经营活动中没有重大违法记录的书面声明</w:t>
      </w:r>
      <w:r/>
    </w:p>
    <w:p>
      <w:pPr>
        <w:pStyle w:val="868"/>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       声  明</w:t>
      </w:r>
      <w:r/>
    </w:p>
    <w:p>
      <w:pPr>
        <w:pStyle w:val="868"/>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六、特定资格要求的证明文件</w:t>
      </w:r>
      <w:r/>
    </w:p>
    <w:p>
      <w:pPr>
        <w:pStyle w:val="868"/>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如果本项目申请人的特定资格要求中要求提供的，必须提供。</w:t>
      </w:r>
      <w:r/>
    </w:p>
    <w:p>
      <w:pPr>
        <w:pStyle w:val="868"/>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pStyle w:val="868"/>
        <w:jc w:val="center"/>
        <w:spacing w:beforeAutospacing="0" w:afterAutospacing="0"/>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clear="all"/>
      </w:r>
      <w:r/>
    </w:p>
    <w:p>
      <w:pPr>
        <w:pStyle w:val="868"/>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68"/>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Times New Roman" w:hAnsi="Times New Roman"/>
          <w:color w:val="auto"/>
          <w:highlight w:val="none"/>
          <w:lang w:val="en-US" w:eastAsia="zh-CN"/>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68"/>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68"/>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68"/>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68"/>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68"/>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68"/>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r>
        <w:rPr>
          <w:rFonts w:ascii="Times New Roman" w:hAnsi="Times New Roman"/>
          <w:color w:val="auto"/>
          <w:highlight w:val="none"/>
          <w:u w:val="single"/>
        </w:rPr>
        <w:t xml:space="preserve">                                         </w:t>
      </w:r>
      <w:r/>
    </w:p>
    <w:p>
      <w:pPr>
        <w:pStyle w:val="868"/>
        <w:jc w:val="center"/>
        <w:spacing w:beforeAutospacing="0" w:afterAutospacing="0"/>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pStyle w:val="868"/>
        <w:jc w:val="center"/>
        <w:spacing w:beforeAutospacing="0" w:afterAutospacing="0"/>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pStyle w:val="868"/>
        <w:jc w:val="center"/>
        <w:spacing w:beforeAutospacing="0" w:afterAutospacing="0"/>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pStyle w:val="868"/>
        <w:jc w:val="both"/>
        <w:spacing w:beforeAutospacing="0" w:afterAutospacing="0" w:line="0" w:lineRule="atLeast"/>
        <w:rPr>
          <w:rFonts w:hint="eastAsia" w:asciiTheme="minorEastAsia" w:hAnsiTheme="minorEastAsia" w:eastAsiaTheme="minorEastAsia" w:cstheme="minorEastAsia"/>
          <w:color w:val="auto"/>
          <w:highlight w:val="none"/>
        </w:rPr>
      </w:pPr>
      <w:r/>
      <w:bookmarkStart w:id="192" w:name="_Hlt26671380"/>
      <w:r/>
      <w:bookmarkStart w:id="193" w:name="_格式3__银行出具的资信证明"/>
      <w:r/>
      <w:bookmarkStart w:id="194" w:name="_Hlt26955070"/>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firstLine="3390"/>
        <w:jc w:val="both"/>
        <w:keepLines/>
        <w:keepNext/>
        <w:spacing w:before="260" w:beforeAutospacing="0" w:after="260" w:afterAutospacing="0" w:line="415"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highlight w:val="none"/>
        </w:rPr>
        <w:br w:type="page" w:clear="all"/>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b/>
          <w:color w:val="auto"/>
          <w:sz w:val="32"/>
          <w:szCs w:val="32"/>
          <w:highlight w:val="none"/>
        </w:rPr>
        <w:t xml:space="preserve">八、投标函</w:t>
      </w:r>
      <w:r/>
    </w:p>
    <w:p>
      <w:pPr>
        <w:pStyle w:val="868"/>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致：盐城市盐都区公共资源交易中心</w:t>
      </w:r>
      <w:r/>
    </w:p>
    <w:p>
      <w:pPr>
        <w:pStyle w:val="868"/>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根据贵方的</w:t>
      </w:r>
      <w:r>
        <w:rPr>
          <w:rFonts w:hint="eastAsia" w:asciiTheme="minorEastAsia" w:hAnsi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 xml:space="preserve">号</w:t>
      </w:r>
      <w:r>
        <w:rPr>
          <w:rFonts w:hint="eastAsia" w:asciiTheme="minorEastAsia" w:hAnsiTheme="minorEastAsia" w:eastAsiaTheme="minorEastAsia" w:cstheme="minorEastAsia"/>
          <w:color w:val="auto"/>
          <w:highlight w:val="none"/>
        </w:rPr>
        <w:t xml:space="preserve">招标文件，正式授权下述签字人______(姓名)代表我方______________（投标人的名称），全权处理本次项目投标的有关事宜。</w:t>
      </w:r>
      <w:r/>
    </w:p>
    <w:p>
      <w:pPr>
        <w:pStyle w:val="868"/>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据此函，__________签字人兹宣布同意如下：</w:t>
      </w:r>
      <w:r/>
    </w:p>
    <w:p>
      <w:pPr>
        <w:pStyle w:val="868"/>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1.按招标文件规定的各项要求，向买方提供所需服务（包含与服务相关的货物）。</w:t>
      </w:r>
      <w:r/>
    </w:p>
    <w:p>
      <w:pPr>
        <w:pStyle w:val="868"/>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2.我们完全理解贵方不一定将合同授予最低报价的投标人。</w:t>
      </w:r>
      <w:r/>
    </w:p>
    <w:p>
      <w:pPr>
        <w:pStyle w:val="868"/>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3.我们已详细审核全部招标文件及其有效补充文件，我们知道必须放弃提出含糊不清或误解问题的权利。</w:t>
      </w:r>
      <w:r/>
    </w:p>
    <w:p>
      <w:pPr>
        <w:pStyle w:val="868"/>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4.我们同意从规定的开标日期起遵循本投标文件，并在规定的投标有效期期满之前均具有约束力。</w:t>
      </w:r>
      <w:r/>
    </w:p>
    <w:p>
      <w:pPr>
        <w:pStyle w:val="868"/>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5.同意向贵方提供贵方可能另外要求的与投标有关的任何证据或资料，并保证我方已提供和将要提供的文件是真实的、准确的。</w:t>
      </w:r>
      <w:r/>
    </w:p>
    <w:p>
      <w:pPr>
        <w:pStyle w:val="868"/>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6.一旦我方中标,我方将根据招标文件的规定，严格履行合同的责任和义务,并保证在招标文件规定的时间完成项目，交付买方验收、使用。</w:t>
      </w:r>
      <w:r/>
    </w:p>
    <w:p>
      <w:pPr>
        <w:pStyle w:val="868"/>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7.与本投标有关的正式通讯地址为：</w:t>
      </w:r>
      <w:r/>
    </w:p>
    <w:p>
      <w:pPr>
        <w:pStyle w:val="868"/>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          址：</w:t>
      </w:r>
      <w:r/>
    </w:p>
    <w:p>
      <w:pPr>
        <w:pStyle w:val="868"/>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          编：</w:t>
      </w:r>
      <w:r/>
    </w:p>
    <w:p>
      <w:pPr>
        <w:pStyle w:val="868"/>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电          话：</w:t>
      </w:r>
      <w:r/>
    </w:p>
    <w:p>
      <w:pPr>
        <w:pStyle w:val="868"/>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传          真：</w:t>
      </w:r>
      <w:r/>
    </w:p>
    <w:p>
      <w:pPr>
        <w:pStyle w:val="868"/>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投标人开户行：</w:t>
      </w:r>
      <w:r/>
    </w:p>
    <w:p>
      <w:pPr>
        <w:pStyle w:val="868"/>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账          号： </w:t>
      </w:r>
      <w:r/>
    </w:p>
    <w:p>
      <w:pPr>
        <w:pStyle w:val="868"/>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期：________年____月____日</w:t>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0" w:lineRule="atLeas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beforeAutospacing="0" w:afterAutospacing="0" w:line="0" w:lineRule="atLeas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
          <w:color w:val="auto"/>
          <w:sz w:val="32"/>
          <w:szCs w:val="32"/>
          <w:highlight w:val="none"/>
          <w:lang w:val="en-US" w:eastAsia="zh-CN" w:bidi="ar-SA"/>
        </w:rPr>
        <w:t xml:space="preserve">九、中小企业声明函（服务）</w:t>
      </w:r>
      <w:r/>
    </w:p>
    <w:p>
      <w:pPr>
        <w:ind w:firstLine="480"/>
        <w:jc w:val="both"/>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z w:val="24"/>
          <w:highlight w:val="none"/>
          <w:lang w:eastAsia="zh-CN"/>
        </w:rPr>
        <w:t xml:space="preserve">盐城市盐都区公共资源交易中心</w:t>
      </w:r>
      <w:r>
        <w:rPr>
          <w:rFonts w:hint="eastAsia" w:asciiTheme="minorEastAsia" w:hAnsiTheme="minorEastAsia" w:eastAsiaTheme="minorEastAsia" w:cstheme="minorEastAsia"/>
          <w:color w:val="auto"/>
          <w:sz w:val="24"/>
          <w:highlight w:val="none"/>
        </w:rPr>
        <w:t xml:space="preserve">组织的</w:t>
      </w:r>
      <w:r>
        <w:rPr>
          <w:rFonts w:hint="eastAsia" w:asciiTheme="minorEastAsia" w:hAnsiTheme="minorEastAsia" w:eastAsiaTheme="minorEastAsia" w:cstheme="minorEastAsia"/>
          <w:i/>
          <w:iCs/>
          <w:color w:val="auto"/>
          <w:sz w:val="24"/>
          <w:szCs w:val="24"/>
          <w:highlight w:val="none"/>
          <w:u w:val="single"/>
        </w:rPr>
        <w:t xml:space="preserve">（单位名称）</w:t>
      </w:r>
      <w:r>
        <w:rPr>
          <w:rFonts w:hint="eastAsia" w:asciiTheme="minorEastAsia" w:hAnsiTheme="minorEastAsia" w:eastAsiaTheme="minorEastAsia" w:cstheme="minorEastAsia"/>
          <w:color w:val="auto"/>
          <w:sz w:val="24"/>
          <w:szCs w:val="20"/>
          <w:highlight w:val="none"/>
        </w:rPr>
        <w:t xml:space="preserve">，</w:t>
      </w:r>
      <w:r>
        <w:rPr>
          <w:rFonts w:hint="eastAsia" w:asciiTheme="minorEastAsia" w:hAnsiTheme="minorEastAsia" w:eastAsiaTheme="minorEastAsia" w:cstheme="minorEastAsia"/>
          <w:color w:val="auto"/>
          <w:sz w:val="24"/>
          <w:highlight w:val="none"/>
        </w:rPr>
        <w:t xml:space="preserve">采购编号为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lang w:val="en-US" w:eastAsia="zh-CN"/>
        </w:rPr>
        <w:t xml:space="preserve">的</w:t>
      </w:r>
      <w:r>
        <w:rPr>
          <w:rFonts w:hint="eastAsia" w:asciiTheme="minorEastAsia" w:hAnsiTheme="minorEastAsia" w:eastAsiaTheme="minorEastAsia" w:cstheme="minorEastAsia"/>
          <w:i/>
          <w:iCs/>
          <w:color w:val="auto"/>
          <w:sz w:val="24"/>
          <w:highlight w:val="none"/>
          <w:u w:val="single"/>
        </w:rPr>
        <w:t xml:space="preserve">（项目名称）</w:t>
      </w:r>
      <w:r>
        <w:rPr>
          <w:rFonts w:hint="eastAsia" w:asciiTheme="minorEastAsia" w:hAnsiTheme="minorEastAsia" w:eastAsiaTheme="minorEastAsia" w:cstheme="minor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i/>
          <w:iCs/>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 ，属于</w:t>
      </w:r>
      <w:r>
        <w:rPr>
          <w:rFonts w:hint="eastAsia" w:asciiTheme="minorEastAsia" w:hAnsiTheme="minorEastAsia" w:eastAsiaTheme="minorEastAsia" w:cstheme="minorEastAsia"/>
          <w:i/>
          <w:iCs/>
          <w:color w:val="auto"/>
          <w:sz w:val="24"/>
          <w:highlight w:val="none"/>
          <w:u w:val="single"/>
        </w:rPr>
        <w:t xml:space="preserve">（采购文件中明确的所属行业）</w:t>
      </w:r>
      <w:r>
        <w:rPr>
          <w:rFonts w:hint="eastAsia" w:asciiTheme="minorEastAsia" w:hAnsiTheme="minorEastAsia" w:eastAsiaTheme="minorEastAsia" w:cstheme="minorEastAsia"/>
          <w:color w:val="auto"/>
          <w:sz w:val="24"/>
          <w:highlight w:val="none"/>
        </w:rPr>
        <w:t xml:space="preserve">；承建（承接）企业为</w:t>
      </w:r>
      <w:r>
        <w:rPr>
          <w:rFonts w:hint="eastAsia" w:asciiTheme="minorEastAsia" w:hAnsiTheme="minorEastAsia" w:eastAsiaTheme="minorEastAsia" w:cstheme="minorEastAsia"/>
          <w:i/>
          <w:iCs/>
          <w:color w:val="auto"/>
          <w:sz w:val="24"/>
          <w:highlight w:val="none"/>
          <w:u w:val="single"/>
        </w:rPr>
        <w:t xml:space="preserve">（企业名称）</w:t>
      </w:r>
      <w:r>
        <w:rPr>
          <w:rFonts w:hint="eastAsia" w:asciiTheme="minorEastAsia" w:hAnsiTheme="minorEastAsia" w:eastAsiaTheme="minorEastAsia" w:cstheme="minorEastAsia"/>
          <w:color w:val="auto"/>
          <w:sz w:val="24"/>
          <w:highlight w:val="none"/>
        </w:rPr>
        <w:t xml:space="preserve">，从业人员</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人，营业收入为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万元，资产总额为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万元，属于（</w:t>
      </w:r>
      <w:r>
        <w:rPr>
          <w:rFonts w:hint="eastAsia" w:asciiTheme="minorEastAsia" w:hAnsiTheme="minorEastAsia" w:eastAsiaTheme="minorEastAsia" w:cstheme="minorEastAsia"/>
          <w:i/>
          <w:iCs/>
          <w:color w:val="auto"/>
          <w:sz w:val="24"/>
          <w:highlight w:val="none"/>
          <w:u w:val="single"/>
        </w:rPr>
        <w:t xml:space="preserve">中型企业、小型企业、微型企业</w:t>
      </w:r>
      <w:r>
        <w:rPr>
          <w:rFonts w:hint="eastAsia" w:asciiTheme="minorEastAsia" w:hAnsiTheme="minorEastAsia" w:eastAsiaTheme="minorEastAsia" w:cstheme="minorEastAsia"/>
          <w:color w:val="auto"/>
          <w:sz w:val="24"/>
          <w:highlight w:val="none"/>
        </w:rPr>
        <w:t xml:space="preserve">）；</w:t>
      </w:r>
      <w:r/>
    </w:p>
    <w:p>
      <w:pPr>
        <w:numPr>
          <w:ilvl w:val="0"/>
          <w:numId w:val="4"/>
        </w:numPr>
        <w:ind w:left="0" w:firstLine="480"/>
        <w:jc w:val="both"/>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i/>
          <w:iCs/>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 ，属于</w:t>
      </w:r>
      <w:r>
        <w:rPr>
          <w:rFonts w:hint="eastAsia" w:asciiTheme="minorEastAsia" w:hAnsiTheme="minorEastAsia" w:eastAsiaTheme="minorEastAsia" w:cstheme="minorEastAsia"/>
          <w:i/>
          <w:iCs/>
          <w:color w:val="auto"/>
          <w:sz w:val="24"/>
          <w:highlight w:val="none"/>
          <w:u w:val="single"/>
        </w:rPr>
        <w:t xml:space="preserve">（采购文件中明确的所属行业）</w:t>
      </w:r>
      <w:r>
        <w:rPr>
          <w:rFonts w:hint="eastAsia" w:asciiTheme="minorEastAsia" w:hAnsiTheme="minorEastAsia" w:eastAsiaTheme="minorEastAsia" w:cstheme="minorEastAsia"/>
          <w:color w:val="auto"/>
          <w:sz w:val="24"/>
          <w:highlight w:val="none"/>
        </w:rPr>
        <w:t xml:space="preserve">；承建（承接）企业为</w:t>
      </w:r>
      <w:r>
        <w:rPr>
          <w:rFonts w:hint="eastAsia" w:asciiTheme="minorEastAsia" w:hAnsiTheme="minorEastAsia" w:eastAsiaTheme="minorEastAsia" w:cstheme="minorEastAsia"/>
          <w:i/>
          <w:iCs/>
          <w:color w:val="auto"/>
          <w:sz w:val="24"/>
          <w:highlight w:val="none"/>
          <w:u w:val="single"/>
        </w:rPr>
        <w:t xml:space="preserve">（企业名称）</w:t>
      </w:r>
      <w:r>
        <w:rPr>
          <w:rFonts w:hint="eastAsia" w:asciiTheme="minorEastAsia" w:hAnsiTheme="minorEastAsia" w:eastAsiaTheme="minorEastAsia" w:cstheme="minorEastAsia"/>
          <w:color w:val="auto"/>
          <w:sz w:val="24"/>
          <w:highlight w:val="none"/>
        </w:rPr>
        <w:t xml:space="preserve">，从业人员</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人，营业收入为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万元，资产总额为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万元，属于</w:t>
      </w:r>
      <w:r>
        <w:rPr>
          <w:rFonts w:hint="eastAsia" w:asciiTheme="minorEastAsia" w:hAnsiTheme="minorEastAsia" w:eastAsiaTheme="minorEastAsia" w:cstheme="minorEastAsia"/>
          <w:i/>
          <w:iCs/>
          <w:color w:val="auto"/>
          <w:sz w:val="24"/>
          <w:highlight w:val="none"/>
          <w:u w:val="single"/>
        </w:rPr>
        <w:t xml:space="preserve">（中型企业、小型企业、微型企业）</w:t>
      </w:r>
      <w:r>
        <w:rPr>
          <w:rFonts w:hint="eastAsia" w:asciiTheme="minorEastAsia" w:hAnsiTheme="minorEastAsia" w:eastAsiaTheme="minorEastAsia" w:cstheme="minorEastAsia"/>
          <w:color w:val="auto"/>
          <w:sz w:val="24"/>
          <w:highlight w:val="none"/>
        </w:rPr>
        <w:t xml:space="preserve">；</w:t>
      </w:r>
      <w:r/>
    </w:p>
    <w:p>
      <w:pPr>
        <w:numPr>
          <w:ilvl w:val="0"/>
          <w:numId w:val="0"/>
        </w:numPr>
        <w:ind w:firstLine="480"/>
        <w:jc w:val="both"/>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p>
      <w:pPr>
        <w:numPr>
          <w:ilvl w:val="0"/>
          <w:numId w:val="0"/>
        </w:numPr>
        <w:ind w:firstLine="480"/>
        <w:jc w:val="both"/>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本企业对上述声明内容的真实性负责。如有虚假，将依法承担相应责任。</w:t>
      </w:r>
      <w:r/>
    </w:p>
    <w:p>
      <w:pPr>
        <w:ind w:right="720"/>
        <w:jc w:val="both"/>
        <w:spacing w:beforeAutospacing="0" w:afterAutospacing="0" w:line="0" w:lineRule="atLeas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p>
      <w:pPr>
        <w:ind w:right="180" w:firstLine="360"/>
        <w:jc w:val="right"/>
        <w:spacing w:beforeAutospacing="0" w:afterAutospacing="0" w:line="0" w:lineRule="atLeas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企业名称（加盖CA电子公章）：</w:t>
      </w:r>
      <w:r/>
    </w:p>
    <w:p>
      <w:pPr>
        <w:ind w:right="480" w:firstLine="5400"/>
        <w:jc w:val="both"/>
        <w:spacing w:beforeAutospacing="0" w:afterAutospacing="0" w:line="0" w:lineRule="atLeas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日  期：</w:t>
      </w:r>
      <w:r/>
    </w:p>
    <w:p>
      <w:pPr>
        <w:ind w:firstLine="240"/>
        <w:jc w:val="both"/>
        <w:spacing w:beforeAutospacing="0" w:afterAutospacing="0" w:line="0" w:lineRule="atLeas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beforeAutospacing="0" w:afterAutospacing="0" w:line="0" w:lineRule="atLeas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备注2：供应商如不提供此声明函，价格将不做相应扣除（如项目全面面向中小企业，则资格审查不通过）。</w:t>
      </w:r>
      <w:r/>
    </w:p>
    <w:p>
      <w:pPr>
        <w:jc w:val="center"/>
        <w:spacing w:beforeAutospacing="0" w:afterAutospacing="0" w:line="0" w:lineRule="atLeas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b/>
          <w:color w:val="auto"/>
          <w:sz w:val="32"/>
          <w:szCs w:val="32"/>
          <w:highlight w:val="none"/>
          <w:lang w:val="en-US" w:eastAsia="zh-CN" w:bidi="ar-SA"/>
        </w:rPr>
        <w:br w:type="page" w:clear="all"/>
      </w:r>
      <w:r>
        <w:rPr>
          <w:rFonts w:hint="eastAsia" w:asciiTheme="minorEastAsia" w:hAnsiTheme="minorEastAsia" w:eastAsiaTheme="minorEastAsia" w:cstheme="minorEastAsia"/>
          <w:b/>
          <w:color w:val="000000"/>
          <w:sz w:val="32"/>
          <w:szCs w:val="32"/>
          <w:highlight w:val="none"/>
          <w:lang w:val="en-US" w:eastAsia="zh-CN" w:bidi="ar-SA"/>
        </w:rPr>
        <w:t xml:space="preserve"> 十、残疾人福利性单位声明函</w:t>
      </w:r>
      <w:r/>
    </w:p>
    <w:p>
      <w:pPr>
        <w:ind w:firstLine="480"/>
        <w:jc w:val="both"/>
        <w:spacing w:beforeAutospacing="0" w:afterAutospacing="0" w:line="0" w:lineRule="atLeas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color w:val="000000"/>
          <w:sz w:val="24"/>
          <w:szCs w:val="24"/>
          <w:highlight w:val="none"/>
          <w:u w:val="single"/>
          <w:lang w:val="en-US" w:eastAsia="zh-CN" w:bidi="ar-SA"/>
        </w:rPr>
        <w:t xml:space="preserve">       </w:t>
      </w:r>
      <w:r>
        <w:rPr>
          <w:rFonts w:hint="eastAsia" w:asciiTheme="minorEastAsia" w:hAnsiTheme="minorEastAsia" w:eastAsiaTheme="minorEastAsia" w:cstheme="minorEastAsia"/>
          <w:color w:val="000000"/>
          <w:sz w:val="24"/>
          <w:szCs w:val="24"/>
          <w:highlight w:val="none"/>
          <w:lang w:val="en-US" w:eastAsia="zh-CN" w:bidi="ar-SA"/>
        </w:rPr>
        <w:t xml:space="preserve">项目采购活动由本单位提供服务。</w:t>
      </w:r>
      <w:r/>
    </w:p>
    <w:p>
      <w:pPr>
        <w:ind w:firstLine="480"/>
        <w:jc w:val="both"/>
        <w:spacing w:beforeAutospacing="0" w:afterAutospacing="0" w:line="0" w:lineRule="atLeas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本单位对上述声明的真实性负责。如有虚假，将依法承担相应责任。</w:t>
      </w:r>
      <w:r/>
    </w:p>
    <w:p>
      <w:pPr>
        <w:ind w:firstLine="480"/>
        <w:jc w:val="both"/>
        <w:spacing w:beforeAutospacing="0" w:afterAutospacing="0" w:line="0" w:lineRule="atLeas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 </w:t>
      </w:r>
      <w:r/>
    </w:p>
    <w:p>
      <w:pPr>
        <w:ind w:firstLine="480"/>
        <w:jc w:val="both"/>
        <w:spacing w:beforeAutospacing="0" w:afterAutospacing="0" w:line="0" w:lineRule="atLeas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备注：1、供应商如不提供此声明函，价格将不做相应扣除（如项目全面面向中小企业，则资格审查不通过）。</w:t>
      </w:r>
      <w:r/>
    </w:p>
    <w:p>
      <w:pPr>
        <w:ind w:firstLine="480"/>
        <w:jc w:val="both"/>
        <w:spacing w:beforeAutospacing="0" w:afterAutospacing="0" w:line="0" w:lineRule="atLeas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2、中标人为残疾人福利单位的，此声明函将随中标结果同时公告，接受社会监督</w:t>
      </w:r>
      <w:r/>
    </w:p>
    <w:p>
      <w:pPr>
        <w:ind w:firstLine="624"/>
        <w:jc w:val="both"/>
        <w:spacing w:beforeAutospacing="0" w:afterAutospacing="0" w:line="0" w:lineRule="atLeas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 </w:t>
      </w:r>
      <w:r/>
    </w:p>
    <w:p>
      <w:pPr>
        <w:ind w:right="1560" w:firstLine="624"/>
        <w:jc w:val="center"/>
        <w:spacing w:beforeAutospacing="0" w:afterAutospacing="0" w:line="0" w:lineRule="atLeast"/>
        <w:widowControl w:val="off"/>
        <w:tabs>
          <w:tab w:val="left" w:pos="4864" w:leader="none"/>
        </w:tabs>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color w:val="000000"/>
          <w:sz w:val="30"/>
          <w:szCs w:val="30"/>
          <w:highlight w:val="none"/>
          <w:lang w:val="en-US" w:eastAsia="zh-CN" w:bidi="ar-SA"/>
        </w:rPr>
        <w:t xml:space="preserve">        </w:t>
      </w:r>
      <w:r>
        <w:rPr>
          <w:rFonts w:hint="eastAsia" w:asciiTheme="minorEastAsia" w:hAnsiTheme="minorEastAsia" w:eastAsiaTheme="minorEastAsia" w:cstheme="minorEastAsia"/>
          <w:color w:val="000000"/>
          <w:sz w:val="24"/>
          <w:szCs w:val="24"/>
          <w:highlight w:val="none"/>
          <w:lang w:val="en-US" w:eastAsia="zh-CN" w:bidi="ar-SA"/>
        </w:rPr>
        <w:t xml:space="preserve">供应商全称（加盖CA电子公章）：</w:t>
      </w:r>
      <w:r/>
    </w:p>
    <w:p>
      <w:pPr>
        <w:ind w:right="1560" w:firstLine="480"/>
        <w:jc w:val="center"/>
        <w:spacing w:beforeAutospacing="0" w:afterAutospacing="0" w:line="0" w:lineRule="atLeast"/>
        <w:widowControl w:val="off"/>
        <w:tabs>
          <w:tab w:val="left" w:pos="4864" w:leader="none"/>
        </w:tabs>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        日  期：</w:t>
      </w:r>
      <w:r/>
    </w:p>
    <w:p>
      <w:pPr>
        <w:pStyle w:val="868"/>
        <w:ind w:right="1560" w:firstLine="480"/>
        <w:jc w:val="center"/>
        <w:spacing w:beforeAutospacing="0" w:afterAutospacing="0" w:line="0" w:lineRule="atLeast"/>
        <w:tabs>
          <w:tab w:val="left" w:pos="4864"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74"/>
        <w:numPr>
          <w:ilvl w:val="0"/>
          <w:numId w:val="0"/>
        </w:num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十一</w:t>
      </w:r>
      <w:r>
        <w:rPr>
          <w:rFonts w:hint="eastAsia" w:asciiTheme="minorEastAsia" w:hAnsiTheme="minorEastAsia" w:eastAsiaTheme="minorEastAsia" w:cstheme="minorEastAsia"/>
          <w:b/>
          <w:color w:val="auto"/>
          <w:sz w:val="32"/>
          <w:szCs w:val="32"/>
          <w:highlight w:val="none"/>
          <w:lang w:val="en-US" w:eastAsia="zh-CN" w:bidi="ar-SA"/>
        </w:rPr>
        <w:t xml:space="preserve">、</w:t>
      </w:r>
      <w:r>
        <w:rPr>
          <w:rFonts w:hint="eastAsia" w:asciiTheme="minorEastAsia" w:hAnsiTheme="minorEastAsia" w:eastAsiaTheme="minorEastAsia" w:cstheme="minorEastAsia"/>
          <w:b/>
          <w:color w:val="auto"/>
          <w:sz w:val="32"/>
          <w:szCs w:val="32"/>
          <w:highlight w:val="none"/>
        </w:rPr>
        <w:t xml:space="preserve">投标分项报价表</w:t>
      </w:r>
      <w:r/>
    </w:p>
    <w:p>
      <w:pPr>
        <w:pStyle w:val="874"/>
        <w:spacing w:line="360" w:lineRule="auto"/>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项目名称：</w:t>
      </w:r>
      <w:r/>
    </w:p>
    <w:p>
      <w:pPr>
        <w:pStyle w:val="874"/>
        <w:spacing w:line="360" w:lineRule="auto"/>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投标人名称（公章）：</w:t>
      </w:r>
      <w:r/>
    </w:p>
    <w:tbl>
      <w:tblPr>
        <w:tblStyle w:val="853"/>
        <w:tblW w:w="94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75"/>
        <w:gridCol w:w="2275"/>
        <w:gridCol w:w="1214"/>
        <w:gridCol w:w="976"/>
        <w:gridCol w:w="1080"/>
        <w:gridCol w:w="1592"/>
        <w:gridCol w:w="1760"/>
      </w:tblGrid>
      <w:tr>
        <w:trPr>
          <w:jc w:val="center"/>
          <w:trHeight w:val="580"/>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标的物名称</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883"/>
                <w:lang w:val="en-US" w:eastAsia="zh-CN" w:bidi="ar"/>
              </w:rPr>
              <w:t xml:space="preserve"> 备注</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人员工资、社保、公积金等费用</w:t>
            </w:r>
            <w:r/>
          </w:p>
        </w:tc>
        <w:tc>
          <w:tcPr>
            <w:gridSpan w:val="4"/>
            <w:tcBorders>
              <w:top w:val="single" w:color="000000" w:sz="4" w:space="0"/>
              <w:left w:val="single" w:color="000000" w:sz="4" w:space="0"/>
              <w:bottom w:val="single" w:color="000000" w:sz="4" w:space="0"/>
              <w:right w:val="single" w:color="000000" w:sz="4" w:space="0"/>
            </w:tcBorders>
            <w:tcW w:w="48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Style w:val="884"/>
                <w:lang w:val="en-US" w:eastAsia="zh-CN" w:bidi="ar"/>
              </w:rPr>
              <w:t xml:space="preserve">（以下  项合计）</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 </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575"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人员工资</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人*12个月</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人员工资测算依据苏人社规〔2023〕4号《省人力资源保障厅关于调整全省最低工资标准的通知》：所有派出的服务人员工资不低于本市最新公布的最低工资标准（2260元/人/月）</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社会保险</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人*12个月</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执行省人力资源社会保障厅、省财政厅、省医疗保障局、省税务局关于发布2024年度社会保险有关基数的通知，社保（企业部分）不得低于不得低于</w:t>
            </w:r>
            <w:r>
              <w:rPr>
                <w:rFonts w:hint="eastAsia" w:ascii="宋体" w:hAnsi="宋体" w:eastAsia="宋体" w:cs="宋体"/>
                <w:i w:val="0"/>
                <w:iCs w:val="0"/>
                <w:color w:val="000000"/>
                <w:sz w:val="21"/>
                <w:szCs w:val="21"/>
                <w:highlight w:val="yellow"/>
                <w:u w:val="none"/>
                <w:lang w:val="en-US" w:eastAsia="zh-CN" w:bidi="ar"/>
              </w:rPr>
              <w:t xml:space="preserve">1279.42元/人每月</w:t>
            </w:r>
            <w:r/>
          </w:p>
        </w:tc>
      </w:tr>
      <w:tr>
        <w:trPr>
          <w:jc w:val="center"/>
          <w:trHeight w:val="980"/>
        </w:trPr>
        <w:tc>
          <w:tcPr>
            <w:tcBorders>
              <w:top w:val="single" w:color="000000" w:sz="4" w:space="0"/>
              <w:left w:val="single" w:color="000000" w:sz="4" w:space="0"/>
              <w:bottom w:val="single" w:color="auto" w:sz="4" w:space="0"/>
              <w:right w:val="single" w:color="000000" w:sz="4" w:space="0"/>
            </w:tcBorders>
            <w:tcW w:w="5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公积金</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人*12个月</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住房公积金须按不低于180.8元/人每月。</w:t>
            </w:r>
            <w:r/>
          </w:p>
        </w:tc>
      </w:tr>
      <w:tr>
        <w:trPr>
          <w:jc w:val="center"/>
          <w:trHeight w:val="720"/>
        </w:trPr>
        <w:tc>
          <w:tcPr>
            <w:tcBorders>
              <w:top w:val="single" w:color="auto" w:sz="4" w:space="0"/>
              <w:left w:val="single" w:color="000000" w:sz="4" w:space="0"/>
              <w:bottom w:val="single" w:color="000000" w:sz="4" w:space="0"/>
              <w:right w:val="single" w:color="000000" w:sz="4" w:space="0"/>
            </w:tcBorders>
            <w:tcW w:w="5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auto" w:sz="4" w:space="0"/>
              <w:left w:val="single" w:color="000000" w:sz="4" w:space="0"/>
              <w:bottom w:val="single" w:color="000000" w:sz="4" w:space="0"/>
              <w:right w:val="single" w:color="000000" w:sz="4" w:space="0"/>
            </w:tcBorders>
            <w:tcW w:w="2275"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综合管理杂费</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36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Style w:val="884"/>
                <w:lang w:val="en-US" w:eastAsia="zh-CN" w:bidi="ar"/>
              </w:rPr>
              <w:t xml:space="preserve">（以下  项合计）</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575"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服装及装备费</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人*1年</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高温补贴费</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人*1年</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left"/>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其他费用</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法定税费</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1"/>
                <w:szCs w:val="21"/>
                <w:u w:val="none"/>
                <w:lang w:val="en-US" w:eastAsia="zh-CN" w:bidi="ar"/>
              </w:rPr>
              <w:t xml:space="preserve">以上1至3项总和的6.72%（各投标人填报的税率统一按照6.72%计算）</w:t>
            </w:r>
            <w:r/>
          </w:p>
        </w:tc>
      </w:tr>
      <w:tr>
        <w:trPr>
          <w:jc w:val="center"/>
          <w:trHeight w:val="720"/>
        </w:trPr>
        <w:tc>
          <w:tcPr>
            <w:gridSpan w:val="2"/>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投标总报价（1+2+3+4）</w:t>
            </w:r>
            <w:r/>
          </w:p>
        </w:tc>
        <w:tc>
          <w:tcPr>
            <w:gridSpan w:val="5"/>
            <w:tcBorders>
              <w:top w:val="single" w:color="000000" w:sz="4" w:space="0"/>
              <w:left w:val="single" w:color="000000" w:sz="4" w:space="0"/>
              <w:bottom w:val="single" w:color="000000" w:sz="4" w:space="0"/>
              <w:right w:val="single" w:color="000000" w:sz="4" w:space="0"/>
            </w:tcBorders>
            <w:tcW w:w="6622"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70"/>
        <w:ind w:left="0" w:firstLine="0"/>
        <w:rPr>
          <w:rFonts w:hint="eastAsia"/>
        </w:rPr>
      </w:pPr>
      <w:r>
        <w:rPr>
          <w:rFonts w:hint="eastAsia"/>
        </w:rPr>
      </w:r>
      <w:r/>
    </w:p>
    <w:p>
      <w:pPr>
        <w:spacing w:line="800" w:lineRule="exact"/>
        <w:rPr>
          <w:rFonts w:hint="eastAsia" w:ascii="宋体" w:hAnsi="宋体"/>
          <w:b/>
          <w:sz w:val="24"/>
          <w:szCs w:val="24"/>
        </w:rPr>
      </w:pPr>
      <w:r>
        <w:rPr>
          <w:rFonts w:hint="eastAsia" w:ascii="宋体" w:hAnsi="宋体"/>
          <w:b/>
          <w:sz w:val="24"/>
          <w:szCs w:val="24"/>
        </w:rPr>
        <w:t xml:space="preserve">法定代表人或授权代表签字：</w:t>
      </w:r>
      <w:r/>
    </w:p>
    <w:p>
      <w:pPr>
        <w:ind w:firstLine="480"/>
        <w:jc w:val="left"/>
        <w:spacing w:line="500" w:lineRule="exact"/>
        <w:rPr>
          <w:rFonts w:hint="eastAsia" w:ascii="宋体" w:hAnsi="宋体"/>
          <w:sz w:val="24"/>
          <w:szCs w:val="24"/>
          <w:lang w:eastAsia="zh-CN"/>
        </w:rPr>
      </w:pPr>
      <w:r>
        <w:rPr>
          <w:rFonts w:hint="eastAsia" w:ascii="宋体" w:hAnsi="宋体"/>
          <w:sz w:val="24"/>
          <w:szCs w:val="24"/>
        </w:rPr>
        <w:t xml:space="preserve">注：1、报价采用总承包方式，报价应包括（但不限于）服务人员的工资、社保费、</w:t>
      </w:r>
      <w:r>
        <w:rPr>
          <w:rFonts w:hint="eastAsia" w:ascii="宋体" w:hAnsi="宋体"/>
          <w:sz w:val="24"/>
          <w:szCs w:val="24"/>
          <w:lang w:val="en-US" w:eastAsia="zh-CN"/>
        </w:rPr>
        <w:t xml:space="preserve">公积金、</w:t>
      </w:r>
      <w:r>
        <w:rPr>
          <w:rFonts w:hint="eastAsia" w:ascii="宋体" w:hAnsi="宋体"/>
          <w:sz w:val="24"/>
          <w:szCs w:val="24"/>
        </w:rPr>
        <w:t xml:space="preserve">法定税费和合理利润及清洁器具、耗材（垃圾袋、清洁剂、卫生球、洗衣粉、扫帚、抹布等）；物业办公、服装等各类费用；还应包括：管理、劳务、培训、风险、税金及政策性文件规定及其它一切相关费用等</w:t>
      </w:r>
      <w:r>
        <w:rPr>
          <w:rFonts w:hint="eastAsia" w:ascii="宋体" w:hAnsi="宋体"/>
          <w:sz w:val="24"/>
          <w:szCs w:val="24"/>
          <w:lang w:eastAsia="zh-CN"/>
        </w:rPr>
        <w:t xml:space="preserve">。</w:t>
      </w:r>
      <w:r/>
    </w:p>
    <w:p>
      <w:pPr>
        <w:pStyle w:val="855"/>
        <w:ind w:firstLine="482"/>
        <w:keepLines w:val="0"/>
        <w:keepNext w:val="0"/>
        <w:pageBreakBefore w:val="0"/>
        <w:spacing w:line="440" w:lineRule="exact"/>
        <w:widowControl w:val="off"/>
        <w:rPr>
          <w:rFonts w:hint="eastAsia" w:ascii="宋体" w:hAnsi="宋体" w:eastAsiaTheme="minorEastAsia" w:cstheme="minorBidi"/>
          <w:sz w:val="24"/>
          <w:szCs w:val="24"/>
          <w:lang w:val="en-US" w:eastAsia="zh-CN" w:bidi="ar-SA"/>
        </w:rPr>
      </w:pPr>
      <w:r>
        <w:rPr>
          <w:rFonts w:hint="eastAsia" w:ascii="宋体" w:hAnsi="宋体" w:eastAsiaTheme="minorEastAsia" w:cstheme="minorBidi"/>
          <w:sz w:val="24"/>
          <w:szCs w:val="24"/>
          <w:lang w:val="en-US" w:eastAsia="zh-CN" w:bidi="ar-SA"/>
        </w:rPr>
        <w:t xml:space="preserve">2.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pStyle w:val="874"/>
        <w:spacing w:line="360" w:lineRule="auto"/>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55"/>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8"/>
          <w:szCs w:val="28"/>
          <w:highlight w:val="none"/>
          <w:lang w:val="en-US" w:eastAsia="zh-CN" w:bidi="ar-SA"/>
        </w:rPr>
      </w:pPr>
      <w:r>
        <w:rPr>
          <w:rFonts w:hint="eastAsia" w:asciiTheme="minorEastAsia" w:hAnsiTheme="minorEastAsia" w:eastAsiaTheme="minorEastAsia" w:cstheme="minorEastAsia"/>
          <w:b/>
          <w:bCs/>
          <w:color w:val="auto"/>
          <w:sz w:val="28"/>
          <w:szCs w:val="28"/>
          <w:highlight w:val="none"/>
          <w:lang w:val="en-US" w:eastAsia="zh-CN" w:bidi="ar-SA"/>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十</w:t>
      </w:r>
      <w:r>
        <w:rPr>
          <w:rFonts w:hint="eastAsia" w:asciiTheme="minorEastAsia" w:hAnsiTheme="minorEastAsia" w:eastAsiaTheme="minorEastAsia" w:cstheme="minorEastAsia"/>
          <w:b/>
          <w:color w:val="auto"/>
          <w:sz w:val="32"/>
          <w:szCs w:val="32"/>
          <w:highlight w:val="none"/>
          <w:lang w:val="en-US" w:eastAsia="zh-CN"/>
        </w:rPr>
        <w:t xml:space="preserve">二</w:t>
      </w:r>
      <w:r>
        <w:rPr>
          <w:rFonts w:hint="eastAsia" w:asciiTheme="minorEastAsia" w:hAnsiTheme="minorEastAsia" w:eastAsiaTheme="minorEastAsia" w:cstheme="minorEastAsia"/>
          <w:b/>
          <w:color w:val="auto"/>
          <w:sz w:val="32"/>
          <w:szCs w:val="32"/>
          <w:highlight w:val="none"/>
        </w:rPr>
        <w:t xml:space="preserve">、技术要求响应及偏离表</w:t>
      </w:r>
      <w:r/>
    </w:p>
    <w:tbl>
      <w:tblPr>
        <w:tblStyle w:val="85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证明</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bl>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rPr>
          <w:rFonts w:hint="eastAsia" w:asciiTheme="minorEastAsia" w:hAnsiTheme="minorEastAsia" w:eastAsiaTheme="minorEastAsia" w:cstheme="minorEastAsia"/>
          <w:color w:val="auto"/>
          <w:highlight w:val="none"/>
        </w:rPr>
      </w:pPr>
      <w:r/>
      <w:bookmarkStart w:id="195" w:name="_Hlt26955054"/>
      <w:r>
        <w:rPr>
          <w:rFonts w:hint="eastAsia" w:asciiTheme="minorEastAsia" w:hAnsiTheme="minorEastAsia" w:eastAsiaTheme="minorEastAsia" w:cstheme="minorEastAsia"/>
          <w:b/>
          <w:color w:val="auto"/>
          <w:sz w:val="32"/>
          <w:szCs w:val="32"/>
          <w:highlight w:val="none"/>
        </w:rPr>
        <w:t xml:space="preserve">十</w:t>
      </w:r>
      <w:r>
        <w:rPr>
          <w:rFonts w:hint="eastAsia" w:asciiTheme="minorEastAsia" w:hAnsiTheme="minorEastAsia" w:eastAsiaTheme="minorEastAsia" w:cstheme="minorEastAsia"/>
          <w:b/>
          <w:color w:val="auto"/>
          <w:sz w:val="32"/>
          <w:szCs w:val="32"/>
          <w:highlight w:val="none"/>
          <w:lang w:val="en-US" w:eastAsia="zh-CN"/>
        </w:rPr>
        <w:t xml:space="preserve">三</w:t>
      </w:r>
      <w:r>
        <w:rPr>
          <w:rFonts w:hint="eastAsia" w:asciiTheme="minorEastAsia" w:hAnsiTheme="minorEastAsia" w:eastAsiaTheme="minorEastAsia" w:cstheme="minorEastAsia"/>
          <w:b/>
          <w:color w:val="auto"/>
          <w:sz w:val="32"/>
          <w:szCs w:val="32"/>
          <w:highlight w:val="none"/>
        </w:rPr>
        <w:t xml:space="preserve">、商务要求响应及偏离表</w:t>
      </w:r>
      <w:r/>
    </w:p>
    <w:tbl>
      <w:tblPr>
        <w:tblStyle w:val="85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bookmarkStart w:id="196" w:name="_Hlt26955064"/>
            <w:r/>
            <w:bookmarkStart w:id="197" w:name="_Hlt26671343"/>
            <w:r/>
            <w:bookmarkStart w:id="198" w:name="_Hlt24879081"/>
            <w:r/>
            <w:bookmarkStart w:id="199" w:name="_Hlt26609391"/>
            <w:r/>
            <w:bookmarkStart w:id="200" w:name="_Hlt26671372"/>
            <w:r/>
            <w:bookmarkStart w:id="201" w:name="_Hlt26782999"/>
            <w:r/>
            <w:bookmarkStart w:id="202" w:name="_Hlt26955056"/>
            <w:r/>
            <w:bookmarkStart w:id="203" w:name="_Hlt26580838"/>
            <w:r>
              <w:rPr>
                <w:rFonts w:hint="eastAsia" w:asciiTheme="minorEastAsia" w:hAnsiTheme="minorEastAsia" w:eastAsiaTheme="minorEastAsia" w:cstheme="minorEastAsia"/>
                <w:color w:val="auto"/>
                <w:highlight w:val="none"/>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证明</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bl>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pStyle w:val="868"/>
        <w:jc w:val="both"/>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center"/>
        <w:spacing w:beforeAutospacing="0" w:afterAutospacing="0"/>
        <w:rPr>
          <w:rFonts w:hint="eastAsia" w:asciiTheme="minorEastAsia" w:hAnsiTheme="minorEastAsia" w:eastAsiaTheme="minorEastAsia" w:cstheme="minorEastAsia"/>
          <w:color w:val="auto"/>
          <w:highlight w:val="none"/>
        </w:rPr>
      </w:pPr>
      <w:r/>
      <w:bookmarkStart w:id="204" w:name="_Hlt26671374"/>
      <w:r/>
      <w:bookmarkStart w:id="205" w:name="_Toc462564146"/>
      <w:r/>
      <w:bookmarkStart w:id="206" w:name="_Hlt26609389"/>
      <w:r/>
      <w:bookmarkStart w:id="207" w:name="_格式2__法定代表人授权书"/>
      <w:r/>
      <w:bookmarkStart w:id="208" w:name="_Hlt26955066"/>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clear="all"/>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i/>
          <w:color w:val="auto"/>
          <w:sz w:val="32"/>
          <w:szCs w:val="32"/>
          <w:highlight w:val="none"/>
          <w:u w:val="single"/>
        </w:rPr>
        <w:t xml:space="preserve">十</w:t>
      </w:r>
      <w:r>
        <w:rPr>
          <w:rFonts w:hint="eastAsia" w:asciiTheme="minorEastAsia" w:hAnsiTheme="minorEastAsia" w:eastAsiaTheme="minorEastAsia" w:cstheme="minorEastAsia"/>
          <w:b/>
          <w:i/>
          <w:color w:val="auto"/>
          <w:sz w:val="32"/>
          <w:szCs w:val="32"/>
          <w:highlight w:val="none"/>
          <w:u w:val="single"/>
          <w:lang w:val="en-US" w:eastAsia="zh-CN"/>
        </w:rPr>
        <w:t xml:space="preserve">四</w:t>
      </w:r>
      <w:r>
        <w:rPr>
          <w:rFonts w:hint="eastAsia" w:asciiTheme="minorEastAsia" w:hAnsiTheme="minorEastAsia" w:eastAsiaTheme="minorEastAsia" w:cstheme="minorEastAsia"/>
          <w:b/>
          <w:i/>
          <w:color w:val="auto"/>
          <w:sz w:val="32"/>
          <w:szCs w:val="32"/>
          <w:highlight w:val="none"/>
          <w:u w:val="single"/>
        </w:rPr>
        <w:t xml:space="preserve">、开标一览表</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投标人全称（加盖CA电子签章）：</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项目编号</w:t>
      </w:r>
      <w:r>
        <w:rPr>
          <w:rFonts w:hint="eastAsia" w:asciiTheme="minorEastAsia" w:hAnsiTheme="minorEastAsia" w:eastAsiaTheme="minorEastAsia" w:cstheme="minorEastAsia"/>
          <w:color w:val="auto"/>
          <w:highlight w:val="none"/>
        </w:rPr>
        <w:t xml:space="preserve">：</w:t>
      </w:r>
      <w:r/>
    </w:p>
    <w:tbl>
      <w:tblPr>
        <w:tblStyle w:val="85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w:t>
      </w:r>
      <w:r>
        <w:rPr>
          <w:rFonts w:hint="eastAsia" w:asciiTheme="minorEastAsia" w:hAnsiTheme="minorEastAsia" w:eastAsiaTheme="minorEastAsia" w:cstheme="minorEastAsia"/>
          <w:color w:val="auto"/>
          <w:highlight w:val="none"/>
          <w:lang w:val="en-US" w:eastAsia="zh-CN"/>
        </w:rPr>
        <w:t xml:space="preserve">公章</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（电子签章）</w:t>
      </w:r>
      <w:r/>
    </w:p>
    <w:p>
      <w:pPr>
        <w:pStyle w:val="868"/>
        <w:jc w:val="right"/>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日期：</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月</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日</w:t>
      </w:r>
      <w:r/>
    </w:p>
    <w:p>
      <w:pPr>
        <w:pStyle w:val="868"/>
        <w:ind w:firstLine="48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b/>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jc w:val="center"/>
        <w:spacing w:before="50" w:after="50"/>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xml:space="preserve">十</w:t>
      </w:r>
      <w:r>
        <w:rPr>
          <w:rFonts w:hint="eastAsia" w:asciiTheme="minorEastAsia" w:hAnsiTheme="minorEastAsia" w:eastAsiaTheme="minorEastAsia" w:cstheme="minorEastAsia"/>
          <w:color w:val="auto"/>
          <w:sz w:val="32"/>
          <w:szCs w:val="32"/>
          <w:highlight w:val="none"/>
          <w:lang w:val="en-US" w:eastAsia="zh-CN"/>
        </w:rPr>
        <w:t xml:space="preserve">五</w:t>
      </w:r>
      <w:r>
        <w:rPr>
          <w:rFonts w:hint="eastAsia" w:asciiTheme="minorEastAsia" w:hAnsiTheme="minorEastAsia" w:eastAsiaTheme="minorEastAsia" w:cstheme="minorEastAsia"/>
          <w:color w:val="auto"/>
          <w:sz w:val="32"/>
          <w:szCs w:val="32"/>
          <w:highlight w:val="none"/>
        </w:rPr>
        <w:t xml:space="preserve">、技术方案、服务承诺、培训承诺等</w:t>
      </w:r>
      <w:r/>
    </w:p>
    <w:p>
      <w:pPr>
        <w:pStyle w:val="868"/>
        <w:jc w:val="both"/>
        <w:spacing w:beforeAutospacing="0" w:afterAutospacing="0"/>
        <w:tabs>
          <w:tab w:val="left" w:pos="21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ind w:firstLine="1600"/>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xml:space="preserve">十</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、盐都区政府采购事前信用承诺书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xml:space="preserve"> </w:t>
      </w:r>
      <w:r/>
    </w:p>
    <w:p>
      <w:pPr>
        <w:ind w:firstLine="4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（六）自觉接受政府、行业组织、社会公众、新闻舆论的监督；</w:t>
      </w:r>
      <w:r/>
    </w:p>
    <w:p>
      <w:pPr>
        <w:ind w:firstLine="4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（八）本人已认真阅读了上述承诺，并向本单位员工作了宣传教育。</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法定代表人签名：</w:t>
      </w:r>
      <w:r/>
    </w:p>
    <w:p>
      <w:pPr>
        <w:jc w:val="center"/>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单位名称（盖章）：</w:t>
      </w:r>
      <w:r/>
    </w:p>
    <w:p>
      <w:pPr>
        <w:jc w:val="center"/>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年月日</w:t>
      </w:r>
      <w:r/>
    </w:p>
    <w:p>
      <w:pPr>
        <w:pStyle w:val="868"/>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bookmarkEnd w:id="6"/>
      <w:r/>
      <w:bookmarkEnd w:id="47"/>
      <w:r/>
      <w:bookmarkEnd w:id="92"/>
      <w:r/>
      <w:bookmarkEnd w:id="93"/>
      <w:r/>
      <w:bookmarkEnd w:id="94"/>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4"/>
      <w:r/>
      <w:bookmarkEnd w:id="115"/>
      <w:r/>
      <w:bookmarkEnd w:id="116"/>
      <w:r/>
      <w:bookmarkEnd w:id="121"/>
      <w:r/>
      <w:bookmarkEnd w:id="122"/>
      <w:r/>
      <w:bookmarkEnd w:id="129"/>
      <w:r/>
      <w:bookmarkEnd w:id="184"/>
      <w:r/>
      <w:bookmarkEnd w:id="185"/>
      <w:r/>
      <w:bookmarkEnd w:id="189"/>
      <w:r/>
      <w:bookmarkEnd w:id="190"/>
      <w:r/>
      <w:bookmarkEnd w:id="192"/>
      <w:r/>
      <w:bookmarkEnd w:id="193"/>
      <w:r/>
      <w:bookmarkEnd w:id="194"/>
      <w:r/>
      <w:bookmarkEnd w:id="195"/>
      <w:r/>
      <w:bookmarkEnd w:id="204"/>
      <w:r/>
      <w:bookmarkEnd w:id="205"/>
      <w:r/>
      <w:bookmarkEnd w:id="206"/>
      <w:r/>
      <w:bookmarkEnd w:id="207"/>
      <w:r/>
      <w:bookmarkEnd w:id="208"/>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8"/>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质疑函范本</w:t>
      </w:r>
      <w:r/>
    </w:p>
    <w:p>
      <w:pPr>
        <w:pStyle w:val="868"/>
        <w:jc w:val="both"/>
        <w:spacing w:before="290"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一、质疑供应商基本信息</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质疑供应商：</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联系人：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授权代表：</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二、质疑项目基本情况</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质疑项目的名称：</w:t>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质疑项目的编号：</w:t>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采购人名称：</w:t>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采购文件获取日期：</w:t>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三、质疑事项具体内容</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质疑事项1：</w:t>
      </w:r>
      <w:r>
        <w:rPr>
          <w:rFonts w:hint="eastAsia" w:asciiTheme="minorEastAsia" w:hAnsiTheme="minorEastAsia" w:eastAsiaTheme="minorEastAsia" w:cstheme="minorEastAsia"/>
          <w:color w:val="auto"/>
          <w:highlight w:val="none"/>
          <w:u w:val="single"/>
        </w:rPr>
        <w:t xml:space="preserve">                             </w:t>
      </w:r>
      <w:r/>
    </w:p>
    <w:p>
      <w:pPr>
        <w:pStyle w:val="868"/>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事实依据：</w:t>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法律依据：</w:t>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质疑事项2</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四、与质疑事项相关的质疑请求</w:t>
      </w:r>
      <w:r/>
    </w:p>
    <w:p>
      <w:pPr>
        <w:pStyle w:val="868"/>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请求：</w:t>
      </w:r>
      <w:r>
        <w:rPr>
          <w:rFonts w:hint="eastAsia" w:asciiTheme="minorEastAsia" w:hAnsiTheme="minorEastAsia" w:eastAsiaTheme="minorEastAsia" w:cstheme="minorEastAsia"/>
          <w:color w:val="auto"/>
          <w:highlight w:val="none"/>
          <w:u w:val="single"/>
        </w:rPr>
        <w:t xml:space="preserve">                                                          </w:t>
      </w:r>
      <w:r/>
    </w:p>
    <w:p>
      <w:pPr>
        <w:pStyle w:val="868"/>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r/>
    </w:p>
    <w:p>
      <w:pPr>
        <w:pStyle w:val="868"/>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质疑函制作说明：</w:t>
      </w:r>
      <w:r/>
    </w:p>
    <w:p>
      <w:pPr>
        <w:pStyle w:val="868"/>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1.供应商提出质疑时，应提交质疑函和必要的证明材料。</w:t>
      </w:r>
      <w:r/>
    </w:p>
    <w:p>
      <w:pPr>
        <w:pStyle w:val="868"/>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8"/>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3.质疑供应商若对项目的某一分包进行质疑，质疑函中应列明具体分包号。</w:t>
      </w:r>
      <w:r/>
    </w:p>
    <w:p>
      <w:pPr>
        <w:pStyle w:val="868"/>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4.质疑函的质疑事项应具体、明确，并有必要的事实依据和法律依据。</w:t>
      </w:r>
      <w:r/>
    </w:p>
    <w:p>
      <w:pPr>
        <w:pStyle w:val="868"/>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5.质疑函的质疑请求应与质疑事项相关。</w:t>
      </w:r>
      <w:r/>
    </w:p>
    <w:p>
      <w:pPr>
        <w:pStyle w:val="868"/>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8"/>
        <w:ind w:firstLine="42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0"/>
    <w:next w:val="850"/>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2"/>
    <w:link w:val="677"/>
    <w:uiPriority w:val="9"/>
    <w:rPr>
      <w:rFonts w:ascii="Arial" w:hAnsi="Arial" w:eastAsia="Arial" w:cs="Arial"/>
      <w:sz w:val="40"/>
      <w:szCs w:val="40"/>
    </w:rPr>
  </w:style>
  <w:style w:type="character" w:styleId="679">
    <w:name w:val="Heading 2 Char"/>
    <w:basedOn w:val="852"/>
    <w:link w:val="851"/>
    <w:uiPriority w:val="9"/>
    <w:rPr>
      <w:rFonts w:ascii="Arial" w:hAnsi="Arial" w:eastAsia="Arial" w:cs="Arial"/>
      <w:sz w:val="34"/>
    </w:rPr>
  </w:style>
  <w:style w:type="paragraph" w:styleId="680">
    <w:name w:val="Heading 3"/>
    <w:basedOn w:val="850"/>
    <w:next w:val="850"/>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2"/>
    <w:link w:val="680"/>
    <w:uiPriority w:val="9"/>
    <w:rPr>
      <w:rFonts w:ascii="Arial" w:hAnsi="Arial" w:eastAsia="Arial" w:cs="Arial"/>
      <w:sz w:val="30"/>
      <w:szCs w:val="30"/>
    </w:rPr>
  </w:style>
  <w:style w:type="paragraph" w:styleId="682">
    <w:name w:val="Heading 4"/>
    <w:basedOn w:val="850"/>
    <w:next w:val="850"/>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2"/>
    <w:link w:val="682"/>
    <w:uiPriority w:val="9"/>
    <w:rPr>
      <w:rFonts w:ascii="Arial" w:hAnsi="Arial" w:eastAsia="Arial" w:cs="Arial"/>
      <w:b/>
      <w:bCs/>
      <w:sz w:val="26"/>
      <w:szCs w:val="26"/>
    </w:rPr>
  </w:style>
  <w:style w:type="paragraph" w:styleId="684">
    <w:name w:val="Heading 5"/>
    <w:basedOn w:val="850"/>
    <w:next w:val="850"/>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2"/>
    <w:link w:val="684"/>
    <w:uiPriority w:val="9"/>
    <w:rPr>
      <w:rFonts w:ascii="Arial" w:hAnsi="Arial" w:eastAsia="Arial" w:cs="Arial"/>
      <w:b/>
      <w:bCs/>
      <w:sz w:val="24"/>
      <w:szCs w:val="24"/>
    </w:rPr>
  </w:style>
  <w:style w:type="paragraph" w:styleId="686">
    <w:name w:val="Heading 6"/>
    <w:basedOn w:val="850"/>
    <w:next w:val="850"/>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2"/>
    <w:link w:val="686"/>
    <w:uiPriority w:val="9"/>
    <w:rPr>
      <w:rFonts w:ascii="Arial" w:hAnsi="Arial" w:eastAsia="Arial" w:cs="Arial"/>
      <w:b/>
      <w:bCs/>
      <w:sz w:val="22"/>
      <w:szCs w:val="22"/>
    </w:rPr>
  </w:style>
  <w:style w:type="paragraph" w:styleId="688">
    <w:name w:val="Heading 7"/>
    <w:basedOn w:val="850"/>
    <w:next w:val="850"/>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2"/>
    <w:link w:val="688"/>
    <w:uiPriority w:val="9"/>
    <w:rPr>
      <w:rFonts w:ascii="Arial" w:hAnsi="Arial" w:eastAsia="Arial" w:cs="Arial"/>
      <w:b/>
      <w:bCs/>
      <w:i/>
      <w:iCs/>
      <w:sz w:val="22"/>
      <w:szCs w:val="22"/>
    </w:rPr>
  </w:style>
  <w:style w:type="paragraph" w:styleId="690">
    <w:name w:val="Heading 8"/>
    <w:basedOn w:val="850"/>
    <w:next w:val="850"/>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2"/>
    <w:link w:val="690"/>
    <w:uiPriority w:val="9"/>
    <w:rPr>
      <w:rFonts w:ascii="Arial" w:hAnsi="Arial" w:eastAsia="Arial" w:cs="Arial"/>
      <w:i/>
      <w:iCs/>
      <w:sz w:val="22"/>
      <w:szCs w:val="22"/>
    </w:rPr>
  </w:style>
  <w:style w:type="paragraph" w:styleId="692">
    <w:name w:val="Heading 9"/>
    <w:basedOn w:val="850"/>
    <w:next w:val="850"/>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2"/>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50"/>
    <w:next w:val="850"/>
    <w:link w:val="696"/>
    <w:uiPriority w:val="10"/>
    <w:qFormat/>
    <w:pPr>
      <w:contextualSpacing/>
      <w:spacing w:before="300" w:after="200"/>
    </w:pPr>
    <w:rPr>
      <w:sz w:val="48"/>
      <w:szCs w:val="48"/>
    </w:rPr>
  </w:style>
  <w:style w:type="character" w:styleId="696">
    <w:name w:val="Title Char"/>
    <w:basedOn w:val="852"/>
    <w:link w:val="695"/>
    <w:uiPriority w:val="10"/>
    <w:rPr>
      <w:sz w:val="48"/>
      <w:szCs w:val="48"/>
    </w:rPr>
  </w:style>
  <w:style w:type="paragraph" w:styleId="697">
    <w:name w:val="Subtitle"/>
    <w:basedOn w:val="850"/>
    <w:next w:val="850"/>
    <w:link w:val="698"/>
    <w:uiPriority w:val="11"/>
    <w:qFormat/>
    <w:pPr>
      <w:spacing w:before="200" w:after="200"/>
    </w:pPr>
    <w:rPr>
      <w:sz w:val="24"/>
      <w:szCs w:val="24"/>
    </w:rPr>
  </w:style>
  <w:style w:type="character" w:styleId="698">
    <w:name w:val="Subtitle Char"/>
    <w:basedOn w:val="852"/>
    <w:link w:val="697"/>
    <w:uiPriority w:val="11"/>
    <w:rPr>
      <w:sz w:val="24"/>
      <w:szCs w:val="24"/>
    </w:rPr>
  </w:style>
  <w:style w:type="paragraph" w:styleId="699">
    <w:name w:val="Quote"/>
    <w:basedOn w:val="850"/>
    <w:next w:val="850"/>
    <w:link w:val="700"/>
    <w:uiPriority w:val="29"/>
    <w:qFormat/>
    <w:pPr>
      <w:ind w:left="720" w:right="720"/>
    </w:pPr>
    <w:rPr>
      <w:i/>
    </w:rPr>
  </w:style>
  <w:style w:type="character" w:styleId="700">
    <w:name w:val="Quote Char"/>
    <w:link w:val="699"/>
    <w:uiPriority w:val="29"/>
    <w:rPr>
      <w:i/>
    </w:rPr>
  </w:style>
  <w:style w:type="paragraph" w:styleId="701">
    <w:name w:val="Intense Quote"/>
    <w:basedOn w:val="850"/>
    <w:next w:val="850"/>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2"/>
    <w:link w:val="865"/>
    <w:uiPriority w:val="99"/>
  </w:style>
  <w:style w:type="character" w:styleId="704">
    <w:name w:val="Footer Char"/>
    <w:basedOn w:val="852"/>
    <w:link w:val="864"/>
    <w:uiPriority w:val="99"/>
  </w:style>
  <w:style w:type="paragraph" w:styleId="705">
    <w:name w:val="Caption"/>
    <w:basedOn w:val="850"/>
    <w:next w:val="850"/>
    <w:uiPriority w:val="35"/>
    <w:semiHidden/>
    <w:unhideWhenUsed/>
    <w:qFormat/>
    <w:pPr>
      <w:spacing w:line="276" w:lineRule="auto"/>
    </w:pPr>
    <w:rPr>
      <w:b/>
      <w:bCs/>
      <w:color w:val="4f81bd" w:themeColor="accent1"/>
      <w:sz w:val="18"/>
      <w:szCs w:val="18"/>
    </w:rPr>
  </w:style>
  <w:style w:type="character" w:styleId="706">
    <w:name w:val="Caption Char"/>
    <w:basedOn w:val="705"/>
    <w:link w:val="864"/>
    <w:uiPriority w:val="99"/>
  </w:style>
  <w:style w:type="table" w:styleId="707">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3">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4">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5">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6">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7">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8">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5">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8">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9">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0">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1">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2">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3">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6">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7">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8">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9">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0">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9">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0">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1">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2">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3">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4">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6">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7">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8">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9">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0">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1">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3">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7">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2"/>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2"/>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1">
    <w:name w:val="Heading 2"/>
    <w:basedOn w:val="850"/>
    <w:next w:val="85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customStyle="1">
    <w:name w:val="正文缩进1"/>
    <w:basedOn w:val="850"/>
    <w:uiPriority w:val="0"/>
    <w:qFormat/>
    <w:pPr>
      <w:ind w:firstLine="420"/>
    </w:pPr>
    <w:rPr>
      <w:szCs w:val="21"/>
    </w:rPr>
  </w:style>
  <w:style w:type="paragraph" w:styleId="855">
    <w:name w:val="Normal Indent"/>
    <w:basedOn w:val="850"/>
    <w:uiPriority w:val="0"/>
    <w:unhideWhenUsed/>
    <w:qFormat/>
    <w:pPr>
      <w:ind w:firstLine="420"/>
    </w:pPr>
  </w:style>
  <w:style w:type="paragraph" w:styleId="856">
    <w:name w:val="Body Text"/>
    <w:basedOn w:val="850"/>
    <w:next w:val="857"/>
    <w:uiPriority w:val="99"/>
    <w:qFormat/>
    <w:rPr>
      <w:rFonts w:ascii="楷体_GB2312" w:hAnsi="Arial" w:eastAsia="楷体_GB2312"/>
      <w:sz w:val="28"/>
      <w:szCs w:val="28"/>
    </w:rPr>
  </w:style>
  <w:style w:type="paragraph" w:styleId="857" w:customStyle="1">
    <w:name w:val="一级条标题"/>
    <w:basedOn w:val="858"/>
    <w:next w:val="8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5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9" w:customStyle="1">
    <w:name w:val="段"/>
    <w:next w:val="860"/>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60" w:customStyle="1">
    <w:name w:val="正文 A"/>
    <w:next w:val="859"/>
    <w:uiPriority w:val="0"/>
    <w:qFormat/>
    <w:pPr>
      <w:jc w:val="both"/>
      <w:widowControl w:val="off"/>
    </w:pPr>
    <w:rPr>
      <w:rFonts w:ascii="Calibri" w:hAnsi="Calibri" w:eastAsia="Calibri" w:cs="Calibri"/>
      <w:color w:val="000000"/>
      <w:sz w:val="21"/>
      <w:szCs w:val="21"/>
      <w:lang w:val="en-US" w:eastAsia="zh-CN" w:bidi="ar-SA"/>
    </w:rPr>
  </w:style>
  <w:style w:type="paragraph" w:styleId="861">
    <w:name w:val="Body Text Indent"/>
    <w:basedOn w:val="850"/>
    <w:next w:val="862"/>
    <w:uiPriority w:val="0"/>
    <w:qFormat/>
    <w:pPr>
      <w:ind w:firstLine="645"/>
    </w:pPr>
    <w:rPr>
      <w:rFonts w:ascii="楷体_GB2312" w:eastAsia="楷体_GB2312"/>
      <w:sz w:val="32"/>
      <w:szCs w:val="32"/>
    </w:rPr>
  </w:style>
  <w:style w:type="paragraph" w:styleId="862">
    <w:name w:val="envelope return"/>
    <w:basedOn w:val="850"/>
    <w:uiPriority w:val="0"/>
    <w:qFormat/>
    <w:rPr>
      <w:rFonts w:ascii="Arial" w:hAnsi="Arial"/>
    </w:rPr>
  </w:style>
  <w:style w:type="paragraph" w:styleId="863">
    <w:name w:val="Plain Text"/>
    <w:basedOn w:val="850"/>
    <w:next w:val="850"/>
    <w:uiPriority w:val="99"/>
    <w:qFormat/>
    <w:rPr>
      <w:rFonts w:ascii="宋体" w:hAnsi="Courier New" w:cs="Courier New"/>
    </w:rPr>
  </w:style>
  <w:style w:type="paragraph" w:styleId="864">
    <w:name w:val="Footer"/>
    <w:basedOn w:val="850"/>
    <w:link w:val="876"/>
    <w:uiPriority w:val="0"/>
    <w:qFormat/>
    <w:pPr>
      <w:jc w:val="left"/>
      <w:tabs>
        <w:tab w:val="center" w:pos="4153" w:leader="none"/>
        <w:tab w:val="right" w:pos="8306" w:leader="none"/>
      </w:tabs>
    </w:pPr>
    <w:rPr>
      <w:sz w:val="18"/>
      <w:szCs w:val="18"/>
    </w:rPr>
  </w:style>
  <w:style w:type="paragraph" w:styleId="865">
    <w:name w:val="Header"/>
    <w:basedOn w:val="850"/>
    <w:link w:val="875"/>
    <w:uiPriority w:val="0"/>
    <w:qFormat/>
    <w:pPr>
      <w:jc w:val="center"/>
      <w:tabs>
        <w:tab w:val="center" w:pos="4153" w:leader="none"/>
        <w:tab w:val="right" w:pos="8306" w:leader="none"/>
      </w:tabs>
      <w:pBdr>
        <w:bottom w:val="single" w:color="auto" w:sz="6" w:space="1"/>
      </w:pBdr>
    </w:pPr>
    <w:rPr>
      <w:sz w:val="18"/>
      <w:szCs w:val="18"/>
    </w:rPr>
  </w:style>
  <w:style w:type="paragraph" w:styleId="866">
    <w:name w:val="Body Text Indent 3"/>
    <w:basedOn w:val="850"/>
    <w:uiPriority w:val="0"/>
    <w:qFormat/>
    <w:pPr>
      <w:ind w:left="645" w:firstLine="645"/>
    </w:pPr>
    <w:rPr>
      <w:rFonts w:ascii="Arial" w:hAnsi="Arial" w:eastAsia="仿宋_GB2312" w:cs="Arial"/>
      <w:color w:val="ffff00"/>
      <w:sz w:val="32"/>
      <w:szCs w:val="32"/>
    </w:rPr>
  </w:style>
  <w:style w:type="paragraph" w:styleId="867">
    <w:name w:val="HTML Preformatted"/>
    <w:basedOn w:val="8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868">
    <w:name w:val="Normal (Web)"/>
    <w:basedOn w:val="850"/>
    <w:uiPriority w:val="0"/>
    <w:qFormat/>
    <w:pPr>
      <w:jc w:val="left"/>
      <w:spacing w:beforeAutospacing="1" w:afterAutospacing="1"/>
    </w:pPr>
    <w:rPr>
      <w:rFonts w:cs="Times New Roman"/>
      <w:sz w:val="24"/>
    </w:rPr>
  </w:style>
  <w:style w:type="paragraph" w:styleId="869">
    <w:name w:val="Body Text First Indent"/>
    <w:basedOn w:val="850"/>
    <w:next w:val="850"/>
    <w:uiPriority w:val="99"/>
    <w:unhideWhenUsed/>
    <w:qFormat/>
    <w:pPr>
      <w:ind w:firstLine="420"/>
    </w:pPr>
    <w:rPr>
      <w:rFonts w:ascii="Times New Roman" w:hAnsi="Times New Roman" w:eastAsia="宋体" w:cs="Times New Roman"/>
    </w:rPr>
  </w:style>
  <w:style w:type="paragraph" w:styleId="870">
    <w:name w:val="Body Text First Indent 2"/>
    <w:basedOn w:val="861"/>
    <w:uiPriority w:val="0"/>
    <w:qFormat/>
    <w:pPr>
      <w:ind w:firstLine="420"/>
      <w:spacing w:line="360" w:lineRule="auto"/>
    </w:pPr>
    <w:rPr>
      <w:rFonts w:ascii="宋体" w:hAnsi="宋体" w:eastAsia="宋体"/>
      <w:sz w:val="21"/>
      <w:szCs w:val="20"/>
    </w:rPr>
  </w:style>
  <w:style w:type="table" w:styleId="871">
    <w:name w:val="Table Grid"/>
    <w:basedOn w:val="8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2"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873" w:customStyle="1">
    <w:name w:val="4"/>
    <w:basedOn w:val="850"/>
    <w:next w:val="866"/>
    <w:uiPriority w:val="0"/>
    <w:qFormat/>
    <w:pPr>
      <w:ind w:firstLine="420"/>
      <w:spacing w:line="360" w:lineRule="auto"/>
    </w:pPr>
    <w:rPr>
      <w:color w:val="ff0000"/>
      <w:sz w:val="24"/>
    </w:rPr>
  </w:style>
  <w:style w:type="paragraph" w:styleId="874" w:customStyle="1">
    <w:name w:val="纯文本1"/>
    <w:basedOn w:val="850"/>
    <w:uiPriority w:val="0"/>
    <w:qFormat/>
    <w:rPr>
      <w:rFonts w:ascii="宋体" w:hAnsi="Courier New" w:eastAsia="楷体_GB2312"/>
      <w:sz w:val="28"/>
      <w:szCs w:val="20"/>
    </w:rPr>
  </w:style>
  <w:style w:type="character" w:styleId="875" w:customStyle="1">
    <w:name w:val="页眉 Char"/>
    <w:basedOn w:val="852"/>
    <w:link w:val="865"/>
    <w:uiPriority w:val="0"/>
    <w:qFormat/>
    <w:rPr>
      <w:sz w:val="18"/>
      <w:szCs w:val="18"/>
    </w:rPr>
  </w:style>
  <w:style w:type="character" w:styleId="876" w:customStyle="1">
    <w:name w:val="页脚 Char"/>
    <w:basedOn w:val="852"/>
    <w:link w:val="864"/>
    <w:uiPriority w:val="0"/>
    <w:qFormat/>
    <w:rPr>
      <w:sz w:val="18"/>
      <w:szCs w:val="18"/>
    </w:rPr>
  </w:style>
  <w:style w:type="character" w:styleId="877" w:customStyle="1">
    <w:name w:val="NormalCharacter"/>
    <w:uiPriority w:val="99"/>
    <w:qFormat/>
    <w:rPr>
      <w:rFonts w:ascii="Calibri" w:hAnsi="Calibri" w:eastAsia="宋体"/>
    </w:rPr>
  </w:style>
  <w:style w:type="paragraph" w:styleId="878" w:customStyle="1">
    <w:name w:val="普通正文"/>
    <w:basedOn w:val="850"/>
    <w:uiPriority w:val="0"/>
    <w:qFormat/>
    <w:pPr>
      <w:ind w:firstLine="480"/>
      <w:jc w:val="left"/>
      <w:spacing w:before="120" w:after="120" w:line="360" w:lineRule="auto"/>
    </w:pPr>
    <w:rPr>
      <w:rFonts w:ascii="Arial" w:hAnsi="Arial" w:eastAsia="等线" w:cs="Arial"/>
      <w:sz w:val="24"/>
    </w:rPr>
  </w:style>
  <w:style w:type="paragraph" w:styleId="879">
    <w:name w:val="List Paragraph"/>
    <w:basedOn w:val="850"/>
    <w:uiPriority w:val="34"/>
    <w:qFormat/>
    <w:pPr>
      <w:ind w:firstLine="420"/>
      <w:jc w:val="left"/>
      <w:widowControl/>
    </w:pPr>
    <w:rPr>
      <w:rFonts w:eastAsia="仿宋" w:cs="宋体"/>
      <w:color w:val="000000"/>
      <w:sz w:val="28"/>
    </w:rPr>
  </w:style>
  <w:style w:type="paragraph" w:styleId="880" w:customStyle="1">
    <w:name w:val="正文首行缩进 211"/>
    <w:basedOn w:val="881"/>
    <w:next w:val="850"/>
    <w:uiPriority w:val="0"/>
    <w:qFormat/>
    <w:pPr>
      <w:ind w:left="0" w:firstLine="420"/>
      <w:spacing w:after="0" w:line="360" w:lineRule="auto"/>
    </w:pPr>
    <w:rPr>
      <w:rFonts w:ascii="宋体" w:hAnsi="宋体"/>
      <w:sz w:val="20"/>
      <w:szCs w:val="20"/>
    </w:rPr>
  </w:style>
  <w:style w:type="paragraph" w:styleId="881" w:customStyle="1">
    <w:name w:val="正文文本缩进11"/>
    <w:basedOn w:val="850"/>
    <w:next w:val="882"/>
    <w:uiPriority w:val="0"/>
    <w:unhideWhenUsed/>
    <w:qFormat/>
    <w:pPr>
      <w:ind w:left="420"/>
      <w:spacing w:after="120"/>
    </w:pPr>
  </w:style>
  <w:style w:type="paragraph" w:styleId="882" w:customStyle="1">
    <w:name w:val="寄信人地址1"/>
    <w:basedOn w:val="850"/>
    <w:uiPriority w:val="0"/>
    <w:qFormat/>
    <w:rPr>
      <w:rFonts w:ascii="Arial" w:hAnsi="Arial" w:cs="宋体"/>
    </w:rPr>
  </w:style>
  <w:style w:type="character" w:styleId="883" w:customStyle="1">
    <w:name w:val="font11"/>
    <w:basedOn w:val="852"/>
    <w:uiPriority w:val="0"/>
    <w:qFormat/>
    <w:rPr>
      <w:rFonts w:hint="eastAsia" w:ascii="宋体" w:hAnsi="宋体" w:eastAsia="宋体" w:cs="宋体"/>
      <w:color w:val="000000"/>
      <w:sz w:val="21"/>
      <w:szCs w:val="21"/>
      <w:u w:val="none"/>
    </w:rPr>
  </w:style>
  <w:style w:type="character" w:styleId="884" w:customStyle="1">
    <w:name w:val="font21"/>
    <w:basedOn w:val="852"/>
    <w:uiPriority w:val="0"/>
    <w:qFormat/>
    <w:rPr>
      <w:rFonts w:hint="default" w:ascii="Times New Roman" w:hAnsi="Times New Roman" w:cs="Times New Roman"/>
      <w:color w:val="000000"/>
      <w:sz w:val="21"/>
      <w:szCs w:val="21"/>
      <w:u w:val="none"/>
    </w:rPr>
  </w:style>
  <w:style w:type="paragraph" w:styleId="885" w:customStyle="1">
    <w:name w:val="纯文本12"/>
    <w:basedOn w:val="850"/>
    <w:uiPriority w:val="0"/>
    <w:qFormat/>
    <w:rPr>
      <w:rFonts w:ascii="宋体" w:hAnsi="Courier New"/>
      <w:sz w:val="20"/>
      <w:szCs w:val="21"/>
    </w:rPr>
  </w:style>
  <w:style w:type="paragraph" w:styleId="886" w:customStyle="1">
    <w:name w:val="HTML 预设格式1"/>
    <w:basedOn w:val="8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87" w:customStyle="1">
    <w:name w:val="普通(网站)12"/>
    <w:basedOn w:val="850"/>
    <w:uiPriority w:val="0"/>
    <w:qFormat/>
    <w:pPr>
      <w:spacing w:beforeAutospacing="1" w:afterAutospacing="1"/>
    </w:pPr>
    <w:rPr>
      <w:rFonts w:cs="Times New Roman"/>
      <w:sz w:val="24"/>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蔡洁</cp:lastModifiedBy>
  <cp:revision>10</cp:revision>
  <dcterms:created xsi:type="dcterms:W3CDTF">2024-07-19T02:42:00Z</dcterms:created>
  <dcterms:modified xsi:type="dcterms:W3CDTF">2025-05-16T01:19:17Z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8D6D9EEF370942E5ABC75B0B61FA15FE_13</vt:lpwstr>
  </property>
  <property fmtid="{D5CDD505-2E9C-101B-9397-08002B2CF9AE}" pid="4" name="KSOTemplateDocerSaveRecord">
    <vt:lpwstr>eyJoZGlkIjoiMDVmMzVlMjBhN2YzZmM0ZTJhZjU1MGY1MzdlYjI5YzgiLCJ1c2VySWQiOiI0MzkyMjQ1OTMifQ==</vt:lpwstr>
  </property>
</Properties>
</file>