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9"/>
        <w:spacing w:before="120" w:beforeAutospacing="0" w:after="120" w:afterAutospacing="0" w:line="360" w:lineRule="auto"/>
        <w:rPr>
          <w:color w:val="auto"/>
          <w:highlight w:val="none"/>
        </w:rPr>
      </w:pPr>
      <w:r>
        <w:rPr>
          <w:color w:val="auto"/>
          <w:highlight w:val="none"/>
        </w:rPr>
        <w:t xml:space="preserve"> </w:t>
      </w:r>
      <w:r/>
    </w:p>
    <w:p>
      <w:pPr>
        <w:pStyle w:val="669"/>
        <w:ind w:firstLine="1687"/>
        <w:jc w:val="center"/>
        <w:spacing w:before="120" w:beforeAutospacing="0" w:after="120" w:afterAutospacing="0" w:line="360" w:lineRule="auto"/>
        <w:rPr>
          <w:color w:val="auto"/>
          <w:highlight w:val="none"/>
        </w:rPr>
      </w:pPr>
      <w:r>
        <w:rPr>
          <w:rFonts w:ascii="Arial" w:hAnsi="Arial" w:cs="Arial"/>
          <w:b/>
          <w:color w:val="auto"/>
          <w:sz w:val="84"/>
          <w:szCs w:val="84"/>
          <w:highlight w:val="none"/>
        </w:rPr>
        <w:t xml:space="preserve">招 标 文 件</w:t>
      </w:r>
      <w:r/>
    </w:p>
    <w:p>
      <w:pPr>
        <w:pStyle w:val="669"/>
        <w:ind w:firstLine="643"/>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669"/>
        <w:ind w:firstLine="643"/>
        <w:spacing w:before="120" w:beforeAutospacing="0" w:after="120" w:afterAutospacing="0" w:line="360" w:lineRule="auto"/>
        <w:rPr>
          <w:rFonts w:eastAsia="宋体"/>
          <w:color w:val="auto"/>
          <w:highlight w:val="none"/>
        </w:rPr>
      </w:pPr>
      <w:r>
        <w:rPr>
          <w:rFonts w:ascii="Arial" w:hAnsi="Arial" w:cs="Arial"/>
          <w:b/>
          <w:color w:val="auto"/>
          <w:sz w:val="32"/>
          <w:szCs w:val="32"/>
          <w:highlight w:val="none"/>
        </w:rPr>
        <w:t xml:space="preserve">项目名称：</w:t>
      </w:r>
      <w:r>
        <w:rPr>
          <w:rFonts w:hint="eastAsia" w:ascii="Arial" w:hAnsi="Arial" w:eastAsia="宋体" w:cs="Arial"/>
          <w:b/>
          <w:color w:val="auto"/>
          <w:sz w:val="32"/>
          <w:szCs w:val="32"/>
          <w:highlight w:val="none"/>
          <w:lang w:eastAsia="zh-CN"/>
        </w:rPr>
        <w:t xml:space="preserve">东台市G344宜居宜业和美乡村片区规划</w:t>
      </w:r>
      <w:r>
        <w:rPr>
          <w:rFonts w:hint="eastAsia" w:ascii="Arial" w:hAnsi="Arial" w:eastAsia="宋体" w:cs="Arial"/>
          <w:b/>
          <w:color w:val="auto"/>
          <w:sz w:val="32"/>
          <w:szCs w:val="32"/>
          <w:highlight w:val="none"/>
        </w:rPr>
        <w:t xml:space="preserve">项目</w:t>
      </w:r>
      <w:r/>
    </w:p>
    <w:p>
      <w:pPr>
        <w:pStyle w:val="669"/>
        <w:ind w:firstLine="643"/>
        <w:spacing w:beforeAutospacing="0" w:afterAutospacing="0"/>
        <w:rPr>
          <w:rFonts w:hint="eastAsia" w:eastAsiaTheme="minorEastAsia"/>
          <w:color w:val="auto"/>
          <w:highlight w:val="none"/>
          <w:lang w:eastAsia="zh-CN"/>
        </w:rPr>
      </w:pPr>
      <w:r>
        <w:rPr>
          <w:rFonts w:ascii="Times New Roman" w:hAnsi="Times New Roman"/>
          <w:b/>
          <w:color w:val="auto"/>
          <w:sz w:val="32"/>
          <w:szCs w:val="32"/>
          <w:highlight w:val="none"/>
        </w:rPr>
        <w:t xml:space="preserve">项目编号：</w:t>
      </w:r>
      <w:r>
        <w:rPr>
          <w:rFonts w:hint="eastAsia" w:ascii="Times New Roman" w:hAnsi="Times New Roman" w:eastAsia="宋体"/>
          <w:b/>
          <w:color w:val="auto"/>
          <w:sz w:val="32"/>
          <w:szCs w:val="32"/>
          <w:highlight w:val="none"/>
          <w:lang w:eastAsia="zh-CN"/>
        </w:rPr>
        <w:t xml:space="preserve">JSZC-320981-TXJS-G2024-0037</w:t>
      </w:r>
      <w:r/>
    </w:p>
    <w:p>
      <w:pPr>
        <w:pStyle w:val="669"/>
        <w:spacing w:beforeAutospacing="0" w:afterAutospacing="0" w:line="360" w:lineRule="auto"/>
        <w:rPr>
          <w:color w:val="auto"/>
          <w:highlight w:val="none"/>
        </w:rPr>
      </w:pPr>
      <w:r>
        <w:rPr>
          <w:color w:val="auto"/>
          <w:highlight w:val="none"/>
        </w:rPr>
        <w:t xml:space="preserve"> </w:t>
      </w:r>
      <w:r/>
    </w:p>
    <w:p>
      <w:pPr>
        <w:pStyle w:val="669"/>
        <w:spacing w:beforeAutospacing="0" w:afterAutospacing="0" w:line="360" w:lineRule="auto"/>
        <w:rPr>
          <w:color w:val="auto"/>
          <w:highlight w:val="none"/>
        </w:rPr>
      </w:pPr>
      <w:r>
        <w:rPr>
          <w:color w:val="auto"/>
          <w:highlight w:val="none"/>
        </w:rPr>
        <w:t xml:space="preserve"> </w:t>
      </w:r>
      <w:r/>
    </w:p>
    <w:p>
      <w:pPr>
        <w:pStyle w:val="669"/>
        <w:spacing w:beforeAutospacing="0" w:afterAutospacing="0" w:line="360" w:lineRule="auto"/>
        <w:rPr>
          <w:color w:val="auto"/>
          <w:highlight w:val="none"/>
        </w:rPr>
      </w:pPr>
      <w:r>
        <w:rPr>
          <w:color w:val="auto"/>
          <w:highlight w:val="none"/>
        </w:rPr>
        <w:t xml:space="preserve"> </w:t>
      </w:r>
      <w:r/>
    </w:p>
    <w:p>
      <w:pPr>
        <w:pStyle w:val="669"/>
        <w:spacing w:beforeAutospacing="0" w:afterAutospacing="0" w:line="360" w:lineRule="auto"/>
        <w:rPr>
          <w:color w:val="auto"/>
          <w:highlight w:val="none"/>
        </w:rPr>
      </w:pPr>
      <w:r>
        <w:rPr>
          <w:color w:val="auto"/>
          <w:highlight w:val="none"/>
        </w:rPr>
        <w:t xml:space="preserve">  </w:t>
      </w:r>
      <w:r/>
    </w:p>
    <w:p>
      <w:pPr>
        <w:pStyle w:val="669"/>
        <w:spacing w:beforeAutospacing="0" w:afterAutospacing="0" w:line="360" w:lineRule="auto"/>
        <w:rPr>
          <w:color w:val="auto"/>
          <w:highlight w:val="none"/>
        </w:rPr>
      </w:pPr>
      <w:r>
        <w:rPr>
          <w:color w:val="auto"/>
          <w:highlight w:val="none"/>
        </w:rPr>
        <w:t xml:space="preserve"> </w:t>
      </w:r>
      <w:r/>
    </w:p>
    <w:p>
      <w:pPr>
        <w:pStyle w:val="669"/>
        <w:spacing w:beforeAutospacing="0" w:afterAutospacing="0" w:line="360" w:lineRule="auto"/>
        <w:rPr>
          <w:color w:val="auto"/>
          <w:highlight w:val="none"/>
        </w:rPr>
      </w:pPr>
      <w:r>
        <w:rPr>
          <w:color w:val="auto"/>
          <w:highlight w:val="none"/>
        </w:rPr>
        <w:t xml:space="preserve"> </w:t>
      </w:r>
      <w:r/>
    </w:p>
    <w:p>
      <w:pPr>
        <w:pStyle w:val="669"/>
        <w:ind w:firstLine="643"/>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669"/>
        <w:ind w:firstLine="643"/>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669"/>
        <w:ind w:firstLine="643"/>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669"/>
        <w:ind w:firstLine="643"/>
        <w:jc w:val="center"/>
        <w:spacing w:before="120" w:beforeAutospacing="0" w:after="120" w:afterAutospacing="0" w:line="360" w:lineRule="auto"/>
        <w:rPr>
          <w:rFonts w:ascii="Arial" w:hAnsi="Arial" w:cs="Arial"/>
          <w:b/>
          <w:color w:val="auto"/>
          <w:sz w:val="32"/>
          <w:szCs w:val="32"/>
          <w:highlight w:val="none"/>
        </w:rPr>
      </w:pPr>
      <w:r>
        <w:rPr>
          <w:rFonts w:hint="eastAsia" w:ascii="Arial" w:hAnsi="Arial" w:cs="Arial"/>
          <w:b/>
          <w:color w:val="auto"/>
          <w:sz w:val="32"/>
          <w:szCs w:val="32"/>
          <w:highlight w:val="none"/>
        </w:rPr>
        <w:t xml:space="preserve">采购单位：东台市农业农村局</w:t>
      </w:r>
      <w:r/>
    </w:p>
    <w:p>
      <w:pPr>
        <w:pStyle w:val="669"/>
        <w:ind w:firstLine="643"/>
        <w:jc w:val="center"/>
        <w:spacing w:before="120" w:beforeAutospacing="0" w:after="120" w:afterAutospacing="0" w:line="360" w:lineRule="auto"/>
        <w:rPr>
          <w:rFonts w:hint="eastAsia" w:ascii="Arial" w:hAnsi="Arial" w:cs="Arial" w:eastAsiaTheme="minorEastAsia"/>
          <w:b/>
          <w:color w:val="auto"/>
          <w:sz w:val="32"/>
          <w:szCs w:val="32"/>
          <w:highlight w:val="none"/>
          <w:lang w:eastAsia="zh-CN"/>
        </w:rPr>
      </w:pPr>
      <w:r>
        <w:rPr>
          <w:rFonts w:hint="eastAsia" w:ascii="Arial" w:hAnsi="Arial" w:cs="Arial"/>
          <w:b/>
          <w:color w:val="auto"/>
          <w:sz w:val="32"/>
          <w:szCs w:val="32"/>
          <w:highlight w:val="none"/>
        </w:rPr>
        <w:t xml:space="preserve">采购代理机构：</w:t>
      </w:r>
      <w:r>
        <w:rPr>
          <w:rFonts w:hint="eastAsia" w:ascii="Arial" w:hAnsi="Arial" w:cs="Arial"/>
          <w:b/>
          <w:color w:val="auto"/>
          <w:sz w:val="32"/>
          <w:szCs w:val="32"/>
          <w:highlight w:val="none"/>
          <w:lang w:eastAsia="zh-CN"/>
        </w:rPr>
        <w:t xml:space="preserve">江苏天信建设项目咨询有限公司</w:t>
      </w:r>
      <w:r/>
    </w:p>
    <w:p>
      <w:pPr>
        <w:pStyle w:val="669"/>
        <w:ind w:firstLine="643"/>
        <w:jc w:val="center"/>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669"/>
        <w:ind w:firstLine="643"/>
        <w:jc w:val="center"/>
        <w:spacing w:before="120" w:beforeAutospacing="0" w:after="120" w:afterAutospacing="0" w:line="360" w:lineRule="auto"/>
        <w:rPr>
          <w:color w:val="auto"/>
          <w:highlight w:val="none"/>
        </w:rPr>
      </w:pPr>
      <w:r>
        <w:rPr>
          <w:rFonts w:hint="eastAsia" w:ascii="Arial" w:hAnsi="Arial" w:cs="Arial"/>
          <w:b/>
          <w:color w:val="auto"/>
          <w:sz w:val="32"/>
          <w:szCs w:val="32"/>
          <w:highlight w:val="none"/>
        </w:rPr>
        <w:t xml:space="preserve">2024</w:t>
      </w:r>
      <w:r>
        <w:rPr>
          <w:rFonts w:ascii="Arial" w:hAnsi="Arial" w:cs="Arial"/>
          <w:b/>
          <w:color w:val="auto"/>
          <w:sz w:val="32"/>
          <w:szCs w:val="32"/>
          <w:highlight w:val="none"/>
        </w:rPr>
        <w:t xml:space="preserve">年</w:t>
      </w:r>
      <w:r>
        <w:rPr>
          <w:rFonts w:hint="eastAsia" w:ascii="Arial" w:hAnsi="Arial" w:cs="Arial"/>
          <w:b/>
          <w:color w:val="auto"/>
          <w:sz w:val="32"/>
          <w:szCs w:val="32"/>
          <w:highlight w:val="none"/>
          <w:lang w:val="en-US" w:eastAsia="zh-CN"/>
        </w:rPr>
        <w:t xml:space="preserve">06</w:t>
      </w:r>
      <w:r>
        <w:rPr>
          <w:rFonts w:ascii="Arial" w:hAnsi="Arial" w:cs="Arial"/>
          <w:b/>
          <w:color w:val="auto"/>
          <w:sz w:val="32"/>
          <w:szCs w:val="32"/>
          <w:highlight w:val="none"/>
        </w:rPr>
        <w:t xml:space="preserve">月</w:t>
      </w:r>
      <w:r>
        <w:rPr>
          <w:rFonts w:hint="eastAsia" w:ascii="Arial" w:hAnsi="Arial" w:cs="Arial"/>
          <w:b/>
          <w:color w:val="auto"/>
          <w:sz w:val="32"/>
          <w:szCs w:val="32"/>
          <w:highlight w:val="none"/>
          <w:lang w:val="en-US" w:eastAsia="zh-CN"/>
        </w:rPr>
        <w:t xml:space="preserve">24</w:t>
      </w:r>
      <w:r>
        <w:rPr>
          <w:rFonts w:ascii="Arial" w:hAnsi="Arial" w:cs="Arial"/>
          <w:b/>
          <w:color w:val="auto"/>
          <w:sz w:val="32"/>
          <w:szCs w:val="32"/>
          <w:highlight w:val="none"/>
        </w:rPr>
        <w:t xml:space="preserve">日</w:t>
      </w:r>
      <w:r/>
    </w:p>
    <w:p>
      <w:pPr>
        <w:pStyle w:val="669"/>
        <w:spacing w:before="120" w:beforeAutospacing="0" w:after="120" w:afterAutospacing="0" w:line="360" w:lineRule="auto"/>
        <w:rPr>
          <w:color w:val="auto"/>
          <w:highlight w:val="none"/>
        </w:rPr>
      </w:pPr>
      <w:r>
        <w:rPr>
          <w:rFonts w:ascii="Arial" w:hAnsi="Arial" w:cs="Arial"/>
          <w:color w:val="auto"/>
          <w:highlight w:val="none"/>
        </w:rPr>
        <w:t xml:space="preserve">                        </w:t>
      </w:r>
      <w:r/>
    </w:p>
    <w:p>
      <w:pPr>
        <w:pStyle w:val="669"/>
        <w:jc w:val="center"/>
        <w:spacing w:before="120" w:beforeAutospacing="0" w:after="120" w:afterAutospacing="0" w:line="360" w:lineRule="auto"/>
        <w:rPr>
          <w:color w:val="auto"/>
          <w:highlight w:val="none"/>
        </w:rPr>
      </w:pPr>
      <w:r>
        <w:rPr>
          <w:color w:val="auto"/>
          <w:highlight w:val="none"/>
        </w:rPr>
        <w:t xml:space="preserve"> </w:t>
      </w:r>
      <w:r/>
    </w:p>
    <w:p>
      <w:pPr>
        <w:pStyle w:val="669"/>
        <w:ind w:firstLine="420"/>
        <w:jc w:val="center"/>
        <w:spacing w:beforeAutospacing="0" w:afterAutospacing="0" w:line="480" w:lineRule="auto"/>
        <w:rPr>
          <w:color w:val="auto"/>
          <w:highlight w:val="none"/>
        </w:rPr>
      </w:pPr>
      <w:r>
        <w:rPr>
          <w:rFonts w:ascii="Times New Roman" w:hAnsi="Times New Roman"/>
          <w:color w:val="auto"/>
          <w:sz w:val="21"/>
          <w:szCs w:val="21"/>
          <w:highlight w:val="none"/>
        </w:rPr>
        <w:br w:type="page" w:clear="all"/>
      </w:r>
      <w:r>
        <w:rPr>
          <w:rFonts w:ascii="Times New Roman" w:hAnsi="Times New Roman"/>
          <w:color w:val="auto"/>
          <w:sz w:val="21"/>
          <w:szCs w:val="21"/>
          <w:highlight w:val="none"/>
        </w:rPr>
        <w:t xml:space="preserve">  </w:t>
      </w:r>
      <w:r>
        <w:rPr>
          <w:rFonts w:ascii="黑体" w:hAnsi="宋体" w:eastAsia="黑体" w:cs="黑体"/>
          <w:b/>
          <w:color w:val="auto"/>
          <w:sz w:val="44"/>
          <w:szCs w:val="44"/>
          <w:highlight w:val="none"/>
        </w:rPr>
        <w:t xml:space="preserve">总  目  录</w:t>
      </w:r>
      <w:r/>
    </w:p>
    <w:p>
      <w:pPr>
        <w:pStyle w:val="669"/>
        <w:jc w:val="both"/>
        <w:spacing w:beforeAutospacing="0" w:afterAutospacing="0" w:line="480" w:lineRule="auto"/>
        <w:rPr>
          <w:color w:val="auto"/>
          <w:highlight w:val="none"/>
        </w:rPr>
      </w:pPr>
      <w:r>
        <w:rPr>
          <w:color w:val="auto"/>
          <w:highlight w:val="none"/>
        </w:rPr>
        <w:t xml:space="preserve"> </w:t>
      </w:r>
      <w:r/>
    </w:p>
    <w:sdt>
      <w:sdtPr>
        <w15:appearance w15:val="boundingBox"/>
        <w:id w:val="147474810"/>
        <w:docPartObj>
          <w:docPartGallery w:val="Table of Contents"/>
          <w:docPartUnique w:val="true"/>
        </w:docPartObj>
        <w:rPr>
          <w:rFonts w:ascii="宋体" w:hAnsi="宋体" w:eastAsia="宋体" w:cs="Times New Roman"/>
          <w:color w:val="auto"/>
          <w:sz w:val="24"/>
          <w:highlight w:val="none"/>
        </w:rPr>
      </w:sdtPr>
      <w:sdtContent>
        <w:p>
          <w:pPr>
            <w:pStyle w:val="660"/>
            <w:tabs>
              <w:tab w:val="right" w:pos="9752" w:leader="dot"/>
            </w:tabs>
            <w:rPr>
              <w:color w:val="auto"/>
              <w:sz w:val="48"/>
              <w:szCs w:val="56"/>
              <w:highlight w:val="none"/>
            </w:rPr>
          </w:pPr>
          <w:r>
            <w:rPr>
              <w:rFonts w:hint="eastAsia" w:ascii="宋体" w:hAnsi="宋体" w:eastAsia="宋体"/>
              <w:color w:val="auto"/>
              <w:highlight w:val="none"/>
            </w:rPr>
            <w:t xml:space="preserve">       </w:t>
          </w:r>
          <w:r>
            <w:rPr>
              <w:rFonts w:hint="eastAsia" w:ascii="宋体" w:hAnsi="宋体" w:eastAsia="宋体"/>
              <w:color w:val="auto"/>
              <w:sz w:val="48"/>
              <w:szCs w:val="56"/>
              <w:highlight w:val="none"/>
            </w:rPr>
            <w:t xml:space="preserve">  </w:t>
          </w:r>
          <w:r>
            <w:rPr>
              <w:rFonts w:hint="eastAsia" w:ascii="黑体" w:hAnsi="黑体" w:eastAsia="黑体" w:cs="黑体"/>
              <w:color w:val="auto"/>
              <w:sz w:val="180"/>
              <w:szCs w:val="180"/>
              <w:highlight w:val="none"/>
            </w:rPr>
            <w:fldChar w:fldCharType="begin"/>
          </w:r>
          <w:r>
            <w:rPr>
              <w:rFonts w:hint="eastAsia" w:ascii="黑体" w:hAnsi="黑体" w:eastAsia="黑体" w:cs="黑体"/>
              <w:color w:val="auto"/>
              <w:sz w:val="180"/>
              <w:szCs w:val="180"/>
              <w:highlight w:val="none"/>
            </w:rPr>
            <w:instrText xml:space="preserve">TOC \o "1-1" \h \u </w:instrText>
          </w:r>
          <w:r>
            <w:rPr>
              <w:rFonts w:hint="eastAsia" w:ascii="黑体" w:hAnsi="黑体" w:eastAsia="黑体" w:cs="黑体"/>
              <w:color w:val="auto"/>
              <w:sz w:val="180"/>
              <w:szCs w:val="180"/>
              <w:highlight w:val="none"/>
            </w:rPr>
            <w:fldChar w:fldCharType="separate"/>
          </w:r>
          <w:r>
            <w:rPr>
              <w:color w:val="auto"/>
              <w:highlight w:val="none"/>
            </w:rPr>
            <w:fldChar w:fldCharType="begin"/>
          </w:r>
          <w:r>
            <w:rPr>
              <w:color w:val="auto"/>
              <w:highlight w:val="none"/>
            </w:rPr>
            <w:instrText xml:space="preserve"> HYPERLINK \l "_Toc1" \o "#_Toc1" </w:instrText>
          </w:r>
          <w:r>
            <w:rPr>
              <w:color w:val="auto"/>
              <w:highlight w:val="none"/>
            </w:rPr>
            <w:fldChar w:fldCharType="separate"/>
          </w:r>
          <w:r>
            <w:rPr>
              <w:rStyle w:val="675"/>
              <w:rFonts w:hint="eastAsia" w:ascii="黑体" w:hAnsi="宋体" w:eastAsia="黑体" w:cs="黑体"/>
              <w:color w:val="auto"/>
              <w:sz w:val="48"/>
              <w:szCs w:val="56"/>
              <w:highlight w:val="none"/>
            </w:rPr>
            <w:t xml:space="preserve">第一章  招标公告</w:t>
          </w:r>
          <w:r>
            <w:rPr>
              <w:rStyle w:val="675"/>
              <w:rFonts w:hint="eastAsia" w:ascii="黑体" w:hAnsi="宋体" w:eastAsia="黑体" w:cs="黑体"/>
              <w:color w:val="auto"/>
              <w:sz w:val="48"/>
              <w:szCs w:val="56"/>
              <w:highlight w:val="none"/>
            </w:rPr>
            <w:fldChar w:fldCharType="end"/>
          </w:r>
          <w:r/>
        </w:p>
        <w:p>
          <w:pPr>
            <w:pStyle w:val="660"/>
            <w:ind w:firstLine="960"/>
            <w:tabs>
              <w:tab w:val="right" w:pos="9752" w:leader="dot"/>
            </w:tabs>
            <w:rPr>
              <w:color w:val="auto"/>
              <w:sz w:val="48"/>
              <w:szCs w:val="56"/>
              <w:highlight w:val="none"/>
            </w:rPr>
          </w:pPr>
          <w:r>
            <w:rPr>
              <w:color w:val="auto"/>
              <w:sz w:val="48"/>
              <w:szCs w:val="56"/>
              <w:highlight w:val="none"/>
            </w:rPr>
            <w:t xml:space="preserve"> </w:t>
          </w:r>
          <w:r>
            <w:rPr>
              <w:color w:val="auto"/>
              <w:highlight w:val="none"/>
            </w:rPr>
            <w:fldChar w:fldCharType="begin"/>
          </w:r>
          <w:r>
            <w:rPr>
              <w:color w:val="auto"/>
              <w:highlight w:val="none"/>
            </w:rPr>
            <w:instrText xml:space="preserve"> HYPERLINK \l "_Toc9" \o "#_Toc9" </w:instrText>
          </w:r>
          <w:r>
            <w:rPr>
              <w:color w:val="auto"/>
              <w:highlight w:val="none"/>
            </w:rPr>
            <w:fldChar w:fldCharType="separate"/>
          </w:r>
          <w:r>
            <w:rPr>
              <w:rStyle w:val="675"/>
              <w:rFonts w:hint="eastAsia" w:ascii="黑体" w:hAnsi="宋体" w:eastAsia="黑体" w:cs="黑体"/>
              <w:color w:val="auto"/>
              <w:sz w:val="48"/>
              <w:szCs w:val="56"/>
              <w:highlight w:val="none"/>
              <w:u w:val="none"/>
            </w:rPr>
            <w:t xml:space="preserve">第二章  投标人须知</w:t>
          </w:r>
          <w:r>
            <w:rPr>
              <w:rStyle w:val="675"/>
              <w:rFonts w:hint="eastAsia" w:ascii="黑体" w:hAnsi="宋体" w:eastAsia="黑体" w:cs="黑体"/>
              <w:color w:val="auto"/>
              <w:sz w:val="48"/>
              <w:szCs w:val="56"/>
              <w:highlight w:val="none"/>
              <w:u w:val="none"/>
            </w:rPr>
            <w:fldChar w:fldCharType="end"/>
          </w:r>
          <w:r/>
        </w:p>
        <w:p>
          <w:pPr>
            <w:pStyle w:val="660"/>
            <w:tabs>
              <w:tab w:val="right" w:pos="9752" w:leader="dot"/>
            </w:tabs>
            <w:rPr>
              <w:color w:val="auto"/>
              <w:sz w:val="48"/>
              <w:szCs w:val="56"/>
              <w:highlight w:val="none"/>
            </w:rPr>
          </w:pPr>
          <w:r>
            <w:rPr>
              <w:color w:val="auto"/>
              <w:highlight w:val="none"/>
            </w:rPr>
            <w:fldChar w:fldCharType="begin"/>
          </w:r>
          <w:r>
            <w:rPr>
              <w:color w:val="auto"/>
              <w:highlight w:val="none"/>
            </w:rPr>
            <w:instrText xml:space="preserve"> HYPERLINK \l "_Toc10" \o "#_Toc10" </w:instrText>
          </w:r>
          <w:r>
            <w:rPr>
              <w:color w:val="auto"/>
              <w:highlight w:val="none"/>
            </w:rPr>
            <w:fldChar w:fldCharType="separate"/>
          </w:r>
          <w:r>
            <w:rPr>
              <w:rStyle w:val="675"/>
              <w:rFonts w:hint="eastAsia" w:ascii="黑体" w:hAnsi="宋体" w:eastAsia="黑体" w:cs="黑体"/>
              <w:color w:val="auto"/>
              <w:sz w:val="48"/>
              <w:szCs w:val="56"/>
              <w:highlight w:val="none"/>
              <w:u w:val="none"/>
            </w:rPr>
            <w:t xml:space="preserve">     第三章  合同文本</w:t>
          </w:r>
          <w:r>
            <w:rPr>
              <w:rStyle w:val="675"/>
              <w:rFonts w:hint="eastAsia" w:ascii="黑体" w:hAnsi="宋体" w:eastAsia="黑体" w:cs="黑体"/>
              <w:color w:val="auto"/>
              <w:sz w:val="48"/>
              <w:szCs w:val="56"/>
              <w:highlight w:val="none"/>
              <w:u w:val="none"/>
            </w:rPr>
            <w:fldChar w:fldCharType="end"/>
          </w:r>
          <w:r/>
        </w:p>
        <w:p>
          <w:pPr>
            <w:pStyle w:val="660"/>
            <w:tabs>
              <w:tab w:val="right" w:pos="9752" w:leader="dot"/>
            </w:tabs>
            <w:rPr>
              <w:color w:val="auto"/>
              <w:sz w:val="48"/>
              <w:szCs w:val="56"/>
              <w:highlight w:val="none"/>
            </w:rPr>
          </w:pPr>
          <w:r>
            <w:rPr>
              <w:color w:val="auto"/>
              <w:highlight w:val="none"/>
            </w:rPr>
            <w:fldChar w:fldCharType="begin"/>
          </w:r>
          <w:r>
            <w:rPr>
              <w:color w:val="auto"/>
              <w:highlight w:val="none"/>
            </w:rPr>
            <w:instrText xml:space="preserve"> HYPERLINK \l "_Toc11" \o "#_Toc11" </w:instrText>
          </w:r>
          <w:r>
            <w:rPr>
              <w:color w:val="auto"/>
              <w:highlight w:val="none"/>
            </w:rPr>
            <w:fldChar w:fldCharType="separate"/>
          </w:r>
          <w:r>
            <w:rPr>
              <w:rStyle w:val="675"/>
              <w:rFonts w:hint="eastAsia" w:ascii="黑体" w:hAnsi="宋体" w:eastAsia="黑体" w:cs="黑体"/>
              <w:color w:val="auto"/>
              <w:sz w:val="48"/>
              <w:szCs w:val="56"/>
              <w:highlight w:val="none"/>
              <w:u w:val="none"/>
            </w:rPr>
            <w:t xml:space="preserve">     第四章   采购需求</w:t>
          </w:r>
          <w:r>
            <w:rPr>
              <w:rStyle w:val="675"/>
              <w:rFonts w:hint="eastAsia" w:ascii="黑体" w:hAnsi="宋体" w:eastAsia="黑体" w:cs="黑体"/>
              <w:color w:val="auto"/>
              <w:sz w:val="48"/>
              <w:szCs w:val="56"/>
              <w:highlight w:val="none"/>
              <w:u w:val="none"/>
            </w:rPr>
            <w:fldChar w:fldCharType="end"/>
          </w:r>
          <w:r/>
        </w:p>
        <w:p>
          <w:pPr>
            <w:pStyle w:val="660"/>
            <w:tabs>
              <w:tab w:val="right" w:pos="9752" w:leader="dot"/>
            </w:tabs>
            <w:rPr>
              <w:color w:val="auto"/>
              <w:sz w:val="48"/>
              <w:szCs w:val="56"/>
              <w:highlight w:val="none"/>
            </w:rPr>
          </w:pPr>
          <w:r>
            <w:rPr>
              <w:color w:val="auto"/>
              <w:highlight w:val="none"/>
            </w:rPr>
            <w:fldChar w:fldCharType="begin"/>
          </w:r>
          <w:r>
            <w:rPr>
              <w:color w:val="auto"/>
              <w:highlight w:val="none"/>
            </w:rPr>
            <w:instrText xml:space="preserve"> HYPERLINK \l "_Toc12" \o "#_Toc12" </w:instrText>
          </w:r>
          <w:r>
            <w:rPr>
              <w:color w:val="auto"/>
              <w:highlight w:val="none"/>
            </w:rPr>
            <w:fldChar w:fldCharType="separate"/>
          </w:r>
          <w:r>
            <w:rPr>
              <w:rStyle w:val="675"/>
              <w:rFonts w:hint="eastAsia" w:ascii="黑体" w:hAnsi="宋体" w:eastAsia="黑体" w:cs="黑体"/>
              <w:color w:val="auto"/>
              <w:sz w:val="48"/>
              <w:szCs w:val="56"/>
              <w:highlight w:val="none"/>
              <w:u w:val="none"/>
            </w:rPr>
            <w:t xml:space="preserve">     第五章  评标方法与评标标准</w:t>
          </w:r>
          <w:r>
            <w:rPr>
              <w:rStyle w:val="675"/>
              <w:rFonts w:hint="eastAsia" w:ascii="黑体" w:hAnsi="宋体" w:eastAsia="黑体" w:cs="黑体"/>
              <w:color w:val="auto"/>
              <w:sz w:val="48"/>
              <w:szCs w:val="56"/>
              <w:highlight w:val="none"/>
              <w:u w:val="none"/>
            </w:rPr>
            <w:fldChar w:fldCharType="end"/>
          </w:r>
          <w:r/>
        </w:p>
        <w:p>
          <w:pPr>
            <w:pStyle w:val="660"/>
            <w:tabs>
              <w:tab w:val="right" w:pos="9752" w:leader="dot"/>
            </w:tabs>
            <w:rPr>
              <w:rFonts w:ascii="黑体" w:hAnsi="宋体" w:eastAsia="黑体" w:cs="黑体"/>
              <w:color w:val="auto"/>
              <w:sz w:val="48"/>
              <w:szCs w:val="56"/>
              <w:highlight w:val="none"/>
            </w:rPr>
          </w:pPr>
          <w:r>
            <w:rPr>
              <w:color w:val="auto"/>
              <w:highlight w:val="none"/>
            </w:rPr>
            <w:fldChar w:fldCharType="begin"/>
          </w:r>
          <w:r>
            <w:rPr>
              <w:color w:val="auto"/>
              <w:highlight w:val="none"/>
            </w:rPr>
            <w:instrText xml:space="preserve"> HYPERLINK \l "_Toc13" \o "#_Toc13" </w:instrText>
          </w:r>
          <w:r>
            <w:rPr>
              <w:color w:val="auto"/>
              <w:highlight w:val="none"/>
            </w:rPr>
            <w:fldChar w:fldCharType="separate"/>
          </w:r>
          <w:r>
            <w:rPr>
              <w:rStyle w:val="675"/>
              <w:rFonts w:hint="eastAsia" w:ascii="黑体" w:hAnsi="宋体" w:eastAsia="黑体" w:cs="黑体"/>
              <w:color w:val="auto"/>
              <w:sz w:val="48"/>
              <w:szCs w:val="56"/>
              <w:highlight w:val="none"/>
              <w:u w:val="none"/>
            </w:rPr>
            <w:t xml:space="preserve">     第六章  投标文件格式</w:t>
          </w:r>
          <w:r>
            <w:rPr>
              <w:rStyle w:val="675"/>
              <w:rFonts w:hint="eastAsia" w:ascii="黑体" w:hAnsi="宋体" w:eastAsia="黑体" w:cs="黑体"/>
              <w:color w:val="auto"/>
              <w:sz w:val="48"/>
              <w:szCs w:val="56"/>
              <w:highlight w:val="none"/>
              <w:u w:val="none"/>
            </w:rPr>
            <w:fldChar w:fldCharType="end"/>
          </w:r>
          <w:r/>
        </w:p>
        <w:p>
          <w:pPr>
            <w:pStyle w:val="669"/>
            <w:ind w:firstLine="3600"/>
            <w:jc w:val="both"/>
            <w:spacing w:beforeAutospacing="0" w:afterAutospacing="0"/>
            <w:rPr>
              <w:color w:val="auto"/>
              <w:highlight w:val="none"/>
            </w:rPr>
          </w:pPr>
          <w:r>
            <w:rPr>
              <w:rFonts w:hint="eastAsia" w:ascii="黑体" w:hAnsi="黑体" w:eastAsia="黑体" w:cs="黑体"/>
              <w:color w:val="auto"/>
              <w:sz w:val="180"/>
              <w:szCs w:val="180"/>
              <w:highlight w:val="none"/>
            </w:rPr>
            <w:fldChar w:fldCharType="end"/>
          </w:r>
          <w:r/>
        </w:p>
      </w:sdtContent>
    </w:sdt>
    <w:p>
      <w:pPr>
        <w:ind w:firstLine="880"/>
        <w:rPr>
          <w:rFonts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669"/>
        <w:ind w:firstLine="880"/>
        <w:jc w:val="center"/>
        <w:keepNext/>
        <w:spacing w:beforeAutospacing="0" w:afterAutospacing="0"/>
        <w:rPr>
          <w:color w:val="auto"/>
          <w:highlight w:val="none"/>
        </w:rPr>
        <w:outlineLvl w:val="0"/>
      </w:pPr>
      <w:r/>
      <w:bookmarkStart w:id="0" w:name="_Toc1"/>
      <w:r>
        <w:rPr>
          <w:rFonts w:hint="eastAsia" w:ascii="黑体" w:hAnsi="宋体" w:eastAsia="黑体" w:cs="黑体"/>
          <w:color w:val="auto"/>
          <w:sz w:val="44"/>
          <w:szCs w:val="44"/>
          <w:highlight w:val="none"/>
        </w:rPr>
        <w:t xml:space="preserve">第一章  招标公告</w:t>
      </w:r>
      <w:bookmarkEnd w:id="0"/>
      <w:r/>
      <w:r/>
    </w:p>
    <w:p>
      <w:pPr>
        <w:pStyle w:val="669"/>
        <w:ind w:firstLine="480"/>
        <w:jc w:val="both"/>
        <w:spacing w:beforeAutospacing="0" w:afterAutospacing="0"/>
        <w:rPr>
          <w:color w:val="auto"/>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highlight w:val="none"/>
        </w:rPr>
        <w:t xml:space="preserve">项目概况</w:t>
      </w:r>
      <w:r/>
    </w:p>
    <w:p>
      <w:pPr>
        <w:ind w:firstLine="480"/>
        <w:rPr>
          <w:color w:val="auto"/>
          <w:sz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highlight w:val="none"/>
          <w:lang w:eastAsia="zh-CN"/>
        </w:rPr>
        <w:t xml:space="preserve">东台市G344宜居宜业和美乡村片区规划</w:t>
      </w:r>
      <w:r>
        <w:rPr>
          <w:rFonts w:hint="eastAsia" w:ascii="宋体" w:hAnsi="宋体" w:eastAsia="宋体" w:cs="宋体"/>
          <w:color w:val="auto"/>
          <w:sz w:val="24"/>
          <w:highlight w:val="none"/>
        </w:rPr>
        <w:t xml:space="preserve">项目</w:t>
      </w:r>
      <w:r>
        <w:rPr>
          <w:rFonts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 xml:space="preserve">JSZC-320981-TXJS-G2024-0037</w:t>
      </w:r>
      <w:r>
        <w:rPr>
          <w:rFonts w:ascii="宋体" w:hAnsi="宋体" w:eastAsia="宋体" w:cs="宋体"/>
          <w:color w:val="auto"/>
          <w:sz w:val="24"/>
          <w:highlight w:val="none"/>
        </w:rPr>
        <w:t xml:space="preserve"> 招标项目的潜在投标人可在中国政府采购网、江苏政府采购网、盐城市政府采购网获取招标文件，并于2024-</w:t>
      </w:r>
      <w:r>
        <w:rPr>
          <w:rFonts w:hint="eastAsia" w:ascii="宋体" w:hAnsi="宋体" w:eastAsia="宋体" w:cs="宋体"/>
          <w:color w:val="auto"/>
          <w:sz w:val="24"/>
          <w:highlight w:val="none"/>
          <w:lang w:val="en-US" w:eastAsia="zh-CN"/>
        </w:rPr>
        <w:t xml:space="preserve">07</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18 </w:t>
      </w:r>
      <w:r>
        <w:rPr>
          <w:rFonts w:ascii="宋体" w:hAnsi="宋体" w:eastAsia="宋体" w:cs="宋体"/>
          <w:color w:val="auto"/>
          <w:sz w:val="24"/>
          <w:highlight w:val="none"/>
        </w:rPr>
        <w:t xml:space="preserve"> </w:t>
      </w:r>
      <w:r>
        <w:rPr>
          <w:rFonts w:hint="eastAsia" w:ascii="宋体" w:hAnsi="宋体" w:eastAsia="宋体" w:cs="宋体"/>
          <w:color w:val="auto"/>
          <w:sz w:val="24"/>
          <w:highlight w:val="none"/>
        </w:rPr>
        <w:t xml:space="preserve">09</w:t>
      </w:r>
      <w:r>
        <w:rPr>
          <w:rFonts w:ascii="宋体" w:hAnsi="宋体" w:eastAsia="宋体" w:cs="宋体"/>
          <w:color w:val="auto"/>
          <w:sz w:val="24"/>
          <w:highlight w:val="none"/>
        </w:rPr>
        <w:t xml:space="preserve">：00（北京时间）前递交投标文件。</w:t>
      </w:r>
      <w:r/>
    </w:p>
    <w:p>
      <w:pPr>
        <w:pStyle w:val="829"/>
        <w:ind w:firstLine="482"/>
        <w:jc w:val="both"/>
        <w:spacing w:line="360" w:lineRule="auto"/>
        <w:widowControl/>
        <w:rPr>
          <w:rStyle w:val="828"/>
          <w:rFonts w:ascii="宋体" w:hAnsi="宋体" w:eastAsia="宋体" w:cs="Times New Roman"/>
          <w:b/>
          <w:bCs/>
          <w:color w:val="auto"/>
          <w:sz w:val="24"/>
          <w:szCs w:val="24"/>
          <w:highlight w:val="none"/>
        </w:rPr>
      </w:pPr>
      <w:r/>
      <w:bookmarkStart w:id="1" w:name="_Hlk24379207"/>
      <w:r/>
      <w:bookmarkStart w:id="2" w:name="_Toc2"/>
      <w:r>
        <w:rPr>
          <w:rStyle w:val="828"/>
          <w:rFonts w:ascii="宋体" w:hAnsi="宋体" w:eastAsia="宋体" w:cs="Times New Roman"/>
          <w:b/>
          <w:bCs/>
          <w:color w:val="auto"/>
          <w:sz w:val="24"/>
          <w:szCs w:val="24"/>
          <w:highlight w:val="none"/>
        </w:rPr>
        <w:t xml:space="preserve">一、项目基本情况</w:t>
      </w:r>
      <w:bookmarkEnd w:id="1"/>
      <w:r/>
      <w:bookmarkEnd w:id="2"/>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项目编号：JSZC-320981-TXJS-G2024-0037</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项目名称：东台市G344宜居宜业和美乡村片区规划项目</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预算金额：190.000000万元</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最高限价（如有）：</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140万元。</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东台市G344宜居宜业和美乡村片区规划项目，编制宜居宜业和美乡村片区规划，分为总体发展策划及总体规划设计，总体策划内容包括总体发展思路、目标定位、空间结构、产业引导、行动计划等，总体规划设计内容包括总体风貌控制、核心区详细设计、重要节点及廊道风貌设计等。（详细内容见本招标文件第四章）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签订合同后，及时提交经评审通过的成果资料，并提供不少于2年的跟踪服务。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本项目（是/否）接受联合体投标：不接受联合体。</w:t>
      </w:r>
      <w:r/>
    </w:p>
    <w:p>
      <w:pPr>
        <w:pStyle w:val="829"/>
        <w:ind w:firstLine="482"/>
        <w:jc w:val="both"/>
        <w:spacing w:line="460" w:lineRule="exact"/>
        <w:widowControl/>
        <w:rPr>
          <w:rStyle w:val="828"/>
          <w:rFonts w:ascii="宋体" w:hAnsi="宋体" w:eastAsia="宋体" w:cs="Times New Roman"/>
          <w:b/>
          <w:bCs/>
          <w:color w:val="auto"/>
          <w:sz w:val="24"/>
          <w:szCs w:val="24"/>
          <w:highlight w:val="none"/>
        </w:rPr>
      </w:pPr>
      <w:r/>
      <w:bookmarkStart w:id="3" w:name="_Toc3"/>
      <w:r>
        <w:rPr>
          <w:rStyle w:val="828"/>
          <w:rFonts w:ascii="宋体" w:hAnsi="宋体" w:eastAsia="宋体" w:cs="Times New Roman"/>
          <w:b/>
          <w:bCs/>
          <w:color w:val="auto"/>
          <w:sz w:val="24"/>
          <w:szCs w:val="24"/>
          <w:highlight w:val="none"/>
        </w:rPr>
        <w:t xml:space="preserve">二、申请人的资格要求：</w:t>
      </w:r>
      <w:bookmarkEnd w:id="3"/>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（一）满足《中华人民共和国政府采购法》第二十二条规定：</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1.法人或者其他组织的营业执照等证明文件，自然人的身份证明；</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2.上一年度的财务状况报表（成立不满一年无需提供）；</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4.具备履行合同所必需的设备和专业技术能力的书面声明；</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5.参加政府采购活动前3年内在经营活动中没有重大违法记录的书面声明。</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6.投标人法定代表人身份证明和投标文件签署授权委托书（另附法定代表人和被授权人的身份证复印件或扫描件）</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7.投标人为被授权人缴纳的社会养老保险证明</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8.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60" w:lineRule="exact"/>
        <w:rPr>
          <w:rFonts w:ascii="宋体" w:hAnsi="宋体" w:cs="宋体"/>
          <w:color w:val="auto"/>
          <w:sz w:val="24"/>
          <w:highlight w:val="none"/>
        </w:rPr>
      </w:pPr>
      <w:r>
        <w:rPr>
          <w:rFonts w:hint="eastAsia" w:ascii="宋体" w:hAnsi="宋体" w:eastAsia="宋体" w:cs="宋体"/>
          <w:color w:val="auto"/>
          <w:sz w:val="24"/>
          <w:highlight w:val="none"/>
        </w:rPr>
        <w:t xml:space="preserve">9.</w:t>
      </w:r>
      <w:r>
        <w:rPr>
          <w:rFonts w:hint="eastAsia" w:ascii="宋体" w:hAnsi="宋体" w:cs="宋体"/>
          <w:color w:val="auto"/>
          <w:sz w:val="24"/>
          <w:highlight w:val="none"/>
        </w:rPr>
        <w:t xml:space="preserve">单位负责人为同一人或者存在直接控股、管理关系的不同供应商，不得参加同一合同项下的政府采购活动。</w:t>
      </w:r>
      <w:r>
        <w:rPr>
          <w:rFonts w:hint="eastAsia" w:ascii="宋体" w:hAnsi="宋体" w:cs="宋体"/>
          <w:b/>
          <w:bCs/>
          <w:color w:val="auto"/>
          <w:sz w:val="24"/>
          <w:highlight w:val="none"/>
        </w:rPr>
        <w:t xml:space="preserve">（自行承诺</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格式自理</w:t>
      </w:r>
      <w:r>
        <w:rPr>
          <w:rFonts w:hint="eastAsia" w:ascii="宋体" w:hAnsi="宋体" w:cs="宋体"/>
          <w:b/>
          <w:bCs/>
          <w:color w:val="auto"/>
          <w:sz w:val="24"/>
          <w:highlight w:val="none"/>
        </w:rPr>
        <w:t xml:space="preserve">）</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（二）落实政府采购政策需满足的资格要求：</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本项目为专门面向中小企业采购的项目,供应商必须为中小微企业，不接受非中小型企业参与本项目投标。</w:t>
      </w:r>
      <w:r/>
    </w:p>
    <w:p>
      <w:pPr>
        <w:ind w:firstLine="480"/>
        <w:spacing w:line="460" w:lineRule="exact"/>
        <w:rPr>
          <w:rFonts w:hint="eastAsia" w:ascii="宋体" w:hAnsi="宋体" w:cs="宋体"/>
          <w:color w:val="auto"/>
          <w:sz w:val="24"/>
          <w:highlight w:val="none"/>
          <w:lang w:eastAsia="zh-CN"/>
        </w:rPr>
      </w:pPr>
      <w:r>
        <w:rPr>
          <w:rFonts w:hint="eastAsia" w:ascii="宋体" w:hAnsi="宋体" w:cs="宋体"/>
          <w:color w:val="auto"/>
          <w:sz w:val="24"/>
          <w:highlight w:val="none"/>
        </w:rPr>
        <w:t xml:space="preserve">（三）本项目的特定资格要求</w:t>
      </w:r>
      <w:r>
        <w:rPr>
          <w:rFonts w:hint="eastAsia" w:ascii="宋体" w:hAnsi="宋体" w:cs="宋体"/>
          <w:color w:val="auto"/>
          <w:sz w:val="24"/>
          <w:highlight w:val="none"/>
          <w:lang w:eastAsia="zh-CN"/>
        </w:rPr>
        <w:t xml:space="preserve">：</w:t>
      </w:r>
      <w:r/>
    </w:p>
    <w:p>
      <w:pPr>
        <w:ind w:firstLine="480"/>
        <w:spacing w:line="460" w:lineRule="exact"/>
        <w:rPr>
          <w:rFonts w:hint="eastAsia" w:ascii="宋体" w:hAnsi="宋体" w:cs="宋体" w:eastAsiaTheme="minorEastAsia"/>
          <w:color w:val="auto"/>
          <w:sz w:val="24"/>
          <w:highlight w:val="none"/>
          <w:lang w:eastAsia="zh-CN"/>
        </w:rPr>
      </w:pPr>
      <w:r>
        <w:rPr>
          <w:rFonts w:hint="eastAsia" w:ascii="宋体" w:hAnsi="宋体" w:cs="宋体"/>
          <w:color w:val="auto"/>
          <w:sz w:val="24"/>
          <w:highlight w:val="none"/>
        </w:rPr>
        <w:t xml:space="preserve">投标供应商必须具有独立法人资格和城乡规划编制乙级及以上资质</w:t>
      </w:r>
      <w:r>
        <w:rPr>
          <w:rFonts w:hint="eastAsia" w:ascii="宋体" w:hAnsi="宋体" w:cs="宋体"/>
          <w:color w:val="auto"/>
          <w:sz w:val="24"/>
          <w:highlight w:val="none"/>
          <w:lang w:eastAsia="zh-CN"/>
        </w:rPr>
        <w:t xml:space="preserve">。</w:t>
      </w:r>
      <w:r/>
    </w:p>
    <w:p>
      <w:pPr>
        <w:pStyle w:val="829"/>
        <w:ind w:firstLine="482"/>
        <w:jc w:val="both"/>
        <w:spacing w:line="460" w:lineRule="exact"/>
        <w:widowControl/>
        <w:rPr>
          <w:rStyle w:val="828"/>
          <w:rFonts w:ascii="宋体" w:hAnsi="宋体" w:eastAsia="宋体" w:cs="Times New Roman"/>
          <w:b/>
          <w:bCs/>
          <w:color w:val="auto"/>
          <w:sz w:val="24"/>
          <w:szCs w:val="24"/>
          <w:highlight w:val="none"/>
        </w:rPr>
      </w:pPr>
      <w:r/>
      <w:bookmarkStart w:id="4" w:name="_Toc4"/>
      <w:r>
        <w:rPr>
          <w:rStyle w:val="828"/>
          <w:rFonts w:ascii="宋体" w:hAnsi="宋体" w:eastAsia="宋体" w:cs="Times New Roman"/>
          <w:b/>
          <w:bCs/>
          <w:color w:val="auto"/>
          <w:sz w:val="24"/>
          <w:szCs w:val="24"/>
          <w:highlight w:val="none"/>
        </w:rPr>
        <w:t xml:space="preserve">三、获取招标文件</w:t>
      </w:r>
      <w:bookmarkEnd w:id="4"/>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时间：</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2024年</w:t>
      </w:r>
      <w:r>
        <w:rPr>
          <w:rFonts w:hint="eastAsia" w:ascii="宋体" w:hAnsi="宋体" w:cs="宋体"/>
          <w:color w:val="auto"/>
          <w:sz w:val="24"/>
          <w:highlight w:val="none"/>
          <w:lang w:val="en-US" w:eastAsia="zh-CN"/>
        </w:rPr>
        <w:t xml:space="preserve">06</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24</w:t>
      </w:r>
      <w:r>
        <w:rPr>
          <w:rFonts w:hint="eastAsia" w:ascii="宋体" w:hAnsi="宋体" w:cs="宋体"/>
          <w:color w:val="auto"/>
          <w:sz w:val="24"/>
          <w:highlight w:val="none"/>
        </w:rPr>
        <w:t xml:space="preserve">日至2024年</w:t>
      </w:r>
      <w:r>
        <w:rPr>
          <w:rFonts w:hint="eastAsia" w:ascii="宋体" w:hAnsi="宋体" w:cs="宋体"/>
          <w:color w:val="auto"/>
          <w:sz w:val="24"/>
          <w:highlight w:val="none"/>
          <w:lang w:val="en-US" w:eastAsia="zh-CN"/>
        </w:rPr>
        <w:t xml:space="preserve">07</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18</w:t>
      </w:r>
      <w:r>
        <w:rPr>
          <w:rFonts w:hint="eastAsia" w:ascii="宋体" w:hAnsi="宋体" w:cs="宋体"/>
          <w:color w:val="auto"/>
          <w:sz w:val="24"/>
          <w:highlight w:val="none"/>
        </w:rPr>
        <w:t xml:space="preserve">日，每天上午00:00-12:00，下午12:00-23:59（北京时间，法定节假日除外）</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地点：中国政府采购网、江苏政府采购网、盐城市政府采购网  </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方式：自行免费下载 </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售价：0.00元 </w:t>
      </w:r>
      <w:r/>
    </w:p>
    <w:p>
      <w:pPr>
        <w:pStyle w:val="829"/>
        <w:ind w:firstLine="482"/>
        <w:jc w:val="both"/>
        <w:spacing w:line="460" w:lineRule="exact"/>
        <w:widowControl/>
        <w:rPr>
          <w:rStyle w:val="828"/>
          <w:rFonts w:ascii="宋体" w:hAnsi="宋体" w:eastAsia="宋体" w:cs="Times New Roman"/>
          <w:b/>
          <w:bCs/>
          <w:color w:val="auto"/>
          <w:sz w:val="24"/>
          <w:szCs w:val="24"/>
          <w:highlight w:val="none"/>
        </w:rPr>
      </w:pPr>
      <w:r/>
      <w:bookmarkStart w:id="5" w:name="_Toc5"/>
      <w:r>
        <w:rPr>
          <w:rStyle w:val="828"/>
          <w:rFonts w:ascii="宋体" w:hAnsi="宋体" w:eastAsia="宋体" w:cs="Times New Roman"/>
          <w:b/>
          <w:bCs/>
          <w:color w:val="auto"/>
          <w:sz w:val="24"/>
          <w:szCs w:val="24"/>
          <w:highlight w:val="none"/>
        </w:rPr>
        <w:t xml:space="preserve">四、提交投标文件截止时间、开标时间和地点</w:t>
      </w:r>
      <w:bookmarkEnd w:id="5"/>
      <w:r/>
      <w:r/>
    </w:p>
    <w:p>
      <w:pPr>
        <w:ind w:firstLine="480"/>
        <w:spacing w:line="460" w:lineRule="exact"/>
        <w:rPr>
          <w:rFonts w:ascii="宋体" w:hAnsi="宋体" w:cs="宋体"/>
          <w:color w:val="auto"/>
          <w:sz w:val="24"/>
          <w:highlight w:val="none"/>
        </w:rPr>
      </w:pPr>
      <w:r/>
      <w:bookmarkStart w:id="6" w:name="_Toc6"/>
      <w:r>
        <w:rPr>
          <w:rFonts w:hint="eastAsia" w:ascii="宋体" w:hAnsi="宋体" w:cs="宋体"/>
          <w:color w:val="auto"/>
          <w:sz w:val="24"/>
          <w:highlight w:val="none"/>
        </w:rPr>
        <w:t xml:space="preserve">2024-</w:t>
      </w:r>
      <w:r>
        <w:rPr>
          <w:rFonts w:hint="eastAsia" w:ascii="宋体" w:hAnsi="宋体" w:cs="宋体"/>
          <w:color w:val="auto"/>
          <w:sz w:val="24"/>
          <w:highlight w:val="none"/>
          <w:lang w:val="en-US" w:eastAsia="zh-CN"/>
        </w:rPr>
        <w:t xml:space="preserve">07</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18</w:t>
      </w:r>
      <w:r>
        <w:rPr>
          <w:rFonts w:hint="eastAsia" w:ascii="宋体" w:hAnsi="宋体" w:cs="宋体"/>
          <w:color w:val="auto"/>
          <w:sz w:val="24"/>
          <w:highlight w:val="none"/>
        </w:rPr>
        <w:t xml:space="preserve"> 09:00 （北京时间）</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地点：“苏采云”政府采购交易系统 </w:t>
      </w:r>
      <w:r/>
    </w:p>
    <w:p>
      <w:pPr>
        <w:pStyle w:val="829"/>
        <w:ind w:firstLine="482"/>
        <w:jc w:val="both"/>
        <w:spacing w:line="460" w:lineRule="exact"/>
        <w:widowControl/>
        <w:rPr>
          <w:rStyle w:val="828"/>
          <w:rFonts w:ascii="宋体" w:hAnsi="宋体" w:eastAsia="宋体" w:cs="Times New Roman"/>
          <w:b/>
          <w:bCs/>
          <w:color w:val="auto"/>
          <w:sz w:val="24"/>
          <w:szCs w:val="24"/>
          <w:highlight w:val="none"/>
        </w:rPr>
      </w:pPr>
      <w:r>
        <w:rPr>
          <w:rStyle w:val="828"/>
          <w:rFonts w:ascii="宋体" w:hAnsi="宋体" w:eastAsia="宋体" w:cs="Times New Roman"/>
          <w:b/>
          <w:bCs/>
          <w:color w:val="auto"/>
          <w:sz w:val="24"/>
          <w:szCs w:val="24"/>
          <w:highlight w:val="none"/>
        </w:rPr>
        <w:t xml:space="preserve">五、公告期限</w:t>
      </w:r>
      <w:bookmarkEnd w:id="6"/>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自本公告发布之日起5个工作日。</w:t>
      </w:r>
      <w:r/>
    </w:p>
    <w:p>
      <w:pPr>
        <w:pStyle w:val="829"/>
        <w:ind w:firstLine="482"/>
        <w:jc w:val="both"/>
        <w:spacing w:line="460" w:lineRule="exact"/>
        <w:widowControl/>
        <w:rPr>
          <w:rStyle w:val="828"/>
          <w:rFonts w:ascii="宋体" w:hAnsi="宋体" w:eastAsia="宋体" w:cs="Times New Roman"/>
          <w:b/>
          <w:bCs/>
          <w:color w:val="auto"/>
          <w:sz w:val="24"/>
          <w:szCs w:val="24"/>
          <w:highlight w:val="none"/>
        </w:rPr>
      </w:pPr>
      <w:r/>
      <w:bookmarkStart w:id="7" w:name="_Toc7"/>
      <w:r>
        <w:rPr>
          <w:rStyle w:val="828"/>
          <w:rFonts w:ascii="宋体" w:hAnsi="宋体" w:eastAsia="宋体" w:cs="Times New Roman"/>
          <w:b/>
          <w:bCs/>
          <w:color w:val="auto"/>
          <w:sz w:val="24"/>
          <w:szCs w:val="24"/>
          <w:highlight w:val="none"/>
        </w:rPr>
        <w:t xml:space="preserve">六、其他补充事宜</w:t>
      </w:r>
      <w:bookmarkEnd w:id="7"/>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http://www.ccgp-jiangsu.gov.cn/jiangsu/zlxz/ee/ee3a4bc5a3454aa2b0d9312230633ce9.html。</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载地址：http://czj.yancheng.gov.cn/art/2023/9/14/art_2407_4057499.html。</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2.有关本次招标的事项若存在变动或修改，敬请及时关注“中国政府采购网”、“江苏政府采购网”、“盐城市政府采购网”发布的更正公告。</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3.本次招标不收取投标保证金，不收取质量保证金。</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4.本项目（是/否）接受银行、保险、石油石化、电力、电信等行业的分支机构参与：</w:t>
      </w:r>
      <w:r>
        <w:rPr>
          <w:rFonts w:hint="eastAsia" w:ascii="宋体" w:hAnsi="宋体" w:eastAsia="宋体" w:cs="宋体"/>
          <w:color w:val="auto"/>
          <w:sz w:val="24"/>
          <w:highlight w:val="none"/>
          <w:u w:val="single"/>
        </w:rPr>
        <w:t xml:space="preserve"> 否</w:t>
      </w:r>
      <w:r>
        <w:rPr>
          <w:rFonts w:hint="eastAsia" w:ascii="宋体" w:hAnsi="宋体" w:eastAsia="宋体" w:cs="宋体"/>
          <w:color w:val="auto"/>
          <w:sz w:val="24"/>
          <w:highlight w:val="none"/>
        </w:rPr>
        <w:t xml:space="preserve">。【如接受，则分支机构的负责人视同为供应商法定代表人。】</w:t>
      </w:r>
      <w:r/>
    </w:p>
    <w:p>
      <w:pPr>
        <w:ind w:firstLine="480"/>
        <w:spacing w:line="460" w:lineRule="exact"/>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5.供应商成交后打印纸质响应文件（正本壹份、副本贰份），在领取成交通知书前与用普通光盘或U盘拷贝的电子响应文件一并送至采购人。</w:t>
      </w:r>
      <w:r/>
    </w:p>
    <w:p>
      <w:pPr>
        <w:pStyle w:val="829"/>
        <w:ind w:firstLine="482"/>
        <w:jc w:val="both"/>
        <w:spacing w:line="460" w:lineRule="exact"/>
        <w:widowControl/>
        <w:rPr>
          <w:rStyle w:val="828"/>
          <w:rFonts w:ascii="宋体" w:hAnsi="宋体" w:eastAsia="宋体" w:cs="Times New Roman"/>
          <w:b/>
          <w:bCs/>
          <w:color w:val="auto"/>
          <w:sz w:val="24"/>
          <w:szCs w:val="24"/>
          <w:highlight w:val="none"/>
        </w:rPr>
      </w:pPr>
      <w:r/>
      <w:bookmarkStart w:id="8" w:name="_Toc8"/>
      <w:r>
        <w:rPr>
          <w:rStyle w:val="828"/>
          <w:rFonts w:ascii="宋体" w:hAnsi="宋体" w:eastAsia="宋体" w:cs="Times New Roman"/>
          <w:b/>
          <w:bCs/>
          <w:color w:val="auto"/>
          <w:sz w:val="24"/>
          <w:szCs w:val="24"/>
          <w:highlight w:val="none"/>
        </w:rPr>
        <w:t xml:space="preserve">七、本次招标联系方式</w:t>
      </w:r>
      <w:bookmarkEnd w:id="8"/>
      <w:r/>
      <w:r/>
    </w:p>
    <w:p>
      <w:pPr>
        <w:ind w:firstLine="480"/>
        <w:spacing w:line="460" w:lineRule="exact"/>
        <w:rPr>
          <w:rFonts w:ascii="宋体" w:hAnsi="宋体" w:cs="宋体"/>
          <w:color w:val="auto"/>
          <w:sz w:val="24"/>
          <w:highlight w:val="none"/>
        </w:rPr>
      </w:pPr>
      <w:r>
        <w:rPr>
          <w:rStyle w:val="828"/>
          <w:rFonts w:ascii="宋体" w:hAnsi="宋体" w:eastAsia="宋体" w:cs="宋体"/>
          <w:color w:val="auto"/>
          <w:sz w:val="24"/>
          <w:highlight w:val="none"/>
        </w:rPr>
        <w:t xml:space="preserve">1</w:t>
      </w:r>
      <w:r>
        <w:rPr>
          <w:rFonts w:hint="eastAsia" w:ascii="宋体" w:hAnsi="宋体" w:cs="宋体"/>
          <w:color w:val="auto"/>
          <w:sz w:val="24"/>
          <w:highlight w:val="none"/>
        </w:rPr>
        <w:t xml:space="preserve">.采购人信息</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名    称：东台市农业农村局</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地    址：东台市广场路6号</w:t>
      </w:r>
      <w:r/>
    </w:p>
    <w:p>
      <w:pPr>
        <w:ind w:firstLine="480"/>
        <w:spacing w:line="460" w:lineRule="exact"/>
        <w:rPr>
          <w:rFonts w:hint="eastAsia" w:ascii="宋体" w:hAnsi="宋体" w:cs="宋体" w:eastAsiaTheme="minorEastAsia"/>
          <w:color w:val="auto"/>
          <w:sz w:val="24"/>
          <w:highlight w:val="none"/>
          <w:lang w:eastAsia="zh-CN"/>
        </w:rPr>
      </w:pPr>
      <w:r>
        <w:rPr>
          <w:rFonts w:hint="eastAsia" w:ascii="宋体" w:hAnsi="宋体" w:cs="宋体"/>
          <w:color w:val="auto"/>
          <w:sz w:val="24"/>
          <w:highlight w:val="none"/>
        </w:rPr>
        <w:t xml:space="preserve">联系方式：</w:t>
      </w:r>
      <w:r>
        <w:rPr>
          <w:rFonts w:hint="eastAsia" w:ascii="宋体" w:hAnsi="宋体" w:cs="宋体"/>
          <w:color w:val="auto"/>
          <w:sz w:val="24"/>
          <w:highlight w:val="none"/>
          <w:lang w:eastAsia="zh-CN"/>
        </w:rPr>
        <w:t xml:space="preserve">陈先生、15251010990</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2.采购代理机构信息（如有）</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名    称：江苏天信建设项目咨询有限公司</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地　　址：南京市水西门大街272号金基广场4A层</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联系方式：张先生、17606161703</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3.项目联系方式</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项目联系人：</w:t>
      </w:r>
      <w:r>
        <w:rPr>
          <w:rFonts w:hint="eastAsia" w:ascii="宋体" w:hAnsi="宋体" w:cs="宋体"/>
          <w:color w:val="auto"/>
          <w:sz w:val="24"/>
          <w:highlight w:val="none"/>
          <w:lang w:val="en-US" w:eastAsia="zh-CN"/>
        </w:rPr>
        <w:t xml:space="preserve">陈</w:t>
      </w:r>
      <w:r>
        <w:rPr>
          <w:rFonts w:hint="eastAsia" w:ascii="宋体" w:hAnsi="宋体" w:cs="宋体"/>
          <w:color w:val="auto"/>
          <w:sz w:val="24"/>
          <w:highlight w:val="none"/>
          <w:lang w:eastAsia="zh-CN"/>
        </w:rPr>
        <w:t xml:space="preserve">先生</w:t>
      </w:r>
      <w:r>
        <w:rPr>
          <w:rFonts w:hint="eastAsia" w:ascii="宋体" w:hAnsi="宋体" w:cs="宋体"/>
          <w:color w:val="auto"/>
          <w:sz w:val="24"/>
          <w:highlight w:val="none"/>
        </w:rPr>
        <w:t xml:space="preserve">（采购人）、张先生（代理机构）</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电　　 话：</w:t>
      </w:r>
      <w:r>
        <w:rPr>
          <w:rFonts w:hint="eastAsia" w:ascii="宋体" w:hAnsi="宋体" w:cs="宋体"/>
          <w:color w:val="auto"/>
          <w:sz w:val="24"/>
          <w:highlight w:val="none"/>
          <w:lang w:val="en-US" w:eastAsia="zh-CN"/>
        </w:rPr>
        <w:t xml:space="preserve">15251010990</w:t>
      </w:r>
      <w:r>
        <w:rPr>
          <w:rFonts w:hint="eastAsia" w:ascii="宋体" w:hAnsi="宋体" w:cs="宋体"/>
          <w:color w:val="auto"/>
          <w:sz w:val="24"/>
          <w:highlight w:val="none"/>
        </w:rPr>
        <w:t xml:space="preserve">、17606161703 </w:t>
      </w:r>
      <w:r/>
    </w:p>
    <w:p>
      <w:pPr>
        <w:ind w:firstLine="480"/>
        <w:jc w:val="center"/>
        <w:spacing w:line="360" w:lineRule="auto"/>
        <w:widowControl/>
        <w:rPr>
          <w:color w:val="auto"/>
          <w:highlight w:val="none"/>
        </w:rPr>
      </w:pPr>
      <w:r>
        <w:rPr>
          <w:rStyle w:val="828"/>
          <w:rFonts w:hint="eastAsia" w:ascii="Times New Roman" w:hAnsi="宋体" w:eastAsia="宋体" w:cs="Times New Roman"/>
          <w:color w:val="auto"/>
          <w:sz w:val="24"/>
          <w:highlight w:val="none"/>
        </w:rPr>
        <w:t xml:space="preserve">        </w:t>
      </w:r>
      <w:bookmarkStart w:id="9" w:name="_Toc9"/>
      <w:r>
        <w:rPr>
          <w:rFonts w:hint="eastAsia" w:ascii="宋体" w:hAnsi="宋体" w:eastAsia="宋体" w:cs="宋体"/>
          <w:color w:val="auto"/>
          <w:highlight w:val="none"/>
        </w:rPr>
        <w:br w:type="page" w:clear="all"/>
      </w:r>
      <w:r>
        <w:rPr>
          <w:rFonts w:hint="eastAsia" w:ascii="宋体" w:hAnsi="宋体" w:eastAsia="宋体" w:cs="宋体"/>
          <w:color w:val="auto"/>
          <w:highlight w:val="none"/>
        </w:rPr>
        <w:t xml:space="preserve"> </w:t>
      </w:r>
      <w:r>
        <w:rPr>
          <w:rFonts w:hint="eastAsia" w:ascii="黑体" w:hAnsi="宋体" w:eastAsia="黑体" w:cs="黑体"/>
          <w:b/>
          <w:color w:val="auto"/>
          <w:sz w:val="44"/>
          <w:szCs w:val="44"/>
          <w:highlight w:val="none"/>
        </w:rPr>
        <w:t xml:space="preserve">第二章  投标人须知</w:t>
      </w:r>
      <w:bookmarkEnd w:id="9"/>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一、总则</w:t>
      </w:r>
      <w:r/>
    </w:p>
    <w:p>
      <w:pPr>
        <w:ind w:firstLine="560"/>
        <w:jc w:val="left"/>
        <w:spacing w:line="360" w:lineRule="auto"/>
        <w:rPr>
          <w:rFonts w:ascii="黑体" w:hAnsi="黑体" w:eastAsia="黑体" w:cs="黑体"/>
          <w:color w:val="auto"/>
          <w:sz w:val="28"/>
          <w:szCs w:val="28"/>
          <w:highlight w:val="none"/>
        </w:rPr>
      </w:pPr>
      <w:r/>
      <w:bookmarkStart w:id="10" w:name="_Hlt16619475"/>
      <w:r>
        <w:rPr>
          <w:rFonts w:hint="eastAsia" w:ascii="黑体" w:hAnsi="黑体" w:eastAsia="黑体" w:cs="黑体"/>
          <w:color w:val="auto"/>
          <w:sz w:val="28"/>
          <w:szCs w:val="28"/>
          <w:highlight w:val="none"/>
        </w:rPr>
        <w:t xml:space="preserve">1、招标方式</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1.1 本次招标采取公开招标方式，本招标文件仅适用于招标公告中所述项目。</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2、合格的投标人</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2.1满足招标公告中供应商的资格要求的规定。</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2.2 满足本文件实质性条款的规定。</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3、适用法律</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3.1 本次招标及由此产生的合同受中华人民共和国有关的法律法规制约和保护。</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4、投标费用</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4.1 投标人应自行承担所有参加投标有关的费用，无论投标过程中的做法和结果如何，采购人在任何情况下均无义务和责任承担这些费用。</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5、招标文件的约束力</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5.1 投标人一旦参加本项目采购活动，即被认为接受了本招标文件的规定和约束。</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二、招标文件</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6、招标文件构成</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6.1 招标文件由以下部分组成：</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（1）招标公告</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（2）投标人须知</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（3）合同文本</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（4）采购需求</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（5）评标方法与评标标准</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（6）投标文件格式</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请仔细检查招标文件是否齐全，如有缺漏请立即与采购中心联系解决。</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7、招标文件的澄清</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7.1任何要求对招标文件进行澄清的投标人，应在投标截止期十五日前按招标公告中的通讯地址，以书面形式通知采购人。</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8、招标文件的修改</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8.1在投标截止时间前，采购中心可以对招标文件进行修改。</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8.2采购中心有权按照法定的要求推迟投标截止日期和开标日期。</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8.3招标文件的修改将在“中国政府采购网、江苏政府采购网、盐城市政府采购网”公布，补充文件将作为招标文件的组成部分，并对投标人具有约束力。</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三、投标文件的编制</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9、投标文件的语言及度量衡单位</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9.1 </w:t>
      </w:r>
      <w:r>
        <w:rPr>
          <w:rFonts w:hint="eastAsia" w:ascii="宋体" w:hAnsi="宋体"/>
          <w:color w:val="auto"/>
          <w:sz w:val="24"/>
          <w:highlight w:val="none"/>
        </w:rPr>
        <w:t xml:space="preserve">投标人提交的投标文件以及投标人与采购人就有关投标的所有来往通知、函件和文件均应使用</w:t>
      </w:r>
      <w:r>
        <w:rPr>
          <w:rFonts w:hint="eastAsia" w:ascii="宋体" w:hAnsi="宋体"/>
          <w:b/>
          <w:bCs/>
          <w:color w:val="auto"/>
          <w:sz w:val="24"/>
          <w:highlight w:val="none"/>
        </w:rPr>
        <w:t xml:space="preserve">简体中文</w:t>
      </w:r>
      <w:r>
        <w:rPr>
          <w:rFonts w:hint="eastAsia" w:ascii="宋体" w:hAnsi="宋体" w:eastAsia="宋体" w:cs="宋体"/>
          <w:color w:val="auto"/>
          <w:sz w:val="24"/>
          <w:highlight w:val="none"/>
        </w:rPr>
        <w:t xml:space="preserve">。</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9.2 </w:t>
      </w:r>
      <w:r>
        <w:rPr>
          <w:rFonts w:hint="eastAsia" w:ascii="宋体" w:hAnsi="宋体"/>
          <w:color w:val="auto"/>
          <w:sz w:val="24"/>
          <w:highlight w:val="none"/>
        </w:rPr>
        <w:t xml:space="preserve">除技术性能另有规定外，投标文件所使用的度量衡单位，均须采用国家法定计量单位</w:t>
      </w:r>
      <w:r>
        <w:rPr>
          <w:rFonts w:hint="eastAsia" w:ascii="宋体" w:hAnsi="宋体" w:eastAsia="宋体" w:cs="宋体"/>
          <w:color w:val="auto"/>
          <w:sz w:val="24"/>
          <w:highlight w:val="none"/>
        </w:rPr>
        <w:t xml:space="preserve">。</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10、投标文件构成</w:t>
      </w:r>
      <w:r/>
    </w:p>
    <w:p>
      <w:pPr>
        <w:ind w:firstLine="480"/>
        <w:spacing w:line="460" w:lineRule="exact"/>
        <w:rPr>
          <w:rFonts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 xml:space="preserve">10.1 开标一览表（系统固定格式）</w:t>
      </w:r>
      <w:r/>
    </w:p>
    <w:p>
      <w:pPr>
        <w:ind w:firstLine="480"/>
        <w:spacing w:line="460" w:lineRule="exact"/>
        <w:rPr>
          <w:rFonts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 xml:space="preserve">10.2 资格审查资料</w:t>
      </w:r>
      <w:r/>
    </w:p>
    <w:p>
      <w:pPr>
        <w:ind w:firstLine="480"/>
        <w:spacing w:line="460" w:lineRule="exact"/>
        <w:rPr>
          <w:rFonts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 xml:space="preserve">10.2.1 法人或者其他组织的营业执照等证明文件，自然人的身份证明</w:t>
      </w:r>
      <w:r/>
    </w:p>
    <w:p>
      <w:pPr>
        <w:ind w:firstLine="480"/>
        <w:spacing w:line="460" w:lineRule="exact"/>
        <w:rPr>
          <w:rFonts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 xml:space="preserve">10.2.2上一年度的财务状况报表（至少提供资产负债表、利润表、现金流量表，投标人成立不满一年无需提供）</w:t>
      </w:r>
      <w:r/>
    </w:p>
    <w:p>
      <w:pPr>
        <w:ind w:firstLine="480"/>
        <w:spacing w:line="460" w:lineRule="exact"/>
        <w:rPr>
          <w:rFonts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 xml:space="preserve">10.2.3 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60" w:lineRule="exact"/>
        <w:rPr>
          <w:rFonts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 xml:space="preserve">10.2.4 具备履行合同所必需的设备和专业技术能力的书面声明</w:t>
      </w:r>
      <w:r/>
    </w:p>
    <w:p>
      <w:pPr>
        <w:ind w:firstLine="480"/>
        <w:spacing w:line="460" w:lineRule="exact"/>
        <w:rPr>
          <w:rFonts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 xml:space="preserve">10.2.5 参加政府采购活动前 3 年内在经营活动中没有重大违法记录的书面声明</w:t>
      </w:r>
      <w:r/>
    </w:p>
    <w:p>
      <w:pPr>
        <w:ind w:firstLine="480"/>
        <w:spacing w:line="460" w:lineRule="exact"/>
        <w:rPr>
          <w:rFonts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 xml:space="preserve">10.2.6 投标人法定代表人身份证明和投标文件签署授权委托书（另附法定代表人和被授权人的身份证复印件或扫描件）；</w:t>
      </w:r>
      <w:r/>
    </w:p>
    <w:p>
      <w:pPr>
        <w:ind w:firstLine="480"/>
        <w:spacing w:line="460" w:lineRule="exact"/>
        <w:rPr>
          <w:rFonts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 xml:space="preserve">10.2.7 投标人为被授权人缴纳的社会养老保险证明；</w:t>
      </w:r>
      <w:r/>
    </w:p>
    <w:p>
      <w:pPr>
        <w:ind w:firstLine="480"/>
        <w:spacing w:line="460" w:lineRule="exact"/>
        <w:rPr>
          <w:rFonts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 xml:space="preserve">10.2.8 与资格审查有关的其他资料（如有）。</w:t>
      </w:r>
      <w:r/>
    </w:p>
    <w:p>
      <w:pPr>
        <w:ind w:firstLine="480"/>
        <w:spacing w:line="460" w:lineRule="exact"/>
        <w:rPr>
          <w:rFonts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 xml:space="preserve">10.3 符合性资料</w:t>
      </w:r>
      <w:r/>
    </w:p>
    <w:p>
      <w:pPr>
        <w:ind w:firstLine="480"/>
        <w:spacing w:line="460" w:lineRule="exact"/>
        <w:rPr>
          <w:rFonts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 xml:space="preserve">10.3.1 报价明细表</w:t>
      </w:r>
      <w:r/>
    </w:p>
    <w:p>
      <w:pPr>
        <w:ind w:firstLine="480"/>
        <w:spacing w:line="460" w:lineRule="exact"/>
        <w:rPr>
          <w:rFonts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 xml:space="preserve">10.3.2 投标函；</w:t>
      </w:r>
      <w:r/>
    </w:p>
    <w:p>
      <w:pPr>
        <w:ind w:firstLine="480"/>
        <w:spacing w:line="460" w:lineRule="exact"/>
        <w:rPr>
          <w:rFonts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 xml:space="preserve">10.3.3 所供服务（服务附带的产品）内容及服务要求偏离表；</w:t>
      </w:r>
      <w:r/>
    </w:p>
    <w:p>
      <w:pPr>
        <w:ind w:firstLine="480"/>
        <w:spacing w:line="460" w:lineRule="exact"/>
        <w:rPr>
          <w:rFonts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 xml:space="preserve">10.3.4 投标人的服务承诺；</w:t>
      </w:r>
      <w:r/>
    </w:p>
    <w:p>
      <w:pPr>
        <w:ind w:firstLine="480"/>
        <w:spacing w:line="460" w:lineRule="exact"/>
        <w:rPr>
          <w:rFonts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 xml:space="preserve">10.3.5 中小企业声明函、残疾人福利性单位声明函；（如有）</w:t>
      </w:r>
      <w:r/>
    </w:p>
    <w:p>
      <w:pPr>
        <w:ind w:firstLine="480"/>
        <w:spacing w:line="460" w:lineRule="exact"/>
        <w:rPr>
          <w:rFonts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 xml:space="preserve">10.3.6 联合体协议（如有）；</w:t>
      </w:r>
      <w:r/>
    </w:p>
    <w:p>
      <w:pPr>
        <w:ind w:firstLine="480"/>
        <w:spacing w:line="460" w:lineRule="exact"/>
        <w:rPr>
          <w:rFonts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 xml:space="preserve">10.3.7 盐城市政府采购事前信用承诺书；</w:t>
      </w:r>
      <w:r/>
    </w:p>
    <w:p>
      <w:pPr>
        <w:ind w:firstLine="480"/>
        <w:spacing w:line="460" w:lineRule="exact"/>
        <w:rPr>
          <w:rFonts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 xml:space="preserve">10.4 综合评审相关资料</w:t>
      </w:r>
      <w:r/>
    </w:p>
    <w:p>
      <w:pPr>
        <w:ind w:firstLine="480"/>
        <w:spacing w:line="460" w:lineRule="exact"/>
        <w:rPr>
          <w:rFonts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 xml:space="preserve">10.5 价格折扣文件（如有）</w:t>
      </w:r>
      <w:r/>
    </w:p>
    <w:p>
      <w:pPr>
        <w:ind w:firstLine="480"/>
        <w:spacing w:line="460" w:lineRule="exact"/>
        <w:rPr>
          <w:rFonts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 xml:space="preserve">注：1）以上材料须按顺序进行排列。</w:t>
      </w:r>
      <w:r/>
    </w:p>
    <w:p>
      <w:pPr>
        <w:ind w:firstLine="480"/>
        <w:spacing w:line="460" w:lineRule="exact"/>
        <w:rPr>
          <w:rFonts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 xml:space="preserve">2）如为法定代表人参与公开招标的无须提供“投标文件签署授权委托书”和“被授权人缴纳的社会养老保险证明”。</w:t>
      </w:r>
      <w:r/>
    </w:p>
    <w:p>
      <w:pPr>
        <w:ind w:firstLine="480"/>
        <w:spacing w:line="460" w:lineRule="exact"/>
        <w:rPr>
          <w:rFonts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 xml:space="preserve">3）与本次公开招标无关的资料不要求提供。</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10.2如标书制作工具中格式和内容与“江苏政府采购网”、“盐城市政府采购网”发布的招标文件不一致，请以“江苏政府采购网”、“盐城市政府采购网”发布的招标文件为准。</w:t>
      </w:r>
      <w:r/>
    </w:p>
    <w:p>
      <w:pPr>
        <w:ind w:firstLine="560"/>
        <w:jc w:val="left"/>
        <w:spacing w:line="360" w:lineRule="auto"/>
        <w:rPr>
          <w:rFonts w:ascii="黑体" w:hAnsi="黑体" w:eastAsia="黑体" w:cs="黑体"/>
          <w:color w:val="auto"/>
          <w:sz w:val="28"/>
          <w:szCs w:val="28"/>
          <w:highlight w:val="none"/>
        </w:rPr>
      </w:pPr>
      <w:r/>
      <w:bookmarkStart w:id="11" w:name="_Hlt26668975"/>
      <w:r/>
      <w:bookmarkStart w:id="12" w:name="_Hlt26954838"/>
      <w:r/>
      <w:bookmarkStart w:id="13" w:name="_Hlt26670360"/>
      <w:r>
        <w:rPr>
          <w:rFonts w:hint="eastAsia" w:ascii="黑体" w:hAnsi="黑体" w:eastAsia="黑体" w:cs="黑体"/>
          <w:color w:val="auto"/>
          <w:sz w:val="28"/>
          <w:szCs w:val="28"/>
          <w:highlight w:val="none"/>
        </w:rPr>
        <w:t xml:space="preserve">11、证明投标人及投标标的符合招标文件规定的文件</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11.1投标人应按照法律、法规、规章和规范性文件以及招标文件要求提交证明文件，证明其及投标标的符合招标文件规定。</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11.2招标文件对证明文件无明确形式要求的，证明文件可以以文字资料、图纸和数据等形式提交。</w:t>
      </w:r>
      <w:r/>
    </w:p>
    <w:p>
      <w:pPr>
        <w:ind w:firstLine="480"/>
        <w:spacing w:line="460" w:lineRule="exact"/>
        <w:rPr>
          <w:rFonts w:ascii="宋体" w:hAnsi="宋体" w:eastAsia="宋体" w:cs="宋体"/>
          <w:color w:val="auto"/>
          <w:sz w:val="24"/>
          <w:highlight w:val="none"/>
        </w:rPr>
      </w:pPr>
      <w:r>
        <w:rPr>
          <w:rFonts w:hint="eastAsia" w:ascii="宋体" w:hAnsi="宋体" w:eastAsia="宋体" w:cs="Times New Roman"/>
          <w:color w:val="auto"/>
          <w:sz w:val="24"/>
          <w:highlight w:val="none"/>
        </w:rPr>
        <w:t xml:space="preserve">11.3 “</w:t>
      </w:r>
      <w:r>
        <w:rPr>
          <w:rFonts w:hint="eastAsia" w:ascii="Times New Roman" w:hAnsi="Times New Roman" w:eastAsia="宋体" w:cs="Times New Roman"/>
          <w:color w:val="auto"/>
          <w:sz w:val="24"/>
          <w:szCs w:val="22"/>
          <w:highlight w:val="none"/>
        </w:rPr>
        <w:t xml:space="preserve">上一年度的财务</w:t>
      </w:r>
      <w:r>
        <w:rPr>
          <w:rFonts w:hint="eastAsia" w:ascii="宋体" w:hAnsi="宋体" w:eastAsia="宋体" w:cs="宋体"/>
          <w:color w:val="auto"/>
          <w:sz w:val="24"/>
          <w:highlight w:val="none"/>
        </w:rPr>
        <w:t xml:space="preserve">状况报表”，投标人至少提供资产负债表、利润表、现金流量表，投标人成立不满一年无需提供。</w:t>
      </w:r>
      <w:r/>
    </w:p>
    <w:p>
      <w:pPr>
        <w:ind w:firstLine="480"/>
        <w:spacing w:line="46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11.4 “依法缴纳税收的相关材料”，投标人应提供近期缴纳税收的凭据。</w:t>
      </w:r>
      <w:r/>
    </w:p>
    <w:p>
      <w:pPr>
        <w:ind w:firstLine="480"/>
        <w:spacing w:line="46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11.5 “依法缴纳社会保障资金的相关材料”，投标人应提供近期缴纳社会保险的凭据。</w:t>
      </w:r>
      <w:r/>
    </w:p>
    <w:p>
      <w:pPr>
        <w:ind w:firstLine="480"/>
        <w:spacing w:line="46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11.6 依法免税或不需要缴纳社会保障资金的投标人，应提供相应文件证明其依法免税或不需要缴纳社会保障资金。</w:t>
      </w:r>
      <w:r/>
    </w:p>
    <w:p>
      <w:pPr>
        <w:ind w:firstLine="480"/>
        <w:spacing w:line="46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11.7 “申请人的资格要求”和“资格审查资料”中的“近期”是指近两年以来的任一时间段。</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12、投标</w:t>
      </w:r>
      <w:bookmarkStart w:id="14" w:name="_Hlt26670373"/>
      <w:r>
        <w:rPr>
          <w:rFonts w:hint="eastAsia" w:ascii="黑体" w:hAnsi="黑体" w:eastAsia="黑体" w:cs="黑体"/>
          <w:color w:val="auto"/>
          <w:sz w:val="28"/>
          <w:szCs w:val="28"/>
          <w:highlight w:val="none"/>
        </w:rPr>
        <w:t xml:space="preserve">报价明细表</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12.1投</w:t>
      </w:r>
      <w:bookmarkStart w:id="15" w:name="_Hlt26954840"/>
      <w:r>
        <w:rPr>
          <w:rFonts w:hint="eastAsia" w:ascii="宋体" w:hAnsi="宋体" w:eastAsia="宋体" w:cs="宋体"/>
          <w:color w:val="auto"/>
          <w:sz w:val="24"/>
          <w:highlight w:val="none"/>
        </w:rPr>
        <w:t xml:space="preserve">标人应按照招标文件规定格式填报投标</w:t>
      </w:r>
      <w:bookmarkStart w:id="16" w:name="_Hlt26670399"/>
      <w:r>
        <w:rPr>
          <w:rFonts w:hint="eastAsia" w:ascii="宋体" w:hAnsi="宋体" w:eastAsia="宋体" w:cs="宋体"/>
          <w:color w:val="auto"/>
          <w:sz w:val="24"/>
          <w:highlight w:val="none"/>
        </w:rPr>
        <w:t xml:space="preserve">报价明细表。</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12.2投标货币。投标文件中的单价和总价无特殊规定的采用人民币报价，以元为单位标注。招标文件中另有规定的按规定执行。</w:t>
      </w:r>
      <w:r/>
    </w:p>
    <w:p>
      <w:pPr>
        <w:ind w:firstLine="480"/>
        <w:spacing w:line="460" w:lineRule="exact"/>
        <w:rPr>
          <w:rFonts w:ascii="宋体" w:hAnsi="宋体" w:eastAsia="宋体" w:cs="Times New Roman"/>
          <w:color w:val="auto"/>
          <w:sz w:val="24"/>
          <w:highlight w:val="none"/>
        </w:rPr>
      </w:pPr>
      <w:r/>
      <w:bookmarkStart w:id="17" w:name="_Hlt26954846"/>
      <w:r/>
      <w:bookmarkStart w:id="18" w:name="_Hlt26954731"/>
      <w:r/>
      <w:bookmarkStart w:id="19" w:name="_Hlt26954848"/>
      <w:r/>
      <w:bookmarkStart w:id="20" w:name="_Hlt26668983"/>
      <w:r/>
      <w:bookmarkStart w:id="21" w:name="_Hlt26954842"/>
      <w:r/>
      <w:bookmarkStart w:id="22" w:name="_Hlt26670486"/>
      <w:r/>
      <w:bookmarkStart w:id="23" w:name="_Hlt26670403"/>
      <w:r/>
      <w:bookmarkStart w:id="24" w:name="_Hlt26670482"/>
      <w:r/>
      <w:bookmarkStart w:id="25" w:name="_Hlt26954844"/>
      <w:r/>
      <w:bookmarkStart w:id="26" w:name="_Hlt26670425"/>
      <w:r>
        <w:rPr>
          <w:rFonts w:hint="eastAsia" w:ascii="宋体" w:hAnsi="宋体" w:eastAsia="宋体" w:cs="Times New Roman"/>
          <w:color w:val="auto"/>
          <w:sz w:val="24"/>
          <w:highlight w:val="none"/>
        </w:rPr>
        <w:t xml:space="preserve">13.3 投标人应按照第六章投标文件格式完整地填写报价明细表，说明其拟提供服务的名称、服务内容、数量、价格等，采购人要求投标人明确填写的相关内容的，也应填写。</w:t>
      </w:r>
      <w:r/>
    </w:p>
    <w:p>
      <w:pPr>
        <w:ind w:firstLine="480"/>
        <w:spacing w:line="46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13.4 每项服务内容只允许有一个报价，任何有选择的报价将不予接受。</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13.5 报价除标的物的价款外还应包括全部工作内容的价格体现，以及为完成上述内容所必须的人员工资、加班费、工作人员差旅费、调研考察、各项福利、劳动保险、餐费、员工补助、工作人员必要的住宿费、办公费、论证费、验收费、各类方案评审费、（含专家劳务费、会议组织费）、管理费、为本招标项目提供服务所需的仪器设备、各类耗材、公共耗能费、利润、税金、</w:t>
      </w:r>
      <w:r>
        <w:rPr>
          <w:rFonts w:hint="eastAsia" w:ascii="宋体" w:hAnsi="宋体" w:eastAsia="宋体" w:cs="宋体"/>
          <w:color w:val="auto"/>
          <w:sz w:val="24"/>
          <w:highlight w:val="none"/>
        </w:rPr>
        <w:t xml:space="preserve">本项目服务费5172.60元、</w:t>
      </w:r>
      <w:r>
        <w:rPr>
          <w:rFonts w:hint="eastAsia" w:ascii="宋体" w:hAnsi="宋体" w:eastAsia="宋体" w:cs="宋体"/>
          <w:color w:val="auto"/>
          <w:sz w:val="24"/>
          <w:highlight w:val="none"/>
        </w:rPr>
        <w:t xml:space="preserve">服务期内政策调整风险费等一切费用，招标文件规定的全部费用投标人中标后投标报价不再调整。对投标人认为没有考虑到的费用项目采购人将不予支付，并认为此项费用已包含在投标报价中。</w:t>
      </w:r>
      <w:r/>
    </w:p>
    <w:p>
      <w:pPr>
        <w:ind w:firstLine="560"/>
        <w:jc w:val="left"/>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13、所供服务（服务附带的产品）内容及服务要求偏离表</w:t>
      </w:r>
      <w:r/>
    </w:p>
    <w:p>
      <w:pPr>
        <w:ind w:firstLine="480"/>
        <w:spacing w:line="460" w:lineRule="exact"/>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w:t>
      </w: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zh-CN"/>
        </w:rPr>
        <w:t xml:space="preserve">.1 投标人需对招标文件中的</w:t>
      </w:r>
      <w:r>
        <w:rPr>
          <w:rFonts w:hint="eastAsia" w:ascii="宋体" w:hAnsi="宋体" w:eastAsia="宋体" w:cs="宋体"/>
          <w:color w:val="auto"/>
          <w:sz w:val="24"/>
          <w:highlight w:val="none"/>
        </w:rPr>
        <w:t xml:space="preserve">服务内容及服务要求</w:t>
      </w:r>
      <w:r>
        <w:rPr>
          <w:rFonts w:hint="eastAsia" w:ascii="宋体" w:hAnsi="宋体" w:eastAsia="宋体" w:cs="宋体"/>
          <w:color w:val="auto"/>
          <w:sz w:val="24"/>
          <w:highlight w:val="none"/>
          <w:lang w:val="zh-CN"/>
        </w:rPr>
        <w:t xml:space="preserve">逐项作出响应或偏离，并说明原因。</w:t>
      </w:r>
      <w:r/>
    </w:p>
    <w:p>
      <w:pPr>
        <w:ind w:firstLine="480"/>
        <w:spacing w:line="460" w:lineRule="exact"/>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w:t>
      </w: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zh-CN"/>
        </w:rPr>
        <w:t xml:space="preserve">.2 投标人可在投标文件中提供认为需要的其他技术文件或说明。</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14、投标函和开标一览表</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14.1投标人应按照招标文件中提供的格式完整、正确填写投标函、开标一览表。</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14.2对于采用货币报价的项目，开标一览表中的投标总报价应与投标报价明细表中的投标总报价一致，如不一致，不作为无效投标处理，但评标时按开标一览表中价格为准。</w:t>
      </w:r>
      <w:r/>
    </w:p>
    <w:p>
      <w:pPr>
        <w:ind w:firstLine="560"/>
        <w:jc w:val="left"/>
        <w:spacing w:line="360" w:lineRule="auto"/>
        <w:rPr>
          <w:rFonts w:ascii="黑体" w:hAnsi="黑体" w:eastAsia="黑体" w:cs="黑体"/>
          <w:color w:val="auto"/>
          <w:sz w:val="28"/>
          <w:szCs w:val="28"/>
          <w:highlight w:val="none"/>
        </w:rPr>
      </w:pPr>
      <w:r/>
      <w:bookmarkStart w:id="27" w:name="_Hlt26954734"/>
      <w:r/>
      <w:bookmarkStart w:id="28" w:name="_Hlt26670489"/>
      <w:r/>
      <w:bookmarkStart w:id="29" w:name="_Hlt26954850"/>
      <w:r>
        <w:rPr>
          <w:rFonts w:hint="eastAsia" w:ascii="黑体" w:hAnsi="黑体" w:eastAsia="黑体" w:cs="黑体"/>
          <w:color w:val="auto"/>
          <w:sz w:val="28"/>
          <w:szCs w:val="28"/>
          <w:highlight w:val="none"/>
        </w:rPr>
        <w:t xml:space="preserve">15、投标有效期</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15.1投标有效期为采购人规定的开标之日后</w:t>
      </w:r>
      <w:r>
        <w:rPr>
          <w:rFonts w:hint="eastAsia" w:ascii="宋体" w:hAnsi="宋体" w:eastAsia="宋体" w:cs="宋体"/>
          <w:color w:val="ff0000"/>
          <w:sz w:val="24"/>
          <w:highlight w:val="none"/>
        </w:rPr>
        <w:t xml:space="preserve">六十（60）天</w:t>
      </w:r>
      <w:r>
        <w:rPr>
          <w:rFonts w:hint="eastAsia" w:ascii="宋体" w:hAnsi="宋体" w:eastAsia="宋体" w:cs="宋体"/>
          <w:color w:val="auto"/>
          <w:sz w:val="24"/>
          <w:highlight w:val="none"/>
        </w:rPr>
        <w:t xml:space="preserve">。投标有效期比规定短的将被视为未实质性响应招标文件而予以拒绝。</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16、投标有效期的延长</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16.1在特殊情况下，采购中心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ind w:firstLine="560"/>
        <w:jc w:val="left"/>
        <w:spacing w:line="360" w:lineRule="auto"/>
        <w:rPr>
          <w:rFonts w:ascii="黑体" w:hAnsi="黑体" w:eastAsia="黑体" w:cs="黑体"/>
          <w:color w:val="auto"/>
          <w:sz w:val="28"/>
          <w:szCs w:val="28"/>
          <w:highlight w:val="none"/>
        </w:rPr>
      </w:pPr>
      <w:r/>
      <w:bookmarkStart w:id="30" w:name="_Hlt26954852"/>
      <w:r/>
      <w:bookmarkStart w:id="31" w:name="_Hlt26954739"/>
      <w:r>
        <w:rPr>
          <w:rFonts w:hint="eastAsia" w:ascii="黑体" w:hAnsi="黑体" w:eastAsia="黑体" w:cs="黑体"/>
          <w:color w:val="auto"/>
          <w:sz w:val="28"/>
          <w:szCs w:val="28"/>
          <w:highlight w:val="none"/>
        </w:rPr>
        <w:t xml:space="preserve">四、投标文件的递交</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17、投标文件的递交</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17.1 电子投标文件的递交</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投标人应当按照《操作手册》规定，在投标截止时间前制作并上传电子投标文件。</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18、投标截止时间</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18.1投标人上传电子投标文件的时间不得迟于招标公告中规定的投标截止时间。</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投标人应充分考虑到网络环境、网络带宽等风险因素，如因投标人自身原因造成的电子投标文件上传不成功的按照本招标文件第二章第26.1.2条 规定做无效投标处理。</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18.2采购人可以按照规定，通过修改招标文件酌情延长投标截止时间，在此情况下，投标人的所有权利和义务以及投标人受制的截止时间均应以延长后新的截止时间为准。</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19、投标文件的拒收</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19.1采购人拒绝接收在其规定的投标截止时间后上传的任何投标文件。</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20、投标文件的撤回和修改</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20.1投标文件的撤回</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20.1.1电子投标文件的撤回</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投标人可在投标截止时间前，撤回其电子投标文件，具体操作方法见《操作手册》。</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20.1.2投标人撤回电子投标文件，则认为其不再参与本项目投标活动。</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20.2 投标文件的修改</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20.2.1投标人可在投标截止时间前，对其电子投标文件进行修改，具体操作方法见《操作手册》。</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20.2.2在投标截止时间之后，投标人不得对其电子投标文件作任何修改。</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20.3在投标截止时间至招标文件中规定的投标有效期满之间的这段时间内，投标人不得撤回其投标。</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五、开标与评标</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21、开标</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21.1采购人将在招标公告中规定的时间和地点组织公开开标。投标人应当按照《操作手册》规定，参加开标活动和在苏采云系统规定的时间内对投标文件进行解密。</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21.2开标仪式由采购人组织。苏采云系统将自动对项目进行开标，并宣布各投标人名称和投标价格。</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21.3投标人在开标过程中涉及到的投标文件解密、开标结果确认等工作，应按照《操作手册》规定执行。</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21.4投标人如果对开标过程和开标记录有疑义，应当根据《操作手册》规定提出，如苏采云系统中《开标记录表》宣布后5分钟内未提出的，视同认可开标结果。</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22、评标委员会</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22.1开标后，采购人将立即组织评标委员会（以下简称评委会）进行评标。</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22.2评委会由采购人代表和有关技术、经济等方面的专家组成，且人员构成符合政府采购有关规定。</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22.3评委会独立工作，负责评审所有投标文件并确定中标侯选人。</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23、评标过程的保密与公正</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23.1凡是与审查、澄清、评价和比较投标的有关资料以及授标建议等，采购人、评委不得向投标人或与评标无关的其他人员透露。</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23.2在评标过程中，投标人不得以任何行为影响评标过程，否则其投标文件将被作为无效投标文件。</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23.3采购人和评标委员会不向未中标的投标人解释未中标原因，也不公布评标过程中的相关细节。</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23.4采用综合评分法的项目，未中标的投标人可于中标结果公告期限届满之日起通过苏采云系统查看自己的评审得分及排序情况。</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24、投标文件的澄清</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24.1评标期间，评委会对投标文件中含义不明确、同类问题表述不一致或者有明显文字和计算错误的内容，有权要求投标人作出必要的澄清、说明或者补正。</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投标人的澄清、说明或者补正不得超出投标文件的范围或者改变投标文件的实质性内容。</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评标委员会并非对每个投标人都做澄清要求。</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 24.3接到评委会澄清、说明和补正要求的投标人如未按规定做出澄清、说明和补正，其风险由投标人自行承担。</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25、对投标文件的初审</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25.1投标文件初审分为资格审查和符合性审查。</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25.1.1资格审查：依据法律法规和招标文件的规定，由采购人对投标文件中的资格证明文件进行审查。资格审查的结论，采购人以书面形式向评委会进行反馈。</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采购人在进行资格性审查的同时，将在“信用中国”网站（www.creditchina.gov.cn）查询投标人的信用记录，以确定投标人是否具备投标资格,查询结果留存并归档。</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25.1.3未通过资格审查或符合性审查的投标人，采购人将在苏采云系统中告知未通过资格审查或符合性审查的原因，评标结束后，采购人将不再告知未通过资格审查和符合性审查的原因。</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25.4评委会将对确定为实质性响应的投标进行进一步审核，确定其是否有计算上或累加上的算术错误，修正错误的原则如下：</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（1）投标文件中开标一览表内容与投标文件中相应内容不一致的，以开标一览表为准。</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（2）大写金额和小写金额不一致的，以大写金额为准。</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（3）单价金额小数点或者百分比有明显错位的，以开标一览表的总价为准，并修改单价。</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（4）总价金额与按单价汇总金额不一致的，以单价金额计算结果为准。</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同时出现两种以上错误的，按照前款规定的顺序修正。</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25.6投标人在开、评标全过程中应保持通讯畅通，及时登录苏采云系统查阅、答复相关信息，并安排专人与采购人及评标委员会联系。</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26、无效投标条款和废标条款</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26.1无效投标条款</w:t>
      </w:r>
      <w:r/>
    </w:p>
    <w:p>
      <w:pPr>
        <w:ind w:firstLine="480"/>
        <w:spacing w:line="460" w:lineRule="exact"/>
        <w:rPr>
          <w:rFonts w:ascii="宋体" w:hAnsi="宋体"/>
          <w:bCs/>
          <w:color w:val="auto"/>
          <w:sz w:val="24"/>
          <w:highlight w:val="none"/>
        </w:rPr>
      </w:pPr>
      <w:r>
        <w:rPr>
          <w:rFonts w:hint="eastAsia" w:ascii="宋体" w:hAnsi="宋体"/>
          <w:bCs/>
          <w:color w:val="auto"/>
          <w:sz w:val="24"/>
          <w:highlight w:val="none"/>
        </w:rPr>
        <w:t xml:space="preserve">26.1.1 投标人在</w:t>
      </w:r>
      <w:r>
        <w:rPr>
          <w:rFonts w:hint="eastAsia" w:ascii="宋体" w:hAnsi="宋体"/>
          <w:color w:val="auto"/>
          <w:sz w:val="24"/>
          <w:highlight w:val="none"/>
        </w:rPr>
        <w:t xml:space="preserve">苏采云系统</w:t>
      </w:r>
      <w:r>
        <w:rPr>
          <w:rFonts w:hint="eastAsia" w:ascii="宋体" w:hAnsi="宋体"/>
          <w:bCs/>
          <w:color w:val="auto"/>
          <w:sz w:val="24"/>
          <w:highlight w:val="none"/>
        </w:rPr>
        <w:t xml:space="preserve">规定的时间内未成功解密电子投标文件的。</w:t>
      </w:r>
      <w:r/>
    </w:p>
    <w:p>
      <w:pPr>
        <w:ind w:firstLine="480"/>
        <w:spacing w:line="460" w:lineRule="exact"/>
        <w:rPr>
          <w:rFonts w:ascii="宋体" w:hAnsi="宋体"/>
          <w:bCs/>
          <w:color w:val="auto"/>
          <w:sz w:val="24"/>
          <w:highlight w:val="none"/>
        </w:rPr>
      </w:pPr>
      <w:r>
        <w:rPr>
          <w:rFonts w:hint="eastAsia" w:ascii="宋体" w:hAnsi="宋体"/>
          <w:bCs/>
          <w:color w:val="auto"/>
          <w:sz w:val="24"/>
          <w:highlight w:val="none"/>
        </w:rPr>
        <w:t xml:space="preserve">26.1.2 投标人未按照招标文件要求上传电子投标文件的。</w:t>
      </w:r>
      <w:r/>
    </w:p>
    <w:p>
      <w:pPr>
        <w:ind w:left="479"/>
        <w:spacing w:line="460" w:lineRule="exact"/>
        <w:rPr>
          <w:rFonts w:ascii="宋体" w:hAnsi="宋体"/>
          <w:bCs/>
          <w:color w:val="auto"/>
          <w:sz w:val="24"/>
          <w:highlight w:val="none"/>
        </w:rPr>
      </w:pPr>
      <w:r>
        <w:rPr>
          <w:rFonts w:hint="eastAsia" w:ascii="宋体" w:hAnsi="宋体"/>
          <w:bCs/>
          <w:color w:val="auto"/>
          <w:sz w:val="24"/>
          <w:highlight w:val="none"/>
        </w:rPr>
        <w:t xml:space="preserve">26.1.3 同一投标人投标人递交两份或多份内容不同的投标文件，或在一份投标文件中对同一采购项目报有两个或多个报价，且未声明哪一个有效，按招标文件规定提交备选方案的除外。</w:t>
      </w:r>
      <w:r/>
    </w:p>
    <w:p>
      <w:pPr>
        <w:ind w:left="479"/>
        <w:spacing w:line="460" w:lineRule="exact"/>
        <w:rPr>
          <w:rFonts w:ascii="宋体" w:hAnsi="宋体"/>
          <w:bCs/>
          <w:color w:val="auto"/>
          <w:sz w:val="24"/>
          <w:highlight w:val="none"/>
        </w:rPr>
      </w:pPr>
      <w:r>
        <w:rPr>
          <w:rFonts w:hint="eastAsia" w:ascii="宋体" w:hAnsi="宋体"/>
          <w:bCs/>
          <w:color w:val="auto"/>
          <w:sz w:val="24"/>
          <w:highlight w:val="none"/>
        </w:rPr>
        <w:t xml:space="preserve">26.1.5 投标人不具备招标文件中规定资格要求的。</w:t>
      </w:r>
      <w:r/>
    </w:p>
    <w:p>
      <w:pPr>
        <w:ind w:firstLine="480"/>
        <w:spacing w:line="460" w:lineRule="exact"/>
        <w:rPr>
          <w:rFonts w:ascii="宋体" w:hAnsi="宋体"/>
          <w:bCs/>
          <w:color w:val="auto"/>
          <w:sz w:val="24"/>
          <w:highlight w:val="none"/>
        </w:rPr>
      </w:pPr>
      <w:r>
        <w:rPr>
          <w:rFonts w:hint="eastAsia" w:ascii="宋体" w:hAnsi="宋体"/>
          <w:bCs/>
          <w:color w:val="auto"/>
          <w:sz w:val="24"/>
          <w:highlight w:val="none"/>
        </w:rPr>
        <w:t xml:space="preserve">26.1.6 投标人的报价超过了采购预算或最高限价的。</w:t>
      </w:r>
      <w:r/>
    </w:p>
    <w:p>
      <w:pPr>
        <w:ind w:firstLine="480"/>
        <w:spacing w:line="460" w:lineRule="exact"/>
        <w:rPr>
          <w:rFonts w:ascii="Times New Roman" w:hAnsi="Times New Roman" w:eastAsia="宋体" w:cs="Times New Roman"/>
          <w:color w:val="auto"/>
          <w:sz w:val="24"/>
          <w:szCs w:val="22"/>
          <w:highlight w:val="none"/>
        </w:rPr>
      </w:pPr>
      <w:r>
        <w:rPr>
          <w:rFonts w:hint="eastAsia" w:ascii="宋体" w:hAnsi="宋体" w:eastAsia="宋体"/>
          <w:bCs/>
          <w:color w:val="auto"/>
          <w:sz w:val="24"/>
          <w:highlight w:val="none"/>
        </w:rPr>
        <w:t xml:space="preserve">26.1</w:t>
      </w:r>
      <w:r>
        <w:rPr>
          <w:rFonts w:hint="eastAsia" w:ascii="Times New Roman" w:hAnsi="Times New Roman" w:eastAsia="宋体" w:cs="Times New Roman"/>
          <w:color w:val="auto"/>
          <w:sz w:val="24"/>
          <w:szCs w:val="22"/>
          <w:highlight w:val="none"/>
        </w:rPr>
        <w:t xml:space="preserve">.7 被授权人无法提供证明其为本单位正式职工的社会养老保险缴费证明的</w:t>
      </w:r>
      <w:r/>
    </w:p>
    <w:p>
      <w:pPr>
        <w:ind w:firstLine="480"/>
        <w:spacing w:line="460" w:lineRule="exact"/>
        <w:rPr>
          <w:rFonts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 xml:space="preserve">26.1.8 由被授权人参加，但未随投标文件一起提交合法、有效的“授权委托书”的；</w:t>
      </w:r>
      <w:r/>
    </w:p>
    <w:p>
      <w:pPr>
        <w:ind w:firstLine="480"/>
        <w:spacing w:line="460" w:lineRule="exact"/>
        <w:rPr>
          <w:rFonts w:ascii="宋体" w:hAnsi="宋体"/>
          <w:bCs/>
          <w:color w:val="auto"/>
          <w:sz w:val="24"/>
          <w:highlight w:val="none"/>
        </w:rPr>
      </w:pPr>
      <w:r>
        <w:rPr>
          <w:rFonts w:hint="eastAsia" w:ascii="宋体" w:hAnsi="宋体"/>
          <w:bCs/>
          <w:color w:val="auto"/>
          <w:sz w:val="24"/>
          <w:highlight w:val="none"/>
        </w:rPr>
        <w:t xml:space="preserve">26.1.9 </w:t>
      </w:r>
      <w:r>
        <w:rPr>
          <w:rFonts w:hint="eastAsia" w:cs="Times New Roman"/>
          <w:color w:val="auto"/>
          <w:sz w:val="24"/>
          <w:szCs w:val="22"/>
          <w:highlight w:val="none"/>
        </w:rPr>
        <w:t xml:space="preserve">投标文件内容不全或关键字迹模糊、无法辨认的</w:t>
      </w:r>
      <w:r/>
    </w:p>
    <w:p>
      <w:pPr>
        <w:ind w:firstLine="480"/>
        <w:spacing w:line="460" w:lineRule="exact"/>
        <w:rPr>
          <w:rFonts w:cs="Times New Roman"/>
          <w:color w:val="auto"/>
          <w:sz w:val="24"/>
          <w:szCs w:val="22"/>
          <w:highlight w:val="none"/>
        </w:rPr>
      </w:pPr>
      <w:r>
        <w:rPr>
          <w:rFonts w:hint="eastAsia" w:ascii="宋体" w:hAnsi="宋体"/>
          <w:bCs/>
          <w:color w:val="auto"/>
          <w:sz w:val="24"/>
          <w:highlight w:val="none"/>
        </w:rPr>
        <w:t xml:space="preserve">26.1.10</w:t>
      </w:r>
      <w:r>
        <w:rPr>
          <w:rFonts w:hint="eastAsia" w:cs="Times New Roman"/>
          <w:color w:val="auto"/>
          <w:sz w:val="24"/>
          <w:szCs w:val="22"/>
          <w:highlight w:val="none"/>
        </w:rPr>
        <w:t xml:space="preserve">投标文件修改处未加盖投标人公章的</w:t>
      </w:r>
      <w:r/>
    </w:p>
    <w:p>
      <w:pPr>
        <w:ind w:firstLine="480"/>
        <w:spacing w:line="460" w:lineRule="exact"/>
        <w:rPr>
          <w:rFonts w:ascii="宋体" w:hAnsi="宋体"/>
          <w:bCs/>
          <w:i/>
          <w:color w:val="auto"/>
          <w:sz w:val="24"/>
          <w:highlight w:val="none"/>
          <w:u w:val="single"/>
        </w:rPr>
      </w:pPr>
      <w:r>
        <w:rPr>
          <w:rFonts w:hint="eastAsia" w:ascii="宋体" w:hAnsi="宋体"/>
          <w:bCs/>
          <w:color w:val="auto"/>
          <w:sz w:val="24"/>
          <w:highlight w:val="none"/>
        </w:rPr>
        <w:t xml:space="preserve">26.1.11未通过符合性审查的。</w:t>
      </w:r>
      <w:r/>
    </w:p>
    <w:p>
      <w:pPr>
        <w:ind w:firstLine="480"/>
        <w:spacing w:line="460" w:lineRule="exact"/>
        <w:rPr>
          <w:rFonts w:ascii="宋体" w:hAnsi="宋体"/>
          <w:bCs/>
          <w:i/>
          <w:color w:val="auto"/>
          <w:sz w:val="24"/>
          <w:highlight w:val="none"/>
          <w:u w:val="single"/>
        </w:rPr>
      </w:pPr>
      <w:r>
        <w:rPr>
          <w:rFonts w:hint="eastAsia" w:ascii="宋体" w:hAnsi="宋体"/>
          <w:bCs/>
          <w:color w:val="auto"/>
          <w:sz w:val="24"/>
          <w:highlight w:val="none"/>
        </w:rPr>
        <w:t xml:space="preserve"> 26.1.12不符合招标文件中规定的实质性要求和条件的</w:t>
      </w:r>
      <w:r>
        <w:rPr>
          <w:rFonts w:hint="eastAsia" w:ascii="宋体" w:hAnsi="宋体"/>
          <w:bCs/>
          <w:i/>
          <w:color w:val="auto"/>
          <w:sz w:val="24"/>
          <w:highlight w:val="none"/>
          <w:u w:val="single"/>
        </w:rPr>
        <w:t xml:space="preserve">。</w:t>
      </w:r>
      <w:r/>
    </w:p>
    <w:p>
      <w:pPr>
        <w:ind w:firstLine="480"/>
        <w:spacing w:line="460" w:lineRule="exact"/>
        <w:rPr>
          <w:rFonts w:ascii="宋体" w:hAnsi="宋体"/>
          <w:bCs/>
          <w:color w:val="auto"/>
          <w:sz w:val="24"/>
          <w:highlight w:val="none"/>
        </w:rPr>
      </w:pPr>
      <w:r>
        <w:rPr>
          <w:rFonts w:hint="eastAsia" w:ascii="宋体" w:hAnsi="宋体"/>
          <w:bCs/>
          <w:color w:val="auto"/>
          <w:sz w:val="24"/>
          <w:highlight w:val="none"/>
        </w:rPr>
        <w:t xml:space="preserve">26.1.13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60" w:lineRule="exact"/>
        <w:rPr>
          <w:rFonts w:ascii="宋体" w:hAnsi="宋体"/>
          <w:bCs/>
          <w:color w:val="auto"/>
          <w:sz w:val="24"/>
          <w:highlight w:val="none"/>
        </w:rPr>
      </w:pPr>
      <w:r>
        <w:rPr>
          <w:rFonts w:hint="eastAsia" w:ascii="宋体" w:hAnsi="宋体"/>
          <w:bCs/>
          <w:color w:val="auto"/>
          <w:sz w:val="24"/>
          <w:highlight w:val="none"/>
        </w:rPr>
        <w:t xml:space="preserve">26.1.14 投标文件含有采购人不能接受的附加条件的。</w:t>
      </w:r>
      <w:r/>
    </w:p>
    <w:p>
      <w:pPr>
        <w:ind w:firstLine="480"/>
        <w:spacing w:line="460" w:lineRule="exact"/>
        <w:rPr>
          <w:rFonts w:ascii="宋体" w:hAnsi="宋体"/>
          <w:bCs/>
          <w:color w:val="auto"/>
          <w:sz w:val="24"/>
          <w:highlight w:val="none"/>
        </w:rPr>
      </w:pPr>
      <w:r>
        <w:rPr>
          <w:rFonts w:hint="eastAsia" w:ascii="宋体" w:hAnsi="宋体"/>
          <w:bCs/>
          <w:color w:val="auto"/>
          <w:sz w:val="24"/>
          <w:highlight w:val="none"/>
        </w:rPr>
        <w:t xml:space="preserve">26.1.15评标委员会认为投标人的报价明显低于其他通过符合性审查投标人的报价，有可能影响产品质量或者不能诚信履约的，将通过</w:t>
      </w:r>
      <w:r>
        <w:rPr>
          <w:rFonts w:hint="eastAsia" w:ascii="宋体" w:hAnsi="宋体"/>
          <w:color w:val="auto"/>
          <w:sz w:val="24"/>
          <w:highlight w:val="none"/>
        </w:rPr>
        <w:t xml:space="preserve">苏采云系统</w:t>
      </w:r>
      <w:r>
        <w:rPr>
          <w:rFonts w:hint="eastAsia" w:ascii="宋体" w:hAnsi="宋体"/>
          <w:bCs/>
          <w:color w:val="auto"/>
          <w:sz w:val="24"/>
          <w:highlight w:val="none"/>
        </w:rPr>
        <w:t xml:space="preserve">要求其在合理的时间内提供说明，必要时提交相关证明材料；投标人不能证明其报价合理性的</w:t>
      </w:r>
      <w:r>
        <w:rPr>
          <w:rFonts w:hint="eastAsia" w:cs="Times New Roman"/>
          <w:color w:val="auto"/>
          <w:sz w:val="24"/>
          <w:szCs w:val="22"/>
          <w:highlight w:val="none"/>
        </w:rPr>
        <w:t xml:space="preserve">或虽说明理由但评标委员会认为其理由不能成立的</w:t>
      </w:r>
      <w:r>
        <w:rPr>
          <w:rFonts w:hint="eastAsia" w:ascii="宋体" w:hAnsi="宋体"/>
          <w:bCs/>
          <w:color w:val="auto"/>
          <w:sz w:val="24"/>
          <w:highlight w:val="none"/>
        </w:rPr>
        <w:t xml:space="preserve">。</w:t>
      </w:r>
      <w:r/>
    </w:p>
    <w:p>
      <w:pPr>
        <w:ind w:firstLine="480"/>
        <w:spacing w:line="460" w:lineRule="exact"/>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26.1.16 投标文件中所供产品供货期限（服务周期）、售后服务条款不符合招标文件相关条款要求或技术指标要求、货物的包装方式、检验标准等低于招标文件规定指标、要求的；</w:t>
      </w:r>
      <w:r/>
    </w:p>
    <w:p>
      <w:pPr>
        <w:ind w:firstLine="480"/>
        <w:spacing w:line="460" w:lineRule="exact"/>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26.1.17 以他人的名义投标、串通投标、以行贿手段谋取中标或者以其他弄虚作假方式投标的；</w:t>
      </w:r>
      <w:r/>
    </w:p>
    <w:p>
      <w:pPr>
        <w:ind w:firstLine="480"/>
        <w:spacing w:line="460" w:lineRule="exact"/>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26.1.18 组成联合体，投标文件未附联合体协议的。</w:t>
      </w:r>
      <w:r/>
    </w:p>
    <w:p>
      <w:pPr>
        <w:ind w:firstLine="480"/>
        <w:spacing w:line="460" w:lineRule="exact"/>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26.1.19 投标文件未按照招标文件要求签署或加盖CA电子公章的。</w:t>
      </w:r>
      <w:r/>
    </w:p>
    <w:p>
      <w:pPr>
        <w:ind w:firstLine="480"/>
        <w:spacing w:line="460" w:lineRule="exact"/>
        <w:rPr>
          <w:rFonts w:ascii="宋体" w:hAnsi="宋体"/>
          <w:bCs/>
          <w:color w:val="auto"/>
          <w:sz w:val="24"/>
          <w:highlight w:val="none"/>
        </w:rPr>
      </w:pPr>
      <w:r>
        <w:rPr>
          <w:rFonts w:hint="eastAsia" w:ascii="宋体" w:hAnsi="宋体"/>
          <w:bCs/>
          <w:color w:val="auto"/>
          <w:sz w:val="24"/>
          <w:highlight w:val="none"/>
        </w:rPr>
        <w:t xml:space="preserve">26.1.20其他法律、法规及本招标文件规定的属无效投标的情形。</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26.2废标条款</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26.2.1符合专业条件的供应商或者对招标文件作实质响应的供应商不足三家的。</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26.2.2出现影响采购公正的违法、违规行为的。</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26.2.3因重大变故，采购任务取消的。</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26.2.4评标委员会认定招标文件存在歧义、重大缺陷导致评审工作无法进行。</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26.2.5因苏采云系统系统故障原因造成开标不成功的。</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26.3 投标截止时间结束后参加投标的供应商不足三家的处理：</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26.3.1如出现投标截止时间结束后参加投标的供应商或者在评标期间对招标文件做出实质响应的供应商不足三家情况，按政府采购相关规定执行。</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六、定标</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27、确定中标单位</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27.1中标候选人的选取原则和数量见招标文件第五章规定。 </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27.2采购人应根据评委会推荐的中标候选人确定中标人。</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27.3采购人将在“中国政府采购网、江苏政府采购网、盐城市政府采购网”发布中标公告，公告期限为1个工作日。</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27.4若有充分证据证明，中标人出现下列情况之一的，一经查实，将被取消中标资格：</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27.4.1提供虚假材料谋取中标的。</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27.4.2向采购人行贿或者提供其他不正当利益的。</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27.4.3属于本文件规定的无效条件，但在评标过程中又未被评委会发现的。</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27.4.4与采购人或者其他供应商恶意串通的。</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27.4.5采取不正当手段诋毁、排挤其他供应商的。</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27.5 有下列情形之一的，视为投标人串通投标，投标无效：</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27.5.1不同投标人的投标文件由同一单位或者个人编制。</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27.5.2不同投标人委托同一单位或者个人办理投标事宜。</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27.5.3不同投标人的投标文件载明的项目管理成员或者联系人员为同一人。</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27.5.4不同投标人的投标文件异常一致或者投标报价呈规律性差异。</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28、质疑处理</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28.1提出质疑的供应商应当是参与所质疑项目采购活动的供应商。潜在供应商依法获取其可质疑的采购文件的，可以对采购文件提出质疑。</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28.2.1对可以质疑的采购文件提出质疑的，为收到采购文件之日或者采购文件公告期限届满之日；</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28.2.2对采购过程提出质疑的，为各采购程序环节结束之日；</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28.2.3对中标或者成交结果提出质疑的，为中标或者成交结果公告期限届满之日。</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28.4供应商（含潜在供应商）对采购方式、采购需求、供应商资格条件及审查结果、评标方法和评标标准、合同文本的询问、质疑请向采购人提出，由采购人负责答复。</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采购人只接收以纸质原件形式送达的质疑,建议供应商尽量通过邮寄方式提交质疑（采购人不接受未填写快递运单的快件）</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质疑受理部门：东台市农业农村局 </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联系地址：东台市广场路6号</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lang w:val="en-US" w:eastAsia="zh-CN"/>
        </w:rPr>
        <w:t xml:space="preserve">0515-69891301</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28.5 以下情形的质疑不予受理</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28.5.1内容不符合《政府采购质疑和投诉办法》第十二条规定的质疑。</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28.5.2超出政府采购法定期限的质疑。</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28.5.3以传真、电子邮件等方式递交的非原件形式的质疑。</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28.5.4未参加投标活动的供应商或在投标活动中自身权益未受到损害的供应商所提出的质疑。</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28.5.5供应商组成联合体参加投标，联合体中任何一方或多方未按要求签字、盖章、加盖公章的质疑。</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29、中标通知书</w:t>
      </w:r>
      <w:r/>
    </w:p>
    <w:p>
      <w:pPr>
        <w:ind w:firstLine="480"/>
        <w:spacing w:line="460" w:lineRule="exact"/>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29.l 中标结果确定后，采购人将向中标人发出中标通知书。</w:t>
      </w:r>
      <w:r/>
    </w:p>
    <w:p>
      <w:pPr>
        <w:ind w:firstLine="480"/>
        <w:spacing w:line="460" w:lineRule="exact"/>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spacing w:line="460" w:lineRule="exact"/>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29.3中标通知书发出之前，如遇质疑、投诉、政策调整等情形，导致重新评审改变评标结果、采购项目流标、重新招标等情形的，采购人将停止发放中标通知书，且不承担由此给供应商造成的经济损失等任何后果。在正式发出中标通知书之前，供应商为完成项目付出的所有成本均由供应商自行承担。</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七、授予合同</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30.签订合同</w:t>
      </w:r>
      <w:r/>
    </w:p>
    <w:p>
      <w:pPr>
        <w:ind w:firstLine="480"/>
        <w:spacing w:line="460" w:lineRule="exact"/>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30.l中标人应当在中标通知书发出之日起十日内，按照招标文件确定的事项与采购人签订书面合同。所签订的合同不得对招标文件确定的事项和中标人投标文件作实质性修改。招标文件、中标人的投标文件及其澄清文件等均作为签订合同的依据。</w:t>
      </w:r>
      <w:r/>
    </w:p>
    <w:p>
      <w:pPr>
        <w:ind w:firstLine="480"/>
        <w:spacing w:line="460" w:lineRule="exact"/>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30.2 采购人应当自政府采购合同签订之日起2个工作日内，将政府采购合同的扫描件（PDF格式）传送《苏采云系统》实施网上备案公示。</w:t>
      </w:r>
      <w:r/>
    </w:p>
    <w:p>
      <w:pPr>
        <w:ind w:firstLine="480"/>
        <w:spacing w:line="460" w:lineRule="exact"/>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30.3 签订合同后，中标供应商不得将货物及其他相关服务进行转包。未经采购人同意，中标供应商也不得采用分包的形式履行合同，否则采购人有权终止合同，中标供应商的履约保证金将不予退还。转包或分包造成采购人损失的，中标供应商应承担相应赔偿责任。</w:t>
      </w:r>
      <w:r/>
    </w:p>
    <w:p>
      <w:pPr>
        <w:ind w:firstLine="480"/>
        <w:spacing w:line="460" w:lineRule="exact"/>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30.4 中标人放弃中标或不按招标文件和中标通知书规定与采购人订立合同，或者在订立合同时提出附加条件或者更改合同实质性内容的，采购人将取消中标人中标资格，作为不良行为予以记载。给采购人造成损失的应予以赔偿，同时承担相应的法律责任。</w:t>
      </w:r>
      <w:r/>
    </w:p>
    <w:p>
      <w:pPr>
        <w:ind w:firstLine="480"/>
        <w:spacing w:line="460" w:lineRule="exact"/>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30.5 中标人拒绝签订政府采购合同的，采购人可以从评审报告提出的中标候选投标人中，按照排序由高到低的原则确定下一候选人为中标人，也可以重新开展采购活动。拒绝签订政府采购合同的中标人不得参加对本项目重新开展的采购活动。</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31、服务（包含与服务相关的货物）的追加</w:t>
      </w:r>
      <w:r/>
    </w:p>
    <w:p>
      <w:pPr>
        <w:ind w:firstLine="480"/>
        <w:jc w:val="left"/>
        <w:spacing w:line="360" w:lineRule="auto"/>
        <w:rPr>
          <w:rFonts w:ascii="黑体" w:hAnsi="黑体" w:eastAsia="黑体" w:cs="黑体"/>
          <w:color w:val="auto"/>
          <w:sz w:val="28"/>
          <w:szCs w:val="28"/>
          <w:highlight w:val="none"/>
        </w:rPr>
      </w:pPr>
      <w:r>
        <w:rPr>
          <w:rFonts w:hint="eastAsia" w:ascii="宋体" w:hAnsi="宋体" w:eastAsia="宋体" w:cs="宋体"/>
          <w:color w:val="auto"/>
          <w:sz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32、政府采购履约资金扶持政策</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32.1根据《转发江苏省财政厅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p>
    <w:p>
      <w:pPr>
        <w:ind w:firstLine="480"/>
        <w:jc w:val="left"/>
        <w:spacing w:line="360" w:lineRule="auto"/>
        <w:rPr>
          <w:rFonts w:ascii="黑体" w:hAnsi="宋体" w:eastAsia="黑体" w:cs="黑体"/>
          <w:color w:val="auto"/>
          <w:sz w:val="44"/>
          <w:szCs w:val="44"/>
          <w:highlight w:val="none"/>
        </w:rPr>
      </w:pPr>
      <w:r>
        <w:rPr>
          <w:rFonts w:hint="eastAsia" w:ascii="宋体" w:hAnsi="宋体" w:eastAsia="宋体" w:cs="宋体"/>
          <w:color w:val="auto"/>
          <w:sz w:val="24"/>
          <w:highlight w:val="none"/>
        </w:rPr>
        <w:t xml:space="preserve">32.2按《关于在政府采购活动中应用第三方信用报告落实“信易购”应用场景的通</w:t>
      </w:r>
      <w:r>
        <w:rPr>
          <w:rFonts w:hint="eastAsia" w:ascii="宋体" w:hAnsi="宋体" w:eastAsia="宋体" w:cs="宋体"/>
          <w:color w:val="auto"/>
          <w:sz w:val="24"/>
          <w:highlight w:val="none"/>
          <w:lang w:eastAsia="zh-CN"/>
        </w:rPr>
        <w:t xml:space="preserve">知</w:t>
      </w:r>
      <w:r>
        <w:rPr>
          <w:rFonts w:hint="eastAsia" w:ascii="宋体" w:hAnsi="宋体" w:eastAsia="宋体" w:cs="宋体"/>
          <w:color w:val="auto"/>
          <w:sz w:val="24"/>
          <w:highlight w:val="none"/>
        </w:rPr>
        <w:t xml:space="preserve">(东财购[2021]15 号)要求，鼓励甲方对第三方信用服务机构依据标准规范评定知》为 AA 级及以上的政府采购供应商(需在签订采购合同前提供信用管理部门备案的第三方信用报告，且信用报告通过“信用盐城网”可査实)，免收</w:t>
      </w:r>
      <w:r>
        <w:rPr>
          <w:rFonts w:hint="eastAsia" w:ascii="宋体" w:hAnsi="宋体" w:eastAsia="宋体" w:cs="宋体"/>
          <w:color w:val="auto"/>
          <w:sz w:val="24"/>
          <w:highlight w:val="none"/>
          <w:lang w:eastAsia="zh-CN"/>
        </w:rPr>
        <w:t xml:space="preserve">履</w:t>
      </w:r>
      <w:r>
        <w:rPr>
          <w:rFonts w:hint="eastAsia" w:ascii="宋体" w:hAnsi="宋体" w:eastAsia="宋体" w:cs="宋体"/>
          <w:color w:val="auto"/>
          <w:sz w:val="24"/>
          <w:highlight w:val="none"/>
        </w:rPr>
        <w:t xml:space="preserve">约保证金或降低履约保证金缴纳比例。如乙方签订采购合同前提供通过“信用盐城网”可查实的 AA 级及以上第三方信用报告，本项目履约保证金(是/否)</w:t>
      </w:r>
      <w:r>
        <w:rPr>
          <w:rFonts w:hint="eastAsia" w:ascii="宋体" w:hAnsi="宋体" w:eastAsia="宋体" w:cs="宋体"/>
          <w:color w:val="auto"/>
          <w:sz w:val="24"/>
          <w:highlight w:val="none"/>
          <w:u w:val="single"/>
        </w:rPr>
        <w:t xml:space="preserve">是</w:t>
      </w:r>
      <w:r>
        <w:rPr>
          <w:rFonts w:hint="eastAsia" w:ascii="宋体" w:hAnsi="宋体" w:eastAsia="宋体" w:cs="宋体"/>
          <w:color w:val="auto"/>
          <w:sz w:val="24"/>
          <w:highlight w:val="none"/>
        </w:rPr>
        <w:t xml:space="preserve">免收，降低履约保证金缴纳比例</w:t>
      </w:r>
      <w:r>
        <w:rPr>
          <w:rFonts w:hint="eastAsia" w:ascii="宋体" w:hAnsi="宋体" w:eastAsia="宋体" w:cs="宋体"/>
          <w:color w:val="auto"/>
          <w:sz w:val="24"/>
          <w:highlight w:val="none"/>
          <w:u w:val="single"/>
        </w:rPr>
        <w:t xml:space="preserve"> 100% </w:t>
      </w:r>
      <w:r>
        <w:rPr>
          <w:rFonts w:hint="eastAsia" w:ascii="宋体" w:hAnsi="宋体" w:eastAsia="宋体" w:cs="宋体"/>
          <w:color w:val="auto"/>
          <w:sz w:val="24"/>
          <w:highlight w:val="none"/>
        </w:rPr>
        <w:t xml:space="preserve">。</w:t>
      </w:r>
      <w:r>
        <w:rPr>
          <w:rFonts w:hint="eastAsia" w:ascii="黑体" w:hAnsi="宋体" w:eastAsia="黑体" w:cs="黑体"/>
          <w:color w:val="auto"/>
          <w:sz w:val="44"/>
          <w:szCs w:val="44"/>
          <w:highlight w:val="none"/>
        </w:rPr>
        <w:br w:type="page" w:clear="all"/>
      </w:r>
      <w:r/>
    </w:p>
    <w:p>
      <w:pPr>
        <w:pStyle w:val="669"/>
        <w:ind w:firstLine="880"/>
        <w:jc w:val="center"/>
        <w:keepNext/>
        <w:spacing w:beforeAutospacing="0" w:afterAutospacing="0"/>
        <w:rPr>
          <w:color w:val="auto"/>
          <w:highlight w:val="none"/>
        </w:rPr>
        <w:outlineLvl w:val="0"/>
      </w:pPr>
      <w:r/>
      <w:bookmarkStart w:id="32" w:name="_Toc10"/>
      <w:r>
        <w:rPr>
          <w:rFonts w:hint="eastAsia" w:ascii="黑体" w:hAnsi="宋体" w:eastAsia="黑体" w:cs="黑体"/>
          <w:color w:val="auto"/>
          <w:sz w:val="44"/>
          <w:szCs w:val="44"/>
          <w:highlight w:val="none"/>
        </w:rPr>
        <w:t xml:space="preserve">第三章  合同文本</w:t>
      </w:r>
      <w:bookmarkEnd w:id="32"/>
      <w:r/>
      <w:r/>
    </w:p>
    <w:p>
      <w:pPr>
        <w:pStyle w:val="669"/>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以下为中标后签定本项目合同的通用条款，中标人不得提出实质性的修改。</w:t>
      </w:r>
      <w:r/>
    </w:p>
    <w:p>
      <w:pPr>
        <w:pStyle w:val="669"/>
        <w:ind w:firstLine="602"/>
        <w:jc w:val="center"/>
        <w:spacing w:before="145" w:beforeAutospacing="0" w:after="145" w:afterAutospacing="0"/>
        <w:rPr>
          <w:rFonts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盐城市政府采购合同（服务）（合同编号）</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 目 名 称：</w:t>
      </w:r>
      <w:r>
        <w:rPr>
          <w:rFonts w:hint="eastAsia" w:ascii="宋体" w:hAnsi="宋体" w:eastAsia="宋体" w:cs="宋体"/>
          <w:color w:val="auto"/>
          <w:sz w:val="24"/>
          <w:highlight w:val="none"/>
          <w:u w:val="single"/>
          <w:lang w:eastAsia="zh-CN"/>
        </w:rPr>
        <w:t xml:space="preserve">东台市G344宜居宜业和美乡村片区规划</w:t>
      </w:r>
      <w:r>
        <w:rPr>
          <w:rFonts w:hint="eastAsia" w:ascii="宋体" w:hAnsi="宋体" w:eastAsia="宋体" w:cs="宋体"/>
          <w:color w:val="auto"/>
          <w:sz w:val="24"/>
          <w:highlight w:val="none"/>
          <w:u w:val="single"/>
        </w:rPr>
        <w:t xml:space="preserve">项目</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 目 编 号：</w:t>
      </w:r>
      <w:r>
        <w:rPr>
          <w:rFonts w:hint="eastAsia" w:ascii="宋体" w:hAnsi="宋体" w:eastAsia="宋体" w:cs="宋体"/>
          <w:color w:val="auto"/>
          <w:sz w:val="24"/>
          <w:highlight w:val="none"/>
          <w:u w:val="single"/>
          <w:lang w:eastAsia="zh-CN"/>
        </w:rPr>
        <w:t xml:space="preserve">JSZC-320981-TXJS-G2024-0037</w:t>
      </w:r>
      <w:r/>
    </w:p>
    <w:p>
      <w:pPr>
        <w:pStyle w:val="669"/>
        <w:ind w:firstLine="480"/>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甲方（买方）：</w:t>
      </w:r>
      <w:r>
        <w:rPr>
          <w:rFonts w:hint="eastAsia" w:ascii="宋体" w:hAnsi="宋体" w:eastAsia="宋体" w:cs="宋体"/>
          <w:color w:val="auto"/>
          <w:highlight w:val="none"/>
          <w:u w:val="single"/>
        </w:rPr>
        <w:t xml:space="preserve">            </w:t>
      </w:r>
      <w:r/>
    </w:p>
    <w:p>
      <w:pPr>
        <w:pStyle w:val="669"/>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乙方（卖方）：</w:t>
      </w:r>
      <w:r>
        <w:rPr>
          <w:rFonts w:hint="eastAsia" w:ascii="宋体" w:hAnsi="宋体" w:eastAsia="宋体" w:cs="宋体"/>
          <w:color w:val="auto"/>
          <w:highlight w:val="none"/>
          <w:u w:val="single"/>
        </w:rPr>
        <w:t xml:space="preserve">            </w:t>
      </w:r>
      <w:r/>
    </w:p>
    <w:p>
      <w:pPr>
        <w:pStyle w:val="669"/>
        <w:ind w:firstLine="482"/>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甲、乙双方根据</w:t>
      </w:r>
      <w:r>
        <w:rPr>
          <w:rFonts w:hint="eastAsia" w:ascii="宋体" w:hAnsi="宋体" w:eastAsia="宋体" w:cs="宋体"/>
          <w:color w:val="auto"/>
          <w:highlight w:val="none"/>
          <w:u w:val="single"/>
          <w:lang w:eastAsia="zh-CN"/>
        </w:rPr>
        <w:t xml:space="preserve">东台市G344宜居宜业和美乡村片区规划</w:t>
      </w:r>
      <w:r>
        <w:rPr>
          <w:rFonts w:hint="eastAsia" w:ascii="宋体" w:hAnsi="宋体" w:eastAsia="宋体" w:cs="宋体"/>
          <w:color w:val="auto"/>
          <w:highlight w:val="none"/>
          <w:u w:val="single"/>
        </w:rPr>
        <w:t xml:space="preserve">项目</w:t>
      </w:r>
      <w:r>
        <w:rPr>
          <w:rFonts w:hint="eastAsia" w:ascii="宋体" w:hAnsi="宋体" w:eastAsia="宋体" w:cs="宋体"/>
          <w:color w:val="auto"/>
          <w:highlight w:val="none"/>
        </w:rPr>
        <w:t xml:space="preserve">公开招标的结果，签署本合同。</w:t>
      </w:r>
      <w:r/>
    </w:p>
    <w:p>
      <w:pPr>
        <w:pStyle w:val="669"/>
        <w:ind w:firstLine="482"/>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一、合同内容</w:t>
      </w:r>
      <w:r/>
    </w:p>
    <w:p>
      <w:pPr>
        <w:pStyle w:val="669"/>
        <w:ind w:firstLine="480"/>
        <w:spacing w:beforeAutospacing="0" w:afterAutospacing="0"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1.1 标的名称：</w:t>
      </w:r>
      <w:r>
        <w:rPr>
          <w:rFonts w:hint="eastAsia" w:ascii="宋体" w:hAnsi="宋体" w:eastAsia="宋体" w:cs="宋体"/>
          <w:color w:val="auto"/>
          <w:szCs w:val="21"/>
          <w:highlight w:val="none"/>
          <w:lang w:eastAsia="zh-CN"/>
        </w:rPr>
        <w:t xml:space="preserve">东台市G344宜居宜业和美乡村片区规划</w:t>
      </w:r>
      <w:r>
        <w:rPr>
          <w:rFonts w:hint="eastAsia" w:ascii="宋体" w:hAnsi="宋体" w:eastAsia="宋体" w:cs="宋体"/>
          <w:color w:val="auto"/>
          <w:szCs w:val="21"/>
          <w:highlight w:val="none"/>
        </w:rPr>
        <w:t xml:space="preserve">项目</w:t>
      </w:r>
      <w:r/>
    </w:p>
    <w:p>
      <w:pPr>
        <w:pStyle w:val="669"/>
        <w:ind w:firstLine="480"/>
        <w:spacing w:beforeAutospacing="0" w:afterAutospacing="0"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1.2标的质量：</w:t>
      </w:r>
      <w:r>
        <w:rPr>
          <w:rFonts w:hint="eastAsia" w:ascii="宋体" w:hAnsi="宋体" w:eastAsia="宋体" w:cs="宋体"/>
          <w:color w:val="auto"/>
          <w:szCs w:val="21"/>
          <w:highlight w:val="none"/>
          <w:lang w:eastAsia="zh-CN"/>
        </w:rPr>
        <w:t xml:space="preserve">规划需符合国家、省、市相关规范与要求，设计方案科学、合理，满足可持续性发展的要求</w:t>
      </w:r>
      <w:r>
        <w:rPr>
          <w:rFonts w:hint="eastAsia" w:ascii="宋体" w:hAnsi="宋体" w:eastAsia="宋体" w:cs="宋体"/>
          <w:color w:val="auto"/>
          <w:szCs w:val="21"/>
          <w:highlight w:val="none"/>
        </w:rPr>
        <w:t xml:space="preserve">。</w:t>
      </w:r>
      <w:r/>
    </w:p>
    <w:p>
      <w:pPr>
        <w:pStyle w:val="669"/>
        <w:ind w:firstLine="480"/>
        <w:spacing w:beforeAutospacing="0" w:afterAutospacing="0"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1.3 标的数量（规模）：</w:t>
      </w:r>
      <w:r>
        <w:rPr>
          <w:rFonts w:hint="eastAsia" w:ascii="宋体" w:hAnsi="宋体" w:eastAsia="宋体" w:cs="宋体"/>
          <w:sz w:val="24"/>
          <w:szCs w:val="24"/>
        </w:rPr>
        <w:t xml:space="preserve">提交规划设计的最终成果</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eastAsia="zh-CN"/>
        </w:rPr>
        <w:t xml:space="preserve">拾</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套，甲方如需增加成果份数，则按规定费用另计</w:t>
      </w:r>
      <w:r>
        <w:rPr>
          <w:rFonts w:hint="eastAsia" w:ascii="宋体" w:hAnsi="宋体" w:eastAsia="宋体" w:cs="宋体"/>
          <w:sz w:val="24"/>
          <w:szCs w:val="24"/>
          <w:lang w:eastAsia="zh-CN"/>
        </w:rPr>
        <w:t xml:space="preserve">。</w:t>
      </w:r>
      <w:r/>
    </w:p>
    <w:p>
      <w:pPr>
        <w:pStyle w:val="669"/>
        <w:ind w:firstLine="48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 履行时间（期限）：</w:t>
      </w:r>
      <w:r>
        <w:rPr>
          <w:rFonts w:hint="eastAsia" w:ascii="宋体" w:hAnsi="宋体" w:eastAsia="宋体" w:cs="宋体"/>
          <w:color w:val="auto"/>
          <w:szCs w:val="21"/>
          <w:highlight w:val="none"/>
          <w:lang w:eastAsia="zh-CN"/>
        </w:rPr>
        <w:t xml:space="preserve">签订合同后，及时提交经评审通过的成果资料，并提供不少于</w:t>
      </w:r>
      <w:r>
        <w:rPr>
          <w:rFonts w:hint="eastAsia" w:ascii="宋体" w:hAnsi="宋体" w:eastAsia="宋体" w:cs="宋体"/>
          <w:color w:val="auto"/>
          <w:szCs w:val="21"/>
          <w:highlight w:val="none"/>
          <w:lang w:val="en-US" w:eastAsia="zh-CN"/>
        </w:rPr>
        <w:t xml:space="preserve">2年的跟踪服务。</w:t>
      </w:r>
      <w:r>
        <w:rPr>
          <w:rFonts w:hint="eastAsia" w:ascii="宋体" w:hAnsi="宋体" w:eastAsia="宋体" w:cs="宋体"/>
          <w:color w:val="auto"/>
          <w:szCs w:val="21"/>
          <w:highlight w:val="none"/>
        </w:rPr>
        <w:t xml:space="preserve">（后续各类考核、绩效评价等所需资料台账等，中标单位应提供相应服务，此服务不受服务期限制）。</w:t>
      </w:r>
      <w:r/>
    </w:p>
    <w:p>
      <w:pPr>
        <w:pStyle w:val="669"/>
        <w:ind w:firstLine="480"/>
        <w:spacing w:beforeAutospacing="0" w:afterAutospacing="0"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1.5 履行地点：采购人指定地点</w:t>
      </w:r>
      <w:r/>
    </w:p>
    <w:p>
      <w:pPr>
        <w:pStyle w:val="669"/>
        <w:ind w:firstLine="480"/>
        <w:spacing w:beforeAutospacing="0" w:afterAutospacing="0"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1.6 履行方式：按照国家标准、行业相关标准</w:t>
      </w:r>
      <w:r>
        <w:rPr>
          <w:rFonts w:hint="eastAsia" w:ascii="宋体" w:hAnsi="宋体" w:eastAsia="宋体" w:cs="宋体"/>
          <w:color w:val="auto"/>
          <w:szCs w:val="21"/>
          <w:highlight w:val="none"/>
          <w:lang w:val="en-US" w:eastAsia="zh-CN"/>
        </w:rPr>
        <w:t xml:space="preserve">及苏自然资发〔2023〕251号文</w:t>
      </w:r>
      <w:r>
        <w:rPr>
          <w:rFonts w:hint="eastAsia" w:ascii="宋体" w:hAnsi="宋体" w:eastAsia="宋体" w:cs="宋体"/>
          <w:color w:val="auto"/>
          <w:szCs w:val="21"/>
          <w:highlight w:val="none"/>
        </w:rPr>
        <w:t xml:space="preserve">履行</w:t>
      </w:r>
      <w:r>
        <w:rPr>
          <w:rFonts w:hint="eastAsia" w:ascii="宋体" w:hAnsi="宋体" w:eastAsia="宋体" w:cs="宋体"/>
          <w:color w:val="auto"/>
          <w:szCs w:val="21"/>
          <w:highlight w:val="none"/>
          <w:lang w:eastAsia="zh-CN"/>
        </w:rPr>
        <w:t xml:space="preserve">。</w:t>
      </w:r>
      <w:r/>
    </w:p>
    <w:p>
      <w:pPr>
        <w:pStyle w:val="669"/>
        <w:ind w:firstLine="482"/>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二、合同金额</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2.1本合同金额为（大写）：______________元整（￥_______元</w:t>
      </w:r>
      <w:r>
        <w:rPr>
          <w:rFonts w:hint="eastAsia" w:ascii="宋体" w:hAnsi="宋体" w:eastAsia="宋体" w:cs="宋体"/>
          <w:color w:val="auto"/>
          <w:sz w:val="24"/>
          <w:highlight w:val="none"/>
          <w:lang w:val="en-US" w:eastAsia="zh-CN"/>
        </w:rPr>
        <w:t xml:space="preserve">/户</w:t>
      </w:r>
      <w:r>
        <w:rPr>
          <w:rFonts w:hint="eastAsia" w:ascii="宋体" w:hAnsi="宋体" w:eastAsia="宋体" w:cs="宋体"/>
          <w:color w:val="auto"/>
          <w:sz w:val="24"/>
          <w:highlight w:val="none"/>
        </w:rPr>
        <w:t xml:space="preserve">）人民币。</w:t>
      </w:r>
      <w:r/>
    </w:p>
    <w:p>
      <w:pPr>
        <w:ind w:firstLine="480"/>
        <w:spacing w:line="360" w:lineRule="auto"/>
        <w:rPr>
          <w:color w:val="auto"/>
          <w:sz w:val="24"/>
          <w:highlight w:val="none"/>
        </w:rPr>
      </w:pPr>
      <w:r>
        <w:rPr>
          <w:rFonts w:hint="eastAsia"/>
          <w:color w:val="auto"/>
          <w:sz w:val="24"/>
          <w:highlight w:val="none"/>
        </w:rPr>
        <w:t xml:space="preserve">本合同价款包含所有乙方提供合同约定的服务报酬及乙方提供合同中服务所支出的所有费用，甲方在上述合同价款之外不再向乙方支付其他任何费用。</w:t>
      </w:r>
      <w:r/>
    </w:p>
    <w:p>
      <w:pPr>
        <w:pStyle w:val="669"/>
        <w:ind w:firstLine="482"/>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三、技术资料</w:t>
      </w:r>
      <w:r/>
    </w:p>
    <w:p>
      <w:pPr>
        <w:pStyle w:val="669"/>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3.1乙方应按招标文件规定的时间向甲方提供服务（包含与服务相关的货物）的有关技术资料。</w:t>
      </w:r>
      <w:r/>
    </w:p>
    <w:p>
      <w:pPr>
        <w:pStyle w:val="669"/>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69"/>
        <w:ind w:firstLine="482"/>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四、知识产权</w:t>
      </w:r>
      <w:r/>
    </w:p>
    <w:p>
      <w:pPr>
        <w:pStyle w:val="669"/>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669"/>
        <w:ind w:firstLine="482"/>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五、产权担保</w:t>
      </w:r>
      <w:r/>
    </w:p>
    <w:p>
      <w:pPr>
        <w:pStyle w:val="669"/>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5.1乙方保证所交付的服务（包含与服务相关的货物）的所有权完全属于乙方且无任何抵押、查封等产权瑕疵。</w:t>
      </w:r>
      <w:r/>
    </w:p>
    <w:p>
      <w:pPr>
        <w:pStyle w:val="669"/>
        <w:ind w:firstLine="482"/>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六、履约保证金</w:t>
      </w:r>
      <w:r/>
    </w:p>
    <w:p>
      <w:pPr>
        <w:ind w:firstLine="480"/>
        <w:spacing w:line="360" w:lineRule="auto"/>
        <w:rPr>
          <w:rFonts w:ascii="宋体"/>
          <w:color w:val="auto"/>
          <w:sz w:val="24"/>
          <w:highlight w:val="none"/>
        </w:rPr>
      </w:pPr>
      <w:r>
        <w:rPr>
          <w:rFonts w:hint="eastAsia" w:ascii="宋体" w:hAnsi="宋体" w:eastAsia="宋体" w:cs="宋体"/>
          <w:color w:val="auto"/>
          <w:sz w:val="24"/>
          <w:highlight w:val="none"/>
        </w:rPr>
        <w:t xml:space="preserve">6.1</w:t>
      </w:r>
      <w:r>
        <w:rPr>
          <w:rFonts w:hint="eastAsia" w:ascii="宋体"/>
          <w:color w:val="auto"/>
          <w:sz w:val="24"/>
          <w:highlight w:val="none"/>
        </w:rPr>
        <w:t xml:space="preserve">乙方交纳人</w:t>
      </w:r>
      <w:r>
        <w:rPr>
          <w:rFonts w:hint="eastAsia" w:ascii="宋体" w:hAnsi="宋体"/>
          <w:color w:val="auto"/>
          <w:sz w:val="24"/>
          <w:highlight w:val="none"/>
          <w:u w:val="single"/>
        </w:rPr>
        <w:t xml:space="preserve">合同的10%</w:t>
      </w:r>
      <w:r>
        <w:rPr>
          <w:rFonts w:hint="eastAsia" w:ascii="宋体"/>
          <w:color w:val="auto"/>
          <w:sz w:val="24"/>
          <w:highlight w:val="none"/>
        </w:rPr>
        <w:t xml:space="preserve">作为本合同的履约保证金</w:t>
      </w:r>
      <w:r>
        <w:rPr>
          <w:rFonts w:hint="eastAsia" w:ascii="宋体"/>
          <w:sz w:val="24"/>
          <w:szCs w:val="24"/>
        </w:rPr>
        <w:t xml:space="preserve">，交纳形式为转账、支票、汇票、本票或者金融机构、担保机构出具的保函</w:t>
      </w:r>
      <w:r>
        <w:rPr>
          <w:rFonts w:hint="eastAsia" w:ascii="宋体" w:hAnsi="宋体" w:cs="宋体"/>
          <w:sz w:val="24"/>
          <w:highlight w:val="yellow"/>
          <w:lang w:eastAsia="zh-CN"/>
        </w:rPr>
        <w:t xml:space="preserve">【</w:t>
      </w:r>
      <w:r>
        <w:rPr>
          <w:rFonts w:hint="eastAsia" w:ascii="宋体" w:hAnsi="宋体" w:cs="宋体"/>
          <w:sz w:val="24"/>
          <w:highlight w:val="yellow"/>
        </w:rPr>
        <w:t xml:space="preserve">可以通过政府采购电子履约保函（保险）平台（www.jsdzbh.com）在线申请履约保函（保险</w:t>
      </w:r>
      <w:r>
        <w:rPr>
          <w:rFonts w:hint="eastAsia" w:ascii="宋体" w:hAnsi="宋体" w:cs="宋体"/>
          <w:sz w:val="24"/>
          <w:highlight w:val="yellow"/>
          <w:lang w:eastAsia="zh-CN"/>
        </w:rPr>
        <w:t xml:space="preserve">）】</w:t>
      </w:r>
      <w:r>
        <w:rPr>
          <w:rFonts w:hint="eastAsia" w:ascii="宋体"/>
          <w:sz w:val="24"/>
          <w:szCs w:val="24"/>
        </w:rPr>
        <w:t xml:space="preserve">、保险公司保险单等。中标人在收到中标通知书后，须在合同签订前，向招标人足额提交履约保证金或者保函，否则招标人可以取消中标资格，履约保证金在本项目验收合格后无息退还</w:t>
      </w:r>
      <w:r>
        <w:rPr>
          <w:rFonts w:hint="eastAsia" w:ascii="宋体"/>
          <w:color w:val="auto"/>
          <w:sz w:val="24"/>
          <w:highlight w:val="none"/>
        </w:rPr>
        <w:t xml:space="preserve">。</w:t>
      </w:r>
      <w:r/>
    </w:p>
    <w:p>
      <w:pPr>
        <w:ind w:firstLine="480"/>
        <w:spacing w:line="360" w:lineRule="auto"/>
        <w:rPr>
          <w:rFonts w:ascii="宋体"/>
          <w:color w:val="auto"/>
          <w:sz w:val="24"/>
          <w:highlight w:val="none"/>
        </w:rPr>
      </w:pPr>
      <w:r>
        <w:rPr>
          <w:rFonts w:hint="eastAsia" w:ascii="宋体"/>
          <w:color w:val="auto"/>
          <w:sz w:val="24"/>
          <w:highlight w:val="none"/>
        </w:rPr>
        <w:t xml:space="preserve">6.2</w:t>
      </w:r>
      <w:r>
        <w:rPr>
          <w:rFonts w:hint="eastAsia" w:ascii="宋体"/>
          <w:sz w:val="24"/>
          <w:szCs w:val="24"/>
        </w:rPr>
        <w:t xml:space="preserve">采购人对AA评级及以上政府采购供应商（需提供信用管理部门备案的第三方信用报告，且信用报告概述页等内容通过“信用盐城”网站可查实），免收履约保证金</w:t>
      </w:r>
      <w:r>
        <w:rPr>
          <w:rFonts w:hint="eastAsia" w:ascii="宋体"/>
          <w:color w:val="auto"/>
          <w:sz w:val="24"/>
          <w:highlight w:val="none"/>
        </w:rPr>
        <w:t xml:space="preserve">，免收履约保证金。</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6.3履约保证金的退还：</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6.3.1方式：无息退还至投标人缴纳履约保证金的账户。如为保函，在到期时自行失效。</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6.3.2时间：验收合格且采购人收到发票后30日内。</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6.3.3条件：按合同要求全部履约完成并经采购人验收合格，且采购人收到中标人出具的发票。</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6.3.4不予退还情形：</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除不可抗力情况外，投标人出现下列情形之一的，其履约保证金，招标人将视情节决定不予退还或部分不予退还。</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（1）中标人无正当理由拒绝签订合同的，或者在签订合同时向采购人提出附加条件或者更改合同实质性内容要求的；</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（2）中标人不履行与采购人订立的合同的；</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（3）中标人所供货物或服务不符合招标文件规定要求的；</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（4）中标人采取欺骗、弄虚作假方式投标的或与其它投标人串通投标的；</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（5）中标人将合同内容转包、违法分包的；</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（6）中标人故意捏造事实或伪造证明材料，进行虚假恶意投诉或反映的。</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6.3.5逾期退还的违约责任：采购人逾期无故未退还履约保证金的，按中国人民银行同期贷款基准利率上浮20%后的利率支付超期资金占用费，但因供应商自身原因导致无法及时退还的除外。</w:t>
      </w:r>
      <w:r/>
    </w:p>
    <w:p>
      <w:pPr>
        <w:pStyle w:val="669"/>
        <w:ind w:firstLine="482"/>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七、合同转包或分包</w:t>
      </w:r>
      <w:r/>
    </w:p>
    <w:p>
      <w:pPr>
        <w:pStyle w:val="669"/>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7.1乙方不得将合同标的转包给他人履行。</w:t>
      </w:r>
      <w:r/>
    </w:p>
    <w:p>
      <w:pPr>
        <w:pStyle w:val="669"/>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7.2乙方不得将合同标的分包给他人履行。</w:t>
      </w:r>
      <w:r/>
    </w:p>
    <w:p>
      <w:pPr>
        <w:pStyle w:val="669"/>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7.3乙方如有转包或未经甲方同意的分包行为，甲方有权解除合同。</w:t>
      </w:r>
      <w:r/>
    </w:p>
    <w:p>
      <w:pPr>
        <w:pStyle w:val="669"/>
        <w:ind w:firstLine="482"/>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八、合同款项支付</w:t>
      </w:r>
      <w:r/>
    </w:p>
    <w:p>
      <w:pPr>
        <w:pStyle w:val="669"/>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8.1合同款项的支付方式及进度安排</w:t>
      </w:r>
      <w:r/>
    </w:p>
    <w:p>
      <w:pPr>
        <w:pStyle w:val="669"/>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8.1.1合同签订后30日内支付合同金额的10%预付款。（在签订合同时，供应商明确表示无需预付款的，可不执行）</w:t>
      </w:r>
      <w:r/>
    </w:p>
    <w:p>
      <w:pPr>
        <w:pStyle w:val="669"/>
        <w:ind w:firstLine="48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8.1.2初次汇报并提交中期成果后支付合同价的30%。</w:t>
      </w:r>
      <w:r/>
    </w:p>
    <w:p>
      <w:pPr>
        <w:pStyle w:val="669"/>
        <w:ind w:firstLine="480"/>
        <w:spacing w:beforeAutospacing="0" w:afterAutospacing="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8.1.3</w:t>
      </w:r>
      <w:r>
        <w:rPr>
          <w:rFonts w:hint="eastAsia" w:ascii="宋体" w:hAnsi="宋体" w:eastAsia="宋体" w:cs="宋体"/>
          <w:color w:val="auto"/>
          <w:highlight w:val="none"/>
        </w:rPr>
        <w:t xml:space="preserve">规划通过专家评审后支付合同价的</w:t>
      </w: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0%</w:t>
      </w:r>
      <w:r>
        <w:rPr>
          <w:rFonts w:hint="eastAsia" w:ascii="宋体" w:hAnsi="宋体" w:eastAsia="宋体" w:cs="宋体"/>
          <w:color w:val="auto"/>
          <w:highlight w:val="none"/>
          <w:lang w:eastAsia="zh-CN"/>
        </w:rPr>
        <w:t xml:space="preserve">；</w:t>
      </w:r>
      <w:r/>
    </w:p>
    <w:p>
      <w:pPr>
        <w:pStyle w:val="669"/>
        <w:ind w:firstLine="480"/>
        <w:spacing w:beforeAutospacing="0" w:afterAutospacing="0" w:line="360" w:lineRule="auto"/>
        <w:rPr>
          <w:rFonts w:hint="eastAsia" w:ascii="宋体" w:hAnsi="宋体" w:eastAsia="宋体" w:cs="宋体"/>
          <w:color w:val="auto"/>
          <w:highlight w:val="none"/>
          <w:lang w:eastAsia="zh-CN"/>
        </w:rPr>
      </w:pPr>
      <w:r>
        <w:rPr>
          <w:rFonts w:hint="eastAsia" w:ascii="宋体" w:hAnsi="宋体" w:eastAsia="宋体" w:cs="宋体"/>
          <w:color w:val="000000"/>
          <w:sz w:val="24"/>
          <w:szCs w:val="24"/>
          <w:lang w:val="en-US" w:eastAsia="zh-CN"/>
        </w:rPr>
        <w:t xml:space="preserve">8.1.4 </w:t>
      </w:r>
      <w:r>
        <w:rPr>
          <w:rFonts w:ascii="宋体" w:hAnsi="宋体" w:eastAsia="宋体" w:cs="宋体"/>
          <w:color w:val="000000"/>
          <w:sz w:val="24"/>
          <w:szCs w:val="24"/>
        </w:rPr>
        <w:t xml:space="preserve">余款</w:t>
      </w:r>
      <w:r>
        <w:rPr>
          <w:rFonts w:hint="eastAsia" w:ascii="宋体" w:hAnsi="宋体" w:eastAsia="宋体" w:cs="宋体"/>
          <w:color w:val="000000"/>
          <w:sz w:val="24"/>
          <w:szCs w:val="24"/>
        </w:rPr>
        <w:t xml:space="preserve">在</w:t>
      </w:r>
      <w:r>
        <w:rPr>
          <w:rFonts w:hint="eastAsia" w:ascii="宋体" w:hAnsi="宋体" w:eastAsia="宋体" w:cs="宋体"/>
          <w:color w:val="000000"/>
          <w:sz w:val="24"/>
          <w:szCs w:val="24"/>
          <w:lang w:eastAsia="zh-CN"/>
        </w:rPr>
        <w:t xml:space="preserve">一年</w:t>
      </w:r>
      <w:r>
        <w:rPr>
          <w:rFonts w:hint="eastAsia" w:ascii="宋体" w:hAnsi="宋体" w:eastAsia="宋体" w:cs="宋体"/>
          <w:color w:val="000000"/>
          <w:sz w:val="24"/>
          <w:szCs w:val="24"/>
        </w:rPr>
        <w:t xml:space="preserve">后</w:t>
      </w:r>
      <w:r>
        <w:rPr>
          <w:rFonts w:ascii="宋体" w:hAnsi="宋体" w:eastAsia="宋体" w:cs="宋体"/>
          <w:color w:val="000000"/>
          <w:sz w:val="24"/>
          <w:szCs w:val="24"/>
        </w:rPr>
        <w:t xml:space="preserve">一次性付清</w:t>
      </w:r>
      <w:r>
        <w:rPr>
          <w:rFonts w:hint="eastAsia" w:ascii="宋体" w:hAnsi="宋体" w:eastAsia="宋体" w:cs="宋体"/>
          <w:color w:val="000000"/>
          <w:sz w:val="24"/>
          <w:szCs w:val="24"/>
          <w:lang w:eastAsia="zh-CN"/>
        </w:rPr>
        <w:t xml:space="preserve">；</w:t>
      </w:r>
      <w:r/>
    </w:p>
    <w:p>
      <w:pPr>
        <w:pStyle w:val="669"/>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8.1.</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结算时，乙方必须提供乙方单位名称的正式发票。本合同执行中相关的一切税费均由乙方负担。</w:t>
      </w:r>
      <w:r/>
    </w:p>
    <w:p>
      <w:pPr>
        <w:pStyle w:val="669"/>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8.1.</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 支付方式：银行转账。</w:t>
      </w:r>
      <w:r/>
    </w:p>
    <w:p>
      <w:pPr>
        <w:pStyle w:val="669"/>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8.1.</w:t>
      </w: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当采购数量与实际使用数量不一致时，乙方根据实际使用量提供产品和服务，合同的最终结算金额按实际使用量乘以成交单价进行计算。</w:t>
      </w:r>
      <w:r/>
    </w:p>
    <w:p>
      <w:pPr>
        <w:pStyle w:val="669"/>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8.1.</w:t>
      </w: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如需向与财政部门签署融资合作协议的银行办理授信申请的, 需在协作银行开立结算户作为回款专用户,作为该笔合同唯一的收款帐户，供货结束货款结算时，财政部门将政府采购款项直接支付到该账户。</w:t>
      </w:r>
      <w:r/>
    </w:p>
    <w:p>
      <w:pPr>
        <w:pStyle w:val="669"/>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8.1.</w:t>
      </w: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服务期间中标单位收费单价在任何情况下均不予调整，也不再另行支付任何费用。</w:t>
      </w:r>
      <w:r/>
    </w:p>
    <w:p>
      <w:pPr>
        <w:pStyle w:val="669"/>
        <w:ind w:firstLine="482"/>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九、税费</w:t>
      </w:r>
      <w:r/>
    </w:p>
    <w:p>
      <w:pPr>
        <w:pStyle w:val="669"/>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9.1本合同执行中相关的一切税费均由乙方负担。</w:t>
      </w:r>
      <w:r/>
    </w:p>
    <w:p>
      <w:pPr>
        <w:pStyle w:val="669"/>
        <w:ind w:firstLine="482"/>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十、项目验收</w:t>
      </w:r>
      <w:r/>
    </w:p>
    <w:p>
      <w:pPr>
        <w:pStyle w:val="669"/>
        <w:ind w:firstLine="48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10.1甲方依法组织履约验收工作。</w:t>
      </w:r>
      <w:r/>
    </w:p>
    <w:p>
      <w:pPr>
        <w:pStyle w:val="669"/>
        <w:ind w:firstLine="48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69"/>
        <w:ind w:firstLine="48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10.3对于实际使用人和甲方分离的项目，甲方邀请实际使用人参与验收。</w:t>
      </w:r>
      <w:r/>
    </w:p>
    <w:p>
      <w:pPr>
        <w:pStyle w:val="669"/>
        <w:ind w:firstLine="48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10.4如有必要，甲方邀请参加本项目的其他供应商或第三方专业机构及专家参与验收，相关意见将作为验收书的参考资料。</w:t>
      </w:r>
      <w:r/>
    </w:p>
    <w:p>
      <w:pPr>
        <w:pStyle w:val="669"/>
        <w:ind w:firstLine="48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69"/>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669"/>
        <w:ind w:firstLine="482"/>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十一、违约责任</w:t>
      </w:r>
      <w:r/>
    </w:p>
    <w:p>
      <w:pPr>
        <w:pStyle w:val="669"/>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11.1甲方无正当理由拒绝接受乙方提供服务的，甲方向乙方偿付拒绝接受服务合同价款总值</w:t>
      </w:r>
      <w:r>
        <w:rPr>
          <w:rFonts w:hint="eastAsia" w:ascii="宋体" w:hAnsi="宋体" w:eastAsia="宋体" w:cs="宋体"/>
          <w:color w:val="auto"/>
          <w:highlight w:val="none"/>
          <w:u w:val="single"/>
        </w:rPr>
        <w:t xml:space="preserve">1‰</w:t>
      </w:r>
      <w:r>
        <w:rPr>
          <w:rFonts w:hint="eastAsia" w:ascii="宋体" w:hAnsi="宋体" w:eastAsia="宋体" w:cs="宋体"/>
          <w:color w:val="auto"/>
          <w:highlight w:val="none"/>
        </w:rPr>
        <w:t xml:space="preserve">的违约金。</w:t>
      </w:r>
      <w:r/>
    </w:p>
    <w:p>
      <w:pPr>
        <w:pStyle w:val="669"/>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11.2甲方无故逾期验收和办理合同款项支付手续的,甲方应按逾期付款总额</w:t>
      </w:r>
      <w:r>
        <w:rPr>
          <w:rFonts w:hint="eastAsia" w:ascii="宋体" w:hAnsi="宋体" w:eastAsia="宋体" w:cs="宋体"/>
          <w:color w:val="auto"/>
          <w:highlight w:val="none"/>
          <w:u w:val="single"/>
        </w:rPr>
        <w:t xml:space="preserve">1‰</w:t>
      </w:r>
      <w:r>
        <w:rPr>
          <w:rFonts w:hint="eastAsia" w:ascii="宋体" w:hAnsi="宋体" w:eastAsia="宋体" w:cs="宋体"/>
          <w:color w:val="auto"/>
          <w:highlight w:val="none"/>
        </w:rPr>
        <w:t xml:space="preserve">每日向乙方支付违约金。</w:t>
      </w:r>
      <w:r/>
    </w:p>
    <w:p>
      <w:pPr>
        <w:pStyle w:val="669"/>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11.3乙方逾期提供服务的，延迟按</w:t>
      </w:r>
      <w:r>
        <w:rPr>
          <w:rFonts w:hint="eastAsia" w:ascii="宋体" w:hAnsi="宋体" w:eastAsia="宋体" w:cs="宋体"/>
          <w:color w:val="auto"/>
          <w:highlight w:val="none"/>
          <w:lang w:val="en-US" w:eastAsia="zh-CN"/>
        </w:rPr>
        <w:t xml:space="preserve">1000</w:t>
      </w:r>
      <w:r>
        <w:rPr>
          <w:rFonts w:hint="eastAsia" w:ascii="宋体" w:hAnsi="宋体" w:eastAsia="宋体" w:cs="宋体"/>
          <w:color w:val="auto"/>
          <w:highlight w:val="none"/>
        </w:rPr>
        <w:t xml:space="preserve">元/天/份罚款，由甲方从待付合同款项中扣除。逾期超过约定日期10个工作日不能提供服务的，甲方可解除本合同。乙方因逾期提供服务或因其他违约行为导致甲方解除合同的，乙方应向甲方支付合同价款总额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auto"/>
          <w:highlight w:val="none"/>
          <w:u w:val="single"/>
        </w:rPr>
        <w:t xml:space="preserve">5%</w:t>
      </w:r>
      <w:r>
        <w:rPr>
          <w:rFonts w:hint="eastAsia" w:ascii="宋体" w:hAnsi="宋体" w:eastAsia="宋体" w:cs="宋体"/>
          <w:color w:val="auto"/>
          <w:highlight w:val="none"/>
        </w:rPr>
        <w:t xml:space="preserve">的违约金，如造成甲方损失超过违约金的，超出部分由乙方继续承担赔偿责任。 </w:t>
      </w:r>
      <w:r/>
    </w:p>
    <w:p>
      <w:pPr>
        <w:pStyle w:val="669"/>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11.4乙方所提供服务的标准不符合合同规定及招标文件规定标准的，甲方有权拒绝接受服务，并可单方面解除合同。</w:t>
      </w:r>
      <w:r/>
    </w:p>
    <w:p>
      <w:pPr>
        <w:pStyle w:val="669"/>
        <w:ind w:firstLine="482"/>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十二、不可抗力事件处理</w:t>
      </w:r>
      <w:r/>
    </w:p>
    <w:p>
      <w:pPr>
        <w:pStyle w:val="669"/>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12.1在合同有效期内，任何一方因不可抗力事件导致不能履行合同，则合同履行期可延长，其延长期与不可抗力影响 期相同。</w:t>
      </w:r>
      <w:r/>
    </w:p>
    <w:p>
      <w:pPr>
        <w:pStyle w:val="669"/>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12.2不可抗力事件发生后，应立即通知对方，并寄送有关权威机构出具的证明。</w:t>
      </w:r>
      <w:r/>
    </w:p>
    <w:p>
      <w:pPr>
        <w:pStyle w:val="669"/>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12.3不可抗力事件延续120天以上，双方应通过友好协商，确定是否继续履行合同。</w:t>
      </w:r>
      <w:r/>
    </w:p>
    <w:p>
      <w:pPr>
        <w:pStyle w:val="669"/>
        <w:ind w:firstLine="482"/>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十三、解决争议的方法</w:t>
      </w:r>
      <w:r/>
    </w:p>
    <w:p>
      <w:pPr>
        <w:pStyle w:val="669"/>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13.1双方在签订、履行合同中所发生的一切争议，应通过友好协商解决。如协商不成，由甲方住所地人民法院管辖。</w:t>
      </w:r>
      <w:r/>
    </w:p>
    <w:p>
      <w:pPr>
        <w:pStyle w:val="669"/>
        <w:ind w:firstLine="482"/>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十四、合同生效及其它</w:t>
      </w:r>
      <w:r/>
    </w:p>
    <w:p>
      <w:pPr>
        <w:pStyle w:val="669"/>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14.1合同经双方法定代表人或授权委托代表人签字并加盖单位公章后生效。</w:t>
      </w:r>
      <w:r/>
    </w:p>
    <w:p>
      <w:pPr>
        <w:pStyle w:val="669"/>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14.2本合同未尽事宜，遵照《民法典》、《政府采购法》有关条文执行。</w:t>
      </w:r>
      <w:r/>
    </w:p>
    <w:p>
      <w:pPr>
        <w:pStyle w:val="669"/>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14.3 本合同正本一式</w:t>
      </w:r>
      <w:r>
        <w:rPr>
          <w:rFonts w:hint="eastAsia" w:ascii="宋体" w:hAnsi="宋体" w:eastAsia="宋体" w:cs="宋体"/>
          <w:color w:val="auto"/>
          <w:highlight w:val="none"/>
          <w:lang w:val="en-US" w:eastAsia="zh-CN"/>
        </w:rPr>
        <w:t xml:space="preserve">陆</w:t>
      </w:r>
      <w:r>
        <w:rPr>
          <w:rFonts w:hint="eastAsia" w:ascii="宋体" w:hAnsi="宋体" w:eastAsia="宋体" w:cs="宋体"/>
          <w:color w:val="auto"/>
          <w:highlight w:val="none"/>
        </w:rPr>
        <w:t xml:space="preserve">份，具有同等法律效力，甲方、乙方各执一份</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剩余部分交相关单位存档</w:t>
      </w:r>
      <w:r>
        <w:rPr>
          <w:rFonts w:hint="eastAsia" w:ascii="宋体" w:hAnsi="宋体" w:eastAsia="宋体" w:cs="宋体"/>
          <w:color w:val="auto"/>
          <w:highlight w:val="none"/>
        </w:rPr>
        <w:t xml:space="preserve">。</w:t>
      </w:r>
      <w:r/>
    </w:p>
    <w:p>
      <w:pPr>
        <w:pStyle w:val="669"/>
        <w:ind w:firstLine="48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9"/>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甲方：               乙方： </w:t>
      </w:r>
      <w:r/>
    </w:p>
    <w:p>
      <w:pPr>
        <w:pStyle w:val="669"/>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地址：               地址： </w:t>
      </w:r>
      <w:r/>
    </w:p>
    <w:p>
      <w:pPr>
        <w:pStyle w:val="669"/>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法定代表人或授权代表：       法定代表人或授权代表：</w:t>
      </w:r>
      <w:r/>
    </w:p>
    <w:p>
      <w:pPr>
        <w:pStyle w:val="669"/>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             联系电话：          </w:t>
      </w:r>
      <w:r/>
    </w:p>
    <w:p>
      <w:pPr>
        <w:pStyle w:val="669"/>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签订日期：    年    月   日</w:t>
      </w:r>
      <w:bookmarkStart w:id="33" w:name="_Hlt16619350"/>
      <w:r/>
      <w:bookmarkStart w:id="34" w:name="_Hlt16619369"/>
      <w:r/>
      <w:r/>
    </w:p>
    <w:p>
      <w:pPr>
        <w:rPr>
          <w:rFonts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pStyle w:val="669"/>
        <w:ind w:firstLine="880"/>
        <w:jc w:val="center"/>
        <w:spacing w:beforeAutospacing="0" w:afterAutospacing="0" w:line="360" w:lineRule="auto"/>
        <w:rPr>
          <w:color w:val="auto"/>
          <w:highlight w:val="none"/>
        </w:rPr>
        <w:outlineLvl w:val="0"/>
      </w:pPr>
      <w:r/>
      <w:bookmarkStart w:id="35" w:name="_Toc11"/>
      <w:r>
        <w:rPr>
          <w:rFonts w:hint="eastAsia" w:ascii="黑体" w:hAnsi="宋体" w:eastAsia="黑体" w:cs="黑体"/>
          <w:color w:val="auto"/>
          <w:sz w:val="44"/>
          <w:szCs w:val="44"/>
          <w:highlight w:val="none"/>
        </w:rPr>
        <w:t xml:space="preserve">第四章 采购需求</w:t>
      </w:r>
      <w:bookmarkEnd w:id="33"/>
      <w:r/>
      <w:bookmarkEnd w:id="35"/>
      <w:r/>
      <w:r/>
    </w:p>
    <w:p>
      <w:pPr>
        <w:pStyle w:val="669"/>
        <w:jc w:val="both"/>
        <w:spacing w:beforeAutospacing="0" w:afterAutospacing="0" w:line="0" w:lineRule="atLeast"/>
        <w:rPr>
          <w:color w:val="auto"/>
          <w:highlight w:val="none"/>
        </w:rPr>
      </w:pPr>
      <w:r>
        <w:rPr>
          <w:rFonts w:hint="eastAsia" w:ascii="宋体" w:hAnsi="宋体" w:eastAsia="宋体" w:cs="宋体"/>
          <w:color w:val="auto"/>
          <w:highlight w:val="none"/>
        </w:rPr>
        <w:t xml:space="preserve">项目属性:服务类项目。</w:t>
      </w:r>
      <w:r>
        <w:rPr>
          <w:rFonts w:hint="eastAsia" w:ascii="宋体" w:hAnsi="宋体" w:eastAsia="宋体" w:cs="宋体"/>
          <w:color w:val="auto"/>
          <w:highlight w:val="none"/>
          <w:shd w:val="clear" w:color="auto" w:fill="ffff00"/>
        </w:rPr>
        <w:t xml:space="preserve">（此为固定内容）</w:t>
      </w:r>
      <w:r/>
    </w:p>
    <w:p>
      <w:pPr>
        <w:pStyle w:val="669"/>
        <w:ind w:firstLine="482"/>
        <w:jc w:val="both"/>
        <w:spacing w:beforeAutospacing="0" w:afterAutospacing="0"/>
        <w:rPr>
          <w:rFonts w:ascii="宋体" w:hAnsi="宋体" w:eastAsia="宋体" w:cs="宋体"/>
          <w:b/>
          <w:bCs/>
          <w:color w:val="auto"/>
          <w:highlight w:val="none"/>
        </w:rPr>
      </w:pPr>
      <w:r>
        <w:rPr>
          <w:rFonts w:ascii="宋体" w:hAnsi="宋体" w:eastAsia="宋体" w:cs="宋体"/>
          <w:b/>
          <w:bCs/>
          <w:color w:val="auto"/>
          <w:highlight w:val="none"/>
        </w:rPr>
      </w:r>
      <w:r/>
    </w:p>
    <w:p>
      <w:pPr>
        <w:ind w:firstLine="482"/>
        <w:spacing w:line="480" w:lineRule="exact"/>
        <w:rPr>
          <w:rFonts w:ascii="宋体" w:hAnsi="宋体" w:eastAsia="宋体" w:cs="仿宋_GB2312"/>
          <w:b/>
          <w:bCs/>
          <w:sz w:val="21"/>
          <w:szCs w:val="21"/>
        </w:rPr>
      </w:pPr>
      <w:r>
        <w:rPr>
          <w:rFonts w:hint="eastAsia" w:ascii="宋体" w:hAnsi="宋体" w:eastAsia="宋体" w:cs="仿宋_GB2312"/>
          <w:b/>
          <w:bCs/>
          <w:sz w:val="21"/>
          <w:szCs w:val="21"/>
        </w:rPr>
        <w:t xml:space="preserve">一、项目概况</w:t>
      </w:r>
      <w:r/>
    </w:p>
    <w:p>
      <w:pPr>
        <w:ind w:firstLine="480"/>
        <w:spacing w:line="440" w:lineRule="exact"/>
        <w:rPr>
          <w:rFonts w:ascii="宋体" w:hAnsi="宋体" w:eastAsia="宋体" w:cs="宋体"/>
          <w:color w:val="ff0000"/>
          <w:sz w:val="21"/>
          <w:szCs w:val="21"/>
        </w:rPr>
      </w:pPr>
      <w:r/>
      <w:bookmarkStart w:id="36" w:name="_Hlk166493151"/>
      <w:r>
        <w:rPr>
          <w:rFonts w:hint="eastAsia" w:ascii="宋体" w:hAnsi="宋体" w:eastAsia="宋体" w:cs="宋体"/>
          <w:sz w:val="21"/>
          <w:szCs w:val="21"/>
        </w:rPr>
        <w:t xml:space="preserve">按照省委农办《江苏省宜居宜业和美乡村建设指南》制定宜居宜业和美乡村建设评价指标体系等相关要求，推进村庄环境集中连片整治提升，立足不同区位资源优势，一体推进自然要素和道路、村庄、景区、园区等生产生活要素整合更新。选取</w:t>
      </w:r>
      <w:r>
        <w:rPr>
          <w:rFonts w:hint="eastAsia" w:ascii="宋体" w:hAnsi="宋体" w:eastAsia="宋体" w:cs="宋体"/>
          <w:sz w:val="21"/>
          <w:szCs w:val="21"/>
          <w:lang w:val="en-US" w:eastAsia="zh-CN"/>
        </w:rPr>
        <w:t xml:space="preserve">东台市弶港镇、头灶镇、东台镇、高新区，包括弶港镇巴斗村、八里村、新海村、新曹村、中来村，头灶镇华丿村、下舍村、金康村、金灶村、港东村、永丰村，东台镇华灶村、上官村、兴房村，高新区团北村</w:t>
      </w:r>
      <w:r>
        <w:rPr>
          <w:rFonts w:hint="eastAsia" w:ascii="宋体" w:hAnsi="宋体" w:eastAsia="宋体" w:cs="宋体"/>
          <w:sz w:val="21"/>
          <w:szCs w:val="21"/>
        </w:rPr>
        <w:t xml:space="preserve">等1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个行政村编制宜居宜业和美乡村片区规划（具体数据以农业农村部门提供为准）。</w:t>
      </w:r>
      <w:bookmarkEnd w:id="36"/>
      <w:r/>
      <w:r/>
    </w:p>
    <w:p>
      <w:pPr>
        <w:ind w:firstLine="482"/>
        <w:spacing w:line="480" w:lineRule="exact"/>
        <w:rPr>
          <w:rFonts w:hint="eastAsia" w:ascii="宋体" w:hAnsi="宋体" w:eastAsia="宋体" w:cs="宋体"/>
          <w:b/>
          <w:sz w:val="21"/>
          <w:szCs w:val="21"/>
        </w:rPr>
      </w:pPr>
      <w:r>
        <w:rPr>
          <w:rFonts w:hint="eastAsia" w:ascii="宋体" w:hAnsi="宋体" w:eastAsia="宋体" w:cs="宋体"/>
          <w:b/>
          <w:sz w:val="21"/>
          <w:szCs w:val="21"/>
        </w:rPr>
        <w:t xml:space="preserve">二、项目背景</w:t>
      </w:r>
      <w:r/>
    </w:p>
    <w:p>
      <w:pPr>
        <w:ind w:firstLine="480"/>
        <w:spacing w:line="440" w:lineRule="exact"/>
        <w:rPr>
          <w:rFonts w:ascii="宋体" w:hAnsi="宋体" w:eastAsia="宋体" w:cs="宋体"/>
          <w:b/>
          <w:bCs/>
          <w:sz w:val="21"/>
          <w:szCs w:val="21"/>
        </w:rPr>
      </w:pPr>
      <w:r>
        <w:rPr>
          <w:rFonts w:hint="eastAsia" w:ascii="宋体" w:hAnsi="宋体" w:eastAsia="宋体" w:cs="宋体"/>
          <w:b/>
          <w:bCs/>
          <w:sz w:val="21"/>
          <w:szCs w:val="21"/>
        </w:rPr>
        <w:t xml:space="preserve">1、宜居宜业和美乡村建设是全面推进乡村振兴的重要抓手</w:t>
      </w:r>
      <w:r/>
    </w:p>
    <w:p>
      <w:pPr>
        <w:ind w:firstLine="480"/>
        <w:spacing w:line="440" w:lineRule="exact"/>
        <w:rPr>
          <w:rFonts w:hint="eastAsia" w:ascii="宋体" w:hAnsi="宋体" w:eastAsia="宋体" w:cs="宋体"/>
          <w:sz w:val="21"/>
          <w:szCs w:val="21"/>
        </w:rPr>
      </w:pPr>
      <w:r>
        <w:rPr>
          <w:rFonts w:hint="eastAsia" w:ascii="宋体" w:hAnsi="宋体" w:eastAsia="宋体" w:cs="宋体"/>
          <w:sz w:val="21"/>
          <w:szCs w:val="21"/>
        </w:rPr>
        <w:t xml:space="preserve">为深入贯彻落实习近平总书记关于浙江“千万工程”的重要指示批示精神，江苏省委省政府出台了《关于学习 运用“千万工程”经验加快建设新时代鱼米之乡的意见》（2023年9月26日），把建设宜居宜业和美乡村作为全面推 进乡村振兴、建设新时代鱼米之乡的重要抓手。建立了党委农办牵头、农业农村、自然资源、生态环境、住房城乡建设等多部门统筹推进的工作机制，并把宜居宜业和美乡 村建设纳入高质量发展综合考核和乡村振兴战略实绩考核。   </w:t>
      </w:r>
      <w:r/>
    </w:p>
    <w:p>
      <w:pPr>
        <w:ind w:firstLine="480"/>
        <w:spacing w:line="440" w:lineRule="exact"/>
        <w:rPr>
          <w:rFonts w:ascii="宋体" w:hAnsi="宋体" w:eastAsia="宋体" w:cs="宋体"/>
          <w:b/>
          <w:bCs/>
          <w:sz w:val="21"/>
          <w:szCs w:val="21"/>
        </w:rPr>
      </w:pPr>
      <w:r>
        <w:rPr>
          <w:rFonts w:hint="eastAsia" w:ascii="宋体" w:hAnsi="宋体" w:eastAsia="宋体" w:cs="宋体"/>
          <w:b/>
          <w:bCs/>
          <w:sz w:val="21"/>
          <w:szCs w:val="21"/>
        </w:rPr>
        <w:t xml:space="preserve">2、“由点及面、集中连片”是宜居宜业和美乡村建设的必然趋势</w:t>
      </w:r>
      <w:r/>
    </w:p>
    <w:p>
      <w:pPr>
        <w:ind w:firstLine="480"/>
        <w:spacing w:line="440" w:lineRule="exact"/>
        <w:rPr>
          <w:rFonts w:hint="eastAsia" w:ascii="宋体" w:hAnsi="宋体" w:eastAsia="宋体" w:cs="宋体"/>
          <w:sz w:val="21"/>
          <w:szCs w:val="21"/>
        </w:rPr>
      </w:pPr>
      <w:r>
        <w:rPr>
          <w:rFonts w:hint="eastAsia" w:ascii="宋体" w:hAnsi="宋体" w:eastAsia="宋体" w:cs="宋体"/>
          <w:sz w:val="21"/>
          <w:szCs w:val="21"/>
        </w:rPr>
        <w:t xml:space="preserve">全面推进乡村振兴的一个显著特征就是，不局限于单个乡村的点状振兴，要“点线结合、以点带面、串珠成链”，进而带动整个乡村地区的全域振兴。《江苏省宜居宜业和美乡村建设指南 （试行）》《江苏省宜居宜业和美乡村建设绩效评价办法（试行）》（苏委农发〔2023〕12号）</w:t>
      </w:r>
      <w:r/>
    </w:p>
    <w:p>
      <w:pPr>
        <w:ind w:firstLine="480"/>
        <w:spacing w:line="440" w:lineRule="exact"/>
        <w:rPr>
          <w:rFonts w:hint="eastAsia" w:ascii="宋体" w:hAnsi="宋体" w:eastAsia="宋体" w:cs="宋体"/>
          <w:sz w:val="21"/>
          <w:szCs w:val="21"/>
        </w:rPr>
      </w:pPr>
      <w:r>
        <w:rPr>
          <w:rFonts w:hint="eastAsia" w:ascii="宋体" w:hAnsi="宋体" w:eastAsia="宋体" w:cs="宋体"/>
          <w:sz w:val="21"/>
          <w:szCs w:val="21"/>
        </w:rPr>
        <w:t xml:space="preserve">《关于建立学习运用“千万工程”经验加快建设新时代鱼米之乡工作推进机制的通知》（苏委农发〔2023〕13号）提出，鼓励开展集中连片整治提升，要以规划为牵引，对跨域相连成片的15个以上村达到宜居宜业和美乡村建设标准的片区进行总体评价，在村为基本单元基础上重点评价基础 设施以及基本公共服务设施联建共享情况，探索跨行政区一体推进自然要素和道路、村庄、景区、园区等生产生活 要素整合更新。</w:t>
      </w:r>
      <w:r/>
    </w:p>
    <w:p>
      <w:pPr>
        <w:ind w:firstLine="480"/>
        <w:spacing w:line="440" w:lineRule="exact"/>
        <w:rPr>
          <w:rFonts w:hint="eastAsia" w:ascii="宋体" w:hAnsi="宋体" w:eastAsia="宋体" w:cs="宋体"/>
          <w:sz w:val="21"/>
          <w:szCs w:val="21"/>
        </w:rPr>
      </w:pPr>
      <w:r>
        <w:rPr>
          <w:rFonts w:hint="eastAsia" w:ascii="宋体" w:hAnsi="宋体" w:eastAsia="宋体" w:cs="宋体"/>
          <w:sz w:val="21"/>
          <w:szCs w:val="21"/>
        </w:rPr>
        <w:t xml:space="preserve">为深入贯彻落实习近平总书记关于浙江“千万工程” 的重要指示批示精神，引领东台市宜居宜业和美乡村建设工作深入实施，特组织编制《东台市G344宜居宜业和美乡村片区规划》（以下简称《规划》）。</w:t>
      </w:r>
      <w:r/>
    </w:p>
    <w:p>
      <w:pPr>
        <w:ind w:firstLine="482"/>
        <w:spacing w:line="480" w:lineRule="exact"/>
        <w:rPr>
          <w:rFonts w:hint="eastAsia" w:ascii="宋体" w:hAnsi="宋体" w:eastAsia="宋体" w:cs="宋体"/>
          <w:b/>
          <w:sz w:val="21"/>
          <w:szCs w:val="21"/>
        </w:rPr>
      </w:pPr>
      <w:r/>
      <w:bookmarkStart w:id="37" w:name="_Toc142294849"/>
      <w:r>
        <w:rPr>
          <w:rFonts w:hint="eastAsia" w:ascii="宋体" w:hAnsi="宋体" w:eastAsia="宋体" w:cs="宋体"/>
          <w:b/>
          <w:sz w:val="21"/>
          <w:szCs w:val="21"/>
        </w:rPr>
        <w:t xml:space="preserve">三、</w:t>
      </w:r>
      <w:bookmarkEnd w:id="37"/>
      <w:r>
        <w:rPr>
          <w:rFonts w:hint="eastAsia" w:ascii="宋体" w:hAnsi="宋体" w:eastAsia="宋体" w:cs="宋体"/>
          <w:b/>
          <w:sz w:val="21"/>
          <w:szCs w:val="21"/>
        </w:rPr>
        <w:t xml:space="preserve">规划依据、范围和期限</w:t>
      </w:r>
      <w:r/>
    </w:p>
    <w:p>
      <w:pPr>
        <w:ind w:firstLine="480"/>
        <w:spacing w:line="480" w:lineRule="exact"/>
        <w:rPr>
          <w:rFonts w:hint="eastAsia" w:ascii="宋体" w:hAnsi="宋体" w:eastAsia="宋体" w:cs="宋体"/>
          <w:sz w:val="21"/>
          <w:szCs w:val="21"/>
        </w:rPr>
      </w:pPr>
      <w:r>
        <w:rPr>
          <w:rFonts w:hint="eastAsia" w:ascii="宋体" w:hAnsi="宋体" w:eastAsia="宋体" w:cs="宋体"/>
          <w:sz w:val="21"/>
          <w:szCs w:val="21"/>
        </w:rPr>
        <w:t xml:space="preserve">1、规划依据</w:t>
      </w:r>
      <w:r/>
    </w:p>
    <w:p>
      <w:pPr>
        <w:ind w:firstLine="480"/>
        <w:spacing w:line="480" w:lineRule="exact"/>
        <w:rPr>
          <w:rFonts w:hint="eastAsia" w:ascii="宋体" w:hAnsi="宋体" w:eastAsia="宋体" w:cs="宋体"/>
          <w:sz w:val="21"/>
          <w:szCs w:val="21"/>
        </w:rPr>
      </w:pPr>
      <w:r>
        <w:rPr>
          <w:rFonts w:hint="eastAsia" w:ascii="宋体" w:hAnsi="宋体" w:eastAsia="宋体" w:cs="宋体"/>
          <w:sz w:val="21"/>
          <w:szCs w:val="21"/>
        </w:rPr>
        <w:t xml:space="preserve">《中共江苏省委 江苏省人民政府关于学习运用“千万工程”经验加快建设新时代鱼米之乡的意见》（2023年9月26 日）</w:t>
      </w:r>
      <w:r/>
    </w:p>
    <w:p>
      <w:pPr>
        <w:ind w:firstLine="480"/>
        <w:spacing w:line="480" w:lineRule="exact"/>
        <w:rPr>
          <w:rFonts w:hint="eastAsia" w:ascii="宋体" w:hAnsi="宋体" w:eastAsia="宋体" w:cs="宋体"/>
          <w:sz w:val="21"/>
          <w:szCs w:val="21"/>
        </w:rPr>
      </w:pPr>
      <w:r>
        <w:rPr>
          <w:rFonts w:hint="eastAsia" w:ascii="宋体" w:hAnsi="宋体" w:eastAsia="宋体" w:cs="宋体"/>
          <w:sz w:val="21"/>
          <w:szCs w:val="21"/>
        </w:rPr>
        <w:t xml:space="preserve">《江苏省宜居宜业和美乡村建设指南（试行） 》《江苏省宜居宜业和美乡村建设绩效评价办法（试行）》（苏委农发〔2023〕12 号）</w:t>
      </w:r>
      <w:r/>
    </w:p>
    <w:p>
      <w:pPr>
        <w:ind w:firstLine="480"/>
        <w:spacing w:line="480" w:lineRule="exact"/>
        <w:rPr>
          <w:rFonts w:hint="eastAsia" w:ascii="宋体" w:hAnsi="宋体" w:eastAsia="宋体" w:cs="宋体"/>
          <w:sz w:val="21"/>
          <w:szCs w:val="21"/>
        </w:rPr>
      </w:pPr>
      <w:r>
        <w:rPr>
          <w:rFonts w:hint="eastAsia" w:ascii="宋体" w:hAnsi="宋体" w:eastAsia="宋体" w:cs="宋体"/>
          <w:sz w:val="21"/>
          <w:szCs w:val="21"/>
        </w:rPr>
        <w:t xml:space="preserve">《关于建立学习运用“千万工程”经验加快建设新时 代鱼米之乡工作推进机制的通知》（苏委农发〔2023〕13号）</w:t>
      </w:r>
      <w:r/>
    </w:p>
    <w:p>
      <w:pPr>
        <w:ind w:firstLine="480"/>
        <w:spacing w:line="480" w:lineRule="exact"/>
        <w:rPr>
          <w:rFonts w:hint="eastAsia" w:ascii="宋体" w:hAnsi="宋体" w:eastAsia="宋体" w:cs="宋体"/>
          <w:sz w:val="21"/>
          <w:szCs w:val="21"/>
        </w:rPr>
      </w:pPr>
      <w:r>
        <w:rPr>
          <w:rFonts w:hint="eastAsia" w:ascii="宋体" w:hAnsi="宋体" w:eastAsia="宋体" w:cs="宋体"/>
          <w:sz w:val="21"/>
          <w:szCs w:val="21"/>
        </w:rPr>
        <w:t xml:space="preserve">2、规划范围</w:t>
      </w:r>
      <w:r/>
    </w:p>
    <w:p>
      <w:pPr>
        <w:ind w:firstLine="480"/>
        <w:spacing w:line="480" w:lineRule="exact"/>
        <w:rPr>
          <w:rFonts w:hint="eastAsia" w:ascii="宋体" w:hAnsi="宋体" w:eastAsia="宋体" w:cs="宋体"/>
          <w:sz w:val="21"/>
          <w:szCs w:val="21"/>
        </w:rPr>
      </w:pPr>
      <w:r>
        <w:rPr>
          <w:rFonts w:hint="eastAsia" w:ascii="宋体" w:hAnsi="宋体" w:eastAsia="宋体" w:cs="宋体"/>
          <w:sz w:val="21"/>
          <w:szCs w:val="21"/>
        </w:rPr>
        <w:t xml:space="preserve">规划范围涉及弶港镇、头灶镇、东台镇、高新区，包括弶港镇巴斗村、八里村、新海村、新曹村、中来村，头灶镇华丿村、下舍村、金康村、金灶村、港东村、永丰村，东台镇华灶村、上官村、兴房村，高新区团北村，合计15个行政村（具体数据以农业农村部门提供为准）。</w:t>
      </w:r>
      <w:r/>
    </w:p>
    <w:p>
      <w:pPr>
        <w:ind w:firstLine="480"/>
        <w:spacing w:line="480" w:lineRule="exact"/>
        <w:rPr>
          <w:rFonts w:hint="eastAsia" w:ascii="宋体" w:hAnsi="宋体" w:eastAsia="宋体" w:cs="宋体"/>
          <w:sz w:val="21"/>
          <w:szCs w:val="21"/>
        </w:rPr>
      </w:pPr>
      <w:r>
        <w:rPr>
          <w:rFonts w:hint="eastAsia" w:ascii="宋体" w:hAnsi="宋体" w:eastAsia="宋体" w:cs="宋体"/>
          <w:sz w:val="21"/>
          <w:szCs w:val="21"/>
        </w:rPr>
        <w:t xml:space="preserve">3、规划期限</w:t>
      </w:r>
      <w:r/>
    </w:p>
    <w:p>
      <w:pPr>
        <w:ind w:firstLine="480"/>
        <w:spacing w:line="480" w:lineRule="exact"/>
        <w:rPr>
          <w:rFonts w:hint="eastAsia" w:ascii="宋体" w:hAnsi="宋体" w:eastAsia="宋体" w:cs="宋体"/>
          <w:sz w:val="21"/>
          <w:szCs w:val="21"/>
        </w:rPr>
      </w:pPr>
      <w:r>
        <w:rPr>
          <w:rFonts w:hint="eastAsia" w:ascii="宋体" w:hAnsi="宋体" w:eastAsia="宋体" w:cs="宋体"/>
          <w:sz w:val="21"/>
          <w:szCs w:val="21"/>
        </w:rPr>
        <w:t xml:space="preserve">至2025年，展望至十五五期末。</w:t>
      </w:r>
      <w:r/>
    </w:p>
    <w:p>
      <w:pPr>
        <w:ind w:firstLine="482"/>
        <w:spacing w:line="480" w:lineRule="exact"/>
        <w:rPr>
          <w:rFonts w:hint="eastAsia" w:ascii="宋体" w:hAnsi="宋体" w:eastAsia="宋体" w:cs="宋体"/>
          <w:b/>
          <w:sz w:val="21"/>
          <w:szCs w:val="21"/>
        </w:rPr>
      </w:pPr>
      <w:r>
        <w:rPr>
          <w:rFonts w:hint="eastAsia" w:ascii="宋体" w:hAnsi="宋体" w:eastAsia="宋体" w:cs="宋体"/>
          <w:b/>
          <w:sz w:val="21"/>
          <w:szCs w:val="21"/>
          <w:lang w:val="en-US" w:eastAsia="zh-CN"/>
        </w:rPr>
        <w:t xml:space="preserve">四、</w:t>
      </w:r>
      <w:r>
        <w:rPr>
          <w:rFonts w:hint="eastAsia" w:ascii="宋体" w:hAnsi="宋体" w:eastAsia="宋体" w:cs="宋体"/>
          <w:b/>
          <w:sz w:val="21"/>
          <w:szCs w:val="21"/>
        </w:rPr>
        <w:t xml:space="preserve">主要内容</w:t>
      </w:r>
      <w:r/>
    </w:p>
    <w:p>
      <w:pPr>
        <w:ind w:firstLine="480"/>
        <w:spacing w:line="480" w:lineRule="exact"/>
        <w:rPr>
          <w:rFonts w:hint="eastAsia" w:ascii="宋体" w:hAnsi="宋体" w:eastAsia="宋体" w:cs="宋体"/>
          <w:sz w:val="21"/>
          <w:szCs w:val="21"/>
        </w:rPr>
      </w:pPr>
      <w:r>
        <w:rPr>
          <w:rFonts w:hint="eastAsia" w:ascii="宋体" w:hAnsi="宋体" w:eastAsia="宋体" w:cs="宋体"/>
          <w:sz w:val="21"/>
          <w:szCs w:val="21"/>
        </w:rPr>
        <w:t xml:space="preserve">紧紧围绕宜居宜业和美乡村建设战略定位，深入分析示范片区发展所面临的问题和困境，重点研究面向未来乡村连片发展愿景的价值凝练、示范引领、路径重构、行动 协同等关键问题。</w:t>
      </w:r>
      <w:r/>
    </w:p>
    <w:p>
      <w:pPr>
        <w:ind w:firstLine="480"/>
        <w:spacing w:line="480" w:lineRule="exact"/>
        <w:rPr>
          <w:rFonts w:hint="eastAsia" w:ascii="宋体" w:hAnsi="宋体" w:eastAsia="宋体" w:cs="宋体"/>
          <w:sz w:val="21"/>
          <w:szCs w:val="21"/>
        </w:rPr>
      </w:pPr>
      <w:r>
        <w:rPr>
          <w:rFonts w:hint="eastAsia" w:ascii="宋体" w:hAnsi="宋体" w:eastAsia="宋体" w:cs="宋体"/>
          <w:sz w:val="21"/>
          <w:szCs w:val="21"/>
        </w:rPr>
        <w:t xml:space="preserve">1、研判发展潜力，凝练价值特色，构建功能共同体</w:t>
      </w:r>
      <w:r/>
    </w:p>
    <w:p>
      <w:pPr>
        <w:ind w:firstLine="480"/>
        <w:spacing w:line="480" w:lineRule="exact"/>
        <w:rPr>
          <w:rFonts w:hint="eastAsia" w:ascii="宋体" w:hAnsi="宋体" w:eastAsia="宋体" w:cs="宋体"/>
          <w:sz w:val="21"/>
          <w:szCs w:val="21"/>
        </w:rPr>
      </w:pPr>
      <w:r>
        <w:rPr>
          <w:rFonts w:hint="eastAsia" w:ascii="宋体" w:hAnsi="宋体" w:eastAsia="宋体" w:cs="宋体"/>
          <w:sz w:val="21"/>
          <w:szCs w:val="21"/>
        </w:rPr>
        <w:t xml:space="preserve">从资源禀赋出发，调查与评估生态、产业、文化等方面资源，考虑城乡融合和乡村文化等乡村特色资源条件和潜力，划定自然、空间、产业、资源及文化等要素具备紧 密联系或类同特征的区域，在保持空间系统性特征的同时，围绕片区定位，凝练乡村片区特色价值。打破镇村行政边界，统筹多个村镇个体，整合小散乱的乡村空间格局，依托资源整合、产业协同与设施共享等方式，构建功能协同互促的地域共同体。</w:t>
      </w:r>
      <w:r/>
    </w:p>
    <w:p>
      <w:pPr>
        <w:ind w:firstLine="480"/>
        <w:spacing w:line="480" w:lineRule="exact"/>
        <w:rPr>
          <w:rFonts w:hint="eastAsia" w:ascii="宋体" w:hAnsi="宋体" w:eastAsia="宋体" w:cs="宋体"/>
          <w:sz w:val="21"/>
          <w:szCs w:val="21"/>
        </w:rPr>
      </w:pPr>
      <w:r>
        <w:rPr>
          <w:rFonts w:hint="eastAsia" w:ascii="宋体" w:hAnsi="宋体" w:eastAsia="宋体" w:cs="宋体"/>
          <w:sz w:val="21"/>
          <w:szCs w:val="21"/>
        </w:rPr>
        <w:t xml:space="preserve">2、分区分类引领，构建差异单元，强化示范性带动</w:t>
      </w:r>
      <w:r/>
    </w:p>
    <w:p>
      <w:pPr>
        <w:ind w:firstLine="480"/>
        <w:spacing w:line="480" w:lineRule="exact"/>
        <w:rPr>
          <w:rFonts w:hint="eastAsia" w:ascii="宋体" w:hAnsi="宋体" w:eastAsia="宋体" w:cs="宋体"/>
          <w:sz w:val="21"/>
          <w:szCs w:val="21"/>
        </w:rPr>
      </w:pPr>
      <w:r>
        <w:rPr>
          <w:rFonts w:hint="eastAsia" w:ascii="宋体" w:hAnsi="宋体" w:eastAsia="宋体" w:cs="宋体"/>
          <w:sz w:val="21"/>
          <w:szCs w:val="21"/>
        </w:rPr>
        <w:t xml:space="preserve">以“分区分类”理念为引领，基于地域功能特征识别， 将片区具备协同潜力的村庄组合为差异化单元，延伸单元上下产业链，扩大乡村连片地区影响力。在区域一体化发  展中谋划乡村连片地区振兴，根据单元差异打好错位发展牌。精准化政策引导、要素投入和资源配置，实现局部突围与先发示范，强化乡村振兴示范村、宜居宜业和美乡村培育村、特色田园乡村的引领带动作用，以大带小、以强带弱、以特带平，带动全域乡村发展。</w:t>
      </w:r>
      <w:r/>
    </w:p>
    <w:p>
      <w:pPr>
        <w:ind w:firstLine="480"/>
        <w:spacing w:line="480" w:lineRule="exact"/>
        <w:rPr>
          <w:rFonts w:hint="eastAsia" w:ascii="宋体" w:hAnsi="宋体" w:eastAsia="宋体" w:cs="宋体"/>
          <w:sz w:val="21"/>
          <w:szCs w:val="21"/>
        </w:rPr>
      </w:pPr>
      <w:r>
        <w:rPr>
          <w:rFonts w:hint="eastAsia" w:ascii="宋体" w:hAnsi="宋体" w:eastAsia="宋体" w:cs="宋体"/>
          <w:sz w:val="21"/>
          <w:szCs w:val="21"/>
        </w:rPr>
        <w:t xml:space="preserve">3、加强顶层设计，解决五类重构，明确实现路径</w:t>
      </w:r>
      <w:r/>
    </w:p>
    <w:p>
      <w:pPr>
        <w:ind w:firstLine="480"/>
        <w:spacing w:line="480" w:lineRule="exact"/>
        <w:rPr>
          <w:rFonts w:hint="eastAsia" w:ascii="宋体" w:hAnsi="宋体" w:eastAsia="宋体" w:cs="宋体"/>
          <w:sz w:val="21"/>
          <w:szCs w:val="21"/>
        </w:rPr>
      </w:pPr>
      <w:r>
        <w:rPr>
          <w:rFonts w:hint="eastAsia" w:ascii="宋体" w:hAnsi="宋体" w:eastAsia="宋体" w:cs="宋体"/>
          <w:sz w:val="21"/>
          <w:szCs w:val="21"/>
        </w:rPr>
        <w:t xml:space="preserve">谋划乡村片区规划体系顶层设计，着重解决乡村连片 地区空间重构、产权重构、治理重构、产业和业态重构、价值重构五方面的内容。通过村庄规划“回头看”，强化高标准农田建设、低效闲置土地再利用等国土空间整治，实现连片建设中的空间重构；统筹农田、住房、交通、水利等建设资源配置，实现连片建设中的产权重构；明确规划编管规则，实现连片建设中的治理重构；促进产业品牌和产业链融合协作，实现连片建设中的产业重构；保障多元主体利益，实现连片建设中的价值重构。</w:t>
      </w:r>
      <w:r/>
    </w:p>
    <w:p>
      <w:pPr>
        <w:ind w:firstLine="480"/>
        <w:spacing w:line="480" w:lineRule="exact"/>
        <w:rPr>
          <w:rFonts w:hint="eastAsia" w:ascii="宋体" w:hAnsi="宋体" w:eastAsia="宋体" w:cs="宋体"/>
          <w:sz w:val="21"/>
          <w:szCs w:val="21"/>
        </w:rPr>
      </w:pPr>
      <w:r>
        <w:rPr>
          <w:rFonts w:hint="eastAsia" w:ascii="宋体" w:hAnsi="宋体" w:eastAsia="宋体" w:cs="宋体"/>
          <w:sz w:val="21"/>
          <w:szCs w:val="21"/>
        </w:rPr>
        <w:t xml:space="preserve">4、整合建设目标，明确编制尺度，协调建设行动</w:t>
      </w:r>
      <w:r/>
    </w:p>
    <w:p>
      <w:pPr>
        <w:ind w:firstLine="480"/>
        <w:spacing w:line="480" w:lineRule="exact"/>
        <w:rPr>
          <w:rFonts w:hint="eastAsia" w:ascii="宋体" w:hAnsi="宋体" w:eastAsia="宋体" w:cs="宋体"/>
          <w:sz w:val="21"/>
          <w:szCs w:val="21"/>
        </w:rPr>
      </w:pPr>
      <w:r>
        <w:rPr>
          <w:rFonts w:hint="eastAsia" w:ascii="宋体" w:hAnsi="宋体" w:eastAsia="宋体" w:cs="宋体"/>
          <w:sz w:val="21"/>
          <w:szCs w:val="21"/>
        </w:rPr>
        <w:t xml:space="preserve">基于片区内部村庄经济发展阶段差异和多部门联合推 动的工作特点，需根据片区自身特征确定合理可行的建设目标和任务。对标宜居宜业和美乡村片区绩效评价办法，聚焦跨镇域乡村片区空间尺度的人居环境连片整治等重点工作，建立动态更新、持续推动的建设项目库。以党  委农办牵头，协调发改、自然资源和规划、农业农村、住房城乡建设、交通、水利、绿化、生态环境、文旅</w:t>
      </w:r>
      <w:r>
        <w:rPr>
          <w:rFonts w:hint="eastAsia" w:ascii="宋体" w:hAnsi="宋体" w:eastAsia="宋体" w:cs="宋体"/>
          <w:sz w:val="21"/>
          <w:szCs w:val="21"/>
          <w:lang w:eastAsia="zh-CN"/>
        </w:rPr>
        <w:t xml:space="preserve">等</w:t>
      </w:r>
      <w:r>
        <w:rPr>
          <w:rFonts w:hint="eastAsia" w:ascii="宋体" w:hAnsi="宋体" w:eastAsia="宋体" w:cs="宋体"/>
          <w:sz w:val="21"/>
          <w:szCs w:val="21"/>
        </w:rPr>
        <w:t xml:space="preserve">，做好产业联动、住房改善、设施共享、交通畅联、整体风貌提升等集中连片整治相关工作，重点关注面域提升，并保障与协调村集体和村民的利益。</w:t>
      </w:r>
      <w:r/>
    </w:p>
    <w:p>
      <w:pPr>
        <w:ind w:firstLine="482"/>
        <w:spacing w:line="480" w:lineRule="exact"/>
        <w:rPr>
          <w:rFonts w:hint="eastAsia" w:ascii="宋体" w:hAnsi="宋体" w:eastAsia="宋体" w:cs="宋体"/>
          <w:b/>
          <w:sz w:val="21"/>
          <w:szCs w:val="21"/>
        </w:rPr>
      </w:pPr>
      <w:r>
        <w:rPr>
          <w:rFonts w:hint="eastAsia" w:ascii="宋体" w:hAnsi="宋体" w:eastAsia="宋体" w:cs="宋体"/>
          <w:b/>
          <w:sz w:val="21"/>
          <w:szCs w:val="21"/>
          <w:lang w:val="en-US" w:eastAsia="zh-CN"/>
        </w:rPr>
        <w:t xml:space="preserve">五</w:t>
      </w:r>
      <w:r>
        <w:rPr>
          <w:rFonts w:hint="eastAsia" w:ascii="宋体" w:hAnsi="宋体" w:eastAsia="宋体" w:cs="宋体"/>
          <w:b/>
          <w:sz w:val="21"/>
          <w:szCs w:val="21"/>
        </w:rPr>
        <w:t xml:space="preserve">、质量要求</w:t>
      </w:r>
      <w:r/>
    </w:p>
    <w:p>
      <w:pPr>
        <w:ind w:firstLine="480"/>
        <w:spacing w:line="480" w:lineRule="exact"/>
        <w:rPr>
          <w:rFonts w:ascii="宋体" w:hAnsi="宋体" w:eastAsia="宋体" w:cs="宋体"/>
          <w:sz w:val="21"/>
          <w:szCs w:val="21"/>
        </w:rPr>
      </w:pPr>
      <w:r>
        <w:rPr>
          <w:rFonts w:hint="eastAsia" w:ascii="宋体" w:hAnsi="宋体" w:eastAsia="宋体" w:cs="宋体"/>
          <w:sz w:val="21"/>
          <w:szCs w:val="21"/>
        </w:rPr>
        <w:t xml:space="preserve">成交单位提供的规划设计成果须符合国家相关行业规范要求。限额设计不得超出采购人要求的金额。</w:t>
      </w:r>
      <w:r/>
    </w:p>
    <w:p>
      <w:pPr>
        <w:ind w:firstLine="482"/>
        <w:spacing w:line="480" w:lineRule="exact"/>
        <w:rPr>
          <w:rFonts w:hint="eastAsia" w:ascii="宋体" w:hAnsi="宋体" w:eastAsia="宋体" w:cs="宋体"/>
          <w:b/>
          <w:sz w:val="21"/>
          <w:szCs w:val="21"/>
        </w:rPr>
      </w:pPr>
      <w:r>
        <w:rPr>
          <w:rFonts w:hint="eastAsia" w:ascii="宋体" w:hAnsi="宋体" w:eastAsia="宋体" w:cs="宋体"/>
          <w:b/>
          <w:sz w:val="21"/>
          <w:szCs w:val="21"/>
          <w:lang w:val="en-US" w:eastAsia="zh-CN"/>
        </w:rPr>
        <w:t xml:space="preserve">六</w:t>
      </w:r>
      <w:r>
        <w:rPr>
          <w:rFonts w:hint="eastAsia" w:ascii="宋体" w:hAnsi="宋体" w:eastAsia="宋体" w:cs="宋体"/>
          <w:b/>
          <w:sz w:val="21"/>
          <w:szCs w:val="21"/>
        </w:rPr>
        <w:t xml:space="preserve">、关注重点</w:t>
      </w:r>
      <w:r/>
    </w:p>
    <w:p>
      <w:pPr>
        <w:ind w:firstLine="480"/>
        <w:spacing w:line="440" w:lineRule="exact"/>
        <w:rPr>
          <w:rFonts w:ascii="宋体" w:hAnsi="宋体" w:eastAsia="宋体" w:cs="宋体"/>
          <w:sz w:val="21"/>
          <w:szCs w:val="21"/>
        </w:rPr>
      </w:pPr>
      <w:r>
        <w:rPr>
          <w:rFonts w:ascii="宋体" w:hAnsi="宋体" w:eastAsia="宋体" w:cs="宋体"/>
          <w:sz w:val="21"/>
          <w:szCs w:val="21"/>
        </w:rPr>
        <w:t xml:space="preserve">1</w:t>
      </w:r>
      <w:r>
        <w:rPr>
          <w:rFonts w:hint="eastAsia" w:ascii="宋体" w:hAnsi="宋体" w:eastAsia="宋体" w:cs="宋体"/>
          <w:sz w:val="21"/>
          <w:szCs w:val="21"/>
        </w:rPr>
        <w:t xml:space="preserve">、</w:t>
      </w:r>
      <w:r>
        <w:rPr>
          <w:rFonts w:ascii="宋体" w:hAnsi="宋体" w:eastAsia="宋体" w:cs="宋体"/>
          <w:sz w:val="21"/>
          <w:szCs w:val="21"/>
        </w:rPr>
        <w:t xml:space="preserve">明确片区发展定位</w:t>
      </w:r>
      <w:r/>
    </w:p>
    <w:p>
      <w:pPr>
        <w:ind w:firstLine="480"/>
        <w:spacing w:line="440" w:lineRule="exact"/>
        <w:rPr>
          <w:rFonts w:ascii="宋体" w:hAnsi="宋体" w:eastAsia="宋体" w:cs="宋体"/>
          <w:sz w:val="21"/>
          <w:szCs w:val="21"/>
        </w:rPr>
      </w:pPr>
      <w:r>
        <w:rPr>
          <w:rFonts w:hint="eastAsia" w:ascii="宋体" w:hAnsi="宋体" w:eastAsia="宋体" w:cs="宋体"/>
          <w:sz w:val="21"/>
          <w:szCs w:val="21"/>
        </w:rPr>
        <w:t xml:space="preserve">对和美乡村片区内的产业类型进行系统性识别，挖掘出具有突出特点与代表性的区域发展定位。围绕定位，明确和美乡村片区发展策略与发展方向，融入和美乡村片区产业链（高效农业、特色手工业、休闲康养等）并成为具</w:t>
      </w:r>
      <w:r>
        <w:rPr>
          <w:rFonts w:hint="eastAsia" w:ascii="宋体" w:hAnsi="宋体" w:eastAsia="宋体" w:cs="宋体"/>
          <w:sz w:val="21"/>
          <w:szCs w:val="21"/>
          <w:lang w:eastAsia="zh-CN"/>
        </w:rPr>
        <w:t xml:space="preserve">体</w:t>
      </w:r>
      <w:r>
        <w:rPr>
          <w:rFonts w:hint="eastAsia" w:ascii="宋体" w:hAnsi="宋体" w:eastAsia="宋体" w:cs="宋体"/>
          <w:sz w:val="21"/>
          <w:szCs w:val="21"/>
        </w:rPr>
        <w:t xml:space="preserve">设计要素点缀于片区主线上，处处彰显特色主题。</w:t>
      </w:r>
      <w:r/>
    </w:p>
    <w:p>
      <w:pPr>
        <w:ind w:firstLine="480"/>
        <w:spacing w:line="440" w:lineRule="exact"/>
        <w:rPr>
          <w:rFonts w:ascii="宋体" w:hAnsi="宋体" w:eastAsia="宋体" w:cs="宋体"/>
          <w:sz w:val="21"/>
          <w:szCs w:val="21"/>
        </w:rPr>
      </w:pPr>
      <w:r>
        <w:rPr>
          <w:rFonts w:hint="eastAsia" w:ascii="宋体" w:hAnsi="宋体" w:eastAsia="宋体" w:cs="宋体"/>
          <w:sz w:val="21"/>
          <w:szCs w:val="21"/>
        </w:rPr>
        <w:t xml:space="preserve">2、</w:t>
      </w:r>
      <w:r>
        <w:rPr>
          <w:rFonts w:ascii="宋体" w:hAnsi="宋体" w:eastAsia="宋体" w:cs="宋体"/>
          <w:sz w:val="21"/>
          <w:szCs w:val="21"/>
        </w:rPr>
        <w:t xml:space="preserve">促进产业空间联动发展</w:t>
      </w:r>
      <w:r/>
    </w:p>
    <w:p>
      <w:pPr>
        <w:ind w:firstLine="480"/>
        <w:spacing w:line="440" w:lineRule="exact"/>
        <w:rPr>
          <w:rFonts w:ascii="宋体" w:hAnsi="宋体" w:eastAsia="宋体" w:cs="宋体"/>
          <w:sz w:val="21"/>
          <w:szCs w:val="21"/>
        </w:rPr>
      </w:pPr>
      <w:r>
        <w:rPr>
          <w:rFonts w:hint="eastAsia" w:ascii="宋体" w:hAnsi="宋体" w:eastAsia="宋体" w:cs="宋体"/>
          <w:sz w:val="21"/>
          <w:szCs w:val="21"/>
        </w:rPr>
        <w:t xml:space="preserve">在明确发展定位后，需充分认知和美乡村片区内的产业基础，结合品牌明确特色产业并与村庄空间、生态空间以及旅游风景区充分链接，形成具有代表性的产业发展体系。尤其应结合各村庄的发展差异为其谋划合理的功能定位，做到差别发展、优势互补与有效联动，带动村集体与村民产业增收。</w:t>
      </w:r>
      <w:r/>
    </w:p>
    <w:p>
      <w:pPr>
        <w:ind w:firstLine="480"/>
        <w:spacing w:line="440" w:lineRule="exact"/>
        <w:rPr>
          <w:rFonts w:ascii="宋体" w:hAnsi="宋体" w:eastAsia="宋体" w:cs="宋体"/>
          <w:sz w:val="21"/>
          <w:szCs w:val="21"/>
        </w:rPr>
      </w:pPr>
      <w:r>
        <w:rPr>
          <w:rFonts w:hint="eastAsia" w:ascii="宋体" w:hAnsi="宋体" w:eastAsia="宋体" w:cs="宋体"/>
          <w:sz w:val="21"/>
          <w:szCs w:val="21"/>
        </w:rPr>
        <w:t xml:space="preserve">促进乡村生态文明价值、产业经济价值的有效转化，为村民提供更多的就业岗位并吸引外来人群积极创业，缩小村庄差距，焕发乡村发展新动能，加速实现全方位的共同富裕。</w:t>
      </w:r>
      <w:r/>
    </w:p>
    <w:p>
      <w:pPr>
        <w:ind w:firstLine="480"/>
        <w:spacing w:line="440" w:lineRule="exact"/>
        <w:rPr>
          <w:rFonts w:ascii="宋体" w:hAnsi="宋体" w:eastAsia="宋体" w:cs="宋体"/>
          <w:sz w:val="21"/>
          <w:szCs w:val="21"/>
        </w:rPr>
      </w:pPr>
      <w:r>
        <w:rPr>
          <w:rFonts w:ascii="宋体" w:hAnsi="宋体" w:eastAsia="宋体" w:cs="宋体"/>
          <w:sz w:val="21"/>
          <w:szCs w:val="21"/>
        </w:rPr>
        <w:t xml:space="preserve">3</w:t>
      </w:r>
      <w:r>
        <w:rPr>
          <w:rFonts w:hint="eastAsia" w:ascii="宋体" w:hAnsi="宋体" w:eastAsia="宋体" w:cs="宋体"/>
          <w:sz w:val="21"/>
          <w:szCs w:val="21"/>
        </w:rPr>
        <w:t xml:space="preserve">、</w:t>
      </w:r>
      <w:r>
        <w:rPr>
          <w:rFonts w:ascii="宋体" w:hAnsi="宋体" w:eastAsia="宋体" w:cs="宋体"/>
          <w:sz w:val="21"/>
          <w:szCs w:val="21"/>
        </w:rPr>
        <w:t xml:space="preserve">完善基础设施和公共服务设施</w:t>
      </w:r>
      <w:r/>
    </w:p>
    <w:p>
      <w:pPr>
        <w:ind w:firstLine="480"/>
        <w:spacing w:line="440" w:lineRule="exact"/>
        <w:rPr>
          <w:rFonts w:ascii="宋体" w:hAnsi="宋体" w:eastAsia="宋体" w:cs="宋体"/>
          <w:sz w:val="21"/>
          <w:szCs w:val="21"/>
        </w:rPr>
      </w:pPr>
      <w:r>
        <w:rPr>
          <w:rFonts w:hint="eastAsia" w:ascii="宋体" w:hAnsi="宋体" w:eastAsia="宋体" w:cs="宋体"/>
          <w:sz w:val="21"/>
          <w:szCs w:val="21"/>
        </w:rPr>
        <w:t xml:space="preserve">构建具有和美乡村片区特色的乡村生活圈体系，公共设施在均等化布局的基础上充分考虑文旅休闲、创业孵化、现代康养等特色需求，结合服务半径可单独布局也可复合共享，提高设施使用效率和灵活度，建设村级综合服务场所，因地制宜设置文体活动场所，配备文体设施和公共照明设施，满足片区内多元人群的使用需求。</w:t>
      </w:r>
      <w:r/>
    </w:p>
    <w:p>
      <w:pPr>
        <w:ind w:firstLine="480"/>
        <w:spacing w:line="440" w:lineRule="exact"/>
        <w:rPr>
          <w:rFonts w:ascii="宋体" w:hAnsi="宋体" w:eastAsia="宋体" w:cs="宋体"/>
          <w:sz w:val="21"/>
          <w:szCs w:val="21"/>
        </w:rPr>
      </w:pPr>
      <w:r>
        <w:rPr>
          <w:rFonts w:hint="eastAsia" w:ascii="宋体" w:hAnsi="宋体" w:eastAsia="宋体" w:cs="宋体"/>
          <w:sz w:val="21"/>
          <w:szCs w:val="21"/>
        </w:rPr>
        <w:t xml:space="preserve">推进农村无害化卫生户厕建设改造和整改达标，完善农村生活垃圾治理，实现农村生活污水治理全覆盖、全收集、全处置，保障农村饮用水供给和安全，完善供电网络、通信基站等设施。</w:t>
      </w:r>
      <w:r/>
    </w:p>
    <w:p>
      <w:pPr>
        <w:ind w:firstLine="480"/>
        <w:spacing w:line="440" w:lineRule="exact"/>
        <w:rPr>
          <w:rFonts w:ascii="宋体" w:hAnsi="宋体" w:eastAsia="宋体" w:cs="宋体"/>
          <w:sz w:val="21"/>
          <w:szCs w:val="21"/>
        </w:rPr>
      </w:pPr>
      <w:r>
        <w:rPr>
          <w:rFonts w:ascii="宋体" w:hAnsi="宋体" w:eastAsia="宋体" w:cs="宋体"/>
          <w:sz w:val="21"/>
          <w:szCs w:val="21"/>
        </w:rPr>
        <w:t xml:space="preserve">4</w:t>
      </w:r>
      <w:r>
        <w:rPr>
          <w:rFonts w:hint="eastAsia" w:ascii="宋体" w:hAnsi="宋体" w:eastAsia="宋体" w:cs="宋体"/>
          <w:sz w:val="21"/>
          <w:szCs w:val="21"/>
        </w:rPr>
        <w:t xml:space="preserve">、</w:t>
      </w:r>
      <w:r>
        <w:rPr>
          <w:rFonts w:ascii="宋体" w:hAnsi="宋体" w:eastAsia="宋体" w:cs="宋体"/>
          <w:sz w:val="21"/>
          <w:szCs w:val="21"/>
        </w:rPr>
        <w:t xml:space="preserve">打造畅通美观的交通体系</w:t>
      </w:r>
      <w:r/>
    </w:p>
    <w:p>
      <w:pPr>
        <w:ind w:firstLine="480"/>
        <w:spacing w:line="440" w:lineRule="exact"/>
        <w:rPr>
          <w:rFonts w:ascii="宋体" w:hAnsi="宋体" w:eastAsia="宋体" w:cs="宋体"/>
          <w:sz w:val="21"/>
          <w:szCs w:val="21"/>
        </w:rPr>
      </w:pPr>
      <w:r>
        <w:rPr>
          <w:rFonts w:hint="eastAsia" w:ascii="宋体" w:hAnsi="宋体" w:eastAsia="宋体" w:cs="宋体"/>
          <w:sz w:val="21"/>
          <w:szCs w:val="21"/>
        </w:rPr>
        <w:t xml:space="preserve">结合现有城乡道路基础，有效串联片区内各空间点位。主线可依托区域旅游干线，支线可依托“四好农村路”，慢行线路需结合产业空间、生态景观、人文资源、特色村庄等要素细致规划，保障通达性与游赏性。同时，完善公共交通系统，灵活建设乡野驿站、自行车租赁点、充电桩等交通服务设施，提供方便快捷、绿色低碳的交通方式。</w:t>
      </w:r>
      <w:r/>
    </w:p>
    <w:p>
      <w:pPr>
        <w:ind w:firstLine="480"/>
        <w:spacing w:line="440" w:lineRule="exact"/>
        <w:rPr>
          <w:rFonts w:ascii="宋体" w:hAnsi="宋体" w:eastAsia="宋体" w:cs="宋体"/>
          <w:sz w:val="21"/>
          <w:szCs w:val="21"/>
        </w:rPr>
      </w:pPr>
      <w:r>
        <w:rPr>
          <w:rFonts w:ascii="宋体" w:hAnsi="宋体" w:eastAsia="宋体" w:cs="宋体"/>
          <w:sz w:val="21"/>
          <w:szCs w:val="21"/>
        </w:rPr>
        <w:t xml:space="preserve">5</w:t>
      </w:r>
      <w:r>
        <w:rPr>
          <w:rFonts w:hint="eastAsia" w:ascii="宋体" w:hAnsi="宋体" w:eastAsia="宋体" w:cs="宋体"/>
          <w:sz w:val="21"/>
          <w:szCs w:val="21"/>
        </w:rPr>
        <w:t xml:space="preserve">、</w:t>
      </w:r>
      <w:r>
        <w:rPr>
          <w:rFonts w:ascii="宋体" w:hAnsi="宋体" w:eastAsia="宋体" w:cs="宋体"/>
          <w:sz w:val="21"/>
          <w:szCs w:val="21"/>
        </w:rPr>
        <w:t xml:space="preserve">推动村庄人居环境提升</w:t>
      </w:r>
      <w:r/>
    </w:p>
    <w:p>
      <w:pPr>
        <w:ind w:firstLine="480"/>
        <w:spacing w:line="440" w:lineRule="exact"/>
        <w:rPr>
          <w:rFonts w:ascii="宋体" w:hAnsi="宋体" w:eastAsia="宋体" w:cs="宋体"/>
          <w:sz w:val="21"/>
          <w:szCs w:val="21"/>
        </w:rPr>
      </w:pPr>
      <w:r>
        <w:rPr>
          <w:rFonts w:hint="eastAsia" w:ascii="宋体" w:hAnsi="宋体" w:eastAsia="宋体" w:cs="宋体"/>
          <w:sz w:val="21"/>
          <w:szCs w:val="21"/>
        </w:rPr>
        <w:t xml:space="preserve">注重发挥已有特色田园乡村、传统村落、宜居宜业和美乡村在片区中的带动作用，以宜居宜业和美乡村为核心，带动周边聚合提升，形成全新的村庄发展体系。按照安全、适用、经济、绿色、美观的原则改善农房，积极借鉴传统营建智慧，用好乡土建设材料，推动形成具有地域特点、乡土特色、时代特征的民居。有力推动农村危房整治，改善的农房结构安全、功能舒适、风貌协调、配套完善，与乡村环境相适应。</w:t>
      </w:r>
      <w:r/>
    </w:p>
    <w:p>
      <w:pPr>
        <w:ind w:firstLine="480"/>
        <w:spacing w:line="440" w:lineRule="exact"/>
        <w:rPr>
          <w:rFonts w:ascii="宋体" w:hAnsi="宋体" w:eastAsia="宋体" w:cs="宋体"/>
          <w:sz w:val="21"/>
          <w:szCs w:val="21"/>
        </w:rPr>
      </w:pPr>
      <w:r>
        <w:rPr>
          <w:rFonts w:ascii="宋体" w:hAnsi="宋体" w:eastAsia="宋体" w:cs="宋体"/>
          <w:sz w:val="21"/>
          <w:szCs w:val="21"/>
        </w:rPr>
        <w:t xml:space="preserve">6</w:t>
      </w:r>
      <w:r>
        <w:rPr>
          <w:rFonts w:hint="eastAsia" w:ascii="宋体" w:hAnsi="宋体" w:eastAsia="宋体" w:cs="宋体"/>
          <w:sz w:val="21"/>
          <w:szCs w:val="21"/>
        </w:rPr>
        <w:t xml:space="preserve">、</w:t>
      </w:r>
      <w:r>
        <w:rPr>
          <w:rFonts w:ascii="宋体" w:hAnsi="宋体" w:eastAsia="宋体" w:cs="宋体"/>
          <w:sz w:val="21"/>
          <w:szCs w:val="21"/>
        </w:rPr>
        <w:t xml:space="preserve">塑造特色鲜明的乡村风貌</w:t>
      </w:r>
      <w:r/>
    </w:p>
    <w:p>
      <w:pPr>
        <w:ind w:firstLine="480"/>
        <w:spacing w:line="440" w:lineRule="exact"/>
        <w:rPr>
          <w:rFonts w:ascii="宋体" w:hAnsi="宋体" w:eastAsia="宋体" w:cs="宋体"/>
          <w:sz w:val="21"/>
          <w:szCs w:val="21"/>
        </w:rPr>
      </w:pPr>
      <w:r>
        <w:rPr>
          <w:rFonts w:hint="eastAsia" w:ascii="宋体" w:hAnsi="宋体" w:eastAsia="宋体" w:cs="宋体"/>
          <w:sz w:val="21"/>
          <w:szCs w:val="21"/>
        </w:rPr>
        <w:t xml:space="preserve">注重乡野景观设计。明确片区内永久基本农田及生态红线管控要求，以保护为主，延续既有生态肌理。对重要的滨水地段、景观林带、广袤田园进行设计引导，结合特色景观设施、休憩设施的布局提升乡野景观风貌。</w:t>
      </w:r>
      <w:r/>
    </w:p>
    <w:p>
      <w:pPr>
        <w:ind w:firstLine="480"/>
        <w:spacing w:line="440" w:lineRule="exact"/>
        <w:rPr>
          <w:rFonts w:ascii="宋体" w:hAnsi="宋体" w:eastAsia="宋体" w:cs="宋体"/>
          <w:sz w:val="21"/>
          <w:szCs w:val="21"/>
        </w:rPr>
      </w:pPr>
      <w:r>
        <w:rPr>
          <w:rFonts w:hint="eastAsia" w:ascii="宋体" w:hAnsi="宋体" w:eastAsia="宋体" w:cs="宋体"/>
          <w:sz w:val="21"/>
          <w:szCs w:val="21"/>
        </w:rPr>
        <w:t xml:space="preserve">打造创意串联路径。综合村庄空间、田园空间、产业空间、生态空间等区域，识别一条具备通达性与观赏性的串联路径。对路径两侧的界面进行设计优化，形成形态连续，富有变化的景观界面，呈现沉浸式体验。有条件的区域也可尝试挖掘水上线路，提升沿岸景观空间。</w:t>
      </w:r>
      <w:r/>
    </w:p>
    <w:p>
      <w:pPr>
        <w:ind w:firstLine="480"/>
        <w:spacing w:line="440" w:lineRule="exact"/>
        <w:rPr>
          <w:rFonts w:ascii="宋体" w:hAnsi="宋体" w:eastAsia="宋体" w:cs="宋体"/>
          <w:sz w:val="21"/>
          <w:szCs w:val="21"/>
        </w:rPr>
      </w:pPr>
      <w:r>
        <w:rPr>
          <w:rFonts w:hint="eastAsia" w:ascii="宋体" w:hAnsi="宋体" w:eastAsia="宋体" w:cs="宋体"/>
          <w:sz w:val="21"/>
          <w:szCs w:val="21"/>
        </w:rPr>
        <w:t xml:space="preserve">优化建筑界面。对近景建筑界面重点实施风貌整治，协调新建建筑与原有建筑的风格样式，也可适当增加传统建筑构件与特色店面标识提升界面的丰富度。中远景建筑界面宜注重与田园、水体、林带的组合搭配，提升自然要素与建设风貌的契合度。</w:t>
      </w:r>
      <w:r/>
    </w:p>
    <w:p>
      <w:pPr>
        <w:ind w:firstLine="480"/>
        <w:spacing w:line="440" w:lineRule="exact"/>
        <w:rPr>
          <w:rFonts w:ascii="宋体" w:hAnsi="宋体" w:eastAsia="宋体" w:cs="宋体"/>
          <w:sz w:val="21"/>
          <w:szCs w:val="21"/>
        </w:rPr>
      </w:pPr>
      <w:r>
        <w:rPr>
          <w:rFonts w:hint="eastAsia" w:ascii="宋体" w:hAnsi="宋体" w:eastAsia="宋体" w:cs="宋体"/>
          <w:sz w:val="21"/>
          <w:szCs w:val="21"/>
        </w:rPr>
        <w:t xml:space="preserve">塑造精致的指向系统。在片区的主要出入口点位，重要道路交叉口以及村庄入口处设计标识体系，强化片区的指向性。标识体系设计中植入区域共同品牌</w:t>
      </w:r>
      <w:r>
        <w:rPr>
          <w:rFonts w:ascii="宋体" w:hAnsi="宋体" w:eastAsia="宋体" w:cs="宋体"/>
          <w:sz w:val="21"/>
          <w:szCs w:val="21"/>
        </w:rPr>
        <w:t xml:space="preserve">logo，增强主题印象感知。</w:t>
      </w:r>
      <w:r/>
    </w:p>
    <w:p>
      <w:pPr>
        <w:ind w:firstLine="480"/>
        <w:spacing w:line="440" w:lineRule="exact"/>
        <w:rPr>
          <w:rFonts w:ascii="宋体" w:hAnsi="宋体" w:eastAsia="宋体"/>
          <w:sz w:val="21"/>
          <w:szCs w:val="21"/>
        </w:rPr>
      </w:pPr>
      <w:r>
        <w:rPr>
          <w:rFonts w:hint="eastAsia" w:ascii="宋体" w:hAnsi="宋体" w:eastAsia="宋体" w:cs="宋体"/>
          <w:sz w:val="21"/>
          <w:szCs w:val="21"/>
        </w:rPr>
        <w:t xml:space="preserve">营造安逸的乡野公共空间。结合片区重要公共空间和景观空间，塑造能够体现片区主题特色、乡野风貌特色，适于人群活动、观景和体验乡野的空间场所，增强人对于大自然的感知，营造“人在村中，村在田中”的乡野空间氛围。</w:t>
      </w:r>
      <w:r/>
    </w:p>
    <w:p>
      <w:pPr>
        <w:ind w:firstLine="482"/>
        <w:spacing w:line="440" w:lineRule="exact"/>
        <w:rPr>
          <w:rFonts w:ascii="宋体" w:hAnsi="宋体" w:eastAsia="宋体" w:cs="宋体"/>
          <w:b/>
          <w:sz w:val="21"/>
          <w:szCs w:val="21"/>
        </w:rPr>
      </w:pPr>
      <w:r>
        <w:rPr>
          <w:rFonts w:hint="eastAsia" w:ascii="宋体" w:hAnsi="宋体" w:eastAsia="宋体" w:cs="宋体"/>
          <w:b/>
          <w:sz w:val="21"/>
          <w:szCs w:val="21"/>
          <w:lang w:val="en-US" w:eastAsia="zh-CN"/>
        </w:rPr>
        <w:t xml:space="preserve">七</w:t>
      </w:r>
      <w:r>
        <w:rPr>
          <w:rFonts w:hint="eastAsia" w:ascii="宋体" w:hAnsi="宋体" w:eastAsia="宋体" w:cs="宋体"/>
          <w:b/>
          <w:sz w:val="21"/>
          <w:szCs w:val="21"/>
        </w:rPr>
        <w:t xml:space="preserve">、设计内容（包括但不仅限于以下内容，具体实施内容根据设计任务书）</w:t>
      </w:r>
      <w:r/>
    </w:p>
    <w:p>
      <w:pPr>
        <w:ind w:left="562" w:hanging="136"/>
        <w:spacing w:before="120"/>
        <w:rPr>
          <w:rFonts w:ascii="宋体" w:hAnsi="宋体" w:eastAsia="宋体" w:cs="宋体"/>
          <w:sz w:val="21"/>
          <w:szCs w:val="21"/>
        </w:rPr>
      </w:pPr>
      <w:r>
        <w:rPr>
          <w:rFonts w:hint="eastAsia" w:ascii="宋体" w:hAnsi="宋体" w:eastAsia="宋体" w:cs="宋体"/>
          <w:sz w:val="21"/>
          <w:szCs w:val="21"/>
        </w:rPr>
        <w:t xml:space="preserve">1、宏观层面，统筹片区整体策划。</w:t>
      </w:r>
      <w:r/>
    </w:p>
    <w:p>
      <w:pPr>
        <w:ind w:firstLine="480"/>
        <w:spacing w:line="440" w:lineRule="exact"/>
        <w:rPr>
          <w:rFonts w:ascii="宋体" w:hAnsi="宋体" w:eastAsia="宋体" w:cs="宋体"/>
          <w:sz w:val="21"/>
          <w:szCs w:val="21"/>
        </w:rPr>
      </w:pPr>
      <w:r>
        <w:rPr>
          <w:rFonts w:hint="eastAsia" w:ascii="宋体" w:hAnsi="宋体" w:eastAsia="宋体" w:cs="宋体"/>
          <w:sz w:val="21"/>
          <w:szCs w:val="21"/>
        </w:rPr>
        <w:t xml:space="preserve">区域层面梳理片区发展路径与发展定位。结合片区交通区位、资源禀赋等方面基础条件，特色错位发展，形成独特的乡村品牌。</w:t>
      </w:r>
      <w:r/>
    </w:p>
    <w:p>
      <w:pPr>
        <w:ind w:firstLine="480"/>
        <w:spacing w:line="440" w:lineRule="exact"/>
        <w:rPr>
          <w:sz w:val="21"/>
          <w:szCs w:val="21"/>
        </w:rPr>
      </w:pPr>
      <w:r>
        <w:rPr>
          <w:rFonts w:hint="eastAsia" w:ascii="宋体" w:hAnsi="宋体" w:eastAsia="宋体" w:cs="宋体"/>
          <w:sz w:val="21"/>
          <w:szCs w:val="21"/>
        </w:rPr>
        <w:t xml:space="preserve">立足整体定位，明确片区发展目标。按照宜居宜业和美乡村片区建设要求，规划围绕文化产业复兴、传统风貌彰显、生态环境织补、支撑体系完善等方面，构建特色化、精品化、宜居化的乡村目标。</w:t>
      </w:r>
      <w:r/>
    </w:p>
    <w:p>
      <w:pPr>
        <w:ind w:firstLine="480"/>
        <w:spacing w:line="440" w:lineRule="exact"/>
        <w:rPr>
          <w:rFonts w:ascii="宋体" w:hAnsi="宋体" w:eastAsia="宋体" w:cs="宋体"/>
          <w:sz w:val="21"/>
          <w:szCs w:val="21"/>
        </w:rPr>
      </w:pPr>
      <w:r>
        <w:rPr>
          <w:rFonts w:hint="eastAsia" w:ascii="宋体" w:hAnsi="宋体" w:eastAsia="宋体" w:cs="宋体"/>
          <w:sz w:val="21"/>
          <w:szCs w:val="21"/>
        </w:rPr>
        <w:t xml:space="preserve">关注乡村产业发展和一二三产的深度融合。明确村庄最具优势、最具潜力、最能成长的主导产业，培育根植于本村、农业比较效益好、可持续发展的特色产业。立足产业发展阶段与问题，广泛征求相关部门及村民意见，提出产业发展优化思路与优化举措。</w:t>
      </w:r>
      <w:r/>
    </w:p>
    <w:p>
      <w:pPr>
        <w:ind w:firstLine="480"/>
        <w:spacing w:line="440" w:lineRule="exact"/>
        <w:rPr>
          <w:rFonts w:ascii="宋体" w:hAnsi="宋体" w:eastAsia="宋体" w:cs="宋体"/>
          <w:sz w:val="21"/>
          <w:szCs w:val="21"/>
        </w:rPr>
      </w:pPr>
      <w:r>
        <w:rPr>
          <w:rFonts w:hint="eastAsia" w:ascii="宋体" w:hAnsi="宋体" w:eastAsia="宋体" w:cs="宋体"/>
          <w:sz w:val="21"/>
          <w:szCs w:val="21"/>
        </w:rPr>
        <w:t xml:space="preserve">2、微观层面，指导乡村发展建设。</w:t>
      </w:r>
      <w:r/>
    </w:p>
    <w:p>
      <w:pPr>
        <w:ind w:firstLine="480"/>
        <w:spacing w:line="440" w:lineRule="exact"/>
        <w:rPr>
          <w:rFonts w:ascii="宋体" w:hAnsi="宋体" w:eastAsia="宋体" w:cs="宋体"/>
          <w:sz w:val="21"/>
          <w:szCs w:val="21"/>
        </w:rPr>
      </w:pPr>
      <w:r>
        <w:rPr>
          <w:rFonts w:hint="eastAsia" w:ascii="宋体" w:hAnsi="宋体" w:eastAsia="宋体" w:cs="宋体"/>
          <w:sz w:val="21"/>
          <w:szCs w:val="21"/>
        </w:rPr>
        <w:t xml:space="preserve">学习运用“千万工程”经验，建设新时代鱼米之乡，在生态宜居美丽乡村创建经验基础上，按照村庄有规划、环境有提升、产业有发展、风貌有特色、管护有机制等“十有”标准，培育建设宜居宜业和美乡村。突出产业发展、设施配套、治理成效等引导培育，进一步统筹优化乡村生产、生活、生态空间布局，推动农村基础设施提档升级。</w:t>
      </w:r>
      <w:r/>
    </w:p>
    <w:p>
      <w:pPr>
        <w:ind w:firstLine="482"/>
        <w:spacing w:line="480" w:lineRule="exact"/>
        <w:rPr>
          <w:rFonts w:ascii="宋体" w:hAnsi="宋体" w:eastAsia="宋体" w:cs="宋体"/>
          <w:b/>
          <w:sz w:val="21"/>
          <w:szCs w:val="21"/>
        </w:rPr>
      </w:pPr>
      <w:r>
        <w:rPr>
          <w:rFonts w:hint="eastAsia" w:ascii="宋体" w:hAnsi="宋体" w:eastAsia="宋体" w:cs="宋体"/>
          <w:b/>
          <w:sz w:val="21"/>
          <w:szCs w:val="21"/>
          <w:lang w:val="en-US" w:eastAsia="zh-CN"/>
        </w:rPr>
        <w:t xml:space="preserve">八</w:t>
      </w:r>
      <w:r>
        <w:rPr>
          <w:rFonts w:hint="eastAsia" w:ascii="宋体" w:hAnsi="宋体" w:eastAsia="宋体" w:cs="宋体"/>
          <w:b/>
          <w:sz w:val="21"/>
          <w:szCs w:val="21"/>
        </w:rPr>
        <w:t xml:space="preserve">、成果内容要求</w:t>
      </w:r>
      <w:r/>
    </w:p>
    <w:p>
      <w:pPr>
        <w:ind w:firstLine="480"/>
        <w:spacing w:line="48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（1）成果构成</w:t>
      </w:r>
      <w:r/>
    </w:p>
    <w:p>
      <w:pPr>
        <w:ind w:firstLine="480"/>
        <w:spacing w:line="48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编制较为系统全面的村庄规划，包括现状分析、发展目标、用地布局和用途管控、国土空间综合整治和生态修复、产业空间布局、设施配套布局、</w:t>
      </w:r>
      <w:r>
        <w:rPr>
          <w:rFonts w:hint="eastAsia" w:ascii="宋体" w:hAnsi="宋体" w:eastAsia="宋体" w:cs="宋体"/>
          <w:sz w:val="21"/>
          <w:szCs w:val="21"/>
          <w:lang w:val="en-US" w:eastAsia="zh-CN"/>
        </w:rPr>
        <w:t xml:space="preserve">农村居民点（规划发展村庄）村庄设计内容，</w:t>
      </w:r>
      <w:r>
        <w:rPr>
          <w:rFonts w:hint="default" w:ascii="宋体" w:hAnsi="宋体" w:eastAsia="宋体" w:cs="宋体"/>
          <w:sz w:val="21"/>
          <w:szCs w:val="21"/>
          <w:lang w:val="en-US" w:eastAsia="zh-CN"/>
        </w:rPr>
        <w:t xml:space="preserve">明确村庄平面布局、建筑设计引导、村容村貌提升、村庄配套设施等规划建设要求</w:t>
      </w:r>
      <w:r>
        <w:rPr>
          <w:rFonts w:hint="eastAsia" w:ascii="宋体" w:hAnsi="宋体" w:eastAsia="宋体" w:cs="宋体"/>
          <w:sz w:val="21"/>
          <w:szCs w:val="21"/>
          <w:lang w:eastAsia="zh-CN"/>
        </w:rPr>
        <w:t xml:space="preserve">等内容。涉及需成果汇交的，还要形成满足汇交要求的数据库。</w:t>
      </w:r>
      <w:r/>
    </w:p>
    <w:p>
      <w:pPr>
        <w:ind w:firstLine="480"/>
        <w:spacing w:line="48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包括内容如下：</w:t>
      </w:r>
      <w:r/>
    </w:p>
    <w:p>
      <w:pPr>
        <w:ind w:firstLine="480"/>
        <w:spacing w:line="48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村域规划：现状分析；发展目标；用地布局和用途管控；耕地和永久基本农田保护；国土空间综合整治和生态修复；产业空间布局；历史文化保护传承和风貌引导；公共服务设施规划；道路交通规划；公用设施规划；防灾减灾规划。</w:t>
      </w:r>
      <w:r/>
    </w:p>
    <w:p>
      <w:pPr>
        <w:ind w:firstLine="480"/>
        <w:spacing w:line="48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村庄设计：村庄平面布局；村容村貌提升；村庄配套设施；建筑设计引导。</w:t>
      </w:r>
      <w:r/>
    </w:p>
    <w:p>
      <w:pPr>
        <w:ind w:firstLine="480"/>
        <w:spacing w:line="48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近期行动：近期行动</w:t>
      </w:r>
      <w:r/>
    </w:p>
    <w:p>
      <w:pPr>
        <w:ind w:firstLine="480"/>
        <w:spacing w:line="480" w:lineRule="exact"/>
        <w:rPr>
          <w:rFonts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w:t>
      </w:r>
      <w:r>
        <w:rPr>
          <w:rFonts w:ascii="宋体" w:hAnsi="宋体" w:eastAsia="宋体" w:cs="宋体"/>
          <w:sz w:val="21"/>
          <w:szCs w:val="21"/>
        </w:rPr>
        <w:t xml:space="preserve">成果形式</w:t>
      </w:r>
      <w:r/>
    </w:p>
    <w:p>
      <w:pPr>
        <w:ind w:firstLine="480"/>
        <w:spacing w:line="480" w:lineRule="exact"/>
        <w:rPr>
          <w:rFonts w:hint="eastAsia" w:ascii="宋体" w:hAnsi="宋体" w:eastAsia="宋体" w:cs="宋体"/>
          <w:sz w:val="21"/>
          <w:szCs w:val="21"/>
        </w:rPr>
      </w:pPr>
      <w:r>
        <w:rPr>
          <w:rFonts w:hint="eastAsia" w:ascii="宋体" w:hAnsi="宋体" w:eastAsia="宋体" w:cs="宋体"/>
          <w:sz w:val="21"/>
          <w:szCs w:val="21"/>
        </w:rPr>
        <w:t xml:space="preserve">规划成果原则上应包含文本、图件、数据库以及必要的附件等内容的文本</w:t>
      </w:r>
      <w:r>
        <w:rPr>
          <w:rFonts w:hint="eastAsia" w:ascii="宋体" w:hAnsi="宋体" w:eastAsia="宋体" w:cs="宋体"/>
          <w:sz w:val="21"/>
          <w:szCs w:val="21"/>
          <w:lang w:val="en-US" w:eastAsia="zh-CN"/>
        </w:rPr>
        <w:t xml:space="preserve">10</w:t>
      </w:r>
      <w:r>
        <w:rPr>
          <w:rFonts w:ascii="宋体" w:hAnsi="宋体" w:eastAsia="宋体" w:cs="宋体"/>
          <w:sz w:val="21"/>
          <w:szCs w:val="21"/>
        </w:rPr>
        <w:t xml:space="preserve">套。上述所有文字说明和图件内容的电子备份文件1套，文本为 DOC/PPT格式文件，图件为DWG/JPG 格式文件</w:t>
      </w:r>
      <w:r>
        <w:rPr>
          <w:rFonts w:hint="eastAsia" w:ascii="宋体" w:hAnsi="宋体" w:eastAsia="宋体" w:cs="宋体"/>
          <w:sz w:val="21"/>
          <w:szCs w:val="21"/>
        </w:rPr>
        <w:t xml:space="preserve">。</w:t>
      </w:r>
      <w:r/>
    </w:p>
    <w:p>
      <w:pPr>
        <w:ind w:firstLine="480"/>
        <w:spacing w:line="480" w:lineRule="exact"/>
        <w:rPr>
          <w:rFonts w:ascii="宋体" w:hAnsi="宋体" w:eastAsia="宋体" w:cs="宋体"/>
          <w:sz w:val="21"/>
          <w:szCs w:val="21"/>
        </w:rPr>
      </w:pPr>
      <w:r>
        <w:rPr>
          <w:rFonts w:hint="eastAsia" w:ascii="宋体" w:hAnsi="宋体" w:eastAsia="宋体" w:cs="宋体"/>
          <w:sz w:val="21"/>
          <w:szCs w:val="21"/>
        </w:rPr>
        <w:t xml:space="preserve">规划成果要简明扼要、通俗易懂，既要便于基层规划管理使用，也要便于村民理解接受和监督实施。</w:t>
      </w:r>
      <w:r/>
    </w:p>
    <w:p>
      <w:pPr>
        <w:ind w:firstLine="480"/>
        <w:spacing w:line="440" w:lineRule="exact"/>
        <w:rPr>
          <w:rFonts w:hint="eastAsia" w:ascii="宋体" w:hAnsi="宋体" w:eastAsia="宋体" w:cs="宋体"/>
          <w:b/>
          <w:bCs/>
          <w:sz w:val="21"/>
          <w:szCs w:val="21"/>
        </w:rPr>
      </w:pP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3</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规划文本</w:t>
      </w:r>
      <w:r/>
    </w:p>
    <w:p>
      <w:pPr>
        <w:ind w:firstLine="480"/>
        <w:spacing w:line="440" w:lineRule="exact"/>
        <w:rPr>
          <w:rFonts w:hint="eastAsia" w:ascii="宋体" w:hAnsi="宋体" w:eastAsia="宋体" w:cs="宋体"/>
          <w:sz w:val="21"/>
          <w:szCs w:val="21"/>
        </w:rPr>
      </w:pPr>
      <w:r>
        <w:rPr>
          <w:rFonts w:hint="eastAsia" w:ascii="宋体" w:hAnsi="宋体" w:eastAsia="宋体" w:cs="宋体"/>
          <w:sz w:val="21"/>
          <w:szCs w:val="21"/>
        </w:rPr>
        <w:t xml:space="preserve">包括规划总则、规划内容、附表等。附表包括规划指标表、土地用途结构调整表、项目清单、近期实施项目库（表）等。</w:t>
      </w:r>
      <w:r/>
    </w:p>
    <w:p>
      <w:pPr>
        <w:ind w:firstLine="480"/>
        <w:spacing w:line="44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一 总则 </w:t>
      </w:r>
      <w:r/>
    </w:p>
    <w:p>
      <w:pPr>
        <w:ind w:firstLine="480"/>
        <w:spacing w:line="440" w:lineRule="exact"/>
        <w:rPr>
          <w:rFonts w:hint="eastAsia" w:ascii="宋体" w:hAnsi="宋体" w:eastAsia="宋体" w:cs="宋体"/>
          <w:sz w:val="21"/>
          <w:szCs w:val="21"/>
        </w:rPr>
      </w:pPr>
      <w:r>
        <w:rPr>
          <w:rFonts w:hint="default" w:ascii="宋体" w:hAnsi="宋体" w:eastAsia="宋体" w:cs="宋体"/>
          <w:sz w:val="21"/>
          <w:szCs w:val="21"/>
          <w:lang w:val="en-US" w:eastAsia="zh-CN"/>
        </w:rPr>
        <w:t xml:space="preserve">1、规划范围及期限 </w:t>
      </w:r>
      <w:r/>
    </w:p>
    <w:p>
      <w:pPr>
        <w:ind w:firstLine="480"/>
        <w:spacing w:line="440" w:lineRule="exact"/>
        <w:rPr>
          <w:rFonts w:hint="eastAsia" w:ascii="宋体" w:hAnsi="宋体" w:eastAsia="宋体" w:cs="宋体"/>
          <w:sz w:val="21"/>
          <w:szCs w:val="21"/>
        </w:rPr>
      </w:pPr>
      <w:r>
        <w:rPr>
          <w:rFonts w:hint="default" w:ascii="宋体" w:hAnsi="宋体" w:eastAsia="宋体" w:cs="宋体"/>
          <w:sz w:val="21"/>
          <w:szCs w:val="21"/>
          <w:lang w:val="en-US" w:eastAsia="zh-CN"/>
        </w:rPr>
        <w:t xml:space="preserve">2、规划依据 </w:t>
      </w:r>
      <w:r/>
    </w:p>
    <w:p>
      <w:pPr>
        <w:ind w:firstLine="480"/>
        <w:spacing w:line="440" w:lineRule="exact"/>
        <w:rPr>
          <w:rFonts w:hint="eastAsia" w:ascii="宋体" w:hAnsi="宋体" w:eastAsia="宋体" w:cs="宋体"/>
          <w:sz w:val="21"/>
          <w:szCs w:val="21"/>
        </w:rPr>
      </w:pPr>
      <w:r>
        <w:rPr>
          <w:rFonts w:hint="default" w:ascii="宋体" w:hAnsi="宋体" w:eastAsia="宋体" w:cs="宋体"/>
          <w:sz w:val="21"/>
          <w:szCs w:val="21"/>
          <w:lang w:val="en-US" w:eastAsia="zh-CN"/>
        </w:rPr>
        <w:t xml:space="preserve">3、上级规划主要要求 </w:t>
      </w:r>
      <w:r/>
    </w:p>
    <w:p>
      <w:pPr>
        <w:ind w:firstLine="480"/>
        <w:spacing w:line="440" w:lineRule="exact"/>
        <w:rPr>
          <w:rFonts w:hint="eastAsia" w:ascii="宋体" w:hAnsi="宋体" w:eastAsia="宋体" w:cs="宋体"/>
          <w:sz w:val="21"/>
          <w:szCs w:val="21"/>
        </w:rPr>
      </w:pPr>
      <w:r>
        <w:rPr>
          <w:rFonts w:hint="default" w:ascii="宋体" w:hAnsi="宋体" w:eastAsia="宋体" w:cs="宋体"/>
          <w:sz w:val="21"/>
          <w:szCs w:val="21"/>
          <w:lang w:val="en-US" w:eastAsia="zh-CN"/>
        </w:rPr>
        <w:t xml:space="preserve">4、现状分析主要结论 </w:t>
      </w:r>
      <w:r/>
    </w:p>
    <w:p>
      <w:pPr>
        <w:ind w:firstLine="480"/>
        <w:spacing w:line="440" w:lineRule="exact"/>
        <w:rPr>
          <w:rFonts w:hint="eastAsia" w:ascii="宋体" w:hAnsi="宋体" w:eastAsia="宋体" w:cs="宋体"/>
          <w:sz w:val="21"/>
          <w:szCs w:val="21"/>
        </w:rPr>
      </w:pPr>
      <w:r>
        <w:rPr>
          <w:rFonts w:hint="default" w:ascii="宋体" w:hAnsi="宋体" w:eastAsia="宋体" w:cs="宋体"/>
          <w:sz w:val="21"/>
          <w:szCs w:val="21"/>
          <w:lang w:val="en-US" w:eastAsia="zh-CN"/>
        </w:rPr>
        <w:t xml:space="preserve">二 目标定位 </w:t>
      </w:r>
      <w:r/>
    </w:p>
    <w:p>
      <w:pPr>
        <w:ind w:firstLine="480"/>
        <w:spacing w:line="440" w:lineRule="exact"/>
        <w:rPr>
          <w:rFonts w:hint="eastAsia" w:ascii="宋体" w:hAnsi="宋体" w:eastAsia="宋体" w:cs="宋体"/>
          <w:sz w:val="21"/>
          <w:szCs w:val="21"/>
        </w:rPr>
      </w:pPr>
      <w:r>
        <w:rPr>
          <w:rFonts w:hint="default" w:ascii="宋体" w:hAnsi="宋体" w:eastAsia="宋体" w:cs="宋体"/>
          <w:sz w:val="21"/>
          <w:szCs w:val="21"/>
          <w:lang w:val="en-US" w:eastAsia="zh-CN"/>
        </w:rPr>
        <w:t xml:space="preserve">1、发展目标与定位 </w:t>
      </w:r>
      <w:r/>
    </w:p>
    <w:p>
      <w:pPr>
        <w:ind w:firstLine="480"/>
        <w:spacing w:line="440" w:lineRule="exact"/>
        <w:rPr>
          <w:rFonts w:hint="eastAsia" w:ascii="宋体" w:hAnsi="宋体" w:eastAsia="宋体" w:cs="宋体"/>
          <w:sz w:val="21"/>
          <w:szCs w:val="21"/>
        </w:rPr>
      </w:pPr>
      <w:r>
        <w:rPr>
          <w:rFonts w:hint="default" w:ascii="宋体" w:hAnsi="宋体" w:eastAsia="宋体" w:cs="宋体"/>
          <w:sz w:val="21"/>
          <w:szCs w:val="21"/>
          <w:lang w:val="en-US" w:eastAsia="zh-CN"/>
        </w:rPr>
        <w:t xml:space="preserve">2、规划指标表 </w:t>
      </w:r>
      <w:r/>
    </w:p>
    <w:p>
      <w:pPr>
        <w:ind w:firstLine="480"/>
        <w:spacing w:line="440" w:lineRule="exact"/>
        <w:rPr>
          <w:rFonts w:hint="eastAsia" w:ascii="宋体" w:hAnsi="宋体" w:eastAsia="宋体" w:cs="宋体"/>
          <w:sz w:val="21"/>
          <w:szCs w:val="21"/>
        </w:rPr>
      </w:pPr>
      <w:r>
        <w:rPr>
          <w:rFonts w:hint="default" w:ascii="宋体" w:hAnsi="宋体" w:eastAsia="宋体" w:cs="宋体"/>
          <w:sz w:val="21"/>
          <w:szCs w:val="21"/>
          <w:lang w:val="en-US" w:eastAsia="zh-CN"/>
        </w:rPr>
        <w:t xml:space="preserve">3、自然村庄分类 </w:t>
      </w:r>
      <w:r/>
    </w:p>
    <w:p>
      <w:pPr>
        <w:ind w:firstLine="480"/>
        <w:spacing w:line="440" w:lineRule="exact"/>
        <w:rPr>
          <w:rFonts w:hint="eastAsia" w:ascii="宋体" w:hAnsi="宋体" w:eastAsia="宋体" w:cs="宋体"/>
          <w:sz w:val="21"/>
          <w:szCs w:val="21"/>
        </w:rPr>
      </w:pPr>
      <w:r>
        <w:rPr>
          <w:rFonts w:hint="default" w:ascii="宋体" w:hAnsi="宋体" w:eastAsia="宋体" w:cs="宋体"/>
          <w:sz w:val="21"/>
          <w:szCs w:val="21"/>
          <w:lang w:val="en-US" w:eastAsia="zh-CN"/>
        </w:rPr>
        <w:t xml:space="preserve">三 用地布局和用途管控 </w:t>
      </w:r>
      <w:r/>
    </w:p>
    <w:p>
      <w:pPr>
        <w:ind w:firstLine="480"/>
        <w:spacing w:line="440" w:lineRule="exact"/>
        <w:rPr>
          <w:rFonts w:hint="eastAsia" w:ascii="宋体" w:hAnsi="宋体" w:eastAsia="宋体" w:cs="宋体"/>
          <w:sz w:val="21"/>
          <w:szCs w:val="21"/>
        </w:rPr>
      </w:pPr>
      <w:r>
        <w:rPr>
          <w:rFonts w:hint="default" w:ascii="宋体" w:hAnsi="宋体" w:eastAsia="宋体" w:cs="宋体"/>
          <w:sz w:val="21"/>
          <w:szCs w:val="21"/>
          <w:lang w:val="en-US" w:eastAsia="zh-CN"/>
        </w:rPr>
        <w:t xml:space="preserve">1、农林用地 </w:t>
      </w:r>
      <w:r/>
    </w:p>
    <w:p>
      <w:pPr>
        <w:ind w:firstLine="480"/>
        <w:spacing w:line="440" w:lineRule="exact"/>
        <w:rPr>
          <w:rFonts w:hint="eastAsia" w:ascii="宋体" w:hAnsi="宋体" w:eastAsia="宋体" w:cs="宋体"/>
          <w:sz w:val="21"/>
          <w:szCs w:val="21"/>
        </w:rPr>
      </w:pPr>
      <w:r>
        <w:rPr>
          <w:rFonts w:hint="default" w:ascii="宋体" w:hAnsi="宋体" w:eastAsia="宋体" w:cs="宋体"/>
          <w:sz w:val="21"/>
          <w:szCs w:val="21"/>
          <w:lang w:val="en-US" w:eastAsia="zh-CN"/>
        </w:rPr>
        <w:t xml:space="preserve">2、自然保护与保留用地 </w:t>
      </w:r>
      <w:r/>
    </w:p>
    <w:p>
      <w:pPr>
        <w:ind w:firstLine="480"/>
        <w:spacing w:line="440" w:lineRule="exact"/>
        <w:rPr>
          <w:rFonts w:hint="eastAsia" w:ascii="宋体" w:hAnsi="宋体" w:eastAsia="宋体" w:cs="宋体"/>
          <w:sz w:val="21"/>
          <w:szCs w:val="21"/>
        </w:rPr>
      </w:pPr>
      <w:r>
        <w:rPr>
          <w:rFonts w:hint="default" w:ascii="宋体" w:hAnsi="宋体" w:eastAsia="宋体" w:cs="宋体"/>
          <w:sz w:val="21"/>
          <w:szCs w:val="21"/>
          <w:lang w:val="en-US" w:eastAsia="zh-CN"/>
        </w:rPr>
        <w:t xml:space="preserve">3、建设用地 </w:t>
      </w:r>
      <w:r/>
    </w:p>
    <w:p>
      <w:pPr>
        <w:ind w:firstLine="480"/>
        <w:spacing w:line="440" w:lineRule="exact"/>
        <w:rPr>
          <w:rFonts w:hint="eastAsia" w:ascii="宋体" w:hAnsi="宋体" w:eastAsia="宋体" w:cs="宋体"/>
          <w:sz w:val="21"/>
          <w:szCs w:val="21"/>
        </w:rPr>
      </w:pPr>
      <w:r>
        <w:rPr>
          <w:rFonts w:hint="default" w:ascii="宋体" w:hAnsi="宋体" w:eastAsia="宋体" w:cs="宋体"/>
          <w:sz w:val="21"/>
          <w:szCs w:val="21"/>
          <w:lang w:val="en-US" w:eastAsia="zh-CN"/>
        </w:rPr>
        <w:t xml:space="preserve">四 公共服务和公用设施规划 </w:t>
      </w:r>
      <w:r/>
    </w:p>
    <w:p>
      <w:pPr>
        <w:ind w:firstLine="480"/>
        <w:spacing w:line="440" w:lineRule="exact"/>
        <w:rPr>
          <w:rFonts w:hint="eastAsia" w:ascii="宋体" w:hAnsi="宋体" w:eastAsia="宋体" w:cs="宋体"/>
          <w:sz w:val="21"/>
          <w:szCs w:val="21"/>
        </w:rPr>
      </w:pPr>
      <w:r>
        <w:rPr>
          <w:rFonts w:hint="default" w:ascii="宋体" w:hAnsi="宋体" w:eastAsia="宋体" w:cs="宋体"/>
          <w:sz w:val="21"/>
          <w:szCs w:val="21"/>
          <w:lang w:val="en-US" w:eastAsia="zh-CN"/>
        </w:rPr>
        <w:t xml:space="preserve">1、道路交通规划 </w:t>
      </w:r>
      <w:r/>
    </w:p>
    <w:p>
      <w:pPr>
        <w:ind w:firstLine="480"/>
        <w:spacing w:line="440" w:lineRule="exact"/>
        <w:rPr>
          <w:rFonts w:hint="eastAsia" w:ascii="宋体" w:hAnsi="宋体" w:eastAsia="宋体" w:cs="宋体"/>
          <w:sz w:val="21"/>
          <w:szCs w:val="21"/>
        </w:rPr>
      </w:pPr>
      <w:r>
        <w:rPr>
          <w:rFonts w:hint="default" w:ascii="宋体" w:hAnsi="宋体" w:eastAsia="宋体" w:cs="宋体"/>
          <w:sz w:val="21"/>
          <w:szCs w:val="21"/>
          <w:lang w:val="en-US" w:eastAsia="zh-CN"/>
        </w:rPr>
        <w:t xml:space="preserve">2、公共服务设施规划 </w:t>
      </w:r>
      <w:r/>
    </w:p>
    <w:p>
      <w:pPr>
        <w:ind w:firstLine="480"/>
        <w:spacing w:line="440" w:lineRule="exact"/>
        <w:rPr>
          <w:rFonts w:hint="eastAsia" w:ascii="宋体" w:hAnsi="宋体" w:eastAsia="宋体" w:cs="宋体"/>
          <w:sz w:val="21"/>
          <w:szCs w:val="21"/>
        </w:rPr>
      </w:pPr>
      <w:r>
        <w:rPr>
          <w:rFonts w:hint="default" w:ascii="宋体" w:hAnsi="宋体" w:eastAsia="宋体" w:cs="宋体"/>
          <w:sz w:val="21"/>
          <w:szCs w:val="21"/>
          <w:lang w:val="en-US" w:eastAsia="zh-CN"/>
        </w:rPr>
        <w:t xml:space="preserve">*3、公用设施规划 </w:t>
      </w:r>
      <w:r/>
    </w:p>
    <w:p>
      <w:pPr>
        <w:ind w:firstLine="480"/>
        <w:spacing w:line="440" w:lineRule="exact"/>
        <w:rPr>
          <w:rFonts w:hint="eastAsia" w:ascii="宋体" w:hAnsi="宋体" w:eastAsia="宋体" w:cs="宋体"/>
          <w:sz w:val="21"/>
          <w:szCs w:val="21"/>
        </w:rPr>
      </w:pPr>
      <w:r>
        <w:rPr>
          <w:rFonts w:hint="default" w:ascii="宋体" w:hAnsi="宋体" w:eastAsia="宋体" w:cs="宋体"/>
          <w:sz w:val="21"/>
          <w:szCs w:val="21"/>
          <w:lang w:val="en-US" w:eastAsia="zh-CN"/>
        </w:rPr>
        <w:t xml:space="preserve">*4、防灾减灾规划 </w:t>
      </w:r>
      <w:r/>
    </w:p>
    <w:p>
      <w:pPr>
        <w:ind w:firstLine="480"/>
        <w:spacing w:line="440" w:lineRule="exact"/>
        <w:rPr>
          <w:rFonts w:hint="eastAsia" w:ascii="宋体" w:hAnsi="宋体" w:eastAsia="宋体" w:cs="宋体"/>
          <w:sz w:val="21"/>
          <w:szCs w:val="21"/>
        </w:rPr>
      </w:pPr>
      <w:r>
        <w:rPr>
          <w:rFonts w:hint="default" w:ascii="宋体" w:hAnsi="宋体" w:eastAsia="宋体" w:cs="宋体"/>
          <w:sz w:val="21"/>
          <w:szCs w:val="21"/>
          <w:lang w:val="en-US" w:eastAsia="zh-CN"/>
        </w:rPr>
        <w:t xml:space="preserve">*五 国土空间综合整治和生态修复 </w:t>
      </w:r>
      <w:r/>
    </w:p>
    <w:p>
      <w:pPr>
        <w:ind w:firstLine="480"/>
        <w:spacing w:line="440" w:lineRule="exact"/>
        <w:rPr>
          <w:rFonts w:hint="eastAsia" w:ascii="宋体" w:hAnsi="宋体" w:eastAsia="宋体" w:cs="宋体"/>
          <w:sz w:val="21"/>
          <w:szCs w:val="21"/>
        </w:rPr>
      </w:pPr>
      <w:r>
        <w:rPr>
          <w:rFonts w:hint="default" w:ascii="宋体" w:hAnsi="宋体" w:eastAsia="宋体" w:cs="宋体"/>
          <w:sz w:val="21"/>
          <w:szCs w:val="21"/>
          <w:lang w:val="en-US" w:eastAsia="zh-CN"/>
        </w:rPr>
        <w:t xml:space="preserve">1、农用地整治 </w:t>
      </w:r>
      <w:r/>
    </w:p>
    <w:p>
      <w:pPr>
        <w:ind w:firstLine="480"/>
        <w:spacing w:line="440" w:lineRule="exact"/>
        <w:rPr>
          <w:rFonts w:hint="eastAsia" w:ascii="宋体" w:hAnsi="宋体" w:eastAsia="宋体" w:cs="宋体"/>
          <w:sz w:val="21"/>
          <w:szCs w:val="21"/>
        </w:rPr>
      </w:pPr>
      <w:r>
        <w:rPr>
          <w:rFonts w:hint="default" w:ascii="宋体" w:hAnsi="宋体" w:eastAsia="宋体" w:cs="宋体"/>
          <w:sz w:val="21"/>
          <w:szCs w:val="21"/>
          <w:lang w:val="en-US" w:eastAsia="zh-CN"/>
        </w:rPr>
        <w:t xml:space="preserve">2、建设用地整治 </w:t>
      </w:r>
      <w:r/>
    </w:p>
    <w:p>
      <w:pPr>
        <w:ind w:firstLine="480"/>
        <w:spacing w:line="440" w:lineRule="exact"/>
        <w:rPr>
          <w:rFonts w:hint="eastAsia" w:ascii="宋体" w:hAnsi="宋体" w:eastAsia="宋体" w:cs="宋体"/>
          <w:sz w:val="21"/>
          <w:szCs w:val="21"/>
        </w:rPr>
      </w:pPr>
      <w:r>
        <w:rPr>
          <w:rFonts w:hint="default" w:ascii="宋体" w:hAnsi="宋体" w:eastAsia="宋体" w:cs="宋体"/>
          <w:sz w:val="21"/>
          <w:szCs w:val="21"/>
          <w:lang w:val="en-US" w:eastAsia="zh-CN"/>
        </w:rPr>
        <w:t xml:space="preserve">3、生态保护与修复 </w:t>
      </w:r>
      <w:r/>
    </w:p>
    <w:p>
      <w:pPr>
        <w:ind w:firstLine="480"/>
        <w:spacing w:line="440" w:lineRule="exact"/>
        <w:rPr>
          <w:rFonts w:hint="eastAsia" w:ascii="宋体" w:hAnsi="宋体" w:eastAsia="宋体" w:cs="宋体"/>
          <w:sz w:val="21"/>
          <w:szCs w:val="21"/>
        </w:rPr>
      </w:pPr>
      <w:r>
        <w:rPr>
          <w:rFonts w:hint="default" w:ascii="宋体" w:hAnsi="宋体" w:eastAsia="宋体" w:cs="宋体"/>
          <w:sz w:val="21"/>
          <w:szCs w:val="21"/>
          <w:lang w:val="en-US" w:eastAsia="zh-CN"/>
        </w:rPr>
        <w:t xml:space="preserve">*六 产业空间布局 </w:t>
      </w:r>
      <w:r/>
    </w:p>
    <w:p>
      <w:pPr>
        <w:ind w:firstLine="480"/>
        <w:spacing w:line="440" w:lineRule="exact"/>
        <w:rPr>
          <w:rFonts w:hint="eastAsia" w:ascii="宋体" w:hAnsi="宋体" w:eastAsia="宋体" w:cs="宋体"/>
          <w:sz w:val="21"/>
          <w:szCs w:val="21"/>
        </w:rPr>
      </w:pPr>
      <w:r>
        <w:rPr>
          <w:rFonts w:hint="default" w:ascii="宋体" w:hAnsi="宋体" w:eastAsia="宋体" w:cs="宋体"/>
          <w:sz w:val="21"/>
          <w:szCs w:val="21"/>
          <w:lang w:val="en-US" w:eastAsia="zh-CN"/>
        </w:rPr>
        <w:t xml:space="preserve">1、产业发展策略 </w:t>
      </w:r>
      <w:r/>
    </w:p>
    <w:p>
      <w:pPr>
        <w:ind w:firstLine="480"/>
        <w:spacing w:line="440" w:lineRule="exact"/>
        <w:rPr>
          <w:rFonts w:hint="eastAsia" w:ascii="宋体" w:hAnsi="宋体" w:eastAsia="宋体" w:cs="宋体"/>
          <w:sz w:val="21"/>
          <w:szCs w:val="21"/>
        </w:rPr>
      </w:pPr>
      <w:r>
        <w:rPr>
          <w:rFonts w:hint="default" w:ascii="宋体" w:hAnsi="宋体" w:eastAsia="宋体" w:cs="宋体"/>
          <w:sz w:val="21"/>
          <w:szCs w:val="21"/>
          <w:lang w:val="en-US" w:eastAsia="zh-CN"/>
        </w:rPr>
        <w:t xml:space="preserve">2、产业空间布局 </w:t>
      </w:r>
      <w:r/>
    </w:p>
    <w:p>
      <w:pPr>
        <w:ind w:firstLine="480"/>
        <w:spacing w:line="440" w:lineRule="exact"/>
        <w:rPr>
          <w:rFonts w:hint="eastAsia" w:ascii="宋体" w:hAnsi="宋体" w:eastAsia="宋体" w:cs="宋体"/>
          <w:sz w:val="21"/>
          <w:szCs w:val="21"/>
        </w:rPr>
      </w:pPr>
      <w:r>
        <w:rPr>
          <w:rFonts w:hint="default" w:ascii="宋体" w:hAnsi="宋体" w:eastAsia="宋体" w:cs="宋体"/>
          <w:sz w:val="21"/>
          <w:szCs w:val="21"/>
          <w:lang w:val="en-US" w:eastAsia="zh-CN"/>
        </w:rPr>
        <w:t xml:space="preserve">3、集体经营性建设用地 </w:t>
      </w:r>
      <w:r/>
    </w:p>
    <w:p>
      <w:pPr>
        <w:ind w:firstLine="480"/>
        <w:spacing w:line="440" w:lineRule="exact"/>
        <w:rPr>
          <w:rFonts w:hint="eastAsia" w:ascii="宋体" w:hAnsi="宋体" w:eastAsia="宋体" w:cs="宋体"/>
          <w:sz w:val="21"/>
          <w:szCs w:val="21"/>
        </w:rPr>
      </w:pPr>
      <w:r>
        <w:rPr>
          <w:rFonts w:hint="default" w:ascii="宋体" w:hAnsi="宋体" w:eastAsia="宋体" w:cs="宋体"/>
          <w:sz w:val="21"/>
          <w:szCs w:val="21"/>
          <w:lang w:val="en-US" w:eastAsia="zh-CN"/>
        </w:rPr>
        <w:t xml:space="preserve">*七 历史文化保护传承和风貌引导 </w:t>
      </w:r>
      <w:r/>
    </w:p>
    <w:p>
      <w:pPr>
        <w:ind w:firstLine="480"/>
        <w:spacing w:line="440" w:lineRule="exact"/>
        <w:rPr>
          <w:rFonts w:hint="eastAsia" w:ascii="宋体" w:hAnsi="宋体" w:eastAsia="宋体" w:cs="宋体"/>
          <w:sz w:val="21"/>
          <w:szCs w:val="21"/>
        </w:rPr>
      </w:pPr>
      <w:r>
        <w:rPr>
          <w:rFonts w:hint="default" w:ascii="宋体" w:hAnsi="宋体" w:eastAsia="宋体" w:cs="宋体"/>
          <w:sz w:val="21"/>
          <w:szCs w:val="21"/>
          <w:lang w:val="en-US" w:eastAsia="zh-CN"/>
        </w:rPr>
        <w:t xml:space="preserve">1、历史文化名村（传统村落）保护 </w:t>
      </w:r>
      <w:r/>
    </w:p>
    <w:p>
      <w:pPr>
        <w:ind w:firstLine="480"/>
        <w:spacing w:line="440" w:lineRule="exact"/>
        <w:rPr>
          <w:rFonts w:hint="eastAsia" w:ascii="宋体" w:hAnsi="宋体" w:eastAsia="宋体" w:cs="宋体"/>
          <w:sz w:val="21"/>
          <w:szCs w:val="21"/>
        </w:rPr>
      </w:pPr>
      <w:r>
        <w:rPr>
          <w:rFonts w:hint="default" w:ascii="宋体" w:hAnsi="宋体" w:eastAsia="宋体" w:cs="宋体"/>
          <w:sz w:val="21"/>
          <w:szCs w:val="21"/>
          <w:lang w:val="en-US" w:eastAsia="zh-CN"/>
        </w:rPr>
        <w:t xml:space="preserve">2、乡村风貌引导 </w:t>
      </w:r>
      <w:r/>
    </w:p>
    <w:p>
      <w:pPr>
        <w:ind w:firstLine="480"/>
        <w:spacing w:line="440" w:lineRule="exact"/>
        <w:rPr>
          <w:rFonts w:hint="eastAsia" w:ascii="宋体" w:hAnsi="宋体" w:eastAsia="宋体" w:cs="宋体"/>
          <w:sz w:val="21"/>
          <w:szCs w:val="21"/>
        </w:rPr>
      </w:pPr>
      <w:r>
        <w:rPr>
          <w:rFonts w:hint="default" w:ascii="宋体" w:hAnsi="宋体" w:eastAsia="宋体" w:cs="宋体"/>
          <w:sz w:val="21"/>
          <w:szCs w:val="21"/>
          <w:lang w:val="en-US" w:eastAsia="zh-CN"/>
        </w:rPr>
        <w:t xml:space="preserve">*八 村庄设计 </w:t>
      </w:r>
      <w:r/>
    </w:p>
    <w:p>
      <w:pPr>
        <w:ind w:firstLine="480"/>
        <w:spacing w:line="440" w:lineRule="exact"/>
        <w:rPr>
          <w:rFonts w:hint="eastAsia" w:ascii="宋体" w:hAnsi="宋体" w:eastAsia="宋体" w:cs="宋体"/>
          <w:sz w:val="21"/>
          <w:szCs w:val="21"/>
        </w:rPr>
      </w:pPr>
      <w:r>
        <w:rPr>
          <w:rFonts w:hint="default" w:ascii="宋体" w:hAnsi="宋体" w:eastAsia="宋体" w:cs="宋体"/>
          <w:sz w:val="21"/>
          <w:szCs w:val="21"/>
          <w:lang w:val="en-US" w:eastAsia="zh-CN"/>
        </w:rPr>
        <w:t xml:space="preserve">1、村庄平面布局 </w:t>
      </w:r>
      <w:r/>
    </w:p>
    <w:p>
      <w:pPr>
        <w:ind w:firstLine="480"/>
        <w:spacing w:line="440" w:lineRule="exact"/>
        <w:rPr>
          <w:rFonts w:hint="eastAsia" w:ascii="宋体" w:hAnsi="宋体" w:eastAsia="宋体" w:cs="宋体"/>
          <w:sz w:val="21"/>
          <w:szCs w:val="21"/>
        </w:rPr>
      </w:pPr>
      <w:r>
        <w:rPr>
          <w:rFonts w:hint="default" w:ascii="宋体" w:hAnsi="宋体" w:eastAsia="宋体" w:cs="宋体"/>
          <w:sz w:val="21"/>
          <w:szCs w:val="21"/>
          <w:lang w:val="en-US" w:eastAsia="zh-CN"/>
        </w:rPr>
        <w:t xml:space="preserve">2、建筑风貌引导 </w:t>
      </w:r>
      <w:r/>
    </w:p>
    <w:p>
      <w:pPr>
        <w:ind w:firstLine="480"/>
        <w:spacing w:line="440" w:lineRule="exact"/>
        <w:rPr>
          <w:rFonts w:hint="eastAsia" w:ascii="宋体" w:hAnsi="宋体" w:eastAsia="宋体" w:cs="宋体"/>
          <w:sz w:val="21"/>
          <w:szCs w:val="21"/>
        </w:rPr>
      </w:pPr>
      <w:r>
        <w:rPr>
          <w:rFonts w:hint="default" w:ascii="宋体" w:hAnsi="宋体" w:eastAsia="宋体" w:cs="宋体"/>
          <w:sz w:val="21"/>
          <w:szCs w:val="21"/>
          <w:lang w:val="en-US" w:eastAsia="zh-CN"/>
        </w:rPr>
        <w:t xml:space="preserve">3、村容村貌提升 </w:t>
      </w:r>
      <w:r/>
    </w:p>
    <w:p>
      <w:pPr>
        <w:ind w:firstLine="480"/>
        <w:spacing w:line="440" w:lineRule="exact"/>
        <w:rPr>
          <w:rFonts w:hint="eastAsia" w:ascii="宋体" w:hAnsi="宋体" w:eastAsia="宋体" w:cs="宋体"/>
          <w:sz w:val="21"/>
          <w:szCs w:val="21"/>
        </w:rPr>
      </w:pPr>
      <w:r>
        <w:rPr>
          <w:rFonts w:hint="default" w:ascii="宋体" w:hAnsi="宋体" w:eastAsia="宋体" w:cs="宋体"/>
          <w:sz w:val="21"/>
          <w:szCs w:val="21"/>
          <w:lang w:val="en-US" w:eastAsia="zh-CN"/>
        </w:rPr>
        <w:t xml:space="preserve">4、村庄配套设施 </w:t>
      </w:r>
      <w:r/>
    </w:p>
    <w:p>
      <w:pPr>
        <w:ind w:firstLine="480"/>
        <w:spacing w:line="440" w:lineRule="exact"/>
        <w:rPr>
          <w:rFonts w:hint="eastAsia" w:ascii="宋体" w:hAnsi="宋体" w:eastAsia="宋体" w:cs="宋体"/>
          <w:sz w:val="21"/>
          <w:szCs w:val="21"/>
        </w:rPr>
      </w:pPr>
      <w:r>
        <w:rPr>
          <w:rFonts w:hint="default" w:ascii="宋体" w:hAnsi="宋体" w:eastAsia="宋体" w:cs="宋体"/>
          <w:sz w:val="21"/>
          <w:szCs w:val="21"/>
          <w:lang w:val="en-US" w:eastAsia="zh-CN"/>
        </w:rPr>
        <w:t xml:space="preserve">*九 近期实施计划 </w:t>
      </w:r>
      <w:r/>
    </w:p>
    <w:p>
      <w:pPr>
        <w:ind w:firstLine="480"/>
        <w:spacing w:line="440" w:lineRule="exact"/>
        <w:rPr>
          <w:rFonts w:hint="eastAsia" w:ascii="宋体" w:hAnsi="宋体" w:eastAsia="宋体" w:cs="宋体"/>
          <w:b/>
          <w:bCs/>
          <w:sz w:val="21"/>
          <w:szCs w:val="21"/>
        </w:rPr>
      </w:pP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4</w:t>
      </w:r>
      <w:r>
        <w:rPr>
          <w:rFonts w:hint="eastAsia" w:ascii="宋体" w:hAnsi="宋体" w:eastAsia="宋体" w:cs="宋体"/>
          <w:b/>
          <w:bCs/>
          <w:sz w:val="21"/>
          <w:szCs w:val="21"/>
          <w:lang w:eastAsia="zh-CN"/>
        </w:rPr>
        <w:t xml:space="preserve">）规划图件</w:t>
      </w:r>
      <w:r/>
    </w:p>
    <w:p>
      <w:pPr>
        <w:ind w:firstLine="480"/>
        <w:spacing w:line="480" w:lineRule="exact"/>
        <w:rPr>
          <w:rFonts w:hint="eastAsia" w:ascii="宋体" w:hAnsi="宋体" w:eastAsia="宋体" w:cs="宋体"/>
          <w:sz w:val="21"/>
          <w:szCs w:val="21"/>
        </w:rPr>
      </w:pPr>
      <w:r>
        <w:rPr>
          <w:rFonts w:hint="eastAsia" w:ascii="宋体" w:hAnsi="宋体" w:eastAsia="宋体" w:cs="宋体"/>
          <w:sz w:val="21"/>
          <w:szCs w:val="21"/>
        </w:rPr>
        <w:t xml:space="preserve">包括但不限于以下图件：区位图</w:t>
      </w:r>
      <w:r>
        <w:rPr>
          <w:rFonts w:hint="eastAsia" w:ascii="宋体" w:hAnsi="宋体" w:eastAsia="宋体" w:cs="宋体"/>
          <w:sz w:val="21"/>
          <w:szCs w:val="21"/>
          <w:lang w:eastAsia="zh-CN"/>
        </w:rPr>
        <w:t xml:space="preserve">；土</w:t>
      </w:r>
      <w:r>
        <w:rPr>
          <w:rFonts w:hint="eastAsia" w:ascii="宋体" w:hAnsi="宋体" w:eastAsia="宋体" w:cs="宋体"/>
          <w:sz w:val="21"/>
          <w:szCs w:val="21"/>
        </w:rPr>
        <w:t xml:space="preserve">地利用现状图</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土地利用规划图</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村域空间管控图</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建设项目分布图</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道路交通规划图</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国土空间综合整治和生态修复规划图</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产业空间布局规划图</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历史文化保护和风貌引导图</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公共服务设施规划图</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公用设施规划图</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防灾减灾规划图</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规划管控图则</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村庄平面图</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村庄效果图</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农房引导（推荐）图 </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村庄环境设计图</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村庄配套设施规划图</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近期实施项目图。</w:t>
      </w:r>
      <w:r/>
    </w:p>
    <w:p>
      <w:pPr>
        <w:ind w:firstLine="480"/>
        <w:spacing w:line="48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（1）土地利用现状图：</w:t>
      </w:r>
      <w:r>
        <w:rPr>
          <w:rFonts w:hint="default" w:ascii="宋体" w:hAnsi="宋体" w:eastAsia="宋体" w:cs="宋体"/>
          <w:sz w:val="21"/>
          <w:szCs w:val="21"/>
          <w:lang w:val="en-US" w:eastAsia="zh-CN"/>
        </w:rPr>
        <w:t xml:space="preserve">以第三次全国国土调查及其最新年度国土变更调查成果为基础，按照用地用海分类指南，表达村域内现状各类用地的分布情况，以及主要道路、河流、村名、相邻关系、公共服务和公用设施位置等要素信息。 </w:t>
      </w:r>
      <w:r/>
    </w:p>
    <w:p>
      <w:pPr>
        <w:ind w:firstLine="480"/>
        <w:spacing w:line="480" w:lineRule="exact"/>
        <w:rPr>
          <w:rFonts w:hint="eastAsia" w:ascii="宋体" w:hAnsi="宋体" w:eastAsia="宋体" w:cs="宋体"/>
          <w:sz w:val="21"/>
          <w:szCs w:val="21"/>
        </w:rPr>
      </w:pPr>
      <w:r>
        <w:rPr>
          <w:rFonts w:hint="default" w:ascii="宋体" w:hAnsi="宋体" w:eastAsia="宋体" w:cs="宋体"/>
          <w:sz w:val="21"/>
          <w:szCs w:val="21"/>
          <w:lang w:val="en-US" w:eastAsia="zh-CN"/>
        </w:rPr>
        <w:t xml:space="preserve">（2）土地利用规划图</w:t>
      </w:r>
      <w:r>
        <w:rPr>
          <w:rFonts w:hint="eastAsia" w:ascii="宋体" w:hAnsi="宋体" w:eastAsia="宋体" w:cs="宋体"/>
          <w:sz w:val="21"/>
          <w:szCs w:val="21"/>
          <w:lang w:val="en-US" w:eastAsia="zh-CN"/>
        </w:rPr>
        <w:t xml:space="preserve">：</w:t>
      </w:r>
      <w:r>
        <w:rPr>
          <w:rFonts w:hint="default" w:ascii="宋体" w:hAnsi="宋体" w:eastAsia="宋体" w:cs="宋体"/>
          <w:sz w:val="21"/>
          <w:szCs w:val="21"/>
          <w:lang w:val="en-US" w:eastAsia="zh-CN"/>
        </w:rPr>
        <w:t xml:space="preserve">以上级规划的国土空间规划分区图或土地利用规划图为基础，按照用地用海分类指南，表达村域各类土地规划用途，以及主要控制线、各类设施布局和相关要素信息。地类表达深度根据实际管理需要确定。 </w:t>
      </w:r>
      <w:r/>
    </w:p>
    <w:p>
      <w:pPr>
        <w:ind w:firstLine="480"/>
        <w:spacing w:line="480" w:lineRule="exact"/>
        <w:rPr>
          <w:rFonts w:hint="eastAsia" w:ascii="宋体" w:hAnsi="宋体" w:eastAsia="宋体" w:cs="宋体"/>
          <w:sz w:val="21"/>
          <w:szCs w:val="21"/>
        </w:rPr>
      </w:pPr>
      <w:r>
        <w:rPr>
          <w:rFonts w:hint="default" w:ascii="宋体" w:hAnsi="宋体" w:eastAsia="宋体" w:cs="宋体"/>
          <w:sz w:val="21"/>
          <w:szCs w:val="21"/>
          <w:lang w:val="en-US" w:eastAsia="zh-CN"/>
        </w:rPr>
        <w:t xml:space="preserve">（3）村域空间管控图</w:t>
      </w:r>
      <w:r>
        <w:rPr>
          <w:rFonts w:hint="eastAsia" w:ascii="宋体" w:hAnsi="宋体" w:eastAsia="宋体" w:cs="宋体"/>
          <w:sz w:val="21"/>
          <w:szCs w:val="21"/>
          <w:lang w:val="en-US" w:eastAsia="zh-CN"/>
        </w:rPr>
        <w:t xml:space="preserve">：</w:t>
      </w:r>
      <w:r>
        <w:rPr>
          <w:rFonts w:hint="default" w:ascii="宋体" w:hAnsi="宋体" w:eastAsia="宋体" w:cs="宋体"/>
          <w:sz w:val="21"/>
          <w:szCs w:val="21"/>
          <w:lang w:val="en-US" w:eastAsia="zh-CN"/>
        </w:rPr>
        <w:t xml:space="preserve">以土地利用规划图为基础，表达永久基本农田、生态保护红线、城镇开发边界、历史文化保护线、重要基础设施及廊道控制范围等各类控制线分布，明确村庄建设边界和相关底线管控要求。 </w:t>
      </w:r>
      <w:r/>
    </w:p>
    <w:p>
      <w:pPr>
        <w:ind w:firstLine="480"/>
        <w:spacing w:line="480" w:lineRule="exact"/>
        <w:rPr>
          <w:rFonts w:hint="eastAsia" w:ascii="宋体" w:hAnsi="宋体" w:eastAsia="宋体" w:cs="宋体"/>
          <w:sz w:val="21"/>
          <w:szCs w:val="21"/>
        </w:rPr>
      </w:pPr>
      <w:r>
        <w:rPr>
          <w:rFonts w:hint="default" w:ascii="宋体" w:hAnsi="宋体" w:eastAsia="宋体" w:cs="宋体"/>
          <w:sz w:val="21"/>
          <w:szCs w:val="21"/>
          <w:lang w:val="en-US" w:eastAsia="zh-CN"/>
        </w:rPr>
        <w:t xml:space="preserve">（4）建设项目分布图</w:t>
      </w:r>
      <w:r>
        <w:rPr>
          <w:rFonts w:hint="eastAsia" w:ascii="宋体" w:hAnsi="宋体" w:eastAsia="宋体" w:cs="宋体"/>
          <w:sz w:val="21"/>
          <w:szCs w:val="21"/>
          <w:lang w:val="en-US" w:eastAsia="zh-CN"/>
        </w:rPr>
        <w:t xml:space="preserve">：</w:t>
      </w:r>
      <w:r>
        <w:rPr>
          <w:rFonts w:hint="default" w:ascii="宋体" w:hAnsi="宋体" w:eastAsia="宋体" w:cs="宋体"/>
          <w:sz w:val="21"/>
          <w:szCs w:val="21"/>
          <w:lang w:val="en-US" w:eastAsia="zh-CN"/>
        </w:rPr>
        <w:t xml:space="preserve">以土地利用规划图为底图，叠加村庄分类信息，标注新增建设用地范围、建设项目位置和名称，主要用于指导村庄项目建设和成果汇交省级校核。 </w:t>
      </w:r>
      <w:r/>
    </w:p>
    <w:p>
      <w:pPr>
        <w:ind w:firstLine="480"/>
        <w:spacing w:line="48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default" w:ascii="宋体" w:hAnsi="宋体" w:eastAsia="宋体" w:cs="宋体"/>
          <w:sz w:val="21"/>
          <w:szCs w:val="21"/>
          <w:lang w:val="en-US" w:eastAsia="zh-CN"/>
        </w:rPr>
        <w:t xml:space="preserve">数据库</w:t>
      </w:r>
      <w:r>
        <w:rPr>
          <w:rFonts w:hint="eastAsia" w:ascii="宋体" w:hAnsi="宋体" w:eastAsia="宋体" w:cs="宋体"/>
          <w:sz w:val="21"/>
          <w:szCs w:val="21"/>
          <w:lang w:val="en-US" w:eastAsia="zh-CN"/>
        </w:rPr>
        <w:t xml:space="preserve">：</w:t>
      </w:r>
      <w:r>
        <w:rPr>
          <w:rFonts w:hint="default" w:ascii="宋体" w:hAnsi="宋体" w:eastAsia="宋体" w:cs="宋体"/>
          <w:sz w:val="21"/>
          <w:szCs w:val="21"/>
          <w:lang w:val="en-US" w:eastAsia="zh-CN"/>
        </w:rPr>
        <w:t xml:space="preserve">包括规划图件的栅格数据和矢量数据等，并应与文本、图件“图数一致。数据库应符合成果汇交入库要求（具体要求另行制定）。 </w:t>
      </w:r>
      <w:r/>
    </w:p>
    <w:p>
      <w:pPr>
        <w:ind w:firstLine="480"/>
        <w:spacing w:line="48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（6）</w:t>
      </w:r>
      <w:r>
        <w:rPr>
          <w:rFonts w:hint="default" w:ascii="宋体" w:hAnsi="宋体" w:eastAsia="宋体" w:cs="宋体"/>
          <w:sz w:val="21"/>
          <w:szCs w:val="21"/>
          <w:lang w:val="en-US" w:eastAsia="zh-CN"/>
        </w:rPr>
        <w:t xml:space="preserve">附件</w:t>
      </w:r>
      <w:r>
        <w:rPr>
          <w:rFonts w:hint="eastAsia" w:ascii="宋体" w:hAnsi="宋体" w:eastAsia="宋体" w:cs="宋体"/>
          <w:sz w:val="21"/>
          <w:szCs w:val="21"/>
          <w:lang w:val="en-US" w:eastAsia="zh-CN"/>
        </w:rPr>
        <w:t xml:space="preserve">：</w:t>
      </w:r>
      <w:r>
        <w:rPr>
          <w:rFonts w:hint="default" w:ascii="宋体" w:hAnsi="宋体" w:eastAsia="宋体" w:cs="宋体"/>
          <w:sz w:val="21"/>
          <w:szCs w:val="21"/>
          <w:lang w:val="en-US" w:eastAsia="zh-CN"/>
        </w:rPr>
        <w:t xml:space="preserve">对规划文本和图件进行必要的补充说明，应包括村委会审议意见和村民会议或村民代表会议讨论通过的决议、专家论证意见、规划公示及相关意见采纳情况说明等。 </w:t>
      </w:r>
      <w:r/>
    </w:p>
    <w:p>
      <w:pPr>
        <w:ind w:firstLine="480"/>
        <w:spacing w:line="48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（7）</w:t>
      </w:r>
      <w:r>
        <w:rPr>
          <w:rFonts w:hint="default" w:ascii="宋体" w:hAnsi="宋体" w:eastAsia="宋体" w:cs="宋体"/>
          <w:sz w:val="21"/>
          <w:szCs w:val="21"/>
          <w:lang w:val="en-US" w:eastAsia="zh-CN"/>
        </w:rPr>
        <w:t xml:space="preserve">规划公开成果</w:t>
      </w:r>
      <w:r>
        <w:rPr>
          <w:rFonts w:hint="eastAsia" w:ascii="宋体" w:hAnsi="宋体" w:eastAsia="宋体" w:cs="宋体"/>
          <w:sz w:val="21"/>
          <w:szCs w:val="21"/>
          <w:lang w:val="en-US" w:eastAsia="zh-CN"/>
        </w:rPr>
        <w:t xml:space="preserve">：</w:t>
      </w:r>
      <w:r>
        <w:rPr>
          <w:rFonts w:hint="default" w:ascii="宋体" w:hAnsi="宋体" w:eastAsia="宋体" w:cs="宋体"/>
          <w:sz w:val="21"/>
          <w:szCs w:val="21"/>
          <w:lang w:val="en-US" w:eastAsia="zh-CN"/>
        </w:rPr>
        <w:t xml:space="preserve">村庄规划批复后，要形成规划公开成果，在村务公开栏进行长期公布。规划公开成果应包括土地利用规划图、主要规划要求，以及必要的规划示意图等。</w:t>
      </w:r>
      <w:r/>
    </w:p>
    <w:p>
      <w:pPr>
        <w:ind w:firstLine="480"/>
        <w:spacing w:line="480" w:lineRule="exact"/>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相关要求按照苏自然资发〔2023〕251 号规定执行。</w:t>
      </w:r>
      <w:r/>
    </w:p>
    <w:p>
      <w:pPr>
        <w:pStyle w:val="669"/>
        <w:jc w:val="both"/>
        <w:spacing w:beforeAutospacing="0" w:afterAutospacing="0"/>
        <w:rPr>
          <w:color w:val="auto"/>
          <w:highlight w:val="none"/>
        </w:rPr>
      </w:pPr>
      <w:r>
        <w:rPr>
          <w:color w:val="auto"/>
          <w:highlight w:val="none"/>
        </w:rPr>
        <w:t xml:space="preserve"> </w:t>
      </w:r>
      <w:r/>
    </w:p>
    <w:p>
      <w:pPr>
        <w:ind w:firstLine="880"/>
        <w:rPr>
          <w:rFonts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669"/>
        <w:ind w:firstLine="880"/>
        <w:jc w:val="center"/>
        <w:keepNext/>
        <w:spacing w:beforeAutospacing="0" w:afterAutospacing="0"/>
        <w:rPr>
          <w:color w:val="auto"/>
          <w:highlight w:val="none"/>
        </w:rPr>
        <w:outlineLvl w:val="0"/>
      </w:pPr>
      <w:r/>
      <w:bookmarkStart w:id="38" w:name="_Toc12"/>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评标方法与评标标准</w:t>
      </w:r>
      <w:bookmarkEnd w:id="38"/>
      <w:r/>
      <w:r/>
    </w:p>
    <w:p>
      <w:pPr>
        <w:pStyle w:val="669"/>
        <w:jc w:val="both"/>
        <w:spacing w:beforeAutospacing="0" w:afterAutospacing="0"/>
        <w:rPr>
          <w:color w:val="auto"/>
          <w:highlight w:val="none"/>
        </w:rPr>
      </w:pPr>
      <w:r>
        <w:rPr>
          <w:color w:val="auto"/>
          <w:highlight w:val="none"/>
        </w:rPr>
        <w:t xml:space="preserve"> </w:t>
      </w:r>
      <w:r/>
    </w:p>
    <w:p>
      <w:pPr>
        <w:pStyle w:val="669"/>
        <w:ind w:firstLine="480"/>
        <w:spacing w:before="120" w:beforeAutospacing="0" w:after="120" w:afterAutospacing="0" w:line="360" w:lineRule="auto"/>
        <w:rPr>
          <w:rFonts w:hint="default" w:eastAsiaTheme="minorEastAsia"/>
          <w:color w:val="auto"/>
          <w:highlight w:val="none"/>
          <w:lang w:val="en-US" w:eastAsia="zh-CN"/>
        </w:rPr>
      </w:pPr>
      <w:r>
        <w:rPr>
          <w:rFonts w:ascii="Arial" w:hAnsi="Arial" w:cs="Arial"/>
          <w:color w:val="auto"/>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分包</w:t>
      </w:r>
      <w:r>
        <w:rPr>
          <w:rFonts w:hint="eastAsia" w:ascii="Arial" w:hAnsi="Arial" w:cs="Arial"/>
          <w:color w:val="auto"/>
          <w:highlight w:val="none"/>
        </w:rPr>
        <w:t xml:space="preserve">1</w:t>
      </w:r>
      <w:r>
        <w:rPr>
          <w:rFonts w:ascii="Arial" w:hAnsi="Arial" w:cs="Arial"/>
          <w:color w:val="auto"/>
          <w:highlight w:val="none"/>
        </w:rPr>
        <w:t xml:space="preserve">选取</w:t>
      </w:r>
      <w:r>
        <w:rPr>
          <w:rFonts w:hint="eastAsia" w:ascii="Arial" w:hAnsi="Arial" w:cs="Arial"/>
          <w:color w:val="auto"/>
          <w:highlight w:val="none"/>
          <w:lang w:val="en-US" w:eastAsia="zh-CN"/>
        </w:rPr>
        <w:t xml:space="preserve">1</w:t>
      </w:r>
      <w:r>
        <w:rPr>
          <w:rFonts w:ascii="Arial" w:hAnsi="Arial" w:cs="Arial"/>
          <w:color w:val="auto"/>
          <w:highlight w:val="none"/>
        </w:rPr>
        <w:t xml:space="preserve">名中标候选人</w:t>
      </w:r>
      <w:r>
        <w:rPr>
          <w:rFonts w:hint="eastAsia" w:ascii="Arial" w:hAnsi="Arial" w:cs="Arial"/>
          <w:color w:val="auto"/>
          <w:highlight w:val="none"/>
          <w:lang w:val="en-US" w:eastAsia="zh-CN"/>
        </w:rPr>
        <w:t xml:space="preserve">。</w:t>
      </w:r>
      <w:r/>
    </w:p>
    <w:p>
      <w:pPr>
        <w:pStyle w:val="669"/>
        <w:ind w:firstLine="482"/>
        <w:spacing w:before="120" w:beforeAutospacing="0" w:after="120" w:afterAutospacing="0" w:line="360" w:lineRule="auto"/>
        <w:rPr>
          <w:rFonts w:ascii="宋体" w:hAnsi="宋体" w:eastAsia="宋体" w:cs="宋体"/>
          <w:b/>
          <w:color w:val="auto"/>
          <w:highlight w:val="none"/>
        </w:rPr>
      </w:pPr>
      <w:r>
        <w:rPr>
          <w:rFonts w:hint="eastAsia" w:ascii="宋体" w:hAnsi="宋体" w:eastAsia="宋体" w:cs="宋体"/>
          <w:b/>
          <w:color w:val="auto"/>
          <w:highlight w:val="none"/>
        </w:rPr>
        <w:t xml:space="preserve">政府采购政策功能落实</w:t>
      </w:r>
      <w:r/>
    </w:p>
    <w:p>
      <w:pPr>
        <w:pStyle w:val="669"/>
        <w:ind w:firstLine="480"/>
        <w:spacing w:before="120" w:beforeAutospacing="0" w:after="120" w:afterAutospacing="0" w:line="360" w:lineRule="auto"/>
        <w:rPr>
          <w:color w:val="auto"/>
          <w:highlight w:val="none"/>
        </w:rPr>
      </w:pPr>
      <w:r>
        <w:rPr>
          <w:rFonts w:hint="eastAsia" w:ascii="宋体" w:hAnsi="宋体" w:cs="宋体"/>
          <w:bCs/>
          <w:color w:val="auto"/>
          <w:highlight w:val="none"/>
        </w:rPr>
        <w:t xml:space="preserve">本项目专门面向中小企业采购，不再对小微企业服务给予价格扣除</w:t>
      </w:r>
      <w:r/>
    </w:p>
    <w:p>
      <w:pPr>
        <w:pStyle w:val="669"/>
        <w:ind w:firstLine="482"/>
        <w:spacing w:before="120" w:beforeAutospacing="0" w:after="120" w:afterAutospacing="0" w:line="0" w:lineRule="atLeast"/>
        <w:rPr>
          <w:color w:val="auto"/>
          <w:highlight w:val="none"/>
        </w:rPr>
      </w:pPr>
      <w:r>
        <w:rPr>
          <w:rFonts w:hint="eastAsia" w:ascii="宋体" w:hAnsi="宋体" w:eastAsia="宋体" w:cs="宋体"/>
          <w:b/>
          <w:color w:val="auto"/>
          <w:highlight w:val="none"/>
        </w:rPr>
        <w:t xml:space="preserve">评标方法与评标标准</w:t>
      </w:r>
      <w:r/>
    </w:p>
    <w:tbl>
      <w:tblPr>
        <w:tblStyle w:val="645"/>
        <w:tblW w:w="95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5"/>
        <w:gridCol w:w="1118"/>
        <w:gridCol w:w="1352"/>
        <w:gridCol w:w="818"/>
        <w:gridCol w:w="5710"/>
      </w:tblGrid>
      <w:tr>
        <w:trPr>
          <w:jc w:val="center"/>
          <w:trHeight w:val="543"/>
          <w:tblHeader/>
        </w:trPr>
        <w:tc>
          <w:tcPr>
            <w:tcBorders>
              <w:top w:val="single" w:color="auto" w:sz="4" w:space="0"/>
              <w:left w:val="single" w:color="auto" w:sz="4" w:space="0"/>
              <w:bottom w:val="single" w:color="auto" w:sz="4" w:space="0"/>
              <w:right w:val="single" w:color="auto" w:sz="4" w:space="0"/>
            </w:tcBorders>
            <w:tcW w:w="575"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序</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分部内容</w:t>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分项内容</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分值</w:t>
            </w:r>
            <w:r/>
          </w:p>
        </w:tc>
        <w:tc>
          <w:tcPr>
            <w:tcBorders>
              <w:top w:val="single" w:color="auto" w:sz="4" w:space="0"/>
              <w:left w:val="single" w:color="auto" w:sz="4" w:space="0"/>
              <w:bottom w:val="single" w:color="auto" w:sz="4" w:space="0"/>
              <w:right w:val="single" w:color="auto" w:sz="4" w:space="0"/>
            </w:tcBorders>
            <w:tcW w:w="5710" w:type="dxa"/>
            <w:vAlign w:val="center"/>
            <w:textDirection w:val="lrTb"/>
            <w:noWrap w:val="false"/>
          </w:tcPr>
          <w:p>
            <w:pPr>
              <w:pStyle w:val="646"/>
              <w:jc w:val="center"/>
              <w:rPr>
                <w:rFonts w:hint="eastAsia"/>
              </w:rPr>
            </w:pPr>
            <w:r>
              <w:rPr>
                <w:rFonts w:hint="eastAsia"/>
              </w:rPr>
              <w:t xml:space="preserve">打分要求</w:t>
            </w:r>
            <w:r/>
          </w:p>
        </w:tc>
      </w:tr>
      <w:tr>
        <w:trPr>
          <w:jc w:val="center"/>
          <w:trHeight w:val="854"/>
        </w:trPr>
        <w:tc>
          <w:tcPr>
            <w:tcBorders>
              <w:top w:val="single" w:color="auto" w:sz="4" w:space="0"/>
              <w:left w:val="single" w:color="auto" w:sz="4" w:space="0"/>
              <w:right w:val="single" w:color="auto" w:sz="4" w:space="0"/>
            </w:tcBorders>
            <w:tcW w:w="575"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一</w:t>
            </w:r>
            <w:r/>
          </w:p>
        </w:tc>
        <w:tc>
          <w:tcPr>
            <w:tcBorders>
              <w:top w:val="single" w:color="auto" w:sz="4" w:space="0"/>
              <w:left w:val="single" w:color="auto" w:sz="4" w:space="0"/>
              <w:right w:val="single" w:color="auto" w:sz="4" w:space="0"/>
            </w:tcBorders>
            <w:tcW w:w="111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价格部分</w:t>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投标报价</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rPr>
              <w:t xml:space="preserve">1</w:t>
            </w:r>
            <w:r>
              <w:rPr>
                <w:rFonts w:hint="eastAsia" w:ascii="宋体" w:hAnsi="宋体" w:eastAsia="宋体" w:cs="宋体"/>
                <w:lang w:val="en-US" w:eastAsia="zh-CN"/>
              </w:rPr>
              <w:t xml:space="preserve">5</w:t>
            </w:r>
            <w:r/>
          </w:p>
        </w:tc>
        <w:tc>
          <w:tcPr>
            <w:tcBorders>
              <w:top w:val="single" w:color="auto" w:sz="4" w:space="0"/>
              <w:left w:val="single" w:color="auto" w:sz="4" w:space="0"/>
              <w:bottom w:val="single" w:color="auto" w:sz="4" w:space="0"/>
              <w:right w:val="single" w:color="auto" w:sz="4" w:space="0"/>
            </w:tcBorders>
            <w:tcW w:w="5710" w:type="dxa"/>
            <w:vAlign w:val="center"/>
            <w:textDirection w:val="lrTb"/>
            <w:noWrap w:val="false"/>
          </w:tcPr>
          <w:p>
            <w:pPr>
              <w:pStyle w:val="646"/>
              <w:rPr>
                <w:rFonts w:hint="eastAsia"/>
              </w:rPr>
            </w:pPr>
            <w:r>
              <w:rPr>
                <w:rFonts w:hint="eastAsia"/>
              </w:rPr>
              <w:t xml:space="preserve">满足招标文件要求且供应商收费比例最低的投标报价为基准价，其价格分为满分。报价得分=(评标基准价/投标报价)×1</w:t>
            </w:r>
            <w:r>
              <w:rPr>
                <w:rFonts w:hint="eastAsia"/>
                <w:lang w:val="en-US" w:eastAsia="zh-CN"/>
              </w:rPr>
              <w:t xml:space="preserve">5</w:t>
            </w:r>
            <w:r>
              <w:rPr>
                <w:rFonts w:hint="eastAsia"/>
              </w:rPr>
              <w:t xml:space="preserve">。</w:t>
            </w:r>
            <w:r/>
          </w:p>
        </w:tc>
      </w:tr>
      <w:tr>
        <w:trPr>
          <w:jc w:val="center"/>
          <w:trHeight w:val="1166"/>
        </w:trPr>
        <w:tc>
          <w:tcPr>
            <w:tcBorders>
              <w:top w:val="single" w:color="auto" w:sz="4" w:space="0"/>
              <w:left w:val="single" w:color="auto" w:sz="4" w:space="0"/>
              <w:right w:val="single" w:color="auto" w:sz="4" w:space="0"/>
            </w:tcBorders>
            <w:tcW w:w="575" w:type="dxa"/>
            <w:vAlign w:val="center"/>
            <w:vMerge w:val="restart"/>
            <w:textDirection w:val="lrTb"/>
            <w:noWrap w:val="false"/>
          </w:tcPr>
          <w:p>
            <w:pPr>
              <w:jc w:val="center"/>
              <w:rPr>
                <w:rFonts w:hint="eastAsia" w:ascii="宋体" w:hAnsi="宋体" w:eastAsia="宋体" w:cs="宋体"/>
              </w:rPr>
            </w:pPr>
            <w:r>
              <w:rPr>
                <w:rFonts w:hint="eastAsia" w:ascii="宋体" w:hAnsi="宋体" w:eastAsia="宋体" w:cs="宋体"/>
              </w:rPr>
              <w:t xml:space="preserve">二</w:t>
            </w:r>
            <w:r/>
          </w:p>
        </w:tc>
        <w:tc>
          <w:tcPr>
            <w:tcBorders>
              <w:top w:val="single" w:color="auto" w:sz="4" w:space="0"/>
              <w:left w:val="single" w:color="auto" w:sz="4" w:space="0"/>
              <w:right w:val="single" w:color="auto" w:sz="4" w:space="0"/>
            </w:tcBorders>
            <w:tcW w:w="1118" w:type="dxa"/>
            <w:vAlign w:val="center"/>
            <w:vMerge w:val="restart"/>
            <w:textDirection w:val="lrTb"/>
            <w:noWrap w:val="false"/>
          </w:tcPr>
          <w:p>
            <w:pPr>
              <w:jc w:val="center"/>
              <w:rPr>
                <w:rFonts w:hint="eastAsia" w:ascii="宋体" w:hAnsi="宋体" w:eastAsia="宋体" w:cs="宋体"/>
              </w:rPr>
            </w:pPr>
            <w:r>
              <w:rPr>
                <w:rFonts w:hint="eastAsia" w:ascii="宋体" w:hAnsi="宋体" w:eastAsia="宋体" w:cs="宋体"/>
              </w:rPr>
              <w:t xml:space="preserve">技术部分</w:t>
            </w:r>
            <w:r/>
          </w:p>
        </w:tc>
        <w:tc>
          <w:tcPr>
            <w:tcBorders>
              <w:top w:val="single" w:color="auto" w:sz="4" w:space="0"/>
              <w:left w:val="single" w:color="auto" w:sz="4" w:space="0"/>
              <w:right w:val="single" w:color="auto" w:sz="4" w:space="0"/>
            </w:tcBorders>
            <w:tcW w:w="135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投标技术方案规划文本</w:t>
            </w:r>
            <w:r/>
          </w:p>
        </w:tc>
        <w:tc>
          <w:tcPr>
            <w:tcBorders>
              <w:top w:val="single" w:color="auto" w:sz="4" w:space="0"/>
              <w:left w:val="single" w:color="auto" w:sz="4" w:space="0"/>
              <w:right w:val="single" w:color="auto" w:sz="4" w:space="0"/>
            </w:tcBorders>
            <w:tcW w:w="81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10</w:t>
            </w:r>
            <w:r/>
          </w:p>
        </w:tc>
        <w:tc>
          <w:tcPr>
            <w:tcBorders>
              <w:top w:val="single" w:color="auto" w:sz="4" w:space="0"/>
              <w:left w:val="single" w:color="auto" w:sz="4" w:space="0"/>
              <w:right w:val="single" w:color="auto" w:sz="4" w:space="0"/>
            </w:tcBorders>
            <w:tcW w:w="5710" w:type="dxa"/>
            <w:vAlign w:val="center"/>
            <w:textDirection w:val="lrTb"/>
            <w:noWrap w:val="false"/>
          </w:tcPr>
          <w:p>
            <w:pPr>
              <w:pStyle w:val="646"/>
              <w:rPr>
                <w:rFonts w:hint="eastAsia"/>
              </w:rPr>
            </w:pPr>
            <w:r>
              <w:rPr>
                <w:rFonts w:hint="eastAsia"/>
              </w:rPr>
              <w:t xml:space="preserve">投标人按照采购文件要求提供投标技术方案规划文本，根据内容完整性、创新性、实施性进行综合打分：</w:t>
            </w:r>
            <w:r/>
          </w:p>
          <w:p>
            <w:pPr>
              <w:pStyle w:val="646"/>
              <w:rPr>
                <w:rFonts w:hint="eastAsia"/>
              </w:rPr>
            </w:pPr>
            <w:r>
              <w:rPr>
                <w:rFonts w:hint="eastAsia"/>
              </w:rPr>
              <w:t xml:space="preserve">1、技术方案内容完整，符合相关要求，创新性较高，指导实施作用强的该项得10分；</w:t>
            </w:r>
            <w:r/>
          </w:p>
          <w:p>
            <w:pPr>
              <w:pStyle w:val="646"/>
              <w:rPr>
                <w:rFonts w:hint="eastAsia"/>
              </w:rPr>
            </w:pPr>
            <w:r>
              <w:rPr>
                <w:rFonts w:hint="eastAsia"/>
              </w:rPr>
              <w:t xml:space="preserve">2、技术方案内容缺项较少，创新性一般，指导实施作用一般的该项得</w:t>
            </w:r>
            <w:r>
              <w:rPr>
                <w:rFonts w:hint="eastAsia"/>
                <w:lang w:val="en-US" w:eastAsia="zh-CN"/>
              </w:rPr>
              <w:t xml:space="preserve">7</w:t>
            </w:r>
            <w:r>
              <w:rPr>
                <w:rFonts w:hint="eastAsia"/>
              </w:rPr>
              <w:t xml:space="preserve">分；</w:t>
            </w:r>
            <w:r/>
          </w:p>
          <w:p>
            <w:pPr>
              <w:pStyle w:val="646"/>
              <w:rPr>
                <w:rFonts w:hint="eastAsia"/>
              </w:rPr>
            </w:pPr>
            <w:r>
              <w:rPr>
                <w:rFonts w:hint="eastAsia"/>
              </w:rPr>
              <w:t xml:space="preserve">3、技术方案内容缺项较多，缺少创新性，</w:t>
            </w:r>
            <w:r>
              <w:rPr>
                <w:rFonts w:hint="eastAsia"/>
                <w:lang w:val="en-US" w:eastAsia="zh-CN"/>
              </w:rPr>
              <w:t xml:space="preserve">基本</w:t>
            </w:r>
            <w:r>
              <w:rPr>
                <w:rFonts w:hint="eastAsia"/>
              </w:rPr>
              <w:t xml:space="preserve">没有指导实施作用的该项得</w:t>
            </w:r>
            <w:r>
              <w:rPr>
                <w:rFonts w:hint="eastAsia"/>
                <w:lang w:val="en-US" w:eastAsia="zh-CN"/>
              </w:rPr>
              <w:t xml:space="preserve">4</w:t>
            </w:r>
            <w:r>
              <w:rPr>
                <w:rFonts w:hint="eastAsia"/>
              </w:rPr>
              <w:t xml:space="preserve">分；</w:t>
            </w:r>
            <w:r/>
          </w:p>
          <w:p>
            <w:pPr>
              <w:pStyle w:val="646"/>
              <w:rPr>
                <w:rFonts w:hint="eastAsia"/>
              </w:rPr>
            </w:pPr>
            <w:r>
              <w:rPr>
                <w:rFonts w:hint="eastAsia"/>
              </w:rPr>
              <w:t xml:space="preserve">4、不提供投标技术方案规划文本的不得分。</w:t>
            </w:r>
            <w:r/>
          </w:p>
        </w:tc>
      </w:tr>
      <w:tr>
        <w:trPr>
          <w:jc w:val="center"/>
          <w:trHeight w:val="1166"/>
        </w:trPr>
        <w:tc>
          <w:tcPr>
            <w:tcBorders>
              <w:top w:val="single" w:color="auto" w:sz="4" w:space="0"/>
              <w:left w:val="single" w:color="auto" w:sz="4" w:space="0"/>
              <w:right w:val="single" w:color="auto" w:sz="4" w:space="0"/>
            </w:tcBorders>
            <w:tcW w:w="575"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right w:val="single" w:color="auto" w:sz="4" w:space="0"/>
            </w:tcBorders>
            <w:tcW w:w="1118"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right w:val="single" w:color="auto" w:sz="4" w:space="0"/>
            </w:tcBorders>
            <w:tcW w:w="135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项目理解和现状分析</w:t>
            </w:r>
            <w:r/>
          </w:p>
        </w:tc>
        <w:tc>
          <w:tcPr>
            <w:tcBorders>
              <w:top w:val="single" w:color="auto" w:sz="4" w:space="0"/>
              <w:left w:val="single" w:color="auto" w:sz="4" w:space="0"/>
              <w:right w:val="single" w:color="auto" w:sz="4" w:space="0"/>
            </w:tcBorders>
            <w:tcW w:w="818" w:type="dxa"/>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lang w:val="en-US" w:eastAsia="zh-CN"/>
              </w:rPr>
              <w:t xml:space="preserve">9</w:t>
            </w:r>
            <w:r/>
          </w:p>
        </w:tc>
        <w:tc>
          <w:tcPr>
            <w:tcBorders>
              <w:top w:val="single" w:color="auto" w:sz="4" w:space="0"/>
              <w:left w:val="single" w:color="auto" w:sz="4" w:space="0"/>
              <w:right w:val="single" w:color="auto" w:sz="4" w:space="0"/>
            </w:tcBorders>
            <w:tcW w:w="5710" w:type="dxa"/>
            <w:vAlign w:val="center"/>
            <w:textDirection w:val="lrTb"/>
            <w:noWrap w:val="false"/>
          </w:tcPr>
          <w:p>
            <w:pPr>
              <w:pStyle w:val="646"/>
              <w:rPr>
                <w:rFonts w:hint="eastAsia"/>
              </w:rPr>
            </w:pPr>
            <w:r>
              <w:rPr>
                <w:rFonts w:hint="eastAsia"/>
              </w:rPr>
              <w:t xml:space="preserve">投标人按照采购文件要求提供项目理解和现状分析，根据相关服务规范响应和执行的完整性、合理性进行综合打分：</w:t>
            </w:r>
            <w:r/>
          </w:p>
          <w:p>
            <w:pPr>
              <w:pStyle w:val="646"/>
              <w:rPr>
                <w:rFonts w:hint="eastAsia"/>
              </w:rPr>
            </w:pPr>
            <w:r>
              <w:rPr>
                <w:rFonts w:hint="eastAsia"/>
              </w:rPr>
              <w:t xml:space="preserve">1、本次项目任务的理解。</w:t>
            </w:r>
            <w:r/>
          </w:p>
          <w:p>
            <w:pPr>
              <w:pStyle w:val="646"/>
              <w:rPr>
                <w:rFonts w:hint="eastAsia"/>
              </w:rPr>
            </w:pPr>
            <w:r>
              <w:rPr>
                <w:rFonts w:hint="eastAsia"/>
              </w:rPr>
              <w:t xml:space="preserve">2、本次项目任务的分析思路。</w:t>
            </w:r>
            <w:r/>
          </w:p>
          <w:p>
            <w:pPr>
              <w:pStyle w:val="646"/>
              <w:rPr>
                <w:rFonts w:hint="eastAsia"/>
              </w:rPr>
            </w:pPr>
            <w:r>
              <w:rPr>
                <w:rFonts w:hint="eastAsia"/>
              </w:rPr>
              <w:t xml:space="preserve">3、本次项目任务的工作目标、范围、依据、方式、方法等。</w:t>
            </w:r>
            <w:r/>
          </w:p>
          <w:p>
            <w:pPr>
              <w:pStyle w:val="646"/>
              <w:rPr>
                <w:rFonts w:hint="eastAsia"/>
              </w:rPr>
            </w:pPr>
            <w:r>
              <w:rPr>
                <w:rFonts w:hint="eastAsia"/>
              </w:rPr>
              <w:t xml:space="preserve">满足以上三项要求最多得</w:t>
            </w:r>
            <w:r>
              <w:rPr>
                <w:rFonts w:hint="eastAsia"/>
                <w:lang w:val="en-US" w:eastAsia="zh-CN"/>
              </w:rPr>
              <w:t xml:space="preserve">9</w:t>
            </w:r>
            <w:r>
              <w:rPr>
                <w:rFonts w:hint="eastAsia"/>
              </w:rPr>
              <w:t xml:space="preserve">分；满足以上二项要求最多得6分；满足任意一项最多得3分；其余情况不得分。</w:t>
            </w:r>
            <w:r/>
          </w:p>
          <w:p>
            <w:pPr>
              <w:pStyle w:val="646"/>
              <w:rPr>
                <w:rFonts w:hint="eastAsia"/>
              </w:rPr>
            </w:pPr>
            <w:r>
              <w:rPr>
                <w:rFonts w:hint="eastAsia"/>
              </w:rPr>
              <w:t xml:space="preserve">注：专家根据各投标人的具体响应内容按照以下量化的评审因素指标对各项要求进行满足性判断：</w:t>
            </w:r>
            <w:r/>
          </w:p>
          <w:p>
            <w:pPr>
              <w:pStyle w:val="646"/>
              <w:rPr>
                <w:rFonts w:hint="eastAsia"/>
              </w:rPr>
            </w:pPr>
            <w:r>
              <w:rPr>
                <w:rFonts w:hint="eastAsia"/>
              </w:rPr>
              <w:t xml:space="preserve">1、对各项要求及服务内容有深刻认识，表述合理、清晰、完整、严谨、措施先进、具体，符合项目需求，操作性强该项得3分；</w:t>
            </w:r>
            <w:r/>
          </w:p>
          <w:p>
            <w:pPr>
              <w:pStyle w:val="646"/>
              <w:rPr>
                <w:rFonts w:hint="eastAsia"/>
              </w:rPr>
            </w:pPr>
            <w:r>
              <w:rPr>
                <w:rFonts w:hint="eastAsia"/>
              </w:rPr>
              <w:t xml:space="preserve">2、对项目总体有一定的认识，方案较为完整、细致，基本符合项目需求，操作性较强该项得2分；</w:t>
            </w:r>
            <w:r/>
          </w:p>
          <w:p>
            <w:pPr>
              <w:pStyle w:val="646"/>
              <w:rPr>
                <w:rFonts w:hint="eastAsia"/>
              </w:rPr>
            </w:pPr>
            <w:r>
              <w:rPr>
                <w:rFonts w:hint="eastAsia"/>
              </w:rPr>
              <w:t xml:space="preserve">3、方案不细致，欠完善，与项目需求响应度低，可操作性一般该项得1分。</w:t>
            </w:r>
            <w:r/>
          </w:p>
          <w:p>
            <w:pPr>
              <w:pStyle w:val="646"/>
              <w:rPr>
                <w:rFonts w:hint="eastAsia"/>
              </w:rPr>
            </w:pPr>
            <w:r>
              <w:rPr>
                <w:rFonts w:hint="eastAsia"/>
              </w:rPr>
              <w:t xml:space="preserve">4、不提供不得分。</w:t>
            </w:r>
            <w:r/>
          </w:p>
        </w:tc>
      </w:tr>
      <w:tr>
        <w:trPr>
          <w:jc w:val="center"/>
          <w:trHeight w:val="1166"/>
        </w:trPr>
        <w:tc>
          <w:tcPr>
            <w:tcBorders>
              <w:left w:val="single" w:color="auto" w:sz="4" w:space="0"/>
              <w:right w:val="single" w:color="auto" w:sz="4" w:space="0"/>
            </w:tcBorders>
            <w:tcW w:w="575"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c>
          <w:tcPr>
            <w:tcBorders>
              <w:left w:val="single" w:color="auto" w:sz="4" w:space="0"/>
              <w:right w:val="single" w:color="auto" w:sz="4" w:space="0"/>
            </w:tcBorders>
            <w:tcW w:w="1118"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right w:val="single" w:color="auto" w:sz="4" w:space="0"/>
            </w:tcBorders>
            <w:tcW w:w="135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工作思路和技术路线</w:t>
            </w:r>
            <w:r/>
          </w:p>
        </w:tc>
        <w:tc>
          <w:tcPr>
            <w:tcBorders>
              <w:top w:val="single" w:color="auto" w:sz="4" w:space="0"/>
              <w:left w:val="single" w:color="auto" w:sz="4" w:space="0"/>
              <w:right w:val="single" w:color="auto" w:sz="4" w:space="0"/>
            </w:tcBorders>
            <w:tcW w:w="818" w:type="dxa"/>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lang w:val="en-US" w:eastAsia="zh-CN"/>
              </w:rPr>
              <w:t xml:space="preserve">9</w:t>
            </w:r>
            <w:r/>
          </w:p>
        </w:tc>
        <w:tc>
          <w:tcPr>
            <w:tcBorders>
              <w:top w:val="single" w:color="auto" w:sz="4" w:space="0"/>
              <w:left w:val="single" w:color="auto" w:sz="4" w:space="0"/>
              <w:right w:val="single" w:color="auto" w:sz="4" w:space="0"/>
            </w:tcBorders>
            <w:tcW w:w="5710" w:type="dxa"/>
            <w:vAlign w:val="center"/>
            <w:textDirection w:val="lrTb"/>
            <w:noWrap w:val="false"/>
          </w:tcPr>
          <w:p>
            <w:pPr>
              <w:pStyle w:val="646"/>
              <w:rPr>
                <w:rFonts w:hint="eastAsia"/>
              </w:rPr>
            </w:pPr>
            <w:r>
              <w:rPr>
                <w:rFonts w:hint="eastAsia"/>
              </w:rPr>
              <w:t xml:space="preserve">根据供应商对本次项目的规划编制的指导思想、原则、工作技术路线等内容进行对比打分。</w:t>
            </w:r>
            <w:r/>
          </w:p>
          <w:p>
            <w:pPr>
              <w:pStyle w:val="646"/>
              <w:rPr>
                <w:rFonts w:hint="eastAsia"/>
              </w:rPr>
            </w:pPr>
            <w:r>
              <w:rPr>
                <w:rFonts w:hint="eastAsia"/>
              </w:rPr>
              <w:t xml:space="preserve">1、本次项目的规划编制的指导思想；</w:t>
            </w:r>
            <w:r/>
          </w:p>
          <w:p>
            <w:pPr>
              <w:pStyle w:val="646"/>
              <w:rPr>
                <w:rFonts w:hint="eastAsia"/>
              </w:rPr>
            </w:pPr>
            <w:r>
              <w:rPr>
                <w:rFonts w:hint="eastAsia"/>
              </w:rPr>
              <w:t xml:space="preserve">2、本次项目的规划编制的原则；</w:t>
            </w:r>
            <w:r/>
          </w:p>
          <w:p>
            <w:pPr>
              <w:pStyle w:val="646"/>
              <w:rPr>
                <w:rFonts w:hint="eastAsia"/>
              </w:rPr>
            </w:pPr>
            <w:r>
              <w:rPr>
                <w:rFonts w:hint="eastAsia"/>
              </w:rPr>
              <w:t xml:space="preserve">3、本次项目的规划编制的工作技术路线。</w:t>
            </w:r>
            <w:r/>
          </w:p>
          <w:p>
            <w:pPr>
              <w:pStyle w:val="646"/>
              <w:rPr>
                <w:rFonts w:hint="eastAsia"/>
              </w:rPr>
            </w:pPr>
            <w:r>
              <w:rPr>
                <w:rFonts w:hint="eastAsia"/>
              </w:rPr>
              <w:t xml:space="preserve">满足以上三项要求最多得</w:t>
            </w:r>
            <w:r>
              <w:rPr>
                <w:rFonts w:hint="eastAsia"/>
                <w:lang w:val="en-US" w:eastAsia="zh-CN"/>
              </w:rPr>
              <w:t xml:space="preserve">9</w:t>
            </w:r>
            <w:r>
              <w:rPr>
                <w:rFonts w:hint="eastAsia"/>
              </w:rPr>
              <w:t xml:space="preserve">分；满足以上二项要求最多得</w:t>
            </w:r>
            <w:r>
              <w:rPr>
                <w:rFonts w:hint="eastAsia"/>
                <w:lang w:val="en-US" w:eastAsia="zh-CN"/>
              </w:rPr>
              <w:t xml:space="preserve">6</w:t>
            </w:r>
            <w:r>
              <w:rPr>
                <w:rFonts w:hint="eastAsia"/>
              </w:rPr>
              <w:t xml:space="preserve">分；满足任意一项最多得</w:t>
            </w:r>
            <w:r>
              <w:rPr>
                <w:rFonts w:hint="eastAsia"/>
                <w:lang w:val="en-US" w:eastAsia="zh-CN"/>
              </w:rPr>
              <w:t xml:space="preserve">3</w:t>
            </w:r>
            <w:r>
              <w:rPr>
                <w:rFonts w:hint="eastAsia"/>
              </w:rPr>
              <w:t xml:space="preserve">分；其余情况不得分。</w:t>
            </w:r>
            <w:r/>
          </w:p>
          <w:p>
            <w:pPr>
              <w:pStyle w:val="646"/>
              <w:rPr>
                <w:rFonts w:hint="eastAsia"/>
              </w:rPr>
            </w:pPr>
            <w:r>
              <w:rPr>
                <w:rFonts w:hint="eastAsia"/>
              </w:rPr>
              <w:t xml:space="preserve">注：专家根据各投标人的具体响应内容按照以下量化的评审因素指标对各项要求进行满足性判断：</w:t>
            </w:r>
            <w:r/>
          </w:p>
          <w:p>
            <w:pPr>
              <w:pStyle w:val="646"/>
              <w:rPr>
                <w:rFonts w:hint="eastAsia"/>
              </w:rPr>
            </w:pPr>
            <w:r>
              <w:rPr>
                <w:rFonts w:hint="eastAsia"/>
              </w:rPr>
              <w:t xml:space="preserve">（1）对本项目的规划编制的指导思想明确、原则合理、工作技术路线合理的得</w:t>
            </w:r>
            <w:r>
              <w:rPr>
                <w:rFonts w:hint="eastAsia"/>
                <w:lang w:val="en-US" w:eastAsia="zh-CN"/>
              </w:rPr>
              <w:t xml:space="preserve">3</w:t>
            </w:r>
            <w:r>
              <w:rPr>
                <w:rFonts w:hint="eastAsia"/>
              </w:rPr>
              <w:t xml:space="preserve">分；</w:t>
            </w:r>
            <w:r/>
          </w:p>
          <w:p>
            <w:pPr>
              <w:pStyle w:val="646"/>
              <w:rPr>
                <w:rFonts w:hint="eastAsia"/>
              </w:rPr>
            </w:pPr>
            <w:r>
              <w:rPr>
                <w:rFonts w:hint="eastAsia"/>
              </w:rPr>
              <w:t xml:space="preserve">（2）对本项目的规划编制的指导思想较明确、原则较合理、工作技术路线较清晰的得</w:t>
            </w:r>
            <w:r>
              <w:rPr>
                <w:rFonts w:hint="eastAsia"/>
                <w:lang w:val="en-US" w:eastAsia="zh-CN"/>
              </w:rPr>
              <w:t xml:space="preserve">2</w:t>
            </w:r>
            <w:r>
              <w:rPr>
                <w:rFonts w:hint="eastAsia"/>
              </w:rPr>
              <w:t xml:space="preserve">分；</w:t>
            </w:r>
            <w:r/>
          </w:p>
          <w:p>
            <w:pPr>
              <w:pStyle w:val="646"/>
              <w:rPr>
                <w:rFonts w:hint="eastAsia"/>
              </w:rPr>
            </w:pPr>
            <w:r>
              <w:rPr>
                <w:rFonts w:hint="eastAsia"/>
              </w:rPr>
              <w:t xml:space="preserve">（3）对本项目的规划编制的指导思想不够明确、原则不够合理、工作技术路线不够清晰的得1分；</w:t>
            </w:r>
            <w:r/>
          </w:p>
          <w:p>
            <w:pPr>
              <w:pStyle w:val="646"/>
              <w:rPr>
                <w:rFonts w:hint="eastAsia"/>
              </w:rPr>
            </w:pPr>
            <w:r>
              <w:rPr>
                <w:rFonts w:hint="eastAsia"/>
              </w:rPr>
              <w:t xml:space="preserve">（4）较差或者不提供不得分。</w:t>
            </w:r>
            <w:r/>
          </w:p>
        </w:tc>
      </w:tr>
      <w:tr>
        <w:trPr>
          <w:jc w:val="center"/>
          <w:trHeight w:val="1166"/>
        </w:trPr>
        <w:tc>
          <w:tcPr>
            <w:tcBorders>
              <w:left w:val="single" w:color="auto" w:sz="4" w:space="0"/>
              <w:right w:val="single" w:color="auto" w:sz="4" w:space="0"/>
            </w:tcBorders>
            <w:tcW w:w="575"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c>
          <w:tcPr>
            <w:tcBorders>
              <w:left w:val="single" w:color="auto" w:sz="4" w:space="0"/>
              <w:right w:val="single" w:color="auto" w:sz="4" w:space="0"/>
            </w:tcBorders>
            <w:tcW w:w="1118"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right w:val="single" w:color="auto" w:sz="4" w:space="0"/>
            </w:tcBorders>
            <w:tcW w:w="135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项目实施工作重点难点问题分析、应对措施及合理化建议</w:t>
            </w:r>
            <w:r/>
          </w:p>
        </w:tc>
        <w:tc>
          <w:tcPr>
            <w:tcBorders>
              <w:top w:val="single" w:color="auto" w:sz="4" w:space="0"/>
              <w:left w:val="single" w:color="auto" w:sz="4" w:space="0"/>
              <w:right w:val="single" w:color="auto" w:sz="4" w:space="0"/>
            </w:tcBorders>
            <w:tcW w:w="818" w:type="dxa"/>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lang w:val="en-US" w:eastAsia="zh-CN"/>
              </w:rPr>
              <w:t xml:space="preserve">9</w:t>
            </w:r>
            <w:r/>
          </w:p>
        </w:tc>
        <w:tc>
          <w:tcPr>
            <w:tcBorders>
              <w:top w:val="single" w:color="auto" w:sz="4" w:space="0"/>
              <w:left w:val="single" w:color="auto" w:sz="4" w:space="0"/>
              <w:right w:val="single" w:color="auto" w:sz="4" w:space="0"/>
            </w:tcBorders>
            <w:tcW w:w="5710" w:type="dxa"/>
            <w:vAlign w:val="center"/>
            <w:textDirection w:val="lrTb"/>
            <w:noWrap w:val="false"/>
          </w:tcPr>
          <w:p>
            <w:pPr>
              <w:pStyle w:val="646"/>
              <w:rPr>
                <w:rFonts w:hint="eastAsia"/>
              </w:rPr>
            </w:pPr>
            <w:r>
              <w:rPr>
                <w:rFonts w:hint="eastAsia"/>
              </w:rPr>
              <w:t xml:space="preserve">投标人提供项目实施工作重点难点问题分析、应对措施及相关的合理化建议进行评审：</w:t>
            </w:r>
            <w:r/>
          </w:p>
          <w:p>
            <w:pPr>
              <w:pStyle w:val="646"/>
              <w:rPr>
                <w:rFonts w:hint="eastAsia"/>
              </w:rPr>
            </w:pPr>
            <w:r>
              <w:rPr>
                <w:rFonts w:hint="eastAsia"/>
              </w:rPr>
              <w:t xml:space="preserve">1、详细阐述项目实施的工作重点难点问题；</w:t>
            </w:r>
            <w:r/>
          </w:p>
          <w:p>
            <w:pPr>
              <w:pStyle w:val="646"/>
              <w:rPr>
                <w:rFonts w:hint="eastAsia"/>
              </w:rPr>
            </w:pPr>
            <w:r>
              <w:rPr>
                <w:rFonts w:hint="eastAsia"/>
              </w:rPr>
              <w:t xml:space="preserve">2、根据项目实施工作重点难点问题，详细阐述对应的应对措施、解决方案；</w:t>
            </w:r>
            <w:r/>
          </w:p>
          <w:p>
            <w:pPr>
              <w:pStyle w:val="646"/>
              <w:rPr>
                <w:rFonts w:hint="eastAsia"/>
              </w:rPr>
            </w:pPr>
            <w:r>
              <w:rPr>
                <w:rFonts w:hint="eastAsia"/>
              </w:rPr>
              <w:t xml:space="preserve">3、针对项目实施工作重点难点提出合理化建议；</w:t>
            </w:r>
            <w:r/>
          </w:p>
          <w:p>
            <w:pPr>
              <w:pStyle w:val="646"/>
              <w:rPr>
                <w:rFonts w:hint="eastAsia"/>
              </w:rPr>
            </w:pPr>
            <w:r>
              <w:rPr>
                <w:rFonts w:hint="eastAsia"/>
              </w:rPr>
              <w:t xml:space="preserve">满足以上三项要求最多得</w:t>
            </w:r>
            <w:r>
              <w:rPr>
                <w:rFonts w:hint="eastAsia"/>
                <w:lang w:val="en-US" w:eastAsia="zh-CN"/>
              </w:rPr>
              <w:t xml:space="preserve">9</w:t>
            </w:r>
            <w:r>
              <w:rPr>
                <w:rFonts w:hint="eastAsia"/>
              </w:rPr>
              <w:t xml:space="preserve">分；满足以上二项要求最多得6分；满足任意一项最多得3分；其余情况不得分。</w:t>
            </w:r>
            <w:r/>
          </w:p>
          <w:p>
            <w:pPr>
              <w:pStyle w:val="646"/>
              <w:rPr>
                <w:rFonts w:hint="eastAsia"/>
              </w:rPr>
            </w:pPr>
            <w:r>
              <w:rPr>
                <w:rFonts w:hint="eastAsia"/>
              </w:rPr>
              <w:t xml:space="preserve">注:专家根据各投标人的具体响应内容按照以下量化的评审因素指标进行评审：</w:t>
            </w:r>
            <w:r/>
          </w:p>
          <w:p>
            <w:pPr>
              <w:pStyle w:val="646"/>
              <w:rPr>
                <w:rFonts w:hint="eastAsia"/>
              </w:rPr>
            </w:pPr>
            <w:r>
              <w:rPr>
                <w:rFonts w:hint="eastAsia"/>
              </w:rPr>
              <w:t xml:space="preserve">1、工作重点难点问题分析准确、合理性好、应对措施的针对性较强、合理化建议的可行性高，该项得3分；</w:t>
            </w:r>
            <w:r/>
          </w:p>
          <w:p>
            <w:pPr>
              <w:pStyle w:val="646"/>
              <w:rPr>
                <w:rFonts w:hint="eastAsia"/>
              </w:rPr>
            </w:pPr>
            <w:r>
              <w:rPr>
                <w:rFonts w:hint="eastAsia"/>
              </w:rPr>
              <w:t xml:space="preserve">2、工作重点难点问题分析准确性一般、合理性一般、应对措施的针对性一般、合理化建议的可行性一般，该项得2分；</w:t>
            </w:r>
            <w:r/>
          </w:p>
          <w:p>
            <w:pPr>
              <w:pStyle w:val="646"/>
              <w:rPr>
                <w:rFonts w:hint="eastAsia"/>
              </w:rPr>
            </w:pPr>
            <w:r>
              <w:rPr>
                <w:rFonts w:hint="eastAsia"/>
              </w:rPr>
              <w:t xml:space="preserve">3、工作重点难点问题分析准确性不对路、合理性差、应对措施的针对性不强、合理化建议的可行性差，该项得1分；</w:t>
            </w:r>
            <w:r/>
          </w:p>
          <w:p>
            <w:pPr>
              <w:pStyle w:val="646"/>
              <w:rPr>
                <w:rFonts w:hint="eastAsia"/>
              </w:rPr>
            </w:pPr>
            <w:r>
              <w:rPr>
                <w:rFonts w:hint="eastAsia"/>
              </w:rPr>
              <w:t xml:space="preserve">4、较差或者不提供不得分。</w:t>
            </w:r>
            <w:r/>
          </w:p>
        </w:tc>
      </w:tr>
      <w:tr>
        <w:trPr>
          <w:jc w:val="center"/>
          <w:trHeight w:val="545"/>
        </w:trPr>
        <w:tc>
          <w:tcPr>
            <w:tcBorders>
              <w:left w:val="single" w:color="auto" w:sz="4" w:space="0"/>
              <w:right w:val="single" w:color="auto" w:sz="4" w:space="0"/>
            </w:tcBorders>
            <w:tcW w:w="575"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c>
          <w:tcPr>
            <w:tcBorders>
              <w:left w:val="single" w:color="auto" w:sz="4" w:space="0"/>
              <w:right w:val="single" w:color="auto" w:sz="4" w:space="0"/>
            </w:tcBorders>
            <w:tcW w:w="1118"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right w:val="single" w:color="auto" w:sz="4" w:space="0"/>
            </w:tcBorders>
            <w:tcW w:w="135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规划技术方案</w:t>
            </w:r>
            <w:r/>
          </w:p>
        </w:tc>
        <w:tc>
          <w:tcPr>
            <w:tcBorders>
              <w:top w:val="single" w:color="auto" w:sz="4" w:space="0"/>
              <w:left w:val="single" w:color="auto" w:sz="4" w:space="0"/>
              <w:right w:val="single" w:color="auto" w:sz="4" w:space="0"/>
            </w:tcBorders>
            <w:tcW w:w="818" w:type="dxa"/>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lang w:val="en-US" w:eastAsia="zh-CN"/>
              </w:rPr>
              <w:t xml:space="preserve">9</w:t>
            </w:r>
            <w:r/>
          </w:p>
        </w:tc>
        <w:tc>
          <w:tcPr>
            <w:tcBorders>
              <w:top w:val="single" w:color="auto" w:sz="4" w:space="0"/>
              <w:left w:val="single" w:color="auto" w:sz="4" w:space="0"/>
              <w:right w:val="single" w:color="auto" w:sz="4" w:space="0"/>
            </w:tcBorders>
            <w:tcW w:w="5710" w:type="dxa"/>
            <w:vAlign w:val="center"/>
            <w:textDirection w:val="lrTb"/>
            <w:noWrap w:val="false"/>
          </w:tcPr>
          <w:p>
            <w:pPr>
              <w:pStyle w:val="646"/>
              <w:rPr>
                <w:rFonts w:hint="eastAsia"/>
              </w:rPr>
            </w:pPr>
            <w:r>
              <w:rPr>
                <w:rFonts w:hint="eastAsia"/>
              </w:rPr>
              <w:t xml:space="preserve">根据供应商对本次项目的规划内容、技术措施及成果形式等进行对比打分。</w:t>
            </w:r>
            <w:r/>
          </w:p>
          <w:p>
            <w:pPr>
              <w:pStyle w:val="646"/>
              <w:rPr>
                <w:rFonts w:hint="eastAsia"/>
              </w:rPr>
            </w:pPr>
            <w:r>
              <w:rPr>
                <w:rFonts w:hint="eastAsia"/>
              </w:rPr>
              <w:t xml:space="preserve">1、本次项目的规划内容；</w:t>
            </w:r>
            <w:r/>
          </w:p>
          <w:p>
            <w:pPr>
              <w:pStyle w:val="646"/>
              <w:rPr>
                <w:rFonts w:hint="eastAsia"/>
              </w:rPr>
            </w:pPr>
            <w:r>
              <w:rPr>
                <w:rFonts w:hint="eastAsia"/>
              </w:rPr>
              <w:t xml:space="preserve">2、本次项目的技术措施；</w:t>
            </w:r>
            <w:r/>
          </w:p>
          <w:p>
            <w:pPr>
              <w:pStyle w:val="646"/>
              <w:rPr>
                <w:rFonts w:hint="eastAsia"/>
              </w:rPr>
            </w:pPr>
            <w:r>
              <w:rPr>
                <w:rFonts w:hint="eastAsia"/>
              </w:rPr>
              <w:t xml:space="preserve">3、本次项目的成果形式；</w:t>
            </w:r>
            <w:r/>
          </w:p>
          <w:p>
            <w:pPr>
              <w:pStyle w:val="646"/>
              <w:rPr>
                <w:rFonts w:hint="eastAsia"/>
              </w:rPr>
            </w:pPr>
            <w:r>
              <w:rPr>
                <w:rFonts w:hint="eastAsia"/>
              </w:rPr>
              <w:t xml:space="preserve">满足以上三项要求最多得</w:t>
            </w:r>
            <w:r>
              <w:rPr>
                <w:rFonts w:hint="eastAsia"/>
                <w:lang w:val="en-US" w:eastAsia="zh-CN"/>
              </w:rPr>
              <w:t xml:space="preserve">9</w:t>
            </w:r>
            <w:r>
              <w:rPr>
                <w:rFonts w:hint="eastAsia"/>
              </w:rPr>
              <w:t xml:space="preserve">分；满足以上二项要求最多得 6分；满足任意一项最多得3分；其余情况不得分。</w:t>
            </w:r>
            <w:r/>
          </w:p>
          <w:p>
            <w:pPr>
              <w:pStyle w:val="646"/>
              <w:rPr>
                <w:rFonts w:hint="eastAsia"/>
              </w:rPr>
            </w:pPr>
            <w:r>
              <w:rPr>
                <w:rFonts w:hint="eastAsia"/>
              </w:rPr>
              <w:t xml:space="preserve">注:专家根据各投标人的具体响应内容按照以下量化的评审因素指标进行评审：</w:t>
            </w:r>
            <w:r/>
          </w:p>
          <w:p>
            <w:pPr>
              <w:pStyle w:val="646"/>
              <w:rPr>
                <w:rFonts w:hint="eastAsia"/>
              </w:rPr>
            </w:pPr>
            <w:r>
              <w:rPr>
                <w:rFonts w:hint="eastAsia"/>
              </w:rPr>
              <w:t xml:space="preserve">（1）对本项目的规划内容重点突出、技术措施有效及成果形式符合规范要求的得3分；</w:t>
            </w:r>
            <w:r/>
          </w:p>
          <w:p>
            <w:pPr>
              <w:pStyle w:val="646"/>
              <w:rPr>
                <w:rFonts w:hint="eastAsia"/>
              </w:rPr>
            </w:pPr>
            <w:r>
              <w:rPr>
                <w:rFonts w:hint="eastAsia"/>
              </w:rPr>
              <w:t xml:space="preserve">（2）对本项目的规划内容重点较突出、技术措施比较有效及成果形式符合规范要求的得2分；</w:t>
            </w:r>
            <w:r/>
          </w:p>
          <w:p>
            <w:pPr>
              <w:pStyle w:val="646"/>
              <w:rPr>
                <w:rFonts w:hint="eastAsia"/>
              </w:rPr>
            </w:pPr>
            <w:r>
              <w:rPr>
                <w:rFonts w:hint="eastAsia"/>
              </w:rPr>
              <w:t xml:space="preserve">（3）对本项目的规划内容重点不够突出、技术措施一般及成果形式基本符合规范要求的得1分；</w:t>
            </w:r>
            <w:r/>
          </w:p>
          <w:p>
            <w:pPr>
              <w:pStyle w:val="646"/>
              <w:rPr>
                <w:rFonts w:hint="eastAsia"/>
              </w:rPr>
            </w:pPr>
            <w:r>
              <w:rPr>
                <w:rFonts w:hint="eastAsia"/>
              </w:rPr>
              <w:t xml:space="preserve">（4）较差或者不提供不得分。</w:t>
            </w:r>
            <w:r/>
          </w:p>
        </w:tc>
      </w:tr>
      <w:tr>
        <w:trPr>
          <w:jc w:val="center"/>
          <w:trHeight w:val="1166"/>
        </w:trPr>
        <w:tc>
          <w:tcPr>
            <w:tcBorders>
              <w:left w:val="single" w:color="auto" w:sz="4" w:space="0"/>
              <w:right w:val="single" w:color="auto" w:sz="4" w:space="0"/>
            </w:tcBorders>
            <w:tcW w:w="575"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c>
          <w:tcPr>
            <w:tcBorders>
              <w:left w:val="single" w:color="auto" w:sz="4" w:space="0"/>
              <w:right w:val="single" w:color="auto" w:sz="4" w:space="0"/>
            </w:tcBorders>
            <w:tcW w:w="1118"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right w:val="single" w:color="auto" w:sz="4" w:space="0"/>
            </w:tcBorders>
            <w:tcW w:w="135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工作计划</w:t>
            </w:r>
            <w:r/>
          </w:p>
        </w:tc>
        <w:tc>
          <w:tcPr>
            <w:tcBorders>
              <w:top w:val="single" w:color="auto" w:sz="4" w:space="0"/>
              <w:left w:val="single" w:color="auto" w:sz="4" w:space="0"/>
              <w:right w:val="single" w:color="auto" w:sz="4" w:space="0"/>
            </w:tcBorders>
            <w:tcW w:w="81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9</w:t>
            </w:r>
            <w:r/>
          </w:p>
        </w:tc>
        <w:tc>
          <w:tcPr>
            <w:tcBorders>
              <w:top w:val="single" w:color="auto" w:sz="4" w:space="0"/>
              <w:left w:val="single" w:color="auto" w:sz="4" w:space="0"/>
              <w:right w:val="single" w:color="auto" w:sz="4" w:space="0"/>
            </w:tcBorders>
            <w:tcW w:w="5710" w:type="dxa"/>
            <w:vAlign w:val="center"/>
            <w:textDirection w:val="lrTb"/>
            <w:noWrap w:val="false"/>
          </w:tcPr>
          <w:p>
            <w:pPr>
              <w:pStyle w:val="646"/>
              <w:rPr>
                <w:rFonts w:hint="eastAsia"/>
              </w:rPr>
            </w:pPr>
            <w:r>
              <w:rPr>
                <w:rFonts w:hint="eastAsia"/>
              </w:rPr>
              <w:t xml:space="preserve">投标人提供的工作</w:t>
            </w:r>
            <w:r>
              <w:rPr>
                <w:rFonts w:hint="eastAsia"/>
                <w:lang w:eastAsia="zh-Hans"/>
              </w:rPr>
              <w:t xml:space="preserve">计划</w:t>
            </w:r>
            <w:r>
              <w:rPr>
                <w:rFonts w:hint="eastAsia"/>
              </w:rPr>
              <w:t xml:space="preserve">的</w:t>
            </w:r>
            <w:r>
              <w:rPr>
                <w:rFonts w:hint="eastAsia"/>
                <w:lang w:eastAsia="zh-Hans"/>
              </w:rPr>
              <w:t xml:space="preserve">内容完善合理</w:t>
            </w:r>
            <w:r>
              <w:rPr>
                <w:rFonts w:hint="eastAsia"/>
              </w:rPr>
              <w:t xml:space="preserve">性、可行性、完成性进行评审：</w:t>
            </w:r>
            <w:r/>
          </w:p>
          <w:p>
            <w:pPr>
              <w:pStyle w:val="646"/>
              <w:rPr>
                <w:rFonts w:hint="eastAsia"/>
              </w:rPr>
            </w:pPr>
            <w:r>
              <w:rPr>
                <w:rFonts w:hint="eastAsia"/>
              </w:rPr>
              <w:t xml:space="preserve">1.梳理</w:t>
            </w:r>
            <w:r>
              <w:rPr>
                <w:rFonts w:hint="eastAsia"/>
                <w:lang w:eastAsia="zh-Hans"/>
              </w:rPr>
              <w:t xml:space="preserve">进度计划</w:t>
            </w:r>
            <w:r>
              <w:rPr>
                <w:rFonts w:hint="eastAsia"/>
              </w:rPr>
              <w:t xml:space="preserve">；</w:t>
            </w:r>
            <w:r/>
          </w:p>
          <w:p>
            <w:pPr>
              <w:pStyle w:val="646"/>
              <w:rPr>
                <w:rFonts w:hint="eastAsia"/>
              </w:rPr>
            </w:pPr>
            <w:r>
              <w:rPr>
                <w:rFonts w:hint="eastAsia"/>
              </w:rPr>
              <w:t xml:space="preserve">2.</w:t>
            </w:r>
            <w:r>
              <w:rPr>
                <w:rFonts w:hint="eastAsia"/>
                <w:lang w:eastAsia="zh-Hans"/>
              </w:rPr>
              <w:t xml:space="preserve">进度的保证措施</w:t>
            </w:r>
            <w:r>
              <w:rPr>
                <w:rFonts w:hint="eastAsia"/>
              </w:rPr>
              <w:t xml:space="preserve">；</w:t>
            </w:r>
            <w:r/>
          </w:p>
          <w:p>
            <w:pPr>
              <w:pStyle w:val="646"/>
              <w:rPr>
                <w:rFonts w:hint="eastAsia"/>
              </w:rPr>
            </w:pPr>
            <w:r>
              <w:rPr>
                <w:rFonts w:hint="eastAsia"/>
              </w:rPr>
              <w:t xml:space="preserve">3.</w:t>
            </w:r>
            <w:r>
              <w:rPr>
                <w:rFonts w:hint="eastAsia"/>
                <w:lang w:eastAsia="zh-Hans"/>
              </w:rPr>
              <w:t xml:space="preserve">进度控制措施及承诺</w:t>
            </w:r>
            <w:r>
              <w:rPr>
                <w:rFonts w:hint="eastAsia"/>
              </w:rPr>
              <w:t xml:space="preserve">。</w:t>
            </w:r>
            <w:r/>
          </w:p>
          <w:p>
            <w:pPr>
              <w:pStyle w:val="646"/>
              <w:rPr>
                <w:rFonts w:hint="eastAsia"/>
              </w:rPr>
            </w:pPr>
            <w:r>
              <w:rPr>
                <w:rFonts w:hint="eastAsia"/>
              </w:rPr>
              <w:t xml:space="preserve">满足以上三项要求最多得9分；满足以上二项要求最多得6分；满足任意一项最多得3分；其余情况不得分。</w:t>
            </w:r>
            <w:r/>
          </w:p>
          <w:p>
            <w:pPr>
              <w:pStyle w:val="646"/>
              <w:rPr>
                <w:rFonts w:hint="eastAsia"/>
              </w:rPr>
            </w:pPr>
            <w:r>
              <w:rPr>
                <w:rFonts w:hint="eastAsia"/>
              </w:rPr>
              <w:t xml:space="preserve">注:专家根据各投标人的具体响应内容按照以下量化的评审因素指标进行评审：</w:t>
            </w:r>
            <w:r/>
          </w:p>
          <w:p>
            <w:pPr>
              <w:pStyle w:val="646"/>
              <w:rPr>
                <w:rFonts w:hint="eastAsia"/>
              </w:rPr>
            </w:pPr>
            <w:r>
              <w:rPr>
                <w:rFonts w:hint="eastAsia"/>
              </w:rPr>
              <w:t xml:space="preserve">（1）工作计划合理、时间安排得当，能保证在规定时间内完成工作任务，提供合理的进度保障措施，得3分；</w:t>
            </w:r>
            <w:r/>
          </w:p>
          <w:p>
            <w:pPr>
              <w:pStyle w:val="646"/>
              <w:rPr>
                <w:rFonts w:hint="eastAsia"/>
              </w:rPr>
            </w:pPr>
            <w:r>
              <w:rPr>
                <w:rFonts w:hint="eastAsia"/>
              </w:rPr>
              <w:t xml:space="preserve">（2）工作计划基本合理，时间安排达到要求，提供较合理的进度保障措施，得2分；</w:t>
            </w:r>
            <w:r/>
          </w:p>
          <w:p>
            <w:pPr>
              <w:pStyle w:val="646"/>
              <w:rPr>
                <w:rFonts w:hint="eastAsia"/>
              </w:rPr>
            </w:pPr>
            <w:r>
              <w:rPr>
                <w:rFonts w:hint="eastAsia"/>
              </w:rPr>
              <w:t xml:space="preserve">（3）工作计划不合理，进度保障措施不完善，得1分；</w:t>
            </w:r>
            <w:r/>
          </w:p>
          <w:p>
            <w:pPr>
              <w:pStyle w:val="646"/>
              <w:rPr>
                <w:rFonts w:hint="eastAsia"/>
              </w:rPr>
            </w:pPr>
            <w:r>
              <w:rPr>
                <w:rFonts w:hint="eastAsia"/>
              </w:rPr>
              <w:t xml:space="preserve">（4）不提供，不得分。</w:t>
            </w:r>
            <w:r/>
          </w:p>
        </w:tc>
      </w:tr>
      <w:tr>
        <w:trPr>
          <w:jc w:val="center"/>
          <w:trHeight w:val="1166"/>
        </w:trPr>
        <w:tc>
          <w:tcPr>
            <w:tcBorders>
              <w:left w:val="single" w:color="auto" w:sz="4" w:space="0"/>
              <w:bottom w:val="single" w:color="auto" w:sz="4" w:space="0"/>
              <w:right w:val="single" w:color="auto" w:sz="4" w:space="0"/>
            </w:tcBorders>
            <w:tcW w:w="575"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c>
          <w:tcPr>
            <w:tcBorders>
              <w:left w:val="single" w:color="auto" w:sz="4" w:space="0"/>
              <w:bottom w:val="single" w:color="auto" w:sz="4" w:space="0"/>
              <w:right w:val="single" w:color="auto" w:sz="4" w:space="0"/>
            </w:tcBorders>
            <w:tcW w:w="1118"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right w:val="single" w:color="auto" w:sz="4" w:space="0"/>
            </w:tcBorders>
            <w:tcW w:w="135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质量控制</w:t>
            </w:r>
            <w:r/>
          </w:p>
        </w:tc>
        <w:tc>
          <w:tcPr>
            <w:tcBorders>
              <w:top w:val="single" w:color="auto" w:sz="4" w:space="0"/>
              <w:left w:val="single" w:color="auto" w:sz="4" w:space="0"/>
              <w:right w:val="single" w:color="auto" w:sz="4" w:space="0"/>
            </w:tcBorders>
            <w:tcW w:w="818" w:type="dxa"/>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lang w:val="en-US" w:eastAsia="zh-CN"/>
              </w:rPr>
              <w:t xml:space="preserve">8</w:t>
            </w:r>
            <w:r/>
          </w:p>
        </w:tc>
        <w:tc>
          <w:tcPr>
            <w:tcBorders>
              <w:top w:val="single" w:color="auto" w:sz="4" w:space="0"/>
              <w:left w:val="single" w:color="auto" w:sz="4" w:space="0"/>
              <w:right w:val="single" w:color="auto" w:sz="4" w:space="0"/>
            </w:tcBorders>
            <w:tcW w:w="5710" w:type="dxa"/>
            <w:vAlign w:val="center"/>
            <w:textDirection w:val="lrTb"/>
            <w:noWrap w:val="false"/>
          </w:tcPr>
          <w:p>
            <w:pPr>
              <w:pStyle w:val="646"/>
              <w:rPr>
                <w:rFonts w:hint="eastAsia"/>
              </w:rPr>
            </w:pPr>
            <w:r>
              <w:rPr>
                <w:rFonts w:hint="eastAsia"/>
              </w:rPr>
              <w:t xml:space="preserve">结合项目实际情况，制定完善的质量控制措施，确保规划成果的可行、可靠性。</w:t>
            </w:r>
            <w:r/>
          </w:p>
          <w:p>
            <w:pPr>
              <w:pStyle w:val="646"/>
              <w:rPr>
                <w:rFonts w:hint="eastAsia"/>
              </w:rPr>
            </w:pPr>
            <w:r>
              <w:rPr>
                <w:rFonts w:hint="eastAsia"/>
              </w:rPr>
              <w:t xml:space="preserve">（1）质量控制措施内容详实完善、可实施性强，得</w:t>
            </w:r>
            <w:r>
              <w:rPr>
                <w:rFonts w:hint="eastAsia"/>
                <w:lang w:val="en-US" w:eastAsia="zh-CN"/>
              </w:rPr>
              <w:t xml:space="preserve">8</w:t>
            </w:r>
            <w:r>
              <w:rPr>
                <w:rFonts w:hint="eastAsia"/>
              </w:rPr>
              <w:t xml:space="preserve">分；</w:t>
            </w:r>
            <w:r/>
          </w:p>
          <w:p>
            <w:pPr>
              <w:pStyle w:val="646"/>
              <w:rPr>
                <w:rFonts w:hint="eastAsia"/>
              </w:rPr>
            </w:pPr>
            <w:r>
              <w:rPr>
                <w:rFonts w:hint="eastAsia"/>
              </w:rPr>
              <w:t xml:space="preserve">（2）质量控制措施内容较为详实、可实施性较强，得6分；</w:t>
            </w:r>
            <w:r/>
          </w:p>
          <w:p>
            <w:pPr>
              <w:pStyle w:val="646"/>
              <w:rPr>
                <w:rFonts w:hint="eastAsia"/>
              </w:rPr>
            </w:pPr>
            <w:r>
              <w:rPr>
                <w:rFonts w:hint="eastAsia"/>
              </w:rPr>
              <w:t xml:space="preserve">（3）质量控制措施内容不全面、可实施性一般，得3分；</w:t>
            </w:r>
            <w:r/>
          </w:p>
          <w:p>
            <w:pPr>
              <w:pStyle w:val="646"/>
              <w:rPr>
                <w:rFonts w:hint="eastAsia"/>
              </w:rPr>
            </w:pPr>
            <w:r>
              <w:rPr>
                <w:rFonts w:hint="eastAsia"/>
              </w:rPr>
              <w:t xml:space="preserve">（4）不提供，不得分。</w:t>
            </w:r>
            <w:r/>
          </w:p>
        </w:tc>
      </w:tr>
      <w:tr>
        <w:trPr>
          <w:jc w:val="center"/>
          <w:trHeight w:val="1360"/>
        </w:trPr>
        <w:tc>
          <w:tcPr>
            <w:tcBorders>
              <w:left w:val="single" w:color="auto" w:sz="4" w:space="0"/>
              <w:right w:val="single" w:color="auto" w:sz="4" w:space="0"/>
            </w:tcBorders>
            <w:tcW w:w="575" w:type="dxa"/>
            <w:vAlign w:val="center"/>
            <w:vMerge w:val="restart"/>
            <w:textDirection w:val="lrTb"/>
            <w:noWrap w:val="false"/>
          </w:tcPr>
          <w:p>
            <w:pPr>
              <w:jc w:val="center"/>
              <w:rPr>
                <w:rFonts w:hint="eastAsia" w:ascii="宋体" w:hAnsi="宋体" w:eastAsia="宋体" w:cs="宋体"/>
              </w:rPr>
            </w:pPr>
            <w:r>
              <w:rPr>
                <w:rFonts w:hint="eastAsia" w:ascii="宋体" w:hAnsi="宋体" w:eastAsia="宋体" w:cs="宋体"/>
              </w:rPr>
              <w:t xml:space="preserve">三</w:t>
            </w:r>
            <w:r/>
          </w:p>
        </w:tc>
        <w:tc>
          <w:tcPr>
            <w:tcBorders>
              <w:left w:val="single" w:color="auto" w:sz="4" w:space="0"/>
              <w:right w:val="single" w:color="auto" w:sz="4" w:space="0"/>
            </w:tcBorders>
            <w:tcW w:w="1118" w:type="dxa"/>
            <w:vAlign w:val="center"/>
            <w:vMerge w:val="restart"/>
            <w:textDirection w:val="lrTb"/>
            <w:noWrap w:val="false"/>
          </w:tcPr>
          <w:p>
            <w:pPr>
              <w:jc w:val="center"/>
              <w:rPr>
                <w:rFonts w:hint="eastAsia" w:ascii="宋体" w:hAnsi="宋体" w:eastAsia="宋体" w:cs="宋体"/>
              </w:rPr>
            </w:pPr>
            <w:r>
              <w:rPr>
                <w:rFonts w:hint="eastAsia" w:ascii="宋体" w:hAnsi="宋体" w:eastAsia="宋体" w:cs="宋体"/>
              </w:rPr>
              <w:t xml:space="preserve">商务部分</w:t>
            </w:r>
            <w:r/>
          </w:p>
        </w:tc>
        <w:tc>
          <w:tcPr>
            <w:tcBorders>
              <w:top w:val="single" w:color="auto" w:sz="4" w:space="0"/>
              <w:left w:val="single" w:color="auto" w:sz="4" w:space="0"/>
              <w:right w:val="single" w:color="auto" w:sz="4" w:space="0"/>
            </w:tcBorders>
            <w:tcW w:w="135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企业实力</w:t>
            </w:r>
            <w:r/>
          </w:p>
        </w:tc>
        <w:tc>
          <w:tcPr>
            <w:tcBorders>
              <w:top w:val="single" w:color="auto" w:sz="4" w:space="0"/>
              <w:left w:val="single" w:color="auto" w:sz="4" w:space="0"/>
              <w:right w:val="single" w:color="auto" w:sz="4" w:space="0"/>
            </w:tcBorders>
            <w:tcW w:w="81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6</w:t>
            </w:r>
            <w:r/>
          </w:p>
        </w:tc>
        <w:tc>
          <w:tcPr>
            <w:tcBorders>
              <w:top w:val="single" w:color="auto" w:sz="4" w:space="0"/>
              <w:left w:val="single" w:color="auto" w:sz="4" w:space="0"/>
              <w:right w:val="single" w:color="auto" w:sz="4" w:space="0"/>
            </w:tcBorders>
            <w:tcW w:w="5710" w:type="dxa"/>
            <w:vAlign w:val="center"/>
            <w:textDirection w:val="lrTb"/>
            <w:noWrap w:val="false"/>
          </w:tcPr>
          <w:p>
            <w:pPr>
              <w:pStyle w:val="646"/>
              <w:rPr>
                <w:rFonts w:hint="eastAsia"/>
              </w:rPr>
            </w:pPr>
            <w:r>
              <w:rPr>
                <w:rFonts w:hint="eastAsia"/>
              </w:rPr>
              <w:t xml:space="preserve">1.投标供应商具有城乡规划编制甲级资质证书的，得2分；具有风景园林工程设计甲级资质证书的，得2分，本项最高得4分。提供资质证书彩色原件扫描件加盖公章，不提供不得分。</w:t>
            </w:r>
            <w:r/>
          </w:p>
          <w:p>
            <w:pPr>
              <w:pStyle w:val="646"/>
              <w:rPr>
                <w:rFonts w:hint="eastAsia"/>
              </w:rPr>
            </w:pPr>
            <w:r>
              <w:rPr>
                <w:rFonts w:hint="eastAsia"/>
              </w:rPr>
              <w:t xml:space="preserve">2.投标供应商自2020年1月1日以来（以获奖时间为准）承担的类似规划项目获得省级及以上奖项的得有一个的1分，本项最高得2分。须提供获奖证书或相关佐证文件彩色原件扫描件加盖公章，不提供不得分。</w:t>
            </w:r>
            <w:r/>
          </w:p>
        </w:tc>
      </w:tr>
      <w:tr>
        <w:trPr>
          <w:jc w:val="center"/>
          <w:trHeight w:val="575"/>
        </w:trPr>
        <w:tc>
          <w:tcPr>
            <w:tcBorders>
              <w:left w:val="single" w:color="auto" w:sz="4" w:space="0"/>
              <w:right w:val="single" w:color="auto" w:sz="4" w:space="0"/>
            </w:tcBorders>
            <w:tcW w:w="575"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c>
          <w:tcPr>
            <w:tcBorders>
              <w:left w:val="single" w:color="auto" w:sz="4" w:space="0"/>
              <w:right w:val="single" w:color="auto" w:sz="4" w:space="0"/>
            </w:tcBorders>
            <w:tcW w:w="1118"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right w:val="single" w:color="auto" w:sz="4" w:space="0"/>
            </w:tcBorders>
            <w:tcW w:w="135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拟投入</w:t>
            </w:r>
            <w:r/>
          </w:p>
          <w:p>
            <w:pPr>
              <w:jc w:val="center"/>
              <w:rPr>
                <w:rFonts w:hint="eastAsia" w:ascii="宋体" w:hAnsi="宋体" w:eastAsia="宋体" w:cs="宋体"/>
              </w:rPr>
            </w:pPr>
            <w:r>
              <w:rPr>
                <w:rFonts w:hint="eastAsia" w:ascii="宋体" w:hAnsi="宋体" w:eastAsia="宋体" w:cs="宋体"/>
              </w:rPr>
              <w:t xml:space="preserve">人员实力</w:t>
            </w:r>
            <w:r/>
          </w:p>
        </w:tc>
        <w:tc>
          <w:tcPr>
            <w:tcBorders>
              <w:top w:val="single" w:color="auto" w:sz="4" w:space="0"/>
              <w:left w:val="single" w:color="auto" w:sz="4" w:space="0"/>
              <w:right w:val="single" w:color="auto" w:sz="4" w:space="0"/>
            </w:tcBorders>
            <w:tcW w:w="818" w:type="dxa"/>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lang w:val="en-US" w:eastAsia="zh-CN"/>
              </w:rPr>
              <w:t xml:space="preserve">9</w:t>
            </w:r>
            <w:r/>
          </w:p>
        </w:tc>
        <w:tc>
          <w:tcPr>
            <w:tcBorders>
              <w:top w:val="single" w:color="auto" w:sz="4" w:space="0"/>
              <w:left w:val="single" w:color="auto" w:sz="4" w:space="0"/>
              <w:right w:val="single" w:color="auto" w:sz="4" w:space="0"/>
            </w:tcBorders>
            <w:tcW w:w="5710" w:type="dxa"/>
            <w:vAlign w:val="center"/>
            <w:textDirection w:val="lrTb"/>
            <w:noWrap w:val="false"/>
          </w:tcPr>
          <w:p>
            <w:pPr>
              <w:pStyle w:val="646"/>
              <w:rPr>
                <w:rFonts w:hint="eastAsia" w:eastAsiaTheme="minorEastAsia"/>
                <w:lang w:val="en-US" w:eastAsia="zh-CN"/>
              </w:rPr>
            </w:pPr>
            <w:r>
              <w:rPr>
                <w:rFonts w:hint="eastAsia"/>
              </w:rPr>
              <w:t xml:space="preserve">1.拟派项目负责人具有正高级（研究员级）城市（乡）规划专业职称的，得</w:t>
            </w:r>
            <w:r>
              <w:rPr>
                <w:rFonts w:hint="eastAsia"/>
                <w:lang w:val="en-US" w:eastAsia="zh-CN"/>
              </w:rPr>
              <w:t xml:space="preserve">2</w:t>
            </w:r>
            <w:r>
              <w:rPr>
                <w:rFonts w:hint="eastAsia"/>
              </w:rPr>
              <w:t xml:space="preserve">分；具有副高级城市（乡）规划专业职称的，得</w:t>
            </w:r>
            <w:r>
              <w:rPr>
                <w:rFonts w:hint="eastAsia"/>
                <w:lang w:val="en-US" w:eastAsia="zh-CN"/>
              </w:rPr>
              <w:t xml:space="preserve">1</w:t>
            </w:r>
            <w:r>
              <w:rPr>
                <w:rFonts w:hint="eastAsia"/>
              </w:rPr>
              <w:t xml:space="preserve">分；具有注册城市（乡）规划师的得</w:t>
            </w:r>
            <w:r>
              <w:rPr>
                <w:rFonts w:hint="eastAsia"/>
                <w:lang w:val="en-US" w:eastAsia="zh-CN"/>
              </w:rPr>
              <w:t xml:space="preserve">1</w:t>
            </w:r>
            <w:r>
              <w:rPr>
                <w:rFonts w:hint="eastAsia"/>
              </w:rPr>
              <w:t xml:space="preserve">分，本项最高得</w:t>
            </w:r>
            <w:r>
              <w:rPr>
                <w:rFonts w:hint="eastAsia"/>
                <w:lang w:val="en-US" w:eastAsia="zh-CN"/>
              </w:rPr>
              <w:t xml:space="preserve">3</w:t>
            </w:r>
            <w:r>
              <w:rPr>
                <w:rFonts w:hint="eastAsia"/>
              </w:rPr>
              <w:t xml:space="preserve">分。</w:t>
            </w:r>
            <w:r/>
          </w:p>
          <w:p>
            <w:pPr>
              <w:pStyle w:val="646"/>
              <w:rPr>
                <w:rFonts w:hint="eastAsia"/>
              </w:rPr>
            </w:pPr>
            <w:r>
              <w:rPr>
                <w:rFonts w:hint="eastAsia"/>
              </w:rPr>
              <w:t xml:space="preserve">2.拟派项目负责人自2020年1月1日以来（以获奖时间为准）参与</w:t>
            </w:r>
            <w:r>
              <w:rPr>
                <w:rFonts w:hint="eastAsia"/>
                <w:lang w:eastAsia="zh-Hans"/>
              </w:rPr>
              <w:t xml:space="preserve">过类似项目的（如</w:t>
            </w:r>
            <w:r>
              <w:rPr>
                <w:rFonts w:hint="eastAsia"/>
              </w:rPr>
              <w:t xml:space="preserve">和</w:t>
            </w:r>
            <w:r>
              <w:rPr>
                <w:rFonts w:hint="eastAsia"/>
                <w:lang w:eastAsia="zh-Hans"/>
              </w:rPr>
              <w:t xml:space="preserve">美乡村</w:t>
            </w:r>
            <w:r>
              <w:rPr>
                <w:rFonts w:hint="eastAsia"/>
              </w:rPr>
              <w:t xml:space="preserve">示范区</w:t>
            </w:r>
            <w:r>
              <w:rPr>
                <w:rFonts w:hint="eastAsia"/>
                <w:lang w:eastAsia="zh-Hans"/>
              </w:rPr>
              <w:t xml:space="preserve">或特色田园乡村示范区等类似规划项目）</w:t>
            </w:r>
            <w:r>
              <w:rPr>
                <w:rFonts w:hint="eastAsia"/>
              </w:rPr>
              <w:t xml:space="preserve">获得省级及以上奖项的有一个得</w:t>
            </w:r>
            <w:r>
              <w:rPr>
                <w:rFonts w:hint="eastAsia"/>
                <w:lang w:val="en-US" w:eastAsia="zh-CN"/>
              </w:rPr>
              <w:t xml:space="preserve">1</w:t>
            </w:r>
            <w:r>
              <w:rPr>
                <w:rFonts w:hint="eastAsia"/>
              </w:rPr>
              <w:t xml:space="preserve">分，本项最高得</w:t>
            </w:r>
            <w:r>
              <w:rPr>
                <w:rFonts w:hint="eastAsia"/>
                <w:lang w:val="en-US" w:eastAsia="zh-CN"/>
              </w:rPr>
              <w:t xml:space="preserve">2</w:t>
            </w:r>
            <w:r>
              <w:rPr>
                <w:rFonts w:hint="eastAsia"/>
              </w:rPr>
              <w:t xml:space="preserve">分。须提供获奖证书或相关佐证文件彩色原件扫描件，不提供不得分。</w:t>
            </w:r>
            <w:r/>
          </w:p>
          <w:p>
            <w:pPr>
              <w:pStyle w:val="646"/>
              <w:rPr>
                <w:rFonts w:hint="eastAsia"/>
              </w:rPr>
            </w:pPr>
            <w:r>
              <w:rPr>
                <w:rFonts w:hint="eastAsia"/>
              </w:rPr>
              <w:t xml:space="preserve">3.拟派项目组成员（除项目负责人外）中具有注册城市（乡）规划师的得</w:t>
            </w:r>
            <w:r>
              <w:rPr>
                <w:rFonts w:hint="eastAsia"/>
                <w:lang w:val="en-US" w:eastAsia="zh-CN"/>
              </w:rPr>
              <w:t xml:space="preserve">0.5</w:t>
            </w:r>
            <w:r>
              <w:rPr>
                <w:rFonts w:hint="eastAsia"/>
              </w:rPr>
              <w:t xml:space="preserve">分，具有城市（乡）规划专业高级职称的得</w:t>
            </w:r>
            <w:r>
              <w:rPr>
                <w:rFonts w:hint="eastAsia"/>
                <w:lang w:val="en-US" w:eastAsia="zh-CN"/>
              </w:rPr>
              <w:t xml:space="preserve">1</w:t>
            </w:r>
            <w:r>
              <w:rPr>
                <w:rFonts w:hint="eastAsia"/>
              </w:rPr>
              <w:t xml:space="preserve">分，本项最多得</w:t>
            </w:r>
            <w:r>
              <w:rPr>
                <w:rFonts w:hint="eastAsia"/>
                <w:lang w:val="en-US" w:eastAsia="zh-CN"/>
              </w:rPr>
              <w:t xml:space="preserve">4</w:t>
            </w:r>
            <w:r>
              <w:rPr>
                <w:rFonts w:hint="eastAsia"/>
              </w:rPr>
              <w:t xml:space="preserve">分。</w:t>
            </w:r>
            <w:r/>
          </w:p>
          <w:p>
            <w:pPr>
              <w:pStyle w:val="646"/>
              <w:rPr>
                <w:rFonts w:hint="eastAsia"/>
              </w:rPr>
            </w:pPr>
            <w:r>
              <w:rPr>
                <w:rFonts w:hint="eastAsia"/>
              </w:rPr>
              <w:t xml:space="preserve">注：1.项目负责人获奖和供应商获奖为同一项目的，仅可计分一次，不重复计分。</w:t>
            </w:r>
            <w:r/>
          </w:p>
          <w:p>
            <w:pPr>
              <w:pStyle w:val="646"/>
              <w:rPr>
                <w:rFonts w:hint="eastAsia"/>
              </w:rPr>
            </w:pPr>
            <w:r>
              <w:rPr>
                <w:rFonts w:hint="eastAsia"/>
              </w:rPr>
              <w:t xml:space="preserve">2.提供上述人员相关证书及近期不少于3个月社会保险缴纳证明，且加盖公章。</w:t>
            </w:r>
            <w:r/>
          </w:p>
        </w:tc>
      </w:tr>
      <w:tr>
        <w:trPr>
          <w:jc w:val="center"/>
          <w:trHeight w:val="557"/>
        </w:trPr>
        <w:tc>
          <w:tcPr>
            <w:tcBorders>
              <w:left w:val="single" w:color="auto" w:sz="4" w:space="0"/>
              <w:right w:val="single" w:color="auto" w:sz="4" w:space="0"/>
            </w:tcBorders>
            <w:tcW w:w="575"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c>
          <w:tcPr>
            <w:tcBorders>
              <w:left w:val="single" w:color="auto" w:sz="4" w:space="0"/>
              <w:right w:val="single" w:color="auto" w:sz="4" w:space="0"/>
            </w:tcBorders>
            <w:tcW w:w="1118"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right w:val="single" w:color="auto" w:sz="4" w:space="0"/>
            </w:tcBorders>
            <w:tcW w:w="135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服务承诺措施</w:t>
            </w:r>
            <w:r/>
          </w:p>
        </w:tc>
        <w:tc>
          <w:tcPr>
            <w:tcBorders>
              <w:top w:val="single" w:color="auto" w:sz="4" w:space="0"/>
              <w:left w:val="single" w:color="auto" w:sz="4" w:space="0"/>
              <w:right w:val="single" w:color="auto" w:sz="4" w:space="0"/>
            </w:tcBorders>
            <w:tcW w:w="818" w:type="dxa"/>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lang w:val="en-US" w:eastAsia="zh-CN"/>
              </w:rPr>
              <w:t xml:space="preserve">2</w:t>
            </w:r>
            <w:r/>
          </w:p>
        </w:tc>
        <w:tc>
          <w:tcPr>
            <w:tcBorders>
              <w:top w:val="single" w:color="auto" w:sz="4" w:space="0"/>
              <w:left w:val="single" w:color="auto" w:sz="4" w:space="0"/>
              <w:right w:val="single" w:color="auto" w:sz="4" w:space="0"/>
            </w:tcBorders>
            <w:tcW w:w="5710" w:type="dxa"/>
            <w:vAlign w:val="center"/>
            <w:textDirection w:val="lrTb"/>
            <w:noWrap w:val="false"/>
          </w:tcPr>
          <w:p>
            <w:pPr>
              <w:pStyle w:val="646"/>
              <w:rPr>
                <w:rFonts w:hint="eastAsia"/>
              </w:rPr>
            </w:pPr>
            <w:r>
              <w:rPr>
                <w:rFonts w:hint="eastAsia"/>
              </w:rPr>
              <w:t xml:space="preserve">根据供应商提供的“严格遵守国家相关法律法规，不以各种方式虚假投标，服务期间服从甲方统筹调度，全力配合甲方工作，廉洁自律，严格遵守甲方纪律要求和有关廉政制度”承诺，得</w:t>
            </w:r>
            <w:r>
              <w:rPr>
                <w:rFonts w:hint="eastAsia"/>
                <w:lang w:val="en-US" w:eastAsia="zh-CN"/>
              </w:rPr>
              <w:t xml:space="preserve">2</w:t>
            </w:r>
            <w:r>
              <w:rPr>
                <w:rFonts w:hint="eastAsia"/>
              </w:rPr>
              <w:t xml:space="preserve">分，不提供不得分（格式自拟）。</w:t>
            </w:r>
            <w:r/>
          </w:p>
        </w:tc>
      </w:tr>
      <w:tr>
        <w:trPr>
          <w:jc w:val="center"/>
          <w:trHeight w:val="557"/>
        </w:trPr>
        <w:tc>
          <w:tcPr>
            <w:tcBorders>
              <w:left w:val="single" w:color="auto" w:sz="4" w:space="0"/>
              <w:right w:val="single" w:color="auto" w:sz="4" w:space="0"/>
            </w:tcBorders>
            <w:tcW w:w="575"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c>
          <w:tcPr>
            <w:tcBorders>
              <w:left w:val="single" w:color="auto" w:sz="4" w:space="0"/>
              <w:right w:val="single" w:color="auto" w:sz="4" w:space="0"/>
            </w:tcBorders>
            <w:tcW w:w="1118"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right w:val="single" w:color="auto" w:sz="4" w:space="0"/>
            </w:tcBorders>
            <w:tcW w:w="135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业绩</w:t>
            </w:r>
            <w:r/>
          </w:p>
        </w:tc>
        <w:tc>
          <w:tcPr>
            <w:tcBorders>
              <w:top w:val="single" w:color="auto" w:sz="4" w:space="0"/>
              <w:left w:val="single" w:color="auto" w:sz="4" w:space="0"/>
              <w:right w:val="single" w:color="auto" w:sz="4" w:space="0"/>
            </w:tcBorders>
            <w:tcW w:w="81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5</w:t>
            </w:r>
            <w:r/>
          </w:p>
        </w:tc>
        <w:tc>
          <w:tcPr>
            <w:tcBorders>
              <w:top w:val="single" w:color="auto" w:sz="4" w:space="0"/>
              <w:left w:val="single" w:color="auto" w:sz="4" w:space="0"/>
              <w:right w:val="single" w:color="auto" w:sz="4" w:space="0"/>
            </w:tcBorders>
            <w:tcW w:w="5710" w:type="dxa"/>
            <w:vAlign w:val="center"/>
            <w:textDirection w:val="lrTb"/>
            <w:noWrap w:val="false"/>
          </w:tcPr>
          <w:p>
            <w:pPr>
              <w:pStyle w:val="646"/>
              <w:rPr>
                <w:rFonts w:hint="eastAsia"/>
                <w:lang w:eastAsia="zh-Hans"/>
              </w:rPr>
            </w:pPr>
            <w:r>
              <w:rPr>
                <w:rFonts w:hint="eastAsia"/>
                <w:lang w:eastAsia="zh-Hans"/>
              </w:rPr>
              <w:t xml:space="preserve">1.供应商自2020年</w:t>
            </w:r>
            <w:r>
              <w:rPr>
                <w:rFonts w:hint="eastAsia"/>
              </w:rPr>
              <w:t xml:space="preserve">1</w:t>
            </w:r>
            <w:r>
              <w:rPr>
                <w:rFonts w:hint="eastAsia"/>
                <w:lang w:eastAsia="zh-Hans"/>
              </w:rPr>
              <w:t xml:space="preserve">月1日以来（以合同签订时间为准）承担过类似项目的（如</w:t>
            </w:r>
            <w:r>
              <w:rPr>
                <w:rFonts w:hint="eastAsia"/>
              </w:rPr>
              <w:t xml:space="preserve">和</w:t>
            </w:r>
            <w:r>
              <w:rPr>
                <w:rFonts w:hint="eastAsia"/>
                <w:lang w:eastAsia="zh-Hans"/>
              </w:rPr>
              <w:t xml:space="preserve">美乡村</w:t>
            </w:r>
            <w:r>
              <w:rPr>
                <w:rFonts w:hint="eastAsia"/>
              </w:rPr>
              <w:t xml:space="preserve">示范区</w:t>
            </w:r>
            <w:r>
              <w:rPr>
                <w:rFonts w:hint="eastAsia"/>
                <w:lang w:eastAsia="zh-Hans"/>
              </w:rPr>
              <w:t xml:space="preserve">或特色田园乡村示范区等类似规划项目），每提供一项得</w:t>
            </w:r>
            <w:r>
              <w:rPr>
                <w:rFonts w:hint="eastAsia"/>
              </w:rPr>
              <w:t xml:space="preserve">1</w:t>
            </w:r>
            <w:r>
              <w:rPr>
                <w:rFonts w:hint="eastAsia"/>
                <w:lang w:eastAsia="zh-Hans"/>
              </w:rPr>
              <w:t xml:space="preserve">分，</w:t>
            </w:r>
            <w:r>
              <w:rPr>
                <w:rFonts w:hint="eastAsia"/>
              </w:rPr>
              <w:t xml:space="preserve">本项</w:t>
            </w:r>
            <w:r>
              <w:rPr>
                <w:rFonts w:hint="eastAsia"/>
                <w:lang w:eastAsia="zh-Hans"/>
              </w:rPr>
              <w:t xml:space="preserve">最高得</w:t>
            </w:r>
            <w:r>
              <w:rPr>
                <w:rFonts w:hint="eastAsia"/>
              </w:rPr>
              <w:t xml:space="preserve">3</w:t>
            </w:r>
            <w:r>
              <w:rPr>
                <w:rFonts w:hint="eastAsia"/>
                <w:lang w:eastAsia="zh-Hans"/>
              </w:rPr>
              <w:t xml:space="preserve">分。</w:t>
            </w:r>
            <w:r/>
          </w:p>
          <w:p>
            <w:pPr>
              <w:pStyle w:val="646"/>
              <w:rPr>
                <w:rFonts w:hint="eastAsia"/>
                <w:lang w:eastAsia="zh-Hans"/>
              </w:rPr>
            </w:pPr>
            <w:r>
              <w:rPr>
                <w:rFonts w:hint="eastAsia"/>
                <w:lang w:eastAsia="zh-Hans"/>
              </w:rPr>
              <w:t xml:space="preserve">2. 供应商自2020年</w:t>
            </w:r>
            <w:r>
              <w:rPr>
                <w:rFonts w:hint="eastAsia"/>
              </w:rPr>
              <w:t xml:space="preserve">1</w:t>
            </w:r>
            <w:r>
              <w:rPr>
                <w:rFonts w:hint="eastAsia"/>
                <w:lang w:eastAsia="zh-Hans"/>
              </w:rPr>
              <w:t xml:space="preserve">月1日以来（以合同签订时间为准）</w:t>
            </w:r>
            <w:r>
              <w:rPr>
                <w:rFonts w:hint="eastAsia"/>
              </w:rPr>
              <w:t xml:space="preserve">承担过省级及以上主管部门委托的村庄类课题研究，调查导则或标准指南制定业绩的，每提供1个得2分；承担过市级及以上主管部门委托的村庄类课题研究，调查导则或标准指南制定业绩的，每提供1个得1分。本项最多得2分。</w:t>
            </w:r>
            <w:r/>
          </w:p>
          <w:p>
            <w:pPr>
              <w:pStyle w:val="646"/>
              <w:rPr>
                <w:rFonts w:hint="eastAsia"/>
              </w:rPr>
            </w:pPr>
            <w:r>
              <w:rPr>
                <w:rFonts w:hint="eastAsia"/>
              </w:rPr>
              <w:t xml:space="preserve">注：1.本项满分5分，需自行拟制业绩汇总表。</w:t>
            </w:r>
            <w:r/>
          </w:p>
          <w:p>
            <w:pPr>
              <w:pStyle w:val="646"/>
              <w:rPr>
                <w:rFonts w:hint="eastAsia"/>
              </w:rPr>
            </w:pPr>
            <w:r>
              <w:rPr>
                <w:rFonts w:hint="eastAsia"/>
              </w:rPr>
              <w:t xml:space="preserve">2.需提供合同原件扫描件，未提供或提供不全不得分。</w:t>
            </w:r>
            <w:r/>
          </w:p>
        </w:tc>
      </w:tr>
    </w:tbl>
    <w:p>
      <w:pPr>
        <w:pStyle w:val="669"/>
        <w:spacing w:before="120" w:beforeAutospacing="0" w:after="120" w:afterAutospacing="0" w:line="360" w:lineRule="auto"/>
        <w:rPr>
          <w:color w:val="auto"/>
          <w:highlight w:val="none"/>
        </w:rPr>
      </w:pPr>
      <w:r>
        <w:rPr>
          <w:color w:val="auto"/>
          <w:highlight w:val="none"/>
        </w:rPr>
      </w:r>
      <w:r/>
    </w:p>
    <w:p>
      <w:pPr>
        <w:pStyle w:val="669"/>
        <w:jc w:val="both"/>
        <w:spacing w:beforeAutospacing="0" w:afterAutospacing="0"/>
        <w:rPr>
          <w:color w:val="auto"/>
          <w:highlight w:val="none"/>
        </w:rPr>
      </w:pPr>
      <w:r>
        <w:rPr>
          <w:color w:val="auto"/>
          <w:highlight w:val="none"/>
        </w:rPr>
        <w:t xml:space="preserve"> </w:t>
      </w:r>
      <w:r/>
    </w:p>
    <w:p>
      <w:pPr>
        <w:ind w:firstLine="880"/>
        <w:rPr>
          <w:rFonts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669"/>
        <w:jc w:val="center"/>
        <w:keepNext/>
        <w:spacing w:beforeAutospacing="0" w:afterAutospacing="0"/>
        <w:rPr>
          <w:rFonts w:ascii="黑体" w:hAnsi="宋体" w:eastAsia="黑体" w:cs="黑体"/>
          <w:color w:val="auto"/>
          <w:sz w:val="44"/>
          <w:szCs w:val="44"/>
          <w:highlight w:val="none"/>
        </w:rPr>
        <w:outlineLvl w:val="0"/>
      </w:pPr>
      <w:r/>
      <w:bookmarkStart w:id="39" w:name="_Toc13"/>
      <w:r>
        <w:rPr>
          <w:rFonts w:hint="eastAsia" w:ascii="黑体" w:hAnsi="宋体" w:eastAsia="黑体" w:cs="黑体"/>
          <w:color w:val="auto"/>
          <w:sz w:val="44"/>
          <w:szCs w:val="44"/>
          <w:highlight w:val="none"/>
        </w:rPr>
        <w:t xml:space="preserve">第六章  投标文件格式</w:t>
      </w:r>
      <w:bookmarkEnd w:id="39"/>
      <w:r/>
      <w:r/>
    </w:p>
    <w:p>
      <w:pPr>
        <w:pStyle w:val="669"/>
        <w:ind w:firstLine="880"/>
        <w:jc w:val="center"/>
        <w:keepNext/>
        <w:spacing w:beforeAutospacing="0" w:afterAutospacing="0"/>
        <w:rPr>
          <w:rFonts w:ascii="黑体" w:hAnsi="宋体" w:eastAsia="黑体" w:cs="黑体"/>
          <w:color w:val="auto"/>
          <w:sz w:val="44"/>
          <w:szCs w:val="44"/>
          <w:highlight w:val="none"/>
        </w:rPr>
      </w:pPr>
      <w:r>
        <w:rPr>
          <w:rFonts w:ascii="黑体" w:hAnsi="宋体" w:eastAsia="黑体" w:cs="黑体"/>
          <w:color w:val="auto"/>
          <w:sz w:val="44"/>
          <w:szCs w:val="44"/>
          <w:highlight w:val="none"/>
        </w:rPr>
      </w:r>
      <w:r/>
    </w:p>
    <w:p>
      <w:pPr>
        <w:pStyle w:val="669"/>
        <w:ind w:firstLine="880"/>
        <w:jc w:val="center"/>
        <w:keepNext/>
        <w:spacing w:beforeAutospacing="0" w:afterAutospacing="0"/>
        <w:rPr>
          <w:rFonts w:ascii="黑体" w:hAnsi="宋体" w:eastAsia="黑体" w:cs="黑体"/>
          <w:color w:val="auto"/>
          <w:sz w:val="44"/>
          <w:szCs w:val="44"/>
          <w:highlight w:val="none"/>
        </w:rPr>
      </w:pPr>
      <w:r>
        <w:rPr>
          <w:rFonts w:ascii="黑体" w:hAnsi="宋体" w:eastAsia="黑体" w:cs="黑体"/>
          <w:color w:val="auto"/>
          <w:sz w:val="44"/>
          <w:szCs w:val="44"/>
          <w:highlight w:val="none"/>
        </w:rPr>
      </w:r>
      <w:r/>
    </w:p>
    <w:p>
      <w:pPr>
        <w:pStyle w:val="669"/>
        <w:ind w:firstLine="880"/>
        <w:jc w:val="center"/>
        <w:keepNext/>
        <w:spacing w:beforeAutospacing="0" w:afterAutospacing="0"/>
        <w:rPr>
          <w:rFonts w:ascii="黑体" w:hAnsi="宋体" w:eastAsia="黑体" w:cs="黑体"/>
          <w:color w:val="auto"/>
          <w:sz w:val="44"/>
          <w:szCs w:val="44"/>
          <w:highlight w:val="none"/>
        </w:rPr>
      </w:pPr>
      <w:r>
        <w:rPr>
          <w:rFonts w:ascii="黑体" w:hAnsi="宋体" w:eastAsia="黑体" w:cs="黑体"/>
          <w:color w:val="auto"/>
          <w:sz w:val="44"/>
          <w:szCs w:val="44"/>
          <w:highlight w:val="none"/>
        </w:rPr>
      </w:r>
      <w:r/>
    </w:p>
    <w:p>
      <w:pPr>
        <w:pStyle w:val="669"/>
        <w:ind w:firstLine="880"/>
        <w:jc w:val="center"/>
        <w:keepNext/>
        <w:spacing w:beforeAutospacing="0" w:afterAutospacing="0"/>
        <w:rPr>
          <w:color w:val="auto"/>
          <w:highlight w:val="none"/>
        </w:rPr>
      </w:pPr>
      <w:r>
        <w:rPr>
          <w:rFonts w:hint="eastAsia" w:ascii="黑体" w:hAnsi="宋体" w:eastAsia="黑体" w:cs="黑体"/>
          <w:color w:val="auto"/>
          <w:sz w:val="44"/>
          <w:szCs w:val="44"/>
          <w:highlight w:val="none"/>
        </w:rPr>
        <w:t xml:space="preserve"> </w:t>
      </w:r>
      <w:r/>
    </w:p>
    <w:p>
      <w:pPr>
        <w:pStyle w:val="669"/>
        <w:jc w:val="center"/>
        <w:spacing w:beforeAutospacing="0" w:afterAutospacing="0"/>
        <w:rPr>
          <w:color w:val="auto"/>
          <w:highlight w:val="none"/>
        </w:rPr>
      </w:pPr>
      <w:r/>
      <w:bookmarkStart w:id="40" w:name="_Hlt26955039"/>
      <w:r/>
      <w:bookmarkEnd w:id="40"/>
      <w:r/>
      <w:bookmarkStart w:id="41" w:name="_Hlt26671244"/>
      <w:r/>
      <w:bookmarkEnd w:id="41"/>
      <w:r>
        <w:rPr>
          <w:rFonts w:hint="eastAsia" w:ascii="宋体" w:hAnsi="宋体" w:eastAsia="宋体" w:cs="宋体"/>
          <w:b/>
          <w:color w:val="auto"/>
          <w:sz w:val="72"/>
          <w:szCs w:val="72"/>
          <w:highlight w:val="none"/>
        </w:rPr>
        <w:t xml:space="preserve">投  标  文  件</w:t>
      </w:r>
      <w:r/>
    </w:p>
    <w:p>
      <w:pPr>
        <w:pStyle w:val="669"/>
        <w:jc w:val="center"/>
        <w:spacing w:beforeAutospacing="0" w:afterAutospacing="0"/>
        <w:rPr>
          <w:color w:val="auto"/>
          <w:highlight w:val="none"/>
        </w:rPr>
      </w:pPr>
      <w:r>
        <w:rPr>
          <w:color w:val="auto"/>
          <w:highlight w:val="none"/>
        </w:rPr>
        <w:t xml:space="preserve"> </w:t>
      </w:r>
      <w:r/>
    </w:p>
    <w:p>
      <w:pPr>
        <w:pStyle w:val="669"/>
        <w:jc w:val="center"/>
        <w:spacing w:beforeAutospacing="0" w:afterAutospacing="0"/>
        <w:rPr>
          <w:color w:val="auto"/>
          <w:highlight w:val="none"/>
        </w:rPr>
      </w:pPr>
      <w:r>
        <w:rPr>
          <w:color w:val="auto"/>
          <w:highlight w:val="none"/>
        </w:rPr>
        <w:t xml:space="preserve"> </w:t>
      </w:r>
      <w:r/>
    </w:p>
    <w:p>
      <w:pPr>
        <w:pStyle w:val="669"/>
        <w:jc w:val="center"/>
        <w:spacing w:beforeAutospacing="0" w:afterAutospacing="0"/>
        <w:rPr>
          <w:color w:val="auto"/>
          <w:highlight w:val="none"/>
        </w:rPr>
      </w:pPr>
      <w:r>
        <w:rPr>
          <w:color w:val="auto"/>
          <w:highlight w:val="none"/>
        </w:rPr>
        <w:t xml:space="preserve"> </w:t>
      </w:r>
      <w:r/>
    </w:p>
    <w:p>
      <w:pPr>
        <w:pStyle w:val="669"/>
        <w:jc w:val="center"/>
        <w:spacing w:beforeAutospacing="0" w:afterAutospacing="0"/>
        <w:rPr>
          <w:color w:val="auto"/>
          <w:highlight w:val="none"/>
        </w:rPr>
      </w:pPr>
      <w:r>
        <w:rPr>
          <w:color w:val="auto"/>
          <w:highlight w:val="none"/>
        </w:rPr>
      </w:r>
      <w:r/>
    </w:p>
    <w:p>
      <w:pPr>
        <w:pStyle w:val="669"/>
        <w:jc w:val="center"/>
        <w:spacing w:beforeAutospacing="0" w:afterAutospacing="0"/>
        <w:rPr>
          <w:color w:val="auto"/>
          <w:highlight w:val="none"/>
        </w:rPr>
      </w:pPr>
      <w:r>
        <w:rPr>
          <w:color w:val="auto"/>
          <w:highlight w:val="none"/>
        </w:rPr>
      </w:r>
      <w:r/>
    </w:p>
    <w:p>
      <w:pPr>
        <w:pStyle w:val="669"/>
        <w:jc w:val="center"/>
        <w:spacing w:beforeAutospacing="0" w:afterAutospacing="0"/>
        <w:rPr>
          <w:color w:val="auto"/>
          <w:highlight w:val="none"/>
        </w:rPr>
      </w:pPr>
      <w:r>
        <w:rPr>
          <w:color w:val="auto"/>
          <w:highlight w:val="none"/>
        </w:rPr>
      </w:r>
      <w:r/>
    </w:p>
    <w:p>
      <w:pPr>
        <w:pStyle w:val="669"/>
        <w:jc w:val="center"/>
        <w:spacing w:beforeAutospacing="0" w:afterAutospacing="0"/>
        <w:rPr>
          <w:color w:val="auto"/>
          <w:highlight w:val="none"/>
        </w:rPr>
      </w:pPr>
      <w:r>
        <w:rPr>
          <w:color w:val="auto"/>
          <w:highlight w:val="none"/>
        </w:rPr>
      </w:r>
      <w:r/>
    </w:p>
    <w:p>
      <w:pPr>
        <w:pStyle w:val="669"/>
        <w:jc w:val="center"/>
        <w:spacing w:beforeAutospacing="0" w:afterAutospacing="0"/>
        <w:rPr>
          <w:color w:val="auto"/>
          <w:highlight w:val="none"/>
        </w:rPr>
      </w:pPr>
      <w:r>
        <w:rPr>
          <w:color w:val="auto"/>
          <w:highlight w:val="none"/>
        </w:rPr>
      </w:r>
      <w:r/>
    </w:p>
    <w:p>
      <w:pPr>
        <w:pStyle w:val="669"/>
        <w:jc w:val="center"/>
        <w:spacing w:beforeAutospacing="0" w:afterAutospacing="0"/>
        <w:rPr>
          <w:color w:val="auto"/>
          <w:highlight w:val="none"/>
        </w:rPr>
      </w:pPr>
      <w:r>
        <w:rPr>
          <w:color w:val="auto"/>
          <w:highlight w:val="none"/>
        </w:rPr>
      </w:r>
      <w:r/>
    </w:p>
    <w:p>
      <w:pPr>
        <w:pStyle w:val="669"/>
        <w:jc w:val="center"/>
        <w:spacing w:beforeAutospacing="0" w:afterAutospacing="0"/>
        <w:rPr>
          <w:color w:val="auto"/>
          <w:highlight w:val="none"/>
        </w:rPr>
      </w:pPr>
      <w:r>
        <w:rPr>
          <w:color w:val="auto"/>
          <w:highlight w:val="none"/>
        </w:rPr>
      </w:r>
      <w:r/>
    </w:p>
    <w:p>
      <w:pPr>
        <w:pStyle w:val="669"/>
        <w:jc w:val="center"/>
        <w:spacing w:beforeAutospacing="0" w:afterAutospacing="0"/>
        <w:rPr>
          <w:color w:val="auto"/>
          <w:highlight w:val="none"/>
        </w:rPr>
      </w:pPr>
      <w:r>
        <w:rPr>
          <w:color w:val="auto"/>
          <w:highlight w:val="none"/>
        </w:rPr>
      </w:r>
      <w:r/>
    </w:p>
    <w:p>
      <w:pPr>
        <w:pStyle w:val="669"/>
        <w:jc w:val="center"/>
        <w:spacing w:beforeAutospacing="0" w:afterAutospacing="0"/>
        <w:rPr>
          <w:color w:val="auto"/>
          <w:highlight w:val="none"/>
        </w:rPr>
      </w:pPr>
      <w:r>
        <w:rPr>
          <w:color w:val="auto"/>
          <w:highlight w:val="none"/>
        </w:rPr>
      </w:r>
      <w:r/>
    </w:p>
    <w:p>
      <w:pPr>
        <w:pStyle w:val="669"/>
        <w:jc w:val="center"/>
        <w:spacing w:beforeAutospacing="0" w:afterAutospacing="0"/>
        <w:rPr>
          <w:color w:val="auto"/>
          <w:highlight w:val="none"/>
        </w:rPr>
      </w:pPr>
      <w:r>
        <w:rPr>
          <w:color w:val="auto"/>
          <w:highlight w:val="none"/>
        </w:rPr>
      </w:r>
      <w:r/>
    </w:p>
    <w:p>
      <w:pPr>
        <w:pStyle w:val="669"/>
        <w:jc w:val="center"/>
        <w:spacing w:beforeAutospacing="0" w:afterAutospacing="0"/>
        <w:rPr>
          <w:color w:val="auto"/>
          <w:highlight w:val="none"/>
        </w:rPr>
      </w:pPr>
      <w:r>
        <w:rPr>
          <w:color w:val="auto"/>
          <w:highlight w:val="none"/>
        </w:rPr>
      </w:r>
      <w:r/>
    </w:p>
    <w:p>
      <w:pPr>
        <w:pStyle w:val="669"/>
        <w:jc w:val="center"/>
        <w:spacing w:beforeAutospacing="0" w:afterAutospacing="0"/>
        <w:rPr>
          <w:color w:val="auto"/>
          <w:highlight w:val="none"/>
        </w:rPr>
      </w:pPr>
      <w:r>
        <w:rPr>
          <w:color w:val="auto"/>
          <w:highlight w:val="none"/>
        </w:rPr>
      </w:r>
      <w:r/>
    </w:p>
    <w:p>
      <w:pPr>
        <w:pStyle w:val="669"/>
        <w:jc w:val="center"/>
        <w:spacing w:beforeAutospacing="0" w:afterAutospacing="0"/>
        <w:rPr>
          <w:color w:val="auto"/>
          <w:highlight w:val="none"/>
        </w:rPr>
      </w:pPr>
      <w:r>
        <w:rPr>
          <w:color w:val="auto"/>
          <w:highlight w:val="none"/>
        </w:rPr>
      </w:r>
      <w:r/>
    </w:p>
    <w:p>
      <w:pPr>
        <w:pStyle w:val="669"/>
        <w:jc w:val="center"/>
        <w:spacing w:beforeAutospacing="0" w:afterAutospacing="0"/>
        <w:rPr>
          <w:color w:val="auto"/>
          <w:highlight w:val="none"/>
        </w:rPr>
      </w:pPr>
      <w:r>
        <w:rPr>
          <w:color w:val="auto"/>
          <w:highlight w:val="none"/>
        </w:rPr>
      </w:r>
      <w:r/>
    </w:p>
    <w:p>
      <w:pPr>
        <w:pStyle w:val="669"/>
        <w:jc w:val="center"/>
        <w:spacing w:beforeAutospacing="0" w:afterAutospacing="0"/>
        <w:rPr>
          <w:color w:val="auto"/>
          <w:highlight w:val="none"/>
        </w:rPr>
      </w:pPr>
      <w:r>
        <w:rPr>
          <w:color w:val="auto"/>
          <w:highlight w:val="none"/>
        </w:rPr>
      </w:r>
      <w:r/>
    </w:p>
    <w:p>
      <w:pPr>
        <w:pStyle w:val="669"/>
        <w:jc w:val="center"/>
        <w:spacing w:beforeAutospacing="0" w:afterAutospacing="0"/>
        <w:rPr>
          <w:color w:val="auto"/>
          <w:highlight w:val="none"/>
        </w:rPr>
      </w:pPr>
      <w:r>
        <w:rPr>
          <w:color w:val="auto"/>
          <w:highlight w:val="none"/>
        </w:rPr>
      </w:r>
      <w:r/>
    </w:p>
    <w:p>
      <w:pPr>
        <w:pStyle w:val="669"/>
        <w:jc w:val="center"/>
        <w:spacing w:beforeAutospacing="0" w:afterAutospacing="0"/>
        <w:rPr>
          <w:color w:val="auto"/>
          <w:highlight w:val="none"/>
        </w:rPr>
      </w:pPr>
      <w:r>
        <w:rPr>
          <w:color w:val="auto"/>
          <w:highlight w:val="none"/>
        </w:rPr>
      </w:r>
      <w:r/>
    </w:p>
    <w:p>
      <w:pPr>
        <w:pStyle w:val="669"/>
        <w:jc w:val="center"/>
        <w:spacing w:beforeAutospacing="0" w:afterAutospacing="0"/>
        <w:rPr>
          <w:color w:val="auto"/>
          <w:highlight w:val="none"/>
        </w:rPr>
      </w:pPr>
      <w:r>
        <w:rPr>
          <w:color w:val="auto"/>
          <w:highlight w:val="none"/>
        </w:rPr>
        <w:t xml:space="preserve"> </w:t>
      </w:r>
      <w:r/>
    </w:p>
    <w:p>
      <w:pPr>
        <w:pStyle w:val="669"/>
        <w:jc w:val="center"/>
        <w:spacing w:beforeAutospacing="0" w:afterAutospacing="0"/>
        <w:rPr>
          <w:color w:val="auto"/>
          <w:highlight w:val="none"/>
        </w:rPr>
      </w:pPr>
      <w:r>
        <w:rPr>
          <w:color w:val="auto"/>
          <w:highlight w:val="none"/>
        </w:rPr>
        <w:t xml:space="preserve"> </w:t>
      </w:r>
      <w:r/>
    </w:p>
    <w:p>
      <w:pPr>
        <w:pStyle w:val="669"/>
        <w:ind w:firstLine="723"/>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名 称：</w:t>
      </w:r>
      <w:r>
        <w:rPr>
          <w:rFonts w:hint="eastAsia" w:ascii="宋体" w:hAnsi="宋体" w:eastAsia="宋体" w:cs="宋体"/>
          <w:b/>
          <w:color w:val="auto"/>
          <w:sz w:val="36"/>
          <w:szCs w:val="36"/>
          <w:highlight w:val="none"/>
          <w:u w:val="single"/>
        </w:rPr>
        <w:t xml:space="preserve">               </w:t>
      </w:r>
      <w:r/>
    </w:p>
    <w:p>
      <w:pPr>
        <w:pStyle w:val="669"/>
        <w:ind w:firstLine="723"/>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编 号：</w:t>
      </w:r>
      <w:r>
        <w:rPr>
          <w:rFonts w:hint="eastAsia" w:ascii="宋体" w:hAnsi="宋体" w:eastAsia="宋体" w:cs="宋体"/>
          <w:b/>
          <w:color w:val="auto"/>
          <w:sz w:val="36"/>
          <w:szCs w:val="36"/>
          <w:highlight w:val="none"/>
          <w:u w:val="single"/>
        </w:rPr>
        <w:t xml:space="preserve">               </w:t>
      </w:r>
      <w:r/>
    </w:p>
    <w:p>
      <w:pPr>
        <w:pStyle w:val="669"/>
        <w:ind w:firstLine="723"/>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投标人名称 ：</w:t>
      </w:r>
      <w:r>
        <w:rPr>
          <w:rFonts w:hint="eastAsia" w:ascii="宋体" w:hAnsi="宋体" w:eastAsia="宋体" w:cs="宋体"/>
          <w:b/>
          <w:color w:val="auto"/>
          <w:sz w:val="36"/>
          <w:szCs w:val="36"/>
          <w:highlight w:val="none"/>
          <w:u w:val="single"/>
        </w:rPr>
        <w:t xml:space="preserve">（加盖CA电子公章）        </w:t>
      </w:r>
      <w:r/>
    </w:p>
    <w:p>
      <w:pPr>
        <w:pStyle w:val="669"/>
        <w:ind w:firstLine="723"/>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日   期 ：</w:t>
      </w:r>
      <w:r>
        <w:rPr>
          <w:rFonts w:hint="eastAsia" w:ascii="宋体" w:hAnsi="宋体" w:eastAsia="宋体" w:cs="宋体"/>
          <w:b/>
          <w:color w:val="auto"/>
          <w:sz w:val="36"/>
          <w:szCs w:val="36"/>
          <w:highlight w:val="none"/>
          <w:u w:val="single"/>
        </w:rPr>
        <w:t xml:space="preserve">                     </w:t>
      </w:r>
      <w:r/>
    </w:p>
    <w:p>
      <w:pPr>
        <w:pStyle w:val="669"/>
        <w:jc w:val="center"/>
        <w:spacing w:beforeAutospacing="0" w:afterAutospacing="0" w:line="0" w:lineRule="atLeast"/>
        <w:rPr>
          <w:color w:val="auto"/>
          <w:highlight w:val="none"/>
        </w:rPr>
      </w:pPr>
      <w:r>
        <w:rPr>
          <w:color w:val="auto"/>
          <w:highlight w:val="none"/>
        </w:rPr>
        <w:t xml:space="preserve"> </w:t>
      </w:r>
      <w:r/>
    </w:p>
    <w:p>
      <w:pPr>
        <w:pStyle w:val="669"/>
        <w:jc w:val="both"/>
        <w:spacing w:beforeAutospacing="0" w:afterAutospacing="0" w:line="0" w:lineRule="atLeast"/>
        <w:rPr>
          <w:color w:val="auto"/>
          <w:highlight w:val="none"/>
        </w:rPr>
      </w:pPr>
      <w:r>
        <w:rPr>
          <w:color w:val="auto"/>
          <w:highlight w:val="none"/>
        </w:rPr>
        <w:t xml:space="preserve"> </w:t>
      </w:r>
      <w:r/>
    </w:p>
    <w:p>
      <w:pPr>
        <w:ind w:firstLine="643"/>
        <w:rPr>
          <w:rFonts w:ascii="宋体" w:hAnsi="宋体"/>
          <w:b/>
          <w:bCs/>
          <w:color w:val="auto"/>
          <w:sz w:val="32"/>
          <w:szCs w:val="32"/>
          <w:highlight w:val="none"/>
        </w:rPr>
      </w:pPr>
      <w:r/>
      <w:bookmarkStart w:id="42" w:name="_格式3__银行出具的资信证明"/>
      <w:r/>
      <w:bookmarkStart w:id="43" w:name="_Hlt26609389"/>
      <w:r/>
      <w:bookmarkStart w:id="44" w:name="_Hlt26955070"/>
      <w:r/>
      <w:bookmarkStart w:id="45" w:name="_Hlt26955054"/>
      <w:r/>
      <w:bookmarkStart w:id="46" w:name="_Hlt26671374"/>
      <w:r/>
      <w:bookmarkStart w:id="47" w:name="_Hlt26671380"/>
      <w:r/>
      <w:bookmarkStart w:id="48" w:name="_Hlt26955066"/>
      <w:r/>
      <w:bookmarkStart w:id="49" w:name="_格式2__法定代表人授权书"/>
      <w:r>
        <w:rPr>
          <w:rFonts w:hint="eastAsia" w:ascii="宋体" w:hAnsi="宋体"/>
          <w:b/>
          <w:bCs/>
          <w:color w:val="auto"/>
          <w:sz w:val="32"/>
          <w:szCs w:val="32"/>
          <w:highlight w:val="none"/>
        </w:rPr>
        <w:br w:type="page" w:clear="all"/>
      </w:r>
      <w:r/>
    </w:p>
    <w:p>
      <w:pPr>
        <w:ind w:firstLine="643"/>
        <w:jc w:val="center"/>
        <w:rPr>
          <w:rFonts w:ascii="宋体" w:hAnsi="宋体"/>
          <w:b/>
          <w:bCs/>
          <w:color w:val="auto"/>
          <w:sz w:val="32"/>
          <w:szCs w:val="32"/>
          <w:highlight w:val="none"/>
        </w:rPr>
      </w:pPr>
      <w:r>
        <w:rPr>
          <w:rFonts w:hint="eastAsia" w:ascii="宋体" w:hAnsi="宋体"/>
          <w:b/>
          <w:bCs/>
          <w:color w:val="auto"/>
          <w:sz w:val="32"/>
          <w:szCs w:val="32"/>
          <w:highlight w:val="none"/>
        </w:rPr>
        <w:t xml:space="preserve">投标文件目录</w:t>
      </w:r>
      <w:r/>
    </w:p>
    <w:p>
      <w:pPr>
        <w:ind w:firstLine="643"/>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44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一、开标一览表（系统固定格式）</w:t>
      </w:r>
      <w:r/>
    </w:p>
    <w:p>
      <w:pPr>
        <w:ind w:firstLine="480"/>
        <w:spacing w:line="44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二、资格审查资料</w:t>
      </w:r>
      <w:r/>
    </w:p>
    <w:p>
      <w:pPr>
        <w:ind w:firstLine="480"/>
        <w:spacing w:line="44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（1）法人或者其他组织的营业执照等证明文件，自然人的身份证明</w:t>
      </w:r>
      <w:r/>
    </w:p>
    <w:p>
      <w:pPr>
        <w:ind w:firstLine="480"/>
        <w:spacing w:line="44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（2）上一年度的财务状况报表（至少提供资产负债表、利润表、现金流量表，投标人成立不满一年无需提供）</w:t>
      </w:r>
      <w:r/>
    </w:p>
    <w:p>
      <w:pPr>
        <w:ind w:firstLine="480"/>
        <w:spacing w:line="44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4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（4）具备履行合同所必需的设备和专业技术能力的书面声明</w:t>
      </w:r>
      <w:r/>
    </w:p>
    <w:p>
      <w:pPr>
        <w:ind w:firstLine="480"/>
        <w:spacing w:line="44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（5）参加政府采购活动前 3 年内在经营活动中没有重大违法记录的书面声明</w:t>
      </w:r>
      <w:r/>
    </w:p>
    <w:p>
      <w:pPr>
        <w:ind w:firstLine="480"/>
        <w:spacing w:line="44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（6）投标人法定代表人身份证明和投标文件签署授权委托书（另附法定代表人和被授权人的身份证复印件或扫描件）；</w:t>
      </w:r>
      <w:r/>
    </w:p>
    <w:p>
      <w:pPr>
        <w:ind w:firstLine="480"/>
        <w:spacing w:line="44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（7）投标人为被授权人缴纳的社会养老保险证明；</w:t>
      </w:r>
      <w:r/>
    </w:p>
    <w:p>
      <w:pPr>
        <w:ind w:firstLine="480"/>
        <w:spacing w:line="44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（8）与资格审查有关的其他资料（如有）。</w:t>
      </w:r>
      <w:r/>
    </w:p>
    <w:p>
      <w:pPr>
        <w:ind w:firstLine="480"/>
        <w:spacing w:line="44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三、符合性资料</w:t>
      </w:r>
      <w:r/>
    </w:p>
    <w:p>
      <w:pPr>
        <w:ind w:firstLine="480"/>
        <w:spacing w:line="44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（1）投标报价明细表；</w:t>
      </w:r>
      <w:r/>
    </w:p>
    <w:p>
      <w:pPr>
        <w:ind w:firstLine="480"/>
        <w:spacing w:line="44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（2）投标函；</w:t>
      </w:r>
      <w:r/>
    </w:p>
    <w:p>
      <w:pPr>
        <w:ind w:firstLine="480"/>
        <w:spacing w:line="44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（3）所供服务（服务附带的产品）内容及服务要求偏离表；</w:t>
      </w:r>
      <w:r/>
    </w:p>
    <w:p>
      <w:pPr>
        <w:ind w:firstLine="480"/>
        <w:spacing w:line="44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（4）投标人的服务承诺；</w:t>
      </w:r>
      <w:r/>
    </w:p>
    <w:p>
      <w:pPr>
        <w:ind w:firstLine="480"/>
        <w:spacing w:line="44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（5）中小企业声明函；（如有）</w:t>
      </w:r>
      <w:r/>
    </w:p>
    <w:p>
      <w:pPr>
        <w:ind w:firstLine="480"/>
        <w:spacing w:line="44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（6）残疾人福利性单位声明函；（如有）</w:t>
      </w:r>
      <w:r/>
    </w:p>
    <w:p>
      <w:pPr>
        <w:ind w:firstLine="480"/>
        <w:spacing w:line="44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（7）联合体协议（如有）；</w:t>
      </w:r>
      <w:r/>
    </w:p>
    <w:p>
      <w:pPr>
        <w:ind w:firstLine="480"/>
        <w:spacing w:line="44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（8）盐城市政府采购事前信用承诺书；</w:t>
      </w:r>
      <w:r/>
    </w:p>
    <w:p>
      <w:pPr>
        <w:ind w:firstLine="480"/>
        <w:spacing w:line="44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四、综合评审相关资料</w:t>
      </w:r>
      <w:r/>
    </w:p>
    <w:p>
      <w:pPr>
        <w:ind w:firstLine="480"/>
        <w:spacing w:line="44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五、价格折扣文件（如有）</w:t>
      </w:r>
      <w:r/>
    </w:p>
    <w:p>
      <w:pPr>
        <w:ind w:firstLine="640"/>
        <w:jc w:val="center"/>
        <w:rPr>
          <w:rFonts w:ascii="黑体" w:eastAsia="黑体"/>
          <w:b/>
          <w:bCs/>
          <w:color w:val="auto"/>
          <w:sz w:val="32"/>
          <w:szCs w:val="32"/>
          <w:highlight w:val="none"/>
        </w:rPr>
      </w:pPr>
      <w:r>
        <w:rPr>
          <w:rFonts w:hint="eastAsia" w:ascii="黑体" w:hAnsi="黑体" w:eastAsia="黑体"/>
          <w:i/>
          <w:color w:val="auto"/>
          <w:sz w:val="32"/>
          <w:szCs w:val="32"/>
          <w:highlight w:val="none"/>
          <w:u w:val="single"/>
        </w:rPr>
        <w:br w:type="page" w:clear="all"/>
      </w:r>
      <w:r>
        <w:rPr>
          <w:rFonts w:hint="eastAsia" w:ascii="黑体" w:hAnsi="Times New Roman" w:eastAsia="黑体" w:cs="Times New Roman"/>
          <w:b/>
          <w:bCs/>
          <w:color w:val="auto"/>
          <w:sz w:val="32"/>
          <w:szCs w:val="32"/>
          <w:highlight w:val="none"/>
        </w:rPr>
        <w:t xml:space="preserve">1.具有履</w:t>
      </w:r>
      <w:r>
        <w:rPr>
          <w:rFonts w:hint="eastAsia" w:ascii="黑体" w:eastAsia="黑体"/>
          <w:b/>
          <w:bCs/>
          <w:color w:val="auto"/>
          <w:sz w:val="32"/>
          <w:szCs w:val="32"/>
          <w:highlight w:val="none"/>
        </w:rPr>
        <w:t xml:space="preserve">行合同所必需的设备和专业技术能力的书面声明</w:t>
      </w:r>
      <w:r/>
    </w:p>
    <w:p>
      <w:pPr>
        <w:rPr>
          <w:rFonts w:ascii="仿宋_GB2312" w:eastAsia="仿宋_GB2312"/>
          <w:color w:val="auto"/>
          <w:sz w:val="24"/>
          <w:highlight w:val="none"/>
        </w:rPr>
      </w:pPr>
      <w:r>
        <w:rPr>
          <w:rFonts w:ascii="仿宋_GB2312" w:eastAsia="仿宋_GB2312"/>
          <w:color w:val="auto"/>
          <w:sz w:val="24"/>
          <w:highlight w:val="none"/>
        </w:rPr>
      </w:r>
      <w:r/>
    </w:p>
    <w:p>
      <w:pPr>
        <w:ind w:firstLine="480"/>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主要设备有：</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主要专业技术能力有：</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60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60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法定代表人或被授权人（签字）：</w:t>
      </w:r>
      <w:r/>
    </w:p>
    <w:p>
      <w:pPr>
        <w:ind w:firstLine="480"/>
        <w:spacing w:line="60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企业名称（加盖CA电子公章）：</w:t>
      </w:r>
      <w:r/>
    </w:p>
    <w:p>
      <w:pPr>
        <w:ind w:firstLine="480"/>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jc w:val="right"/>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ind w:firstLine="480"/>
        <w:spacing w:line="460" w:lineRule="exact"/>
        <w:rPr>
          <w:rFonts w:ascii="宋体" w:hAnsi="宋体" w:eastAsia="宋体" w:cs="宋体"/>
          <w:bCs/>
          <w:color w:val="auto"/>
          <w:sz w:val="24"/>
          <w:highlight w:val="none"/>
        </w:rPr>
      </w:pPr>
      <w:r>
        <w:rPr>
          <w:rFonts w:ascii="宋体" w:hAnsi="宋体" w:eastAsia="宋体" w:cs="宋体"/>
          <w:bCs/>
          <w:color w:val="auto"/>
          <w:sz w:val="24"/>
          <w:highlight w:val="none"/>
        </w:rPr>
      </w:r>
      <w:r/>
    </w:p>
    <w:p>
      <w:pPr>
        <w:spacing w:line="460" w:lineRule="exact"/>
        <w:rPr>
          <w:rFonts w:ascii="宋体" w:hAnsi="宋体"/>
          <w:bCs/>
          <w:color w:val="auto"/>
          <w:sz w:val="24"/>
          <w:highlight w:val="none"/>
        </w:rPr>
      </w:pPr>
      <w:r>
        <w:rPr>
          <w:rFonts w:hint="eastAsia" w:ascii="宋体" w:hAnsi="宋体"/>
          <w:bCs/>
          <w:color w:val="auto"/>
          <w:sz w:val="24"/>
          <w:highlight w:val="none"/>
        </w:rPr>
        <w:t xml:space="preserve">                                     </w:t>
      </w:r>
      <w:r/>
    </w:p>
    <w:p>
      <w:pPr>
        <w:pStyle w:val="646"/>
        <w:ind w:firstLine="480"/>
        <w:rPr>
          <w:color w:val="auto"/>
          <w:highlight w:val="none"/>
        </w:rPr>
      </w:pPr>
      <w:r>
        <w:rPr>
          <w:color w:val="auto"/>
          <w:highlight w:val="none"/>
        </w:rPr>
      </w:r>
      <w:r/>
    </w:p>
    <w:p>
      <w:pPr>
        <w:ind w:firstLine="640"/>
        <w:jc w:val="center"/>
        <w:spacing w:line="600" w:lineRule="exact"/>
        <w:rPr>
          <w:rFonts w:ascii="黑体" w:eastAsia="黑体"/>
          <w:b/>
          <w:bCs/>
          <w:color w:val="auto"/>
          <w:sz w:val="32"/>
          <w:szCs w:val="32"/>
          <w:highlight w:val="none"/>
        </w:rPr>
      </w:pPr>
      <w:r>
        <w:rPr>
          <w:rFonts w:hint="eastAsia" w:ascii="黑体" w:hAnsi="黑体" w:eastAsia="黑体"/>
          <w:i/>
          <w:color w:val="auto"/>
          <w:sz w:val="32"/>
          <w:szCs w:val="32"/>
          <w:highlight w:val="none"/>
          <w:u w:val="single"/>
        </w:rPr>
        <w:br w:type="page" w:clear="all"/>
      </w:r>
      <w:r>
        <w:rPr>
          <w:rFonts w:hint="eastAsia" w:ascii="黑体" w:hAnsi="Calibri" w:eastAsia="黑体" w:cs="Times New Roman"/>
          <w:b/>
          <w:bCs/>
          <w:color w:val="auto"/>
          <w:sz w:val="32"/>
          <w:szCs w:val="32"/>
          <w:highlight w:val="none"/>
        </w:rPr>
        <w:t xml:space="preserve">2.参加政</w:t>
      </w:r>
      <w:r>
        <w:rPr>
          <w:rFonts w:hint="eastAsia" w:ascii="黑体" w:eastAsia="黑体"/>
          <w:b/>
          <w:bCs/>
          <w:color w:val="auto"/>
          <w:sz w:val="32"/>
          <w:szCs w:val="32"/>
          <w:highlight w:val="none"/>
        </w:rPr>
        <w:t xml:space="preserve">府采购活动前3年内在经营活动中</w:t>
      </w:r>
      <w:r/>
    </w:p>
    <w:p>
      <w:pPr>
        <w:ind w:firstLine="643"/>
        <w:jc w:val="center"/>
        <w:spacing w:line="600" w:lineRule="exact"/>
        <w:rPr>
          <w:rFonts w:ascii="黑体" w:eastAsia="黑体"/>
          <w:b/>
          <w:bCs/>
          <w:color w:val="auto"/>
          <w:sz w:val="32"/>
          <w:szCs w:val="32"/>
          <w:highlight w:val="none"/>
        </w:rPr>
      </w:pPr>
      <w:r>
        <w:rPr>
          <w:rFonts w:hint="eastAsia" w:ascii="黑体" w:eastAsia="黑体"/>
          <w:b/>
          <w:bCs/>
          <w:color w:val="auto"/>
          <w:sz w:val="32"/>
          <w:szCs w:val="32"/>
          <w:highlight w:val="none"/>
        </w:rPr>
        <w:t xml:space="preserve">没有重大违法记录的书面声明</w:t>
      </w:r>
      <w:r/>
    </w:p>
    <w:p>
      <w:pPr>
        <w:spacing w:line="600" w:lineRule="exact"/>
        <w:rPr>
          <w:rFonts w:ascii="仿宋_GB2312" w:eastAsia="仿宋_GB2312"/>
          <w:color w:val="auto"/>
          <w:sz w:val="24"/>
          <w:highlight w:val="none"/>
        </w:rPr>
      </w:pPr>
      <w:r>
        <w:rPr>
          <w:rFonts w:ascii="仿宋_GB2312" w:eastAsia="仿宋_GB2312"/>
          <w:color w:val="auto"/>
          <w:sz w:val="24"/>
          <w:highlight w:val="none"/>
        </w:rPr>
      </w:r>
      <w:r/>
    </w:p>
    <w:p>
      <w:pPr>
        <w:ind w:firstLine="480"/>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60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spacing w:line="60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法定代表人或被授权人（签字）：</w:t>
      </w:r>
      <w:r/>
    </w:p>
    <w:p>
      <w:pPr>
        <w:ind w:firstLine="480"/>
        <w:spacing w:line="60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企业名称（加盖CA电子公章）：</w:t>
      </w:r>
      <w:r/>
    </w:p>
    <w:p>
      <w:pPr>
        <w:ind w:firstLine="480"/>
        <w:spacing w:line="60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jc w:val="right"/>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spacing w:line="460" w:lineRule="exact"/>
        <w:rPr>
          <w:rFonts w:ascii="宋体" w:hAnsi="宋体"/>
          <w:bCs/>
          <w:color w:val="auto"/>
          <w:sz w:val="24"/>
          <w:highlight w:val="none"/>
        </w:rPr>
      </w:pPr>
      <w:r>
        <w:rPr>
          <w:rFonts w:ascii="宋体" w:hAnsi="宋体"/>
          <w:bCs/>
          <w:color w:val="auto"/>
          <w:sz w:val="24"/>
          <w:highlight w:val="none"/>
        </w:rPr>
      </w:r>
      <w:r/>
    </w:p>
    <w:p>
      <w:pPr>
        <w:ind w:firstLine="640"/>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ind w:firstLine="640"/>
        <w:jc w:val="center"/>
        <w:spacing w:line="600" w:lineRule="exact"/>
        <w:rPr>
          <w:rFonts w:ascii="黑体" w:eastAsia="黑体"/>
          <w:b/>
          <w:bCs/>
          <w:color w:val="auto"/>
          <w:sz w:val="32"/>
          <w:szCs w:val="32"/>
          <w:highlight w:val="none"/>
        </w:rPr>
        <w:outlineLvl w:val="1"/>
      </w:pPr>
      <w:r>
        <w:rPr>
          <w:rFonts w:hint="eastAsia" w:ascii="黑体" w:hAnsi="黑体" w:eastAsia="黑体"/>
          <w:i/>
          <w:color w:val="auto"/>
          <w:sz w:val="32"/>
          <w:szCs w:val="32"/>
          <w:highlight w:val="none"/>
          <w:u w:val="single"/>
        </w:rPr>
        <w:br w:type="page" w:clear="all"/>
      </w:r>
      <w:r>
        <w:rPr>
          <w:rFonts w:hint="eastAsia" w:ascii="黑体" w:hAnsi="Calibri" w:eastAsia="黑体" w:cs="Times New Roman"/>
          <w:b/>
          <w:bCs/>
          <w:color w:val="auto"/>
          <w:sz w:val="32"/>
          <w:szCs w:val="32"/>
          <w:highlight w:val="none"/>
        </w:rPr>
        <w:t xml:space="preserve">3.法</w:t>
      </w:r>
      <w:r>
        <w:rPr>
          <w:rFonts w:hint="eastAsia" w:ascii="黑体" w:eastAsia="黑体"/>
          <w:b/>
          <w:bCs/>
          <w:color w:val="auto"/>
          <w:sz w:val="32"/>
          <w:szCs w:val="32"/>
          <w:highlight w:val="none"/>
        </w:rPr>
        <w:t xml:space="preserve">定代表人身份证明书</w:t>
      </w:r>
      <w:r/>
    </w:p>
    <w:p>
      <w:pPr>
        <w:ind w:firstLine="562"/>
        <w:jc w:val="center"/>
        <w:spacing w:line="600" w:lineRule="exact"/>
        <w:rPr>
          <w:rFonts w:ascii="黑体" w:eastAsia="黑体"/>
          <w:b/>
          <w:color w:val="auto"/>
          <w:sz w:val="28"/>
          <w:highlight w:val="none"/>
        </w:rPr>
      </w:pPr>
      <w:r>
        <w:rPr>
          <w:rFonts w:ascii="黑体" w:eastAsia="黑体"/>
          <w:b/>
          <w:color w:val="auto"/>
          <w:sz w:val="28"/>
          <w:highlight w:val="none"/>
        </w:rPr>
      </w:r>
      <w:r/>
    </w:p>
    <w:p>
      <w:pPr>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：（采购人名称）</w:t>
      </w:r>
      <w:r/>
    </w:p>
    <w:p>
      <w:pPr>
        <w:ind w:firstLine="480"/>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u w:val="single"/>
        </w:rPr>
        <w:t xml:space="preserve">  （法定代表人姓名） </w:t>
      </w:r>
      <w:r>
        <w:rPr>
          <w:rFonts w:hint="eastAsia" w:ascii="宋体" w:hAnsi="宋体" w:eastAsia="宋体" w:cs="宋体"/>
          <w:color w:val="auto"/>
          <w:sz w:val="24"/>
          <w:highlight w:val="none"/>
        </w:rPr>
        <w:t xml:space="preserve">在</w:t>
      </w:r>
      <w:r>
        <w:rPr>
          <w:rFonts w:hint="eastAsia" w:ascii="宋体" w:hAnsi="宋体" w:eastAsia="宋体" w:cs="宋体"/>
          <w:color w:val="auto"/>
          <w:sz w:val="24"/>
          <w:highlight w:val="none"/>
          <w:u w:val="single"/>
        </w:rPr>
        <w:t xml:space="preserve">     （投标人名称）     </w:t>
      </w:r>
      <w:r>
        <w:rPr>
          <w:rFonts w:hint="eastAsia" w:ascii="宋体" w:hAnsi="宋体" w:eastAsia="宋体" w:cs="宋体"/>
          <w:color w:val="auto"/>
          <w:sz w:val="24"/>
          <w:highlight w:val="none"/>
        </w:rPr>
        <w:t xml:space="preserve"> 任</w:t>
      </w:r>
      <w:r>
        <w:rPr>
          <w:rFonts w:hint="eastAsia" w:ascii="宋体" w:hAnsi="宋体" w:eastAsia="宋体" w:cs="宋体"/>
          <w:color w:val="auto"/>
          <w:sz w:val="24"/>
          <w:highlight w:val="none"/>
          <w:u w:val="single"/>
        </w:rPr>
        <w:t xml:space="preserve">（职务名称）</w:t>
      </w:r>
      <w:r>
        <w:rPr>
          <w:rFonts w:hint="eastAsia" w:ascii="宋体" w:hAnsi="宋体" w:eastAsia="宋体" w:cs="宋体"/>
          <w:color w:val="auto"/>
          <w:sz w:val="24"/>
          <w:highlight w:val="none"/>
        </w:rPr>
        <w:t xml:space="preserve">职务，是</w:t>
      </w:r>
      <w:r>
        <w:rPr>
          <w:rFonts w:hint="eastAsia" w:ascii="宋体" w:hAnsi="宋体" w:eastAsia="宋体" w:cs="宋体"/>
          <w:color w:val="auto"/>
          <w:sz w:val="24"/>
          <w:highlight w:val="none"/>
          <w:u w:val="single"/>
        </w:rPr>
        <w:t xml:space="preserve">        （投标人名称）      </w:t>
      </w:r>
      <w:r>
        <w:rPr>
          <w:rFonts w:hint="eastAsia" w:ascii="宋体" w:hAnsi="宋体" w:eastAsia="宋体" w:cs="宋体"/>
          <w:color w:val="auto"/>
          <w:sz w:val="24"/>
          <w:highlight w:val="none"/>
        </w:rPr>
        <w:t xml:space="preserve">的法定代表人，联系电话（手机号码）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spacing w:line="60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特此证明。</w:t>
      </w:r>
      <w:r/>
    </w:p>
    <w:p>
      <w:pPr>
        <w:ind w:firstLine="480"/>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企业名称（加盖CA电子公章）：      </w:t>
      </w:r>
      <w:r/>
    </w:p>
    <w:p>
      <w:pPr>
        <w:ind w:firstLine="480"/>
        <w:spacing w:line="60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jc w:val="right"/>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 </w:t>
      </w:r>
      <w:r/>
    </w:p>
    <w:p>
      <w:pPr>
        <w:ind w:firstLine="482"/>
        <w:jc w:val="left"/>
        <w:spacing w:line="600" w:lineRule="exact"/>
        <w:rPr>
          <w:rFonts w:ascii="宋体" w:hAnsi="宋体" w:eastAsia="宋体" w:cs="宋体"/>
          <w:b/>
          <w:bCs/>
          <w:color w:val="auto"/>
          <w:sz w:val="24"/>
          <w:highlight w:val="none"/>
        </w:rPr>
      </w:pPr>
      <w:r>
        <w:rPr>
          <w:rFonts w:ascii="宋体" w:hAnsi="宋体" w:eastAsia="宋体" w:cs="宋体"/>
          <w:b/>
          <w:bCs/>
          <w:color w:val="auto"/>
          <w:sz w:val="24"/>
          <w:highlight w:val="none"/>
        </w:rPr>
      </w:r>
      <w:r/>
    </w:p>
    <w:p>
      <w:pPr>
        <w:ind w:firstLine="482"/>
        <w:jc w:val="left"/>
        <w:spacing w:line="60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（附：法定代表人身份证正反面复印件或扫描件）</w:t>
      </w:r>
      <w:r/>
    </w:p>
    <w:p>
      <w:pPr>
        <w:ind w:firstLine="640"/>
        <w:jc w:val="center"/>
        <w:spacing w:line="400" w:lineRule="exact"/>
        <w:rPr>
          <w:rFonts w:ascii="黑体" w:eastAsia="黑体"/>
          <w:color w:val="auto"/>
          <w:sz w:val="28"/>
          <w:highlight w:val="none"/>
        </w:rPr>
      </w:pPr>
      <w:r>
        <w:rPr>
          <w:rFonts w:hint="eastAsia" w:ascii="黑体" w:hAnsi="黑体" w:eastAsia="黑体"/>
          <w:i/>
          <w:color w:val="auto"/>
          <w:sz w:val="32"/>
          <w:szCs w:val="32"/>
          <w:highlight w:val="none"/>
          <w:u w:val="single"/>
        </w:rPr>
        <w:br w:type="page" w:clear="all"/>
      </w:r>
      <w:r>
        <w:rPr>
          <w:rFonts w:hint="eastAsia" w:ascii="黑体" w:hAnsi="Times New Roman" w:eastAsia="黑体" w:cs="Times New Roman"/>
          <w:b/>
          <w:bCs/>
          <w:color w:val="auto"/>
          <w:sz w:val="32"/>
          <w:szCs w:val="32"/>
          <w:highlight w:val="none"/>
        </w:rPr>
        <w:t xml:space="preserve">4.授权委托</w:t>
      </w:r>
      <w:r>
        <w:rPr>
          <w:rFonts w:hint="eastAsia" w:ascii="黑体" w:eastAsia="黑体"/>
          <w:b/>
          <w:bCs/>
          <w:color w:val="auto"/>
          <w:sz w:val="32"/>
          <w:szCs w:val="32"/>
          <w:highlight w:val="none"/>
        </w:rPr>
        <w:t xml:space="preserve">书</w:t>
      </w: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8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本授权书声明：我</w:t>
      </w:r>
      <w:r>
        <w:rPr>
          <w:rFonts w:hint="eastAsia" w:ascii="宋体" w:hAnsi="宋体" w:eastAsia="宋体" w:cs="宋体"/>
          <w:color w:val="auto"/>
          <w:sz w:val="24"/>
          <w:highlight w:val="none"/>
          <w:u w:val="single"/>
        </w:rPr>
        <w:t xml:space="preserve">       （姓名）      </w:t>
      </w:r>
      <w:r>
        <w:rPr>
          <w:rFonts w:hint="eastAsia" w:ascii="宋体" w:hAnsi="宋体" w:eastAsia="宋体" w:cs="宋体"/>
          <w:color w:val="auto"/>
          <w:sz w:val="24"/>
          <w:highlight w:val="none"/>
        </w:rPr>
        <w:t xml:space="preserve">系</w:t>
      </w:r>
      <w:r>
        <w:rPr>
          <w:rFonts w:hint="eastAsia" w:ascii="宋体" w:hAnsi="宋体" w:eastAsia="宋体" w:cs="宋体"/>
          <w:color w:val="auto"/>
          <w:sz w:val="24"/>
          <w:highlight w:val="none"/>
          <w:u w:val="single"/>
        </w:rPr>
        <w:t xml:space="preserve">      （投标人名称）        </w:t>
      </w:r>
      <w:r>
        <w:rPr>
          <w:rFonts w:hint="eastAsia" w:ascii="宋体" w:hAnsi="宋体" w:eastAsia="宋体" w:cs="宋体"/>
          <w:color w:val="auto"/>
          <w:sz w:val="24"/>
          <w:highlight w:val="none"/>
        </w:rPr>
        <w:t xml:space="preserve"> 的法定代表人，现授权____________（投标人名称）的________________（被授权人的姓名）为我单位就JSZC-</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号项目的投标文件的法定代表人授权委托代理，，我承认被授权人全权代表我所签署的本项目的投标文件的内容。以本单位名义全权处理一切与该项目采购有关的事务。</w:t>
      </w:r>
      <w:r/>
    </w:p>
    <w:p>
      <w:pPr>
        <w:pStyle w:val="835"/>
        <w:ind w:firstLine="480"/>
        <w:spacing w:line="48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pStyle w:val="835"/>
        <w:ind w:firstLine="480"/>
        <w:spacing w:line="48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highlight w:val="none"/>
        </w:rPr>
        <w:t xml:space="preserve">代理人</w:t>
      </w:r>
      <w:r>
        <w:rPr>
          <w:rFonts w:hint="eastAsia" w:ascii="宋体" w:hAnsi="宋体" w:eastAsia="宋体" w:cs="宋体"/>
          <w:color w:val="auto"/>
          <w:sz w:val="24"/>
          <w:szCs w:val="24"/>
          <w:highlight w:val="none"/>
        </w:rPr>
        <w:t xml:space="preserve">被授权人身份证号码：</w:t>
      </w:r>
      <w:r>
        <w:rPr>
          <w:rFonts w:hint="eastAsia" w:ascii="宋体" w:hAnsi="宋体" w:eastAsia="宋体" w:cs="宋体"/>
          <w:color w:val="auto"/>
          <w:sz w:val="24"/>
          <w:szCs w:val="24"/>
          <w:highlight w:val="none"/>
          <w:u w:val="single"/>
        </w:rPr>
        <w:t xml:space="preserve">                              </w:t>
      </w:r>
      <w:r/>
    </w:p>
    <w:p>
      <w:pPr>
        <w:pStyle w:val="835"/>
        <w:ind w:firstLine="480"/>
        <w:spacing w:line="48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被授权人联系电话：（手机）</w:t>
      </w:r>
      <w:r>
        <w:rPr>
          <w:rFonts w:hint="eastAsia" w:ascii="宋体" w:hAnsi="宋体" w:eastAsia="宋体" w:cs="宋体"/>
          <w:color w:val="auto"/>
          <w:sz w:val="24"/>
          <w:szCs w:val="24"/>
          <w:highlight w:val="none"/>
          <w:u w:val="single"/>
        </w:rPr>
        <w:t xml:space="preserve">                          </w:t>
      </w:r>
      <w:r/>
    </w:p>
    <w:p>
      <w:pPr>
        <w:pStyle w:val="835"/>
        <w:ind w:firstLine="480"/>
        <w:spacing w:line="48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pStyle w:val="835"/>
        <w:ind w:firstLine="480"/>
        <w:spacing w:line="48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单位地址：</w:t>
      </w:r>
      <w:r>
        <w:rPr>
          <w:rFonts w:hint="eastAsia" w:ascii="宋体" w:hAnsi="宋体" w:eastAsia="宋体" w:cs="宋体"/>
          <w:color w:val="auto"/>
          <w:sz w:val="24"/>
          <w:szCs w:val="24"/>
          <w:highlight w:val="none"/>
          <w:u w:val="single"/>
        </w:rPr>
        <w:t xml:space="preserve">                                         </w:t>
      </w:r>
      <w:r/>
    </w:p>
    <w:p>
      <w:pPr>
        <w:pStyle w:val="835"/>
        <w:ind w:firstLine="480"/>
        <w:spacing w:line="480" w:lineRule="auto"/>
        <w:rPr>
          <w:rFonts w:ascii="宋体" w:hAnsi="宋体" w:eastAsia="宋体" w:cs="宋体"/>
          <w:color w:val="auto"/>
          <w:sz w:val="24"/>
          <w:highlight w:val="none"/>
        </w:rPr>
      </w:pPr>
      <w:r>
        <w:rPr>
          <w:rFonts w:hint="eastAsia" w:ascii="宋体" w:hAnsi="宋体" w:eastAsia="宋体" w:cs="宋体"/>
          <w:color w:val="auto"/>
          <w:sz w:val="24"/>
          <w:szCs w:val="24"/>
          <w:highlight w:val="none"/>
        </w:rPr>
        <w:t xml:space="preserve">      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u w:val="single"/>
        </w:rPr>
        <w:t xml:space="preserve">（加盖CA电子公章）</w:t>
      </w:r>
      <w:r/>
    </w:p>
    <w:p>
      <w:pPr>
        <w:pStyle w:val="835"/>
        <w:ind w:firstLine="480"/>
        <w:spacing w:line="48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u w:val="single"/>
        </w:rPr>
        <w:t xml:space="preserve">                                         </w:t>
      </w:r>
      <w:r/>
    </w:p>
    <w:p>
      <w:pPr>
        <w:ind w:firstLine="482"/>
        <w:jc w:val="left"/>
        <w:spacing w:line="48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（附：被授权人身份证正反面复印件或扫描件）</w:t>
      </w:r>
      <w:r/>
    </w:p>
    <w:p>
      <w:pPr>
        <w:pStyle w:val="646"/>
        <w:ind w:firstLine="480"/>
        <w:spacing w:line="480" w:lineRule="auto"/>
        <w:rPr>
          <w:rFonts w:ascii="宋体" w:hAnsi="宋体" w:eastAsia="宋体" w:cs="宋体"/>
          <w:i/>
          <w:color w:val="auto"/>
          <w:sz w:val="24"/>
          <w:highlight w:val="none"/>
          <w:u w:val="single"/>
        </w:rPr>
      </w:pPr>
      <w:r>
        <w:rPr>
          <w:rFonts w:ascii="宋体" w:hAnsi="宋体" w:eastAsia="宋体" w:cs="宋体"/>
          <w:i/>
          <w:color w:val="auto"/>
          <w:sz w:val="24"/>
          <w:highlight w:val="none"/>
          <w:u w:val="single"/>
        </w:rPr>
      </w:r>
      <w:r/>
    </w:p>
    <w:p>
      <w:pPr>
        <w:spacing w:line="48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注：</w:t>
      </w:r>
      <w:r>
        <w:rPr>
          <w:rFonts w:hint="eastAsia" w:ascii="宋体" w:hAnsi="宋体" w:eastAsia="宋体" w:cs="宋体"/>
          <w:color w:val="auto"/>
          <w:sz w:val="24"/>
          <w:highlight w:val="none"/>
        </w:rPr>
        <w:t xml:space="preserve">被授权人须为本单位正式职工并提供投标人为被授权人缴纳的社会养老保险证明。</w:t>
      </w:r>
      <w:r/>
    </w:p>
    <w:p>
      <w:pPr>
        <w:spacing w:line="460" w:lineRule="exact"/>
        <w:rPr>
          <w:rFonts w:ascii="宋体" w:hAnsi="宋体"/>
          <w:bCs/>
          <w:color w:val="auto"/>
          <w:sz w:val="24"/>
          <w:highlight w:val="none"/>
        </w:rPr>
      </w:pPr>
      <w:r>
        <w:rPr>
          <w:rFonts w:ascii="宋体" w:hAnsi="宋体"/>
          <w:bCs/>
          <w:color w:val="auto"/>
          <w:sz w:val="24"/>
          <w:highlight w:val="none"/>
        </w:rPr>
      </w:r>
      <w:r/>
    </w:p>
    <w:p>
      <w:pPr>
        <w:jc w:val="center"/>
        <w:spacing w:before="50" w:after="50"/>
        <w:rPr>
          <w:rFonts w:ascii="黑体" w:hAnsi="Times New Roman" w:eastAsia="黑体" w:cs="Times New Roman"/>
          <w:b/>
          <w:bCs/>
          <w:color w:val="auto"/>
          <w:sz w:val="32"/>
          <w:szCs w:val="32"/>
          <w:highlight w:val="none"/>
        </w:rPr>
      </w:pPr>
      <w:r>
        <w:rPr>
          <w:rFonts w:ascii="宋体" w:hAnsi="宋体"/>
          <w:bCs/>
          <w:color w:val="auto"/>
          <w:sz w:val="24"/>
          <w:highlight w:val="none"/>
        </w:rPr>
        <w:br w:type="page" w:clear="all"/>
      </w:r>
      <w:r>
        <w:rPr>
          <w:rFonts w:hint="eastAsia" w:ascii="黑体" w:hAnsi="Times New Roman" w:eastAsia="黑体" w:cs="Times New Roman"/>
          <w:b/>
          <w:bCs/>
          <w:color w:val="auto"/>
          <w:sz w:val="32"/>
          <w:szCs w:val="32"/>
          <w:highlight w:val="none"/>
        </w:rPr>
        <w:t xml:space="preserve">5.开标一览表（格式）</w:t>
      </w:r>
      <w:r/>
    </w:p>
    <w:p>
      <w:pPr>
        <w:ind w:firstLine="640"/>
        <w:jc w:val="center"/>
        <w:spacing w:before="50" w:after="50"/>
        <w:rPr>
          <w:rFonts w:ascii="黑体" w:eastAsia="黑体"/>
          <w:color w:val="auto"/>
          <w:sz w:val="32"/>
          <w:szCs w:val="32"/>
          <w:highlight w:val="none"/>
        </w:rPr>
      </w:pPr>
      <w:r>
        <w:rPr>
          <w:rFonts w:ascii="黑体" w:eastAsia="黑体"/>
          <w:color w:val="auto"/>
          <w:sz w:val="32"/>
          <w:szCs w:val="32"/>
          <w:highlight w:val="none"/>
        </w:rPr>
      </w:r>
      <w:r/>
    </w:p>
    <w:tbl>
      <w:tblPr>
        <w:tblStyle w:val="6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00"/>
        <w:gridCol w:w="7445"/>
      </w:tblGrid>
      <w:tr>
        <w:trPr>
          <w:cantSplit/>
          <w:jc w:val="center"/>
          <w:trHeight w:val="789"/>
        </w:trPr>
        <w:tc>
          <w:tcPr>
            <w:tcW w:w="2700" w:type="dxa"/>
            <w:vAlign w:val="center"/>
            <w:textDirection w:val="lrTb"/>
            <w:noWrap w:val="false"/>
          </w:tcPr>
          <w:p>
            <w:pPr>
              <w:ind w:firstLine="480"/>
              <w:rPr>
                <w:rFonts w:ascii="宋体"/>
                <w:color w:val="auto"/>
                <w:szCs w:val="28"/>
                <w:highlight w:val="none"/>
              </w:rPr>
            </w:pPr>
            <w:r>
              <w:rPr>
                <w:rFonts w:hint="eastAsia" w:ascii="宋体"/>
                <w:color w:val="auto"/>
                <w:szCs w:val="28"/>
                <w:highlight w:val="none"/>
              </w:rPr>
              <w:t xml:space="preserve">项 目 编 号</w:t>
            </w:r>
            <w:r/>
          </w:p>
        </w:tc>
        <w:tc>
          <w:tcPr>
            <w:tcW w:w="7445" w:type="dxa"/>
            <w:vAlign w:val="center"/>
            <w:textDirection w:val="lrTb"/>
            <w:noWrap w:val="false"/>
          </w:tcPr>
          <w:p>
            <w:pPr>
              <w:pStyle w:val="636"/>
              <w:ind w:firstLine="562"/>
              <w:jc w:val="both"/>
              <w:rPr>
                <w:rFonts w:ascii="宋体" w:hAnsi="宋体" w:eastAsia="宋体"/>
                <w:color w:val="auto"/>
                <w:sz w:val="28"/>
                <w:szCs w:val="28"/>
                <w:highlight w:val="none"/>
              </w:rPr>
            </w:pPr>
            <w:r>
              <w:rPr>
                <w:rFonts w:ascii="宋体" w:hAnsi="宋体" w:eastAsia="宋体"/>
                <w:color w:val="auto"/>
                <w:sz w:val="28"/>
                <w:szCs w:val="28"/>
                <w:highlight w:val="none"/>
              </w:rPr>
            </w:r>
            <w:r/>
          </w:p>
        </w:tc>
      </w:tr>
      <w:tr>
        <w:trPr>
          <w:cantSplit/>
          <w:jc w:val="center"/>
          <w:trHeight w:val="789"/>
        </w:trPr>
        <w:tc>
          <w:tcPr>
            <w:tcW w:w="2700" w:type="dxa"/>
            <w:vAlign w:val="center"/>
            <w:textDirection w:val="lrTb"/>
            <w:noWrap w:val="false"/>
          </w:tcPr>
          <w:p>
            <w:pPr>
              <w:ind w:firstLine="480"/>
              <w:rPr>
                <w:rFonts w:ascii="宋体"/>
                <w:color w:val="auto"/>
                <w:szCs w:val="28"/>
                <w:highlight w:val="none"/>
              </w:rPr>
            </w:pPr>
            <w:r>
              <w:rPr>
                <w:rFonts w:hint="eastAsia" w:ascii="宋体"/>
                <w:color w:val="auto"/>
                <w:szCs w:val="28"/>
                <w:highlight w:val="none"/>
              </w:rPr>
              <w:t xml:space="preserve">项 目 名 称</w:t>
            </w:r>
            <w:r/>
          </w:p>
        </w:tc>
        <w:tc>
          <w:tcPr>
            <w:tcW w:w="7445" w:type="dxa"/>
            <w:vAlign w:val="center"/>
            <w:textDirection w:val="lrTb"/>
            <w:noWrap w:val="false"/>
          </w:tcPr>
          <w:p>
            <w:pPr>
              <w:pStyle w:val="636"/>
              <w:ind w:firstLine="562"/>
              <w:jc w:val="both"/>
              <w:rPr>
                <w:color w:val="auto"/>
                <w:sz w:val="28"/>
                <w:szCs w:val="28"/>
                <w:highlight w:val="none"/>
              </w:rPr>
            </w:pPr>
            <w:r>
              <w:rPr>
                <w:color w:val="auto"/>
                <w:sz w:val="28"/>
                <w:szCs w:val="28"/>
                <w:highlight w:val="none"/>
              </w:rPr>
            </w:r>
            <w:r/>
          </w:p>
        </w:tc>
      </w:tr>
      <w:tr>
        <w:trPr>
          <w:cantSplit/>
          <w:jc w:val="center"/>
          <w:trHeight w:val="821"/>
        </w:trPr>
        <w:tc>
          <w:tcPr>
            <w:gridSpan w:val="2"/>
            <w:tcW w:w="10145" w:type="dxa"/>
            <w:vAlign w:val="center"/>
            <w:textDirection w:val="lrTb"/>
            <w:noWrap w:val="false"/>
          </w:tcPr>
          <w:p>
            <w:pPr>
              <w:ind w:firstLine="482"/>
              <w:rPr>
                <w:rFonts w:ascii="宋体"/>
                <w:color w:val="auto"/>
                <w:szCs w:val="28"/>
                <w:highlight w:val="none"/>
              </w:rPr>
            </w:pPr>
            <w:r>
              <w:rPr>
                <w:rFonts w:hint="eastAsia" w:ascii="宋体" w:hAnsi="宋体" w:eastAsia="宋体" w:cs="宋体"/>
                <w:b/>
                <w:bCs/>
                <w:color w:val="auto"/>
                <w:szCs w:val="28"/>
                <w:highlight w:val="none"/>
              </w:rPr>
              <w:t xml:space="preserve">项目投标报价</w:t>
            </w:r>
            <w:r>
              <w:rPr>
                <w:rFonts w:hint="eastAsia" w:ascii="宋体" w:hAnsi="宋体" w:eastAsia="宋体" w:cs="宋体"/>
                <w:b/>
                <w:bCs/>
                <w:color w:val="auto"/>
                <w:szCs w:val="28"/>
                <w:highlight w:val="none"/>
                <w:lang w:eastAsia="zh-CN"/>
              </w:rPr>
              <w:t xml:space="preserve">（</w:t>
            </w:r>
            <w:r>
              <w:rPr>
                <w:rFonts w:hint="eastAsia" w:ascii="宋体" w:hAnsi="宋体" w:eastAsia="宋体" w:cs="宋体"/>
                <w:b/>
                <w:bCs/>
                <w:color w:val="auto"/>
                <w:szCs w:val="28"/>
                <w:highlight w:val="none"/>
                <w:lang w:val="en-US" w:eastAsia="zh-CN"/>
              </w:rPr>
              <w:t xml:space="preserve">总价</w:t>
            </w:r>
            <w:r>
              <w:rPr>
                <w:rFonts w:hint="eastAsia" w:ascii="宋体" w:hAnsi="宋体" w:eastAsia="宋体" w:cs="宋体"/>
                <w:b/>
                <w:bCs/>
                <w:color w:val="auto"/>
                <w:szCs w:val="28"/>
                <w:highlight w:val="none"/>
                <w:lang w:eastAsia="zh-CN"/>
              </w:rPr>
              <w:t xml:space="preserve">）</w:t>
            </w:r>
            <w:r>
              <w:rPr>
                <w:rFonts w:hint="eastAsia" w:ascii="宋体" w:hAnsi="宋体" w:eastAsia="宋体" w:cs="宋体"/>
                <w:b/>
                <w:bCs/>
                <w:color w:val="auto"/>
                <w:szCs w:val="28"/>
                <w:highlight w:val="none"/>
              </w:rPr>
              <w:t xml:space="preserve">：（大写）</w:t>
            </w:r>
            <w:r>
              <w:rPr>
                <w:rFonts w:hint="eastAsia" w:ascii="宋体" w:hAnsi="宋体" w:eastAsia="宋体" w:cs="宋体"/>
                <w:b/>
                <w:bCs/>
                <w:color w:val="auto"/>
                <w:szCs w:val="28"/>
                <w:highlight w:val="none"/>
                <w:u w:val="single"/>
              </w:rPr>
              <w:t xml:space="preserve">                       </w:t>
            </w:r>
            <w:r>
              <w:rPr>
                <w:rFonts w:hint="eastAsia" w:ascii="宋体" w:hAnsi="宋体" w:eastAsia="宋体" w:cs="宋体"/>
                <w:b/>
                <w:bCs/>
                <w:color w:val="auto"/>
                <w:szCs w:val="28"/>
                <w:highlight w:val="none"/>
              </w:rPr>
              <w:t xml:space="preserve">，小写：</w:t>
            </w:r>
            <w:r>
              <w:rPr>
                <w:rFonts w:hint="eastAsia" w:ascii="宋体" w:hAnsi="宋体" w:eastAsia="宋体" w:cs="宋体"/>
                <w:b/>
                <w:bCs/>
                <w:color w:val="auto"/>
                <w:szCs w:val="28"/>
                <w:highlight w:val="none"/>
                <w:u w:val="single"/>
              </w:rPr>
              <w:t xml:space="preserve">                     </w:t>
            </w:r>
            <w:r>
              <w:rPr>
                <w:rFonts w:hint="eastAsia" w:ascii="宋体" w:hAnsi="宋体" w:eastAsia="宋体" w:cs="宋体"/>
                <w:b/>
                <w:bCs/>
                <w:color w:val="auto"/>
                <w:szCs w:val="28"/>
                <w:highlight w:val="none"/>
              </w:rPr>
              <w:t xml:space="preserve"> </w:t>
            </w:r>
            <w:r/>
          </w:p>
        </w:tc>
      </w:tr>
      <w:tr>
        <w:trPr>
          <w:cantSplit/>
          <w:jc w:val="center"/>
          <w:trHeight w:val="821"/>
        </w:trPr>
        <w:tc>
          <w:tcPr>
            <w:gridSpan w:val="2"/>
            <w:tcW w:w="10145" w:type="dxa"/>
            <w:vAlign w:val="center"/>
            <w:textDirection w:val="lrTb"/>
            <w:noWrap w:val="false"/>
          </w:tcPr>
          <w:p>
            <w:pPr>
              <w:ind w:firstLine="482"/>
              <w:rPr>
                <w:rFonts w:ascii="宋体"/>
                <w:b/>
                <w:bCs/>
                <w:color w:val="auto"/>
                <w:szCs w:val="28"/>
                <w:highlight w:val="none"/>
              </w:rPr>
            </w:pPr>
            <w:r>
              <w:rPr>
                <w:rFonts w:hint="eastAsia" w:ascii="宋体" w:hAnsi="宋体" w:eastAsia="宋体" w:cs="宋体"/>
                <w:b/>
                <w:bCs/>
                <w:color w:val="auto"/>
                <w:szCs w:val="28"/>
                <w:highlight w:val="none"/>
              </w:rPr>
              <w:t xml:space="preserve">是否提供《企业类型声明函》：</w:t>
            </w:r>
            <w:r>
              <w:rPr>
                <w:rFonts w:hint="eastAsia" w:ascii="宋体" w:hAnsi="宋体" w:eastAsia="宋体" w:cs="宋体"/>
                <w:b/>
                <w:bCs/>
                <w:color w:val="auto"/>
                <w:szCs w:val="28"/>
                <w:highlight w:val="none"/>
                <w:u w:val="single"/>
              </w:rPr>
              <w:t xml:space="preserve">  是/否   </w:t>
            </w:r>
            <w:r/>
          </w:p>
        </w:tc>
      </w:tr>
      <w:tr>
        <w:trPr>
          <w:cantSplit/>
          <w:jc w:val="center"/>
          <w:trHeight w:val="821"/>
        </w:trPr>
        <w:tc>
          <w:tcPr>
            <w:gridSpan w:val="2"/>
            <w:tcW w:w="10145" w:type="dxa"/>
            <w:vAlign w:val="center"/>
            <w:textDirection w:val="lrTb"/>
            <w:noWrap w:val="false"/>
          </w:tcPr>
          <w:p>
            <w:pPr>
              <w:ind w:firstLine="482"/>
              <w:rPr>
                <w:rFonts w:ascii="宋体"/>
                <w:b/>
                <w:bCs/>
                <w:color w:val="auto"/>
                <w:szCs w:val="28"/>
                <w:highlight w:val="none"/>
              </w:rPr>
            </w:pPr>
            <w:r>
              <w:rPr>
                <w:rFonts w:hint="eastAsia" w:ascii="宋体" w:hAnsi="宋体" w:eastAsia="宋体" w:cs="宋体"/>
                <w:b/>
                <w:bCs/>
                <w:color w:val="auto"/>
                <w:szCs w:val="28"/>
                <w:highlight w:val="none"/>
              </w:rPr>
              <w:t xml:space="preserve">项目实施时间（供期或工期）： </w:t>
            </w:r>
            <w:r/>
          </w:p>
        </w:tc>
      </w:tr>
    </w:tbl>
    <w:p>
      <w:pPr>
        <w:spacing w:line="180" w:lineRule="atLeast"/>
        <w:rPr>
          <w:rFonts w:ascii="宋体" w:hAnsi="宋体"/>
          <w:color w:val="auto"/>
          <w:szCs w:val="28"/>
          <w:highlight w:val="none"/>
        </w:rPr>
      </w:pPr>
      <w:r>
        <w:rPr>
          <w:rFonts w:hint="eastAsia" w:ascii="宋体" w:hAnsi="宋体"/>
          <w:color w:val="auto"/>
          <w:szCs w:val="28"/>
          <w:highlight w:val="none"/>
        </w:rPr>
        <w:t xml:space="preserve">填写说明：</w:t>
      </w:r>
      <w:r/>
    </w:p>
    <w:p>
      <w:pPr>
        <w:spacing w:line="180" w:lineRule="atLeast"/>
        <w:rPr>
          <w:rFonts w:ascii="宋体" w:hAnsi="宋体"/>
          <w:color w:val="auto"/>
          <w:szCs w:val="28"/>
          <w:highlight w:val="none"/>
        </w:rPr>
      </w:pPr>
      <w:r>
        <w:rPr>
          <w:rFonts w:hint="eastAsia" w:ascii="宋体" w:hAnsi="宋体"/>
          <w:color w:val="auto"/>
          <w:szCs w:val="28"/>
          <w:highlight w:val="none"/>
        </w:rPr>
        <w:t xml:space="preserve">填写说明：</w:t>
      </w:r>
      <w:r/>
    </w:p>
    <w:p>
      <w:pPr>
        <w:numPr>
          <w:ilvl w:val="0"/>
          <w:numId w:val="1"/>
        </w:numPr>
        <w:rPr>
          <w:rStyle w:val="828"/>
          <w:rFonts w:ascii="宋体" w:hAnsi="宋体"/>
          <w:color w:val="auto"/>
          <w:sz w:val="24"/>
          <w:highlight w:val="none"/>
        </w:rPr>
      </w:pPr>
      <w:r>
        <w:rPr>
          <w:rStyle w:val="828"/>
          <w:rFonts w:ascii="宋体" w:hAnsi="宋体"/>
          <w:color w:val="auto"/>
          <w:sz w:val="24"/>
          <w:highlight w:val="none"/>
        </w:rPr>
        <w:t xml:space="preserve">开标一览表不得填报选择性报价，否则将作为无效投标</w:t>
      </w:r>
      <w:r>
        <w:rPr>
          <w:rStyle w:val="828"/>
          <w:rFonts w:hint="eastAsia" w:ascii="宋体" w:hAnsi="宋体"/>
          <w:color w:val="auto"/>
          <w:sz w:val="24"/>
          <w:highlight w:val="none"/>
        </w:rPr>
        <w:t xml:space="preserve">。</w:t>
      </w:r>
      <w:r/>
    </w:p>
    <w:p>
      <w:pPr>
        <w:numPr>
          <w:ilvl w:val="0"/>
          <w:numId w:val="1"/>
        </w:numPr>
        <w:rPr>
          <w:rFonts w:ascii="仿宋_GB2312" w:eastAsia="仿宋_GB2312"/>
          <w:color w:val="auto"/>
          <w:sz w:val="24"/>
          <w:highlight w:val="none"/>
        </w:rPr>
      </w:pPr>
      <w:r>
        <w:rPr>
          <w:rFonts w:hint="eastAsia" w:ascii="宋体" w:hAnsi="宋体" w:cs="宋体"/>
          <w:color w:val="auto"/>
          <w:sz w:val="24"/>
          <w:highlight w:val="none"/>
        </w:rPr>
        <w:t xml:space="preserve">投标报价保留两位小数。</w:t>
      </w:r>
      <w:r/>
    </w:p>
    <w:p>
      <w:pPr>
        <w:numPr>
          <w:ilvl w:val="0"/>
          <w:numId w:val="0"/>
        </w:numPr>
        <w:jc w:val="both"/>
        <w:widowControl w:val="off"/>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w:t>
      </w:r>
      <w:r>
        <w:rPr>
          <w:rFonts w:hint="eastAsia" w:ascii="宋体" w:hAnsi="宋体" w:eastAsia="宋体" w:cs="宋体"/>
          <w:b/>
          <w:bCs/>
          <w:color w:val="auto"/>
          <w:szCs w:val="28"/>
          <w:highlight w:val="none"/>
        </w:rPr>
        <w:t xml:space="preserve">项目实施时间（供期或工期）：</w:t>
      </w:r>
      <w:r>
        <w:rPr>
          <w:rFonts w:hint="eastAsia" w:ascii="宋体" w:hAnsi="宋体" w:eastAsia="宋体" w:cs="宋体"/>
          <w:b/>
          <w:bCs/>
          <w:color w:val="auto"/>
          <w:szCs w:val="28"/>
          <w:highlight w:val="none"/>
          <w:lang w:val="en-US" w:eastAsia="zh-CN"/>
        </w:rPr>
        <w:t xml:space="preserve">统一填写730天，实际以合同为准。</w:t>
      </w:r>
      <w:r/>
    </w:p>
    <w:p>
      <w:pPr>
        <w:numPr>
          <w:ilvl w:val="0"/>
          <w:numId w:val="0"/>
        </w:numPr>
        <w:jc w:val="both"/>
        <w:widowControl w:val="off"/>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法定代表人或被授权人（签字）：</w:t>
      </w:r>
      <w:r/>
    </w:p>
    <w:p>
      <w:pPr>
        <w:ind w:firstLine="480"/>
        <w:spacing w:line="60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企业名称（加盖CA电子公章）：</w:t>
      </w:r>
      <w:r/>
    </w:p>
    <w:p>
      <w:pPr>
        <w:ind w:firstLine="48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      </w:t>
      </w:r>
      <w:r/>
    </w:p>
    <w:p>
      <w:pPr>
        <w:jc w:val="right"/>
        <w:rPr>
          <w:rFonts w:ascii="仿宋_GB2312" w:eastAsia="仿宋_GB2312"/>
          <w:color w:val="auto"/>
          <w:sz w:val="24"/>
          <w:highlight w:val="none"/>
        </w:rPr>
        <w:outlineLvl w:val="1"/>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ind w:firstLine="640"/>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ind w:firstLine="640"/>
        <w:jc w:val="center"/>
        <w:rPr>
          <w:rFonts w:ascii="黑体" w:hAnsi="Times New Roman" w:eastAsia="黑体" w:cs="Times New Roman"/>
          <w:b/>
          <w:bCs/>
          <w:color w:val="auto"/>
          <w:sz w:val="32"/>
          <w:szCs w:val="32"/>
          <w:highlight w:val="none"/>
        </w:rPr>
      </w:pPr>
      <w:r>
        <w:rPr>
          <w:rFonts w:hint="eastAsia" w:ascii="黑体" w:hAnsi="黑体" w:eastAsia="黑体"/>
          <w:i/>
          <w:color w:val="auto"/>
          <w:sz w:val="32"/>
          <w:szCs w:val="32"/>
          <w:highlight w:val="none"/>
          <w:u w:val="single"/>
        </w:rPr>
        <w:br w:type="page" w:clear="all"/>
      </w:r>
      <w:r>
        <w:rPr>
          <w:rFonts w:hint="eastAsia" w:ascii="黑体" w:hAnsi="Times New Roman" w:eastAsia="黑体" w:cs="Times New Roman"/>
          <w:b/>
          <w:bCs/>
          <w:color w:val="auto"/>
          <w:sz w:val="32"/>
          <w:szCs w:val="32"/>
          <w:highlight w:val="none"/>
        </w:rPr>
        <w:t xml:space="preserve">6.报价明细表（格式）</w:t>
      </w:r>
      <w:r/>
    </w:p>
    <w:tbl>
      <w:tblPr>
        <w:tblStyle w:val="645"/>
        <w:tblW w:w="10337" w:type="dxa"/>
        <w:jc w:val="center"/>
        <w:tblLayout w:type="fixed"/>
        <w:tblCellMar>
          <w:left w:w="0" w:type="dxa"/>
          <w:top w:w="0" w:type="dxa"/>
          <w:right w:w="0" w:type="dxa"/>
          <w:bottom w:w="0" w:type="dxa"/>
        </w:tblCellMar>
        <w:tblLook w:val="04A0" w:firstRow="1" w:lastRow="0" w:firstColumn="1" w:lastColumn="0" w:noHBand="0" w:noVBand="1"/>
      </w:tblPr>
      <w:tblGrid>
        <w:gridCol w:w="464"/>
        <w:gridCol w:w="1895"/>
        <w:gridCol w:w="1825"/>
        <w:gridCol w:w="923"/>
        <w:gridCol w:w="722"/>
        <w:gridCol w:w="2254"/>
        <w:gridCol w:w="2254"/>
      </w:tblGrid>
      <w:tr>
        <w:trPr>
          <w:jc w:val="center"/>
          <w:trHeight w:val="753"/>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64"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95" w:type="dxa"/>
            <w:vAlign w:val="center"/>
            <w:textDirection w:val="lrTb"/>
            <w:noWrap w:val="false"/>
          </w:tcPr>
          <w:p>
            <w:pPr>
              <w:jc w:val="center"/>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项 目 名 称</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25" w:type="dxa"/>
            <w:vAlign w:val="center"/>
            <w:textDirection w:val="lrTb"/>
            <w:noWrap w:val="false"/>
          </w:tcPr>
          <w:p>
            <w:pPr>
              <w:jc w:val="center"/>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服务内容</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23"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单位</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22"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数量</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254"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单价（元）</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254" w:type="dxa"/>
            <w:vAlign w:val="center"/>
            <w:textDirection w:val="lrTb"/>
            <w:noWrap w:val="false"/>
          </w:tcPr>
          <w:p>
            <w:pPr>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合计（元</w:t>
            </w:r>
            <w:bookmarkStart w:id="50" w:name="_GoBack"/>
            <w:r/>
            <w:bookmarkEnd w:id="50"/>
            <w:r>
              <w:rPr>
                <w:rFonts w:hint="eastAsia" w:ascii="宋体" w:hAnsi="宋体" w:eastAsia="宋体" w:cs="宋体"/>
                <w:color w:val="auto"/>
                <w:sz w:val="24"/>
                <w:highlight w:val="none"/>
                <w:lang w:val="en-US" w:eastAsia="zh-CN"/>
              </w:rPr>
              <w:t xml:space="preserve">）</w:t>
            </w:r>
            <w:r/>
          </w:p>
        </w:tc>
      </w:tr>
      <w:tr>
        <w:trPr>
          <w:jc w:val="center"/>
          <w:trHeight w:val="67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64"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95" w:type="dxa"/>
            <w:vAlign w:val="center"/>
            <w:textDirection w:val="lrTb"/>
            <w:noWrap w:val="false"/>
          </w:tcPr>
          <w:p>
            <w:pP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25" w:type="dxa"/>
            <w:vAlign w:val="center"/>
            <w:textDirection w:val="lrTb"/>
            <w:noWrap w:val="false"/>
          </w:tcPr>
          <w:p>
            <w:pP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23"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22"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254"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254"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76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64"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95" w:type="dxa"/>
            <w:vAlign w:val="center"/>
            <w:textDirection w:val="lrTb"/>
            <w:noWrap w:val="false"/>
          </w:tcPr>
          <w:p>
            <w:pP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25" w:type="dxa"/>
            <w:vAlign w:val="center"/>
            <w:textDirection w:val="lrTb"/>
            <w:noWrap w:val="false"/>
          </w:tcPr>
          <w:p>
            <w:pP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23"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22"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254"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254"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76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64"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95" w:type="dxa"/>
            <w:vAlign w:val="center"/>
            <w:textDirection w:val="lrTb"/>
            <w:noWrap w:val="false"/>
          </w:tcPr>
          <w:p>
            <w:pP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25" w:type="dxa"/>
            <w:vAlign w:val="center"/>
            <w:textDirection w:val="lrTb"/>
            <w:noWrap w:val="false"/>
          </w:tcPr>
          <w:p>
            <w:pP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23"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22"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254"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254"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626"/>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64"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95" w:type="dxa"/>
            <w:vAlign w:val="center"/>
            <w:textDirection w:val="lrTb"/>
            <w:noWrap w:val="false"/>
          </w:tcPr>
          <w:p>
            <w:pP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25" w:type="dxa"/>
            <w:vAlign w:val="center"/>
            <w:textDirection w:val="lrTb"/>
            <w:noWrap w:val="false"/>
          </w:tcPr>
          <w:p>
            <w:pP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23"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22"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254"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254"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jc w:val="center"/>
          <w:trHeight w:val="708"/>
        </w:trPr>
        <w:tc>
          <w:tcPr>
            <w:gridSpan w:val="2"/>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2359"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总</w:t>
            </w:r>
            <w:r>
              <w:rPr>
                <w:rFonts w:hint="eastAsia" w:ascii="宋体" w:hAnsi="宋体" w:eastAsia="宋体" w:cs="宋体"/>
                <w:color w:val="auto"/>
                <w:sz w:val="24"/>
                <w:highlight w:val="none"/>
              </w:rPr>
              <w:t xml:space="preserve">价（大写）</w:t>
            </w:r>
            <w:r/>
          </w:p>
        </w:tc>
        <w:tc>
          <w:tcPr>
            <w:gridSpan w:val="5"/>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7978" w:type="dxa"/>
            <w:textDirection w:val="lrTb"/>
            <w:noWrap w:val="false"/>
          </w:tcPr>
          <w:p>
            <w:pPr>
              <w:rPr>
                <w:rFonts w:ascii="宋体" w:hAnsi="宋体" w:eastAsia="宋体" w:cs="宋体"/>
                <w:color w:val="auto"/>
                <w:sz w:val="24"/>
                <w:highlight w:val="none"/>
              </w:rPr>
            </w:pPr>
            <w:r>
              <w:rPr>
                <w:rFonts w:ascii="宋体" w:hAnsi="宋体" w:eastAsia="宋体" w:cs="宋体"/>
                <w:color w:val="auto"/>
                <w:sz w:val="24"/>
                <w:highlight w:val="none"/>
              </w:rPr>
            </w:r>
            <w:r/>
          </w:p>
        </w:tc>
      </w:tr>
    </w:tbl>
    <w:p>
      <w:pPr>
        <w:ind w:firstLine="480"/>
        <w:rPr>
          <w:rFonts w:ascii="宋体" w:hAnsi="宋体" w:eastAsia="宋体" w:cs="宋体"/>
          <w:color w:val="auto"/>
          <w:sz w:val="24"/>
          <w:highlight w:val="none"/>
        </w:rPr>
      </w:pPr>
      <w:r>
        <w:rPr>
          <w:rFonts w:hint="eastAsia" w:ascii="宋体" w:hAnsi="宋体" w:eastAsia="宋体" w:cs="宋体"/>
          <w:color w:val="auto"/>
          <w:sz w:val="24"/>
          <w:highlight w:val="none"/>
        </w:rPr>
        <w:t xml:space="preserve">注：1.投标报价应是招标范围内全部工作内容的价格体现，报价明细表中的报价应包括全部工作内容的价格体现，以及为完成上述内容所必须的人员工资、加班费、工作人员差旅费、调研考察、各项福利、劳动保险、餐费、员工补助、工作人员必要的住宿费、办公费、论证费、验收费、各类方案评审费、（含专家劳务费、会议组织费）、管理费、为本招标项目提供服务所需的</w:t>
      </w:r>
      <w:r>
        <w:rPr>
          <w:rFonts w:hint="eastAsia" w:ascii="宋体" w:hAnsi="宋体" w:eastAsia="宋体" w:cs="宋体"/>
          <w:color w:val="auto"/>
          <w:sz w:val="24"/>
          <w:highlight w:val="none"/>
          <w:lang w:val="en-US" w:eastAsia="zh-CN"/>
        </w:rPr>
        <w:t xml:space="preserve">设施</w:t>
      </w:r>
      <w:r>
        <w:rPr>
          <w:rFonts w:hint="eastAsia" w:ascii="宋体" w:hAnsi="宋体" w:eastAsia="宋体" w:cs="宋体"/>
          <w:color w:val="auto"/>
          <w:sz w:val="24"/>
          <w:highlight w:val="none"/>
        </w:rPr>
        <w:t xml:space="preserve">设备、各类耗材、公共耗能费、利润、税金、本项目代理</w:t>
      </w:r>
      <w:r>
        <w:rPr>
          <w:rFonts w:hint="eastAsia" w:ascii="宋体" w:hAnsi="宋体" w:eastAsia="宋体" w:cs="宋体"/>
          <w:color w:val="auto"/>
          <w:sz w:val="24"/>
          <w:highlight w:val="none"/>
          <w:lang w:val="en-US" w:eastAsia="zh-CN"/>
        </w:rPr>
        <w:t xml:space="preserve">服务</w:t>
      </w:r>
      <w:r>
        <w:rPr>
          <w:rFonts w:hint="eastAsia" w:ascii="宋体" w:hAnsi="宋体" w:eastAsia="宋体" w:cs="宋体"/>
          <w:color w:val="auto"/>
          <w:sz w:val="24"/>
          <w:highlight w:val="none"/>
        </w:rPr>
        <w:t xml:space="preserve">费</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评审费</w:t>
      </w:r>
      <w:r>
        <w:rPr>
          <w:rFonts w:hint="eastAsia" w:ascii="宋体" w:hAnsi="宋体" w:eastAsia="宋体" w:cs="宋体"/>
          <w:color w:val="auto"/>
          <w:sz w:val="24"/>
          <w:highlight w:val="none"/>
        </w:rPr>
        <w:t xml:space="preserve">、服务期内政策调整风险费等一切费用，招标文件规定的全部费用投标人中标后投标报价不再调整。对投标人认为没有考虑到的费用项目采购人将不予支付，并认为此项费用已包含在投标报价中。</w:t>
      </w:r>
      <w:r/>
    </w:p>
    <w:p>
      <w:pPr>
        <w:ind w:firstLine="480"/>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2.此表可以根据需要自行增减行数。</w:t>
      </w:r>
      <w:r/>
    </w:p>
    <w:p>
      <w:pPr>
        <w:spacing w:line="60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法定代表人或被授权人（签字）：</w:t>
      </w:r>
      <w:r/>
    </w:p>
    <w:p>
      <w:pPr>
        <w:ind w:firstLine="480"/>
        <w:spacing w:line="60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企业名称（加盖CA电子公章）：</w:t>
      </w:r>
      <w:r/>
    </w:p>
    <w:p>
      <w:pPr>
        <w:ind w:firstLine="480"/>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jc w:val="right"/>
        <w:rPr>
          <w:rFonts w:ascii="宋体" w:hAnsi="宋体" w:eastAsia="宋体" w:cs="宋体"/>
          <w:color w:val="auto"/>
          <w:sz w:val="24"/>
          <w:highlight w:val="none"/>
        </w:rPr>
        <w:outlineLvl w:val="1"/>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ind w:firstLine="643"/>
        <w:rPr>
          <w:rFonts w:ascii="黑体" w:hAnsi="Times New Roman" w:eastAsia="黑体" w:cs="Times New Roman"/>
          <w:b/>
          <w:bCs/>
          <w:color w:val="auto"/>
          <w:sz w:val="32"/>
          <w:szCs w:val="32"/>
          <w:highlight w:val="none"/>
        </w:rPr>
      </w:pPr>
      <w:r>
        <w:rPr>
          <w:rFonts w:hint="eastAsia" w:ascii="黑体" w:hAnsi="Times New Roman" w:eastAsia="黑体" w:cs="Times New Roman"/>
          <w:b/>
          <w:bCs/>
          <w:color w:val="auto"/>
          <w:sz w:val="32"/>
          <w:szCs w:val="32"/>
          <w:highlight w:val="none"/>
        </w:rPr>
        <w:br w:type="page" w:clear="all"/>
      </w:r>
      <w:r/>
    </w:p>
    <w:p>
      <w:pPr>
        <w:ind w:firstLine="643"/>
        <w:jc w:val="center"/>
        <w:rPr>
          <w:rFonts w:ascii="黑体" w:hAnsi="Times New Roman" w:eastAsia="黑体" w:cs="Times New Roman"/>
          <w:b/>
          <w:bCs/>
          <w:color w:val="auto"/>
          <w:sz w:val="32"/>
          <w:szCs w:val="32"/>
          <w:highlight w:val="none"/>
        </w:rPr>
      </w:pPr>
      <w:r>
        <w:rPr>
          <w:rFonts w:hint="eastAsia" w:ascii="黑体" w:hAnsi="Times New Roman" w:eastAsia="黑体" w:cs="Times New Roman"/>
          <w:b/>
          <w:bCs/>
          <w:color w:val="auto"/>
          <w:sz w:val="32"/>
          <w:szCs w:val="32"/>
          <w:highlight w:val="none"/>
        </w:rPr>
        <w:t xml:space="preserve">7.投标函</w:t>
      </w:r>
      <w:r/>
    </w:p>
    <w:p>
      <w:pPr>
        <w:pStyle w:val="836"/>
        <w:spacing w:before="0" w:after="0" w:line="420" w:lineRule="exact"/>
        <w:rPr>
          <w:rFonts w:ascii="宋体" w:hAnsi="宋体" w:eastAsia="宋体"/>
          <w:color w:val="auto"/>
          <w:szCs w:val="21"/>
          <w:highlight w:val="none"/>
          <w:u w:val="single"/>
        </w:rPr>
      </w:pPr>
      <w:r>
        <w:rPr>
          <w:rFonts w:hint="eastAsia" w:ascii="宋体" w:hAnsi="宋体"/>
          <w:color w:val="auto"/>
          <w:szCs w:val="21"/>
          <w:highlight w:val="none"/>
        </w:rPr>
        <w:t xml:space="preserve">致：</w:t>
      </w:r>
      <w:r>
        <w:rPr>
          <w:rFonts w:hint="eastAsia" w:ascii="宋体" w:hAnsi="宋体"/>
          <w:color w:val="auto"/>
          <w:szCs w:val="21"/>
          <w:highlight w:val="none"/>
          <w:u w:val="single"/>
        </w:rPr>
        <w:t xml:space="preserve">                </w:t>
      </w:r>
      <w:r/>
    </w:p>
    <w:p>
      <w:pPr>
        <w:pStyle w:val="836"/>
        <w:spacing w:before="0" w:after="0" w:line="420" w:lineRule="exact"/>
        <w:rPr>
          <w:rFonts w:ascii="宋体" w:hAnsi="宋体"/>
          <w:color w:val="auto"/>
          <w:szCs w:val="21"/>
          <w:highlight w:val="none"/>
        </w:rPr>
      </w:pPr>
      <w:r>
        <w:rPr>
          <w:rFonts w:ascii="宋体" w:hAnsi="宋体"/>
          <w:color w:val="auto"/>
          <w:szCs w:val="21"/>
          <w:highlight w:val="none"/>
        </w:rPr>
      </w:r>
      <w:r/>
    </w:p>
    <w:p>
      <w:pPr>
        <w:pStyle w:val="836"/>
        <w:spacing w:before="0" w:after="0" w:line="420" w:lineRule="exact"/>
        <w:rPr>
          <w:rFonts w:ascii="宋体" w:hAnsi="宋体"/>
          <w:color w:val="auto"/>
          <w:szCs w:val="21"/>
          <w:highlight w:val="none"/>
        </w:rPr>
      </w:pPr>
      <w:r>
        <w:rPr>
          <w:rFonts w:hint="eastAsia" w:ascii="宋体" w:hAnsi="宋体"/>
          <w:color w:val="auto"/>
          <w:szCs w:val="21"/>
          <w:highlight w:val="none"/>
        </w:rPr>
        <w:t xml:space="preserve">根据贵方的</w:t>
      </w:r>
      <w:r>
        <w:rPr>
          <w:rFonts w:hint="eastAsia" w:ascii="宋体" w:hAnsi="宋体"/>
          <w:color w:val="auto"/>
          <w:szCs w:val="21"/>
          <w:highlight w:val="none"/>
          <w:lang w:eastAsia="zh-CN"/>
        </w:rPr>
        <w:t xml:space="preserve">JSZC-320981-TXJS-G2024-0037</w:t>
      </w:r>
      <w:r>
        <w:rPr>
          <w:rFonts w:hint="eastAsia" w:ascii="宋体" w:hAnsi="宋体"/>
          <w:color w:val="auto"/>
          <w:szCs w:val="21"/>
          <w:highlight w:val="none"/>
        </w:rPr>
        <w:t xml:space="preserve">号招标文件，正式授权下述签字人______(姓名)代表我方______________（投标人的名称），全权处理本次项目投标的有关事宜。</w:t>
      </w:r>
      <w:r/>
    </w:p>
    <w:p>
      <w:pPr>
        <w:pStyle w:val="836"/>
        <w:spacing w:before="0" w:after="0" w:line="420" w:lineRule="exact"/>
        <w:rPr>
          <w:rFonts w:ascii="宋体" w:hAnsi="宋体"/>
          <w:color w:val="auto"/>
          <w:szCs w:val="21"/>
          <w:highlight w:val="none"/>
        </w:rPr>
      </w:pPr>
      <w:r>
        <w:rPr>
          <w:rFonts w:hint="eastAsia" w:ascii="宋体" w:hAnsi="宋体"/>
          <w:color w:val="auto"/>
          <w:szCs w:val="21"/>
          <w:highlight w:val="none"/>
        </w:rPr>
        <w:t xml:space="preserve">据此函，__________签字人兹宣布同意如下：</w:t>
      </w:r>
      <w:r/>
    </w:p>
    <w:p>
      <w:pPr>
        <w:pStyle w:val="836"/>
        <w:spacing w:before="0" w:after="0" w:line="420" w:lineRule="exact"/>
        <w:rPr>
          <w:rFonts w:ascii="宋体" w:hAnsi="宋体"/>
          <w:color w:val="auto"/>
          <w:szCs w:val="21"/>
          <w:highlight w:val="none"/>
        </w:rPr>
      </w:pPr>
      <w:r>
        <w:rPr>
          <w:rFonts w:hint="eastAsia" w:ascii="宋体" w:hAnsi="宋体"/>
          <w:color w:val="auto"/>
          <w:szCs w:val="21"/>
          <w:highlight w:val="none"/>
        </w:rPr>
        <w:t xml:space="preserve">1.按招标文件规定的各项要求，向买方提供所需服务（包含与服务相关的货物）。</w:t>
      </w:r>
      <w:r/>
    </w:p>
    <w:p>
      <w:pPr>
        <w:pStyle w:val="836"/>
        <w:spacing w:before="0" w:after="0"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2.我们完全理解贵方不一定将合同授予最低报价的投标人。</w:t>
      </w:r>
      <w:r/>
    </w:p>
    <w:p>
      <w:pPr>
        <w:pStyle w:val="836"/>
        <w:spacing w:before="0" w:after="0"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3.我们已详细审核全部招标文件及其有效补充文件，我们知道必须放弃提出含糊不清或误解问题的权利。</w:t>
      </w:r>
      <w:r/>
    </w:p>
    <w:p>
      <w:pPr>
        <w:pStyle w:val="836"/>
        <w:spacing w:before="0" w:after="0"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4.我们同意从规定的开标日期起遵循本投标文件，并在规定的投标有效期期满之前均具有约束力。</w:t>
      </w:r>
      <w:r/>
    </w:p>
    <w:p>
      <w:pPr>
        <w:pStyle w:val="836"/>
        <w:spacing w:before="0" w:after="0"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5.同意向贵方提供贵方可能另外要求的与投标有关的任何证据或资料，并保证我方已提供和将要提供的文件是真实的、准确的。</w:t>
      </w:r>
      <w:r/>
    </w:p>
    <w:p>
      <w:pPr>
        <w:pStyle w:val="836"/>
        <w:spacing w:before="0" w:after="0"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6.一旦我方中标,我方将根据招标文件的规定，严格履行合同的责任和义务,并保证在招标文件规定的时间完成项目，交付买方验收、使用。</w:t>
      </w:r>
      <w:r/>
    </w:p>
    <w:p>
      <w:pPr>
        <w:pStyle w:val="836"/>
        <w:spacing w:before="0" w:after="0"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7.与本投标有关的正式通讯地址为：</w:t>
      </w:r>
      <w:r/>
    </w:p>
    <w:p>
      <w:pPr>
        <w:ind w:firstLine="480"/>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地址：</w:t>
      </w:r>
      <w:r/>
    </w:p>
    <w:p>
      <w:pPr>
        <w:ind w:firstLine="480"/>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邮编：</w:t>
      </w:r>
      <w:r/>
    </w:p>
    <w:p>
      <w:pPr>
        <w:ind w:firstLine="480"/>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电话：</w:t>
      </w:r>
      <w:r/>
    </w:p>
    <w:p>
      <w:pPr>
        <w:ind w:firstLine="480"/>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传真：</w:t>
      </w:r>
      <w:r/>
    </w:p>
    <w:p>
      <w:pPr>
        <w:ind w:firstLine="480"/>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投标人开户行：</w:t>
      </w:r>
      <w:r/>
    </w:p>
    <w:p>
      <w:pPr>
        <w:ind w:firstLine="480"/>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账户：                                      </w:t>
      </w:r>
      <w:r/>
    </w:p>
    <w:p>
      <w:pPr>
        <w:ind w:firstLine="480"/>
        <w:spacing w:line="48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法定代表人或被授权人（签字）：</w:t>
      </w:r>
      <w:r>
        <w:rPr>
          <w:rFonts w:hint="eastAsia" w:ascii="宋体" w:hAnsi="宋体" w:eastAsia="宋体" w:cs="宋体"/>
          <w:color w:val="auto"/>
          <w:sz w:val="24"/>
          <w:highlight w:val="none"/>
          <w:u w:val="single"/>
        </w:rPr>
        <w:t xml:space="preserve">              </w:t>
      </w:r>
      <w:r/>
    </w:p>
    <w:p>
      <w:pPr>
        <w:spacing w:line="48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企业名称（加盖CA电子公章）：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spacing w:line="480" w:lineRule="exact"/>
        <w:rPr>
          <w:rFonts w:ascii="宋体" w:hAnsi="宋体" w:eastAsia="宋体" w:cs="宋体"/>
          <w:color w:val="auto"/>
          <w:sz w:val="24"/>
          <w:highlight w:val="none"/>
        </w:rPr>
      </w:pPr>
      <w:r>
        <w:rPr>
          <w:rFonts w:ascii="宋体" w:hAnsi="宋体" w:eastAsia="宋体" w:cs="宋体"/>
          <w:color w:val="auto"/>
          <w:sz w:val="24"/>
          <w:highlight w:val="none"/>
        </w:rPr>
      </w:r>
      <w:r/>
    </w:p>
    <w:p>
      <w:pPr>
        <w:jc w:val="right"/>
        <w:spacing w:line="480" w:lineRule="exact"/>
        <w:rPr>
          <w:rFonts w:ascii="仿宋_GB2312" w:eastAsia="仿宋_GB2312"/>
          <w:color w:val="auto"/>
          <w:sz w:val="24"/>
          <w:highlight w:val="none"/>
        </w:rPr>
        <w:outlineLvl w:val="1"/>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rPr>
          <w:rFonts w:hint="eastAsia" w:ascii="仿宋_GB2312" w:eastAsia="仿宋_GB2312"/>
          <w:color w:val="auto"/>
          <w:sz w:val="24"/>
          <w:highlight w:val="none"/>
        </w:rPr>
        <w:t xml:space="preserve"> </w:t>
      </w:r>
      <w:r/>
    </w:p>
    <w:p>
      <w:pPr>
        <w:ind w:firstLine="643"/>
        <w:rPr>
          <w:rFonts w:ascii="黑体" w:hAnsi="Times New Roman" w:eastAsia="黑体" w:cs="Times New Roman"/>
          <w:b/>
          <w:bCs/>
          <w:color w:val="auto"/>
          <w:sz w:val="32"/>
          <w:szCs w:val="32"/>
          <w:highlight w:val="none"/>
        </w:rPr>
      </w:pPr>
      <w:r>
        <w:rPr>
          <w:rFonts w:hint="eastAsia" w:ascii="黑体" w:hAnsi="Times New Roman" w:eastAsia="黑体" w:cs="Times New Roman"/>
          <w:b/>
          <w:bCs/>
          <w:color w:val="auto"/>
          <w:sz w:val="32"/>
          <w:szCs w:val="32"/>
          <w:highlight w:val="none"/>
        </w:rPr>
        <w:br w:type="page" w:clear="all"/>
      </w:r>
      <w:r/>
    </w:p>
    <w:p>
      <w:pPr>
        <w:ind w:firstLine="643"/>
        <w:jc w:val="center"/>
        <w:rPr>
          <w:rFonts w:ascii="黑体" w:hAnsi="Times New Roman" w:eastAsia="黑体" w:cs="Times New Roman"/>
          <w:b/>
          <w:bCs/>
          <w:color w:val="auto"/>
          <w:sz w:val="32"/>
          <w:szCs w:val="32"/>
          <w:highlight w:val="none"/>
        </w:rPr>
        <w:outlineLvl w:val="1"/>
      </w:pPr>
      <w:r>
        <w:rPr>
          <w:rFonts w:hint="eastAsia" w:ascii="黑体" w:hAnsi="Times New Roman" w:eastAsia="黑体" w:cs="Times New Roman"/>
          <w:b/>
          <w:bCs/>
          <w:color w:val="auto"/>
          <w:sz w:val="32"/>
          <w:szCs w:val="32"/>
          <w:highlight w:val="none"/>
        </w:rPr>
        <w:t xml:space="preserve">8.所供服务（服务附带的产品）内容及服务要求偏离表</w:t>
      </w:r>
      <w:r/>
    </w:p>
    <w:p>
      <w:pPr>
        <w:pStyle w:val="677"/>
        <w:ind w:left="480"/>
        <w:rPr>
          <w:rFonts w:hint="default"/>
          <w:color w:val="auto"/>
          <w:highlight w:val="none"/>
        </w:rPr>
      </w:pPr>
      <w:r>
        <w:rPr>
          <w:rFonts w:hint="default"/>
          <w:color w:val="auto"/>
          <w:highlight w:val="none"/>
        </w:rPr>
      </w:r>
      <w:r/>
    </w:p>
    <w:tbl>
      <w:tblPr>
        <w:tblStyle w:val="645"/>
        <w:tblW w:w="0" w:type="auto"/>
        <w:jc w:val="center"/>
        <w:tblLayout w:type="fixed"/>
        <w:tblCellMar>
          <w:left w:w="0" w:type="dxa"/>
          <w:top w:w="0" w:type="dxa"/>
          <w:right w:w="0" w:type="dxa"/>
          <w:bottom w:w="0" w:type="dxa"/>
        </w:tblCellMar>
        <w:tblLook w:val="04A0" w:firstRow="1" w:lastRow="0" w:firstColumn="1" w:lastColumn="0" w:noHBand="0" w:noVBand="1"/>
      </w:tblPr>
      <w:tblGrid>
        <w:gridCol w:w="724"/>
        <w:gridCol w:w="1760"/>
        <w:gridCol w:w="2493"/>
        <w:gridCol w:w="2268"/>
        <w:gridCol w:w="1067"/>
      </w:tblGrid>
      <w:tr>
        <w:trPr>
          <w:jc w:val="center"/>
          <w:trHeight w:val="556"/>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24" w:type="dxa"/>
            <w:vAlign w:val="center"/>
            <w:textDirection w:val="lrTb"/>
            <w:noWrap w:val="false"/>
          </w:tcPr>
          <w:p>
            <w:pPr>
              <w:jc w:val="center"/>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60" w:type="dxa"/>
            <w:vAlign w:val="center"/>
            <w:textDirection w:val="lrTb"/>
            <w:noWrap w:val="false"/>
          </w:tcPr>
          <w:p>
            <w:pPr>
              <w:jc w:val="center"/>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93" w:type="dxa"/>
            <w:vAlign w:val="center"/>
            <w:textDirection w:val="lrTb"/>
            <w:noWrap w:val="false"/>
          </w:tcPr>
          <w:p>
            <w:pPr>
              <w:jc w:val="center"/>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采购服务（服务附带的产品）内容及服务要求</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268" w:type="dxa"/>
            <w:vAlign w:val="center"/>
            <w:textDirection w:val="lrTb"/>
            <w:noWrap w:val="false"/>
          </w:tcPr>
          <w:p>
            <w:pPr>
              <w:jc w:val="center"/>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所供服务（服务附带的产品）内容及服务要求</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7" w:type="dxa"/>
            <w:vAlign w:val="center"/>
            <w:textDirection w:val="lrTb"/>
            <w:noWrap w:val="false"/>
          </w:tcPr>
          <w:p>
            <w:pPr>
              <w:jc w:val="center"/>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偏离说明</w:t>
            </w:r>
            <w:r/>
          </w:p>
        </w:tc>
      </w:tr>
      <w:tr>
        <w:trPr>
          <w:jc w:val="center"/>
          <w:trHeight w:val="53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24" w:type="dxa"/>
            <w:vAlign w:val="center"/>
            <w:textDirection w:val="lrTb"/>
            <w:noWrap w:val="false"/>
          </w:tcPr>
          <w:p>
            <w:pPr>
              <w:jc w:val="center"/>
              <w:spacing w:line="44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60" w:type="dxa"/>
            <w:vAlign w:val="center"/>
            <w:textDirection w:val="lrTb"/>
            <w:noWrap w:val="false"/>
          </w:tcPr>
          <w:p>
            <w:pPr>
              <w:spacing w:line="440" w:lineRule="exact"/>
              <w:rPr>
                <w:rFonts w:ascii="仿宋_GB2312" w:hAnsi="宋体" w:eastAsia="仿宋_GB2312"/>
                <w:color w:val="auto"/>
                <w:sz w:val="24"/>
                <w:highlight w:val="none"/>
              </w:rPr>
            </w:pPr>
            <w:r>
              <w:rPr>
                <w:rFonts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93" w:type="dxa"/>
            <w:vAlign w:val="center"/>
            <w:textDirection w:val="lrTb"/>
            <w:noWrap w:val="false"/>
          </w:tcPr>
          <w:p>
            <w:pPr>
              <w:spacing w:line="440" w:lineRule="exact"/>
              <w:rPr>
                <w:rFonts w:ascii="仿宋_GB2312" w:hAnsi="宋体" w:eastAsia="仿宋_GB2312"/>
                <w:color w:val="auto"/>
                <w:sz w:val="24"/>
                <w:highlight w:val="none"/>
              </w:rPr>
            </w:pPr>
            <w:r>
              <w:rPr>
                <w:rFonts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268" w:type="dxa"/>
            <w:vAlign w:val="center"/>
            <w:textDirection w:val="lrTb"/>
            <w:noWrap w:val="false"/>
          </w:tcPr>
          <w:p>
            <w:pPr>
              <w:jc w:val="center"/>
              <w:spacing w:line="44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7" w:type="dxa"/>
            <w:vAlign w:val="center"/>
            <w:textDirection w:val="lrTb"/>
            <w:noWrap w:val="false"/>
          </w:tcPr>
          <w:p>
            <w:pPr>
              <w:jc w:val="center"/>
              <w:spacing w:line="44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53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24" w:type="dxa"/>
            <w:vAlign w:val="center"/>
            <w:textDirection w:val="lrTb"/>
            <w:noWrap w:val="false"/>
          </w:tcPr>
          <w:p>
            <w:pPr>
              <w:jc w:val="center"/>
              <w:spacing w:line="44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60" w:type="dxa"/>
            <w:vAlign w:val="center"/>
            <w:textDirection w:val="lrTb"/>
            <w:noWrap w:val="false"/>
          </w:tcPr>
          <w:p>
            <w:pPr>
              <w:spacing w:line="44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93" w:type="dxa"/>
            <w:vAlign w:val="center"/>
            <w:textDirection w:val="lrTb"/>
            <w:noWrap w:val="false"/>
          </w:tcPr>
          <w:p>
            <w:pPr>
              <w:spacing w:line="44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268" w:type="dxa"/>
            <w:vAlign w:val="center"/>
            <w:textDirection w:val="lrTb"/>
            <w:noWrap w:val="false"/>
          </w:tcPr>
          <w:p>
            <w:pPr>
              <w:jc w:val="center"/>
              <w:spacing w:line="44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7" w:type="dxa"/>
            <w:vAlign w:val="center"/>
            <w:textDirection w:val="lrTb"/>
            <w:noWrap w:val="false"/>
          </w:tcPr>
          <w:p>
            <w:pPr>
              <w:jc w:val="center"/>
              <w:spacing w:line="44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53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24" w:type="dxa"/>
            <w:vAlign w:val="center"/>
            <w:textDirection w:val="lrTb"/>
            <w:noWrap w:val="false"/>
          </w:tcPr>
          <w:p>
            <w:pPr>
              <w:jc w:val="center"/>
              <w:spacing w:line="44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60" w:type="dxa"/>
            <w:vAlign w:val="center"/>
            <w:textDirection w:val="lrTb"/>
            <w:noWrap w:val="false"/>
          </w:tcPr>
          <w:p>
            <w:pPr>
              <w:spacing w:line="440" w:lineRule="exact"/>
              <w:rPr>
                <w:rFonts w:ascii="仿宋_GB2312" w:hAnsi="宋体" w:eastAsia="仿宋_GB2312"/>
                <w:color w:val="auto"/>
                <w:sz w:val="24"/>
                <w:highlight w:val="none"/>
              </w:rPr>
            </w:pPr>
            <w:r>
              <w:rPr>
                <w:rFonts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93" w:type="dxa"/>
            <w:vAlign w:val="center"/>
            <w:textDirection w:val="lrTb"/>
            <w:noWrap w:val="false"/>
          </w:tcPr>
          <w:p>
            <w:pPr>
              <w:spacing w:line="440" w:lineRule="exact"/>
              <w:rPr>
                <w:rFonts w:ascii="仿宋_GB2312" w:hAnsi="宋体" w:eastAsia="仿宋_GB2312"/>
                <w:color w:val="auto"/>
                <w:sz w:val="24"/>
                <w:highlight w:val="none"/>
              </w:rPr>
            </w:pPr>
            <w:r>
              <w:rPr>
                <w:rFonts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268" w:type="dxa"/>
            <w:vAlign w:val="center"/>
            <w:textDirection w:val="lrTb"/>
            <w:noWrap w:val="false"/>
          </w:tcPr>
          <w:p>
            <w:pPr>
              <w:jc w:val="center"/>
              <w:spacing w:line="44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7" w:type="dxa"/>
            <w:vAlign w:val="center"/>
            <w:textDirection w:val="lrTb"/>
            <w:noWrap w:val="false"/>
          </w:tcPr>
          <w:p>
            <w:pPr>
              <w:jc w:val="center"/>
              <w:spacing w:line="44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53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24" w:type="dxa"/>
            <w:vAlign w:val="center"/>
            <w:textDirection w:val="lrTb"/>
            <w:noWrap w:val="false"/>
          </w:tcPr>
          <w:p>
            <w:pPr>
              <w:jc w:val="center"/>
              <w:spacing w:line="44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60" w:type="dxa"/>
            <w:vAlign w:val="center"/>
            <w:textDirection w:val="lrTb"/>
            <w:noWrap w:val="false"/>
          </w:tcPr>
          <w:p>
            <w:pPr>
              <w:spacing w:line="440" w:lineRule="exact"/>
              <w:rPr>
                <w:rFonts w:ascii="仿宋_GB2312" w:hAnsi="宋体" w:eastAsia="仿宋_GB2312"/>
                <w:color w:val="auto"/>
                <w:sz w:val="24"/>
                <w:highlight w:val="none"/>
              </w:rPr>
            </w:pPr>
            <w:r>
              <w:rPr>
                <w:rFonts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93" w:type="dxa"/>
            <w:vAlign w:val="center"/>
            <w:textDirection w:val="lrTb"/>
            <w:noWrap w:val="false"/>
          </w:tcPr>
          <w:p>
            <w:pPr>
              <w:spacing w:line="440" w:lineRule="exact"/>
              <w:rPr>
                <w:rFonts w:ascii="仿宋_GB2312" w:hAnsi="宋体" w:eastAsia="仿宋_GB2312"/>
                <w:color w:val="auto"/>
                <w:sz w:val="24"/>
                <w:highlight w:val="none"/>
              </w:rPr>
            </w:pPr>
            <w:r>
              <w:rPr>
                <w:rFonts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268" w:type="dxa"/>
            <w:vAlign w:val="center"/>
            <w:textDirection w:val="lrTb"/>
            <w:noWrap w:val="false"/>
          </w:tcPr>
          <w:p>
            <w:pPr>
              <w:jc w:val="center"/>
              <w:spacing w:line="44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7" w:type="dxa"/>
            <w:vAlign w:val="center"/>
            <w:textDirection w:val="lrTb"/>
            <w:noWrap w:val="false"/>
          </w:tcPr>
          <w:p>
            <w:pPr>
              <w:jc w:val="center"/>
              <w:spacing w:line="44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53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24" w:type="dxa"/>
            <w:vAlign w:val="center"/>
            <w:textDirection w:val="lrTb"/>
            <w:noWrap w:val="false"/>
          </w:tcPr>
          <w:p>
            <w:pPr>
              <w:jc w:val="center"/>
              <w:spacing w:line="44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60" w:type="dxa"/>
            <w:vAlign w:val="center"/>
            <w:textDirection w:val="lrTb"/>
            <w:noWrap w:val="false"/>
          </w:tcPr>
          <w:p>
            <w:pPr>
              <w:spacing w:line="440" w:lineRule="exact"/>
              <w:rPr>
                <w:rFonts w:ascii="仿宋_GB2312" w:hAnsi="宋体" w:eastAsia="仿宋_GB2312"/>
                <w:color w:val="auto"/>
                <w:sz w:val="24"/>
                <w:highlight w:val="none"/>
              </w:rPr>
            </w:pPr>
            <w:r>
              <w:rPr>
                <w:rFonts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93" w:type="dxa"/>
            <w:vAlign w:val="center"/>
            <w:textDirection w:val="lrTb"/>
            <w:noWrap w:val="false"/>
          </w:tcPr>
          <w:p>
            <w:pPr>
              <w:spacing w:line="440" w:lineRule="exact"/>
              <w:rPr>
                <w:rFonts w:ascii="仿宋_GB2312" w:hAnsi="宋体" w:eastAsia="仿宋_GB2312"/>
                <w:color w:val="auto"/>
                <w:sz w:val="24"/>
                <w:highlight w:val="none"/>
              </w:rPr>
            </w:pPr>
            <w:r>
              <w:rPr>
                <w:rFonts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268" w:type="dxa"/>
            <w:vAlign w:val="center"/>
            <w:textDirection w:val="lrTb"/>
            <w:noWrap w:val="false"/>
          </w:tcPr>
          <w:p>
            <w:pPr>
              <w:jc w:val="center"/>
              <w:spacing w:line="44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7" w:type="dxa"/>
            <w:vAlign w:val="center"/>
            <w:textDirection w:val="lrTb"/>
            <w:noWrap w:val="false"/>
          </w:tcPr>
          <w:p>
            <w:pPr>
              <w:jc w:val="center"/>
              <w:spacing w:line="44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53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24" w:type="dxa"/>
            <w:vAlign w:val="center"/>
            <w:textDirection w:val="lrTb"/>
            <w:noWrap w:val="false"/>
          </w:tcPr>
          <w:p>
            <w:pPr>
              <w:jc w:val="center"/>
              <w:spacing w:line="44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60" w:type="dxa"/>
            <w:vAlign w:val="center"/>
            <w:textDirection w:val="lrTb"/>
            <w:noWrap w:val="false"/>
          </w:tcPr>
          <w:p>
            <w:pPr>
              <w:spacing w:line="440" w:lineRule="exact"/>
              <w:rPr>
                <w:rFonts w:ascii="仿宋_GB2312" w:hAnsi="宋体" w:eastAsia="仿宋_GB2312"/>
                <w:color w:val="auto"/>
                <w:sz w:val="24"/>
                <w:highlight w:val="none"/>
              </w:rPr>
            </w:pPr>
            <w:r>
              <w:rPr>
                <w:rFonts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93" w:type="dxa"/>
            <w:vAlign w:val="center"/>
            <w:textDirection w:val="lrTb"/>
            <w:noWrap w:val="false"/>
          </w:tcPr>
          <w:p>
            <w:pPr>
              <w:spacing w:line="440" w:lineRule="exact"/>
              <w:rPr>
                <w:rFonts w:ascii="仿宋_GB2312" w:hAnsi="宋体" w:eastAsia="仿宋_GB2312"/>
                <w:color w:val="auto"/>
                <w:sz w:val="24"/>
                <w:highlight w:val="none"/>
              </w:rPr>
            </w:pPr>
            <w:r>
              <w:rPr>
                <w:rFonts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268" w:type="dxa"/>
            <w:vAlign w:val="center"/>
            <w:textDirection w:val="lrTb"/>
            <w:noWrap w:val="false"/>
          </w:tcPr>
          <w:p>
            <w:pPr>
              <w:jc w:val="center"/>
              <w:spacing w:line="44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7" w:type="dxa"/>
            <w:vAlign w:val="center"/>
            <w:textDirection w:val="lrTb"/>
            <w:noWrap w:val="false"/>
          </w:tcPr>
          <w:p>
            <w:pPr>
              <w:jc w:val="center"/>
              <w:spacing w:line="440" w:lineRule="exact"/>
              <w:rPr>
                <w:rFonts w:ascii="仿宋_GB2312" w:eastAsia="仿宋_GB2312"/>
                <w:color w:val="auto"/>
                <w:sz w:val="24"/>
                <w:highlight w:val="none"/>
              </w:rPr>
            </w:pPr>
            <w:r>
              <w:rPr>
                <w:rFonts w:ascii="仿宋_GB2312" w:eastAsia="仿宋_GB2312"/>
                <w:color w:val="auto"/>
                <w:sz w:val="24"/>
                <w:highlight w:val="none"/>
              </w:rPr>
            </w:r>
            <w:r/>
          </w:p>
        </w:tc>
      </w:tr>
    </w:tbl>
    <w:p>
      <w:pPr>
        <w:ind w:firstLine="480"/>
        <w:spacing w:line="440" w:lineRule="exact"/>
        <w:rPr>
          <w:rFonts w:ascii="仿宋_GB2312" w:eastAsia="仿宋_GB2312"/>
          <w:color w:val="auto"/>
          <w:sz w:val="24"/>
          <w:highlight w:val="none"/>
        </w:rPr>
      </w:pPr>
      <w:r>
        <w:rPr>
          <w:rFonts w:ascii="仿宋_GB2312" w:eastAsia="仿宋_GB2312"/>
          <w:color w:val="auto"/>
          <w:sz w:val="24"/>
          <w:highlight w:val="none"/>
        </w:rPr>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注：该表必须按照招标文件要求逐条如实填写，根据所供产品情况在“偏离说明”项填写正偏离或负偏离及原因，完全符合的填写“无偏离”。</w:t>
      </w:r>
      <w:r/>
    </w:p>
    <w:p>
      <w:pPr>
        <w:ind w:firstLine="480"/>
        <w:spacing w:line="460" w:lineRule="exact"/>
        <w:rPr>
          <w:rFonts w:asciiTheme="minorEastAsia" w:hAnsiTheme="minorEastAsia" w:cstheme="minorEastAsia"/>
          <w:color w:val="auto"/>
          <w:sz w:val="24"/>
          <w:highlight w:val="none"/>
        </w:rPr>
      </w:pPr>
      <w:r>
        <w:rPr>
          <w:rFonts w:asciiTheme="minorEastAsia" w:hAnsiTheme="minorEastAsia" w:cstheme="minorEastAsia"/>
          <w:color w:val="auto"/>
          <w:sz w:val="24"/>
          <w:highlight w:val="none"/>
        </w:rPr>
      </w:r>
      <w:r/>
    </w:p>
    <w:p>
      <w:pPr>
        <w:ind w:firstLine="480"/>
        <w:spacing w:line="460" w:lineRule="exact"/>
        <w:rPr>
          <w:rFonts w:asciiTheme="minorEastAsia" w:hAnsiTheme="minorEastAsia" w:cstheme="minorEastAsia"/>
          <w:color w:val="auto"/>
          <w:sz w:val="24"/>
          <w:highlight w:val="none"/>
        </w:rPr>
      </w:pPr>
      <w:r>
        <w:rPr>
          <w:rFonts w:asciiTheme="minorEastAsia" w:hAnsiTheme="minorEastAsia" w:cstheme="minorEastAsia"/>
          <w:color w:val="auto"/>
          <w:sz w:val="24"/>
          <w:highlight w:val="none"/>
        </w:rPr>
      </w:r>
      <w:r/>
    </w:p>
    <w:p>
      <w:pPr>
        <w:ind w:firstLine="480"/>
        <w:spacing w:line="460" w:lineRule="exact"/>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法定代表人或被授权人签字：</w:t>
      </w:r>
      <w:r/>
    </w:p>
    <w:p>
      <w:pPr>
        <w:ind w:firstLine="480"/>
        <w:spacing w:line="460" w:lineRule="exact"/>
        <w:rPr>
          <w:rFonts w:asciiTheme="minorEastAsia" w:hAnsiTheme="minorEastAsia" w:cstheme="minorEastAsia"/>
          <w:color w:val="auto"/>
          <w:sz w:val="24"/>
          <w:highlight w:val="none"/>
        </w:rPr>
      </w:pPr>
      <w:r>
        <w:rPr>
          <w:rFonts w:asciiTheme="minorEastAsia" w:hAnsiTheme="minorEastAsia" w:cstheme="minorEastAsia"/>
          <w:color w:val="auto"/>
          <w:sz w:val="24"/>
          <w:highlight w:val="none"/>
        </w:rPr>
      </w:r>
      <w:r/>
    </w:p>
    <w:p>
      <w:pPr>
        <w:ind w:firstLine="480"/>
        <w:spacing w:line="460" w:lineRule="exact"/>
        <w:rPr>
          <w:rFonts w:asciiTheme="minorEastAsia" w:hAnsiTheme="minorEastAsia" w:cstheme="minorEastAsia"/>
          <w:color w:val="auto"/>
          <w:sz w:val="24"/>
          <w:highlight w:val="none"/>
        </w:rPr>
      </w:pPr>
      <w:r>
        <w:rPr>
          <w:rFonts w:asciiTheme="minorEastAsia" w:hAnsiTheme="minorEastAsia" w:cstheme="minorEastAsia"/>
          <w:color w:val="auto"/>
          <w:sz w:val="24"/>
          <w:highlight w:val="none"/>
        </w:rPr>
      </w:r>
      <w:r/>
    </w:p>
    <w:p>
      <w:pPr>
        <w:ind w:firstLine="480"/>
        <w:spacing w:line="460" w:lineRule="exact"/>
        <w:rPr>
          <w:rFonts w:asciiTheme="minorEastAsia" w:hAnsiTheme="minorEastAsia" w:cstheme="minorEastAsia"/>
          <w:color w:val="auto"/>
          <w:sz w:val="24"/>
          <w:highlight w:val="none"/>
        </w:rPr>
      </w:pPr>
      <w:r>
        <w:rPr>
          <w:rFonts w:hint="eastAsia" w:ascii="宋体" w:hAnsi="宋体" w:eastAsia="宋体" w:cs="宋体"/>
          <w:color w:val="auto"/>
          <w:sz w:val="24"/>
          <w:highlight w:val="none"/>
        </w:rPr>
        <w:t xml:space="preserve">企业名称（加盖CA电子公章）</w:t>
      </w:r>
      <w:r>
        <w:rPr>
          <w:rFonts w:hint="eastAsia" w:asciiTheme="minorEastAsia" w:hAnsiTheme="minorEastAsia" w:cstheme="minorEastAsia"/>
          <w:color w:val="auto"/>
          <w:sz w:val="24"/>
          <w:highlight w:val="none"/>
        </w:rPr>
        <w:t xml:space="preserve">：</w:t>
      </w:r>
      <w:r/>
    </w:p>
    <w:p>
      <w:pPr>
        <w:ind w:firstLine="480"/>
        <w:spacing w:line="460" w:lineRule="exact"/>
        <w:rPr>
          <w:rFonts w:asciiTheme="minorEastAsia" w:hAnsiTheme="minorEastAsia" w:cstheme="minorEastAsia"/>
          <w:color w:val="auto"/>
          <w:sz w:val="24"/>
          <w:highlight w:val="none"/>
        </w:rPr>
      </w:pPr>
      <w:r>
        <w:rPr>
          <w:rFonts w:asciiTheme="minorEastAsia" w:hAnsiTheme="minorEastAsia" w:cstheme="minorEastAsia"/>
          <w:color w:val="auto"/>
          <w:sz w:val="24"/>
          <w:highlight w:val="none"/>
        </w:rPr>
      </w:r>
      <w:r/>
    </w:p>
    <w:p>
      <w:pPr>
        <w:ind w:firstLine="480"/>
        <w:spacing w:line="460" w:lineRule="exact"/>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p>
      <w:pPr>
        <w:jc w:val="right"/>
        <w:spacing w:line="460" w:lineRule="exact"/>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u w:val="single"/>
        </w:rPr>
        <w:t xml:space="preserve">           </w:t>
      </w:r>
      <w:r>
        <w:rPr>
          <w:rFonts w:hint="eastAsia" w:asciiTheme="minorEastAsia" w:hAnsiTheme="minorEastAsia" w:cstheme="minorEastAsia"/>
          <w:color w:val="auto"/>
          <w:sz w:val="24"/>
          <w:highlight w:val="none"/>
        </w:rPr>
        <w:t xml:space="preserve">年</w:t>
      </w:r>
      <w:r>
        <w:rPr>
          <w:rFonts w:hint="eastAsia" w:asciiTheme="minorEastAsia" w:hAnsiTheme="minorEastAsia" w:cstheme="minorEastAsia"/>
          <w:color w:val="auto"/>
          <w:sz w:val="24"/>
          <w:highlight w:val="none"/>
          <w:u w:val="single"/>
        </w:rPr>
        <w:t xml:space="preserve">    </w:t>
      </w:r>
      <w:r>
        <w:rPr>
          <w:rFonts w:hint="eastAsia" w:asciiTheme="minorEastAsia" w:hAnsiTheme="minorEastAsia" w:cstheme="minorEastAsia"/>
          <w:color w:val="auto"/>
          <w:sz w:val="24"/>
          <w:highlight w:val="none"/>
        </w:rPr>
        <w:t xml:space="preserve">月</w:t>
      </w:r>
      <w:r>
        <w:rPr>
          <w:rFonts w:hint="eastAsia" w:asciiTheme="minorEastAsia" w:hAnsiTheme="minorEastAsia" w:cstheme="minorEastAsia"/>
          <w:color w:val="auto"/>
          <w:sz w:val="24"/>
          <w:highlight w:val="none"/>
          <w:u w:val="single"/>
        </w:rPr>
        <w:t xml:space="preserve">    </w:t>
      </w:r>
      <w:r>
        <w:rPr>
          <w:rFonts w:hint="eastAsia" w:asciiTheme="minorEastAsia" w:hAnsiTheme="minorEastAsia" w:cstheme="minorEastAsia"/>
          <w:color w:val="auto"/>
          <w:sz w:val="24"/>
          <w:highlight w:val="none"/>
        </w:rPr>
        <w:t xml:space="preserve">日</w:t>
      </w:r>
      <w:r/>
    </w:p>
    <w:p>
      <w:pPr>
        <w:ind w:firstLine="643"/>
        <w:jc w:val="center"/>
        <w:rPr>
          <w:rFonts w:ascii="黑体" w:hAnsi="Times New Roman" w:eastAsia="黑体" w:cs="Times New Roman"/>
          <w:b/>
          <w:bCs/>
          <w:color w:val="auto"/>
          <w:sz w:val="32"/>
          <w:szCs w:val="32"/>
          <w:highlight w:val="none"/>
        </w:rPr>
      </w:pPr>
      <w:r>
        <w:rPr>
          <w:rFonts w:hint="eastAsia" w:ascii="黑体" w:hAnsi="Times New Roman" w:eastAsia="黑体" w:cs="Times New Roman"/>
          <w:b/>
          <w:bCs/>
          <w:color w:val="auto"/>
          <w:sz w:val="32"/>
          <w:szCs w:val="32"/>
          <w:highlight w:val="none"/>
        </w:rPr>
        <w:br w:type="page" w:clear="all"/>
      </w:r>
      <w:r/>
    </w:p>
    <w:p>
      <w:pPr>
        <w:ind w:firstLine="643"/>
        <w:jc w:val="center"/>
        <w:rPr>
          <w:rFonts w:ascii="黑体" w:hAnsi="Times New Roman" w:eastAsia="黑体" w:cs="Times New Roman"/>
          <w:b/>
          <w:bCs/>
          <w:color w:val="auto"/>
          <w:sz w:val="32"/>
          <w:szCs w:val="32"/>
          <w:highlight w:val="none"/>
        </w:rPr>
      </w:pPr>
      <w:r>
        <w:rPr>
          <w:rFonts w:hint="eastAsia" w:ascii="黑体" w:hAnsi="Times New Roman" w:eastAsia="黑体" w:cs="Times New Roman"/>
          <w:b/>
          <w:bCs/>
          <w:color w:val="auto"/>
          <w:sz w:val="32"/>
          <w:szCs w:val="32"/>
          <w:highlight w:val="none"/>
        </w:rPr>
        <w:t xml:space="preserve">9.服  务  承  诺</w:t>
      </w:r>
      <w:r/>
    </w:p>
    <w:p>
      <w:pPr>
        <w:rPr>
          <w:rFonts w:ascii="仿宋_GB2312" w:eastAsia="仿宋_GB2312"/>
          <w:color w:val="auto"/>
          <w:sz w:val="24"/>
          <w:highlight w:val="none"/>
        </w:rPr>
      </w:pPr>
      <w:r>
        <w:rPr>
          <w:rFonts w:ascii="仿宋_GB2312" w:eastAsia="仿宋_GB2312"/>
          <w:color w:val="auto"/>
          <w:sz w:val="24"/>
          <w:highlight w:val="none"/>
        </w:rPr>
      </w:r>
      <w:r/>
    </w:p>
    <w:p>
      <w:pPr>
        <w:spacing w:line="480" w:lineRule="exact"/>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如我方中标，郑重承诺如下：</w:t>
      </w:r>
      <w:r/>
    </w:p>
    <w:p>
      <w:pPr>
        <w:ind w:firstLine="480"/>
        <w:spacing w:line="480" w:lineRule="exact"/>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（1）</w:t>
      </w:r>
      <w:r>
        <w:rPr>
          <w:rFonts w:hint="eastAsia" w:ascii="宋体" w:hAnsi="宋体" w:eastAsia="宋体" w:cs="宋体"/>
          <w:color w:val="auto"/>
          <w:sz w:val="24"/>
          <w:highlight w:val="none"/>
        </w:rPr>
        <w:t xml:space="preserve">按照招标文件的要求，我方将在签订合同后，及时提交经评审通过的成果资料，并提供不少于</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年的跟踪服务；</w:t>
      </w:r>
      <w:r/>
    </w:p>
    <w:p>
      <w:pPr>
        <w:ind w:firstLine="480"/>
        <w:spacing w:line="480" w:lineRule="exact"/>
        <w:rPr>
          <w:rFonts w:eastAsia="宋体" w:asciiTheme="minorEastAsia" w:hAnsiTheme="minorEastAsia" w:cstheme="minorEastAsia"/>
          <w:color w:val="000000" w:themeColor="text1"/>
          <w:sz w:val="24"/>
          <w:highlight w:val="none"/>
          <w:shd w:val="clear" w:color="auto" w:fill="auto"/>
          <w14:textFill>
            <w14:solidFill>
              <w14:schemeClr w14:val="tx1"/>
            </w14:solidFill>
          </w14:textFill>
        </w:rPr>
      </w:pPr>
      <w:r>
        <w:rPr>
          <w:rFonts w:hint="eastAsia" w:asciiTheme="minorEastAsia" w:hAnsiTheme="minorEastAsia" w:cstheme="minorEastAsia"/>
          <w:color w:val="000000" w:themeColor="text1"/>
          <w:sz w:val="24"/>
          <w:highlight w:val="none"/>
          <w:shd w:val="clear" w:color="auto" w:fill="auto"/>
          <w14:textFill>
            <w14:solidFill>
              <w14:schemeClr w14:val="tx1"/>
            </w14:solidFill>
          </w14:textFill>
        </w:rPr>
        <w:t xml:space="preserve">（2）按照省委农办《江苏省宜居宜业和美乡村建设指南》制定宜居宜业和美乡村建设评价指标体系等相关要求，推进村庄环境集中连片整治提升，立足不同区位资源优势，一体推进自然要素和道路、村庄、景区、园区等生产生活要素整合更新。选取东台市弶港镇、头灶镇、东台镇、高新区，包括弶港镇巴斗村、八里村、新海村、新曹村、中来村，头灶镇华丿村、下舍村、金康村、金灶村、港东村、永丰村，东台镇华灶村、上官村、兴房村，高新区团北村等15个行政村编制宜居宜业和美乡村片区规划（具体数据以农业农村部门提供为准）</w:t>
      </w:r>
      <w:r>
        <w:rPr>
          <w:rFonts w:hint="eastAsia" w:eastAsia="宋体" w:asciiTheme="minorEastAsia" w:hAnsiTheme="minorEastAsia" w:cstheme="minorEastAsia"/>
          <w:color w:val="000000" w:themeColor="text1"/>
          <w:sz w:val="24"/>
          <w:highlight w:val="none"/>
          <w:shd w:val="clear" w:color="auto" w:fill="auto"/>
          <w14:textFill>
            <w14:solidFill>
              <w14:schemeClr w14:val="tx1"/>
            </w14:solidFill>
          </w14:textFill>
        </w:rPr>
        <w:t xml:space="preserve">；</w:t>
      </w:r>
      <w:r/>
    </w:p>
    <w:p>
      <w:pPr>
        <w:ind w:firstLine="480"/>
        <w:spacing w:line="480" w:lineRule="exact"/>
        <w:rPr>
          <w:rFonts w:eastAsia="宋体" w:asciiTheme="minorEastAsia" w:hAnsiTheme="minorEastAsia" w:cstheme="minorEastAsia"/>
          <w:color w:val="000000" w:themeColor="text1"/>
          <w:sz w:val="24"/>
          <w:highlight w:val="none"/>
          <w:shd w:val="clear" w:color="auto" w:fill="auto"/>
          <w14:textFill>
            <w14:solidFill>
              <w14:schemeClr w14:val="tx1"/>
            </w14:solidFill>
          </w14:textFill>
        </w:rPr>
      </w:pPr>
      <w:r>
        <w:rPr>
          <w:rFonts w:hint="eastAsia" w:asciiTheme="minorEastAsia" w:hAnsiTheme="minorEastAsia" w:cstheme="minorEastAsia"/>
          <w:color w:val="000000" w:themeColor="text1"/>
          <w:sz w:val="24"/>
          <w:highlight w:val="none"/>
          <w:shd w:val="clear" w:color="auto" w:fill="auto"/>
          <w14:textFill>
            <w14:solidFill>
              <w14:schemeClr w14:val="tx1"/>
            </w14:solidFill>
          </w14:textFill>
        </w:rPr>
        <w:t xml:space="preserve">（3）满足招标文件及招标过程中的全部条款和承诺</w:t>
      </w:r>
      <w:r>
        <w:rPr>
          <w:rFonts w:hint="eastAsia" w:eastAsia="宋体" w:asciiTheme="minorEastAsia" w:hAnsiTheme="minorEastAsia" w:cstheme="minorEastAsia"/>
          <w:color w:val="000000" w:themeColor="text1"/>
          <w:sz w:val="24"/>
          <w:highlight w:val="none"/>
          <w:shd w:val="clear" w:color="auto" w:fill="auto"/>
          <w14:textFill>
            <w14:solidFill>
              <w14:schemeClr w14:val="tx1"/>
            </w14:solidFill>
          </w14:textFill>
        </w:rPr>
        <w:t xml:space="preserve">；</w:t>
      </w:r>
      <w:r/>
    </w:p>
    <w:p>
      <w:pPr>
        <w:ind w:firstLine="480"/>
        <w:spacing w:line="480" w:lineRule="exact"/>
        <w:rPr>
          <w:rFonts w:asciiTheme="minorEastAsia" w:hAnsiTheme="minorEastAsia" w:cstheme="minorEastAsia"/>
          <w:color w:val="auto"/>
          <w:sz w:val="24"/>
          <w:highlight w:val="none"/>
        </w:rPr>
      </w:pPr>
      <w:r>
        <w:rPr>
          <w:rFonts w:hint="eastAsia" w:asciiTheme="minorEastAsia" w:hAnsiTheme="minorEastAsia" w:cstheme="minorEastAsia"/>
          <w:color w:val="000000" w:themeColor="text1"/>
          <w:sz w:val="24"/>
          <w:highlight w:val="none"/>
          <w:shd w:val="clear" w:color="auto" w:fill="auto"/>
          <w14:textFill>
            <w14:solidFill>
              <w14:schemeClr w14:val="tx1"/>
            </w14:solidFill>
          </w14:textFill>
        </w:rPr>
        <w:t xml:space="preserve">（</w:t>
      </w:r>
      <w:r>
        <w:rPr>
          <w:rFonts w:hint="eastAsia" w:eastAsia="宋体" w:asciiTheme="minorEastAsia" w:hAnsiTheme="minorEastAsia" w:cstheme="minorEastAsia"/>
          <w:color w:val="000000" w:themeColor="text1"/>
          <w:sz w:val="24"/>
          <w:highlight w:val="none"/>
          <w:shd w:val="clear" w:color="auto" w:fill="auto"/>
          <w:lang w:val="en-US" w:eastAsia="zh-CN"/>
          <w14:textFill>
            <w14:solidFill>
              <w14:schemeClr w14:val="tx1"/>
            </w14:solidFill>
          </w14:textFill>
        </w:rPr>
        <w:t xml:space="preserve">4</w:t>
      </w:r>
      <w:r>
        <w:rPr>
          <w:rFonts w:hint="eastAsia" w:asciiTheme="minorEastAsia" w:hAnsiTheme="minorEastAsia" w:cstheme="minorEastAsia"/>
          <w:color w:val="000000" w:themeColor="text1"/>
          <w:sz w:val="24"/>
          <w:highlight w:val="none"/>
          <w:shd w:val="clear" w:color="auto" w:fill="auto"/>
          <w14:textFill>
            <w14:solidFill>
              <w14:schemeClr w14:val="tx1"/>
            </w14:solidFill>
          </w14:textFill>
        </w:rPr>
        <w:t xml:space="preserve">）在服务期内，用户遇到使用及技术问题，我方为用户提供技术援助电话。联系电</w:t>
      </w:r>
      <w:r>
        <w:rPr>
          <w:rFonts w:hint="eastAsia" w:asciiTheme="minorEastAsia" w:hAnsiTheme="minorEastAsia" w:cstheme="minorEastAsia"/>
          <w:color w:val="auto"/>
          <w:sz w:val="24"/>
          <w:highlight w:val="none"/>
        </w:rPr>
        <w:t xml:space="preserve">话为：</w:t>
      </w:r>
      <w:r>
        <w:rPr>
          <w:rFonts w:hint="eastAsia" w:asciiTheme="minorEastAsia" w:hAnsiTheme="minorEastAsia" w:cstheme="minorEastAsia"/>
          <w:color w:val="auto"/>
          <w:sz w:val="24"/>
          <w:highlight w:val="none"/>
          <w:u w:val="single"/>
        </w:rPr>
        <w:t xml:space="preserve">              </w:t>
      </w:r>
      <w:r>
        <w:rPr>
          <w:rFonts w:hint="eastAsia" w:asciiTheme="minorEastAsia" w:hAnsiTheme="minorEastAsia" w:cstheme="minorEastAsia"/>
          <w:color w:val="auto"/>
          <w:sz w:val="24"/>
          <w:highlight w:val="none"/>
        </w:rPr>
        <w:t xml:space="preserve">。如电话咨询不能解决时，我方在</w:t>
      </w:r>
      <w:r>
        <w:rPr>
          <w:rFonts w:hint="eastAsia" w:asciiTheme="minorEastAsia" w:hAnsiTheme="minorEastAsia" w:cstheme="minorEastAsia"/>
          <w:color w:val="auto"/>
          <w:sz w:val="24"/>
          <w:highlight w:val="none"/>
          <w:u w:val="single"/>
        </w:rPr>
        <w:t xml:space="preserve">    </w:t>
      </w:r>
      <w:r>
        <w:rPr>
          <w:rFonts w:hint="eastAsia" w:asciiTheme="minorEastAsia" w:hAnsiTheme="minorEastAsia" w:cstheme="minorEastAsia"/>
          <w:color w:val="auto"/>
          <w:sz w:val="24"/>
          <w:highlight w:val="none"/>
        </w:rPr>
        <w:t xml:space="preserve">小时内采取相应措施，提供上门服务。仍无法解决时，我方在</w:t>
      </w:r>
      <w:r>
        <w:rPr>
          <w:rFonts w:hint="eastAsia" w:asciiTheme="minorEastAsia" w:hAnsiTheme="minorEastAsia" w:cstheme="minorEastAsia"/>
          <w:color w:val="auto"/>
          <w:sz w:val="24"/>
          <w:highlight w:val="none"/>
          <w:u w:val="single"/>
        </w:rPr>
        <w:t xml:space="preserve">   </w:t>
      </w:r>
      <w:r>
        <w:rPr>
          <w:rFonts w:hint="eastAsia" w:asciiTheme="minorEastAsia" w:hAnsiTheme="minorEastAsia" w:cstheme="minorEastAsia"/>
          <w:color w:val="auto"/>
          <w:sz w:val="24"/>
          <w:highlight w:val="none"/>
        </w:rPr>
        <w:t xml:space="preserve">小时内提供备选服务及方案，确保用户能够正常使用（时间从接到用户报修电话时起算）；如我方不能在承诺时间内采取相应措施或提供备用产品及服务，采购人自行处理，其费用在我方履约保证金中扣付；</w:t>
      </w:r>
      <w:r/>
    </w:p>
    <w:p>
      <w:pPr>
        <w:ind w:firstLine="480"/>
        <w:spacing w:line="480" w:lineRule="exact"/>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w:t>
      </w:r>
      <w:r>
        <w:rPr>
          <w:rFonts w:hint="eastAsia" w:eastAsia="宋体" w:asciiTheme="minorEastAsia" w:hAnsiTheme="minorEastAsia" w:cstheme="minorEastAsia"/>
          <w:color w:val="auto"/>
          <w:sz w:val="24"/>
          <w:highlight w:val="none"/>
          <w:lang w:val="en-US" w:eastAsia="zh-CN"/>
        </w:rPr>
        <w:t xml:space="preserve">5</w:t>
      </w:r>
      <w:r>
        <w:rPr>
          <w:rFonts w:hint="eastAsia" w:asciiTheme="minorEastAsia" w:hAnsiTheme="minorEastAsia" w:cstheme="minorEastAsia"/>
          <w:color w:val="auto"/>
          <w:sz w:val="24"/>
          <w:highlight w:val="none"/>
        </w:rPr>
        <w:t xml:space="preserve">）服务期满后，我方同样提供免费电话咨询服务，并以优惠价格提供售后服务；</w:t>
      </w:r>
      <w:r/>
    </w:p>
    <w:p>
      <w:pPr>
        <w:ind w:firstLine="480"/>
        <w:spacing w:line="480" w:lineRule="exact"/>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w:t>
      </w:r>
      <w:r>
        <w:rPr>
          <w:rFonts w:hint="eastAsia" w:asciiTheme="minorEastAsia" w:hAnsiTheme="minorEastAsia" w:cstheme="minorEastAsia"/>
          <w:color w:val="auto"/>
          <w:sz w:val="24"/>
          <w:highlight w:val="none"/>
          <w:lang w:val="en-US" w:eastAsia="zh-CN"/>
        </w:rPr>
        <w:t xml:space="preserve">6</w:t>
      </w:r>
      <w:r>
        <w:rPr>
          <w:rFonts w:hint="eastAsia" w:asciiTheme="minorEastAsia" w:hAnsiTheme="minorEastAsia" w:cstheme="minorEastAsia"/>
          <w:color w:val="auto"/>
          <w:sz w:val="24"/>
          <w:highlight w:val="none"/>
        </w:rPr>
        <w:t xml:space="preserve">）…………。</w:t>
      </w:r>
      <w:r/>
    </w:p>
    <w:p>
      <w:pPr>
        <w:ind w:firstLine="480"/>
        <w:spacing w:line="460" w:lineRule="exact"/>
        <w:rPr>
          <w:rFonts w:asciiTheme="minorEastAsia" w:hAnsiTheme="minorEastAsia" w:cstheme="minorEastAsia"/>
          <w:color w:val="auto"/>
          <w:sz w:val="24"/>
          <w:highlight w:val="none"/>
        </w:rPr>
      </w:pPr>
      <w:r>
        <w:rPr>
          <w:rFonts w:asciiTheme="minorEastAsia" w:hAnsiTheme="minorEastAsia" w:cstheme="minorEastAsia"/>
          <w:color w:val="auto"/>
          <w:sz w:val="24"/>
          <w:highlight w:val="none"/>
        </w:rPr>
      </w:r>
      <w:r/>
    </w:p>
    <w:p>
      <w:pPr>
        <w:ind w:firstLine="480"/>
        <w:spacing w:line="460" w:lineRule="exact"/>
        <w:rPr>
          <w:rFonts w:asciiTheme="minorEastAsia" w:hAnsiTheme="minorEastAsia" w:cstheme="minorEastAsia"/>
          <w:color w:val="auto"/>
          <w:sz w:val="24"/>
          <w:highlight w:val="none"/>
        </w:rPr>
      </w:pPr>
      <w:r>
        <w:rPr>
          <w:rFonts w:asciiTheme="minorEastAsia" w:hAnsiTheme="minorEastAsia" w:cstheme="minorEastAsia"/>
          <w:color w:val="auto"/>
          <w:sz w:val="24"/>
          <w:highlight w:val="none"/>
        </w:rPr>
      </w:r>
      <w:r/>
    </w:p>
    <w:p>
      <w:pPr>
        <w:ind w:firstLine="480"/>
        <w:spacing w:line="460" w:lineRule="exact"/>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法定代表人或被授权人签字：</w:t>
      </w:r>
      <w:r/>
    </w:p>
    <w:p>
      <w:pPr>
        <w:ind w:firstLine="480"/>
        <w:spacing w:line="460" w:lineRule="exact"/>
        <w:rPr>
          <w:rFonts w:asciiTheme="minorEastAsia" w:hAnsiTheme="minorEastAsia" w:cstheme="minorEastAsia"/>
          <w:color w:val="auto"/>
          <w:sz w:val="24"/>
          <w:highlight w:val="none"/>
        </w:rPr>
      </w:pPr>
      <w:r>
        <w:rPr>
          <w:rFonts w:asciiTheme="minorEastAsia" w:hAnsiTheme="minorEastAsia" w:cstheme="minorEastAsia"/>
          <w:color w:val="auto"/>
          <w:sz w:val="24"/>
          <w:highlight w:val="none"/>
        </w:rPr>
      </w:r>
      <w:r/>
    </w:p>
    <w:p>
      <w:pPr>
        <w:ind w:firstLine="480"/>
        <w:spacing w:line="460" w:lineRule="exact"/>
        <w:rPr>
          <w:rFonts w:asciiTheme="minorEastAsia" w:hAnsiTheme="minorEastAsia" w:cstheme="minorEastAsia"/>
          <w:color w:val="auto"/>
          <w:sz w:val="24"/>
          <w:highlight w:val="none"/>
        </w:rPr>
      </w:pPr>
      <w:r>
        <w:rPr>
          <w:rFonts w:hint="eastAsia" w:ascii="宋体" w:hAnsi="宋体" w:eastAsia="宋体" w:cs="宋体"/>
          <w:color w:val="auto"/>
          <w:sz w:val="24"/>
          <w:highlight w:val="none"/>
        </w:rPr>
        <w:t xml:space="preserve">企业名称（加盖CA电子公章）</w:t>
      </w:r>
      <w:r>
        <w:rPr>
          <w:rFonts w:hint="eastAsia" w:asciiTheme="minorEastAsia" w:hAnsiTheme="minorEastAsia" w:cstheme="minorEastAsia"/>
          <w:color w:val="auto"/>
          <w:sz w:val="24"/>
          <w:highlight w:val="none"/>
        </w:rPr>
        <w:t xml:space="preserve">：</w:t>
      </w:r>
      <w:r/>
    </w:p>
    <w:p>
      <w:pPr>
        <w:ind w:firstLine="480"/>
        <w:spacing w:line="460" w:lineRule="exact"/>
        <w:rPr>
          <w:rFonts w:asciiTheme="minorEastAsia" w:hAnsiTheme="minorEastAsia" w:cstheme="minorEastAsia"/>
          <w:color w:val="auto"/>
          <w:sz w:val="24"/>
          <w:highlight w:val="none"/>
        </w:rPr>
      </w:pPr>
      <w:r>
        <w:rPr>
          <w:rFonts w:asciiTheme="minorEastAsia" w:hAnsiTheme="minorEastAsia" w:cstheme="minorEastAsia"/>
          <w:color w:val="auto"/>
          <w:sz w:val="24"/>
          <w:highlight w:val="none"/>
        </w:rPr>
      </w:r>
      <w:r/>
    </w:p>
    <w:p>
      <w:pPr>
        <w:jc w:val="right"/>
        <w:spacing w:line="460" w:lineRule="exact"/>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u w:val="single"/>
        </w:rPr>
        <w:t xml:space="preserve">           </w:t>
      </w:r>
      <w:r>
        <w:rPr>
          <w:rFonts w:hint="eastAsia" w:asciiTheme="minorEastAsia" w:hAnsiTheme="minorEastAsia" w:cstheme="minorEastAsia"/>
          <w:color w:val="auto"/>
          <w:sz w:val="24"/>
          <w:highlight w:val="none"/>
        </w:rPr>
        <w:t xml:space="preserve">年</w:t>
      </w:r>
      <w:r>
        <w:rPr>
          <w:rFonts w:hint="eastAsia" w:asciiTheme="minorEastAsia" w:hAnsiTheme="minorEastAsia" w:cstheme="minorEastAsia"/>
          <w:color w:val="auto"/>
          <w:sz w:val="24"/>
          <w:highlight w:val="none"/>
          <w:u w:val="single"/>
        </w:rPr>
        <w:t xml:space="preserve">    </w:t>
      </w:r>
      <w:r>
        <w:rPr>
          <w:rFonts w:hint="eastAsia" w:asciiTheme="minorEastAsia" w:hAnsiTheme="minorEastAsia" w:cstheme="minorEastAsia"/>
          <w:color w:val="auto"/>
          <w:sz w:val="24"/>
          <w:highlight w:val="none"/>
        </w:rPr>
        <w:t xml:space="preserve">月</w:t>
      </w:r>
      <w:r>
        <w:rPr>
          <w:rFonts w:hint="eastAsia" w:asciiTheme="minorEastAsia" w:hAnsiTheme="minorEastAsia" w:cstheme="minorEastAsia"/>
          <w:color w:val="auto"/>
          <w:sz w:val="24"/>
          <w:highlight w:val="none"/>
          <w:u w:val="single"/>
        </w:rPr>
        <w:t xml:space="preserve">    </w:t>
      </w:r>
      <w:r>
        <w:rPr>
          <w:rFonts w:hint="eastAsia" w:asciiTheme="minorEastAsia" w:hAnsiTheme="minorEastAsia" w:cstheme="minorEastAsia"/>
          <w:color w:val="auto"/>
          <w:sz w:val="24"/>
          <w:highlight w:val="none"/>
        </w:rPr>
        <w:t xml:space="preserve">日</w:t>
      </w:r>
      <w:r/>
    </w:p>
    <w:p>
      <w:pPr>
        <w:ind w:firstLine="480"/>
        <w:jc w:val="center"/>
        <w:spacing w:line="560" w:lineRule="exact"/>
        <w:rPr>
          <w:rFonts w:ascii="宋体" w:hAnsi="宋体"/>
          <w:bCs/>
          <w:color w:val="auto"/>
          <w:sz w:val="24"/>
          <w:highlight w:val="none"/>
        </w:rPr>
      </w:pPr>
      <w:r>
        <w:rPr>
          <w:rFonts w:ascii="宋体" w:hAnsi="宋体"/>
          <w:bCs/>
          <w:color w:val="auto"/>
          <w:sz w:val="24"/>
          <w:highlight w:val="none"/>
        </w:rPr>
      </w:r>
      <w:r/>
    </w:p>
    <w:p>
      <w:pPr>
        <w:ind w:firstLine="643"/>
        <w:jc w:val="center"/>
        <w:spacing w:line="4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643"/>
        <w:jc w:val="center"/>
        <w:spacing w:line="460" w:lineRule="exact"/>
        <w:rPr>
          <w:rFonts w:ascii="黑体" w:hAnsi="Times New Roman" w:eastAsia="黑体" w:cs="Times New Roman"/>
          <w:b/>
          <w:bCs/>
          <w:color w:val="auto"/>
          <w:sz w:val="32"/>
          <w:szCs w:val="32"/>
          <w:highlight w:val="none"/>
        </w:rPr>
      </w:pPr>
      <w:r>
        <w:rPr>
          <w:rFonts w:hint="eastAsia" w:ascii="黑体" w:hAnsi="Calibri" w:eastAsia="黑体" w:cs="Times New Roman"/>
          <w:b/>
          <w:bCs/>
          <w:color w:val="auto"/>
          <w:sz w:val="32"/>
          <w:szCs w:val="32"/>
          <w:highlight w:val="none"/>
        </w:rPr>
        <w:br w:type="page" w:clear="all"/>
      </w:r>
      <w:r>
        <w:rPr>
          <w:rFonts w:hint="eastAsia" w:ascii="黑体" w:hAnsi="Times New Roman" w:eastAsia="黑体" w:cs="Times New Roman"/>
          <w:b/>
          <w:bCs/>
          <w:color w:val="auto"/>
          <w:sz w:val="32"/>
          <w:szCs w:val="32"/>
          <w:highlight w:val="none"/>
        </w:rPr>
        <w:t xml:space="preserve">10.</w:t>
      </w:r>
      <w:r>
        <w:rPr>
          <w:rFonts w:hint="eastAsia" w:ascii="黑体" w:hAnsi="宋体" w:eastAsia="黑体" w:cs="黑体"/>
          <w:b/>
          <w:color w:val="auto"/>
          <w:sz w:val="32"/>
          <w:szCs w:val="32"/>
          <w:highlight w:val="none"/>
          <w:lang w:eastAsia="zh-CN"/>
        </w:rPr>
        <w:t xml:space="preserve">中小企业声明函</w:t>
      </w:r>
      <w:r>
        <w:rPr>
          <w:rFonts w:hint="eastAsia" w:ascii="黑体" w:hAnsi="宋体" w:eastAsia="黑体" w:cs="黑体"/>
          <w:b/>
          <w:color w:val="auto"/>
          <w:sz w:val="32"/>
          <w:szCs w:val="32"/>
          <w:highlight w:val="none"/>
        </w:rPr>
        <w:t xml:space="preserve">（服务）（分包号：**）</w:t>
      </w:r>
      <w:r/>
    </w:p>
    <w:p>
      <w:pPr>
        <w:ind w:firstLine="480"/>
        <w:spacing w:line="48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highlight w:val="none"/>
          <w:u w:val="single"/>
        </w:rPr>
        <w:t xml:space="preserve">（单位名称）</w:t>
      </w:r>
      <w:r>
        <w:rPr>
          <w:rFonts w:hint="eastAsia" w:ascii="宋体" w:hAnsi="宋体" w:eastAsia="宋体" w:cs="宋体"/>
          <w:color w:val="auto"/>
          <w:sz w:val="24"/>
          <w:highlight w:val="none"/>
        </w:rPr>
        <w:t xml:space="preserve">组织的采购编号为</w:t>
      </w:r>
      <w:r>
        <w:rPr>
          <w:rFonts w:hint="eastAsia" w:ascii="宋体" w:hAnsi="宋体" w:eastAsia="宋体" w:cs="宋体"/>
          <w:color w:val="auto"/>
          <w:sz w:val="24"/>
          <w:highlight w:val="none"/>
          <w:u w:val="single"/>
        </w:rPr>
        <w:t xml:space="preserve">***，（项目名称）（分包号：**）</w:t>
      </w:r>
      <w:r>
        <w:rPr>
          <w:rFonts w:hint="eastAsia" w:ascii="宋体" w:hAnsi="宋体" w:eastAsia="宋体" w:cs="宋体"/>
          <w:color w:val="auto"/>
          <w:sz w:val="24"/>
          <w:highlight w:val="none"/>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u w:val="single"/>
        </w:rPr>
        <w:t xml:space="preserve">（标的名称）</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highlight w:val="none"/>
          <w:u w:val="single"/>
        </w:rPr>
        <w:t xml:space="preserve">（采购文件中明确的所属行业）</w:t>
      </w:r>
      <w:r>
        <w:rPr>
          <w:rFonts w:hint="eastAsia" w:ascii="宋体" w:hAnsi="宋体" w:eastAsia="宋体" w:cs="宋体"/>
          <w:color w:val="auto"/>
          <w:sz w:val="24"/>
          <w:highlight w:val="none"/>
        </w:rPr>
        <w:t xml:space="preserve">行业；承接企业为</w:t>
      </w:r>
      <w:r>
        <w:rPr>
          <w:rFonts w:hint="eastAsia" w:ascii="宋体" w:hAnsi="宋体" w:eastAsia="宋体" w:cs="宋体"/>
          <w:color w:val="auto"/>
          <w:sz w:val="24"/>
          <w:highlight w:val="none"/>
          <w:u w:val="single"/>
        </w:rPr>
        <w:t xml:space="preserve">（企业名称）</w:t>
      </w:r>
      <w:r>
        <w:rPr>
          <w:rFonts w:hint="eastAsia" w:ascii="宋体" w:hAnsi="宋体" w:eastAsia="宋体" w:cs="宋体"/>
          <w:color w:val="auto"/>
          <w:sz w:val="24"/>
          <w:highlight w:val="none"/>
        </w:rPr>
        <w:t xml:space="preserve">，从业人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u w:val="single"/>
        </w:rPr>
        <w:t xml:space="preserve">（标的名称）</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highlight w:val="none"/>
          <w:u w:val="single"/>
        </w:rPr>
        <w:t xml:space="preserve">（采购文件中明确的所属行业）</w:t>
      </w:r>
      <w:r>
        <w:rPr>
          <w:rFonts w:hint="eastAsia" w:ascii="宋体" w:hAnsi="宋体" w:eastAsia="宋体" w:cs="宋体"/>
          <w:color w:val="auto"/>
          <w:sz w:val="24"/>
          <w:highlight w:val="none"/>
        </w:rPr>
        <w:t xml:space="preserve">行业；承接企业为</w:t>
      </w:r>
      <w:r>
        <w:rPr>
          <w:rFonts w:hint="eastAsia" w:ascii="宋体" w:hAnsi="宋体" w:eastAsia="宋体" w:cs="宋体"/>
          <w:color w:val="auto"/>
          <w:sz w:val="24"/>
          <w:highlight w:val="none"/>
          <w:u w:val="single"/>
        </w:rPr>
        <w:t xml:space="preserve">（企业名称）</w:t>
      </w:r>
      <w:r>
        <w:rPr>
          <w:rFonts w:hint="eastAsia" w:ascii="宋体" w:hAnsi="宋体" w:eastAsia="宋体" w:cs="宋体"/>
          <w:color w:val="auto"/>
          <w:sz w:val="24"/>
          <w:highlight w:val="none"/>
        </w:rPr>
        <w:t xml:space="preserve">，从业人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企业名称（加盖CA电子公章）：</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日  期：</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 备注1：从业人员、营业收入、资产总额填报上一年度数据，无上一年度数据的新成立企业可不填报。</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备注2：供应商如不提供此声明函，价格将不做相应扣除。</w:t>
      </w:r>
      <w:r/>
    </w:p>
    <w:p>
      <w:pPr>
        <w:ind w:firstLine="643"/>
        <w:jc w:val="center"/>
        <w:spacing w:line="560" w:lineRule="exact"/>
        <w:rPr>
          <w:rFonts w:ascii="黑体" w:hAnsi="Times New Roman" w:eastAsia="黑体" w:cs="Times New Roman"/>
          <w:b/>
          <w:bCs/>
          <w:color w:val="auto"/>
          <w:sz w:val="32"/>
          <w:szCs w:val="32"/>
          <w:highlight w:val="none"/>
        </w:rPr>
      </w:pPr>
      <w:r>
        <w:rPr>
          <w:rFonts w:hint="eastAsia" w:ascii="黑体" w:hAnsi="Calibri" w:eastAsia="黑体" w:cs="Times New Roman"/>
          <w:b/>
          <w:bCs/>
          <w:color w:val="auto"/>
          <w:sz w:val="32"/>
          <w:szCs w:val="32"/>
          <w:highlight w:val="none"/>
        </w:rPr>
        <w:br w:type="page" w:clear="all"/>
      </w:r>
      <w:r>
        <w:rPr>
          <w:rFonts w:hint="eastAsia" w:ascii="黑体" w:hAnsi="Times New Roman" w:eastAsia="黑体" w:cs="Times New Roman"/>
          <w:b/>
          <w:bCs/>
          <w:color w:val="auto"/>
          <w:sz w:val="32"/>
          <w:szCs w:val="32"/>
          <w:highlight w:val="none"/>
        </w:rPr>
        <w:t xml:space="preserve">11.残疾人福利性单位声明函（分包号：**）</w:t>
      </w:r>
      <w:r/>
    </w:p>
    <w:p>
      <w:pPr>
        <w:ind w:firstLine="480"/>
        <w:spacing w:line="588" w:lineRule="exact"/>
        <w:rPr>
          <w:rFonts w:ascii="宋体" w:hAnsi="宋体"/>
          <w:color w:val="auto"/>
          <w:sz w:val="24"/>
          <w:szCs w:val="21"/>
          <w:highlight w:val="none"/>
        </w:rPr>
      </w:pPr>
      <w:r>
        <w:rPr>
          <w:rFonts w:hint="eastAsia" w:ascii="宋体" w:hAnsi="宋体"/>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项目（分包号：**）采购活动由本单位提供服务。（</w:t>
      </w:r>
      <w:r>
        <w:rPr>
          <w:rFonts w:hint="eastAsia" w:ascii="宋体" w:hAnsi="宋体"/>
          <w:color w:val="auto"/>
          <w:sz w:val="24"/>
          <w:szCs w:val="21"/>
          <w:highlight w:val="none"/>
        </w:rPr>
        <w:t xml:space="preserve">采购活动提供本单位制造的货物，或者提供其他残疾人福利性单位制造的货物（不包括使用非残疾人福利性单位注册商标的货物）。</w:t>
      </w:r>
      <w:r/>
    </w:p>
    <w:p>
      <w:pPr>
        <w:ind w:firstLine="480"/>
        <w:spacing w:line="588" w:lineRule="exact"/>
        <w:rPr>
          <w:rFonts w:ascii="宋体" w:hAnsi="宋体"/>
          <w:color w:val="auto"/>
          <w:sz w:val="24"/>
          <w:highlight w:val="none"/>
        </w:rPr>
      </w:pPr>
      <w:r>
        <w:rPr>
          <w:rFonts w:hint="eastAsia" w:ascii="宋体" w:hAnsi="宋体"/>
          <w:color w:val="auto"/>
          <w:sz w:val="24"/>
          <w:highlight w:val="none"/>
        </w:rPr>
        <w:t xml:space="preserve">本单位对上述声明的真实性负责。如有虚假，将依法承担相应责任。</w:t>
      </w:r>
      <w:r/>
    </w:p>
    <w:p>
      <w:pPr>
        <w:ind w:firstLine="480"/>
        <w:spacing w:line="588" w:lineRule="exact"/>
        <w:rPr>
          <w:rFonts w:ascii="宋体" w:hAnsi="宋体"/>
          <w:color w:val="auto"/>
          <w:sz w:val="24"/>
          <w:highlight w:val="none"/>
        </w:rPr>
      </w:pPr>
      <w:r>
        <w:rPr>
          <w:rFonts w:ascii="宋体" w:hAnsi="宋体"/>
          <w:color w:val="auto"/>
          <w:sz w:val="24"/>
          <w:highlight w:val="none"/>
        </w:rPr>
      </w:r>
      <w:r/>
    </w:p>
    <w:p>
      <w:pPr>
        <w:ind w:firstLine="480"/>
        <w:spacing w:line="588" w:lineRule="exact"/>
        <w:rPr>
          <w:rFonts w:ascii="宋体" w:hAnsi="宋体"/>
          <w:color w:val="auto"/>
          <w:sz w:val="24"/>
          <w:highlight w:val="none"/>
        </w:rPr>
      </w:pPr>
      <w:r>
        <w:rPr>
          <w:rFonts w:hint="eastAsia" w:ascii="宋体" w:hAnsi="宋体"/>
          <w:color w:val="auto"/>
          <w:sz w:val="24"/>
          <w:highlight w:val="none"/>
        </w:rPr>
        <w:t xml:space="preserve">（备注：1、供应商如不提供此声明函，价格将不做相应扣除。2、中标人为残疾人福利单位的，此声明函将随中标结果同时公告，接受社会监督）</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right="1560" w:firstLine="624"/>
        <w:jc w:val="center"/>
        <w:spacing w:line="588" w:lineRule="exact"/>
        <w:tabs>
          <w:tab w:val="left" w:pos="4860" w:leader="none"/>
        </w:tabs>
        <w:rPr>
          <w:rFonts w:ascii="宋体" w:hAnsi="宋体"/>
          <w:color w:val="auto"/>
          <w:sz w:val="24"/>
          <w:highlight w:val="none"/>
        </w:rPr>
      </w:pPr>
      <w:r>
        <w:rPr>
          <w:rFonts w:hint="eastAsia" w:ascii="仿宋_GB2312" w:eastAsia="仿宋_GB2312"/>
          <w:color w:val="auto"/>
          <w:spacing w:val="6"/>
          <w:sz w:val="30"/>
          <w:szCs w:val="30"/>
          <w:highlight w:val="none"/>
        </w:rPr>
        <w:t xml:space="preserve">             </w:t>
      </w:r>
      <w:r>
        <w:rPr>
          <w:rFonts w:hint="eastAsia" w:ascii="宋体" w:hAnsi="宋体"/>
          <w:color w:val="auto"/>
          <w:sz w:val="24"/>
          <w:highlight w:val="none"/>
        </w:rPr>
        <w:t xml:space="preserve">          供应商全称（加盖CA电子公章）：</w:t>
      </w:r>
      <w:r/>
    </w:p>
    <w:p>
      <w:pPr>
        <w:ind w:right="1560" w:firstLine="480"/>
        <w:jc w:val="center"/>
        <w:spacing w:line="588" w:lineRule="exact"/>
        <w:tabs>
          <w:tab w:val="left" w:pos="4860" w:leader="none"/>
        </w:tabs>
        <w:rPr>
          <w:rFonts w:ascii="宋体" w:hAnsi="宋体"/>
          <w:color w:val="auto"/>
          <w:sz w:val="24"/>
          <w:highlight w:val="none"/>
        </w:rPr>
      </w:pPr>
      <w:r>
        <w:rPr>
          <w:rFonts w:hint="eastAsia" w:ascii="宋体" w:hAnsi="宋体"/>
          <w:color w:val="auto"/>
          <w:sz w:val="24"/>
          <w:highlight w:val="none"/>
        </w:rPr>
        <w:t xml:space="preserve">        日  期：</w:t>
      </w:r>
      <w:r/>
    </w:p>
    <w:p>
      <w:pPr>
        <w:ind w:firstLine="643"/>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643"/>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643"/>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643"/>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643"/>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643"/>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643"/>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643"/>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643"/>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643"/>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643"/>
        <w:rPr>
          <w:rFonts w:ascii="黑体" w:hAnsi="Times New Roman" w:eastAsia="黑体" w:cs="Times New Roman"/>
          <w:b/>
          <w:bCs/>
          <w:color w:val="auto"/>
          <w:sz w:val="32"/>
          <w:szCs w:val="32"/>
          <w:highlight w:val="none"/>
        </w:rPr>
      </w:pPr>
      <w:r>
        <w:rPr>
          <w:rFonts w:hint="eastAsia" w:ascii="黑体" w:hAnsi="Times New Roman" w:eastAsia="黑体" w:cs="Times New Roman"/>
          <w:b/>
          <w:bCs/>
          <w:color w:val="auto"/>
          <w:sz w:val="32"/>
          <w:szCs w:val="32"/>
          <w:highlight w:val="none"/>
        </w:rPr>
        <w:br w:type="page" w:clear="all"/>
      </w:r>
      <w:r/>
    </w:p>
    <w:p>
      <w:pPr>
        <w:ind w:firstLine="643"/>
        <w:jc w:val="center"/>
        <w:rPr>
          <w:rFonts w:ascii="黑体" w:hAnsi="Times New Roman" w:eastAsia="黑体" w:cs="Times New Roman"/>
          <w:b/>
          <w:bCs/>
          <w:color w:val="auto"/>
          <w:sz w:val="32"/>
          <w:szCs w:val="32"/>
          <w:highlight w:val="none"/>
        </w:rPr>
      </w:pPr>
      <w:r>
        <w:rPr>
          <w:rFonts w:hint="eastAsia" w:ascii="黑体" w:hAnsi="Times New Roman" w:eastAsia="黑体" w:cs="Times New Roman"/>
          <w:b/>
          <w:bCs/>
          <w:color w:val="auto"/>
          <w:sz w:val="32"/>
          <w:szCs w:val="32"/>
          <w:highlight w:val="none"/>
        </w:rPr>
        <w:t xml:space="preserve">12.联合体协议（参考格式）（分包号：**）</w:t>
      </w:r>
      <w:r/>
    </w:p>
    <w:p>
      <w:pPr>
        <w:spacing w:line="560" w:lineRule="exact"/>
        <w:rPr>
          <w:rFonts w:ascii="宋体" w:hAnsi="宋体"/>
          <w:color w:val="auto"/>
          <w:sz w:val="24"/>
          <w:highlight w:val="none"/>
        </w:rPr>
      </w:pPr>
      <w:r>
        <w:rPr>
          <w:rFonts w:hint="eastAsia" w:ascii="宋体" w:hAnsi="宋体"/>
          <w:color w:val="auto"/>
          <w:sz w:val="24"/>
          <w:highlight w:val="none"/>
          <w:u w:val="single"/>
        </w:rPr>
        <w:t xml:space="preserve">（联合体中各供应商全称）</w:t>
      </w:r>
      <w:r>
        <w:rPr>
          <w:rFonts w:hint="eastAsia" w:ascii="宋体" w:hAnsi="宋体"/>
          <w:color w:val="auto"/>
          <w:sz w:val="24"/>
          <w:highlight w:val="none"/>
        </w:rPr>
        <w:t xml:space="preserve">在此达成以下协议：</w:t>
      </w:r>
      <w:r/>
    </w:p>
    <w:p>
      <w:pPr>
        <w:ind w:firstLine="480"/>
        <w:spacing w:line="560" w:lineRule="exact"/>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、我们</w:t>
      </w:r>
      <w:r>
        <w:rPr>
          <w:rFonts w:hint="eastAsia" w:ascii="宋体" w:hAnsi="宋体" w:eastAsia="宋体" w:cs="宋体"/>
          <w:color w:val="auto"/>
          <w:sz w:val="24"/>
          <w:highlight w:val="none"/>
          <w:u w:val="single"/>
        </w:rPr>
        <w:t xml:space="preserve"> （供应商1），（供应商2） ，……</w:t>
      </w:r>
      <w:r>
        <w:rPr>
          <w:rFonts w:hint="eastAsia" w:ascii="宋体" w:hAnsi="宋体"/>
          <w:color w:val="auto"/>
          <w:sz w:val="24"/>
          <w:highlight w:val="none"/>
        </w:rPr>
        <w:t xml:space="preserve">自愿组成联合体，参加采购编号为</w:t>
      </w:r>
      <w:r>
        <w:rPr>
          <w:rFonts w:hint="eastAsia" w:ascii="宋体" w:hAnsi="宋体"/>
          <w:color w:val="auto"/>
          <w:sz w:val="24"/>
          <w:highlight w:val="none"/>
          <w:u w:val="single"/>
        </w:rPr>
        <w:t xml:space="preserve">（编号全称），（项目全称）</w:t>
      </w:r>
      <w:r>
        <w:rPr>
          <w:rFonts w:hint="eastAsia" w:ascii="宋体" w:hAnsi="宋体"/>
          <w:color w:val="auto"/>
          <w:sz w:val="24"/>
          <w:highlight w:val="none"/>
        </w:rPr>
        <w:t xml:space="preserve">项目（分包号：**）的政府采购活动，我联合体指定</w:t>
      </w:r>
      <w:r>
        <w:rPr>
          <w:rFonts w:hint="eastAsia" w:ascii="宋体" w:hAnsi="宋体"/>
          <w:color w:val="auto"/>
          <w:sz w:val="24"/>
          <w:highlight w:val="none"/>
          <w:u w:val="single"/>
        </w:rPr>
        <w:t xml:space="preserve">（供应商*）</w:t>
      </w:r>
      <w:r>
        <w:rPr>
          <w:rFonts w:hint="eastAsia" w:ascii="宋体" w:hAnsi="宋体"/>
          <w:color w:val="auto"/>
          <w:sz w:val="24"/>
          <w:highlight w:val="none"/>
        </w:rPr>
        <w:t xml:space="preserve">为牵头单位（牵头单位必须为联合体成员）。</w:t>
      </w:r>
      <w:r/>
    </w:p>
    <w:p>
      <w:pPr>
        <w:ind w:firstLine="480"/>
        <w:spacing w:line="560" w:lineRule="exact"/>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、若我们联合中标、成交，（供应商单位</w:t>
      </w:r>
      <w:r>
        <w:rPr>
          <w:rFonts w:ascii="宋体" w:hAnsi="宋体"/>
          <w:color w:val="auto"/>
          <w:sz w:val="24"/>
          <w:highlight w:val="none"/>
        </w:rPr>
        <w:t xml:space="preserve">1</w:t>
      </w:r>
      <w:r>
        <w:rPr>
          <w:rFonts w:hint="eastAsia" w:ascii="宋体" w:hAnsi="宋体"/>
          <w:color w:val="auto"/>
          <w:sz w:val="24"/>
          <w:highlight w:val="none"/>
        </w:rPr>
        <w:t xml:space="preserve">全称）实施项目中（工作内容）部分工作，并承担相应的责任。（供应商单位</w:t>
      </w:r>
      <w:r>
        <w:rPr>
          <w:rFonts w:ascii="宋体" w:hAnsi="宋体"/>
          <w:color w:val="auto"/>
          <w:sz w:val="24"/>
          <w:highlight w:val="none"/>
        </w:rPr>
        <w:t xml:space="preserve">2</w:t>
      </w:r>
      <w:r>
        <w:rPr>
          <w:rFonts w:hint="eastAsia" w:ascii="宋体" w:hAnsi="宋体"/>
          <w:color w:val="auto"/>
          <w:sz w:val="24"/>
          <w:highlight w:val="none"/>
        </w:rPr>
        <w:t xml:space="preserve">全称）实施项目中（工作内容）部分工作，并承担相应的责任……。（注：联合体中各供应商都应明示所承担的工作和相应的责任）。</w:t>
      </w:r>
      <w:r/>
    </w:p>
    <w:p>
      <w:pPr>
        <w:ind w:firstLine="480"/>
        <w:spacing w:line="560" w:lineRule="exact"/>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、其中</w:t>
      </w:r>
      <w:r>
        <w:rPr>
          <w:rFonts w:ascii="宋体" w:hAnsi="宋体"/>
          <w:color w:val="auto"/>
          <w:sz w:val="24"/>
          <w:highlight w:val="none"/>
          <w:u w:val="single"/>
        </w:rPr>
        <w:t xml:space="preserve">      </w:t>
      </w:r>
      <w:r>
        <w:rPr>
          <w:rFonts w:hint="eastAsia" w:ascii="宋体" w:hAnsi="宋体"/>
          <w:color w:val="auto"/>
          <w:sz w:val="24"/>
          <w:highlight w:val="none"/>
        </w:rPr>
        <w:t xml:space="preserve">（小型、微型企业/残疾人福利性单位/监狱企业全称）为</w:t>
      </w:r>
      <w:r>
        <w:rPr>
          <w:rFonts w:ascii="宋体" w:hAnsi="宋体"/>
          <w:color w:val="auto"/>
          <w:sz w:val="24"/>
          <w:highlight w:val="none"/>
          <w:u w:val="single"/>
        </w:rPr>
        <w:t xml:space="preserve">    </w:t>
      </w:r>
      <w:r>
        <w:rPr>
          <w:rFonts w:hint="eastAsia" w:ascii="宋体" w:hAnsi="宋体"/>
          <w:color w:val="auto"/>
          <w:sz w:val="24"/>
          <w:highlight w:val="none"/>
        </w:rPr>
        <w:t xml:space="preserve">（小型、微型企业/残疾人福利性单位/监狱企业）企业，且我们约定该公司/单位所承担的合同金额将占本项目合同总金额的</w:t>
      </w:r>
      <w:r>
        <w:rPr>
          <w:rFonts w:ascii="宋体" w:hAnsi="宋体"/>
          <w:color w:val="auto"/>
          <w:sz w:val="24"/>
          <w:highlight w:val="none"/>
          <w:u w:val="singl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w:t>
      </w:r>
      <w:r/>
    </w:p>
    <w:p>
      <w:pPr>
        <w:ind w:firstLine="480"/>
        <w:spacing w:line="560" w:lineRule="exact"/>
        <w:rPr>
          <w:rFonts w:ascii="宋体" w:hAnsi="宋体"/>
          <w:color w:val="auto"/>
          <w:sz w:val="24"/>
          <w:highlight w:val="none"/>
        </w:rPr>
      </w:pPr>
      <w:r>
        <w:rPr>
          <w:rFonts w:ascii="宋体" w:hAnsi="宋体"/>
          <w:color w:val="auto"/>
          <w:sz w:val="24"/>
          <w:highlight w:val="none"/>
        </w:rPr>
      </w:r>
      <w:r/>
    </w:p>
    <w:p>
      <w:pPr>
        <w:ind w:firstLine="480"/>
        <w:spacing w:line="560" w:lineRule="exact"/>
        <w:rPr>
          <w:rFonts w:ascii="宋体" w:hAnsi="宋体"/>
          <w:color w:val="auto"/>
          <w:sz w:val="24"/>
          <w:highlight w:val="none"/>
        </w:rPr>
      </w:pPr>
      <w:r>
        <w:rPr>
          <w:rFonts w:hint="eastAsia" w:ascii="宋体" w:hAnsi="宋体"/>
          <w:color w:val="auto"/>
          <w:sz w:val="24"/>
          <w:highlight w:val="none"/>
        </w:rPr>
        <w:t xml:space="preserve">备注：本招标文件中要求加盖CA电子签章的地方，仅需加盖牵头单位的CA电子签章。</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联合体中各供应商全称（公章）： </w:t>
      </w:r>
      <w:r/>
    </w:p>
    <w:p>
      <w:pPr>
        <w:rPr>
          <w:color w:val="auto"/>
          <w:highlight w:val="none"/>
        </w:rPr>
      </w:pPr>
      <w:r>
        <w:rPr>
          <w:color w:val="auto"/>
          <w:highlight w:val="none"/>
        </w:rPr>
      </w:r>
      <w:r/>
    </w:p>
    <w:p>
      <w:pPr>
        <w:ind w:firstLine="480"/>
        <w:spacing w:line="480" w:lineRule="exact"/>
        <w:rPr>
          <w:rFonts w:ascii="仿宋_GB2312" w:eastAsia="仿宋_GB2312"/>
          <w:color w:val="auto"/>
          <w:sz w:val="24"/>
          <w:highlight w:val="none"/>
        </w:rPr>
      </w:pPr>
      <w:r>
        <w:rPr>
          <w:rFonts w:ascii="仿宋_GB2312" w:eastAsia="仿宋_GB2312"/>
          <w:color w:val="auto"/>
          <w:sz w:val="24"/>
          <w:highlight w:val="none"/>
        </w:rPr>
      </w:r>
      <w:r/>
    </w:p>
    <w:p>
      <w:pPr>
        <w:ind w:firstLine="480"/>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日期：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pStyle w:val="677"/>
        <w:spacing w:line="480" w:lineRule="exact"/>
        <w:rPr>
          <w:rFonts w:hint="default"/>
          <w:color w:val="auto"/>
          <w:highlight w:val="none"/>
        </w:rPr>
      </w:pPr>
      <w:r>
        <w:rPr>
          <w:rFonts w:hint="default"/>
          <w:color w:val="auto"/>
          <w:highlight w:val="none"/>
        </w:rPr>
      </w:r>
      <w:r/>
    </w:p>
    <w:p>
      <w:pPr>
        <w:ind w:right="-105" w:firstLine="480"/>
        <w:jc w:val="center"/>
        <w:spacing w:line="480" w:lineRule="exact"/>
        <w:rPr>
          <w:color w:val="auto"/>
          <w:sz w:val="24"/>
          <w:highlight w:val="none"/>
        </w:rPr>
      </w:pPr>
      <w:r>
        <w:rPr>
          <w:color w:val="auto"/>
          <w:sz w:val="24"/>
          <w:highlight w:val="none"/>
        </w:rPr>
      </w:r>
      <w:r/>
    </w:p>
    <w:p>
      <w:pPr>
        <w:ind w:firstLine="643"/>
        <w:jc w:val="center"/>
        <w:spacing w:before="120" w:after="240" w:line="500" w:lineRule="exact"/>
        <w:rPr>
          <w:color w:val="auto"/>
          <w:highlight w:val="none"/>
        </w:rPr>
        <w:outlineLvl w:val="0"/>
      </w:pPr>
      <w:r>
        <w:rPr>
          <w:rFonts w:hint="eastAsia" w:ascii="黑体" w:hAnsi="Calibri" w:eastAsia="黑体" w:cs="Times New Roman"/>
          <w:b/>
          <w:bCs/>
          <w:color w:val="auto"/>
          <w:sz w:val="32"/>
          <w:szCs w:val="32"/>
          <w:highlight w:val="none"/>
        </w:rPr>
        <w:br w:type="page" w:clear="all"/>
      </w:r>
      <w:r>
        <w:rPr>
          <w:rFonts w:hint="eastAsia" w:ascii="黑体" w:hAnsi="Calibri" w:eastAsia="黑体" w:cs="Times New Roman"/>
          <w:b/>
          <w:bCs/>
          <w:color w:val="auto"/>
          <w:sz w:val="32"/>
          <w:szCs w:val="32"/>
          <w:highlight w:val="none"/>
        </w:rPr>
        <w:t xml:space="preserve">13.</w:t>
      </w:r>
      <w:r>
        <w:rPr>
          <w:rFonts w:hint="eastAsia" w:ascii="黑体" w:hAnsi="Times New Roman" w:eastAsia="黑体" w:cs="Times New Roman"/>
          <w:b/>
          <w:bCs/>
          <w:color w:val="auto"/>
          <w:sz w:val="32"/>
          <w:szCs w:val="32"/>
          <w:highlight w:val="none"/>
        </w:rPr>
        <w:t xml:space="preserve">项目组组成人员一览表</w:t>
      </w:r>
      <w:r/>
    </w:p>
    <w:tbl>
      <w:tblPr>
        <w:tblStyle w:val="6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37"/>
        <w:gridCol w:w="872"/>
        <w:gridCol w:w="703"/>
        <w:gridCol w:w="1055"/>
        <w:gridCol w:w="1056"/>
        <w:gridCol w:w="1882"/>
        <w:gridCol w:w="1303"/>
      </w:tblGrid>
      <w:tr>
        <w:trPr>
          <w:jc w:val="center"/>
          <w:trHeight w:val="889"/>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rPr>
                <w:color w:val="auto"/>
                <w:sz w:val="24"/>
                <w:highlight w:val="none"/>
              </w:rPr>
            </w:pPr>
            <w:r>
              <w:rPr>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rPr>
                <w:color w:val="auto"/>
                <w:sz w:val="24"/>
                <w:highlight w:val="none"/>
              </w:rPr>
            </w:pPr>
            <w:r>
              <w:rPr>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rPr>
                <w:color w:val="auto"/>
                <w:sz w:val="24"/>
                <w:highlight w:val="none"/>
              </w:rPr>
            </w:pPr>
            <w:r>
              <w:rPr>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color w:val="auto"/>
                <w:sz w:val="24"/>
                <w:highlight w:val="none"/>
              </w:rPr>
            </w:pPr>
            <w:r>
              <w:rPr>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jc w:val="center"/>
              <w:rPr>
                <w:color w:val="auto"/>
                <w:sz w:val="24"/>
                <w:highlight w:val="none"/>
              </w:rPr>
            </w:pPr>
            <w:r>
              <w:rPr>
                <w:color w:val="auto"/>
                <w:sz w:val="24"/>
                <w:highlight w:val="none"/>
              </w:rPr>
              <w:t xml:space="preserve">岗位</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rPr>
                <w:color w:val="auto"/>
                <w:sz w:val="24"/>
                <w:highlight w:val="none"/>
              </w:rPr>
            </w:pPr>
            <w:r>
              <w:rPr>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rPr>
                <w:color w:val="auto"/>
                <w:sz w:val="24"/>
                <w:highlight w:val="none"/>
              </w:rPr>
            </w:pPr>
            <w:r>
              <w:rPr>
                <w:color w:val="auto"/>
                <w:sz w:val="24"/>
                <w:highlight w:val="none"/>
              </w:rPr>
              <w:t xml:space="preserve">执（职）业资格证或上岗证号</w:t>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rPr>
                <w:color w:val="auto"/>
                <w:sz w:val="24"/>
                <w:highlight w:val="none"/>
              </w:rPr>
            </w:pPr>
            <w:r>
              <w:rPr>
                <w:color w:val="auto"/>
                <w:sz w:val="24"/>
                <w:highlight w:val="none"/>
              </w:rPr>
              <w:t xml:space="preserve">学历及</w:t>
            </w:r>
            <w:r/>
          </w:p>
          <w:p>
            <w:pPr>
              <w:jc w:val="center"/>
              <w:rPr>
                <w:color w:val="auto"/>
                <w:sz w:val="24"/>
                <w:highlight w:val="none"/>
              </w:rPr>
            </w:pPr>
            <w:r>
              <w:rPr>
                <w:color w:val="auto"/>
                <w:sz w:val="24"/>
                <w:highlight w:val="none"/>
              </w:rPr>
              <w:t xml:space="preserve">专业</w:t>
            </w:r>
            <w:r/>
          </w:p>
        </w:tc>
      </w:tr>
      <w:tr>
        <w:trPr>
          <w:jc w:val="center"/>
          <w:trHeight w:val="540"/>
        </w:trPr>
        <w:tc>
          <w:tcPr>
            <w:gridSpan w:val="8"/>
            <w:tcBorders>
              <w:top w:val="single" w:color="auto" w:sz="4" w:space="0"/>
              <w:left w:val="single" w:color="auto" w:sz="4" w:space="0"/>
              <w:bottom w:val="single" w:color="auto" w:sz="4" w:space="0"/>
              <w:right w:val="single" w:color="auto" w:sz="4" w:space="0"/>
            </w:tcBorders>
            <w:tcW w:w="8543" w:type="dxa"/>
            <w:vAlign w:val="center"/>
            <w:textDirection w:val="lrTb"/>
            <w:noWrap w:val="false"/>
          </w:tcPr>
          <w:p>
            <w:pPr>
              <w:jc w:val="center"/>
              <w:rPr>
                <w:color w:val="auto"/>
                <w:sz w:val="24"/>
                <w:highlight w:val="none"/>
              </w:rPr>
            </w:pPr>
            <w:r>
              <w:rPr>
                <w:color w:val="auto"/>
                <w:sz w:val="24"/>
                <w:highlight w:val="none"/>
              </w:rPr>
              <w:t xml:space="preserve">项目负责人</w:t>
            </w:r>
            <w:r/>
          </w:p>
        </w:tc>
      </w:tr>
      <w:tr>
        <w:trPr>
          <w:jc w:val="center"/>
          <w:trHeight w:val="54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03" w:type="dxa"/>
            <w:textDirection w:val="lrTb"/>
            <w:noWrap w:val="false"/>
          </w:tcPr>
          <w:p>
            <w:pPr>
              <w:jc w:val="center"/>
              <w:rPr>
                <w:color w:val="auto"/>
                <w:szCs w:val="21"/>
                <w:highlight w:val="none"/>
              </w:rPr>
            </w:pPr>
            <w:r>
              <w:rPr>
                <w:color w:val="auto"/>
                <w:szCs w:val="21"/>
                <w:highlight w:val="none"/>
              </w:rPr>
            </w:r>
            <w:r/>
          </w:p>
        </w:tc>
      </w:tr>
      <w:tr>
        <w:trPr>
          <w:jc w:val="center"/>
          <w:trHeight w:val="54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03" w:type="dxa"/>
            <w:textDirection w:val="lrTb"/>
            <w:noWrap w:val="false"/>
          </w:tcPr>
          <w:p>
            <w:pPr>
              <w:jc w:val="center"/>
              <w:rPr>
                <w:color w:val="auto"/>
                <w:szCs w:val="21"/>
                <w:highlight w:val="none"/>
              </w:rPr>
            </w:pPr>
            <w:r>
              <w:rPr>
                <w:color w:val="auto"/>
                <w:szCs w:val="21"/>
                <w:highlight w:val="none"/>
              </w:rPr>
            </w:r>
            <w:r/>
          </w:p>
        </w:tc>
      </w:tr>
      <w:tr>
        <w:trPr>
          <w:jc w:val="center"/>
          <w:trHeight w:val="54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03" w:type="dxa"/>
            <w:textDirection w:val="lrTb"/>
            <w:noWrap w:val="false"/>
          </w:tcPr>
          <w:p>
            <w:pPr>
              <w:jc w:val="center"/>
              <w:rPr>
                <w:color w:val="auto"/>
                <w:szCs w:val="21"/>
                <w:highlight w:val="none"/>
              </w:rPr>
            </w:pPr>
            <w:r>
              <w:rPr>
                <w:color w:val="auto"/>
                <w:szCs w:val="21"/>
                <w:highlight w:val="none"/>
              </w:rPr>
            </w:r>
            <w:r/>
          </w:p>
        </w:tc>
      </w:tr>
      <w:tr>
        <w:trPr>
          <w:jc w:val="center"/>
          <w:trHeight w:val="54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03" w:type="dxa"/>
            <w:textDirection w:val="lrTb"/>
            <w:noWrap w:val="false"/>
          </w:tcPr>
          <w:p>
            <w:pPr>
              <w:jc w:val="center"/>
              <w:rPr>
                <w:color w:val="auto"/>
                <w:szCs w:val="21"/>
                <w:highlight w:val="none"/>
              </w:rPr>
            </w:pPr>
            <w:r>
              <w:rPr>
                <w:color w:val="auto"/>
                <w:szCs w:val="21"/>
                <w:highlight w:val="none"/>
              </w:rPr>
            </w:r>
            <w:r/>
          </w:p>
        </w:tc>
      </w:tr>
      <w:tr>
        <w:trPr>
          <w:jc w:val="center"/>
          <w:trHeight w:val="540"/>
        </w:trPr>
        <w:tc>
          <w:tcPr>
            <w:gridSpan w:val="8"/>
            <w:tcBorders>
              <w:top w:val="single" w:color="auto" w:sz="4" w:space="0"/>
              <w:left w:val="single" w:color="auto" w:sz="4" w:space="0"/>
              <w:bottom w:val="single" w:color="auto" w:sz="4" w:space="0"/>
              <w:right w:val="single" w:color="auto" w:sz="4" w:space="0"/>
            </w:tcBorders>
            <w:tcW w:w="8543" w:type="dxa"/>
            <w:vAlign w:val="center"/>
            <w:textDirection w:val="lrTb"/>
            <w:noWrap w:val="false"/>
          </w:tcPr>
          <w:p>
            <w:pPr>
              <w:jc w:val="center"/>
              <w:rPr>
                <w:color w:val="auto"/>
                <w:szCs w:val="21"/>
                <w:highlight w:val="none"/>
              </w:rPr>
            </w:pPr>
            <w:r>
              <w:rPr>
                <w:color w:val="auto"/>
                <w:sz w:val="24"/>
                <w:highlight w:val="none"/>
              </w:rPr>
              <w:t xml:space="preserve">主要成员</w:t>
            </w:r>
            <w:r/>
          </w:p>
        </w:tc>
      </w:tr>
      <w:tr>
        <w:trPr>
          <w:jc w:val="center"/>
          <w:trHeight w:val="54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03" w:type="dxa"/>
            <w:textDirection w:val="lrTb"/>
            <w:noWrap w:val="false"/>
          </w:tcPr>
          <w:p>
            <w:pPr>
              <w:jc w:val="center"/>
              <w:rPr>
                <w:color w:val="auto"/>
                <w:szCs w:val="21"/>
                <w:highlight w:val="none"/>
              </w:rPr>
            </w:pPr>
            <w:r>
              <w:rPr>
                <w:color w:val="auto"/>
                <w:szCs w:val="21"/>
                <w:highlight w:val="none"/>
              </w:rPr>
            </w:r>
            <w:r/>
          </w:p>
        </w:tc>
      </w:tr>
      <w:tr>
        <w:trPr>
          <w:jc w:val="center"/>
          <w:trHeight w:val="54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03" w:type="dxa"/>
            <w:textDirection w:val="lrTb"/>
            <w:noWrap w:val="false"/>
          </w:tcPr>
          <w:p>
            <w:pPr>
              <w:jc w:val="center"/>
              <w:rPr>
                <w:color w:val="auto"/>
                <w:szCs w:val="21"/>
                <w:highlight w:val="none"/>
              </w:rPr>
            </w:pPr>
            <w:r>
              <w:rPr>
                <w:color w:val="auto"/>
                <w:szCs w:val="21"/>
                <w:highlight w:val="none"/>
              </w:rPr>
            </w:r>
            <w:r/>
          </w:p>
        </w:tc>
      </w:tr>
      <w:tr>
        <w:trPr>
          <w:jc w:val="center"/>
          <w:trHeight w:val="54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03" w:type="dxa"/>
            <w:textDirection w:val="lrTb"/>
            <w:noWrap w:val="false"/>
          </w:tcPr>
          <w:p>
            <w:pPr>
              <w:jc w:val="center"/>
              <w:rPr>
                <w:color w:val="auto"/>
                <w:szCs w:val="21"/>
                <w:highlight w:val="none"/>
              </w:rPr>
            </w:pPr>
            <w:r>
              <w:rPr>
                <w:color w:val="auto"/>
                <w:szCs w:val="21"/>
                <w:highlight w:val="none"/>
              </w:rPr>
            </w:r>
            <w:r/>
          </w:p>
        </w:tc>
      </w:tr>
      <w:tr>
        <w:trPr>
          <w:jc w:val="center"/>
          <w:trHeight w:val="54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03" w:type="dxa"/>
            <w:textDirection w:val="lrTb"/>
            <w:noWrap w:val="false"/>
          </w:tcPr>
          <w:p>
            <w:pPr>
              <w:jc w:val="center"/>
              <w:rPr>
                <w:color w:val="auto"/>
                <w:szCs w:val="21"/>
                <w:highlight w:val="none"/>
              </w:rPr>
            </w:pPr>
            <w:r>
              <w:rPr>
                <w:color w:val="auto"/>
                <w:szCs w:val="21"/>
                <w:highlight w:val="none"/>
              </w:rPr>
            </w:r>
            <w:r/>
          </w:p>
        </w:tc>
      </w:tr>
      <w:tr>
        <w:trPr>
          <w:jc w:val="center"/>
          <w:trHeight w:val="54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03" w:type="dxa"/>
            <w:textDirection w:val="lrTb"/>
            <w:noWrap w:val="false"/>
          </w:tcPr>
          <w:p>
            <w:pPr>
              <w:jc w:val="center"/>
              <w:rPr>
                <w:color w:val="auto"/>
                <w:szCs w:val="21"/>
                <w:highlight w:val="none"/>
              </w:rPr>
            </w:pPr>
            <w:r>
              <w:rPr>
                <w:color w:val="auto"/>
                <w:szCs w:val="21"/>
                <w:highlight w:val="none"/>
              </w:rPr>
            </w:r>
            <w:r/>
          </w:p>
        </w:tc>
      </w:tr>
      <w:tr>
        <w:trPr>
          <w:jc w:val="center"/>
          <w:trHeight w:val="54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03" w:type="dxa"/>
            <w:textDirection w:val="lrTb"/>
            <w:noWrap w:val="false"/>
          </w:tcPr>
          <w:p>
            <w:pPr>
              <w:jc w:val="center"/>
              <w:rPr>
                <w:color w:val="auto"/>
                <w:szCs w:val="21"/>
                <w:highlight w:val="none"/>
              </w:rPr>
            </w:pPr>
            <w:r>
              <w:rPr>
                <w:color w:val="auto"/>
                <w:szCs w:val="21"/>
                <w:highlight w:val="none"/>
              </w:rPr>
            </w:r>
            <w:r/>
          </w:p>
        </w:tc>
      </w:tr>
      <w:tr>
        <w:trPr>
          <w:jc w:val="center"/>
          <w:trHeight w:val="54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03" w:type="dxa"/>
            <w:textDirection w:val="lrTb"/>
            <w:noWrap w:val="false"/>
          </w:tcPr>
          <w:p>
            <w:pPr>
              <w:jc w:val="center"/>
              <w:rPr>
                <w:color w:val="auto"/>
                <w:szCs w:val="21"/>
                <w:highlight w:val="none"/>
              </w:rPr>
            </w:pPr>
            <w:r>
              <w:rPr>
                <w:color w:val="auto"/>
                <w:szCs w:val="21"/>
                <w:highlight w:val="none"/>
              </w:rPr>
            </w:r>
            <w:r/>
          </w:p>
        </w:tc>
      </w:tr>
      <w:tr>
        <w:trPr>
          <w:jc w:val="center"/>
          <w:trHeight w:val="54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03" w:type="dxa"/>
            <w:textDirection w:val="lrTb"/>
            <w:noWrap w:val="false"/>
          </w:tcPr>
          <w:p>
            <w:pPr>
              <w:jc w:val="center"/>
              <w:rPr>
                <w:color w:val="auto"/>
                <w:szCs w:val="21"/>
                <w:highlight w:val="none"/>
              </w:rPr>
            </w:pPr>
            <w:r>
              <w:rPr>
                <w:color w:val="auto"/>
                <w:szCs w:val="21"/>
                <w:highlight w:val="none"/>
              </w:rPr>
            </w:r>
            <w:r/>
          </w:p>
        </w:tc>
      </w:tr>
      <w:tr>
        <w:trPr>
          <w:jc w:val="center"/>
          <w:trHeight w:val="54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03" w:type="dxa"/>
            <w:textDirection w:val="lrTb"/>
            <w:noWrap w:val="false"/>
          </w:tcPr>
          <w:p>
            <w:pPr>
              <w:jc w:val="center"/>
              <w:rPr>
                <w:color w:val="auto"/>
                <w:szCs w:val="21"/>
                <w:highlight w:val="none"/>
              </w:rPr>
            </w:pPr>
            <w:r>
              <w:rPr>
                <w:color w:val="auto"/>
                <w:szCs w:val="21"/>
                <w:highlight w:val="none"/>
              </w:rPr>
            </w:r>
            <w:r/>
          </w:p>
        </w:tc>
      </w:tr>
    </w:tbl>
    <w:p>
      <w:pPr>
        <w:ind w:firstLine="643"/>
        <w:rPr>
          <w:rFonts w:ascii="黑体" w:hAnsi="Times New Roman" w:eastAsia="黑体" w:cs="Times New Roman"/>
          <w:b/>
          <w:bCs/>
          <w:color w:val="auto"/>
          <w:sz w:val="32"/>
          <w:szCs w:val="32"/>
          <w:highlight w:val="none"/>
        </w:rPr>
      </w:pPr>
      <w:r>
        <w:rPr>
          <w:rFonts w:hint="eastAsia" w:ascii="黑体" w:hAnsi="Times New Roman" w:eastAsia="黑体" w:cs="Times New Roman"/>
          <w:b/>
          <w:bCs/>
          <w:color w:val="auto"/>
          <w:sz w:val="32"/>
          <w:szCs w:val="32"/>
          <w:highlight w:val="none"/>
        </w:rPr>
        <w:br w:type="page" w:clear="all"/>
      </w:r>
      <w:r/>
    </w:p>
    <w:p>
      <w:pPr>
        <w:ind w:firstLine="643"/>
        <w:jc w:val="center"/>
        <w:rPr>
          <w:rFonts w:ascii="黑体" w:hAnsi="Times New Roman" w:eastAsia="黑体" w:cs="Times New Roman"/>
          <w:b/>
          <w:bCs/>
          <w:color w:val="auto"/>
          <w:sz w:val="32"/>
          <w:szCs w:val="32"/>
          <w:highlight w:val="none"/>
        </w:rPr>
        <w:outlineLvl w:val="1"/>
      </w:pPr>
      <w:r>
        <w:rPr>
          <w:rFonts w:hint="eastAsia" w:ascii="黑体" w:hAnsi="Times New Roman" w:eastAsia="黑体" w:cs="Times New Roman"/>
          <w:b/>
          <w:bCs/>
          <w:color w:val="auto"/>
          <w:sz w:val="32"/>
          <w:szCs w:val="32"/>
          <w:highlight w:val="none"/>
        </w:rPr>
        <w:t xml:space="preserve">14.盐城市政府采购事前信用承诺书</w:t>
      </w:r>
      <w:r/>
    </w:p>
    <w:p>
      <w:pPr>
        <w:ind w:firstLine="480"/>
        <w:jc w:val="left"/>
        <w:spacing w:line="499" w:lineRule="atLeas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为营造我市公开、公平、公正、诚实守信的政府采购交易环境，树立诚信守法的投标人形象，本人代表本单位作出以下承诺：</w:t>
      </w:r>
      <w:r/>
    </w:p>
    <w:p>
      <w:pPr>
        <w:ind w:firstLine="480"/>
        <w:jc w:val="left"/>
        <w:spacing w:line="36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36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36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（三）严格依照国家和省、市关于政府采购的法律、法规、规章、规范性文件，参加政府采购活动；积极履行社会责任，促进廉政建设； </w:t>
      </w:r>
      <w:r/>
    </w:p>
    <w:p>
      <w:pPr>
        <w:ind w:firstLine="480"/>
        <w:jc w:val="left"/>
        <w:spacing w:line="36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（四）严格遵守即时信息公示规定，及时维护和更新与本单位相关的信息；</w:t>
      </w:r>
      <w:r/>
    </w:p>
    <w:p>
      <w:pPr>
        <w:ind w:firstLine="480"/>
        <w:jc w:val="left"/>
        <w:spacing w:line="36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p>
    <w:p>
      <w:pPr>
        <w:ind w:firstLine="480"/>
        <w:jc w:val="left"/>
        <w:spacing w:line="36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（六）自觉接受政府、行业组织、社会公众、新闻舆论的监督；</w:t>
      </w:r>
      <w:r/>
    </w:p>
    <w:p>
      <w:pPr>
        <w:ind w:firstLine="480"/>
        <w:jc w:val="left"/>
        <w:spacing w:line="36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36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（八）本人已认真阅读了上述承诺，并向本单位员工作了宣传教育。</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法定代表人签名：</w:t>
      </w:r>
      <w:r/>
    </w:p>
    <w:p>
      <w:pPr>
        <w:ind w:right="1560" w:firstLine="480"/>
        <w:jc w:val="center"/>
        <w:spacing w:line="588" w:lineRule="exact"/>
        <w:tabs>
          <w:tab w:val="left" w:pos="4860" w:leader="none"/>
        </w:tabs>
        <w:rPr>
          <w:rFonts w:ascii="宋体" w:hAnsi="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color w:val="auto"/>
          <w:sz w:val="24"/>
          <w:highlight w:val="none"/>
        </w:rPr>
        <w:t xml:space="preserve">供应商全称（加盖CA电子公章）：</w:t>
      </w:r>
      <w:r/>
    </w:p>
    <w:p>
      <w:pPr>
        <w:ind w:right="1560" w:firstLine="480"/>
        <w:jc w:val="center"/>
        <w:spacing w:line="588" w:lineRule="exact"/>
        <w:tabs>
          <w:tab w:val="left" w:pos="4860" w:leader="none"/>
        </w:tabs>
        <w:rPr>
          <w:rFonts w:ascii="宋体" w:hAnsi="宋体" w:eastAsia="宋体" w:cs="宋体"/>
          <w:color w:val="auto"/>
          <w:sz w:val="24"/>
          <w:highlight w:val="none"/>
        </w:rPr>
      </w:pPr>
      <w:r>
        <w:rPr>
          <w:rFonts w:hint="eastAsia" w:ascii="宋体" w:hAnsi="宋体"/>
          <w:color w:val="auto"/>
          <w:sz w:val="24"/>
          <w:highlight w:val="none"/>
        </w:rPr>
        <w:t xml:space="preserve">           日  期：</w:t>
      </w:r>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4"/>
      <w:bookmarkEnd w:id="42"/>
      <w:bookmarkEnd w:id="43"/>
      <w:bookmarkEnd w:id="44"/>
      <w:bookmarkEnd w:id="45"/>
      <w:bookmarkEnd w:id="46"/>
      <w:bookmarkEnd w:id="47"/>
      <w:bookmarkEnd w:id="48"/>
      <w:bookmarkEnd w:id="49"/>
      <w:r/>
    </w:p>
    <w:p>
      <w:pPr>
        <w:pStyle w:val="669"/>
        <w:jc w:val="center"/>
        <w:spacing w:beforeAutospacing="0" w:afterAutospacing="0"/>
        <w:rPr>
          <w:color w:val="auto"/>
          <w:highlight w:val="none"/>
        </w:rPr>
      </w:pPr>
      <w:r>
        <w:rPr>
          <w:color w:val="auto"/>
          <w:highlight w:val="none"/>
        </w:rPr>
      </w:r>
      <w:r/>
    </w:p>
    <w:p>
      <w:pPr>
        <w:rPr>
          <w:color w:val="auto"/>
          <w:highlight w:val="none"/>
        </w:rPr>
      </w:pPr>
      <w:r>
        <w:rPr>
          <w:color w:val="auto"/>
          <w:highlight w:val="none"/>
        </w:rPr>
      </w:r>
      <w:r/>
    </w:p>
    <w:p>
      <w:pPr>
        <w:ind w:firstLine="643"/>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669"/>
        <w:ind w:firstLine="643"/>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669"/>
        <w:jc w:val="both"/>
        <w:spacing w:before="290"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66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9"/>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9"/>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66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9"/>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66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66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669"/>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66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66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66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66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669"/>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66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66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66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66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66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669"/>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669"/>
        <w:ind w:firstLine="482"/>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669"/>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669"/>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69"/>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669"/>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669"/>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669"/>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69"/>
        <w:ind w:firstLine="48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rPr>
          <w:color w:val="auto"/>
          <w:highlight w:val="none"/>
        </w:rPr>
      </w:pPr>
      <w:r>
        <w:rPr>
          <w:color w:val="auto"/>
          <w:highlight w:val="none"/>
        </w:rPr>
      </w:r>
      <w:r/>
    </w:p>
    <w:sectPr>
      <w:footerReference w:type="default" r:id="rId9"/>
      <w:footnotePr/>
      <w:endnotePr/>
      <w:type w:val="nextPage"/>
      <w:pgSz w:w="11906" w:h="16838" w:orient="portrait"/>
      <w:pgMar w:top="1440" w:right="1077" w:bottom="1440" w:left="107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Arial">
    <w:panose1 w:val="020B0604020202020204"/>
  </w:font>
  <w:font w:name="SimSun">
    <w:panose1 w:val="0201060003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8"/>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58"/>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58"/>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35"/>
    <w:next w:val="635"/>
    <w:link w:val="678"/>
    <w:uiPriority w:val="9"/>
    <w:qFormat/>
    <w:pPr>
      <w:keepLines/>
      <w:keepNext/>
      <w:spacing w:before="480" w:after="200"/>
      <w:outlineLvl w:val="0"/>
    </w:pPr>
    <w:rPr>
      <w:rFonts w:ascii="Arial" w:hAnsi="Arial" w:eastAsia="Arial" w:cs="Arial"/>
      <w:sz w:val="40"/>
      <w:szCs w:val="40"/>
    </w:rPr>
  </w:style>
  <w:style w:type="character" w:styleId="17">
    <w:name w:val="Heading 3 Char"/>
    <w:basedOn w:val="644"/>
    <w:link w:val="637"/>
    <w:uiPriority w:val="9"/>
    <w:rPr>
      <w:rFonts w:ascii="Arial" w:hAnsi="Arial" w:eastAsia="Arial" w:cs="Arial"/>
      <w:sz w:val="30"/>
      <w:szCs w:val="30"/>
    </w:rPr>
  </w:style>
  <w:style w:type="character" w:styleId="21">
    <w:name w:val="Heading 5 Char"/>
    <w:basedOn w:val="644"/>
    <w:link w:val="639"/>
    <w:uiPriority w:val="9"/>
    <w:rPr>
      <w:rFonts w:ascii="Arial" w:hAnsi="Arial" w:eastAsia="Arial" w:cs="Arial"/>
      <w:b/>
      <w:bCs/>
      <w:sz w:val="24"/>
      <w:szCs w:val="24"/>
    </w:rPr>
  </w:style>
  <w:style w:type="character" w:styleId="23">
    <w:name w:val="Heading 6 Char"/>
    <w:basedOn w:val="644"/>
    <w:link w:val="640"/>
    <w:uiPriority w:val="9"/>
    <w:rPr>
      <w:rFonts w:ascii="Arial" w:hAnsi="Arial" w:eastAsia="Arial" w:cs="Arial"/>
      <w:b/>
      <w:bCs/>
      <w:sz w:val="22"/>
      <w:szCs w:val="22"/>
    </w:rPr>
  </w:style>
  <w:style w:type="character" w:styleId="25">
    <w:name w:val="Heading 7 Char"/>
    <w:basedOn w:val="644"/>
    <w:link w:val="641"/>
    <w:uiPriority w:val="9"/>
    <w:rPr>
      <w:rFonts w:ascii="Arial" w:hAnsi="Arial" w:eastAsia="Arial" w:cs="Arial"/>
      <w:b/>
      <w:bCs/>
      <w:i/>
      <w:iCs/>
      <w:sz w:val="22"/>
      <w:szCs w:val="22"/>
    </w:rPr>
  </w:style>
  <w:style w:type="character" w:styleId="27">
    <w:name w:val="Heading 8 Char"/>
    <w:basedOn w:val="644"/>
    <w:link w:val="642"/>
    <w:uiPriority w:val="9"/>
    <w:rPr>
      <w:rFonts w:ascii="Arial" w:hAnsi="Arial" w:eastAsia="Arial" w:cs="Arial"/>
      <w:i/>
      <w:iCs/>
      <w:sz w:val="22"/>
      <w:szCs w:val="22"/>
    </w:rPr>
  </w:style>
  <w:style w:type="character" w:styleId="29">
    <w:name w:val="Heading 9 Char"/>
    <w:basedOn w:val="644"/>
    <w:link w:val="643"/>
    <w:uiPriority w:val="9"/>
    <w:rPr>
      <w:rFonts w:ascii="Arial" w:hAnsi="Arial" w:eastAsia="Arial" w:cs="Arial"/>
      <w:i/>
      <w:iCs/>
      <w:sz w:val="21"/>
      <w:szCs w:val="21"/>
    </w:rPr>
  </w:style>
  <w:style w:type="character" w:styleId="34">
    <w:name w:val="Title Char"/>
    <w:basedOn w:val="644"/>
    <w:link w:val="670"/>
    <w:uiPriority w:val="10"/>
    <w:rPr>
      <w:sz w:val="48"/>
      <w:szCs w:val="48"/>
    </w:rPr>
  </w:style>
  <w:style w:type="character" w:styleId="36">
    <w:name w:val="Subtitle Char"/>
    <w:basedOn w:val="644"/>
    <w:link w:val="662"/>
    <w:uiPriority w:val="11"/>
    <w:rPr>
      <w:sz w:val="24"/>
      <w:szCs w:val="24"/>
    </w:rPr>
  </w:style>
  <w:style w:type="character" w:styleId="38">
    <w:name w:val="Quote Char"/>
    <w:link w:val="691"/>
    <w:uiPriority w:val="29"/>
    <w:rPr>
      <w:i/>
    </w:rPr>
  </w:style>
  <w:style w:type="character" w:styleId="40">
    <w:name w:val="Intense Quote Char"/>
    <w:link w:val="693"/>
    <w:uiPriority w:val="30"/>
    <w:rPr>
      <w:i/>
    </w:rPr>
  </w:style>
  <w:style w:type="character" w:styleId="175">
    <w:name w:val="Footnote Text Char"/>
    <w:link w:val="663"/>
    <w:uiPriority w:val="99"/>
    <w:rPr>
      <w:sz w:val="18"/>
    </w:rPr>
  </w:style>
  <w:style w:type="character" w:styleId="178">
    <w:name w:val="Endnote Text Char"/>
    <w:link w:val="656"/>
    <w:uiPriority w:val="99"/>
    <w:rPr>
      <w:sz w:val="20"/>
    </w:rPr>
  </w:style>
  <w:style w:type="paragraph" w:styleId="189">
    <w:name w:val="TOC Heading"/>
    <w:uiPriority w:val="39"/>
    <w:unhideWhenUsed/>
  </w:style>
  <w:style w:type="paragraph" w:styleId="635"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36">
    <w:name w:val="Heading 2"/>
    <w:basedOn w:val="635"/>
    <w:next w:val="64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37">
    <w:name w:val="Heading 3"/>
    <w:basedOn w:val="635"/>
    <w:next w:val="635"/>
    <w:link w:val="680"/>
    <w:uiPriority w:val="9"/>
    <w:unhideWhenUsed/>
    <w:qFormat/>
    <w:pPr>
      <w:keepLines/>
      <w:keepNext/>
      <w:spacing w:before="320" w:after="200"/>
      <w:outlineLvl w:val="2"/>
    </w:pPr>
    <w:rPr>
      <w:rFonts w:ascii="Arial" w:hAnsi="Arial" w:eastAsia="Arial" w:cs="Arial"/>
      <w:sz w:val="30"/>
      <w:szCs w:val="30"/>
    </w:rPr>
  </w:style>
  <w:style w:type="paragraph" w:styleId="638">
    <w:name w:val="Heading 4"/>
    <w:basedOn w:val="635"/>
    <w:next w:val="646"/>
    <w:uiPriority w:val="0"/>
    <w:qFormat/>
    <w:pPr>
      <w:keepLines/>
      <w:keepNext/>
      <w:spacing w:before="280" w:after="290" w:line="376" w:lineRule="auto"/>
      <w:outlineLvl w:val="3"/>
    </w:pPr>
    <w:rPr>
      <w:rFonts w:ascii="Arial" w:hAnsi="Arial" w:eastAsia="黑体" w:cs="Arial"/>
      <w:b/>
      <w:bCs/>
      <w:sz w:val="28"/>
      <w:szCs w:val="28"/>
    </w:rPr>
  </w:style>
  <w:style w:type="paragraph" w:styleId="639">
    <w:name w:val="Heading 5"/>
    <w:basedOn w:val="635"/>
    <w:next w:val="635"/>
    <w:link w:val="682"/>
    <w:uiPriority w:val="9"/>
    <w:unhideWhenUsed/>
    <w:qFormat/>
    <w:pPr>
      <w:keepLines/>
      <w:keepNext/>
      <w:spacing w:before="320" w:after="200"/>
      <w:outlineLvl w:val="4"/>
    </w:pPr>
    <w:rPr>
      <w:rFonts w:ascii="Arial" w:hAnsi="Arial" w:eastAsia="Arial" w:cs="Arial"/>
      <w:b/>
      <w:bCs/>
      <w:sz w:val="24"/>
    </w:rPr>
  </w:style>
  <w:style w:type="paragraph" w:styleId="640">
    <w:name w:val="Heading 6"/>
    <w:basedOn w:val="635"/>
    <w:next w:val="635"/>
    <w:link w:val="683"/>
    <w:uiPriority w:val="9"/>
    <w:unhideWhenUsed/>
    <w:qFormat/>
    <w:pPr>
      <w:keepLines/>
      <w:keepNext/>
      <w:spacing w:before="320" w:after="200"/>
      <w:outlineLvl w:val="5"/>
    </w:pPr>
    <w:rPr>
      <w:rFonts w:ascii="Arial" w:hAnsi="Arial" w:eastAsia="Arial" w:cs="Arial"/>
      <w:b/>
      <w:bCs/>
      <w:sz w:val="22"/>
      <w:szCs w:val="22"/>
    </w:rPr>
  </w:style>
  <w:style w:type="paragraph" w:styleId="641">
    <w:name w:val="Heading 7"/>
    <w:basedOn w:val="635"/>
    <w:next w:val="635"/>
    <w:link w:val="684"/>
    <w:uiPriority w:val="9"/>
    <w:unhideWhenUsed/>
    <w:qFormat/>
    <w:pPr>
      <w:keepLines/>
      <w:keepNext/>
      <w:spacing w:before="320" w:after="200"/>
      <w:outlineLvl w:val="6"/>
    </w:pPr>
    <w:rPr>
      <w:rFonts w:ascii="Arial" w:hAnsi="Arial" w:eastAsia="Arial" w:cs="Arial"/>
      <w:b/>
      <w:bCs/>
      <w:i/>
      <w:iCs/>
      <w:sz w:val="22"/>
      <w:szCs w:val="22"/>
    </w:rPr>
  </w:style>
  <w:style w:type="paragraph" w:styleId="642">
    <w:name w:val="Heading 8"/>
    <w:basedOn w:val="635"/>
    <w:next w:val="635"/>
    <w:link w:val="685"/>
    <w:uiPriority w:val="9"/>
    <w:unhideWhenUsed/>
    <w:qFormat/>
    <w:pPr>
      <w:keepLines/>
      <w:keepNext/>
      <w:spacing w:before="320" w:after="200"/>
      <w:outlineLvl w:val="7"/>
    </w:pPr>
    <w:rPr>
      <w:rFonts w:ascii="Arial" w:hAnsi="Arial" w:eastAsia="Arial" w:cs="Arial"/>
      <w:i/>
      <w:iCs/>
      <w:sz w:val="22"/>
      <w:szCs w:val="22"/>
    </w:rPr>
  </w:style>
  <w:style w:type="paragraph" w:styleId="643">
    <w:name w:val="Heading 9"/>
    <w:basedOn w:val="635"/>
    <w:next w:val="635"/>
    <w:link w:val="686"/>
    <w:uiPriority w:val="9"/>
    <w:unhideWhenUsed/>
    <w:qFormat/>
    <w:pPr>
      <w:keepLines/>
      <w:keepNext/>
      <w:spacing w:before="320" w:after="200"/>
      <w:outlineLvl w:val="8"/>
    </w:pPr>
    <w:rPr>
      <w:rFonts w:ascii="Arial" w:hAnsi="Arial" w:eastAsia="Arial" w:cs="Arial"/>
      <w:i/>
      <w:iCs/>
      <w:szCs w:val="21"/>
    </w:rPr>
  </w:style>
  <w:style w:type="character" w:styleId="644" w:default="1">
    <w:name w:val="Default Paragraph Font"/>
    <w:uiPriority w:val="1"/>
    <w:semiHidden/>
    <w:unhideWhenUsed/>
    <w:qFormat/>
  </w:style>
  <w:style w:type="table" w:styleId="645" w:default="1">
    <w:name w:val="Normal Table"/>
    <w:uiPriority w:val="99"/>
    <w:semiHidden/>
    <w:unhideWhenUsed/>
    <w:qFormat/>
    <w:tblPr>
      <w:tblCellMar>
        <w:left w:w="108" w:type="dxa"/>
        <w:top w:w="0" w:type="dxa"/>
        <w:right w:w="108" w:type="dxa"/>
        <w:bottom w:w="0" w:type="dxa"/>
      </w:tblCellMar>
    </w:tblPr>
  </w:style>
  <w:style w:type="paragraph" w:styleId="646">
    <w:name w:val="Normal Indent"/>
    <w:basedOn w:val="635"/>
    <w:uiPriority w:val="0"/>
    <w:qFormat/>
    <w:pPr>
      <w:ind w:firstLine="420"/>
    </w:pPr>
  </w:style>
  <w:style w:type="paragraph" w:styleId="647">
    <w:name w:val="toc 7"/>
    <w:basedOn w:val="635"/>
    <w:next w:val="635"/>
    <w:uiPriority w:val="39"/>
    <w:unhideWhenUsed/>
    <w:qFormat/>
    <w:pPr>
      <w:ind w:left="1701"/>
      <w:spacing w:after="57"/>
    </w:pPr>
  </w:style>
  <w:style w:type="paragraph" w:styleId="648">
    <w:name w:val="Caption"/>
    <w:basedOn w:val="635"/>
    <w:next w:val="635"/>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49">
    <w:name w:val="Body Text"/>
    <w:basedOn w:val="635"/>
    <w:next w:val="635"/>
    <w:uiPriority w:val="0"/>
    <w:qFormat/>
    <w:rPr>
      <w:rFonts w:ascii="楷体_GB2312" w:hAnsi="Arial" w:eastAsia="楷体_GB2312"/>
      <w:sz w:val="28"/>
      <w:szCs w:val="20"/>
    </w:rPr>
  </w:style>
  <w:style w:type="paragraph" w:styleId="650">
    <w:name w:val="Body Text Indent"/>
    <w:basedOn w:val="635"/>
    <w:next w:val="651"/>
    <w:uiPriority w:val="0"/>
    <w:qFormat/>
    <w:pPr>
      <w:ind w:firstLine="645"/>
    </w:pPr>
    <w:rPr>
      <w:rFonts w:ascii="楷体_GB2312" w:eastAsia="楷体_GB2312"/>
      <w:sz w:val="32"/>
      <w:szCs w:val="32"/>
    </w:rPr>
  </w:style>
  <w:style w:type="paragraph" w:styleId="651">
    <w:name w:val="envelope return"/>
    <w:basedOn w:val="635"/>
    <w:uiPriority w:val="0"/>
    <w:qFormat/>
    <w:rPr>
      <w:rFonts w:ascii="Arial" w:hAnsi="Arial"/>
    </w:rPr>
  </w:style>
  <w:style w:type="paragraph" w:styleId="652">
    <w:name w:val="toc 5"/>
    <w:basedOn w:val="635"/>
    <w:next w:val="635"/>
    <w:uiPriority w:val="39"/>
    <w:unhideWhenUsed/>
    <w:qFormat/>
    <w:pPr>
      <w:ind w:left="1134"/>
      <w:spacing w:after="57"/>
    </w:pPr>
  </w:style>
  <w:style w:type="paragraph" w:styleId="653">
    <w:name w:val="toc 3"/>
    <w:basedOn w:val="635"/>
    <w:next w:val="635"/>
    <w:uiPriority w:val="39"/>
    <w:unhideWhenUsed/>
    <w:qFormat/>
    <w:pPr>
      <w:ind w:left="567"/>
      <w:spacing w:after="57"/>
    </w:pPr>
  </w:style>
  <w:style w:type="paragraph" w:styleId="654">
    <w:name w:val="toc 8"/>
    <w:basedOn w:val="635"/>
    <w:next w:val="635"/>
    <w:uiPriority w:val="39"/>
    <w:unhideWhenUsed/>
    <w:qFormat/>
    <w:pPr>
      <w:ind w:left="1984"/>
      <w:spacing w:after="57"/>
    </w:pPr>
  </w:style>
  <w:style w:type="paragraph" w:styleId="655">
    <w:name w:val="Body Text Indent 2"/>
    <w:basedOn w:val="635"/>
    <w:uiPriority w:val="0"/>
    <w:qFormat/>
    <w:pPr>
      <w:ind w:left="420"/>
      <w:spacing w:after="120" w:line="480" w:lineRule="auto"/>
    </w:pPr>
    <w:rPr>
      <w:rFonts w:ascii="Times New Roman" w:hAnsi="Times New Roman" w:eastAsia="宋体" w:cs="Times New Roman"/>
    </w:rPr>
  </w:style>
  <w:style w:type="paragraph" w:styleId="656">
    <w:name w:val="endnote text"/>
    <w:basedOn w:val="635"/>
    <w:link w:val="824"/>
    <w:uiPriority w:val="99"/>
    <w:semiHidden/>
    <w:unhideWhenUsed/>
    <w:qFormat/>
    <w:rPr>
      <w:sz w:val="20"/>
    </w:rPr>
  </w:style>
  <w:style w:type="paragraph" w:styleId="657">
    <w:name w:val="Balloon Text"/>
    <w:basedOn w:val="635"/>
    <w:link w:val="842"/>
    <w:uiPriority w:val="99"/>
    <w:semiHidden/>
    <w:unhideWhenUsed/>
    <w:qFormat/>
    <w:rPr>
      <w:sz w:val="18"/>
      <w:szCs w:val="18"/>
    </w:rPr>
  </w:style>
  <w:style w:type="paragraph" w:styleId="658">
    <w:name w:val="Footer"/>
    <w:basedOn w:val="635"/>
    <w:next w:val="635"/>
    <w:link w:val="827"/>
    <w:uiPriority w:val="0"/>
    <w:qFormat/>
    <w:pPr>
      <w:jc w:val="left"/>
      <w:tabs>
        <w:tab w:val="center" w:pos="4153" w:leader="none"/>
        <w:tab w:val="right" w:pos="8306" w:leader="none"/>
      </w:tabs>
    </w:pPr>
    <w:rPr>
      <w:sz w:val="18"/>
      <w:szCs w:val="18"/>
    </w:rPr>
  </w:style>
  <w:style w:type="paragraph" w:styleId="659">
    <w:name w:val="Header"/>
    <w:basedOn w:val="635"/>
    <w:link w:val="826"/>
    <w:uiPriority w:val="0"/>
    <w:qFormat/>
    <w:pPr>
      <w:jc w:val="center"/>
      <w:tabs>
        <w:tab w:val="center" w:pos="4153" w:leader="none"/>
        <w:tab w:val="right" w:pos="8306" w:leader="none"/>
      </w:tabs>
      <w:pBdr>
        <w:bottom w:val="single" w:color="auto" w:sz="6" w:space="1"/>
      </w:pBdr>
    </w:pPr>
    <w:rPr>
      <w:sz w:val="18"/>
      <w:szCs w:val="18"/>
    </w:rPr>
  </w:style>
  <w:style w:type="paragraph" w:styleId="660">
    <w:name w:val="toc 1"/>
    <w:basedOn w:val="635"/>
    <w:next w:val="635"/>
    <w:uiPriority w:val="39"/>
    <w:unhideWhenUsed/>
    <w:qFormat/>
    <w:pPr>
      <w:spacing w:after="57"/>
    </w:pPr>
  </w:style>
  <w:style w:type="paragraph" w:styleId="661">
    <w:name w:val="toc 4"/>
    <w:basedOn w:val="635"/>
    <w:next w:val="635"/>
    <w:uiPriority w:val="39"/>
    <w:unhideWhenUsed/>
    <w:qFormat/>
    <w:pPr>
      <w:ind w:left="850"/>
      <w:spacing w:after="57"/>
    </w:pPr>
  </w:style>
  <w:style w:type="paragraph" w:styleId="662">
    <w:name w:val="Subtitle"/>
    <w:basedOn w:val="635"/>
    <w:next w:val="635"/>
    <w:link w:val="690"/>
    <w:uiPriority w:val="11"/>
    <w:qFormat/>
    <w:pPr>
      <w:spacing w:before="200" w:after="200"/>
    </w:pPr>
    <w:rPr>
      <w:sz w:val="24"/>
    </w:rPr>
  </w:style>
  <w:style w:type="paragraph" w:styleId="663">
    <w:name w:val="footnote text"/>
    <w:basedOn w:val="635"/>
    <w:link w:val="823"/>
    <w:uiPriority w:val="99"/>
    <w:semiHidden/>
    <w:unhideWhenUsed/>
    <w:qFormat/>
    <w:pPr>
      <w:spacing w:after="40"/>
    </w:pPr>
    <w:rPr>
      <w:sz w:val="18"/>
    </w:rPr>
  </w:style>
  <w:style w:type="paragraph" w:styleId="664">
    <w:name w:val="toc 6"/>
    <w:basedOn w:val="635"/>
    <w:next w:val="635"/>
    <w:uiPriority w:val="39"/>
    <w:unhideWhenUsed/>
    <w:qFormat/>
    <w:pPr>
      <w:ind w:left="1417"/>
      <w:spacing w:after="57"/>
    </w:pPr>
  </w:style>
  <w:style w:type="paragraph" w:styleId="665">
    <w:name w:val="index 9"/>
    <w:basedOn w:val="635"/>
    <w:next w:val="635"/>
    <w:uiPriority w:val="0"/>
    <w:qFormat/>
    <w:pPr>
      <w:ind w:left="1600"/>
    </w:pPr>
    <w:rPr>
      <w:rFonts w:ascii="Times New Roman" w:hAnsi="Times New Roman" w:eastAsia="宋体" w:cs="Times New Roman"/>
    </w:rPr>
  </w:style>
  <w:style w:type="paragraph" w:styleId="666">
    <w:name w:val="table of figures"/>
    <w:basedOn w:val="635"/>
    <w:next w:val="635"/>
    <w:uiPriority w:val="99"/>
    <w:unhideWhenUsed/>
    <w:qFormat/>
  </w:style>
  <w:style w:type="paragraph" w:styleId="667">
    <w:name w:val="toc 2"/>
    <w:basedOn w:val="635"/>
    <w:next w:val="635"/>
    <w:uiPriority w:val="39"/>
    <w:unhideWhenUsed/>
    <w:qFormat/>
    <w:pPr>
      <w:ind w:left="283"/>
      <w:spacing w:after="57"/>
    </w:pPr>
  </w:style>
  <w:style w:type="paragraph" w:styleId="668">
    <w:name w:val="toc 9"/>
    <w:basedOn w:val="635"/>
    <w:next w:val="635"/>
    <w:uiPriority w:val="39"/>
    <w:unhideWhenUsed/>
    <w:qFormat/>
    <w:pPr>
      <w:ind w:left="2268"/>
      <w:spacing w:after="57"/>
    </w:pPr>
  </w:style>
  <w:style w:type="paragraph" w:styleId="669">
    <w:name w:val="Normal (Web)"/>
    <w:basedOn w:val="635"/>
    <w:uiPriority w:val="0"/>
    <w:qFormat/>
    <w:pPr>
      <w:jc w:val="left"/>
      <w:spacing w:beforeAutospacing="1" w:afterAutospacing="1"/>
    </w:pPr>
    <w:rPr>
      <w:rFonts w:cs="Times New Roman"/>
      <w:sz w:val="24"/>
    </w:rPr>
  </w:style>
  <w:style w:type="paragraph" w:styleId="670">
    <w:name w:val="Title"/>
    <w:basedOn w:val="635"/>
    <w:next w:val="635"/>
    <w:link w:val="689"/>
    <w:uiPriority w:val="10"/>
    <w:qFormat/>
    <w:pPr>
      <w:contextualSpacing/>
      <w:spacing w:before="300" w:after="200"/>
    </w:pPr>
    <w:rPr>
      <w:sz w:val="48"/>
      <w:szCs w:val="48"/>
    </w:rPr>
  </w:style>
  <w:style w:type="paragraph" w:styleId="671">
    <w:name w:val="Body Text First Indent 2"/>
    <w:basedOn w:val="650"/>
    <w:next w:val="635"/>
    <w:uiPriority w:val="0"/>
    <w:qFormat/>
    <w:pPr>
      <w:ind w:firstLine="420"/>
      <w:spacing w:line="360" w:lineRule="auto"/>
    </w:pPr>
    <w:rPr>
      <w:rFonts w:ascii="宋体" w:hAnsi="宋体" w:eastAsia="宋体"/>
      <w:sz w:val="21"/>
      <w:szCs w:val="20"/>
    </w:rPr>
  </w:style>
  <w:style w:type="table" w:styleId="672">
    <w:name w:val="Table Grid"/>
    <w:basedOn w:val="64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73">
    <w:name w:val="endnote reference"/>
    <w:basedOn w:val="644"/>
    <w:uiPriority w:val="99"/>
    <w:semiHidden/>
    <w:unhideWhenUsed/>
    <w:qFormat/>
    <w:rPr>
      <w:vertAlign w:val="superscript"/>
    </w:rPr>
  </w:style>
  <w:style w:type="character" w:styleId="674">
    <w:name w:val="page number"/>
    <w:uiPriority w:val="0"/>
    <w:qFormat/>
  </w:style>
  <w:style w:type="character" w:styleId="675">
    <w:name w:val="Hyperlink"/>
    <w:uiPriority w:val="99"/>
    <w:unhideWhenUsed/>
    <w:qFormat/>
    <w:rPr>
      <w:color w:val="0563c1" w:themeColor="hyperlink"/>
      <w:u w:val="single"/>
      <w14:textFill>
        <w14:solidFill>
          <w14:schemeClr w14:val="hlink"/>
        </w14:solidFill>
      </w14:textFill>
    </w:rPr>
  </w:style>
  <w:style w:type="character" w:styleId="676">
    <w:name w:val="footnote reference"/>
    <w:basedOn w:val="644"/>
    <w:uiPriority w:val="99"/>
    <w:unhideWhenUsed/>
    <w:qFormat/>
    <w:rPr>
      <w:vertAlign w:val="superscript"/>
    </w:rPr>
  </w:style>
  <w:style w:type="paragraph" w:styleId="677" w:customStyle="1">
    <w:name w:val="Default"/>
    <w:uiPriority w:val="99"/>
    <w:unhideWhenUsed/>
    <w:qFormat/>
    <w:pPr>
      <w:widowControl w:val="off"/>
    </w:pPr>
    <w:rPr>
      <w:rFonts w:hint="eastAsia" w:ascii="仿宋_GB2312" w:hAnsi="仿宋_GB2312" w:eastAsia="仿宋_GB2312" w:cs="Times New Roman"/>
      <w:color w:val="000000"/>
      <w:sz w:val="24"/>
      <w:lang w:val="en-US" w:eastAsia="zh-CN" w:bidi="ar-SA"/>
    </w:rPr>
  </w:style>
  <w:style w:type="character" w:styleId="678" w:customStyle="1">
    <w:name w:val="Heading 1 Char"/>
    <w:basedOn w:val="644"/>
    <w:uiPriority w:val="9"/>
    <w:qFormat/>
    <w:rPr>
      <w:rFonts w:ascii="Arial" w:hAnsi="Arial" w:eastAsia="Arial" w:cs="Arial"/>
      <w:sz w:val="40"/>
      <w:szCs w:val="40"/>
    </w:rPr>
  </w:style>
  <w:style w:type="character" w:styleId="679" w:customStyle="1">
    <w:name w:val="Heading 2 Char"/>
    <w:basedOn w:val="644"/>
    <w:uiPriority w:val="9"/>
    <w:qFormat/>
    <w:rPr>
      <w:rFonts w:ascii="Arial" w:hAnsi="Arial" w:eastAsia="Arial" w:cs="Arial"/>
      <w:sz w:val="34"/>
    </w:rPr>
  </w:style>
  <w:style w:type="character" w:styleId="680" w:customStyle="1">
    <w:name w:val="标题 3 Char"/>
    <w:basedOn w:val="644"/>
    <w:link w:val="637"/>
    <w:uiPriority w:val="9"/>
    <w:qFormat/>
    <w:rPr>
      <w:rFonts w:ascii="Arial" w:hAnsi="Arial" w:eastAsia="Arial" w:cs="Arial"/>
      <w:sz w:val="30"/>
      <w:szCs w:val="30"/>
    </w:rPr>
  </w:style>
  <w:style w:type="character" w:styleId="681" w:customStyle="1">
    <w:name w:val="Heading 4 Char"/>
    <w:basedOn w:val="644"/>
    <w:uiPriority w:val="9"/>
    <w:qFormat/>
    <w:rPr>
      <w:rFonts w:ascii="Arial" w:hAnsi="Arial" w:eastAsia="Arial" w:cs="Arial"/>
      <w:b/>
      <w:bCs/>
      <w:sz w:val="26"/>
      <w:szCs w:val="26"/>
    </w:rPr>
  </w:style>
  <w:style w:type="character" w:styleId="682" w:customStyle="1">
    <w:name w:val="标题 5 Char"/>
    <w:basedOn w:val="644"/>
    <w:link w:val="639"/>
    <w:uiPriority w:val="9"/>
    <w:qFormat/>
    <w:rPr>
      <w:rFonts w:ascii="Arial" w:hAnsi="Arial" w:eastAsia="Arial" w:cs="Arial"/>
      <w:b/>
      <w:bCs/>
      <w:sz w:val="24"/>
      <w:szCs w:val="24"/>
    </w:rPr>
  </w:style>
  <w:style w:type="character" w:styleId="683" w:customStyle="1">
    <w:name w:val="标题 6 Char"/>
    <w:basedOn w:val="644"/>
    <w:link w:val="640"/>
    <w:uiPriority w:val="9"/>
    <w:qFormat/>
    <w:rPr>
      <w:rFonts w:ascii="Arial" w:hAnsi="Arial" w:eastAsia="Arial" w:cs="Arial"/>
      <w:b/>
      <w:bCs/>
      <w:sz w:val="22"/>
      <w:szCs w:val="22"/>
    </w:rPr>
  </w:style>
  <w:style w:type="character" w:styleId="684" w:customStyle="1">
    <w:name w:val="标题 7 Char"/>
    <w:basedOn w:val="644"/>
    <w:link w:val="641"/>
    <w:uiPriority w:val="9"/>
    <w:qFormat/>
    <w:rPr>
      <w:rFonts w:ascii="Arial" w:hAnsi="Arial" w:eastAsia="Arial" w:cs="Arial"/>
      <w:b/>
      <w:bCs/>
      <w:i/>
      <w:iCs/>
      <w:sz w:val="22"/>
      <w:szCs w:val="22"/>
    </w:rPr>
  </w:style>
  <w:style w:type="character" w:styleId="685" w:customStyle="1">
    <w:name w:val="标题 8 Char"/>
    <w:basedOn w:val="644"/>
    <w:link w:val="642"/>
    <w:uiPriority w:val="9"/>
    <w:qFormat/>
    <w:rPr>
      <w:rFonts w:ascii="Arial" w:hAnsi="Arial" w:eastAsia="Arial" w:cs="Arial"/>
      <w:i/>
      <w:iCs/>
      <w:sz w:val="22"/>
      <w:szCs w:val="22"/>
    </w:rPr>
  </w:style>
  <w:style w:type="character" w:styleId="686" w:customStyle="1">
    <w:name w:val="标题 9 Char"/>
    <w:basedOn w:val="644"/>
    <w:link w:val="643"/>
    <w:uiPriority w:val="9"/>
    <w:qFormat/>
    <w:rPr>
      <w:rFonts w:ascii="Arial" w:hAnsi="Arial" w:eastAsia="Arial" w:cs="Arial"/>
      <w:i/>
      <w:iCs/>
      <w:sz w:val="21"/>
      <w:szCs w:val="21"/>
    </w:rPr>
  </w:style>
  <w:style w:type="paragraph" w:styleId="687">
    <w:name w:val="List Paragraph"/>
    <w:basedOn w:val="635"/>
    <w:uiPriority w:val="34"/>
    <w:qFormat/>
    <w:pPr>
      <w:contextualSpacing/>
      <w:ind w:left="720"/>
    </w:pPr>
  </w:style>
  <w:style w:type="paragraph" w:styleId="688">
    <w:name w:val="No Spacing"/>
    <w:uiPriority w:val="1"/>
    <w:qFormat/>
    <w:rPr>
      <w:rFonts w:ascii="Times New Roman" w:hAnsi="Times New Roman" w:eastAsia="宋体" w:cs="Times New Roman"/>
      <w:lang w:val="en-US" w:eastAsia="zh-CN" w:bidi="ar-SA"/>
    </w:rPr>
  </w:style>
  <w:style w:type="character" w:styleId="689" w:customStyle="1">
    <w:name w:val="标题 Char"/>
    <w:basedOn w:val="644"/>
    <w:link w:val="670"/>
    <w:uiPriority w:val="10"/>
    <w:qFormat/>
    <w:rPr>
      <w:sz w:val="48"/>
      <w:szCs w:val="48"/>
    </w:rPr>
  </w:style>
  <w:style w:type="character" w:styleId="690" w:customStyle="1">
    <w:name w:val="副标题 Char"/>
    <w:basedOn w:val="644"/>
    <w:link w:val="662"/>
    <w:uiPriority w:val="11"/>
    <w:qFormat/>
    <w:rPr>
      <w:sz w:val="24"/>
      <w:szCs w:val="24"/>
    </w:rPr>
  </w:style>
  <w:style w:type="paragraph" w:styleId="691">
    <w:name w:val="Quote"/>
    <w:basedOn w:val="635"/>
    <w:next w:val="635"/>
    <w:link w:val="692"/>
    <w:uiPriority w:val="29"/>
    <w:qFormat/>
    <w:pPr>
      <w:ind w:left="720" w:right="720"/>
    </w:pPr>
    <w:rPr>
      <w:i/>
    </w:rPr>
  </w:style>
  <w:style w:type="character" w:styleId="692" w:customStyle="1">
    <w:name w:val="引用 Char"/>
    <w:link w:val="691"/>
    <w:uiPriority w:val="29"/>
    <w:qFormat/>
    <w:rPr>
      <w:i/>
    </w:rPr>
  </w:style>
  <w:style w:type="paragraph" w:styleId="693">
    <w:name w:val="Intense Quote"/>
    <w:basedOn w:val="635"/>
    <w:next w:val="635"/>
    <w:link w:val="69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4" w:customStyle="1">
    <w:name w:val="明显引用 Char"/>
    <w:link w:val="693"/>
    <w:uiPriority w:val="30"/>
    <w:qFormat/>
    <w:rPr>
      <w:i/>
    </w:rPr>
  </w:style>
  <w:style w:type="character" w:styleId="695" w:customStyle="1">
    <w:name w:val="Header Char"/>
    <w:basedOn w:val="644"/>
    <w:uiPriority w:val="99"/>
    <w:qFormat/>
  </w:style>
  <w:style w:type="character" w:styleId="696" w:customStyle="1">
    <w:name w:val="Footer Char"/>
    <w:basedOn w:val="644"/>
    <w:uiPriority w:val="99"/>
    <w:qFormat/>
  </w:style>
  <w:style w:type="character" w:styleId="697" w:customStyle="1">
    <w:name w:val="Caption Char"/>
    <w:uiPriority w:val="99"/>
    <w:qFormat/>
  </w:style>
  <w:style w:type="table" w:styleId="698" w:customStyle="1">
    <w:name w:val="Table Grid Light"/>
    <w:basedOn w:val="64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699" w:customStyle="1">
    <w:name w:val="Plain Table 1"/>
    <w:basedOn w:val="64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0" w:customStyle="1">
    <w:name w:val="Plain Table 2"/>
    <w:basedOn w:val="64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1" w:customStyle="1">
    <w:name w:val="Plain Table 3"/>
    <w:basedOn w:val="64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2" w:customStyle="1">
    <w:name w:val="Plain Table 4"/>
    <w:basedOn w:val="64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3" w:customStyle="1">
    <w:name w:val="Plain Table 5"/>
    <w:basedOn w:val="64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4" w:customStyle="1">
    <w:name w:val="Grid Table 1 Light"/>
    <w:basedOn w:val="64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5" w:customStyle="1">
    <w:name w:val="Grid Table 1 Light - Accent 1"/>
    <w:basedOn w:val="64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06" w:customStyle="1">
    <w:name w:val="Grid Table 1 Light - Accent 2"/>
    <w:basedOn w:val="64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07" w:customStyle="1">
    <w:name w:val="Grid Table 1 Light - Accent 3"/>
    <w:basedOn w:val="64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08" w:customStyle="1">
    <w:name w:val="Grid Table 1 Light - Accent 4"/>
    <w:basedOn w:val="64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09" w:customStyle="1">
    <w:name w:val="Grid Table 1 Light - Accent 5"/>
    <w:basedOn w:val="64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10" w:customStyle="1">
    <w:name w:val="Grid Table 1 Light - Accent 6"/>
    <w:basedOn w:val="64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11" w:customStyle="1">
    <w:name w:val="Grid Table 2"/>
    <w:basedOn w:val="64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2" w:customStyle="1">
    <w:name w:val="Grid Table 2 - Accent 1"/>
    <w:basedOn w:val="64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13" w:customStyle="1">
    <w:name w:val="Grid Table 2 - Accent 2"/>
    <w:basedOn w:val="64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14" w:customStyle="1">
    <w:name w:val="Grid Table 2 - Accent 3"/>
    <w:basedOn w:val="64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15" w:customStyle="1">
    <w:name w:val="Grid Table 2 - Accent 4"/>
    <w:basedOn w:val="64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16" w:customStyle="1">
    <w:name w:val="Grid Table 2 - Accent 5"/>
    <w:basedOn w:val="64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17" w:customStyle="1">
    <w:name w:val="Grid Table 2 - Accent 6"/>
    <w:basedOn w:val="64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18" w:customStyle="1">
    <w:name w:val="Grid Table 3"/>
    <w:basedOn w:val="64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9" w:customStyle="1">
    <w:name w:val="Grid Table 3 - Accent 1"/>
    <w:basedOn w:val="64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0" w:customStyle="1">
    <w:name w:val="Grid Table 3 - Accent 2"/>
    <w:basedOn w:val="64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1" w:customStyle="1">
    <w:name w:val="Grid Table 3 - Accent 3"/>
    <w:basedOn w:val="64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2" w:customStyle="1">
    <w:name w:val="Grid Table 3 - Accent 4"/>
    <w:basedOn w:val="64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3" w:customStyle="1">
    <w:name w:val="Grid Table 3 - Accent 5"/>
    <w:basedOn w:val="64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Grid Table 3 - Accent 6"/>
    <w:basedOn w:val="64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5" w:customStyle="1">
    <w:name w:val="Grid Table 4"/>
    <w:basedOn w:val="64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6" w:customStyle="1">
    <w:name w:val="Grid Table 4 - Accent 1"/>
    <w:basedOn w:val="645"/>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27" w:customStyle="1">
    <w:name w:val="Grid Table 4 - Accent 2"/>
    <w:basedOn w:val="64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28" w:customStyle="1">
    <w:name w:val="Grid Table 4 - Accent 3"/>
    <w:basedOn w:val="64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29" w:customStyle="1">
    <w:name w:val="Grid Table 4 - Accent 4"/>
    <w:basedOn w:val="64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30" w:customStyle="1">
    <w:name w:val="Grid Table 4 - Accent 5"/>
    <w:basedOn w:val="645"/>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31" w:customStyle="1">
    <w:name w:val="Grid Table 4 - Accent 6"/>
    <w:basedOn w:val="64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32" w:customStyle="1">
    <w:name w:val="Grid Table 5 Dark"/>
    <w:basedOn w:val="6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3" w:customStyle="1">
    <w:name w:val="Grid Table 5 Dark- Accent 1"/>
    <w:basedOn w:val="6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34" w:customStyle="1">
    <w:name w:val="Grid Table 5 Dark - Accent 2"/>
    <w:basedOn w:val="6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35" w:customStyle="1">
    <w:name w:val="Grid Table 5 Dark - Accent 3"/>
    <w:basedOn w:val="6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36" w:customStyle="1">
    <w:name w:val="Grid Table 5 Dark- Accent 4"/>
    <w:basedOn w:val="6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37" w:customStyle="1">
    <w:name w:val="Grid Table 5 Dark - Accent 5"/>
    <w:basedOn w:val="6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38" w:customStyle="1">
    <w:name w:val="Grid Table 5 Dark - Accent 6"/>
    <w:basedOn w:val="6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39" w:customStyle="1">
    <w:name w:val="Grid Table 6 Colorful"/>
    <w:basedOn w:val="64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0" w:customStyle="1">
    <w:name w:val="Grid Table 6 Colorful - Accent 1"/>
    <w:basedOn w:val="645"/>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41" w:customStyle="1">
    <w:name w:val="Grid Table 6 Colorful - Accent 2"/>
    <w:basedOn w:val="64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42" w:customStyle="1">
    <w:name w:val="Grid Table 6 Colorful - Accent 3"/>
    <w:basedOn w:val="64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743" w:customStyle="1">
    <w:name w:val="Grid Table 6 Colorful - Accent 4"/>
    <w:basedOn w:val="64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44" w:customStyle="1">
    <w:name w:val="Grid Table 6 Colorful - Accent 5"/>
    <w:basedOn w:val="645"/>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45" w:customStyle="1">
    <w:name w:val="Grid Table 6 Colorful - Accent 6"/>
    <w:basedOn w:val="64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46" w:customStyle="1">
    <w:name w:val="Grid Table 7 Colorful"/>
    <w:basedOn w:val="64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7" w:customStyle="1">
    <w:name w:val="Grid Table 7 Colorful - Accent 1"/>
    <w:basedOn w:val="645"/>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48" w:customStyle="1">
    <w:name w:val="Grid Table 7 Colorful - Accent 2"/>
    <w:basedOn w:val="64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49" w:customStyle="1">
    <w:name w:val="Grid Table 7 Colorful - Accent 3"/>
    <w:basedOn w:val="64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50" w:customStyle="1">
    <w:name w:val="Grid Table 7 Colorful - Accent 4"/>
    <w:basedOn w:val="64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51" w:customStyle="1">
    <w:name w:val="Grid Table 7 Colorful - Accent 5"/>
    <w:basedOn w:val="645"/>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52" w:customStyle="1">
    <w:name w:val="Grid Table 7 Colorful - Accent 6"/>
    <w:basedOn w:val="64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53" w:customStyle="1">
    <w:name w:val="List Table 1 Light"/>
    <w:basedOn w:val="64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4" w:customStyle="1">
    <w:name w:val="List Table 1 Light - Accent 1"/>
    <w:basedOn w:val="645"/>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55" w:customStyle="1">
    <w:name w:val="List Table 1 Light - Accent 2"/>
    <w:basedOn w:val="645"/>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56" w:customStyle="1">
    <w:name w:val="List Table 1 Light - Accent 3"/>
    <w:basedOn w:val="645"/>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57" w:customStyle="1">
    <w:name w:val="List Table 1 Light - Accent 4"/>
    <w:basedOn w:val="645"/>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58" w:customStyle="1">
    <w:name w:val="List Table 1 Light - Accent 5"/>
    <w:basedOn w:val="645"/>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59" w:customStyle="1">
    <w:name w:val="List Table 1 Light - Accent 6"/>
    <w:basedOn w:val="645"/>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60" w:customStyle="1">
    <w:name w:val="List Table 2"/>
    <w:basedOn w:val="64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1" w:customStyle="1">
    <w:name w:val="List Table 2 - Accent 1"/>
    <w:basedOn w:val="645"/>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62" w:customStyle="1">
    <w:name w:val="List Table 2 - Accent 2"/>
    <w:basedOn w:val="64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63" w:customStyle="1">
    <w:name w:val="List Table 2 - Accent 3"/>
    <w:basedOn w:val="64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64" w:customStyle="1">
    <w:name w:val="List Table 2 - Accent 4"/>
    <w:basedOn w:val="64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65" w:customStyle="1">
    <w:name w:val="List Table 2 - Accent 5"/>
    <w:basedOn w:val="645"/>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66" w:customStyle="1">
    <w:name w:val="List Table 2 - Accent 6"/>
    <w:basedOn w:val="64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67" w:customStyle="1">
    <w:name w:val="List Table 3"/>
    <w:basedOn w:val="64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8" w:customStyle="1">
    <w:name w:val="List Table 3 - Accent 1"/>
    <w:basedOn w:val="645"/>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69" w:customStyle="1">
    <w:name w:val="List Table 3 - Accent 2"/>
    <w:basedOn w:val="64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70" w:customStyle="1">
    <w:name w:val="List Table 3 - Accent 3"/>
    <w:basedOn w:val="64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71" w:customStyle="1">
    <w:name w:val="List Table 3 - Accent 4"/>
    <w:basedOn w:val="64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72" w:customStyle="1">
    <w:name w:val="List Table 3 - Accent 5"/>
    <w:basedOn w:val="645"/>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773" w:customStyle="1">
    <w:name w:val="List Table 3 - Accent 6"/>
    <w:basedOn w:val="64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74" w:customStyle="1">
    <w:name w:val="List Table 4"/>
    <w:basedOn w:val="64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5" w:customStyle="1">
    <w:name w:val="List Table 4 - Accent 1"/>
    <w:basedOn w:val="645"/>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76" w:customStyle="1">
    <w:name w:val="List Table 4 - Accent 2"/>
    <w:basedOn w:val="64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77" w:customStyle="1">
    <w:name w:val="List Table 4 - Accent 3"/>
    <w:basedOn w:val="64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78" w:customStyle="1">
    <w:name w:val="List Table 4 - Accent 4"/>
    <w:basedOn w:val="64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79" w:customStyle="1">
    <w:name w:val="List Table 4 - Accent 5"/>
    <w:basedOn w:val="645"/>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780" w:customStyle="1">
    <w:name w:val="List Table 4 - Accent 6"/>
    <w:basedOn w:val="64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781" w:customStyle="1">
    <w:name w:val="List Table 5 Dark"/>
    <w:basedOn w:val="64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2" w:customStyle="1">
    <w:name w:val="List Table 5 Dark - Accent 1"/>
    <w:basedOn w:val="645"/>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3" w:customStyle="1">
    <w:name w:val="List Table 5 Dark - Accent 2"/>
    <w:basedOn w:val="64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List Table 5 Dark - Accent 3"/>
    <w:basedOn w:val="64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List Table 5 Dark - Accent 4"/>
    <w:basedOn w:val="64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6" w:customStyle="1">
    <w:name w:val="List Table 5 Dark - Accent 5"/>
    <w:basedOn w:val="645"/>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List Table 5 Dark - Accent 6"/>
    <w:basedOn w:val="64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8" w:customStyle="1">
    <w:name w:val="List Table 6 Colorful"/>
    <w:basedOn w:val="64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9" w:customStyle="1">
    <w:name w:val="List Table 6 Colorful - Accent 1"/>
    <w:basedOn w:val="645"/>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790" w:customStyle="1">
    <w:name w:val="List Table 6 Colorful - Accent 2"/>
    <w:basedOn w:val="645"/>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791" w:customStyle="1">
    <w:name w:val="List Table 6 Colorful - Accent 3"/>
    <w:basedOn w:val="645"/>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792" w:customStyle="1">
    <w:name w:val="List Table 6 Colorful - Accent 4"/>
    <w:basedOn w:val="645"/>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793" w:customStyle="1">
    <w:name w:val="List Table 6 Colorful - Accent 5"/>
    <w:basedOn w:val="645"/>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794" w:customStyle="1">
    <w:name w:val="List Table 6 Colorful - Accent 6"/>
    <w:basedOn w:val="645"/>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795" w:customStyle="1">
    <w:name w:val="List Table 7 Colorful"/>
    <w:basedOn w:val="64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6" w:customStyle="1">
    <w:name w:val="List Table 7 Colorful - Accent 1"/>
    <w:basedOn w:val="645"/>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797" w:customStyle="1">
    <w:name w:val="List Table 7 Colorful - Accent 2"/>
    <w:basedOn w:val="645"/>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98" w:customStyle="1">
    <w:name w:val="List Table 7 Colorful - Accent 3"/>
    <w:basedOn w:val="645"/>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799" w:customStyle="1">
    <w:name w:val="List Table 7 Colorful - Accent 4"/>
    <w:basedOn w:val="645"/>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00" w:customStyle="1">
    <w:name w:val="List Table 7 Colorful - Accent 5"/>
    <w:basedOn w:val="645"/>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01" w:customStyle="1">
    <w:name w:val="List Table 7 Colorful - Accent 6"/>
    <w:basedOn w:val="645"/>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02" w:customStyle="1">
    <w:name w:val="Lined - Accent"/>
    <w:basedOn w:val="6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3" w:customStyle="1">
    <w:name w:val="Lined - Accent 1"/>
    <w:basedOn w:val="6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04" w:customStyle="1">
    <w:name w:val="Lined - Accent 2"/>
    <w:basedOn w:val="6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05" w:customStyle="1">
    <w:name w:val="Lined - Accent 3"/>
    <w:basedOn w:val="6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06" w:customStyle="1">
    <w:name w:val="Lined - Accent 4"/>
    <w:basedOn w:val="6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07" w:customStyle="1">
    <w:name w:val="Lined - Accent 5"/>
    <w:basedOn w:val="6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08" w:customStyle="1">
    <w:name w:val="Lined - Accent 6"/>
    <w:basedOn w:val="6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09" w:customStyle="1">
    <w:name w:val="Bordered &amp; Lined - Accent"/>
    <w:basedOn w:val="64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0" w:customStyle="1">
    <w:name w:val="Bordered &amp; Lined - Accent 1"/>
    <w:basedOn w:val="645"/>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11" w:customStyle="1">
    <w:name w:val="Bordered &amp; Lined - Accent 2"/>
    <w:basedOn w:val="64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12" w:customStyle="1">
    <w:name w:val="Bordered &amp; Lined - Accent 3"/>
    <w:basedOn w:val="64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13" w:customStyle="1">
    <w:name w:val="Bordered &amp; Lined - Accent 4"/>
    <w:basedOn w:val="64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14" w:customStyle="1">
    <w:name w:val="Bordered &amp; Lined - Accent 5"/>
    <w:basedOn w:val="645"/>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15" w:customStyle="1">
    <w:name w:val="Bordered &amp; Lined - Accent 6"/>
    <w:basedOn w:val="64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16" w:customStyle="1">
    <w:name w:val="Bordered"/>
    <w:basedOn w:val="64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17" w:customStyle="1">
    <w:name w:val="Bordered - Accent 1"/>
    <w:basedOn w:val="64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18" w:customStyle="1">
    <w:name w:val="Bordered - Accent 2"/>
    <w:basedOn w:val="64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19" w:customStyle="1">
    <w:name w:val="Bordered - Accent 3"/>
    <w:basedOn w:val="64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20" w:customStyle="1">
    <w:name w:val="Bordered - Accent 4"/>
    <w:basedOn w:val="64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21" w:customStyle="1">
    <w:name w:val="Bordered - Accent 5"/>
    <w:basedOn w:val="64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22" w:customStyle="1">
    <w:name w:val="Bordered - Accent 6"/>
    <w:basedOn w:val="64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23" w:customStyle="1">
    <w:name w:val="脚注文本 Char"/>
    <w:link w:val="663"/>
    <w:uiPriority w:val="99"/>
    <w:qFormat/>
    <w:rPr>
      <w:sz w:val="18"/>
    </w:rPr>
  </w:style>
  <w:style w:type="character" w:styleId="824" w:customStyle="1">
    <w:name w:val="尾注文本 Char"/>
    <w:link w:val="656"/>
    <w:uiPriority w:val="99"/>
    <w:qFormat/>
    <w:rPr>
      <w:sz w:val="20"/>
    </w:rPr>
  </w:style>
  <w:style w:type="paragraph" w:styleId="825" w:customStyle="1">
    <w:name w:val="TOC 标题1"/>
    <w:uiPriority w:val="39"/>
    <w:unhideWhenUsed/>
    <w:qFormat/>
    <w:rPr>
      <w:rFonts w:ascii="Times New Roman" w:hAnsi="Times New Roman" w:eastAsia="宋体" w:cs="Times New Roman"/>
      <w:lang w:val="en-US" w:eastAsia="zh-CN" w:bidi="ar-SA"/>
    </w:rPr>
  </w:style>
  <w:style w:type="character" w:styleId="826" w:customStyle="1">
    <w:name w:val="页眉 Char"/>
    <w:basedOn w:val="644"/>
    <w:link w:val="659"/>
    <w:uiPriority w:val="0"/>
    <w:qFormat/>
    <w:rPr>
      <w:rFonts w:asciiTheme="minorHAnsi" w:hAnsiTheme="minorHAnsi" w:eastAsiaTheme="minorEastAsia" w:cstheme="minorBidi"/>
      <w:sz w:val="18"/>
      <w:szCs w:val="18"/>
    </w:rPr>
  </w:style>
  <w:style w:type="character" w:styleId="827" w:customStyle="1">
    <w:name w:val="页脚 Char"/>
    <w:basedOn w:val="644"/>
    <w:link w:val="658"/>
    <w:uiPriority w:val="0"/>
    <w:qFormat/>
    <w:rPr>
      <w:rFonts w:asciiTheme="minorHAnsi" w:hAnsiTheme="minorHAnsi" w:eastAsiaTheme="minorEastAsia" w:cstheme="minorBidi"/>
      <w:sz w:val="18"/>
      <w:szCs w:val="18"/>
    </w:rPr>
  </w:style>
  <w:style w:type="character" w:styleId="828" w:customStyle="1">
    <w:name w:val="NormalCharacter"/>
    <w:uiPriority w:val="0"/>
    <w:qFormat/>
  </w:style>
  <w:style w:type="paragraph" w:styleId="829" w:customStyle="1">
    <w:name w:val="标题 11"/>
    <w:basedOn w:val="635"/>
    <w:next w:val="635"/>
    <w:uiPriority w:val="0"/>
    <w:qFormat/>
    <w:pPr>
      <w:jc w:val="center"/>
      <w:keepNext/>
    </w:pPr>
    <w:rPr>
      <w:rFonts w:ascii="楷体_GB2312" w:eastAsia="楷体_GB2312"/>
      <w:sz w:val="28"/>
      <w:szCs w:val="28"/>
    </w:rPr>
  </w:style>
  <w:style w:type="paragraph" w:styleId="830" w:customStyle="1">
    <w:name w:val="标题 41"/>
    <w:basedOn w:val="635"/>
    <w:next w:val="635"/>
    <w:uiPriority w:val="0"/>
    <w:qFormat/>
    <w:pPr>
      <w:keepLines/>
      <w:keepNext/>
      <w:spacing w:before="280" w:after="290" w:line="376" w:lineRule="auto"/>
    </w:pPr>
    <w:rPr>
      <w:rFonts w:ascii="Arial" w:hAnsi="Arial" w:eastAsia="黑体" w:cs="Times New Roman"/>
      <w:b/>
      <w:bCs/>
      <w:sz w:val="28"/>
      <w:szCs w:val="28"/>
    </w:rPr>
  </w:style>
  <w:style w:type="paragraph" w:styleId="831" w:customStyle="1">
    <w:name w:val="标题 21"/>
    <w:basedOn w:val="635"/>
    <w:next w:val="832"/>
    <w:uiPriority w:val="0"/>
    <w:qFormat/>
    <w:pPr>
      <w:jc w:val="center"/>
      <w:keepLines/>
      <w:keepNext/>
      <w:spacing w:before="260" w:after="260" w:line="416" w:lineRule="auto"/>
    </w:pPr>
    <w:rPr>
      <w:rFonts w:ascii="Arial" w:hAnsi="Arial" w:eastAsia="幼圆" w:cs="Times New Roman"/>
      <w:b/>
      <w:bCs/>
      <w:sz w:val="44"/>
      <w:szCs w:val="44"/>
    </w:rPr>
  </w:style>
  <w:style w:type="paragraph" w:styleId="832" w:customStyle="1">
    <w:name w:val="NormalIndent"/>
    <w:basedOn w:val="635"/>
    <w:uiPriority w:val="0"/>
    <w:qFormat/>
    <w:pPr>
      <w:ind w:firstLine="420"/>
    </w:pPr>
    <w:rPr>
      <w:szCs w:val="20"/>
    </w:rPr>
  </w:style>
  <w:style w:type="paragraph" w:styleId="833" w:customStyle="1">
    <w:name w:val="PlainText"/>
    <w:basedOn w:val="635"/>
    <w:uiPriority w:val="0"/>
    <w:qFormat/>
    <w:rPr>
      <w:rFonts w:ascii="宋体" w:hAnsi="Courier New"/>
    </w:rPr>
  </w:style>
  <w:style w:type="paragraph" w:styleId="834" w:customStyle="1">
    <w:name w:val="WPSOffice手动目录 1"/>
    <w:uiPriority w:val="0"/>
    <w:qFormat/>
    <w:rPr>
      <w:rFonts w:ascii="Times New Roman" w:hAnsi="Times New Roman" w:eastAsia="宋体" w:cs="Times New Roman"/>
      <w:lang w:val="en-US" w:eastAsia="zh-CN" w:bidi="ar-SA"/>
    </w:rPr>
  </w:style>
  <w:style w:type="paragraph" w:styleId="835" w:customStyle="1">
    <w:name w:val="Char"/>
    <w:basedOn w:val="635"/>
    <w:uiPriority w:val="0"/>
    <w:qFormat/>
    <w:pPr>
      <w:ind w:firstLine="200"/>
      <w:tabs>
        <w:tab w:val="left" w:pos="360" w:leader="none"/>
      </w:tabs>
    </w:pPr>
    <w:rPr>
      <w:sz w:val="28"/>
      <w:szCs w:val="30"/>
    </w:rPr>
  </w:style>
  <w:style w:type="paragraph" w:styleId="836" w:customStyle="1">
    <w:name w:val="普通正文"/>
    <w:basedOn w:val="635"/>
    <w:uiPriority w:val="0"/>
    <w:qFormat/>
    <w:pPr>
      <w:ind w:firstLine="480"/>
      <w:jc w:val="left"/>
      <w:spacing w:before="120" w:after="120" w:line="360" w:lineRule="auto"/>
    </w:pPr>
    <w:rPr>
      <w:rFonts w:ascii="Arial" w:hAnsi="Arial"/>
      <w:sz w:val="24"/>
    </w:rPr>
  </w:style>
  <w:style w:type="paragraph" w:styleId="837" w:customStyle="1">
    <w:name w:val="一级条标题"/>
    <w:basedOn w:val="838"/>
    <w:next w:val="83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38" w:customStyle="1">
    <w:name w:val="章标题"/>
    <w:next w:val="635"/>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839" w:customStyle="1">
    <w:name w:val="段"/>
    <w:next w:val="635"/>
    <w:uiPriority w:val="0"/>
    <w:qFormat/>
    <w:pPr>
      <w:ind w:firstLine="420"/>
      <w:jc w:val="both"/>
      <w:tabs>
        <w:tab w:val="center" w:pos="4201" w:leader="none"/>
        <w:tab w:val="right" w:pos="9298" w:leader="dot"/>
      </w:tabs>
    </w:pPr>
    <w:rPr>
      <w:rFonts w:ascii="宋体" w:hAnsi="Times New Roman" w:eastAsia="宋体" w:cs="Times New Roman"/>
      <w:sz w:val="21"/>
      <w:lang w:val="en-US" w:eastAsia="zh-CN" w:bidi="ar-SA"/>
    </w:rPr>
  </w:style>
  <w:style w:type="paragraph" w:styleId="840" w:customStyle="1">
    <w:name w:val="正文文本1"/>
    <w:basedOn w:val="635"/>
    <w:next w:val="837"/>
    <w:uiPriority w:val="0"/>
    <w:qFormat/>
    <w:rPr>
      <w:rFonts w:ascii="楷体_GB2312" w:hAnsi="Arial" w:eastAsia="楷体_GB2312"/>
      <w:sz w:val="28"/>
      <w:szCs w:val="20"/>
    </w:rPr>
  </w:style>
  <w:style w:type="paragraph" w:styleId="841" w:customStyle="1">
    <w:name w:val="标题1"/>
    <w:basedOn w:val="635"/>
    <w:next w:val="635"/>
    <w:uiPriority w:val="0"/>
    <w:qFormat/>
    <w:pPr>
      <w:jc w:val="center"/>
      <w:spacing w:line="700" w:lineRule="atLeast"/>
      <w:tabs>
        <w:tab w:val="left" w:pos="9193" w:leader="none"/>
        <w:tab w:val="left" w:pos="9827" w:leader="none"/>
      </w:tabs>
    </w:pPr>
    <w:rPr>
      <w:rFonts w:eastAsia="方正小标宋_GBK"/>
      <w:sz w:val="44"/>
    </w:rPr>
  </w:style>
  <w:style w:type="character" w:styleId="842" w:customStyle="1">
    <w:name w:val="批注框文本 Char"/>
    <w:basedOn w:val="644"/>
    <w:link w:val="657"/>
    <w:uiPriority w:val="99"/>
    <w:semiHidden/>
    <w:qFormat/>
    <w:rPr>
      <w:rFonts w:asciiTheme="minorHAnsi" w:hAnsiTheme="minorHAnsi" w:eastAsiaTheme="minorEastAsia" w:cstheme="minorBidi"/>
      <w:sz w:val="18"/>
      <w:szCs w:val="18"/>
    </w:rPr>
  </w:style>
  <w:style w:type="numbering" w:styleId="78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张先生</cp:lastModifiedBy>
  <cp:revision>341</cp:revision>
  <dcterms:created xsi:type="dcterms:W3CDTF">2014-10-29T12:08:00Z</dcterms:created>
  <dcterms:modified xsi:type="dcterms:W3CDTF">2024-06-24T03:32:38Z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C949E1C087FA42FDA835C472352E3C8E_13</vt:lpwstr>
  </property>
</Properties>
</file>