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highlight w:val="none"/>
        </w:rPr>
      </w:pPr>
      <w:r/>
      <w:bookmarkStart w:id="177" w:name="_GoBack"/>
      <w:r/>
      <w:r/>
    </w:p>
    <w:p>
      <w:pPr>
        <w:jc w:val="center"/>
        <w:spacing w:before="120" w:after="120" w:line="360" w:lineRule="auto"/>
        <w:rPr>
          <w:rFonts w:ascii="Arial" w:hAnsi="Arial" w:eastAsia="黑体"/>
          <w:b/>
          <w:bCs/>
          <w:sz w:val="84"/>
          <w:szCs w:val="24"/>
          <w:highlight w:val="none"/>
        </w:rPr>
      </w:pPr>
      <w:r>
        <w:rPr>
          <w:rFonts w:hint="eastAsia" w:ascii="Arial" w:hAnsi="Arial" w:eastAsia="黑体"/>
          <w:b/>
          <w:bCs/>
          <w:sz w:val="84"/>
          <w:szCs w:val="24"/>
          <w:highlight w:val="none"/>
        </w:rPr>
        <w:t xml:space="preserve">竞争性谈判文件</w:t>
      </w:r>
      <w:r/>
    </w:p>
    <w:p>
      <w:pPr>
        <w:jc w:val="left"/>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 项目名称：</w:t>
      </w:r>
      <w:r>
        <w:rPr>
          <w:rFonts w:hint="eastAsia" w:ascii="宋体" w:hAnsi="宋体" w:cs="宋体"/>
          <w:b/>
          <w:color w:val="000000"/>
          <w:sz w:val="32"/>
          <w:highlight w:val="none"/>
        </w:rPr>
        <w:t xml:space="preserve">信息网络整合改造迁移项目</w:t>
      </w:r>
      <w:r/>
    </w:p>
    <w:p>
      <w:pPr>
        <w:jc w:val="left"/>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 项目编号：JSZC-320000-SCZX-T2025-0758</w:t>
      </w:r>
      <w:r>
        <w:rPr>
          <w:rFonts w:ascii="Arial" w:hAnsi="Arial"/>
          <w:b/>
          <w:bCs/>
          <w:sz w:val="32"/>
          <w:szCs w:val="24"/>
          <w:highlight w:val="none"/>
        </w:rPr>
        <w:t xml:space="preserve">              </w:t>
      </w:r>
      <w:r/>
    </w:p>
    <w:p>
      <w:pPr>
        <w:ind w:firstLine="1470"/>
        <w:jc w:val="left"/>
        <w:spacing w:before="120" w:after="120" w:line="360" w:lineRule="auto"/>
        <w:rPr>
          <w:rFonts w:ascii="Times New Roman" w:hAnsi="Times New Roman"/>
          <w:b/>
          <w:sz w:val="30"/>
          <w:szCs w:val="30"/>
          <w:highlight w:val="none"/>
        </w:rPr>
      </w:pPr>
      <w:r>
        <w:rPr>
          <w:rFonts w:hint="eastAsia" w:ascii="Times New Roman" w:hAnsi="Times New Roman"/>
          <w:szCs w:val="21"/>
          <w:highlight w:val="none"/>
        </w:rPr>
        <w:t xml:space="preserve">        </w:t>
      </w:r>
      <w:r>
        <w:rPr>
          <w:rFonts w:hint="eastAsia" w:ascii="Times New Roman" w:hAnsi="Times New Roman"/>
          <w:b/>
          <w:sz w:val="30"/>
          <w:szCs w:val="30"/>
          <w:highlight w:val="none"/>
        </w:rPr>
        <w:t xml:space="preserve">     </w:t>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center"/>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江苏省政府采购中心</w:t>
      </w:r>
      <w:r/>
    </w:p>
    <w:p>
      <w:pPr>
        <w:jc w:val="center"/>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2025年12月</w:t>
      </w:r>
      <w:r/>
    </w:p>
    <w:p>
      <w:pPr>
        <w:jc w:val="left"/>
        <w:spacing w:before="120" w:after="120" w:line="360" w:lineRule="auto"/>
        <w:rPr>
          <w:rFonts w:ascii="Arial" w:hAnsi="Arial"/>
          <w:sz w:val="24"/>
          <w:szCs w:val="24"/>
          <w:highlight w:val="none"/>
          <w:u w:val="single"/>
        </w:rPr>
      </w:pPr>
      <w:r>
        <w:rPr>
          <w:rFonts w:hint="eastAsia" w:ascii="Arial" w:hAnsi="Arial"/>
          <w:sz w:val="24"/>
          <w:szCs w:val="24"/>
          <w:highlight w:val="none"/>
        </w:rPr>
        <w:t xml:space="preserve">                        </w:t>
      </w:r>
      <w:r/>
    </w:p>
    <w:p>
      <w:pPr>
        <w:jc w:val="center"/>
        <w:spacing w:before="120" w:after="120" w:line="360" w:lineRule="auto"/>
        <w:rPr>
          <w:rFonts w:ascii="Arial" w:hAnsi="Arial"/>
          <w:sz w:val="24"/>
          <w:szCs w:val="24"/>
          <w:highlight w:val="none"/>
        </w:rPr>
      </w:pPr>
      <w:r>
        <w:rPr>
          <w:rFonts w:ascii="Arial" w:hAnsi="Arial"/>
          <w:sz w:val="24"/>
          <w:szCs w:val="24"/>
          <w:highlight w:val="none"/>
        </w:rPr>
      </w:r>
      <w:r/>
    </w:p>
    <w:p>
      <w:pPr>
        <w:jc w:val="center"/>
        <w:spacing w:line="480" w:lineRule="auto"/>
        <w:rPr>
          <w:rFonts w:ascii="黑体" w:hAnsi="Arial" w:eastAsia="黑体"/>
          <w:b/>
          <w:sz w:val="44"/>
          <w:szCs w:val="21"/>
          <w:highlight w:val="none"/>
        </w:rPr>
        <w:outlineLvl w:val="0"/>
      </w:pPr>
      <w:r>
        <w:rPr>
          <w:rFonts w:ascii="Times New Roman" w:hAnsi="Times New Roman"/>
          <w:szCs w:val="21"/>
          <w:highlight w:val="none"/>
        </w:rPr>
        <w:br w:type="page" w:clear="all"/>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ascii="黑体" w:hAnsi="Arial" w:eastAsia="黑体"/>
          <w:b/>
          <w:sz w:val="44"/>
          <w:szCs w:val="21"/>
          <w:highlight w:val="none"/>
        </w:rPr>
        <w:t xml:space="preserve">总  目  录</w:t>
      </w:r>
      <w:r/>
    </w:p>
    <w:p>
      <w:pPr>
        <w:spacing w:line="480" w:lineRule="auto"/>
        <w:rPr>
          <w:rFonts w:ascii="仿宋_GB2312" w:hAnsi="Arial" w:eastAsia="仿宋_GB2312"/>
          <w:b/>
          <w:sz w:val="28"/>
          <w:szCs w:val="21"/>
          <w:highlight w:val="none"/>
        </w:rPr>
      </w:pPr>
      <w:r>
        <w:rPr>
          <w:rFonts w:ascii="仿宋_GB2312" w:hAnsi="Arial" w:eastAsia="仿宋_GB2312"/>
          <w:b/>
          <w:sz w:val="28"/>
          <w:szCs w:val="21"/>
          <w:highlight w:val="none"/>
        </w:rPr>
      </w:r>
      <w:r/>
    </w:p>
    <w:p>
      <w:pPr>
        <w:numPr>
          <w:ilvl w:val="0"/>
          <w:numId w:val="4"/>
        </w:numPr>
        <w:spacing w:line="480" w:lineRule="auto"/>
        <w:rPr>
          <w:rFonts w:ascii="黑体" w:hAnsi="Showcard Gothic" w:eastAsia="黑体"/>
          <w:sz w:val="32"/>
          <w:szCs w:val="21"/>
          <w:highlight w:val="none"/>
        </w:rPr>
        <w:outlineLvl w:val="0"/>
      </w:pPr>
      <w:r>
        <w:rPr>
          <w:rFonts w:hint="eastAsia" w:ascii="黑体" w:hAnsi="宋体" w:eastAsia="黑体"/>
          <w:sz w:val="36"/>
          <w:szCs w:val="21"/>
          <w:highlight w:val="none"/>
        </w:rPr>
        <w:t xml:space="preserve">谈判邀请</w:t>
      </w:r>
      <w:r>
        <w:rPr>
          <w:rFonts w:hint="eastAsia" w:ascii="黑体" w:hAnsi="Showcard Gothic" w:eastAsia="黑体"/>
          <w:sz w:val="36"/>
          <w:szCs w:val="21"/>
          <w:highlight w:val="none"/>
        </w:rPr>
        <w:t xml:space="preserve">……………………………………3 </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bCs/>
          <w:sz w:val="36"/>
          <w:szCs w:val="36"/>
          <w:highlight w:val="none"/>
        </w:rPr>
        <w:t xml:space="preserve">供应商须知</w:t>
      </w:r>
      <w:r>
        <w:rPr>
          <w:rFonts w:hint="eastAsia" w:ascii="黑体" w:hAnsi="Showcard Gothic" w:eastAsia="黑体"/>
          <w:sz w:val="36"/>
          <w:szCs w:val="36"/>
          <w:highlight w:val="none"/>
        </w:rPr>
        <w:t xml:space="preserve">…</w:t>
      </w:r>
      <w:r>
        <w:rPr>
          <w:rFonts w:hint="eastAsia" w:ascii="黑体" w:hAnsi="Showcard Gothic" w:eastAsia="黑体"/>
          <w:sz w:val="36"/>
          <w:szCs w:val="21"/>
          <w:highlight w:val="none"/>
        </w:rPr>
        <w:t xml:space="preserve">………………………………6 </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sz w:val="36"/>
          <w:szCs w:val="21"/>
          <w:highlight w:val="none"/>
        </w:rPr>
        <w:t xml:space="preserve">合同文本</w:t>
      </w:r>
      <w:r>
        <w:rPr>
          <w:rFonts w:hint="eastAsia" w:ascii="黑体" w:hAnsi="Showcard Gothic" w:eastAsia="黑体"/>
          <w:sz w:val="36"/>
          <w:szCs w:val="21"/>
          <w:highlight w:val="none"/>
        </w:rPr>
        <w:t xml:space="preserve">……………………………………20</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sz w:val="36"/>
          <w:szCs w:val="21"/>
          <w:highlight w:val="none"/>
        </w:rPr>
        <w:t xml:space="preserve">采购需求</w:t>
      </w:r>
      <w:r>
        <w:rPr>
          <w:rFonts w:hint="eastAsia" w:ascii="黑体" w:hAnsi="Showcard Gothic" w:eastAsia="黑体"/>
          <w:sz w:val="36"/>
          <w:szCs w:val="21"/>
          <w:highlight w:val="none"/>
        </w:rPr>
        <w:t xml:space="preserve">……………………………………36</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sz w:val="36"/>
          <w:szCs w:val="21"/>
          <w:highlight w:val="none"/>
        </w:rPr>
        <w:t xml:space="preserve">响应文件格式</w:t>
      </w:r>
      <w:r>
        <w:rPr>
          <w:rFonts w:hint="eastAsia" w:ascii="黑体" w:hAnsi="Showcard Gothic" w:eastAsia="黑体"/>
          <w:sz w:val="36"/>
          <w:szCs w:val="21"/>
          <w:highlight w:val="none"/>
        </w:rPr>
        <w:t xml:space="preserve">………………………………41</w:t>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jc w:val="center"/>
        <w:keepNext/>
        <w:rPr>
          <w:rFonts w:ascii="黑体" w:hAnsi="Times New Roman" w:eastAsia="黑体"/>
          <w:sz w:val="44"/>
          <w:szCs w:val="44"/>
          <w:highlight w:val="none"/>
        </w:rPr>
        <w:outlineLvl w:val="0"/>
      </w:pPr>
      <w:r>
        <w:rPr>
          <w:rFonts w:ascii="黑体" w:hAnsi="Times New Roman" w:eastAsia="黑体"/>
          <w:sz w:val="44"/>
          <w:szCs w:val="44"/>
          <w:highlight w:val="none"/>
        </w:rPr>
      </w:r>
      <w:r/>
    </w:p>
    <w:p>
      <w:pPr>
        <w:jc w:val="center"/>
        <w:keepNext/>
        <w:rPr>
          <w:rFonts w:ascii="黑体" w:hAnsi="Times New Roman" w:eastAsia="黑体"/>
          <w:bCs/>
          <w:sz w:val="44"/>
          <w:szCs w:val="44"/>
          <w:highlight w:val="none"/>
        </w:rPr>
        <w:outlineLvl w:val="0"/>
      </w:pPr>
      <w:r>
        <w:rPr>
          <w:rFonts w:hint="eastAsia" w:ascii="黑体" w:hAnsi="Times New Roman" w:eastAsia="黑体"/>
          <w:sz w:val="44"/>
          <w:szCs w:val="44"/>
          <w:highlight w:val="none"/>
        </w:rPr>
        <w:t xml:space="preserve">第一章  </w:t>
      </w:r>
      <w:bookmarkEnd w:id="0"/>
      <w:r>
        <w:rPr>
          <w:rFonts w:hint="eastAsia" w:ascii="黑体" w:hAnsi="Times New Roman" w:eastAsia="黑体"/>
          <w:sz w:val="44"/>
          <w:szCs w:val="44"/>
          <w:highlight w:val="none"/>
        </w:rPr>
        <w:t xml:space="preserve">谈判邀请</w:t>
      </w:r>
      <w:r/>
    </w:p>
    <w:p>
      <w:pPr>
        <w:ind w:firstLine="480"/>
        <w:rPr>
          <w:rFonts w:ascii="宋体" w:hAnsi="宋体"/>
          <w:sz w:val="24"/>
          <w:szCs w:val="24"/>
          <w:highlight w:val="none"/>
        </w:rPr>
      </w:pPr>
      <w:r>
        <w:rPr>
          <w:rFonts w:hint="eastAsia" w:ascii="宋体" w:hAnsi="宋体"/>
          <w:sz w:val="24"/>
          <w:szCs w:val="24"/>
          <w:highlight w:val="none"/>
        </w:rPr>
        <w:t xml:space="preserve">受</w:t>
      </w:r>
      <w:r>
        <w:rPr>
          <w:rFonts w:ascii="宋体" w:hAnsi="宋体" w:cs="宋体"/>
          <w:color w:val="000000"/>
          <w:sz w:val="24"/>
          <w:highlight w:val="none"/>
        </w:rPr>
        <w:t xml:space="preserve">江苏省</w:t>
      </w:r>
      <w:r>
        <w:rPr>
          <w:rFonts w:hint="eastAsia" w:ascii="宋体" w:hAnsi="宋体" w:cs="宋体"/>
          <w:color w:val="000000"/>
          <w:sz w:val="24"/>
          <w:highlight w:val="none"/>
        </w:rPr>
        <w:t xml:space="preserve">水文水资源勘测局</w:t>
      </w:r>
      <w:r>
        <w:rPr>
          <w:rFonts w:hint="eastAsia" w:ascii="宋体" w:hAnsi="宋体"/>
          <w:sz w:val="24"/>
          <w:szCs w:val="24"/>
          <w:highlight w:val="none"/>
        </w:rPr>
        <w:t xml:space="preserve">的委托，江苏省政府采购中心就</w:t>
      </w:r>
      <w:r>
        <w:rPr>
          <w:rFonts w:hint="eastAsia" w:ascii="宋体" w:hAnsi="宋体" w:cs="宋体"/>
          <w:color w:val="000000"/>
          <w:sz w:val="24"/>
          <w:highlight w:val="none"/>
        </w:rPr>
        <w:t xml:space="preserve">信息网络整合改造迁移项目</w:t>
      </w:r>
      <w:r>
        <w:rPr>
          <w:rFonts w:hint="eastAsia" w:ascii="宋体" w:hAnsi="宋体"/>
          <w:sz w:val="24"/>
          <w:szCs w:val="24"/>
          <w:highlight w:val="none"/>
        </w:rPr>
        <w:t xml:space="preserve">(JSZC-320000-SCZX-T2025-0758)项目进行竞争性谈判采购，欢迎符合条件的供应商参加谈判。</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 </w:t>
      </w:r>
      <w:r>
        <w:rPr>
          <w:rFonts w:hint="eastAsia" w:ascii="宋体" w:hAnsi="宋体" w:cs="宋体"/>
          <w:color w:val="000000"/>
          <w:sz w:val="24"/>
          <w:highlight w:val="none"/>
          <w:u w:val="single"/>
        </w:rPr>
        <w:t xml:space="preserve">信息网络整合改造迁移项目 </w:t>
      </w:r>
      <w:r>
        <w:rPr>
          <w:rFonts w:hint="eastAsia" w:ascii="宋体" w:hAnsi="宋体"/>
          <w:sz w:val="24"/>
          <w:szCs w:val="24"/>
          <w:highlight w:val="none"/>
        </w:rPr>
        <w:t xml:space="preserve">竞争性谈判项目的潜在供应商可在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谈判文件，并于</w:t>
      </w:r>
      <w:r>
        <w:rPr>
          <w:rFonts w:ascii="宋体" w:hAnsi="宋体"/>
          <w:sz w:val="24"/>
          <w:szCs w:val="24"/>
          <w:highlight w:val="none"/>
          <w:u w:val="single"/>
        </w:rPr>
        <w:t xml:space="preserve">  </w:t>
      </w:r>
      <w:r>
        <w:rPr>
          <w:rFonts w:hint="eastAsia" w:ascii="宋体" w:hAnsi="宋体"/>
          <w:sz w:val="24"/>
          <w:szCs w:val="24"/>
          <w:highlight w:val="none"/>
          <w:u w:val="single"/>
        </w:rPr>
        <w:t xml:space="preserve">2025</w:t>
      </w:r>
      <w:r>
        <w:rPr>
          <w:rFonts w:ascii="宋体" w:hAnsi="宋体"/>
          <w:sz w:val="24"/>
          <w:szCs w:val="24"/>
          <w:highlight w:val="none"/>
          <w:u w:val="single"/>
        </w:rPr>
        <w:t xml:space="preserve">  </w:t>
      </w:r>
      <w:r>
        <w:rPr>
          <w:rFonts w:hint="eastAsia" w:ascii="宋体" w:hAnsi="宋体"/>
          <w:bCs/>
          <w:sz w:val="24"/>
          <w:szCs w:val="24"/>
          <w:highlight w:val="none"/>
          <w:u w:val="single"/>
        </w:rPr>
        <w:t xml:space="preserve">年  12 月 19 日 14   点    30分（</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p>
    <w:p>
      <w:pPr>
        <w:ind w:firstLine="498"/>
        <w:keepLines/>
        <w:keepNext/>
        <w:spacing w:before="156" w:after="156" w:line="360" w:lineRule="auto"/>
        <w:rPr>
          <w:rFonts w:ascii="Times New Roman" w:hAnsi="Times New Roman"/>
          <w:b/>
          <w:bCs/>
          <w:sz w:val="32"/>
          <w:szCs w:val="32"/>
          <w:highlight w:val="none"/>
        </w:rPr>
        <w:outlineLvl w:val="2"/>
      </w:pPr>
      <w:r/>
      <w:bookmarkStart w:id="6" w:name="_Toc38985263"/>
      <w:r/>
      <w:bookmarkStart w:id="7" w:name="_Toc35393790"/>
      <w:r/>
      <w:bookmarkStart w:id="8" w:name="_Toc28359079"/>
      <w:r/>
      <w:bookmarkStart w:id="9" w:name="_Toc28359002"/>
      <w:r/>
      <w:bookmarkStart w:id="10" w:name="_Toc35393621"/>
      <w:r/>
      <w:bookmarkStart w:id="11" w:name="_Hlk24379207"/>
      <w:r>
        <w:rPr>
          <w:rFonts w:hint="eastAsia" w:ascii="Times New Roman" w:hAnsi="Times New Roman"/>
          <w:b/>
          <w:bCs/>
          <w:sz w:val="32"/>
          <w:szCs w:val="32"/>
          <w:highlight w:val="none"/>
        </w:rPr>
        <w:t xml:space="preserve">一、项目基本情况</w:t>
      </w:r>
      <w:bookmarkEnd w:id="6"/>
      <w:r/>
      <w:bookmarkEnd w:id="7"/>
      <w:r/>
      <w:bookmarkEnd w:id="8"/>
      <w:r/>
      <w:bookmarkEnd w:id="9"/>
      <w:r/>
      <w:bookmarkEnd w:id="10"/>
      <w:r/>
      <w:r/>
    </w:p>
    <w:p>
      <w:pPr>
        <w:ind w:firstLine="480"/>
        <w:rPr>
          <w:rFonts w:ascii="宋体" w:hAnsi="宋体"/>
          <w:sz w:val="24"/>
          <w:szCs w:val="24"/>
          <w:highlight w:val="none"/>
        </w:rPr>
      </w:pPr>
      <w:r>
        <w:rPr>
          <w:rFonts w:hint="eastAsia" w:ascii="宋体" w:hAnsi="宋体"/>
          <w:sz w:val="24"/>
          <w:szCs w:val="24"/>
          <w:highlight w:val="none"/>
        </w:rPr>
        <w:t xml:space="preserve">1.项目编号：JSZC-320000-SCZX-T2025-0758</w:t>
      </w:r>
      <w:r/>
    </w:p>
    <w:p>
      <w:pPr>
        <w:ind w:firstLine="480"/>
        <w:rPr>
          <w:rFonts w:ascii="宋体" w:hAnsi="宋体"/>
          <w:sz w:val="24"/>
          <w:szCs w:val="24"/>
          <w:highlight w:val="none"/>
        </w:rPr>
      </w:pPr>
      <w:r>
        <w:rPr>
          <w:rFonts w:hint="eastAsia" w:ascii="宋体" w:hAnsi="宋体"/>
          <w:sz w:val="24"/>
          <w:szCs w:val="24"/>
          <w:highlight w:val="none"/>
        </w:rPr>
        <w:t xml:space="preserve">2.项目名称：</w:t>
      </w:r>
      <w:r>
        <w:rPr>
          <w:rFonts w:hint="eastAsia" w:ascii="宋体" w:hAnsi="宋体" w:cs="宋体"/>
          <w:color w:val="000000"/>
          <w:sz w:val="24"/>
          <w:highlight w:val="none"/>
        </w:rPr>
        <w:t xml:space="preserve">信息网络整合改造迁移项目</w:t>
      </w:r>
      <w:bookmarkEnd w:id="11"/>
      <w:r/>
      <w:r/>
    </w:p>
    <w:p>
      <w:pPr>
        <w:ind w:firstLine="480"/>
        <w:rPr>
          <w:rFonts w:ascii="宋体" w:hAnsi="宋体" w:cs="宋体"/>
          <w:sz w:val="24"/>
          <w:szCs w:val="24"/>
          <w:highlight w:val="none"/>
        </w:rPr>
      </w:pPr>
      <w:r>
        <w:rPr>
          <w:rFonts w:hint="eastAsia" w:ascii="宋体" w:hAnsi="宋体"/>
          <w:sz w:val="24"/>
          <w:szCs w:val="24"/>
          <w:highlight w:val="none"/>
        </w:rPr>
        <w:t xml:space="preserve">3.预算金额：</w:t>
      </w:r>
      <w:r/>
    </w:p>
    <w:tbl>
      <w:tblPr>
        <w:tblStyle w:val="74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textDirection w:val="lrTb"/>
            <w:noWrap w:val="false"/>
          </w:tcPr>
          <w:p>
            <w:pPr>
              <w:jc w:val="center"/>
              <w:rPr>
                <w:rFonts w:ascii="宋体" w:hAnsi="宋体"/>
                <w:szCs w:val="21"/>
                <w:highlight w:val="none"/>
              </w:rPr>
            </w:pPr>
            <w:r>
              <w:rPr>
                <w:rFonts w:hint="eastAsia" w:ascii="宋体" w:hAnsi="宋体"/>
                <w:szCs w:val="21"/>
                <w:highlight w:val="none"/>
              </w:rPr>
              <w:t xml:space="preserve">采购包号</w:t>
            </w:r>
            <w:r/>
          </w:p>
        </w:tc>
        <w:tc>
          <w:tcPr>
            <w:tcW w:w="2800" w:type="dxa"/>
            <w:textDirection w:val="lrTb"/>
            <w:noWrap w:val="false"/>
          </w:tcPr>
          <w:p>
            <w:pPr>
              <w:jc w:val="center"/>
              <w:rPr>
                <w:rFonts w:ascii="宋体" w:hAnsi="宋体"/>
                <w:szCs w:val="21"/>
                <w:highlight w:val="none"/>
              </w:rPr>
            </w:pPr>
            <w:r>
              <w:rPr>
                <w:rFonts w:hint="eastAsia" w:ascii="宋体" w:hAnsi="宋体"/>
                <w:szCs w:val="21"/>
                <w:highlight w:val="none"/>
              </w:rPr>
              <w:t xml:space="preserve">预算</w:t>
            </w:r>
            <w:r>
              <w:rPr>
                <w:rFonts w:ascii="宋体" w:hAnsi="宋体"/>
                <w:szCs w:val="21"/>
                <w:highlight w:val="none"/>
              </w:rPr>
              <w:t xml:space="preserve">金额</w:t>
            </w:r>
            <w:r>
              <w:rPr>
                <w:rFonts w:hint="eastAsia" w:ascii="宋体" w:hAnsi="宋体"/>
                <w:szCs w:val="21"/>
                <w:highlight w:val="none"/>
              </w:rPr>
              <w:t xml:space="preserve">（人民币</w:t>
            </w:r>
            <w:r>
              <w:rPr>
                <w:rFonts w:ascii="宋体" w:hAnsi="宋体"/>
                <w:szCs w:val="21"/>
                <w:highlight w:val="none"/>
              </w:rPr>
              <w:t xml:space="preserve">：万元</w:t>
            </w:r>
            <w:r>
              <w:rPr>
                <w:rFonts w:hint="eastAsia" w:ascii="宋体" w:hAnsi="宋体"/>
                <w:szCs w:val="21"/>
                <w:highlight w:val="none"/>
              </w:rPr>
              <w:t xml:space="preserve">）</w:t>
            </w:r>
            <w:r/>
          </w:p>
        </w:tc>
      </w:tr>
      <w:tr>
        <w:trPr/>
        <w:tc>
          <w:tcPr>
            <w:tcW w:w="1148" w:type="dxa"/>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2800" w:type="dxa"/>
            <w:textDirection w:val="lrTb"/>
            <w:noWrap w:val="false"/>
          </w:tcPr>
          <w:p>
            <w:pPr>
              <w:jc w:val="center"/>
              <w:rPr>
                <w:rFonts w:ascii="宋体" w:hAnsi="宋体"/>
                <w:szCs w:val="21"/>
                <w:highlight w:val="none"/>
              </w:rPr>
            </w:pPr>
            <w:r>
              <w:rPr>
                <w:rFonts w:hint="eastAsia" w:ascii="宋体" w:hAnsi="宋体"/>
                <w:szCs w:val="21"/>
                <w:highlight w:val="none"/>
              </w:rPr>
              <w:t xml:space="preserve">364</w:t>
            </w:r>
            <w:r/>
          </w:p>
        </w:tc>
      </w:tr>
    </w:tbl>
    <w:p>
      <w:pPr>
        <w:ind w:firstLine="480"/>
        <w:rPr>
          <w:rFonts w:ascii="宋体" w:hAnsi="宋体"/>
          <w:sz w:val="24"/>
          <w:szCs w:val="24"/>
          <w:highlight w:val="none"/>
          <w:u w:val="single"/>
        </w:rPr>
      </w:pPr>
      <w:r>
        <w:rPr>
          <w:rFonts w:hint="eastAsia" w:ascii="宋体" w:hAnsi="宋体"/>
          <w:sz w:val="24"/>
          <w:szCs w:val="24"/>
          <w:highlight w:val="none"/>
        </w:rPr>
        <w:t xml:space="preserve">4.采购需求（简介）：</w:t>
      </w:r>
      <w:r>
        <w:rPr>
          <w:rFonts w:hint="eastAsia" w:ascii="宋体" w:hAnsi="宋体" w:cs="宋体"/>
          <w:color w:val="000000"/>
          <w:sz w:val="24"/>
          <w:highlight w:val="none"/>
        </w:rPr>
        <w:t xml:space="preserve">更新全省13个地市水文局分局防火墙26台、路由器26台、交换机13台。</w:t>
      </w:r>
      <w:r>
        <w:rPr>
          <w:rFonts w:hint="eastAsia" w:ascii="宋体" w:hAnsi="宋体" w:cs="宋体"/>
          <w:sz w:val="24"/>
          <w:szCs w:val="24"/>
          <w:highlight w:val="none"/>
        </w:rPr>
        <w:t xml:space="preserve">（详细内容见本谈判文件第四章）</w:t>
      </w:r>
      <w:r/>
    </w:p>
    <w:p>
      <w:pPr>
        <w:ind w:firstLine="480"/>
        <w:rPr>
          <w:rFonts w:ascii="宋体" w:hAnsi="宋体"/>
          <w:sz w:val="24"/>
          <w:szCs w:val="24"/>
          <w:highlight w:val="none"/>
          <w:u w:val="single"/>
        </w:rPr>
      </w:pPr>
      <w:r>
        <w:rPr>
          <w:rFonts w:hint="eastAsia" w:ascii="宋体" w:hAnsi="宋体"/>
          <w:sz w:val="24"/>
          <w:szCs w:val="24"/>
          <w:highlight w:val="none"/>
        </w:rPr>
        <w:t xml:space="preserve">5.合同履行期限：</w:t>
      </w:r>
      <w:r>
        <w:rPr>
          <w:rFonts w:ascii="宋体" w:hAnsi="宋体" w:cs="宋体"/>
          <w:color w:val="000000"/>
          <w:sz w:val="24"/>
          <w:highlight w:val="none"/>
        </w:rPr>
        <w:t xml:space="preserve">自合同签订后</w:t>
      </w:r>
      <w:r>
        <w:rPr>
          <w:rFonts w:ascii="宋体" w:hAnsi="宋体" w:eastAsia="宋体" w:cs="宋体"/>
          <w:sz w:val="24"/>
          <w:szCs w:val="24"/>
          <w:highlight w:val="none"/>
        </w:rPr>
        <w:t xml:space="preserve">25日内完成所有设备安装调试，</w:t>
      </w:r>
      <w:r>
        <w:rPr>
          <w:rFonts w:hint="eastAsia" w:ascii="宋体" w:hAnsi="宋体" w:cs="宋体"/>
          <w:color w:val="000000"/>
          <w:sz w:val="24"/>
          <w:highlight w:val="none"/>
        </w:rPr>
        <w:t xml:space="preserve">90天内完成项目所有内容</w:t>
      </w:r>
      <w:r>
        <w:rPr>
          <w:rFonts w:ascii="宋体" w:hAnsi="宋体" w:cs="宋体"/>
          <w:color w:val="000000"/>
          <w:sz w:val="24"/>
          <w:highlight w:val="none"/>
        </w:rPr>
        <w:t xml:space="preserve">。</w:t>
      </w:r>
      <w:r/>
    </w:p>
    <w:p>
      <w:pPr>
        <w:ind w:firstLine="498"/>
        <w:keepLines/>
        <w:keepNext/>
        <w:spacing w:before="156" w:after="156" w:line="360" w:lineRule="auto"/>
        <w:rPr>
          <w:rFonts w:ascii="Times New Roman" w:hAnsi="Times New Roman"/>
          <w:b/>
          <w:bCs/>
          <w:sz w:val="32"/>
          <w:szCs w:val="32"/>
          <w:highlight w:val="none"/>
        </w:rPr>
        <w:outlineLvl w:val="2"/>
      </w:pPr>
      <w:r/>
      <w:bookmarkStart w:id="12" w:name="_Toc35393622"/>
      <w:r/>
      <w:bookmarkStart w:id="13" w:name="_Toc38985264"/>
      <w:r/>
      <w:bookmarkStart w:id="14" w:name="_Toc28359080"/>
      <w:r/>
      <w:bookmarkStart w:id="15" w:name="_Toc28359003"/>
      <w:r/>
      <w:bookmarkStart w:id="16" w:name="_Toc35393791"/>
      <w:r>
        <w:rPr>
          <w:rFonts w:hint="eastAsia" w:ascii="Times New Roman" w:hAnsi="Times New Roman"/>
          <w:b/>
          <w:bCs/>
          <w:sz w:val="32"/>
          <w:szCs w:val="32"/>
          <w:highlight w:val="none"/>
        </w:rPr>
        <w:t xml:space="preserve">二、申请人的资格要求：</w:t>
      </w:r>
      <w:bookmarkEnd w:id="12"/>
      <w:r/>
      <w:bookmarkEnd w:id="13"/>
      <w:r/>
      <w:bookmarkEnd w:id="14"/>
      <w:r/>
      <w:bookmarkEnd w:id="15"/>
      <w:r/>
      <w:bookmarkEnd w:id="16"/>
      <w:r/>
      <w:r/>
    </w:p>
    <w:p>
      <w:pPr>
        <w:ind w:firstLine="480"/>
        <w:rPr>
          <w:rFonts w:ascii="宋体" w:hAnsi="宋体"/>
          <w:sz w:val="24"/>
          <w:szCs w:val="24"/>
          <w:highlight w:val="none"/>
        </w:rPr>
      </w:pPr>
      <w:r/>
      <w:bookmarkStart w:id="17" w:name="_Toc35393792"/>
      <w:r/>
      <w:bookmarkStart w:id="18" w:name="_Toc28359004"/>
      <w:r/>
      <w:bookmarkStart w:id="19" w:name="_Toc35393623"/>
      <w:r/>
      <w:bookmarkStart w:id="20" w:name="_Toc38985265"/>
      <w:r/>
      <w:bookmarkStart w:id="21" w:name="_Toc28359081"/>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p>
    <w:p>
      <w:pPr>
        <w:ind w:firstLine="480"/>
        <w:rPr>
          <w:rFonts w:ascii="宋体" w:hAnsi="宋体"/>
          <w:sz w:val="24"/>
          <w:szCs w:val="24"/>
          <w:highlight w:val="none"/>
        </w:rPr>
      </w:pPr>
      <w:r>
        <w:rPr>
          <w:rFonts w:hint="eastAsia" w:ascii="宋体" w:hAnsi="宋体"/>
          <w:sz w:val="24"/>
          <w:szCs w:val="24"/>
          <w:highlight w:val="none"/>
        </w:rPr>
        <w:t xml:space="preserve">1.1 法人或者其他组织的营业执照等证明文件，自然人的身份证明；</w:t>
      </w:r>
      <w:r/>
    </w:p>
    <w:p>
      <w:pPr>
        <w:ind w:firstLine="480"/>
        <w:rPr>
          <w:rFonts w:ascii="宋体" w:hAnsi="宋体"/>
          <w:sz w:val="24"/>
          <w:szCs w:val="24"/>
          <w:highlight w:val="none"/>
        </w:rPr>
      </w:pPr>
      <w:r>
        <w:rPr>
          <w:rFonts w:hint="eastAsia" w:ascii="宋体" w:hAnsi="宋体"/>
          <w:sz w:val="24"/>
          <w:szCs w:val="24"/>
          <w:highlight w:val="none"/>
        </w:rPr>
        <w:t xml:space="preserve">1.2上一年度的财务状况报告（成立不满一年无需提供）；</w:t>
      </w:r>
      <w:r/>
    </w:p>
    <w:p>
      <w:pPr>
        <w:ind w:firstLine="480"/>
        <w:rPr>
          <w:rFonts w:ascii="宋体" w:hAnsi="宋体"/>
          <w:sz w:val="24"/>
          <w:szCs w:val="24"/>
          <w:highlight w:val="none"/>
        </w:rPr>
      </w:pPr>
      <w:r>
        <w:rPr>
          <w:rFonts w:hint="eastAsia" w:ascii="宋体" w:hAnsi="宋体"/>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rPr>
          <w:rFonts w:ascii="宋体" w:hAnsi="宋体"/>
          <w:sz w:val="24"/>
          <w:szCs w:val="24"/>
          <w:highlight w:val="none"/>
        </w:rPr>
      </w:pPr>
      <w:r>
        <w:rPr>
          <w:rFonts w:hint="eastAsia" w:ascii="宋体" w:hAnsi="宋体"/>
          <w:sz w:val="24"/>
          <w:szCs w:val="24"/>
          <w:highlight w:val="none"/>
        </w:rPr>
        <w:t xml:space="preserve">1.4具备履行合同所必需的设备和专业技术能力的书面声明；</w:t>
      </w:r>
      <w:r/>
    </w:p>
    <w:p>
      <w:pPr>
        <w:ind w:firstLine="480"/>
        <w:rPr>
          <w:rFonts w:ascii="宋体" w:hAnsi="宋体"/>
          <w:sz w:val="24"/>
          <w:szCs w:val="24"/>
          <w:highlight w:val="none"/>
        </w:rPr>
      </w:pPr>
      <w:r>
        <w:rPr>
          <w:rFonts w:hint="eastAsia" w:ascii="宋体" w:hAnsi="宋体"/>
          <w:sz w:val="24"/>
          <w:szCs w:val="24"/>
          <w:highlight w:val="none"/>
        </w:rPr>
        <w:t xml:space="preserve">1.5参加政府采购活动前3年内在经营活动中没有重大违法记录的书面声明。</w:t>
      </w:r>
      <w:r/>
    </w:p>
    <w:p>
      <w:pPr>
        <w:ind w:firstLine="480"/>
        <w:rPr>
          <w:rFonts w:ascii="宋体" w:hAnsi="宋体"/>
          <w:sz w:val="24"/>
          <w:szCs w:val="24"/>
          <w:highlight w:val="none"/>
        </w:rPr>
      </w:pPr>
      <w:r>
        <w:rPr>
          <w:rFonts w:hint="eastAsia" w:ascii="宋体" w:hAnsi="宋体"/>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rPr>
          <w:rFonts w:ascii="宋体" w:hAnsi="宋体" w:cs="宋体"/>
          <w:sz w:val="24"/>
          <w:szCs w:val="24"/>
          <w:highlight w:val="none"/>
        </w:rPr>
      </w:pPr>
      <w:r>
        <w:rPr>
          <w:rFonts w:hint="eastAsia" w:ascii="宋体" w:hAnsi="宋体"/>
          <w:sz w:val="24"/>
          <w:szCs w:val="24"/>
          <w:highlight w:val="none"/>
        </w:rPr>
        <w:t xml:space="preserve">3.落实政府采购政策需满足的资格要求：无/本项目采购包****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4.联合体参与谈判</w:t>
      </w:r>
      <w:r/>
    </w:p>
    <w:tbl>
      <w:tblPr>
        <w:tblStyle w:val="74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94"/>
        <w:gridCol w:w="1750"/>
      </w:tblGrid>
      <w:tr>
        <w:trPr/>
        <w:tc>
          <w:tcPr>
            <w:tcW w:w="1148" w:type="dxa"/>
            <w:textDirection w:val="lrTb"/>
            <w:noWrap w:val="false"/>
          </w:tcPr>
          <w:p>
            <w:pPr>
              <w:jc w:val="center"/>
              <w:rPr>
                <w:rFonts w:ascii="宋体" w:hAnsi="宋体"/>
                <w:szCs w:val="21"/>
                <w:highlight w:val="none"/>
              </w:rPr>
            </w:pPr>
            <w:r>
              <w:rPr>
                <w:rFonts w:hint="eastAsia" w:ascii="宋体" w:hAnsi="宋体"/>
                <w:szCs w:val="21"/>
                <w:highlight w:val="none"/>
              </w:rPr>
              <w:t xml:space="preserve">采购包号</w:t>
            </w:r>
            <w:r/>
          </w:p>
        </w:tc>
        <w:tc>
          <w:tcPr>
            <w:tcW w:w="1694" w:type="dxa"/>
            <w:textDirection w:val="lrTb"/>
            <w:noWrap w:val="false"/>
          </w:tcPr>
          <w:p>
            <w:pPr>
              <w:jc w:val="center"/>
              <w:rPr>
                <w:rFonts w:ascii="宋体" w:hAnsi="宋体"/>
                <w:szCs w:val="21"/>
                <w:highlight w:val="none"/>
              </w:rPr>
            </w:pPr>
            <w:r>
              <w:rPr>
                <w:rFonts w:hint="eastAsia" w:ascii="宋体" w:hAnsi="宋体"/>
                <w:szCs w:val="21"/>
                <w:highlight w:val="none"/>
              </w:rPr>
              <w:t xml:space="preserve">是否接受联合体参与谈判</w:t>
            </w:r>
            <w:r/>
          </w:p>
          <w:p>
            <w:pPr>
              <w:jc w:val="center"/>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是/否</w:t>
            </w:r>
            <w:r>
              <w:rPr>
                <w:rFonts w:ascii="宋体" w:hAnsi="宋体"/>
                <w:szCs w:val="21"/>
                <w:highlight w:val="none"/>
              </w:rPr>
              <w:t xml:space="preserve">）</w:t>
            </w:r>
            <w:r/>
          </w:p>
        </w:tc>
        <w:tc>
          <w:tcPr>
            <w:tcW w:w="1750" w:type="dxa"/>
            <w:textDirection w:val="lrTb"/>
            <w:noWrap w:val="false"/>
          </w:tcPr>
          <w:p>
            <w:pPr>
              <w:jc w:val="center"/>
              <w:rPr>
                <w:rFonts w:ascii="宋体" w:hAnsi="宋体"/>
                <w:szCs w:val="21"/>
                <w:highlight w:val="none"/>
              </w:rPr>
            </w:pPr>
            <w:r>
              <w:rPr>
                <w:rFonts w:hint="eastAsia" w:ascii="宋体" w:hAnsi="宋体"/>
                <w:szCs w:val="21"/>
                <w:highlight w:val="none"/>
              </w:rPr>
              <w:t xml:space="preserve">该</w:t>
            </w:r>
            <w:r>
              <w:rPr>
                <w:rFonts w:ascii="宋体" w:hAnsi="宋体"/>
                <w:szCs w:val="21"/>
                <w:highlight w:val="none"/>
              </w:rPr>
              <w:t xml:space="preserve">采购包</w:t>
            </w:r>
            <w:r>
              <w:rPr>
                <w:rFonts w:hint="eastAsia" w:ascii="宋体" w:hAnsi="宋体"/>
                <w:szCs w:val="21"/>
                <w:highlight w:val="none"/>
              </w:rPr>
              <w:t xml:space="preserve">中</w:t>
            </w:r>
            <w:r>
              <w:rPr>
                <w:rFonts w:ascii="宋体" w:hAnsi="宋体"/>
                <w:szCs w:val="21"/>
                <w:highlight w:val="none"/>
              </w:rPr>
              <w:t xml:space="preserve">联合体成员数量</w:t>
            </w:r>
            <w:r>
              <w:rPr>
                <w:rFonts w:hint="eastAsia" w:ascii="宋体" w:hAnsi="宋体"/>
                <w:szCs w:val="21"/>
                <w:highlight w:val="none"/>
              </w:rPr>
              <w:t xml:space="preserve">上限</w:t>
            </w:r>
            <w:r/>
          </w:p>
        </w:tc>
      </w:tr>
      <w:tr>
        <w:trPr/>
        <w:tc>
          <w:tcPr>
            <w:tcW w:w="1148" w:type="dxa"/>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1694" w:type="dxa"/>
            <w:textDirection w:val="lrTb"/>
            <w:noWrap w:val="false"/>
          </w:tcPr>
          <w:p>
            <w:pPr>
              <w:jc w:val="center"/>
              <w:rPr>
                <w:rFonts w:ascii="宋体" w:hAnsi="宋体"/>
                <w:szCs w:val="21"/>
                <w:highlight w:val="none"/>
              </w:rPr>
            </w:pPr>
            <w:r>
              <w:rPr>
                <w:rFonts w:hint="eastAsia" w:ascii="宋体" w:hAnsi="宋体"/>
                <w:szCs w:val="21"/>
                <w:highlight w:val="none"/>
              </w:rPr>
              <w:t xml:space="preserve">否</w:t>
            </w:r>
            <w:r/>
          </w:p>
        </w:tc>
        <w:tc>
          <w:tcPr>
            <w:tcW w:w="1750" w:type="dxa"/>
            <w:textDirection w:val="lrTb"/>
            <w:noWrap w:val="false"/>
          </w:tcPr>
          <w:p>
            <w:pPr>
              <w:jc w:val="center"/>
              <w:rPr>
                <w:rFonts w:ascii="宋体" w:hAnsi="宋体"/>
                <w:szCs w:val="21"/>
                <w:highlight w:val="none"/>
              </w:rPr>
            </w:pPr>
            <w:r>
              <w:rPr>
                <w:rFonts w:hint="eastAsia" w:ascii="宋体" w:hAnsi="宋体"/>
                <w:szCs w:val="21"/>
                <w:highlight w:val="none"/>
              </w:rPr>
              <w:t xml:space="preserve">/</w:t>
            </w:r>
            <w:r/>
          </w:p>
        </w:tc>
      </w:tr>
    </w:tbl>
    <w:p>
      <w:pPr>
        <w:ind w:firstLine="480"/>
        <w:rPr>
          <w:rFonts w:ascii="宋体" w:hAnsi="宋体"/>
          <w:sz w:val="24"/>
          <w:szCs w:val="24"/>
          <w:highlight w:val="none"/>
        </w:rPr>
      </w:pPr>
      <w:r>
        <w:rPr>
          <w:rFonts w:hint="eastAsia" w:ascii="宋体" w:hAnsi="宋体"/>
          <w:sz w:val="24"/>
          <w:szCs w:val="24"/>
          <w:highlight w:val="none"/>
        </w:rPr>
        <w:t xml:space="preserve">（二）本项目的特定资格要求</w:t>
      </w:r>
      <w:r/>
    </w:p>
    <w:tbl>
      <w:tblPr>
        <w:tblStyle w:val="74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444"/>
      </w:tblGrid>
      <w:tr>
        <w:trPr/>
        <w:tc>
          <w:tcPr>
            <w:tcW w:w="1148" w:type="dxa"/>
            <w:textDirection w:val="lrTb"/>
            <w:noWrap w:val="false"/>
          </w:tcPr>
          <w:p>
            <w:pPr>
              <w:jc w:val="center"/>
              <w:rPr>
                <w:rFonts w:ascii="宋体" w:hAnsi="宋体"/>
                <w:szCs w:val="21"/>
                <w:highlight w:val="none"/>
              </w:rPr>
            </w:pPr>
            <w:r>
              <w:rPr>
                <w:rFonts w:hint="eastAsia" w:ascii="宋体" w:hAnsi="宋体"/>
                <w:szCs w:val="21"/>
                <w:highlight w:val="none"/>
              </w:rPr>
              <w:t xml:space="preserve">采购包号</w:t>
            </w:r>
            <w:r/>
          </w:p>
        </w:tc>
        <w:tc>
          <w:tcPr>
            <w:tcW w:w="3444" w:type="dxa"/>
            <w:textDirection w:val="lrTb"/>
            <w:noWrap w:val="false"/>
          </w:tcPr>
          <w:p>
            <w:pPr>
              <w:jc w:val="center"/>
              <w:rPr>
                <w:rFonts w:ascii="宋体" w:hAnsi="宋体"/>
                <w:szCs w:val="21"/>
                <w:highlight w:val="none"/>
              </w:rPr>
            </w:pPr>
            <w:r>
              <w:rPr>
                <w:rFonts w:hint="eastAsia" w:ascii="宋体" w:hAnsi="宋体"/>
                <w:szCs w:val="21"/>
                <w:highlight w:val="none"/>
              </w:rPr>
              <w:t xml:space="preserve">特定</w:t>
            </w:r>
            <w:r>
              <w:rPr>
                <w:rFonts w:ascii="宋体" w:hAnsi="宋体"/>
                <w:szCs w:val="21"/>
                <w:highlight w:val="none"/>
              </w:rPr>
              <w:t xml:space="preserve">资格要求</w:t>
            </w:r>
            <w:r/>
          </w:p>
        </w:tc>
      </w:tr>
      <w:tr>
        <w:trPr/>
        <w:tc>
          <w:tcPr>
            <w:tcW w:w="1148" w:type="dxa"/>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3444" w:type="dxa"/>
            <w:textDirection w:val="lrTb"/>
            <w:noWrap w:val="false"/>
          </w:tcPr>
          <w:p>
            <w:pPr>
              <w:jc w:val="center"/>
              <w:rPr>
                <w:rFonts w:ascii="宋体" w:hAnsi="宋体"/>
                <w:szCs w:val="21"/>
                <w:highlight w:val="none"/>
              </w:rPr>
            </w:pPr>
            <w:r>
              <w:rPr>
                <w:rFonts w:hint="eastAsia" w:ascii="宋体" w:hAnsi="宋体"/>
                <w:szCs w:val="21"/>
                <w:highlight w:val="none"/>
              </w:rPr>
              <w:t xml:space="preserve">无</w:t>
            </w:r>
            <w:r/>
          </w:p>
        </w:tc>
      </w:tr>
    </w:tbl>
    <w:p>
      <w:pPr>
        <w:ind w:firstLine="498"/>
        <w:keepLines/>
        <w:keepNext/>
        <w:spacing w:before="156" w:after="156"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三、获取谈判文件</w:t>
      </w:r>
      <w:r/>
    </w:p>
    <w:p>
      <w:pPr>
        <w:ind w:firstLine="540"/>
        <w:spacing w:line="360" w:lineRule="auto"/>
        <w:rPr>
          <w:rFonts w:ascii="宋体" w:hAnsi="宋体" w:cs="宋体"/>
          <w:b/>
          <w:sz w:val="24"/>
          <w:szCs w:val="24"/>
          <w:highlight w:val="none"/>
        </w:rPr>
      </w:pPr>
      <w:r>
        <w:rPr>
          <w:rFonts w:hint="eastAsia" w:ascii="宋体" w:hAnsi="宋体" w:cs="宋体"/>
          <w:sz w:val="24"/>
          <w:szCs w:val="24"/>
          <w:highlight w:val="none"/>
        </w:rPr>
        <w:t xml:space="preserve">1.时间：自谈判文件公告发布之日起至提交响应文件截止之日止。</w:t>
      </w:r>
      <w:r/>
    </w:p>
    <w:p>
      <w:pPr>
        <w:ind w:firstLine="54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2.方式：在“江苏政府采购网”自行免费下载谈判文件。</w:t>
      </w:r>
      <w:bookmarkEnd w:id="17"/>
      <w:r/>
      <w:bookmarkEnd w:id="18"/>
      <w:r/>
      <w:bookmarkEnd w:id="19"/>
      <w:r/>
      <w:bookmarkEnd w:id="20"/>
      <w:r/>
      <w:bookmarkEnd w:id="21"/>
      <w:r/>
      <w:r/>
    </w:p>
    <w:p>
      <w:pPr>
        <w:ind w:firstLine="498"/>
        <w:keepLines/>
        <w:keepNext/>
        <w:spacing w:before="156" w:after="156" w:line="360" w:lineRule="auto"/>
        <w:rPr>
          <w:rFonts w:ascii="Times New Roman" w:hAnsi="Times New Roman"/>
          <w:b/>
          <w:bCs/>
          <w:sz w:val="32"/>
          <w:szCs w:val="32"/>
          <w:highlight w:val="none"/>
        </w:rPr>
        <w:outlineLvl w:val="2"/>
      </w:pPr>
      <w:r/>
      <w:bookmarkStart w:id="22" w:name="_Toc28359082"/>
      <w:r/>
      <w:bookmarkStart w:id="23" w:name="_Toc28359005"/>
      <w:r/>
      <w:bookmarkStart w:id="24" w:name="_Toc35393624"/>
      <w:r/>
      <w:bookmarkStart w:id="25" w:name="_Toc35393793"/>
      <w:r/>
      <w:bookmarkStart w:id="26" w:name="_Toc38985266"/>
      <w:r>
        <w:rPr>
          <w:rFonts w:hint="eastAsia" w:ascii="Times New Roman" w:hAnsi="Times New Roman"/>
          <w:b/>
          <w:bCs/>
          <w:sz w:val="32"/>
          <w:szCs w:val="32"/>
          <w:highlight w:val="none"/>
        </w:rPr>
        <w:t xml:space="preserve">四、提交</w:t>
      </w:r>
      <w:bookmarkEnd w:id="22"/>
      <w:r/>
      <w:bookmarkEnd w:id="23"/>
      <w:r>
        <w:rPr>
          <w:rFonts w:hint="eastAsia" w:ascii="Times New Roman" w:hAnsi="Times New Roman"/>
          <w:b/>
          <w:bCs/>
          <w:sz w:val="32"/>
          <w:szCs w:val="32"/>
          <w:highlight w:val="none"/>
        </w:rPr>
        <w:t xml:space="preserve">响应文件截止时间</w:t>
      </w:r>
      <w:bookmarkEnd w:id="24"/>
      <w:r/>
      <w:bookmarkEnd w:id="25"/>
      <w:r/>
      <w:bookmarkEnd w:id="26"/>
      <w:r>
        <w:rPr>
          <w:rFonts w:hint="eastAsia" w:ascii="Times New Roman" w:hAnsi="Times New Roman"/>
          <w:b/>
          <w:bCs/>
          <w:sz w:val="32"/>
          <w:szCs w:val="32"/>
          <w:highlight w:val="none"/>
        </w:rPr>
        <w:t xml:space="preserve">、开启时间及地点</w:t>
      </w:r>
      <w:r/>
    </w:p>
    <w:p>
      <w:pPr>
        <w:ind w:firstLine="480"/>
        <w:rPr>
          <w:rFonts w:ascii="宋体" w:hAnsi="宋体" w:cs="宋体"/>
          <w:sz w:val="24"/>
          <w:szCs w:val="24"/>
          <w:highlight w:val="none"/>
        </w:rPr>
      </w:pPr>
      <w:r>
        <w:rPr>
          <w:rFonts w:hint="eastAsia" w:ascii="宋体" w:hAnsi="宋体"/>
          <w:bCs/>
          <w:sz w:val="24"/>
          <w:szCs w:val="24"/>
          <w:highlight w:val="none"/>
          <w:u w:val="single"/>
        </w:rPr>
        <w:t xml:space="preserve">1.   2025 年 12 月   19   日   14   点    30    分</w:t>
      </w:r>
      <w:r>
        <w:rPr>
          <w:rFonts w:hint="eastAsia" w:ascii="宋体" w:hAnsi="宋体"/>
          <w:bCs/>
          <w:sz w:val="24"/>
          <w:szCs w:val="24"/>
          <w:highlight w:val="none"/>
        </w:rPr>
        <w:t xml:space="preserve">（北京时间）。</w:t>
      </w:r>
      <w:r/>
    </w:p>
    <w:p>
      <w:pPr>
        <w:ind w:firstLine="480"/>
        <w:spacing w:line="400" w:lineRule="exact"/>
        <w:rPr>
          <w:rFonts w:ascii="宋体" w:hAnsi="宋体"/>
          <w:sz w:val="24"/>
          <w:szCs w:val="24"/>
          <w:highlight w:val="none"/>
        </w:rPr>
      </w:pPr>
      <w:r/>
      <w:bookmarkStart w:id="27" w:name="_Toc35393626"/>
      <w:r/>
      <w:bookmarkStart w:id="28" w:name="_Toc38985268"/>
      <w:r/>
      <w:bookmarkStart w:id="29" w:name="_Toc35393795"/>
      <w:r>
        <w:rPr>
          <w:rFonts w:hint="eastAsia" w:ascii="宋体" w:hAnsi="宋体"/>
          <w:sz w:val="24"/>
          <w:szCs w:val="24"/>
          <w:highlight w:val="none"/>
        </w:rPr>
        <w:t xml:space="preserve">2.地点：“苏采云”政府采购交易系统。</w:t>
      </w:r>
      <w:r/>
    </w:p>
    <w:p>
      <w:pPr>
        <w:ind w:firstLine="498"/>
        <w:keepLines/>
        <w:keepNext/>
        <w:spacing w:before="156" w:after="156" w:line="360" w:lineRule="auto"/>
        <w:rPr>
          <w:rFonts w:ascii="Times New Roman" w:hAnsi="Times New Roman"/>
          <w:b/>
          <w:bCs/>
          <w:sz w:val="32"/>
          <w:szCs w:val="32"/>
          <w:highlight w:val="none"/>
        </w:rPr>
        <w:outlineLvl w:val="2"/>
      </w:pPr>
      <w:r/>
      <w:bookmarkStart w:id="30" w:name="_Toc38985267"/>
      <w:r/>
      <w:bookmarkStart w:id="31" w:name="_Toc28359084"/>
      <w:r/>
      <w:bookmarkStart w:id="32" w:name="_Toc28359007"/>
      <w:r/>
      <w:bookmarkStart w:id="33" w:name="_Toc35393625"/>
      <w:r/>
      <w:bookmarkStart w:id="34" w:name="_Toc35393794"/>
      <w:r>
        <w:rPr>
          <w:rFonts w:hint="eastAsia" w:ascii="Times New Roman" w:hAnsi="Times New Roman"/>
          <w:b/>
          <w:bCs/>
          <w:sz w:val="32"/>
          <w:szCs w:val="32"/>
          <w:highlight w:val="none"/>
        </w:rPr>
        <w:t xml:space="preserve">五、公告期限</w:t>
      </w:r>
      <w:bookmarkEnd w:id="30"/>
      <w:r/>
      <w:bookmarkEnd w:id="31"/>
      <w:r/>
      <w:bookmarkEnd w:id="32"/>
      <w:r/>
      <w:bookmarkEnd w:id="33"/>
      <w:r/>
      <w:bookmarkEnd w:id="34"/>
      <w:r/>
      <w:r/>
    </w:p>
    <w:p>
      <w:pPr>
        <w:ind w:firstLine="480"/>
        <w:rPr>
          <w:rFonts w:ascii="宋体" w:hAnsi="宋体" w:cs="宋体"/>
          <w:sz w:val="24"/>
          <w:szCs w:val="24"/>
          <w:highlight w:val="none"/>
        </w:rPr>
      </w:pPr>
      <w:r>
        <w:rPr>
          <w:rFonts w:hint="eastAsia" w:ascii="宋体" w:hAnsi="宋体" w:cs="宋体"/>
          <w:sz w:val="24"/>
          <w:szCs w:val="24"/>
          <w:highlight w:val="none"/>
        </w:rPr>
        <w:t xml:space="preserve">谈判公告及谈判文件公告期限为自本公告发布之日起3个工作日。</w:t>
      </w:r>
      <w:r/>
    </w:p>
    <w:p>
      <w:pPr>
        <w:ind w:firstLine="498"/>
        <w:keepLines/>
        <w:keepNext/>
        <w:spacing w:before="156" w:after="156"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六、其他补充事宜</w:t>
      </w:r>
      <w:bookmarkEnd w:id="27"/>
      <w:r/>
      <w:bookmarkEnd w:id="28"/>
      <w:r/>
      <w:bookmarkEnd w:id="29"/>
      <w:r/>
      <w:r/>
    </w:p>
    <w:p>
      <w:pPr>
        <w:ind w:firstLine="480"/>
        <w:rPr>
          <w:rFonts w:ascii="宋体" w:hAnsi="宋体" w:cs="宋体"/>
          <w:sz w:val="24"/>
          <w:szCs w:val="24"/>
          <w:highlight w:val="none"/>
        </w:rPr>
      </w:pPr>
      <w:r>
        <w:rPr>
          <w:rFonts w:hint="eastAsia" w:ascii="宋体" w:hAnsi="宋体" w:cs="宋体"/>
          <w:sz w:val="24"/>
          <w:szCs w:val="24"/>
          <w:highlight w:val="none"/>
        </w:rPr>
        <w:t xml:space="preserve">无</w:t>
      </w:r>
      <w:r/>
    </w:p>
    <w:p>
      <w:pPr>
        <w:ind w:firstLine="498"/>
        <w:keepLines/>
        <w:keepNext/>
        <w:spacing w:before="156" w:after="156" w:line="360" w:lineRule="auto"/>
        <w:rPr>
          <w:rFonts w:ascii="Times New Roman" w:hAnsi="Times New Roman"/>
          <w:b/>
          <w:bCs/>
          <w:sz w:val="32"/>
          <w:szCs w:val="32"/>
          <w:highlight w:val="none"/>
        </w:rPr>
        <w:outlineLvl w:val="2"/>
      </w:pPr>
      <w:r/>
      <w:bookmarkStart w:id="35" w:name="_Toc35393627"/>
      <w:r/>
      <w:bookmarkStart w:id="36" w:name="_Toc28359085"/>
      <w:r/>
      <w:bookmarkStart w:id="37" w:name="_Toc28359008"/>
      <w:r/>
      <w:bookmarkStart w:id="38" w:name="_Toc38985269"/>
      <w:r/>
      <w:bookmarkStart w:id="39" w:name="_Toc35393796"/>
      <w:r>
        <w:rPr>
          <w:rFonts w:hint="eastAsia" w:ascii="Times New Roman" w:hAnsi="Times New Roman"/>
          <w:b/>
          <w:bCs/>
          <w:sz w:val="32"/>
          <w:szCs w:val="32"/>
          <w:highlight w:val="none"/>
        </w:rPr>
        <w:t xml:space="preserve">七、本次谈判联系方式</w:t>
      </w:r>
      <w:bookmarkEnd w:id="35"/>
      <w:r/>
      <w:bookmarkEnd w:id="36"/>
      <w:r/>
      <w:bookmarkEnd w:id="37"/>
      <w:r/>
      <w:bookmarkEnd w:id="38"/>
      <w:r/>
      <w:bookmarkEnd w:id="39"/>
      <w:r/>
      <w:r/>
    </w:p>
    <w:p>
      <w:pPr>
        <w:jc w:val="lef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p>
    <w:p>
      <w:pPr>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　　　</w:t>
      </w:r>
      <w:r>
        <w:rPr>
          <w:rFonts w:ascii="宋体" w:hAnsi="宋体" w:cs="宋体"/>
          <w:color w:val="000000"/>
          <w:sz w:val="24"/>
          <w:highlight w:val="none"/>
          <w:u w:val="single"/>
        </w:rPr>
        <w:t xml:space="preserve">江苏省</w:t>
      </w:r>
      <w:r>
        <w:rPr>
          <w:rFonts w:hint="eastAsia" w:ascii="宋体" w:hAnsi="宋体" w:cs="宋体"/>
          <w:color w:val="000000"/>
          <w:sz w:val="24"/>
          <w:highlight w:val="none"/>
          <w:u w:val="single"/>
        </w:rPr>
        <w:t xml:space="preserve">水文水资源勘测局</w:t>
      </w:r>
      <w:r>
        <w:rPr>
          <w:rFonts w:hint="eastAsia" w:ascii="宋体" w:hAnsi="宋体"/>
          <w:sz w:val="24"/>
          <w:szCs w:val="24"/>
          <w:highlight w:val="none"/>
          <w:u w:val="single"/>
        </w:rPr>
        <w:t xml:space="preserve">　　</w:t>
      </w:r>
      <w:r/>
    </w:p>
    <w:p>
      <w:pPr>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　　　　</w:t>
      </w:r>
      <w:r>
        <w:rPr>
          <w:rFonts w:ascii="宋体" w:hAnsi="宋体" w:cs="宋体"/>
          <w:color w:val="000000"/>
          <w:sz w:val="24"/>
          <w:highlight w:val="none"/>
          <w:u w:val="single"/>
        </w:rPr>
        <w:t xml:space="preserve">南京市</w:t>
      </w:r>
      <w:r>
        <w:rPr>
          <w:rFonts w:hint="eastAsia" w:ascii="宋体" w:hAnsi="宋体" w:cs="宋体"/>
          <w:color w:val="000000"/>
          <w:sz w:val="24"/>
          <w:highlight w:val="none"/>
          <w:u w:val="single"/>
        </w:rPr>
        <w:t xml:space="preserve">鼓楼区上海路5号</w:t>
      </w:r>
      <w:r>
        <w:rPr>
          <w:rFonts w:hint="eastAsia" w:ascii="宋体" w:hAnsi="宋体"/>
          <w:sz w:val="24"/>
          <w:szCs w:val="24"/>
          <w:highlight w:val="none"/>
          <w:u w:val="single"/>
        </w:rPr>
        <w:t xml:space="preserve">　</w:t>
      </w:r>
      <w:r/>
    </w:p>
    <w:p>
      <w:pPr>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w:t>
      </w:r>
      <w:r>
        <w:rPr>
          <w:rFonts w:hint="eastAsia" w:ascii="宋体" w:hAnsi="宋体" w:cs="宋体"/>
          <w:color w:val="000000"/>
          <w:sz w:val="24"/>
          <w:highlight w:val="none"/>
          <w:u w:val="single"/>
        </w:rPr>
        <w:t xml:space="preserve">傅先生</w:t>
      </w:r>
      <w:r>
        <w:rPr>
          <w:rFonts w:hint="eastAsia" w:ascii="宋体" w:hAnsi="宋体"/>
          <w:sz w:val="24"/>
          <w:szCs w:val="24"/>
          <w:highlight w:val="none"/>
          <w:u w:val="single"/>
        </w:rPr>
        <w:t xml:space="preserve">                  </w:t>
      </w:r>
      <w:r/>
    </w:p>
    <w:p>
      <w:pPr>
        <w:ind w:left="1079" w:hanging="300"/>
        <w:jc w:val="left"/>
        <w:spacing w:line="360" w:lineRule="auto"/>
        <w:rPr>
          <w:rFonts w:ascii="宋体" w:hAnsi="宋体"/>
          <w:sz w:val="24"/>
          <w:szCs w:val="24"/>
          <w:highlight w:val="none"/>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rPr>
        <w:t xml:space="preserve">　　</w:t>
      </w:r>
      <w:r>
        <w:rPr>
          <w:rFonts w:ascii="宋体" w:hAnsi="宋体" w:cs="宋体"/>
          <w:color w:val="000000"/>
          <w:sz w:val="24"/>
          <w:highlight w:val="none"/>
          <w:u w:val="single"/>
        </w:rPr>
        <w:t xml:space="preserve">025-</w:t>
      </w:r>
      <w:r>
        <w:rPr>
          <w:rFonts w:hint="eastAsia" w:ascii="宋体" w:hAnsi="宋体" w:cs="宋体"/>
          <w:color w:val="000000"/>
          <w:sz w:val="24"/>
          <w:highlight w:val="none"/>
          <w:u w:val="single"/>
        </w:rPr>
        <w:t xml:space="preserve">86338666</w:t>
      </w:r>
      <w:r>
        <w:rPr>
          <w:rFonts w:hint="eastAsia" w:ascii="宋体" w:hAnsi="宋体"/>
          <w:sz w:val="24"/>
          <w:szCs w:val="24"/>
          <w:highlight w:val="none"/>
          <w:u w:val="single"/>
        </w:rPr>
        <w:t xml:space="preserve">　　　　　　　</w:t>
      </w:r>
      <w:bookmarkStart w:id="40" w:name="_Toc28359009"/>
      <w:r/>
      <w:bookmarkStart w:id="41" w:name="_Toc28359086"/>
      <w:r/>
      <w:r/>
    </w:p>
    <w:p>
      <w:pPr>
        <w:ind w:left="1079" w:hanging="300"/>
        <w:jc w:val="left"/>
        <w:spacing w:line="360" w:lineRule="auto"/>
        <w:rPr>
          <w:rFonts w:ascii="宋体" w:hAnsi="宋体"/>
          <w:sz w:val="24"/>
          <w:szCs w:val="24"/>
          <w:highlight w:val="none"/>
        </w:rPr>
      </w:pPr>
      <w:r>
        <w:rPr>
          <w:rFonts w:hint="eastAsia" w:ascii="宋体" w:hAnsi="宋体" w:cs="宋体"/>
          <w:sz w:val="24"/>
          <w:szCs w:val="24"/>
          <w:highlight w:val="none"/>
        </w:rPr>
        <w:t xml:space="preserve">2.江苏省政府采购中心信息</w:t>
      </w:r>
      <w:bookmarkEnd w:id="40"/>
      <w:r/>
      <w:bookmarkEnd w:id="41"/>
      <w:r/>
      <w:r/>
    </w:p>
    <w:p>
      <w:pPr>
        <w:ind w:firstLine="720"/>
        <w:spacing w:line="400" w:lineRule="exact"/>
        <w:rPr>
          <w:rFonts w:ascii="宋体" w:hAnsi="宋体"/>
          <w:color w:val="000000"/>
          <w:sz w:val="24"/>
          <w:szCs w:val="24"/>
          <w:highlight w:val="none"/>
        </w:rPr>
      </w:pPr>
      <w:r/>
      <w:bookmarkStart w:id="42" w:name="OLE_LINK10"/>
      <w:r>
        <w:rPr>
          <w:rFonts w:hint="eastAsia" w:ascii="宋体" w:hAnsi="宋体"/>
          <w:color w:val="000000"/>
          <w:sz w:val="24"/>
          <w:szCs w:val="24"/>
          <w:highlight w:val="none"/>
        </w:rPr>
        <w:t xml:space="preserve">地　  址：  </w:t>
      </w:r>
      <w:r>
        <w:rPr>
          <w:rFonts w:hint="eastAsia" w:ascii="宋体" w:hAnsi="宋体"/>
          <w:color w:val="000000"/>
          <w:sz w:val="24"/>
          <w:szCs w:val="24"/>
          <w:highlight w:val="none"/>
          <w:u w:val="single"/>
        </w:rPr>
        <w:t xml:space="preserve">南京市汉中门大街145号省政务中心二期3楼南区</w:t>
      </w:r>
      <w:r/>
    </w:p>
    <w:p>
      <w:pPr>
        <w:ind w:firstLine="7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 系 人：  </w:t>
      </w:r>
      <w:r>
        <w:rPr>
          <w:rFonts w:hint="eastAsia" w:ascii="宋体" w:hAnsi="宋体"/>
          <w:color w:val="000000"/>
          <w:sz w:val="24"/>
          <w:szCs w:val="24"/>
          <w:highlight w:val="none"/>
          <w:u w:val="single"/>
        </w:rPr>
        <w:t xml:space="preserve">     唐雪菲   徐晨义     </w:t>
      </w:r>
      <w:r/>
    </w:p>
    <w:p>
      <w:pPr>
        <w:ind w:firstLine="720"/>
        <w:spacing w:line="4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联系方式：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025-</w:t>
      </w:r>
      <w:r>
        <w:rPr>
          <w:rFonts w:hint="eastAsia" w:ascii="宋体" w:hAnsi="宋体"/>
          <w:color w:val="000000"/>
          <w:sz w:val="24"/>
          <w:szCs w:val="24"/>
          <w:highlight w:val="none"/>
          <w:u w:val="single"/>
        </w:rPr>
        <w:t xml:space="preserve">83668562  </w:t>
      </w:r>
      <w:r>
        <w:rPr>
          <w:rFonts w:ascii="宋体" w:hAnsi="宋体"/>
          <w:color w:val="000000"/>
          <w:sz w:val="24"/>
          <w:szCs w:val="24"/>
          <w:highlight w:val="none"/>
          <w:u w:val="single"/>
        </w:rPr>
        <w:t xml:space="preserve">83668</w:t>
      </w:r>
      <w:r>
        <w:rPr>
          <w:rFonts w:hint="eastAsia" w:ascii="宋体" w:hAnsi="宋体"/>
          <w:color w:val="000000"/>
          <w:sz w:val="24"/>
          <w:szCs w:val="24"/>
          <w:highlight w:val="none"/>
          <w:u w:val="single"/>
        </w:rPr>
        <w:t xml:space="preserve">521　   </w:t>
      </w:r>
      <w:bookmarkEnd w:id="42"/>
      <w:r/>
      <w:r/>
    </w:p>
    <w:p>
      <w:pPr>
        <w:ind w:firstLine="498"/>
        <w:keepLines/>
        <w:keepNext/>
        <w:spacing w:before="156" w:after="156"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八、其他</w:t>
      </w:r>
      <w:r/>
    </w:p>
    <w:p>
      <w:pPr>
        <w:ind w:firstLine="480"/>
        <w:tabs>
          <w:tab w:val="left" w:pos="900" w:leader="none"/>
        </w:tabs>
        <w:rPr>
          <w:rFonts w:ascii="宋体" w:hAnsi="宋体"/>
          <w:bCs/>
          <w:sz w:val="24"/>
          <w:szCs w:val="24"/>
          <w:highlight w:val="none"/>
        </w:rPr>
      </w:pPr>
      <w:r>
        <w:rPr>
          <w:rFonts w:ascii="宋体" w:hAnsi="宋体"/>
          <w:sz w:val="24"/>
          <w:szCs w:val="21"/>
          <w:highlight w:val="none"/>
        </w:rPr>
        <w:t xml:space="preserve">1</w:t>
      </w:r>
      <w:r>
        <w:rPr>
          <w:rFonts w:hint="eastAsia" w:ascii="宋体" w:hAnsi="宋体"/>
          <w:sz w:val="24"/>
          <w:szCs w:val="21"/>
          <w:highlight w:val="none"/>
        </w:rPr>
        <w:t xml:space="preserve">.</w:t>
      </w:r>
      <w:r>
        <w:rPr>
          <w:rFonts w:hint="eastAsia" w:ascii="宋体" w:hAnsi="宋体"/>
          <w:bCs/>
          <w:sz w:val="24"/>
          <w:szCs w:val="24"/>
          <w:highlight w:val="none"/>
        </w:rPr>
        <w:t xml:space="preserve">根据省财政厅《关于更换全省政府采购交易系统C A数字证书和电子签章的通知》（苏财购〔2023〕101号），</w:t>
      </w:r>
      <w:r>
        <w:rPr>
          <w:rFonts w:hint="eastAsia" w:ascii="宋体" w:hAnsi="宋体"/>
          <w:sz w:val="24"/>
          <w:szCs w:val="24"/>
          <w:highlight w:val="none"/>
        </w:rPr>
        <w:t xml:space="preserve">“苏采云”政府采购交易系统（以下简称苏采云系统）</w:t>
      </w:r>
      <w:r>
        <w:rPr>
          <w:rFonts w:hint="eastAsia" w:ascii="宋体" w:hAnsi="宋体"/>
          <w:bCs/>
          <w:sz w:val="24"/>
          <w:szCs w:val="24"/>
          <w:highlight w:val="none"/>
        </w:rPr>
        <w:t xml:space="preserve">的CA数字证书、电子签章已更换为江苏省电子政务证书认证中心C A和方正国际软件（北京）有限公司电子签章。如果供应商通过</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参与政府采购项目，需要更换CA数字证书和电子签章。具体办理指南和操作手册见链接：</w:t>
      </w:r>
      <w:r>
        <w:rPr>
          <w:rFonts w:ascii="Times New Roman" w:hAnsi="Times New Roman"/>
          <w:bCs/>
          <w:szCs w:val="21"/>
          <w:highlight w:val="none"/>
        </w:rPr>
        <w:t xml:space="preserve">http://www.ccgp-jiangsu.gov.cn/jiangsu/zlxz/ee/ee3a4bc5a3454aa2b0d9312230633ce9.html。</w:t>
      </w:r>
      <w:r/>
    </w:p>
    <w:p>
      <w:pPr>
        <w:ind w:firstLine="480"/>
        <w:tabs>
          <w:tab w:val="left" w:pos="900" w:leader="none"/>
        </w:tabs>
        <w:rPr>
          <w:rFonts w:ascii="宋体" w:hAnsi="宋体"/>
          <w:bCs/>
          <w:sz w:val="24"/>
          <w:szCs w:val="24"/>
          <w:highlight w:val="none"/>
        </w:rPr>
      </w:pPr>
      <w:r>
        <w:rPr>
          <w:rFonts w:hint="eastAsia" w:ascii="宋体" w:hAnsi="宋体"/>
          <w:bCs/>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szCs w:val="21"/>
          <w:highlight w:val="none"/>
        </w:rPr>
        <w:t xml:space="preserve">www.jszwfw.gov.cn</w:t>
      </w:r>
      <w:r>
        <w:rPr>
          <w:rFonts w:hint="eastAsia" w:ascii="宋体" w:hAnsi="宋体"/>
          <w:bCs/>
          <w:sz w:val="24"/>
          <w:szCs w:val="24"/>
          <w:highlight w:val="none"/>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sz w:val="24"/>
          <w:szCs w:val="24"/>
          <w:highlight w:val="none"/>
        </w:rPr>
      </w:pPr>
      <w:r>
        <w:rPr>
          <w:rFonts w:hint="eastAsia" w:ascii="宋体" w:hAnsi="宋体"/>
          <w:bCs/>
          <w:sz w:val="24"/>
          <w:szCs w:val="24"/>
          <w:highlight w:val="none"/>
        </w:rPr>
        <w:t xml:space="preserve">如果“江苏政府采购网”</w:t>
      </w:r>
      <w:r>
        <w:rPr>
          <w:rFonts w:ascii="Times New Roman" w:hAnsi="Times New Roman"/>
          <w:bCs/>
          <w:szCs w:val="21"/>
          <w:highlight w:val="none"/>
        </w:rPr>
        <w:t xml:space="preserve">（www.ccgp-jiangsu.gov.cn）</w:t>
      </w:r>
      <w:r>
        <w:rPr>
          <w:rFonts w:hint="eastAsia" w:ascii="Times New Roman" w:hAnsi="Times New Roman"/>
          <w:bCs/>
          <w:sz w:val="24"/>
          <w:szCs w:val="24"/>
          <w:highlight w:val="none"/>
        </w:rPr>
        <w:t xml:space="preserve">信息</w:t>
      </w:r>
      <w:r>
        <w:rPr>
          <w:rFonts w:hint="eastAsia" w:ascii="宋体" w:hAnsi="宋体"/>
          <w:bCs/>
          <w:sz w:val="24"/>
          <w:szCs w:val="24"/>
          <w:highlight w:val="none"/>
        </w:rPr>
        <w:t xml:space="preserve">与“江苏政务服务网” </w:t>
      </w:r>
      <w:r>
        <w:rPr>
          <w:rFonts w:ascii="Times New Roman" w:hAnsi="Times New Roman"/>
          <w:bCs/>
          <w:szCs w:val="21"/>
          <w:highlight w:val="none"/>
        </w:rPr>
        <w:t xml:space="preserve">（www.jszwfw.gov.cn）</w:t>
      </w:r>
      <w:r>
        <w:rPr>
          <w:rFonts w:hint="eastAsia" w:ascii="宋体" w:hAnsi="宋体"/>
          <w:bCs/>
          <w:sz w:val="24"/>
          <w:szCs w:val="24"/>
          <w:highlight w:val="none"/>
        </w:rPr>
        <w:t xml:space="preserve">，“一企来办”专栏下“政府采购”模块中信息不一致，以“江苏政府采购网”信息为准。</w:t>
      </w:r>
      <w:r/>
    </w:p>
    <w:p>
      <w:pPr>
        <w:ind w:firstLine="480"/>
        <w:tabs>
          <w:tab w:val="left" w:pos="90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 有关本次谈判的事项若存在变动或修改，敬请及时关注江苏省政府采购中心在“江苏政府采购网”发布的更正公告。</w:t>
      </w:r>
      <w:r/>
    </w:p>
    <w:p>
      <w:pPr>
        <w:ind w:firstLine="480"/>
        <w:tabs>
          <w:tab w:val="left" w:pos="90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 本次谈判不收取谈判保证金。</w:t>
      </w:r>
      <w:r/>
    </w:p>
    <w:p>
      <w:pPr>
        <w:ind w:right="840"/>
        <w:rPr>
          <w:rFonts w:ascii="宋体" w:hAnsi="宋体"/>
          <w:sz w:val="24"/>
          <w:szCs w:val="24"/>
          <w:highlight w:val="none"/>
        </w:rPr>
      </w:pPr>
      <w:r>
        <w:rPr>
          <w:rFonts w:ascii="宋体" w:hAnsi="宋体"/>
          <w:sz w:val="24"/>
          <w:szCs w:val="24"/>
          <w:highlight w:val="none"/>
        </w:rPr>
      </w:r>
      <w:r/>
    </w:p>
    <w:p>
      <w:pPr>
        <w:ind w:right="840"/>
        <w:rPr>
          <w:rFonts w:ascii="宋体" w:hAnsi="宋体"/>
          <w:sz w:val="24"/>
          <w:szCs w:val="24"/>
          <w:highlight w:val="none"/>
        </w:rPr>
      </w:pPr>
      <w:r>
        <w:rPr>
          <w:rFonts w:ascii="宋体" w:hAnsi="宋体"/>
          <w:sz w:val="24"/>
          <w:szCs w:val="24"/>
          <w:highlight w:val="none"/>
        </w:rPr>
      </w:r>
      <w:r/>
    </w:p>
    <w:p>
      <w:pPr>
        <w:ind w:right="840"/>
        <w:rPr>
          <w:rFonts w:ascii="宋体" w:hAnsi="宋体"/>
          <w:sz w:val="24"/>
          <w:szCs w:val="24"/>
          <w:highlight w:val="none"/>
        </w:rPr>
      </w:pPr>
      <w:r>
        <w:rPr>
          <w:rFonts w:ascii="宋体" w:hAnsi="宋体"/>
          <w:sz w:val="24"/>
          <w:szCs w:val="24"/>
          <w:highlight w:val="none"/>
        </w:rPr>
      </w:r>
      <w:r/>
    </w:p>
    <w:p>
      <w:pPr>
        <w:ind w:right="840"/>
        <w:rPr>
          <w:rFonts w:ascii="宋体" w:hAnsi="宋体"/>
          <w:sz w:val="24"/>
          <w:szCs w:val="24"/>
          <w:highlight w:val="none"/>
        </w:rPr>
      </w:pPr>
      <w:r>
        <w:rPr>
          <w:rFonts w:ascii="宋体" w:hAnsi="宋体"/>
          <w:sz w:val="24"/>
          <w:szCs w:val="24"/>
          <w:highlight w:val="none"/>
        </w:rPr>
      </w:r>
      <w:r/>
    </w:p>
    <w:p>
      <w:pPr>
        <w:ind w:right="840"/>
        <w:rPr>
          <w:rFonts w:ascii="宋体" w:hAnsi="宋体"/>
          <w:sz w:val="24"/>
          <w:szCs w:val="24"/>
          <w:highlight w:val="none"/>
        </w:rPr>
      </w:pPr>
      <w:r>
        <w:rPr>
          <w:rFonts w:ascii="宋体" w:hAnsi="宋体"/>
          <w:sz w:val="24"/>
          <w:szCs w:val="24"/>
          <w:highlight w:val="none"/>
        </w:rPr>
      </w:r>
      <w:r/>
    </w:p>
    <w:p>
      <w:pPr>
        <w:ind w:right="840"/>
        <w:rPr>
          <w:rFonts w:ascii="宋体" w:hAnsi="宋体"/>
          <w:sz w:val="24"/>
          <w:szCs w:val="24"/>
          <w:highlight w:val="none"/>
        </w:rPr>
      </w:pPr>
      <w:r>
        <w:rPr>
          <w:rFonts w:ascii="宋体" w:hAnsi="宋体"/>
          <w:sz w:val="24"/>
          <w:szCs w:val="24"/>
          <w:highlight w:val="none"/>
        </w:rPr>
      </w:r>
      <w:r/>
    </w:p>
    <w:p>
      <w:pPr>
        <w:ind w:right="840"/>
        <w:rPr>
          <w:rFonts w:ascii="宋体" w:hAnsi="宋体"/>
          <w:sz w:val="24"/>
          <w:szCs w:val="24"/>
          <w:highlight w:val="none"/>
        </w:rPr>
      </w:pPr>
      <w:r>
        <w:rPr>
          <w:rFonts w:ascii="宋体" w:hAnsi="宋体"/>
          <w:sz w:val="24"/>
          <w:szCs w:val="24"/>
          <w:highlight w:val="none"/>
        </w:rPr>
      </w:r>
      <w:r/>
    </w:p>
    <w:p>
      <w:pPr>
        <w:ind w:right="840"/>
        <w:rPr>
          <w:rFonts w:ascii="宋体" w:hAnsi="宋体"/>
          <w:sz w:val="24"/>
          <w:szCs w:val="24"/>
          <w:highlight w:val="none"/>
        </w:rPr>
      </w:pPr>
      <w:r>
        <w:rPr>
          <w:rFonts w:ascii="宋体" w:hAnsi="宋体"/>
          <w:sz w:val="24"/>
          <w:szCs w:val="24"/>
          <w:highlight w:val="none"/>
        </w:rPr>
      </w:r>
      <w:r/>
    </w:p>
    <w:p>
      <w:pPr>
        <w:ind w:right="840"/>
        <w:rPr>
          <w:rFonts w:ascii="宋体" w:hAnsi="宋体"/>
          <w:sz w:val="24"/>
          <w:szCs w:val="24"/>
          <w:highlight w:val="none"/>
        </w:rPr>
      </w:pPr>
      <w:r>
        <w:rPr>
          <w:rFonts w:ascii="宋体" w:hAnsi="宋体"/>
          <w:sz w:val="24"/>
          <w:szCs w:val="24"/>
          <w:highlight w:val="none"/>
        </w:rPr>
      </w:r>
      <w:r/>
    </w:p>
    <w:p>
      <w:pPr>
        <w:ind w:right="840"/>
        <w:rPr>
          <w:rFonts w:ascii="宋体" w:hAnsi="宋体"/>
          <w:sz w:val="24"/>
          <w:szCs w:val="24"/>
          <w:highlight w:val="none"/>
        </w:rPr>
      </w:pPr>
      <w:r>
        <w:rPr>
          <w:rFonts w:ascii="宋体" w:hAnsi="宋体"/>
          <w:sz w:val="24"/>
          <w:szCs w:val="24"/>
          <w:highlight w:val="none"/>
        </w:rPr>
      </w:r>
      <w:r/>
    </w:p>
    <w:p>
      <w:pPr>
        <w:ind w:right="840"/>
        <w:rPr>
          <w:rFonts w:ascii="宋体" w:hAnsi="宋体"/>
          <w:sz w:val="24"/>
          <w:szCs w:val="24"/>
          <w:highlight w:val="none"/>
        </w:rPr>
      </w:pPr>
      <w:r>
        <w:rPr>
          <w:rFonts w:ascii="宋体" w:hAnsi="宋体"/>
          <w:sz w:val="24"/>
          <w:szCs w:val="24"/>
          <w:highlight w:val="none"/>
        </w:rPr>
      </w:r>
      <w:r/>
    </w:p>
    <w:p>
      <w:pPr>
        <w:ind w:right="840"/>
        <w:rPr>
          <w:rFonts w:ascii="宋体" w:hAnsi="宋体"/>
          <w:sz w:val="24"/>
          <w:szCs w:val="24"/>
          <w:highlight w:val="none"/>
        </w:rPr>
      </w:pPr>
      <w:r>
        <w:rPr>
          <w:rFonts w:ascii="宋体" w:hAnsi="宋体"/>
          <w:sz w:val="24"/>
          <w:szCs w:val="24"/>
          <w:highlight w:val="none"/>
        </w:rPr>
      </w:r>
      <w:r/>
    </w:p>
    <w:p>
      <w:pPr>
        <w:ind w:right="840"/>
        <w:rPr>
          <w:rFonts w:ascii="宋体" w:hAnsi="宋体"/>
          <w:sz w:val="24"/>
          <w:szCs w:val="24"/>
          <w:highlight w:val="none"/>
        </w:rPr>
      </w:pPr>
      <w:r>
        <w:rPr>
          <w:rFonts w:ascii="宋体" w:hAnsi="宋体"/>
          <w:sz w:val="24"/>
          <w:szCs w:val="24"/>
          <w:highlight w:val="none"/>
        </w:rPr>
      </w:r>
      <w:r/>
    </w:p>
    <w:p>
      <w:pPr>
        <w:ind w:right="840"/>
        <w:rPr>
          <w:rFonts w:ascii="宋体" w:hAnsi="宋体"/>
          <w:sz w:val="24"/>
          <w:szCs w:val="24"/>
          <w:highlight w:val="none"/>
        </w:rPr>
      </w:pPr>
      <w:r>
        <w:rPr>
          <w:rFonts w:ascii="宋体" w:hAnsi="宋体"/>
          <w:sz w:val="24"/>
          <w:szCs w:val="24"/>
          <w:highlight w:val="none"/>
        </w:rPr>
      </w:r>
      <w:r/>
    </w:p>
    <w:p>
      <w:pPr>
        <w:ind w:right="840"/>
        <w:rPr>
          <w:rFonts w:ascii="宋体" w:hAnsi="宋体"/>
          <w:sz w:val="24"/>
          <w:szCs w:val="24"/>
          <w:highlight w:val="none"/>
        </w:rPr>
      </w:pPr>
      <w:r>
        <w:rPr>
          <w:rFonts w:ascii="宋体" w:hAnsi="宋体"/>
          <w:sz w:val="24"/>
          <w:szCs w:val="24"/>
          <w:highlight w:val="none"/>
        </w:rPr>
      </w:r>
      <w:r/>
    </w:p>
    <w:p>
      <w:pPr>
        <w:jc w:val="center"/>
        <w:keepLines/>
        <w:keepNext/>
        <w:spacing w:before="260" w:after="260" w:line="416" w:lineRule="auto"/>
        <w:rPr>
          <w:rFonts w:ascii="黑体" w:hAnsi="Arial" w:eastAsia="黑体" w:cs="Arial"/>
          <w:sz w:val="44"/>
          <w:szCs w:val="44"/>
          <w:highlight w:val="none"/>
        </w:rPr>
        <w:outlineLvl w:val="1"/>
      </w:pPr>
      <w:r/>
      <w:bookmarkStart w:id="43" w:name="_Toc120614211"/>
      <w:r>
        <w:rPr>
          <w:rFonts w:hint="eastAsia" w:ascii="黑体" w:hAnsi="Arial" w:eastAsia="黑体" w:cs="Arial"/>
          <w:b/>
          <w:bCs/>
          <w:sz w:val="44"/>
          <w:szCs w:val="44"/>
          <w:highlight w:val="none"/>
        </w:rPr>
        <w:t xml:space="preserve">第二章  </w:t>
      </w:r>
      <w:bookmarkEnd w:id="1"/>
      <w:r/>
      <w:bookmarkEnd w:id="2"/>
      <w:r/>
      <w:bookmarkEnd w:id="3"/>
      <w:r/>
      <w:bookmarkEnd w:id="4"/>
      <w:r/>
      <w:bookmarkEnd w:id="5"/>
      <w:r/>
      <w:bookmarkEnd w:id="43"/>
      <w:r>
        <w:rPr>
          <w:rFonts w:hint="eastAsia" w:ascii="黑体" w:hAnsi="Arial" w:eastAsia="黑体" w:cs="Arial"/>
          <w:b/>
          <w:bCs/>
          <w:sz w:val="44"/>
          <w:szCs w:val="44"/>
          <w:highlight w:val="none"/>
        </w:rPr>
        <w:t xml:space="preserve">供应商须知</w:t>
      </w:r>
      <w:r/>
    </w:p>
    <w:p>
      <w:pPr>
        <w:ind w:firstLine="498"/>
        <w:keepLines/>
        <w:keepNext/>
        <w:spacing w:before="156" w:after="156" w:line="360" w:lineRule="auto"/>
        <w:rPr>
          <w:rFonts w:ascii="Times New Roman" w:hAnsi="Times New Roman"/>
          <w:b/>
          <w:bCs/>
          <w:sz w:val="32"/>
          <w:szCs w:val="32"/>
          <w:highlight w:val="none"/>
        </w:rPr>
        <w:outlineLvl w:val="2"/>
      </w:pPr>
      <w:r/>
      <w:bookmarkStart w:id="44" w:name="_Toc16938519"/>
      <w:r/>
      <w:bookmarkStart w:id="45" w:name="_Toc513029203"/>
      <w:r/>
      <w:bookmarkStart w:id="46" w:name="_Toc120614214"/>
      <w:r/>
      <w:bookmarkStart w:id="47" w:name="_Toc20823275"/>
      <w:r>
        <w:rPr>
          <w:rFonts w:hint="eastAsia" w:ascii="Times New Roman" w:hAnsi="Times New Roman"/>
          <w:b/>
          <w:bCs/>
          <w:sz w:val="32"/>
          <w:szCs w:val="32"/>
          <w:highlight w:val="none"/>
        </w:rPr>
        <w:t xml:space="preserve">一、总则</w:t>
      </w:r>
      <w:bookmarkEnd w:id="44"/>
      <w:r/>
      <w:bookmarkEnd w:id="45"/>
      <w:r/>
      <w:bookmarkEnd w:id="46"/>
      <w:r/>
      <w:bookmarkEnd w:id="47"/>
      <w:r/>
      <w:r/>
    </w:p>
    <w:p>
      <w:pPr>
        <w:ind w:firstLine="420"/>
        <w:keepLines/>
        <w:keepNext/>
        <w:rPr>
          <w:rFonts w:ascii="Arial" w:hAnsi="Arial" w:eastAsia="黑体" w:cs="Arial"/>
          <w:sz w:val="28"/>
          <w:szCs w:val="28"/>
          <w:highlight w:val="none"/>
        </w:rPr>
        <w:outlineLvl w:val="3"/>
      </w:pPr>
      <w:r/>
      <w:bookmarkStart w:id="48" w:name="_Hlt16619475"/>
      <w:r/>
      <w:bookmarkEnd w:id="48"/>
      <w:r/>
      <w:bookmarkStart w:id="49" w:name="_Toc458694821"/>
      <w:r/>
      <w:bookmarkStart w:id="50" w:name="_Toc16938520"/>
      <w:r/>
      <w:bookmarkStart w:id="51" w:name="_Toc20823276"/>
      <w:r/>
      <w:bookmarkStart w:id="52" w:name="_Toc513029204"/>
      <w:r>
        <w:rPr>
          <w:rFonts w:hint="eastAsia" w:ascii="Arial" w:hAnsi="Arial" w:eastAsia="黑体" w:cs="Arial"/>
          <w:sz w:val="28"/>
          <w:szCs w:val="28"/>
          <w:highlight w:val="none"/>
        </w:rPr>
        <w:t xml:space="preserve">1</w:t>
      </w:r>
      <w:bookmarkEnd w:id="49"/>
      <w:r>
        <w:rPr>
          <w:rFonts w:hint="eastAsia" w:ascii="Arial" w:hAnsi="Arial" w:eastAsia="黑体" w:cs="Arial"/>
          <w:sz w:val="28"/>
          <w:szCs w:val="28"/>
          <w:highlight w:val="none"/>
        </w:rPr>
        <w:t xml:space="preserve">、采购方式</w:t>
      </w:r>
      <w:bookmarkEnd w:id="50"/>
      <w:r/>
      <w:bookmarkEnd w:id="51"/>
      <w:r/>
      <w:bookmarkEnd w:id="52"/>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1.1 本次政府采购活动采取竞争性谈判(以下简称谈判)方式，本谈判文件仅适用于谈判公告中所述项目。</w:t>
      </w:r>
      <w:r/>
    </w:p>
    <w:p>
      <w:pPr>
        <w:ind w:firstLine="420"/>
        <w:keepLines/>
        <w:keepNext/>
        <w:rPr>
          <w:rFonts w:ascii="Arial" w:hAnsi="Arial" w:eastAsia="黑体" w:cs="Arial"/>
          <w:sz w:val="28"/>
          <w:szCs w:val="28"/>
          <w:highlight w:val="none"/>
        </w:rPr>
        <w:outlineLvl w:val="3"/>
      </w:pPr>
      <w:r/>
      <w:bookmarkStart w:id="53" w:name="_Toc16938521"/>
      <w:r/>
      <w:bookmarkStart w:id="54" w:name="_Toc513029205"/>
      <w:r/>
      <w:bookmarkStart w:id="55" w:name="_Toc20823277"/>
      <w:r>
        <w:rPr>
          <w:rFonts w:hint="eastAsia" w:ascii="Arial" w:hAnsi="Arial" w:eastAsia="黑体" w:cs="Arial"/>
          <w:sz w:val="28"/>
          <w:szCs w:val="28"/>
          <w:highlight w:val="none"/>
        </w:rPr>
        <w:t xml:space="preserve">2、合格的</w:t>
      </w:r>
      <w:bookmarkEnd w:id="53"/>
      <w:r/>
      <w:bookmarkEnd w:id="54"/>
      <w:r/>
      <w:bookmarkEnd w:id="55"/>
      <w:r>
        <w:rPr>
          <w:rFonts w:hint="eastAsia" w:ascii="Arial" w:hAnsi="Arial" w:eastAsia="黑体" w:cs="Arial"/>
          <w:sz w:val="28"/>
          <w:szCs w:val="28"/>
          <w:highlight w:val="none"/>
        </w:rPr>
        <w:t xml:space="preserve">供应商</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2.1满足谈判公告中供应商资格要求的规定。</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2.2 满足本谈判文件实质性要求的规定。</w:t>
      </w:r>
      <w:r/>
    </w:p>
    <w:p>
      <w:pPr>
        <w:ind w:firstLine="420"/>
        <w:keepLines/>
        <w:keepNext/>
        <w:rPr>
          <w:rFonts w:ascii="Arial" w:hAnsi="Arial" w:eastAsia="黑体" w:cs="Arial"/>
          <w:sz w:val="28"/>
          <w:szCs w:val="28"/>
          <w:highlight w:val="none"/>
        </w:rPr>
        <w:outlineLvl w:val="3"/>
      </w:pPr>
      <w:r/>
      <w:bookmarkStart w:id="56" w:name="_Toc20823278"/>
      <w:r/>
      <w:bookmarkStart w:id="57" w:name="_Toc513029206"/>
      <w:r/>
      <w:bookmarkStart w:id="58" w:name="_Toc16938522"/>
      <w:r>
        <w:rPr>
          <w:rFonts w:hint="eastAsia" w:ascii="Arial" w:hAnsi="Arial" w:eastAsia="黑体" w:cs="Arial"/>
          <w:sz w:val="28"/>
          <w:szCs w:val="28"/>
          <w:highlight w:val="none"/>
        </w:rPr>
        <w:t xml:space="preserve">3、适用法律</w:t>
      </w:r>
      <w:bookmarkEnd w:id="56"/>
      <w:r/>
      <w:bookmarkEnd w:id="57"/>
      <w:r/>
      <w:bookmarkEnd w:id="58"/>
      <w:r/>
      <w:r/>
    </w:p>
    <w:p>
      <w:pPr>
        <w:ind w:firstLine="420"/>
        <w:spacing w:line="400" w:lineRule="exact"/>
        <w:rPr>
          <w:rFonts w:ascii="宋体" w:hAnsi="宋体"/>
          <w:sz w:val="24"/>
          <w:szCs w:val="21"/>
          <w:highlight w:val="none"/>
        </w:rPr>
      </w:pPr>
      <w:r>
        <w:rPr>
          <w:rFonts w:hint="eastAsia" w:ascii="宋体" w:hAnsi="宋体"/>
          <w:sz w:val="24"/>
          <w:szCs w:val="21"/>
          <w:highlight w:val="none"/>
        </w:rPr>
        <w:t xml:space="preserve">3.1 本次谈判及由此产生的合同受中华人民共和国有关的法律法规制约和保护</w:t>
      </w:r>
      <w:r>
        <w:rPr>
          <w:rFonts w:ascii="宋体" w:hAnsi="宋体"/>
          <w:sz w:val="24"/>
          <w:szCs w:val="21"/>
          <w:highlight w:val="none"/>
        </w:rPr>
        <w:t xml:space="preserve">。</w:t>
      </w:r>
      <w:r/>
    </w:p>
    <w:p>
      <w:pPr>
        <w:ind w:firstLine="420"/>
        <w:keepLines/>
        <w:keepNext/>
        <w:rPr>
          <w:rFonts w:ascii="Arial" w:hAnsi="Arial" w:eastAsia="黑体" w:cs="Arial"/>
          <w:sz w:val="28"/>
          <w:szCs w:val="28"/>
          <w:highlight w:val="none"/>
        </w:rPr>
        <w:outlineLvl w:val="3"/>
      </w:pPr>
      <w:r/>
      <w:bookmarkStart w:id="59" w:name="_Toc16938523"/>
      <w:r/>
      <w:bookmarkStart w:id="60" w:name="_Toc462564067"/>
      <w:r/>
      <w:bookmarkStart w:id="61" w:name="_Toc20823279"/>
      <w:r/>
      <w:bookmarkStart w:id="62" w:name="_Toc513029207"/>
      <w:r>
        <w:rPr>
          <w:rFonts w:hint="eastAsia" w:ascii="Arial" w:hAnsi="Arial" w:eastAsia="黑体" w:cs="Arial"/>
          <w:sz w:val="28"/>
          <w:szCs w:val="28"/>
          <w:highlight w:val="none"/>
        </w:rPr>
        <w:t xml:space="preserve">4、谈判费用</w:t>
      </w:r>
      <w:bookmarkEnd w:id="59"/>
      <w:r/>
      <w:bookmarkEnd w:id="60"/>
      <w:r/>
      <w:bookmarkEnd w:id="61"/>
      <w:r/>
      <w:bookmarkEnd w:id="62"/>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供应商应自行承担所有与参加本次谈判有关的费用，无论谈判过程中的做法和结果如何，江苏省政府采购中心（以下简称采购中心）在任何情况下均无义务和责任承担这些费用。</w:t>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4.2本次谈判采购中心和采购人不收取标书工本费与成交服务费。</w:t>
      </w:r>
      <w:r/>
    </w:p>
    <w:p>
      <w:pPr>
        <w:ind w:firstLine="452"/>
        <w:keepLines/>
        <w:keepNext/>
        <w:spacing w:line="480" w:lineRule="exact"/>
        <w:rPr>
          <w:rFonts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谈判文件的约束力</w:t>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供应商一旦参加本项目采购活动，即被认为接受了本谈判文件的规定和约束。</w:t>
      </w:r>
      <w:r/>
    </w:p>
    <w:p>
      <w:pPr>
        <w:ind w:firstLine="321"/>
        <w:keepLines/>
        <w:keepNext/>
        <w:spacing w:before="156" w:after="156" w:line="360" w:lineRule="auto"/>
        <w:rPr>
          <w:rFonts w:ascii="Times New Roman" w:hAnsi="Times New Roman"/>
          <w:b/>
          <w:bCs/>
          <w:sz w:val="32"/>
          <w:szCs w:val="32"/>
          <w:highlight w:val="none"/>
        </w:rPr>
        <w:outlineLvl w:val="2"/>
      </w:pPr>
      <w:r/>
      <w:bookmarkStart w:id="63" w:name="_Toc20823281"/>
      <w:r/>
      <w:bookmarkStart w:id="64" w:name="_Toc16938525"/>
      <w:r/>
      <w:bookmarkStart w:id="65" w:name="_Toc513029209"/>
      <w:r/>
      <w:bookmarkStart w:id="66" w:name="_Toc120614215"/>
      <w:r>
        <w:rPr>
          <w:rFonts w:hint="eastAsia" w:ascii="Times New Roman" w:hAnsi="Times New Roman"/>
          <w:b/>
          <w:bCs/>
          <w:sz w:val="32"/>
          <w:szCs w:val="32"/>
          <w:highlight w:val="none"/>
        </w:rPr>
        <w:t xml:space="preserve">二、</w:t>
      </w:r>
      <w:bookmarkEnd w:id="63"/>
      <w:r/>
      <w:bookmarkEnd w:id="64"/>
      <w:r/>
      <w:bookmarkEnd w:id="65"/>
      <w:r/>
      <w:bookmarkEnd w:id="66"/>
      <w:r>
        <w:rPr>
          <w:rFonts w:hint="eastAsia" w:ascii="Times New Roman" w:hAnsi="Times New Roman"/>
          <w:b/>
          <w:bCs/>
          <w:sz w:val="32"/>
          <w:szCs w:val="32"/>
          <w:highlight w:val="none"/>
        </w:rPr>
        <w:t xml:space="preserve">谈判文件</w:t>
      </w:r>
      <w:r/>
    </w:p>
    <w:p>
      <w:pPr>
        <w:ind w:firstLine="420"/>
        <w:keepLines/>
        <w:keepNext/>
        <w:rPr>
          <w:rFonts w:ascii="Arial" w:hAnsi="Arial" w:eastAsia="黑体" w:cs="Arial"/>
          <w:sz w:val="28"/>
          <w:szCs w:val="28"/>
          <w:highlight w:val="none"/>
        </w:rPr>
        <w:outlineLvl w:val="3"/>
      </w:pPr>
      <w:r/>
      <w:bookmarkStart w:id="67" w:name="_Toc20823282"/>
      <w:r/>
      <w:bookmarkStart w:id="68" w:name="_Toc16938526"/>
      <w:r/>
      <w:bookmarkStart w:id="69" w:name="_Toc513029210"/>
      <w:r>
        <w:rPr>
          <w:rFonts w:hint="eastAsia" w:ascii="Arial" w:hAnsi="Arial" w:eastAsia="黑体" w:cs="Arial"/>
          <w:sz w:val="28"/>
          <w:szCs w:val="28"/>
          <w:highlight w:val="none"/>
        </w:rPr>
        <w:t xml:space="preserve">6、谈判文件构成</w:t>
      </w:r>
      <w:bookmarkEnd w:id="67"/>
      <w:r/>
      <w:bookmarkEnd w:id="68"/>
      <w:r/>
      <w:bookmarkEnd w:id="69"/>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谈判文件由以下部分组成：</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（1）谈判</w:t>
      </w:r>
      <w:r>
        <w:rPr>
          <w:rFonts w:ascii="宋体" w:hAnsi="宋体"/>
          <w:sz w:val="24"/>
          <w:szCs w:val="24"/>
          <w:highlight w:val="none"/>
        </w:rPr>
        <w:t xml:space="preserve">邀请</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（2）供应商须知</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（3）合同文本</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（4）采购需求</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（5）响应文件格式</w:t>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请仔细检查谈判文件是否齐全，如有缺漏请立即与采购中心联系解决。</w:t>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rPr>
          <w:rFonts w:ascii="Arial" w:hAnsi="Arial" w:eastAsia="黑体" w:cs="Arial"/>
          <w:sz w:val="28"/>
          <w:szCs w:val="28"/>
          <w:highlight w:val="none"/>
        </w:rPr>
        <w:outlineLvl w:val="3"/>
      </w:pPr>
      <w:r/>
      <w:bookmarkStart w:id="70" w:name="_Toc462564071"/>
      <w:r/>
      <w:bookmarkStart w:id="71" w:name="_Toc16938528"/>
      <w:r/>
      <w:bookmarkStart w:id="72" w:name="_Toc513029212"/>
      <w:r/>
      <w:bookmarkStart w:id="73" w:name="_Toc20823284"/>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、谈判文件的澄清和修改</w:t>
      </w:r>
      <w:bookmarkEnd w:id="70"/>
      <w:r/>
      <w:bookmarkEnd w:id="71"/>
      <w:r/>
      <w:bookmarkEnd w:id="72"/>
      <w:r/>
      <w:bookmarkEnd w:id="73"/>
      <w:r/>
      <w:r/>
    </w:p>
    <w:p>
      <w:pPr>
        <w:ind w:firstLine="480"/>
        <w:spacing w:line="500" w:lineRule="exact"/>
        <w:rPr>
          <w:rFonts w:ascii="宋体" w:hAnsi="宋体"/>
          <w:sz w:val="24"/>
          <w:szCs w:val="21"/>
          <w:highlight w:val="none"/>
        </w:rPr>
      </w:pPr>
      <w:r>
        <w:rPr>
          <w:rFonts w:ascii="宋体" w:hAnsi="宋体"/>
          <w:bCs/>
          <w:sz w:val="24"/>
          <w:szCs w:val="21"/>
          <w:highlight w:val="none"/>
        </w:rPr>
        <w:t xml:space="preserve">7</w:t>
      </w:r>
      <w:r>
        <w:rPr>
          <w:rFonts w:hint="eastAsia" w:ascii="宋体" w:hAnsi="宋体"/>
          <w:bCs/>
          <w:sz w:val="24"/>
          <w:szCs w:val="21"/>
          <w:highlight w:val="none"/>
        </w:rPr>
        <w:t xml:space="preserve">.1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，采购中心可以对谈判文件进行澄清和修改,</w:t>
      </w:r>
      <w:r>
        <w:rPr>
          <w:rFonts w:hint="eastAsia" w:ascii="Times New Roman" w:hAnsi="Times New Roman"/>
          <w:szCs w:val="21"/>
          <w:highlight w:val="none"/>
        </w:rPr>
        <w:t xml:space="preserve"> </w:t>
      </w:r>
      <w:r>
        <w:rPr>
          <w:rFonts w:hint="eastAsia" w:ascii="宋体" w:hAnsi="宋体"/>
          <w:sz w:val="24"/>
          <w:szCs w:val="21"/>
          <w:highlight w:val="none"/>
        </w:rPr>
        <w:t xml:space="preserve">澄清或者修改的内容作为谈判文件的组成部分。澄清或者修改的内容可能影响响应文件编制的，采购中心将在提交首次响应文件截止时间至少</w:t>
      </w:r>
      <w:r>
        <w:rPr>
          <w:rFonts w:ascii="宋体" w:hAnsi="宋体"/>
          <w:sz w:val="24"/>
          <w:szCs w:val="21"/>
          <w:highlight w:val="none"/>
        </w:rPr>
        <w:t xml:space="preserve">3</w:t>
      </w:r>
      <w:r>
        <w:rPr>
          <w:rFonts w:hint="eastAsia" w:ascii="宋体" w:hAnsi="宋体"/>
          <w:sz w:val="24"/>
          <w:szCs w:val="21"/>
          <w:highlight w:val="none"/>
        </w:rPr>
        <w:t xml:space="preserve">个</w:t>
      </w:r>
      <w:r>
        <w:rPr>
          <w:rFonts w:ascii="宋体" w:hAnsi="宋体"/>
          <w:sz w:val="24"/>
          <w:szCs w:val="21"/>
          <w:highlight w:val="none"/>
        </w:rPr>
        <w:t xml:space="preserve">工作日</w:t>
      </w:r>
      <w:r>
        <w:rPr>
          <w:rFonts w:hint="eastAsia" w:ascii="宋体" w:hAnsi="宋体"/>
          <w:sz w:val="24"/>
          <w:szCs w:val="21"/>
          <w:highlight w:val="none"/>
        </w:rPr>
        <w:t xml:space="preserve">前，在“江苏政府采购网”上发布书面更正公告形式通知所有获取谈判文件的供应商,</w:t>
      </w:r>
      <w:r>
        <w:rPr>
          <w:rFonts w:hint="eastAsia" w:ascii="Times New Roman" w:hAnsi="Times New Roman"/>
          <w:szCs w:val="21"/>
          <w:highlight w:val="none"/>
        </w:rPr>
        <w:t xml:space="preserve"> </w:t>
      </w:r>
      <w:r>
        <w:rPr>
          <w:rFonts w:hint="eastAsia" w:ascii="宋体" w:hAnsi="宋体"/>
          <w:sz w:val="24"/>
          <w:szCs w:val="21"/>
          <w:highlight w:val="none"/>
        </w:rPr>
        <w:t xml:space="preserve">更正公告内容将作为谈判文件的组成部分，并对供应商具有约束力。不足</w:t>
      </w:r>
      <w:r>
        <w:rPr>
          <w:rFonts w:ascii="宋体" w:hAnsi="宋体"/>
          <w:sz w:val="24"/>
          <w:szCs w:val="21"/>
          <w:highlight w:val="none"/>
        </w:rPr>
        <w:t xml:space="preserve">3</w:t>
      </w:r>
      <w:r>
        <w:rPr>
          <w:rFonts w:hint="eastAsia" w:ascii="宋体" w:hAnsi="宋体"/>
          <w:sz w:val="24"/>
          <w:szCs w:val="21"/>
          <w:highlight w:val="none"/>
        </w:rPr>
        <w:t xml:space="preserve">个</w:t>
      </w:r>
      <w:r>
        <w:rPr>
          <w:rFonts w:ascii="宋体" w:hAnsi="宋体"/>
          <w:sz w:val="24"/>
          <w:szCs w:val="21"/>
          <w:highlight w:val="none"/>
        </w:rPr>
        <w:t xml:space="preserve">工作日</w:t>
      </w:r>
      <w:r>
        <w:rPr>
          <w:rFonts w:hint="eastAsia" w:ascii="宋体" w:hAnsi="宋体"/>
          <w:sz w:val="24"/>
          <w:szCs w:val="21"/>
          <w:highlight w:val="none"/>
        </w:rPr>
        <w:t xml:space="preserve">的，采购中心将顺延提交首次响应文件截止时间。</w:t>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7.2采购中心可以视采购项目的具体情况，组织供应商进行现场考察或召开谈判前答疑会，但不单独或分别组织只有一个供应商参加的现场考察和答疑会。</w:t>
      </w:r>
      <w:r/>
    </w:p>
    <w:p>
      <w:pPr>
        <w:ind w:firstLine="482"/>
        <w:keepLines/>
        <w:keepNext/>
        <w:spacing w:before="156" w:after="156" w:line="360" w:lineRule="auto"/>
        <w:rPr>
          <w:rFonts w:ascii="Times New Roman" w:hAnsi="Times New Roman"/>
          <w:b/>
          <w:bCs/>
          <w:sz w:val="32"/>
          <w:szCs w:val="32"/>
          <w:highlight w:val="none"/>
        </w:rPr>
        <w:outlineLvl w:val="2"/>
      </w:pPr>
      <w:r/>
      <w:bookmarkStart w:id="74" w:name="_Toc20823285"/>
      <w:r/>
      <w:bookmarkStart w:id="75" w:name="_Toc462564072"/>
      <w:r/>
      <w:bookmarkStart w:id="76" w:name="_Toc513029213"/>
      <w:r/>
      <w:bookmarkStart w:id="77" w:name="_Toc120614216"/>
      <w:r/>
      <w:bookmarkStart w:id="78" w:name="_Toc16938529"/>
      <w:r>
        <w:rPr>
          <w:rFonts w:hint="eastAsia" w:ascii="Times New Roman" w:hAnsi="Times New Roman"/>
          <w:b/>
          <w:bCs/>
          <w:sz w:val="32"/>
          <w:szCs w:val="32"/>
          <w:highlight w:val="none"/>
        </w:rPr>
        <w:t xml:space="preserve">三、响应文件的编制</w:t>
      </w:r>
      <w:bookmarkEnd w:id="74"/>
      <w:r/>
      <w:bookmarkEnd w:id="75"/>
      <w:r/>
      <w:bookmarkEnd w:id="76"/>
      <w:r/>
      <w:bookmarkEnd w:id="77"/>
      <w:r/>
      <w:bookmarkEnd w:id="78"/>
      <w:r/>
      <w:r/>
    </w:p>
    <w:p>
      <w:pPr>
        <w:ind w:firstLine="560"/>
        <w:keepLines/>
        <w:keepNext/>
        <w:rPr>
          <w:rFonts w:ascii="Arial" w:hAnsi="Arial" w:eastAsia="黑体" w:cs="Arial"/>
          <w:b/>
          <w:sz w:val="28"/>
          <w:szCs w:val="28"/>
          <w:highlight w:val="none"/>
        </w:rPr>
        <w:outlineLvl w:val="3"/>
      </w:pPr>
      <w:r/>
      <w:bookmarkStart w:id="79" w:name="_Toc462564073"/>
      <w:r/>
      <w:bookmarkStart w:id="80" w:name="_Toc513029214"/>
      <w:r/>
      <w:bookmarkStart w:id="81" w:name="_Toc16938530"/>
      <w:r/>
      <w:bookmarkStart w:id="82" w:name="_Toc20823286"/>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、响应文件的语言及度量衡单位</w:t>
      </w:r>
      <w:bookmarkEnd w:id="79"/>
      <w:r/>
      <w:bookmarkEnd w:id="80"/>
      <w:r/>
      <w:bookmarkEnd w:id="81"/>
      <w:r/>
      <w:bookmarkEnd w:id="82"/>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供应商提交的响应文件以及供应商与采购中心就有关谈判的所有来往通知、函件和文件均应使用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8.2</w:t>
      </w:r>
      <w:r>
        <w:rPr>
          <w:rFonts w:hint="eastAsia" w:ascii="宋体" w:hAnsi="宋体"/>
          <w:sz w:val="24"/>
          <w:szCs w:val="21"/>
          <w:highlight w:val="none"/>
        </w:rPr>
        <w:t xml:space="preserve"> 除技术性能另有规定外，响应文件所使用的度量衡单位，均须采用国家法定计量单位。</w:t>
      </w:r>
      <w:r/>
    </w:p>
    <w:p>
      <w:pPr>
        <w:ind w:firstLine="420"/>
        <w:keepLines/>
        <w:keepNext/>
        <w:rPr>
          <w:rFonts w:ascii="Arial" w:hAnsi="Arial" w:eastAsia="黑体" w:cs="Arial"/>
          <w:sz w:val="28"/>
          <w:szCs w:val="28"/>
          <w:highlight w:val="none"/>
        </w:rPr>
        <w:outlineLvl w:val="3"/>
      </w:pPr>
      <w:r/>
      <w:bookmarkStart w:id="83" w:name="_Toc16938531"/>
      <w:r/>
      <w:bookmarkStart w:id="84" w:name="_Toc513029215"/>
      <w:r/>
      <w:bookmarkStart w:id="85" w:name="_Toc20823287"/>
      <w:r/>
      <w:bookmarkStart w:id="86" w:name="_Toc462564074"/>
      <w:r>
        <w:rPr>
          <w:rFonts w:ascii="Arial" w:hAnsi="Arial" w:eastAsia="黑体" w:cs="Arial"/>
          <w:sz w:val="28"/>
          <w:szCs w:val="28"/>
          <w:highlight w:val="none"/>
        </w:rPr>
        <w:t xml:space="preserve">9</w:t>
      </w:r>
      <w:r>
        <w:rPr>
          <w:rFonts w:hint="eastAsia" w:ascii="Arial" w:hAnsi="Arial" w:eastAsia="黑体" w:cs="Arial"/>
          <w:sz w:val="28"/>
          <w:szCs w:val="28"/>
          <w:highlight w:val="none"/>
        </w:rPr>
        <w:t xml:space="preserve">、响应文件构成</w:t>
      </w:r>
      <w:bookmarkEnd w:id="83"/>
      <w:r/>
      <w:bookmarkEnd w:id="84"/>
      <w:r/>
      <w:bookmarkEnd w:id="85"/>
      <w:r/>
      <w:bookmarkEnd w:id="86"/>
      <w:r/>
      <w:r/>
    </w:p>
    <w:p>
      <w:pPr>
        <w:ind w:firstLine="480"/>
        <w:spacing w:line="440" w:lineRule="exact"/>
        <w:rPr>
          <w:rFonts w:ascii="宋体" w:hAnsi="宋体"/>
          <w:sz w:val="24"/>
          <w:szCs w:val="21"/>
          <w:highlight w:val="none"/>
        </w:rPr>
      </w:pPr>
      <w:r>
        <w:rPr>
          <w:rFonts w:ascii="宋体" w:hAnsi="宋体"/>
          <w:bCs/>
          <w:sz w:val="24"/>
          <w:szCs w:val="21"/>
          <w:highlight w:val="none"/>
        </w:rPr>
        <w:t xml:space="preserve">9</w:t>
      </w:r>
      <w:r>
        <w:rPr>
          <w:rFonts w:hint="eastAsia" w:ascii="宋体" w:hAnsi="宋体"/>
          <w:bCs/>
          <w:sz w:val="24"/>
          <w:szCs w:val="21"/>
          <w:highlight w:val="none"/>
        </w:rPr>
        <w:t xml:space="preserve">.1</w:t>
      </w:r>
      <w:r>
        <w:rPr>
          <w:rFonts w:hint="eastAsia" w:ascii="宋体" w:hAnsi="宋体"/>
          <w:sz w:val="24"/>
          <w:szCs w:val="21"/>
          <w:highlight w:val="none"/>
        </w:rPr>
        <w:t xml:space="preserve">供应商编写的响应文件应包括资格证明文件、</w:t>
      </w:r>
      <w:r>
        <w:rPr>
          <w:rFonts w:hint="eastAsia" w:ascii="宋体" w:hAnsi="宋体"/>
          <w:sz w:val="24"/>
          <w:szCs w:val="24"/>
          <w:highlight w:val="none"/>
        </w:rPr>
        <w:t xml:space="preserve">实质性要求响应及偏离表</w:t>
      </w:r>
      <w:r>
        <w:rPr>
          <w:rFonts w:hint="eastAsia" w:ascii="宋体" w:hAnsi="宋体"/>
          <w:sz w:val="24"/>
          <w:szCs w:val="21"/>
          <w:highlight w:val="none"/>
        </w:rPr>
        <w:t xml:space="preserve">、分项报价表、技术要求响应及偏离表、商务要求响应及偏离表、其他证明文件、谈判响应函等部分。</w:t>
      </w:r>
      <w:r/>
    </w:p>
    <w:p>
      <w:pPr>
        <w:ind w:firstLine="480"/>
        <w:spacing w:line="440" w:lineRule="exact"/>
        <w:rPr>
          <w:rFonts w:ascii="宋体" w:hAnsi="宋体"/>
          <w:sz w:val="24"/>
          <w:szCs w:val="21"/>
          <w:highlight w:val="none"/>
        </w:rPr>
      </w:pPr>
      <w:r>
        <w:rPr>
          <w:rFonts w:ascii="宋体" w:hAnsi="宋体"/>
          <w:sz w:val="24"/>
          <w:szCs w:val="21"/>
          <w:highlight w:val="none"/>
        </w:rPr>
        <w:t xml:space="preserve">9</w:t>
      </w:r>
      <w:r>
        <w:rPr>
          <w:rFonts w:hint="eastAsia" w:ascii="宋体" w:hAnsi="宋体"/>
          <w:sz w:val="24"/>
          <w:szCs w:val="21"/>
          <w:highlight w:val="none"/>
        </w:rPr>
        <w:t xml:space="preserve">.2 如标书制作工具中格式和内容与“江苏政府采购网”发布的谈判文件不一致，请以“江苏政府采购网”发布的谈判文件为准。</w:t>
      </w:r>
      <w:r/>
    </w:p>
    <w:p>
      <w:pPr>
        <w:ind w:firstLine="420"/>
        <w:keepLines/>
        <w:keepNext/>
        <w:rPr>
          <w:rFonts w:ascii="Arial" w:hAnsi="Arial" w:eastAsia="黑体" w:cs="Arial"/>
          <w:sz w:val="28"/>
          <w:szCs w:val="28"/>
          <w:highlight w:val="none"/>
        </w:rPr>
        <w:outlineLvl w:val="3"/>
      </w:pPr>
      <w:r/>
      <w:bookmarkStart w:id="87" w:name="_Hlt26670360"/>
      <w:r/>
      <w:bookmarkEnd w:id="87"/>
      <w:r/>
      <w:bookmarkStart w:id="88" w:name="_Hlt26668975"/>
      <w:r/>
      <w:bookmarkEnd w:id="88"/>
      <w:r/>
      <w:bookmarkStart w:id="89" w:name="_Hlt26954838"/>
      <w:r/>
      <w:bookmarkEnd w:id="89"/>
      <w:r/>
      <w:bookmarkStart w:id="90" w:name="_Toc14577357"/>
      <w:r/>
      <w:bookmarkStart w:id="91" w:name="_Toc513029219"/>
      <w:r/>
      <w:bookmarkStart w:id="92" w:name="_Toc49090509"/>
      <w:r/>
      <w:bookmarkStart w:id="93" w:name="_Toc14577354"/>
      <w:r/>
      <w:bookmarkStart w:id="94" w:name="_Toc49090507"/>
      <w:r/>
      <w:bookmarkStart w:id="95" w:name="_Toc513029216"/>
      <w:r/>
      <w:bookmarkStart w:id="96" w:name="_Toc49090508"/>
      <w:r/>
      <w:bookmarkStart w:id="97" w:name="_Toc14577355"/>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、证明谈判响应标的符合谈判文件规定的文件</w:t>
      </w:r>
      <w:bookmarkEnd w:id="90"/>
      <w:r/>
      <w:bookmarkEnd w:id="91"/>
      <w:r/>
      <w:bookmarkEnd w:id="92"/>
      <w:r/>
      <w:bookmarkEnd w:id="93"/>
      <w:r/>
      <w:bookmarkEnd w:id="94"/>
      <w:r/>
      <w:bookmarkEnd w:id="95"/>
      <w:r/>
      <w:r/>
    </w:p>
    <w:p>
      <w:pPr>
        <w:spacing w:line="480" w:lineRule="exact"/>
        <w:rPr>
          <w:rFonts w:ascii="宋体" w:hAnsi="宋体"/>
          <w:sz w:val="24"/>
          <w:szCs w:val="24"/>
          <w:highlight w:val="none"/>
        </w:rPr>
      </w:pPr>
      <w:r>
        <w:rPr>
          <w:rFonts w:hint="eastAsia" w:ascii="宋体" w:hAnsi="宋体"/>
          <w:sz w:val="24"/>
          <w:szCs w:val="24"/>
          <w:highlight w:val="none"/>
        </w:rPr>
        <w:t xml:space="preserve">    10.1供应商应按照谈判文件要求提交证明文件，证明其及谈判响应标的符合谈判文件规定。</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10.2谈判文件对证明文件无明确形式要求的，证明文件可以以文字资料、图纸和数据等形式提交。</w:t>
      </w:r>
      <w:bookmarkEnd w:id="96"/>
      <w:r/>
      <w:bookmarkEnd w:id="97"/>
      <w:r/>
      <w:r/>
    </w:p>
    <w:p>
      <w:pPr>
        <w:ind w:firstLine="420"/>
        <w:keepLines/>
        <w:keepNex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、分项报价表</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1</w:t>
      </w:r>
      <w:r>
        <w:rPr>
          <w:rFonts w:hint="eastAsia" w:ascii="宋体" w:hAnsi="宋体"/>
          <w:bCs/>
          <w:sz w:val="24"/>
          <w:szCs w:val="21"/>
          <w:highlight w:val="none"/>
        </w:rPr>
        <w:t xml:space="preserve">.1</w:t>
      </w:r>
      <w:r>
        <w:rPr>
          <w:rFonts w:hint="eastAsia" w:ascii="宋体" w:hAnsi="宋体"/>
          <w:sz w:val="24"/>
          <w:szCs w:val="21"/>
          <w:highlight w:val="none"/>
        </w:rPr>
        <w:t xml:space="preserve">供应商应按照谈判文件规定格式填报分项报价表。</w:t>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bCs/>
          <w:sz w:val="24"/>
          <w:szCs w:val="21"/>
          <w:highlight w:val="none"/>
        </w:rPr>
        <w:t xml:space="preserve">谈判货币。响应文件中的单价和总价无特殊规定的采用人民币报价，以元为单位标注。</w:t>
      </w:r>
      <w:r>
        <w:rPr>
          <w:rFonts w:hint="eastAsia" w:ascii="宋体" w:hAnsi="宋体"/>
          <w:sz w:val="24"/>
          <w:szCs w:val="21"/>
          <w:highlight w:val="none"/>
        </w:rPr>
        <w:t xml:space="preserve">谈判文件中另有规定的按规定执行。</w:t>
      </w:r>
      <w:r/>
    </w:p>
    <w:p>
      <w:pPr>
        <w:ind w:firstLine="420"/>
        <w:keepLines/>
        <w:keepNext/>
        <w:rPr>
          <w:rFonts w:ascii="Arial" w:hAnsi="Arial" w:eastAsia="黑体" w:cs="Arial"/>
          <w:sz w:val="28"/>
          <w:szCs w:val="28"/>
          <w:highlight w:val="none"/>
        </w:rPr>
        <w:outlineLvl w:val="3"/>
      </w:pPr>
      <w:r/>
      <w:bookmarkStart w:id="98" w:name="_Hlt26954848"/>
      <w:r/>
      <w:bookmarkEnd w:id="98"/>
      <w:r/>
      <w:bookmarkStart w:id="99" w:name="_Hlt26670482"/>
      <w:r/>
      <w:bookmarkEnd w:id="99"/>
      <w:r/>
      <w:bookmarkStart w:id="100" w:name="_Hlt26954731"/>
      <w:r/>
      <w:bookmarkEnd w:id="100"/>
      <w:r/>
      <w:bookmarkStart w:id="101" w:name="_Hlt26954846"/>
      <w:r/>
      <w:bookmarkEnd w:id="101"/>
      <w:r/>
      <w:bookmarkStart w:id="102" w:name="_Hlt26670486"/>
      <w:r/>
      <w:bookmarkEnd w:id="102"/>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、技术要求响应及偏离表、商务要求响应及偏离表</w:t>
      </w:r>
      <w:r/>
    </w:p>
    <w:p>
      <w:pPr>
        <w:ind w:firstLine="480"/>
        <w:spacing w:line="500" w:lineRule="exact"/>
        <w:rPr>
          <w:rFonts w:ascii="宋体" w:hAnsi="Arial" w:cs="宋体"/>
          <w:sz w:val="24"/>
          <w:szCs w:val="21"/>
          <w:highlight w:val="none"/>
          <w:lang w:val="zh-CN"/>
        </w:rPr>
      </w:pPr>
      <w:r>
        <w:rPr>
          <w:rFonts w:ascii="宋体" w:hAnsi="Arial" w:cs="宋体"/>
          <w:bCs/>
          <w:sz w:val="24"/>
          <w:szCs w:val="21"/>
          <w:highlight w:val="none"/>
          <w:lang w:val="zh-CN"/>
        </w:rPr>
        <w:t xml:space="preserve">12.1</w:t>
      </w:r>
      <w:r>
        <w:rPr>
          <w:rFonts w:hint="eastAsia" w:ascii="宋体" w:hAnsi="Arial" w:cs="宋体"/>
          <w:sz w:val="24"/>
          <w:szCs w:val="21"/>
          <w:highlight w:val="none"/>
          <w:lang w:val="zh-CN"/>
        </w:rPr>
        <w:t xml:space="preserve">供应商需对谈判文件中的技术要求与商务要求逐项作出响应或偏离，并说明原因。</w:t>
      </w:r>
      <w:r/>
    </w:p>
    <w:p>
      <w:pPr>
        <w:ind w:firstLine="480"/>
        <w:spacing w:line="500" w:lineRule="exact"/>
        <w:rPr>
          <w:rFonts w:ascii="宋体" w:hAnsi="Arial" w:cs="宋体"/>
          <w:sz w:val="24"/>
          <w:szCs w:val="21"/>
          <w:highlight w:val="none"/>
          <w:lang w:val="zh-CN"/>
        </w:rPr>
      </w:pPr>
      <w:r>
        <w:rPr>
          <w:rFonts w:hint="eastAsia" w:ascii="宋体" w:hAnsi="Arial" w:cs="宋体"/>
          <w:sz w:val="24"/>
          <w:szCs w:val="21"/>
          <w:highlight w:val="none"/>
          <w:lang w:val="zh-CN"/>
        </w:rPr>
        <w:t xml:space="preserve">1</w:t>
      </w:r>
      <w:r>
        <w:rPr>
          <w:rFonts w:ascii="宋体" w:hAnsi="Arial" w:cs="宋体"/>
          <w:sz w:val="24"/>
          <w:szCs w:val="21"/>
          <w:highlight w:val="none"/>
          <w:lang w:val="zh-CN"/>
        </w:rPr>
        <w:t xml:space="preserve">2</w:t>
      </w:r>
      <w:r>
        <w:rPr>
          <w:rFonts w:hint="eastAsia" w:ascii="宋体" w:hAnsi="Arial" w:cs="宋体"/>
          <w:sz w:val="24"/>
          <w:szCs w:val="21"/>
          <w:highlight w:val="none"/>
          <w:lang w:val="zh-CN"/>
        </w:rPr>
        <w:t xml:space="preserve">.2供应商需按照谈判文件要求，在响应文件中提供与技术要求和商务要求相关的证明材料。</w:t>
      </w:r>
      <w:r/>
    </w:p>
    <w:p>
      <w:pPr>
        <w:ind w:firstLine="420"/>
        <w:keepLines/>
        <w:keepNex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、服务承诺、培训计划、人员安排及其他</w:t>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3</w:t>
      </w:r>
      <w:r>
        <w:rPr>
          <w:rFonts w:hint="eastAsia" w:ascii="宋体" w:hAnsi="宋体"/>
          <w:bCs/>
          <w:sz w:val="24"/>
          <w:szCs w:val="24"/>
          <w:highlight w:val="none"/>
        </w:rPr>
        <w:t xml:space="preserve">.1</w:t>
      </w:r>
      <w:r>
        <w:rPr>
          <w:rFonts w:hint="eastAsia" w:ascii="宋体" w:hAnsi="宋体"/>
          <w:sz w:val="24"/>
          <w:szCs w:val="24"/>
          <w:highlight w:val="none"/>
        </w:rPr>
        <w:t xml:space="preserve">供应商需根据谈判文件要求提供有关售后服务的管理制度，售后服务机构的分布情况，售后服务人员的数量、素质、技术水平及售后服务的反应能力等。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3</w:t>
      </w:r>
      <w:r>
        <w:rPr>
          <w:rFonts w:hint="eastAsia" w:ascii="宋体" w:hAnsi="宋体"/>
          <w:sz w:val="24"/>
          <w:szCs w:val="24"/>
          <w:highlight w:val="none"/>
        </w:rPr>
        <w:t xml:space="preserve">.2供应商需根据谈判文件要求提供培训计划。</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3</w:t>
      </w:r>
      <w:r>
        <w:rPr>
          <w:rFonts w:hint="eastAsia" w:ascii="宋体" w:hAnsi="宋体"/>
          <w:sz w:val="24"/>
          <w:szCs w:val="24"/>
          <w:highlight w:val="none"/>
        </w:rPr>
        <w:t xml:space="preserve">.3供应商需根据谈判文件要求提供</w:t>
      </w:r>
      <w:r>
        <w:rPr>
          <w:rFonts w:hint="eastAsia" w:ascii="宋体" w:hAnsi="Arial" w:cs="宋体"/>
          <w:sz w:val="24"/>
          <w:szCs w:val="21"/>
          <w:highlight w:val="none"/>
          <w:lang w:val="zh-CN"/>
        </w:rPr>
        <w:t xml:space="preserve">谈判响应标的的主要组成部分、功能设计、实现思路及关键技术等。</w:t>
      </w:r>
      <w:r/>
    </w:p>
    <w:p>
      <w:pPr>
        <w:ind w:firstLine="420"/>
        <w:keepLines/>
        <w:keepNext/>
        <w:rPr>
          <w:rFonts w:ascii="Arial" w:hAnsi="Arial" w:eastAsia="黑体" w:cs="Arial"/>
          <w:sz w:val="28"/>
          <w:szCs w:val="28"/>
          <w:highlight w:val="none"/>
        </w:rPr>
        <w:outlineLvl w:val="3"/>
      </w:pPr>
      <w:r/>
      <w:bookmarkStart w:id="103" w:name="_Toc14577359"/>
      <w:r/>
      <w:bookmarkStart w:id="104" w:name="_Toc49090510"/>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4</w:t>
      </w:r>
      <w:r>
        <w:rPr>
          <w:rFonts w:hint="eastAsia" w:ascii="Arial" w:hAnsi="Arial" w:eastAsia="黑体" w:cs="Arial"/>
          <w:sz w:val="28"/>
          <w:szCs w:val="28"/>
          <w:highlight w:val="none"/>
        </w:rPr>
        <w:t xml:space="preserve">、谈判响应函</w:t>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4</w:t>
      </w:r>
      <w:r>
        <w:rPr>
          <w:rFonts w:hint="eastAsia" w:ascii="宋体" w:hAnsi="宋体"/>
          <w:bCs/>
          <w:sz w:val="24"/>
          <w:szCs w:val="21"/>
          <w:highlight w:val="none"/>
        </w:rPr>
        <w:t xml:space="preserve">.1</w:t>
      </w:r>
      <w:r>
        <w:rPr>
          <w:rFonts w:hint="eastAsia" w:ascii="宋体" w:hAnsi="宋体"/>
          <w:sz w:val="24"/>
          <w:szCs w:val="21"/>
          <w:highlight w:val="none"/>
        </w:rPr>
        <w:t xml:space="preserve">供应商应按照谈判文件中提供的格式完整、正确填写谈判响应函。</w:t>
      </w:r>
      <w:bookmarkEnd w:id="103"/>
      <w:r/>
      <w:bookmarkEnd w:id="104"/>
      <w:r/>
      <w:r/>
    </w:p>
    <w:p>
      <w:pPr>
        <w:ind w:firstLine="420"/>
        <w:keepLines/>
        <w:keepNext/>
        <w:rPr>
          <w:rFonts w:ascii="Arial" w:hAnsi="Arial" w:eastAsia="黑体" w:cs="Arial"/>
          <w:sz w:val="28"/>
          <w:szCs w:val="28"/>
          <w:highlight w:val="none"/>
        </w:rPr>
        <w:outlineLvl w:val="3"/>
      </w:pPr>
      <w:r/>
      <w:bookmarkStart w:id="105" w:name="_Toc49090511"/>
      <w:r/>
      <w:bookmarkStart w:id="106" w:name="_Toc14577360"/>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、谈判有效期</w:t>
      </w:r>
      <w:bookmarkEnd w:id="105"/>
      <w:r/>
      <w:bookmarkEnd w:id="106"/>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5</w:t>
      </w:r>
      <w:r>
        <w:rPr>
          <w:rFonts w:hint="eastAsia" w:ascii="宋体" w:hAnsi="宋体"/>
          <w:bCs/>
          <w:sz w:val="24"/>
          <w:szCs w:val="21"/>
          <w:highlight w:val="none"/>
        </w:rPr>
        <w:t xml:space="preserve">.1谈判有效期为采购中心规定的提交响应文件截止之日后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。谈判有效期比规定短的将被视为非实质性响应谈判文件而予以拒绝。</w:t>
      </w:r>
      <w:r/>
    </w:p>
    <w:p>
      <w:pPr>
        <w:ind w:firstLine="420"/>
        <w:keepLines/>
        <w:keepNex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、谈判有效期的延长</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6</w:t>
      </w:r>
      <w:r>
        <w:rPr>
          <w:rFonts w:hint="eastAsia" w:ascii="宋体" w:hAnsi="宋体"/>
          <w:bCs/>
          <w:sz w:val="24"/>
          <w:szCs w:val="21"/>
          <w:highlight w:val="none"/>
        </w:rPr>
        <w:t xml:space="preserve">.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w:t>
      </w:r>
      <w:r>
        <w:rPr>
          <w:rFonts w:hint="eastAsia" w:ascii="宋体" w:hAnsi="宋体"/>
          <w:sz w:val="24"/>
          <w:szCs w:val="24"/>
          <w:highlight w:val="none"/>
        </w:rPr>
        <w:t xml:space="preserve">受谈判有效期约束的所有权利与义务均延长至新的有效期</w:t>
      </w:r>
      <w:r>
        <w:rPr>
          <w:rFonts w:hint="eastAsia" w:ascii="宋体" w:hAnsi="宋体"/>
          <w:bCs/>
          <w:sz w:val="24"/>
          <w:szCs w:val="21"/>
          <w:highlight w:val="none"/>
        </w:rPr>
        <w:t xml:space="preserve">。</w:t>
      </w:r>
      <w:r/>
    </w:p>
    <w:p>
      <w:pPr>
        <w:ind w:firstLine="482"/>
        <w:keepLines/>
        <w:keepNext/>
        <w:spacing w:before="156" w:after="156" w:line="360" w:lineRule="auto"/>
        <w:rPr>
          <w:rFonts w:ascii="Times New Roman" w:hAnsi="Times New Roman"/>
          <w:b/>
          <w:bCs/>
          <w:sz w:val="32"/>
          <w:szCs w:val="32"/>
          <w:highlight w:val="none"/>
        </w:rPr>
        <w:outlineLvl w:val="2"/>
      </w:pPr>
      <w:r/>
      <w:bookmarkStart w:id="107" w:name="_Hlt26954739"/>
      <w:r/>
      <w:bookmarkEnd w:id="107"/>
      <w:r/>
      <w:bookmarkStart w:id="108" w:name="_Hlt26954852"/>
      <w:r/>
      <w:bookmarkEnd w:id="108"/>
      <w:r/>
      <w:bookmarkStart w:id="109" w:name="_Toc120614217"/>
      <w:r/>
      <w:bookmarkStart w:id="110" w:name="_Toc16938540"/>
      <w:r/>
      <w:bookmarkStart w:id="111" w:name="_Toc20823296"/>
      <w:r/>
      <w:bookmarkStart w:id="112" w:name="_Toc513029224"/>
      <w:r>
        <w:rPr>
          <w:rFonts w:hint="eastAsia" w:ascii="Times New Roman" w:hAnsi="Times New Roman"/>
          <w:b/>
          <w:bCs/>
          <w:sz w:val="32"/>
          <w:szCs w:val="32"/>
          <w:highlight w:val="none"/>
        </w:rPr>
        <w:t xml:space="preserve">四、响应文件的递交</w:t>
      </w:r>
      <w:bookmarkEnd w:id="109"/>
      <w:r/>
      <w:bookmarkEnd w:id="110"/>
      <w:r/>
      <w:bookmarkEnd w:id="111"/>
      <w:r/>
      <w:bookmarkEnd w:id="112"/>
      <w:r/>
      <w:r/>
    </w:p>
    <w:p>
      <w:pPr>
        <w:ind w:firstLine="560"/>
        <w:keepLines/>
        <w:keepNext/>
        <w:rPr>
          <w:rFonts w:ascii="黑体" w:hAnsi="Arial" w:eastAsia="黑体" w:cs="Arial"/>
          <w:sz w:val="28"/>
          <w:szCs w:val="28"/>
          <w:highlight w:val="none"/>
        </w:rPr>
        <w:outlineLvl w:val="3"/>
      </w:pPr>
      <w:r/>
      <w:bookmarkStart w:id="113" w:name="_Toc16938541"/>
      <w:r/>
      <w:bookmarkStart w:id="114" w:name="_Toc513029225"/>
      <w:r/>
      <w:bookmarkStart w:id="115" w:name="_Toc20823297"/>
      <w:r/>
      <w:bookmarkStart w:id="116" w:name="_Toc462564084"/>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谈判</w:t>
      </w:r>
      <w:bookmarkEnd w:id="113"/>
      <w:r/>
      <w:bookmarkEnd w:id="114"/>
      <w:r/>
      <w:bookmarkEnd w:id="115"/>
      <w:r/>
      <w:bookmarkEnd w:id="116"/>
      <w:r>
        <w:rPr>
          <w:rFonts w:hint="eastAsia" w:ascii="黑体" w:hAnsi="Arial" w:eastAsia="黑体" w:cs="Arial"/>
          <w:sz w:val="28"/>
          <w:szCs w:val="28"/>
          <w:highlight w:val="none"/>
        </w:rPr>
        <w:t xml:space="preserve">响应文件的递交</w:t>
      </w:r>
      <w:r/>
    </w:p>
    <w:p>
      <w:pPr>
        <w:ind w:firstLine="600"/>
        <w:rPr>
          <w:rFonts w:ascii="宋体" w:hAnsi="宋体"/>
          <w:bCs/>
          <w:sz w:val="24"/>
          <w:szCs w:val="21"/>
          <w:highlight w:val="none"/>
        </w:rPr>
      </w:pPr>
      <w:r>
        <w:rPr>
          <w:rFonts w:hint="eastAsia" w:ascii="宋体" w:hAnsi="宋体"/>
          <w:bCs/>
          <w:sz w:val="24"/>
          <w:szCs w:val="21"/>
          <w:highlight w:val="none"/>
        </w:rPr>
        <w:t xml:space="preserve">17.1供应商应当按照《操作手册》规定，在提交响应文件截止时间前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17" w:name="_Toc513029226"/>
      <w:r/>
      <w:bookmarkStart w:id="118" w:name="_Toc20823298"/>
      <w:r/>
      <w:bookmarkStart w:id="119" w:name="_Toc16938542"/>
      <w:r/>
      <w:r/>
    </w:p>
    <w:p>
      <w:pPr>
        <w:ind w:firstLine="560"/>
        <w:keepLines/>
        <w:keepNext/>
        <w:spacing w:before="280" w:after="290" w:line="376" w:lineRule="auto"/>
        <w:rPr>
          <w:rFonts w:ascii="宋体" w:hAnsi="宋体" w:eastAsia="黑体" w:cs="Arial"/>
          <w:bCs/>
          <w:sz w:val="24"/>
          <w:szCs w:val="28"/>
          <w:highlight w:val="none"/>
        </w:rPr>
        <w:outlineLvl w:val="3"/>
      </w:pPr>
      <w:r>
        <w:rPr>
          <w:rFonts w:ascii="Arial" w:hAnsi="Arial" w:eastAsia="黑体" w:cs="Arial"/>
          <w:bCs/>
          <w:sz w:val="28"/>
          <w:szCs w:val="28"/>
          <w:highlight w:val="none"/>
        </w:rPr>
        <w:t xml:space="preserve">18</w:t>
      </w:r>
      <w:r>
        <w:rPr>
          <w:rFonts w:hint="eastAsia" w:ascii="Arial" w:hAnsi="Arial" w:eastAsia="黑体" w:cs="Arial"/>
          <w:bCs/>
          <w:sz w:val="28"/>
          <w:szCs w:val="28"/>
          <w:highlight w:val="none"/>
        </w:rPr>
        <w:t xml:space="preserve">、提交响应文件截止时间</w:t>
      </w:r>
      <w:bookmarkEnd w:id="117"/>
      <w:r/>
      <w:bookmarkEnd w:id="118"/>
      <w:r/>
      <w:bookmarkEnd w:id="119"/>
      <w:r/>
      <w:r/>
    </w:p>
    <w:p>
      <w:pPr>
        <w:ind w:firstLine="480"/>
        <w:spacing w:line="500" w:lineRule="exact"/>
        <w:rPr>
          <w:rFonts w:ascii="宋体" w:hAnsi="宋体"/>
          <w:bCs/>
          <w:sz w:val="24"/>
          <w:szCs w:val="21"/>
          <w:highlight w:val="none"/>
        </w:rPr>
      </w:pPr>
      <w:r>
        <w:rPr>
          <w:rFonts w:ascii="宋体" w:hAnsi="宋体"/>
          <w:sz w:val="24"/>
          <w:szCs w:val="21"/>
          <w:highlight w:val="none"/>
        </w:rPr>
        <w:t xml:space="preserve">18.</w:t>
      </w:r>
      <w:r>
        <w:rPr>
          <w:rFonts w:hint="eastAsia" w:ascii="宋体" w:hAnsi="宋体"/>
          <w:sz w:val="24"/>
          <w:szCs w:val="21"/>
          <w:highlight w:val="none"/>
        </w:rPr>
        <w:t xml:space="preserve">1</w:t>
      </w:r>
      <w:r>
        <w:rPr>
          <w:rFonts w:hint="eastAsia" w:ascii="宋体" w:hAnsi="宋体"/>
          <w:bCs/>
          <w:sz w:val="24"/>
          <w:szCs w:val="21"/>
          <w:highlight w:val="none"/>
        </w:rPr>
        <w:t xml:space="preserve">供应商上传电子响应文件的时间不得迟于谈判公告中规定的提交响应文件截止时间。</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供应商应充分考虑到网络环境、网络带宽等风险因素，如因供应商自身原因造成的电子响应文件上传不成功的按照本谈判文件第二章第25.3.2条规定做无效响应处理。</w:t>
      </w:r>
      <w:r/>
    </w:p>
    <w:p>
      <w:pPr>
        <w:ind w:firstLine="480"/>
        <w:spacing w:line="500" w:lineRule="exact"/>
        <w:rPr>
          <w:rFonts w:ascii="宋体" w:hAnsi="宋体"/>
          <w:bCs/>
          <w:sz w:val="24"/>
          <w:szCs w:val="21"/>
          <w:highlight w:val="none"/>
        </w:rPr>
      </w:pPr>
      <w:r>
        <w:rPr>
          <w:rFonts w:ascii="宋体" w:hAnsi="宋体"/>
          <w:sz w:val="24"/>
          <w:szCs w:val="21"/>
          <w:highlight w:val="none"/>
        </w:rPr>
        <w:t xml:space="preserve">18.</w:t>
      </w:r>
      <w:r>
        <w:rPr>
          <w:rFonts w:hint="eastAsia" w:ascii="宋体" w:hAnsi="宋体"/>
          <w:sz w:val="24"/>
          <w:szCs w:val="21"/>
          <w:highlight w:val="none"/>
        </w:rPr>
        <w:t xml:space="preserve">2</w:t>
      </w:r>
      <w:r>
        <w:rPr>
          <w:rFonts w:hint="eastAsia" w:ascii="宋体" w:hAnsi="宋体"/>
          <w:bCs/>
          <w:sz w:val="24"/>
          <w:szCs w:val="21"/>
          <w:highlight w:val="none"/>
        </w:rPr>
        <w:t xml:space="preserve"> 采购中心可以按照规定，通过修改谈判文件酌情延长提交响应文件截止日期，在此情况下，供应商的所有权利和义务以及供应商受制的截止日期均应以延长后新的截止日期为准。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highlight w:val="none"/>
        </w:rPr>
        <w:outlineLvl w:val="3"/>
      </w:pPr>
      <w:r/>
      <w:bookmarkStart w:id="120" w:name="_Toc16938543"/>
      <w:r/>
      <w:bookmarkStart w:id="121" w:name="_Toc513029227"/>
      <w:r/>
      <w:bookmarkStart w:id="122" w:name="_Toc20823299"/>
      <w:r>
        <w:rPr>
          <w:rFonts w:ascii="Arial" w:hAnsi="Arial" w:eastAsia="黑体" w:cs="Arial"/>
          <w:sz w:val="28"/>
          <w:szCs w:val="28"/>
          <w:highlight w:val="none"/>
        </w:rPr>
        <w:t xml:space="preserve">19</w:t>
      </w:r>
      <w:r>
        <w:rPr>
          <w:rFonts w:hint="eastAsia" w:ascii="Arial" w:hAnsi="Arial" w:eastAsia="黑体" w:cs="Arial"/>
          <w:sz w:val="28"/>
          <w:szCs w:val="28"/>
          <w:highlight w:val="none"/>
        </w:rPr>
        <w:t xml:space="preserve">、响应文件</w:t>
      </w:r>
      <w:bookmarkEnd w:id="120"/>
      <w:r/>
      <w:bookmarkEnd w:id="121"/>
      <w:r/>
      <w:bookmarkEnd w:id="122"/>
      <w:r>
        <w:rPr>
          <w:rFonts w:hint="eastAsia" w:ascii="Arial" w:hAnsi="Arial" w:eastAsia="黑体" w:cs="Arial"/>
          <w:sz w:val="28"/>
          <w:szCs w:val="28"/>
          <w:highlight w:val="none"/>
        </w:rPr>
        <w:t xml:space="preserve">的拒收</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19.1 采购中心拒绝接收在其规定的提交响应文件截止时间后上传的任何电子响应文件。</w:t>
      </w:r>
      <w:r/>
    </w:p>
    <w:p>
      <w:pPr>
        <w:ind w:firstLine="420"/>
        <w:keepLines/>
        <w:keepNext/>
        <w:rPr>
          <w:rFonts w:ascii="Arial" w:hAnsi="Arial" w:eastAsia="黑体" w:cs="Arial"/>
          <w:sz w:val="28"/>
          <w:szCs w:val="28"/>
          <w:highlight w:val="none"/>
        </w:rPr>
        <w:outlineLvl w:val="3"/>
      </w:pPr>
      <w:r/>
      <w:bookmarkStart w:id="123" w:name="_Toc513029228"/>
      <w:r/>
      <w:bookmarkStart w:id="124" w:name="_Toc20823300"/>
      <w:r/>
      <w:bookmarkStart w:id="125"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、响应文件的撤回和修改</w:t>
      </w:r>
      <w:bookmarkEnd w:id="123"/>
      <w:r/>
      <w:bookmarkEnd w:id="124"/>
      <w:r/>
      <w:bookmarkEnd w:id="125"/>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20.1响应文件的撤回</w:t>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20.1.1 电子响应文件的撤回</w:t>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截止时间前，撤回其电子响应文件，具体操作方法见《操作手册》。</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20.1.</w:t>
      </w:r>
      <w:r>
        <w:rPr>
          <w:rFonts w:ascii="宋体" w:hAnsi="宋体"/>
          <w:sz w:val="24"/>
          <w:szCs w:val="24"/>
          <w:highlight w:val="none"/>
        </w:rPr>
        <w:t xml:space="preserve">2</w:t>
      </w:r>
      <w:r>
        <w:rPr>
          <w:rFonts w:hint="eastAsia" w:ascii="宋体" w:hAnsi="宋体"/>
          <w:sz w:val="24"/>
          <w:szCs w:val="24"/>
          <w:highlight w:val="none"/>
        </w:rPr>
        <w:t xml:space="preserve">供应商撤回电子响应文件，则认为其不再参与本项目谈判活动。</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20.2响应文件的修改</w:t>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截止时间前，对其电子响应文件进行修改，具体操作方法见《操作手册》。</w:t>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20.3</w:t>
      </w:r>
      <w:r>
        <w:rPr>
          <w:rFonts w:hint="eastAsia" w:ascii="宋体" w:hAnsi="宋体"/>
          <w:bCs/>
          <w:sz w:val="24"/>
          <w:szCs w:val="21"/>
          <w:highlight w:val="none"/>
        </w:rPr>
        <w:t xml:space="preserve"> 在提交响应文件截止时间之后，供应商不得对其电子响应文件作任何修改。</w:t>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20.4</w:t>
      </w:r>
      <w:r>
        <w:rPr>
          <w:rFonts w:hint="eastAsia" w:ascii="宋体" w:hAnsi="宋体"/>
          <w:bCs/>
          <w:sz w:val="24"/>
          <w:szCs w:val="21"/>
          <w:highlight w:val="none"/>
        </w:rPr>
        <w:t xml:space="preserve"> 在提交响应文件截止时间至谈判文件中规定的谈判有效期满之间的这段时间内，供应商不得撤回其响应文件。</w:t>
      </w:r>
      <w:r/>
    </w:p>
    <w:p>
      <w:pPr>
        <w:ind w:firstLine="482"/>
        <w:keepLines/>
        <w:keepNext/>
        <w:spacing w:before="156" w:after="156" w:line="360" w:lineRule="auto"/>
        <w:rPr>
          <w:rFonts w:ascii="Times New Roman" w:hAnsi="Times New Roman"/>
          <w:b/>
          <w:bCs/>
          <w:sz w:val="32"/>
          <w:szCs w:val="32"/>
          <w:highlight w:val="none"/>
        </w:rPr>
        <w:outlineLvl w:val="2"/>
      </w:pPr>
      <w:r/>
      <w:bookmarkStart w:id="126" w:name="_Toc120614218"/>
      <w:r/>
      <w:bookmarkStart w:id="127" w:name="_Toc16938545"/>
      <w:r/>
      <w:bookmarkStart w:id="128" w:name="_Toc20823301"/>
      <w:r/>
      <w:bookmarkStart w:id="129" w:name="_Toc513029229"/>
      <w:r>
        <w:rPr>
          <w:rFonts w:hint="eastAsia" w:ascii="Times New Roman" w:hAnsi="Times New Roman"/>
          <w:b/>
          <w:bCs/>
          <w:sz w:val="32"/>
          <w:szCs w:val="32"/>
          <w:highlight w:val="none"/>
        </w:rPr>
        <w:t xml:space="preserve">五、响应文件的解密与评审</w:t>
      </w:r>
      <w:bookmarkEnd w:id="126"/>
      <w:r/>
      <w:bookmarkEnd w:id="127"/>
      <w:r/>
      <w:bookmarkEnd w:id="128"/>
      <w:r/>
      <w:bookmarkEnd w:id="129"/>
      <w:r/>
      <w:r/>
    </w:p>
    <w:p>
      <w:pPr>
        <w:ind w:firstLine="420"/>
        <w:keepLines/>
        <w:keepNext/>
        <w:rPr>
          <w:rFonts w:ascii="Arial" w:hAnsi="Arial" w:eastAsia="黑体" w:cs="Arial"/>
          <w:sz w:val="28"/>
          <w:szCs w:val="28"/>
          <w:highlight w:val="none"/>
        </w:rPr>
        <w:outlineLvl w:val="3"/>
      </w:pPr>
      <w:r/>
      <w:bookmarkStart w:id="130" w:name="_Toc20823302"/>
      <w:r/>
      <w:bookmarkStart w:id="131" w:name="_Toc513029230"/>
      <w:r/>
      <w:bookmarkStart w:id="132" w:name="_Toc16938546"/>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w:t>
      </w:r>
      <w:bookmarkEnd w:id="130"/>
      <w:r/>
      <w:bookmarkEnd w:id="131"/>
      <w:r/>
      <w:bookmarkEnd w:id="132"/>
      <w:r>
        <w:rPr>
          <w:rFonts w:hint="eastAsia" w:ascii="Arial" w:hAnsi="Arial" w:eastAsia="黑体" w:cs="Arial"/>
          <w:sz w:val="28"/>
          <w:szCs w:val="28"/>
          <w:highlight w:val="none"/>
        </w:rPr>
        <w:t xml:space="preserve">响应文件解密</w:t>
      </w:r>
      <w:r/>
    </w:p>
    <w:p>
      <w:pPr>
        <w:ind w:firstLine="360"/>
        <w:rPr>
          <w:rFonts w:ascii="Times New Roman" w:hAnsi="Times New Roman"/>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sz w:val="24"/>
          <w:szCs w:val="24"/>
          <w:highlight w:val="none"/>
        </w:rPr>
        <w:t xml:space="preserve">供应商应当按照《操作手册》规定，在苏采云系统规定的时间内对谈判响应文件进行解密。</w:t>
      </w:r>
      <w:r/>
    </w:p>
    <w:p>
      <w:pPr>
        <w:ind w:firstLine="420"/>
        <w:keepLines/>
        <w:keepNext/>
        <w:rPr>
          <w:rFonts w:ascii="Arial" w:hAnsi="Arial" w:eastAsia="黑体" w:cs="Arial"/>
          <w:sz w:val="28"/>
          <w:szCs w:val="28"/>
          <w:highlight w:val="none"/>
        </w:rPr>
        <w:outlineLvl w:val="3"/>
      </w:pPr>
      <w:r/>
      <w:bookmarkStart w:id="133" w:name="_Toc20823303"/>
      <w:r/>
      <w:bookmarkStart w:id="134" w:name="_Toc16938547"/>
      <w:r/>
      <w:bookmarkStart w:id="135" w:name="_Toc513029231"/>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、谈判小组</w:t>
      </w:r>
      <w:r/>
    </w:p>
    <w:p>
      <w:pPr>
        <w:spacing w:line="480" w:lineRule="exact"/>
        <w:rPr>
          <w:rFonts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2</w:t>
      </w:r>
      <w:r>
        <w:rPr>
          <w:rFonts w:hint="eastAsia" w:ascii="宋体" w:hAnsi="宋体"/>
          <w:sz w:val="24"/>
          <w:szCs w:val="24"/>
          <w:highlight w:val="none"/>
        </w:rPr>
        <w:t xml:space="preserve">.1采购中心将组织谈判小组对响应文件进行评审。谈判小组由采购人代表和有关技术、经济等方面的专家组成，且人员构成符合政府采购有关规定。</w:t>
      </w:r>
      <w:r/>
    </w:p>
    <w:p>
      <w:pPr>
        <w:spacing w:line="480" w:lineRule="exact"/>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2</w:t>
      </w:r>
      <w:r>
        <w:rPr>
          <w:rFonts w:hint="eastAsia" w:ascii="宋体" w:hAnsi="宋体"/>
          <w:sz w:val="24"/>
          <w:szCs w:val="24"/>
          <w:highlight w:val="none"/>
        </w:rPr>
        <w:t xml:space="preserve">.2谈判小组独立工作，负责评审所有响应文件并确定成交侯选人。</w:t>
      </w:r>
      <w:r/>
    </w:p>
    <w:p>
      <w:pPr>
        <w:ind w:firstLine="420"/>
        <w:keepLines/>
        <w:keepNext/>
        <w:rPr>
          <w:rFonts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3</w:t>
      </w:r>
      <w:r>
        <w:rPr>
          <w:rFonts w:hint="eastAsia" w:ascii="黑体" w:hAnsi="Arial" w:eastAsia="黑体" w:cs="Arial"/>
          <w:sz w:val="28"/>
          <w:szCs w:val="28"/>
          <w:highlight w:val="none"/>
        </w:rPr>
        <w:t xml:space="preserve">、评审过程的保密与公正</w:t>
      </w:r>
      <w:bookmarkEnd w:id="133"/>
      <w:r/>
      <w:bookmarkEnd w:id="134"/>
      <w:r/>
      <w:bookmarkEnd w:id="135"/>
      <w:r/>
      <w:r/>
    </w:p>
    <w:p>
      <w:pPr>
        <w:ind w:firstLine="480"/>
        <w:spacing w:line="500" w:lineRule="exact"/>
        <w:rPr>
          <w:rFonts w:ascii="宋体" w:hAnsi="宋体"/>
          <w:bCs/>
          <w:sz w:val="24"/>
          <w:szCs w:val="21"/>
          <w:highlight w:val="none"/>
        </w:rPr>
      </w:pPr>
      <w:r>
        <w:rPr>
          <w:rFonts w:ascii="宋体" w:hAnsi="宋体"/>
          <w:sz w:val="24"/>
          <w:szCs w:val="21"/>
          <w:highlight w:val="none"/>
        </w:rPr>
        <w:t xml:space="preserve">23</w:t>
      </w:r>
      <w:r>
        <w:rPr>
          <w:rFonts w:hint="eastAsia" w:ascii="宋体" w:hAnsi="宋体"/>
          <w:sz w:val="24"/>
          <w:szCs w:val="21"/>
          <w:highlight w:val="none"/>
        </w:rPr>
        <w:t xml:space="preserve">.1</w:t>
      </w:r>
      <w:r>
        <w:rPr>
          <w:rFonts w:hint="eastAsia" w:ascii="宋体" w:hAnsi="宋体"/>
          <w:bCs/>
          <w:sz w:val="24"/>
          <w:szCs w:val="21"/>
          <w:highlight w:val="none"/>
        </w:rPr>
        <w:t xml:space="preserve">谈判小组、采购人和采购中心工作人员、相关监督人员等与评审工作有关的人员，对评审情况以及在评审过程中获悉的国家秘密、商业秘密负有保密责任。</w:t>
      </w:r>
      <w:r/>
    </w:p>
    <w:p>
      <w:pPr>
        <w:ind w:firstLine="480"/>
        <w:spacing w:line="480" w:lineRule="exact"/>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在评审过程中，供应商不得以任何行为影响谈判评审过程，否则其响应文件将被作为无效响应文件。</w:t>
      </w:r>
      <w:r/>
    </w:p>
    <w:p>
      <w:pPr>
        <w:ind w:firstLine="480"/>
        <w:spacing w:line="480" w:lineRule="exact"/>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.3</w:t>
      </w:r>
      <w:r>
        <w:rPr>
          <w:rFonts w:hint="eastAsia" w:ascii="宋体" w:hAnsi="宋体"/>
          <w:sz w:val="24"/>
          <w:szCs w:val="24"/>
          <w:highlight w:val="none"/>
        </w:rPr>
        <w:t xml:space="preserve">在项目评审期间，采购中心将设专门人员与供应商联系。</w:t>
      </w:r>
      <w:r/>
    </w:p>
    <w:p>
      <w:pPr>
        <w:ind w:firstLine="480"/>
        <w:spacing w:line="480" w:lineRule="exact"/>
        <w:rPr>
          <w:rFonts w:ascii="宋体" w:hAnsi="宋体"/>
          <w:sz w:val="24"/>
          <w:szCs w:val="24"/>
          <w:highlight w:val="none"/>
        </w:rPr>
      </w:pPr>
      <w:r>
        <w:rPr>
          <w:rFonts w:ascii="宋体" w:hAnsi="宋体"/>
          <w:sz w:val="24"/>
          <w:szCs w:val="24"/>
          <w:highlight w:val="none"/>
        </w:rPr>
        <w:t xml:space="preserve">23</w:t>
      </w:r>
      <w:r>
        <w:rPr>
          <w:rFonts w:hint="eastAsia" w:ascii="宋体" w:hAnsi="宋体"/>
          <w:sz w:val="24"/>
          <w:szCs w:val="24"/>
          <w:highlight w:val="none"/>
        </w:rPr>
        <w:t xml:space="preserve">.4 采购中心和谈判小组不向未成交的供应商解释未成交原因，也不公布评审过程中的相关细节。</w:t>
      </w:r>
      <w:r/>
    </w:p>
    <w:p>
      <w:pPr>
        <w:ind w:firstLine="420"/>
        <w:keepLines/>
        <w:keepNext/>
        <w:rPr>
          <w:rFonts w:ascii="Arial" w:hAnsi="Arial" w:eastAsia="黑体" w:cs="Arial"/>
          <w:sz w:val="28"/>
          <w:szCs w:val="28"/>
          <w:highlight w:val="none"/>
        </w:rPr>
        <w:outlineLvl w:val="3"/>
      </w:pPr>
      <w:r/>
      <w:bookmarkStart w:id="136" w:name="_Toc20823304"/>
      <w:r/>
      <w:bookmarkStart w:id="137" w:name="_Toc16938548"/>
      <w:r/>
      <w:bookmarkStart w:id="138" w:name="_Toc513029232"/>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4</w:t>
      </w:r>
      <w:r>
        <w:rPr>
          <w:rFonts w:hint="eastAsia" w:ascii="Arial" w:hAnsi="Arial" w:eastAsia="黑体" w:cs="Arial"/>
          <w:sz w:val="28"/>
          <w:szCs w:val="28"/>
          <w:highlight w:val="none"/>
        </w:rPr>
        <w:t xml:space="preserve">、评审过程中的的澄清</w:t>
      </w:r>
      <w:bookmarkEnd w:id="136"/>
      <w:r/>
      <w:bookmarkEnd w:id="137"/>
      <w:r/>
      <w:bookmarkEnd w:id="138"/>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谈判小组并非对每个供应商都作澄清要求。</w:t>
      </w:r>
      <w:r/>
    </w:p>
    <w:p>
      <w:pPr>
        <w:spacing w:line="480" w:lineRule="exact"/>
        <w:rPr>
          <w:rFonts w:ascii="宋体" w:hAnsi="宋体" w:cs="宋体"/>
          <w:sz w:val="24"/>
          <w:szCs w:val="24"/>
          <w:highlight w:val="none"/>
        </w:rPr>
      </w:pPr>
      <w:r>
        <w:rPr>
          <w:rFonts w:hint="eastAsia" w:ascii="宋体" w:hAnsi="宋体" w:cs="宋体"/>
          <w:sz w:val="24"/>
          <w:szCs w:val="24"/>
          <w:highlight w:val="none"/>
        </w:rPr>
        <w:t xml:space="preserve">    24.2需要供应商进行澄清、说明和更正的，谈判小组将通过</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w:t>
      </w:r>
      <w:r/>
    </w:p>
    <w:p>
      <w:pPr>
        <w:spacing w:line="480" w:lineRule="exact"/>
        <w:rPr>
          <w:rFonts w:ascii="宋体" w:hAnsi="宋体"/>
          <w:sz w:val="24"/>
          <w:szCs w:val="24"/>
          <w:highlight w:val="none"/>
        </w:rPr>
      </w:pPr>
      <w:r>
        <w:rPr>
          <w:rFonts w:hint="eastAsia" w:ascii="宋体" w:hAnsi="宋体"/>
          <w:sz w:val="24"/>
          <w:szCs w:val="24"/>
          <w:highlight w:val="none"/>
        </w:rPr>
        <w:t xml:space="preserve">    24.3 接到谈判小组澄清、说明和更正要求的供应商如未按规定做出澄清、说明和 更正，其风险由供应商自行承担。</w:t>
      </w:r>
      <w:r/>
    </w:p>
    <w:p>
      <w:pPr>
        <w:ind w:firstLine="420"/>
        <w:keepLines/>
        <w:keepNext/>
        <w:rPr>
          <w:rFonts w:ascii="Arial" w:hAnsi="Arial" w:eastAsia="黑体" w:cs="Arial"/>
          <w:sz w:val="28"/>
          <w:szCs w:val="28"/>
          <w:highlight w:val="none"/>
        </w:rPr>
        <w:outlineLvl w:val="3"/>
      </w:pPr>
      <w:r/>
      <w:bookmarkStart w:id="139" w:name="_Toc513029233"/>
      <w:r/>
      <w:bookmarkStart w:id="140" w:name="_Toc16938549"/>
      <w:r/>
      <w:bookmarkStart w:id="141" w:name="_Toc20823305"/>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、对响应文件的审</w:t>
      </w:r>
      <w:bookmarkEnd w:id="139"/>
      <w:r/>
      <w:bookmarkEnd w:id="140"/>
      <w:r/>
      <w:bookmarkEnd w:id="141"/>
      <w:r>
        <w:rPr>
          <w:rFonts w:hint="eastAsia" w:ascii="Arial" w:hAnsi="Arial" w:eastAsia="黑体" w:cs="Arial"/>
          <w:sz w:val="28"/>
          <w:szCs w:val="28"/>
          <w:highlight w:val="none"/>
        </w:rPr>
        <w:t xml:space="preserve">查</w:t>
      </w:r>
      <w:r/>
    </w:p>
    <w:p>
      <w:pPr>
        <w:ind w:firstLine="480"/>
        <w:spacing w:line="460" w:lineRule="exact"/>
        <w:rPr>
          <w:rFonts w:ascii="宋体" w:hAnsi="宋体"/>
          <w:bCs/>
          <w:sz w:val="24"/>
          <w:szCs w:val="21"/>
          <w:highlight w:val="none"/>
        </w:rPr>
      </w:pPr>
      <w:r>
        <w:rPr>
          <w:rFonts w:hint="eastAsia" w:ascii="宋体" w:hAnsi="宋体"/>
          <w:sz w:val="24"/>
          <w:szCs w:val="21"/>
          <w:highlight w:val="none"/>
        </w:rPr>
        <w:t xml:space="preserve">25.1</w:t>
      </w:r>
      <w:r>
        <w:rPr>
          <w:rFonts w:hint="eastAsia" w:ascii="宋体" w:hAnsi="宋体"/>
          <w:bCs/>
          <w:sz w:val="24"/>
          <w:szCs w:val="21"/>
          <w:highlight w:val="none"/>
        </w:rPr>
        <w:t xml:space="preserve">响应文件审查分为资格审查和符合性审查。</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25.1.1 资格审查：由谈判小组依据法律法规和谈判文件的规定，对响应文件中的资格证明文件进行审查，以确定供应商是否具备参加谈判的资格。</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谈判小组在进行资格审查的同时，将在“信用中国”网站（www.creditchina.gov.cn）查询供应商的信用记录，以确定供应商是否具备谈判资格,查询结果留存并归档。</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25.1.2 符合性审查：依据谈判文件的规定，由谈判小组从响应文件的有效性、完整性和对谈判文件的响应程度进行审查，以确定是否对谈判文件的实质性要求作出响应。</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25.1.3 未通过资格审查或符合性审查的供应商，谈判小组将在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中告知未通过资格审查或符合性审查的原因，评审结束后，谈判小组将不再告知未通过资格审查或符合性审查的原因。</w:t>
      </w:r>
      <w:r/>
    </w:p>
    <w:p>
      <w:pPr>
        <w:ind w:firstLine="480"/>
        <w:spacing w:line="480" w:lineRule="exact"/>
        <w:rPr>
          <w:rFonts w:ascii="宋体" w:hAnsi="宋体"/>
          <w:sz w:val="24"/>
          <w:szCs w:val="24"/>
          <w:highlight w:val="none"/>
        </w:rPr>
      </w:pPr>
      <w:r>
        <w:rPr>
          <w:rFonts w:hint="eastAsia" w:ascii="宋体" w:hAnsi="宋体"/>
          <w:sz w:val="24"/>
          <w:szCs w:val="21"/>
          <w:highlight w:val="none"/>
        </w:rPr>
        <w:t xml:space="preserve">25.2</w:t>
      </w:r>
      <w:r>
        <w:rPr>
          <w:rFonts w:hint="eastAsia" w:ascii="宋体" w:hAnsi="宋体"/>
          <w:sz w:val="24"/>
          <w:szCs w:val="24"/>
          <w:highlight w:val="none"/>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25.3未实质性响应谈判文件的情形</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25.3.1供应商在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25.3.2供应商未按照谈判文件要求上传电子响应文件的。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25.3.3供应商同一</w:t>
      </w:r>
      <w:r>
        <w:rPr>
          <w:rFonts w:ascii="宋体" w:hAnsi="宋体"/>
          <w:bCs/>
          <w:sz w:val="24"/>
          <w:szCs w:val="21"/>
          <w:highlight w:val="none"/>
        </w:rPr>
        <w:t xml:space="preserve">采购包</w:t>
      </w:r>
      <w:r>
        <w:rPr>
          <w:rFonts w:hint="eastAsia" w:ascii="宋体" w:hAnsi="宋体"/>
          <w:bCs/>
          <w:sz w:val="24"/>
          <w:szCs w:val="21"/>
          <w:highlight w:val="none"/>
        </w:rPr>
        <w:t xml:space="preserve">提交两个（含两个）以上不同的响应文件或者最后报价的。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25.3.4供应商不具备谈判文件中规定资格要求的。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25.3.5供应商的最后报价超过了采购预算。</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25.3.6不符合谈判文件中规定的实质性要求的</w:t>
      </w:r>
      <w:r>
        <w:rPr>
          <w:rFonts w:hint="eastAsia" w:ascii="宋体" w:hAnsi="宋体"/>
          <w:b/>
          <w:bCs/>
          <w:sz w:val="24"/>
          <w:szCs w:val="21"/>
          <w:highlight w:val="none"/>
        </w:rPr>
        <w:t xml:space="preserve">（本谈判文件中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或加*号条款为实质性要求）</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25.3.8 响应文件含有采购人不能接受的附加条件的。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25.3.9 如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25.3.10响应文件未按照谈判文件要求加盖CA电子公章的。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25.4未实质性响应谈判文件的响应文件按无效响应处理。</w:t>
      </w:r>
      <w:r/>
    </w:p>
    <w:p>
      <w:pPr>
        <w:ind w:firstLine="480"/>
        <w:spacing w:line="460" w:lineRule="exact"/>
        <w:rPr>
          <w:rFonts w:ascii="宋体" w:hAnsi="宋体"/>
          <w:bCs/>
          <w:sz w:val="24"/>
          <w:szCs w:val="21"/>
          <w:highlight w:val="none"/>
        </w:rPr>
      </w:pPr>
      <w:r>
        <w:rPr>
          <w:rFonts w:hint="eastAsia" w:ascii="宋体" w:hAnsi="宋体"/>
          <w:sz w:val="24"/>
          <w:szCs w:val="21"/>
          <w:highlight w:val="none"/>
        </w:rPr>
        <w:t xml:space="preserve">25.5</w:t>
      </w:r>
      <w:r>
        <w:rPr>
          <w:rFonts w:hint="eastAsia" w:ascii="宋体" w:hAnsi="宋体"/>
          <w:bCs/>
          <w:sz w:val="24"/>
          <w:szCs w:val="21"/>
          <w:highlight w:val="none"/>
        </w:rPr>
        <w:t xml:space="preserve">如果响应文件实质上没有响应谈判文件的要求，谈判小组将予以拒绝，供应商不得通过修改或撤销不合要求的偏离或保留而使其成为实质性响应的文件。</w:t>
      </w:r>
      <w:r/>
    </w:p>
    <w:p>
      <w:pPr>
        <w:ind w:firstLine="480"/>
        <w:spacing w:line="460" w:lineRule="exact"/>
        <w:rPr>
          <w:rFonts w:ascii="宋体" w:hAnsi="宋体"/>
          <w:sz w:val="24"/>
          <w:szCs w:val="21"/>
          <w:highlight w:val="none"/>
        </w:rPr>
      </w:pPr>
      <w:r/>
      <w:bookmarkStart w:id="142" w:name="_Toc20823306"/>
      <w:r/>
      <w:bookmarkStart w:id="143" w:name="_Toc16938550"/>
      <w:r/>
      <w:bookmarkStart w:id="144" w:name="_Toc513029234"/>
      <w:r>
        <w:rPr>
          <w:rFonts w:hint="eastAsia" w:ascii="宋体" w:hAnsi="宋体"/>
          <w:sz w:val="24"/>
          <w:szCs w:val="21"/>
          <w:highlight w:val="none"/>
        </w:rPr>
        <w:t xml:space="preserve">25.6供应商在项目评审全过程中应保持通讯畅通，并安排专人与采购中心及谈判小组联系。</w:t>
      </w:r>
      <w:r/>
    </w:p>
    <w:p>
      <w:pPr>
        <w:ind w:firstLine="420"/>
        <w:keepLines/>
        <w:keepNex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w:t>
      </w:r>
      <w:bookmarkEnd w:id="142"/>
      <w:r/>
      <w:bookmarkEnd w:id="143"/>
      <w:r/>
      <w:bookmarkEnd w:id="144"/>
      <w:r>
        <w:rPr>
          <w:rFonts w:hint="eastAsia" w:ascii="Arial" w:hAnsi="Arial" w:eastAsia="黑体" w:cs="Arial"/>
          <w:sz w:val="28"/>
          <w:szCs w:val="28"/>
          <w:highlight w:val="none"/>
        </w:rPr>
        <w:t xml:space="preserve">谈判程序及成交原则</w:t>
      </w:r>
      <w:r/>
    </w:p>
    <w:p>
      <w:pPr>
        <w:ind w:firstLine="477"/>
        <w:spacing w:after="156"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26.1谈判程序</w:t>
      </w:r>
      <w:r/>
    </w:p>
    <w:p>
      <w:pPr>
        <w:ind w:firstLine="477"/>
        <w:spacing w:after="156"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spacing w:after="156"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spacing w:after="156"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 26.1.2</w:t>
      </w:r>
      <w:r>
        <w:rPr>
          <w:rFonts w:ascii="宋体" w:hAnsi="宋体"/>
          <w:sz w:val="24"/>
          <w:szCs w:val="24"/>
          <w:highlight w:val="none"/>
        </w:rPr>
        <w:t xml:space="preserve">谈判文件能够详细列明采购标的的技术、服务要求的，谈判结束后，谈判小组</w:t>
      </w:r>
      <w:r>
        <w:rPr>
          <w:rFonts w:hint="eastAsia" w:ascii="宋体" w:hAnsi="宋体"/>
          <w:sz w:val="24"/>
          <w:szCs w:val="24"/>
          <w:highlight w:val="none"/>
        </w:rPr>
        <w:t xml:space="preserve">将在苏采云系统向所有</w:t>
      </w:r>
      <w:r>
        <w:rPr>
          <w:rFonts w:ascii="宋体" w:hAnsi="宋体"/>
          <w:sz w:val="24"/>
          <w:szCs w:val="24"/>
          <w:highlight w:val="none"/>
        </w:rPr>
        <w:t xml:space="preserve">实质性响应的供应商</w:t>
      </w:r>
      <w:r>
        <w:rPr>
          <w:rFonts w:hint="eastAsia" w:ascii="宋体" w:hAnsi="宋体"/>
          <w:sz w:val="24"/>
          <w:szCs w:val="24"/>
          <w:highlight w:val="none"/>
        </w:rPr>
        <w:t xml:space="preserve">发布“最后报价要求函”及最后报价格式表，</w:t>
      </w:r>
      <w:r>
        <w:rPr>
          <w:rFonts w:ascii="宋体" w:hAnsi="宋体"/>
          <w:sz w:val="24"/>
          <w:szCs w:val="24"/>
          <w:highlight w:val="none"/>
        </w:rPr>
        <w:t xml:space="preserve">要求所有实质性响应的供应商在规定时间内提交最后报价。</w:t>
      </w:r>
      <w:r/>
    </w:p>
    <w:p>
      <w:pPr>
        <w:ind w:firstLine="477"/>
        <w:spacing w:after="156"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7"/>
        <w:spacing w:after="156"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26.1.3供应商未在谈判小组规定的时间内在苏采云系统中提交最后报价的视为放弃谈判，其响应文件按无效响应处理，最后报价格式表须加盖CA电子公章,否则视为未提交最后报价。</w:t>
      </w:r>
      <w:r>
        <w:rPr>
          <w:rFonts w:ascii="宋体" w:hAnsi="宋体"/>
          <w:sz w:val="24"/>
          <w:szCs w:val="24"/>
          <w:highlight w:val="none"/>
        </w:rPr>
        <w:t xml:space="preserve">已提交响应文件的供应商，在提交最后报价之前，可以根据谈判情况退出谈判</w:t>
      </w:r>
      <w:r>
        <w:rPr>
          <w:rFonts w:hint="eastAsia" w:ascii="宋体" w:hAnsi="宋体"/>
          <w:sz w:val="24"/>
          <w:szCs w:val="24"/>
          <w:highlight w:val="none"/>
        </w:rPr>
        <w:t xml:space="preserve">，并在苏采云系统中提交“退出谈判函”并加盖CA电子公章</w:t>
      </w:r>
      <w:r>
        <w:rPr>
          <w:rFonts w:ascii="宋体" w:hAnsi="宋体"/>
          <w:sz w:val="24"/>
          <w:szCs w:val="24"/>
          <w:highlight w:val="none"/>
        </w:rPr>
        <w:t xml:space="preserve">。</w:t>
      </w:r>
      <w:r/>
    </w:p>
    <w:p>
      <w:pPr>
        <w:ind w:firstLine="477"/>
        <w:spacing w:after="156" w:line="44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26.1.4 异常低价响应审查</w:t>
      </w:r>
      <w:r/>
    </w:p>
    <w:p>
      <w:pPr>
        <w:ind w:firstLine="477"/>
        <w:spacing w:after="156" w:line="44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26.1.4.1 供应商最后报价出现下列情形之一的，谈判小组应当启动异常低价响应审查程序：</w:t>
      </w:r>
      <w:r/>
    </w:p>
    <w:p>
      <w:pPr>
        <w:ind w:firstLine="477"/>
        <w:spacing w:after="156" w:line="44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（1）供应商最后报价低于采购项目预算50%的，即最后报价＜采购项目预算×50%；</w:t>
      </w:r>
      <w:r/>
    </w:p>
    <w:p>
      <w:pPr>
        <w:ind w:firstLine="477"/>
        <w:spacing w:after="156" w:line="44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（2）响应报价低于采购项目最高限价45%的，即响应报价＜采购项目最高限价×45%；</w:t>
      </w:r>
      <w:r/>
    </w:p>
    <w:p>
      <w:pPr>
        <w:ind w:firstLine="477"/>
        <w:spacing w:after="156" w:line="44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（3）谈判小组认定的供应商最后报价过低、有可能影响产品质量或者不能诚信履约的其他情形。</w:t>
      </w:r>
      <w:r/>
    </w:p>
    <w:p>
      <w:pPr>
        <w:ind w:firstLine="477"/>
        <w:spacing w:after="156" w:line="44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26.1.4.2启动异常低价响应审查后，谈判小组应当要求相关供应商在评审现场合理的时间内，提供项目具体成本测算等与报价合理性相关的书面说明材料及相关证明材料，对最后报价作出解释，由谈判小组结合同类产品在主要电商平台的价格、该行业当地薪资水平等情况，依据专业经验对供应商报价合理性进行判断。响应供应商不提供书面说明、证明材料，或者提供的书面说明、证明材料不能证明其报价合理性的，谈判小组应当将其作为无效响应处理。审查相关情况应当在评审报告中进行记录。</w:t>
      </w:r>
      <w:r/>
    </w:p>
    <w:p>
      <w:pPr>
        <w:ind w:firstLine="477"/>
        <w:spacing w:after="156"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26.2 成交原则</w:t>
      </w:r>
      <w:r/>
    </w:p>
    <w:p>
      <w:pPr>
        <w:ind w:firstLine="480"/>
        <w:spacing w:line="560" w:lineRule="exact"/>
        <w:rPr>
          <w:rFonts w:ascii="Times New Roman" w:hAnsi="Times New Roman"/>
          <w:sz w:val="24"/>
          <w:szCs w:val="24"/>
          <w:highlight w:val="none"/>
        </w:rPr>
      </w:pPr>
      <w:r>
        <w:rPr>
          <w:rFonts w:hint="eastAsia" w:ascii="宋体" w:hAnsi="宋体"/>
          <w:sz w:val="24"/>
          <w:szCs w:val="24"/>
          <w:highlight w:val="none"/>
        </w:rPr>
        <w:t xml:space="preserve">26.2.1</w:t>
      </w:r>
      <w:r>
        <w:rPr>
          <w:rFonts w:hint="eastAsia" w:ascii="Times New Roman" w:hAnsi="Times New Roman"/>
          <w:sz w:val="24"/>
          <w:szCs w:val="24"/>
          <w:highlight w:val="none"/>
        </w:rPr>
        <w:t xml:space="preserve">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80"/>
        <w:spacing w:line="560" w:lineRule="exact"/>
        <w:rPr>
          <w:rFonts w:ascii="Times New Roman" w:hAnsi="Times New Roman"/>
          <w:sz w:val="24"/>
          <w:szCs w:val="24"/>
          <w:highlight w:val="none"/>
        </w:rPr>
      </w:pPr>
      <w:r>
        <w:rPr>
          <w:rFonts w:hint="eastAsia" w:ascii="宋体" w:hAnsi="宋体"/>
          <w:sz w:val="24"/>
          <w:szCs w:val="24"/>
          <w:highlight w:val="none"/>
        </w:rPr>
        <w:t xml:space="preserve">26.2.2 </w:t>
      </w:r>
      <w:r>
        <w:rPr>
          <w:rFonts w:hint="eastAsia" w:ascii="Times New Roman" w:hAnsi="Times New Roman"/>
          <w:sz w:val="24"/>
          <w:szCs w:val="24"/>
          <w:highlight w:val="none"/>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560" w:lineRule="exact"/>
        <w:rPr>
          <w:rFonts w:ascii="Times New Roman" w:hAnsi="Times New Roman"/>
          <w:sz w:val="24"/>
          <w:szCs w:val="24"/>
          <w:highlight w:val="none"/>
        </w:rPr>
      </w:pPr>
      <w:r>
        <w:rPr>
          <w:rFonts w:hint="eastAsia" w:ascii="宋体" w:hAnsi="宋体"/>
          <w:sz w:val="24"/>
          <w:szCs w:val="24"/>
          <w:highlight w:val="none"/>
        </w:rPr>
        <w:t xml:space="preserve">26.2.3</w:t>
      </w:r>
      <w:r>
        <w:rPr>
          <w:rFonts w:hint="eastAsia" w:ascii="Times New Roman" w:hAnsi="Times New Roman"/>
          <w:sz w:val="24"/>
          <w:szCs w:val="24"/>
          <w:highlight w:val="none"/>
        </w:rPr>
        <w:t xml:space="preserve"> 供应商的最后报价如相同，则优先采购 “环境标志产品”或“节能产品”；若均非“环境标志产品”、“节能产品”，则将优先采购交付期短者。环境标志产品是指列入财政部、环境保护部最新公布的《环境标志产品品目清单》内的产品；节能产品是指列入财政部、国家发改委最新公布的《节能产品品目清单》内的产品。</w:t>
      </w:r>
      <w:r/>
    </w:p>
    <w:p>
      <w:pPr>
        <w:ind w:firstLine="480"/>
        <w:spacing w:line="560" w:lineRule="exact"/>
        <w:rPr>
          <w:rFonts w:ascii="Times New Roman" w:hAnsi="Times New Roman"/>
          <w:sz w:val="24"/>
          <w:szCs w:val="24"/>
          <w:highlight w:val="none"/>
        </w:rPr>
      </w:pPr>
      <w:r>
        <w:rPr>
          <w:rFonts w:hint="eastAsia" w:ascii="宋体" w:hAnsi="宋体"/>
          <w:sz w:val="24"/>
          <w:szCs w:val="24"/>
          <w:highlight w:val="none"/>
        </w:rPr>
        <w:t xml:space="preserve">26.2.4 </w:t>
      </w:r>
      <w:r>
        <w:rPr>
          <w:rFonts w:hint="eastAsia" w:ascii="Times New Roman" w:hAnsi="Times New Roman"/>
          <w:sz w:val="24"/>
          <w:szCs w:val="24"/>
          <w:highlight w:val="none"/>
        </w:rPr>
        <w:t xml:space="preserve">采购人确定成交供应商后，采购中心将在“江苏政府采购网”发布成交结果公告，公告期限为1个工作日。</w:t>
      </w:r>
      <w:r/>
    </w:p>
    <w:p>
      <w:pPr>
        <w:ind w:firstLine="480"/>
        <w:spacing w:line="560" w:lineRule="exact"/>
        <w:rPr>
          <w:rFonts w:ascii="Times New Roman" w:hAnsi="Times New Roman"/>
          <w:sz w:val="24"/>
          <w:szCs w:val="24"/>
          <w:highlight w:val="none"/>
        </w:rPr>
      </w:pPr>
      <w:r>
        <w:rPr>
          <w:rFonts w:hint="eastAsia" w:ascii="宋体" w:hAnsi="宋体"/>
          <w:sz w:val="24"/>
          <w:szCs w:val="24"/>
          <w:highlight w:val="none"/>
        </w:rPr>
        <w:t xml:space="preserve">26.3</w:t>
      </w:r>
      <w:r>
        <w:rPr>
          <w:rFonts w:hint="eastAsia" w:ascii="Times New Roman" w:hAnsi="Times New Roman"/>
          <w:sz w:val="24"/>
          <w:szCs w:val="24"/>
          <w:highlight w:val="none"/>
        </w:rPr>
        <w:t xml:space="preserve">政府采购政策功能落实</w:t>
      </w:r>
      <w:r/>
    </w:p>
    <w:p>
      <w:pPr>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（1）小微型企业价格扣除</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①本项目对小型和微型企业产品/本项目对小型和微型企业提供的服务 </w:t>
      </w:r>
      <w:r>
        <w:rPr>
          <w:rFonts w:hint="eastAsia" w:ascii="Arial" w:hAnsi="Arial"/>
          <w:sz w:val="24"/>
          <w:szCs w:val="24"/>
          <w:highlight w:val="none"/>
        </w:rPr>
        <w:t xml:space="preserve">给予</w:t>
      </w:r>
      <w:r>
        <w:rPr>
          <w:rFonts w:hint="eastAsia" w:ascii="Arial" w:hAnsi="Arial"/>
          <w:sz w:val="24"/>
          <w:szCs w:val="24"/>
          <w:highlight w:val="none"/>
          <w:u w:val="single"/>
        </w:rPr>
        <w:t xml:space="preserve">10%</w:t>
      </w:r>
      <w:r>
        <w:rPr>
          <w:rFonts w:hint="eastAsia" w:ascii="Arial" w:hAnsi="Arial"/>
          <w:sz w:val="24"/>
          <w:szCs w:val="24"/>
          <w:highlight w:val="none"/>
        </w:rPr>
        <w:t xml:space="preserve">的扣除价格，用扣除后的价格参与评审。</w:t>
      </w:r>
      <w:r/>
    </w:p>
    <w:p>
      <w:pPr>
        <w:ind w:firstLine="480"/>
        <w:spacing w:line="560" w:lineRule="exact"/>
        <w:rPr>
          <w:rFonts w:ascii="Times New Roman" w:hAnsi="Times New Roman"/>
          <w:sz w:val="24"/>
          <w:szCs w:val="24"/>
          <w:highlight w:val="none"/>
        </w:rPr>
      </w:pPr>
      <w:r>
        <w:rPr>
          <w:rFonts w:hint="eastAsia" w:ascii="宋体" w:hAnsi="宋体"/>
          <w:sz w:val="24"/>
          <w:szCs w:val="24"/>
          <w:highlight w:val="none"/>
        </w:rPr>
        <w:t xml:space="preserve">②</w:t>
      </w:r>
      <w:r>
        <w:rPr>
          <w:rFonts w:hint="eastAsia" w:ascii="Times New Roman" w:hAnsi="Times New Roman"/>
          <w:sz w:val="24"/>
          <w:szCs w:val="24"/>
          <w:highlight w:val="none"/>
        </w:rPr>
        <w:t xml:space="preserve">供应商需按照采购文件的要求提供相应的《中小微企业声明函》。</w:t>
      </w:r>
      <w:r/>
    </w:p>
    <w:p>
      <w:pPr>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（2）残疾人福利单位价格扣除</w:t>
      </w:r>
      <w:r/>
    </w:p>
    <w:p>
      <w:pPr>
        <w:ind w:firstLine="480"/>
        <w:spacing w:line="560" w:lineRule="exact"/>
        <w:rPr>
          <w:rFonts w:ascii="Times New Roman" w:hAnsi="Times New Roman"/>
          <w:sz w:val="24"/>
          <w:szCs w:val="24"/>
          <w:highlight w:val="none"/>
        </w:rPr>
      </w:pPr>
      <w:r>
        <w:rPr>
          <w:rFonts w:hint="eastAsia" w:ascii="宋体" w:hAnsi="宋体"/>
          <w:sz w:val="24"/>
          <w:szCs w:val="24"/>
          <w:highlight w:val="none"/>
        </w:rPr>
        <w:t xml:space="preserve">①</w:t>
      </w:r>
      <w:r>
        <w:rPr>
          <w:rFonts w:hint="eastAsia" w:ascii="Times New Roman" w:hAnsi="Times New Roman"/>
          <w:sz w:val="24"/>
          <w:szCs w:val="24"/>
          <w:highlight w:val="none"/>
        </w:rPr>
        <w:t xml:space="preserve">本项目对残疾人福利性单位视同小型、微型企业，给予</w:t>
      </w:r>
      <w:r>
        <w:rPr>
          <w:rFonts w:hint="eastAsia" w:ascii="Times New Roman" w:hAnsi="Times New Roman"/>
          <w:sz w:val="24"/>
          <w:szCs w:val="24"/>
          <w:highlight w:val="none"/>
          <w:u w:val="single"/>
        </w:rPr>
        <w:t xml:space="preserve">10%</w:t>
      </w:r>
      <w:r>
        <w:rPr>
          <w:rFonts w:hint="eastAsia" w:ascii="Times New Roman" w:hAnsi="Times New Roman"/>
          <w:sz w:val="24"/>
          <w:szCs w:val="24"/>
          <w:highlight w:val="none"/>
        </w:rPr>
        <w:t xml:space="preserve">的价格扣除，用扣除后的价格参与评审。</w:t>
      </w:r>
      <w:r/>
    </w:p>
    <w:p>
      <w:pPr>
        <w:ind w:firstLine="480"/>
        <w:spacing w:line="560" w:lineRule="exact"/>
        <w:rPr>
          <w:rFonts w:ascii="Times New Roman" w:hAnsi="Times New Roman"/>
          <w:sz w:val="24"/>
          <w:szCs w:val="24"/>
          <w:highlight w:val="none"/>
        </w:rPr>
      </w:pPr>
      <w:r>
        <w:rPr>
          <w:rFonts w:hint="eastAsia" w:ascii="宋体" w:hAnsi="宋体"/>
          <w:sz w:val="24"/>
          <w:szCs w:val="24"/>
          <w:highlight w:val="none"/>
        </w:rPr>
        <w:t xml:space="preserve">②</w:t>
      </w:r>
      <w:r>
        <w:rPr>
          <w:rFonts w:hint="eastAsia" w:ascii="Times New Roman" w:hAnsi="Times New Roman"/>
          <w:sz w:val="24"/>
          <w:szCs w:val="24"/>
          <w:highlight w:val="none"/>
        </w:rPr>
        <w:t xml:space="preserve">残疾人福利单位需按照采购文件的要求提供《残疾人福利性单位声明函》。</w:t>
      </w:r>
      <w:r/>
    </w:p>
    <w:p>
      <w:pPr>
        <w:ind w:firstLine="480"/>
        <w:spacing w:line="560" w:lineRule="exact"/>
        <w:rPr>
          <w:rFonts w:ascii="Times New Roman" w:hAnsi="Times New Roman"/>
          <w:sz w:val="24"/>
          <w:szCs w:val="24"/>
          <w:highlight w:val="none"/>
        </w:rPr>
      </w:pPr>
      <w:r>
        <w:rPr>
          <w:rFonts w:hint="eastAsia" w:ascii="宋体" w:hAnsi="宋体"/>
          <w:sz w:val="24"/>
          <w:szCs w:val="24"/>
          <w:highlight w:val="none"/>
        </w:rPr>
        <w:t xml:space="preserve">③</w:t>
      </w:r>
      <w:r>
        <w:rPr>
          <w:rFonts w:hint="eastAsia" w:ascii="Times New Roman" w:hAnsi="Times New Roman"/>
          <w:sz w:val="24"/>
          <w:szCs w:val="24"/>
          <w:highlight w:val="none"/>
        </w:rPr>
        <w:t xml:space="preserve">残疾人福利单位标准请参照《关于促进残疾人就业政府采购政策的通知》（财库〔2017〕141号）。</w:t>
      </w:r>
      <w:r/>
    </w:p>
    <w:p>
      <w:pPr>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（3）监狱和戒毒企业价格扣除</w:t>
      </w:r>
      <w:r/>
    </w:p>
    <w:p>
      <w:pPr>
        <w:ind w:firstLine="480"/>
        <w:spacing w:line="560" w:lineRule="exact"/>
        <w:rPr>
          <w:rFonts w:ascii="Times New Roman" w:hAnsi="Times New Roman"/>
          <w:sz w:val="24"/>
          <w:szCs w:val="24"/>
          <w:highlight w:val="none"/>
        </w:rPr>
      </w:pPr>
      <w:r>
        <w:rPr>
          <w:rFonts w:hint="eastAsia" w:ascii="宋体" w:hAnsi="宋体"/>
          <w:sz w:val="24"/>
          <w:szCs w:val="24"/>
          <w:highlight w:val="none"/>
        </w:rPr>
        <w:t xml:space="preserve">①</w:t>
      </w:r>
      <w:r>
        <w:rPr>
          <w:rFonts w:hint="eastAsia" w:ascii="Times New Roman" w:hAnsi="Times New Roman"/>
          <w:sz w:val="24"/>
          <w:szCs w:val="24"/>
          <w:highlight w:val="none"/>
        </w:rPr>
        <w:t xml:space="preserve">本项目对监狱和戒毒企业（简称监狱企业）视同小型、微型企业，给予</w:t>
      </w:r>
      <w:r>
        <w:rPr>
          <w:rFonts w:hint="eastAsia" w:ascii="Times New Roman" w:hAnsi="Times New Roman"/>
          <w:sz w:val="24"/>
          <w:szCs w:val="24"/>
          <w:highlight w:val="none"/>
          <w:u w:val="single"/>
        </w:rPr>
        <w:t xml:space="preserve">10%</w:t>
      </w:r>
      <w:r>
        <w:rPr>
          <w:rFonts w:hint="eastAsia" w:ascii="Times New Roman" w:hAnsi="Times New Roman"/>
          <w:sz w:val="24"/>
          <w:szCs w:val="24"/>
          <w:highlight w:val="none"/>
        </w:rPr>
        <w:t xml:space="preserve">的价格扣除，用扣除后的价格参与评审。</w:t>
      </w:r>
      <w:r/>
    </w:p>
    <w:p>
      <w:pPr>
        <w:ind w:firstLine="480"/>
        <w:spacing w:line="560" w:lineRule="exact"/>
        <w:rPr>
          <w:rFonts w:ascii="Times New Roman" w:hAnsi="Times New Roman"/>
          <w:sz w:val="24"/>
          <w:szCs w:val="24"/>
          <w:highlight w:val="none"/>
        </w:rPr>
      </w:pPr>
      <w:r>
        <w:rPr>
          <w:rFonts w:hint="eastAsia" w:ascii="宋体" w:hAnsi="宋体"/>
          <w:sz w:val="24"/>
          <w:szCs w:val="24"/>
          <w:highlight w:val="none"/>
        </w:rPr>
        <w:t xml:space="preserve">②</w:t>
      </w:r>
      <w:r>
        <w:rPr>
          <w:rFonts w:hint="eastAsia" w:ascii="Times New Roman" w:hAnsi="Times New Roman"/>
          <w:sz w:val="24"/>
          <w:szCs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rPr>
          <w:rFonts w:ascii="Times New Roman" w:hAnsi="Times New Roman"/>
          <w:sz w:val="24"/>
          <w:szCs w:val="24"/>
          <w:highlight w:val="none"/>
        </w:rPr>
      </w:pPr>
      <w:r>
        <w:rPr>
          <w:rFonts w:hint="eastAsia" w:ascii="宋体" w:hAnsi="宋体"/>
          <w:sz w:val="24"/>
          <w:szCs w:val="24"/>
          <w:highlight w:val="none"/>
        </w:rPr>
        <w:t xml:space="preserve">③</w:t>
      </w:r>
      <w:r>
        <w:rPr>
          <w:rFonts w:hint="eastAsia" w:ascii="Times New Roman" w:hAnsi="Times New Roman"/>
          <w:sz w:val="24"/>
          <w:szCs w:val="24"/>
          <w:highlight w:val="none"/>
        </w:rPr>
        <w:t xml:space="preserve">监狱企业标准请参照《关于政府采购支持监狱企业发展有关问题的通知》（财库[2014]68号）。</w:t>
      </w:r>
      <w:r/>
    </w:p>
    <w:p>
      <w:pPr>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（4）残疾人福利单位、监狱企业属于小型、微型企业的，不重复享受政策。</w:t>
      </w:r>
      <w:r/>
    </w:p>
    <w:p>
      <w:pPr>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5）如本项目同意联合体参加谈判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sz w:val="24"/>
          <w:szCs w:val="24"/>
          <w:highlight w:val="none"/>
          <w:u w:val="single"/>
        </w:rPr>
        <w:t xml:space="preserve">4%</w:t>
      </w:r>
      <w:r>
        <w:rPr>
          <w:rFonts w:hint="eastAsia" w:ascii="Times New Roman" w:hAnsi="Times New Roman"/>
          <w:sz w:val="24"/>
          <w:szCs w:val="24"/>
          <w:highlight w:val="none"/>
        </w:rPr>
        <w:t xml:space="preserve">的价格扣除，用扣除后的价格参与评审。 </w:t>
      </w:r>
      <w:r/>
    </w:p>
    <w:p>
      <w:pPr>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（6）联合体各方均为小型、微型企业（残疾人福利单位、监狱企业）的，联合体享受</w:t>
      </w:r>
      <w:r>
        <w:rPr>
          <w:rFonts w:hint="eastAsia" w:ascii="Times New Roman" w:hAnsi="Times New Roman"/>
          <w:sz w:val="24"/>
          <w:szCs w:val="24"/>
          <w:highlight w:val="none"/>
          <w:u w:val="single"/>
        </w:rPr>
        <w:t xml:space="preserve">10%</w:t>
      </w:r>
      <w:r>
        <w:rPr>
          <w:rFonts w:hint="eastAsia" w:ascii="Times New Roman" w:hAnsi="Times New Roman"/>
          <w:sz w:val="24"/>
          <w:szCs w:val="24"/>
          <w:highlight w:val="none"/>
        </w:rPr>
        <w:t xml:space="preserve">价格扣除，用扣除后的价格参与评审。</w:t>
      </w:r>
      <w:r/>
    </w:p>
    <w:p>
      <w:pPr>
        <w:ind w:firstLine="477"/>
        <w:spacing w:after="156"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26.</w:t>
      </w:r>
      <w:r>
        <w:rPr>
          <w:rFonts w:ascii="宋体" w:hAnsi="宋体"/>
          <w:sz w:val="24"/>
          <w:szCs w:val="24"/>
          <w:highlight w:val="none"/>
        </w:rPr>
        <w:t xml:space="preserve">4</w:t>
      </w:r>
      <w:r>
        <w:rPr>
          <w:rFonts w:hint="eastAsia" w:ascii="宋体" w:hAnsi="宋体"/>
          <w:sz w:val="24"/>
          <w:szCs w:val="24"/>
          <w:highlight w:val="none"/>
        </w:rPr>
        <w:t xml:space="preserve">采购活动终止的情况</w:t>
      </w:r>
      <w:r/>
    </w:p>
    <w:p>
      <w:pPr>
        <w:ind w:firstLine="360"/>
        <w:spacing w:after="156"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出现下列情形之一的，本次竞争性谈判采购活动将被终止：</w:t>
      </w:r>
      <w:r/>
    </w:p>
    <w:p>
      <w:pPr>
        <w:ind w:firstLine="360"/>
        <w:spacing w:after="156"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26.</w:t>
      </w:r>
      <w:r>
        <w:rPr>
          <w:rFonts w:ascii="宋体" w:hAnsi="宋体"/>
          <w:sz w:val="24"/>
          <w:szCs w:val="24"/>
          <w:highlight w:val="none"/>
        </w:rPr>
        <w:t xml:space="preserve">4</w:t>
      </w:r>
      <w:r>
        <w:rPr>
          <w:rFonts w:hint="eastAsia" w:ascii="宋体" w:hAnsi="宋体"/>
          <w:sz w:val="24"/>
          <w:szCs w:val="24"/>
          <w:highlight w:val="none"/>
        </w:rPr>
        <w:t xml:space="preserve">.1因情况变化，不再符合规定的竞争性谈判采购方式适用情形的。</w:t>
      </w:r>
      <w:r/>
    </w:p>
    <w:p>
      <w:pPr>
        <w:ind w:firstLine="360"/>
        <w:spacing w:after="156"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26.</w:t>
      </w:r>
      <w:r>
        <w:rPr>
          <w:rFonts w:ascii="宋体" w:hAnsi="宋体"/>
          <w:sz w:val="24"/>
          <w:szCs w:val="24"/>
          <w:highlight w:val="none"/>
        </w:rPr>
        <w:t xml:space="preserve">4</w:t>
      </w:r>
      <w:r>
        <w:rPr>
          <w:rFonts w:hint="eastAsia" w:ascii="宋体" w:hAnsi="宋体"/>
          <w:sz w:val="24"/>
          <w:szCs w:val="24"/>
          <w:highlight w:val="none"/>
        </w:rPr>
        <w:t xml:space="preserve">.2出现影响采购公正的违法、违规行为的。</w:t>
      </w:r>
      <w:r/>
    </w:p>
    <w:p>
      <w:pPr>
        <w:ind w:firstLine="360"/>
        <w:spacing w:after="156"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26.</w:t>
      </w:r>
      <w:r>
        <w:rPr>
          <w:rFonts w:ascii="宋体" w:hAnsi="宋体"/>
          <w:sz w:val="24"/>
          <w:szCs w:val="24"/>
          <w:highlight w:val="none"/>
        </w:rPr>
        <w:t xml:space="preserve">4</w:t>
      </w:r>
      <w:r>
        <w:rPr>
          <w:rFonts w:hint="eastAsia" w:ascii="宋体" w:hAnsi="宋体"/>
          <w:sz w:val="24"/>
          <w:szCs w:val="24"/>
          <w:highlight w:val="none"/>
        </w:rPr>
        <w:t xml:space="preserve">.3在采购过程中符合要求的供应商或者最后报价未超过采购预算的供应商不足3家的。</w:t>
      </w:r>
      <w:r/>
    </w:p>
    <w:p>
      <w:pPr>
        <w:ind w:firstLine="360"/>
        <w:spacing w:after="156" w:line="46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26.</w:t>
      </w:r>
      <w:r>
        <w:rPr>
          <w:rFonts w:ascii="宋体" w:hAnsi="宋体" w:cs="宋体"/>
          <w:sz w:val="24"/>
          <w:szCs w:val="24"/>
          <w:highlight w:val="none"/>
        </w:rPr>
        <w:t xml:space="preserve">4</w:t>
      </w:r>
      <w:r>
        <w:rPr>
          <w:rFonts w:hint="eastAsia" w:ascii="宋体" w:hAnsi="宋体" w:cs="宋体"/>
          <w:sz w:val="24"/>
          <w:szCs w:val="24"/>
          <w:highlight w:val="none"/>
        </w:rPr>
        <w:t xml:space="preserve">.4在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规定时间内成功解密电子响应文件的供应商不足3家的。</w:t>
      </w:r>
      <w:r/>
    </w:p>
    <w:p>
      <w:pPr>
        <w:ind w:firstLine="420"/>
        <w:keepLines/>
        <w:keepNex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、成交供应商被取消成交资格情形</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若有充分证据证明，成交供应商出现下列情况之一的，一经查实，将被取消成交资格：</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.1提供虚假材料谋取成交的。</w:t>
      </w:r>
      <w:r/>
    </w:p>
    <w:p>
      <w:pPr>
        <w:ind w:firstLine="480"/>
        <w:spacing w:line="440" w:lineRule="exact"/>
        <w:rPr>
          <w:rFonts w:ascii="宋体" w:hAnsi="宋体"/>
          <w:bCs/>
          <w:sz w:val="24"/>
          <w:szCs w:val="21"/>
          <w:highlight w:val="none"/>
        </w:rPr>
      </w:pPr>
      <w:r>
        <w:rPr>
          <w:rFonts w:ascii="宋体" w:hAnsi="宋体"/>
          <w:bCs/>
          <w:sz w:val="24"/>
          <w:szCs w:val="21"/>
          <w:highlight w:val="none"/>
        </w:rPr>
        <w:t xml:space="preserve">27</w:t>
      </w:r>
      <w:r>
        <w:rPr>
          <w:rFonts w:hint="eastAsia" w:ascii="宋体" w:hAnsi="宋体"/>
          <w:bCs/>
          <w:sz w:val="24"/>
          <w:szCs w:val="21"/>
          <w:highlight w:val="none"/>
        </w:rPr>
        <w:t xml:space="preserve">.2与评审专家、采购人、其他供应商或者采购中心工作人员恶意串通的。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.3向评审专家、采购人或采购中心工作人员行贿或者提供其他不正当利益的。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.4恶意竞争，最后报价明显低于其自身合理成本且又无法提供证明的。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.5不满足本谈判文件规定的实质性要求，但在评审过程中又未被谈判小组发现的。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.6成交后无正当理由拒不与采购人签订政府采购合同或者未按照谈判文件确定的事项签订政府采购合同的。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.7将政府采购合同转包的。</w:t>
      </w:r>
      <w:r/>
    </w:p>
    <w:p>
      <w:pPr>
        <w:ind w:firstLine="600"/>
        <w:keepLines/>
        <w:keepNext/>
        <w:rPr>
          <w:rFonts w:ascii="黑体" w:hAnsi="宋体" w:eastAsia="黑体"/>
          <w:bCs/>
          <w:sz w:val="30"/>
          <w:szCs w:val="30"/>
          <w:highlight w:val="none"/>
        </w:rPr>
        <w:outlineLvl w:val="3"/>
      </w:pPr>
      <w:r/>
      <w:bookmarkStart w:id="145" w:name="_Toc200451960"/>
      <w:r>
        <w:rPr>
          <w:rFonts w:ascii="黑体" w:hAnsi="宋体" w:eastAsia="黑体"/>
          <w:bCs/>
          <w:sz w:val="30"/>
          <w:szCs w:val="30"/>
          <w:highlight w:val="none"/>
        </w:rPr>
        <w:t xml:space="preserve">28</w:t>
      </w:r>
      <w:r>
        <w:rPr>
          <w:rFonts w:hint="eastAsia" w:ascii="黑体" w:hAnsi="宋体" w:eastAsia="黑体"/>
          <w:bCs/>
          <w:sz w:val="30"/>
          <w:szCs w:val="30"/>
          <w:highlight w:val="none"/>
        </w:rPr>
        <w:t xml:space="preserve">、质疑处理</w:t>
      </w:r>
      <w:bookmarkEnd w:id="145"/>
      <w:r/>
      <w:r/>
    </w:p>
    <w:p>
      <w:pPr>
        <w:ind w:firstLine="480"/>
        <w:spacing w:line="48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ascii="Times New Roman" w:hAnsi="宋体" w:cs="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2.1</w:t>
      </w:r>
      <w:r>
        <w:rPr>
          <w:rFonts w:ascii="Times New Roman" w:hAnsi="宋体" w:cs="宋体"/>
          <w:sz w:val="24"/>
          <w:szCs w:val="24"/>
          <w:highlight w:val="none"/>
        </w:rPr>
        <w:t xml:space="preserve">对可以质疑的采购文件提出质疑的，为收到采购文件之日或者采购文件公告期限届满之日</w:t>
      </w:r>
      <w:r>
        <w:rPr>
          <w:rFonts w:hint="eastAsia" w:ascii="Times New Roman" w:hAnsi="宋体" w:cs="宋体"/>
          <w:sz w:val="24"/>
          <w:szCs w:val="24"/>
          <w:highlight w:val="none"/>
        </w:rPr>
        <w:t xml:space="preserve">。</w:t>
      </w:r>
      <w:r>
        <w:rPr>
          <w:rFonts w:ascii="Times New Roman" w:hAnsi="宋体" w:cs="宋体"/>
          <w:sz w:val="24"/>
          <w:szCs w:val="24"/>
          <w:highlight w:val="none"/>
        </w:rPr>
        <w:br w:type="textWrapping" w:clear="all"/>
      </w:r>
      <w:r>
        <w:rPr>
          <w:rFonts w:ascii="Times New Roman" w:hAnsi="宋体" w:cs="宋体"/>
          <w:sz w:val="24"/>
          <w:szCs w:val="24"/>
          <w:highlight w:val="none"/>
        </w:rPr>
        <w:t xml:space="preserve">　　</w:t>
      </w:r>
      <w:r>
        <w:rPr>
          <w:rFonts w:ascii="宋体" w:hAnsi="宋体"/>
          <w:sz w:val="24"/>
          <w:szCs w:val="24"/>
          <w:highlight w:val="none"/>
        </w:rPr>
        <w:t xml:space="preserve">28.</w:t>
      </w:r>
      <w:r>
        <w:rPr>
          <w:rFonts w:hint="eastAsia" w:ascii="宋体" w:hAnsi="宋体"/>
          <w:sz w:val="24"/>
          <w:szCs w:val="24"/>
          <w:highlight w:val="none"/>
        </w:rPr>
        <w:t xml:space="preserve">2.2</w:t>
      </w:r>
      <w:r>
        <w:rPr>
          <w:rFonts w:ascii="Times New Roman" w:hAnsi="宋体" w:cs="宋体"/>
          <w:sz w:val="24"/>
          <w:szCs w:val="24"/>
          <w:highlight w:val="none"/>
        </w:rPr>
        <w:t xml:space="preserve">对采购过程提出质疑的，为各采购程序环节结束之日</w:t>
      </w:r>
      <w:r>
        <w:rPr>
          <w:rFonts w:hint="eastAsia" w:ascii="Times New Roman" w:hAnsi="宋体" w:cs="宋体"/>
          <w:sz w:val="24"/>
          <w:szCs w:val="24"/>
          <w:highlight w:val="none"/>
        </w:rPr>
        <w:t xml:space="preserve">。</w:t>
      </w:r>
      <w:r>
        <w:rPr>
          <w:rFonts w:ascii="Times New Roman" w:hAnsi="宋体" w:cs="宋体"/>
          <w:sz w:val="24"/>
          <w:szCs w:val="24"/>
          <w:highlight w:val="none"/>
        </w:rPr>
        <w:br w:type="textWrapping" w:clear="all"/>
      </w:r>
      <w:r>
        <w:rPr>
          <w:rFonts w:ascii="Times New Roman" w:hAnsi="宋体" w:cs="宋体"/>
          <w:sz w:val="24"/>
          <w:szCs w:val="24"/>
          <w:highlight w:val="none"/>
        </w:rPr>
        <w:t xml:space="preserve">　　</w:t>
      </w:r>
      <w:r>
        <w:rPr>
          <w:rFonts w:ascii="宋体" w:hAnsi="宋体"/>
          <w:sz w:val="24"/>
          <w:szCs w:val="24"/>
          <w:highlight w:val="none"/>
        </w:rPr>
        <w:t xml:space="preserve">28.</w:t>
      </w:r>
      <w:r>
        <w:rPr>
          <w:rFonts w:hint="eastAsia" w:ascii="宋体" w:hAnsi="宋体"/>
          <w:sz w:val="24"/>
          <w:szCs w:val="24"/>
          <w:highlight w:val="none"/>
        </w:rPr>
        <w:t xml:space="preserve">2.3</w:t>
      </w:r>
      <w:r>
        <w:rPr>
          <w:rFonts w:ascii="Times New Roman" w:hAnsi="宋体" w:cs="宋体"/>
          <w:sz w:val="24"/>
          <w:szCs w:val="24"/>
          <w:highlight w:val="none"/>
        </w:rPr>
        <w:t xml:space="preserve">对成交结果提出质疑的，为成交结果公告期限届满之日。</w:t>
      </w:r>
      <w:r/>
    </w:p>
    <w:p>
      <w:pPr>
        <w:ind w:firstLine="480"/>
        <w:spacing w:line="480" w:lineRule="exact"/>
        <w:rPr>
          <w:rFonts w:ascii="Times New Roman" w:hAnsi="宋体" w:cs="宋体"/>
          <w:sz w:val="24"/>
          <w:szCs w:val="24"/>
          <w:highlight w:val="none"/>
        </w:rPr>
      </w:pPr>
      <w:r>
        <w:rPr>
          <w:rFonts w:hint="eastAsia" w:ascii="Times New Roman"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highlight w:val="none"/>
        </w:rPr>
        <w:t xml:space="preserve">采购人</w:t>
      </w:r>
      <w:r>
        <w:rPr>
          <w:rFonts w:hint="eastAsia" w:ascii="Times New Roman" w:hAnsi="宋体" w:cs="宋体"/>
          <w:sz w:val="24"/>
          <w:szCs w:val="24"/>
          <w:highlight w:val="none"/>
        </w:rPr>
        <w:t xml:space="preserve">将只对供应商第一次质疑作出答复。</w:t>
      </w:r>
      <w:r/>
    </w:p>
    <w:p>
      <w:pPr>
        <w:ind w:firstLine="480"/>
        <w:spacing w:line="48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480" w:lineRule="exact"/>
        <w:rPr>
          <w:rFonts w:ascii="宋体" w:hAnsi="宋体"/>
          <w:b/>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4 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评审方法与评审标准</w:t>
      </w:r>
      <w:r>
        <w:rPr>
          <w:rFonts w:ascii="宋体" w:hAnsi="宋体"/>
          <w:sz w:val="24"/>
          <w:szCs w:val="24"/>
          <w:highlight w:val="none"/>
        </w:rPr>
        <w:t xml:space="preserve">、合同文本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w:t>
      </w:r>
      <w:r>
        <w:rPr>
          <w:rFonts w:ascii="宋体" w:hAnsi="宋体"/>
          <w:sz w:val="24"/>
          <w:szCs w:val="24"/>
          <w:highlight w:val="none"/>
        </w:rPr>
        <w:t xml:space="preserve">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采购人及采购中心只接收以纸质原件形式送达的质疑,建议供应商尽量通过邮寄方式提交质疑（采购人和采购中心不接受无快递运</w:t>
      </w:r>
      <w:r>
        <w:rPr>
          <w:rFonts w:ascii="宋体" w:hAnsi="宋体"/>
          <w:sz w:val="24"/>
          <w:szCs w:val="24"/>
          <w:highlight w:val="none"/>
        </w:rPr>
        <w:t xml:space="preserve">单号</w:t>
      </w:r>
      <w:r>
        <w:rPr>
          <w:rFonts w:hint="eastAsia" w:ascii="宋体" w:hAnsi="宋体"/>
          <w:sz w:val="24"/>
          <w:szCs w:val="24"/>
          <w:highlight w:val="none"/>
        </w:rPr>
        <w:t xml:space="preserve">的快递）。</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采购人质疑接收人及联系方式见本谈判文件第一章。</w:t>
      </w:r>
      <w:r/>
    </w:p>
    <w:p>
      <w:pPr>
        <w:ind w:firstLine="480"/>
        <w:spacing w:line="48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5 以下情形的质疑不予受理</w:t>
      </w:r>
      <w:r/>
    </w:p>
    <w:p>
      <w:pPr>
        <w:ind w:firstLine="480"/>
        <w:spacing w:line="48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5.1 内容不符合《政府采购质疑和投诉办法》第十二条规定的质疑。</w:t>
      </w:r>
      <w:r/>
    </w:p>
    <w:p>
      <w:pPr>
        <w:ind w:firstLine="480"/>
        <w:spacing w:line="48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5.2 超出政府采购法定期限的质疑。</w:t>
      </w:r>
      <w:r/>
    </w:p>
    <w:p>
      <w:pPr>
        <w:ind w:firstLine="480"/>
        <w:spacing w:line="48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5.3 以传真、电子邮件等方式递交的非原件形式的质疑。</w:t>
      </w:r>
      <w:r/>
    </w:p>
    <w:p>
      <w:pPr>
        <w:ind w:firstLine="480"/>
        <w:spacing w:line="48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5.4 未参加谈判活动的供应商或在谈判活动中自身权益未受到损害的供应商所提出的质疑。</w:t>
      </w:r>
      <w:r/>
    </w:p>
    <w:p>
      <w:pPr>
        <w:ind w:firstLine="480"/>
        <w:spacing w:line="48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5.5供应商组成联合体参加谈判，联合体中任何一方或多方未按要求签字、盖章、加盖公章的质疑。</w:t>
      </w:r>
      <w:r/>
    </w:p>
    <w:p>
      <w:pPr>
        <w:ind w:firstLine="468"/>
        <w:spacing w:line="480" w:lineRule="exact"/>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rPr>
          <w:rFonts w:ascii="黑体" w:hAnsi="宋体" w:eastAsia="黑体"/>
          <w:bCs/>
          <w:sz w:val="30"/>
          <w:szCs w:val="30"/>
          <w:highlight w:val="none"/>
        </w:rPr>
        <w:outlineLvl w:val="3"/>
      </w:pPr>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、成交通知书</w:t>
      </w:r>
      <w:r/>
    </w:p>
    <w:p>
      <w:pPr>
        <w:ind w:firstLine="600"/>
        <w:spacing w:line="480" w:lineRule="exact"/>
        <w:rPr>
          <w:rFonts w:ascii="宋体" w:hAnsi="宋体"/>
          <w:sz w:val="24"/>
          <w:szCs w:val="24"/>
          <w:highlight w:val="none"/>
        </w:rPr>
      </w:pPr>
      <w:r>
        <w:rPr>
          <w:rFonts w:ascii="宋体" w:hAnsi="宋体"/>
          <w:sz w:val="24"/>
          <w:szCs w:val="24"/>
          <w:highlight w:val="none"/>
        </w:rPr>
        <w:t xml:space="preserve">29.1</w:t>
      </w:r>
      <w:r>
        <w:rPr>
          <w:rFonts w:hint="eastAsia" w:ascii="宋体" w:hAnsi="宋体"/>
          <w:sz w:val="24"/>
          <w:szCs w:val="24"/>
          <w:highlight w:val="none"/>
        </w:rPr>
        <w:t xml:space="preserve">成交结果确定后，采购中心将向成交供应商发出成交通知书。</w:t>
      </w:r>
      <w:r>
        <w:rPr>
          <w:rFonts w:hint="eastAsia" w:ascii="宋体" w:hAnsi="宋体" w:cs="宋体"/>
          <w:sz w:val="24"/>
          <w:szCs w:val="24"/>
          <w:highlight w:val="none"/>
        </w:rPr>
        <w:t xml:space="preserve">请成交供应商在成交结果公告届满之日起30日内,使用CA数字证书登录</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及时下载成交通知书。因系统存储空间有限，自成交结果公告届满之日起30日后，</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不再保证提供下载成交通知书服务,因未及时下载而造成的不利后果由成交供应商自行承担。</w:t>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29.2成交通知书将是合同的一个组成部分。对采购人和成交供应商均具有法律效力。成交通知书发出后，采购人改变成交结果的，或者成交供应商放弃成交项目的，应当依法承担法律责任。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rFonts w:ascii="Times New Roman" w:hAnsi="Times New Roman"/>
          <w:b/>
          <w:bCs/>
          <w:sz w:val="32"/>
          <w:szCs w:val="32"/>
          <w:highlight w:val="none"/>
        </w:rPr>
        <w:outlineLvl w:val="2"/>
      </w:pPr>
      <w:r/>
      <w:bookmarkStart w:id="146" w:name="_Toc120614220"/>
      <w:r/>
      <w:bookmarkStart w:id="147" w:name="_Toc513029236"/>
      <w:r/>
      <w:bookmarkStart w:id="148" w:name="_Toc20823308"/>
      <w:r/>
      <w:bookmarkStart w:id="149" w:name="_Toc16938552"/>
      <w:r>
        <w:rPr>
          <w:rFonts w:hint="eastAsia" w:ascii="Times New Roman" w:hAnsi="Times New Roman"/>
          <w:b/>
          <w:bCs/>
          <w:sz w:val="32"/>
          <w:szCs w:val="32"/>
          <w:highlight w:val="none"/>
        </w:rPr>
        <w:t xml:space="preserve">七、授予合同</w:t>
      </w:r>
      <w:bookmarkEnd w:id="146"/>
      <w:r/>
      <w:bookmarkEnd w:id="147"/>
      <w:r/>
      <w:bookmarkEnd w:id="148"/>
      <w:r/>
      <w:bookmarkEnd w:id="149"/>
      <w:r/>
      <w:r/>
    </w:p>
    <w:p>
      <w:pPr>
        <w:ind w:firstLine="600"/>
        <w:keepLines/>
        <w:keepNext/>
        <w:rPr>
          <w:rFonts w:ascii="黑体" w:hAnsi="宋体" w:eastAsia="黑体"/>
          <w:bCs/>
          <w:sz w:val="30"/>
          <w:szCs w:val="30"/>
          <w:highlight w:val="none"/>
        </w:rPr>
        <w:outlineLvl w:val="3"/>
      </w:pPr>
      <w:r/>
      <w:bookmarkStart w:id="150" w:name="_Toc16938553"/>
      <w:r/>
      <w:bookmarkStart w:id="151" w:name="_Toc20823309"/>
      <w:r/>
      <w:bookmarkStart w:id="152" w:name="_Toc513029237"/>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、签订合同</w:t>
      </w:r>
      <w:r/>
    </w:p>
    <w:p>
      <w:pPr>
        <w:ind w:firstLine="600"/>
        <w:spacing w:line="480" w:lineRule="exact"/>
        <w:rPr>
          <w:rFonts w:ascii="宋体" w:hAnsi="宋体"/>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0</w:t>
      </w:r>
      <w:r>
        <w:rPr>
          <w:rFonts w:hint="eastAsia" w:ascii="宋体" w:hAnsi="宋体"/>
          <w:sz w:val="24"/>
          <w:szCs w:val="24"/>
          <w:highlight w:val="none"/>
        </w:rPr>
        <w:t xml:space="preserve">.l成交供应商应当在成交通知书发出之日起三十日内，按照谈判文件确定的事项与采购人签订政府采购合同。</w:t>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.2谈判文件、成交供应商的响应文件及谈判过程中有关澄清、承诺文件均应作为合同附件。</w:t>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rPr>
          <w:rFonts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、标的物的追加</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0"/>
      <w:r/>
      <w:bookmarkEnd w:id="151"/>
      <w:r/>
      <w:bookmarkEnd w:id="152"/>
      <w:r/>
      <w:r/>
    </w:p>
    <w:p>
      <w:pPr>
        <w:ind w:firstLine="600"/>
        <w:keepLines/>
        <w:keepNext/>
        <w:rPr>
          <w:rFonts w:ascii="黑体" w:hAnsi="宋体" w:eastAsia="黑体"/>
          <w:bCs/>
          <w:sz w:val="30"/>
          <w:szCs w:val="30"/>
          <w:highlight w:val="none"/>
        </w:rPr>
        <w:outlineLvl w:val="3"/>
      </w:pPr>
      <w:r/>
      <w:bookmarkStart w:id="153" w:name="_Toc16938558"/>
      <w:r/>
      <w:bookmarkStart w:id="154" w:name="_Toc479757207"/>
      <w:r/>
      <w:bookmarkStart w:id="155" w:name="_Toc120614221"/>
      <w:r/>
      <w:bookmarkStart w:id="156" w:name="_Toc513029242"/>
      <w:r/>
      <w:bookmarkStart w:id="157" w:name="_Toc20823314"/>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、政府采购履约资金扶持政策</w:t>
      </w:r>
      <w:r/>
    </w:p>
    <w:p>
      <w:pPr>
        <w:ind w:firstLine="556"/>
        <w:spacing w:line="0" w:lineRule="atLeast"/>
        <w:rPr>
          <w:rFonts w:ascii="宋体" w:hAnsi="宋体"/>
          <w:bCs/>
          <w:sz w:val="24"/>
          <w:szCs w:val="24"/>
          <w:highlight w:val="none"/>
        </w:rPr>
      </w:pPr>
      <w:r>
        <w:rPr>
          <w:rFonts w:hint="eastAsia" w:ascii="宋体" w:hAnsi="宋体"/>
          <w:bCs/>
          <w:sz w:val="24"/>
          <w:szCs w:val="24"/>
          <w:highlight w:val="none"/>
        </w:rPr>
        <w:t xml:space="preserve">成交供应商可凭政府采购合同办理融资贷款，详情请见江苏政府采购网“政采贷”专栏。</w:t>
      </w:r>
      <w:r/>
    </w:p>
    <w:p>
      <w:pPr>
        <w:ind w:firstLine="556"/>
        <w:spacing w:line="0" w:lineRule="atLeast"/>
        <w:rPr>
          <w:rFonts w:ascii="宋体" w:hAnsi="宋体"/>
          <w:bCs/>
          <w:sz w:val="24"/>
          <w:szCs w:val="24"/>
          <w:highlight w:val="none"/>
        </w:rPr>
      </w:pPr>
      <w:r>
        <w:rPr>
          <w:rFonts w:ascii="宋体" w:hAnsi="宋体"/>
          <w:bCs/>
          <w:sz w:val="24"/>
          <w:szCs w:val="24"/>
          <w:highlight w:val="none"/>
        </w:rPr>
      </w:r>
      <w:r/>
    </w:p>
    <w:p>
      <w:pPr>
        <w:ind w:firstLine="556"/>
        <w:spacing w:line="0" w:lineRule="atLeast"/>
        <w:rPr>
          <w:rFonts w:ascii="宋体" w:hAnsi="宋体"/>
          <w:bCs/>
          <w:sz w:val="24"/>
          <w:szCs w:val="24"/>
          <w:highlight w:val="none"/>
        </w:rPr>
      </w:pPr>
      <w:r>
        <w:rPr>
          <w:rFonts w:ascii="宋体" w:hAnsi="宋体"/>
          <w:bCs/>
          <w:sz w:val="24"/>
          <w:szCs w:val="24"/>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keepNext/>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keepNext/>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ind w:firstLine="2640"/>
        <w:keepNext/>
        <w:rPr>
          <w:rFonts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第三章  合同</w:t>
      </w:r>
      <w:bookmarkEnd w:id="153"/>
      <w:r/>
      <w:bookmarkEnd w:id="154"/>
      <w:r/>
      <w:bookmarkEnd w:id="155"/>
      <w:r/>
      <w:bookmarkEnd w:id="156"/>
      <w:r/>
      <w:bookmarkEnd w:id="157"/>
      <w:r>
        <w:rPr>
          <w:rFonts w:hint="eastAsia" w:ascii="黑体" w:hAnsi="Times New Roman" w:eastAsia="黑体"/>
          <w:bCs/>
          <w:sz w:val="44"/>
          <w:szCs w:val="28"/>
          <w:highlight w:val="none"/>
        </w:rPr>
        <w:t xml:space="preserve">文本</w:t>
      </w:r>
      <w:r/>
    </w:p>
    <w:p>
      <w:pPr>
        <w:spacing w:line="400" w:lineRule="exact"/>
        <w:rPr>
          <w:rFonts w:ascii="宋体" w:hAnsi="宋体"/>
          <w:bCs/>
          <w:color w:val="ff0000"/>
          <w:sz w:val="24"/>
          <w:szCs w:val="24"/>
          <w:highlight w:val="none"/>
        </w:rPr>
      </w:pPr>
      <w:r/>
      <w:bookmarkStart w:id="158" w:name="_Toc20823315"/>
      <w:r/>
      <w:bookmarkStart w:id="159" w:name="_Toc16938559"/>
      <w:r/>
      <w:bookmarkStart w:id="160" w:name="_Toc513029243"/>
      <w:r/>
      <w:r/>
    </w:p>
    <w:p>
      <w:pPr>
        <w:spacing w:line="500" w:lineRule="exact"/>
        <w:rPr>
          <w:rFonts w:ascii="宋体" w:hAnsi="宋体"/>
          <w:bCs/>
          <w:color w:val="000000"/>
          <w:sz w:val="24"/>
          <w:szCs w:val="24"/>
          <w:highlight w:val="none"/>
        </w:rPr>
      </w:pPr>
      <w:r>
        <w:rPr>
          <w:rFonts w:ascii="宋体" w:hAnsi="宋体"/>
          <w:bCs/>
          <w:color w:val="000000"/>
          <w:sz w:val="24"/>
          <w:szCs w:val="24"/>
          <w:highlight w:val="none"/>
        </w:rPr>
      </w:r>
      <w:r/>
    </w:p>
    <w:p>
      <w:pPr>
        <w:pStyle w:val="751"/>
        <w:jc w:val="center"/>
        <w:rPr>
          <w:rFonts w:ascii="宋体" w:hAnsi="宋体" w:eastAsia="宋体" w:cs="宋体"/>
          <w:b/>
          <w:bCs/>
          <w:spacing w:val="-20"/>
          <w:sz w:val="32"/>
          <w:szCs w:val="32"/>
          <w:highlight w:val="none"/>
        </w:rPr>
      </w:pPr>
      <w:r>
        <w:rPr>
          <w:rFonts w:ascii="宋体" w:hAnsi="宋体" w:eastAsia="宋体" w:cs="宋体"/>
          <w:b/>
          <w:bCs/>
          <w:spacing w:val="-20"/>
          <w:sz w:val="32"/>
          <w:szCs w:val="32"/>
          <w:highlight w:val="none"/>
        </w:rPr>
      </w:r>
      <w:r/>
    </w:p>
    <w:p>
      <w:pPr>
        <w:pStyle w:val="751"/>
        <w:jc w:val="center"/>
        <w:rPr>
          <w:rFonts w:ascii="宋体" w:hAnsi="宋体" w:eastAsia="宋体" w:cs="宋体"/>
          <w:b/>
          <w:bCs/>
          <w:spacing w:val="-20"/>
          <w:sz w:val="32"/>
          <w:szCs w:val="32"/>
          <w:highlight w:val="none"/>
        </w:rPr>
      </w:pPr>
      <w:r>
        <w:rPr>
          <w:rFonts w:ascii="宋体" w:hAnsi="宋体" w:eastAsia="宋体" w:cs="宋体"/>
          <w:b/>
          <w:bCs/>
          <w:spacing w:val="-20"/>
          <w:sz w:val="32"/>
          <w:szCs w:val="32"/>
          <w:highlight w:val="none"/>
        </w:rPr>
      </w:r>
      <w:r/>
    </w:p>
    <w:p>
      <w:pPr>
        <w:pStyle w:val="751"/>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财政部 政府采购货物买卖合同（试行）</w:t>
      </w:r>
      <w:r/>
    </w:p>
    <w:p>
      <w:pPr>
        <w:pStyle w:val="751"/>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范    本</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28"/>
          <w:szCs w:val="28"/>
          <w:highlight w:val="none"/>
        </w:rPr>
      </w:pPr>
      <w:r>
        <w:rPr>
          <w:rFonts w:hint="eastAsia" w:ascii="宋体" w:hAnsi="宋体" w:cs="宋体"/>
          <w:sz w:val="28"/>
          <w:szCs w:val="28"/>
          <w:highlight w:val="none"/>
        </w:rPr>
        <w:t xml:space="preserve">项目名称：</w:t>
      </w:r>
      <w:r>
        <w:rPr>
          <w:rFonts w:hint="eastAsia"/>
          <w:sz w:val="28"/>
          <w:szCs w:val="28"/>
          <w:highlight w:val="none"/>
          <w:u w:val="single"/>
        </w:rPr>
        <w:t xml:space="preserve">                             </w:t>
      </w:r>
      <w:r/>
    </w:p>
    <w:p>
      <w:pPr>
        <w:ind w:left="420"/>
        <w:spacing w:line="360" w:lineRule="auto"/>
        <w:rPr>
          <w:sz w:val="28"/>
          <w:szCs w:val="28"/>
          <w:highlight w:val="none"/>
          <w:u w:val="single"/>
        </w:rPr>
      </w:pPr>
      <w:r>
        <w:rPr>
          <w:rFonts w:hint="eastAsia"/>
          <w:sz w:val="28"/>
          <w:szCs w:val="28"/>
          <w:highlight w:val="none"/>
        </w:rPr>
        <w:t xml:space="preserve">合同编号：</w:t>
      </w:r>
      <w:r>
        <w:rPr>
          <w:rFonts w:hint="eastAsia"/>
          <w:sz w:val="28"/>
          <w:szCs w:val="28"/>
          <w:highlight w:val="none"/>
          <w:u w:val="single"/>
        </w:rPr>
        <w:t xml:space="preserve">                             </w:t>
      </w:r>
      <w:r/>
    </w:p>
    <w:p>
      <w:pPr>
        <w:ind w:left="420"/>
        <w:spacing w:line="360" w:lineRule="auto"/>
        <w:rPr>
          <w:sz w:val="28"/>
          <w:szCs w:val="28"/>
          <w:highlight w:val="none"/>
        </w:rPr>
      </w:pPr>
      <w:r>
        <w:rPr>
          <w:rFonts w:hint="eastAsia"/>
          <w:sz w:val="28"/>
          <w:szCs w:val="28"/>
          <w:highlight w:val="none"/>
        </w:rPr>
        <w:t xml:space="preserve">甲    方：</w:t>
      </w:r>
      <w:r>
        <w:rPr>
          <w:rFonts w:hint="eastAsia"/>
          <w:sz w:val="28"/>
          <w:szCs w:val="28"/>
          <w:highlight w:val="none"/>
          <w:u w:val="single"/>
        </w:rPr>
        <w:t xml:space="preserve">                             </w:t>
      </w:r>
      <w:r/>
    </w:p>
    <w:p>
      <w:pPr>
        <w:ind w:left="420"/>
        <w:spacing w:line="360" w:lineRule="auto"/>
        <w:rPr>
          <w:sz w:val="28"/>
          <w:szCs w:val="28"/>
          <w:highlight w:val="none"/>
          <w:u w:val="single"/>
        </w:rPr>
      </w:pPr>
      <w:r>
        <w:rPr>
          <w:rFonts w:hint="eastAsia"/>
          <w:sz w:val="28"/>
          <w:szCs w:val="28"/>
          <w:highlight w:val="none"/>
        </w:rPr>
        <w:t xml:space="preserve">乙    方：</w:t>
      </w:r>
      <w:r>
        <w:rPr>
          <w:rFonts w:hint="eastAsia"/>
          <w:sz w:val="28"/>
          <w:szCs w:val="28"/>
          <w:highlight w:val="none"/>
          <w:u w:val="single"/>
        </w:rPr>
        <w:t xml:space="preserve">                             </w:t>
      </w:r>
      <w:r/>
    </w:p>
    <w:p>
      <w:pPr>
        <w:ind w:left="420"/>
        <w:spacing w:line="360" w:lineRule="auto"/>
        <w:rPr>
          <w:sz w:val="28"/>
          <w:szCs w:val="28"/>
          <w:highlight w:val="none"/>
        </w:rPr>
      </w:pPr>
      <w:r>
        <w:rPr>
          <w:rFonts w:hint="eastAsia"/>
          <w:sz w:val="28"/>
          <w:szCs w:val="28"/>
          <w:highlight w:val="none"/>
        </w:rPr>
        <w:t xml:space="preserve">签订时间：</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u w:val="single"/>
        </w:rPr>
        <w:t xml:space="preserve">          </w:t>
      </w:r>
      <w:r>
        <w:rPr>
          <w:sz w:val="28"/>
          <w:szCs w:val="28"/>
          <w:highlight w:val="none"/>
          <w:u w:val="single"/>
        </w:rPr>
        <w:t xml:space="preserve">  </w:t>
      </w:r>
      <w:r/>
    </w:p>
    <w:p>
      <w:pPr>
        <w:rPr>
          <w:rFonts w:eastAsia="黑体"/>
          <w:sz w:val="44"/>
          <w:szCs w:val="44"/>
          <w:highlight w:val="none"/>
        </w:rPr>
      </w:pPr>
      <w:r>
        <w:rPr>
          <w:rFonts w:eastAsia="黑体"/>
          <w:sz w:val="44"/>
          <w:szCs w:val="44"/>
          <w:highlight w:val="none"/>
        </w:rPr>
      </w:r>
      <w:r/>
    </w:p>
    <w:p>
      <w:pPr>
        <w:jc w:val="center"/>
        <w:rPr>
          <w:rFonts w:ascii="宋体" w:hAnsi="宋体"/>
          <w:sz w:val="32"/>
          <w:szCs w:val="32"/>
          <w:highlight w:val="none"/>
        </w:rPr>
      </w:pPr>
      <w:r>
        <w:rPr>
          <w:rFonts w:ascii="宋体" w:hAnsi="宋体"/>
          <w:sz w:val="32"/>
          <w:szCs w:val="32"/>
          <w:highlight w:val="none"/>
        </w:rPr>
      </w:r>
      <w:r/>
    </w:p>
    <w:p>
      <w:pPr>
        <w:jc w:val="center"/>
        <w:rPr>
          <w:rFonts w:ascii="宋体" w:hAnsi="宋体"/>
          <w:sz w:val="32"/>
          <w:szCs w:val="32"/>
          <w:highlight w:val="none"/>
        </w:rPr>
      </w:pPr>
      <w:r>
        <w:rPr>
          <w:rFonts w:ascii="宋体" w:hAnsi="宋体"/>
          <w:sz w:val="32"/>
          <w:szCs w:val="32"/>
          <w:highlight w:val="none"/>
        </w:rPr>
      </w:r>
      <w:r/>
    </w:p>
    <w:p>
      <w:pPr>
        <w:jc w:val="center"/>
        <w:rPr>
          <w:rFonts w:ascii="宋体" w:hAnsi="宋体"/>
          <w:sz w:val="32"/>
          <w:szCs w:val="32"/>
          <w:highlight w:val="none"/>
        </w:rPr>
      </w:pPr>
      <w:r>
        <w:rPr>
          <w:rFonts w:ascii="宋体" w:hAnsi="宋体"/>
          <w:sz w:val="32"/>
          <w:szCs w:val="32"/>
          <w:highlight w:val="none"/>
        </w:rPr>
      </w:r>
      <w:r/>
    </w:p>
    <w:p>
      <w:pPr>
        <w:jc w:val="center"/>
        <w:rPr>
          <w:rFonts w:ascii="宋体" w:hAnsi="宋体"/>
          <w:sz w:val="32"/>
          <w:szCs w:val="32"/>
          <w:highlight w:val="none"/>
        </w:rPr>
      </w:pPr>
      <w:r>
        <w:rPr>
          <w:rFonts w:ascii="宋体" w:hAnsi="宋体"/>
          <w:sz w:val="32"/>
          <w:szCs w:val="32"/>
          <w:highlight w:val="none"/>
        </w:rPr>
      </w:r>
      <w:r/>
    </w:p>
    <w:p>
      <w:pPr>
        <w:jc w:val="center"/>
        <w:rPr>
          <w:rFonts w:ascii="宋体" w:hAnsi="宋体"/>
          <w:sz w:val="32"/>
          <w:szCs w:val="32"/>
          <w:highlight w:val="none"/>
        </w:rPr>
      </w:pPr>
      <w:r>
        <w:rPr>
          <w:rFonts w:ascii="宋体" w:hAnsi="宋体"/>
          <w:sz w:val="32"/>
          <w:szCs w:val="32"/>
          <w:highlight w:val="none"/>
        </w:rPr>
      </w:r>
      <w:r/>
    </w:p>
    <w:p>
      <w:pPr>
        <w:jc w:val="center"/>
        <w:rPr>
          <w:rFonts w:ascii="宋体" w:hAnsi="宋体"/>
          <w:sz w:val="32"/>
          <w:szCs w:val="32"/>
          <w:highlight w:val="none"/>
        </w:rPr>
      </w:pPr>
      <w:r>
        <w:rPr>
          <w:rFonts w:ascii="宋体" w:hAnsi="宋体"/>
          <w:sz w:val="32"/>
          <w:szCs w:val="32"/>
          <w:highlight w:val="none"/>
        </w:rPr>
      </w:r>
      <w:r/>
    </w:p>
    <w:p>
      <w:pPr>
        <w:jc w:val="center"/>
        <w:rPr>
          <w:rFonts w:ascii="宋体" w:hAnsi="宋体"/>
          <w:sz w:val="32"/>
          <w:szCs w:val="32"/>
          <w:highlight w:val="none"/>
        </w:rPr>
      </w:pPr>
      <w:r>
        <w:rPr>
          <w:rFonts w:ascii="宋体" w:hAnsi="宋体"/>
          <w:sz w:val="32"/>
          <w:szCs w:val="32"/>
          <w:highlight w:val="none"/>
        </w:rPr>
      </w:r>
      <w:r/>
    </w:p>
    <w:p>
      <w:pPr>
        <w:jc w:val="center"/>
        <w:rPr>
          <w:rFonts w:ascii="宋体" w:hAnsi="宋体"/>
          <w:sz w:val="32"/>
          <w:szCs w:val="32"/>
          <w:highlight w:val="none"/>
        </w:rPr>
      </w:pPr>
      <w:r>
        <w:rPr>
          <w:rFonts w:ascii="宋体" w:hAnsi="宋体"/>
          <w:sz w:val="32"/>
          <w:szCs w:val="32"/>
          <w:highlight w:val="none"/>
        </w:rPr>
      </w:r>
      <w:r/>
    </w:p>
    <w:p>
      <w:pPr>
        <w:jc w:val="center"/>
        <w:rPr>
          <w:rFonts w:ascii="宋体" w:hAnsi="宋体"/>
          <w:sz w:val="32"/>
          <w:szCs w:val="32"/>
          <w:highlight w:val="none"/>
        </w:rPr>
      </w:pPr>
      <w:r>
        <w:rPr>
          <w:rFonts w:ascii="宋体" w:hAnsi="宋体"/>
          <w:sz w:val="32"/>
          <w:szCs w:val="32"/>
          <w:highlight w:val="none"/>
        </w:rPr>
      </w:r>
      <w:r/>
    </w:p>
    <w:p>
      <w:pPr>
        <w:jc w:val="center"/>
        <w:rPr>
          <w:rFonts w:ascii="宋体" w:hAnsi="宋体"/>
          <w:sz w:val="32"/>
          <w:szCs w:val="32"/>
          <w:highlight w:val="none"/>
        </w:rPr>
      </w:pPr>
      <w:r>
        <w:rPr>
          <w:rFonts w:hint="eastAsia" w:ascii="宋体" w:hAnsi="宋体"/>
          <w:sz w:val="32"/>
          <w:szCs w:val="32"/>
          <w:highlight w:val="none"/>
        </w:rPr>
        <w:t xml:space="preserve">使 用 说 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1.本合同标准文本适用于购买现成货物的采购项目，不包括需要供应商定制开发、创新研发的货物采购项目。</w:t>
      </w:r>
      <w:r/>
    </w:p>
    <w:p>
      <w:pPr>
        <w:rPr>
          <w:rFonts w:ascii="宋体" w:hAnsi="宋体"/>
          <w:sz w:val="28"/>
          <w:szCs w:val="28"/>
          <w:highlight w:val="none"/>
        </w:rPr>
      </w:pPr>
      <w:r>
        <w:rPr>
          <w:rFonts w:hint="eastAsia" w:ascii="宋体" w:hAnsi="宋体"/>
          <w:sz w:val="28"/>
          <w:szCs w:val="28"/>
          <w:highlight w:val="none"/>
        </w:rPr>
        <w:t xml:space="preserve">   </w:t>
      </w:r>
      <w:r>
        <w:rPr>
          <w:rFonts w:ascii="宋体" w:hAnsi="宋体"/>
          <w:sz w:val="28"/>
          <w:szCs w:val="28"/>
          <w:highlight w:val="none"/>
        </w:rPr>
        <w:t xml:space="preserve"> </w:t>
      </w:r>
      <w:r>
        <w:rPr>
          <w:rFonts w:hint="eastAsia" w:ascii="宋体" w:hAnsi="宋体" w:cs="仿宋_GB2312"/>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highlight w:val="none"/>
        </w:rPr>
      </w:r>
      <w:r/>
    </w:p>
    <w:p>
      <w:pPr>
        <w:pStyle w:val="734"/>
        <w:spacing w:line="400" w:lineRule="exact"/>
        <w:rPr>
          <w:rFonts w:ascii="黑体" w:hAnsi="黑体" w:eastAsia="黑体"/>
          <w:sz w:val="28"/>
          <w:szCs w:val="28"/>
          <w:highlight w:val="none"/>
        </w:rPr>
      </w:pPr>
      <w:r>
        <w:rPr>
          <w:rFonts w:ascii="黑体" w:hAnsi="黑体" w:eastAsia="黑体"/>
          <w:sz w:val="28"/>
          <w:szCs w:val="28"/>
          <w:highlight w:val="none"/>
        </w:rPr>
      </w:r>
      <w:r/>
    </w:p>
    <w:p>
      <w:pPr>
        <w:pStyle w:val="734"/>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r/>
    </w:p>
    <w:p>
      <w:pPr>
        <w:pStyle w:val="734"/>
        <w:spacing w:line="400" w:lineRule="exact"/>
        <w:rPr>
          <w:rFonts w:ascii="黑体" w:hAnsi="华文中宋" w:eastAsia="黑体"/>
          <w:b w:val="0"/>
          <w:bCs w:val="0"/>
          <w:sz w:val="28"/>
          <w:szCs w:val="28"/>
          <w:highlight w:val="none"/>
        </w:rPr>
      </w:pPr>
      <w:r>
        <w:rPr>
          <w:rFonts w:ascii="黑体" w:hAnsi="华文中宋" w:eastAsia="黑体"/>
          <w:b w:val="0"/>
          <w:bCs w:val="0"/>
          <w:sz w:val="28"/>
          <w:szCs w:val="28"/>
          <w:highlight w:val="none"/>
        </w:rPr>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highlight w:val="none"/>
        </w:rPr>
      </w:pPr>
      <w:r>
        <w:rPr>
          <w:highlight w:val="none"/>
        </w:rPr>
      </w:r>
      <w:r/>
    </w:p>
    <w:p>
      <w:pPr>
        <w:pStyle w:val="752"/>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2"/>
        <w:spacing w:line="400" w:lineRule="exact"/>
        <w:rPr>
          <w:rFonts w:ascii="宋体" w:hAnsi="宋体"/>
          <w:b/>
          <w:szCs w:val="21"/>
          <w:highlight w:val="none"/>
        </w:rPr>
      </w:pPr>
      <w:r>
        <w:rPr>
          <w:rFonts w:hint="eastAsia" w:ascii="宋体" w:hAnsi="宋体"/>
          <w:b/>
          <w:szCs w:val="21"/>
          <w:highlight w:val="none"/>
        </w:rPr>
        <w:t xml:space="preserve">项目信息</w:t>
      </w:r>
      <w:r/>
    </w:p>
    <w:p>
      <w:pPr>
        <w:pStyle w:val="752"/>
        <w:numPr>
          <w:ilvl w:val="0"/>
          <w:numId w:val="6"/>
        </w:numPr>
        <w:ind w:left="0" w:firstLine="420"/>
        <w:spacing w:after="0" w:line="400" w:lineRule="exact"/>
        <w:rPr>
          <w:rFonts w:ascii="宋体" w:hAnsi="宋体"/>
          <w:szCs w:val="21"/>
          <w:highlight w:val="none"/>
          <w:u w:val="single"/>
        </w:rPr>
      </w:pPr>
      <w:r>
        <w:rPr>
          <w:rFonts w:hint="eastAsia" w:ascii="宋体" w:hAnsi="宋体"/>
          <w:szCs w:val="21"/>
          <w:highlight w:val="none"/>
        </w:rPr>
        <w:t xml:space="preserve">采购项目名称：</w:t>
      </w:r>
      <w:r>
        <w:rPr>
          <w:rFonts w:ascii="宋体" w:hAnsi="宋体"/>
          <w:szCs w:val="21"/>
          <w:highlight w:val="none"/>
          <w:u w:val="single"/>
        </w:rPr>
        <w:t xml:space="preserve">                                          </w:t>
      </w:r>
      <w:r/>
    </w:p>
    <w:p>
      <w:pPr>
        <w:pStyle w:val="752"/>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752"/>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line="400" w:lineRule="exact"/>
        <w:rPr>
          <w:rFonts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420"/>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1007"/>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007"/>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pStyle w:val="1007"/>
        <w:ind w:firstLine="0"/>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07"/>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1007"/>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007"/>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1007"/>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1007"/>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1007"/>
        <w:ind w:firstLine="420"/>
        <w:rPr>
          <w:rFonts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1007"/>
        <w:ind w:firstLine="42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1007"/>
        <w:ind w:firstLine="220"/>
        <w:rPr>
          <w:rFonts w:ascii="宋体" w:hAnsi="宋体" w:eastAsia="宋体" w:cs="Times New Roman"/>
          <w:sz w:val="21"/>
          <w:highlight w:val="none"/>
        </w:rP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007"/>
        <w:ind w:firstLine="420"/>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宋体" w:hAnsi="宋体"/>
          <w:iCs/>
          <w:szCs w:val="21"/>
          <w:highlight w:val="none"/>
        </w:rPr>
        <w:t xml:space="preserve">       </w:t>
      </w: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1007"/>
        <w:ind w:firstLine="0"/>
        <w:rPr>
          <w:rFonts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p>
    <w:p>
      <w:pPr>
        <w:pStyle w:val="1007"/>
        <w:ind w:firstLine="420"/>
        <w:rPr>
          <w:rFonts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pStyle w:val="1007"/>
        <w:ind w:firstLine="420"/>
        <w:rPr>
          <w:rFonts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5"/>
        </w:numPr>
        <w:ind w:firstLine="422"/>
        <w:spacing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（注：固定单价合同应填写单价和最高限价）</w:t>
      </w:r>
      <w:r/>
    </w:p>
    <w:p>
      <w:pPr>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420"/>
        <w:spacing w:line="400" w:lineRule="exact"/>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p>
    <w:p>
      <w:pPr>
        <w:pStyle w:val="976"/>
        <w:ind w:left="0" w:firstLine="420"/>
        <w:spacing w:line="400" w:lineRule="exact"/>
        <w:rPr>
          <w:sz w:val="21"/>
          <w:szCs w:val="21"/>
          <w:highlight w:val="none"/>
          <w:lang w:eastAsia="zh-CN"/>
        </w:rPr>
      </w:pPr>
      <w:r>
        <w:rPr>
          <w:rFonts w:hint="eastAsia" w:ascii="宋体" w:hAnsi="宋体"/>
          <w:sz w:val="21"/>
          <w:szCs w:val="21"/>
          <w:highlight w:val="none"/>
          <w:lang w:eastAsia="zh-CN"/>
        </w:rPr>
        <w:t xml:space="preserve">（3）付款方式（按项目实际勾选填写）：</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400" w:lineRule="exact"/>
        <w:rPr>
          <w:highlight w:val="none"/>
        </w:rPr>
      </w:pPr>
      <w:r>
        <w:rPr>
          <w:rFonts w:ascii="Wingdings" w:hAnsi="Wingdings" w:eastAsia="Wingdings" w:cs="Wingdings"/>
          <w:szCs w:val="21"/>
          <w:highlight w:val="none"/>
        </w:rPr>
        <w:t xml:space="preserve">þ</w:t>
      </w:r>
      <w:r>
        <w:rPr>
          <w:rFonts w:hint="eastAsia" w:ascii="宋体" w:hAnsi="宋体"/>
          <w:szCs w:val="21"/>
          <w:highlight w:val="none"/>
        </w:rPr>
        <w:t xml:space="preserve">分期付款：</w:t>
      </w:r>
      <w:r>
        <w:rPr>
          <w:rFonts w:hint="eastAsia" w:ascii="宋体" w:hAnsi="宋体"/>
          <w:szCs w:val="21"/>
          <w:highlight w:val="none"/>
          <w:u w:val="single"/>
        </w:rPr>
        <w:t xml:space="preserve">  合同签订后，甲方支付预付款，金额为合同金额70%;12月2</w:t>
      </w:r>
      <w:r>
        <w:rPr>
          <w:rFonts w:hint="eastAsia" w:ascii="宋体" w:hAnsi="宋体"/>
          <w:szCs w:val="21"/>
          <w:highlight w:val="none"/>
          <w:u w:val="single"/>
          <w:lang w:val="en-US" w:eastAsia="zh-CN"/>
        </w:rPr>
        <w:t xml:space="preserve">9</w:t>
      </w:r>
      <w:r>
        <w:rPr>
          <w:rFonts w:hint="eastAsia" w:ascii="宋体" w:hAnsi="宋体"/>
          <w:szCs w:val="21"/>
          <w:highlight w:val="none"/>
          <w:u w:val="single"/>
        </w:rPr>
        <w:t xml:space="preserve">日前甲方验收货物到货情况，根据乙方设备到货的数量计算货款，如货款金额不足合同金额的70%，甲方不支付款项。如货款金额超过合同金额的 70%，甲方支付超出部分的金额，最多支付至合同金额</w:t>
      </w:r>
      <w:r>
        <w:rPr>
          <w:rFonts w:hint="eastAsia" w:ascii="宋体" w:hAnsi="宋体"/>
          <w:szCs w:val="21"/>
          <w:highlight w:val="none"/>
          <w:u w:val="single"/>
          <w:lang w:val="en-US" w:eastAsia="zh-CN"/>
        </w:rPr>
        <w:t xml:space="preserve">90</w:t>
      </w:r>
      <w:r>
        <w:rPr>
          <w:rFonts w:hint="eastAsia" w:ascii="宋体" w:hAnsi="宋体"/>
          <w:szCs w:val="21"/>
          <w:highlight w:val="none"/>
          <w:u w:val="single"/>
        </w:rPr>
        <w:t xml:space="preserve">%;完成项目全部内容并通过验收后，甲方支付剩余款项。</w:t>
      </w:r>
      <w:r/>
    </w:p>
    <w:p>
      <w:pPr>
        <w:spacing w:before="120" w:after="120"/>
        <w:rPr>
          <w:rFonts w:ascii="宋体" w:hAnsi="宋体" w:cs="Courier New"/>
          <w:bCs/>
          <w:sz w:val="24"/>
          <w:szCs w:val="24"/>
          <w:highlight w:val="none"/>
        </w:rPr>
      </w:pPr>
      <w:r>
        <w:rPr>
          <w:rFonts w:ascii="宋体" w:hAnsi="宋体" w:cs="Courier New"/>
          <w:bCs/>
          <w:sz w:val="24"/>
          <w:szCs w:val="24"/>
          <w:highlight w:val="none"/>
        </w:rPr>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5"/>
        </w:numPr>
        <w:ind w:firstLine="422"/>
        <w:spacing w:line="400" w:lineRule="exact"/>
        <w:rPr>
          <w:rFonts w:ascii="宋体" w:hAnsi="宋体"/>
          <w:b/>
          <w:szCs w:val="21"/>
          <w:highlight w:val="none"/>
          <w:u w:val="single"/>
        </w:rPr>
      </w:pPr>
      <w:r>
        <w:rPr>
          <w:rFonts w:hint="eastAsia" w:ascii="宋体" w:hAnsi="宋体"/>
          <w:b/>
          <w:szCs w:val="21"/>
          <w:highlight w:val="none"/>
        </w:rPr>
        <w:t xml:space="preserve">合同履行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þ</w:t>
      </w:r>
      <w:r>
        <w:rPr>
          <w:rFonts w:hint="eastAsia" w:ascii="宋体" w:hAnsi="宋体" w:cs="宋体"/>
          <w:szCs w:val="21"/>
          <w:highlight w:val="none"/>
        </w:rPr>
        <w:t xml:space="preserve">否</w:t>
      </w:r>
      <w:r/>
    </w:p>
    <w:p>
      <w:pPr>
        <w:pStyle w:val="1007"/>
        <w:rPr>
          <w:rFonts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1007"/>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p>
    <w:p>
      <w:pPr>
        <w:ind w:firstLine="420"/>
        <w:spacing w:line="400" w:lineRule="exact"/>
        <w:rPr>
          <w:rFonts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numPr>
          <w:ilvl w:val="0"/>
          <w:numId w:val="5"/>
        </w:numPr>
        <w:ind w:firstLine="422"/>
        <w:spacing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7"/>
        </w:numPr>
        <w:ind w:firstLine="420"/>
        <w:spacing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p>
    <w:p>
      <w:pPr>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525"/>
        <w:spacing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line="400" w:lineRule="exact"/>
        <w:rPr>
          <w:rFonts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p>
    <w:p>
      <w:pPr>
        <w:pStyle w:val="1007"/>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p>
    <w:p>
      <w:pPr>
        <w:numPr>
          <w:ilvl w:val="0"/>
          <w:numId w:val="5"/>
        </w:numPr>
        <w:ind w:firstLine="422"/>
        <w:spacing w:line="400" w:lineRule="exact"/>
        <w:rPr>
          <w:rFonts w:ascii="宋体" w:hAnsi="宋体"/>
          <w:b/>
          <w:szCs w:val="21"/>
          <w:highlight w:val="none"/>
        </w:rPr>
      </w:pP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1007"/>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numPr>
          <w:ilvl w:val="0"/>
          <w:numId w:val="5"/>
        </w:numPr>
        <w:ind w:firstLine="422"/>
        <w:spacing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numPr>
          <w:ilvl w:val="0"/>
          <w:numId w:val="5"/>
        </w:numPr>
        <w:ind w:firstLine="422"/>
        <w:spacing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spacing w:line="400" w:lineRule="exact"/>
        <w:rPr>
          <w:highlight w:val="none"/>
        </w:rPr>
      </w:pPr>
      <w:r>
        <w:rPr>
          <w:rFonts w:hint="eastAsia" w:ascii="宋体" w:hAnsi="宋体"/>
          <w:szCs w:val="21"/>
          <w:highlight w:val="none"/>
        </w:rPr>
        <w:t xml:space="preserve">附件：具体标的及其技术要求和商务要求、联合协议、分包意向协议等</w:t>
      </w:r>
      <w:r/>
    </w:p>
    <w:p>
      <w:pPr>
        <w:pStyle w:val="734"/>
        <w:spacing w:line="400" w:lineRule="exact"/>
        <w:rPr>
          <w:rFonts w:ascii="宋体" w:hAnsi="宋体"/>
          <w:b w:val="0"/>
          <w:bCs w:val="0"/>
          <w:sz w:val="21"/>
          <w:szCs w:val="21"/>
          <w:highlight w:val="none"/>
        </w:rPr>
      </w:pPr>
      <w:r>
        <w:rPr>
          <w:highlight w:val="none"/>
          <w:lang w:val="en"/>
        </w:rPr>
        <w:t xml:space="preserve">   </w:t>
      </w:r>
      <w:r/>
    </w:p>
    <w:p>
      <w:pPr>
        <w:pStyle w:val="976"/>
        <w:rPr>
          <w:highlight w:val="none"/>
          <w:lang w:eastAsia="zh-CN"/>
        </w:rPr>
      </w:pPr>
      <w:r>
        <w:rPr>
          <w:highlight w:val="none"/>
          <w:lang w:eastAsia="zh-CN"/>
        </w:rPr>
      </w:r>
      <w:r/>
    </w:p>
    <w:tbl>
      <w:tblPr>
        <w:tblStyle w:val="743"/>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trHeight w:val="490"/>
        </w:trPr>
        <w:tc>
          <w:tcPr>
            <w:gridSpan w:val="2"/>
            <w:tcW w:w="4303" w:type="dxa"/>
            <w:vAlign w:val="center"/>
            <w:textDirection w:val="lrTb"/>
            <w:noWrap w:val="false"/>
          </w:tcPr>
          <w:p>
            <w:pPr>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095"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59" w:type="dxa"/>
            <w:vAlign w:val="center"/>
            <w:textDirection w:val="lrTb"/>
            <w:noWrap w:val="false"/>
          </w:tcPr>
          <w:p>
            <w:pPr>
              <w:jc w:val="center"/>
              <w:spacing w:line="300" w:lineRule="exact"/>
              <w:rPr>
                <w:szCs w:val="21"/>
                <w:highlight w:val="none"/>
              </w:rPr>
            </w:pPr>
            <w:r>
              <w:rPr>
                <w:szCs w:val="21"/>
                <w:highlight w:val="none"/>
              </w:rPr>
            </w:r>
            <w:r/>
          </w:p>
        </w:tc>
      </w:tr>
      <w:tr>
        <w:trP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拥有者性别</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586"/>
        </w:trPr>
        <w:tc>
          <w:tcPr>
            <w:gridSpan w:val="4"/>
            <w:tcW w:w="8398" w:type="dxa"/>
            <w:vAlign w:val="center"/>
            <w:textDirection w:val="lrTb"/>
            <w:noWrap w:val="false"/>
          </w:tcPr>
          <w:p>
            <w:pPr>
              <w:pStyle w:val="752"/>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734"/>
        <w:spacing w:before="156"/>
        <w:rPr>
          <w:rFonts w:ascii="黑体" w:hAnsi="黑体" w:eastAsia="黑体"/>
          <w:sz w:val="28"/>
          <w:szCs w:val="28"/>
          <w:highlight w:val="none"/>
        </w:rPr>
      </w:pPr>
      <w:r>
        <w:rPr>
          <w:rFonts w:ascii="宋体" w:hAnsi="宋体"/>
          <w:sz w:val="21"/>
          <w:szCs w:val="21"/>
          <w:highlight w:val="none"/>
          <w:u w:val="single"/>
        </w:rPr>
        <w:br w:type="page" w:clear="all"/>
      </w:r>
      <w:r>
        <w:rPr>
          <w:rFonts w:hint="eastAsia" w:ascii="黑体" w:hAnsi="黑体" w:eastAsia="黑体"/>
          <w:b w:val="0"/>
          <w:bCs w:val="0"/>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8"/>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p>
    <w:p>
      <w:pPr>
        <w:numPr>
          <w:ilvl w:val="0"/>
          <w:numId w:val="9"/>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1007"/>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p>
    <w:p>
      <w:pPr>
        <w:pStyle w:val="756"/>
        <w:ind w:firstLine="420"/>
        <w:jc w:val="left"/>
        <w:spacing w:line="400" w:lineRule="exact"/>
        <w:rPr>
          <w:rFonts w:hAnsi="宋体"/>
          <w:b/>
          <w:highlight w:val="none"/>
        </w:rPr>
      </w:pPr>
      <w:r>
        <w:rPr>
          <w:rFonts w:hint="eastAsia" w:hAnsi="宋体"/>
          <w:highlight w:val="none"/>
        </w:rPr>
        <w:t xml:space="preserve">8.1 质量标准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56"/>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highlight w:val="none"/>
        </w:rPr>
        <w:t xml:space="preserve">。</w:t>
      </w:r>
      <w:r/>
    </w:p>
    <w:p>
      <w:pPr>
        <w:jc w:val="left"/>
        <w:spacing w:line="400" w:lineRule="exact"/>
        <w:rPr>
          <w:rFonts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13. 履约保证金</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1007"/>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10"/>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07"/>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1007"/>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1007"/>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Pr>
      <w:r>
        <w:rPr>
          <w:rFonts w:hint="eastAsia" w:ascii="宋体" w:hAnsi="宋体"/>
          <w:b/>
          <w:bCs/>
          <w:sz w:val="24"/>
          <w:highlight w:val="none"/>
        </w:rPr>
        <w:t xml:space="preserve">19. 解决争议的方法</w:t>
      </w:r>
      <w:r/>
    </w:p>
    <w:p>
      <w:pPr>
        <w:pStyle w:val="1007"/>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07"/>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1007"/>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1007"/>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1007"/>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none"/>
        </w:rPr>
      </w:pPr>
      <w:r>
        <w:rPr>
          <w:rFonts w:hint="eastAsia" w:ascii="宋体" w:hAnsi="宋体"/>
          <w:b/>
          <w:sz w:val="24"/>
          <w:highlight w:val="none"/>
        </w:rPr>
        <w:t xml:space="preserve">22. 通知</w:t>
      </w:r>
      <w:r/>
    </w:p>
    <w:p>
      <w:pPr>
        <w:pStyle w:val="1007"/>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07"/>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rPr>
          <w:rFonts w:ascii="黑体" w:hAnsi="华文中宋" w:eastAsia="黑体"/>
          <w:sz w:val="28"/>
          <w:szCs w:val="28"/>
          <w:highlight w:val="none"/>
        </w:rPr>
      </w:pPr>
      <w:r>
        <w:rPr>
          <w:rFonts w:hint="eastAsia" w:ascii="黑体" w:hAnsi="华文中宋" w:eastAsia="黑体"/>
          <w:sz w:val="28"/>
          <w:szCs w:val="28"/>
          <w:highlight w:val="none"/>
        </w:rPr>
        <w:br w:type="page" w:clear="all"/>
      </w:r>
      <w:r/>
    </w:p>
    <w:p>
      <w:pPr>
        <w:pStyle w:val="734"/>
        <w:rPr>
          <w:rFonts w:ascii="黑体" w:hAnsi="华文中宋" w:eastAsia="黑体"/>
          <w:b w:val="0"/>
          <w:bCs w:val="0"/>
          <w:sz w:val="28"/>
          <w:szCs w:val="28"/>
          <w:highlight w:val="none"/>
        </w:rPr>
      </w:pPr>
      <w:r>
        <w:rPr>
          <w:rFonts w:hint="eastAsia" w:ascii="黑体" w:hAnsi="华文中宋" w:eastAsia="黑体"/>
          <w:b w:val="0"/>
          <w:bCs w:val="0"/>
          <w:sz w:val="28"/>
          <w:szCs w:val="28"/>
          <w:highlight w:val="none"/>
        </w:rPr>
        <w:t xml:space="preserve">第三节 政府采购合同专用条款</w:t>
      </w:r>
      <w:r/>
    </w:p>
    <w:tbl>
      <w:tblPr>
        <w:tblStyle w:val="743"/>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highlight w:val="none"/>
              </w:rPr>
            </w:pPr>
            <w:r>
              <w:rPr>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highlight w:val="none"/>
              </w:rPr>
            </w:pP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ind w:firstLine="420"/>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第二节</w:t>
            </w:r>
            <w:r/>
          </w:p>
          <w:p>
            <w:pPr>
              <w:pStyle w:val="1007"/>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修理、重作、更换相关具体规定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p>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p>
          <w:p>
            <w:pPr>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pStyle w:val="751"/>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ind w:firstLine="480"/>
        <w:jc w:val="right"/>
        <w:spacing w:line="500" w:lineRule="exact"/>
        <w:rPr>
          <w:rFonts w:ascii="宋体" w:hAnsi="宋体"/>
          <w:bCs/>
          <w:sz w:val="24"/>
          <w:szCs w:val="21"/>
          <w:highlight w:val="none"/>
        </w:rPr>
      </w:pPr>
      <w:r>
        <w:rPr>
          <w:rFonts w:ascii="宋体" w:hAnsi="宋体"/>
          <w:bCs/>
          <w:sz w:val="24"/>
          <w:szCs w:val="21"/>
          <w:highlight w:val="none"/>
        </w:rPr>
      </w:r>
      <w:bookmarkEnd w:id="158"/>
      <w:r/>
      <w:bookmarkEnd w:id="159"/>
      <w:r/>
      <w:bookmarkEnd w:id="160"/>
      <w:r/>
      <w:r/>
    </w:p>
    <w:p>
      <w:pPr>
        <w:jc w:val="center"/>
        <w:spacing w:before="120" w:after="120" w:line="0" w:lineRule="atLeast"/>
        <w:rPr>
          <w:rFonts w:ascii="黑体" w:hAnsi="Courier New" w:eastAsia="黑体" w:cs="Courier New"/>
          <w:bCs/>
          <w:sz w:val="44"/>
          <w:szCs w:val="21"/>
          <w:highlight w:val="none"/>
        </w:rPr>
      </w:pPr>
      <w:r/>
      <w:bookmarkStart w:id="161" w:name="_Hlt16619369"/>
      <w:r/>
      <w:bookmarkEnd w:id="161"/>
      <w:r/>
      <w:bookmarkStart w:id="162" w:name="_Hlt16619350"/>
      <w:r/>
      <w:bookmarkStart w:id="163" w:name="_Toc20823346"/>
      <w:r/>
      <w:bookmarkStart w:id="164" w:name="_Toc120614244"/>
      <w:r/>
      <w:bookmarkStart w:id="165" w:name="_Toc16938590"/>
      <w:r/>
      <w:bookmarkStart w:id="166" w:name="_Toc479757211"/>
      <w:r/>
      <w:bookmarkStart w:id="167" w:name="_Toc462564139"/>
      <w:r>
        <w:rPr>
          <w:rFonts w:ascii="黑体" w:hAnsi="Courier New" w:eastAsia="黑体" w:cs="Courier New"/>
          <w:bCs/>
          <w:sz w:val="44"/>
          <w:szCs w:val="21"/>
          <w:highlight w:val="none"/>
        </w:rPr>
        <w:br w:type="page" w:clear="all"/>
      </w:r>
      <w:r>
        <w:rPr>
          <w:rFonts w:hint="eastAsia" w:ascii="黑体" w:hAnsi="Courier New" w:eastAsia="黑体" w:cs="Courier New"/>
          <w:bCs/>
          <w:sz w:val="44"/>
          <w:szCs w:val="21"/>
          <w:highlight w:val="none"/>
        </w:rPr>
        <w:t xml:space="preserve">第</w:t>
      </w:r>
      <w:bookmarkEnd w:id="162"/>
      <w:r>
        <w:rPr>
          <w:rFonts w:hint="eastAsia" w:ascii="黑体" w:hAnsi="Courier New" w:eastAsia="黑体" w:cs="Courier New"/>
          <w:bCs/>
          <w:sz w:val="44"/>
          <w:szCs w:val="21"/>
          <w:highlight w:val="none"/>
        </w:rPr>
        <w:t xml:space="preserve">四章 采购需求</w:t>
      </w:r>
      <w:bookmarkEnd w:id="163"/>
      <w:r/>
      <w:bookmarkEnd w:id="164"/>
      <w:r/>
      <w:bookmarkEnd w:id="165"/>
      <w:r/>
      <w:bookmarkStart w:id="168" w:name="_Toc26554093"/>
      <w:r/>
      <w:bookmarkStart w:id="169" w:name="_Toc49090575"/>
      <w:r/>
      <w:r/>
    </w:p>
    <w:p>
      <w:pPr>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采购包</w:t>
            </w:r>
            <w:r/>
          </w:p>
        </w:tc>
        <w:tc>
          <w:tcPr>
            <w:tcW w:w="54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329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p>
        </w:tc>
        <w:tc>
          <w:tcPr>
            <w:tcW w:w="2852"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p>
        </w:tc>
      </w:tr>
      <w:tr>
        <w:trPr>
          <w:cantSplit/>
          <w:jc w:val="center"/>
          <w:trHeight w:val="291"/>
        </w:trPr>
        <w:tc>
          <w:tcPr>
            <w:tcW w:w="545" w:type="dxa"/>
            <w:vMerge w:val="restart"/>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545"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3291" w:type="dxa"/>
            <w:textDirection w:val="lrTb"/>
            <w:noWrap w:val="false"/>
          </w:tcPr>
          <w:p>
            <w:pPr>
              <w:jc w:val="center"/>
              <w:spacing w:line="0" w:lineRule="atLeast"/>
              <w:tabs>
                <w:tab w:val="left" w:pos="2020" w:leader="none"/>
              </w:tabs>
              <w:rPr>
                <w:rFonts w:ascii="宋体" w:hAnsi="宋体"/>
                <w:sz w:val="24"/>
                <w:szCs w:val="24"/>
                <w:highlight w:val="none"/>
              </w:rPr>
            </w:pPr>
            <w:r>
              <w:rPr>
                <w:rFonts w:hint="eastAsia" w:ascii="宋体" w:hAnsi="宋体"/>
                <w:sz w:val="24"/>
                <w:szCs w:val="24"/>
                <w:highlight w:val="none"/>
              </w:rPr>
              <w:t xml:space="preserve">防火墙</w:t>
            </w:r>
            <w:r/>
          </w:p>
        </w:tc>
        <w:tc>
          <w:tcPr>
            <w:tcW w:w="2852"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工业</w:t>
            </w:r>
            <w:r/>
          </w:p>
        </w:tc>
      </w:tr>
      <w:tr>
        <w:trPr>
          <w:cantSplit/>
          <w:jc w:val="center"/>
          <w:trHeight w:val="235"/>
        </w:trPr>
        <w:tc>
          <w:tcPr>
            <w:tcW w:w="545" w:type="dxa"/>
            <w:vMerge w:val="continue"/>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545"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3291"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路由器</w:t>
            </w:r>
            <w:r/>
          </w:p>
        </w:tc>
        <w:tc>
          <w:tcPr>
            <w:tcW w:w="2852"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工业</w:t>
            </w:r>
            <w:r/>
          </w:p>
        </w:tc>
      </w:tr>
      <w:tr>
        <w:trPr>
          <w:cantSplit/>
          <w:jc w:val="center"/>
          <w:trHeight w:val="222"/>
        </w:trPr>
        <w:tc>
          <w:tcPr>
            <w:tcW w:w="545" w:type="dxa"/>
            <w:vMerge w:val="continue"/>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545"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3291"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交换机</w:t>
            </w:r>
            <w:r/>
          </w:p>
        </w:tc>
        <w:tc>
          <w:tcPr>
            <w:tcW w:w="2852"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工业</w:t>
            </w:r>
            <w:r/>
          </w:p>
        </w:tc>
      </w:tr>
    </w:tbl>
    <w:p>
      <w:pPr>
        <w:spacing w:line="0" w:lineRule="atLeast"/>
        <w:rPr>
          <w:rFonts w:ascii="宋体" w:hAnsi="宋体"/>
          <w:sz w:val="24"/>
          <w:szCs w:val="24"/>
          <w:highlight w:val="none"/>
        </w:rPr>
      </w:pPr>
      <w:r>
        <w:rPr>
          <w:rFonts w:ascii="宋体" w:hAnsi="宋体"/>
          <w:sz w:val="24"/>
          <w:szCs w:val="24"/>
          <w:highlight w:val="none"/>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、技术要求</w:t>
      </w:r>
      <w:r/>
    </w:p>
    <w:p>
      <w:pPr>
        <w:spacing w:line="0" w:lineRule="atLeast"/>
        <w:rPr>
          <w:rFonts w:ascii="宋体" w:hAnsi="宋体"/>
          <w:i/>
          <w:sz w:val="24"/>
          <w:szCs w:val="24"/>
          <w:highlight w:val="none"/>
          <w:u w:val="single"/>
        </w:rPr>
      </w:pPr>
      <w:r>
        <w:rPr>
          <w:rFonts w:hint="eastAsia" w:ascii="宋体" w:hAnsi="宋体"/>
          <w:bCs/>
          <w:color w:val="000000"/>
          <w:sz w:val="24"/>
          <w:szCs w:val="24"/>
          <w:highlight w:val="none"/>
        </w:rPr>
        <w:t xml:space="preserve">其中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或加*号条款为实质性要求。</w:t>
      </w:r>
      <w:r/>
    </w:p>
    <w:p>
      <w:pPr>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1.防火墙配置要求：（26台）</w:t>
      </w:r>
      <w:r/>
    </w:p>
    <w:tbl>
      <w:tblPr>
        <w:tblStyle w:val="743"/>
        <w:tblW w:w="83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8"/>
        <w:gridCol w:w="6905"/>
      </w:tblGrid>
      <w:tr>
        <w:trPr>
          <w:trHeight w:val="93"/>
        </w:trPr>
        <w:tc>
          <w:tcPr>
            <w:tcW w:w="1458" w:type="dxa"/>
            <w:vAlign w:val="center"/>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指标项</w:t>
            </w:r>
            <w:r/>
          </w:p>
        </w:tc>
        <w:tc>
          <w:tcPr>
            <w:tcW w:w="6905" w:type="dxa"/>
            <w:vAlign w:val="center"/>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描述</w:t>
            </w:r>
            <w:r/>
          </w:p>
        </w:tc>
      </w:tr>
      <w:tr>
        <w:trPr>
          <w:trHeight w:val="77"/>
        </w:trPr>
        <w:tc>
          <w:tcPr>
            <w:tcW w:w="1458" w:type="dxa"/>
            <w:vAlign w:val="center"/>
            <w:textDirection w:val="lrTb"/>
            <w:noWrap w:val="false"/>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硬件要求</w:t>
            </w:r>
            <w:r/>
          </w:p>
        </w:tc>
        <w:tc>
          <w:tcPr>
            <w:tcW w:w="6905" w:type="dxa"/>
            <w:vAlign w:val="center"/>
            <w:textDirection w:val="lrTb"/>
            <w:noWrap w:val="false"/>
          </w:tcPr>
          <w:p>
            <w:pPr>
              <w:rPr>
                <w:rFonts w:ascii="宋体" w:hAnsi="宋体" w:cs="宋体"/>
                <w:i/>
                <w:iCs/>
                <w:highlight w:val="none"/>
                <w:u w:val="single"/>
              </w:rPr>
            </w:pPr>
            <w:r>
              <w:rPr>
                <w:rFonts w:hint="eastAsia" w:ascii="宋体" w:hAnsi="宋体" w:cs="宋体"/>
                <w:i/>
                <w:iCs/>
                <w:szCs w:val="21"/>
                <w:highlight w:val="none"/>
                <w:u w:val="single"/>
              </w:rPr>
              <w:t xml:space="preserve">支持国密算法</w:t>
            </w:r>
            <w:r>
              <w:rPr>
                <w:rFonts w:hint="eastAsia" w:ascii="宋体" w:hAnsi="宋体" w:cs="宋体"/>
                <w:i/>
                <w:iCs/>
                <w:color w:val="000000"/>
                <w:szCs w:val="21"/>
                <w:highlight w:val="none"/>
                <w:u w:val="single"/>
                <w:lang w:bidi="ar"/>
              </w:rPr>
              <w:t xml:space="preserve">；配置</w:t>
            </w:r>
            <w:r>
              <w:rPr>
                <w:rFonts w:hint="eastAsia" w:ascii="宋体" w:hAnsi="宋体" w:cs="宋体"/>
                <w:i/>
                <w:iCs/>
                <w:color w:val="000000"/>
                <w:szCs w:val="21"/>
                <w:highlight w:val="none"/>
                <w:u w:val="single"/>
                <w:lang w:val="en-US" w:eastAsia="zh-CN" w:bidi="ar"/>
              </w:rPr>
              <w:t xml:space="preserve">不少于</w:t>
            </w:r>
            <w:r>
              <w:rPr>
                <w:rFonts w:hint="eastAsia" w:ascii="宋体" w:hAnsi="宋体" w:cs="宋体"/>
                <w:i/>
                <w:iCs/>
                <w:color w:val="000000"/>
                <w:szCs w:val="21"/>
                <w:highlight w:val="none"/>
                <w:u w:val="single"/>
                <w:lang w:bidi="ar"/>
              </w:rPr>
              <w:t xml:space="preserve">8个10/100/1000M Base-TX；</w:t>
            </w:r>
            <w:r>
              <w:rPr>
                <w:rFonts w:hint="eastAsia" w:ascii="宋体" w:hAnsi="宋体" w:cs="宋体"/>
                <w:i/>
                <w:iCs/>
                <w:color w:val="000000"/>
                <w:szCs w:val="21"/>
                <w:highlight w:val="none"/>
                <w:u w:val="single"/>
                <w:lang w:val="en-US" w:eastAsia="zh-CN" w:bidi="ar"/>
              </w:rPr>
              <w:t xml:space="preserve">不少于</w:t>
            </w:r>
            <w:r>
              <w:rPr>
                <w:rFonts w:hint="eastAsia" w:ascii="宋体" w:hAnsi="宋体" w:cs="宋体"/>
                <w:i/>
                <w:iCs/>
                <w:color w:val="000000"/>
                <w:szCs w:val="21"/>
                <w:highlight w:val="none"/>
                <w:u w:val="single"/>
                <w:lang w:bidi="ar"/>
              </w:rPr>
              <w:t xml:space="preserve">8个千兆光口插槽SFP,满足上述接口要求下，具有</w:t>
            </w:r>
            <w:r>
              <w:rPr>
                <w:rFonts w:hint="eastAsia" w:ascii="宋体" w:hAnsi="宋体" w:cs="宋体"/>
                <w:i/>
                <w:iCs/>
                <w:color w:val="000000"/>
                <w:szCs w:val="21"/>
                <w:highlight w:val="none"/>
                <w:u w:val="single"/>
                <w:lang w:val="en-US" w:eastAsia="zh-CN" w:bidi="ar"/>
              </w:rPr>
              <w:t xml:space="preserve">不少于</w:t>
            </w:r>
            <w:r>
              <w:rPr>
                <w:rFonts w:hint="eastAsia" w:ascii="宋体" w:hAnsi="宋体" w:cs="宋体"/>
                <w:i/>
                <w:iCs/>
                <w:color w:val="000000"/>
                <w:szCs w:val="21"/>
                <w:highlight w:val="none"/>
                <w:u w:val="single"/>
                <w:lang w:bidi="ar"/>
              </w:rPr>
              <w:t xml:space="preserve">1个接口扩展槽位；配置不小于8G内存，不小于128G</w:t>
            </w:r>
            <w:r>
              <w:rPr>
                <w:rFonts w:hint="eastAsia" w:ascii="宋体" w:hAnsi="宋体" w:cs="宋体"/>
                <w:i/>
                <w:iCs/>
                <w:color w:val="000000"/>
                <w:szCs w:val="21"/>
                <w:highlight w:val="none"/>
                <w:u w:val="single"/>
                <w:lang w:val="en-US" w:eastAsia="zh-CN" w:bidi="ar"/>
              </w:rPr>
              <w:t xml:space="preserve">硬盘容量</w:t>
            </w:r>
            <w:r>
              <w:rPr>
                <w:rFonts w:hint="eastAsia" w:ascii="宋体" w:hAnsi="宋体" w:cs="宋体"/>
                <w:i/>
                <w:iCs/>
                <w:color w:val="000000"/>
                <w:szCs w:val="21"/>
                <w:highlight w:val="none"/>
                <w:u w:val="single"/>
                <w:lang w:bidi="ar"/>
              </w:rPr>
              <w:t xml:space="preserve">，默认支持IPSec VPN和SSL VPN模块（</w:t>
            </w:r>
            <w:r>
              <w:rPr>
                <w:rFonts w:hint="eastAsia" w:ascii="宋体" w:hAnsi="宋体" w:cs="宋体"/>
                <w:i/>
                <w:iCs/>
                <w:color w:val="000000"/>
                <w:szCs w:val="21"/>
                <w:highlight w:val="none"/>
                <w:u w:val="single"/>
                <w:lang w:val="en-US" w:eastAsia="zh-CN" w:bidi="ar"/>
              </w:rPr>
              <w:t xml:space="preserve">不少于</w:t>
            </w:r>
            <w:r>
              <w:rPr>
                <w:rFonts w:hint="eastAsia" w:ascii="宋体" w:hAnsi="宋体" w:cs="宋体"/>
                <w:i/>
                <w:iCs/>
                <w:color w:val="000000"/>
                <w:szCs w:val="21"/>
                <w:highlight w:val="none"/>
                <w:u w:val="single"/>
                <w:lang w:bidi="ar"/>
              </w:rPr>
              <w:t xml:space="preserve">200个并发用户）；网络并发不小于10Gbps，应用层吞吐量不小于8Gbps，并发连接数不小于600万，新建连接数不小于10万/秒。</w:t>
            </w:r>
            <w:r/>
          </w:p>
        </w:tc>
      </w:tr>
      <w:tr>
        <w:trPr>
          <w:trHeight w:val="77"/>
        </w:trPr>
        <w:tc>
          <w:tcPr>
            <w:tcW w:w="1458" w:type="dxa"/>
            <w:vAlign w:val="center"/>
            <w:textDirection w:val="lrTb"/>
            <w:noWrap w:val="false"/>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国产化证明</w:t>
            </w:r>
            <w:r/>
          </w:p>
        </w:tc>
        <w:tc>
          <w:tcPr>
            <w:tcW w:w="6905" w:type="dxa"/>
            <w:vAlign w:val="center"/>
            <w:textDirection w:val="lrTb"/>
            <w:noWrap w:val="false"/>
          </w:tcPr>
          <w:p>
            <w:pPr>
              <w:rPr>
                <w:rFonts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CPU、操作系统属于中国信息安全测评中心发布的《安全可靠测评结果》名录中。（提供包含CPU、操作系统相关证明）</w:t>
            </w:r>
            <w:r/>
          </w:p>
        </w:tc>
      </w:tr>
      <w:tr>
        <w:trPr>
          <w:trHeight w:val="77"/>
        </w:trPr>
        <w:tc>
          <w:tcPr>
            <w:tcW w:w="1458" w:type="dxa"/>
            <w:vAlign w:val="center"/>
            <w:textDirection w:val="lrTb"/>
            <w:noWrap w:val="false"/>
          </w:tcPr>
          <w:p>
            <w:pPr>
              <w:jc w:val="center"/>
              <w:widowControl/>
              <w:rPr>
                <w:rFonts w:ascii="宋体" w:hAnsi="宋体" w:cs="宋体"/>
                <w:bCs/>
                <w:szCs w:val="21"/>
                <w:highlight w:val="none"/>
              </w:rPr>
            </w:pPr>
            <w:r>
              <w:rPr>
                <w:rFonts w:hint="eastAsia" w:ascii="宋体" w:hAnsi="宋体" w:cs="宋体"/>
                <w:bCs/>
                <w:szCs w:val="21"/>
                <w:highlight w:val="none"/>
              </w:rPr>
              <w:t xml:space="preserve">兼容性要求</w:t>
            </w:r>
            <w:r/>
          </w:p>
        </w:tc>
        <w:tc>
          <w:tcPr>
            <w:tcW w:w="6905" w:type="dxa"/>
            <w:vAlign w:val="center"/>
            <w:textDirection w:val="lrTb"/>
            <w:noWrap w:val="false"/>
          </w:tcPr>
          <w:p>
            <w:pPr>
              <w:rPr>
                <w:rFonts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设备可与现有态势感知平台实现联动处置，执行态势感知平台发送的封禁IP等指令。</w:t>
            </w:r>
            <w:r>
              <w:rPr>
                <w:rFonts w:hint="eastAsia" w:ascii="宋体" w:hAnsi="宋体" w:cs="宋体"/>
                <w:i/>
                <w:iCs/>
                <w:color w:val="000000"/>
                <w:szCs w:val="21"/>
                <w:highlight w:val="none"/>
                <w:u w:val="single"/>
                <w:lang w:bidi="ar"/>
              </w:rPr>
              <w:t xml:space="preserve">（投标人提供响应承诺函。）</w:t>
            </w:r>
            <w:r/>
          </w:p>
        </w:tc>
      </w:tr>
      <w:tr>
        <w:trPr>
          <w:trHeight w:val="77"/>
        </w:trPr>
        <w:tc>
          <w:tcPr>
            <w:tcW w:w="1458" w:type="dxa"/>
            <w:vAlign w:val="center"/>
            <w:textDirection w:val="lrTb"/>
            <w:noWrap w:val="false"/>
          </w:tcPr>
          <w:p>
            <w:pPr>
              <w:jc w:val="center"/>
              <w:widowControl/>
              <w:rPr>
                <w:rFonts w:ascii="宋体" w:hAnsi="宋体" w:cs="宋体"/>
                <w:bCs/>
                <w:szCs w:val="21"/>
                <w:highlight w:val="none"/>
              </w:rPr>
            </w:pPr>
            <w:r>
              <w:rPr>
                <w:rFonts w:hint="eastAsia" w:ascii="宋体" w:hAnsi="宋体" w:cs="宋体"/>
                <w:bCs/>
                <w:szCs w:val="21"/>
                <w:highlight w:val="none"/>
              </w:rPr>
              <w:t xml:space="preserve">资产管理</w:t>
            </w:r>
            <w:r/>
          </w:p>
        </w:tc>
        <w:tc>
          <w:tcPr>
            <w:tcW w:w="6905" w:type="dxa"/>
            <w:vAlign w:val="center"/>
            <w:textDirection w:val="lrTb"/>
            <w:noWrap w:val="false"/>
          </w:tcPr>
          <w:p>
            <w:pPr>
              <w:jc w:val="left"/>
              <w:widowControl/>
              <w:rPr>
                <w:rFonts w:ascii="宋体" w:hAnsi="宋体" w:cs="宋体"/>
                <w:i/>
                <w:iCs/>
                <w:highlight w:val="none"/>
                <w:u w:val="single"/>
              </w:rPr>
            </w:pPr>
            <w:r>
              <w:rPr>
                <w:rFonts w:hint="eastAsia" w:ascii="宋体" w:hAnsi="宋体" w:cs="宋体"/>
                <w:i/>
                <w:iCs/>
                <w:highlight w:val="none"/>
                <w:u w:val="single"/>
              </w:rPr>
              <w:t xml:space="preserve">资产支持学习模式；支持源地址、目的地址超大黑名单功能，支持导入黑名单条目数量为不低于20万条（提供功能截图</w:t>
            </w:r>
            <w:r>
              <w:rPr>
                <w:rFonts w:hint="eastAsia"/>
                <w:i/>
                <w:iCs/>
                <w:highlight w:val="none"/>
                <w:u w:val="single"/>
                <w:lang w:val="en-US" w:eastAsia="zh-CN"/>
              </w:rPr>
              <w:t xml:space="preserve">或白皮书</w:t>
            </w:r>
            <w:r>
              <w:rPr>
                <w:rFonts w:hint="eastAsia" w:ascii="宋体" w:hAnsi="宋体" w:cs="宋体"/>
                <w:i/>
                <w:iCs/>
                <w:highlight w:val="none"/>
                <w:u w:val="single"/>
              </w:rPr>
              <w:t xml:space="preserve">证明）。</w:t>
            </w:r>
            <w:r/>
          </w:p>
        </w:tc>
      </w:tr>
      <w:tr>
        <w:trPr>
          <w:trHeight w:val="77"/>
        </w:trPr>
        <w:tc>
          <w:tcPr>
            <w:tcW w:w="1458" w:type="dxa"/>
            <w:vAlign w:val="center"/>
            <w:vMerge w:val="restart"/>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应用管理</w:t>
            </w:r>
            <w:r/>
          </w:p>
        </w:tc>
        <w:tc>
          <w:tcPr>
            <w:tcW w:w="6905" w:type="dxa"/>
            <w:vAlign w:val="center"/>
            <w:textDirection w:val="lrTb"/>
            <w:noWrap w:val="false"/>
          </w:tcPr>
          <w:p>
            <w:pPr>
              <w:jc w:val="left"/>
              <w:widowControl/>
              <w:rPr>
                <w:rFonts w:ascii="宋体" w:hAnsi="宋体" w:cs="宋体"/>
                <w:i/>
                <w:iCs/>
                <w:highlight w:val="none"/>
                <w:u w:val="single"/>
              </w:rPr>
            </w:pPr>
            <w:r>
              <w:rPr>
                <w:rFonts w:hint="eastAsia" w:ascii="宋体" w:hAnsi="宋体" w:cs="宋体"/>
                <w:i/>
                <w:iCs/>
                <w:highlight w:val="none"/>
                <w:u w:val="single"/>
              </w:rPr>
              <w:t xml:space="preserve">支持路由、透明、旁路镜像、混合等多种部署模式；支持对HTTP、HTTPS、FTP、SMB、SMTP、POP3、IMAP等协议进行病毒检测和查杀，支持对最大20层的压缩文件进行查杀。</w:t>
            </w:r>
            <w:r/>
          </w:p>
        </w:tc>
      </w:tr>
      <w:tr>
        <w:trPr>
          <w:trHeight w:val="463"/>
        </w:trPr>
        <w:tc>
          <w:tcPr>
            <w:tcW w:w="1458" w:type="dxa"/>
            <w:vAlign w:val="center"/>
            <w:vMerge w:val="continue"/>
            <w:textDirection w:val="lrTb"/>
            <w:noWrap w:val="false"/>
          </w:tcPr>
          <w:p>
            <w:pPr>
              <w:jc w:val="center"/>
              <w:widowControl/>
              <w:rPr>
                <w:rFonts w:ascii="宋体" w:hAnsi="宋体" w:cs="宋体"/>
                <w:bCs/>
                <w:szCs w:val="21"/>
                <w:highlight w:val="none"/>
              </w:rPr>
            </w:pPr>
            <w:r>
              <w:rPr>
                <w:rFonts w:ascii="宋体" w:hAnsi="宋体" w:cs="宋体"/>
                <w:bCs/>
                <w:szCs w:val="21"/>
                <w:highlight w:val="none"/>
              </w:rPr>
            </w:r>
            <w:r/>
          </w:p>
        </w:tc>
        <w:tc>
          <w:tcPr>
            <w:tcW w:w="6905" w:type="dxa"/>
            <w:vAlign w:val="center"/>
            <w:textDirection w:val="lrTb"/>
            <w:noWrap w:val="false"/>
          </w:tcPr>
          <w:p>
            <w:pPr>
              <w:jc w:val="left"/>
              <w:widowControl/>
              <w:rPr>
                <w:rFonts w:ascii="宋体" w:hAnsi="宋体" w:cs="宋体"/>
                <w:i/>
                <w:iCs/>
                <w:highlight w:val="none"/>
                <w:u w:val="single"/>
              </w:rPr>
            </w:pPr>
            <w:r>
              <w:rPr>
                <w:rFonts w:hint="eastAsia" w:ascii="宋体" w:hAnsi="宋体" w:cs="宋体"/>
                <w:i/>
                <w:iCs/>
                <w:highlight w:val="none"/>
                <w:u w:val="single"/>
              </w:rPr>
              <w:t xml:space="preserve">支持策略风险调优，支持安全策略优化分析，支持策略数冗余及命中分析，支持基于应用风险的策略调优。</w:t>
            </w:r>
            <w:r/>
          </w:p>
        </w:tc>
      </w:tr>
      <w:tr>
        <w:trPr>
          <w:trHeight w:val="463"/>
        </w:trPr>
        <w:tc>
          <w:tcPr>
            <w:tcW w:w="1458" w:type="dxa"/>
            <w:vAlign w:val="center"/>
            <w:vMerge w:val="continue"/>
            <w:textDirection w:val="lrTb"/>
            <w:noWrap w:val="false"/>
          </w:tcPr>
          <w:p>
            <w:pPr>
              <w:jc w:val="left"/>
              <w:widowControl/>
              <w:rPr>
                <w:rFonts w:ascii="宋体" w:hAnsi="宋体" w:cs="宋体"/>
                <w:bCs/>
                <w:highlight w:val="none"/>
              </w:rPr>
            </w:pPr>
            <w:r>
              <w:rPr>
                <w:rFonts w:ascii="宋体" w:hAnsi="宋体" w:cs="宋体"/>
                <w:bCs/>
                <w:highlight w:val="none"/>
              </w:rPr>
            </w:r>
            <w:r/>
          </w:p>
        </w:tc>
        <w:tc>
          <w:tcPr>
            <w:tcW w:w="6905" w:type="dxa"/>
            <w:vAlign w:val="center"/>
            <w:textDirection w:val="lrTb"/>
            <w:noWrap w:val="false"/>
          </w:tcPr>
          <w:p>
            <w:pPr>
              <w:jc w:val="left"/>
              <w:widowControl/>
              <w:rPr>
                <w:rFonts w:ascii="宋体" w:hAnsi="宋体" w:cs="宋体"/>
                <w:i/>
                <w:iCs/>
                <w:highlight w:val="none"/>
                <w:u w:val="single"/>
              </w:rPr>
            </w:pPr>
            <w:r>
              <w:rPr>
                <w:rFonts w:hint="eastAsia" w:ascii="宋体" w:hAnsi="宋体" w:cs="宋体"/>
                <w:i/>
                <w:iCs/>
                <w:highlight w:val="none"/>
                <w:u w:val="single"/>
              </w:rPr>
              <w:t xml:space="preserve">应用防护支持服务信息隐藏，可针对数据库、FTP、HTTP、SMTP、TELNET等服务信息特征进行隐藏或替换，服务信息特征数量≥180条，可自定义服务信息隐藏替换字符串（提供功能截图</w:t>
            </w:r>
            <w:r>
              <w:rPr>
                <w:rFonts w:hint="eastAsia"/>
                <w:i/>
                <w:iCs/>
                <w:highlight w:val="none"/>
                <w:u w:val="single"/>
                <w:lang w:val="en-US" w:eastAsia="zh-CN"/>
              </w:rPr>
              <w:t xml:space="preserve">或白皮书</w:t>
            </w:r>
            <w:r>
              <w:rPr>
                <w:rFonts w:hint="eastAsia" w:ascii="宋体" w:hAnsi="宋体" w:cs="宋体"/>
                <w:i/>
                <w:iCs/>
                <w:highlight w:val="none"/>
                <w:u w:val="single"/>
              </w:rPr>
              <w:t xml:space="preserve">证明）。</w:t>
            </w:r>
            <w:r/>
          </w:p>
        </w:tc>
      </w:tr>
      <w:tr>
        <w:trPr>
          <w:trHeight w:val="77"/>
        </w:trPr>
        <w:tc>
          <w:tcPr>
            <w:tcW w:w="1458" w:type="dxa"/>
            <w:vAlign w:val="center"/>
            <w:textDirection w:val="lrTb"/>
            <w:noWrap w:val="false"/>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防病毒</w:t>
            </w:r>
            <w:r/>
          </w:p>
        </w:tc>
        <w:tc>
          <w:tcPr>
            <w:tcW w:w="6905" w:type="dxa"/>
            <w:vAlign w:val="center"/>
            <w:textDirection w:val="lrTb"/>
            <w:noWrap w:val="false"/>
          </w:tcPr>
          <w:p>
            <w:pPr>
              <w:jc w:val="left"/>
              <w:widowControl/>
              <w:rPr>
                <w:rFonts w:ascii="宋体" w:hAnsi="宋体" w:cs="宋体"/>
                <w:i/>
                <w:iCs/>
                <w:szCs w:val="21"/>
                <w:highlight w:val="none"/>
                <w:u w:val="single"/>
              </w:rPr>
            </w:pPr>
            <w:r>
              <w:rPr>
                <w:rFonts w:hint="eastAsia" w:ascii="宋体" w:hAnsi="宋体" w:cs="宋体"/>
                <w:i/>
                <w:iCs/>
                <w:highlight w:val="none"/>
                <w:u w:val="single"/>
              </w:rPr>
              <w:t xml:space="preserve">支持配置多个不同的防病毒检测引擎；可自定义病毒特征库，以及和终端安全软件联动可有效识别查杀并阻断勒索软件的传播；支持基于MD5值的文件定病毒签名，可快速对0day样本进行查杀（提供</w:t>
            </w:r>
            <w:r>
              <w:rPr>
                <w:rFonts w:hint="eastAsia"/>
                <w:i/>
                <w:iCs/>
                <w:highlight w:val="none"/>
                <w:u w:val="single"/>
              </w:rPr>
              <w:t xml:space="preserve">具有CMA标识的</w:t>
            </w:r>
            <w:r>
              <w:rPr>
                <w:rFonts w:hint="eastAsia" w:ascii="宋体" w:hAnsi="宋体" w:cs="宋体"/>
                <w:i/>
                <w:iCs/>
                <w:highlight w:val="none"/>
                <w:u w:val="single"/>
              </w:rPr>
              <w:t xml:space="preserve">第三方检测报告）。</w:t>
            </w:r>
            <w:r/>
          </w:p>
        </w:tc>
      </w:tr>
      <w:tr>
        <w:trPr>
          <w:trHeight w:val="77"/>
        </w:trPr>
        <w:tc>
          <w:tcPr>
            <w:tcW w:w="1458" w:type="dxa"/>
            <w:vAlign w:val="center"/>
            <w:vMerge w:val="restart"/>
            <w:textDirection w:val="lrTb"/>
            <w:noWrap w:val="false"/>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入侵防御</w:t>
            </w:r>
            <w:r/>
          </w:p>
        </w:tc>
        <w:tc>
          <w:tcPr>
            <w:tcW w:w="6905" w:type="dxa"/>
            <w:vAlign w:val="center"/>
            <w:textDirection w:val="lrTb"/>
            <w:noWrap w:val="false"/>
          </w:tcPr>
          <w:p>
            <w:pPr>
              <w:rPr>
                <w:rFonts w:ascii="宋体" w:hAnsi="宋体" w:cs="宋体"/>
                <w:i/>
                <w:iCs/>
                <w:color w:val="000000"/>
                <w:szCs w:val="21"/>
                <w:highlight w:val="none"/>
                <w:u w:val="single"/>
              </w:rPr>
            </w:pPr>
            <w:r>
              <w:rPr>
                <w:rFonts w:hint="eastAsia" w:ascii="宋体" w:hAnsi="宋体" w:cs="宋体"/>
                <w:i/>
                <w:iCs/>
                <w:highlight w:val="none"/>
                <w:u w:val="single"/>
              </w:rPr>
              <w:t xml:space="preserve">支持基于策略的入侵检测与防护。</w:t>
            </w:r>
            <w:r/>
          </w:p>
        </w:tc>
      </w:tr>
      <w:tr>
        <w:trPr>
          <w:trHeight w:val="77"/>
        </w:trPr>
        <w:tc>
          <w:tcPr>
            <w:tcW w:w="1458" w:type="dxa"/>
            <w:vAlign w:val="center"/>
            <w:vMerge w:val="continue"/>
            <w:textDirection w:val="lrTb"/>
            <w:noWrap w:val="false"/>
          </w:tcPr>
          <w:p>
            <w:pPr>
              <w:jc w:val="center"/>
              <w:widowControl/>
              <w:rPr>
                <w:rFonts w:ascii="宋体" w:hAnsi="宋体" w:cs="宋体"/>
                <w:b/>
                <w:color w:val="000000"/>
                <w:szCs w:val="21"/>
                <w:highlight w:val="none"/>
              </w:rPr>
            </w:pPr>
            <w:r>
              <w:rPr>
                <w:rFonts w:ascii="宋体" w:hAnsi="宋体" w:cs="宋体"/>
                <w:b/>
                <w:color w:val="000000"/>
                <w:szCs w:val="21"/>
                <w:highlight w:val="none"/>
              </w:rPr>
            </w:r>
            <w:r/>
          </w:p>
        </w:tc>
        <w:tc>
          <w:tcPr>
            <w:tcW w:w="6905" w:type="dxa"/>
            <w:vAlign w:val="center"/>
            <w:textDirection w:val="lrTb"/>
            <w:noWrap w:val="false"/>
          </w:tcPr>
          <w:p>
            <w:pPr>
              <w:rPr>
                <w:rFonts w:ascii="宋体" w:hAnsi="宋体" w:cs="宋体"/>
                <w:i/>
                <w:iCs/>
                <w:highlight w:val="none"/>
                <w:u w:val="single"/>
              </w:rPr>
            </w:pPr>
            <w:r>
              <w:rPr>
                <w:rFonts w:hint="eastAsia" w:ascii="宋体" w:hAnsi="宋体" w:cs="宋体"/>
                <w:i/>
                <w:iCs/>
                <w:highlight w:val="none"/>
                <w:u w:val="single"/>
              </w:rPr>
              <w:t xml:space="preserve">支持主流ICMPFLOOD\SYNFLOOD\ACKFLOOD\UDPFLOOD攻击防护，采用专业高效攻击防护算法，非采用简单的阈值进行攻击防护；同时支持专业的DNSflood攻击防护，具有高级的基于聚类限速、聚类分析、重传检测等多种高级防护算法（提供</w:t>
            </w:r>
            <w:r>
              <w:rPr>
                <w:rFonts w:hint="eastAsia"/>
                <w:i/>
                <w:iCs/>
                <w:highlight w:val="none"/>
                <w:u w:val="single"/>
              </w:rPr>
              <w:t xml:space="preserve">具有CMA标识的</w:t>
            </w:r>
            <w:r>
              <w:rPr>
                <w:rFonts w:hint="eastAsia" w:ascii="宋体" w:hAnsi="宋体" w:cs="宋体"/>
                <w:i/>
                <w:iCs/>
                <w:highlight w:val="none"/>
                <w:u w:val="single"/>
              </w:rPr>
              <w:t xml:space="preserve">第三方检测报告）。</w:t>
            </w:r>
            <w:r/>
          </w:p>
        </w:tc>
      </w:tr>
      <w:tr>
        <w:trPr>
          <w:trHeight w:val="77"/>
        </w:trPr>
        <w:tc>
          <w:tcPr>
            <w:tcW w:w="1458" w:type="dxa"/>
            <w:vAlign w:val="center"/>
            <w:vMerge w:val="restart"/>
            <w:textDirection w:val="lrTb"/>
            <w:noWrap w:val="false"/>
          </w:tcPr>
          <w:p>
            <w:pPr>
              <w:jc w:val="center"/>
              <w:widowControl/>
              <w:rPr>
                <w:rFonts w:ascii="宋体" w:hAnsi="宋体" w:cs="宋体"/>
                <w:b/>
                <w:color w:val="000000"/>
                <w:szCs w:val="21"/>
                <w:highlight w:val="none"/>
              </w:rPr>
            </w:pPr>
            <w:r>
              <w:rPr>
                <w:rFonts w:hint="eastAsia" w:ascii="宋体" w:hAnsi="宋体" w:cs="宋体"/>
                <w:bCs/>
                <w:szCs w:val="21"/>
                <w:highlight w:val="none"/>
              </w:rPr>
              <w:t xml:space="preserve">IPV6能力</w:t>
            </w:r>
            <w:r/>
          </w:p>
        </w:tc>
        <w:tc>
          <w:tcPr>
            <w:tcW w:w="6905" w:type="dxa"/>
            <w:vAlign w:val="center"/>
            <w:textDirection w:val="lrTb"/>
            <w:noWrap w:val="false"/>
          </w:tcPr>
          <w:p>
            <w:pPr>
              <w:rPr>
                <w:rFonts w:ascii="宋体" w:hAnsi="宋体" w:cs="宋体"/>
                <w:i/>
                <w:iCs/>
                <w:highlight w:val="none"/>
                <w:u w:val="single"/>
              </w:rPr>
            </w:pPr>
            <w:r>
              <w:rPr>
                <w:rFonts w:hint="eastAsia" w:ascii="宋体" w:hAnsi="宋体" w:cs="宋体"/>
                <w:bCs/>
                <w:i/>
                <w:iCs/>
                <w:szCs w:val="21"/>
                <w:highlight w:val="none"/>
                <w:u w:val="single"/>
              </w:rPr>
              <w:t xml:space="preserve">产品支持IPv4/IPv6双栈工作模式。</w:t>
            </w:r>
            <w:r/>
          </w:p>
        </w:tc>
      </w:tr>
      <w:tr>
        <w:trPr>
          <w:trHeight w:val="77"/>
        </w:trPr>
        <w:tc>
          <w:tcPr>
            <w:tcW w:w="1458" w:type="dxa"/>
            <w:vAlign w:val="center"/>
            <w:vMerge w:val="continue"/>
            <w:textDirection w:val="lrTb"/>
            <w:noWrap w:val="false"/>
          </w:tcPr>
          <w:p>
            <w:pPr>
              <w:jc w:val="center"/>
              <w:widowControl/>
              <w:rPr>
                <w:rFonts w:ascii="宋体" w:hAnsi="宋体" w:cs="宋体"/>
                <w:b/>
                <w:color w:val="000000"/>
                <w:szCs w:val="21"/>
                <w:highlight w:val="none"/>
              </w:rPr>
            </w:pPr>
            <w:r>
              <w:rPr>
                <w:rFonts w:ascii="宋体" w:hAnsi="宋体" w:cs="宋体"/>
                <w:b/>
                <w:color w:val="000000"/>
                <w:szCs w:val="21"/>
                <w:highlight w:val="none"/>
              </w:rPr>
            </w:r>
            <w:r/>
          </w:p>
        </w:tc>
        <w:tc>
          <w:tcPr>
            <w:tcW w:w="6905" w:type="dxa"/>
            <w:vAlign w:val="center"/>
            <w:textDirection w:val="lrTb"/>
            <w:noWrap w:val="false"/>
          </w:tcPr>
          <w:p>
            <w:pPr>
              <w:jc w:val="left"/>
              <w:widowControl/>
              <w:rPr>
                <w:rFonts w:ascii="宋体" w:hAnsi="宋体" w:cs="宋体"/>
                <w:i/>
                <w:iCs/>
                <w:highlight w:val="none"/>
                <w:u w:val="single"/>
              </w:rPr>
            </w:pPr>
            <w:r>
              <w:rPr>
                <w:rFonts w:hint="eastAsia" w:ascii="宋体" w:hAnsi="宋体" w:cs="宋体"/>
                <w:i/>
                <w:iCs/>
                <w:highlight w:val="none"/>
                <w:u w:val="single"/>
              </w:rPr>
              <w:t xml:space="preserve">支持基于IPv4、IPv6的SD-WAN策略设置。</w:t>
            </w:r>
            <w:r/>
          </w:p>
        </w:tc>
      </w:tr>
      <w:tr>
        <w:trPr>
          <w:trHeight w:val="77"/>
        </w:trPr>
        <w:tc>
          <w:tcPr>
            <w:tcW w:w="1458" w:type="dxa"/>
            <w:vAlign w:val="center"/>
            <w:vMerge w:val="continue"/>
            <w:textDirection w:val="lrTb"/>
            <w:noWrap w:val="false"/>
          </w:tcPr>
          <w:p>
            <w:pPr>
              <w:jc w:val="center"/>
              <w:widowControl/>
              <w:rPr>
                <w:rFonts w:ascii="宋体" w:hAnsi="宋体" w:cs="宋体"/>
                <w:b/>
                <w:color w:val="000000"/>
                <w:szCs w:val="21"/>
                <w:highlight w:val="none"/>
              </w:rPr>
            </w:pPr>
            <w:r>
              <w:rPr>
                <w:rFonts w:ascii="宋体" w:hAnsi="宋体" w:cs="宋体"/>
                <w:b/>
                <w:color w:val="000000"/>
                <w:szCs w:val="21"/>
                <w:highlight w:val="none"/>
              </w:rPr>
            </w:r>
            <w:r/>
          </w:p>
        </w:tc>
        <w:tc>
          <w:tcPr>
            <w:tcW w:w="6905" w:type="dxa"/>
            <w:vAlign w:val="center"/>
            <w:textDirection w:val="lrTb"/>
            <w:noWrap w:val="false"/>
          </w:tcPr>
          <w:p>
            <w:pPr>
              <w:jc w:val="left"/>
              <w:widowControl/>
              <w:rPr>
                <w:rFonts w:ascii="宋体" w:hAnsi="宋体" w:cs="宋体"/>
                <w:i/>
                <w:iCs/>
                <w:highlight w:val="none"/>
                <w:u w:val="single"/>
              </w:rPr>
            </w:pPr>
            <w:r>
              <w:rPr>
                <w:rFonts w:hint="eastAsia" w:ascii="宋体" w:hAnsi="宋体" w:cs="宋体"/>
                <w:i/>
                <w:iCs/>
                <w:highlight w:val="none"/>
                <w:u w:val="single"/>
              </w:rPr>
              <w:t xml:space="preserve">支持IPv6一体化安全策略配置；支持NAT66功能，支持源端口匹配、源端口转换，支持源目的哈希、源IP哈希、轮询等负载均衡算法（提供</w:t>
            </w:r>
            <w:r>
              <w:rPr>
                <w:rFonts w:hint="eastAsia"/>
                <w:i/>
                <w:iCs/>
                <w:highlight w:val="none"/>
                <w:u w:val="single"/>
              </w:rPr>
              <w:t xml:space="preserve">具有CMA标识的</w:t>
            </w:r>
            <w:r>
              <w:rPr>
                <w:rFonts w:hint="eastAsia" w:ascii="宋体" w:hAnsi="宋体" w:cs="宋体"/>
                <w:i/>
                <w:iCs/>
                <w:highlight w:val="none"/>
                <w:u w:val="single"/>
              </w:rPr>
              <w:t xml:space="preserve">第三方检测报告）。</w:t>
            </w:r>
            <w:r/>
          </w:p>
        </w:tc>
      </w:tr>
      <w:tr>
        <w:trPr>
          <w:trHeight w:val="77"/>
        </w:trPr>
        <w:tc>
          <w:tcPr>
            <w:tcW w:w="1458" w:type="dxa"/>
            <w:vAlign w:val="center"/>
            <w:vMerge w:val="continue"/>
            <w:textDirection w:val="lrTb"/>
            <w:noWrap w:val="false"/>
          </w:tcPr>
          <w:p>
            <w:pPr>
              <w:jc w:val="center"/>
              <w:widowControl/>
              <w:rPr>
                <w:rFonts w:ascii="宋体" w:hAnsi="宋体" w:cs="宋体"/>
                <w:b/>
                <w:color w:val="000000"/>
                <w:szCs w:val="21"/>
                <w:highlight w:val="none"/>
              </w:rPr>
            </w:pPr>
            <w:r>
              <w:rPr>
                <w:rFonts w:ascii="宋体" w:hAnsi="宋体" w:cs="宋体"/>
                <w:b/>
                <w:color w:val="000000"/>
                <w:szCs w:val="21"/>
                <w:highlight w:val="none"/>
              </w:rPr>
            </w:r>
            <w:r/>
          </w:p>
        </w:tc>
        <w:tc>
          <w:tcPr>
            <w:tcW w:w="6905" w:type="dxa"/>
            <w:vAlign w:val="center"/>
            <w:textDirection w:val="lrTb"/>
            <w:noWrap w:val="false"/>
          </w:tcPr>
          <w:p>
            <w:pPr>
              <w:jc w:val="left"/>
              <w:widowControl/>
              <w:rPr>
                <w:rFonts w:ascii="宋体" w:hAnsi="宋体" w:cs="宋体"/>
                <w:i/>
                <w:iCs/>
                <w:highlight w:val="none"/>
                <w:u w:val="single"/>
              </w:rPr>
            </w:pPr>
            <w:r>
              <w:rPr>
                <w:rFonts w:hint="eastAsia" w:ascii="宋体" w:hAnsi="宋体" w:cs="宋体"/>
                <w:i/>
                <w:iCs/>
                <w:highlight w:val="none"/>
                <w:u w:val="single"/>
              </w:rPr>
              <w:t xml:space="preserve">支持IPv4/IPv6地址转换功能，包括NAT64、NAT46、DNS64功能，支持在nat64下ALG（SIP、RTSP、FTP）。</w:t>
            </w:r>
            <w:r/>
          </w:p>
        </w:tc>
      </w:tr>
      <w:tr>
        <w:trPr>
          <w:trHeight w:val="77"/>
        </w:trPr>
        <w:tc>
          <w:tcPr>
            <w:tcW w:w="1458" w:type="dxa"/>
            <w:vAlign w:val="center"/>
            <w:vMerge w:val="continue"/>
            <w:textDirection w:val="lrTb"/>
            <w:noWrap w:val="false"/>
          </w:tcPr>
          <w:p>
            <w:pPr>
              <w:jc w:val="center"/>
              <w:widowControl/>
              <w:rPr>
                <w:rFonts w:ascii="宋体" w:hAnsi="宋体" w:cs="宋体"/>
                <w:b/>
                <w:color w:val="000000"/>
                <w:szCs w:val="21"/>
                <w:highlight w:val="none"/>
              </w:rPr>
            </w:pPr>
            <w:r>
              <w:rPr>
                <w:rFonts w:ascii="宋体" w:hAnsi="宋体" w:cs="宋体"/>
                <w:b/>
                <w:color w:val="000000"/>
                <w:szCs w:val="21"/>
                <w:highlight w:val="none"/>
              </w:rPr>
            </w:r>
            <w:r/>
          </w:p>
        </w:tc>
        <w:tc>
          <w:tcPr>
            <w:tcW w:w="6905" w:type="dxa"/>
            <w:vAlign w:val="center"/>
            <w:textDirection w:val="lrTb"/>
            <w:noWrap w:val="false"/>
          </w:tcPr>
          <w:p>
            <w:pPr>
              <w:jc w:val="left"/>
              <w:widowControl/>
              <w:rPr>
                <w:rFonts w:ascii="宋体" w:hAnsi="宋体" w:cs="宋体"/>
                <w:i/>
                <w:iCs/>
                <w:highlight w:val="none"/>
                <w:u w:val="single"/>
              </w:rPr>
            </w:pPr>
            <w:r>
              <w:rPr>
                <w:rFonts w:hint="eastAsia" w:ascii="宋体" w:hAnsi="宋体" w:cs="宋体"/>
                <w:i/>
                <w:iCs/>
                <w:highlight w:val="none"/>
                <w:u w:val="single"/>
              </w:rPr>
              <w:t xml:space="preserve">支持同一个地址对象中可以包含IP、IP段、排除地址等多种类型；支持IPv4/IPv6双栈模式下IP地址的核心资产配置，包括协议、端口、接口、地址。</w:t>
            </w:r>
            <w:r/>
          </w:p>
        </w:tc>
      </w:tr>
      <w:tr>
        <w:trPr>
          <w:trHeight w:val="77"/>
        </w:trPr>
        <w:tc>
          <w:tcPr>
            <w:tcW w:w="1458" w:type="dxa"/>
            <w:vAlign w:val="center"/>
            <w:vMerge w:val="restart"/>
            <w:textDirection w:val="lrTb"/>
            <w:noWrap w:val="false"/>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国密</w:t>
            </w:r>
            <w:r/>
          </w:p>
        </w:tc>
        <w:tc>
          <w:tcPr>
            <w:tcW w:w="6905" w:type="dxa"/>
            <w:vAlign w:val="center"/>
            <w:textDirection w:val="lrTb"/>
            <w:noWrap w:val="false"/>
          </w:tcPr>
          <w:p>
            <w:pPr>
              <w:jc w:val="left"/>
              <w:widowControl/>
              <w:rPr>
                <w:rFonts w:ascii="宋体" w:hAnsi="宋体" w:cs="宋体"/>
                <w:i/>
                <w:iCs/>
                <w:highlight w:val="none"/>
                <w:u w:val="single"/>
              </w:rPr>
            </w:pPr>
            <w:r>
              <w:rPr>
                <w:rFonts w:hint="eastAsia" w:ascii="宋体" w:hAnsi="宋体" w:cs="宋体"/>
                <w:i/>
                <w:iCs/>
                <w:highlight w:val="none"/>
                <w:u w:val="single"/>
              </w:rPr>
              <w:t xml:space="preserve">支持启用国密管理功能，支持国密签名证书、国密签名密钥、国密加密证书、国密加密密钥，CA中心证书导入（提供</w:t>
            </w:r>
            <w:r>
              <w:rPr>
                <w:rFonts w:hint="eastAsia"/>
                <w:i/>
                <w:iCs/>
                <w:highlight w:val="none"/>
                <w:u w:val="single"/>
              </w:rPr>
              <w:t xml:space="preserve">具有CMA标识的</w:t>
            </w:r>
            <w:r>
              <w:rPr>
                <w:rFonts w:hint="eastAsia" w:ascii="宋体" w:hAnsi="宋体" w:cs="宋体"/>
                <w:i/>
                <w:iCs/>
                <w:highlight w:val="none"/>
                <w:u w:val="single"/>
              </w:rPr>
              <w:t xml:space="preserve">第</w:t>
            </w:r>
            <w:r>
              <w:rPr>
                <w:rFonts w:hint="eastAsia" w:ascii="宋体" w:hAnsi="宋体" w:cs="宋体"/>
                <w:i/>
                <w:iCs/>
                <w:highlight w:val="none"/>
                <w:u w:val="single"/>
              </w:rPr>
              <w:t xml:space="preserve">三方检测报告）。</w:t>
            </w:r>
            <w:r/>
          </w:p>
        </w:tc>
      </w:tr>
      <w:tr>
        <w:trPr>
          <w:trHeight w:val="77"/>
        </w:trPr>
        <w:tc>
          <w:tcPr>
            <w:tcW w:w="1458" w:type="dxa"/>
            <w:vAlign w:val="center"/>
            <w:vMerge w:val="continue"/>
            <w:textDirection w:val="lrTb"/>
            <w:noWrap w:val="false"/>
          </w:tcPr>
          <w:p>
            <w:pPr>
              <w:jc w:val="center"/>
              <w:widowControl/>
              <w:rPr>
                <w:rFonts w:ascii="宋体" w:hAnsi="宋体" w:cs="宋体"/>
                <w:b/>
                <w:color w:val="000000"/>
                <w:szCs w:val="21"/>
                <w:highlight w:val="none"/>
              </w:rPr>
            </w:pPr>
            <w:r>
              <w:rPr>
                <w:rFonts w:ascii="宋体" w:hAnsi="宋体" w:cs="宋体"/>
                <w:b/>
                <w:color w:val="000000"/>
                <w:szCs w:val="21"/>
                <w:highlight w:val="none"/>
              </w:rPr>
            </w:r>
            <w:r/>
          </w:p>
        </w:tc>
        <w:tc>
          <w:tcPr>
            <w:tcW w:w="6905" w:type="dxa"/>
            <w:vAlign w:val="center"/>
            <w:textDirection w:val="lrTb"/>
            <w:noWrap w:val="false"/>
          </w:tcPr>
          <w:p>
            <w:pPr>
              <w:jc w:val="left"/>
              <w:widowControl/>
              <w:rPr>
                <w:rFonts w:ascii="宋体" w:hAnsi="宋体" w:cs="新宋体"/>
                <w:i/>
                <w:iCs/>
                <w:color w:val="000000"/>
                <w:sz w:val="20"/>
                <w:szCs w:val="20"/>
                <w:highlight w:val="none"/>
                <w:u w:val="single"/>
                <w:lang w:bidi="ar"/>
              </w:rPr>
            </w:pPr>
            <w:r>
              <w:rPr>
                <w:rFonts w:hint="eastAsia" w:ascii="宋体" w:hAnsi="宋体" w:cs="宋体"/>
                <w:i/>
                <w:iCs/>
                <w:highlight w:val="none"/>
                <w:u w:val="single"/>
              </w:rPr>
              <w:t xml:space="preserve">IPSec密码算法，支持3DES、DES、AES128、AES192、AES256等国际通用标准加密算法；以及MD5、SHA1、SHA2_256、SHA2_384、SHA2_512等通用认证算法；支持国密加密算法。</w:t>
            </w:r>
            <w:r/>
          </w:p>
        </w:tc>
      </w:tr>
      <w:tr>
        <w:trPr>
          <w:trHeight w:val="288"/>
        </w:trPr>
        <w:tc>
          <w:tcPr>
            <w:tcW w:w="1458" w:type="dxa"/>
            <w:vAlign w:val="center"/>
            <w:textDirection w:val="lrTb"/>
            <w:noWrap w:val="false"/>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流量识别</w:t>
            </w:r>
            <w:r/>
          </w:p>
        </w:tc>
        <w:tc>
          <w:tcPr>
            <w:tcW w:w="6905" w:type="dxa"/>
            <w:vAlign w:val="center"/>
            <w:textDirection w:val="lrTb"/>
            <w:noWrap w:val="false"/>
          </w:tcPr>
          <w:p>
            <w:pPr>
              <w:rPr>
                <w:rFonts w:ascii="宋体" w:hAnsi="宋体" w:cs="宋体"/>
                <w:i/>
                <w:iCs/>
                <w:highlight w:val="none"/>
                <w:u w:val="single"/>
              </w:rPr>
            </w:pPr>
            <w:r>
              <w:rPr>
                <w:rFonts w:hint="eastAsia" w:ascii="宋体" w:hAnsi="宋体" w:cs="宋体"/>
                <w:i/>
                <w:iCs/>
                <w:highlight w:val="none"/>
                <w:u w:val="single"/>
              </w:rPr>
              <w:t xml:space="preserve">拥有数据流属性向量列表对比技术，实现点对点流量精确识别，提供相应的官方截图</w:t>
            </w:r>
            <w:r>
              <w:rPr>
                <w:rFonts w:hint="eastAsia"/>
                <w:i/>
                <w:iCs/>
                <w:highlight w:val="none"/>
                <w:u w:val="single"/>
                <w:lang w:val="en-US" w:eastAsia="zh-CN"/>
              </w:rPr>
              <w:t xml:space="preserve">或白皮书</w:t>
            </w:r>
            <w:r>
              <w:rPr>
                <w:rFonts w:hint="eastAsia" w:ascii="宋体" w:hAnsi="宋体" w:cs="宋体"/>
                <w:i/>
                <w:iCs/>
                <w:highlight w:val="none"/>
                <w:u w:val="single"/>
              </w:rPr>
              <w:t xml:space="preserve">证明。</w:t>
            </w:r>
            <w:r/>
          </w:p>
        </w:tc>
      </w:tr>
      <w:tr>
        <w:trPr>
          <w:trHeight w:val="90"/>
        </w:trPr>
        <w:tc>
          <w:tcPr>
            <w:tcW w:w="1458" w:type="dxa"/>
            <w:vAlign w:val="center"/>
            <w:vMerge w:val="restart"/>
            <w:textDirection w:val="lrTb"/>
            <w:noWrap w:val="false"/>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VPN功能</w:t>
            </w:r>
            <w:r/>
          </w:p>
        </w:tc>
        <w:tc>
          <w:tcPr>
            <w:tcW w:w="6905" w:type="dxa"/>
            <w:vAlign w:val="center"/>
            <w:textDirection w:val="lrTb"/>
            <w:noWrap w:val="false"/>
          </w:tcPr>
          <w:p>
            <w:pPr>
              <w:jc w:val="left"/>
              <w:widowControl/>
              <w:rPr>
                <w:rFonts w:ascii="宋体" w:hAnsi="宋体" w:cs="宋体"/>
                <w:i/>
                <w:iCs/>
                <w:highlight w:val="none"/>
                <w:u w:val="single"/>
              </w:rPr>
            </w:pPr>
            <w:r>
              <w:rPr>
                <w:rFonts w:hint="eastAsia" w:ascii="宋体" w:hAnsi="宋体" w:cs="宋体"/>
                <w:i/>
                <w:iCs/>
                <w:highlight w:val="none"/>
                <w:u w:val="single"/>
              </w:rPr>
              <w:t xml:space="preserve">SSLVPN支持国密标准。</w:t>
            </w:r>
            <w:r/>
          </w:p>
        </w:tc>
      </w:tr>
      <w:tr>
        <w:trPr>
          <w:trHeight w:val="912"/>
        </w:trPr>
        <w:tc>
          <w:tcPr>
            <w:tcW w:w="1458" w:type="dxa"/>
            <w:vAlign w:val="center"/>
            <w:vMerge w:val="continue"/>
            <w:textDirection w:val="lrTb"/>
            <w:noWrap w:val="false"/>
          </w:tcPr>
          <w:p>
            <w:pPr>
              <w:jc w:val="center"/>
              <w:widowControl/>
              <w:rPr>
                <w:rFonts w:ascii="宋体" w:hAnsi="宋体" w:cs="宋体"/>
                <w:b/>
                <w:color w:val="000000"/>
                <w:szCs w:val="21"/>
                <w:highlight w:val="none"/>
              </w:rPr>
            </w:pPr>
            <w:r>
              <w:rPr>
                <w:rFonts w:ascii="宋体" w:hAnsi="宋体" w:cs="宋体"/>
                <w:b/>
                <w:color w:val="000000"/>
                <w:szCs w:val="21"/>
                <w:highlight w:val="none"/>
              </w:rPr>
            </w:r>
            <w:r/>
          </w:p>
        </w:tc>
        <w:tc>
          <w:tcPr>
            <w:tcW w:w="6905" w:type="dxa"/>
            <w:vAlign w:val="center"/>
            <w:textDirection w:val="lrTb"/>
            <w:noWrap w:val="false"/>
          </w:tcPr>
          <w:p>
            <w:pPr>
              <w:jc w:val="left"/>
              <w:widowControl/>
              <w:rPr>
                <w:rFonts w:ascii="宋体" w:hAnsi="宋体" w:cs="宋体"/>
                <w:i/>
                <w:iCs/>
                <w:highlight w:val="none"/>
                <w:u w:val="single"/>
              </w:rPr>
            </w:pPr>
            <w:r>
              <w:rPr>
                <w:rFonts w:hint="eastAsia" w:ascii="宋体" w:hAnsi="宋体" w:cs="宋体"/>
                <w:i/>
                <w:iCs/>
                <w:highlight w:val="none"/>
                <w:u w:val="single"/>
              </w:rPr>
              <w:t xml:space="preserve">SSLVPN支持配置向导功能，可针对国标标准、国密标准分别通过向导配置SSLVPN，支持增强加密方式接入配置，可通过接口、公开地址、加密密钥、国密签名证书、国密加密证书等方式进行配置。（提</w:t>
            </w:r>
            <w:r>
              <w:rPr>
                <w:rFonts w:hint="eastAsia" w:ascii="宋体" w:hAnsi="宋体" w:cs="宋体"/>
                <w:i/>
                <w:iCs/>
                <w:highlight w:val="none"/>
                <w:u w:val="single"/>
              </w:rPr>
              <w:t xml:space="preserve">供</w:t>
            </w:r>
            <w:r>
              <w:rPr>
                <w:rFonts w:hint="eastAsia"/>
                <w:i/>
                <w:iCs/>
                <w:highlight w:val="none"/>
                <w:u w:val="single"/>
              </w:rPr>
              <w:t xml:space="preserve">具有CMA标识的</w:t>
            </w:r>
            <w:r>
              <w:rPr>
                <w:rFonts w:hint="eastAsia" w:ascii="宋体" w:hAnsi="宋体" w:cs="宋体"/>
                <w:i/>
                <w:iCs/>
                <w:highlight w:val="none"/>
                <w:u w:val="single"/>
              </w:rPr>
              <w:t xml:space="preserve">第三方检测报告）。</w:t>
            </w:r>
            <w:r/>
          </w:p>
        </w:tc>
      </w:tr>
      <w:tr>
        <w:trPr>
          <w:trHeight w:val="474"/>
        </w:trPr>
        <w:tc>
          <w:tcPr>
            <w:tcW w:w="1458" w:type="dxa"/>
            <w:vAlign w:val="center"/>
            <w:textDirection w:val="lrTb"/>
            <w:noWrap w:val="false"/>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资质要求</w:t>
            </w:r>
            <w:r/>
          </w:p>
        </w:tc>
        <w:tc>
          <w:tcPr>
            <w:tcW w:w="6905" w:type="dxa"/>
            <w:vAlign w:val="center"/>
            <w:textDirection w:val="lrTb"/>
            <w:noWrap w:val="false"/>
          </w:tcPr>
          <w:p>
            <w:pPr>
              <w:jc w:val="left"/>
              <w:widowControl/>
              <w:rPr>
                <w:rFonts w:ascii="宋体" w:hAnsi="宋体" w:cs="宋体"/>
                <w:i/>
                <w:iCs/>
                <w:highlight w:val="none"/>
                <w:u w:val="single"/>
              </w:rPr>
            </w:pPr>
            <w:r>
              <w:rPr>
                <w:rFonts w:hint="eastAsia" w:ascii="宋体" w:hAnsi="宋体" w:cs="宋体"/>
                <w:i/>
                <w:iCs/>
                <w:highlight w:val="none"/>
                <w:u w:val="single"/>
              </w:rPr>
              <w:t xml:space="preserve">产品具有网络关键设备和网络安全专用产品安全认证证书，提供有效期内的证书复印件。</w:t>
            </w:r>
            <w:r/>
          </w:p>
        </w:tc>
      </w:tr>
      <w:tr>
        <w:trPr>
          <w:trHeight w:val="474"/>
        </w:trPr>
        <w:tc>
          <w:tcPr>
            <w:tcW w:w="1458" w:type="dxa"/>
            <w:vAlign w:val="center"/>
            <w:textDirection w:val="lrTb"/>
            <w:noWrap w:val="false"/>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质保要求</w:t>
            </w:r>
            <w:r/>
          </w:p>
        </w:tc>
        <w:tc>
          <w:tcPr>
            <w:tcW w:w="6905" w:type="dxa"/>
            <w:vAlign w:val="center"/>
            <w:textDirection w:val="lrTb"/>
            <w:noWrap w:val="false"/>
          </w:tcPr>
          <w:p>
            <w:pPr>
              <w:jc w:val="left"/>
              <w:widowControl/>
              <w:rPr>
                <w:rFonts w:ascii="宋体" w:hAnsi="宋体" w:cs="宋体"/>
                <w:i/>
                <w:iCs/>
                <w:highlight w:val="none"/>
                <w:u w:val="single"/>
              </w:rPr>
            </w:pPr>
            <w:r>
              <w:rPr>
                <w:rFonts w:hint="eastAsia" w:ascii="宋体" w:hAnsi="宋体" w:cs="宋体"/>
                <w:i/>
                <w:iCs/>
                <w:color w:val="000000"/>
                <w:szCs w:val="21"/>
                <w:highlight w:val="none"/>
                <w:u w:val="single"/>
                <w:lang w:bidi="ar"/>
              </w:rPr>
              <w:t xml:space="preserve">提供3年入侵防御、防病毒升级授权，提供3年硬件保修和技术支持服务。</w:t>
            </w:r>
            <w:r/>
          </w:p>
        </w:tc>
      </w:tr>
    </w:tbl>
    <w:p>
      <w:pPr>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2.路由器配置要求：（26台）</w:t>
      </w:r>
      <w:r/>
    </w:p>
    <w:tbl>
      <w:tblPr>
        <w:tblStyle w:val="743"/>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0" w:type="dxa"/>
          <w:top w:w="60" w:type="dxa"/>
          <w:right w:w="120" w:type="dxa"/>
          <w:bottom w:w="60" w:type="dxa"/>
        </w:tblCellMar>
        <w:tblLook w:val="04A0" w:firstRow="1" w:lastRow="0" w:firstColumn="1" w:lastColumn="0" w:noHBand="0" w:noVBand="1"/>
      </w:tblPr>
      <w:tblGrid>
        <w:gridCol w:w="1134"/>
        <w:gridCol w:w="7167"/>
      </w:tblGrid>
      <w:tr>
        <w:trPr/>
        <w:tc>
          <w:tcPr>
            <w:tcMar>
              <w:left w:w="120" w:type="dxa"/>
              <w:top w:w="60" w:type="dxa"/>
              <w:right w:w="120" w:type="dxa"/>
              <w:bottom w:w="60" w:type="dxa"/>
            </w:tcMar>
            <w:tcW w:w="1134" w:type="dxa"/>
            <w:vAlign w:val="center"/>
            <w:textDirection w:val="lrTb"/>
            <w:noWrap w:val="false"/>
          </w:tcPr>
          <w:p>
            <w:pPr>
              <w:jc w:val="center"/>
              <w:rPr>
                <w:b/>
                <w:bCs/>
                <w:highlight w:val="none"/>
              </w:rPr>
            </w:pPr>
            <w:r>
              <w:rPr>
                <w:rFonts w:hint="eastAsia"/>
                <w:b/>
                <w:bCs/>
                <w:highlight w:val="none"/>
              </w:rPr>
              <w:t xml:space="preserve">指标项</w:t>
            </w:r>
            <w:r/>
          </w:p>
        </w:tc>
        <w:tc>
          <w:tcPr>
            <w:tcMar>
              <w:left w:w="120" w:type="dxa"/>
              <w:top w:w="60" w:type="dxa"/>
              <w:right w:w="120" w:type="dxa"/>
              <w:bottom w:w="60" w:type="dxa"/>
            </w:tcMar>
            <w:tcW w:w="7167" w:type="dxa"/>
            <w:vAlign w:val="center"/>
            <w:textDirection w:val="lrTb"/>
            <w:noWrap w:val="false"/>
          </w:tcPr>
          <w:p>
            <w:pPr>
              <w:jc w:val="center"/>
              <w:rPr>
                <w:b/>
                <w:bCs/>
                <w:highlight w:val="none"/>
              </w:rPr>
            </w:pPr>
            <w:r>
              <w:rPr>
                <w:rFonts w:hint="eastAsia"/>
                <w:b/>
                <w:bCs/>
                <w:highlight w:val="none"/>
              </w:rPr>
              <w:t xml:space="preserve">指标要求</w:t>
            </w:r>
            <w:r/>
          </w:p>
        </w:tc>
      </w:tr>
      <w:tr>
        <w:trPr/>
        <w:tc>
          <w:tcPr>
            <w:tcMar>
              <w:left w:w="120" w:type="dxa"/>
              <w:top w:w="60" w:type="dxa"/>
              <w:right w:w="120" w:type="dxa"/>
              <w:bottom w:w="60" w:type="dxa"/>
            </w:tcMar>
            <w:tcW w:w="1134" w:type="dxa"/>
            <w:vAlign w:val="center"/>
            <w:vMerge w:val="restart"/>
            <w:textDirection w:val="lrTb"/>
            <w:noWrap w:val="false"/>
          </w:tcPr>
          <w:p>
            <w:pPr>
              <w:rPr>
                <w:highlight w:val="none"/>
              </w:rPr>
            </w:pPr>
            <w:r>
              <w:rPr>
                <w:rFonts w:hint="eastAsia"/>
                <w:highlight w:val="none"/>
              </w:rPr>
              <w:t xml:space="preserve">基本要求</w:t>
            </w:r>
            <w:r/>
          </w:p>
        </w:tc>
        <w:tc>
          <w:tcPr>
            <w:tcMar>
              <w:left w:w="120" w:type="dxa"/>
              <w:top w:w="60" w:type="dxa"/>
              <w:right w:w="120" w:type="dxa"/>
              <w:bottom w:w="60" w:type="dxa"/>
            </w:tcMar>
            <w:tcW w:w="7167" w:type="dxa"/>
            <w:vAlign w:val="bottom"/>
            <w:textDirection w:val="lrTb"/>
            <w:noWrap w:val="false"/>
          </w:tcPr>
          <w:p>
            <w:pPr>
              <w:rPr>
                <w:i/>
                <w:iCs/>
                <w:highlight w:val="none"/>
                <w:u w:val="single"/>
              </w:rPr>
            </w:pPr>
            <w:r>
              <w:rPr>
                <w:rFonts w:hint="eastAsia"/>
                <w:i/>
                <w:iCs/>
                <w:highlight w:val="none"/>
                <w:u w:val="single"/>
              </w:rPr>
              <w:t xml:space="preserve">交换容量≥160</w:t>
            </w:r>
            <w:r>
              <w:rPr>
                <w:i/>
                <w:iCs/>
                <w:highlight w:val="none"/>
                <w:u w:val="single"/>
              </w:rPr>
              <w:t xml:space="preserve">Tbps，转发性能≥</w:t>
            </w:r>
            <w:r>
              <w:rPr>
                <w:rFonts w:hint="eastAsia"/>
                <w:i/>
                <w:iCs/>
                <w:highlight w:val="none"/>
                <w:u w:val="single"/>
              </w:rPr>
              <w:t xml:space="preserve">28570</w:t>
            </w:r>
            <w:r>
              <w:rPr>
                <w:i/>
                <w:iCs/>
                <w:highlight w:val="none"/>
                <w:u w:val="single"/>
              </w:rPr>
              <w:t xml:space="preserve">Mpps</w:t>
            </w:r>
            <w:r>
              <w:rPr>
                <w:rFonts w:hint="eastAsia"/>
                <w:i/>
                <w:iCs/>
                <w:highlight w:val="none"/>
                <w:u w:val="single"/>
              </w:rPr>
              <w:t xml:space="preserve">，以官网最小值为准，提供制造商官网截图</w:t>
            </w:r>
            <w:r>
              <w:rPr>
                <w:rFonts w:hint="eastAsia"/>
                <w:i/>
                <w:iCs/>
                <w:highlight w:val="none"/>
                <w:u w:val="single"/>
                <w:lang w:val="en-US" w:eastAsia="zh-CN"/>
              </w:rPr>
              <w:t xml:space="preserve">或白皮书</w:t>
            </w:r>
            <w:r>
              <w:rPr>
                <w:rFonts w:hint="eastAsia"/>
                <w:i/>
                <w:iCs/>
                <w:highlight w:val="none"/>
                <w:u w:val="single"/>
              </w:rPr>
              <w:t xml:space="preserve">证明。</w:t>
            </w:r>
            <w:r/>
          </w:p>
        </w:tc>
      </w:tr>
      <w:tr>
        <w:trPr/>
        <w:tc>
          <w:tcPr>
            <w:tcMar>
              <w:left w:w="120" w:type="dxa"/>
              <w:top w:w="60" w:type="dxa"/>
              <w:right w:w="120" w:type="dxa"/>
              <w:bottom w:w="60" w:type="dxa"/>
            </w:tcMar>
            <w:tcW w:w="1134" w:type="dxa"/>
            <w:vAlign w:val="center"/>
            <w:vMerge w:val="continue"/>
            <w:textDirection w:val="lrTb"/>
            <w:noWrap w:val="false"/>
          </w:tcPr>
          <w:p>
            <w:pPr>
              <w:rPr>
                <w:highlight w:val="none"/>
              </w:rPr>
            </w:pPr>
            <w:r>
              <w:rPr>
                <w:highlight w:val="none"/>
              </w:rPr>
            </w:r>
            <w:r/>
          </w:p>
        </w:tc>
        <w:tc>
          <w:tcPr>
            <w:tcMar>
              <w:left w:w="120" w:type="dxa"/>
              <w:top w:w="60" w:type="dxa"/>
              <w:right w:w="120" w:type="dxa"/>
              <w:bottom w:w="60" w:type="dxa"/>
            </w:tcMar>
            <w:tcW w:w="7167" w:type="dxa"/>
            <w:vAlign w:val="bottom"/>
            <w:textDirection w:val="lrTb"/>
            <w:noWrap w:val="false"/>
          </w:tcPr>
          <w:p>
            <w:pPr>
              <w:rPr>
                <w:i/>
                <w:iCs/>
                <w:highlight w:val="none"/>
                <w:u w:val="single"/>
              </w:rPr>
            </w:pPr>
            <w:r>
              <w:rPr>
                <w:rFonts w:hint="eastAsia"/>
                <w:i/>
                <w:iCs/>
                <w:highlight w:val="none"/>
                <w:u w:val="single"/>
              </w:rPr>
              <w:t xml:space="preserve">整机支持业务载板插槽≥6</w:t>
            </w:r>
            <w:r>
              <w:rPr>
                <w:i/>
                <w:iCs/>
                <w:highlight w:val="none"/>
                <w:u w:val="single"/>
              </w:rPr>
              <w:t xml:space="preserve">个；</w:t>
            </w:r>
            <w:r>
              <w:rPr>
                <w:rFonts w:hint="eastAsia"/>
                <w:i/>
                <w:iCs/>
                <w:highlight w:val="none"/>
                <w:u w:val="single"/>
              </w:rPr>
              <w:t xml:space="preserve">提供制造商官网截图</w:t>
            </w:r>
            <w:r>
              <w:rPr>
                <w:rFonts w:hint="eastAsia"/>
                <w:i/>
                <w:iCs/>
                <w:highlight w:val="none"/>
                <w:u w:val="single"/>
                <w:lang w:val="en-US" w:eastAsia="zh-CN"/>
              </w:rPr>
              <w:t xml:space="preserve">或白皮书</w:t>
            </w:r>
            <w:r>
              <w:rPr>
                <w:rFonts w:hint="eastAsia"/>
                <w:i/>
                <w:iCs/>
                <w:highlight w:val="none"/>
                <w:u w:val="single"/>
              </w:rPr>
              <w:t xml:space="preserve">证明。</w:t>
            </w:r>
            <w:r/>
          </w:p>
        </w:tc>
      </w:tr>
      <w:tr>
        <w:trPr/>
        <w:tc>
          <w:tcPr>
            <w:tcMar>
              <w:left w:w="120" w:type="dxa"/>
              <w:top w:w="60" w:type="dxa"/>
              <w:right w:w="120" w:type="dxa"/>
              <w:bottom w:w="60" w:type="dxa"/>
            </w:tcMar>
            <w:tcW w:w="1134" w:type="dxa"/>
            <w:vAlign w:val="center"/>
            <w:vMerge w:val="continue"/>
            <w:textDirection w:val="lrTb"/>
            <w:noWrap w:val="false"/>
          </w:tcPr>
          <w:p>
            <w:pPr>
              <w:rPr>
                <w:highlight w:val="none"/>
              </w:rPr>
            </w:pPr>
            <w:r>
              <w:rPr>
                <w:highlight w:val="none"/>
              </w:rPr>
            </w:r>
            <w:r/>
          </w:p>
        </w:tc>
        <w:tc>
          <w:tcPr>
            <w:tcMar>
              <w:left w:w="120" w:type="dxa"/>
              <w:top w:w="60" w:type="dxa"/>
              <w:right w:w="120" w:type="dxa"/>
              <w:bottom w:w="60" w:type="dxa"/>
            </w:tcMar>
            <w:tcW w:w="7167" w:type="dxa"/>
            <w:vAlign w:val="bottom"/>
            <w:textDirection w:val="lrTb"/>
            <w:noWrap w:val="false"/>
          </w:tcPr>
          <w:p>
            <w:pPr>
              <w:rPr>
                <w:i/>
                <w:iCs/>
                <w:highlight w:val="none"/>
                <w:u w:val="single"/>
              </w:rPr>
            </w:pPr>
            <w:r>
              <w:rPr>
                <w:i/>
                <w:iCs/>
                <w:highlight w:val="none"/>
                <w:u w:val="single"/>
              </w:rPr>
              <w:t xml:space="preserve">支持50GE/25GE/10GE/GE/FE/CPOS/E1接口</w:t>
            </w:r>
            <w:r>
              <w:rPr>
                <w:rFonts w:hint="eastAsia"/>
                <w:i/>
                <w:iCs/>
                <w:highlight w:val="none"/>
                <w:u w:val="single"/>
              </w:rPr>
              <w:t xml:space="preserve">，提供制造商官网截图</w:t>
            </w:r>
            <w:r>
              <w:rPr>
                <w:rFonts w:hint="eastAsia"/>
                <w:i/>
                <w:iCs/>
                <w:highlight w:val="none"/>
                <w:u w:val="single"/>
                <w:lang w:val="en-US" w:eastAsia="zh-CN"/>
              </w:rPr>
              <w:t xml:space="preserve">或白皮书</w:t>
            </w:r>
            <w:r>
              <w:rPr>
                <w:rFonts w:hint="eastAsia"/>
                <w:i/>
                <w:iCs/>
                <w:highlight w:val="none"/>
                <w:u w:val="single"/>
              </w:rPr>
              <w:t xml:space="preserve">证明。</w:t>
            </w:r>
            <w:r/>
          </w:p>
        </w:tc>
      </w:tr>
      <w:tr>
        <w:trPr/>
        <w:tc>
          <w:tcPr>
            <w:tcMar>
              <w:left w:w="120" w:type="dxa"/>
              <w:top w:w="60" w:type="dxa"/>
              <w:right w:w="120" w:type="dxa"/>
              <w:bottom w:w="60" w:type="dxa"/>
            </w:tcMar>
            <w:tcW w:w="1134" w:type="dxa"/>
            <w:vAlign w:val="center"/>
            <w:textDirection w:val="lrTb"/>
            <w:noWrap w:val="false"/>
          </w:tcPr>
          <w:p>
            <w:pPr>
              <w:rPr>
                <w:highlight w:val="none"/>
              </w:rPr>
            </w:pPr>
            <w:r>
              <w:rPr>
                <w:rFonts w:hint="eastAsia"/>
                <w:highlight w:val="none"/>
              </w:rPr>
              <w:t xml:space="preserve">自主可控</w:t>
            </w:r>
            <w:r/>
          </w:p>
        </w:tc>
        <w:tc>
          <w:tcPr>
            <w:tcMar>
              <w:left w:w="120" w:type="dxa"/>
              <w:top w:w="60" w:type="dxa"/>
              <w:right w:w="120" w:type="dxa"/>
              <w:bottom w:w="60" w:type="dxa"/>
            </w:tcMar>
            <w:tcW w:w="7167" w:type="dxa"/>
            <w:textDirection w:val="lrTb"/>
            <w:noWrap w:val="false"/>
          </w:tcPr>
          <w:p>
            <w:pPr>
              <w:rPr>
                <w:i/>
                <w:iCs/>
                <w:highlight w:val="none"/>
                <w:u w:val="single"/>
              </w:rPr>
            </w:pPr>
            <w:r>
              <w:rPr>
                <w:i/>
                <w:iCs/>
                <w:highlight w:val="none"/>
                <w:u w:val="single"/>
              </w:rPr>
              <w:t xml:space="preserve">设备CPU、关键芯片为国产自研，</w:t>
            </w:r>
            <w:r>
              <w:rPr>
                <w:rFonts w:hint="eastAsia"/>
                <w:i/>
                <w:iCs/>
                <w:highlight w:val="none"/>
                <w:u w:val="single"/>
              </w:rPr>
              <w:t xml:space="preserve">提供</w:t>
            </w:r>
            <w:r>
              <w:rPr>
                <w:rFonts w:hint="eastAsia"/>
                <w:i/>
                <w:iCs/>
                <w:highlight w:val="none"/>
                <w:u w:val="single"/>
              </w:rPr>
              <w:t xml:space="preserve">具有CMA标识的</w:t>
            </w:r>
            <w:r>
              <w:rPr>
                <w:rFonts w:hint="eastAsia"/>
                <w:i/>
                <w:iCs/>
                <w:highlight w:val="none"/>
                <w:u w:val="single"/>
              </w:rPr>
              <w:t xml:space="preserve">第三方测试报告证明。</w:t>
            </w:r>
            <w:r/>
          </w:p>
        </w:tc>
      </w:tr>
      <w:tr>
        <w:trPr/>
        <w:tc>
          <w:tcPr>
            <w:tcMar>
              <w:left w:w="120" w:type="dxa"/>
              <w:top w:w="60" w:type="dxa"/>
              <w:right w:w="120" w:type="dxa"/>
              <w:bottom w:w="60" w:type="dxa"/>
            </w:tcMar>
            <w:tcW w:w="1134" w:type="dxa"/>
            <w:vAlign w:val="center"/>
            <w:textDirection w:val="lrTb"/>
            <w:noWrap w:val="false"/>
          </w:tcPr>
          <w:p>
            <w:pPr>
              <w:rPr>
                <w:highlight w:val="none"/>
              </w:rPr>
            </w:pPr>
            <w:r>
              <w:rPr>
                <w:rFonts w:hint="eastAsia"/>
                <w:highlight w:val="none"/>
              </w:rPr>
              <w:t xml:space="preserve">网络切片</w:t>
            </w:r>
            <w:r/>
          </w:p>
        </w:tc>
        <w:tc>
          <w:tcPr>
            <w:tcMar>
              <w:left w:w="120" w:type="dxa"/>
              <w:top w:w="60" w:type="dxa"/>
              <w:right w:w="120" w:type="dxa"/>
              <w:bottom w:w="60" w:type="dxa"/>
            </w:tcMar>
            <w:tcW w:w="7167" w:type="dxa"/>
            <w:textDirection w:val="lrTb"/>
            <w:noWrap w:val="false"/>
          </w:tcPr>
          <w:p>
            <w:pPr>
              <w:rPr>
                <w:i/>
                <w:iCs/>
                <w:highlight w:val="none"/>
                <w:u w:val="single"/>
              </w:rPr>
            </w:pPr>
            <w:r>
              <w:rPr>
                <w:rFonts w:hint="eastAsia"/>
                <w:i/>
                <w:iCs/>
                <w:highlight w:val="none"/>
                <w:u w:val="single"/>
              </w:rPr>
              <w:t xml:space="preserve">支持硬切片最小1G FlexE带宽粒度</w:t>
            </w:r>
            <w:r>
              <w:rPr>
                <w:i/>
                <w:iCs/>
                <w:highlight w:val="none"/>
                <w:u w:val="single"/>
              </w:rPr>
              <w:t xml:space="preserve">，</w:t>
            </w:r>
            <w:r>
              <w:rPr>
                <w:rFonts w:hint="eastAsia"/>
                <w:i/>
                <w:iCs/>
                <w:highlight w:val="none"/>
                <w:u w:val="single"/>
              </w:rPr>
              <w:t xml:space="preserve">提供具有CMA标识的</w:t>
            </w:r>
            <w:r>
              <w:rPr>
                <w:rFonts w:hint="eastAsia"/>
                <w:i/>
                <w:iCs/>
                <w:highlight w:val="none"/>
                <w:u w:val="single"/>
              </w:rPr>
              <w:t xml:space="preserve">第三方测试报告证明。 </w:t>
            </w:r>
            <w:r/>
          </w:p>
        </w:tc>
      </w:tr>
      <w:tr>
        <w:trPr>
          <w:trHeight w:val="468"/>
        </w:trPr>
        <w:tc>
          <w:tcPr>
            <w:tcMar>
              <w:left w:w="120" w:type="dxa"/>
              <w:top w:w="60" w:type="dxa"/>
              <w:right w:w="120" w:type="dxa"/>
              <w:bottom w:w="60" w:type="dxa"/>
            </w:tcMar>
            <w:tcW w:w="1134" w:type="dxa"/>
            <w:vAlign w:val="center"/>
            <w:vMerge w:val="restart"/>
            <w:textDirection w:val="lrTb"/>
            <w:noWrap w:val="false"/>
          </w:tcPr>
          <w:p>
            <w:pPr>
              <w:rPr>
                <w:highlight w:val="none"/>
              </w:rPr>
            </w:pPr>
            <w:r>
              <w:rPr>
                <w:rFonts w:hint="eastAsia"/>
                <w:highlight w:val="none"/>
              </w:rPr>
              <w:t xml:space="preserve">基本功能</w:t>
            </w:r>
            <w:r/>
          </w:p>
        </w:tc>
        <w:tc>
          <w:tcPr>
            <w:tcMar>
              <w:left w:w="120" w:type="dxa"/>
              <w:top w:w="60" w:type="dxa"/>
              <w:right w:w="120" w:type="dxa"/>
              <w:bottom w:w="60" w:type="dxa"/>
            </w:tcMar>
            <w:tcW w:w="7167" w:type="dxa"/>
            <w:textDirection w:val="lrTb"/>
            <w:noWrap w:val="false"/>
          </w:tcPr>
          <w:p>
            <w:pPr>
              <w:widowControl/>
              <w:rPr>
                <w:i/>
                <w:iCs/>
                <w:highlight w:val="none"/>
                <w:u w:val="single"/>
              </w:rPr>
            </w:pPr>
            <w:r>
              <w:rPr>
                <w:rFonts w:hint="eastAsia"/>
                <w:i/>
                <w:iCs/>
                <w:highlight w:val="none"/>
                <w:u w:val="single"/>
              </w:rPr>
              <w:t xml:space="preserve">支持静态路由、路由策略、XPL、RIPng、OSPFv3、BGPv6、IS-ISv6、BGP4。</w:t>
            </w:r>
            <w:r/>
          </w:p>
        </w:tc>
      </w:tr>
      <w:tr>
        <w:trPr>
          <w:trHeight w:val="225"/>
        </w:trPr>
        <w:tc>
          <w:tcPr>
            <w:tcMar>
              <w:left w:w="120" w:type="dxa"/>
              <w:top w:w="60" w:type="dxa"/>
              <w:right w:w="120" w:type="dxa"/>
              <w:bottom w:w="60" w:type="dxa"/>
            </w:tcMar>
            <w:tcW w:w="1134" w:type="dxa"/>
            <w:vAlign w:val="center"/>
            <w:vMerge w:val="continue"/>
            <w:textDirection w:val="lrTb"/>
            <w:noWrap w:val="false"/>
          </w:tcPr>
          <w:p>
            <w:pPr>
              <w:rPr>
                <w:highlight w:val="none"/>
              </w:rPr>
            </w:pPr>
            <w:r>
              <w:rPr>
                <w:highlight w:val="none"/>
              </w:rPr>
            </w:r>
            <w:r/>
          </w:p>
        </w:tc>
        <w:tc>
          <w:tcPr>
            <w:tcMar>
              <w:left w:w="120" w:type="dxa"/>
              <w:top w:w="60" w:type="dxa"/>
              <w:right w:w="120" w:type="dxa"/>
              <w:bottom w:w="60" w:type="dxa"/>
            </w:tcMar>
            <w:tcW w:w="7167" w:type="dxa"/>
            <w:textDirection w:val="lrTb"/>
            <w:noWrap w:val="false"/>
          </w:tcPr>
          <w:p>
            <w:pPr>
              <w:rPr>
                <w:i/>
                <w:iCs/>
                <w:highlight w:val="none"/>
                <w:u w:val="single"/>
              </w:rPr>
            </w:pPr>
            <w:r>
              <w:rPr>
                <w:rFonts w:hint="eastAsia"/>
                <w:i/>
                <w:iCs/>
                <w:highlight w:val="none"/>
                <w:u w:val="single"/>
              </w:rPr>
              <w:t xml:space="preserve">支持</w:t>
            </w:r>
            <w:r>
              <w:rPr>
                <w:i/>
                <w:iCs/>
                <w:highlight w:val="none"/>
                <w:u w:val="single"/>
              </w:rPr>
              <w:t xml:space="preserve">VXLAN、GRE等隧道技术；支持LDP LSP、RSVP-TE、SR-TE等MPLS技术</w:t>
            </w:r>
            <w:r>
              <w:rPr>
                <w:rFonts w:hint="eastAsia"/>
                <w:i/>
                <w:iCs/>
                <w:highlight w:val="none"/>
                <w:u w:val="single"/>
              </w:rPr>
              <w:t xml:space="preserve">。</w:t>
            </w:r>
            <w:r/>
          </w:p>
        </w:tc>
      </w:tr>
      <w:tr>
        <w:trPr>
          <w:trHeight w:val="225"/>
        </w:trPr>
        <w:tc>
          <w:tcPr>
            <w:tcMar>
              <w:left w:w="120" w:type="dxa"/>
              <w:top w:w="60" w:type="dxa"/>
              <w:right w:w="120" w:type="dxa"/>
              <w:bottom w:w="60" w:type="dxa"/>
            </w:tcMar>
            <w:tcW w:w="1134" w:type="dxa"/>
            <w:vAlign w:val="center"/>
            <w:vMerge w:val="continue"/>
            <w:textDirection w:val="lrTb"/>
            <w:noWrap w:val="false"/>
          </w:tcPr>
          <w:p>
            <w:pPr>
              <w:rPr>
                <w:highlight w:val="none"/>
              </w:rPr>
            </w:pPr>
            <w:r>
              <w:rPr>
                <w:highlight w:val="none"/>
              </w:rPr>
            </w:r>
            <w:r/>
          </w:p>
        </w:tc>
        <w:tc>
          <w:tcPr>
            <w:tcMar>
              <w:left w:w="120" w:type="dxa"/>
              <w:top w:w="60" w:type="dxa"/>
              <w:right w:w="120" w:type="dxa"/>
              <w:bottom w:w="60" w:type="dxa"/>
            </w:tcMar>
            <w:tcW w:w="7167" w:type="dxa"/>
            <w:textDirection w:val="lrTb"/>
            <w:noWrap w:val="false"/>
          </w:tcPr>
          <w:p>
            <w:pPr>
              <w:rPr>
                <w:i/>
                <w:iCs/>
                <w:highlight w:val="none"/>
                <w:u w:val="single"/>
              </w:rPr>
            </w:pPr>
            <w:r>
              <w:rPr>
                <w:rFonts w:hint="eastAsia"/>
                <w:i/>
                <w:iCs/>
                <w:highlight w:val="none"/>
                <w:u w:val="single"/>
              </w:rPr>
              <w:t xml:space="preserve">支持L2VPN、L3VPN、EVPN等VPN技术。</w:t>
            </w:r>
            <w:r/>
          </w:p>
        </w:tc>
      </w:tr>
      <w:tr>
        <w:trPr/>
        <w:tc>
          <w:tcPr>
            <w:tcMar>
              <w:left w:w="120" w:type="dxa"/>
              <w:top w:w="60" w:type="dxa"/>
              <w:right w:w="120" w:type="dxa"/>
              <w:bottom w:w="60" w:type="dxa"/>
            </w:tcMar>
            <w:tcW w:w="1134" w:type="dxa"/>
            <w:vAlign w:val="center"/>
            <w:vMerge w:val="restart"/>
            <w:textDirection w:val="lrTb"/>
            <w:noWrap w:val="false"/>
          </w:tcPr>
          <w:p>
            <w:pPr>
              <w:rPr>
                <w:highlight w:val="none"/>
              </w:rPr>
            </w:pPr>
            <w:r>
              <w:rPr>
                <w:highlight w:val="none"/>
              </w:rPr>
              <w:t xml:space="preserve">IPV6演进</w:t>
            </w:r>
            <w:r/>
          </w:p>
        </w:tc>
        <w:tc>
          <w:tcPr>
            <w:tcMar>
              <w:left w:w="120" w:type="dxa"/>
              <w:top w:w="60" w:type="dxa"/>
              <w:right w:w="120" w:type="dxa"/>
              <w:bottom w:w="60" w:type="dxa"/>
            </w:tcMar>
            <w:tcW w:w="7167" w:type="dxa"/>
            <w:vAlign w:val="bottom"/>
            <w:textDirection w:val="lrTb"/>
            <w:noWrap w:val="false"/>
          </w:tcPr>
          <w:p>
            <w:pPr>
              <w:rPr>
                <w:i/>
                <w:iCs/>
                <w:highlight w:val="none"/>
                <w:u w:val="single"/>
              </w:rPr>
            </w:pPr>
            <w:r>
              <w:rPr>
                <w:rFonts w:hint="eastAsia"/>
                <w:i/>
                <w:iCs/>
                <w:highlight w:val="none"/>
                <w:u w:val="single"/>
              </w:rPr>
              <w:t xml:space="preserve">支持点到点和点到多点的L2EVPN over SRv6场景，支持IFIT丢包和时延检测</w:t>
            </w:r>
            <w:r>
              <w:rPr>
                <w:i/>
                <w:iCs/>
                <w:highlight w:val="none"/>
                <w:u w:val="single"/>
              </w:rPr>
              <w:t xml:space="preserve">，</w:t>
            </w:r>
            <w:r>
              <w:rPr>
                <w:rFonts w:hint="eastAsia"/>
                <w:i/>
                <w:iCs/>
                <w:highlight w:val="none"/>
                <w:u w:val="single"/>
              </w:rPr>
              <w:t xml:space="preserve">提供</w:t>
            </w:r>
            <w:r>
              <w:rPr>
                <w:rFonts w:hint="eastAsia"/>
                <w:i/>
                <w:iCs/>
                <w:highlight w:val="none"/>
                <w:u w:val="single"/>
              </w:rPr>
              <w:t xml:space="preserve">具有CMA标识的</w:t>
            </w:r>
            <w:r>
              <w:rPr>
                <w:rFonts w:hint="eastAsia"/>
                <w:i/>
                <w:iCs/>
                <w:highlight w:val="none"/>
                <w:u w:val="single"/>
              </w:rPr>
              <w:t xml:space="preserve">第三方测试报告证明。</w:t>
            </w:r>
            <w:r/>
          </w:p>
        </w:tc>
      </w:tr>
      <w:tr>
        <w:trPr/>
        <w:tc>
          <w:tcPr>
            <w:tcMar>
              <w:left w:w="120" w:type="dxa"/>
              <w:top w:w="60" w:type="dxa"/>
              <w:right w:w="120" w:type="dxa"/>
              <w:bottom w:w="60" w:type="dxa"/>
            </w:tcMar>
            <w:tcW w:w="1134" w:type="dxa"/>
            <w:vAlign w:val="center"/>
            <w:vMerge w:val="continue"/>
            <w:textDirection w:val="lrTb"/>
            <w:noWrap w:val="false"/>
          </w:tcPr>
          <w:p>
            <w:pPr>
              <w:rPr>
                <w:highlight w:val="none"/>
              </w:rPr>
            </w:pPr>
            <w:r>
              <w:rPr>
                <w:highlight w:val="none"/>
              </w:rPr>
            </w:r>
            <w:r/>
          </w:p>
        </w:tc>
        <w:tc>
          <w:tcPr>
            <w:tcMar>
              <w:left w:w="120" w:type="dxa"/>
              <w:top w:w="60" w:type="dxa"/>
              <w:right w:w="120" w:type="dxa"/>
              <w:bottom w:w="60" w:type="dxa"/>
            </w:tcMar>
            <w:tcW w:w="7167" w:type="dxa"/>
            <w:vAlign w:val="bottom"/>
            <w:textDirection w:val="lrTb"/>
            <w:noWrap w:val="false"/>
          </w:tcPr>
          <w:p>
            <w:pPr>
              <w:rPr>
                <w:i/>
                <w:iCs/>
                <w:highlight w:val="none"/>
                <w:u w:val="single"/>
              </w:rPr>
            </w:pPr>
            <w:r>
              <w:rPr>
                <w:rFonts w:hint="eastAsia"/>
                <w:i/>
                <w:iCs/>
                <w:highlight w:val="none"/>
                <w:u w:val="single"/>
              </w:rPr>
              <w:t xml:space="preserve">支持业务驱动按需创建硬切片随SRv6 Policy灵活调整带宽。</w:t>
            </w:r>
            <w:r/>
          </w:p>
        </w:tc>
      </w:tr>
      <w:tr>
        <w:trPr/>
        <w:tc>
          <w:tcPr>
            <w:tcMar>
              <w:left w:w="120" w:type="dxa"/>
              <w:top w:w="60" w:type="dxa"/>
              <w:right w:w="120" w:type="dxa"/>
              <w:bottom w:w="60" w:type="dxa"/>
            </w:tcMar>
            <w:tcW w:w="1134" w:type="dxa"/>
            <w:vAlign w:val="center"/>
            <w:vMerge w:val="continue"/>
            <w:textDirection w:val="lrTb"/>
            <w:noWrap w:val="false"/>
          </w:tcPr>
          <w:p>
            <w:pPr>
              <w:rPr>
                <w:highlight w:val="none"/>
              </w:rPr>
            </w:pPr>
            <w:r>
              <w:rPr>
                <w:highlight w:val="none"/>
              </w:rPr>
            </w:r>
            <w:r/>
          </w:p>
        </w:tc>
        <w:tc>
          <w:tcPr>
            <w:tcMar>
              <w:left w:w="120" w:type="dxa"/>
              <w:top w:w="60" w:type="dxa"/>
              <w:right w:w="120" w:type="dxa"/>
              <w:bottom w:w="60" w:type="dxa"/>
            </w:tcMar>
            <w:tcW w:w="7167" w:type="dxa"/>
            <w:vAlign w:val="bottom"/>
            <w:textDirection w:val="lrTb"/>
            <w:noWrap w:val="false"/>
          </w:tcPr>
          <w:p>
            <w:pPr>
              <w:rPr>
                <w:i/>
                <w:iCs/>
                <w:highlight w:val="none"/>
                <w:u w:val="single"/>
              </w:rPr>
            </w:pPr>
            <w:r>
              <w:rPr>
                <w:rFonts w:hint="eastAsia"/>
                <w:i/>
                <w:iCs/>
                <w:highlight w:val="none"/>
                <w:u w:val="single"/>
              </w:rPr>
              <w:t xml:space="preserve">支持SRv6中间节点保护、SRv6防微环功能。</w:t>
            </w:r>
            <w:r/>
          </w:p>
        </w:tc>
      </w:tr>
      <w:tr>
        <w:trPr/>
        <w:tc>
          <w:tcPr>
            <w:tcMar>
              <w:left w:w="120" w:type="dxa"/>
              <w:top w:w="60" w:type="dxa"/>
              <w:right w:w="120" w:type="dxa"/>
              <w:bottom w:w="60" w:type="dxa"/>
            </w:tcMar>
            <w:tcW w:w="1134" w:type="dxa"/>
            <w:vAlign w:val="center"/>
            <w:vMerge w:val="continue"/>
            <w:textDirection w:val="lrTb"/>
            <w:noWrap w:val="false"/>
          </w:tcPr>
          <w:p>
            <w:pPr>
              <w:rPr>
                <w:highlight w:val="none"/>
              </w:rPr>
            </w:pPr>
            <w:r>
              <w:rPr>
                <w:highlight w:val="none"/>
              </w:rPr>
            </w:r>
            <w:r/>
          </w:p>
        </w:tc>
        <w:tc>
          <w:tcPr>
            <w:tcMar>
              <w:left w:w="120" w:type="dxa"/>
              <w:top w:w="60" w:type="dxa"/>
              <w:right w:w="120" w:type="dxa"/>
              <w:bottom w:w="60" w:type="dxa"/>
            </w:tcMar>
            <w:tcW w:w="7167" w:type="dxa"/>
            <w:vAlign w:val="bottom"/>
            <w:textDirection w:val="lrTb"/>
            <w:noWrap w:val="false"/>
          </w:tcPr>
          <w:p>
            <w:pPr>
              <w:rPr>
                <w:i/>
                <w:iCs/>
                <w:highlight w:val="none"/>
                <w:u w:val="single"/>
              </w:rPr>
            </w:pPr>
            <w:r>
              <w:rPr>
                <w:rFonts w:hint="eastAsia"/>
                <w:i/>
                <w:iCs/>
                <w:highlight w:val="none"/>
                <w:u w:val="single"/>
              </w:rPr>
              <w:t xml:space="preserve">支持SRv6业务承载在网络硬切片上。</w:t>
            </w:r>
            <w:r/>
          </w:p>
        </w:tc>
      </w:tr>
      <w:tr>
        <w:trPr/>
        <w:tc>
          <w:tcPr>
            <w:tcMar>
              <w:left w:w="120" w:type="dxa"/>
              <w:top w:w="60" w:type="dxa"/>
              <w:right w:w="120" w:type="dxa"/>
              <w:bottom w:w="60" w:type="dxa"/>
            </w:tcMar>
            <w:tcW w:w="1134" w:type="dxa"/>
            <w:vAlign w:val="center"/>
            <w:vMerge w:val="continue"/>
            <w:textDirection w:val="lrTb"/>
            <w:noWrap w:val="false"/>
          </w:tcPr>
          <w:p>
            <w:pPr>
              <w:rPr>
                <w:highlight w:val="none"/>
              </w:rPr>
            </w:pPr>
            <w:r>
              <w:rPr>
                <w:highlight w:val="none"/>
              </w:rPr>
            </w:r>
            <w:r/>
          </w:p>
        </w:tc>
        <w:tc>
          <w:tcPr>
            <w:tcMar>
              <w:left w:w="120" w:type="dxa"/>
              <w:top w:w="60" w:type="dxa"/>
              <w:right w:w="120" w:type="dxa"/>
              <w:bottom w:w="60" w:type="dxa"/>
            </w:tcMar>
            <w:tcW w:w="7167" w:type="dxa"/>
            <w:vAlign w:val="bottom"/>
            <w:textDirection w:val="lrTb"/>
            <w:noWrap w:val="false"/>
          </w:tcPr>
          <w:p>
            <w:pPr>
              <w:rPr>
                <w:i/>
                <w:iCs/>
                <w:highlight w:val="none"/>
                <w:u w:val="single"/>
              </w:rPr>
            </w:pPr>
            <w:r>
              <w:rPr>
                <w:rFonts w:hint="eastAsia"/>
                <w:i/>
                <w:iCs/>
                <w:highlight w:val="none"/>
                <w:u w:val="single"/>
              </w:rPr>
              <w:t xml:space="preserve">支持IS-IS for SRv6、OSPFv3 for SRv6。</w:t>
            </w:r>
            <w:r/>
          </w:p>
        </w:tc>
      </w:tr>
      <w:tr>
        <w:trPr/>
        <w:tc>
          <w:tcPr>
            <w:tcMar>
              <w:left w:w="120" w:type="dxa"/>
              <w:top w:w="60" w:type="dxa"/>
              <w:right w:w="120" w:type="dxa"/>
              <w:bottom w:w="60" w:type="dxa"/>
            </w:tcMar>
            <w:tcW w:w="1134" w:type="dxa"/>
            <w:textDirection w:val="lrTb"/>
            <w:noWrap w:val="false"/>
          </w:tcPr>
          <w:p>
            <w:pPr>
              <w:rPr>
                <w:highlight w:val="none"/>
              </w:rPr>
            </w:pPr>
            <w:r>
              <w:rPr>
                <w:rFonts w:hint="eastAsia"/>
                <w:highlight w:val="none"/>
              </w:rPr>
              <w:t xml:space="preserve">可维护性</w:t>
            </w:r>
            <w:r/>
          </w:p>
        </w:tc>
        <w:tc>
          <w:tcPr>
            <w:tcMar>
              <w:left w:w="120" w:type="dxa"/>
              <w:top w:w="60" w:type="dxa"/>
              <w:right w:w="120" w:type="dxa"/>
              <w:bottom w:w="60" w:type="dxa"/>
            </w:tcMar>
            <w:tcW w:w="7167" w:type="dxa"/>
            <w:textDirection w:val="lrTb"/>
            <w:noWrap w:val="false"/>
          </w:tcPr>
          <w:p>
            <w:pPr>
              <w:rPr>
                <w:i/>
                <w:iCs/>
                <w:highlight w:val="none"/>
                <w:u w:val="single"/>
              </w:rPr>
            </w:pPr>
            <w:r>
              <w:rPr>
                <w:i/>
                <w:iCs/>
                <w:highlight w:val="none"/>
                <w:u w:val="single"/>
              </w:rPr>
              <w:t xml:space="preserve">支持Telemetry，可实现从设备高速采集数据的技术</w:t>
            </w:r>
            <w:r>
              <w:rPr>
                <w:rFonts w:hint="eastAsia"/>
                <w:i/>
                <w:iCs/>
                <w:highlight w:val="none"/>
                <w:u w:val="single"/>
              </w:rPr>
              <w:t xml:space="preserve">。</w:t>
            </w:r>
            <w:r/>
          </w:p>
        </w:tc>
      </w:tr>
      <w:tr>
        <w:trPr/>
        <w:tc>
          <w:tcPr>
            <w:tcMar>
              <w:left w:w="120" w:type="dxa"/>
              <w:top w:w="60" w:type="dxa"/>
              <w:right w:w="120" w:type="dxa"/>
              <w:bottom w:w="60" w:type="dxa"/>
            </w:tcMar>
            <w:tcW w:w="1134" w:type="dxa"/>
            <w:textDirection w:val="lrTb"/>
            <w:noWrap w:val="false"/>
          </w:tcPr>
          <w:p>
            <w:pPr>
              <w:rPr>
                <w:highlight w:val="none"/>
              </w:rPr>
            </w:pPr>
            <w:r>
              <w:rPr>
                <w:rFonts w:hint="eastAsia"/>
                <w:highlight w:val="none"/>
              </w:rPr>
              <w:t xml:space="preserve">高可靠性</w:t>
            </w:r>
            <w:r/>
          </w:p>
        </w:tc>
        <w:tc>
          <w:tcPr>
            <w:tcMar>
              <w:left w:w="120" w:type="dxa"/>
              <w:top w:w="60" w:type="dxa"/>
              <w:right w:w="120" w:type="dxa"/>
              <w:bottom w:w="60" w:type="dxa"/>
            </w:tcMar>
            <w:tcW w:w="7167" w:type="dxa"/>
            <w:textDirection w:val="lrTb"/>
            <w:noWrap w:val="false"/>
          </w:tcPr>
          <w:p>
            <w:pPr>
              <w:rPr>
                <w:i/>
                <w:iCs/>
                <w:highlight w:val="none"/>
                <w:u w:val="single"/>
              </w:rPr>
            </w:pPr>
            <w:r>
              <w:rPr>
                <w:i/>
                <w:iCs/>
                <w:highlight w:val="none"/>
                <w:u w:val="single"/>
              </w:rPr>
              <w:t xml:space="preserve">支持VRRP、E-Trunk等可靠性技术</w:t>
            </w:r>
            <w:r>
              <w:rPr>
                <w:rFonts w:hint="eastAsia"/>
                <w:i/>
                <w:iCs/>
                <w:highlight w:val="none"/>
                <w:u w:val="single"/>
              </w:rPr>
              <w:t xml:space="preserve">。</w:t>
            </w:r>
            <w:r/>
          </w:p>
        </w:tc>
      </w:tr>
      <w:tr>
        <w:trPr/>
        <w:tc>
          <w:tcPr>
            <w:tcMar>
              <w:left w:w="120" w:type="dxa"/>
              <w:top w:w="60" w:type="dxa"/>
              <w:right w:w="120" w:type="dxa"/>
              <w:bottom w:w="60" w:type="dxa"/>
            </w:tcMar>
            <w:tcW w:w="1134" w:type="dxa"/>
            <w:vMerge w:val="restart"/>
            <w:textDirection w:val="lrTb"/>
            <w:noWrap w:val="false"/>
          </w:tcPr>
          <w:p>
            <w:pPr>
              <w:rPr>
                <w:highlight w:val="none"/>
              </w:rPr>
            </w:pPr>
            <w:r>
              <w:rPr>
                <w:rFonts w:hint="eastAsia"/>
                <w:highlight w:val="none"/>
              </w:rPr>
              <w:t xml:space="preserve">安全性</w:t>
            </w:r>
            <w:r/>
          </w:p>
        </w:tc>
        <w:tc>
          <w:tcPr>
            <w:tcMar>
              <w:left w:w="120" w:type="dxa"/>
              <w:top w:w="60" w:type="dxa"/>
              <w:right w:w="120" w:type="dxa"/>
              <w:bottom w:w="60" w:type="dxa"/>
            </w:tcMar>
            <w:tcW w:w="7167" w:type="dxa"/>
            <w:textDirection w:val="lrTb"/>
            <w:noWrap w:val="false"/>
          </w:tcPr>
          <w:p>
            <w:pPr>
              <w:rPr>
                <w:i/>
                <w:iCs/>
                <w:highlight w:val="none"/>
                <w:u w:val="single"/>
              </w:rPr>
            </w:pPr>
            <w:r>
              <w:rPr>
                <w:rFonts w:hint="eastAsia"/>
                <w:i/>
                <w:iCs/>
                <w:highlight w:val="none"/>
                <w:u w:val="single"/>
              </w:rPr>
              <w:t xml:space="preserve">支持MACsec加密技术，提供</w:t>
            </w:r>
            <w:r>
              <w:rPr>
                <w:rFonts w:hint="eastAsia"/>
                <w:i/>
                <w:iCs/>
                <w:highlight w:val="none"/>
                <w:u w:val="single"/>
              </w:rPr>
              <w:t xml:space="preserve">具有CMA标识的</w:t>
            </w:r>
            <w:r>
              <w:rPr>
                <w:rFonts w:hint="eastAsia"/>
                <w:i/>
                <w:iCs/>
                <w:highlight w:val="none"/>
                <w:u w:val="single"/>
              </w:rPr>
              <w:t xml:space="preserve">第三方测试报告证明。</w:t>
            </w:r>
            <w:r/>
          </w:p>
        </w:tc>
      </w:tr>
      <w:tr>
        <w:trPr/>
        <w:tc>
          <w:tcPr>
            <w:tcMar>
              <w:left w:w="120" w:type="dxa"/>
              <w:top w:w="60" w:type="dxa"/>
              <w:right w:w="120" w:type="dxa"/>
              <w:bottom w:w="60" w:type="dxa"/>
            </w:tcMar>
            <w:tcW w:w="1134" w:type="dxa"/>
            <w:vMerge w:val="continue"/>
            <w:textDirection w:val="lrTb"/>
            <w:noWrap w:val="false"/>
          </w:tcPr>
          <w:p>
            <w:pPr>
              <w:rPr>
                <w:highlight w:val="none"/>
              </w:rPr>
            </w:pPr>
            <w:r>
              <w:rPr>
                <w:highlight w:val="none"/>
              </w:rPr>
            </w:r>
            <w:r/>
          </w:p>
        </w:tc>
        <w:tc>
          <w:tcPr>
            <w:tcMar>
              <w:left w:w="120" w:type="dxa"/>
              <w:top w:w="60" w:type="dxa"/>
              <w:right w:w="120" w:type="dxa"/>
              <w:bottom w:w="60" w:type="dxa"/>
            </w:tcMar>
            <w:tcW w:w="7167" w:type="dxa"/>
            <w:textDirection w:val="lrTb"/>
            <w:noWrap w:val="false"/>
          </w:tcPr>
          <w:p>
            <w:pPr>
              <w:rPr>
                <w:i/>
                <w:iCs/>
                <w:highlight w:val="none"/>
                <w:u w:val="single"/>
              </w:rPr>
            </w:pPr>
            <w:r>
              <w:rPr>
                <w:rFonts w:hint="eastAsia"/>
                <w:i/>
                <w:iCs/>
                <w:highlight w:val="none"/>
                <w:u w:val="single"/>
              </w:rPr>
              <w:t xml:space="preserve">支持国密算法，提供制造商官网截图</w:t>
            </w:r>
            <w:r>
              <w:rPr>
                <w:rFonts w:hint="eastAsia"/>
                <w:i/>
                <w:iCs/>
                <w:highlight w:val="none"/>
                <w:u w:val="single"/>
                <w:lang w:val="en-US" w:eastAsia="zh-CN"/>
              </w:rPr>
              <w:t xml:space="preserve">或白皮书</w:t>
            </w:r>
            <w:r>
              <w:rPr>
                <w:rFonts w:hint="eastAsia"/>
                <w:i/>
                <w:iCs/>
                <w:highlight w:val="none"/>
                <w:u w:val="single"/>
              </w:rPr>
              <w:t xml:space="preserve">证明。</w:t>
            </w:r>
            <w:r/>
          </w:p>
        </w:tc>
      </w:tr>
      <w:tr>
        <w:trPr/>
        <w:tc>
          <w:tcPr>
            <w:tcMar>
              <w:left w:w="120" w:type="dxa"/>
              <w:top w:w="60" w:type="dxa"/>
              <w:right w:w="120" w:type="dxa"/>
              <w:bottom w:w="60" w:type="dxa"/>
            </w:tcMar>
            <w:tcW w:w="1134" w:type="dxa"/>
            <w:vAlign w:val="center"/>
            <w:textDirection w:val="lrTb"/>
            <w:noWrap w:val="false"/>
          </w:tcPr>
          <w:p>
            <w:pPr>
              <w:rPr>
                <w:highlight w:val="none"/>
              </w:rPr>
            </w:pPr>
            <w:r>
              <w:rPr>
                <w:rFonts w:hint="eastAsia"/>
                <w:highlight w:val="none"/>
              </w:rPr>
              <w:t xml:space="preserve">配置要求</w:t>
            </w:r>
            <w:r/>
          </w:p>
        </w:tc>
        <w:tc>
          <w:tcPr>
            <w:tcMar>
              <w:left w:w="120" w:type="dxa"/>
              <w:top w:w="60" w:type="dxa"/>
              <w:right w:w="120" w:type="dxa"/>
              <w:bottom w:w="60" w:type="dxa"/>
            </w:tcMar>
            <w:tcW w:w="7167" w:type="dxa"/>
            <w:vAlign w:val="bottom"/>
            <w:textDirection w:val="lrTb"/>
            <w:noWrap w:val="false"/>
          </w:tcPr>
          <w:p>
            <w:pPr>
              <w:rPr>
                <w:i/>
                <w:iCs/>
                <w:highlight w:val="none"/>
                <w:u w:val="single"/>
              </w:rPr>
            </w:pPr>
            <w:r>
              <w:rPr>
                <w:rFonts w:hint="eastAsia"/>
                <w:i/>
                <w:iCs/>
                <w:highlight w:val="none"/>
                <w:u w:val="single"/>
              </w:rPr>
              <w:t xml:space="preserve">设备配置：主控板卡≥</w:t>
            </w:r>
            <w:r>
              <w:rPr>
                <w:i/>
                <w:iCs/>
                <w:highlight w:val="none"/>
                <w:u w:val="single"/>
              </w:rPr>
              <w:t xml:space="preserve">2个</w:t>
            </w:r>
            <w:r>
              <w:rPr>
                <w:rFonts w:hint="eastAsia"/>
                <w:i/>
                <w:iCs/>
                <w:highlight w:val="none"/>
                <w:u w:val="single"/>
              </w:rPr>
              <w:t xml:space="preserve">；千兆光口</w:t>
            </w:r>
            <w:r>
              <w:rPr>
                <w:i/>
                <w:iCs/>
                <w:highlight w:val="none"/>
                <w:u w:val="single"/>
              </w:rPr>
              <w:t xml:space="preserve">≥</w:t>
            </w:r>
            <w:r>
              <w:rPr>
                <w:rFonts w:hint="eastAsia"/>
                <w:i/>
                <w:iCs/>
                <w:highlight w:val="none"/>
                <w:u w:val="single"/>
              </w:rPr>
              <w:t xml:space="preserve">10</w:t>
            </w:r>
            <w:r>
              <w:rPr>
                <w:i/>
                <w:iCs/>
                <w:highlight w:val="none"/>
                <w:u w:val="single"/>
              </w:rPr>
              <w:t xml:space="preserve">个</w:t>
            </w:r>
            <w:r>
              <w:rPr>
                <w:rFonts w:hint="eastAsia"/>
                <w:i/>
                <w:iCs/>
                <w:highlight w:val="none"/>
                <w:u w:val="single"/>
              </w:rPr>
              <w:t xml:space="preserve">，万兆光口</w:t>
            </w:r>
            <w:r>
              <w:rPr>
                <w:i/>
                <w:iCs/>
                <w:highlight w:val="none"/>
                <w:u w:val="single"/>
              </w:rPr>
              <w:t xml:space="preserve">≥</w:t>
            </w:r>
            <w:r>
              <w:rPr>
                <w:rFonts w:hint="eastAsia"/>
                <w:i/>
                <w:iCs/>
                <w:highlight w:val="none"/>
                <w:u w:val="single"/>
              </w:rPr>
              <w:t xml:space="preserve">4</w:t>
            </w:r>
            <w:r>
              <w:rPr>
                <w:i/>
                <w:iCs/>
                <w:highlight w:val="none"/>
                <w:u w:val="single"/>
              </w:rPr>
              <w:t xml:space="preserve">个</w:t>
            </w:r>
            <w:r>
              <w:rPr>
                <w:rFonts w:hint="eastAsia"/>
                <w:i/>
                <w:iCs/>
                <w:highlight w:val="none"/>
                <w:u w:val="single"/>
              </w:rPr>
              <w:t xml:space="preserve">（含2个千兆单模模块，2个千兆光转电模块，2个万兆多模模块</w:t>
            </w:r>
            <w:r>
              <w:rPr>
                <w:i/>
                <w:iCs/>
                <w:highlight w:val="none"/>
                <w:u w:val="single"/>
              </w:rPr>
              <w:t xml:space="preserve">）</w:t>
            </w:r>
            <w:r>
              <w:rPr>
                <w:rFonts w:hint="eastAsia"/>
                <w:i/>
                <w:iCs/>
                <w:highlight w:val="none"/>
                <w:u w:val="single"/>
                <w:lang w:eastAsia="zh-CN"/>
              </w:rPr>
              <w:t xml:space="preserve">；</w:t>
            </w:r>
            <w:r>
              <w:rPr>
                <w:rFonts w:hint="eastAsia"/>
                <w:i/>
                <w:iCs/>
                <w:highlight w:val="none"/>
                <w:u w:val="single"/>
                <w:lang w:val="en-US" w:eastAsia="zh-CN"/>
              </w:rPr>
              <w:t xml:space="preserve">具备冗余电源</w:t>
            </w:r>
            <w:r>
              <w:rPr>
                <w:rFonts w:hint="eastAsia"/>
                <w:i/>
                <w:iCs/>
                <w:highlight w:val="none"/>
                <w:u w:val="single"/>
              </w:rPr>
              <w:t xml:space="preserve">，实配MACsec功能。</w:t>
            </w:r>
            <w:r/>
          </w:p>
        </w:tc>
      </w:tr>
      <w:tr>
        <w:trPr/>
        <w:tc>
          <w:tcPr>
            <w:tcMar>
              <w:left w:w="120" w:type="dxa"/>
              <w:top w:w="60" w:type="dxa"/>
              <w:right w:w="120" w:type="dxa"/>
              <w:bottom w:w="60" w:type="dxa"/>
            </w:tcMar>
            <w:tcW w:w="1134" w:type="dxa"/>
            <w:vAlign w:val="center"/>
            <w:textDirection w:val="lrTb"/>
            <w:noWrap w:val="false"/>
          </w:tcPr>
          <w:p>
            <w:pPr>
              <w:rPr>
                <w:highlight w:val="none"/>
              </w:rPr>
            </w:pPr>
            <w:r>
              <w:rPr>
                <w:rFonts w:hint="eastAsia"/>
                <w:highlight w:val="none"/>
              </w:rPr>
              <w:t xml:space="preserve">质保要求</w:t>
            </w:r>
            <w:r/>
          </w:p>
        </w:tc>
        <w:tc>
          <w:tcPr>
            <w:tcMar>
              <w:left w:w="120" w:type="dxa"/>
              <w:top w:w="60" w:type="dxa"/>
              <w:right w:w="120" w:type="dxa"/>
              <w:bottom w:w="60" w:type="dxa"/>
            </w:tcMar>
            <w:tcW w:w="7167" w:type="dxa"/>
            <w:vAlign w:val="bottom"/>
            <w:textDirection w:val="lrTb"/>
            <w:noWrap w:val="false"/>
          </w:tcPr>
          <w:p>
            <w:pPr>
              <w:rPr>
                <w:i/>
                <w:iCs/>
                <w:highlight w:val="none"/>
                <w:u w:val="single"/>
              </w:rPr>
            </w:pPr>
            <w:r>
              <w:rPr>
                <w:rFonts w:hint="eastAsia"/>
                <w:i/>
                <w:iCs/>
                <w:highlight w:val="none"/>
                <w:u w:val="single"/>
              </w:rPr>
              <w:t xml:space="preserve">提供3年原厂维保服务。</w:t>
            </w:r>
            <w:r/>
          </w:p>
        </w:tc>
      </w:tr>
    </w:tbl>
    <w:p>
      <w:pPr>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numPr>
          <w:ilvl w:val="0"/>
          <w:numId w:val="12"/>
        </w:numPr>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核心交换机配置要求：（13台）</w:t>
      </w:r>
      <w:r/>
    </w:p>
    <w:tbl>
      <w:tblPr>
        <w:tblStyle w:val="743"/>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0" w:type="dxa"/>
          <w:top w:w="60" w:type="dxa"/>
          <w:right w:w="120" w:type="dxa"/>
          <w:bottom w:w="60" w:type="dxa"/>
        </w:tblCellMar>
        <w:tblLook w:val="04A0" w:firstRow="1" w:lastRow="0" w:firstColumn="1" w:lastColumn="0" w:noHBand="0" w:noVBand="1"/>
      </w:tblPr>
      <w:tblGrid>
        <w:gridCol w:w="1276"/>
        <w:gridCol w:w="7025"/>
      </w:tblGrid>
      <w:tr>
        <w:trPr/>
        <w:tc>
          <w:tcPr>
            <w:tcMar>
              <w:left w:w="120" w:type="dxa"/>
              <w:top w:w="60" w:type="dxa"/>
              <w:right w:w="120" w:type="dxa"/>
              <w:bottom w:w="60" w:type="dxa"/>
            </w:tcMar>
            <w:tcW w:w="1276" w:type="dxa"/>
            <w:vAlign w:val="center"/>
            <w:textDirection w:val="lrTb"/>
            <w:noWrap w:val="false"/>
          </w:tcPr>
          <w:p>
            <w:pPr>
              <w:jc w:val="center"/>
              <w:rPr>
                <w:b/>
                <w:bCs/>
                <w:highlight w:val="none"/>
              </w:rPr>
            </w:pPr>
            <w:r>
              <w:rPr>
                <w:rFonts w:hint="eastAsia"/>
                <w:b/>
                <w:bCs/>
                <w:highlight w:val="none"/>
              </w:rPr>
              <w:t xml:space="preserve">指标项</w:t>
            </w:r>
            <w:r/>
          </w:p>
        </w:tc>
        <w:tc>
          <w:tcPr>
            <w:tcMar>
              <w:left w:w="120" w:type="dxa"/>
              <w:top w:w="60" w:type="dxa"/>
              <w:right w:w="120" w:type="dxa"/>
              <w:bottom w:w="60" w:type="dxa"/>
            </w:tcMar>
            <w:tcW w:w="7025" w:type="dxa"/>
            <w:vAlign w:val="center"/>
            <w:textDirection w:val="lrTb"/>
            <w:noWrap w:val="false"/>
          </w:tcPr>
          <w:p>
            <w:pPr>
              <w:jc w:val="center"/>
              <w:rPr>
                <w:b/>
                <w:bCs/>
                <w:highlight w:val="none"/>
              </w:rPr>
            </w:pPr>
            <w:r>
              <w:rPr>
                <w:rFonts w:hint="eastAsia"/>
                <w:b/>
                <w:bCs/>
                <w:highlight w:val="none"/>
              </w:rPr>
              <w:t xml:space="preserve">指标要求</w:t>
            </w:r>
            <w:r/>
          </w:p>
        </w:tc>
      </w:tr>
      <w:tr>
        <w:trPr/>
        <w:tc>
          <w:tcPr>
            <w:tcMar>
              <w:left w:w="120" w:type="dxa"/>
              <w:top w:w="60" w:type="dxa"/>
              <w:right w:w="120" w:type="dxa"/>
              <w:bottom w:w="60" w:type="dxa"/>
            </w:tcMar>
            <w:tcW w:w="1276" w:type="dxa"/>
            <w:vAlign w:val="center"/>
            <w:textDirection w:val="lrTb"/>
            <w:noWrap w:val="false"/>
          </w:tcPr>
          <w:p>
            <w:pPr>
              <w:rPr>
                <w:highlight w:val="none"/>
              </w:rPr>
            </w:pPr>
            <w:r>
              <w:rPr>
                <w:rFonts w:hint="eastAsia"/>
                <w:highlight w:val="none"/>
              </w:rPr>
              <w:t xml:space="preserve">基本要求</w:t>
            </w:r>
            <w:r/>
          </w:p>
        </w:tc>
        <w:tc>
          <w:tcPr>
            <w:tcMar>
              <w:left w:w="120" w:type="dxa"/>
              <w:top w:w="60" w:type="dxa"/>
              <w:right w:w="120" w:type="dxa"/>
              <w:bottom w:w="60" w:type="dxa"/>
            </w:tcMar>
            <w:tcW w:w="7025" w:type="dxa"/>
            <w:vAlign w:val="bottom"/>
            <w:textDirection w:val="lrTb"/>
            <w:noWrap w:val="false"/>
          </w:tcPr>
          <w:p>
            <w:pPr>
              <w:rPr>
                <w:i/>
                <w:iCs/>
                <w:highlight w:val="none"/>
                <w:u w:val="single"/>
              </w:rPr>
            </w:pPr>
            <w:r>
              <w:rPr>
                <w:rFonts w:hint="eastAsia"/>
                <w:i/>
                <w:iCs/>
                <w:highlight w:val="none"/>
                <w:u w:val="single"/>
              </w:rPr>
              <w:t xml:space="preserve">交换容量≥1.3Tbps，包转发率≥460Mpps以最小值为准，提供制造商官网截图</w:t>
            </w:r>
            <w:r>
              <w:rPr>
                <w:rFonts w:hint="eastAsia"/>
                <w:i/>
                <w:iCs/>
                <w:highlight w:val="none"/>
                <w:u w:val="single"/>
                <w:lang w:val="en-US" w:eastAsia="zh-CN"/>
              </w:rPr>
              <w:t xml:space="preserve">或白皮书</w:t>
            </w:r>
            <w:r>
              <w:rPr>
                <w:rFonts w:hint="eastAsia"/>
                <w:i/>
                <w:iCs/>
                <w:highlight w:val="none"/>
                <w:u w:val="single"/>
              </w:rPr>
              <w:t xml:space="preserve">证明。</w:t>
            </w:r>
            <w:r/>
          </w:p>
        </w:tc>
      </w:tr>
      <w:tr>
        <w:trPr>
          <w:trHeight w:val="200"/>
        </w:trPr>
        <w:tc>
          <w:tcPr>
            <w:tcMar>
              <w:left w:w="120" w:type="dxa"/>
              <w:top w:w="60" w:type="dxa"/>
              <w:right w:w="120" w:type="dxa"/>
              <w:bottom w:w="60" w:type="dxa"/>
            </w:tcMar>
            <w:tcW w:w="1276" w:type="dxa"/>
            <w:vAlign w:val="center"/>
            <w:textDirection w:val="lrTb"/>
            <w:noWrap w:val="false"/>
          </w:tcPr>
          <w:p>
            <w:pPr>
              <w:rPr>
                <w:rFonts w:hint="eastAsia" w:eastAsia="宋体"/>
                <w:highlight w:val="none"/>
                <w:lang w:val="en-US" w:eastAsia="zh-CN"/>
              </w:rPr>
            </w:pPr>
            <w:r>
              <w:rPr>
                <w:rFonts w:hint="eastAsia"/>
                <w:highlight w:val="none"/>
                <w:lang w:val="en-US" w:eastAsia="zh-CN"/>
              </w:rPr>
              <w:t xml:space="preserve">自主可控</w:t>
            </w:r>
            <w:r/>
          </w:p>
        </w:tc>
        <w:tc>
          <w:tcPr>
            <w:tcMar>
              <w:left w:w="120" w:type="dxa"/>
              <w:top w:w="60" w:type="dxa"/>
              <w:right w:w="120" w:type="dxa"/>
              <w:bottom w:w="60" w:type="dxa"/>
            </w:tcMar>
            <w:tcW w:w="7025" w:type="dxa"/>
            <w:vAlign w:val="bottom"/>
            <w:textDirection w:val="lrTb"/>
            <w:noWrap w:val="false"/>
          </w:tcPr>
          <w:p>
            <w:pPr>
              <w:rPr>
                <w:rFonts w:hint="eastAsia"/>
                <w:i/>
                <w:iCs/>
                <w:highlight w:val="none"/>
                <w:u w:val="single"/>
              </w:rPr>
            </w:pPr>
            <w:r>
              <w:rPr>
                <w:i/>
                <w:iCs/>
                <w:highlight w:val="none"/>
                <w:u w:val="single"/>
              </w:rPr>
              <w:t xml:space="preserve">设备CPU、关键芯片为国产自研，</w:t>
            </w:r>
            <w:r>
              <w:rPr>
                <w:rFonts w:hint="eastAsia"/>
                <w:i/>
                <w:iCs/>
                <w:highlight w:val="none"/>
                <w:u w:val="single"/>
              </w:rPr>
              <w:t xml:space="preserve">提供</w:t>
            </w:r>
            <w:r>
              <w:rPr>
                <w:rFonts w:hint="eastAsia"/>
                <w:i/>
                <w:iCs/>
                <w:highlight w:val="none"/>
                <w:u w:val="single"/>
              </w:rPr>
              <w:t xml:space="preserve">具有CMA标识的</w:t>
            </w:r>
            <w:r>
              <w:rPr>
                <w:rFonts w:hint="eastAsia"/>
                <w:i/>
                <w:iCs/>
                <w:highlight w:val="none"/>
                <w:u w:val="single"/>
              </w:rPr>
              <w:t xml:space="preserve">第三方测试报告证明。</w:t>
            </w:r>
            <w:r/>
          </w:p>
        </w:tc>
      </w:tr>
      <w:tr>
        <w:trPr>
          <w:trHeight w:val="200"/>
        </w:trPr>
        <w:tc>
          <w:tcPr>
            <w:tcMar>
              <w:left w:w="120" w:type="dxa"/>
              <w:top w:w="60" w:type="dxa"/>
              <w:right w:w="120" w:type="dxa"/>
              <w:bottom w:w="60" w:type="dxa"/>
            </w:tcMar>
            <w:tcW w:w="1276" w:type="dxa"/>
            <w:vAlign w:val="center"/>
            <w:vMerge w:val="restart"/>
            <w:textDirection w:val="lrTb"/>
            <w:noWrap w:val="false"/>
          </w:tcPr>
          <w:p>
            <w:pPr>
              <w:rPr>
                <w:highlight w:val="none"/>
              </w:rPr>
            </w:pPr>
            <w:r>
              <w:rPr>
                <w:rFonts w:hint="eastAsia"/>
                <w:highlight w:val="none"/>
              </w:rPr>
              <w:t xml:space="preserve">二层功能</w:t>
            </w:r>
            <w:r/>
          </w:p>
        </w:tc>
        <w:tc>
          <w:tcPr>
            <w:tcMar>
              <w:left w:w="120" w:type="dxa"/>
              <w:top w:w="60" w:type="dxa"/>
              <w:right w:w="120" w:type="dxa"/>
              <w:bottom w:w="60" w:type="dxa"/>
            </w:tcMar>
            <w:tcW w:w="7025" w:type="dxa"/>
            <w:vAlign w:val="bottom"/>
            <w:textDirection w:val="lrTb"/>
            <w:noWrap w:val="false"/>
          </w:tcPr>
          <w:p>
            <w:pPr>
              <w:rPr>
                <w:i/>
                <w:iCs/>
                <w:highlight w:val="none"/>
                <w:u w:val="single"/>
              </w:rPr>
            </w:pPr>
            <w:r>
              <w:rPr>
                <w:rFonts w:hint="eastAsia"/>
                <w:i/>
                <w:iCs/>
                <w:highlight w:val="none"/>
                <w:u w:val="single"/>
              </w:rPr>
              <w:t xml:space="preserve">支持IGMP v1/v2/v3、PIM-SM、PIM-DM、PIM-SSM。</w:t>
            </w:r>
            <w:r/>
          </w:p>
        </w:tc>
      </w:tr>
      <w:tr>
        <w:trPr>
          <w:trHeight w:val="200"/>
        </w:trPr>
        <w:tc>
          <w:tcPr>
            <w:tcW w:w="1276" w:type="dxa"/>
            <w:vAlign w:val="center"/>
            <w:vMerge w:val="continue"/>
            <w:textDirection w:val="lrTb"/>
            <w:noWrap w:val="false"/>
          </w:tcPr>
          <w:p>
            <w:pPr>
              <w:rPr>
                <w:highlight w:val="none"/>
              </w:rPr>
            </w:pPr>
            <w:r>
              <w:rPr>
                <w:highlight w:val="none"/>
              </w:rPr>
            </w:r>
            <w:r/>
          </w:p>
        </w:tc>
        <w:tc>
          <w:tcPr>
            <w:tcMar>
              <w:left w:w="120" w:type="dxa"/>
              <w:top w:w="60" w:type="dxa"/>
              <w:right w:w="120" w:type="dxa"/>
              <w:bottom w:w="60" w:type="dxa"/>
            </w:tcMar>
            <w:tcW w:w="7025" w:type="dxa"/>
            <w:vAlign w:val="bottom"/>
            <w:textDirection w:val="lrTb"/>
            <w:noWrap w:val="false"/>
          </w:tcPr>
          <w:p>
            <w:pPr>
              <w:rPr>
                <w:i/>
                <w:iCs/>
                <w:highlight w:val="none"/>
                <w:u w:val="single"/>
              </w:rPr>
            </w:pPr>
            <w:r>
              <w:rPr>
                <w:i/>
                <w:iCs/>
                <w:highlight w:val="none"/>
                <w:u w:val="single"/>
              </w:rPr>
              <w:t xml:space="preserve">支持基于MAC/协议/I</w:t>
            </w:r>
            <w:r>
              <w:rPr>
                <w:rFonts w:hint="eastAsia"/>
                <w:i/>
                <w:iCs/>
                <w:highlight w:val="none"/>
                <w:u w:val="single"/>
              </w:rPr>
              <w:t xml:space="preserve">P</w:t>
            </w:r>
            <w:r>
              <w:rPr>
                <w:i/>
                <w:iCs/>
                <w:highlight w:val="none"/>
                <w:u w:val="single"/>
              </w:rPr>
              <w:t xml:space="preserve">子网/策略/端口</w:t>
            </w:r>
            <w:r>
              <w:rPr>
                <w:rFonts w:hint="eastAsia"/>
                <w:i/>
                <w:iCs/>
                <w:highlight w:val="none"/>
                <w:u w:val="single"/>
              </w:rPr>
              <w:t xml:space="preserve">的</w:t>
            </w:r>
            <w:r>
              <w:rPr>
                <w:i/>
                <w:iCs/>
                <w:highlight w:val="none"/>
                <w:u w:val="single"/>
              </w:rPr>
              <w:t xml:space="preserve">VLAN</w:t>
            </w:r>
            <w:r>
              <w:rPr>
                <w:rFonts w:hint="eastAsia"/>
                <w:i/>
                <w:iCs/>
                <w:highlight w:val="none"/>
                <w:u w:val="single"/>
              </w:rPr>
              <w:t xml:space="preserve">。</w:t>
            </w:r>
            <w:r/>
          </w:p>
        </w:tc>
      </w:tr>
      <w:tr>
        <w:trPr>
          <w:trHeight w:val="200"/>
        </w:trPr>
        <w:tc>
          <w:tcPr>
            <w:tcMar>
              <w:left w:w="120" w:type="dxa"/>
              <w:top w:w="60" w:type="dxa"/>
              <w:right w:w="120" w:type="dxa"/>
              <w:bottom w:w="60" w:type="dxa"/>
            </w:tcMar>
            <w:tcW w:w="1276" w:type="dxa"/>
            <w:vAlign w:val="center"/>
            <w:vMerge w:val="restart"/>
            <w:textDirection w:val="lrTb"/>
            <w:noWrap w:val="false"/>
          </w:tcPr>
          <w:p>
            <w:pPr>
              <w:rPr>
                <w:highlight w:val="none"/>
              </w:rPr>
            </w:pPr>
            <w:r>
              <w:rPr>
                <w:rFonts w:hint="eastAsia"/>
                <w:highlight w:val="none"/>
              </w:rPr>
              <w:t xml:space="preserve">三层功能</w:t>
            </w:r>
            <w:r/>
          </w:p>
        </w:tc>
        <w:tc>
          <w:tcPr>
            <w:tcMar>
              <w:left w:w="120" w:type="dxa"/>
              <w:top w:w="60" w:type="dxa"/>
              <w:right w:w="120" w:type="dxa"/>
              <w:bottom w:w="60" w:type="dxa"/>
            </w:tcMar>
            <w:tcW w:w="7025" w:type="dxa"/>
            <w:vAlign w:val="bottom"/>
            <w:textDirection w:val="lrTb"/>
            <w:noWrap w:val="false"/>
          </w:tcPr>
          <w:p>
            <w:pPr>
              <w:rPr>
                <w:i/>
                <w:iCs/>
                <w:highlight w:val="none"/>
                <w:u w:val="single"/>
              </w:rPr>
            </w:pPr>
            <w:r>
              <w:rPr>
                <w:rFonts w:hint="eastAsia"/>
                <w:i/>
                <w:iCs/>
                <w:highlight w:val="none"/>
                <w:u w:val="single"/>
              </w:rPr>
              <w:t xml:space="preserve">支持</w:t>
            </w:r>
            <w:r>
              <w:rPr>
                <w:i/>
                <w:iCs/>
                <w:highlight w:val="none"/>
                <w:u w:val="single"/>
              </w:rPr>
              <w:t xml:space="preserve">RIP、RIPng</w:t>
            </w:r>
            <w:r>
              <w:rPr>
                <w:rFonts w:hint="eastAsia"/>
                <w:i/>
                <w:iCs/>
                <w:highlight w:val="none"/>
                <w:u w:val="single"/>
              </w:rPr>
              <w:t xml:space="preserve">、</w:t>
            </w:r>
            <w:r>
              <w:rPr>
                <w:i/>
                <w:iCs/>
                <w:highlight w:val="none"/>
                <w:u w:val="single"/>
              </w:rPr>
              <w:t xml:space="preserve">OSPF、OSPFv3、IS-IS、IS-ISv6</w:t>
            </w:r>
            <w:r>
              <w:rPr>
                <w:rFonts w:hint="eastAsia"/>
                <w:i/>
                <w:iCs/>
                <w:highlight w:val="none"/>
                <w:u w:val="single"/>
              </w:rPr>
              <w:t xml:space="preserve">、</w:t>
            </w:r>
            <w:r>
              <w:rPr>
                <w:i/>
                <w:iCs/>
                <w:highlight w:val="none"/>
                <w:u w:val="single"/>
              </w:rPr>
              <w:t xml:space="preserve">BGP、BGP4+</w:t>
            </w:r>
            <w:r>
              <w:rPr>
                <w:rFonts w:hint="eastAsia"/>
                <w:i/>
                <w:iCs/>
                <w:highlight w:val="none"/>
                <w:u w:val="single"/>
              </w:rPr>
              <w:t xml:space="preserve">。</w:t>
            </w:r>
            <w:r/>
          </w:p>
        </w:tc>
      </w:tr>
      <w:tr>
        <w:trPr>
          <w:trHeight w:val="200"/>
        </w:trPr>
        <w:tc>
          <w:tcPr>
            <w:tcW w:w="1276" w:type="dxa"/>
            <w:vAlign w:val="center"/>
            <w:vMerge w:val="continue"/>
            <w:textDirection w:val="lrTb"/>
            <w:noWrap w:val="false"/>
          </w:tcPr>
          <w:p>
            <w:pPr>
              <w:rPr>
                <w:highlight w:val="none"/>
              </w:rPr>
            </w:pPr>
            <w:r>
              <w:rPr>
                <w:highlight w:val="none"/>
              </w:rPr>
            </w:r>
            <w:r/>
          </w:p>
        </w:tc>
        <w:tc>
          <w:tcPr>
            <w:tcMar>
              <w:left w:w="120" w:type="dxa"/>
              <w:top w:w="60" w:type="dxa"/>
              <w:right w:w="120" w:type="dxa"/>
              <w:bottom w:w="60" w:type="dxa"/>
            </w:tcMar>
            <w:tcW w:w="7025" w:type="dxa"/>
            <w:vAlign w:val="bottom"/>
            <w:textDirection w:val="lrTb"/>
            <w:noWrap w:val="false"/>
          </w:tcPr>
          <w:p>
            <w:pPr>
              <w:rPr>
                <w:i/>
                <w:iCs/>
                <w:highlight w:val="none"/>
                <w:u w:val="single"/>
              </w:rPr>
            </w:pPr>
            <w:r>
              <w:rPr>
                <w:rFonts w:hint="eastAsia"/>
                <w:i/>
                <w:iCs/>
                <w:highlight w:val="none"/>
                <w:u w:val="single"/>
              </w:rPr>
              <w:t xml:space="preserve">支持IPv6、支持IPv4/IPv6双栈。</w:t>
            </w:r>
            <w:r/>
          </w:p>
        </w:tc>
      </w:tr>
      <w:tr>
        <w:trPr>
          <w:trHeight w:val="225"/>
        </w:trPr>
        <w:tc>
          <w:tcPr>
            <w:tcMar>
              <w:left w:w="120" w:type="dxa"/>
              <w:top w:w="60" w:type="dxa"/>
              <w:right w:w="120" w:type="dxa"/>
              <w:bottom w:w="60" w:type="dxa"/>
            </w:tcMar>
            <w:tcW w:w="1276" w:type="dxa"/>
            <w:vAlign w:val="center"/>
            <w:textDirection w:val="lrTb"/>
            <w:noWrap w:val="false"/>
          </w:tcPr>
          <w:p>
            <w:pPr>
              <w:rPr>
                <w:highlight w:val="none"/>
              </w:rPr>
            </w:pPr>
            <w:r>
              <w:rPr>
                <w:rFonts w:hint="eastAsia"/>
                <w:highlight w:val="none"/>
              </w:rPr>
              <w:t xml:space="preserve">可靠性</w:t>
            </w:r>
            <w:r/>
          </w:p>
        </w:tc>
        <w:tc>
          <w:tcPr>
            <w:tcMar>
              <w:left w:w="120" w:type="dxa"/>
              <w:top w:w="60" w:type="dxa"/>
              <w:right w:w="120" w:type="dxa"/>
              <w:bottom w:w="60" w:type="dxa"/>
            </w:tcMar>
            <w:tcW w:w="7025" w:type="dxa"/>
            <w:vAlign w:val="bottom"/>
            <w:textDirection w:val="lrTb"/>
            <w:noWrap w:val="false"/>
          </w:tcPr>
          <w:p>
            <w:pPr>
              <w:rPr>
                <w:i/>
                <w:iCs/>
                <w:highlight w:val="none"/>
                <w:u w:val="single"/>
              </w:rPr>
            </w:pPr>
            <w:r>
              <w:rPr>
                <w:rFonts w:hint="eastAsia"/>
                <w:i/>
                <w:iCs/>
                <w:highlight w:val="none"/>
                <w:u w:val="single"/>
              </w:rPr>
              <w:t xml:space="preserve">支持</w:t>
            </w:r>
            <w:r>
              <w:rPr>
                <w:i/>
                <w:iCs/>
                <w:highlight w:val="none"/>
                <w:u w:val="single"/>
              </w:rPr>
              <w:t xml:space="preserve">ERPS以太环保护协议（G.8032）</w:t>
            </w:r>
            <w:r>
              <w:rPr>
                <w:rFonts w:hint="eastAsia"/>
                <w:i/>
                <w:iCs/>
                <w:highlight w:val="none"/>
                <w:u w:val="single"/>
              </w:rPr>
              <w:t xml:space="preserve">。</w:t>
            </w:r>
            <w:r/>
          </w:p>
        </w:tc>
      </w:tr>
      <w:tr>
        <w:trPr/>
        <w:tc>
          <w:tcPr>
            <w:tcMar>
              <w:left w:w="120" w:type="dxa"/>
              <w:top w:w="60" w:type="dxa"/>
              <w:right w:w="120" w:type="dxa"/>
              <w:bottom w:w="60" w:type="dxa"/>
            </w:tcMar>
            <w:tcW w:w="1276" w:type="dxa"/>
            <w:vAlign w:val="center"/>
            <w:textDirection w:val="lrTb"/>
            <w:noWrap w:val="false"/>
          </w:tcPr>
          <w:p>
            <w:pPr>
              <w:rPr>
                <w:highlight w:val="none"/>
              </w:rPr>
            </w:pPr>
            <w:r>
              <w:rPr>
                <w:rFonts w:hint="eastAsia"/>
                <w:highlight w:val="none"/>
              </w:rPr>
              <w:t xml:space="preserve">管理维护功能</w:t>
            </w:r>
            <w:r/>
          </w:p>
        </w:tc>
        <w:tc>
          <w:tcPr>
            <w:tcMar>
              <w:left w:w="120" w:type="dxa"/>
              <w:top w:w="60" w:type="dxa"/>
              <w:right w:w="120" w:type="dxa"/>
              <w:bottom w:w="60" w:type="dxa"/>
            </w:tcMar>
            <w:tcW w:w="7025" w:type="dxa"/>
            <w:vAlign w:val="bottom"/>
            <w:textDirection w:val="lrTb"/>
            <w:noWrap w:val="false"/>
          </w:tcPr>
          <w:p>
            <w:pPr>
              <w:rPr>
                <w:i/>
                <w:iCs/>
                <w:highlight w:val="none"/>
                <w:u w:val="single"/>
              </w:rPr>
            </w:pPr>
            <w:r>
              <w:rPr>
                <w:rFonts w:hint="eastAsia"/>
                <w:i/>
                <w:iCs/>
                <w:highlight w:val="none"/>
                <w:u w:val="single"/>
              </w:rPr>
              <w:t xml:space="preserve">支持Telemetry，实现秒级收集网络数据，为后续网络可视化运维简便，支持带外管理。</w:t>
            </w:r>
            <w:r/>
          </w:p>
        </w:tc>
      </w:tr>
      <w:tr>
        <w:trPr/>
        <w:tc>
          <w:tcPr>
            <w:tcMar>
              <w:left w:w="120" w:type="dxa"/>
              <w:top w:w="60" w:type="dxa"/>
              <w:right w:w="120" w:type="dxa"/>
              <w:bottom w:w="60" w:type="dxa"/>
            </w:tcMar>
            <w:tcW w:w="1276" w:type="dxa"/>
            <w:vAlign w:val="center"/>
            <w:textDirection w:val="lrTb"/>
            <w:noWrap w:val="false"/>
          </w:tcPr>
          <w:p>
            <w:pPr>
              <w:rPr>
                <w:highlight w:val="none"/>
              </w:rPr>
            </w:pPr>
            <w:r>
              <w:rPr>
                <w:rFonts w:hint="eastAsia"/>
                <w:highlight w:val="none"/>
              </w:rPr>
              <w:t xml:space="preserve">配置要求</w:t>
            </w:r>
            <w:r/>
          </w:p>
        </w:tc>
        <w:tc>
          <w:tcPr>
            <w:tcMar>
              <w:left w:w="120" w:type="dxa"/>
              <w:top w:w="60" w:type="dxa"/>
              <w:right w:w="120" w:type="dxa"/>
              <w:bottom w:w="60" w:type="dxa"/>
            </w:tcMar>
            <w:tcW w:w="7025" w:type="dxa"/>
            <w:vAlign w:val="bottom"/>
            <w:textDirection w:val="lrTb"/>
            <w:noWrap w:val="false"/>
          </w:tcPr>
          <w:p>
            <w:pPr>
              <w:rPr>
                <w:i/>
                <w:iCs/>
                <w:highlight w:val="none"/>
                <w:u w:val="single"/>
              </w:rPr>
            </w:pPr>
            <w:r>
              <w:rPr>
                <w:rFonts w:hint="eastAsia"/>
                <w:i/>
                <w:iCs/>
                <w:highlight w:val="none"/>
                <w:u w:val="single"/>
              </w:rPr>
              <w:t xml:space="preserve">设备配置：千兆光口≥16个，复用10/100/1000BASE-T以太网端口Combo接口≥8个，万兆光口≥4个（含2个万兆多模模块），</w:t>
            </w:r>
            <w:r>
              <w:rPr>
                <w:rFonts w:hint="eastAsia"/>
                <w:i/>
                <w:iCs/>
                <w:highlight w:val="none"/>
                <w:u w:val="single"/>
                <w:lang w:val="en-US" w:eastAsia="zh-CN"/>
              </w:rPr>
              <w:t xml:space="preserve">可堆叠</w:t>
            </w:r>
            <w:r>
              <w:rPr>
                <w:rFonts w:hint="eastAsia"/>
                <w:i/>
                <w:iCs/>
                <w:highlight w:val="none"/>
                <w:u w:val="single"/>
              </w:rPr>
              <w:t xml:space="preserve">，具备冗余电源。</w:t>
            </w:r>
            <w:r/>
          </w:p>
        </w:tc>
      </w:tr>
      <w:tr>
        <w:trPr/>
        <w:tc>
          <w:tcPr>
            <w:tcMar>
              <w:left w:w="120" w:type="dxa"/>
              <w:top w:w="60" w:type="dxa"/>
              <w:right w:w="120" w:type="dxa"/>
              <w:bottom w:w="60" w:type="dxa"/>
            </w:tcMar>
            <w:tcW w:w="1276" w:type="dxa"/>
            <w:vAlign w:val="center"/>
            <w:textDirection w:val="lrTb"/>
            <w:noWrap w:val="false"/>
          </w:tcPr>
          <w:p>
            <w:pPr>
              <w:rPr>
                <w:highlight w:val="none"/>
              </w:rPr>
            </w:pPr>
            <w:r>
              <w:rPr>
                <w:rFonts w:hint="eastAsia"/>
                <w:highlight w:val="none"/>
              </w:rPr>
              <w:t xml:space="preserve">质保要求</w:t>
            </w:r>
            <w:r/>
          </w:p>
        </w:tc>
        <w:tc>
          <w:tcPr>
            <w:tcMar>
              <w:left w:w="120" w:type="dxa"/>
              <w:top w:w="60" w:type="dxa"/>
              <w:right w:w="120" w:type="dxa"/>
              <w:bottom w:w="60" w:type="dxa"/>
            </w:tcMar>
            <w:tcW w:w="7025" w:type="dxa"/>
            <w:vAlign w:val="bottom"/>
            <w:textDirection w:val="lrTb"/>
            <w:noWrap w:val="false"/>
          </w:tcPr>
          <w:p>
            <w:pPr>
              <w:rPr>
                <w:i/>
                <w:iCs/>
                <w:highlight w:val="none"/>
                <w:u w:val="single"/>
              </w:rPr>
            </w:pPr>
            <w:r>
              <w:rPr>
                <w:rFonts w:hint="eastAsia"/>
                <w:i/>
                <w:iCs/>
                <w:highlight w:val="none"/>
                <w:u w:val="single"/>
              </w:rPr>
              <w:t xml:space="preserve">提供3年原厂维保服务。</w:t>
            </w:r>
            <w:r/>
          </w:p>
        </w:tc>
      </w:tr>
    </w:tbl>
    <w:p>
      <w:pPr>
        <w:numPr>
          <w:ilvl w:val="0"/>
          <w:numId w:val="12"/>
        </w:numPr>
        <w:rPr>
          <w:rFonts w:ascii="宋体" w:hAnsi="宋体" w:cs="宋体"/>
          <w:b/>
          <w:i/>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i/>
          <w:iCs/>
          <w:color w:val="000000"/>
          <w:sz w:val="24"/>
          <w:highlight w:val="none"/>
          <w:u w:val="single"/>
        </w:rPr>
        <w:t xml:space="preserve">服务要求：</w:t>
      </w:r>
      <w:r/>
    </w:p>
    <w:p>
      <w:pPr>
        <w:numPr>
          <w:ilvl w:val="0"/>
          <w:numId w:val="13"/>
        </w:numPr>
        <w:rPr>
          <w:rFonts w:ascii="宋体" w:hAnsi="宋体" w:cs="宋体"/>
          <w:b/>
          <w:i/>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i/>
          <w:iCs/>
          <w:color w:val="000000"/>
          <w:sz w:val="24"/>
          <w:highlight w:val="none"/>
          <w:u w:val="single"/>
        </w:rPr>
        <w:t xml:space="preserve">技术团队要求：</w:t>
      </w:r>
      <w:r/>
    </w:p>
    <w:p>
      <w:pPr>
        <w:numPr>
          <w:ilvl w:val="0"/>
          <w:numId w:val="14"/>
        </w:numPr>
        <w:ind w:firstLine="480"/>
        <w:widowControl/>
        <w:rPr>
          <w:rFonts w:ascii="宋体" w:hAnsi="宋体"/>
          <w:bCs/>
          <w:i/>
          <w:iCs/>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bCs/>
          <w:i/>
          <w:iCs/>
          <w:color w:val="000000"/>
          <w:sz w:val="24"/>
          <w:highlight w:val="none"/>
          <w:u w:val="single"/>
        </w:rPr>
        <w:t xml:space="preserve">项目负责人：</w:t>
      </w:r>
      <w:r>
        <w:rPr>
          <w:rFonts w:hint="eastAsia" w:ascii="宋体" w:hAnsi="宋体"/>
          <w:bCs/>
          <w:i/>
          <w:iCs/>
          <w:sz w:val="24"/>
          <w:highlight w:val="none"/>
          <w:u w:val="single"/>
        </w:rPr>
        <w:t xml:space="preserve">投标人需</w:t>
      </w:r>
      <w:r>
        <w:rPr>
          <w:rFonts w:ascii="宋体" w:hAnsi="宋体"/>
          <w:bCs/>
          <w:i/>
          <w:iCs/>
          <w:sz w:val="24"/>
          <w:highlight w:val="none"/>
          <w:u w:val="single"/>
        </w:rPr>
        <w:t xml:space="preserve">安排1名</w:t>
      </w:r>
      <w:r>
        <w:rPr>
          <w:rFonts w:hint="eastAsia" w:ascii="宋体" w:hAnsi="宋体"/>
          <w:bCs/>
          <w:i/>
          <w:iCs/>
          <w:sz w:val="24"/>
          <w:highlight w:val="none"/>
          <w:u w:val="single"/>
        </w:rPr>
        <w:t xml:space="preserve">项目</w:t>
      </w:r>
      <w:r>
        <w:rPr>
          <w:rFonts w:ascii="宋体" w:hAnsi="宋体"/>
          <w:bCs/>
          <w:i/>
          <w:iCs/>
          <w:sz w:val="24"/>
          <w:highlight w:val="none"/>
          <w:u w:val="single"/>
        </w:rPr>
        <w:t xml:space="preserve">负责人，管理</w:t>
      </w:r>
      <w:r>
        <w:rPr>
          <w:rFonts w:hint="eastAsia" w:ascii="宋体" w:hAnsi="宋体"/>
          <w:bCs/>
          <w:i/>
          <w:iCs/>
          <w:sz w:val="24"/>
          <w:highlight w:val="none"/>
          <w:u w:val="single"/>
        </w:rPr>
        <w:t xml:space="preserve">项目技术</w:t>
      </w:r>
      <w:r>
        <w:rPr>
          <w:rFonts w:ascii="宋体" w:hAnsi="宋体"/>
          <w:bCs/>
          <w:i/>
          <w:iCs/>
          <w:sz w:val="24"/>
          <w:highlight w:val="none"/>
          <w:u w:val="single"/>
        </w:rPr>
        <w:t xml:space="preserve">团队并协调相关事项，需具备全日制本科及以上学历</w:t>
      </w:r>
      <w:r>
        <w:rPr>
          <w:rFonts w:hint="eastAsia" w:ascii="宋体" w:hAnsi="宋体"/>
          <w:bCs/>
          <w:i/>
          <w:iCs/>
          <w:sz w:val="24"/>
          <w:highlight w:val="none"/>
          <w:u w:val="single"/>
        </w:rPr>
        <w:t xml:space="preserve">，同时该负责人具</w:t>
      </w:r>
      <w:r>
        <w:rPr>
          <w:rFonts w:ascii="宋体" w:hAnsi="宋体"/>
          <w:bCs/>
          <w:i/>
          <w:iCs/>
          <w:sz w:val="24"/>
          <w:highlight w:val="none"/>
          <w:u w:val="single"/>
        </w:rPr>
        <w:t xml:space="preserve">备高级信息系统项目管理师证书</w:t>
      </w:r>
      <w:r>
        <w:rPr>
          <w:rFonts w:hint="eastAsia" w:ascii="宋体" w:hAnsi="宋体"/>
          <w:bCs/>
          <w:i/>
          <w:iCs/>
          <w:sz w:val="24"/>
          <w:highlight w:val="none"/>
          <w:u w:val="single"/>
        </w:rPr>
        <w:t xml:space="preserve">、</w:t>
      </w:r>
      <w:r>
        <w:rPr>
          <w:rFonts w:ascii="宋体" w:hAnsi="宋体" w:cs="宋体"/>
          <w:bCs/>
          <w:i/>
          <w:iCs/>
          <w:color w:val="000000"/>
          <w:sz w:val="24"/>
          <w:highlight w:val="none"/>
          <w:u w:val="single"/>
        </w:rPr>
        <w:t xml:space="preserve">高级系统架构设计师证书</w:t>
      </w:r>
      <w:r>
        <w:rPr>
          <w:rFonts w:hint="eastAsia" w:ascii="宋体" w:hAnsi="宋体" w:cs="宋体"/>
          <w:bCs/>
          <w:i/>
          <w:iCs/>
          <w:color w:val="000000"/>
          <w:sz w:val="24"/>
          <w:highlight w:val="none"/>
          <w:u w:val="single"/>
        </w:rPr>
        <w:t xml:space="preserve">或</w:t>
      </w:r>
      <w:r>
        <w:rPr>
          <w:rFonts w:hint="eastAsia" w:ascii="宋体" w:hAnsi="宋体"/>
          <w:bCs/>
          <w:i/>
          <w:iCs/>
          <w:sz w:val="24"/>
          <w:highlight w:val="none"/>
          <w:u w:val="single"/>
        </w:rPr>
        <w:t xml:space="preserve">高级工程师证书任意一项证书</w:t>
      </w:r>
      <w:r>
        <w:rPr>
          <w:rFonts w:ascii="宋体" w:hAnsi="宋体"/>
          <w:bCs/>
          <w:i/>
          <w:iCs/>
          <w:sz w:val="24"/>
          <w:highlight w:val="none"/>
          <w:u w:val="single"/>
        </w:rPr>
        <w:t xml:space="preserve">（需提供项目经理毕业证书复印件</w:t>
      </w:r>
      <w:r>
        <w:rPr>
          <w:rFonts w:hint="eastAsia" w:ascii="宋体" w:hAnsi="宋体"/>
          <w:bCs/>
          <w:i/>
          <w:iCs/>
          <w:sz w:val="24"/>
          <w:highlight w:val="none"/>
          <w:u w:val="single"/>
        </w:rPr>
        <w:t xml:space="preserve">及资质证书</w:t>
      </w:r>
      <w:r>
        <w:rPr>
          <w:rFonts w:ascii="宋体" w:hAnsi="宋体"/>
          <w:bCs/>
          <w:i/>
          <w:iCs/>
          <w:sz w:val="24"/>
          <w:highlight w:val="none"/>
          <w:u w:val="single"/>
        </w:rPr>
        <w:t xml:space="preserve">）</w:t>
      </w:r>
      <w:r>
        <w:rPr>
          <w:rFonts w:hint="eastAsia" w:ascii="宋体" w:hAnsi="宋体"/>
          <w:bCs/>
          <w:i/>
          <w:iCs/>
          <w:sz w:val="24"/>
          <w:highlight w:val="none"/>
          <w:u w:val="single"/>
        </w:rPr>
        <w:t xml:space="preserve">。</w:t>
      </w:r>
      <w:r/>
    </w:p>
    <w:p>
      <w:pPr>
        <w:ind w:firstLine="480"/>
        <w:widowControl/>
        <w:rPr>
          <w:rFonts w:ascii="宋体" w:hAnsi="宋体" w:cs="宋体"/>
          <w:bCs/>
          <w:i/>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Cs/>
          <w:i/>
          <w:iCs/>
          <w:color w:val="000000"/>
          <w:sz w:val="24"/>
          <w:highlight w:val="none"/>
          <w:u w:val="single"/>
        </w:rPr>
        <w:t xml:space="preserve">（2）</w:t>
      </w:r>
      <w:r>
        <w:rPr>
          <w:rFonts w:ascii="宋体" w:hAnsi="宋体" w:cs="宋体"/>
          <w:bCs/>
          <w:i/>
          <w:iCs/>
          <w:color w:val="000000"/>
          <w:sz w:val="24"/>
          <w:highlight w:val="none"/>
          <w:u w:val="single"/>
        </w:rPr>
        <w:t xml:space="preserve">技术负责人：</w:t>
      </w:r>
      <w:r>
        <w:rPr>
          <w:rFonts w:hint="eastAsia" w:ascii="宋体" w:hAnsi="宋体"/>
          <w:bCs/>
          <w:i/>
          <w:iCs/>
          <w:sz w:val="24"/>
          <w:highlight w:val="none"/>
          <w:u w:val="single"/>
        </w:rPr>
        <w:t xml:space="preserve">投标人需</w:t>
      </w:r>
      <w:r>
        <w:rPr>
          <w:rFonts w:ascii="宋体" w:hAnsi="宋体"/>
          <w:bCs/>
          <w:i/>
          <w:iCs/>
          <w:sz w:val="24"/>
          <w:highlight w:val="none"/>
          <w:u w:val="single"/>
        </w:rPr>
        <w:t xml:space="preserve">安排1名</w:t>
      </w:r>
      <w:r>
        <w:rPr>
          <w:rFonts w:hint="eastAsia" w:ascii="宋体" w:hAnsi="宋体"/>
          <w:bCs/>
          <w:i/>
          <w:iCs/>
          <w:sz w:val="24"/>
          <w:highlight w:val="none"/>
          <w:u w:val="single"/>
        </w:rPr>
        <w:t xml:space="preserve">技术</w:t>
      </w:r>
      <w:r>
        <w:rPr>
          <w:rFonts w:ascii="宋体" w:hAnsi="宋体"/>
          <w:bCs/>
          <w:i/>
          <w:iCs/>
          <w:sz w:val="24"/>
          <w:highlight w:val="none"/>
          <w:u w:val="single"/>
        </w:rPr>
        <w:t xml:space="preserve">负责人，需具备全日制本科及以上学历</w:t>
      </w:r>
      <w:r>
        <w:rPr>
          <w:rFonts w:hint="eastAsia" w:ascii="宋体" w:hAnsi="宋体"/>
          <w:bCs/>
          <w:i/>
          <w:iCs/>
          <w:sz w:val="24"/>
          <w:highlight w:val="none"/>
          <w:u w:val="single"/>
        </w:rPr>
        <w:t xml:space="preserve">，</w:t>
      </w:r>
      <w:r>
        <w:rPr>
          <w:rFonts w:ascii="宋体" w:hAnsi="宋体" w:cs="宋体"/>
          <w:bCs/>
          <w:i/>
          <w:iCs/>
          <w:color w:val="000000"/>
          <w:sz w:val="24"/>
          <w:highlight w:val="none"/>
          <w:u w:val="single"/>
        </w:rPr>
        <w:t xml:space="preserve">须具备高级软件工程师证书、高级系统架构设计师证书、</w:t>
      </w:r>
      <w:r>
        <w:rPr>
          <w:rFonts w:hint="eastAsia" w:ascii="宋体" w:hAnsi="宋体" w:cs="宋体"/>
          <w:bCs/>
          <w:i/>
          <w:iCs/>
          <w:color w:val="000000"/>
          <w:sz w:val="24"/>
          <w:highlight w:val="none"/>
          <w:u w:val="single"/>
        </w:rPr>
        <w:t xml:space="preserve">高级信息系统项目管理师证书、</w:t>
      </w:r>
      <w:r>
        <w:rPr>
          <w:rFonts w:ascii="宋体" w:hAnsi="宋体" w:cs="宋体"/>
          <w:bCs/>
          <w:i/>
          <w:iCs/>
          <w:color w:val="000000"/>
          <w:sz w:val="24"/>
          <w:highlight w:val="none"/>
          <w:u w:val="single"/>
        </w:rPr>
        <w:t xml:space="preserve">注册信息安全工程师（CISE）证书、高级系统规划与管理师证书</w:t>
      </w:r>
      <w:r>
        <w:rPr>
          <w:rFonts w:hint="eastAsia" w:ascii="宋体" w:hAnsi="宋体" w:cs="宋体"/>
          <w:bCs/>
          <w:i/>
          <w:iCs/>
          <w:color w:val="000000"/>
          <w:sz w:val="24"/>
          <w:highlight w:val="none"/>
          <w:u w:val="single"/>
        </w:rPr>
        <w:t xml:space="preserve">中任意一种证书</w:t>
      </w:r>
      <w:r>
        <w:rPr>
          <w:rFonts w:ascii="宋体" w:hAnsi="宋体" w:cs="宋体"/>
          <w:bCs/>
          <w:i/>
          <w:iCs/>
          <w:color w:val="000000"/>
          <w:sz w:val="24"/>
          <w:highlight w:val="none"/>
          <w:u w:val="single"/>
        </w:rPr>
        <w:t xml:space="preserve">。</w:t>
      </w:r>
      <w:r/>
    </w:p>
    <w:p>
      <w:pPr>
        <w:ind w:firstLine="480"/>
        <w:widowControl/>
        <w:rPr>
          <w:rFonts w:ascii="宋体" w:hAnsi="宋体" w:cs="宋体"/>
          <w:bCs/>
          <w:i/>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Cs/>
          <w:i/>
          <w:iCs/>
          <w:color w:val="000000"/>
          <w:sz w:val="24"/>
          <w:highlight w:val="none"/>
          <w:u w:val="single"/>
        </w:rPr>
        <w:t xml:space="preserve">（3）</w:t>
      </w:r>
      <w:r>
        <w:rPr>
          <w:rFonts w:ascii="宋体" w:hAnsi="宋体" w:cs="宋体"/>
          <w:bCs/>
          <w:i/>
          <w:iCs/>
          <w:color w:val="000000"/>
          <w:sz w:val="24"/>
          <w:highlight w:val="none"/>
          <w:u w:val="single"/>
        </w:rPr>
        <w:t xml:space="preserve">团队成员：</w:t>
      </w:r>
      <w:r>
        <w:rPr>
          <w:rFonts w:hint="eastAsia" w:ascii="宋体" w:hAnsi="宋体"/>
          <w:bCs/>
          <w:i/>
          <w:iCs/>
          <w:sz w:val="24"/>
          <w:highlight w:val="none"/>
          <w:u w:val="single"/>
        </w:rPr>
        <w:t xml:space="preserve">投标人至少</w:t>
      </w:r>
      <w:r>
        <w:rPr>
          <w:rFonts w:ascii="宋体" w:hAnsi="宋体"/>
          <w:bCs/>
          <w:i/>
          <w:iCs/>
          <w:sz w:val="24"/>
          <w:highlight w:val="none"/>
          <w:u w:val="single"/>
        </w:rPr>
        <w:t xml:space="preserve">安排</w:t>
      </w:r>
      <w:r>
        <w:rPr>
          <w:rFonts w:hint="eastAsia" w:ascii="宋体" w:hAnsi="宋体"/>
          <w:bCs/>
          <w:i/>
          <w:iCs/>
          <w:sz w:val="24"/>
          <w:highlight w:val="none"/>
          <w:u w:val="single"/>
        </w:rPr>
        <w:t xml:space="preserve">1</w:t>
      </w:r>
      <w:r>
        <w:rPr>
          <w:rFonts w:ascii="宋体" w:hAnsi="宋体"/>
          <w:bCs/>
          <w:i/>
          <w:iCs/>
          <w:sz w:val="24"/>
          <w:highlight w:val="none"/>
          <w:u w:val="single"/>
        </w:rPr>
        <w:t xml:space="preserve">名</w:t>
      </w:r>
      <w:r>
        <w:rPr>
          <w:rFonts w:hint="eastAsia" w:ascii="宋体" w:hAnsi="宋体"/>
          <w:bCs/>
          <w:i/>
          <w:iCs/>
          <w:sz w:val="24"/>
          <w:highlight w:val="none"/>
          <w:u w:val="single"/>
        </w:rPr>
        <w:t xml:space="preserve">以上团队成员，</w:t>
      </w:r>
      <w:r>
        <w:rPr>
          <w:rFonts w:ascii="宋体" w:hAnsi="宋体" w:cs="宋体"/>
          <w:bCs/>
          <w:i/>
          <w:iCs/>
          <w:color w:val="000000"/>
          <w:sz w:val="24"/>
          <w:highlight w:val="none"/>
          <w:u w:val="single"/>
        </w:rPr>
        <w:t xml:space="preserve">团队成员</w:t>
      </w:r>
      <w:r>
        <w:rPr>
          <w:rFonts w:ascii="宋体" w:hAnsi="宋体"/>
          <w:bCs/>
          <w:i/>
          <w:iCs/>
          <w:sz w:val="24"/>
          <w:highlight w:val="none"/>
          <w:u w:val="single"/>
        </w:rPr>
        <w:t xml:space="preserve">需具备全日制本科及以上学历</w:t>
      </w:r>
      <w:r>
        <w:rPr>
          <w:rFonts w:ascii="宋体" w:hAnsi="宋体" w:cs="宋体"/>
          <w:bCs/>
          <w:i/>
          <w:iCs/>
          <w:color w:val="000000"/>
          <w:sz w:val="24"/>
          <w:highlight w:val="none"/>
          <w:u w:val="single"/>
        </w:rPr>
        <w:t xml:space="preserve">，且同时具备与项目相关的专业资质证书（如软件工程师证书、网络工程师证书</w:t>
      </w:r>
      <w:r>
        <w:rPr>
          <w:rFonts w:hint="eastAsia" w:ascii="宋体" w:hAnsi="宋体" w:cs="宋体"/>
          <w:bCs/>
          <w:i/>
          <w:iCs/>
          <w:color w:val="000000"/>
          <w:sz w:val="24"/>
          <w:highlight w:val="none"/>
          <w:u w:val="single"/>
        </w:rPr>
        <w:t xml:space="preserve">、系统集成项目管理工程师或工程师证书</w:t>
      </w:r>
      <w:r>
        <w:rPr>
          <w:rFonts w:ascii="宋体" w:hAnsi="宋体" w:cs="宋体"/>
          <w:bCs/>
          <w:i/>
          <w:iCs/>
          <w:color w:val="000000"/>
          <w:sz w:val="24"/>
          <w:highlight w:val="none"/>
          <w:u w:val="single"/>
        </w:rPr>
        <w:t xml:space="preserve">等）</w:t>
      </w:r>
      <w:r>
        <w:rPr>
          <w:rFonts w:hint="eastAsia" w:ascii="宋体" w:hAnsi="宋体" w:cs="宋体"/>
          <w:bCs/>
          <w:i/>
          <w:iCs/>
          <w:color w:val="000000"/>
          <w:sz w:val="24"/>
          <w:highlight w:val="none"/>
          <w:u w:val="single"/>
        </w:rPr>
        <w:t xml:space="preserve">。</w:t>
      </w:r>
      <w:r/>
    </w:p>
    <w:p>
      <w:pPr>
        <w:ind w:firstLine="480"/>
        <w:widowControl/>
        <w:rPr>
          <w:rFonts w:ascii="宋体" w:hAnsi="宋体" w:cs="宋体"/>
          <w:bCs/>
          <w:i/>
          <w:iCs/>
          <w:color w:val="000000"/>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bCs/>
          <w:i/>
          <w:iCs/>
          <w:color w:val="000000"/>
          <w:sz w:val="24"/>
          <w:highlight w:val="none"/>
          <w:u w:val="single"/>
        </w:rPr>
        <w:t xml:space="preserve">注：提供上述人员证书以及</w:t>
      </w:r>
      <w:r>
        <w:rPr>
          <w:rFonts w:hint="eastAsia" w:ascii="宋体" w:hAnsi="宋体" w:cs="宋体"/>
          <w:bCs/>
          <w:i/>
          <w:iCs/>
          <w:color w:val="000000"/>
          <w:sz w:val="24"/>
          <w:highlight w:val="none"/>
          <w:u w:val="single"/>
        </w:rPr>
        <w:t xml:space="preserve">三个月</w:t>
      </w:r>
      <w:r>
        <w:rPr>
          <w:rFonts w:ascii="宋体" w:hAnsi="宋体" w:cs="宋体"/>
          <w:bCs/>
          <w:i/>
          <w:iCs/>
          <w:color w:val="000000"/>
          <w:sz w:val="24"/>
          <w:highlight w:val="none"/>
          <w:u w:val="single"/>
        </w:rPr>
        <w:t xml:space="preserve">内任意一个月社保缴纳证明并加盖公章。</w:t>
      </w:r>
      <w:r>
        <w:rPr>
          <w:rFonts w:hint="eastAsia" w:ascii="宋体" w:hAnsi="宋体" w:cs="宋体"/>
          <w:bCs/>
          <w:i/>
          <w:iCs/>
          <w:color w:val="000000"/>
          <w:sz w:val="24"/>
          <w:highlight w:val="none"/>
          <w:u w:val="single"/>
        </w:rPr>
        <w:t xml:space="preserve">项目负责人、技术负责人、团队成员不能重复。</w:t>
      </w:r>
      <w:r/>
    </w:p>
    <w:p>
      <w:pPr>
        <w:numPr>
          <w:ilvl w:val="0"/>
          <w:numId w:val="13"/>
        </w:numPr>
        <w:ind w:firstLine="482"/>
        <w:widowControl/>
        <w:rPr>
          <w:rFonts w:ascii="宋体" w:hAnsi="宋体" w:cs="宋体"/>
          <w:b/>
          <w:i/>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i/>
          <w:iCs/>
          <w:color w:val="000000"/>
          <w:sz w:val="24"/>
          <w:highlight w:val="none"/>
          <w:u w:val="single"/>
        </w:rPr>
        <w:t xml:space="preserve">企业资质要求</w:t>
      </w:r>
      <w:r/>
    </w:p>
    <w:p>
      <w:pPr>
        <w:ind w:firstLine="480"/>
        <w:widowControl/>
        <w:rPr>
          <w:rFonts w:ascii="宋体" w:hAnsi="宋体" w:cs="宋体"/>
          <w:bCs/>
          <w:i/>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Cs/>
          <w:i/>
          <w:iCs/>
          <w:color w:val="000000"/>
          <w:sz w:val="24"/>
          <w:highlight w:val="none"/>
          <w:u w:val="single"/>
        </w:rPr>
        <w:t xml:space="preserve">投标人具备ISO9001质量管理体系证书。提供投标人自2022年1月1日以来，具有类似项目合同案例，时间以合同签订日期为准。（提供合同复印件并加盖公章）</w:t>
      </w:r>
      <w:r/>
    </w:p>
    <w:p>
      <w:pPr>
        <w:numPr>
          <w:ilvl w:val="0"/>
          <w:numId w:val="13"/>
        </w:numPr>
        <w:ind w:firstLine="482"/>
        <w:widowControl/>
        <w:rPr>
          <w:rFonts w:ascii="宋体" w:hAnsi="宋体" w:cs="宋体"/>
          <w:b/>
          <w:i/>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i/>
          <w:iCs/>
          <w:color w:val="000000"/>
          <w:sz w:val="24"/>
          <w:highlight w:val="none"/>
          <w:u w:val="single"/>
        </w:rPr>
        <w:t xml:space="preserve">安全管理要求</w:t>
      </w:r>
      <w:r/>
    </w:p>
    <w:p>
      <w:pPr>
        <w:ind w:firstLine="480"/>
        <w:widowControl/>
        <w:rPr>
          <w:rFonts w:ascii="宋体" w:hAnsi="宋体" w:cs="宋体"/>
          <w:bCs/>
          <w:i/>
          <w:iCs/>
          <w:color w:val="000000"/>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bCs/>
          <w:i/>
          <w:iCs/>
          <w:color w:val="000000"/>
          <w:sz w:val="24"/>
          <w:highlight w:val="none"/>
          <w:u w:val="single"/>
        </w:rPr>
        <w:t xml:space="preserve">投标人必须服从采购人对网络与信息安全的各项管理规定和要求，需签订相关保密协议及风险责任书，对因工作疏失出现的网络与信息安全责任事故，必须承担相应责任，接受惩处。</w:t>
      </w:r>
      <w:r/>
    </w:p>
    <w:p>
      <w:pPr>
        <w:ind w:firstLine="482"/>
        <w:widowControl/>
        <w:rPr>
          <w:rFonts w:ascii="宋体" w:hAnsi="宋体" w:cs="宋体"/>
          <w:b/>
          <w:i/>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i/>
          <w:iCs/>
          <w:color w:val="000000"/>
          <w:sz w:val="24"/>
          <w:highlight w:val="none"/>
          <w:u w:val="single"/>
        </w:rPr>
        <w:t xml:space="preserve">(四)培训要求</w:t>
      </w:r>
      <w:r/>
    </w:p>
    <w:p>
      <w:pPr>
        <w:ind w:firstLine="480"/>
        <w:spacing w:line="0" w:lineRule="atLeast"/>
        <w:rPr>
          <w:rFonts w:ascii="宋体" w:hAnsi="宋体"/>
          <w:b/>
          <w:bCs/>
          <w:i/>
          <w:iCs/>
          <w:sz w:val="24"/>
          <w:szCs w:val="24"/>
          <w:highlight w:val="none"/>
          <w:u w:val="single"/>
        </w:rPr>
      </w:pPr>
      <w:r>
        <w:rPr>
          <w:rFonts w:hint="eastAsia" w:ascii="宋体" w:hAnsi="宋体" w:cs="宋体"/>
          <w:bCs/>
          <w:i/>
          <w:iCs/>
          <w:color w:val="000000"/>
          <w:sz w:val="24"/>
          <w:highlight w:val="none"/>
          <w:u w:val="single"/>
        </w:rPr>
        <w:t xml:space="preserve">投标人需要对省局及13个地市水文分局相关人员提供1次现场操作培训（设备安装调试期间）以及一次线下集中培训（为期2天，总参训人数约30人），采购人不另外支付培训以及相关费用。</w:t>
      </w:r>
      <w:r/>
    </w:p>
    <w:p>
      <w:pPr>
        <w:spacing w:line="0" w:lineRule="atLeast"/>
        <w:rPr>
          <w:rFonts w:ascii="宋体" w:hAnsi="宋体"/>
          <w:b/>
          <w:bCs/>
          <w:sz w:val="24"/>
          <w:szCs w:val="24"/>
          <w:highlight w:val="none"/>
        </w:rPr>
      </w:pPr>
      <w:r>
        <w:rPr>
          <w:rFonts w:hint="eastAsia" w:ascii="宋体" w:hAnsi="宋体"/>
          <w:b/>
          <w:bCs/>
          <w:sz w:val="24"/>
          <w:szCs w:val="24"/>
          <w:highlight w:val="none"/>
        </w:rPr>
        <w:t xml:space="preserve">三</w:t>
      </w:r>
      <w:r>
        <w:rPr>
          <w:rFonts w:ascii="宋体" w:hAnsi="宋体"/>
          <w:b/>
          <w:bCs/>
          <w:sz w:val="24"/>
          <w:szCs w:val="24"/>
          <w:highlight w:val="none"/>
        </w:rPr>
        <w:t xml:space="preserve">、</w:t>
      </w:r>
      <w:r>
        <w:rPr>
          <w:rFonts w:hint="eastAsia" w:ascii="宋体" w:hAnsi="宋体"/>
          <w:b/>
          <w:bCs/>
          <w:sz w:val="24"/>
          <w:szCs w:val="24"/>
          <w:highlight w:val="none"/>
        </w:rPr>
        <w:t xml:space="preserve">商务</w:t>
      </w:r>
      <w:r>
        <w:rPr>
          <w:rFonts w:ascii="宋体" w:hAnsi="宋体"/>
          <w:b/>
          <w:bCs/>
          <w:sz w:val="24"/>
          <w:szCs w:val="24"/>
          <w:highlight w:val="none"/>
        </w:rPr>
        <w:t xml:space="preserve">要求</w:t>
      </w:r>
      <w:r/>
    </w:p>
    <w:p>
      <w:pPr>
        <w:spacing w:line="0" w:lineRule="atLeast"/>
        <w:rPr>
          <w:rFonts w:ascii="宋体" w:hAnsi="宋体"/>
          <w:b/>
          <w:sz w:val="24"/>
          <w:szCs w:val="24"/>
          <w:highlight w:val="none"/>
        </w:rPr>
      </w:pPr>
      <w:r>
        <w:rPr>
          <w:rFonts w:hint="eastAsia" w:ascii="宋体" w:hAnsi="宋体"/>
          <w:bCs/>
          <w:sz w:val="24"/>
          <w:szCs w:val="24"/>
          <w:highlight w:val="none"/>
        </w:rPr>
        <w:t xml:space="preserve">其中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或加*号条款为实质性要求。</w:t>
      </w:r>
      <w:r/>
    </w:p>
    <w:p>
      <w:pPr>
        <w:ind w:firstLine="480"/>
        <w:widowControl/>
        <w:rPr>
          <w:rFonts w:ascii="宋体" w:hAnsi="宋体" w:cs="宋体"/>
          <w:bCs/>
          <w:i/>
          <w:iCs/>
          <w:color w:val="000000"/>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bCs/>
          <w:i/>
          <w:iCs/>
          <w:color w:val="000000"/>
          <w:sz w:val="24"/>
          <w:highlight w:val="none"/>
          <w:u w:val="single"/>
        </w:rPr>
        <w:t xml:space="preserve">1</w:t>
      </w:r>
      <w:r>
        <w:rPr>
          <w:rFonts w:hint="eastAsia" w:ascii="宋体" w:hAnsi="宋体" w:cs="宋体"/>
          <w:bCs/>
          <w:i/>
          <w:iCs/>
          <w:color w:val="000000"/>
          <w:sz w:val="24"/>
          <w:highlight w:val="none"/>
          <w:u w:val="single"/>
        </w:rPr>
        <w:t xml:space="preserve">.</w:t>
      </w:r>
      <w:r>
        <w:rPr>
          <w:rFonts w:ascii="宋体" w:hAnsi="宋体" w:cs="宋体"/>
          <w:bCs/>
          <w:i/>
          <w:iCs/>
          <w:color w:val="000000"/>
          <w:sz w:val="24"/>
          <w:highlight w:val="none"/>
          <w:u w:val="single"/>
        </w:rPr>
        <w:t xml:space="preserve">交付期</w:t>
      </w:r>
      <w:r/>
    </w:p>
    <w:p>
      <w:pPr>
        <w:ind w:firstLine="480"/>
        <w:widowControl/>
        <w:rPr>
          <w:rFonts w:ascii="宋体" w:hAnsi="宋体" w:cs="宋体"/>
          <w:bCs/>
          <w:i/>
          <w:iCs/>
          <w:color w:val="000000"/>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bCs/>
          <w:i/>
          <w:iCs/>
          <w:color w:val="000000"/>
          <w:sz w:val="24"/>
          <w:highlight w:val="none"/>
          <w:u w:val="single"/>
        </w:rPr>
        <w:t xml:space="preserve">1.1</w:t>
      </w:r>
      <w:r>
        <w:rPr>
          <w:rFonts w:hint="eastAsia" w:ascii="宋体" w:hAnsi="宋体" w:cs="宋体"/>
          <w:bCs/>
          <w:i/>
          <w:iCs/>
          <w:color w:val="000000"/>
          <w:sz w:val="24"/>
          <w:highlight w:val="none"/>
          <w:u w:val="single"/>
        </w:rPr>
        <w:t xml:space="preserve">本项目采购人</w:t>
      </w:r>
      <w:r>
        <w:rPr>
          <w:rFonts w:ascii="宋体" w:hAnsi="宋体" w:cs="宋体"/>
          <w:bCs/>
          <w:i/>
          <w:iCs/>
          <w:color w:val="000000"/>
          <w:sz w:val="24"/>
          <w:highlight w:val="none"/>
          <w:u w:val="single"/>
        </w:rPr>
        <w:t xml:space="preserve">不负责提供</w:t>
      </w:r>
      <w:r>
        <w:rPr>
          <w:rFonts w:hint="eastAsia" w:ascii="宋体" w:hAnsi="宋体" w:cs="宋体"/>
          <w:bCs/>
          <w:i/>
          <w:iCs/>
          <w:color w:val="000000"/>
          <w:sz w:val="24"/>
          <w:highlight w:val="none"/>
          <w:u w:val="single"/>
        </w:rPr>
        <w:t xml:space="preserve">技术人员</w:t>
      </w:r>
      <w:r>
        <w:rPr>
          <w:rFonts w:ascii="宋体" w:hAnsi="宋体" w:cs="宋体"/>
          <w:bCs/>
          <w:i/>
          <w:iCs/>
          <w:color w:val="000000"/>
          <w:sz w:val="24"/>
          <w:highlight w:val="none"/>
          <w:u w:val="single"/>
        </w:rPr>
        <w:t xml:space="preserve">的食宿、交通</w:t>
      </w:r>
      <w:r>
        <w:rPr>
          <w:rFonts w:hint="eastAsia" w:ascii="宋体" w:hAnsi="宋体" w:cs="宋体"/>
          <w:bCs/>
          <w:i/>
          <w:iCs/>
          <w:color w:val="000000"/>
          <w:sz w:val="24"/>
          <w:highlight w:val="none"/>
          <w:u w:val="single"/>
        </w:rPr>
        <w:t xml:space="preserve">、物流</w:t>
      </w:r>
      <w:r>
        <w:rPr>
          <w:rFonts w:ascii="宋体" w:hAnsi="宋体" w:cs="宋体"/>
          <w:bCs/>
          <w:i/>
          <w:iCs/>
          <w:color w:val="000000"/>
          <w:sz w:val="24"/>
          <w:highlight w:val="none"/>
          <w:u w:val="single"/>
        </w:rPr>
        <w:t xml:space="preserve">等一切相关费用</w:t>
      </w:r>
      <w:r>
        <w:rPr>
          <w:rFonts w:hint="eastAsia" w:ascii="宋体" w:hAnsi="宋体" w:cs="宋体"/>
          <w:bCs/>
          <w:i/>
          <w:iCs/>
          <w:color w:val="000000"/>
          <w:sz w:val="24"/>
          <w:highlight w:val="none"/>
          <w:u w:val="single"/>
        </w:rPr>
        <w:t xml:space="preserve">。投标人需要在合同签订后</w:t>
      </w:r>
      <w:r>
        <w:rPr>
          <w:rFonts w:hint="eastAsia" w:ascii="宋体" w:hAnsi="宋体" w:cs="宋体"/>
          <w:bCs/>
          <w:i/>
          <w:iCs/>
          <w:color w:val="000000"/>
          <w:sz w:val="24"/>
          <w:highlight w:val="none"/>
          <w:u w:val="single"/>
          <w:lang w:val="en-US" w:eastAsia="zh-CN"/>
        </w:rPr>
        <w:t xml:space="preserve">2</w:t>
      </w:r>
      <w:r>
        <w:rPr>
          <w:rFonts w:hint="eastAsia" w:ascii="宋体" w:hAnsi="宋体" w:cs="宋体"/>
          <w:bCs/>
          <w:i/>
          <w:iCs/>
          <w:color w:val="000000"/>
          <w:sz w:val="24"/>
          <w:highlight w:val="none"/>
          <w:u w:val="single"/>
        </w:rPr>
        <w:t xml:space="preserve">5</w:t>
      </w:r>
      <w:r>
        <w:rPr>
          <w:rFonts w:ascii="宋体" w:hAnsi="宋体" w:cs="宋体"/>
          <w:bCs/>
          <w:i/>
          <w:iCs/>
          <w:color w:val="000000"/>
          <w:sz w:val="24"/>
          <w:highlight w:val="none"/>
          <w:u w:val="single"/>
        </w:rPr>
        <w:t xml:space="preserve">日内完成</w:t>
      </w:r>
      <w:r>
        <w:rPr>
          <w:rFonts w:hint="eastAsia" w:ascii="宋体" w:hAnsi="宋体" w:cs="宋体"/>
          <w:bCs/>
          <w:i/>
          <w:iCs/>
          <w:color w:val="000000"/>
          <w:sz w:val="24"/>
          <w:highlight w:val="none"/>
          <w:u w:val="single"/>
        </w:rPr>
        <w:t xml:space="preserve">所有设备安装调试</w:t>
      </w:r>
      <w:r>
        <w:rPr>
          <w:rFonts w:hint="eastAsia" w:ascii="宋体" w:hAnsi="宋体" w:cs="宋体"/>
          <w:bCs/>
          <w:i/>
          <w:iCs/>
          <w:color w:val="000000"/>
          <w:sz w:val="24"/>
          <w:highlight w:val="none"/>
          <w:u w:val="single"/>
          <w:lang w:eastAsia="zh-CN"/>
        </w:rPr>
        <w:t xml:space="preserve">，</w:t>
      </w:r>
      <w:r>
        <w:rPr>
          <w:rFonts w:hint="eastAsia" w:ascii="宋体" w:hAnsi="宋体" w:cs="宋体"/>
          <w:bCs/>
          <w:i/>
          <w:iCs/>
          <w:color w:val="000000"/>
          <w:sz w:val="24"/>
          <w:highlight w:val="none"/>
          <w:u w:val="single"/>
          <w:lang w:val="en-US" w:eastAsia="zh-CN"/>
        </w:rPr>
        <w:t xml:space="preserve">90</w:t>
      </w:r>
      <w:r>
        <w:rPr>
          <w:rFonts w:hint="eastAsia" w:ascii="宋体" w:hAnsi="宋体" w:cs="宋体"/>
          <w:bCs/>
          <w:i/>
          <w:iCs/>
          <w:color w:val="000000"/>
          <w:sz w:val="24"/>
          <w:highlight w:val="none"/>
          <w:u w:val="single"/>
        </w:rPr>
        <w:t xml:space="preserve">日内完成本项目所有</w:t>
      </w:r>
      <w:r>
        <w:rPr>
          <w:rFonts w:hint="eastAsia" w:ascii="宋体" w:hAnsi="宋体" w:cs="宋体"/>
          <w:bCs/>
          <w:i/>
          <w:iCs/>
          <w:color w:val="000000"/>
          <w:sz w:val="24"/>
          <w:highlight w:val="none"/>
          <w:u w:val="single"/>
          <w:lang w:val="en-US" w:eastAsia="zh-CN"/>
        </w:rPr>
        <w:t xml:space="preserve">工作内容</w:t>
      </w:r>
      <w:r>
        <w:rPr>
          <w:rFonts w:hint="eastAsia" w:ascii="宋体" w:hAnsi="宋体" w:cs="宋体"/>
          <w:bCs/>
          <w:i/>
          <w:iCs/>
          <w:color w:val="000000"/>
          <w:sz w:val="24"/>
          <w:highlight w:val="none"/>
          <w:u w:val="single"/>
        </w:rPr>
        <w:t xml:space="preserve">。</w:t>
      </w:r>
      <w:r/>
    </w:p>
    <w:p>
      <w:pPr>
        <w:ind w:firstLine="480"/>
        <w:widowControl/>
        <w:rPr>
          <w:rFonts w:ascii="宋体" w:hAnsi="宋体" w:cs="宋体"/>
          <w:bCs/>
          <w:i/>
          <w:iCs/>
          <w:color w:val="000000"/>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bCs/>
          <w:i/>
          <w:iCs/>
          <w:color w:val="000000"/>
          <w:sz w:val="24"/>
          <w:highlight w:val="none"/>
          <w:u w:val="single"/>
        </w:rPr>
        <w:t xml:space="preserve">1.2为保障业务平稳过渡，</w:t>
      </w:r>
      <w:r>
        <w:rPr>
          <w:rFonts w:hint="eastAsia" w:ascii="宋体" w:hAnsi="宋体" w:cs="宋体"/>
          <w:bCs/>
          <w:i/>
          <w:iCs/>
          <w:color w:val="000000"/>
          <w:sz w:val="24"/>
          <w:highlight w:val="none"/>
          <w:u w:val="single"/>
        </w:rPr>
        <w:t xml:space="preserve">设备</w:t>
      </w:r>
      <w:r>
        <w:rPr>
          <w:rFonts w:ascii="宋体" w:hAnsi="宋体" w:cs="宋体"/>
          <w:bCs/>
          <w:i/>
          <w:iCs/>
          <w:color w:val="000000"/>
          <w:sz w:val="24"/>
          <w:highlight w:val="none"/>
          <w:u w:val="single"/>
        </w:rPr>
        <w:t xml:space="preserve">的割接时间不超过0.</w:t>
      </w:r>
      <w:r>
        <w:rPr>
          <w:rFonts w:hint="eastAsia" w:ascii="宋体" w:hAnsi="宋体" w:cs="宋体"/>
          <w:bCs/>
          <w:i/>
          <w:iCs/>
          <w:color w:val="000000"/>
          <w:sz w:val="24"/>
          <w:highlight w:val="none"/>
          <w:u w:val="single"/>
        </w:rPr>
        <w:t xml:space="preserve">5</w:t>
      </w:r>
      <w:r>
        <w:rPr>
          <w:rFonts w:ascii="宋体" w:hAnsi="宋体" w:cs="宋体"/>
          <w:bCs/>
          <w:i/>
          <w:iCs/>
          <w:color w:val="000000"/>
          <w:sz w:val="24"/>
          <w:highlight w:val="none"/>
          <w:u w:val="single"/>
        </w:rPr>
        <w:t xml:space="preserve">小时。投标人需针对割接时间、业务保障提供承诺函并加盖投标人公章。若实际割接无法满足其投标承诺，采购人有权追究中标人虚假投标责任。</w:t>
      </w:r>
      <w:r/>
    </w:p>
    <w:p>
      <w:pPr>
        <w:ind w:firstLine="480"/>
        <w:widowControl/>
        <w:rPr>
          <w:rFonts w:ascii="宋体" w:hAnsi="宋体" w:cs="宋体"/>
          <w:bCs/>
          <w:i/>
          <w:iCs/>
          <w:color w:val="000000"/>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bCs/>
          <w:i/>
          <w:iCs/>
          <w:color w:val="000000"/>
          <w:sz w:val="24"/>
          <w:highlight w:val="none"/>
          <w:u w:val="single"/>
        </w:rPr>
        <w:t xml:space="preserve">1.3自合同签订</w:t>
      </w:r>
      <w:r>
        <w:rPr>
          <w:rFonts w:hint="eastAsia" w:ascii="宋体" w:hAnsi="宋体" w:cs="宋体"/>
          <w:bCs/>
          <w:i/>
          <w:iCs/>
          <w:color w:val="000000"/>
          <w:sz w:val="24"/>
          <w:highlight w:val="none"/>
          <w:u w:val="single"/>
        </w:rPr>
        <w:t xml:space="preserve">，25</w:t>
      </w:r>
      <w:r>
        <w:rPr>
          <w:rFonts w:ascii="宋体" w:hAnsi="宋体" w:cs="宋体"/>
          <w:bCs/>
          <w:i/>
          <w:iCs/>
          <w:color w:val="000000"/>
          <w:sz w:val="24"/>
          <w:highlight w:val="none"/>
          <w:u w:val="single"/>
        </w:rPr>
        <w:t xml:space="preserve">日内完成</w:t>
      </w:r>
      <w:r>
        <w:rPr>
          <w:rFonts w:hint="eastAsia" w:ascii="宋体" w:hAnsi="宋体" w:cs="宋体"/>
          <w:bCs/>
          <w:i/>
          <w:iCs/>
          <w:color w:val="000000"/>
          <w:sz w:val="24"/>
          <w:highlight w:val="none"/>
          <w:u w:val="single"/>
        </w:rPr>
        <w:t xml:space="preserve">所有设备安装调试</w:t>
      </w:r>
      <w:r>
        <w:rPr>
          <w:rFonts w:ascii="宋体" w:hAnsi="宋体" w:cs="宋体"/>
          <w:bCs/>
          <w:i/>
          <w:iCs/>
          <w:color w:val="000000"/>
          <w:sz w:val="24"/>
          <w:highlight w:val="none"/>
          <w:u w:val="single"/>
        </w:rPr>
        <w:t xml:space="preserve">，需提供承诺函并加盖投标人公章。</w:t>
      </w:r>
      <w:r/>
    </w:p>
    <w:p>
      <w:pPr>
        <w:ind w:firstLine="480"/>
        <w:widowControl/>
        <w:rPr>
          <w:rFonts w:ascii="宋体" w:hAnsi="宋体" w:cs="宋体"/>
          <w:bCs/>
          <w:i/>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Cs/>
          <w:i/>
          <w:iCs/>
          <w:color w:val="000000"/>
          <w:sz w:val="24"/>
          <w:highlight w:val="none"/>
          <w:u w:val="single"/>
        </w:rPr>
        <w:t xml:space="preserve">2.</w:t>
      </w:r>
      <w:r>
        <w:rPr>
          <w:rFonts w:ascii="宋体" w:hAnsi="宋体" w:cs="宋体"/>
          <w:bCs/>
          <w:i/>
          <w:iCs/>
          <w:color w:val="000000"/>
          <w:sz w:val="24"/>
          <w:highlight w:val="none"/>
          <w:u w:val="single"/>
        </w:rPr>
        <w:t xml:space="preserve">交付方式：用户指定方式。</w:t>
      </w:r>
      <w:r/>
    </w:p>
    <w:p>
      <w:pPr>
        <w:ind w:firstLine="480"/>
        <w:widowControl/>
        <w:rPr>
          <w:rFonts w:ascii="宋体" w:hAnsi="宋体" w:cs="宋体"/>
          <w:bCs/>
          <w:i/>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Cs/>
          <w:i/>
          <w:iCs/>
          <w:color w:val="000000"/>
          <w:sz w:val="24"/>
          <w:highlight w:val="none"/>
          <w:u w:val="single"/>
        </w:rPr>
        <w:t xml:space="preserve">3.</w:t>
      </w:r>
      <w:r>
        <w:rPr>
          <w:rFonts w:ascii="宋体" w:hAnsi="宋体" w:cs="宋体"/>
          <w:bCs/>
          <w:i/>
          <w:iCs/>
          <w:color w:val="000000"/>
          <w:sz w:val="24"/>
          <w:highlight w:val="none"/>
          <w:u w:val="single"/>
        </w:rPr>
        <w:t xml:space="preserve">交付地点：江苏省内（按采购人要求）。</w:t>
      </w:r>
      <w:r/>
    </w:p>
    <w:p>
      <w:pPr>
        <w:ind w:firstLine="480"/>
        <w:widowControl/>
        <w:rPr>
          <w:rFonts w:ascii="宋体" w:hAnsi="宋体" w:cs="宋体"/>
          <w:bCs/>
          <w:i/>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Cs/>
          <w:i/>
          <w:iCs/>
          <w:color w:val="000000"/>
          <w:sz w:val="24"/>
          <w:highlight w:val="none"/>
          <w:u w:val="single"/>
        </w:rPr>
        <w:t xml:space="preserve">4.</w:t>
      </w:r>
      <w:r>
        <w:rPr>
          <w:rFonts w:ascii="宋体" w:hAnsi="宋体" w:cs="宋体"/>
          <w:bCs/>
          <w:i/>
          <w:iCs/>
          <w:color w:val="000000"/>
          <w:sz w:val="24"/>
          <w:highlight w:val="none"/>
          <w:u w:val="single"/>
        </w:rPr>
        <w:t xml:space="preserve">货款支付：</w:t>
      </w:r>
      <w:r/>
    </w:p>
    <w:p>
      <w:pPr>
        <w:ind w:firstLine="480"/>
        <w:widowControl/>
        <w:rPr>
          <w:rFonts w:ascii="宋体" w:hAnsi="宋体" w:cs="宋体"/>
          <w:i/>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4"/>
          <w:highlight w:val="none"/>
          <w:u w:val="single"/>
        </w:rPr>
        <w:t xml:space="preserve">合同签订后，甲方支付预付款，金额为合同金额70%；</w:t>
      </w:r>
      <w:r/>
    </w:p>
    <w:p>
      <w:pPr>
        <w:ind w:firstLine="480"/>
        <w:widowControl/>
        <w:rPr>
          <w:rFonts w:ascii="宋体" w:hAnsi="宋体" w:cs="宋体"/>
          <w:i/>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4"/>
          <w:highlight w:val="none"/>
          <w:u w:val="single"/>
        </w:rPr>
        <w:t xml:space="preserve">12月2</w:t>
      </w:r>
      <w:r>
        <w:rPr>
          <w:rFonts w:hint="eastAsia" w:ascii="宋体" w:hAnsi="宋体" w:cs="宋体"/>
          <w:i/>
          <w:iCs/>
          <w:color w:val="000000"/>
          <w:sz w:val="24"/>
          <w:highlight w:val="none"/>
          <w:u w:val="single"/>
          <w:lang w:val="en-US" w:eastAsia="zh-CN"/>
        </w:rPr>
        <w:t xml:space="preserve">9</w:t>
      </w:r>
      <w:r>
        <w:rPr>
          <w:rFonts w:hint="eastAsia" w:ascii="宋体" w:hAnsi="宋体" w:cs="宋体"/>
          <w:i/>
          <w:iCs/>
          <w:color w:val="000000"/>
          <w:sz w:val="24"/>
          <w:highlight w:val="none"/>
          <w:u w:val="single"/>
        </w:rPr>
        <w:t xml:space="preserve">日前甲方验收货物到货情况，根据乙方设备到货的数量计算货款，如货款金额不足合同金额的70%，甲方不支付款项。如货款金额超过合同金额的70%，甲方支付超出部分的金额，最多支付至合同金额</w:t>
      </w:r>
      <w:r>
        <w:rPr>
          <w:rFonts w:hint="eastAsia" w:ascii="宋体" w:hAnsi="宋体" w:cs="宋体"/>
          <w:i/>
          <w:iCs/>
          <w:color w:val="000000"/>
          <w:sz w:val="24"/>
          <w:highlight w:val="none"/>
          <w:u w:val="single"/>
          <w:lang w:val="en-US" w:eastAsia="zh-CN"/>
        </w:rPr>
        <w:t xml:space="preserve">90</w:t>
      </w:r>
      <w:r>
        <w:rPr>
          <w:rFonts w:hint="eastAsia" w:ascii="宋体" w:hAnsi="宋体" w:cs="宋体"/>
          <w:i/>
          <w:iCs/>
          <w:color w:val="000000"/>
          <w:sz w:val="24"/>
          <w:highlight w:val="none"/>
          <w:u w:val="single"/>
        </w:rPr>
        <w:t xml:space="preserve">%；</w:t>
      </w:r>
      <w:r/>
    </w:p>
    <w:p>
      <w:pPr>
        <w:ind w:firstLine="480"/>
        <w:widowControl/>
        <w:rPr>
          <w:rFonts w:ascii="宋体" w:hAnsi="宋体" w:cs="宋体"/>
          <w:bCs/>
          <w:i/>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4"/>
          <w:highlight w:val="none"/>
          <w:u w:val="single"/>
        </w:rPr>
        <w:t xml:space="preserve">完成项目全部内容并通过验收后，甲方支付剩余款项。</w:t>
      </w:r>
      <w:r/>
    </w:p>
    <w:p>
      <w:pPr>
        <w:ind w:firstLine="480"/>
        <w:widowControl/>
        <w:rPr>
          <w:rFonts w:ascii="宋体" w:hAnsi="宋体" w:cs="宋体"/>
          <w:bCs/>
          <w:i/>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Cs/>
          <w:i/>
          <w:iCs/>
          <w:color w:val="000000"/>
          <w:sz w:val="24"/>
          <w:highlight w:val="none"/>
          <w:u w:val="single"/>
        </w:rPr>
        <w:t xml:space="preserve">5.</w:t>
      </w:r>
      <w:r>
        <w:rPr>
          <w:rFonts w:ascii="宋体" w:hAnsi="宋体" w:cs="宋体"/>
          <w:bCs/>
          <w:i/>
          <w:iCs/>
          <w:color w:val="000000"/>
          <w:sz w:val="24"/>
          <w:highlight w:val="none"/>
          <w:u w:val="single"/>
        </w:rPr>
        <w:t xml:space="preserve">投标货币</w:t>
      </w:r>
      <w:r/>
    </w:p>
    <w:p>
      <w:pPr>
        <w:ind w:firstLine="480"/>
        <w:spacing w:line="0" w:lineRule="atLeast"/>
        <w:rPr>
          <w:rFonts w:ascii="宋体" w:hAnsi="宋体"/>
          <w:bCs/>
          <w:i/>
          <w:iCs/>
          <w:sz w:val="24"/>
          <w:szCs w:val="24"/>
          <w:highlight w:val="none"/>
          <w:u w:val="single"/>
        </w:rPr>
      </w:pPr>
      <w:r>
        <w:rPr>
          <w:rFonts w:ascii="宋体" w:hAnsi="宋体" w:cs="宋体"/>
          <w:bCs/>
          <w:i/>
          <w:iCs/>
          <w:color w:val="000000"/>
          <w:sz w:val="24"/>
          <w:highlight w:val="none"/>
          <w:u w:val="single"/>
        </w:rPr>
        <w:t xml:space="preserve">本项目以人民币报价。</w:t>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、其他要求</w:t>
      </w:r>
      <w:r/>
    </w:p>
    <w:p>
      <w:pPr>
        <w:spacing w:line="0" w:lineRule="atLeast"/>
        <w:rPr>
          <w:rFonts w:ascii="宋体" w:hAnsi="宋体"/>
          <w:sz w:val="24"/>
          <w:szCs w:val="24"/>
          <w:highlight w:val="none"/>
        </w:rPr>
      </w:pPr>
      <w:r>
        <w:rPr>
          <w:rFonts w:hint="eastAsia" w:ascii="宋体" w:hAnsi="宋体"/>
          <w:sz w:val="24"/>
          <w:szCs w:val="24"/>
          <w:highlight w:val="none"/>
        </w:rPr>
        <w:t xml:space="preserve">1.项目属性:货物类项目。</w:t>
      </w:r>
      <w:r/>
    </w:p>
    <w:p>
      <w:pPr>
        <w:spacing w:line="0" w:lineRule="atLeas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.进口</w:t>
      </w:r>
      <w:r>
        <w:rPr>
          <w:rFonts w:ascii="宋体" w:hAnsi="宋体"/>
          <w:sz w:val="24"/>
          <w:szCs w:val="24"/>
          <w:highlight w:val="none"/>
        </w:rPr>
        <w:t xml:space="preserve">产品</w:t>
      </w:r>
      <w:r>
        <w:rPr>
          <w:rFonts w:hint="eastAsia" w:ascii="宋体" w:hAnsi="宋体"/>
          <w:sz w:val="24"/>
          <w:szCs w:val="24"/>
          <w:highlight w:val="none"/>
        </w:rPr>
        <w:t xml:space="preserve">参与谈判</w:t>
      </w:r>
      <w:r/>
    </w:p>
    <w:tbl>
      <w:tblPr>
        <w:tblStyle w:val="74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textDirection w:val="lrTb"/>
            <w:noWrap w:val="false"/>
          </w:tcPr>
          <w:p>
            <w:pPr>
              <w:jc w:val="center"/>
              <w:rPr>
                <w:rFonts w:ascii="宋体" w:hAnsi="宋体"/>
                <w:szCs w:val="21"/>
                <w:highlight w:val="none"/>
              </w:rPr>
            </w:pPr>
            <w:r>
              <w:rPr>
                <w:rFonts w:hint="eastAsia" w:ascii="宋体" w:hAnsi="宋体"/>
                <w:szCs w:val="21"/>
                <w:highlight w:val="none"/>
              </w:rPr>
              <w:t xml:space="preserve">采购包号</w:t>
            </w:r>
            <w:r/>
          </w:p>
        </w:tc>
        <w:tc>
          <w:tcPr>
            <w:tcW w:w="3094" w:type="dxa"/>
            <w:textDirection w:val="lrTb"/>
            <w:noWrap w:val="false"/>
          </w:tcPr>
          <w:p>
            <w:pPr>
              <w:jc w:val="center"/>
              <w:rPr>
                <w:rFonts w:ascii="宋体" w:hAnsi="宋体"/>
                <w:szCs w:val="21"/>
                <w:highlight w:val="none"/>
              </w:rPr>
            </w:pPr>
            <w:r>
              <w:rPr>
                <w:rFonts w:hint="eastAsia" w:ascii="宋体" w:hAnsi="宋体"/>
                <w:szCs w:val="21"/>
                <w:highlight w:val="none"/>
              </w:rPr>
              <w:t xml:space="preserve">是否接受</w:t>
            </w:r>
            <w:r>
              <w:rPr>
                <w:rFonts w:ascii="宋体" w:hAnsi="宋体"/>
                <w:szCs w:val="21"/>
                <w:highlight w:val="none"/>
              </w:rPr>
              <w:t xml:space="preserve">进口产品</w:t>
            </w:r>
            <w:r>
              <w:rPr>
                <w:rFonts w:hint="eastAsia" w:ascii="宋体" w:hAnsi="宋体"/>
                <w:szCs w:val="21"/>
                <w:highlight w:val="none"/>
              </w:rPr>
              <w:t xml:space="preserve">参与谈判</w:t>
            </w:r>
            <w:r/>
          </w:p>
          <w:p>
            <w:pPr>
              <w:jc w:val="center"/>
              <w:rPr>
                <w:rFonts w:ascii="宋体" w:hAnsi="宋体"/>
                <w:szCs w:val="21"/>
                <w:highlight w:val="none"/>
              </w:rPr>
            </w:pPr>
            <w:r>
              <w:rPr>
                <w:rFonts w:hint="eastAsia" w:ascii="宋体" w:hAnsi="宋体"/>
                <w:szCs w:val="21"/>
                <w:highlight w:val="none"/>
              </w:rPr>
              <w:t xml:space="preserve">（是/否）</w:t>
            </w:r>
            <w:r/>
          </w:p>
        </w:tc>
      </w:tr>
      <w:tr>
        <w:trPr>
          <w:trHeight w:val="272"/>
        </w:trPr>
        <w:tc>
          <w:tcPr>
            <w:tcW w:w="1148" w:type="dxa"/>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3094" w:type="dxa"/>
            <w:textDirection w:val="lrTb"/>
            <w:noWrap w:val="false"/>
          </w:tcPr>
          <w:p>
            <w:pPr>
              <w:jc w:val="center"/>
              <w:rPr>
                <w:rFonts w:ascii="宋体" w:hAnsi="宋体"/>
                <w:szCs w:val="21"/>
                <w:highlight w:val="none"/>
              </w:rPr>
            </w:pPr>
            <w:r>
              <w:rPr>
                <w:rFonts w:hint="eastAsia" w:ascii="宋体" w:hAnsi="宋体"/>
                <w:szCs w:val="21"/>
                <w:highlight w:val="none"/>
              </w:rPr>
              <w:t xml:space="preserve">否</w:t>
            </w:r>
            <w:r/>
          </w:p>
        </w:tc>
      </w:tr>
    </w:tbl>
    <w:p>
      <w:pPr>
        <w:spacing w:line="0" w:lineRule="atLeast"/>
        <w:rPr>
          <w:rFonts w:ascii="宋体" w:hAnsi="宋体"/>
          <w:sz w:val="24"/>
          <w:szCs w:val="24"/>
          <w:highlight w:val="none"/>
        </w:rPr>
      </w:pPr>
      <w:r>
        <w:rPr>
          <w:rFonts w:ascii="宋体" w:hAnsi="宋体"/>
          <w:sz w:val="24"/>
          <w:szCs w:val="24"/>
          <w:highlight w:val="none"/>
        </w:rPr>
      </w:r>
      <w:r/>
    </w:p>
    <w:p>
      <w:pPr>
        <w:spacing w:line="0" w:lineRule="atLeast"/>
        <w:rPr>
          <w:rFonts w:ascii="宋体" w:hAnsi="宋体"/>
          <w:sz w:val="24"/>
          <w:szCs w:val="21"/>
          <w:highlight w:val="none"/>
        </w:rPr>
      </w:pPr>
      <w:r>
        <w:rPr>
          <w:rFonts w:ascii="宋体" w:hAnsi="宋体"/>
          <w:sz w:val="24"/>
          <w:szCs w:val="21"/>
          <w:highlight w:val="none"/>
        </w:rPr>
      </w:r>
      <w:r/>
    </w:p>
    <w:p>
      <w:pPr>
        <w:spacing w:line="0" w:lineRule="atLeast"/>
        <w:rPr>
          <w:rFonts w:ascii="宋体" w:hAnsi="宋体"/>
          <w:sz w:val="24"/>
          <w:szCs w:val="21"/>
          <w:highlight w:val="none"/>
        </w:rPr>
      </w:pPr>
      <w:r>
        <w:rPr>
          <w:rFonts w:ascii="宋体" w:hAnsi="宋体"/>
          <w:sz w:val="24"/>
          <w:szCs w:val="21"/>
          <w:highlight w:val="none"/>
        </w:rPr>
      </w:r>
      <w:r/>
    </w:p>
    <w:p>
      <w:pPr>
        <w:spacing w:line="0" w:lineRule="atLeast"/>
        <w:rPr>
          <w:rFonts w:ascii="宋体" w:hAnsi="宋体"/>
          <w:sz w:val="24"/>
          <w:szCs w:val="21"/>
          <w:highlight w:val="none"/>
        </w:rPr>
      </w:pPr>
      <w:r>
        <w:rPr>
          <w:rFonts w:ascii="宋体" w:hAnsi="宋体"/>
          <w:sz w:val="24"/>
          <w:szCs w:val="21"/>
          <w:highlight w:val="none"/>
        </w:rPr>
      </w:r>
      <w:r/>
    </w:p>
    <w:p>
      <w:pPr>
        <w:spacing w:line="0" w:lineRule="atLeast"/>
        <w:rPr>
          <w:rFonts w:ascii="宋体" w:hAnsi="宋体"/>
          <w:sz w:val="24"/>
          <w:szCs w:val="21"/>
          <w:highlight w:val="none"/>
        </w:rPr>
      </w:pPr>
      <w:r>
        <w:rPr>
          <w:rFonts w:ascii="宋体" w:hAnsi="宋体"/>
          <w:sz w:val="24"/>
          <w:szCs w:val="21"/>
          <w:highlight w:val="none"/>
        </w:rPr>
      </w:r>
      <w:r/>
    </w:p>
    <w:p>
      <w:pPr>
        <w:spacing w:line="0" w:lineRule="atLeast"/>
        <w:rPr>
          <w:rFonts w:ascii="宋体" w:hAnsi="宋体"/>
          <w:sz w:val="24"/>
          <w:szCs w:val="21"/>
          <w:highlight w:val="none"/>
        </w:rPr>
      </w:pPr>
      <w:r>
        <w:rPr>
          <w:rFonts w:ascii="宋体" w:hAnsi="宋体"/>
          <w:sz w:val="24"/>
          <w:szCs w:val="21"/>
          <w:highlight w:val="none"/>
        </w:rPr>
      </w:r>
      <w:r/>
    </w:p>
    <w:p>
      <w:pPr>
        <w:spacing w:line="0" w:lineRule="atLeast"/>
        <w:rPr>
          <w:rFonts w:ascii="宋体" w:hAnsi="宋体"/>
          <w:sz w:val="24"/>
          <w:szCs w:val="21"/>
          <w:highlight w:val="none"/>
        </w:rPr>
      </w:pPr>
      <w:r>
        <w:rPr>
          <w:rFonts w:ascii="宋体" w:hAnsi="宋体"/>
          <w:sz w:val="24"/>
          <w:szCs w:val="21"/>
          <w:highlight w:val="none"/>
        </w:rPr>
      </w:r>
      <w:r/>
    </w:p>
    <w:p>
      <w:pPr>
        <w:spacing w:line="0" w:lineRule="atLeast"/>
        <w:rPr>
          <w:rFonts w:ascii="宋体" w:hAnsi="宋体"/>
          <w:sz w:val="24"/>
          <w:szCs w:val="21"/>
          <w:highlight w:val="none"/>
        </w:rPr>
      </w:pPr>
      <w:r>
        <w:rPr>
          <w:rFonts w:ascii="宋体" w:hAnsi="宋体"/>
          <w:sz w:val="24"/>
          <w:szCs w:val="21"/>
          <w:highlight w:val="none"/>
        </w:rPr>
      </w:r>
      <w:r/>
    </w:p>
    <w:p>
      <w:pPr>
        <w:spacing w:line="0" w:lineRule="atLeast"/>
        <w:rPr>
          <w:rFonts w:ascii="宋体" w:hAnsi="宋体"/>
          <w:sz w:val="24"/>
          <w:szCs w:val="21"/>
          <w:highlight w:val="none"/>
        </w:rPr>
      </w:pPr>
      <w:r>
        <w:rPr>
          <w:rFonts w:ascii="宋体" w:hAnsi="宋体"/>
          <w:sz w:val="24"/>
          <w:szCs w:val="21"/>
          <w:highlight w:val="none"/>
        </w:rPr>
      </w:r>
      <w:r/>
    </w:p>
    <w:p>
      <w:pPr>
        <w:spacing w:line="0" w:lineRule="atLeast"/>
        <w:rPr>
          <w:rFonts w:ascii="宋体" w:hAnsi="宋体"/>
          <w:sz w:val="24"/>
          <w:szCs w:val="21"/>
          <w:highlight w:val="none"/>
        </w:rPr>
      </w:pPr>
      <w:r>
        <w:rPr>
          <w:rFonts w:ascii="宋体" w:hAnsi="宋体"/>
          <w:sz w:val="24"/>
          <w:szCs w:val="21"/>
          <w:highlight w:val="none"/>
        </w:rPr>
      </w:r>
      <w:r/>
    </w:p>
    <w:p>
      <w:pPr>
        <w:spacing w:line="0" w:lineRule="atLeast"/>
        <w:rPr>
          <w:rFonts w:ascii="宋体" w:hAnsi="宋体"/>
          <w:sz w:val="24"/>
          <w:szCs w:val="21"/>
          <w:highlight w:val="none"/>
        </w:rPr>
      </w:pPr>
      <w:r>
        <w:rPr>
          <w:rFonts w:ascii="宋体" w:hAnsi="宋体"/>
          <w:sz w:val="24"/>
          <w:szCs w:val="21"/>
          <w:highlight w:val="none"/>
        </w:rPr>
      </w:r>
      <w:r/>
    </w:p>
    <w:p>
      <w:pPr>
        <w:spacing w:line="0" w:lineRule="atLeast"/>
        <w:rPr>
          <w:rFonts w:ascii="宋体" w:hAnsi="宋体"/>
          <w:sz w:val="24"/>
          <w:szCs w:val="21"/>
          <w:highlight w:val="none"/>
        </w:rPr>
      </w:pPr>
      <w:r>
        <w:rPr>
          <w:rFonts w:ascii="宋体" w:hAnsi="宋体"/>
          <w:sz w:val="24"/>
          <w:szCs w:val="21"/>
          <w:highlight w:val="none"/>
        </w:rPr>
      </w:r>
      <w:r/>
    </w:p>
    <w:p>
      <w:pPr>
        <w:spacing w:line="0" w:lineRule="atLeast"/>
        <w:rPr>
          <w:rFonts w:ascii="宋体" w:hAnsi="宋体"/>
          <w:sz w:val="24"/>
          <w:szCs w:val="21"/>
          <w:highlight w:val="none"/>
        </w:rPr>
      </w:pPr>
      <w:r>
        <w:rPr>
          <w:rFonts w:ascii="宋体" w:hAnsi="宋体"/>
          <w:sz w:val="24"/>
          <w:szCs w:val="21"/>
          <w:highlight w:val="none"/>
        </w:rPr>
      </w:r>
      <w:r/>
    </w:p>
    <w:p>
      <w:pPr>
        <w:spacing w:line="0" w:lineRule="atLeast"/>
        <w:rPr>
          <w:rFonts w:ascii="宋体" w:hAnsi="宋体"/>
          <w:sz w:val="24"/>
          <w:szCs w:val="21"/>
          <w:highlight w:val="none"/>
        </w:rPr>
      </w:pPr>
      <w:r>
        <w:rPr>
          <w:rFonts w:ascii="宋体" w:hAnsi="宋体"/>
          <w:sz w:val="24"/>
          <w:szCs w:val="21"/>
          <w:highlight w:val="none"/>
        </w:rPr>
      </w:r>
      <w:r/>
    </w:p>
    <w:p>
      <w:pPr>
        <w:spacing w:line="0" w:lineRule="atLeast"/>
        <w:rPr>
          <w:rFonts w:ascii="宋体" w:hAnsi="宋体"/>
          <w:sz w:val="24"/>
          <w:szCs w:val="21"/>
          <w:highlight w:val="none"/>
        </w:rPr>
      </w:pPr>
      <w:r>
        <w:rPr>
          <w:rFonts w:ascii="宋体" w:hAnsi="宋体"/>
          <w:sz w:val="24"/>
          <w:szCs w:val="21"/>
          <w:highlight w:val="none"/>
        </w:rPr>
      </w:r>
      <w:r/>
    </w:p>
    <w:p>
      <w:pPr>
        <w:spacing w:line="0" w:lineRule="atLeast"/>
        <w:rPr>
          <w:rFonts w:ascii="宋体" w:hAnsi="宋体"/>
          <w:sz w:val="24"/>
          <w:szCs w:val="21"/>
          <w:highlight w:val="none"/>
        </w:rPr>
      </w:pPr>
      <w:r>
        <w:rPr>
          <w:rFonts w:ascii="宋体" w:hAnsi="宋体"/>
          <w:sz w:val="24"/>
          <w:szCs w:val="21"/>
          <w:highlight w:val="none"/>
        </w:rPr>
      </w:r>
      <w:r/>
    </w:p>
    <w:p>
      <w:pPr>
        <w:spacing w:line="0" w:lineRule="atLeast"/>
        <w:rPr>
          <w:rFonts w:ascii="宋体" w:hAnsi="宋体"/>
          <w:sz w:val="24"/>
          <w:szCs w:val="21"/>
          <w:highlight w:val="none"/>
        </w:rPr>
      </w:pPr>
      <w:r>
        <w:rPr>
          <w:rFonts w:ascii="宋体" w:hAnsi="宋体"/>
          <w:sz w:val="24"/>
          <w:szCs w:val="21"/>
          <w:highlight w:val="none"/>
        </w:rPr>
      </w:r>
      <w:r/>
    </w:p>
    <w:p>
      <w:pPr>
        <w:ind w:firstLine="602"/>
        <w:rPr>
          <w:rFonts w:ascii="Times New Roman" w:hAnsi="Times New Roman"/>
          <w:b/>
          <w:i/>
          <w:sz w:val="30"/>
          <w:szCs w:val="32"/>
          <w:highlight w:val="none"/>
          <w:u w:val="single"/>
        </w:rPr>
      </w:pPr>
      <w:r>
        <w:rPr>
          <w:rFonts w:ascii="Times New Roman" w:hAnsi="Times New Roman"/>
          <w:b/>
          <w:i/>
          <w:sz w:val="30"/>
          <w:szCs w:val="32"/>
          <w:highlight w:val="none"/>
          <w:u w:val="single"/>
        </w:rPr>
      </w:r>
      <w:r/>
    </w:p>
    <w:p>
      <w:pPr>
        <w:rPr>
          <w:rFonts w:ascii="宋体" w:hAnsi="宋体"/>
          <w:b/>
          <w:sz w:val="28"/>
          <w:szCs w:val="28"/>
          <w:highlight w:val="none"/>
        </w:rPr>
      </w:pPr>
      <w:r>
        <w:rPr>
          <w:rFonts w:ascii="宋体" w:hAnsi="宋体"/>
          <w:b/>
          <w:sz w:val="28"/>
          <w:szCs w:val="28"/>
          <w:highlight w:val="none"/>
        </w:rPr>
      </w:r>
      <w:r/>
    </w:p>
    <w:p>
      <w:pPr>
        <w:keepNext/>
        <w:rPr>
          <w:rFonts w:ascii="黑体" w:hAnsi="Times New Roman" w:eastAsia="黑体"/>
          <w:bCs/>
          <w:sz w:val="44"/>
          <w:szCs w:val="28"/>
          <w:highlight w:val="none"/>
        </w:rPr>
        <w:outlineLvl w:val="0"/>
      </w:pPr>
      <w:r/>
      <w:bookmarkStart w:id="170" w:name="_Toc120614281"/>
      <w:r/>
      <w:r/>
    </w:p>
    <w:p>
      <w:pPr>
        <w:keepNext/>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keepNext/>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keepNext/>
        <w:rPr>
          <w:rFonts w:ascii="黑体" w:hAnsi="Times New Roman" w:eastAsia="黑体"/>
          <w:bCs/>
          <w:sz w:val="44"/>
          <w:szCs w:val="28"/>
          <w:highlight w:val="none"/>
        </w:rPr>
        <w:outlineLvl w:val="0"/>
      </w:pPr>
      <w:r>
        <w:rPr>
          <w:rFonts w:ascii="黑体" w:hAnsi="Times New Roman" w:eastAsia="黑体"/>
          <w:bCs/>
          <w:sz w:val="44"/>
          <w:szCs w:val="28"/>
          <w:highlight w:val="none"/>
        </w:rPr>
      </w:r>
      <w:r/>
    </w:p>
    <w:p>
      <w:pPr>
        <w:keepNext/>
        <w:rPr>
          <w:rFonts w:ascii="宋体" w:hAnsi="宋体"/>
          <w:bCs/>
          <w:sz w:val="44"/>
          <w:szCs w:val="28"/>
          <w:highlight w:val="none"/>
        </w:rPr>
        <w:outlineLvl w:val="0"/>
      </w:pPr>
      <w:r>
        <w:rPr>
          <w:rFonts w:ascii="宋体" w:hAnsi="宋体"/>
          <w:bCs/>
          <w:sz w:val="44"/>
          <w:szCs w:val="28"/>
          <w:highlight w:val="none"/>
        </w:rPr>
      </w:r>
      <w:r/>
    </w:p>
    <w:p>
      <w:pPr>
        <w:jc w:val="center"/>
        <w:keepNext/>
        <w:rPr>
          <w:rFonts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第五章  </w:t>
      </w:r>
      <w:bookmarkEnd w:id="168"/>
      <w:r/>
      <w:bookmarkEnd w:id="169"/>
      <w:r/>
      <w:bookmarkEnd w:id="170"/>
      <w:r>
        <w:rPr>
          <w:rFonts w:hint="eastAsia" w:ascii="黑体" w:hAnsi="Times New Roman" w:eastAsia="黑体"/>
          <w:bCs/>
          <w:sz w:val="44"/>
          <w:szCs w:val="28"/>
          <w:highlight w:val="none"/>
        </w:rPr>
        <w:t xml:space="preserve">响应文件格式 </w:t>
      </w:r>
      <w:r/>
    </w:p>
    <w:p>
      <w:pPr>
        <w:jc w:val="center"/>
        <w:rPr>
          <w:rFonts w:ascii="宋体" w:hAnsi="宋体"/>
          <w:b/>
          <w:sz w:val="72"/>
          <w:szCs w:val="21"/>
          <w:highlight w:val="none"/>
        </w:rPr>
      </w:pPr>
      <w:r/>
      <w:bookmarkStart w:id="171" w:name="_Hlt26955039"/>
      <w:r/>
      <w:bookmarkEnd w:id="171"/>
      <w:r/>
      <w:bookmarkStart w:id="172" w:name="_Hlt26671244"/>
      <w:r/>
      <w:bookmarkEnd w:id="172"/>
      <w:r/>
      <w:bookmarkStart w:id="173" w:name="_Toc120614282"/>
      <w:r/>
      <w:bookmarkStart w:id="174" w:name="_Toc26554094"/>
      <w:r/>
      <w:bookmarkStart w:id="175" w:name="_Toc49090576"/>
      <w:r/>
      <w:r/>
    </w:p>
    <w:p>
      <w:pPr>
        <w:jc w:val="center"/>
        <w:rPr>
          <w:rFonts w:ascii="宋体" w:hAnsi="宋体"/>
          <w:b/>
          <w:sz w:val="72"/>
          <w:szCs w:val="21"/>
          <w:highlight w:val="none"/>
        </w:rPr>
      </w:pPr>
      <w:r>
        <w:rPr>
          <w:rFonts w:hint="eastAsia" w:ascii="宋体" w:hAnsi="宋体"/>
          <w:b/>
          <w:sz w:val="72"/>
          <w:szCs w:val="21"/>
          <w:highlight w:val="none"/>
        </w:rPr>
        <w:t xml:space="preserve">响  应  文  件</w:t>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ind w:firstLine="1084"/>
        <w:rPr>
          <w:rFonts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p>
    <w:p>
      <w:pPr>
        <w:ind w:firstLine="1084"/>
        <w:rPr>
          <w:rFonts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p>
    <w:p>
      <w:pPr>
        <w:rPr>
          <w:rFonts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p>
    <w:p>
      <w:pPr>
        <w:rPr>
          <w:rFonts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p>
    <w:p>
      <w:pPr>
        <w:spacing w:line="440" w:lineRule="exact"/>
        <w:rPr>
          <w:rFonts w:ascii="宋体" w:hAnsi="宋体"/>
          <w:szCs w:val="21"/>
          <w:highlight w:val="none"/>
        </w:rPr>
      </w:pPr>
      <w:r>
        <w:rPr>
          <w:rFonts w:ascii="宋体" w:hAnsi="宋体"/>
          <w:szCs w:val="21"/>
          <w:highlight w:val="none"/>
        </w:rPr>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jc w:val="center"/>
        <w:spacing w:line="440" w:lineRule="exact"/>
        <w:rPr>
          <w:rFonts w:ascii="宋体" w:hAnsi="宋体"/>
          <w:b/>
          <w:bCs/>
          <w:sz w:val="32"/>
          <w:szCs w:val="32"/>
          <w:highlight w:val="none"/>
        </w:rPr>
      </w:pPr>
      <w:r>
        <w:rPr>
          <w:rFonts w:hint="eastAsia" w:ascii="宋体" w:hAnsi="宋体"/>
          <w:b/>
          <w:bCs/>
          <w:sz w:val="32"/>
          <w:szCs w:val="32"/>
          <w:highlight w:val="none"/>
        </w:rPr>
        <w:t xml:space="preserve">响应文件的组成</w:t>
      </w:r>
      <w:r/>
    </w:p>
    <w:p>
      <w:pPr>
        <w:ind w:left="480"/>
        <w:spacing w:line="400" w:lineRule="exact"/>
        <w:rPr>
          <w:rFonts w:ascii="宋体" w:hAnsi="宋体"/>
          <w:b/>
          <w:sz w:val="24"/>
          <w:szCs w:val="21"/>
          <w:highlight w:val="none"/>
        </w:rPr>
      </w:pPr>
      <w:r>
        <w:rPr>
          <w:rFonts w:hint="eastAsia" w:ascii="宋体" w:hAnsi="宋体"/>
          <w:b/>
          <w:sz w:val="24"/>
          <w:szCs w:val="21"/>
          <w:highlight w:val="none"/>
        </w:rPr>
        <w:t xml:space="preserve">一、基本目录</w:t>
      </w:r>
      <w:r/>
    </w:p>
    <w:p>
      <w:pPr>
        <w:ind w:left="480"/>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分项报价表（格式见</w:t>
      </w:r>
      <w:r>
        <w:rPr>
          <w:rFonts w:ascii="宋体" w:hAnsi="宋体"/>
          <w:sz w:val="24"/>
          <w:szCs w:val="21"/>
          <w:highlight w:val="none"/>
        </w:rPr>
        <w:t xml:space="preserve">附件1</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附件2</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附件3</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4</w:t>
      </w:r>
      <w:r>
        <w:rPr>
          <w:rFonts w:hint="eastAsia" w:ascii="宋体" w:hAnsi="宋体"/>
          <w:sz w:val="24"/>
          <w:szCs w:val="21"/>
          <w:highlight w:val="none"/>
        </w:rPr>
        <w:t xml:space="preserve">.****（格式</w:t>
      </w:r>
      <w:r>
        <w:rPr>
          <w:rFonts w:ascii="宋体" w:hAnsi="宋体"/>
          <w:sz w:val="24"/>
          <w:szCs w:val="21"/>
          <w:highlight w:val="none"/>
        </w:rPr>
        <w:t xml:space="preserve">见附件</w:t>
      </w:r>
      <w:r>
        <w:rPr>
          <w:rFonts w:hint="eastAsia" w:ascii="宋体" w:hAnsi="宋体"/>
          <w:sz w:val="24"/>
          <w:szCs w:val="21"/>
          <w:highlight w:val="none"/>
        </w:rPr>
        <w:t xml:space="preserve">**）</w:t>
      </w:r>
      <w:r/>
    </w:p>
    <w:p>
      <w:pPr>
        <w:ind w:left="480"/>
        <w:spacing w:line="400" w:lineRule="exact"/>
        <w:rPr>
          <w:rFonts w:ascii="宋体" w:hAnsi="宋体"/>
          <w:b/>
          <w:sz w:val="24"/>
          <w:szCs w:val="21"/>
          <w:highlight w:val="none"/>
        </w:rPr>
      </w:pPr>
      <w:r>
        <w:rPr>
          <w:rFonts w:hint="eastAsia" w:ascii="宋体" w:hAnsi="宋体"/>
          <w:b/>
          <w:sz w:val="24"/>
          <w:szCs w:val="21"/>
          <w:highlight w:val="none"/>
        </w:rPr>
        <w:t xml:space="preserve">二</w:t>
      </w:r>
      <w:r>
        <w:rPr>
          <w:rFonts w:ascii="宋体" w:hAnsi="宋体"/>
          <w:b/>
          <w:sz w:val="24"/>
          <w:szCs w:val="21"/>
          <w:highlight w:val="none"/>
        </w:rPr>
        <w:t xml:space="preserve">、资格审查内容</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法人或者其他组织的营业执照等证明文件，自然人的身份证明</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w:t>
      </w:r>
      <w:r>
        <w:rPr>
          <w:rFonts w:hint="eastAsia" w:ascii="宋体" w:hAnsi="宋体"/>
          <w:sz w:val="24"/>
          <w:szCs w:val="21"/>
          <w:highlight w:val="none"/>
        </w:rPr>
        <w:t xml:space="preserve">上一年度的财务状况报告（供应商成立不满一年无需提供）</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3</w:t>
      </w:r>
      <w:r>
        <w:rPr>
          <w:rFonts w:ascii="宋体" w:hAnsi="宋体"/>
          <w:sz w:val="24"/>
          <w:szCs w:val="21"/>
          <w:highlight w:val="none"/>
        </w:rPr>
        <w:t xml:space="preserve">.</w:t>
      </w:r>
      <w:r>
        <w:rPr>
          <w:rFonts w:hint="eastAsia" w:ascii="宋体" w:hAnsi="宋体"/>
          <w:sz w:val="24"/>
          <w:szCs w:val="21"/>
          <w:highlight w:val="none"/>
        </w:rPr>
        <w:t xml:space="preserve">依法缴纳税收和社会保障资金的相关材料（提供提交响应文件截止时间前</w:t>
      </w:r>
      <w:r/>
    </w:p>
    <w:p>
      <w:pPr>
        <w:spacing w:line="400" w:lineRule="exact"/>
        <w:rPr>
          <w:rFonts w:ascii="宋体" w:hAnsi="宋体"/>
          <w:sz w:val="24"/>
          <w:szCs w:val="21"/>
          <w:highlight w:val="none"/>
        </w:rPr>
      </w:pPr>
      <w:r>
        <w:rPr>
          <w:rFonts w:hint="eastAsia" w:ascii="宋体" w:hAnsi="宋体"/>
          <w:sz w:val="24"/>
          <w:szCs w:val="21"/>
          <w:highlight w:val="none"/>
        </w:rPr>
        <w:t xml:space="preserve">一年内至少一个月依法缴纳税收及缴纳社会保障资金的证明材料。供应商依法享受缓缴、免缴税收、社会保障资金的提供证明材料。）</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4</w:t>
      </w:r>
      <w:r>
        <w:rPr>
          <w:rFonts w:ascii="宋体" w:hAnsi="宋体"/>
          <w:sz w:val="24"/>
          <w:szCs w:val="21"/>
          <w:highlight w:val="none"/>
        </w:rPr>
        <w:t xml:space="preserve">.</w:t>
      </w:r>
      <w:r>
        <w:rPr>
          <w:rFonts w:hint="eastAsia" w:ascii="宋体" w:hAnsi="宋体"/>
          <w:sz w:val="24"/>
          <w:szCs w:val="21"/>
          <w:highlight w:val="none"/>
        </w:rPr>
        <w:t xml:space="preserve">具备履行合同所必需的设备和专业技术能力的书面声明（格式见</w:t>
      </w:r>
      <w:r>
        <w:rPr>
          <w:rFonts w:ascii="宋体" w:hAnsi="宋体"/>
          <w:sz w:val="24"/>
          <w:szCs w:val="21"/>
          <w:highlight w:val="none"/>
        </w:rPr>
        <w:t xml:space="preserve">附件4</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5.参加政府采购活动前 3 年内在经营活动中没有重大违法记录的书面声明</w:t>
      </w:r>
      <w:r/>
    </w:p>
    <w:p>
      <w:pPr>
        <w:spacing w:line="400" w:lineRule="exact"/>
        <w:rPr>
          <w:rFonts w:ascii="宋体" w:hAnsi="宋体"/>
          <w:sz w:val="24"/>
          <w:szCs w:val="21"/>
          <w:highlight w:val="none"/>
        </w:rPr>
      </w:pPr>
      <w:r>
        <w:rPr>
          <w:rFonts w:hint="eastAsia" w:ascii="宋体" w:hAnsi="宋体"/>
          <w:sz w:val="24"/>
          <w:szCs w:val="21"/>
          <w:highlight w:val="none"/>
        </w:rPr>
        <w:t xml:space="preserve">（格式见</w:t>
      </w:r>
      <w:r>
        <w:rPr>
          <w:rFonts w:ascii="宋体" w:hAnsi="宋体"/>
          <w:sz w:val="24"/>
          <w:szCs w:val="21"/>
          <w:highlight w:val="none"/>
        </w:rPr>
        <w:t xml:space="preserve">附件5</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6</w:t>
      </w:r>
      <w:r>
        <w:rPr>
          <w:rFonts w:ascii="宋体" w:hAnsi="宋体"/>
          <w:sz w:val="24"/>
          <w:szCs w:val="21"/>
          <w:highlight w:val="none"/>
        </w:rPr>
        <w:t xml:space="preserve">.</w:t>
      </w:r>
      <w:r>
        <w:rPr>
          <w:rFonts w:hint="eastAsia" w:ascii="宋体" w:hAnsi="宋体"/>
          <w:sz w:val="24"/>
          <w:szCs w:val="21"/>
          <w:highlight w:val="none"/>
        </w:rPr>
        <w:t xml:space="preserve">特定资格要求的证明文件（如果本项目对供应商</w:t>
      </w:r>
      <w:r>
        <w:rPr>
          <w:rFonts w:ascii="宋体" w:hAnsi="宋体"/>
          <w:sz w:val="24"/>
          <w:szCs w:val="21"/>
          <w:highlight w:val="none"/>
        </w:rPr>
        <w:t xml:space="preserve">做出特定资格要求的</w:t>
      </w:r>
      <w:r>
        <w:rPr>
          <w:rFonts w:hint="eastAsia" w:ascii="宋体" w:hAnsi="宋体"/>
          <w:sz w:val="24"/>
          <w:szCs w:val="21"/>
          <w:highlight w:val="none"/>
        </w:rPr>
        <w:t xml:space="preserve">，必须提供）</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00" w:lineRule="exact"/>
        <w:rPr>
          <w:rFonts w:ascii="宋体" w:hAnsi="宋体"/>
          <w:sz w:val="24"/>
          <w:szCs w:val="21"/>
          <w:highlight w:val="none"/>
        </w:rPr>
      </w:pPr>
      <w:r>
        <w:rPr>
          <w:rFonts w:ascii="宋体" w:hAnsi="宋体"/>
          <w:sz w:val="24"/>
          <w:szCs w:val="21"/>
          <w:highlight w:val="none"/>
        </w:rPr>
        <w:t xml:space="preserve">8.</w:t>
      </w:r>
      <w:r>
        <w:rPr>
          <w:rFonts w:hint="eastAsia" w:ascii="宋体" w:hAnsi="宋体"/>
          <w:sz w:val="24"/>
          <w:szCs w:val="21"/>
          <w:highlight w:val="none"/>
        </w:rPr>
        <w:t xml:space="preserve">法人授权书（格式见附件</w:t>
      </w:r>
      <w:r>
        <w:rPr>
          <w:rFonts w:ascii="宋体" w:hAnsi="宋体"/>
          <w:sz w:val="24"/>
          <w:szCs w:val="21"/>
          <w:highlight w:val="none"/>
        </w:rPr>
        <w:t xml:space="preserve">6</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9.</w:t>
      </w:r>
      <w:r>
        <w:rPr>
          <w:rFonts w:hint="eastAsia" w:ascii="宋体" w:hAnsi="宋体"/>
          <w:sz w:val="24"/>
          <w:szCs w:val="21"/>
          <w:highlight w:val="none"/>
        </w:rPr>
        <w:t xml:space="preserve">响应函（格式见附件</w:t>
      </w:r>
      <w:r>
        <w:rPr>
          <w:rFonts w:ascii="宋体" w:hAnsi="宋体"/>
          <w:sz w:val="24"/>
          <w:szCs w:val="21"/>
          <w:highlight w:val="none"/>
        </w:rPr>
        <w:t xml:space="preserve">7</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10.</w:t>
      </w:r>
      <w:r>
        <w:rPr>
          <w:rFonts w:hint="eastAsia" w:ascii="宋体" w:hAnsi="宋体"/>
          <w:sz w:val="24"/>
          <w:szCs w:val="21"/>
          <w:highlight w:val="none"/>
        </w:rPr>
        <w:t xml:space="preserve">中小微企业声明函（如果本项目</w:t>
      </w:r>
      <w:r>
        <w:rPr>
          <w:rFonts w:ascii="宋体" w:hAnsi="宋体"/>
          <w:sz w:val="24"/>
          <w:szCs w:val="21"/>
          <w:highlight w:val="none"/>
        </w:rPr>
        <w:t xml:space="preserve">专门面向中小微型企业采购，则必须提供</w:t>
      </w:r>
      <w:r>
        <w:rPr>
          <w:rFonts w:hint="eastAsia" w:ascii="宋体" w:hAnsi="宋体"/>
          <w:sz w:val="24"/>
          <w:szCs w:val="21"/>
          <w:highlight w:val="none"/>
        </w:rPr>
        <w:t xml:space="preserve">。</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附件8</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.残疾人福利性单位声明函（如果本项目</w:t>
      </w:r>
      <w:r>
        <w:rPr>
          <w:rFonts w:ascii="宋体" w:hAnsi="宋体"/>
          <w:sz w:val="24"/>
          <w:szCs w:val="21"/>
          <w:highlight w:val="none"/>
        </w:rPr>
        <w:t xml:space="preserve">专门面向中小微型企业采购，</w:t>
      </w:r>
      <w:r>
        <w:rPr>
          <w:rFonts w:hint="eastAsia" w:ascii="宋体" w:hAnsi="宋体"/>
          <w:sz w:val="24"/>
          <w:szCs w:val="21"/>
          <w:highlight w:val="none"/>
        </w:rPr>
        <w:t xml:space="preserve">供应商为</w:t>
      </w:r>
      <w:r>
        <w:rPr>
          <w:rFonts w:ascii="宋体" w:hAnsi="宋体"/>
          <w:sz w:val="24"/>
          <w:szCs w:val="21"/>
          <w:highlight w:val="none"/>
        </w:rPr>
        <w:t xml:space="preserve">残疾人福利性单位并</w:t>
      </w:r>
      <w:r>
        <w:rPr>
          <w:rFonts w:hint="eastAsia" w:ascii="宋体" w:hAnsi="宋体"/>
          <w:sz w:val="24"/>
          <w:szCs w:val="21"/>
          <w:highlight w:val="none"/>
        </w:rPr>
        <w:t xml:space="preserve">提供本单位制造的货物，或者提供其他残疾人福利性单位制造的货物，</w:t>
      </w:r>
      <w:r>
        <w:rPr>
          <w:rFonts w:ascii="宋体" w:hAnsi="宋体"/>
          <w:sz w:val="24"/>
          <w:szCs w:val="21"/>
          <w:highlight w:val="none"/>
        </w:rPr>
        <w:t xml:space="preserve">则必须提供</w:t>
      </w:r>
      <w:r>
        <w:rPr>
          <w:rFonts w:hint="eastAsia" w:ascii="宋体" w:hAnsi="宋体"/>
          <w:sz w:val="24"/>
          <w:szCs w:val="21"/>
          <w:highlight w:val="none"/>
        </w:rPr>
        <w:t xml:space="preserve">。</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附件9</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2</w:t>
      </w:r>
      <w:r>
        <w:rPr>
          <w:rFonts w:hint="eastAsia" w:ascii="宋体" w:hAnsi="宋体"/>
          <w:sz w:val="24"/>
          <w:szCs w:val="21"/>
          <w:highlight w:val="none"/>
        </w:rPr>
        <w:t xml:space="preserve">.联合体协议（如果本项目接受联合体参与谈判</w:t>
      </w:r>
      <w:r>
        <w:rPr>
          <w:rFonts w:ascii="宋体" w:hAnsi="宋体"/>
          <w:sz w:val="24"/>
          <w:szCs w:val="21"/>
          <w:highlight w:val="none"/>
        </w:rPr>
        <w:t xml:space="preserve">，</w:t>
      </w:r>
      <w:r>
        <w:rPr>
          <w:rFonts w:hint="eastAsia" w:ascii="宋体" w:hAnsi="宋体"/>
          <w:sz w:val="24"/>
          <w:szCs w:val="21"/>
          <w:highlight w:val="none"/>
        </w:rPr>
        <w:t xml:space="preserve">供应商是联合体的，</w:t>
      </w:r>
      <w:r>
        <w:rPr>
          <w:rFonts w:ascii="宋体" w:hAnsi="宋体"/>
          <w:sz w:val="24"/>
          <w:szCs w:val="21"/>
          <w:highlight w:val="none"/>
        </w:rPr>
        <w:t xml:space="preserve">则必须提供</w:t>
      </w:r>
      <w:r>
        <w:rPr>
          <w:rFonts w:hint="eastAsia" w:ascii="宋体" w:hAnsi="宋体"/>
          <w:sz w:val="24"/>
          <w:szCs w:val="21"/>
          <w:highlight w:val="none"/>
        </w:rPr>
        <w:t xml:space="preserve">。</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附件10</w:t>
      </w:r>
      <w:r>
        <w:rPr>
          <w:rFonts w:hint="eastAsia" w:ascii="宋体" w:hAnsi="宋体"/>
          <w:sz w:val="24"/>
          <w:szCs w:val="21"/>
          <w:highlight w:val="none"/>
        </w:rPr>
        <w:t xml:space="preserve">）</w:t>
      </w:r>
      <w:r/>
    </w:p>
    <w:p>
      <w:pPr>
        <w:ind w:left="480"/>
        <w:spacing w:line="400" w:lineRule="exact"/>
        <w:rPr>
          <w:rFonts w:ascii="宋体" w:hAnsi="宋体"/>
          <w:sz w:val="24"/>
          <w:szCs w:val="24"/>
          <w:highlight w:val="none"/>
        </w:rPr>
      </w:pPr>
      <w:r>
        <w:rPr>
          <w:rFonts w:hint="eastAsia" w:ascii="宋体" w:hAnsi="宋体"/>
          <w:sz w:val="24"/>
          <w:szCs w:val="24"/>
          <w:highlight w:val="none"/>
        </w:rPr>
        <w:t xml:space="preserve">总备注：上述“资格审查内容”中1-5条、8、9条供应商必须在响应文件</w:t>
      </w:r>
      <w:r/>
    </w:p>
    <w:p>
      <w:pPr>
        <w:spacing w:line="400" w:lineRule="exact"/>
        <w:rPr>
          <w:rFonts w:ascii="宋体" w:hAnsi="宋体"/>
          <w:sz w:val="24"/>
          <w:szCs w:val="24"/>
          <w:highlight w:val="none"/>
        </w:rPr>
      </w:pPr>
      <w:r>
        <w:rPr>
          <w:rFonts w:hint="eastAsia" w:ascii="宋体" w:hAnsi="宋体"/>
          <w:sz w:val="24"/>
          <w:szCs w:val="24"/>
          <w:highlight w:val="none"/>
        </w:rPr>
        <w:t xml:space="preserve">中提供相关材料，否则作无效响应处理；6、10、11、12条如谈判文件要求必须提供相关材料而未提供的，作无效响应处理。</w:t>
      </w:r>
      <w:r/>
    </w:p>
    <w:p>
      <w:pPr>
        <w:ind w:left="480"/>
        <w:spacing w:line="400" w:lineRule="exact"/>
        <w:rPr>
          <w:rFonts w:ascii="宋体" w:hAnsi="宋体"/>
          <w:b/>
          <w:sz w:val="24"/>
          <w:szCs w:val="21"/>
          <w:highlight w:val="none"/>
        </w:rPr>
      </w:pPr>
      <w:r>
        <w:rPr>
          <w:rFonts w:hint="eastAsia" w:ascii="宋体" w:hAnsi="宋体"/>
          <w:b/>
          <w:sz w:val="24"/>
          <w:szCs w:val="21"/>
          <w:highlight w:val="none"/>
        </w:rPr>
        <w:t xml:space="preserve">三</w:t>
      </w:r>
      <w:r>
        <w:rPr>
          <w:rFonts w:ascii="宋体" w:hAnsi="宋体"/>
          <w:b/>
          <w:sz w:val="24"/>
          <w:szCs w:val="21"/>
          <w:highlight w:val="none"/>
        </w:rPr>
        <w:t xml:space="preserve">、</w:t>
      </w:r>
      <w:r>
        <w:rPr>
          <w:rFonts w:hint="eastAsia" w:ascii="宋体" w:hAnsi="宋体"/>
          <w:b/>
          <w:sz w:val="24"/>
          <w:szCs w:val="21"/>
          <w:highlight w:val="none"/>
        </w:rPr>
        <w:t xml:space="preserve">符合性</w:t>
      </w:r>
      <w:r>
        <w:rPr>
          <w:rFonts w:ascii="宋体" w:hAnsi="宋体"/>
          <w:b/>
          <w:sz w:val="24"/>
          <w:szCs w:val="21"/>
          <w:highlight w:val="none"/>
        </w:rPr>
        <w:t xml:space="preserve">审查内容</w:t>
      </w:r>
      <w:r/>
    </w:p>
    <w:p>
      <w:pPr>
        <w:ind w:left="105" w:firstLine="36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供应商必须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谈判</w:t>
      </w:r>
      <w:r>
        <w:rPr>
          <w:rFonts w:ascii="宋体" w:hAnsi="宋体"/>
          <w:color w:val="000000"/>
          <w:sz w:val="24"/>
          <w:szCs w:val="21"/>
          <w:highlight w:val="none"/>
        </w:rPr>
        <w:t xml:space="preserve">文件（</w:t>
      </w:r>
      <w:r>
        <w:rPr>
          <w:rFonts w:hint="eastAsia" w:ascii="宋体" w:hAnsi="宋体"/>
          <w:color w:val="000000"/>
          <w:sz w:val="24"/>
          <w:szCs w:val="21"/>
          <w:highlight w:val="none"/>
        </w:rPr>
        <w:t xml:space="preserve">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w:t>
      </w:r>
      <w:r>
        <w:rPr>
          <w:rFonts w:hint="eastAsia" w:ascii="宋体" w:hAnsi="宋体"/>
          <w:bCs/>
          <w:color w:val="000000"/>
          <w:sz w:val="24"/>
          <w:szCs w:val="21"/>
          <w:highlight w:val="none"/>
        </w:rPr>
        <w:t xml:space="preserve">的</w:t>
      </w:r>
      <w:r>
        <w:rPr>
          <w:rFonts w:ascii="宋体" w:hAnsi="宋体"/>
          <w:color w:val="000000"/>
          <w:sz w:val="24"/>
          <w:szCs w:val="21"/>
          <w:highlight w:val="none"/>
        </w:rPr>
        <w:t xml:space="preserve">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w:t>
      </w:r>
      <w:r>
        <w:rPr>
          <w:rFonts w:hint="eastAsia" w:ascii="宋体" w:hAnsi="宋体"/>
          <w:color w:val="000000"/>
          <w:sz w:val="24"/>
          <w:szCs w:val="21"/>
          <w:highlight w:val="none"/>
        </w:rPr>
        <w:t xml:space="preserve">谈判文件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，否则做无效响应处理</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（格式见</w:t>
      </w:r>
      <w:r>
        <w:rPr>
          <w:rFonts w:ascii="宋体" w:hAnsi="宋体"/>
          <w:color w:val="000000"/>
          <w:sz w:val="24"/>
          <w:szCs w:val="21"/>
          <w:highlight w:val="none"/>
        </w:rPr>
        <w:t xml:space="preserve">附件11</w:t>
      </w:r>
      <w:r>
        <w:rPr>
          <w:rFonts w:hint="eastAsia" w:ascii="宋体" w:hAnsi="宋体"/>
          <w:color w:val="000000"/>
          <w:sz w:val="24"/>
          <w:szCs w:val="21"/>
          <w:highlight w:val="none"/>
        </w:rPr>
        <w:t xml:space="preserve">）</w:t>
      </w:r>
      <w:r/>
    </w:p>
    <w:p>
      <w:pPr>
        <w:ind w:firstLine="480"/>
        <w:rPr>
          <w:rFonts w:ascii="宋体" w:hAnsi="宋体"/>
          <w:b/>
          <w:sz w:val="24"/>
          <w:szCs w:val="21"/>
          <w:highlight w:val="none"/>
        </w:rPr>
      </w:pPr>
      <w:r>
        <w:rPr>
          <w:rFonts w:hint="eastAsia" w:ascii="宋体" w:hAnsi="宋体"/>
          <w:b/>
          <w:sz w:val="24"/>
          <w:szCs w:val="21"/>
          <w:highlight w:val="none"/>
        </w:rPr>
        <w:t xml:space="preserve">四、价格</w:t>
      </w:r>
      <w:r>
        <w:rPr>
          <w:rFonts w:ascii="宋体" w:hAnsi="宋体"/>
          <w:b/>
          <w:sz w:val="24"/>
          <w:szCs w:val="21"/>
          <w:highlight w:val="none"/>
        </w:rPr>
        <w:t xml:space="preserve">扣除证明文件</w:t>
      </w:r>
      <w:r/>
    </w:p>
    <w:p>
      <w:pPr>
        <w:ind w:firstLine="480"/>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中小微企业声明函（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附件8</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残疾人福利性单位声明函（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附件9</w:t>
      </w:r>
      <w:r>
        <w:rPr>
          <w:rFonts w:hint="eastAsia" w:ascii="宋体" w:hAnsi="宋体"/>
          <w:sz w:val="24"/>
          <w:szCs w:val="21"/>
          <w:highlight w:val="none"/>
        </w:rPr>
        <w:t xml:space="preserve">）</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left="480"/>
        <w:rPr>
          <w:rFonts w:ascii="宋体" w:hAnsi="宋体"/>
          <w:b/>
          <w:i/>
          <w:sz w:val="24"/>
          <w:szCs w:val="21"/>
          <w:highlight w:val="none"/>
          <w:u w:val="single"/>
        </w:rPr>
      </w:pPr>
      <w:r>
        <w:rPr>
          <w:rFonts w:hint="eastAsia" w:ascii="宋体" w:hAnsi="宋体"/>
          <w:b/>
          <w:sz w:val="24"/>
          <w:szCs w:val="21"/>
          <w:highlight w:val="none"/>
        </w:rPr>
        <w:t xml:space="preserve">附件1 分项报价表（货物类项目）</w:t>
      </w:r>
      <w:r/>
    </w:p>
    <w:tbl>
      <w:tblPr>
        <w:tblStyle w:val="743"/>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93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98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110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5</w:t>
            </w:r>
            <w:r/>
          </w:p>
        </w:tc>
        <w:tc>
          <w:tcPr>
            <w:tcW w:w="138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6</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7</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8</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产品</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名称</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品牌</w:t>
            </w:r>
            <w:r/>
          </w:p>
        </w:tc>
        <w:tc>
          <w:tcPr>
            <w:tcW w:w="93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规格</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型号</w:t>
            </w:r>
            <w:r/>
          </w:p>
        </w:tc>
        <w:tc>
          <w:tcPr>
            <w:tcW w:w="98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制造商名称</w:t>
            </w:r>
            <w:r/>
          </w:p>
        </w:tc>
        <w:tc>
          <w:tcPr>
            <w:tcW w:w="110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产地</w:t>
            </w:r>
            <w:r/>
          </w:p>
        </w:tc>
        <w:tc>
          <w:tcPr>
            <w:tcW w:w="138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249"/>
        </w:trPr>
        <w:tc>
          <w:tcPr>
            <w:tcW w:w="500"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gridSpan w:val="8"/>
            <w:tcW w:w="7797"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总报价（人民币：元）</w:t>
            </w:r>
            <w:r/>
          </w:p>
        </w:tc>
        <w:tc>
          <w:tcPr>
            <w:tcW w:w="966" w:type="dxa"/>
            <w:textDirection w:val="lrTb"/>
            <w:noWrap w:val="false"/>
          </w:tcPr>
          <w:p>
            <w:pPr>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spacing w:line="400" w:lineRule="exact"/>
        <w:rPr>
          <w:rFonts w:ascii="宋体" w:hAnsi="宋体"/>
          <w:sz w:val="24"/>
          <w:szCs w:val="24"/>
          <w:highlight w:val="none"/>
        </w:rPr>
      </w:pPr>
      <w:r>
        <w:rPr>
          <w:rFonts w:hint="eastAsia" w:ascii="宋体" w:hAnsi="宋体"/>
          <w:sz w:val="24"/>
          <w:szCs w:val="24"/>
          <w:highlight w:val="none"/>
        </w:rPr>
        <w:t xml:space="preserve">1.谈判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谈判文件中另有规定的除外。</w:t>
      </w:r>
      <w:r/>
    </w:p>
    <w:p>
      <w:pPr>
        <w:spacing w:line="400" w:lineRule="exact"/>
        <w:rPr>
          <w:rFonts w:ascii="宋体" w:hAnsi="宋体"/>
          <w:sz w:val="24"/>
          <w:szCs w:val="24"/>
          <w:highlight w:val="none"/>
        </w:rPr>
      </w:pPr>
      <w:r>
        <w:rPr>
          <w:rFonts w:hint="eastAsia" w:ascii="宋体" w:hAnsi="宋体"/>
          <w:sz w:val="24"/>
          <w:szCs w:val="24"/>
          <w:highlight w:val="none"/>
        </w:rPr>
        <w:t xml:space="preserve">2.供应商需认真填写本报价表，尤其注意规格型号的准确填写。</w:t>
      </w:r>
      <w:r/>
    </w:p>
    <w:p>
      <w:pPr>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.项目</w:t>
      </w:r>
      <w:r>
        <w:rPr>
          <w:rFonts w:ascii="宋体" w:hAnsi="宋体"/>
          <w:sz w:val="24"/>
          <w:szCs w:val="21"/>
          <w:highlight w:val="none"/>
        </w:rPr>
        <w:t xml:space="preserve">经办人可以根据</w:t>
      </w:r>
      <w:r>
        <w:rPr>
          <w:rFonts w:hint="eastAsia" w:ascii="宋体" w:hAnsi="宋体"/>
          <w:sz w:val="24"/>
          <w:szCs w:val="21"/>
          <w:highlight w:val="none"/>
        </w:rPr>
        <w:t xml:space="preserve">项目</w:t>
      </w:r>
      <w:r>
        <w:rPr>
          <w:rFonts w:ascii="宋体" w:hAnsi="宋体"/>
          <w:sz w:val="24"/>
          <w:szCs w:val="21"/>
          <w:highlight w:val="none"/>
        </w:rPr>
        <w:t xml:space="preserve">实际需要</w:t>
      </w:r>
      <w:r>
        <w:rPr>
          <w:rFonts w:hint="eastAsia" w:ascii="宋体" w:hAnsi="宋体"/>
          <w:sz w:val="24"/>
          <w:szCs w:val="21"/>
          <w:highlight w:val="none"/>
        </w:rPr>
        <w:t xml:space="preserve">对</w:t>
      </w:r>
      <w:r>
        <w:rPr>
          <w:rFonts w:ascii="宋体" w:hAnsi="宋体"/>
          <w:sz w:val="24"/>
          <w:szCs w:val="21"/>
          <w:highlight w:val="none"/>
        </w:rPr>
        <w:t xml:space="preserve">表格结构进行</w:t>
      </w:r>
      <w:r>
        <w:rPr>
          <w:rFonts w:hint="eastAsia" w:ascii="宋体" w:hAnsi="宋体"/>
          <w:sz w:val="24"/>
          <w:szCs w:val="21"/>
          <w:highlight w:val="none"/>
        </w:rPr>
        <w:t xml:space="preserve">调整</w:t>
      </w:r>
      <w:r>
        <w:rPr>
          <w:rFonts w:ascii="宋体" w:hAnsi="宋体"/>
          <w:sz w:val="24"/>
          <w:szCs w:val="21"/>
          <w:highlight w:val="none"/>
        </w:rPr>
        <w:t xml:space="preserve">。</w:t>
      </w:r>
      <w:r/>
    </w:p>
    <w:p>
      <w:pPr>
        <w:spacing w:line="400" w:lineRule="exact"/>
        <w:rPr>
          <w:rFonts w:ascii="宋体" w:hAnsi="宋体"/>
          <w:color w:val="ff0000"/>
          <w:sz w:val="24"/>
          <w:szCs w:val="24"/>
          <w:highlight w:val="none"/>
        </w:rPr>
      </w:pPr>
      <w:r>
        <w:rPr>
          <w:rFonts w:ascii="宋体" w:hAnsi="宋体"/>
          <w:color w:val="ff0000"/>
          <w:sz w:val="24"/>
          <w:szCs w:val="24"/>
          <w:highlight w:val="none"/>
        </w:rPr>
      </w:r>
      <w:r/>
    </w:p>
    <w:p>
      <w:pPr>
        <w:spacing w:line="400" w:lineRule="exact"/>
        <w:rPr>
          <w:rFonts w:ascii="宋体" w:hAnsi="宋体"/>
          <w:color w:val="ff0000"/>
          <w:sz w:val="24"/>
          <w:szCs w:val="24"/>
          <w:highlight w:val="none"/>
        </w:rPr>
      </w:pPr>
      <w:r>
        <w:rPr>
          <w:rFonts w:ascii="宋体" w:hAnsi="宋体"/>
          <w:color w:val="ff0000"/>
          <w:sz w:val="24"/>
          <w:szCs w:val="24"/>
          <w:highlight w:val="none"/>
        </w:rPr>
      </w:r>
      <w:r/>
    </w:p>
    <w:p>
      <w:pPr>
        <w:ind w:left="480"/>
        <w:rPr>
          <w:rFonts w:ascii="宋体" w:hAnsi="宋体"/>
          <w:b/>
          <w:color w:val="ff0000"/>
          <w:sz w:val="24"/>
          <w:szCs w:val="21"/>
          <w:highlight w:val="none"/>
        </w:rPr>
      </w:pPr>
      <w:r>
        <w:rPr>
          <w:rFonts w:ascii="宋体" w:hAnsi="宋体"/>
          <w:b/>
          <w:color w:val="ff0000"/>
          <w:sz w:val="24"/>
          <w:szCs w:val="21"/>
          <w:highlight w:val="none"/>
        </w:rPr>
      </w:r>
      <w:r/>
    </w:p>
    <w:p>
      <w:pPr>
        <w:ind w:left="480"/>
        <w:rPr>
          <w:rFonts w:ascii="宋体" w:hAnsi="宋体"/>
          <w:b/>
          <w:sz w:val="24"/>
          <w:szCs w:val="21"/>
          <w:highlight w:val="none"/>
        </w:rPr>
      </w:pPr>
      <w:r>
        <w:rPr>
          <w:rFonts w:hint="eastAsia" w:ascii="宋体" w:hAnsi="宋体"/>
          <w:b/>
          <w:sz w:val="24"/>
          <w:szCs w:val="21"/>
          <w:highlight w:val="none"/>
        </w:rPr>
        <w:t xml:space="preserve">附件1 分项报价表（服务类项目）</w:t>
      </w:r>
      <w:r/>
    </w:p>
    <w:tbl>
      <w:tblPr>
        <w:tblStyle w:val="743"/>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127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169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159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81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1372"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5</w:t>
            </w:r>
            <w:r/>
          </w:p>
        </w:tc>
        <w:tc>
          <w:tcPr>
            <w:tcW w:w="135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27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分项服务名称</w:t>
            </w:r>
            <w:r/>
          </w:p>
        </w:tc>
        <w:tc>
          <w:tcPr>
            <w:tcW w:w="169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分项单位</w:t>
            </w:r>
            <w:r/>
          </w:p>
        </w:tc>
        <w:tc>
          <w:tcPr>
            <w:tcW w:w="159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交付期/</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服务期</w:t>
            </w:r>
            <w:r/>
          </w:p>
        </w:tc>
        <w:tc>
          <w:tcPr>
            <w:tcW w:w="81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p>
        </w:tc>
        <w:tc>
          <w:tcPr>
            <w:tcW w:w="1372"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p>
        </w:tc>
        <w:tc>
          <w:tcPr>
            <w:tcW w:w="135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127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69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596" w:type="dxa"/>
            <w:vAlign w:val="center"/>
            <w:textDirection w:val="lrTb"/>
            <w:noWrap w:val="false"/>
          </w:tcPr>
          <w:p>
            <w:pPr>
              <w:jc w:val="center"/>
              <w:spacing w:line="0" w:lineRule="atLeast"/>
              <w:rPr>
                <w:rFonts w:ascii="宋体" w:hAnsi="宋体"/>
                <w:sz w:val="18"/>
                <w:szCs w:val="18"/>
                <w:highlight w:val="none"/>
              </w:rPr>
            </w:pPr>
            <w:r>
              <w:rPr>
                <w:rFonts w:hint="eastAsia" w:ascii="宋体" w:hAnsi="宋体"/>
                <w:sz w:val="18"/>
                <w:szCs w:val="18"/>
                <w:highlight w:val="none"/>
              </w:rPr>
              <w:t xml:space="preserve">合同签</w:t>
            </w:r>
            <w:r/>
          </w:p>
          <w:p>
            <w:pPr>
              <w:jc w:val="center"/>
              <w:spacing w:line="0" w:lineRule="atLeast"/>
              <w:rPr>
                <w:rFonts w:ascii="宋体" w:hAnsi="宋体"/>
                <w:sz w:val="24"/>
                <w:szCs w:val="24"/>
                <w:highlight w:val="none"/>
              </w:rPr>
            </w:pPr>
            <w:r>
              <w:rPr>
                <w:rFonts w:hint="eastAsia" w:ascii="宋体" w:hAnsi="宋体"/>
                <w:sz w:val="18"/>
                <w:szCs w:val="18"/>
                <w:highlight w:val="none"/>
              </w:rPr>
              <w:t xml:space="preserve">订后</w:t>
            </w:r>
            <w:r>
              <w:rPr>
                <w:rFonts w:hint="eastAsia" w:ascii="宋体" w:hAnsi="宋体"/>
                <w:sz w:val="18"/>
                <w:szCs w:val="18"/>
                <w:highlight w:val="none"/>
                <w:u w:val="single"/>
              </w:rPr>
              <w:t xml:space="preserve">  </w:t>
            </w:r>
            <w:r>
              <w:rPr>
                <w:rFonts w:hint="eastAsia" w:ascii="宋体" w:hAnsi="宋体"/>
                <w:sz w:val="18"/>
                <w:szCs w:val="18"/>
                <w:highlight w:val="none"/>
              </w:rPr>
              <w:t xml:space="preserve">日</w:t>
            </w:r>
            <w:r/>
          </w:p>
        </w:tc>
        <w:tc>
          <w:tcPr>
            <w:tcW w:w="811"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72"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5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127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69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59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811"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72"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5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127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69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59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811"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72"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5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127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169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59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811"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72"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5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487"/>
        </w:trPr>
        <w:tc>
          <w:tcPr>
            <w:gridSpan w:val="6"/>
            <w:tcW w:w="769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总报价（人民币：元）</w:t>
            </w:r>
            <w:r/>
          </w:p>
        </w:tc>
        <w:tc>
          <w:tcPr>
            <w:tcW w:w="1358" w:type="dxa"/>
            <w:textDirection w:val="lrTb"/>
            <w:noWrap w:val="false"/>
          </w:tcPr>
          <w:p>
            <w:pPr>
              <w:spacing w:line="0" w:lineRule="atLeast"/>
              <w:rPr>
                <w:rFonts w:ascii="宋体" w:hAnsi="宋体"/>
                <w:sz w:val="24"/>
                <w:szCs w:val="24"/>
                <w:highlight w:val="none"/>
              </w:rPr>
            </w:pPr>
            <w:r>
              <w:rPr>
                <w:rFonts w:ascii="宋体" w:hAnsi="宋体"/>
                <w:sz w:val="24"/>
                <w:szCs w:val="24"/>
                <w:highlight w:val="none"/>
              </w:rPr>
            </w:r>
            <w:r/>
          </w:p>
        </w:tc>
      </w:tr>
    </w:tbl>
    <w:p>
      <w:pPr>
        <w:rPr>
          <w:rFonts w:ascii="宋体" w:hAnsi="宋体"/>
          <w:sz w:val="24"/>
          <w:szCs w:val="24"/>
          <w:highlight w:val="none"/>
        </w:rPr>
      </w:pPr>
      <w:r>
        <w:rPr>
          <w:rFonts w:hint="eastAsia" w:ascii="宋体" w:hAnsi="宋体"/>
          <w:sz w:val="24"/>
          <w:szCs w:val="24"/>
          <w:highlight w:val="none"/>
        </w:rPr>
        <w:t xml:space="preserve">备注： </w:t>
      </w:r>
      <w:r/>
    </w:p>
    <w:p>
      <w:pPr>
        <w:spacing w:line="0" w:lineRule="atLeas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谈判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谈判文件中另有规定的除外。</w:t>
      </w:r>
      <w:r/>
    </w:p>
    <w:p>
      <w:pPr>
        <w:spacing w:line="400" w:lineRule="exact"/>
        <w:rPr>
          <w:rFonts w:ascii="宋体" w:hAnsi="宋体"/>
          <w:sz w:val="24"/>
          <w:szCs w:val="21"/>
          <w:highlight w:val="none"/>
        </w:rPr>
      </w:pPr>
      <w:r>
        <w:rPr>
          <w:rFonts w:ascii="宋体" w:hAnsi="宋体"/>
          <w:sz w:val="24"/>
          <w:szCs w:val="24"/>
          <w:highlight w:val="none"/>
        </w:rPr>
        <w:t xml:space="preserve">2.</w:t>
      </w:r>
      <w:r>
        <w:rPr>
          <w:rFonts w:hint="eastAsia" w:ascii="宋体" w:hAnsi="宋体"/>
          <w:sz w:val="24"/>
          <w:szCs w:val="21"/>
          <w:highlight w:val="none"/>
        </w:rPr>
        <w:t xml:space="preserve">项目</w:t>
      </w:r>
      <w:r>
        <w:rPr>
          <w:rFonts w:ascii="宋体" w:hAnsi="宋体"/>
          <w:sz w:val="24"/>
          <w:szCs w:val="21"/>
          <w:highlight w:val="none"/>
        </w:rPr>
        <w:t xml:space="preserve">经办人可以根据</w:t>
      </w:r>
      <w:r>
        <w:rPr>
          <w:rFonts w:hint="eastAsia" w:ascii="宋体" w:hAnsi="宋体"/>
          <w:sz w:val="24"/>
          <w:szCs w:val="21"/>
          <w:highlight w:val="none"/>
        </w:rPr>
        <w:t xml:space="preserve">项目</w:t>
      </w:r>
      <w:r>
        <w:rPr>
          <w:rFonts w:ascii="宋体" w:hAnsi="宋体"/>
          <w:sz w:val="24"/>
          <w:szCs w:val="21"/>
          <w:highlight w:val="none"/>
        </w:rPr>
        <w:t xml:space="preserve">实际需要</w:t>
      </w:r>
      <w:r>
        <w:rPr>
          <w:rFonts w:hint="eastAsia" w:ascii="宋体" w:hAnsi="宋体"/>
          <w:sz w:val="24"/>
          <w:szCs w:val="21"/>
          <w:highlight w:val="none"/>
        </w:rPr>
        <w:t xml:space="preserve">对</w:t>
      </w:r>
      <w:r>
        <w:rPr>
          <w:rFonts w:ascii="宋体" w:hAnsi="宋体"/>
          <w:sz w:val="24"/>
          <w:szCs w:val="21"/>
          <w:highlight w:val="none"/>
        </w:rPr>
        <w:t xml:space="preserve">表格结构进行</w:t>
      </w:r>
      <w:r>
        <w:rPr>
          <w:rFonts w:hint="eastAsia" w:ascii="宋体" w:hAnsi="宋体"/>
          <w:sz w:val="24"/>
          <w:szCs w:val="21"/>
          <w:highlight w:val="none"/>
        </w:rPr>
        <w:t xml:space="preserve">调整</w:t>
      </w:r>
      <w:r>
        <w:rPr>
          <w:rFonts w:ascii="宋体" w:hAnsi="宋体"/>
          <w:sz w:val="24"/>
          <w:szCs w:val="21"/>
          <w:highlight w:val="none"/>
        </w:rPr>
        <w:t xml:space="preserve">。</w:t>
      </w:r>
      <w:r/>
    </w:p>
    <w:p>
      <w:pPr>
        <w:spacing w:line="400" w:lineRule="exact"/>
        <w:rPr>
          <w:rFonts w:ascii="宋体" w:hAnsi="宋体"/>
          <w:sz w:val="24"/>
          <w:szCs w:val="21"/>
          <w:highlight w:val="none"/>
        </w:rPr>
      </w:pPr>
      <w:r>
        <w:rPr>
          <w:rFonts w:ascii="宋体" w:hAnsi="宋体"/>
          <w:sz w:val="24"/>
          <w:szCs w:val="21"/>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2 </w:t>
      </w:r>
      <w:r>
        <w:rPr>
          <w:rFonts w:hint="eastAsia" w:ascii="宋体" w:hAnsi="宋体"/>
          <w:b/>
          <w:sz w:val="24"/>
          <w:szCs w:val="24"/>
          <w:highlight w:val="none"/>
        </w:rPr>
        <w:t xml:space="preserve">技术要求响应及偏离表（采购包号：**）</w:t>
      </w:r>
      <w:r/>
    </w:p>
    <w:tbl>
      <w:tblPr>
        <w:tblStyle w:val="7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技术要求</w:t>
            </w:r>
            <w:r/>
          </w:p>
        </w:tc>
        <w:tc>
          <w:tcPr>
            <w:tcW w:w="3191"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响应情况</w:t>
            </w:r>
            <w:r/>
          </w:p>
        </w:tc>
        <w:tc>
          <w:tcPr>
            <w:tcW w:w="2128"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2</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color w:val="000000"/>
          <w:sz w:val="24"/>
          <w:szCs w:val="24"/>
          <w:highlight w:val="none"/>
        </w:rPr>
        <w:t xml:space="preserve">1.</w:t>
      </w:r>
      <w:r>
        <w:rPr>
          <w:rFonts w:hint="eastAsia" w:ascii="方正魏碑_GBK" w:hAnsi="方正魏碑_GBK" w:eastAsia="方正魏碑_GBK" w:cs="方正魏碑_GBK"/>
          <w:color w:val="000000"/>
          <w:sz w:val="24"/>
          <w:szCs w:val="24"/>
          <w:highlight w:val="none"/>
        </w:rPr>
        <w:t xml:space="preserve">供应商需对谈判文件技术要求中的非实质性要求（</w:t>
      </w:r>
      <w:r>
        <w:rPr>
          <w:rFonts w:hint="eastAsia" w:ascii="方正魏碑_GBK" w:hAnsi="方正魏碑_GBK" w:eastAsia="方正魏碑_GBK" w:cs="方正魏碑_GBK"/>
          <w:b/>
          <w:color w:val="000000"/>
          <w:sz w:val="24"/>
          <w:szCs w:val="24"/>
          <w:highlight w:val="none"/>
        </w:rPr>
        <w:t xml:space="preserve">未加</w:t>
      </w:r>
      <w:r>
        <w:rPr>
          <w:rFonts w:hint="eastAsia" w:ascii="方正魏碑_GBK" w:hAnsi="方正魏碑_GBK" w:eastAsia="方正魏碑_GBK" w:cs="方正魏碑_GBK"/>
          <w:b/>
          <w:i/>
          <w:color w:val="000000"/>
          <w:sz w:val="24"/>
          <w:szCs w:val="24"/>
          <w:highlight w:val="none"/>
          <w:u w:val="single"/>
        </w:rPr>
        <w:t xml:space="preserve">斜体下划线</w:t>
      </w:r>
      <w:r>
        <w:rPr>
          <w:rFonts w:hint="eastAsia" w:ascii="方正魏碑_GBK" w:hAnsi="方正魏碑_GBK" w:eastAsia="方正魏碑_GBK" w:cs="方正魏碑_GBK"/>
          <w:b/>
          <w:iCs/>
          <w:color w:val="000000"/>
          <w:sz w:val="24"/>
          <w:szCs w:val="24"/>
          <w:highlight w:val="none"/>
        </w:rPr>
        <w:t xml:space="preserve">部分</w:t>
      </w:r>
      <w:r>
        <w:rPr>
          <w:rFonts w:hint="eastAsia" w:ascii="方正魏碑_GBK" w:hAnsi="方正魏碑_GBK" w:eastAsia="方正魏碑_GBK" w:cs="方正魏碑_GBK"/>
          <w:b/>
          <w:color w:val="000000"/>
          <w:sz w:val="24"/>
          <w:szCs w:val="24"/>
          <w:highlight w:val="none"/>
        </w:rPr>
        <w:t xml:space="preserve">或未加*号条款</w:t>
      </w:r>
      <w:r>
        <w:rPr>
          <w:rFonts w:hint="eastAsia" w:ascii="方正魏碑_GBK" w:hAnsi="方正魏碑_GBK" w:eastAsia="方正魏碑_GBK" w:cs="方正魏碑_GBK"/>
          <w:color w:val="000000"/>
          <w:sz w:val="24"/>
          <w:szCs w:val="24"/>
          <w:highlight w:val="none"/>
        </w:rPr>
        <w:t xml:space="preserve">）</w:t>
      </w:r>
      <w:r>
        <w:rPr>
          <w:rFonts w:ascii="宋体" w:hAnsi="宋体"/>
          <w:color w:val="000000"/>
          <w:sz w:val="24"/>
          <w:szCs w:val="24"/>
          <w:highlight w:val="none"/>
        </w:rPr>
        <w:t xml:space="preserve">逐条做</w:t>
      </w:r>
      <w:r>
        <w:rPr>
          <w:rFonts w:ascii="宋体" w:hAnsi="宋体"/>
          <w:sz w:val="24"/>
          <w:szCs w:val="24"/>
          <w:highlight w:val="none"/>
        </w:rPr>
        <w:t xml:space="preserve">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2.如果谈判</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供应商需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ind w:left="480"/>
        <w:rPr>
          <w:rFonts w:ascii="宋体" w:hAnsi="宋体"/>
          <w:b/>
          <w:i/>
          <w:sz w:val="24"/>
          <w:szCs w:val="21"/>
          <w:highlight w:val="none"/>
          <w:u w:val="single"/>
        </w:rPr>
      </w:pPr>
      <w:r>
        <w:rPr>
          <w:rFonts w:ascii="宋体" w:hAnsi="宋体"/>
          <w:b/>
          <w:i/>
          <w:sz w:val="24"/>
          <w:szCs w:val="21"/>
          <w:highlight w:val="none"/>
          <w:u w:val="singl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商务要求响应及偏离表（采购包号：**）</w:t>
      </w:r>
      <w:r/>
    </w:p>
    <w:tbl>
      <w:tblPr>
        <w:tblStyle w:val="7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商务要求</w:t>
            </w:r>
            <w:r/>
          </w:p>
        </w:tc>
        <w:tc>
          <w:tcPr>
            <w:tcW w:w="3191"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响应情况</w:t>
            </w:r>
            <w:r/>
          </w:p>
        </w:tc>
        <w:tc>
          <w:tcPr>
            <w:tcW w:w="2128"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ascii="宋体" w:hAnsi="宋体"/>
          <w:sz w:val="24"/>
          <w:szCs w:val="24"/>
          <w:highlight w:val="none"/>
        </w:rPr>
      </w:pPr>
      <w:r>
        <w:rPr>
          <w:rFonts w:hint="eastAsia" w:ascii="宋体" w:hAnsi="宋体"/>
          <w:color w:val="000000"/>
          <w:sz w:val="24"/>
          <w:szCs w:val="24"/>
          <w:highlight w:val="none"/>
        </w:rPr>
        <w:t xml:space="preserve">1.</w:t>
      </w:r>
      <w:r>
        <w:rPr>
          <w:rFonts w:hint="eastAsia" w:ascii="方正魏碑_GBK" w:hAnsi="方正魏碑_GBK" w:eastAsia="方正魏碑_GBK" w:cs="方正魏碑_GBK"/>
          <w:color w:val="000000"/>
          <w:sz w:val="24"/>
          <w:szCs w:val="24"/>
          <w:highlight w:val="none"/>
        </w:rPr>
        <w:t xml:space="preserve">供应商需对谈判文件商务要求中的非实质性要求（</w:t>
      </w:r>
      <w:r>
        <w:rPr>
          <w:rFonts w:hint="eastAsia" w:ascii="方正魏碑_GBK" w:hAnsi="方正魏碑_GBK" w:eastAsia="方正魏碑_GBK" w:cs="方正魏碑_GBK"/>
          <w:b/>
          <w:color w:val="000000"/>
          <w:sz w:val="24"/>
          <w:szCs w:val="24"/>
          <w:highlight w:val="none"/>
        </w:rPr>
        <w:t xml:space="preserve">未加</w:t>
      </w:r>
      <w:r>
        <w:rPr>
          <w:rFonts w:hint="eastAsia" w:ascii="方正魏碑_GBK" w:hAnsi="方正魏碑_GBK" w:eastAsia="方正魏碑_GBK" w:cs="方正魏碑_GBK"/>
          <w:b/>
          <w:i/>
          <w:color w:val="000000"/>
          <w:sz w:val="24"/>
          <w:szCs w:val="24"/>
          <w:highlight w:val="none"/>
          <w:u w:val="single"/>
        </w:rPr>
        <w:t xml:space="preserve">斜体下划线</w:t>
      </w:r>
      <w:r>
        <w:rPr>
          <w:rFonts w:hint="eastAsia" w:ascii="方正魏碑_GBK" w:hAnsi="方正魏碑_GBK" w:eastAsia="方正魏碑_GBK" w:cs="方正魏碑_GBK"/>
          <w:b/>
          <w:iCs/>
          <w:color w:val="000000"/>
          <w:sz w:val="24"/>
          <w:szCs w:val="24"/>
          <w:highlight w:val="none"/>
        </w:rPr>
        <w:t xml:space="preserve">部分</w:t>
      </w:r>
      <w:r>
        <w:rPr>
          <w:rFonts w:hint="eastAsia" w:ascii="方正魏碑_GBK" w:hAnsi="方正魏碑_GBK" w:eastAsia="方正魏碑_GBK" w:cs="方正魏碑_GBK"/>
          <w:b/>
          <w:color w:val="000000"/>
          <w:sz w:val="24"/>
          <w:szCs w:val="24"/>
          <w:highlight w:val="none"/>
        </w:rPr>
        <w:t xml:space="preserve">或未加*号条款</w:t>
      </w:r>
      <w:r>
        <w:rPr>
          <w:rFonts w:hint="eastAsia" w:ascii="方正魏碑_GBK" w:hAnsi="方正魏碑_GBK" w:eastAsia="方正魏碑_GBK" w:cs="方正魏碑_GBK"/>
          <w:color w:val="000000"/>
          <w:sz w:val="24"/>
          <w:szCs w:val="24"/>
          <w:highlight w:val="none"/>
        </w:rPr>
        <w:t xml:space="preserve">）</w:t>
      </w:r>
      <w:r>
        <w:rPr>
          <w:rFonts w:ascii="宋体" w:hAnsi="宋体"/>
          <w:color w:val="000000"/>
          <w:sz w:val="24"/>
          <w:szCs w:val="24"/>
          <w:highlight w:val="none"/>
        </w:rPr>
        <w:t xml:space="preserve">逐条</w:t>
      </w:r>
      <w:r>
        <w:rPr>
          <w:rFonts w:ascii="宋体" w:hAnsi="宋体"/>
          <w:sz w:val="24"/>
          <w:szCs w:val="24"/>
          <w:highlight w:val="none"/>
        </w:rPr>
        <w:t xml:space="preserve">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2.如果谈判</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供应商需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ind w:firstLine="480"/>
        <w:spacing w:line="440" w:lineRule="exact"/>
        <w:rPr>
          <w:rFonts w:ascii="宋体" w:hAnsi="宋体"/>
          <w:i/>
          <w:sz w:val="24"/>
          <w:szCs w:val="21"/>
          <w:highlight w:val="none"/>
          <w:u w:val="single"/>
        </w:rPr>
      </w:pPr>
      <w:r>
        <w:rPr>
          <w:rFonts w:ascii="宋体" w:hAnsi="宋体"/>
          <w:i/>
          <w:sz w:val="24"/>
          <w:szCs w:val="21"/>
          <w:highlight w:val="none"/>
          <w:u w:val="single"/>
        </w:rPr>
      </w:r>
      <w:r/>
    </w:p>
    <w:p>
      <w:pPr>
        <w:ind w:left="480"/>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4</w:t>
      </w:r>
      <w:r>
        <w:rPr>
          <w:rFonts w:hint="eastAsia" w:ascii="宋体" w:hAnsi="宋体"/>
          <w:b/>
          <w:color w:val="000000"/>
          <w:sz w:val="24"/>
          <w:szCs w:val="21"/>
          <w:highlight w:val="none"/>
        </w:rPr>
        <w:t xml:space="preserve"> 具备履行合同所必需的设备和专业技术能力的书面声明</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ind w:firstLine="492"/>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ind w:left="480"/>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 </w:t>
      </w:r>
      <w:r>
        <w:rPr>
          <w:rFonts w:hint="eastAsia" w:ascii="宋体" w:hAnsi="宋体"/>
          <w:b/>
          <w:color w:val="000000"/>
          <w:sz w:val="24"/>
          <w:szCs w:val="21"/>
          <w:highlight w:val="none"/>
        </w:rPr>
        <w:t xml:space="preserve">参加政府采购活动前 3 年内在经营活动中没有重大违法记录的书面声明</w:t>
      </w:r>
      <w:r/>
    </w:p>
    <w:p>
      <w:pPr>
        <w:jc w:val="center"/>
        <w:spacing w:line="460" w:lineRule="exact"/>
        <w:rPr>
          <w:rFonts w:ascii="宋体" w:hAnsi="宋体"/>
          <w:b/>
          <w:bCs/>
          <w:color w:val="000000"/>
          <w:sz w:val="24"/>
          <w:szCs w:val="21"/>
          <w:highlight w:val="none"/>
        </w:rPr>
      </w:pPr>
      <w:r>
        <w:rPr>
          <w:rFonts w:ascii="宋体" w:hAnsi="宋体"/>
          <w:b/>
          <w:bCs/>
          <w:color w:val="000000"/>
          <w:sz w:val="24"/>
          <w:szCs w:val="21"/>
          <w:highlight w:val="none"/>
        </w:rPr>
      </w:r>
      <w:r/>
    </w:p>
    <w:p>
      <w:pPr>
        <w:ind w:firstLine="480"/>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ascii="宋体" w:hAnsi="宋体"/>
          <w:bCs/>
          <w:sz w:val="24"/>
          <w:szCs w:val="21"/>
          <w:highlight w:val="none"/>
        </w:rPr>
      </w:pPr>
      <w:r>
        <w:rPr>
          <w:rFonts w:ascii="宋体" w:hAnsi="宋体"/>
          <w:bCs/>
          <w:sz w:val="24"/>
          <w:szCs w:val="21"/>
          <w:highlight w:val="non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 法人授权书</w:t>
      </w:r>
      <w:r/>
    </w:p>
    <w:p>
      <w:pPr>
        <w:ind w:firstLine="480"/>
        <w:spacing w:line="0" w:lineRule="atLeast"/>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本授权书声明：____________（供应商名称）授权________________（被授权人的姓名）为我方就JSZC-</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号项目采购活动的合法代理人，以本单位名义全权处理一切与该项目采购有关的事务。</w:t>
      </w:r>
      <w:r/>
    </w:p>
    <w:p>
      <w:pPr>
        <w:ind w:firstLine="480"/>
        <w:spacing w:line="0" w:lineRule="atLeast"/>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本授权书于______年____月____日起生效，特此声明。</w:t>
      </w:r>
      <w:r/>
    </w:p>
    <w:p>
      <w:pPr>
        <w:spacing w:line="0" w:lineRule="atLeast"/>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被授权人身份证号码：</w:t>
      </w:r>
      <w:r>
        <w:rPr>
          <w:rFonts w:hint="eastAsia" w:ascii="Times New Roman" w:hAnsi="Times New Roman"/>
          <w:sz w:val="24"/>
          <w:szCs w:val="24"/>
          <w:highlight w:val="none"/>
          <w:u w:val="single"/>
        </w:rPr>
        <w:t xml:space="preserve">                              </w:t>
      </w:r>
      <w:r/>
    </w:p>
    <w:p>
      <w:pPr>
        <w:ind w:firstLine="480"/>
        <w:spacing w:line="0" w:lineRule="atLeast"/>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被授权人联系电话：（手机）</w:t>
      </w:r>
      <w:r>
        <w:rPr>
          <w:rFonts w:hint="eastAsia" w:ascii="Times New Roman" w:hAnsi="Times New Roman"/>
          <w:sz w:val="24"/>
          <w:szCs w:val="24"/>
          <w:highlight w:val="none"/>
          <w:u w:val="single"/>
        </w:rPr>
        <w:t xml:space="preserve">                          </w:t>
      </w:r>
      <w:r/>
    </w:p>
    <w:p>
      <w:pPr>
        <w:ind w:firstLine="480"/>
        <w:spacing w:line="0" w:lineRule="atLeast"/>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被授权人电子邮箱：</w:t>
      </w:r>
      <w:r>
        <w:rPr>
          <w:rFonts w:hint="eastAsia" w:ascii="Times New Roman" w:hAnsi="Times New Roman"/>
          <w:sz w:val="24"/>
          <w:szCs w:val="24"/>
          <w:highlight w:val="none"/>
          <w:u w:val="single"/>
        </w:rPr>
        <w:t xml:space="preserve">          </w:t>
      </w:r>
      <w:r/>
    </w:p>
    <w:p>
      <w:pPr>
        <w:ind w:firstLine="480"/>
        <w:spacing w:line="0" w:lineRule="atLeast"/>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授权单位名称：</w:t>
      </w:r>
      <w:r>
        <w:rPr>
          <w:rFonts w:hint="eastAsia" w:ascii="Times New Roman" w:hAnsi="Times New Roman"/>
          <w:sz w:val="24"/>
          <w:szCs w:val="24"/>
          <w:highlight w:val="none"/>
          <w:u w:val="single"/>
        </w:rPr>
        <w:t xml:space="preserve">（加盖CA电子公章）</w:t>
      </w:r>
      <w:r/>
    </w:p>
    <w:p>
      <w:pPr>
        <w:ind w:firstLine="480"/>
        <w:spacing w:line="0" w:lineRule="atLeast"/>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单位地址：</w:t>
      </w:r>
      <w:r>
        <w:rPr>
          <w:rFonts w:hint="eastAsia" w:ascii="Times New Roman" w:hAnsi="Times New Roman"/>
          <w:sz w:val="24"/>
          <w:szCs w:val="24"/>
          <w:highlight w:val="none"/>
          <w:u w:val="single"/>
        </w:rPr>
        <w:t xml:space="preserve">                                         </w:t>
      </w:r>
      <w:r/>
    </w:p>
    <w:p>
      <w:pPr>
        <w:ind w:firstLine="480"/>
        <w:spacing w:line="0" w:lineRule="atLeast"/>
        <w:tabs>
          <w:tab w:val="left" w:pos="360" w:leader="none"/>
        </w:tabs>
        <w:rPr>
          <w:rFonts w:ascii="宋体" w:hAnsi="宋体"/>
          <w:sz w:val="24"/>
          <w:szCs w:val="21"/>
          <w:highlight w:val="none"/>
        </w:rPr>
      </w:pPr>
      <w:r>
        <w:rPr>
          <w:rFonts w:hint="eastAsia" w:ascii="Times New Roman" w:hAnsi="Times New Roman"/>
          <w:sz w:val="24"/>
          <w:szCs w:val="24"/>
          <w:highlight w:val="none"/>
        </w:rPr>
        <w:t xml:space="preserve">日期：</w:t>
      </w:r>
      <w:r>
        <w:rPr>
          <w:rFonts w:hint="eastAsia" w:ascii="Times New Roman" w:hAnsi="Times New Roman"/>
          <w:sz w:val="24"/>
          <w:szCs w:val="24"/>
          <w:highlight w:val="none"/>
          <w:u w:val="single"/>
        </w:rPr>
        <w:t xml:space="preserve">                                        </w:t>
      </w:r>
      <w:bookmarkEnd w:id="173"/>
      <w:r/>
      <w:bookmarkEnd w:id="174"/>
      <w:r/>
      <w:bookmarkEnd w:id="175"/>
      <w:r/>
      <w:r/>
    </w:p>
    <w:p>
      <w:pPr>
        <w:ind w:firstLine="480"/>
        <w:tabs>
          <w:tab w:val="left" w:pos="360" w:leader="none"/>
        </w:tabs>
        <w:rPr>
          <w:rFonts w:ascii="Times New Roman" w:hAnsi="Times New Roman"/>
          <w:sz w:val="24"/>
          <w:szCs w:val="24"/>
          <w:highlight w:val="none"/>
        </w:rPr>
      </w:pPr>
      <w:r/>
      <w:bookmarkStart w:id="176" w:name="_Toc120614284"/>
      <w:r/>
      <w:r/>
    </w:p>
    <w:p>
      <w:pPr>
        <w:ind w:firstLine="480"/>
        <w:tabs>
          <w:tab w:val="left" w:pos="360" w:leader="none"/>
        </w:tabs>
        <w:rPr>
          <w:rFonts w:ascii="Times New Roman" w:hAnsi="Times New Roman"/>
          <w:sz w:val="24"/>
          <w:szCs w:val="24"/>
          <w:highlight w:val="none"/>
        </w:rPr>
      </w:pPr>
      <w:r>
        <w:rPr>
          <w:rFonts w:ascii="Times New Roman" w:hAnsi="Times New Roman"/>
          <w:sz w:val="24"/>
          <w:szCs w:val="24"/>
          <w:highlight w:val="none"/>
        </w:rPr>
      </w:r>
      <w:r/>
    </w:p>
    <w:p>
      <w:pPr>
        <w:ind w:firstLine="480"/>
        <w:tabs>
          <w:tab w:val="left" w:pos="360" w:leader="none"/>
        </w:tabs>
        <w:rPr>
          <w:rFonts w:ascii="Times New Roman" w:hAnsi="Times New Roman"/>
          <w:sz w:val="24"/>
          <w:szCs w:val="24"/>
          <w:highlight w:val="none"/>
        </w:rPr>
      </w:pPr>
      <w:r>
        <w:rPr>
          <w:rFonts w:ascii="Times New Roman" w:hAnsi="Times New Roman"/>
          <w:sz w:val="24"/>
          <w:szCs w:val="24"/>
          <w:highlight w:val="none"/>
        </w:rPr>
      </w:r>
      <w:r/>
    </w:p>
    <w:p>
      <w:pPr>
        <w:ind w:firstLine="480"/>
        <w:tabs>
          <w:tab w:val="left" w:pos="360" w:leader="none"/>
        </w:tabs>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i/>
          <w:sz w:val="24"/>
          <w:szCs w:val="24"/>
          <w:highlight w:val="none"/>
          <w:u w:val="single"/>
        </w:rPr>
      </w:pPr>
      <w:r>
        <w:rPr>
          <w:rFonts w:ascii="Times New Roman" w:hAnsi="Times New Roman"/>
          <w:i/>
          <w:sz w:val="24"/>
          <w:szCs w:val="24"/>
          <w:highlight w:val="none"/>
          <w:u w:val="single"/>
        </w:rPr>
      </w:r>
      <w:r/>
    </w:p>
    <w:p>
      <w:pPr>
        <w:rPr>
          <w:rFonts w:ascii="Times New Roman" w:hAnsi="Times New Roman"/>
          <w:szCs w:val="21"/>
          <w:highlight w:val="none"/>
        </w:rPr>
      </w:pPr>
      <w:r>
        <w:rPr>
          <w:rFonts w:ascii="Times New Roman" w:hAnsi="Times New Roman"/>
          <w:szCs w:val="21"/>
          <w:highlight w:val="none"/>
        </w:rPr>
      </w:r>
      <w:r/>
    </w:p>
    <w:p>
      <w:pPr>
        <w:jc w:val="center"/>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 谈判响应函</w:t>
      </w:r>
      <w:r/>
    </w:p>
    <w:p>
      <w:pPr>
        <w:jc w:val="left"/>
        <w:spacing w:line="420" w:lineRule="exact"/>
        <w:rPr>
          <w:rFonts w:ascii="宋体" w:hAnsi="宋体"/>
          <w:sz w:val="24"/>
          <w:szCs w:val="21"/>
          <w:highlight w:val="none"/>
        </w:rPr>
      </w:pPr>
      <w:r>
        <w:rPr>
          <w:rFonts w:hint="eastAsia" w:ascii="宋体" w:hAnsi="宋体"/>
          <w:sz w:val="24"/>
          <w:szCs w:val="21"/>
          <w:highlight w:val="none"/>
        </w:rPr>
        <w:t xml:space="preserve">致：江苏省政府采购中心</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320000-***</w:t>
      </w:r>
      <w:r>
        <w:rPr>
          <w:rFonts w:hint="eastAsia" w:ascii="宋体" w:hAnsi="宋体"/>
          <w:b/>
          <w:sz w:val="36"/>
          <w:szCs w:val="24"/>
          <w:highlight w:val="none"/>
          <w:u w:val="single"/>
        </w:rPr>
        <w:t xml:space="preserve">    </w:t>
      </w:r>
      <w:r>
        <w:rPr>
          <w:rFonts w:hint="eastAsia" w:ascii="宋体" w:hAnsi="宋体"/>
          <w:sz w:val="24"/>
          <w:szCs w:val="21"/>
          <w:highlight w:val="none"/>
        </w:rPr>
        <w:t xml:space="preserve">号谈判文件，正式授权下述签字人______(姓名)代表我方______________（供应商的名称），全权处理本次项目谈判的有关事宜。</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1.按谈判文件规定的各项要求，向买方提供所需货物、服务（包含与货物相关的服务及与服务相关的货物）。</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.我们已详细审核全部谈判文件及其有效补充文件，我们知道必须放弃提出含糊不清或误解问题的权利。</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.我们同意从规定的开标日期起遵循本响应文件，并在规定的谈判有效期期满之前均具有约束力。</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4</w:t>
      </w:r>
      <w:r>
        <w:rPr>
          <w:rFonts w:hint="eastAsia" w:ascii="宋体" w:hAnsi="宋体"/>
          <w:sz w:val="24"/>
          <w:szCs w:val="21"/>
          <w:highlight w:val="none"/>
        </w:rPr>
        <w:t xml:space="preserve">.同意向贵方提供贵方可能另外要求的与谈判有关的任何证据或资料，并保证我方已提供和将要提供的文件是真实的、准确的。</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.一旦我方成交,我方将根据谈判文件的规定，严格履行合同的责任和义务,并保证在谈判文件规定的时间完成项目，交付买方验收、使用。</w:t>
      </w:r>
      <w:r/>
    </w:p>
    <w:p>
      <w:pPr>
        <w:ind w:left="425"/>
        <w:jc w:val="left"/>
        <w:spacing w:line="420" w:lineRule="exact"/>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.我方与本谈判有关的正式通讯地址为：</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供应商开户行：</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账          号： </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日           期：____年____月____日</w:t>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spacing w:line="0" w:lineRule="atLeast"/>
        <w:rPr>
          <w:rFonts w:ascii="黑体" w:hAnsi="黑体" w:eastAsia="黑体"/>
          <w:b/>
          <w:sz w:val="32"/>
          <w:szCs w:val="32"/>
          <w:highlight w:val="none"/>
        </w:rPr>
      </w:pPr>
      <w:r>
        <w:rPr>
          <w:rFonts w:hint="eastAsia" w:ascii="宋体" w:hAnsi="宋体"/>
          <w:sz w:val="24"/>
          <w:szCs w:val="24"/>
          <w:highlight w:val="none"/>
        </w:rPr>
        <w:t xml:space="preserve"> </w:t>
      </w:r>
      <w:r/>
    </w:p>
    <w:p>
      <w:pPr>
        <w:jc w:val="center"/>
        <w:rPr>
          <w:rFonts w:ascii="黑体" w:hAnsi="黑体" w:eastAsia="黑体"/>
          <w:b/>
          <w:sz w:val="32"/>
          <w:szCs w:val="32"/>
          <w:highlight w:val="none"/>
        </w:rPr>
      </w:pPr>
      <w:r>
        <w:rPr>
          <w:rFonts w:hint="eastAsia" w:ascii="宋体" w:hAnsi="宋体"/>
          <w:b/>
          <w:sz w:val="24"/>
          <w:szCs w:val="21"/>
          <w:highlight w:val="none"/>
        </w:rPr>
        <w:t xml:space="preserve">附件</w:t>
      </w:r>
      <w:r>
        <w:rPr>
          <w:rFonts w:ascii="宋体" w:hAnsi="宋体"/>
          <w:b/>
          <w:sz w:val="24"/>
          <w:szCs w:val="21"/>
          <w:highlight w:val="none"/>
        </w:rPr>
        <w:t xml:space="preserve">8</w:t>
      </w:r>
      <w:r>
        <w:rPr>
          <w:rFonts w:hint="eastAsia" w:ascii="宋体" w:hAnsi="宋体"/>
          <w:b/>
          <w:sz w:val="24"/>
          <w:szCs w:val="21"/>
          <w:highlight w:val="none"/>
        </w:rPr>
        <w:t xml:space="preserve">中小微企业声明函（服务类</w:t>
      </w:r>
      <w:r>
        <w:rPr>
          <w:rFonts w:ascii="宋体" w:hAnsi="宋体"/>
          <w:b/>
          <w:sz w:val="24"/>
          <w:szCs w:val="21"/>
          <w:highlight w:val="none"/>
        </w:rPr>
        <w:t xml:space="preserve">项目</w:t>
      </w:r>
      <w:r>
        <w:rPr>
          <w:rFonts w:hint="eastAsia" w:ascii="宋体" w:hAnsi="宋体"/>
          <w:b/>
          <w:sz w:val="24"/>
          <w:szCs w:val="21"/>
          <w:highlight w:val="none"/>
        </w:rPr>
        <w:t xml:space="preserve">）（采购包号：**）</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ascii="宋体" w:hAnsi="宋体"/>
          <w:sz w:val="24"/>
          <w:szCs w:val="24"/>
          <w:highlight w:val="none"/>
        </w:rPr>
        <w:t xml:space="preserve">JSZC-320000-</w:t>
      </w:r>
      <w:r>
        <w:rPr>
          <w:rFonts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（项目名称）（采购包号：**）</w:t>
      </w:r>
      <w:r>
        <w:rPr>
          <w:rFonts w:hint="eastAsia" w:ascii="宋体" w:hAnsi="宋体"/>
          <w:sz w:val="24"/>
          <w:szCs w:val="24"/>
          <w:highlight w:val="none"/>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（供应商填写谈判文件中明确的所属行业）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p>
    <w:p>
      <w:pPr>
        <w:ind w:firstLine="360"/>
        <w:spacing w:line="400" w:lineRule="exact"/>
        <w:rPr>
          <w:rFonts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（供应商填写谈判文件中明确的所属行业）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400" w:lineRule="exact"/>
        <w:rPr>
          <w:rFonts w:ascii="宋体" w:hAnsi="宋体"/>
          <w:sz w:val="24"/>
          <w:szCs w:val="24"/>
          <w:highlight w:val="none"/>
        </w:rPr>
      </w:pPr>
      <w:r>
        <w:rPr>
          <w:rFonts w:ascii="宋体" w:hAnsi="宋体"/>
          <w:sz w:val="24"/>
          <w:szCs w:val="24"/>
          <w:highlight w:val="none"/>
        </w:rPr>
      </w:r>
      <w:r/>
    </w:p>
    <w:p>
      <w:pPr>
        <w:ind w:right="180" w:firstLine="360"/>
        <w:jc w:val="right"/>
        <w:spacing w:line="400" w:lineRule="exact"/>
        <w:rPr>
          <w:rFonts w:ascii="宋体" w:hAnsi="宋体"/>
          <w:sz w:val="24"/>
          <w:szCs w:val="24"/>
          <w:highlight w:val="none"/>
        </w:rPr>
      </w:pPr>
      <w:r>
        <w:rPr>
          <w:rFonts w:hint="eastAsia" w:ascii="宋体" w:hAnsi="宋体"/>
          <w:sz w:val="24"/>
          <w:szCs w:val="24"/>
          <w:highlight w:val="none"/>
        </w:rPr>
        <w:t xml:space="preserve">企业名称（加盖CA电子公章）：</w:t>
      </w:r>
      <w:r/>
    </w:p>
    <w:p>
      <w:pPr>
        <w:ind w:right="480" w:firstLine="5400"/>
        <w:spacing w:line="400" w:lineRule="exact"/>
        <w:rPr>
          <w:rFonts w:ascii="宋体" w:hAnsi="宋体"/>
          <w:sz w:val="24"/>
          <w:szCs w:val="24"/>
          <w:highlight w:val="none"/>
        </w:rPr>
      </w:pPr>
      <w:r>
        <w:rPr>
          <w:rFonts w:hint="eastAsia" w:ascii="宋体" w:hAnsi="宋体"/>
          <w:sz w:val="24"/>
          <w:szCs w:val="24"/>
          <w:highlight w:val="none"/>
        </w:rPr>
        <w:t xml:space="preserve">日  期：</w:t>
      </w:r>
      <w:r/>
    </w:p>
    <w:p>
      <w:pPr>
        <w:ind w:firstLine="240"/>
        <w:spacing w:line="400" w:lineRule="exact"/>
        <w:rPr>
          <w:rFonts w:ascii="宋体" w:hAnsi="宋体"/>
          <w:sz w:val="24"/>
          <w:szCs w:val="24"/>
          <w:highlight w:val="none"/>
        </w:rPr>
      </w:pPr>
      <w:r>
        <w:rPr>
          <w:rFonts w:ascii="宋体" w:hAnsi="宋体"/>
          <w:sz w:val="24"/>
          <w:szCs w:val="24"/>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p>
    <w:p>
      <w:pPr>
        <w:ind w:left="540" w:hanging="120"/>
        <w:spacing w:line="400" w:lineRule="exact"/>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w:t>
      </w:r>
      <w:r/>
    </w:p>
    <w:p>
      <w:pPr>
        <w:ind w:right="1559" w:firstLine="480"/>
        <w:jc w:val="center"/>
        <w:spacing w:line="0" w:lineRule="atLeast"/>
        <w:tabs>
          <w:tab w:val="left" w:pos="4860" w:leader="none"/>
        </w:tabs>
        <w:rPr>
          <w:rFonts w:ascii="宋体" w:hAnsi="宋体"/>
          <w:sz w:val="24"/>
          <w:szCs w:val="24"/>
          <w:highlight w:val="none"/>
        </w:rPr>
      </w:pPr>
      <w:r>
        <w:rPr>
          <w:rFonts w:hint="eastAsia" w:ascii="宋体" w:hAnsi="宋体"/>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承接企业</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hint="eastAsia" w:ascii="宋体" w:hAnsi="宋体"/>
          <w:sz w:val="24"/>
          <w:szCs w:val="24"/>
          <w:highlight w:val="none"/>
        </w:rPr>
        <w:t xml:space="preserve">  </w:t>
      </w:r>
      <w:r>
        <w:rPr>
          <w:rFonts w:ascii="宋体" w:hAnsi="宋体"/>
          <w:sz w:val="24"/>
          <w:szCs w:val="24"/>
          <w:highlight w:val="none"/>
        </w:rPr>
        <w:t xml:space="preserve"> </w:t>
      </w:r>
      <w:r/>
    </w:p>
    <w:p>
      <w:pPr>
        <w:ind w:right="1559" w:firstLine="480"/>
        <w:jc w:val="center"/>
        <w:spacing w:line="0" w:lineRule="atLeast"/>
        <w:tabs>
          <w:tab w:val="left" w:pos="4860" w:leader="none"/>
        </w:tabs>
        <w:rPr>
          <w:rFonts w:ascii="宋体" w:hAnsi="宋体"/>
          <w:sz w:val="24"/>
          <w:szCs w:val="24"/>
          <w:highlight w:val="none"/>
        </w:rPr>
      </w:pPr>
      <w:r>
        <w:rPr>
          <w:rFonts w:ascii="宋体" w:hAnsi="宋体"/>
          <w:sz w:val="24"/>
          <w:szCs w:val="24"/>
          <w:highlight w:val="none"/>
        </w:rPr>
      </w:r>
      <w:r/>
    </w:p>
    <w:p>
      <w:pPr>
        <w:ind w:right="1559" w:firstLine="480"/>
        <w:jc w:val="center"/>
        <w:spacing w:line="0" w:lineRule="atLeast"/>
        <w:tabs>
          <w:tab w:val="left" w:pos="4860" w:leader="none"/>
        </w:tabs>
        <w:rPr>
          <w:rFonts w:ascii="宋体" w:hAnsi="宋体"/>
          <w:sz w:val="24"/>
          <w:szCs w:val="24"/>
          <w:highlight w:val="none"/>
        </w:rPr>
      </w:pPr>
      <w:r>
        <w:rPr>
          <w:rFonts w:ascii="宋体" w:hAnsi="宋体"/>
          <w:sz w:val="24"/>
          <w:szCs w:val="24"/>
          <w:highlight w:val="none"/>
        </w:rPr>
      </w:r>
      <w:r/>
    </w:p>
    <w:p>
      <w:pPr>
        <w:ind w:right="1559" w:firstLine="480"/>
        <w:jc w:val="center"/>
        <w:spacing w:line="0" w:lineRule="atLeast"/>
        <w:tabs>
          <w:tab w:val="left" w:pos="4860" w:leader="none"/>
        </w:tabs>
        <w:rPr>
          <w:rFonts w:ascii="宋体" w:hAnsi="宋体"/>
          <w:sz w:val="24"/>
          <w:szCs w:val="24"/>
          <w:highlight w:val="none"/>
        </w:rPr>
      </w:pPr>
      <w:r>
        <w:rPr>
          <w:rFonts w:ascii="宋体" w:hAnsi="宋体"/>
          <w:sz w:val="24"/>
          <w:szCs w:val="24"/>
          <w:highlight w:val="none"/>
        </w:rPr>
      </w:r>
      <w:r/>
    </w:p>
    <w:p>
      <w:pPr>
        <w:ind w:right="1559" w:firstLine="480"/>
        <w:jc w:val="center"/>
        <w:spacing w:line="0" w:lineRule="atLeast"/>
        <w:tabs>
          <w:tab w:val="left" w:pos="4860" w:leader="none"/>
        </w:tabs>
        <w:rPr>
          <w:rFonts w:ascii="宋体" w:hAnsi="宋体"/>
          <w:sz w:val="24"/>
          <w:szCs w:val="24"/>
          <w:highlight w:val="none"/>
        </w:rPr>
      </w:pPr>
      <w:r>
        <w:rPr>
          <w:rFonts w:ascii="宋体" w:hAnsi="宋体"/>
          <w:sz w:val="24"/>
          <w:szCs w:val="24"/>
          <w:highlight w:val="none"/>
        </w:rPr>
      </w:r>
      <w:r/>
    </w:p>
    <w:p>
      <w:pPr>
        <w:ind w:right="1559" w:firstLine="480"/>
        <w:jc w:val="center"/>
        <w:spacing w:line="0" w:lineRule="atLeast"/>
        <w:tabs>
          <w:tab w:val="left" w:pos="4860" w:leader="none"/>
        </w:tabs>
        <w:rPr>
          <w:rFonts w:ascii="宋体" w:hAnsi="宋体"/>
          <w:sz w:val="24"/>
          <w:szCs w:val="24"/>
          <w:highlight w:val="none"/>
        </w:rPr>
      </w:pPr>
      <w:r>
        <w:rPr>
          <w:rFonts w:ascii="宋体" w:hAnsi="宋体"/>
          <w:sz w:val="24"/>
          <w:szCs w:val="24"/>
          <w:highlight w:val="none"/>
        </w:rPr>
      </w:r>
      <w:r/>
    </w:p>
    <w:p>
      <w:pPr>
        <w:ind w:right="1559" w:firstLine="480"/>
        <w:jc w:val="center"/>
        <w:spacing w:line="0" w:lineRule="atLeast"/>
        <w:tabs>
          <w:tab w:val="left" w:pos="4860" w:leader="none"/>
        </w:tabs>
        <w:rPr>
          <w:rFonts w:ascii="宋体" w:hAnsi="宋体"/>
          <w:sz w:val="24"/>
          <w:szCs w:val="24"/>
          <w:highlight w:val="none"/>
        </w:rPr>
      </w:pPr>
      <w:r>
        <w:rPr>
          <w:rFonts w:ascii="宋体" w:hAnsi="宋体"/>
          <w:sz w:val="24"/>
          <w:szCs w:val="24"/>
          <w:highlight w:val="none"/>
        </w:rPr>
      </w:r>
      <w:r/>
    </w:p>
    <w:p>
      <w:pPr>
        <w:spacing w:line="400" w:lineRule="exact"/>
        <w:rPr>
          <w:rFonts w:ascii="黑体" w:hAnsi="黑体" w:eastAsia="黑体"/>
          <w:b/>
          <w:sz w:val="32"/>
          <w:szCs w:val="32"/>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9</w:t>
      </w:r>
      <w:r>
        <w:rPr>
          <w:rFonts w:hint="eastAsia" w:ascii="宋体" w:hAnsi="宋体"/>
          <w:b/>
          <w:sz w:val="24"/>
          <w:szCs w:val="24"/>
          <w:highlight w:val="none"/>
        </w:rPr>
        <w:t xml:space="preserve">残疾人福利性单位声明函（服务类</w:t>
      </w:r>
      <w:r>
        <w:rPr>
          <w:rFonts w:ascii="宋体" w:hAnsi="宋体"/>
          <w:b/>
          <w:sz w:val="24"/>
          <w:szCs w:val="24"/>
          <w:highlight w:val="none"/>
        </w:rPr>
        <w:t xml:space="preserve">项目</w:t>
      </w:r>
      <w:r>
        <w:rPr>
          <w:rFonts w:hint="eastAsia" w:ascii="宋体" w:hAnsi="宋体"/>
          <w:b/>
          <w:sz w:val="24"/>
          <w:szCs w:val="24"/>
          <w:highlight w:val="none"/>
        </w:rPr>
        <w:t xml:space="preserve">）（采购包号：**）</w:t>
      </w:r>
      <w:r/>
    </w:p>
    <w:p>
      <w:pPr>
        <w:ind w:firstLine="480"/>
        <w:spacing w:line="0" w:lineRule="atLeast"/>
        <w:rPr>
          <w:rFonts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highlight w:val="none"/>
        </w:rPr>
        <w:t xml:space="preserve">JSZC-320000-</w:t>
      </w:r>
      <w:r>
        <w:rPr>
          <w:rFonts w:ascii="宋体" w:hAnsi="宋体"/>
          <w:sz w:val="24"/>
          <w:szCs w:val="24"/>
          <w:highlight w:val="none"/>
          <w:u w:val="single"/>
        </w:rPr>
        <w:t xml:space="preserve">****</w:t>
      </w:r>
      <w:r>
        <w:rPr>
          <w:rFonts w:hint="eastAsia" w:ascii="宋体" w:hAnsi="宋体"/>
          <w:sz w:val="24"/>
          <w:szCs w:val="21"/>
          <w:highlight w:val="none"/>
        </w:rPr>
        <w:t xml:space="preserve">的</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项目（采购包号：**）采购活动由本单位提供服务。</w:t>
      </w:r>
      <w:r/>
    </w:p>
    <w:p>
      <w:pPr>
        <w:ind w:firstLine="480"/>
        <w:spacing w:line="0" w:lineRule="atLeas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p>
    <w:p>
      <w:pPr>
        <w:ind w:firstLine="480"/>
        <w:spacing w:line="0" w:lineRule="atLeast"/>
        <w:rPr>
          <w:rFonts w:ascii="宋体" w:hAnsi="宋体"/>
          <w:sz w:val="24"/>
          <w:szCs w:val="21"/>
          <w:highlight w:val="none"/>
        </w:rPr>
      </w:pPr>
      <w:r>
        <w:rPr>
          <w:rFonts w:ascii="宋体" w:hAnsi="宋体"/>
          <w:sz w:val="24"/>
          <w:szCs w:val="21"/>
          <w:highlight w:val="none"/>
        </w:rPr>
      </w:r>
      <w:r/>
    </w:p>
    <w:p>
      <w:pPr>
        <w:ind w:firstLine="480"/>
        <w:spacing w:line="0" w:lineRule="atLeast"/>
        <w:rPr>
          <w:rFonts w:ascii="宋体" w:hAnsi="宋体"/>
          <w:sz w:val="24"/>
          <w:szCs w:val="21"/>
          <w:highlight w:val="none"/>
        </w:rPr>
      </w:pPr>
      <w:r>
        <w:rPr>
          <w:rFonts w:hint="eastAsia" w:ascii="宋体" w:hAnsi="宋体"/>
          <w:sz w:val="24"/>
          <w:szCs w:val="21"/>
          <w:highlight w:val="none"/>
        </w:rPr>
        <w:t xml:space="preserve">备注：</w:t>
      </w:r>
      <w:r/>
    </w:p>
    <w:p>
      <w:pPr>
        <w:ind w:firstLine="480"/>
        <w:spacing w:line="0" w:lineRule="atLeas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，供应商为残疾人福利性单位并提供服务的必须提供此</w:t>
      </w:r>
      <w:r>
        <w:rPr>
          <w:rFonts w:ascii="宋体" w:hAnsi="宋体"/>
          <w:sz w:val="24"/>
          <w:szCs w:val="21"/>
          <w:highlight w:val="none"/>
        </w:rPr>
        <w:t xml:space="preserve">声明函</w:t>
      </w:r>
      <w:r>
        <w:rPr>
          <w:rFonts w:hint="eastAsia" w:ascii="宋体" w:hAnsi="宋体"/>
          <w:sz w:val="24"/>
          <w:szCs w:val="21"/>
          <w:highlight w:val="none"/>
        </w:rPr>
        <w:t xml:space="preserve">，</w:t>
      </w:r>
      <w:r>
        <w:rPr>
          <w:rFonts w:ascii="宋体" w:hAnsi="宋体"/>
          <w:sz w:val="24"/>
          <w:szCs w:val="21"/>
          <w:highlight w:val="none"/>
        </w:rPr>
        <w:t xml:space="preserve">否则将</w:t>
      </w:r>
      <w:r>
        <w:rPr>
          <w:rFonts w:hint="eastAsia" w:ascii="宋体" w:hAnsi="宋体"/>
          <w:sz w:val="24"/>
          <w:szCs w:val="21"/>
          <w:highlight w:val="none"/>
        </w:rPr>
        <w:t xml:space="preserve">不能</w:t>
      </w:r>
      <w:r>
        <w:rPr>
          <w:rFonts w:ascii="宋体" w:hAnsi="宋体"/>
          <w:sz w:val="24"/>
          <w:szCs w:val="21"/>
          <w:highlight w:val="none"/>
        </w:rPr>
        <w:t xml:space="preserve">通过资格审查</w:t>
      </w:r>
      <w:r>
        <w:rPr>
          <w:rFonts w:hint="eastAsia" w:ascii="宋体" w:hAnsi="宋体"/>
          <w:sz w:val="24"/>
          <w:szCs w:val="21"/>
          <w:highlight w:val="none"/>
        </w:rPr>
        <w:t xml:space="preserve">。</w:t>
      </w:r>
      <w:r/>
    </w:p>
    <w:p>
      <w:pPr>
        <w:ind w:firstLine="480"/>
        <w:spacing w:line="0" w:lineRule="atLeast"/>
        <w:rPr>
          <w:rFonts w:ascii="宋体" w:hAnsi="宋体"/>
          <w:sz w:val="24"/>
          <w:szCs w:val="21"/>
          <w:highlight w:val="none"/>
        </w:rPr>
      </w:pPr>
      <w:r>
        <w:rPr>
          <w:rFonts w:hint="eastAsia" w:ascii="宋体" w:hAnsi="宋体"/>
          <w:sz w:val="24"/>
          <w:szCs w:val="21"/>
          <w:highlight w:val="none"/>
        </w:rPr>
        <w:t xml:space="preserve">2.非专门面向中小微型企业采购的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，供应商如不提供此声明函，价格将不做相应扣除。</w:t>
      </w:r>
      <w:r/>
    </w:p>
    <w:p>
      <w:pPr>
        <w:ind w:firstLine="480"/>
        <w:spacing w:line="0" w:lineRule="atLeas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spacing w:val="6"/>
          <w:sz w:val="30"/>
          <w:szCs w:val="30"/>
          <w:highlight w:val="none"/>
        </w:rPr>
      </w:pPr>
      <w:r>
        <w:rPr>
          <w:rFonts w:ascii="仿宋_GB2312" w:hAnsi="Times New Roman" w:eastAsia="仿宋_GB2312"/>
          <w:spacing w:val="6"/>
          <w:sz w:val="30"/>
          <w:szCs w:val="30"/>
          <w:highlight w:val="none"/>
        </w:rPr>
      </w:r>
      <w:r/>
    </w:p>
    <w:p>
      <w:pPr>
        <w:ind w:right="1559" w:firstLine="624"/>
        <w:jc w:val="center"/>
        <w:spacing w:line="0" w:lineRule="atLeast"/>
        <w:tabs>
          <w:tab w:val="left" w:pos="4860" w:leader="none"/>
        </w:tabs>
        <w:rPr>
          <w:rFonts w:ascii="宋体" w:hAnsi="宋体"/>
          <w:sz w:val="24"/>
          <w:szCs w:val="21"/>
          <w:highlight w:val="none"/>
        </w:rPr>
      </w:pPr>
      <w:r>
        <w:rPr>
          <w:rFonts w:hint="eastAsia" w:ascii="仿宋_GB2312" w:hAnsi="Times New Roman" w:eastAsia="仿宋_GB2312"/>
          <w:spacing w:val="6"/>
          <w:sz w:val="30"/>
          <w:szCs w:val="30"/>
          <w:highlight w:val="none"/>
        </w:rPr>
        <w:t xml:space="preserve">             </w:t>
      </w:r>
      <w:r>
        <w:rPr>
          <w:rFonts w:hint="eastAsia" w:ascii="宋体" w:hAnsi="宋体"/>
          <w:sz w:val="24"/>
          <w:szCs w:val="21"/>
          <w:highlight w:val="none"/>
        </w:rPr>
        <w:t xml:space="preserve">     供应商全称（加盖CA电子公章）：</w:t>
      </w:r>
      <w:r/>
    </w:p>
    <w:p>
      <w:pPr>
        <w:ind w:right="1559" w:firstLine="480"/>
        <w:jc w:val="center"/>
        <w:spacing w:line="0" w:lineRule="atLeas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0" w:lineRule="atLeast"/>
        <w:rPr>
          <w:rFonts w:ascii="宋体" w:hAnsi="宋体"/>
          <w:b/>
          <w:sz w:val="24"/>
          <w:szCs w:val="24"/>
          <w:highlight w:val="none"/>
        </w:rPr>
      </w:pPr>
      <w:r>
        <w:rPr>
          <w:rFonts w:ascii="宋体" w:hAnsi="宋体"/>
          <w:b/>
          <w:sz w:val="24"/>
          <w:szCs w:val="24"/>
          <w:highlight w:val="none"/>
        </w:rPr>
      </w:r>
      <w:r/>
    </w:p>
    <w:p>
      <w:pPr>
        <w:spacing w:line="0" w:lineRule="atLeast"/>
        <w:rPr>
          <w:rFonts w:ascii="宋体" w:hAnsi="宋体"/>
          <w:b/>
          <w:sz w:val="24"/>
          <w:szCs w:val="24"/>
          <w:highlight w:val="none"/>
        </w:rPr>
      </w:pPr>
      <w:r>
        <w:rPr>
          <w:rFonts w:ascii="宋体" w:hAnsi="宋体"/>
          <w:b/>
          <w:sz w:val="24"/>
          <w:szCs w:val="24"/>
          <w:highlight w:val="none"/>
        </w:rPr>
      </w:r>
      <w:r/>
    </w:p>
    <w:p>
      <w:pPr>
        <w:jc w:val="center"/>
        <w:spacing w:line="0" w:lineRule="atLeast"/>
        <w:rPr>
          <w:rFonts w:ascii="宋体" w:hAnsi="宋体"/>
          <w:b/>
          <w:sz w:val="24"/>
          <w:szCs w:val="24"/>
          <w:highlight w:val="none"/>
        </w:rPr>
      </w:pPr>
      <w:r>
        <w:rPr>
          <w:rFonts w:ascii="宋体" w:hAnsi="宋体"/>
          <w:b/>
          <w:sz w:val="24"/>
          <w:szCs w:val="24"/>
          <w:highlight w:val="none"/>
        </w:rPr>
      </w:r>
      <w:r/>
    </w:p>
    <w:p>
      <w:pPr>
        <w:jc w:val="center"/>
        <w:spacing w:line="0" w:lineRule="atLeast"/>
        <w:rPr>
          <w:rFonts w:ascii="宋体" w:hAnsi="宋体"/>
          <w:b/>
          <w:sz w:val="24"/>
          <w:szCs w:val="24"/>
          <w:highlight w:val="none"/>
        </w:rPr>
      </w:pPr>
      <w:r>
        <w:rPr>
          <w:rFonts w:hint="eastAsia" w:ascii="宋体" w:hAnsi="宋体"/>
          <w:b/>
          <w:sz w:val="24"/>
          <w:szCs w:val="24"/>
          <w:highlight w:val="none"/>
        </w:rPr>
        <w:t xml:space="preserve">附件1</w:t>
      </w:r>
      <w:r>
        <w:rPr>
          <w:rFonts w:ascii="宋体" w:hAnsi="宋体"/>
          <w:b/>
          <w:sz w:val="24"/>
          <w:szCs w:val="24"/>
          <w:highlight w:val="none"/>
        </w:rPr>
        <w:t xml:space="preserve">0</w:t>
      </w:r>
      <w:r>
        <w:rPr>
          <w:rFonts w:hint="eastAsia" w:ascii="宋体" w:hAnsi="宋体"/>
          <w:b/>
          <w:sz w:val="24"/>
          <w:szCs w:val="24"/>
          <w:highlight w:val="none"/>
        </w:rPr>
        <w:t xml:space="preserve"> 联合体协议（参考格式）（采购包号：**）</w:t>
      </w:r>
      <w:r/>
    </w:p>
    <w:p>
      <w:pPr>
        <w:spacing w:line="0" w:lineRule="atLeast"/>
        <w:rPr>
          <w:rFonts w:ascii="宋体" w:hAnsi="宋体"/>
          <w:sz w:val="24"/>
          <w:szCs w:val="21"/>
          <w:highlight w:val="none"/>
        </w:rPr>
      </w:pPr>
      <w:r>
        <w:rPr>
          <w:rFonts w:hint="eastAsia" w:ascii="宋体" w:hAnsi="宋体"/>
          <w:sz w:val="24"/>
          <w:szCs w:val="21"/>
          <w:highlight w:val="none"/>
        </w:rPr>
        <w:t xml:space="preserve">（联合体中各供应商全称）在此达成以下协议：</w:t>
      </w:r>
      <w:r/>
    </w:p>
    <w:p>
      <w:pPr>
        <w:ind w:firstLine="645"/>
        <w:spacing w:line="0" w:lineRule="atLeas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自愿组成联合体，参加江苏省政府采购中心组织的采购编号为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项目（采购包号：**）的政府采购活动，我联合体指定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p>
    <w:p>
      <w:pPr>
        <w:ind w:firstLine="645"/>
        <w:spacing w:line="0" w:lineRule="atLeas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p>
    <w:p>
      <w:pPr>
        <w:ind w:firstLine="645"/>
        <w:spacing w:line="0" w:lineRule="atLeas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p>
    <w:p>
      <w:pPr>
        <w:ind w:firstLine="645"/>
        <w:jc w:val="right"/>
        <w:spacing w:line="0" w:lineRule="atLeast"/>
        <w:rPr>
          <w:rFonts w:ascii="宋体" w:hAnsi="宋体"/>
          <w:sz w:val="24"/>
          <w:szCs w:val="21"/>
          <w:highlight w:val="none"/>
        </w:rPr>
      </w:pPr>
      <w:r>
        <w:rPr>
          <w:rFonts w:ascii="宋体" w:hAnsi="宋体"/>
          <w:sz w:val="24"/>
          <w:szCs w:val="21"/>
          <w:highlight w:val="none"/>
        </w:rPr>
      </w:r>
      <w:r/>
    </w:p>
    <w:p>
      <w:pPr>
        <w:ind w:firstLine="645"/>
        <w:jc w:val="right"/>
        <w:spacing w:line="0" w:lineRule="atLeast"/>
        <w:rPr>
          <w:rFonts w:ascii="宋体" w:hAnsi="宋体"/>
          <w:sz w:val="24"/>
          <w:szCs w:val="21"/>
          <w:highlight w:val="none"/>
        </w:rPr>
      </w:pPr>
      <w:r>
        <w:rPr>
          <w:rFonts w:ascii="宋体" w:hAnsi="宋体"/>
          <w:sz w:val="24"/>
          <w:szCs w:val="21"/>
          <w:highlight w:val="none"/>
        </w:rPr>
      </w:r>
      <w:r/>
    </w:p>
    <w:p>
      <w:pPr>
        <w:ind w:firstLine="645"/>
        <w:jc w:val="right"/>
        <w:spacing w:line="0" w:lineRule="atLeas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p>
    <w:p>
      <w:pPr>
        <w:ind w:firstLine="645"/>
        <w:spacing w:line="0" w:lineRule="atLeas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r/>
    </w:p>
    <w:p>
      <w:pPr>
        <w:spacing w:line="0" w:lineRule="atLeast"/>
        <w:rPr>
          <w:rFonts w:ascii="宋体" w:hAnsi="宋体"/>
          <w:sz w:val="24"/>
          <w:szCs w:val="21"/>
          <w:highlight w:val="none"/>
        </w:rPr>
      </w:pPr>
      <w:r>
        <w:rPr>
          <w:rFonts w:ascii="宋体" w:hAnsi="宋体"/>
          <w:sz w:val="24"/>
          <w:szCs w:val="21"/>
          <w:highlight w:val="none"/>
        </w:rPr>
      </w:r>
      <w:r/>
    </w:p>
    <w:p>
      <w:pPr>
        <w:ind w:firstLine="645"/>
        <w:spacing w:line="0" w:lineRule="atLeast"/>
        <w:rPr>
          <w:rFonts w:ascii="宋体" w:hAnsi="宋体"/>
          <w:b/>
          <w:color w:val="000000"/>
          <w:sz w:val="24"/>
          <w:szCs w:val="24"/>
          <w:highlight w:val="none"/>
        </w:rPr>
      </w:pPr>
      <w:r>
        <w:rPr>
          <w:rFonts w:hint="eastAsia" w:ascii="宋体" w:hAnsi="宋体"/>
          <w:sz w:val="24"/>
          <w:szCs w:val="21"/>
          <w:highlight w:val="none"/>
        </w:rPr>
        <w:t xml:space="preserve">备注：本谈判文件中要求加盖CA</w:t>
      </w:r>
      <w:r>
        <w:rPr>
          <w:rFonts w:hint="eastAsia" w:ascii="宋体" w:hAnsi="宋体"/>
          <w:sz w:val="24"/>
          <w:szCs w:val="24"/>
          <w:highlight w:val="none"/>
        </w:rPr>
        <w:t xml:space="preserve">电子公章</w:t>
      </w:r>
      <w:r>
        <w:rPr>
          <w:rFonts w:hint="eastAsia" w:ascii="宋体" w:hAnsi="宋体"/>
          <w:sz w:val="24"/>
          <w:szCs w:val="21"/>
          <w:highlight w:val="none"/>
        </w:rPr>
        <w:t xml:space="preserve">的地方，仅需加盖牵头单位的</w:t>
      </w:r>
      <w:r>
        <w:rPr>
          <w:rFonts w:hint="eastAsia" w:ascii="宋体" w:hAnsi="宋体"/>
          <w:sz w:val="24"/>
          <w:szCs w:val="24"/>
          <w:highlight w:val="none"/>
        </w:rPr>
        <w:t xml:space="preserve">CA电子公章</w:t>
      </w:r>
      <w:r>
        <w:rPr>
          <w:rFonts w:hint="eastAsia" w:ascii="宋体" w:hAnsi="宋体"/>
          <w:sz w:val="24"/>
          <w:szCs w:val="21"/>
          <w:highlight w:val="none"/>
        </w:rPr>
        <w:t xml:space="preserve">。</w:t>
      </w:r>
      <w:r/>
    </w:p>
    <w:p>
      <w:pPr>
        <w:jc w:val="center"/>
        <w:rPr>
          <w:rFonts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11 </w:t>
      </w:r>
      <w:r>
        <w:rPr>
          <w:rFonts w:hint="eastAsia" w:ascii="宋体" w:hAnsi="宋体"/>
          <w:b/>
          <w:color w:val="000000"/>
          <w:sz w:val="24"/>
          <w:szCs w:val="24"/>
          <w:highlight w:val="none"/>
        </w:rPr>
        <w:t xml:space="preserve">实质性要求响应及偏离表（采购包号：**）</w:t>
      </w:r>
      <w:r/>
    </w:p>
    <w:tbl>
      <w:tblPr>
        <w:tblStyle w:val="7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1"/>
                <w:highlight w:val="none"/>
              </w:rPr>
              <w:t xml:space="preserve">谈判文件（含技术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ascii="宋体" w:hAnsi="宋体"/>
                <w:color w:val="000000"/>
                <w:sz w:val="24"/>
                <w:szCs w:val="24"/>
                <w:highlight w:val="none"/>
              </w:rPr>
              <w:t xml:space="preserve">的实质性要求</w:t>
            </w:r>
            <w:r>
              <w:rPr>
                <w:rFonts w:hint="eastAsia" w:ascii="宋体" w:hAnsi="宋体"/>
                <w:b/>
                <w:bCs/>
                <w:color w:val="000000"/>
                <w:sz w:val="24"/>
                <w:szCs w:val="21"/>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w:t>
            </w:r>
            <w:r/>
          </w:p>
        </w:tc>
        <w:tc>
          <w:tcPr>
            <w:tcW w:w="3317"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1526"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3609" w:type="dxa"/>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3317" w:type="dxa"/>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526" w:type="dxa"/>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3609" w:type="dxa"/>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3317" w:type="dxa"/>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526" w:type="dxa"/>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3609" w:type="dxa"/>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w:t>
            </w:r>
            <w:r/>
          </w:p>
        </w:tc>
        <w:tc>
          <w:tcPr>
            <w:tcW w:w="3317" w:type="dxa"/>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526" w:type="dxa"/>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bl>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11-1 </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p>
    <w:p>
      <w:pPr>
        <w:spacing w:line="400" w:lineRule="exact"/>
        <w:rPr>
          <w:rFonts w:ascii="宋体" w:hAnsi="宋体"/>
          <w:color w:val="000000"/>
          <w:sz w:val="24"/>
          <w:szCs w:val="24"/>
          <w:highlight w:val="none"/>
        </w:rPr>
      </w:pPr>
      <w:r>
        <w:rPr>
          <w:rFonts w:ascii="宋体" w:hAnsi="宋体"/>
          <w:color w:val="000000"/>
          <w:sz w:val="24"/>
          <w:szCs w:val="24"/>
          <w:highlight w:val="none"/>
        </w:rPr>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ascii="宋体" w:hAnsi="宋体"/>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对</w:t>
      </w:r>
      <w:r>
        <w:rPr>
          <w:rFonts w:hint="eastAsia" w:ascii="宋体" w:hAnsi="宋体"/>
          <w:color w:val="000000"/>
          <w:sz w:val="24"/>
          <w:szCs w:val="21"/>
          <w:highlight w:val="none"/>
        </w:rPr>
        <w:t xml:space="preserve">谈判文件（含技术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ascii="宋体" w:hAnsi="宋体"/>
          <w:color w:val="000000"/>
          <w:sz w:val="24"/>
          <w:szCs w:val="24"/>
          <w:highlight w:val="none"/>
        </w:rPr>
        <w:t xml:space="preserve">的</w:t>
      </w:r>
      <w:r>
        <w:rPr>
          <w:rFonts w:ascii="宋体" w:hAnsi="宋体"/>
          <w:sz w:val="24"/>
          <w:szCs w:val="24"/>
          <w:highlight w:val="none"/>
        </w:rPr>
        <w:t xml:space="preserve">实质性要求</w:t>
      </w:r>
      <w:r>
        <w:rPr>
          <w:rFonts w:hint="eastAsia" w:ascii="宋体" w:hAnsi="宋体"/>
          <w:b/>
          <w:bCs/>
          <w:sz w:val="24"/>
          <w:szCs w:val="21"/>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szCs w:val="21"/>
          <w:highlight w:val="none"/>
        </w:rPr>
        <w:t xml:space="preserve">否则做无效响应处理</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w:t>
      </w:r>
      <w:r>
        <w:rPr>
          <w:rFonts w:ascii="宋体" w:hAnsi="宋体"/>
          <w:sz w:val="24"/>
          <w:szCs w:val="24"/>
          <w:highlight w:val="none"/>
        </w:rPr>
        <w:t xml:space="preserve">谈判要求提供</w:t>
      </w:r>
      <w:r>
        <w:rPr>
          <w:rFonts w:hint="eastAsia" w:ascii="宋体" w:hAnsi="宋体"/>
          <w:sz w:val="24"/>
          <w:szCs w:val="24"/>
          <w:highlight w:val="none"/>
        </w:rPr>
        <w:t xml:space="preserve">证明</w:t>
      </w:r>
      <w:r>
        <w:rPr>
          <w:rFonts w:ascii="宋体" w:hAnsi="宋体"/>
          <w:sz w:val="24"/>
          <w:szCs w:val="24"/>
          <w:highlight w:val="none"/>
        </w:rPr>
        <w:t xml:space="preserve">材料，供应商必须将</w:t>
      </w:r>
      <w:r>
        <w:rPr>
          <w:rFonts w:hint="eastAsia" w:ascii="宋体" w:hAnsi="宋体"/>
          <w:sz w:val="24"/>
          <w:szCs w:val="24"/>
          <w:highlight w:val="none"/>
        </w:rPr>
        <w:t xml:space="preserve">证明材料列于</w:t>
      </w:r>
      <w:r>
        <w:rPr>
          <w:rFonts w:ascii="宋体" w:hAnsi="宋体"/>
          <w:sz w:val="24"/>
          <w:szCs w:val="24"/>
          <w:highlight w:val="none"/>
        </w:rPr>
        <w:t xml:space="preserve">该表之下。</w:t>
      </w:r>
      <w:r/>
    </w:p>
    <w:p>
      <w:pPr>
        <w:spacing w:line="400" w:lineRule="exact"/>
        <w:rPr>
          <w:rFonts w:ascii="宋体" w:hAnsi="宋体"/>
          <w:sz w:val="24"/>
          <w:szCs w:val="24"/>
          <w:highlight w:val="none"/>
        </w:rPr>
      </w:pPr>
      <w:r>
        <w:rPr>
          <w:rFonts w:hint="eastAsia" w:ascii="宋体" w:hAnsi="宋体"/>
          <w:sz w:val="24"/>
          <w:szCs w:val="24"/>
          <w:highlight w:val="none"/>
        </w:rPr>
        <w:t xml:space="preserve">3.供应商未对实质性要求逐条作出明确响应的，或未按谈判文件要求提供证明材料的，该采购包作无效响应处理。</w:t>
      </w:r>
      <w:bookmarkEnd w:id="166"/>
      <w:r/>
      <w:bookmarkEnd w:id="167"/>
      <w:r/>
      <w:bookmarkEnd w:id="176"/>
      <w:r/>
      <w:r/>
    </w:p>
    <w:p>
      <w:pPr>
        <w:rPr>
          <w:rFonts w:ascii="宋体" w:hAnsi="宋体" w:cs="仿宋"/>
          <w:b/>
          <w:bCs/>
          <w:sz w:val="32"/>
          <w:szCs w:val="32"/>
          <w:highlight w:val="none"/>
        </w:rPr>
      </w:pPr>
      <w:r>
        <w:rPr>
          <w:rFonts w:ascii="宋体" w:hAnsi="宋体" w:cs="仿宋"/>
          <w:b/>
          <w:bCs/>
          <w:sz w:val="32"/>
          <w:szCs w:val="32"/>
          <w:highlight w:val="none"/>
        </w:rPr>
      </w:r>
      <w:r/>
    </w:p>
    <w:p>
      <w:pPr>
        <w:rPr>
          <w:rFonts w:ascii="宋体" w:hAnsi="宋体" w:cs="仿宋"/>
          <w:b/>
          <w:bCs/>
          <w:sz w:val="32"/>
          <w:szCs w:val="32"/>
          <w:highlight w:val="none"/>
        </w:rPr>
      </w:pPr>
      <w:r>
        <w:rPr>
          <w:rFonts w:ascii="宋体" w:hAnsi="宋体" w:cs="仿宋"/>
          <w:b/>
          <w:bCs/>
          <w:sz w:val="32"/>
          <w:szCs w:val="32"/>
          <w:highlight w:val="none"/>
        </w:rPr>
      </w:r>
      <w:r/>
    </w:p>
    <w:p>
      <w:pPr>
        <w:rPr>
          <w:rFonts w:ascii="宋体" w:hAnsi="宋体" w:cs="仿宋"/>
          <w:b/>
          <w:bCs/>
          <w:sz w:val="32"/>
          <w:szCs w:val="32"/>
          <w:highlight w:val="none"/>
        </w:rPr>
      </w:pPr>
      <w:r>
        <w:rPr>
          <w:rFonts w:ascii="宋体" w:hAnsi="宋体" w:cs="仿宋"/>
          <w:b/>
          <w:bCs/>
          <w:sz w:val="32"/>
          <w:szCs w:val="32"/>
          <w:highlight w:val="none"/>
        </w:rPr>
      </w:r>
      <w:r/>
    </w:p>
    <w:p>
      <w:pPr>
        <w:rPr>
          <w:rFonts w:ascii="宋体" w:hAnsi="宋体" w:cs="仿宋"/>
          <w:b/>
          <w:bCs/>
          <w:sz w:val="32"/>
          <w:szCs w:val="32"/>
          <w:highlight w:val="none"/>
        </w:rPr>
      </w:pPr>
      <w:r>
        <w:rPr>
          <w:rFonts w:ascii="宋体" w:hAnsi="宋体" w:cs="仿宋"/>
          <w:b/>
          <w:bCs/>
          <w:sz w:val="32"/>
          <w:szCs w:val="32"/>
          <w:highlight w:val="none"/>
        </w:rPr>
      </w:r>
      <w:r/>
    </w:p>
    <w:p>
      <w:pPr>
        <w:rPr>
          <w:rFonts w:ascii="宋体" w:hAnsi="宋体" w:cs="仿宋"/>
          <w:b/>
          <w:bCs/>
          <w:sz w:val="32"/>
          <w:szCs w:val="32"/>
          <w:highlight w:val="none"/>
        </w:rPr>
      </w:pPr>
      <w:r>
        <w:rPr>
          <w:rFonts w:ascii="宋体" w:hAnsi="宋体" w:cs="仿宋"/>
          <w:b/>
          <w:bCs/>
          <w:sz w:val="32"/>
          <w:szCs w:val="32"/>
          <w:highlight w:val="none"/>
        </w:rPr>
      </w:r>
      <w:r/>
    </w:p>
    <w:p>
      <w:pPr>
        <w:rPr>
          <w:rFonts w:ascii="宋体" w:hAnsi="宋体" w:cs="仿宋"/>
          <w:b/>
          <w:bCs/>
          <w:sz w:val="32"/>
          <w:szCs w:val="32"/>
          <w:highlight w:val="none"/>
        </w:rPr>
      </w:pPr>
      <w:r>
        <w:rPr>
          <w:rFonts w:ascii="宋体" w:hAnsi="宋体" w:cs="仿宋"/>
          <w:b/>
          <w:bCs/>
          <w:sz w:val="32"/>
          <w:szCs w:val="32"/>
          <w:highlight w:val="none"/>
        </w:rPr>
      </w:r>
      <w:r/>
    </w:p>
    <w:p>
      <w:pPr>
        <w:rPr>
          <w:rFonts w:ascii="宋体" w:hAnsi="宋体" w:cs="仿宋"/>
          <w:b/>
          <w:bCs/>
          <w:sz w:val="32"/>
          <w:szCs w:val="32"/>
          <w:highlight w:val="none"/>
        </w:rPr>
      </w:pPr>
      <w:r>
        <w:rPr>
          <w:rFonts w:ascii="宋体" w:hAnsi="宋体" w:cs="仿宋"/>
          <w:b/>
          <w:bCs/>
          <w:sz w:val="32"/>
          <w:szCs w:val="32"/>
          <w:highlight w:val="none"/>
        </w:rPr>
      </w:r>
      <w:r/>
    </w:p>
    <w:p>
      <w:pPr>
        <w:rPr>
          <w:rFonts w:ascii="宋体" w:hAnsi="宋体" w:cs="仿宋"/>
          <w:b/>
          <w:bCs/>
          <w:sz w:val="32"/>
          <w:szCs w:val="32"/>
          <w:highlight w:val="none"/>
        </w:rPr>
      </w:pPr>
      <w:r>
        <w:rPr>
          <w:rFonts w:ascii="宋体" w:hAnsi="宋体" w:cs="仿宋"/>
          <w:b/>
          <w:bCs/>
          <w:sz w:val="32"/>
          <w:szCs w:val="32"/>
          <w:highlight w:val="none"/>
        </w:rPr>
      </w:r>
      <w:r/>
    </w:p>
    <w:p>
      <w:pPr>
        <w:rPr>
          <w:rFonts w:ascii="宋体" w:hAnsi="宋体" w:cs="仿宋"/>
          <w:b/>
          <w:bCs/>
          <w:sz w:val="32"/>
          <w:szCs w:val="32"/>
          <w:highlight w:val="none"/>
        </w:rPr>
      </w:pPr>
      <w:r>
        <w:rPr>
          <w:rFonts w:ascii="宋体" w:hAnsi="宋体" w:cs="仿宋"/>
          <w:b/>
          <w:bCs/>
          <w:sz w:val="32"/>
          <w:szCs w:val="32"/>
          <w:highlight w:val="none"/>
        </w:rPr>
      </w:r>
      <w:r/>
    </w:p>
    <w:p>
      <w:pPr>
        <w:rPr>
          <w:rFonts w:ascii="宋体" w:hAnsi="宋体" w:cs="仿宋"/>
          <w:b/>
          <w:bCs/>
          <w:sz w:val="32"/>
          <w:szCs w:val="32"/>
          <w:highlight w:val="none"/>
        </w:rPr>
      </w:pPr>
      <w:r>
        <w:rPr>
          <w:rFonts w:ascii="宋体" w:hAnsi="宋体" w:cs="仿宋"/>
          <w:b/>
          <w:bCs/>
          <w:sz w:val="32"/>
          <w:szCs w:val="32"/>
          <w:highlight w:val="none"/>
        </w:rPr>
      </w:r>
      <w:r/>
    </w:p>
    <w:p>
      <w:pP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hint="eastAsia" w:ascii="宋体" w:hAnsi="宋体" w:cs="仿宋"/>
          <w:b/>
          <w:bCs/>
          <w:sz w:val="32"/>
          <w:szCs w:val="32"/>
          <w:highlight w:val="none"/>
        </w:rPr>
        <w:t xml:space="preserve">质疑函范本</w:t>
      </w:r>
      <w:r/>
    </w:p>
    <w:p>
      <w:pPr>
        <w:spacing w:before="312"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ascii="宋体" w:hAnsi="宋体"/>
          <w:sz w:val="24"/>
          <w:szCs w:val="24"/>
          <w:highlight w:val="none"/>
        </w:rPr>
      </w:pPr>
      <w:r>
        <w:rPr>
          <w:rFonts w:hint="eastAsia" w:ascii="宋体" w:hAnsi="宋体"/>
          <w:sz w:val="24"/>
          <w:szCs w:val="24"/>
          <w:highlight w:val="none"/>
        </w:rPr>
        <w:t xml:space="preserve">签字(签章)：                   公章：                      </w:t>
      </w:r>
      <w:r/>
    </w:p>
    <w:p>
      <w:pPr>
        <w:rPr>
          <w:rFonts w:ascii="宋体" w:hAnsi="宋体"/>
          <w:sz w:val="24"/>
          <w:szCs w:val="24"/>
          <w:highlight w:val="none"/>
        </w:rPr>
      </w:pPr>
      <w:r>
        <w:rPr>
          <w:rFonts w:hint="eastAsia" w:ascii="宋体" w:hAnsi="宋体"/>
          <w:sz w:val="24"/>
          <w:szCs w:val="24"/>
          <w:highlight w:val="none"/>
        </w:rPr>
        <w:t xml:space="preserve">日期：    </w:t>
      </w:r>
      <w:r/>
    </w:p>
    <w:p>
      <w:pPr>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bookmarkEnd w:id="177"/>
      <w:r/>
      <w:r/>
    </w:p>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仿宋">
    <w:panose1 w:val="02010609060101010101"/>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fldChar w:fldCharType="begin"/>
    </w:r>
    <w:r>
      <w:instrText xml:space="preserve">PAGE   \* MERGEFORMAT</w:instrText>
    </w:r>
    <w:r>
      <w:fldChar w:fldCharType="separate"/>
    </w:r>
    <w:r>
      <w:rPr>
        <w:lang w:val="zh-CN"/>
      </w:rPr>
      <w:t xml:space="preserve">22</w:t>
    </w:r>
    <w:r>
      <w:fldChar w:fldCharType="end"/>
    </w:r>
    <w:r/>
  </w:p>
  <w:p>
    <w:pPr>
      <w:pStyle w:val="7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rPr>
        <w:rStyle w:val="782"/>
        <w:rFonts w:ascii="宋体" w:hAnsi="宋体"/>
      </w:rPr>
      <w:framePr w:wrap="around" w:vAnchor="text" w:hAnchor="margin" w:xAlign="center" w:y="1"/>
    </w:pPr>
    <w:r>
      <w:rPr>
        <w:rFonts w:ascii="宋体" w:hAnsi="宋体"/>
      </w:rPr>
      <w:fldChar w:fldCharType="begin"/>
    </w:r>
    <w:r>
      <w:rPr>
        <w:rStyle w:val="782"/>
        <w:rFonts w:ascii="宋体" w:hAnsi="宋体"/>
      </w:rPr>
      <w:instrText xml:space="preserve">PAGE  </w:instrText>
    </w:r>
    <w:r>
      <w:rPr>
        <w:rFonts w:ascii="宋体" w:hAnsi="宋体"/>
      </w:rPr>
      <w:fldChar w:fldCharType="separate"/>
    </w:r>
    <w:r>
      <w:rPr>
        <w:rStyle w:val="782"/>
        <w:rFonts w:ascii="宋体" w:hAnsi="宋体"/>
      </w:rPr>
      <w:t xml:space="preserve">23</w:t>
    </w:r>
    <w:r>
      <w:rPr>
        <w:rFonts w:ascii="宋体" w:hAnsi="宋体"/>
      </w:rPr>
      <w:fldChar w:fldCharType="end"/>
    </w:r>
    <w:r/>
  </w:p>
  <w:p>
    <w:pPr>
      <w:pStyle w:val="762"/>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rPr>
        <w:rStyle w:val="782"/>
      </w:rPr>
      <w:framePr w:wrap="around" w:vAnchor="text" w:hAnchor="margin" w:xAlign="center" w:y="1"/>
    </w:pPr>
    <w:r>
      <w:fldChar w:fldCharType="begin"/>
    </w:r>
    <w:r>
      <w:rPr>
        <w:rStyle w:val="782"/>
      </w:rPr>
      <w:instrText xml:space="preserve">PAGE  </w:instrText>
    </w:r>
    <w:r>
      <w:fldChar w:fldCharType="separate"/>
    </w:r>
    <w:r>
      <w:rPr>
        <w:rStyle w:val="782"/>
      </w:rPr>
      <w:t xml:space="preserve">1</w:t>
    </w:r>
    <w:r>
      <w:fldChar w:fldCharType="end"/>
    </w:r>
    <w:r/>
  </w:p>
  <w:p>
    <w:pPr>
      <w:pStyle w:val="7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8"/>
      <w:isLgl w:val="false"/>
      <w:suff w:val="nothing"/>
      <w:lvlText w:val=""/>
      <w:lvlJc w:val="left"/>
      <w:pPr>
        <w:ind w:left="0" w:firstLine="0"/>
      </w:pPr>
      <w:rPr>
        <w:rFonts w:hint="eastAsia"/>
      </w:rPr>
    </w:lvl>
    <w:lvl w:ilvl="6">
      <w:start w:val="1"/>
      <w:numFmt w:val="decimal"/>
      <w:pStyle w:val="739"/>
      <w:isLgl w:val="false"/>
      <w:suff w:val="nothing"/>
      <w:lvlText w:val=""/>
      <w:lvlJc w:val="left"/>
      <w:pPr>
        <w:ind w:left="0" w:firstLine="0"/>
      </w:pPr>
      <w:rPr>
        <w:rFonts w:hint="eastAsia"/>
      </w:rPr>
    </w:lvl>
    <w:lvl w:ilvl="7">
      <w:start w:val="1"/>
      <w:numFmt w:val="decimal"/>
      <w:pStyle w:val="740"/>
      <w:isLgl w:val="false"/>
      <w:suff w:val="nothing"/>
      <w:lvlText w:val=""/>
      <w:lvlJc w:val="left"/>
      <w:pPr>
        <w:ind w:left="0" w:firstLine="0"/>
      </w:pPr>
      <w:rPr>
        <w:rFonts w:hint="eastAsia"/>
      </w:rPr>
    </w:lvl>
    <w:lvl w:ilvl="8">
      <w:start w:val="1"/>
      <w:numFmt w:val="decimal"/>
      <w:pStyle w:val="741"/>
      <w:isLgl w:val="false"/>
      <w:suff w:val="nothing"/>
      <w:lvlText w:val=""/>
      <w:lvlJc w:val="left"/>
      <w:pPr>
        <w:ind w:left="0" w:firstLine="0"/>
      </w:pPr>
      <w:rPr>
        <w:rFonts w:hint="eastAsia"/>
      </w:rPr>
    </w:lvl>
  </w:abstractNum>
  <w:abstractNum w:abstractNumId="8">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9"/>
  </w:num>
  <w:num w:numId="4">
    <w:abstractNumId w:val="6"/>
  </w:num>
  <w:num w:numId="5">
    <w:abstractNumId w:val="3"/>
  </w:num>
  <w:num w:numId="6">
    <w:abstractNumId w:val="13"/>
  </w:num>
  <w:num w:numId="7">
    <w:abstractNumId w:val="1"/>
  </w:num>
  <w:num w:numId="8">
    <w:abstractNumId w:val="12"/>
  </w:num>
  <w:num w:numId="9">
    <w:abstractNumId w:val="5"/>
  </w:num>
  <w:num w:numId="10">
    <w:abstractNumId w:val="10"/>
  </w:num>
  <w:num w:numId="11">
    <w:abstractNumId w:val="11"/>
  </w:num>
  <w:num w:numId="12">
    <w:abstractNumId w:val="4"/>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Title Char"/>
    <w:basedOn w:val="742"/>
    <w:link w:val="777"/>
    <w:uiPriority w:val="10"/>
    <w:rPr>
      <w:sz w:val="48"/>
      <w:szCs w:val="48"/>
    </w:rPr>
  </w:style>
  <w:style w:type="character" w:styleId="727">
    <w:name w:val="Subtitle Char"/>
    <w:basedOn w:val="742"/>
    <w:link w:val="766"/>
    <w:uiPriority w:val="11"/>
    <w:rPr>
      <w:sz w:val="24"/>
      <w:szCs w:val="24"/>
    </w:rPr>
  </w:style>
  <w:style w:type="character" w:styleId="728">
    <w:name w:val="Quote Char"/>
    <w:link w:val="799"/>
    <w:uiPriority w:val="29"/>
    <w:rPr>
      <w:i/>
    </w:rPr>
  </w:style>
  <w:style w:type="character" w:styleId="729">
    <w:name w:val="Intense Quote Char"/>
    <w:link w:val="801"/>
    <w:uiPriority w:val="30"/>
    <w:rPr>
      <w:i/>
    </w:rPr>
  </w:style>
  <w:style w:type="character" w:styleId="730">
    <w:name w:val="Footnote Text Char"/>
    <w:link w:val="768"/>
    <w:uiPriority w:val="99"/>
    <w:rPr>
      <w:sz w:val="18"/>
    </w:rPr>
  </w:style>
  <w:style w:type="character" w:styleId="731">
    <w:name w:val="Endnote Text Char"/>
    <w:link w:val="760"/>
    <w:uiPriority w:val="99"/>
    <w:rPr>
      <w:sz w:val="20"/>
    </w:rPr>
  </w:style>
  <w:style w:type="paragraph" w:styleId="73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33">
    <w:name w:val="Heading 1"/>
    <w:basedOn w:val="732"/>
    <w:next w:val="732"/>
    <w:link w:val="934"/>
    <w:uiPriority w:val="0"/>
    <w:qFormat/>
    <w:pPr>
      <w:jc w:val="center"/>
      <w:keepNext/>
      <w:outlineLvl w:val="0"/>
    </w:pPr>
    <w:rPr>
      <w:rFonts w:ascii="楷体_GB2312" w:hAnsi="Times New Roman" w:eastAsia="楷体_GB2312"/>
      <w:sz w:val="28"/>
      <w:szCs w:val="28"/>
    </w:rPr>
  </w:style>
  <w:style w:type="paragraph" w:styleId="734">
    <w:name w:val="Heading 2"/>
    <w:basedOn w:val="732"/>
    <w:next w:val="744"/>
    <w:link w:val="93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5">
    <w:name w:val="Heading 3"/>
    <w:basedOn w:val="732"/>
    <w:next w:val="744"/>
    <w:link w:val="937"/>
    <w:uiPriority w:val="0"/>
    <w:qFormat/>
    <w:pPr>
      <w:keepLines/>
      <w:keepNext/>
      <w:spacing w:before="260" w:after="260" w:line="416" w:lineRule="auto"/>
      <w:outlineLvl w:val="2"/>
    </w:pPr>
    <w:rPr>
      <w:rFonts w:ascii="Times New Roman" w:hAnsi="Times New Roman"/>
      <w:b/>
      <w:bCs/>
      <w:sz w:val="32"/>
      <w:szCs w:val="32"/>
    </w:rPr>
  </w:style>
  <w:style w:type="paragraph" w:styleId="736">
    <w:name w:val="Heading 4"/>
    <w:basedOn w:val="732"/>
    <w:next w:val="744"/>
    <w:link w:val="938"/>
    <w:uiPriority w:val="0"/>
    <w:qFormat/>
    <w:pPr>
      <w:keepLines/>
      <w:keepNext/>
      <w:spacing w:before="280" w:after="290" w:line="376" w:lineRule="auto"/>
      <w:outlineLvl w:val="3"/>
    </w:pPr>
    <w:rPr>
      <w:rFonts w:ascii="Arial" w:hAnsi="Arial" w:eastAsia="黑体" w:cs="Arial"/>
      <w:b/>
      <w:bCs/>
      <w:sz w:val="28"/>
      <w:szCs w:val="28"/>
    </w:rPr>
  </w:style>
  <w:style w:type="paragraph" w:styleId="737">
    <w:name w:val="Heading 5"/>
    <w:basedOn w:val="732"/>
    <w:next w:val="744"/>
    <w:link w:val="939"/>
    <w:uiPriority w:val="0"/>
    <w:qFormat/>
    <w:pPr>
      <w:keepNext/>
      <w:outlineLvl w:val="4"/>
    </w:pPr>
    <w:rPr>
      <w:rFonts w:ascii="宋体" w:hAnsi="Times New Roman"/>
      <w:color w:val="000000"/>
      <w:sz w:val="28"/>
      <w:szCs w:val="28"/>
    </w:rPr>
  </w:style>
  <w:style w:type="paragraph" w:styleId="738">
    <w:name w:val="Heading 6"/>
    <w:basedOn w:val="732"/>
    <w:next w:val="732"/>
    <w:link w:val="94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9">
    <w:name w:val="Heading 7"/>
    <w:basedOn w:val="732"/>
    <w:next w:val="732"/>
    <w:link w:val="941"/>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40">
    <w:name w:val="Heading 8"/>
    <w:basedOn w:val="732"/>
    <w:next w:val="732"/>
    <w:link w:val="9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41">
    <w:name w:val="Heading 9"/>
    <w:basedOn w:val="732"/>
    <w:next w:val="732"/>
    <w:link w:val="943"/>
    <w:uiPriority w:val="0"/>
    <w:qFormat/>
    <w:pPr>
      <w:numPr>
        <w:ilvl w:val="8"/>
        <w:numId w:val="1"/>
      </w:numPr>
      <w:keepLines/>
      <w:keepNext/>
      <w:spacing w:before="240" w:after="64" w:line="320" w:lineRule="auto"/>
      <w:outlineLvl w:val="8"/>
    </w:pPr>
    <w:rPr>
      <w:rFonts w:ascii="Arial" w:hAnsi="Arial" w:eastAsia="黑体"/>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Normal Indent"/>
    <w:basedOn w:val="732"/>
    <w:link w:val="936"/>
    <w:uiPriority w:val="0"/>
    <w:qFormat/>
    <w:pPr>
      <w:ind w:firstLine="420"/>
    </w:pPr>
    <w:rPr>
      <w:szCs w:val="21"/>
    </w:rPr>
  </w:style>
  <w:style w:type="paragraph" w:styleId="745">
    <w:name w:val="List 3"/>
    <w:basedOn w:val="732"/>
    <w:uiPriority w:val="0"/>
    <w:qFormat/>
    <w:pPr>
      <w:ind w:left="100" w:hanging="200"/>
    </w:pPr>
    <w:rPr>
      <w:rFonts w:ascii="Times New Roman" w:hAnsi="Times New Roman"/>
      <w:szCs w:val="21"/>
    </w:rPr>
  </w:style>
  <w:style w:type="paragraph" w:styleId="746">
    <w:name w:val="toc 7"/>
    <w:basedOn w:val="732"/>
    <w:next w:val="732"/>
    <w:uiPriority w:val="39"/>
    <w:unhideWhenUsed/>
    <w:qFormat/>
    <w:pPr>
      <w:ind w:left="1701"/>
      <w:spacing w:after="57"/>
    </w:pPr>
  </w:style>
  <w:style w:type="paragraph" w:styleId="747">
    <w:name w:val="Caption"/>
    <w:basedOn w:val="732"/>
    <w:next w:val="732"/>
    <w:uiPriority w:val="35"/>
    <w:semiHidden/>
    <w:unhideWhenUsed/>
    <w:qFormat/>
    <w:pPr>
      <w:spacing w:line="276" w:lineRule="auto"/>
    </w:pPr>
    <w:rPr>
      <w:b/>
      <w:bCs/>
      <w:color w:val="4f81bd"/>
      <w:sz w:val="18"/>
      <w:szCs w:val="18"/>
    </w:rPr>
  </w:style>
  <w:style w:type="paragraph" w:styleId="748">
    <w:name w:val="Document Map"/>
    <w:basedOn w:val="732"/>
    <w:link w:val="945"/>
    <w:uiPriority w:val="0"/>
    <w:semiHidden/>
    <w:qFormat/>
    <w:pPr>
      <w:shd w:val="clear" w:color="auto" w:fill="000080"/>
    </w:pPr>
    <w:rPr>
      <w:rFonts w:ascii="Times New Roman" w:hAnsi="Times New Roman"/>
      <w:szCs w:val="21"/>
    </w:rPr>
  </w:style>
  <w:style w:type="paragraph" w:styleId="749">
    <w:name w:val="annotation text"/>
    <w:basedOn w:val="732"/>
    <w:link w:val="946"/>
    <w:uiPriority w:val="0"/>
    <w:unhideWhenUsed/>
    <w:qFormat/>
    <w:pPr>
      <w:jc w:val="left"/>
    </w:pPr>
  </w:style>
  <w:style w:type="paragraph" w:styleId="750">
    <w:name w:val="Body Text 3"/>
    <w:basedOn w:val="732"/>
    <w:link w:val="947"/>
    <w:uiPriority w:val="0"/>
    <w:qFormat/>
    <w:rPr>
      <w:rFonts w:ascii="仿宋_GB2312" w:hAnsi="Arial" w:eastAsia="仿宋_GB2312"/>
      <w:sz w:val="32"/>
      <w:szCs w:val="32"/>
    </w:rPr>
  </w:style>
  <w:style w:type="paragraph" w:styleId="751">
    <w:name w:val="Body Text"/>
    <w:basedOn w:val="732"/>
    <w:link w:val="948"/>
    <w:uiPriority w:val="0"/>
    <w:qFormat/>
    <w:rPr>
      <w:rFonts w:ascii="楷体_GB2312" w:hAnsi="Arial" w:eastAsia="楷体_GB2312"/>
      <w:sz w:val="28"/>
      <w:szCs w:val="28"/>
    </w:rPr>
  </w:style>
  <w:style w:type="paragraph" w:styleId="752">
    <w:name w:val="Body Text Indent"/>
    <w:basedOn w:val="732"/>
    <w:link w:val="949"/>
    <w:uiPriority w:val="0"/>
    <w:unhideWhenUsed/>
    <w:qFormat/>
    <w:pPr>
      <w:ind w:left="420"/>
      <w:spacing w:after="120"/>
    </w:pPr>
  </w:style>
  <w:style w:type="paragraph" w:styleId="753">
    <w:name w:val="List 2"/>
    <w:basedOn w:val="732"/>
    <w:uiPriority w:val="0"/>
    <w:qFormat/>
    <w:pPr>
      <w:ind w:left="100" w:hanging="200"/>
    </w:pPr>
    <w:rPr>
      <w:rFonts w:ascii="Times New Roman" w:hAnsi="Times New Roman"/>
      <w:szCs w:val="21"/>
    </w:rPr>
  </w:style>
  <w:style w:type="paragraph" w:styleId="754">
    <w:name w:val="toc 5"/>
    <w:basedOn w:val="732"/>
    <w:next w:val="732"/>
    <w:uiPriority w:val="39"/>
    <w:unhideWhenUsed/>
    <w:qFormat/>
    <w:pPr>
      <w:ind w:left="1134"/>
      <w:spacing w:after="57"/>
    </w:pPr>
  </w:style>
  <w:style w:type="paragraph" w:styleId="755">
    <w:name w:val="toc 3"/>
    <w:basedOn w:val="732"/>
    <w:next w:val="732"/>
    <w:uiPriority w:val="39"/>
    <w:unhideWhenUsed/>
    <w:qFormat/>
    <w:pPr>
      <w:ind w:left="567"/>
      <w:spacing w:after="57"/>
    </w:pPr>
  </w:style>
  <w:style w:type="paragraph" w:styleId="756">
    <w:name w:val="Plain Text"/>
    <w:basedOn w:val="732"/>
    <w:link w:val="952"/>
    <w:uiPriority w:val="0"/>
    <w:qFormat/>
    <w:rPr>
      <w:rFonts w:ascii="宋体" w:hAnsi="Courier New" w:cs="Courier New"/>
      <w:szCs w:val="21"/>
    </w:rPr>
  </w:style>
  <w:style w:type="paragraph" w:styleId="757">
    <w:name w:val="toc 8"/>
    <w:basedOn w:val="732"/>
    <w:next w:val="732"/>
    <w:uiPriority w:val="39"/>
    <w:unhideWhenUsed/>
    <w:qFormat/>
    <w:pPr>
      <w:ind w:left="1984"/>
      <w:spacing w:after="57"/>
    </w:pPr>
  </w:style>
  <w:style w:type="paragraph" w:styleId="758">
    <w:name w:val="Date"/>
    <w:basedOn w:val="732"/>
    <w:next w:val="732"/>
    <w:link w:val="954"/>
    <w:uiPriority w:val="0"/>
    <w:qFormat/>
    <w:rPr>
      <w:rFonts w:ascii="Times New Roman" w:hAnsi="Times New Roman"/>
      <w:sz w:val="24"/>
      <w:szCs w:val="24"/>
    </w:rPr>
  </w:style>
  <w:style w:type="paragraph" w:styleId="759">
    <w:name w:val="Body Text Indent 2"/>
    <w:basedOn w:val="732"/>
    <w:link w:val="955"/>
    <w:uiPriority w:val="0"/>
    <w:qFormat/>
    <w:pPr>
      <w:ind w:left="630" w:firstLine="645"/>
    </w:pPr>
    <w:rPr>
      <w:rFonts w:ascii="Arial" w:hAnsi="Arial" w:eastAsia="仿宋_GB2312" w:cs="Arial"/>
      <w:sz w:val="32"/>
      <w:szCs w:val="32"/>
    </w:rPr>
  </w:style>
  <w:style w:type="paragraph" w:styleId="760">
    <w:name w:val="endnote text"/>
    <w:basedOn w:val="732"/>
    <w:link w:val="932"/>
    <w:uiPriority w:val="99"/>
    <w:semiHidden/>
    <w:unhideWhenUsed/>
    <w:qFormat/>
    <w:rPr>
      <w:sz w:val="20"/>
    </w:rPr>
  </w:style>
  <w:style w:type="paragraph" w:styleId="761">
    <w:name w:val="Balloon Text"/>
    <w:basedOn w:val="732"/>
    <w:link w:val="956"/>
    <w:uiPriority w:val="0"/>
    <w:semiHidden/>
    <w:qFormat/>
    <w:rPr>
      <w:rFonts w:ascii="Times New Roman" w:hAnsi="Times New Roman"/>
      <w:sz w:val="18"/>
      <w:szCs w:val="18"/>
    </w:rPr>
  </w:style>
  <w:style w:type="paragraph" w:styleId="762">
    <w:name w:val="Footer"/>
    <w:basedOn w:val="732"/>
    <w:link w:val="957"/>
    <w:uiPriority w:val="99"/>
    <w:qFormat/>
    <w:pPr>
      <w:jc w:val="left"/>
      <w:tabs>
        <w:tab w:val="center" w:pos="4153" w:leader="none"/>
        <w:tab w:val="right" w:pos="8306" w:leader="none"/>
      </w:tabs>
    </w:pPr>
    <w:rPr>
      <w:rFonts w:ascii="Times New Roman" w:hAnsi="Times New Roman"/>
      <w:sz w:val="18"/>
      <w:szCs w:val="18"/>
    </w:rPr>
  </w:style>
  <w:style w:type="paragraph" w:styleId="763">
    <w:name w:val="Header"/>
    <w:basedOn w:val="732"/>
    <w:link w:val="958"/>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64">
    <w:name w:val="toc 1"/>
    <w:basedOn w:val="732"/>
    <w:next w:val="732"/>
    <w:uiPriority w:val="39"/>
    <w:unhideWhenUsed/>
    <w:qFormat/>
    <w:pPr>
      <w:spacing w:after="57"/>
    </w:pPr>
  </w:style>
  <w:style w:type="paragraph" w:styleId="765">
    <w:name w:val="toc 4"/>
    <w:basedOn w:val="732"/>
    <w:next w:val="732"/>
    <w:uiPriority w:val="39"/>
    <w:unhideWhenUsed/>
    <w:qFormat/>
    <w:pPr>
      <w:ind w:left="850"/>
      <w:spacing w:after="57"/>
    </w:pPr>
  </w:style>
  <w:style w:type="paragraph" w:styleId="766">
    <w:name w:val="Subtitle"/>
    <w:basedOn w:val="732"/>
    <w:next w:val="732"/>
    <w:link w:val="798"/>
    <w:uiPriority w:val="11"/>
    <w:qFormat/>
    <w:pPr>
      <w:spacing w:before="200" w:after="200"/>
    </w:pPr>
    <w:rPr>
      <w:sz w:val="24"/>
      <w:szCs w:val="24"/>
    </w:rPr>
  </w:style>
  <w:style w:type="paragraph" w:styleId="767">
    <w:name w:val="List"/>
    <w:basedOn w:val="732"/>
    <w:uiPriority w:val="0"/>
    <w:qFormat/>
    <w:pPr>
      <w:ind w:left="200" w:hanging="200"/>
    </w:pPr>
    <w:rPr>
      <w:rFonts w:ascii="Times New Roman" w:hAnsi="Times New Roman"/>
      <w:szCs w:val="21"/>
    </w:rPr>
  </w:style>
  <w:style w:type="paragraph" w:styleId="768">
    <w:name w:val="footnote text"/>
    <w:basedOn w:val="732"/>
    <w:link w:val="931"/>
    <w:uiPriority w:val="99"/>
    <w:semiHidden/>
    <w:unhideWhenUsed/>
    <w:qFormat/>
    <w:pPr>
      <w:spacing w:after="40"/>
    </w:pPr>
    <w:rPr>
      <w:sz w:val="18"/>
    </w:rPr>
  </w:style>
  <w:style w:type="paragraph" w:styleId="769">
    <w:name w:val="toc 6"/>
    <w:basedOn w:val="732"/>
    <w:next w:val="732"/>
    <w:uiPriority w:val="39"/>
    <w:unhideWhenUsed/>
    <w:qFormat/>
    <w:pPr>
      <w:ind w:left="1417"/>
      <w:spacing w:after="57"/>
    </w:pPr>
  </w:style>
  <w:style w:type="paragraph" w:styleId="770">
    <w:name w:val="Body Text Indent 3"/>
    <w:basedOn w:val="732"/>
    <w:link w:val="962"/>
    <w:uiPriority w:val="0"/>
    <w:qFormat/>
    <w:pPr>
      <w:ind w:left="645" w:firstLine="645"/>
    </w:pPr>
    <w:rPr>
      <w:rFonts w:ascii="Arial" w:hAnsi="Arial" w:eastAsia="仿宋_GB2312" w:cs="Arial"/>
      <w:color w:val="ffff00"/>
      <w:sz w:val="32"/>
      <w:szCs w:val="32"/>
    </w:rPr>
  </w:style>
  <w:style w:type="paragraph" w:styleId="771">
    <w:name w:val="table of figures"/>
    <w:basedOn w:val="732"/>
    <w:next w:val="732"/>
    <w:uiPriority w:val="0"/>
    <w:semiHidden/>
    <w:qFormat/>
    <w:pPr>
      <w:ind w:left="840" w:hanging="420"/>
    </w:pPr>
    <w:rPr>
      <w:rFonts w:ascii="Times New Roman" w:hAnsi="Times New Roman"/>
      <w:szCs w:val="21"/>
    </w:rPr>
  </w:style>
  <w:style w:type="paragraph" w:styleId="772">
    <w:name w:val="toc 2"/>
    <w:basedOn w:val="732"/>
    <w:next w:val="732"/>
    <w:uiPriority w:val="39"/>
    <w:unhideWhenUsed/>
    <w:qFormat/>
    <w:pPr>
      <w:ind w:left="283"/>
      <w:spacing w:after="57"/>
    </w:pPr>
  </w:style>
  <w:style w:type="paragraph" w:styleId="773">
    <w:name w:val="toc 9"/>
    <w:basedOn w:val="732"/>
    <w:next w:val="732"/>
    <w:uiPriority w:val="39"/>
    <w:unhideWhenUsed/>
    <w:qFormat/>
    <w:pPr>
      <w:ind w:left="2268"/>
      <w:spacing w:after="57"/>
    </w:pPr>
  </w:style>
  <w:style w:type="paragraph" w:styleId="774">
    <w:name w:val="Body Text 2"/>
    <w:basedOn w:val="732"/>
    <w:link w:val="965"/>
    <w:uiPriority w:val="0"/>
    <w:qFormat/>
    <w:pPr>
      <w:jc w:val="center"/>
      <w:widowControl/>
    </w:pPr>
    <w:rPr>
      <w:rFonts w:ascii="楷体_GB2312" w:hAnsi="Times New Roman" w:eastAsia="楷体_GB2312"/>
      <w:sz w:val="28"/>
      <w:szCs w:val="28"/>
    </w:rPr>
  </w:style>
  <w:style w:type="paragraph" w:styleId="775">
    <w:name w:val="Normal (Web)"/>
    <w:basedOn w:val="732"/>
    <w:uiPriority w:val="99"/>
    <w:qFormat/>
    <w:pPr>
      <w:jc w:val="left"/>
      <w:spacing w:before="100" w:beforeAutospacing="1" w:after="100" w:afterAutospacing="1"/>
      <w:widowControl/>
    </w:pPr>
    <w:rPr>
      <w:rFonts w:ascii="宋体" w:hAnsi="宋体" w:cs="宋体"/>
      <w:sz w:val="24"/>
      <w:szCs w:val="24"/>
    </w:rPr>
  </w:style>
  <w:style w:type="paragraph" w:styleId="776">
    <w:name w:val="index 1"/>
    <w:basedOn w:val="732"/>
    <w:next w:val="732"/>
    <w:uiPriority w:val="0"/>
    <w:semiHidden/>
    <w:qFormat/>
    <w:pPr>
      <w:spacing w:line="240" w:lineRule="atLeast"/>
    </w:pPr>
    <w:rPr>
      <w:rFonts w:ascii="Times New Roman" w:hAnsi="Times New Roman"/>
      <w:b/>
      <w:bCs/>
      <w:szCs w:val="21"/>
    </w:rPr>
  </w:style>
  <w:style w:type="paragraph" w:styleId="777">
    <w:name w:val="Title"/>
    <w:basedOn w:val="732"/>
    <w:next w:val="732"/>
    <w:link w:val="797"/>
    <w:uiPriority w:val="10"/>
    <w:qFormat/>
    <w:pPr>
      <w:contextualSpacing/>
      <w:spacing w:before="300" w:after="200"/>
    </w:pPr>
    <w:rPr>
      <w:sz w:val="48"/>
      <w:szCs w:val="48"/>
    </w:rPr>
  </w:style>
  <w:style w:type="paragraph" w:styleId="778">
    <w:name w:val="annotation subject"/>
    <w:basedOn w:val="749"/>
    <w:next w:val="749"/>
    <w:link w:val="966"/>
    <w:uiPriority w:val="0"/>
    <w:semiHidden/>
    <w:qFormat/>
    <w:rPr>
      <w:rFonts w:ascii="Times New Roman" w:hAnsi="Times New Roman"/>
      <w:b/>
      <w:bCs/>
      <w:szCs w:val="21"/>
    </w:rPr>
  </w:style>
  <w:style w:type="table" w:styleId="779">
    <w:name w:val="Table Grid"/>
    <w:basedOn w:val="743"/>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Strong"/>
    <w:uiPriority w:val="0"/>
    <w:qFormat/>
    <w:rPr>
      <w:b/>
      <w:bCs/>
    </w:rPr>
  </w:style>
  <w:style w:type="character" w:styleId="781">
    <w:name w:val="endnote reference"/>
    <w:uiPriority w:val="99"/>
    <w:semiHidden/>
    <w:unhideWhenUsed/>
    <w:qFormat/>
    <w:rPr>
      <w:vertAlign w:val="superscript"/>
    </w:rPr>
  </w:style>
  <w:style w:type="character" w:styleId="782">
    <w:name w:val="page number"/>
    <w:uiPriority w:val="0"/>
    <w:qFormat/>
  </w:style>
  <w:style w:type="character" w:styleId="783">
    <w:name w:val="Hyperlink"/>
    <w:uiPriority w:val="0"/>
    <w:qFormat/>
    <w:rPr>
      <w:color w:val="0000ff"/>
      <w:u w:val="single"/>
    </w:rPr>
  </w:style>
  <w:style w:type="character" w:styleId="784">
    <w:name w:val="annotation reference"/>
    <w:uiPriority w:val="0"/>
    <w:semiHidden/>
    <w:qFormat/>
    <w:rPr>
      <w:sz w:val="21"/>
      <w:szCs w:val="21"/>
    </w:rPr>
  </w:style>
  <w:style w:type="character" w:styleId="785">
    <w:name w:val="footnote reference"/>
    <w:uiPriority w:val="99"/>
    <w:unhideWhenUsed/>
    <w:qFormat/>
    <w:rPr>
      <w:vertAlign w:val="superscript"/>
    </w:rPr>
  </w:style>
  <w:style w:type="character" w:styleId="786" w:customStyle="1">
    <w:name w:val="Heading 1 Char"/>
    <w:uiPriority w:val="9"/>
    <w:qFormat/>
    <w:rPr>
      <w:rFonts w:ascii="Arial" w:hAnsi="Arial" w:eastAsia="Arial" w:cs="Arial"/>
      <w:sz w:val="40"/>
      <w:szCs w:val="40"/>
    </w:rPr>
  </w:style>
  <w:style w:type="character" w:styleId="787" w:customStyle="1">
    <w:name w:val="Heading 2 Char"/>
    <w:uiPriority w:val="9"/>
    <w:qFormat/>
    <w:rPr>
      <w:rFonts w:ascii="Arial" w:hAnsi="Arial" w:eastAsia="Arial" w:cs="Arial"/>
      <w:sz w:val="34"/>
    </w:rPr>
  </w:style>
  <w:style w:type="character" w:styleId="788" w:customStyle="1">
    <w:name w:val="Heading 3 Char"/>
    <w:uiPriority w:val="9"/>
    <w:qFormat/>
    <w:rPr>
      <w:rFonts w:ascii="Arial" w:hAnsi="Arial" w:eastAsia="Arial" w:cs="Arial"/>
      <w:sz w:val="30"/>
      <w:szCs w:val="30"/>
    </w:rPr>
  </w:style>
  <w:style w:type="character" w:styleId="789" w:customStyle="1">
    <w:name w:val="Heading 4 Char"/>
    <w:uiPriority w:val="9"/>
    <w:qFormat/>
    <w:rPr>
      <w:rFonts w:ascii="Arial" w:hAnsi="Arial" w:eastAsia="Arial" w:cs="Arial"/>
      <w:b/>
      <w:bCs/>
      <w:sz w:val="26"/>
      <w:szCs w:val="26"/>
    </w:rPr>
  </w:style>
  <w:style w:type="character" w:styleId="790" w:customStyle="1">
    <w:name w:val="Heading 5 Char"/>
    <w:uiPriority w:val="9"/>
    <w:qFormat/>
    <w:rPr>
      <w:rFonts w:ascii="Arial" w:hAnsi="Arial" w:eastAsia="Arial" w:cs="Arial"/>
      <w:b/>
      <w:bCs/>
      <w:sz w:val="24"/>
      <w:szCs w:val="24"/>
    </w:rPr>
  </w:style>
  <w:style w:type="character" w:styleId="791" w:customStyle="1">
    <w:name w:val="Heading 6 Char"/>
    <w:uiPriority w:val="9"/>
    <w:qFormat/>
    <w:rPr>
      <w:rFonts w:ascii="Arial" w:hAnsi="Arial" w:eastAsia="Arial" w:cs="Arial"/>
      <w:b/>
      <w:bCs/>
      <w:sz w:val="22"/>
      <w:szCs w:val="22"/>
    </w:rPr>
  </w:style>
  <w:style w:type="character" w:styleId="792" w:customStyle="1">
    <w:name w:val="Heading 7 Char"/>
    <w:uiPriority w:val="9"/>
    <w:qFormat/>
    <w:rPr>
      <w:rFonts w:ascii="Arial" w:hAnsi="Arial" w:eastAsia="Arial" w:cs="Arial"/>
      <w:b/>
      <w:bCs/>
      <w:i/>
      <w:iCs/>
      <w:sz w:val="22"/>
      <w:szCs w:val="22"/>
    </w:rPr>
  </w:style>
  <w:style w:type="character" w:styleId="793" w:customStyle="1">
    <w:name w:val="Heading 8 Char"/>
    <w:uiPriority w:val="9"/>
    <w:qFormat/>
    <w:rPr>
      <w:rFonts w:ascii="Arial" w:hAnsi="Arial" w:eastAsia="Arial" w:cs="Arial"/>
      <w:i/>
      <w:iCs/>
      <w:sz w:val="22"/>
      <w:szCs w:val="22"/>
    </w:rPr>
  </w:style>
  <w:style w:type="character" w:styleId="794" w:customStyle="1">
    <w:name w:val="Heading 9 Char"/>
    <w:uiPriority w:val="9"/>
    <w:qFormat/>
    <w:rPr>
      <w:rFonts w:ascii="Arial" w:hAnsi="Arial" w:eastAsia="Arial" w:cs="Arial"/>
      <w:i/>
      <w:iCs/>
      <w:sz w:val="21"/>
      <w:szCs w:val="21"/>
    </w:rPr>
  </w:style>
  <w:style w:type="paragraph" w:styleId="795">
    <w:name w:val="List Paragraph"/>
    <w:basedOn w:val="732"/>
    <w:uiPriority w:val="34"/>
    <w:qFormat/>
    <w:pPr>
      <w:contextualSpacing/>
      <w:ind w:left="720"/>
    </w:pPr>
  </w:style>
  <w:style w:type="paragraph" w:styleId="796">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97" w:customStyle="1">
    <w:name w:val="标题 字符"/>
    <w:link w:val="777"/>
    <w:uiPriority w:val="10"/>
    <w:qFormat/>
    <w:rPr>
      <w:sz w:val="48"/>
      <w:szCs w:val="48"/>
    </w:rPr>
  </w:style>
  <w:style w:type="character" w:styleId="798" w:customStyle="1">
    <w:name w:val="副标题 字符"/>
    <w:link w:val="766"/>
    <w:uiPriority w:val="11"/>
    <w:qFormat/>
    <w:rPr>
      <w:sz w:val="24"/>
      <w:szCs w:val="24"/>
    </w:rPr>
  </w:style>
  <w:style w:type="paragraph" w:styleId="799">
    <w:name w:val="Quote"/>
    <w:basedOn w:val="732"/>
    <w:next w:val="732"/>
    <w:link w:val="800"/>
    <w:uiPriority w:val="29"/>
    <w:qFormat/>
    <w:pPr>
      <w:ind w:left="720" w:right="720"/>
    </w:pPr>
    <w:rPr>
      <w:i/>
    </w:rPr>
  </w:style>
  <w:style w:type="character" w:styleId="800" w:customStyle="1">
    <w:name w:val="引用 字符"/>
    <w:link w:val="799"/>
    <w:uiPriority w:val="29"/>
    <w:qFormat/>
    <w:rPr>
      <w:i/>
    </w:rPr>
  </w:style>
  <w:style w:type="paragraph" w:styleId="801">
    <w:name w:val="Intense Quote"/>
    <w:basedOn w:val="732"/>
    <w:next w:val="732"/>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字符"/>
    <w:link w:val="801"/>
    <w:uiPriority w:val="30"/>
    <w:qFormat/>
    <w:rPr>
      <w:i/>
    </w:rPr>
  </w:style>
  <w:style w:type="character" w:styleId="803" w:customStyle="1">
    <w:name w:val="Header Char"/>
    <w:uiPriority w:val="99"/>
    <w:qFormat/>
  </w:style>
  <w:style w:type="character" w:styleId="804" w:customStyle="1">
    <w:name w:val="Footer Char"/>
    <w:uiPriority w:val="99"/>
    <w:qFormat/>
  </w:style>
  <w:style w:type="character" w:styleId="805" w:customStyle="1">
    <w:name w:val="Caption Char"/>
    <w:uiPriority w:val="99"/>
    <w:qFormat/>
  </w:style>
  <w:style w:type="table" w:styleId="80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8"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9" w:customStyle="1">
    <w:name w:val="Plain Table 3"/>
    <w:uiPriority w:val="99"/>
    <w:qFormat/>
    <w:tblPr>
      <w:tblCellMar>
        <w:left w:w="0" w:type="dxa"/>
        <w:top w:w="0" w:type="dxa"/>
        <w:right w:w="0" w:type="dxa"/>
        <w:bottom w:w="0" w:type="dxa"/>
      </w:tblCellMar>
    </w:tblPr>
  </w:style>
  <w:style w:type="table" w:styleId="810" w:customStyle="1">
    <w:name w:val="Plain Table 4"/>
    <w:uiPriority w:val="99"/>
    <w:qFormat/>
    <w:tblPr>
      <w:tblCellMar>
        <w:left w:w="0" w:type="dxa"/>
        <w:top w:w="0" w:type="dxa"/>
        <w:right w:w="0" w:type="dxa"/>
        <w:bottom w:w="0" w:type="dxa"/>
      </w:tblCellMar>
    </w:tblPr>
  </w:style>
  <w:style w:type="table" w:styleId="811" w:customStyle="1">
    <w:name w:val="Plain Table 5"/>
    <w:uiPriority w:val="99"/>
    <w:qFormat/>
    <w:tblPr>
      <w:tblCellMar>
        <w:left w:w="0" w:type="dxa"/>
        <w:top w:w="0" w:type="dxa"/>
        <w:right w:w="0" w:type="dxa"/>
        <w:bottom w:w="0" w:type="dxa"/>
      </w:tblCellMar>
    </w:tblPr>
  </w:style>
  <w:style w:type="table" w:styleId="812"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9"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6"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3"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0"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1" w:customStyle="1">
    <w:name w:val="List Table 1 Light"/>
    <w:uiPriority w:val="99"/>
    <w:qFormat/>
    <w:tblPr>
      <w:tblCellMar>
        <w:left w:w="0" w:type="dxa"/>
        <w:top w:w="0" w:type="dxa"/>
        <w:right w:w="0" w:type="dxa"/>
        <w:bottom w:w="0" w:type="dxa"/>
      </w:tblCellMar>
    </w:tblPr>
  </w:style>
  <w:style w:type="table" w:styleId="862" w:customStyle="1">
    <w:name w:val="List Table 1 Light - Accent 1"/>
    <w:uiPriority w:val="99"/>
    <w:qFormat/>
    <w:tblPr>
      <w:tblCellMar>
        <w:left w:w="0" w:type="dxa"/>
        <w:top w:w="0" w:type="dxa"/>
        <w:right w:w="0" w:type="dxa"/>
        <w:bottom w:w="0" w:type="dxa"/>
      </w:tblCellMar>
    </w:tblPr>
  </w:style>
  <w:style w:type="table" w:styleId="863" w:customStyle="1">
    <w:name w:val="List Table 1 Light - Accent 2"/>
    <w:uiPriority w:val="99"/>
    <w:qFormat/>
    <w:tblPr>
      <w:tblCellMar>
        <w:left w:w="0" w:type="dxa"/>
        <w:top w:w="0" w:type="dxa"/>
        <w:right w:w="0" w:type="dxa"/>
        <w:bottom w:w="0" w:type="dxa"/>
      </w:tblCellMar>
    </w:tblPr>
  </w:style>
  <w:style w:type="table" w:styleId="864" w:customStyle="1">
    <w:name w:val="List Table 1 Light - Accent 3"/>
    <w:uiPriority w:val="99"/>
    <w:qFormat/>
    <w:tblPr>
      <w:tblCellMar>
        <w:left w:w="0" w:type="dxa"/>
        <w:top w:w="0" w:type="dxa"/>
        <w:right w:w="0" w:type="dxa"/>
        <w:bottom w:w="0" w:type="dxa"/>
      </w:tblCellMar>
    </w:tblPr>
  </w:style>
  <w:style w:type="table" w:styleId="865" w:customStyle="1">
    <w:name w:val="List Table 1 Light - Accent 4"/>
    <w:uiPriority w:val="99"/>
    <w:qFormat/>
    <w:tblPr>
      <w:tblCellMar>
        <w:left w:w="0" w:type="dxa"/>
        <w:top w:w="0" w:type="dxa"/>
        <w:right w:w="0" w:type="dxa"/>
        <w:bottom w:w="0" w:type="dxa"/>
      </w:tblCellMar>
    </w:tblPr>
  </w:style>
  <w:style w:type="table" w:styleId="866" w:customStyle="1">
    <w:name w:val="List Table 1 Light - Accent 5"/>
    <w:uiPriority w:val="99"/>
    <w:qFormat/>
    <w:tblPr>
      <w:tblCellMar>
        <w:left w:w="0" w:type="dxa"/>
        <w:top w:w="0" w:type="dxa"/>
        <w:right w:w="0" w:type="dxa"/>
        <w:bottom w:w="0" w:type="dxa"/>
      </w:tblCellMar>
    </w:tblPr>
  </w:style>
  <w:style w:type="table" w:styleId="867" w:customStyle="1">
    <w:name w:val="List Table 1 Light - Accent 6"/>
    <w:uiPriority w:val="99"/>
    <w:qFormat/>
    <w:tblPr>
      <w:tblCellMar>
        <w:left w:w="0" w:type="dxa"/>
        <w:top w:w="0" w:type="dxa"/>
        <w:right w:w="0" w:type="dxa"/>
        <w:bottom w:w="0" w:type="dxa"/>
      </w:tblCellMar>
    </w:tblPr>
  </w:style>
  <w:style w:type="table" w:styleId="868"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5"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2"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9"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3"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0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0" w:customStyle="1">
    <w:name w:val="Lined - Accent"/>
    <w:uiPriority w:val="99"/>
    <w:qFormat/>
    <w:rPr>
      <w:color w:val="404040"/>
    </w:rPr>
    <w:tblPr>
      <w:tblCellMar>
        <w:left w:w="0" w:type="dxa"/>
        <w:top w:w="0" w:type="dxa"/>
        <w:right w:w="0" w:type="dxa"/>
        <w:bottom w:w="0" w:type="dxa"/>
      </w:tblCellMar>
    </w:tblPr>
  </w:style>
  <w:style w:type="table" w:styleId="911" w:customStyle="1">
    <w:name w:val="Lined - Accent 1"/>
    <w:uiPriority w:val="99"/>
    <w:qFormat/>
    <w:rPr>
      <w:color w:val="404040"/>
    </w:rPr>
    <w:tblPr>
      <w:tblCellMar>
        <w:left w:w="0" w:type="dxa"/>
        <w:top w:w="0" w:type="dxa"/>
        <w:right w:w="0" w:type="dxa"/>
        <w:bottom w:w="0" w:type="dxa"/>
      </w:tblCellMar>
    </w:tblPr>
  </w:style>
  <w:style w:type="table" w:styleId="912" w:customStyle="1">
    <w:name w:val="Lined - Accent 2"/>
    <w:uiPriority w:val="99"/>
    <w:qFormat/>
    <w:rPr>
      <w:color w:val="404040"/>
    </w:rPr>
    <w:tblPr>
      <w:tblCellMar>
        <w:left w:w="0" w:type="dxa"/>
        <w:top w:w="0" w:type="dxa"/>
        <w:right w:w="0" w:type="dxa"/>
        <w:bottom w:w="0" w:type="dxa"/>
      </w:tblCellMar>
    </w:tblPr>
  </w:style>
  <w:style w:type="table" w:styleId="913" w:customStyle="1">
    <w:name w:val="Lined - Accent 3"/>
    <w:uiPriority w:val="99"/>
    <w:qFormat/>
    <w:rPr>
      <w:color w:val="404040"/>
    </w:rPr>
    <w:tblPr>
      <w:tblCellMar>
        <w:left w:w="0" w:type="dxa"/>
        <w:top w:w="0" w:type="dxa"/>
        <w:right w:w="0" w:type="dxa"/>
        <w:bottom w:w="0" w:type="dxa"/>
      </w:tblCellMar>
    </w:tblPr>
  </w:style>
  <w:style w:type="table" w:styleId="914" w:customStyle="1">
    <w:name w:val="Lined - Accent 4"/>
    <w:uiPriority w:val="99"/>
    <w:qFormat/>
    <w:rPr>
      <w:color w:val="404040"/>
    </w:rPr>
    <w:tblPr>
      <w:tblCellMar>
        <w:left w:w="0" w:type="dxa"/>
        <w:top w:w="0" w:type="dxa"/>
        <w:right w:w="0" w:type="dxa"/>
        <w:bottom w:w="0" w:type="dxa"/>
      </w:tblCellMar>
    </w:tblPr>
  </w:style>
  <w:style w:type="table" w:styleId="915" w:customStyle="1">
    <w:name w:val="Lined - Accent 5"/>
    <w:uiPriority w:val="99"/>
    <w:qFormat/>
    <w:rPr>
      <w:color w:val="404040"/>
    </w:rPr>
    <w:tblPr>
      <w:tblCellMar>
        <w:left w:w="0" w:type="dxa"/>
        <w:top w:w="0" w:type="dxa"/>
        <w:right w:w="0" w:type="dxa"/>
        <w:bottom w:w="0" w:type="dxa"/>
      </w:tblCellMar>
    </w:tblPr>
  </w:style>
  <w:style w:type="table" w:styleId="916" w:customStyle="1">
    <w:name w:val="Lined - Accent 6"/>
    <w:uiPriority w:val="99"/>
    <w:qFormat/>
    <w:rPr>
      <w:color w:val="404040"/>
    </w:rPr>
    <w:tblPr>
      <w:tblCellMar>
        <w:left w:w="0" w:type="dxa"/>
        <w:top w:w="0" w:type="dxa"/>
        <w:right w:w="0" w:type="dxa"/>
        <w:bottom w:w="0" w:type="dxa"/>
      </w:tblCellMar>
    </w:tblPr>
  </w:style>
  <w:style w:type="table" w:styleId="91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1" w:customStyle="1">
    <w:name w:val="脚注文本 字符"/>
    <w:link w:val="768"/>
    <w:uiPriority w:val="99"/>
    <w:qFormat/>
    <w:rPr>
      <w:sz w:val="18"/>
    </w:rPr>
  </w:style>
  <w:style w:type="character" w:styleId="932" w:customStyle="1">
    <w:name w:val="尾注文本 字符"/>
    <w:link w:val="760"/>
    <w:uiPriority w:val="99"/>
    <w:qFormat/>
    <w:rPr>
      <w:sz w:val="20"/>
    </w:rPr>
  </w:style>
  <w:style w:type="paragraph" w:styleId="933" w:customStyle="1">
    <w:name w:val="TOC Heading"/>
    <w:uiPriority w:val="39"/>
    <w:unhideWhenUsed/>
    <w:qFormat/>
    <w:rPr>
      <w:rFonts w:ascii="Calibri" w:hAnsi="Calibri" w:eastAsia="宋体" w:cs="Times New Roman"/>
      <w:lang w:val="en-US" w:eastAsia="zh-CN" w:bidi="ar-SA"/>
    </w:rPr>
  </w:style>
  <w:style w:type="character" w:styleId="934" w:customStyle="1">
    <w:name w:val="标题 1 字符"/>
    <w:link w:val="733"/>
    <w:uiPriority w:val="0"/>
    <w:qFormat/>
    <w:rPr>
      <w:rFonts w:ascii="楷体_GB2312" w:hAnsi="Times New Roman" w:eastAsia="楷体_GB2312" w:cs="Times New Roman"/>
      <w:sz w:val="28"/>
      <w:szCs w:val="28"/>
    </w:rPr>
  </w:style>
  <w:style w:type="character" w:styleId="935" w:customStyle="1">
    <w:name w:val="标题 2 字符"/>
    <w:link w:val="734"/>
    <w:uiPriority w:val="0"/>
    <w:qFormat/>
    <w:rPr>
      <w:rFonts w:ascii="Arial" w:hAnsi="Arial" w:eastAsia="幼圆" w:cs="Arial"/>
      <w:b/>
      <w:bCs/>
      <w:sz w:val="44"/>
      <w:szCs w:val="44"/>
    </w:rPr>
  </w:style>
  <w:style w:type="character" w:styleId="936" w:customStyle="1">
    <w:name w:val="正文缩进 字符"/>
    <w:link w:val="744"/>
    <w:uiPriority w:val="0"/>
    <w:rPr>
      <w:szCs w:val="21"/>
    </w:rPr>
  </w:style>
  <w:style w:type="character" w:styleId="937" w:customStyle="1">
    <w:name w:val="标题 3 字符"/>
    <w:link w:val="735"/>
    <w:uiPriority w:val="0"/>
    <w:qFormat/>
    <w:rPr>
      <w:rFonts w:ascii="Times New Roman" w:hAnsi="Times New Roman" w:eastAsia="宋体" w:cs="Times New Roman"/>
      <w:b/>
      <w:bCs/>
      <w:sz w:val="32"/>
      <w:szCs w:val="32"/>
    </w:rPr>
  </w:style>
  <w:style w:type="character" w:styleId="938" w:customStyle="1">
    <w:name w:val="标题 4 字符"/>
    <w:link w:val="736"/>
    <w:uiPriority w:val="0"/>
    <w:qFormat/>
    <w:rPr>
      <w:rFonts w:ascii="Arial" w:hAnsi="Arial" w:eastAsia="黑体" w:cs="Arial"/>
      <w:b/>
      <w:bCs/>
      <w:sz w:val="28"/>
      <w:szCs w:val="28"/>
    </w:rPr>
  </w:style>
  <w:style w:type="character" w:styleId="939" w:customStyle="1">
    <w:name w:val="标题 5 字符"/>
    <w:link w:val="737"/>
    <w:uiPriority w:val="0"/>
    <w:qFormat/>
    <w:rPr>
      <w:rFonts w:ascii="宋体" w:hAnsi="Times New Roman" w:eastAsia="宋体" w:cs="Times New Roman"/>
      <w:color w:val="000000"/>
      <w:sz w:val="28"/>
      <w:szCs w:val="28"/>
    </w:rPr>
  </w:style>
  <w:style w:type="character" w:styleId="940" w:customStyle="1">
    <w:name w:val="标题 6 字符"/>
    <w:link w:val="738"/>
    <w:uiPriority w:val="0"/>
    <w:rPr>
      <w:rFonts w:ascii="Arial" w:hAnsi="Arial" w:eastAsia="黑体" w:cs="Times New Roman"/>
      <w:b/>
      <w:bCs/>
      <w:sz w:val="24"/>
      <w:szCs w:val="24"/>
    </w:rPr>
  </w:style>
  <w:style w:type="character" w:styleId="941" w:customStyle="1">
    <w:name w:val="标题 7 字符"/>
    <w:link w:val="739"/>
    <w:uiPriority w:val="0"/>
    <w:qFormat/>
    <w:rPr>
      <w:rFonts w:ascii="Times New Roman" w:hAnsi="Times New Roman" w:eastAsia="宋体" w:cs="Times New Roman"/>
      <w:b/>
      <w:bCs/>
      <w:sz w:val="24"/>
      <w:szCs w:val="24"/>
    </w:rPr>
  </w:style>
  <w:style w:type="character" w:styleId="942" w:customStyle="1">
    <w:name w:val="标题 8 字符"/>
    <w:link w:val="740"/>
    <w:uiPriority w:val="0"/>
    <w:qFormat/>
    <w:rPr>
      <w:rFonts w:ascii="Arial" w:hAnsi="Arial" w:eastAsia="黑体" w:cs="Times New Roman"/>
      <w:sz w:val="24"/>
      <w:szCs w:val="24"/>
    </w:rPr>
  </w:style>
  <w:style w:type="character" w:styleId="943" w:customStyle="1">
    <w:name w:val="标题 9 字符"/>
    <w:link w:val="741"/>
    <w:uiPriority w:val="0"/>
    <w:qFormat/>
    <w:rPr>
      <w:rFonts w:ascii="Arial" w:hAnsi="Arial" w:eastAsia="黑体" w:cs="Times New Roman"/>
      <w:szCs w:val="21"/>
    </w:rPr>
  </w:style>
  <w:style w:type="paragraph" w:styleId="944" w:customStyle="1">
    <w:name w:val="目录 71"/>
    <w:basedOn w:val="732"/>
    <w:next w:val="732"/>
    <w:uiPriority w:val="0"/>
    <w:semiHidden/>
    <w:qFormat/>
    <w:pPr>
      <w:ind w:left="1260"/>
      <w:jc w:val="left"/>
    </w:pPr>
    <w:rPr>
      <w:rFonts w:ascii="Times New Roman" w:hAnsi="Times New Roman"/>
      <w:szCs w:val="21"/>
    </w:rPr>
  </w:style>
  <w:style w:type="character" w:styleId="945" w:customStyle="1">
    <w:name w:val="文档结构图 字符"/>
    <w:link w:val="748"/>
    <w:uiPriority w:val="0"/>
    <w:semiHidden/>
    <w:qFormat/>
    <w:rPr>
      <w:rFonts w:ascii="Times New Roman" w:hAnsi="Times New Roman" w:eastAsia="宋体" w:cs="Times New Roman"/>
      <w:szCs w:val="21"/>
      <w:shd w:val="clear" w:color="auto" w:fill="000080"/>
    </w:rPr>
  </w:style>
  <w:style w:type="character" w:styleId="946" w:customStyle="1">
    <w:name w:val="批注文字 字符"/>
    <w:link w:val="749"/>
    <w:uiPriority w:val="99"/>
    <w:semiHidden/>
    <w:qFormat/>
  </w:style>
  <w:style w:type="character" w:styleId="947" w:customStyle="1">
    <w:name w:val="正文文本 3 字符"/>
    <w:link w:val="750"/>
    <w:uiPriority w:val="0"/>
    <w:qFormat/>
    <w:rPr>
      <w:rFonts w:ascii="仿宋_GB2312" w:hAnsi="Arial" w:eastAsia="仿宋_GB2312" w:cs="Times New Roman"/>
      <w:sz w:val="32"/>
      <w:szCs w:val="32"/>
    </w:rPr>
  </w:style>
  <w:style w:type="character" w:styleId="948" w:customStyle="1">
    <w:name w:val="正文文本 字符"/>
    <w:link w:val="751"/>
    <w:uiPriority w:val="0"/>
    <w:qFormat/>
    <w:rPr>
      <w:rFonts w:ascii="楷体_GB2312" w:hAnsi="Arial" w:eastAsia="楷体_GB2312" w:cs="Times New Roman"/>
      <w:sz w:val="28"/>
      <w:szCs w:val="28"/>
    </w:rPr>
  </w:style>
  <w:style w:type="character" w:styleId="949" w:customStyle="1">
    <w:name w:val="正文文本缩进 字符"/>
    <w:link w:val="752"/>
    <w:uiPriority w:val="99"/>
    <w:semiHidden/>
    <w:qFormat/>
  </w:style>
  <w:style w:type="paragraph" w:styleId="950" w:customStyle="1">
    <w:name w:val="目录 51"/>
    <w:basedOn w:val="732"/>
    <w:next w:val="732"/>
    <w:uiPriority w:val="0"/>
    <w:semiHidden/>
    <w:qFormat/>
    <w:pPr>
      <w:ind w:left="840"/>
      <w:jc w:val="left"/>
    </w:pPr>
    <w:rPr>
      <w:rFonts w:ascii="Times New Roman" w:hAnsi="Times New Roman"/>
      <w:szCs w:val="21"/>
    </w:rPr>
  </w:style>
  <w:style w:type="paragraph" w:styleId="951" w:customStyle="1">
    <w:name w:val="目录 31"/>
    <w:basedOn w:val="732"/>
    <w:next w:val="732"/>
    <w:uiPriority w:val="0"/>
    <w:semiHidden/>
    <w:qFormat/>
    <w:pPr>
      <w:ind w:left="420"/>
      <w:jc w:val="left"/>
    </w:pPr>
    <w:rPr>
      <w:rFonts w:ascii="Times New Roman" w:hAnsi="Times New Roman"/>
      <w:i/>
      <w:iCs/>
      <w:szCs w:val="24"/>
    </w:rPr>
  </w:style>
  <w:style w:type="character" w:styleId="952" w:customStyle="1">
    <w:name w:val="纯文本 字符"/>
    <w:link w:val="756"/>
    <w:uiPriority w:val="0"/>
    <w:qFormat/>
    <w:rPr>
      <w:rFonts w:ascii="宋体" w:hAnsi="Courier New" w:eastAsia="宋体" w:cs="Courier New"/>
      <w:szCs w:val="21"/>
    </w:rPr>
  </w:style>
  <w:style w:type="paragraph" w:styleId="953" w:customStyle="1">
    <w:name w:val="目录 81"/>
    <w:basedOn w:val="732"/>
    <w:next w:val="732"/>
    <w:uiPriority w:val="0"/>
    <w:semiHidden/>
    <w:qFormat/>
    <w:pPr>
      <w:ind w:left="1470"/>
      <w:jc w:val="left"/>
    </w:pPr>
    <w:rPr>
      <w:rFonts w:ascii="Times New Roman" w:hAnsi="Times New Roman"/>
      <w:szCs w:val="21"/>
    </w:rPr>
  </w:style>
  <w:style w:type="character" w:styleId="954" w:customStyle="1">
    <w:name w:val="日期 字符"/>
    <w:link w:val="758"/>
    <w:uiPriority w:val="0"/>
    <w:qFormat/>
    <w:rPr>
      <w:rFonts w:ascii="Times New Roman" w:hAnsi="Times New Roman" w:eastAsia="宋体" w:cs="Times New Roman"/>
      <w:sz w:val="24"/>
      <w:szCs w:val="24"/>
    </w:rPr>
  </w:style>
  <w:style w:type="character" w:styleId="955" w:customStyle="1">
    <w:name w:val="正文文本缩进 2 字符"/>
    <w:link w:val="759"/>
    <w:uiPriority w:val="0"/>
    <w:qFormat/>
    <w:rPr>
      <w:rFonts w:ascii="Arial" w:hAnsi="Arial" w:eastAsia="仿宋_GB2312" w:cs="Arial"/>
      <w:sz w:val="32"/>
      <w:szCs w:val="32"/>
    </w:rPr>
  </w:style>
  <w:style w:type="character" w:styleId="956" w:customStyle="1">
    <w:name w:val="批注框文本 字符"/>
    <w:link w:val="761"/>
    <w:uiPriority w:val="0"/>
    <w:semiHidden/>
    <w:qFormat/>
    <w:rPr>
      <w:rFonts w:ascii="Times New Roman" w:hAnsi="Times New Roman" w:eastAsia="宋体" w:cs="Times New Roman"/>
      <w:sz w:val="18"/>
      <w:szCs w:val="18"/>
    </w:rPr>
  </w:style>
  <w:style w:type="character" w:styleId="957" w:customStyle="1">
    <w:name w:val="页脚 字符"/>
    <w:link w:val="762"/>
    <w:uiPriority w:val="99"/>
    <w:qFormat/>
    <w:rPr>
      <w:rFonts w:ascii="Times New Roman" w:hAnsi="Times New Roman" w:eastAsia="宋体" w:cs="Times New Roman"/>
      <w:sz w:val="18"/>
      <w:szCs w:val="18"/>
    </w:rPr>
  </w:style>
  <w:style w:type="character" w:styleId="958" w:customStyle="1">
    <w:name w:val="页眉 字符"/>
    <w:link w:val="763"/>
    <w:uiPriority w:val="0"/>
    <w:qFormat/>
    <w:rPr>
      <w:rFonts w:ascii="Times New Roman" w:hAnsi="Times New Roman" w:eastAsia="宋体" w:cs="Times New Roman"/>
      <w:sz w:val="18"/>
      <w:szCs w:val="18"/>
    </w:rPr>
  </w:style>
  <w:style w:type="paragraph" w:styleId="959" w:customStyle="1">
    <w:name w:val="目录 11"/>
    <w:basedOn w:val="732"/>
    <w:next w:val="732"/>
    <w:uiPriority w:val="0"/>
    <w:semiHidden/>
    <w:qFormat/>
    <w:pPr>
      <w:jc w:val="left"/>
      <w:spacing w:before="120" w:after="120" w:line="400" w:lineRule="exact"/>
      <w:tabs>
        <w:tab w:val="right" w:pos="8720" w:leader="dot"/>
      </w:tabs>
    </w:pPr>
    <w:rPr>
      <w:rFonts w:ascii="宋体" w:hAnsi="宋体"/>
      <w:caps/>
      <w:sz w:val="24"/>
      <w:szCs w:val="24"/>
    </w:rPr>
  </w:style>
  <w:style w:type="paragraph" w:styleId="960" w:customStyle="1">
    <w:name w:val="目录 41"/>
    <w:basedOn w:val="732"/>
    <w:next w:val="732"/>
    <w:uiPriority w:val="0"/>
    <w:semiHidden/>
    <w:qFormat/>
    <w:pPr>
      <w:ind w:left="630"/>
      <w:jc w:val="left"/>
    </w:pPr>
    <w:rPr>
      <w:rFonts w:ascii="Times New Roman" w:hAnsi="Times New Roman"/>
      <w:szCs w:val="21"/>
    </w:rPr>
  </w:style>
  <w:style w:type="paragraph" w:styleId="961" w:customStyle="1">
    <w:name w:val="目录 61"/>
    <w:basedOn w:val="732"/>
    <w:next w:val="732"/>
    <w:uiPriority w:val="0"/>
    <w:semiHidden/>
    <w:qFormat/>
    <w:pPr>
      <w:ind w:left="1050"/>
      <w:jc w:val="left"/>
    </w:pPr>
    <w:rPr>
      <w:rFonts w:ascii="Times New Roman" w:hAnsi="Times New Roman"/>
      <w:szCs w:val="21"/>
    </w:rPr>
  </w:style>
  <w:style w:type="character" w:styleId="962" w:customStyle="1">
    <w:name w:val="正文文本缩进 3 字符"/>
    <w:link w:val="770"/>
    <w:uiPriority w:val="0"/>
    <w:qFormat/>
    <w:rPr>
      <w:rFonts w:ascii="Arial" w:hAnsi="Arial" w:eastAsia="仿宋_GB2312" w:cs="Arial"/>
      <w:color w:val="ffff00"/>
      <w:sz w:val="32"/>
      <w:szCs w:val="32"/>
    </w:rPr>
  </w:style>
  <w:style w:type="paragraph" w:styleId="963" w:customStyle="1">
    <w:name w:val="目录 21"/>
    <w:basedOn w:val="732"/>
    <w:next w:val="732"/>
    <w:uiPriority w:val="0"/>
    <w:semiHidden/>
    <w:qFormat/>
    <w:pPr>
      <w:ind w:left="210"/>
      <w:jc w:val="left"/>
    </w:pPr>
    <w:rPr>
      <w:rFonts w:ascii="Times New Roman" w:hAnsi="Times New Roman"/>
      <w:smallCaps/>
      <w:szCs w:val="24"/>
    </w:rPr>
  </w:style>
  <w:style w:type="paragraph" w:styleId="964" w:customStyle="1">
    <w:name w:val="目录 91"/>
    <w:basedOn w:val="732"/>
    <w:next w:val="732"/>
    <w:uiPriority w:val="0"/>
    <w:semiHidden/>
    <w:qFormat/>
    <w:pPr>
      <w:ind w:left="1680"/>
      <w:jc w:val="left"/>
    </w:pPr>
    <w:rPr>
      <w:rFonts w:ascii="Times New Roman" w:hAnsi="Times New Roman"/>
      <w:szCs w:val="21"/>
    </w:rPr>
  </w:style>
  <w:style w:type="character" w:styleId="965" w:customStyle="1">
    <w:name w:val="正文文本 2 字符"/>
    <w:link w:val="774"/>
    <w:uiPriority w:val="0"/>
    <w:qFormat/>
    <w:rPr>
      <w:rFonts w:ascii="楷体_GB2312" w:hAnsi="Times New Roman" w:eastAsia="楷体_GB2312" w:cs="Times New Roman"/>
      <w:sz w:val="28"/>
      <w:szCs w:val="28"/>
    </w:rPr>
  </w:style>
  <w:style w:type="character" w:styleId="966" w:customStyle="1">
    <w:name w:val="批注主题 字符"/>
    <w:link w:val="778"/>
    <w:uiPriority w:val="0"/>
    <w:semiHidden/>
    <w:qFormat/>
    <w:rPr>
      <w:rFonts w:ascii="Times New Roman" w:hAnsi="Times New Roman" w:eastAsia="宋体" w:cs="Times New Roman"/>
      <w:b/>
      <w:bCs/>
      <w:szCs w:val="21"/>
    </w:rPr>
  </w:style>
  <w:style w:type="paragraph" w:styleId="967" w:customStyle="1">
    <w:name w:val="正文首行缩进1"/>
    <w:basedOn w:val="732"/>
    <w:link w:val="968"/>
    <w:uiPriority w:val="0"/>
    <w:qFormat/>
    <w:pPr>
      <w:ind w:firstLine="200"/>
      <w:spacing w:line="360" w:lineRule="auto"/>
    </w:pPr>
    <w:rPr>
      <w:rFonts w:ascii="仿宋_GB2312" w:hAnsi="Times New Roman" w:eastAsia="仿宋_GB2312"/>
      <w:sz w:val="30"/>
      <w:szCs w:val="30"/>
    </w:rPr>
  </w:style>
  <w:style w:type="character" w:styleId="968" w:customStyle="1">
    <w:name w:val="正文首行缩进 Char"/>
    <w:link w:val="967"/>
    <w:uiPriority w:val="0"/>
    <w:qFormat/>
    <w:rPr>
      <w:rFonts w:ascii="仿宋_GB2312" w:hAnsi="Times New Roman" w:eastAsia="仿宋_GB2312" w:cs="Times New Roman"/>
      <w:sz w:val="30"/>
      <w:szCs w:val="30"/>
    </w:rPr>
  </w:style>
  <w:style w:type="paragraph" w:styleId="969" w:customStyle="1">
    <w:name w:val="正文首行缩进 21"/>
    <w:basedOn w:val="752"/>
    <w:link w:val="970"/>
    <w:uiPriority w:val="0"/>
    <w:qFormat/>
    <w:pPr>
      <w:ind w:left="0" w:firstLine="420"/>
      <w:spacing w:after="0" w:line="360" w:lineRule="auto"/>
    </w:pPr>
    <w:rPr>
      <w:rFonts w:ascii="宋体" w:hAnsi="宋体"/>
      <w:szCs w:val="20"/>
    </w:rPr>
  </w:style>
  <w:style w:type="character" w:styleId="970" w:customStyle="1">
    <w:name w:val="正文首行缩进 2 Char"/>
    <w:link w:val="969"/>
    <w:uiPriority w:val="0"/>
    <w:qFormat/>
    <w:rPr>
      <w:rFonts w:ascii="宋体" w:hAnsi="宋体" w:eastAsia="宋体" w:cs="Times New Roman"/>
      <w:szCs w:val="20"/>
    </w:rPr>
  </w:style>
  <w:style w:type="character" w:styleId="971" w:customStyle="1">
    <w:name w:val="已访问的超链接1"/>
    <w:uiPriority w:val="0"/>
    <w:qFormat/>
    <w:rPr>
      <w:color w:val="800080"/>
      <w:u w:val="single"/>
    </w:rPr>
  </w:style>
  <w:style w:type="character" w:styleId="972" w:customStyle="1">
    <w:name w:val="font5 Char"/>
    <w:uiPriority w:val="0"/>
    <w:qFormat/>
    <w:rPr>
      <w:rFonts w:ascii="宋体" w:hAnsi="宋体" w:eastAsia="宋体"/>
      <w:sz w:val="28"/>
      <w:szCs w:val="28"/>
      <w:lang w:val="en-US" w:eastAsia="zh-CN" w:bidi="ar-SA"/>
    </w:rPr>
  </w:style>
  <w:style w:type="character" w:styleId="973" w:customStyle="1">
    <w:name w:val="二级目录 Char"/>
    <w:link w:val="974"/>
    <w:uiPriority w:val="0"/>
    <w:rPr>
      <w:b/>
      <w:sz w:val="30"/>
      <w:szCs w:val="28"/>
    </w:rPr>
  </w:style>
  <w:style w:type="paragraph" w:styleId="974" w:customStyle="1">
    <w:name w:val="二级目录"/>
    <w:next w:val="732"/>
    <w:link w:val="973"/>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75" w:customStyle="1">
    <w:name w:val="列出段落 Char"/>
    <w:link w:val="976"/>
    <w:uiPriority w:val="0"/>
    <w:rPr>
      <w:rFonts w:ascii="Calibri" w:hAnsi="Calibri"/>
      <w:sz w:val="24"/>
      <w:szCs w:val="24"/>
      <w:lang w:eastAsia="en-US" w:bidi="en-US"/>
    </w:rPr>
  </w:style>
  <w:style w:type="paragraph" w:styleId="976" w:customStyle="1">
    <w:name w:val="列出段落1"/>
    <w:basedOn w:val="732"/>
    <w:link w:val="975"/>
    <w:uiPriority w:val="0"/>
    <w:qFormat/>
    <w:pPr>
      <w:contextualSpacing/>
      <w:ind w:left="720"/>
      <w:jc w:val="left"/>
      <w:widowControl/>
    </w:pPr>
    <w:rPr>
      <w:sz w:val="24"/>
      <w:szCs w:val="24"/>
      <w:lang w:eastAsia="en-US" w:bidi="en-US"/>
    </w:rPr>
  </w:style>
  <w:style w:type="paragraph" w:styleId="977" w:customStyle="1">
    <w:name w:val="Body Text(ch)"/>
    <w:basedOn w:val="732"/>
    <w:next w:val="751"/>
    <w:uiPriority w:val="0"/>
    <w:pPr>
      <w:spacing w:after="120"/>
    </w:pPr>
    <w:rPr>
      <w:rFonts w:ascii="宋体" w:hAnsi="Arial"/>
      <w:bCs/>
      <w:iCs/>
      <w:szCs w:val="24"/>
    </w:rPr>
  </w:style>
  <w:style w:type="paragraph" w:styleId="978" w:customStyle="1">
    <w:name w:val="xl27"/>
    <w:basedOn w:val="73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6"/>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customStyle="1">
    <w:name w:val="Char"/>
    <w:basedOn w:val="732"/>
    <w:uiPriority w:val="0"/>
    <w:pPr>
      <w:ind w:firstLine="200"/>
      <w:tabs>
        <w:tab w:val="left" w:pos="360" w:leader="none"/>
      </w:tabs>
    </w:pPr>
    <w:rPr>
      <w:rFonts w:ascii="Times New Roman" w:hAnsi="Times New Roman"/>
      <w:sz w:val="28"/>
      <w:szCs w:val="30"/>
    </w:rPr>
  </w:style>
  <w:style w:type="paragraph" w:styleId="981" w:customStyle="1">
    <w:name w:val="Char1"/>
    <w:basedOn w:val="748"/>
    <w:uiPriority w:val="0"/>
    <w:qFormat/>
    <w:rPr>
      <w:rFonts w:ascii="Tahoma" w:hAnsi="Tahoma"/>
      <w:sz w:val="24"/>
      <w:szCs w:val="24"/>
    </w:rPr>
  </w:style>
  <w:style w:type="paragraph" w:styleId="982" w:customStyle="1">
    <w:name w:val="普通正文"/>
    <w:basedOn w:val="732"/>
    <w:uiPriority w:val="0"/>
    <w:pPr>
      <w:ind w:firstLine="480"/>
      <w:jc w:val="left"/>
      <w:spacing w:before="120" w:after="120" w:line="360" w:lineRule="auto"/>
    </w:pPr>
    <w:rPr>
      <w:rFonts w:ascii="Arial" w:hAnsi="Arial"/>
      <w:sz w:val="24"/>
      <w:szCs w:val="24"/>
    </w:rPr>
  </w:style>
  <w:style w:type="paragraph" w:styleId="983" w:customStyle="1">
    <w:name w:val="table_lines"/>
    <w:basedOn w:val="732"/>
    <w:uiPriority w:val="0"/>
    <w:qFormat/>
    <w:pPr>
      <w:jc w:val="left"/>
      <w:widowControl/>
    </w:pPr>
    <w:rPr>
      <w:rFonts w:ascii="Times New Roman" w:hAnsi="Times New Roman"/>
      <w:sz w:val="20"/>
      <w:szCs w:val="20"/>
      <w:lang w:val="de-DE" w:eastAsia="de-DE"/>
    </w:rPr>
  </w:style>
  <w:style w:type="paragraph" w:styleId="98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5" w:customStyle="1">
    <w:name w:val="font7"/>
    <w:basedOn w:val="732"/>
    <w:uiPriority w:val="0"/>
    <w:qFormat/>
    <w:pPr>
      <w:jc w:val="left"/>
      <w:spacing w:before="100" w:beforeAutospacing="1" w:after="100" w:afterAutospacing="1"/>
      <w:widowControl/>
    </w:pPr>
    <w:rPr>
      <w:rFonts w:hint="eastAsia" w:ascii="宋体" w:hAnsi="宋体"/>
      <w:sz w:val="18"/>
      <w:szCs w:val="18"/>
    </w:rPr>
  </w:style>
  <w:style w:type="paragraph" w:styleId="986" w:customStyle="1">
    <w:name w:val="Char Char Char Char"/>
    <w:basedOn w:val="748"/>
    <w:uiPriority w:val="0"/>
    <w:pPr>
      <w:spacing w:line="360" w:lineRule="auto"/>
    </w:pPr>
    <w:rPr>
      <w:rFonts w:ascii="Tahoma" w:hAnsi="Tahoma"/>
      <w:sz w:val="24"/>
      <w:szCs w:val="24"/>
    </w:rPr>
  </w:style>
  <w:style w:type="paragraph" w:styleId="987" w:customStyle="1">
    <w:name w:val="列出段落"/>
    <w:basedOn w:val="732"/>
    <w:uiPriority w:val="0"/>
    <w:qFormat/>
    <w:pPr>
      <w:contextualSpacing/>
      <w:ind w:left="720"/>
      <w:jc w:val="left"/>
      <w:widowControl/>
    </w:pPr>
    <w:rPr>
      <w:sz w:val="24"/>
      <w:szCs w:val="24"/>
      <w:lang w:eastAsia="en-US" w:bidi="en-US"/>
    </w:rPr>
  </w:style>
  <w:style w:type="paragraph" w:styleId="988" w:customStyle="1">
    <w:name w:val="4"/>
    <w:basedOn w:val="732"/>
    <w:next w:val="770"/>
    <w:uiPriority w:val="0"/>
    <w:pPr>
      <w:ind w:firstLine="420"/>
      <w:spacing w:line="360" w:lineRule="auto"/>
    </w:pPr>
    <w:rPr>
      <w:rFonts w:ascii="Times New Roman" w:hAnsi="Times New Roman"/>
      <w:color w:val="ff0000"/>
      <w:sz w:val="24"/>
      <w:szCs w:val="24"/>
    </w:rPr>
  </w:style>
  <w:style w:type="paragraph" w:styleId="989" w:customStyle="1">
    <w:name w:val="普通 (Web)"/>
    <w:basedOn w:val="732"/>
    <w:uiPriority w:val="0"/>
    <w:qFormat/>
    <w:pPr>
      <w:jc w:val="left"/>
      <w:spacing w:before="100" w:beforeAutospacing="1" w:after="100" w:afterAutospacing="1"/>
      <w:widowControl/>
    </w:pPr>
    <w:rPr>
      <w:rFonts w:ascii="宋体" w:hAnsi="宋体"/>
      <w:sz w:val="24"/>
      <w:szCs w:val="24"/>
    </w:rPr>
  </w:style>
  <w:style w:type="paragraph" w:styleId="990" w:customStyle="1">
    <w:name w:val="Char Char Char Char Char Char Char Char Char Char"/>
    <w:basedOn w:val="732"/>
    <w:uiPriority w:val="0"/>
    <w:qFormat/>
    <w:pPr>
      <w:spacing w:line="360" w:lineRule="auto"/>
    </w:pPr>
    <w:rPr>
      <w:rFonts w:ascii="Times New Roman" w:hAnsi="Times New Roman"/>
      <w:sz w:val="24"/>
      <w:szCs w:val="20"/>
    </w:rPr>
  </w:style>
  <w:style w:type="paragraph" w:styleId="991" w:customStyle="1">
    <w:name w:val="样式1"/>
    <w:basedOn w:val="732"/>
    <w:uiPriority w:val="0"/>
    <w:pPr>
      <w:numPr>
        <w:ilvl w:val="0"/>
        <w:numId w:val="3"/>
      </w:numPr>
    </w:pPr>
    <w:rPr>
      <w:rFonts w:ascii="宋体" w:hAnsi="宋体"/>
      <w:szCs w:val="21"/>
    </w:rPr>
  </w:style>
  <w:style w:type="paragraph" w:styleId="992" w:customStyle="1">
    <w:name w:val="font6"/>
    <w:basedOn w:val="732"/>
    <w:uiPriority w:val="0"/>
    <w:pPr>
      <w:jc w:val="left"/>
      <w:spacing w:before="100" w:beforeAutospacing="1" w:after="100" w:afterAutospacing="1"/>
      <w:widowControl/>
    </w:pPr>
    <w:rPr>
      <w:rFonts w:hint="eastAsia" w:ascii="宋体" w:hAnsi="宋体"/>
      <w:sz w:val="28"/>
      <w:szCs w:val="28"/>
      <w:u w:val="single"/>
    </w:rPr>
  </w:style>
  <w:style w:type="paragraph" w:styleId="993" w:customStyle="1">
    <w:name w:val="xl25"/>
    <w:basedOn w:val="73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customStyle="1">
    <w:name w:val="图标"/>
    <w:basedOn w:val="732"/>
    <w:next w:val="73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95" w:customStyle="1">
    <w:name w:val="标题3"/>
    <w:basedOn w:val="732"/>
    <w:next w:val="732"/>
    <w:uiPriority w:val="0"/>
    <w:qFormat/>
    <w:pPr>
      <w:ind w:firstLine="624"/>
      <w:spacing w:line="590" w:lineRule="atLeast"/>
    </w:pPr>
    <w:rPr>
      <w:rFonts w:ascii="方正黑体_GBK" w:hAnsi="Times New Roman" w:eastAsia="方正黑体_GBK"/>
      <w:sz w:val="32"/>
      <w:szCs w:val="32"/>
    </w:rPr>
  </w:style>
  <w:style w:type="paragraph" w:styleId="996" w:customStyle="1">
    <w:name w:val="xl24"/>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customStyle="1">
    <w:name w:val="xl29"/>
    <w:basedOn w:val="73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8" w:customStyle="1">
    <w:name w:val="Char Char Char Char Char Char Char Char"/>
    <w:basedOn w:val="732"/>
    <w:uiPriority w:val="0"/>
    <w:pPr>
      <w:jc w:val="left"/>
      <w:spacing w:after="160" w:line="240" w:lineRule="exact"/>
      <w:widowControl/>
    </w:pPr>
    <w:rPr>
      <w:rFonts w:ascii="Verdana" w:hAnsi="Verdana"/>
      <w:sz w:val="20"/>
      <w:szCs w:val="20"/>
      <w:lang w:eastAsia="en-US"/>
    </w:rPr>
  </w:style>
  <w:style w:type="paragraph" w:styleId="999"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0" w:customStyle="1">
    <w:name w:val="Char Char Char Char Char Char Char Char1"/>
    <w:basedOn w:val="732"/>
    <w:uiPriority w:val="0"/>
    <w:qFormat/>
    <w:pPr>
      <w:jc w:val="left"/>
      <w:spacing w:after="160" w:line="240" w:lineRule="exact"/>
      <w:widowControl/>
    </w:pPr>
    <w:rPr>
      <w:rFonts w:ascii="Verdana" w:hAnsi="Verdana"/>
      <w:sz w:val="20"/>
      <w:szCs w:val="20"/>
      <w:lang w:eastAsia="en-US"/>
    </w:rPr>
  </w:style>
  <w:style w:type="paragraph" w:styleId="1001" w:customStyle="1">
    <w:name w:val="xl30"/>
    <w:basedOn w:val="732"/>
    <w:uiPriority w:val="0"/>
    <w:qFormat/>
    <w:pPr>
      <w:jc w:val="center"/>
      <w:spacing w:before="100" w:beforeAutospacing="1" w:after="100" w:afterAutospacing="1"/>
      <w:widowControl/>
    </w:pPr>
    <w:rPr>
      <w:rFonts w:ascii="宋体" w:hAnsi="宋体"/>
      <w:b/>
      <w:bCs/>
      <w:sz w:val="36"/>
      <w:szCs w:val="36"/>
    </w:rPr>
  </w:style>
  <w:style w:type="paragraph" w:styleId="1002" w:customStyle="1">
    <w:name w:val="Char Char Char Char1"/>
    <w:basedOn w:val="748"/>
    <w:uiPriority w:val="0"/>
    <w:qFormat/>
    <w:pPr>
      <w:spacing w:line="360" w:lineRule="auto"/>
    </w:pPr>
    <w:rPr>
      <w:rFonts w:ascii="Tahoma" w:hAnsi="Tahoma"/>
      <w:sz w:val="24"/>
      <w:szCs w:val="24"/>
    </w:rPr>
  </w:style>
  <w:style w:type="paragraph" w:styleId="1003" w:customStyle="1">
    <w:name w:val="table_1stline"/>
    <w:basedOn w:val="732"/>
    <w:uiPriority w:val="0"/>
    <w:qFormat/>
    <w:pPr>
      <w:jc w:val="left"/>
      <w:spacing w:before="120"/>
      <w:widowControl/>
    </w:pPr>
    <w:rPr>
      <w:rFonts w:ascii="Times New Roman" w:hAnsi="Times New Roman"/>
      <w:bCs/>
      <w:sz w:val="20"/>
      <w:szCs w:val="20"/>
      <w:lang w:val="de-DE" w:eastAsia="de-DE"/>
    </w:rPr>
  </w:style>
  <w:style w:type="paragraph" w:styleId="1004" w:customStyle="1">
    <w:name w:val="font5"/>
    <w:basedOn w:val="732"/>
    <w:uiPriority w:val="0"/>
    <w:qFormat/>
    <w:pPr>
      <w:jc w:val="left"/>
      <w:spacing w:before="100" w:beforeAutospacing="1" w:after="100" w:afterAutospacing="1"/>
      <w:widowControl/>
    </w:pPr>
    <w:rPr>
      <w:rFonts w:hint="eastAsia" w:ascii="宋体" w:hAnsi="宋体"/>
      <w:sz w:val="28"/>
      <w:szCs w:val="28"/>
    </w:rPr>
  </w:style>
  <w:style w:type="paragraph" w:styleId="1005" w:customStyle="1">
    <w:name w:val="标题1"/>
    <w:basedOn w:val="732"/>
    <w:next w:val="732"/>
    <w:uiPriority w:val="0"/>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06" w:customStyle="1">
    <w:name w:val="Revision"/>
    <w:uiPriority w:val="99"/>
    <w:semiHidden/>
    <w:qFormat/>
    <w:rPr>
      <w:rFonts w:ascii="Times New Roman" w:hAnsi="Times New Roman" w:eastAsia="宋体" w:cs="Times New Roman"/>
      <w:sz w:val="21"/>
      <w:szCs w:val="21"/>
      <w:lang w:val="en-US" w:eastAsia="zh-CN" w:bidi="ar-SA"/>
    </w:rPr>
  </w:style>
  <w:style w:type="paragraph" w:styleId="100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9</cp:revision>
  <dcterms:created xsi:type="dcterms:W3CDTF">2023-03-27T07:28:00Z</dcterms:created>
  <dcterms:modified xsi:type="dcterms:W3CDTF">2025-12-15T04:24:11Z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eyJoZGlkIjoiOGVmMTA1MjNlOTllNzE0NjI5OTFmMTAzMjJlOWU3N2QiLCJ1c2VySWQiOiI0Njk1NTcwNzAifQ==</vt:lpwstr>
  </property>
  <property fmtid="{D5CDD505-2E9C-101B-9397-08002B2CF9AE}" pid="3" name="KSOProductBuildVer">
    <vt:lpwstr>2052-12.1.0.24034</vt:lpwstr>
  </property>
  <property fmtid="{D5CDD505-2E9C-101B-9397-08002B2CF9AE}" pid="4" name="ICV">
    <vt:lpwstr>1DBFDB6E7C6147728B98F2D6E09256D9_13</vt:lpwstr>
  </property>
</Properties>
</file>