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C20A9F">
      <w:pPr>
        <w:pageBreakBefore/>
        <w:spacing w:before="120" w:beforeLines="50"/>
        <w:ind w:firstLine="0" w:firstLineChars="0"/>
        <w:jc w:val="center"/>
        <w:rPr>
          <w:rFonts w:ascii="仿宋" w:hAnsi="仿宋" w:eastAsia="仿宋"/>
          <w:b/>
          <w:bCs/>
          <w:color w:val="auto"/>
          <w:sz w:val="30"/>
          <w:szCs w:val="30"/>
        </w:rPr>
      </w:pPr>
      <w:bookmarkStart w:id="3" w:name="_GoBack"/>
      <w:r>
        <w:rPr>
          <w:rFonts w:hint="eastAsia"/>
          <w:b/>
          <w:color w:val="auto"/>
          <w:sz w:val="30"/>
          <w:szCs w:val="30"/>
          <w:highlight w:val="white"/>
        </w:rPr>
        <w:t>招标技术标准和要求</w:t>
      </w:r>
    </w:p>
    <w:p w14:paraId="6629FB45">
      <w:pPr>
        <w:ind w:firstLine="482"/>
        <w:rPr>
          <w:rFonts w:ascii="仿宋_GB2312" w:hAnsi="仿宋"/>
          <w:b/>
          <w:color w:val="auto"/>
          <w:szCs w:val="24"/>
        </w:rPr>
      </w:pPr>
      <w:r>
        <w:rPr>
          <w:rFonts w:hint="eastAsia" w:ascii="仿宋_GB2312" w:hAnsi="仿宋"/>
          <w:b/>
          <w:color w:val="auto"/>
          <w:szCs w:val="24"/>
        </w:rPr>
        <w:t>一、工程概况</w:t>
      </w:r>
    </w:p>
    <w:p w14:paraId="4D8CA36B">
      <w:pPr>
        <w:ind w:firstLine="424" w:firstLineChars="177"/>
        <w:rPr>
          <w:rFonts w:hint="eastAsia" w:ascii="宋体" w:hAnsi="宋体"/>
          <w:color w:val="auto"/>
          <w:szCs w:val="21"/>
        </w:rPr>
      </w:pPr>
      <w:r>
        <w:rPr>
          <w:rFonts w:hint="eastAsia" w:ascii="宋体" w:hAnsi="宋体"/>
          <w:color w:val="auto"/>
          <w:szCs w:val="21"/>
        </w:rPr>
        <w:t>对园区城铁站内部分设施以及园区范围内指定的电子显示屏、雕塑、廊架、景观亭等建构筑物进行排查、检测。对排查检测对象的结构性能、材料状况、整体稳定以及功能状态进行综合评估，并出具相应报告。作业过程及报告内容应符合以下国家规范及行业标准要求。</w:t>
      </w:r>
    </w:p>
    <w:p w14:paraId="7EACF9B9">
      <w:pPr>
        <w:ind w:firstLine="426" w:firstLineChars="177"/>
        <w:rPr>
          <w:rFonts w:ascii="宋体" w:hAnsi="宋体"/>
          <w:b/>
          <w:bCs/>
          <w:color w:val="auto"/>
          <w:szCs w:val="21"/>
        </w:rPr>
      </w:pPr>
      <w:r>
        <w:rPr>
          <w:rFonts w:ascii="宋体" w:hAnsi="宋体"/>
          <w:b/>
          <w:bCs/>
          <w:color w:val="auto"/>
          <w:szCs w:val="21"/>
        </w:rPr>
        <w:t>检测</w:t>
      </w:r>
      <w:r>
        <w:rPr>
          <w:rFonts w:hint="eastAsia" w:ascii="宋体" w:hAnsi="宋体"/>
          <w:b/>
          <w:bCs/>
          <w:color w:val="auto"/>
          <w:szCs w:val="21"/>
        </w:rPr>
        <w:t>依据</w:t>
      </w:r>
      <w:r>
        <w:rPr>
          <w:rFonts w:ascii="宋体" w:hAnsi="宋体"/>
          <w:b/>
          <w:bCs/>
          <w:color w:val="auto"/>
          <w:szCs w:val="21"/>
        </w:rPr>
        <w:t>：</w:t>
      </w:r>
    </w:p>
    <w:p w14:paraId="14EA227E">
      <w:pPr>
        <w:spacing w:line="500" w:lineRule="exact"/>
        <w:ind w:firstLine="480"/>
        <w:jc w:val="left"/>
        <w:rPr>
          <w:rFonts w:hint="eastAsia" w:ascii="仿宋_GB2312" w:hAnsi="宋体"/>
          <w:color w:val="auto"/>
          <w:kern w:val="0"/>
          <w:szCs w:val="24"/>
        </w:rPr>
      </w:pPr>
      <w:r>
        <w:rPr>
          <w:rFonts w:ascii="仿宋_GB2312" w:hAnsi="宋体"/>
          <w:color w:val="auto"/>
          <w:kern w:val="0"/>
          <w:szCs w:val="24"/>
        </w:rPr>
        <w:t>1</w:t>
      </w:r>
      <w:r>
        <w:rPr>
          <w:rFonts w:hint="eastAsia" w:ascii="仿宋_GB2312" w:hAnsi="宋体"/>
          <w:color w:val="auto"/>
          <w:kern w:val="0"/>
          <w:szCs w:val="24"/>
        </w:rPr>
        <w:t>.</w:t>
      </w:r>
      <w:r>
        <w:rPr>
          <w:rFonts w:hint="eastAsia"/>
          <w:color w:val="auto"/>
        </w:rPr>
        <w:t>《</w:t>
      </w:r>
      <w:r>
        <w:rPr>
          <w:rFonts w:hint="eastAsia" w:ascii="仿宋_GB2312" w:hAnsi="宋体"/>
          <w:color w:val="auto"/>
          <w:kern w:val="0"/>
          <w:szCs w:val="24"/>
        </w:rPr>
        <w:t>城镇户外广告和店招标牌设施设置技术规范》DGJ32/J 146-2013；</w:t>
      </w:r>
    </w:p>
    <w:p w14:paraId="2FBB2B08">
      <w:pPr>
        <w:spacing w:line="500" w:lineRule="exact"/>
        <w:ind w:firstLine="480"/>
        <w:jc w:val="left"/>
        <w:rPr>
          <w:rFonts w:hint="eastAsia" w:ascii="仿宋_GB2312" w:hAnsi="宋体"/>
          <w:color w:val="auto"/>
          <w:kern w:val="0"/>
          <w:szCs w:val="24"/>
        </w:rPr>
      </w:pPr>
      <w:r>
        <w:rPr>
          <w:rFonts w:ascii="仿宋_GB2312" w:hAnsi="宋体"/>
          <w:color w:val="auto"/>
          <w:kern w:val="0"/>
          <w:szCs w:val="24"/>
        </w:rPr>
        <w:t>2</w:t>
      </w:r>
      <w:r>
        <w:rPr>
          <w:rFonts w:hint="eastAsia" w:ascii="仿宋_GB2312" w:hAnsi="宋体"/>
          <w:color w:val="auto"/>
          <w:kern w:val="0"/>
          <w:szCs w:val="24"/>
        </w:rPr>
        <w:t>.《城市户外广告和招牌设施技术标准》CJJ/T 149-2021；</w:t>
      </w:r>
    </w:p>
    <w:p w14:paraId="62904A6A">
      <w:pPr>
        <w:spacing w:line="500" w:lineRule="exact"/>
        <w:ind w:firstLine="480"/>
        <w:jc w:val="left"/>
        <w:rPr>
          <w:rFonts w:hint="eastAsia" w:ascii="仿宋_GB2312" w:hAnsi="宋体"/>
          <w:color w:val="auto"/>
          <w:kern w:val="0"/>
          <w:szCs w:val="24"/>
        </w:rPr>
      </w:pPr>
      <w:r>
        <w:rPr>
          <w:rFonts w:ascii="仿宋_GB2312" w:hAnsi="宋体"/>
          <w:color w:val="auto"/>
          <w:kern w:val="0"/>
          <w:szCs w:val="24"/>
        </w:rPr>
        <w:t>3</w:t>
      </w:r>
      <w:r>
        <w:rPr>
          <w:rFonts w:hint="eastAsia" w:ascii="仿宋_GB2312" w:hAnsi="宋体"/>
          <w:color w:val="auto"/>
          <w:kern w:val="0"/>
          <w:szCs w:val="24"/>
        </w:rPr>
        <w:t>.《户外广告设施钢结构技术规程》 CECS 148:2003</w:t>
      </w:r>
    </w:p>
    <w:p w14:paraId="047E7D1B">
      <w:pPr>
        <w:spacing w:line="500" w:lineRule="exact"/>
        <w:ind w:firstLine="480"/>
        <w:jc w:val="left"/>
        <w:rPr>
          <w:rFonts w:hint="eastAsia" w:ascii="仿宋_GB2312" w:hAnsi="宋体"/>
          <w:color w:val="auto"/>
          <w:kern w:val="0"/>
          <w:szCs w:val="24"/>
        </w:rPr>
      </w:pPr>
      <w:r>
        <w:rPr>
          <w:rFonts w:ascii="仿宋_GB2312" w:hAnsi="宋体"/>
          <w:color w:val="auto"/>
          <w:kern w:val="0"/>
          <w:szCs w:val="24"/>
        </w:rPr>
        <w:t>4</w:t>
      </w:r>
      <w:r>
        <w:rPr>
          <w:rFonts w:hint="eastAsia" w:ascii="仿宋_GB2312" w:hAnsi="宋体"/>
          <w:color w:val="auto"/>
          <w:kern w:val="0"/>
          <w:szCs w:val="24"/>
        </w:rPr>
        <w:t>.《户外广告设施结构技术规程》 DG/TJ08-20014-2002</w:t>
      </w:r>
    </w:p>
    <w:p w14:paraId="47C35346">
      <w:pPr>
        <w:spacing w:line="500" w:lineRule="exact"/>
        <w:ind w:firstLine="480"/>
        <w:jc w:val="left"/>
        <w:rPr>
          <w:rFonts w:hint="eastAsia" w:ascii="仿宋_GB2312" w:hAnsi="宋体"/>
          <w:color w:val="auto"/>
          <w:kern w:val="0"/>
          <w:szCs w:val="24"/>
        </w:rPr>
      </w:pPr>
      <w:r>
        <w:rPr>
          <w:rFonts w:ascii="仿宋_GB2312" w:hAnsi="宋体"/>
          <w:color w:val="auto"/>
          <w:kern w:val="0"/>
          <w:szCs w:val="24"/>
        </w:rPr>
        <w:t>5</w:t>
      </w:r>
      <w:r>
        <w:rPr>
          <w:rFonts w:hint="eastAsia" w:ascii="仿宋_GB2312" w:hAnsi="宋体"/>
          <w:color w:val="auto"/>
          <w:kern w:val="0"/>
          <w:szCs w:val="24"/>
        </w:rPr>
        <w:t>.《景观与雕塑钢结构检测与鉴定技术标准》 （征求意见稿）</w:t>
      </w:r>
    </w:p>
    <w:p w14:paraId="69401955">
      <w:pPr>
        <w:spacing w:line="500" w:lineRule="exact"/>
        <w:ind w:firstLine="480"/>
        <w:jc w:val="left"/>
        <w:rPr>
          <w:rFonts w:hint="eastAsia" w:ascii="仿宋_GB2312" w:hAnsi="宋体"/>
          <w:color w:val="auto"/>
          <w:kern w:val="0"/>
          <w:szCs w:val="24"/>
        </w:rPr>
      </w:pPr>
      <w:r>
        <w:rPr>
          <w:rFonts w:ascii="仿宋_GB2312" w:hAnsi="宋体"/>
          <w:color w:val="auto"/>
          <w:kern w:val="0"/>
          <w:szCs w:val="24"/>
        </w:rPr>
        <w:t>6</w:t>
      </w:r>
      <w:r>
        <w:rPr>
          <w:rFonts w:hint="eastAsia" w:ascii="仿宋_GB2312" w:hAnsi="宋体"/>
          <w:color w:val="auto"/>
          <w:kern w:val="0"/>
          <w:szCs w:val="24"/>
        </w:rPr>
        <w:t>.《钢结构现场检测技术标准》GB/T 50621-2010；</w:t>
      </w:r>
    </w:p>
    <w:p w14:paraId="55D8E644">
      <w:pPr>
        <w:spacing w:line="500" w:lineRule="exact"/>
        <w:ind w:firstLine="480"/>
        <w:jc w:val="left"/>
        <w:rPr>
          <w:rFonts w:hint="eastAsia" w:ascii="仿宋_GB2312" w:hAnsi="宋体"/>
          <w:color w:val="auto"/>
          <w:kern w:val="0"/>
          <w:szCs w:val="24"/>
        </w:rPr>
      </w:pPr>
      <w:r>
        <w:rPr>
          <w:rFonts w:ascii="仿宋_GB2312" w:hAnsi="宋体"/>
          <w:color w:val="auto"/>
          <w:kern w:val="0"/>
          <w:szCs w:val="24"/>
        </w:rPr>
        <w:t>7</w:t>
      </w:r>
      <w:r>
        <w:rPr>
          <w:rFonts w:hint="eastAsia" w:ascii="仿宋_GB2312" w:hAnsi="宋体"/>
          <w:color w:val="auto"/>
          <w:kern w:val="0"/>
          <w:szCs w:val="24"/>
        </w:rPr>
        <w:t>.《建筑变形测量规范》JGJ 8-2016；</w:t>
      </w:r>
    </w:p>
    <w:p w14:paraId="668AD9A2">
      <w:pPr>
        <w:spacing w:line="500" w:lineRule="exact"/>
        <w:ind w:firstLine="480"/>
        <w:jc w:val="left"/>
        <w:rPr>
          <w:rFonts w:hint="eastAsia" w:ascii="仿宋_GB2312" w:hAnsi="宋体"/>
          <w:color w:val="auto"/>
          <w:kern w:val="0"/>
          <w:szCs w:val="24"/>
        </w:rPr>
      </w:pPr>
      <w:r>
        <w:rPr>
          <w:rFonts w:ascii="仿宋_GB2312" w:hAnsi="宋体"/>
          <w:color w:val="auto"/>
          <w:kern w:val="0"/>
          <w:szCs w:val="24"/>
        </w:rPr>
        <w:t>8</w:t>
      </w:r>
      <w:r>
        <w:rPr>
          <w:rFonts w:hint="eastAsia" w:ascii="仿宋_GB2312" w:hAnsi="宋体"/>
          <w:color w:val="auto"/>
          <w:kern w:val="0"/>
          <w:szCs w:val="24"/>
        </w:rPr>
        <w:t>.《钢结构工程施工质量验收标准》GB 50205-2020；</w:t>
      </w:r>
    </w:p>
    <w:p w14:paraId="3646A477">
      <w:pPr>
        <w:spacing w:line="500" w:lineRule="exact"/>
        <w:ind w:firstLine="480"/>
        <w:jc w:val="left"/>
        <w:rPr>
          <w:rFonts w:hint="eastAsia" w:ascii="仿宋_GB2312" w:hAnsi="宋体"/>
          <w:color w:val="auto"/>
          <w:kern w:val="0"/>
          <w:szCs w:val="24"/>
        </w:rPr>
      </w:pPr>
      <w:r>
        <w:rPr>
          <w:rFonts w:ascii="仿宋_GB2312" w:hAnsi="宋体"/>
          <w:color w:val="auto"/>
          <w:kern w:val="0"/>
          <w:szCs w:val="24"/>
        </w:rPr>
        <w:t>9</w:t>
      </w:r>
      <w:r>
        <w:rPr>
          <w:rFonts w:hint="eastAsia" w:ascii="仿宋_GB2312" w:hAnsi="宋体"/>
          <w:color w:val="auto"/>
          <w:kern w:val="0"/>
          <w:szCs w:val="24"/>
        </w:rPr>
        <w:t>.《建筑结构荷载规范》GB 50009-2012；</w:t>
      </w:r>
    </w:p>
    <w:p w14:paraId="25AC424E">
      <w:pPr>
        <w:spacing w:line="500" w:lineRule="exact"/>
        <w:ind w:firstLine="480"/>
        <w:jc w:val="left"/>
        <w:rPr>
          <w:rFonts w:hint="eastAsia" w:ascii="仿宋_GB2312" w:hAnsi="宋体"/>
          <w:color w:val="auto"/>
          <w:kern w:val="0"/>
          <w:szCs w:val="24"/>
        </w:rPr>
      </w:pPr>
      <w:r>
        <w:rPr>
          <w:rFonts w:ascii="仿宋_GB2312" w:hAnsi="宋体"/>
          <w:color w:val="auto"/>
          <w:kern w:val="0"/>
          <w:szCs w:val="24"/>
        </w:rPr>
        <w:t>10</w:t>
      </w:r>
      <w:r>
        <w:rPr>
          <w:rFonts w:hint="eastAsia" w:ascii="仿宋_GB2312" w:hAnsi="宋体"/>
          <w:color w:val="auto"/>
          <w:kern w:val="0"/>
          <w:szCs w:val="24"/>
        </w:rPr>
        <w:t>.《钢结构设计标准》GB 50017-2017；</w:t>
      </w:r>
    </w:p>
    <w:p w14:paraId="10603619">
      <w:pPr>
        <w:spacing w:line="500" w:lineRule="exact"/>
        <w:ind w:firstLine="480"/>
        <w:jc w:val="left"/>
        <w:rPr>
          <w:rFonts w:hint="eastAsia" w:ascii="仿宋_GB2312" w:hAnsi="宋体"/>
          <w:color w:val="auto"/>
          <w:kern w:val="0"/>
          <w:szCs w:val="24"/>
        </w:rPr>
      </w:pPr>
      <w:r>
        <w:rPr>
          <w:rFonts w:ascii="仿宋_GB2312" w:hAnsi="宋体"/>
          <w:color w:val="auto"/>
          <w:kern w:val="0"/>
          <w:szCs w:val="24"/>
        </w:rPr>
        <w:t>11</w:t>
      </w:r>
      <w:r>
        <w:rPr>
          <w:rFonts w:hint="eastAsia" w:ascii="仿宋_GB2312" w:hAnsi="宋体"/>
          <w:color w:val="auto"/>
          <w:kern w:val="0"/>
          <w:szCs w:val="24"/>
        </w:rPr>
        <w:t>.《碳素结构钢》GB/T 700-2006；</w:t>
      </w:r>
    </w:p>
    <w:p w14:paraId="3A37C7B9">
      <w:pPr>
        <w:spacing w:line="500" w:lineRule="exact"/>
        <w:ind w:firstLine="480"/>
        <w:jc w:val="left"/>
        <w:rPr>
          <w:rFonts w:hint="eastAsia" w:ascii="仿宋_GB2312" w:hAnsi="宋体"/>
          <w:color w:val="auto"/>
          <w:kern w:val="0"/>
          <w:szCs w:val="24"/>
        </w:rPr>
      </w:pPr>
      <w:r>
        <w:rPr>
          <w:rFonts w:ascii="仿宋_GB2312" w:hAnsi="宋体"/>
          <w:color w:val="auto"/>
          <w:kern w:val="0"/>
          <w:szCs w:val="24"/>
        </w:rPr>
        <w:t>12</w:t>
      </w:r>
      <w:r>
        <w:rPr>
          <w:rFonts w:hint="eastAsia" w:ascii="仿宋_GB2312" w:hAnsi="宋体"/>
          <w:color w:val="auto"/>
          <w:kern w:val="0"/>
          <w:szCs w:val="24"/>
        </w:rPr>
        <w:t>.《低合金高强度结构钢》GB/T 1591-2018；</w:t>
      </w:r>
    </w:p>
    <w:p w14:paraId="72451E64">
      <w:pPr>
        <w:spacing w:line="500" w:lineRule="exact"/>
        <w:ind w:firstLine="480"/>
        <w:jc w:val="left"/>
        <w:rPr>
          <w:rFonts w:ascii="仿宋_GB2312" w:hAnsi="宋体"/>
          <w:color w:val="auto"/>
          <w:kern w:val="0"/>
          <w:szCs w:val="24"/>
        </w:rPr>
      </w:pPr>
      <w:r>
        <w:rPr>
          <w:rFonts w:ascii="仿宋_GB2312" w:hAnsi="宋体"/>
          <w:color w:val="auto"/>
          <w:kern w:val="0"/>
          <w:szCs w:val="24"/>
        </w:rPr>
        <w:t>13</w:t>
      </w:r>
      <w:r>
        <w:rPr>
          <w:rFonts w:hint="eastAsia" w:ascii="仿宋_GB2312" w:hAnsi="宋体"/>
          <w:color w:val="auto"/>
          <w:kern w:val="0"/>
          <w:szCs w:val="24"/>
        </w:rPr>
        <w:t>.《不锈钢结构技术规程》CECS410：2015；</w:t>
      </w:r>
    </w:p>
    <w:p w14:paraId="3A59EE6D">
      <w:pPr>
        <w:spacing w:line="500" w:lineRule="exact"/>
        <w:ind w:firstLine="480"/>
        <w:jc w:val="left"/>
        <w:rPr>
          <w:rFonts w:ascii="仿宋_GB2312" w:hAnsi="宋体"/>
          <w:color w:val="auto"/>
          <w:kern w:val="0"/>
          <w:szCs w:val="24"/>
        </w:rPr>
      </w:pPr>
      <w:r>
        <w:rPr>
          <w:rFonts w:ascii="仿宋_GB2312" w:hAnsi="宋体"/>
          <w:color w:val="auto"/>
          <w:kern w:val="0"/>
          <w:szCs w:val="24"/>
        </w:rPr>
        <w:t>14</w:t>
      </w:r>
      <w:r>
        <w:rPr>
          <w:rFonts w:hint="eastAsia" w:ascii="仿宋_GB2312" w:hAnsi="宋体"/>
          <w:color w:val="auto"/>
          <w:kern w:val="0"/>
          <w:szCs w:val="24"/>
        </w:rPr>
        <w:t>.</w:t>
      </w:r>
      <w:r>
        <w:rPr>
          <w:rFonts w:ascii="仿宋_GB2312" w:hAnsi="宋体"/>
          <w:color w:val="auto"/>
          <w:kern w:val="0"/>
          <w:szCs w:val="24"/>
        </w:rPr>
        <w:t xml:space="preserve"> </w:t>
      </w:r>
      <w:r>
        <w:rPr>
          <w:rFonts w:hint="eastAsia" w:ascii="仿宋_GB2312" w:hAnsi="宋体"/>
          <w:color w:val="auto"/>
          <w:kern w:val="0"/>
          <w:szCs w:val="24"/>
        </w:rPr>
        <w:t>GB/T3280-2015《不锈钢冷轧钢板和钢带》；</w:t>
      </w:r>
    </w:p>
    <w:p w14:paraId="7BAE8F92">
      <w:pPr>
        <w:spacing w:line="500" w:lineRule="exact"/>
        <w:ind w:firstLine="480"/>
        <w:jc w:val="left"/>
        <w:rPr>
          <w:rFonts w:ascii="仿宋_GB2312" w:hAnsi="宋体"/>
          <w:color w:val="auto"/>
          <w:kern w:val="0"/>
          <w:szCs w:val="24"/>
        </w:rPr>
      </w:pPr>
      <w:r>
        <w:rPr>
          <w:rFonts w:ascii="仿宋_GB2312" w:hAnsi="宋体"/>
          <w:color w:val="auto"/>
          <w:kern w:val="0"/>
          <w:szCs w:val="24"/>
        </w:rPr>
        <w:t>15</w:t>
      </w:r>
      <w:r>
        <w:rPr>
          <w:rFonts w:hint="eastAsia" w:ascii="仿宋_GB2312" w:hAnsi="宋体"/>
          <w:color w:val="auto"/>
          <w:kern w:val="0"/>
          <w:szCs w:val="24"/>
        </w:rPr>
        <w:t>.</w:t>
      </w:r>
      <w:r>
        <w:rPr>
          <w:rFonts w:ascii="仿宋_GB2312" w:hAnsi="宋体"/>
          <w:color w:val="auto"/>
          <w:kern w:val="0"/>
          <w:szCs w:val="24"/>
        </w:rPr>
        <w:t xml:space="preserve"> </w:t>
      </w:r>
      <w:r>
        <w:rPr>
          <w:rFonts w:hint="eastAsia" w:ascii="仿宋_GB2312" w:hAnsi="宋体"/>
          <w:color w:val="auto"/>
          <w:kern w:val="0"/>
          <w:szCs w:val="24"/>
        </w:rPr>
        <w:t>GB/T11345-2023《焊缝无损检测 超声检测 技术、检测等级和评定》；</w:t>
      </w:r>
    </w:p>
    <w:p w14:paraId="17C990C9">
      <w:pPr>
        <w:spacing w:line="500" w:lineRule="exact"/>
        <w:ind w:firstLine="480"/>
        <w:jc w:val="left"/>
        <w:rPr>
          <w:rFonts w:ascii="仿宋_GB2312" w:hAnsi="宋体"/>
          <w:color w:val="auto"/>
          <w:kern w:val="0"/>
          <w:szCs w:val="24"/>
        </w:rPr>
      </w:pPr>
      <w:r>
        <w:rPr>
          <w:rFonts w:ascii="仿宋_GB2312" w:hAnsi="宋体"/>
          <w:color w:val="auto"/>
          <w:kern w:val="0"/>
          <w:szCs w:val="24"/>
        </w:rPr>
        <w:t>16</w:t>
      </w:r>
      <w:r>
        <w:rPr>
          <w:rFonts w:hint="eastAsia" w:ascii="仿宋_GB2312" w:hAnsi="宋体"/>
          <w:color w:val="auto"/>
          <w:kern w:val="0"/>
          <w:szCs w:val="24"/>
        </w:rPr>
        <w:t>. JG-T203-2007 《钢结构超声波探伤及质量分级法》；</w:t>
      </w:r>
    </w:p>
    <w:p w14:paraId="22B0B431">
      <w:pPr>
        <w:spacing w:line="500" w:lineRule="exact"/>
        <w:ind w:firstLine="480"/>
        <w:jc w:val="left"/>
        <w:rPr>
          <w:rFonts w:hint="eastAsia" w:ascii="仿宋_GB2312" w:hAnsi="宋体"/>
          <w:color w:val="auto"/>
          <w:kern w:val="0"/>
          <w:szCs w:val="24"/>
        </w:rPr>
      </w:pPr>
      <w:r>
        <w:rPr>
          <w:rFonts w:ascii="仿宋_GB2312" w:hAnsi="宋体"/>
          <w:color w:val="auto"/>
          <w:kern w:val="0"/>
          <w:szCs w:val="24"/>
        </w:rPr>
        <w:t>17</w:t>
      </w:r>
      <w:r>
        <w:rPr>
          <w:rFonts w:hint="eastAsia" w:ascii="仿宋_GB2312" w:hAnsi="宋体"/>
          <w:color w:val="auto"/>
          <w:kern w:val="0"/>
          <w:szCs w:val="24"/>
        </w:rPr>
        <w:t>.《钢结构焊接规范》GB 50661-2011</w:t>
      </w:r>
    </w:p>
    <w:p w14:paraId="60238B44">
      <w:pPr>
        <w:spacing w:line="500" w:lineRule="exact"/>
        <w:ind w:firstLine="480"/>
        <w:jc w:val="left"/>
        <w:rPr>
          <w:rFonts w:ascii="仿宋_GB2312" w:hAnsi="宋体"/>
          <w:color w:val="auto"/>
          <w:kern w:val="0"/>
          <w:szCs w:val="24"/>
        </w:rPr>
      </w:pPr>
      <w:r>
        <w:rPr>
          <w:rFonts w:hint="eastAsia" w:ascii="仿宋_GB2312" w:hAnsi="宋体"/>
          <w:color w:val="auto"/>
          <w:kern w:val="0"/>
          <w:szCs w:val="24"/>
        </w:rPr>
        <w:t>18.《建筑结构检测技术标准》GB/T 50344-2019</w:t>
      </w:r>
    </w:p>
    <w:p w14:paraId="1369E7FE">
      <w:pPr>
        <w:spacing w:line="500" w:lineRule="exact"/>
        <w:ind w:firstLine="480" w:firstLineChars="0"/>
        <w:jc w:val="left"/>
        <w:rPr>
          <w:rFonts w:hint="eastAsia" w:ascii="仿宋_GB2312" w:hAnsi="宋体" w:cs="Times New Roman"/>
          <w:color w:val="auto"/>
          <w:kern w:val="0"/>
          <w:szCs w:val="24"/>
        </w:rPr>
      </w:pPr>
      <w:r>
        <w:rPr>
          <w:rFonts w:hint="eastAsia" w:ascii="仿宋_GB2312" w:hAnsi="宋体" w:cs="Times New Roman"/>
          <w:color w:val="auto"/>
          <w:kern w:val="0"/>
          <w:szCs w:val="24"/>
          <w:lang w:val="en-US" w:eastAsia="zh-CN"/>
        </w:rPr>
        <w:t>19</w:t>
      </w:r>
      <w:r>
        <w:rPr>
          <w:rFonts w:hint="eastAsia" w:ascii="仿宋_GB2312" w:hAnsi="宋体" w:cs="Times New Roman"/>
          <w:color w:val="auto"/>
          <w:kern w:val="0"/>
          <w:szCs w:val="24"/>
        </w:rPr>
        <w:t>.《木结构工程施工质量验收规范》（GB50206-2012）；</w:t>
      </w:r>
    </w:p>
    <w:p w14:paraId="42721C47">
      <w:pPr>
        <w:spacing w:line="500" w:lineRule="exact"/>
        <w:ind w:firstLine="480"/>
        <w:jc w:val="left"/>
        <w:rPr>
          <w:rFonts w:hint="eastAsia" w:ascii="仿宋_GB2312" w:hAnsi="宋体"/>
          <w:color w:val="auto"/>
          <w:kern w:val="0"/>
          <w:szCs w:val="24"/>
        </w:rPr>
      </w:pPr>
      <w:r>
        <w:rPr>
          <w:rFonts w:hint="eastAsia" w:ascii="仿宋_GB2312" w:hAnsi="宋体"/>
          <w:color w:val="auto"/>
          <w:kern w:val="0"/>
          <w:szCs w:val="24"/>
          <w:lang w:val="en-US" w:eastAsia="zh-CN"/>
        </w:rPr>
        <w:t>20</w:t>
      </w:r>
      <w:r>
        <w:rPr>
          <w:rFonts w:hint="eastAsia" w:ascii="仿宋_GB2312" w:hAnsi="宋体"/>
          <w:color w:val="auto"/>
          <w:kern w:val="0"/>
          <w:szCs w:val="24"/>
        </w:rPr>
        <w:t>. 其它相关国家标准及规范。</w:t>
      </w:r>
    </w:p>
    <w:p w14:paraId="65015CAB">
      <w:pPr>
        <w:ind w:firstLine="424" w:firstLineChars="177"/>
        <w:rPr>
          <w:rFonts w:hint="default" w:ascii="宋体" w:hAnsi="宋体" w:eastAsia="仿宋_GB2312"/>
          <w:color w:val="auto"/>
          <w:szCs w:val="21"/>
          <w:lang w:val="en-US" w:eastAsia="zh-CN"/>
        </w:rPr>
      </w:pPr>
      <w:r>
        <w:rPr>
          <w:rFonts w:hint="eastAsia" w:ascii="宋体" w:hAnsi="宋体"/>
          <w:color w:val="auto"/>
          <w:szCs w:val="21"/>
          <w:lang w:val="en-US" w:eastAsia="zh-CN"/>
        </w:rPr>
        <w:t>规范若有更新，以最新颁布的为准。</w:t>
      </w:r>
    </w:p>
    <w:p w14:paraId="231D115A">
      <w:pPr>
        <w:ind w:firstLine="482"/>
        <w:rPr>
          <w:rFonts w:ascii="仿宋" w:hAnsi="仿宋" w:eastAsia="仿宋"/>
          <w:b/>
          <w:color w:val="auto"/>
          <w:szCs w:val="24"/>
        </w:rPr>
      </w:pPr>
      <w:r>
        <w:rPr>
          <w:rFonts w:hint="eastAsia" w:ascii="仿宋" w:hAnsi="仿宋" w:eastAsia="仿宋"/>
          <w:b/>
          <w:color w:val="auto"/>
          <w:szCs w:val="24"/>
        </w:rPr>
        <w:t>二、</w:t>
      </w:r>
      <w:r>
        <w:rPr>
          <w:rFonts w:ascii="仿宋" w:hAnsi="仿宋" w:eastAsia="仿宋"/>
          <w:b/>
          <w:color w:val="auto"/>
          <w:szCs w:val="24"/>
        </w:rPr>
        <w:t>标段划分</w:t>
      </w:r>
    </w:p>
    <w:p w14:paraId="0A6D0349">
      <w:pPr>
        <w:adjustRightInd w:val="0"/>
        <w:snapToGrid w:val="0"/>
        <w:spacing w:line="240" w:lineRule="auto"/>
        <w:ind w:firstLine="480"/>
        <w:rPr>
          <w:rFonts w:ascii="仿宋" w:hAnsi="仿宋" w:eastAsia="仿宋"/>
          <w:color w:val="auto"/>
          <w:szCs w:val="24"/>
        </w:rPr>
      </w:pPr>
      <w:r>
        <w:rPr>
          <w:rFonts w:hint="eastAsia" w:ascii="仿宋" w:hAnsi="仿宋" w:eastAsia="仿宋"/>
          <w:color w:val="auto"/>
          <w:szCs w:val="24"/>
        </w:rPr>
        <w:t>本工程不分标段。</w:t>
      </w:r>
    </w:p>
    <w:p w14:paraId="30D9DE7E">
      <w:pPr>
        <w:spacing w:line="240" w:lineRule="auto"/>
        <w:ind w:firstLine="0" w:firstLineChars="0"/>
        <w:rPr>
          <w:rFonts w:ascii="黑体" w:hAnsi="黑体" w:eastAsia="黑体"/>
          <w:color w:val="auto"/>
          <w:sz w:val="21"/>
          <w:szCs w:val="21"/>
        </w:rPr>
      </w:pPr>
    </w:p>
    <w:p w14:paraId="1FB55BFD">
      <w:pPr>
        <w:numPr>
          <w:ilvl w:val="0"/>
          <w:numId w:val="1"/>
        </w:numPr>
        <w:ind w:firstLine="482"/>
        <w:rPr>
          <w:rFonts w:hint="eastAsia"/>
          <w:b/>
          <w:color w:val="auto"/>
        </w:rPr>
      </w:pPr>
      <w:r>
        <w:rPr>
          <w:rFonts w:hint="eastAsia"/>
          <w:b/>
          <w:color w:val="auto"/>
        </w:rPr>
        <w:t>技术标准和要求</w:t>
      </w:r>
    </w:p>
    <w:p w14:paraId="790C5724">
      <w:pPr>
        <w:ind w:firstLine="482"/>
        <w:rPr>
          <w:b/>
          <w:color w:val="auto"/>
        </w:rPr>
      </w:pPr>
      <w:r>
        <w:rPr>
          <w:rFonts w:hint="eastAsia"/>
          <w:b/>
          <w:color w:val="auto"/>
        </w:rPr>
        <w:t>（一）园区城铁站</w:t>
      </w:r>
    </w:p>
    <w:p w14:paraId="0E94B1EA">
      <w:pPr>
        <w:tabs>
          <w:tab w:val="left" w:pos="360"/>
        </w:tabs>
        <w:ind w:firstLine="576" w:firstLineChars="239"/>
        <w:rPr>
          <w:rFonts w:ascii="宋体" w:hAnsi="宋体"/>
          <w:b/>
          <w:bCs/>
          <w:color w:val="auto"/>
          <w:szCs w:val="21"/>
        </w:rPr>
      </w:pPr>
      <w:r>
        <w:rPr>
          <w:rFonts w:hint="eastAsia" w:ascii="宋体" w:hAnsi="宋体"/>
          <w:b/>
          <w:bCs/>
          <w:color w:val="auto"/>
          <w:szCs w:val="21"/>
        </w:rPr>
        <w:t>1、基本情况</w:t>
      </w:r>
    </w:p>
    <w:p w14:paraId="31690AB7">
      <w:pPr>
        <w:ind w:firstLine="424" w:firstLineChars="177"/>
        <w:rPr>
          <w:rFonts w:hint="eastAsia" w:ascii="宋体" w:hAnsi="宋体"/>
          <w:color w:val="auto"/>
          <w:szCs w:val="21"/>
        </w:rPr>
      </w:pPr>
      <w:r>
        <w:rPr>
          <w:rFonts w:hint="eastAsia" w:ascii="宋体" w:hAnsi="宋体"/>
          <w:color w:val="auto"/>
          <w:szCs w:val="21"/>
        </w:rPr>
        <w:t>园区城铁站站前高架钢结构位于沪宁城际铁路苏州园区站，娄江快速路北侧，跨越至和西路高架，图1.1为园区城铁站站前高架钢结构地理位置示意图。</w:t>
      </w:r>
    </w:p>
    <w:p w14:paraId="0F81B65C">
      <w:pPr>
        <w:spacing w:line="420" w:lineRule="auto"/>
        <w:ind w:firstLine="480"/>
        <w:jc w:val="center"/>
        <w:rPr>
          <w:rFonts w:ascii="Arial" w:hAnsi="Arial" w:cs="Arial"/>
          <w:color w:val="auto"/>
        </w:rPr>
      </w:pPr>
      <w:r>
        <w:rPr>
          <w:rFonts w:ascii="Arial" w:hAnsi="Arial" w:cs="Arial"/>
          <w:color w:val="auto"/>
        </w:rPr>
        <w:drawing>
          <wp:inline distT="0" distB="0" distL="114300" distR="114300">
            <wp:extent cx="2428875" cy="1539875"/>
            <wp:effectExtent l="0" t="0" r="9525" b="9525"/>
            <wp:docPr id="8" name="图片 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r:embed="rId7"/>
                    <a:stretch>
                      <a:fillRect/>
                    </a:stretch>
                  </pic:blipFill>
                  <pic:spPr>
                    <a:xfrm>
                      <a:off x="0" y="0"/>
                      <a:ext cx="2428875" cy="1539875"/>
                    </a:xfrm>
                    <a:prstGeom prst="rect">
                      <a:avLst/>
                    </a:prstGeom>
                    <a:noFill/>
                    <a:ln>
                      <a:noFill/>
                    </a:ln>
                  </pic:spPr>
                </pic:pic>
              </a:graphicData>
            </a:graphic>
          </wp:inline>
        </w:drawing>
      </w:r>
      <w:r>
        <w:rPr>
          <w:rFonts w:ascii="Arial" w:hAnsi="Arial" w:cs="Arial"/>
          <w:color w:val="auto"/>
        </w:rPr>
        <mc:AlternateContent>
          <mc:Choice Requires="wps">
            <w:drawing>
              <wp:anchor distT="0" distB="0" distL="114300" distR="114300" simplePos="0" relativeHeight="251659264" behindDoc="0" locked="0" layoutInCell="1" allowOverlap="1">
                <wp:simplePos x="0" y="0"/>
                <wp:positionH relativeFrom="column">
                  <wp:posOffset>4248785</wp:posOffset>
                </wp:positionH>
                <wp:positionV relativeFrom="paragraph">
                  <wp:posOffset>118745</wp:posOffset>
                </wp:positionV>
                <wp:extent cx="0" cy="323850"/>
                <wp:effectExtent l="38100" t="0" r="38100" b="6350"/>
                <wp:wrapNone/>
                <wp:docPr id="1" name="直接箭头连接符 1"/>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34.55pt;margin-top:9.35pt;height:25.5pt;width:0pt;z-index:251659264;mso-width-relative:page;mso-height-relative:page;" filled="f" stroked="t" coordsize="21600,21600" o:gfxdata="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rmrB1wAAAAkBAAAPAAAAAAAAAAEAIAAAACIA&#10;AABkcnMvZG93bnJldi54bWxQSwECFAAUAAAACACHTuJArkaongoCAAD5AwAADgAAAAAAAAABACAA&#10;AAAmAQAAZHJzL2Uyb0RvYy54bWxQSwUGAAAAAAYABgBZAQAAogUAAAAA&#10;">
                <v:fill on="f" focussize="0,0"/>
                <v:stroke color="#000000" joinstyle="round" endarrow="block"/>
                <v:imagedata o:title=""/>
                <o:lock v:ext="edit" aspectratio="f"/>
              </v:shape>
            </w:pict>
          </mc:Fallback>
        </mc:AlternateContent>
      </w:r>
    </w:p>
    <w:p w14:paraId="7A9DD96A">
      <w:pPr>
        <w:ind w:firstLine="424" w:firstLineChars="177"/>
        <w:jc w:val="center"/>
        <w:rPr>
          <w:rFonts w:hint="eastAsia" w:ascii="宋体" w:hAnsi="宋体"/>
          <w:color w:val="auto"/>
          <w:szCs w:val="21"/>
        </w:rPr>
      </w:pPr>
      <w:r>
        <w:rPr>
          <w:rFonts w:hint="eastAsia" w:ascii="宋体" w:hAnsi="宋体"/>
          <w:color w:val="auto"/>
          <w:szCs w:val="21"/>
        </w:rPr>
        <w:t>图1.1  园区城铁站站前高架钢结构地理位置示意图</w:t>
      </w:r>
    </w:p>
    <w:p w14:paraId="7BC75C1E">
      <w:pPr>
        <w:ind w:firstLine="424" w:firstLineChars="177"/>
        <w:jc w:val="left"/>
        <w:rPr>
          <w:rFonts w:hint="eastAsia" w:ascii="宋体" w:hAnsi="宋体"/>
          <w:color w:val="auto"/>
          <w:szCs w:val="21"/>
        </w:rPr>
      </w:pPr>
      <w:r>
        <w:rPr>
          <w:rFonts w:hint="eastAsia" w:ascii="宋体" w:hAnsi="宋体"/>
          <w:color w:val="auto"/>
          <w:szCs w:val="21"/>
        </w:rPr>
        <w:t>园区城铁站站前高架钢结构由两部分组成，第一部分为北面钢立柱至高铁站进站口（C和D区），该区域长度为36m，第二部分为高铁站进站口至南端面（A和B区），本次检测范围为C和D区（至和西路高架上方钢结构）及北侧外墙立面钢结构部分，检查范围见图1.2所示。</w:t>
      </w:r>
    </w:p>
    <w:p w14:paraId="50CF98D8">
      <w:pPr>
        <w:spacing w:line="420" w:lineRule="auto"/>
        <w:ind w:firstLine="0" w:firstLineChars="0"/>
        <w:rPr>
          <w:rFonts w:hint="eastAsia" w:ascii="Arial" w:hAnsi="Arial" w:eastAsia="宋体" w:cs="Arial"/>
          <w:color w:val="auto"/>
        </w:rPr>
      </w:pPr>
      <w:r>
        <w:rPr>
          <w:rFonts w:ascii="Arial" w:hAnsi="Arial" w:cs="Arial"/>
          <w:color w:val="auto"/>
        </w:rPr>
        <w:drawing>
          <wp:inline distT="0" distB="0" distL="114300" distR="114300">
            <wp:extent cx="6012815" cy="2477135"/>
            <wp:effectExtent l="0" t="0" r="6985"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rcRect t="7802"/>
                    <a:stretch>
                      <a:fillRect/>
                    </a:stretch>
                  </pic:blipFill>
                  <pic:spPr>
                    <a:xfrm>
                      <a:off x="0" y="0"/>
                      <a:ext cx="6012815" cy="2477135"/>
                    </a:xfrm>
                    <a:prstGeom prst="rect">
                      <a:avLst/>
                    </a:prstGeom>
                    <a:noFill/>
                    <a:ln>
                      <a:noFill/>
                    </a:ln>
                  </pic:spPr>
                </pic:pic>
              </a:graphicData>
            </a:graphic>
          </wp:inline>
        </w:drawing>
      </w:r>
    </w:p>
    <w:p w14:paraId="3CD48BF1">
      <w:pPr>
        <w:ind w:firstLine="424" w:firstLineChars="177"/>
        <w:jc w:val="center"/>
        <w:rPr>
          <w:rFonts w:hint="eastAsia" w:ascii="宋体" w:hAnsi="宋体"/>
          <w:color w:val="auto"/>
          <w:szCs w:val="21"/>
        </w:rPr>
      </w:pPr>
      <w:r>
        <w:rPr>
          <w:rFonts w:hint="eastAsia" w:ascii="宋体" w:hAnsi="宋体"/>
          <w:color w:val="auto"/>
          <w:szCs w:val="21"/>
        </w:rPr>
        <w:t>图1.2  本次园区城铁站站前高架钢结构检查范围</w:t>
      </w:r>
    </w:p>
    <w:p w14:paraId="20AF1B94">
      <w:pPr>
        <w:ind w:firstLine="424" w:firstLineChars="177"/>
        <w:jc w:val="left"/>
        <w:rPr>
          <w:rFonts w:hint="eastAsia" w:ascii="Arial" w:hAnsi="Arial" w:cs="Arial"/>
          <w:color w:val="auto"/>
        </w:rPr>
      </w:pPr>
      <w:r>
        <w:rPr>
          <w:rFonts w:hint="eastAsia" w:ascii="宋体" w:hAnsi="宋体"/>
          <w:color w:val="auto"/>
          <w:szCs w:val="21"/>
        </w:rPr>
        <w:t>该园区城铁站站前高架钢结构由北侧外墙及二层平台天窗组成（见图1.3所示）。</w:t>
      </w:r>
    </w:p>
    <w:p w14:paraId="2CEB3D97">
      <w:pPr>
        <w:spacing w:line="420" w:lineRule="auto"/>
        <w:ind w:firstLine="0" w:firstLineChars="0"/>
        <w:rPr>
          <w:rFonts w:hint="eastAsia" w:ascii="Arial" w:hAnsi="Arial" w:cs="Arial"/>
          <w:color w:val="auto"/>
        </w:rPr>
      </w:pPr>
      <w:r>
        <w:rPr>
          <w:rFonts w:hint="eastAsia" w:ascii="Arial" w:hAnsi="Arial" w:cs="Arial"/>
          <w:color w:val="auto"/>
        </w:rPr>
        <w:drawing>
          <wp:inline distT="0" distB="0" distL="114300" distR="114300">
            <wp:extent cx="6012815" cy="2688590"/>
            <wp:effectExtent l="0" t="0" r="6985" b="381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tretch>
                      <a:fillRect/>
                    </a:stretch>
                  </pic:blipFill>
                  <pic:spPr>
                    <a:xfrm>
                      <a:off x="0" y="0"/>
                      <a:ext cx="6012815" cy="2688590"/>
                    </a:xfrm>
                    <a:prstGeom prst="rect">
                      <a:avLst/>
                    </a:prstGeom>
                    <a:noFill/>
                    <a:ln>
                      <a:noFill/>
                    </a:ln>
                  </pic:spPr>
                </pic:pic>
              </a:graphicData>
            </a:graphic>
          </wp:inline>
        </w:drawing>
      </w:r>
      <w:r>
        <w:rPr>
          <w:rFonts w:ascii="Arial" w:hAnsi="Arial" w:cs="Arial"/>
          <w:color w:val="auto"/>
        </w:rPr>
        <w:drawing>
          <wp:inline distT="0" distB="0" distL="114300" distR="114300">
            <wp:extent cx="5998845" cy="2157730"/>
            <wp:effectExtent l="0" t="0" r="8255" b="1270"/>
            <wp:docPr id="3" name="图片 4" descr="IMG_0131"/>
            <wp:cNvGraphicFramePr/>
            <a:graphic xmlns:a="http://schemas.openxmlformats.org/drawingml/2006/main">
              <a:graphicData uri="http://schemas.openxmlformats.org/drawingml/2006/picture">
                <pic:pic xmlns:pic="http://schemas.openxmlformats.org/drawingml/2006/picture">
                  <pic:nvPicPr>
                    <pic:cNvPr id="3" name="图片 4" descr="IMG_0131"/>
                    <pic:cNvPicPr/>
                  </pic:nvPicPr>
                  <pic:blipFill>
                    <a:blip r:embed="rId10"/>
                    <a:stretch>
                      <a:fillRect/>
                    </a:stretch>
                  </pic:blipFill>
                  <pic:spPr>
                    <a:xfrm>
                      <a:off x="0" y="0"/>
                      <a:ext cx="5998845" cy="2157730"/>
                    </a:xfrm>
                    <a:prstGeom prst="rect">
                      <a:avLst/>
                    </a:prstGeom>
                    <a:noFill/>
                    <a:ln>
                      <a:noFill/>
                    </a:ln>
                  </pic:spPr>
                </pic:pic>
              </a:graphicData>
            </a:graphic>
          </wp:inline>
        </w:drawing>
      </w:r>
    </w:p>
    <w:p w14:paraId="1D1ED6E4">
      <w:pPr>
        <w:spacing w:line="420" w:lineRule="auto"/>
        <w:ind w:firstLine="480"/>
        <w:jc w:val="center"/>
        <w:rPr>
          <w:rFonts w:hint="eastAsia" w:ascii="Arial" w:hAnsi="Arial" w:cs="Arial"/>
          <w:color w:val="auto"/>
        </w:rPr>
      </w:pPr>
      <w:r>
        <w:rPr>
          <w:rFonts w:hint="eastAsia" w:ascii="宋体" w:hAnsi="宋体"/>
          <w:color w:val="auto"/>
          <w:szCs w:val="21"/>
        </w:rPr>
        <w:t>图1.3  园区城铁站站前高架钢结构组成</w:t>
      </w:r>
    </w:p>
    <w:p w14:paraId="5D8D859F">
      <w:pPr>
        <w:ind w:firstLine="424" w:firstLineChars="177"/>
        <w:jc w:val="left"/>
        <w:rPr>
          <w:rFonts w:hint="eastAsia" w:ascii="宋体" w:hAnsi="宋体"/>
          <w:color w:val="auto"/>
          <w:szCs w:val="21"/>
        </w:rPr>
      </w:pPr>
      <w:r>
        <w:rPr>
          <w:rFonts w:hint="eastAsia" w:ascii="宋体" w:hAnsi="宋体"/>
          <w:color w:val="auto"/>
          <w:szCs w:val="21"/>
        </w:rPr>
        <w:t>北侧侧墙由10根竖向变截面钢立柱、3根横梁、120根纵梁及1078片钢百叶组成，每根钢立柱均由4段组成，相邻节段间采用焊接和螺栓进行连接，横梁与钢立柱间通过焊接和螺栓进行连接，纵梁与横梁间通过螺栓进行连接，钢百叶与钢立柱、纵梁间采用一端焊接，另外一端通过套筒进行连接。外墙相邻钢立柱、纵梁或钢立柱与纵梁间及天窗底面相邻钢立柱、横梁间均局部设置A30mm圆钢水平撑以加强其整体性。相邻钢立柱间中心距均为12m，钢立柱钢材采用Q345B，其余纵、横梁及水平撑等钢构件钢材均采用Q235B，每个钢立柱钢构件厚度均为32mm。</w:t>
      </w:r>
    </w:p>
    <w:p w14:paraId="2E401FA7">
      <w:pPr>
        <w:ind w:firstLine="424" w:firstLineChars="177"/>
        <w:jc w:val="left"/>
        <w:rPr>
          <w:rFonts w:hint="eastAsia" w:ascii="宋体" w:hAnsi="宋体"/>
          <w:color w:val="auto"/>
          <w:szCs w:val="21"/>
        </w:rPr>
      </w:pPr>
      <w:r>
        <w:rPr>
          <w:rFonts w:hint="eastAsia" w:ascii="宋体" w:hAnsi="宋体"/>
          <w:color w:val="auto"/>
          <w:szCs w:val="21"/>
        </w:rPr>
        <w:t>北侧外墙东西两端每个钢立柱下部结构均采用直径1200mm、壁厚30mm的钢管桩，其余8个钢立柱下部结构均采用直径900mm、壁厚25mm的钢管桩，每个钢管桩内均浇筑C40混凝土。</w:t>
      </w:r>
    </w:p>
    <w:p w14:paraId="4C2FB6DE">
      <w:pPr>
        <w:pStyle w:val="2"/>
        <w:tabs>
          <w:tab w:val="center" w:pos="4734"/>
        </w:tabs>
        <w:spacing w:before="0" w:after="0" w:line="420" w:lineRule="auto"/>
        <w:ind w:firstLine="482"/>
        <w:rPr>
          <w:rFonts w:hint="eastAsia" w:eastAsia="宋体" w:cs="Arial"/>
          <w:color w:val="auto"/>
          <w:szCs w:val="30"/>
        </w:rPr>
      </w:pPr>
      <w:r>
        <w:rPr>
          <w:rFonts w:ascii="宋体" w:hAnsi="宋体" w:eastAsia="仿宋_GB2312"/>
          <w:color w:val="auto"/>
          <w:sz w:val="24"/>
          <w:szCs w:val="21"/>
        </w:rPr>
        <w:t>2</w:t>
      </w:r>
      <w:r>
        <w:rPr>
          <w:rFonts w:hint="eastAsia" w:ascii="宋体" w:hAnsi="宋体" w:eastAsia="仿宋_GB2312"/>
          <w:color w:val="auto"/>
          <w:sz w:val="24"/>
          <w:szCs w:val="21"/>
        </w:rPr>
        <w:t>、主要检查内容</w:t>
      </w:r>
      <w:r>
        <w:rPr>
          <w:rFonts w:hint="eastAsia" w:eastAsia="宋体" w:cs="Arial"/>
          <w:color w:val="auto"/>
          <w:szCs w:val="30"/>
        </w:rPr>
        <w:tab/>
      </w:r>
    </w:p>
    <w:p w14:paraId="54FD645B">
      <w:pPr>
        <w:spacing w:line="420" w:lineRule="auto"/>
        <w:ind w:firstLine="482"/>
        <w:rPr>
          <w:rFonts w:hint="eastAsia" w:ascii="宋体" w:hAnsi="宋体"/>
          <w:b/>
          <w:bCs/>
          <w:color w:val="auto"/>
          <w:szCs w:val="21"/>
        </w:rPr>
      </w:pPr>
      <w:r>
        <w:rPr>
          <w:rFonts w:hint="eastAsia" w:ascii="宋体" w:hAnsi="宋体"/>
          <w:b/>
          <w:bCs/>
          <w:color w:val="auto"/>
          <w:szCs w:val="21"/>
        </w:rPr>
        <w:t>常规定期检测</w:t>
      </w:r>
    </w:p>
    <w:p w14:paraId="6232DB57">
      <w:pPr>
        <w:ind w:firstLine="424" w:firstLineChars="177"/>
        <w:rPr>
          <w:rFonts w:ascii="宋体" w:hAnsi="宋体"/>
          <w:color w:val="auto"/>
          <w:szCs w:val="21"/>
        </w:rPr>
      </w:pPr>
      <w:r>
        <w:rPr>
          <w:rFonts w:hint="eastAsia" w:ascii="宋体" w:hAnsi="宋体"/>
          <w:color w:val="auto"/>
          <w:szCs w:val="21"/>
        </w:rPr>
        <w:t>本次常规定期检测主要包括但不限于以下内容：</w:t>
      </w:r>
    </w:p>
    <w:p w14:paraId="47EE48D6">
      <w:pPr>
        <w:ind w:firstLine="424" w:firstLineChars="177"/>
        <w:rPr>
          <w:rFonts w:hint="eastAsia"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w:t>
      </w:r>
      <w:r>
        <w:rPr>
          <w:rFonts w:hint="eastAsia" w:ascii="宋体" w:hAnsi="宋体"/>
          <w:color w:val="auto"/>
          <w:szCs w:val="21"/>
        </w:rPr>
        <w:t>钢结构表观、变形（需专业测量仪器）等检测</w:t>
      </w:r>
    </w:p>
    <w:p w14:paraId="66B13DD0">
      <w:pPr>
        <w:ind w:firstLine="424" w:firstLineChars="177"/>
        <w:rPr>
          <w:rFonts w:ascii="宋体" w:hAnsi="宋体"/>
          <w:color w:val="auto"/>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w:t>
      </w:r>
      <w:r>
        <w:rPr>
          <w:rFonts w:hint="eastAsia" w:ascii="宋体" w:hAnsi="宋体"/>
          <w:color w:val="auto"/>
          <w:szCs w:val="21"/>
        </w:rPr>
        <w:t>钢立柱、纵梁、横梁及百叶之间等连接件的安全检查等、立柱内空腔内窥镜检测等</w:t>
      </w:r>
    </w:p>
    <w:p w14:paraId="055A8D9D">
      <w:pPr>
        <w:ind w:firstLine="424" w:firstLineChars="177"/>
        <w:rPr>
          <w:rFonts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w:t>
      </w:r>
      <w:r>
        <w:rPr>
          <w:rFonts w:hint="eastAsia" w:ascii="宋体" w:hAnsi="宋体"/>
          <w:color w:val="auto"/>
          <w:szCs w:val="21"/>
        </w:rPr>
        <w:t>屋面天沟清理、排水检测，钢横梁内排水检测等</w:t>
      </w:r>
    </w:p>
    <w:p w14:paraId="36E948DD">
      <w:pPr>
        <w:ind w:firstLine="424" w:firstLineChars="177"/>
        <w:rPr>
          <w:rFonts w:ascii="宋体" w:hAnsi="宋体"/>
          <w:color w:val="auto"/>
          <w:szCs w:val="21"/>
        </w:rPr>
      </w:pPr>
      <w:r>
        <w:rPr>
          <w:rFonts w:ascii="宋体" w:hAnsi="宋体"/>
          <w:color w:val="auto"/>
          <w:szCs w:val="21"/>
        </w:rPr>
        <w:t>(</w:t>
      </w:r>
      <w:r>
        <w:rPr>
          <w:rFonts w:hint="eastAsia" w:ascii="宋体" w:hAnsi="宋体"/>
          <w:color w:val="auto"/>
          <w:szCs w:val="21"/>
        </w:rPr>
        <w:t>4</w:t>
      </w:r>
      <w:r>
        <w:rPr>
          <w:rFonts w:ascii="宋体" w:hAnsi="宋体"/>
          <w:color w:val="auto"/>
          <w:szCs w:val="21"/>
        </w:rPr>
        <w:t>)</w:t>
      </w:r>
      <w:r>
        <w:rPr>
          <w:rFonts w:hint="eastAsia" w:ascii="宋体" w:hAnsi="宋体"/>
          <w:color w:val="auto"/>
          <w:szCs w:val="21"/>
        </w:rPr>
        <w:t>屋面板、屋面夹具及角铁、屋面渗漏等安全检查、阳光板防水检测等</w:t>
      </w:r>
    </w:p>
    <w:p w14:paraId="48788785">
      <w:pPr>
        <w:ind w:firstLine="424" w:firstLineChars="177"/>
        <w:rPr>
          <w:rFonts w:hint="eastAsia" w:ascii="宋体" w:hAnsi="宋体"/>
          <w:color w:val="auto"/>
          <w:szCs w:val="21"/>
        </w:rPr>
      </w:pPr>
      <w:r>
        <w:rPr>
          <w:rFonts w:ascii="宋体" w:hAnsi="宋体"/>
          <w:color w:val="auto"/>
          <w:szCs w:val="21"/>
        </w:rPr>
        <w:t>(</w:t>
      </w:r>
      <w:r>
        <w:rPr>
          <w:rFonts w:hint="eastAsia" w:ascii="宋体" w:hAnsi="宋体"/>
          <w:color w:val="auto"/>
          <w:szCs w:val="21"/>
        </w:rPr>
        <w:t>5</w:t>
      </w:r>
      <w:r>
        <w:rPr>
          <w:rFonts w:ascii="宋体" w:hAnsi="宋体"/>
          <w:color w:val="auto"/>
          <w:szCs w:val="21"/>
        </w:rPr>
        <w:t>)</w:t>
      </w:r>
      <w:r>
        <w:rPr>
          <w:rFonts w:hint="eastAsia" w:ascii="宋体" w:hAnsi="宋体"/>
          <w:color w:val="auto"/>
          <w:szCs w:val="21"/>
        </w:rPr>
        <w:t>屋面天窗底面钢结构、铝板、灯具等安全检测等</w:t>
      </w:r>
    </w:p>
    <w:p w14:paraId="0287E505">
      <w:pPr>
        <w:ind w:firstLine="424" w:firstLineChars="177"/>
        <w:rPr>
          <w:rFonts w:hint="eastAsia" w:ascii="宋体" w:hAnsi="宋体"/>
          <w:color w:val="auto"/>
          <w:szCs w:val="21"/>
        </w:rPr>
      </w:pPr>
      <w:r>
        <w:rPr>
          <w:rFonts w:ascii="宋体" w:hAnsi="宋体"/>
          <w:color w:val="auto"/>
          <w:szCs w:val="21"/>
        </w:rPr>
        <w:t>(</w:t>
      </w:r>
      <w:r>
        <w:rPr>
          <w:rFonts w:hint="eastAsia" w:ascii="宋体" w:hAnsi="宋体"/>
          <w:color w:val="auto"/>
          <w:szCs w:val="21"/>
        </w:rPr>
        <w:t>6</w:t>
      </w:r>
      <w:r>
        <w:rPr>
          <w:rFonts w:ascii="宋体" w:hAnsi="宋体"/>
          <w:color w:val="auto"/>
          <w:szCs w:val="21"/>
        </w:rPr>
        <w:t>)</w:t>
      </w:r>
      <w:r>
        <w:rPr>
          <w:rFonts w:hint="eastAsia" w:ascii="宋体" w:hAnsi="宋体"/>
          <w:color w:val="auto"/>
          <w:szCs w:val="21"/>
        </w:rPr>
        <w:t>北侧立面钢结构大字、灯具、落水管等安全检测等</w:t>
      </w:r>
    </w:p>
    <w:p w14:paraId="30D339AF">
      <w:pPr>
        <w:ind w:firstLine="424" w:firstLineChars="177"/>
        <w:rPr>
          <w:rFonts w:hint="eastAsia" w:ascii="宋体" w:hAnsi="宋体"/>
          <w:color w:val="auto"/>
          <w:szCs w:val="21"/>
        </w:rPr>
      </w:pPr>
      <w:r>
        <w:rPr>
          <w:rFonts w:ascii="宋体" w:hAnsi="宋体"/>
          <w:color w:val="auto"/>
          <w:szCs w:val="21"/>
        </w:rPr>
        <w:t>(</w:t>
      </w:r>
      <w:r>
        <w:rPr>
          <w:rFonts w:hint="eastAsia" w:ascii="宋体" w:hAnsi="宋体"/>
          <w:color w:val="auto"/>
          <w:szCs w:val="21"/>
        </w:rPr>
        <w:t>7</w:t>
      </w:r>
      <w:r>
        <w:rPr>
          <w:rFonts w:ascii="宋体" w:hAnsi="宋体"/>
          <w:color w:val="auto"/>
          <w:szCs w:val="21"/>
        </w:rPr>
        <w:t>)</w:t>
      </w:r>
      <w:r>
        <w:rPr>
          <w:rFonts w:hint="eastAsia" w:ascii="宋体" w:hAnsi="宋体"/>
          <w:color w:val="auto"/>
          <w:szCs w:val="21"/>
        </w:rPr>
        <w:t>城铁站LED吊灯安全检测。</w:t>
      </w:r>
    </w:p>
    <w:p w14:paraId="0EB0E9C0">
      <w:pPr>
        <w:ind w:firstLine="424" w:firstLineChars="177"/>
        <w:rPr>
          <w:rFonts w:ascii="宋体" w:hAnsi="宋体"/>
          <w:color w:val="auto"/>
          <w:szCs w:val="21"/>
        </w:rPr>
      </w:pPr>
      <w:r>
        <w:rPr>
          <w:rFonts w:ascii="宋体" w:hAnsi="宋体"/>
          <w:color w:val="auto"/>
          <w:szCs w:val="21"/>
        </w:rPr>
        <w:t>(</w:t>
      </w:r>
      <w:r>
        <w:rPr>
          <w:rFonts w:hint="eastAsia" w:ascii="宋体" w:hAnsi="宋体"/>
          <w:color w:val="auto"/>
          <w:szCs w:val="21"/>
        </w:rPr>
        <w:t>8</w:t>
      </w:r>
      <w:r>
        <w:rPr>
          <w:rFonts w:ascii="宋体" w:hAnsi="宋体"/>
          <w:color w:val="auto"/>
          <w:szCs w:val="21"/>
        </w:rPr>
        <w:t>)</w:t>
      </w:r>
      <w:r>
        <w:rPr>
          <w:rFonts w:hint="eastAsia" w:ascii="宋体" w:hAnsi="宋体"/>
          <w:color w:val="auto"/>
          <w:szCs w:val="21"/>
        </w:rPr>
        <w:t>城铁站公交下客廊及4个出入口钢结构安全检测</w:t>
      </w:r>
    </w:p>
    <w:p w14:paraId="60E03D42">
      <w:pPr>
        <w:ind w:firstLine="424" w:firstLineChars="177"/>
        <w:rPr>
          <w:rFonts w:ascii="宋体" w:hAnsi="宋体"/>
          <w:color w:val="auto"/>
          <w:szCs w:val="21"/>
        </w:rPr>
      </w:pPr>
      <w:r>
        <w:rPr>
          <w:rFonts w:ascii="宋体" w:hAnsi="宋体"/>
          <w:color w:val="auto"/>
          <w:szCs w:val="21"/>
        </w:rPr>
        <w:t>(</w:t>
      </w:r>
      <w:r>
        <w:rPr>
          <w:rFonts w:hint="eastAsia" w:ascii="宋体" w:hAnsi="宋体"/>
          <w:color w:val="auto"/>
          <w:szCs w:val="21"/>
        </w:rPr>
        <w:t>9</w:t>
      </w:r>
      <w:r>
        <w:rPr>
          <w:rFonts w:ascii="宋体" w:hAnsi="宋体"/>
          <w:color w:val="auto"/>
          <w:szCs w:val="21"/>
        </w:rPr>
        <w:t>)</w:t>
      </w:r>
      <w:r>
        <w:rPr>
          <w:rFonts w:hint="eastAsia" w:ascii="宋体" w:hAnsi="宋体"/>
          <w:color w:val="auto"/>
          <w:szCs w:val="21"/>
        </w:rPr>
        <w:t>独墅湖隧道假山定期检测（包含内部骨架）。</w:t>
      </w:r>
    </w:p>
    <w:p w14:paraId="6819DA5D">
      <w:pPr>
        <w:ind w:firstLine="424" w:firstLineChars="177"/>
        <w:rPr>
          <w:rFonts w:hint="eastAsia" w:ascii="宋体" w:hAnsi="宋体"/>
          <w:color w:val="auto"/>
          <w:szCs w:val="21"/>
        </w:rPr>
      </w:pPr>
      <w:r>
        <w:rPr>
          <w:rFonts w:hint="eastAsia" w:ascii="宋体" w:hAnsi="宋体"/>
          <w:color w:val="auto"/>
          <w:szCs w:val="21"/>
        </w:rPr>
        <w:t>备注：（1</w:t>
      </w:r>
      <w:r>
        <w:rPr>
          <w:rFonts w:ascii="宋体" w:hAnsi="宋体"/>
          <w:color w:val="auto"/>
          <w:szCs w:val="21"/>
        </w:rPr>
        <w:t>)</w:t>
      </w:r>
      <w:r>
        <w:rPr>
          <w:rFonts w:hint="eastAsia" w:ascii="宋体" w:hAnsi="宋体"/>
          <w:color w:val="auto"/>
          <w:szCs w:val="21"/>
        </w:rPr>
        <w:t>-</w:t>
      </w:r>
      <w:r>
        <w:rPr>
          <w:rFonts w:ascii="宋体" w:hAnsi="宋体"/>
          <w:color w:val="auto"/>
          <w:szCs w:val="21"/>
        </w:rPr>
        <w:t>(</w:t>
      </w:r>
      <w:r>
        <w:rPr>
          <w:rFonts w:hint="eastAsia" w:ascii="宋体" w:hAnsi="宋体"/>
          <w:color w:val="auto"/>
          <w:szCs w:val="21"/>
        </w:rPr>
        <w:t>6</w:t>
      </w:r>
      <w:r>
        <w:rPr>
          <w:rFonts w:ascii="宋体" w:hAnsi="宋体"/>
          <w:color w:val="auto"/>
          <w:szCs w:val="21"/>
        </w:rPr>
        <w:t>)</w:t>
      </w:r>
      <w:r>
        <w:rPr>
          <w:rFonts w:hint="eastAsia" w:ascii="宋体" w:hAnsi="宋体"/>
          <w:color w:val="auto"/>
          <w:szCs w:val="21"/>
        </w:rPr>
        <w:t>项为城铁站站前高架钢结构</w:t>
      </w:r>
    </w:p>
    <w:p w14:paraId="419399A1">
      <w:pPr>
        <w:spacing w:line="420" w:lineRule="auto"/>
        <w:ind w:firstLine="482"/>
        <w:rPr>
          <w:rFonts w:ascii="宋体" w:hAnsi="宋体"/>
          <w:b/>
          <w:bCs/>
          <w:color w:val="auto"/>
          <w:szCs w:val="21"/>
        </w:rPr>
      </w:pPr>
      <w:r>
        <w:rPr>
          <w:rFonts w:hint="eastAsia" w:ascii="宋体" w:hAnsi="宋体"/>
          <w:b/>
          <w:bCs/>
          <w:color w:val="auto"/>
          <w:szCs w:val="21"/>
        </w:rPr>
        <w:t>专项检测</w:t>
      </w:r>
    </w:p>
    <w:p w14:paraId="3A488435">
      <w:pPr>
        <w:ind w:firstLine="424" w:firstLineChars="177"/>
        <w:jc w:val="left"/>
        <w:rPr>
          <w:rFonts w:hint="eastAsia" w:ascii="宋体" w:hAnsi="宋体"/>
          <w:color w:val="auto"/>
          <w:szCs w:val="21"/>
        </w:rPr>
      </w:pPr>
      <w:r>
        <w:rPr>
          <w:rFonts w:hint="eastAsia" w:ascii="宋体" w:hAnsi="宋体"/>
          <w:color w:val="auto"/>
          <w:szCs w:val="21"/>
        </w:rPr>
        <w:t>主要包括以下内容：城铁站钢结构焊缝探伤检测及化学螺栓</w:t>
      </w:r>
      <w:r>
        <w:rPr>
          <w:rFonts w:ascii="宋体" w:hAnsi="宋体"/>
          <w:color w:val="auto"/>
          <w:szCs w:val="21"/>
        </w:rPr>
        <w:t>扭矩检测</w:t>
      </w:r>
      <w:r>
        <w:rPr>
          <w:rFonts w:hint="eastAsia" w:ascii="宋体" w:hAnsi="宋体"/>
          <w:color w:val="auto"/>
          <w:szCs w:val="21"/>
        </w:rPr>
        <w:t>等</w:t>
      </w:r>
    </w:p>
    <w:p w14:paraId="0C760B51">
      <w:pPr>
        <w:pStyle w:val="2"/>
        <w:tabs>
          <w:tab w:val="center" w:pos="4734"/>
        </w:tabs>
        <w:spacing w:before="0" w:after="0" w:line="420" w:lineRule="auto"/>
        <w:ind w:firstLine="482"/>
        <w:rPr>
          <w:rFonts w:ascii="宋体" w:hAnsi="宋体" w:eastAsia="仿宋_GB2312"/>
          <w:color w:val="auto"/>
          <w:sz w:val="24"/>
          <w:szCs w:val="21"/>
        </w:rPr>
      </w:pPr>
    </w:p>
    <w:p w14:paraId="30B5F89B">
      <w:pPr>
        <w:pStyle w:val="2"/>
        <w:tabs>
          <w:tab w:val="center" w:pos="4734"/>
        </w:tabs>
        <w:spacing w:before="0" w:after="0" w:line="420" w:lineRule="auto"/>
        <w:ind w:firstLine="482"/>
        <w:rPr>
          <w:rFonts w:hint="eastAsia" w:ascii="宋体" w:hAnsi="宋体" w:eastAsia="仿宋_GB2312"/>
          <w:color w:val="auto"/>
          <w:sz w:val="24"/>
          <w:szCs w:val="21"/>
        </w:rPr>
      </w:pPr>
      <w:r>
        <w:rPr>
          <w:rFonts w:ascii="宋体" w:hAnsi="宋体" w:eastAsia="仿宋_GB2312"/>
          <w:color w:val="auto"/>
          <w:sz w:val="24"/>
          <w:szCs w:val="21"/>
        </w:rPr>
        <w:t>3</w:t>
      </w:r>
      <w:r>
        <w:rPr>
          <w:rFonts w:hint="eastAsia" w:ascii="宋体" w:hAnsi="宋体" w:eastAsia="仿宋_GB2312"/>
          <w:color w:val="auto"/>
          <w:sz w:val="24"/>
          <w:szCs w:val="21"/>
        </w:rPr>
        <w:t>、技术要求及管理要求</w:t>
      </w:r>
      <w:r>
        <w:rPr>
          <w:rFonts w:ascii="宋体" w:hAnsi="宋体" w:eastAsia="仿宋_GB2312"/>
          <w:color w:val="auto"/>
          <w:sz w:val="24"/>
          <w:szCs w:val="21"/>
        </w:rPr>
        <w:t> </w:t>
      </w:r>
    </w:p>
    <w:p w14:paraId="437D700A">
      <w:pPr>
        <w:spacing w:line="420" w:lineRule="auto"/>
        <w:ind w:firstLine="480"/>
        <w:rPr>
          <w:rFonts w:hint="eastAsia" w:ascii="Arial" w:hAnsi="Arial" w:eastAsia="宋体" w:cs="Arial"/>
          <w:color w:val="auto"/>
        </w:rPr>
      </w:pPr>
      <w:r>
        <w:rPr>
          <w:rFonts w:ascii="宋体" w:hAnsi="宋体"/>
          <w:color w:val="auto"/>
          <w:szCs w:val="21"/>
        </w:rPr>
        <w:t>(</w:t>
      </w:r>
      <w:r>
        <w:rPr>
          <w:rFonts w:hint="eastAsia" w:ascii="宋体" w:hAnsi="宋体"/>
          <w:color w:val="auto"/>
          <w:szCs w:val="21"/>
        </w:rPr>
        <w:t>1</w:t>
      </w:r>
      <w:r>
        <w:rPr>
          <w:rFonts w:ascii="宋体" w:hAnsi="宋体"/>
          <w:color w:val="auto"/>
          <w:szCs w:val="21"/>
        </w:rPr>
        <w:t>)钢结构无损检测需要遵循相关的检测标准，以确保检测结果的准确性和可靠性。常用的检测标准包括GB/T 11345-2013《焊缝无损检测超声波检测》、GB/T 29712-2013《焊缝无损检测射线检测》等‌。 </w:t>
      </w:r>
    </w:p>
    <w:p w14:paraId="4F0D5539">
      <w:pPr>
        <w:spacing w:line="420" w:lineRule="auto"/>
        <w:ind w:firstLine="480"/>
        <w:rPr>
          <w:rFonts w:hint="eastAsia" w:ascii="宋体" w:hAnsi="宋体"/>
          <w:color w:val="auto"/>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在开始检测前，需要对被检测的钢结构进行了解，包括材质、结构形式、制造工艺等信息。同时，还需要准备相应的检测设备和辅助工具。在进行无损检测前，需要对被检测的钢结构表面进行处理，以去除表面的污垢、氧化皮等。 </w:t>
      </w:r>
    </w:p>
    <w:p w14:paraId="4174CEBF">
      <w:pPr>
        <w:spacing w:line="420" w:lineRule="auto"/>
        <w:ind w:firstLine="480"/>
        <w:rPr>
          <w:rFonts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检测人员的资质要求‌：无损检测是一项技术性很强的工作，检测人员必须具备相应的技术知识和技能，并取得相应的资格证书或培训合格证明。检测人员应熟悉各种检测方法的原理、操作流程和注意事项，能够准确判断检测结果并给出相应的处理意见和建议‌。</w:t>
      </w:r>
    </w:p>
    <w:p w14:paraId="4C9772C4">
      <w:pPr>
        <w:spacing w:line="420" w:lineRule="auto"/>
        <w:ind w:firstLine="480"/>
        <w:rPr>
          <w:rFonts w:ascii="宋体" w:hAnsi="宋体"/>
          <w:color w:val="auto"/>
          <w:szCs w:val="21"/>
        </w:rPr>
      </w:pPr>
      <w:r>
        <w:rPr>
          <w:rFonts w:ascii="宋体" w:hAnsi="宋体"/>
          <w:color w:val="auto"/>
          <w:szCs w:val="21"/>
        </w:rPr>
        <w:t>(</w:t>
      </w:r>
      <w:r>
        <w:rPr>
          <w:rFonts w:hint="eastAsia" w:ascii="宋体" w:hAnsi="宋体"/>
          <w:color w:val="auto"/>
          <w:szCs w:val="21"/>
        </w:rPr>
        <w:t>4</w:t>
      </w:r>
      <w:r>
        <w:rPr>
          <w:rFonts w:ascii="宋体" w:hAnsi="宋体"/>
          <w:color w:val="auto"/>
          <w:szCs w:val="21"/>
        </w:rPr>
        <w:t>)无损检测所使用的仪器对检测结果的准确性和可靠性有着重要的影响。因此，检测仪器必须符合相关标准和规范的要求，并经过计量检定合格后方可使用。</w:t>
      </w:r>
    </w:p>
    <w:p w14:paraId="61C45944">
      <w:pPr>
        <w:spacing w:line="420" w:lineRule="auto"/>
        <w:ind w:firstLine="480"/>
        <w:rPr>
          <w:rFonts w:hint="eastAsia" w:ascii="宋体" w:hAnsi="宋体"/>
          <w:color w:val="auto"/>
          <w:szCs w:val="21"/>
        </w:rPr>
      </w:pPr>
      <w:r>
        <w:rPr>
          <w:rFonts w:ascii="宋体" w:hAnsi="宋体"/>
          <w:color w:val="auto"/>
          <w:szCs w:val="21"/>
        </w:rPr>
        <w:t>(</w:t>
      </w:r>
      <w:r>
        <w:rPr>
          <w:rFonts w:hint="eastAsia" w:ascii="宋体" w:hAnsi="宋体"/>
          <w:color w:val="auto"/>
          <w:szCs w:val="21"/>
        </w:rPr>
        <w:t>5</w:t>
      </w:r>
      <w:r>
        <w:rPr>
          <w:rFonts w:ascii="宋体" w:hAnsi="宋体"/>
          <w:color w:val="auto"/>
          <w:szCs w:val="21"/>
        </w:rPr>
        <w:t>)</w:t>
      </w:r>
      <w:r>
        <w:rPr>
          <w:rFonts w:hint="eastAsia" w:ascii="宋体" w:hAnsi="宋体"/>
          <w:color w:val="auto"/>
          <w:szCs w:val="21"/>
        </w:rPr>
        <w:t>城铁站北侧外墙钢结构东西向长约120米，离地高约26米，东西两端地面为玻璃顶疏散口，LED吊灯吊杆安全检测需从城铁站一层地面爬至吊顶内实施，承包人需根据现场条件自行考虑采用符合业主要求的登高车实施。</w:t>
      </w:r>
    </w:p>
    <w:p w14:paraId="6BB9804A">
      <w:pPr>
        <w:spacing w:line="420" w:lineRule="auto"/>
        <w:ind w:firstLine="480"/>
        <w:rPr>
          <w:rFonts w:hint="eastAsia" w:ascii="宋体" w:hAnsi="宋体"/>
          <w:color w:val="auto"/>
          <w:szCs w:val="21"/>
        </w:rPr>
      </w:pPr>
      <w:r>
        <w:rPr>
          <w:rFonts w:ascii="宋体" w:hAnsi="宋体"/>
          <w:color w:val="auto"/>
          <w:szCs w:val="21"/>
        </w:rPr>
        <w:t>(</w:t>
      </w:r>
      <w:r>
        <w:rPr>
          <w:rFonts w:hint="eastAsia" w:ascii="宋体" w:hAnsi="宋体"/>
          <w:color w:val="auto"/>
          <w:szCs w:val="21"/>
        </w:rPr>
        <w:t>6</w:t>
      </w:r>
      <w:r>
        <w:rPr>
          <w:rFonts w:ascii="宋体" w:hAnsi="宋体"/>
          <w:color w:val="auto"/>
          <w:szCs w:val="21"/>
        </w:rPr>
        <w:t>)</w:t>
      </w:r>
      <w:r>
        <w:rPr>
          <w:rFonts w:hint="eastAsia" w:ascii="宋体" w:hAnsi="宋体"/>
          <w:color w:val="auto"/>
          <w:szCs w:val="21"/>
        </w:rPr>
        <w:t>城铁一层、二层高架石材平台，检测期间周边需设置安全围挡，警示标志标牌，导向牌，夜间检测需夜间警示灯等安全防护措施；高架作业如涉及交管部门报批，承包人需自行办理交警报批手续，相关费用已包含在投标报价中。</w:t>
      </w:r>
    </w:p>
    <w:p w14:paraId="6315CA9F">
      <w:pPr>
        <w:spacing w:line="420" w:lineRule="auto"/>
        <w:ind w:firstLine="480"/>
        <w:rPr>
          <w:rFonts w:hint="eastAsia" w:ascii="宋体" w:hAnsi="宋体"/>
          <w:color w:val="auto"/>
          <w:szCs w:val="21"/>
        </w:rPr>
      </w:pPr>
      <w:r>
        <w:rPr>
          <w:rFonts w:ascii="宋体" w:hAnsi="宋体"/>
          <w:color w:val="auto"/>
          <w:szCs w:val="21"/>
        </w:rPr>
        <w:t>(</w:t>
      </w:r>
      <w:r>
        <w:rPr>
          <w:rFonts w:hint="eastAsia" w:ascii="宋体" w:hAnsi="宋体"/>
          <w:color w:val="auto"/>
          <w:szCs w:val="21"/>
        </w:rPr>
        <w:t>7</w:t>
      </w:r>
      <w:r>
        <w:rPr>
          <w:rFonts w:ascii="宋体" w:hAnsi="宋体"/>
          <w:color w:val="auto"/>
          <w:szCs w:val="21"/>
        </w:rPr>
        <w:t>)</w:t>
      </w:r>
      <w:r>
        <w:rPr>
          <w:rFonts w:hint="eastAsia" w:ascii="宋体" w:hAnsi="宋体"/>
          <w:color w:val="auto"/>
          <w:szCs w:val="21"/>
        </w:rPr>
        <w:t>登高车在城铁站正广场石材上检测作业，因石材年久风化，承包商需对地面石材进行保护，保证石材完好与清洁，完工后需对影响范围内的石材进行检查，如有损坏和污染，需按照石材原有规格进行更换或清洗。</w:t>
      </w:r>
    </w:p>
    <w:p w14:paraId="51806DC7">
      <w:pPr>
        <w:ind w:firstLine="482"/>
        <w:rPr>
          <w:rFonts w:hint="eastAsia"/>
          <w:b/>
          <w:color w:val="auto"/>
        </w:rPr>
      </w:pPr>
    </w:p>
    <w:p w14:paraId="7C8D2C4C">
      <w:pPr>
        <w:ind w:firstLine="482"/>
        <w:rPr>
          <w:b/>
          <w:color w:val="auto"/>
        </w:rPr>
      </w:pPr>
      <w:r>
        <w:rPr>
          <w:rFonts w:hint="eastAsia"/>
          <w:b/>
          <w:color w:val="auto"/>
        </w:rPr>
        <w:t>（二）电子显示屏</w:t>
      </w:r>
    </w:p>
    <w:p w14:paraId="6380F6C3">
      <w:pPr>
        <w:tabs>
          <w:tab w:val="left" w:pos="360"/>
        </w:tabs>
        <w:ind w:firstLine="576" w:firstLineChars="239"/>
        <w:rPr>
          <w:rFonts w:ascii="宋体" w:hAnsi="宋体"/>
          <w:b/>
          <w:bCs/>
          <w:color w:val="auto"/>
          <w:szCs w:val="21"/>
        </w:rPr>
      </w:pPr>
      <w:r>
        <w:rPr>
          <w:rFonts w:hint="eastAsia" w:ascii="宋体" w:hAnsi="宋体"/>
          <w:b/>
          <w:bCs/>
          <w:color w:val="auto"/>
          <w:szCs w:val="21"/>
        </w:rPr>
        <w:t>1、基本情况</w:t>
      </w:r>
    </w:p>
    <w:p w14:paraId="30E115AB">
      <w:pPr>
        <w:ind w:firstLine="424" w:firstLineChars="177"/>
        <w:rPr>
          <w:rFonts w:hint="eastAsia" w:ascii="宋体" w:hAnsi="宋体"/>
          <w:color w:val="auto"/>
          <w:szCs w:val="21"/>
        </w:rPr>
      </w:pPr>
      <w:r>
        <w:rPr>
          <w:rFonts w:hint="eastAsia" w:ascii="宋体" w:hAnsi="宋体"/>
          <w:color w:val="auto"/>
          <w:szCs w:val="21"/>
        </w:rPr>
        <w:t>园区电子显示屏主要位于城市广场、公园、停车场等公共区域，具体清单及定位如表</w:t>
      </w:r>
      <w:r>
        <w:rPr>
          <w:rFonts w:ascii="宋体" w:hAnsi="宋体"/>
          <w:color w:val="auto"/>
          <w:szCs w:val="21"/>
        </w:rPr>
        <w:t>2.1</w:t>
      </w:r>
      <w:r>
        <w:rPr>
          <w:rFonts w:hint="eastAsia" w:ascii="宋体" w:hAnsi="宋体"/>
          <w:color w:val="auto"/>
          <w:szCs w:val="21"/>
        </w:rPr>
        <w:t>所示：</w:t>
      </w:r>
    </w:p>
    <w:p w14:paraId="6F0E3824">
      <w:pPr>
        <w:ind w:firstLine="424" w:firstLineChars="177"/>
        <w:jc w:val="center"/>
        <w:rPr>
          <w:rFonts w:ascii="宋体" w:hAnsi="宋体"/>
          <w:color w:val="auto"/>
          <w:szCs w:val="21"/>
        </w:rPr>
      </w:pPr>
      <w:r>
        <w:rPr>
          <w:rFonts w:hint="eastAsia" w:ascii="宋体" w:hAnsi="宋体"/>
          <w:color w:val="auto"/>
          <w:szCs w:val="21"/>
        </w:rPr>
        <w:t>表</w:t>
      </w:r>
      <w:r>
        <w:rPr>
          <w:rFonts w:ascii="宋体" w:hAnsi="宋体"/>
          <w:color w:val="auto"/>
          <w:szCs w:val="21"/>
        </w:rPr>
        <w:t>2.1</w:t>
      </w:r>
      <w:r>
        <w:rPr>
          <w:rFonts w:hint="eastAsia" w:ascii="宋体" w:hAnsi="宋体"/>
          <w:color w:val="auto"/>
          <w:szCs w:val="21"/>
        </w:rPr>
        <w:t>园区电子显示屏清单</w:t>
      </w:r>
    </w:p>
    <w:tbl>
      <w:tblPr>
        <w:tblStyle w:val="10"/>
        <w:tblW w:w="7755" w:type="dxa"/>
        <w:jc w:val="center"/>
        <w:tblLayout w:type="autofit"/>
        <w:tblCellMar>
          <w:top w:w="0" w:type="dxa"/>
          <w:left w:w="108" w:type="dxa"/>
          <w:bottom w:w="0" w:type="dxa"/>
          <w:right w:w="108" w:type="dxa"/>
        </w:tblCellMar>
      </w:tblPr>
      <w:tblGrid>
        <w:gridCol w:w="1080"/>
        <w:gridCol w:w="1590"/>
        <w:gridCol w:w="1536"/>
        <w:gridCol w:w="3555"/>
      </w:tblGrid>
      <w:tr w14:paraId="17305847">
        <w:tblPrEx>
          <w:tblCellMar>
            <w:top w:w="0" w:type="dxa"/>
            <w:left w:w="108" w:type="dxa"/>
            <w:bottom w:w="0" w:type="dxa"/>
            <w:right w:w="108" w:type="dxa"/>
          </w:tblCellMar>
        </w:tblPrEx>
        <w:trPr>
          <w:trHeight w:val="46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09E61B33">
            <w:pPr>
              <w:spacing w:line="240" w:lineRule="auto"/>
              <w:ind w:firstLine="0" w:firstLineChars="0"/>
              <w:jc w:val="center"/>
              <w:rPr>
                <w:rFonts w:hint="eastAsia" w:ascii="宋体" w:hAnsi="宋体"/>
                <w:color w:val="auto"/>
                <w:szCs w:val="21"/>
              </w:rPr>
            </w:pPr>
            <w:r>
              <w:rPr>
                <w:rFonts w:hint="eastAsia" w:ascii="宋体" w:hAnsi="宋体"/>
                <w:color w:val="auto"/>
                <w:szCs w:val="21"/>
              </w:rPr>
              <w:t>序号</w:t>
            </w:r>
          </w:p>
        </w:tc>
        <w:tc>
          <w:tcPr>
            <w:tcW w:w="1590"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29FCDCA6">
            <w:pPr>
              <w:spacing w:line="240" w:lineRule="auto"/>
              <w:ind w:firstLine="0" w:firstLineChars="0"/>
              <w:jc w:val="center"/>
              <w:rPr>
                <w:rFonts w:hint="eastAsia" w:ascii="宋体" w:hAnsi="宋体"/>
                <w:color w:val="auto"/>
                <w:szCs w:val="21"/>
              </w:rPr>
            </w:pPr>
            <w:r>
              <w:rPr>
                <w:rFonts w:hint="eastAsia" w:ascii="宋体" w:hAnsi="宋体"/>
                <w:color w:val="auto"/>
                <w:szCs w:val="21"/>
              </w:rPr>
              <w:t>区域</w:t>
            </w:r>
          </w:p>
        </w:tc>
        <w:tc>
          <w:tcPr>
            <w:tcW w:w="1530"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51A4828B">
            <w:pPr>
              <w:spacing w:line="240" w:lineRule="auto"/>
              <w:ind w:firstLine="0" w:firstLineChars="0"/>
              <w:jc w:val="center"/>
              <w:rPr>
                <w:rFonts w:hint="eastAsia" w:ascii="宋体" w:hAnsi="宋体"/>
                <w:color w:val="auto"/>
                <w:szCs w:val="21"/>
              </w:rPr>
            </w:pPr>
            <w:r>
              <w:rPr>
                <w:rFonts w:hint="eastAsia" w:ascii="宋体" w:hAnsi="宋体"/>
                <w:color w:val="auto"/>
                <w:szCs w:val="21"/>
              </w:rPr>
              <w:t>大屏规格</w:t>
            </w:r>
          </w:p>
        </w:tc>
        <w:tc>
          <w:tcPr>
            <w:tcW w:w="3555"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5AC054EE">
            <w:pPr>
              <w:spacing w:line="240" w:lineRule="auto"/>
              <w:ind w:firstLine="0" w:firstLineChars="0"/>
              <w:jc w:val="center"/>
              <w:rPr>
                <w:rFonts w:hint="eastAsia" w:ascii="宋体" w:hAnsi="宋体"/>
                <w:color w:val="auto"/>
                <w:szCs w:val="21"/>
              </w:rPr>
            </w:pPr>
            <w:r>
              <w:rPr>
                <w:rFonts w:hint="eastAsia" w:ascii="宋体" w:hAnsi="宋体"/>
                <w:color w:val="auto"/>
                <w:szCs w:val="21"/>
              </w:rPr>
              <w:t>位置</w:t>
            </w:r>
          </w:p>
        </w:tc>
      </w:tr>
      <w:tr w14:paraId="117E2FCC">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354D352">
            <w:pPr>
              <w:spacing w:line="240" w:lineRule="auto"/>
              <w:ind w:firstLine="0" w:firstLineChars="0"/>
              <w:jc w:val="center"/>
              <w:rPr>
                <w:rFonts w:hint="eastAsia" w:ascii="宋体" w:hAnsi="宋体"/>
                <w:color w:val="auto"/>
                <w:szCs w:val="21"/>
              </w:rPr>
            </w:pPr>
            <w:r>
              <w:rPr>
                <w:rFonts w:hint="eastAsia" w:ascii="宋体" w:hAnsi="宋体"/>
                <w:color w:val="auto"/>
                <w:szCs w:val="21"/>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497BEA">
            <w:pPr>
              <w:spacing w:line="240" w:lineRule="auto"/>
              <w:ind w:firstLine="0" w:firstLineChars="0"/>
              <w:jc w:val="center"/>
              <w:rPr>
                <w:rFonts w:hint="eastAsia" w:ascii="宋体" w:hAnsi="宋体"/>
                <w:color w:val="auto"/>
                <w:szCs w:val="21"/>
              </w:rPr>
            </w:pPr>
            <w:r>
              <w:rPr>
                <w:rFonts w:hint="eastAsia" w:ascii="宋体" w:hAnsi="宋体"/>
                <w:color w:val="auto"/>
                <w:szCs w:val="21"/>
              </w:rPr>
              <w:t>金鸡湖街道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D4DFC9">
            <w:pPr>
              <w:spacing w:line="240" w:lineRule="auto"/>
              <w:ind w:firstLine="0" w:firstLineChars="0"/>
              <w:jc w:val="center"/>
              <w:rPr>
                <w:rFonts w:hint="eastAsia" w:ascii="宋体" w:hAnsi="宋体"/>
                <w:color w:val="auto"/>
                <w:szCs w:val="21"/>
              </w:rPr>
            </w:pPr>
            <w:r>
              <w:rPr>
                <w:rFonts w:hint="eastAsia" w:ascii="宋体" w:hAnsi="宋体"/>
                <w:color w:val="auto"/>
                <w:szCs w:val="21"/>
              </w:rPr>
              <w:t>4500*4400mm</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FFB5CE">
            <w:pPr>
              <w:spacing w:line="240" w:lineRule="auto"/>
              <w:ind w:firstLine="0" w:firstLineChars="0"/>
              <w:rPr>
                <w:rFonts w:hint="eastAsia" w:ascii="宋体" w:hAnsi="宋体"/>
                <w:color w:val="auto"/>
                <w:szCs w:val="21"/>
              </w:rPr>
            </w:pPr>
            <w:r>
              <w:rPr>
                <w:rFonts w:hint="eastAsia" w:ascii="宋体" w:hAnsi="宋体"/>
                <w:color w:val="auto"/>
                <w:szCs w:val="21"/>
              </w:rPr>
              <w:t>城市广场音乐喷泉南</w:t>
            </w:r>
          </w:p>
        </w:tc>
      </w:tr>
      <w:tr w14:paraId="68D743E6">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18E4E9E3">
            <w:pPr>
              <w:spacing w:line="240" w:lineRule="auto"/>
              <w:ind w:firstLine="0" w:firstLineChars="0"/>
              <w:jc w:val="center"/>
              <w:rPr>
                <w:rFonts w:hint="eastAsia" w:ascii="宋体" w:hAnsi="宋体"/>
                <w:color w:val="auto"/>
                <w:szCs w:val="21"/>
              </w:rPr>
            </w:pPr>
            <w:r>
              <w:rPr>
                <w:rFonts w:hint="eastAsia" w:ascii="宋体" w:hAnsi="宋体"/>
                <w:color w:val="auto"/>
                <w:szCs w:val="21"/>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38DEBB">
            <w:pPr>
              <w:spacing w:line="240" w:lineRule="auto"/>
              <w:ind w:firstLine="0" w:firstLineChars="0"/>
              <w:jc w:val="center"/>
              <w:rPr>
                <w:rFonts w:hint="eastAsia" w:ascii="宋体" w:hAnsi="宋体"/>
                <w:color w:val="auto"/>
                <w:szCs w:val="21"/>
              </w:rPr>
            </w:pPr>
            <w:r>
              <w:rPr>
                <w:rFonts w:hint="eastAsia" w:ascii="宋体" w:hAnsi="宋体"/>
                <w:color w:val="auto"/>
                <w:szCs w:val="21"/>
              </w:rPr>
              <w:t>金鸡湖街道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3B6A7196">
            <w:pPr>
              <w:spacing w:line="240" w:lineRule="auto"/>
              <w:ind w:firstLine="0" w:firstLineChars="0"/>
              <w:jc w:val="center"/>
              <w:rPr>
                <w:rFonts w:hint="eastAsia" w:ascii="宋体" w:hAnsi="宋体"/>
                <w:color w:val="auto"/>
                <w:szCs w:val="21"/>
              </w:rPr>
            </w:pPr>
            <w:r>
              <w:rPr>
                <w:rFonts w:hint="eastAsia" w:ascii="宋体" w:hAnsi="宋体"/>
                <w:color w:val="auto"/>
                <w:szCs w:val="21"/>
              </w:rPr>
              <w:t>4500*4400mm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12943CC1">
            <w:pPr>
              <w:spacing w:line="240" w:lineRule="auto"/>
              <w:ind w:firstLine="0" w:firstLineChars="0"/>
              <w:rPr>
                <w:rFonts w:hint="eastAsia" w:ascii="宋体" w:hAnsi="宋体"/>
                <w:color w:val="auto"/>
                <w:szCs w:val="21"/>
              </w:rPr>
            </w:pPr>
            <w:r>
              <w:rPr>
                <w:rFonts w:hint="eastAsia" w:ascii="宋体" w:hAnsi="宋体"/>
                <w:color w:val="auto"/>
                <w:szCs w:val="21"/>
              </w:rPr>
              <w:t>城市广场音乐喷泉北</w:t>
            </w:r>
          </w:p>
        </w:tc>
      </w:tr>
      <w:tr w14:paraId="451BE3F8">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4686B558">
            <w:pPr>
              <w:spacing w:line="240" w:lineRule="auto"/>
              <w:ind w:firstLine="0" w:firstLineChars="0"/>
              <w:jc w:val="center"/>
              <w:rPr>
                <w:rFonts w:hint="eastAsia" w:ascii="宋体" w:hAnsi="宋体"/>
                <w:color w:val="auto"/>
                <w:szCs w:val="21"/>
              </w:rPr>
            </w:pPr>
            <w:r>
              <w:rPr>
                <w:rFonts w:hint="eastAsia" w:ascii="宋体" w:hAnsi="宋体"/>
                <w:color w:val="auto"/>
                <w:szCs w:val="21"/>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A12ADA">
            <w:pPr>
              <w:spacing w:line="240" w:lineRule="auto"/>
              <w:ind w:firstLine="0" w:firstLineChars="0"/>
              <w:jc w:val="center"/>
              <w:rPr>
                <w:rFonts w:hint="eastAsia" w:ascii="宋体" w:hAnsi="宋体"/>
                <w:color w:val="auto"/>
                <w:szCs w:val="21"/>
              </w:rPr>
            </w:pPr>
            <w:r>
              <w:rPr>
                <w:rFonts w:hint="eastAsia" w:ascii="宋体" w:hAnsi="宋体"/>
                <w:color w:val="auto"/>
                <w:szCs w:val="21"/>
              </w:rPr>
              <w:t>金鸡湖街道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66496C55">
            <w:pPr>
              <w:spacing w:line="240" w:lineRule="auto"/>
              <w:ind w:firstLine="0" w:firstLineChars="0"/>
              <w:jc w:val="center"/>
              <w:rPr>
                <w:rFonts w:hint="eastAsia" w:ascii="宋体" w:hAnsi="宋体"/>
                <w:color w:val="auto"/>
                <w:szCs w:val="21"/>
              </w:rPr>
            </w:pPr>
            <w:r>
              <w:rPr>
                <w:rFonts w:hint="eastAsia" w:ascii="宋体" w:hAnsi="宋体"/>
                <w:color w:val="auto"/>
                <w:szCs w:val="21"/>
              </w:rPr>
              <w:t>4500*4400mm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09445E4C">
            <w:pPr>
              <w:spacing w:line="240" w:lineRule="auto"/>
              <w:ind w:firstLine="0" w:firstLineChars="0"/>
              <w:rPr>
                <w:rFonts w:hint="eastAsia" w:ascii="宋体" w:hAnsi="宋体"/>
                <w:color w:val="auto"/>
                <w:szCs w:val="21"/>
              </w:rPr>
            </w:pPr>
            <w:r>
              <w:rPr>
                <w:rFonts w:hint="eastAsia" w:ascii="宋体" w:hAnsi="宋体"/>
                <w:color w:val="auto"/>
                <w:szCs w:val="21"/>
              </w:rPr>
              <w:t>城市广场音乐喷泉东北</w:t>
            </w:r>
          </w:p>
        </w:tc>
      </w:tr>
      <w:tr w14:paraId="02E51400">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4029EE46">
            <w:pPr>
              <w:spacing w:line="240" w:lineRule="auto"/>
              <w:ind w:firstLine="0" w:firstLineChars="0"/>
              <w:jc w:val="center"/>
              <w:rPr>
                <w:rFonts w:hint="eastAsia" w:ascii="宋体" w:hAnsi="宋体"/>
                <w:color w:val="auto"/>
                <w:szCs w:val="21"/>
              </w:rPr>
            </w:pPr>
            <w:r>
              <w:rPr>
                <w:rFonts w:hint="eastAsia" w:ascii="宋体" w:hAnsi="宋体"/>
                <w:color w:val="auto"/>
                <w:szCs w:val="21"/>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A80CAA">
            <w:pPr>
              <w:spacing w:line="240" w:lineRule="auto"/>
              <w:ind w:firstLine="0" w:firstLineChars="0"/>
              <w:jc w:val="center"/>
              <w:rPr>
                <w:rFonts w:hint="eastAsia" w:ascii="宋体" w:hAnsi="宋体"/>
                <w:color w:val="auto"/>
                <w:szCs w:val="21"/>
              </w:rPr>
            </w:pPr>
            <w:r>
              <w:rPr>
                <w:rFonts w:hint="eastAsia" w:ascii="宋体" w:hAnsi="宋体"/>
                <w:color w:val="auto"/>
                <w:szCs w:val="21"/>
              </w:rPr>
              <w:t>胜浦街道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670441DC">
            <w:pPr>
              <w:spacing w:line="240" w:lineRule="auto"/>
              <w:ind w:firstLine="0" w:firstLineChars="0"/>
              <w:jc w:val="center"/>
              <w:rPr>
                <w:rFonts w:hint="eastAsia" w:ascii="宋体" w:hAnsi="宋体"/>
                <w:color w:val="auto"/>
                <w:szCs w:val="21"/>
              </w:rPr>
            </w:pPr>
            <w:r>
              <w:rPr>
                <w:rFonts w:hint="eastAsia" w:ascii="宋体" w:hAnsi="宋体"/>
                <w:color w:val="auto"/>
                <w:szCs w:val="21"/>
              </w:rPr>
              <w:t>3840*1296mm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1E5F50E6">
            <w:pPr>
              <w:spacing w:line="240" w:lineRule="auto"/>
              <w:ind w:firstLine="0" w:firstLineChars="0"/>
              <w:rPr>
                <w:rFonts w:hint="eastAsia" w:ascii="宋体" w:hAnsi="宋体"/>
                <w:color w:val="auto"/>
                <w:szCs w:val="21"/>
              </w:rPr>
            </w:pPr>
            <w:r>
              <w:rPr>
                <w:rFonts w:hint="eastAsia" w:ascii="宋体" w:hAnsi="宋体"/>
                <w:color w:val="auto"/>
                <w:szCs w:val="21"/>
              </w:rPr>
              <w:t>现代大道高速入口</w:t>
            </w:r>
          </w:p>
        </w:tc>
      </w:tr>
      <w:tr w14:paraId="1A3BA750">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0DAA8E0C">
            <w:pPr>
              <w:spacing w:line="240" w:lineRule="auto"/>
              <w:ind w:firstLine="0" w:firstLineChars="0"/>
              <w:jc w:val="center"/>
              <w:rPr>
                <w:rFonts w:hint="eastAsia" w:ascii="宋体" w:hAnsi="宋体"/>
                <w:color w:val="auto"/>
                <w:szCs w:val="21"/>
              </w:rPr>
            </w:pPr>
            <w:r>
              <w:rPr>
                <w:rFonts w:hint="eastAsia" w:ascii="宋体" w:hAnsi="宋体"/>
                <w:color w:val="auto"/>
                <w:szCs w:val="21"/>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04DDCD">
            <w:pPr>
              <w:spacing w:line="240" w:lineRule="auto"/>
              <w:ind w:firstLine="0" w:firstLineChars="0"/>
              <w:jc w:val="center"/>
              <w:rPr>
                <w:rFonts w:hint="eastAsia" w:ascii="宋体" w:hAnsi="宋体"/>
                <w:color w:val="auto"/>
                <w:szCs w:val="21"/>
              </w:rPr>
            </w:pPr>
            <w:r>
              <w:rPr>
                <w:rFonts w:hint="eastAsia" w:ascii="宋体" w:hAnsi="宋体"/>
                <w:color w:val="auto"/>
                <w:szCs w:val="21"/>
              </w:rPr>
              <w:t>斜塘街道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152F9DE3">
            <w:pPr>
              <w:spacing w:line="240" w:lineRule="auto"/>
              <w:ind w:firstLine="0" w:firstLineChars="0"/>
              <w:jc w:val="center"/>
              <w:rPr>
                <w:rFonts w:hint="eastAsia" w:ascii="宋体" w:hAnsi="宋体"/>
                <w:color w:val="auto"/>
                <w:szCs w:val="21"/>
              </w:rPr>
            </w:pPr>
            <w:r>
              <w:rPr>
                <w:rFonts w:hint="eastAsia" w:ascii="宋体" w:hAnsi="宋体"/>
                <w:color w:val="auto"/>
                <w:szCs w:val="21"/>
              </w:rPr>
              <w:t>7700*3800mm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36113C22">
            <w:pPr>
              <w:spacing w:line="240" w:lineRule="auto"/>
              <w:ind w:firstLine="0" w:firstLineChars="0"/>
              <w:rPr>
                <w:rFonts w:hint="eastAsia" w:ascii="宋体" w:hAnsi="宋体"/>
                <w:color w:val="auto"/>
                <w:szCs w:val="21"/>
              </w:rPr>
            </w:pPr>
            <w:r>
              <w:rPr>
                <w:rFonts w:hint="eastAsia" w:ascii="宋体" w:hAnsi="宋体"/>
                <w:color w:val="auto"/>
                <w:szCs w:val="21"/>
              </w:rPr>
              <w:t>月墅公园下沉式广场</w:t>
            </w:r>
          </w:p>
        </w:tc>
      </w:tr>
      <w:tr w14:paraId="25B90A03">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2F27BC33">
            <w:pPr>
              <w:spacing w:line="240" w:lineRule="auto"/>
              <w:ind w:firstLine="0" w:firstLineChars="0"/>
              <w:jc w:val="center"/>
              <w:rPr>
                <w:rFonts w:hint="eastAsia" w:ascii="宋体" w:hAnsi="宋体"/>
                <w:color w:val="auto"/>
                <w:szCs w:val="21"/>
              </w:rPr>
            </w:pPr>
            <w:r>
              <w:rPr>
                <w:rFonts w:hint="eastAsia" w:ascii="宋体" w:hAnsi="宋体"/>
                <w:color w:val="auto"/>
                <w:szCs w:val="21"/>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3E01FC">
            <w:pPr>
              <w:spacing w:line="240" w:lineRule="auto"/>
              <w:ind w:firstLine="0" w:firstLineChars="0"/>
              <w:jc w:val="center"/>
              <w:rPr>
                <w:rFonts w:hint="eastAsia" w:ascii="宋体" w:hAnsi="宋体"/>
                <w:color w:val="auto"/>
                <w:szCs w:val="21"/>
              </w:rPr>
            </w:pPr>
            <w:r>
              <w:rPr>
                <w:rFonts w:hint="eastAsia" w:ascii="宋体" w:hAnsi="宋体"/>
                <w:color w:val="auto"/>
                <w:szCs w:val="21"/>
              </w:rPr>
              <w:t>娄葑街道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64FA40A7">
            <w:pPr>
              <w:spacing w:line="240" w:lineRule="auto"/>
              <w:ind w:firstLine="0" w:firstLineChars="0"/>
              <w:jc w:val="center"/>
              <w:rPr>
                <w:rFonts w:hint="eastAsia" w:ascii="宋体" w:hAnsi="宋体"/>
                <w:color w:val="auto"/>
                <w:szCs w:val="21"/>
              </w:rPr>
            </w:pPr>
            <w:r>
              <w:rPr>
                <w:rFonts w:hint="eastAsia" w:ascii="宋体" w:hAnsi="宋体"/>
                <w:color w:val="auto"/>
                <w:szCs w:val="21"/>
              </w:rPr>
              <w:t>2800*1800mm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3524D4E1">
            <w:pPr>
              <w:spacing w:line="240" w:lineRule="auto"/>
              <w:ind w:firstLine="0" w:firstLineChars="0"/>
              <w:rPr>
                <w:rFonts w:hint="eastAsia" w:ascii="宋体" w:hAnsi="宋体"/>
                <w:color w:val="auto"/>
                <w:szCs w:val="21"/>
              </w:rPr>
            </w:pPr>
            <w:r>
              <w:rPr>
                <w:rFonts w:hint="eastAsia" w:ascii="宋体" w:hAnsi="宋体"/>
                <w:color w:val="auto"/>
                <w:szCs w:val="21"/>
              </w:rPr>
              <w:t>党建公园</w:t>
            </w:r>
          </w:p>
        </w:tc>
      </w:tr>
      <w:tr w14:paraId="18A5C8C3">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668DB7B5">
            <w:pPr>
              <w:spacing w:line="240" w:lineRule="auto"/>
              <w:ind w:firstLine="0" w:firstLineChars="0"/>
              <w:jc w:val="center"/>
              <w:rPr>
                <w:rFonts w:hint="eastAsia" w:ascii="宋体" w:hAnsi="宋体"/>
                <w:color w:val="auto"/>
                <w:szCs w:val="21"/>
              </w:rPr>
            </w:pPr>
            <w:r>
              <w:rPr>
                <w:rFonts w:hint="eastAsia" w:ascii="宋体" w:hAnsi="宋体"/>
                <w:color w:val="auto"/>
                <w:szCs w:val="21"/>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62C1FA">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6DB4A73A">
            <w:pPr>
              <w:spacing w:line="240" w:lineRule="auto"/>
              <w:ind w:firstLine="0" w:firstLineChars="0"/>
              <w:jc w:val="center"/>
              <w:rPr>
                <w:rFonts w:hint="eastAsia" w:ascii="宋体" w:hAnsi="宋体"/>
                <w:color w:val="auto"/>
                <w:szCs w:val="21"/>
              </w:rPr>
            </w:pPr>
            <w:r>
              <w:rPr>
                <w:rFonts w:hint="eastAsia" w:ascii="宋体" w:hAnsi="宋体"/>
                <w:color w:val="auto"/>
                <w:szCs w:val="21"/>
              </w:rPr>
              <w:t>3200*2400mm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6E4B5B72">
            <w:pPr>
              <w:spacing w:line="240" w:lineRule="auto"/>
              <w:ind w:firstLine="0" w:firstLineChars="0"/>
              <w:rPr>
                <w:rFonts w:hint="eastAsia" w:ascii="宋体" w:hAnsi="宋体"/>
                <w:color w:val="auto"/>
                <w:szCs w:val="21"/>
              </w:rPr>
            </w:pPr>
            <w:r>
              <w:rPr>
                <w:rFonts w:hint="eastAsia" w:ascii="宋体" w:hAnsi="宋体"/>
                <w:color w:val="auto"/>
                <w:szCs w:val="21"/>
              </w:rPr>
              <w:t>西湖公园西端游客中心西北侧</w:t>
            </w:r>
          </w:p>
        </w:tc>
      </w:tr>
      <w:tr w14:paraId="6C063604">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71F38615">
            <w:pPr>
              <w:spacing w:line="240" w:lineRule="auto"/>
              <w:ind w:firstLine="0" w:firstLineChars="0"/>
              <w:jc w:val="center"/>
              <w:rPr>
                <w:rFonts w:hint="eastAsia" w:ascii="宋体" w:hAnsi="宋体"/>
                <w:color w:val="auto"/>
                <w:szCs w:val="21"/>
              </w:rPr>
            </w:pPr>
            <w:r>
              <w:rPr>
                <w:rFonts w:hint="eastAsia" w:ascii="宋体" w:hAnsi="宋体"/>
                <w:color w:val="auto"/>
                <w:szCs w:val="21"/>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485371">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12FEE54E">
            <w:pPr>
              <w:spacing w:line="240" w:lineRule="auto"/>
              <w:ind w:firstLine="0" w:firstLineChars="0"/>
              <w:jc w:val="center"/>
              <w:rPr>
                <w:rFonts w:hint="eastAsia" w:ascii="宋体" w:hAnsi="宋体"/>
                <w:color w:val="auto"/>
                <w:szCs w:val="21"/>
              </w:rPr>
            </w:pPr>
            <w:r>
              <w:rPr>
                <w:rFonts w:hint="eastAsia" w:ascii="宋体" w:hAnsi="宋体"/>
                <w:color w:val="auto"/>
                <w:szCs w:val="21"/>
              </w:rPr>
              <w:t>2650*1650mm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1C7442D1">
            <w:pPr>
              <w:spacing w:line="240" w:lineRule="auto"/>
              <w:ind w:firstLine="0" w:firstLineChars="0"/>
              <w:rPr>
                <w:rFonts w:hint="eastAsia" w:ascii="宋体" w:hAnsi="宋体"/>
                <w:color w:val="auto"/>
                <w:szCs w:val="21"/>
              </w:rPr>
            </w:pPr>
            <w:r>
              <w:rPr>
                <w:rFonts w:hint="eastAsia" w:ascii="宋体" w:hAnsi="宋体"/>
                <w:color w:val="auto"/>
                <w:szCs w:val="21"/>
              </w:rPr>
              <w:t>阳澄湖大道缤特力路入口处</w:t>
            </w:r>
          </w:p>
        </w:tc>
      </w:tr>
      <w:tr w14:paraId="181026A6">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57083E8D">
            <w:pPr>
              <w:spacing w:line="240" w:lineRule="auto"/>
              <w:ind w:firstLine="0" w:firstLineChars="0"/>
              <w:jc w:val="center"/>
              <w:rPr>
                <w:rFonts w:hint="eastAsia" w:ascii="宋体" w:hAnsi="宋体"/>
                <w:color w:val="auto"/>
                <w:szCs w:val="21"/>
              </w:rPr>
            </w:pPr>
            <w:r>
              <w:rPr>
                <w:rFonts w:hint="eastAsia" w:ascii="宋体" w:hAnsi="宋体"/>
                <w:color w:val="auto"/>
                <w:szCs w:val="21"/>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CCAD58">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7E8477A8">
            <w:pPr>
              <w:spacing w:line="240" w:lineRule="auto"/>
              <w:ind w:firstLine="0" w:firstLineChars="0"/>
              <w:jc w:val="center"/>
              <w:rPr>
                <w:rFonts w:hint="eastAsia" w:ascii="宋体" w:hAnsi="宋体"/>
                <w:color w:val="auto"/>
                <w:szCs w:val="21"/>
              </w:rPr>
            </w:pPr>
            <w:r>
              <w:rPr>
                <w:rFonts w:hint="eastAsia" w:ascii="宋体" w:hAnsi="宋体"/>
                <w:color w:val="auto"/>
                <w:szCs w:val="21"/>
              </w:rPr>
              <w:t>3200*2400mm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5DCB072B">
            <w:pPr>
              <w:spacing w:line="240" w:lineRule="auto"/>
              <w:ind w:firstLine="0" w:firstLineChars="0"/>
              <w:rPr>
                <w:rFonts w:hint="eastAsia" w:ascii="宋体" w:hAnsi="宋体"/>
                <w:color w:val="auto"/>
                <w:szCs w:val="21"/>
              </w:rPr>
            </w:pPr>
            <w:r>
              <w:rPr>
                <w:rFonts w:hint="eastAsia" w:ascii="宋体" w:hAnsi="宋体"/>
                <w:color w:val="auto"/>
                <w:szCs w:val="21"/>
              </w:rPr>
              <w:t>水郎街东侧16#服务建筑南侧</w:t>
            </w:r>
          </w:p>
        </w:tc>
      </w:tr>
      <w:tr w14:paraId="7D9A5256">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5D667062">
            <w:pPr>
              <w:spacing w:line="240" w:lineRule="auto"/>
              <w:ind w:firstLine="0" w:firstLineChars="0"/>
              <w:jc w:val="center"/>
              <w:rPr>
                <w:rFonts w:hint="eastAsia" w:ascii="宋体" w:hAnsi="宋体"/>
                <w:color w:val="auto"/>
                <w:szCs w:val="21"/>
              </w:rPr>
            </w:pPr>
            <w:r>
              <w:rPr>
                <w:rFonts w:hint="eastAsia" w:ascii="宋体" w:hAnsi="宋体"/>
                <w:color w:val="auto"/>
                <w:szCs w:val="21"/>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7CEFA8">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6B6AC8B8">
            <w:pPr>
              <w:spacing w:line="240" w:lineRule="auto"/>
              <w:ind w:firstLine="0" w:firstLineChars="0"/>
              <w:jc w:val="center"/>
              <w:rPr>
                <w:rFonts w:hint="eastAsia" w:ascii="宋体" w:hAnsi="宋体"/>
                <w:color w:val="auto"/>
                <w:szCs w:val="21"/>
              </w:rPr>
            </w:pPr>
            <w:r>
              <w:rPr>
                <w:rFonts w:hint="eastAsia" w:ascii="宋体" w:hAnsi="宋体"/>
                <w:color w:val="auto"/>
                <w:szCs w:val="21"/>
              </w:rPr>
              <w:t>2650*1650mm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411A53C1">
            <w:pPr>
              <w:spacing w:line="240" w:lineRule="auto"/>
              <w:ind w:firstLine="0" w:firstLineChars="0"/>
              <w:rPr>
                <w:rFonts w:hint="eastAsia" w:ascii="宋体" w:hAnsi="宋体"/>
                <w:color w:val="auto"/>
                <w:szCs w:val="21"/>
              </w:rPr>
            </w:pPr>
            <w:r>
              <w:rPr>
                <w:rFonts w:hint="eastAsia" w:ascii="宋体" w:hAnsi="宋体"/>
                <w:color w:val="auto"/>
                <w:szCs w:val="21"/>
              </w:rPr>
              <w:t>康洲街唯青路口</w:t>
            </w:r>
          </w:p>
        </w:tc>
      </w:tr>
      <w:tr w14:paraId="0AE8A68C">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35B58FC0">
            <w:pPr>
              <w:spacing w:line="240" w:lineRule="auto"/>
              <w:ind w:firstLine="0" w:firstLineChars="0"/>
              <w:jc w:val="center"/>
              <w:rPr>
                <w:rFonts w:hint="eastAsia" w:ascii="宋体" w:hAnsi="宋体"/>
                <w:color w:val="auto"/>
                <w:szCs w:val="21"/>
              </w:rPr>
            </w:pPr>
            <w:r>
              <w:rPr>
                <w:rFonts w:hint="eastAsia" w:ascii="宋体" w:hAnsi="宋体"/>
                <w:color w:val="auto"/>
                <w:szCs w:val="21"/>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9B5E20">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2CC306C5">
            <w:pPr>
              <w:spacing w:line="240" w:lineRule="auto"/>
              <w:ind w:firstLine="0" w:firstLineChars="0"/>
              <w:jc w:val="center"/>
              <w:rPr>
                <w:rFonts w:hint="eastAsia" w:ascii="宋体" w:hAnsi="宋体"/>
                <w:color w:val="auto"/>
                <w:szCs w:val="21"/>
              </w:rPr>
            </w:pPr>
            <w:r>
              <w:rPr>
                <w:rFonts w:hint="eastAsia" w:ascii="宋体" w:hAnsi="宋体"/>
                <w:color w:val="auto"/>
                <w:szCs w:val="21"/>
              </w:rPr>
              <w:t>2650*1650mm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68BF6576">
            <w:pPr>
              <w:spacing w:line="240" w:lineRule="auto"/>
              <w:ind w:firstLine="0" w:firstLineChars="0"/>
              <w:rPr>
                <w:rFonts w:hint="eastAsia" w:ascii="宋体" w:hAnsi="宋体"/>
                <w:color w:val="auto"/>
                <w:szCs w:val="21"/>
              </w:rPr>
            </w:pPr>
            <w:r>
              <w:rPr>
                <w:rFonts w:hint="eastAsia" w:ascii="宋体" w:hAnsi="宋体"/>
                <w:color w:val="auto"/>
                <w:szCs w:val="21"/>
              </w:rPr>
              <w:t>康洲街唯澄路口南侧</w:t>
            </w:r>
          </w:p>
        </w:tc>
      </w:tr>
      <w:tr w14:paraId="288E9BA6">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0849D5BF">
            <w:pPr>
              <w:spacing w:line="240" w:lineRule="auto"/>
              <w:ind w:firstLine="0" w:firstLineChars="0"/>
              <w:jc w:val="center"/>
              <w:rPr>
                <w:rFonts w:hint="eastAsia" w:ascii="宋体" w:hAnsi="宋体"/>
                <w:color w:val="auto"/>
                <w:szCs w:val="21"/>
              </w:rPr>
            </w:pPr>
            <w:r>
              <w:rPr>
                <w:rFonts w:hint="eastAsia" w:ascii="宋体" w:hAnsi="宋体"/>
                <w:color w:val="auto"/>
                <w:szCs w:val="21"/>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29E17A">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4468EDC2">
            <w:pPr>
              <w:spacing w:line="240" w:lineRule="auto"/>
              <w:ind w:firstLine="0" w:firstLineChars="0"/>
              <w:jc w:val="center"/>
              <w:rPr>
                <w:rFonts w:hint="eastAsia" w:ascii="宋体" w:hAnsi="宋体"/>
                <w:color w:val="auto"/>
                <w:szCs w:val="21"/>
              </w:rPr>
            </w:pPr>
            <w:r>
              <w:rPr>
                <w:rFonts w:hint="eastAsia" w:ascii="宋体" w:hAnsi="宋体"/>
                <w:color w:val="auto"/>
                <w:szCs w:val="21"/>
              </w:rPr>
              <w:t>7200*5440mm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3EF427D2">
            <w:pPr>
              <w:spacing w:line="240" w:lineRule="auto"/>
              <w:ind w:firstLine="0" w:firstLineChars="0"/>
              <w:rPr>
                <w:rFonts w:hint="eastAsia" w:ascii="宋体" w:hAnsi="宋体"/>
                <w:color w:val="auto"/>
                <w:szCs w:val="21"/>
              </w:rPr>
            </w:pPr>
            <w:r>
              <w:rPr>
                <w:rFonts w:hint="eastAsia" w:ascii="宋体" w:hAnsi="宋体"/>
                <w:color w:val="auto"/>
                <w:szCs w:val="21"/>
              </w:rPr>
              <w:t>体育公园主体广场</w:t>
            </w:r>
          </w:p>
        </w:tc>
      </w:tr>
      <w:tr w14:paraId="3FDBAE5B">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60A120B6">
            <w:pPr>
              <w:spacing w:line="240" w:lineRule="auto"/>
              <w:ind w:firstLine="0" w:firstLineChars="0"/>
              <w:jc w:val="center"/>
              <w:rPr>
                <w:rFonts w:hint="eastAsia" w:ascii="宋体" w:hAnsi="宋体"/>
                <w:color w:val="auto"/>
                <w:szCs w:val="21"/>
              </w:rPr>
            </w:pPr>
            <w:r>
              <w:rPr>
                <w:rFonts w:hint="eastAsia" w:ascii="宋体" w:hAnsi="宋体"/>
                <w:color w:val="auto"/>
                <w:szCs w:val="21"/>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C3907F">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084F3DD8">
            <w:pPr>
              <w:spacing w:line="240" w:lineRule="auto"/>
              <w:ind w:firstLine="0" w:firstLineChars="0"/>
              <w:jc w:val="center"/>
              <w:rPr>
                <w:rFonts w:hint="eastAsia" w:ascii="宋体" w:hAnsi="宋体"/>
                <w:color w:val="auto"/>
                <w:szCs w:val="21"/>
              </w:rPr>
            </w:pPr>
            <w:r>
              <w:rPr>
                <w:rFonts w:hint="eastAsia" w:ascii="宋体" w:hAnsi="宋体"/>
                <w:color w:val="auto"/>
                <w:szCs w:val="21"/>
              </w:rPr>
              <w:t>2650*1650mm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17B8FBB6">
            <w:pPr>
              <w:spacing w:line="240" w:lineRule="auto"/>
              <w:ind w:firstLine="0" w:firstLineChars="0"/>
              <w:rPr>
                <w:rFonts w:hint="eastAsia" w:ascii="宋体" w:hAnsi="宋体"/>
                <w:color w:val="auto"/>
                <w:szCs w:val="21"/>
              </w:rPr>
            </w:pPr>
            <w:r>
              <w:rPr>
                <w:rFonts w:hint="eastAsia" w:ascii="宋体" w:hAnsi="宋体"/>
                <w:color w:val="auto"/>
                <w:szCs w:val="21"/>
              </w:rPr>
              <w:t>康洲街唯澄路口北侧</w:t>
            </w:r>
          </w:p>
        </w:tc>
      </w:tr>
      <w:tr w14:paraId="63A8F7D3">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42C576FB">
            <w:pPr>
              <w:spacing w:line="240" w:lineRule="auto"/>
              <w:ind w:firstLine="0" w:firstLineChars="0"/>
              <w:jc w:val="center"/>
              <w:rPr>
                <w:rFonts w:hint="eastAsia" w:ascii="宋体" w:hAnsi="宋体"/>
                <w:color w:val="auto"/>
                <w:szCs w:val="21"/>
              </w:rPr>
            </w:pPr>
            <w:r>
              <w:rPr>
                <w:rFonts w:hint="eastAsia" w:ascii="宋体" w:hAnsi="宋体"/>
                <w:color w:val="auto"/>
                <w:szCs w:val="21"/>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52E385">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015730BB">
            <w:pPr>
              <w:spacing w:line="240" w:lineRule="auto"/>
              <w:ind w:firstLine="0" w:firstLineChars="0"/>
              <w:jc w:val="center"/>
              <w:rPr>
                <w:rFonts w:hint="eastAsia" w:ascii="宋体" w:hAnsi="宋体"/>
                <w:color w:val="auto"/>
                <w:szCs w:val="21"/>
              </w:rPr>
            </w:pPr>
            <w:r>
              <w:rPr>
                <w:rFonts w:hint="eastAsia" w:ascii="宋体" w:hAnsi="宋体"/>
                <w:color w:val="auto"/>
                <w:szCs w:val="21"/>
              </w:rPr>
              <w:t>2650*1650mm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6FF74085">
            <w:pPr>
              <w:spacing w:line="240" w:lineRule="auto"/>
              <w:ind w:firstLine="0" w:firstLineChars="0"/>
              <w:rPr>
                <w:rFonts w:hint="eastAsia" w:ascii="宋体" w:hAnsi="宋体"/>
                <w:color w:val="auto"/>
                <w:szCs w:val="21"/>
              </w:rPr>
            </w:pPr>
            <w:r>
              <w:rPr>
                <w:rFonts w:hint="eastAsia" w:ascii="宋体" w:hAnsi="宋体"/>
                <w:color w:val="auto"/>
                <w:szCs w:val="21"/>
              </w:rPr>
              <w:t>运澄路入口停车场</w:t>
            </w:r>
          </w:p>
        </w:tc>
      </w:tr>
      <w:tr w14:paraId="4DECF25A">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2CF66FE8">
            <w:pPr>
              <w:spacing w:line="240" w:lineRule="auto"/>
              <w:ind w:firstLine="0" w:firstLineChars="0"/>
              <w:jc w:val="center"/>
              <w:rPr>
                <w:rFonts w:hint="eastAsia" w:ascii="宋体" w:hAnsi="宋体"/>
                <w:color w:val="auto"/>
                <w:szCs w:val="21"/>
              </w:rPr>
            </w:pPr>
            <w:r>
              <w:rPr>
                <w:rFonts w:hint="eastAsia" w:ascii="宋体" w:hAnsi="宋体"/>
                <w:color w:val="auto"/>
                <w:szCs w:val="21"/>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5852DA">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4AE476EA">
            <w:pPr>
              <w:spacing w:line="240" w:lineRule="auto"/>
              <w:ind w:firstLine="0" w:firstLineChars="0"/>
              <w:jc w:val="center"/>
              <w:rPr>
                <w:rFonts w:hint="eastAsia" w:ascii="宋体" w:hAnsi="宋体"/>
                <w:color w:val="auto"/>
                <w:szCs w:val="21"/>
              </w:rPr>
            </w:pPr>
            <w:r>
              <w:rPr>
                <w:rFonts w:hint="eastAsia" w:ascii="宋体" w:hAnsi="宋体"/>
                <w:color w:val="auto"/>
                <w:szCs w:val="21"/>
              </w:rPr>
              <w:t>3520*2240mm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352D82A5">
            <w:pPr>
              <w:spacing w:line="240" w:lineRule="auto"/>
              <w:ind w:firstLine="0" w:firstLineChars="0"/>
              <w:rPr>
                <w:rFonts w:hint="eastAsia" w:ascii="宋体" w:hAnsi="宋体"/>
                <w:color w:val="auto"/>
                <w:szCs w:val="21"/>
              </w:rPr>
            </w:pPr>
            <w:r>
              <w:rPr>
                <w:rFonts w:hint="eastAsia" w:ascii="宋体" w:hAnsi="宋体"/>
                <w:color w:val="auto"/>
                <w:szCs w:val="21"/>
              </w:rPr>
              <w:t>云杉湖公园停车场</w:t>
            </w:r>
          </w:p>
        </w:tc>
      </w:tr>
      <w:tr w14:paraId="327C23A1">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7AD9823C">
            <w:pPr>
              <w:spacing w:line="240" w:lineRule="auto"/>
              <w:ind w:firstLine="0" w:firstLineChars="0"/>
              <w:jc w:val="center"/>
              <w:rPr>
                <w:rFonts w:hint="eastAsia" w:ascii="宋体" w:hAnsi="宋体"/>
                <w:color w:val="auto"/>
                <w:szCs w:val="21"/>
              </w:rPr>
            </w:pPr>
            <w:r>
              <w:rPr>
                <w:rFonts w:hint="eastAsia" w:ascii="宋体" w:hAnsi="宋体"/>
                <w:color w:val="auto"/>
                <w:szCs w:val="21"/>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720EEF">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0D5FA23D">
            <w:pPr>
              <w:spacing w:line="240" w:lineRule="auto"/>
              <w:ind w:firstLine="0" w:firstLineChars="0"/>
              <w:jc w:val="center"/>
              <w:rPr>
                <w:rFonts w:hint="eastAsia" w:ascii="宋体" w:hAnsi="宋体"/>
                <w:color w:val="auto"/>
                <w:szCs w:val="21"/>
              </w:rPr>
            </w:pPr>
            <w:r>
              <w:rPr>
                <w:rFonts w:hint="eastAsia" w:ascii="宋体" w:hAnsi="宋体"/>
                <w:color w:val="auto"/>
                <w:szCs w:val="21"/>
              </w:rPr>
              <w:t>3520*2240mm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66D798FC">
            <w:pPr>
              <w:spacing w:line="240" w:lineRule="auto"/>
              <w:ind w:firstLine="0" w:firstLineChars="0"/>
              <w:rPr>
                <w:rFonts w:hint="eastAsia" w:ascii="宋体" w:hAnsi="宋体"/>
                <w:color w:val="auto"/>
                <w:szCs w:val="21"/>
              </w:rPr>
            </w:pPr>
            <w:r>
              <w:rPr>
                <w:rFonts w:hint="eastAsia" w:ascii="宋体" w:hAnsi="宋体"/>
                <w:color w:val="auto"/>
                <w:szCs w:val="21"/>
              </w:rPr>
              <w:t>水泽路潭溪路交叉口北</w:t>
            </w:r>
          </w:p>
        </w:tc>
      </w:tr>
      <w:tr w14:paraId="7ECB7E6C">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7753DE76">
            <w:pPr>
              <w:spacing w:line="240" w:lineRule="auto"/>
              <w:ind w:firstLine="0" w:firstLineChars="0"/>
              <w:jc w:val="center"/>
              <w:rPr>
                <w:rFonts w:hint="eastAsia" w:ascii="宋体" w:hAnsi="宋体"/>
                <w:color w:val="auto"/>
                <w:szCs w:val="21"/>
              </w:rPr>
            </w:pPr>
            <w:r>
              <w:rPr>
                <w:rFonts w:hint="eastAsia" w:ascii="宋体" w:hAnsi="宋体"/>
                <w:color w:val="auto"/>
                <w:szCs w:val="21"/>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8D289D">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77956652">
            <w:pPr>
              <w:spacing w:line="240" w:lineRule="auto"/>
              <w:ind w:firstLine="0" w:firstLineChars="0"/>
              <w:jc w:val="center"/>
              <w:rPr>
                <w:rFonts w:hint="eastAsia" w:ascii="宋体" w:hAnsi="宋体"/>
                <w:color w:val="auto"/>
                <w:szCs w:val="21"/>
              </w:rPr>
            </w:pPr>
            <w:r>
              <w:rPr>
                <w:rFonts w:hint="eastAsia" w:ascii="宋体" w:hAnsi="宋体"/>
                <w:color w:val="auto"/>
                <w:szCs w:val="21"/>
              </w:rPr>
              <w:t>3520*2240mm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3695730F">
            <w:pPr>
              <w:spacing w:line="240" w:lineRule="auto"/>
              <w:ind w:firstLine="0" w:firstLineChars="0"/>
              <w:rPr>
                <w:rFonts w:hint="eastAsia" w:ascii="宋体" w:hAnsi="宋体"/>
                <w:color w:val="auto"/>
                <w:szCs w:val="21"/>
              </w:rPr>
            </w:pPr>
            <w:r>
              <w:rPr>
                <w:rFonts w:hint="eastAsia" w:ascii="宋体" w:hAnsi="宋体"/>
                <w:color w:val="auto"/>
                <w:szCs w:val="21"/>
              </w:rPr>
              <w:t>莲池湖公园内</w:t>
            </w:r>
          </w:p>
        </w:tc>
      </w:tr>
      <w:tr w14:paraId="7C864772">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top"/>
          </w:tcPr>
          <w:p w14:paraId="63B74EF6">
            <w:pPr>
              <w:spacing w:line="240" w:lineRule="auto"/>
              <w:ind w:firstLine="0" w:firstLineChars="0"/>
              <w:jc w:val="center"/>
              <w:rPr>
                <w:rFonts w:hint="eastAsia" w:ascii="宋体" w:hAnsi="宋体"/>
                <w:color w:val="auto"/>
                <w:szCs w:val="21"/>
              </w:rPr>
            </w:pPr>
            <w:r>
              <w:rPr>
                <w:rFonts w:hint="eastAsia" w:ascii="宋体" w:hAnsi="宋体"/>
                <w:color w:val="auto"/>
                <w:szCs w:val="21"/>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F55984">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320CA4A1">
            <w:pPr>
              <w:spacing w:line="240" w:lineRule="auto"/>
              <w:ind w:firstLine="0" w:firstLineChars="0"/>
              <w:jc w:val="center"/>
              <w:rPr>
                <w:rFonts w:hint="eastAsia" w:ascii="宋体" w:hAnsi="宋体"/>
                <w:color w:val="auto"/>
                <w:szCs w:val="21"/>
              </w:rPr>
            </w:pPr>
            <w:r>
              <w:rPr>
                <w:rFonts w:hint="eastAsia" w:ascii="宋体" w:hAnsi="宋体"/>
                <w:color w:val="auto"/>
                <w:szCs w:val="21"/>
              </w:rPr>
              <w:t>3520*2240mm</w:t>
            </w:r>
          </w:p>
        </w:tc>
        <w:tc>
          <w:tcPr>
            <w:tcW w:w="0" w:type="auto"/>
            <w:tcBorders>
              <w:top w:val="single" w:color="000000" w:sz="4" w:space="0"/>
              <w:left w:val="single" w:color="000000" w:sz="4" w:space="0"/>
              <w:bottom w:val="single" w:color="000000" w:sz="4" w:space="0"/>
              <w:right w:val="single" w:color="000000" w:sz="4" w:space="0"/>
            </w:tcBorders>
            <w:noWrap/>
            <w:vAlign w:val="top"/>
          </w:tcPr>
          <w:p w14:paraId="11B58F47">
            <w:pPr>
              <w:spacing w:line="240" w:lineRule="auto"/>
              <w:ind w:firstLine="0" w:firstLineChars="0"/>
              <w:rPr>
                <w:rFonts w:hint="eastAsia" w:ascii="宋体" w:hAnsi="宋体"/>
                <w:color w:val="auto"/>
                <w:szCs w:val="21"/>
              </w:rPr>
            </w:pPr>
            <w:r>
              <w:rPr>
                <w:rFonts w:hint="eastAsia" w:ascii="宋体" w:hAnsi="宋体"/>
                <w:color w:val="auto"/>
                <w:szCs w:val="21"/>
              </w:rPr>
              <w:t>浅水湾商业街旁</w:t>
            </w:r>
          </w:p>
        </w:tc>
      </w:tr>
    </w:tbl>
    <w:p w14:paraId="4C129103">
      <w:pPr>
        <w:spacing w:line="420" w:lineRule="auto"/>
        <w:ind w:firstLine="480"/>
        <w:rPr>
          <w:rFonts w:hint="eastAsia" w:ascii="Arial" w:hAnsi="Arial" w:cs="Arial"/>
          <w:color w:val="auto"/>
        </w:rPr>
      </w:pPr>
    </w:p>
    <w:p w14:paraId="67FC561D">
      <w:pPr>
        <w:ind w:left="102" w:firstLine="482"/>
        <w:jc w:val="left"/>
        <w:rPr>
          <w:rFonts w:hint="eastAsia" w:ascii="宋体" w:hAnsi="宋体"/>
          <w:color w:val="auto"/>
          <w:szCs w:val="21"/>
        </w:rPr>
      </w:pPr>
      <w:r>
        <w:rPr>
          <w:rFonts w:ascii="宋体" w:hAnsi="宋体"/>
          <w:b/>
          <w:bCs/>
          <w:color w:val="auto"/>
          <w:szCs w:val="21"/>
        </w:rPr>
        <w:t>2</w:t>
      </w:r>
      <w:r>
        <w:rPr>
          <w:rFonts w:hint="eastAsia" w:ascii="宋体" w:hAnsi="宋体"/>
          <w:b/>
          <w:bCs/>
          <w:color w:val="auto"/>
          <w:szCs w:val="21"/>
        </w:rPr>
        <w:t>、主要检查内容</w:t>
      </w:r>
    </w:p>
    <w:p w14:paraId="359E7B43">
      <w:pPr>
        <w:ind w:left="102" w:firstLine="480"/>
        <w:jc w:val="left"/>
        <w:rPr>
          <w:rFonts w:hint="eastAsia" w:ascii="宋体" w:hAnsi="宋体"/>
          <w:color w:val="auto"/>
          <w:szCs w:val="21"/>
        </w:rPr>
      </w:pPr>
      <w:r>
        <w:rPr>
          <w:rFonts w:hint="eastAsia" w:ascii="宋体" w:hAnsi="宋体"/>
          <w:color w:val="auto"/>
          <w:szCs w:val="21"/>
        </w:rPr>
        <w:t>电子显示屏主要检测内容分为七部分，具体如下：</w:t>
      </w:r>
    </w:p>
    <w:p w14:paraId="366D2E2A">
      <w:pPr>
        <w:ind w:left="102" w:firstLine="480"/>
        <w:jc w:val="left"/>
        <w:rPr>
          <w:rFonts w:hint="eastAsia"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)基础检测</w:t>
      </w:r>
      <w:r>
        <w:rPr>
          <w:rFonts w:hint="eastAsia" w:ascii="宋体" w:hAnsi="宋体"/>
          <w:color w:val="auto"/>
          <w:szCs w:val="21"/>
        </w:rPr>
        <w:t>；</w:t>
      </w:r>
    </w:p>
    <w:p w14:paraId="2FC1D915">
      <w:pPr>
        <w:ind w:left="102" w:firstLine="480"/>
        <w:jc w:val="left"/>
        <w:rPr>
          <w:rFonts w:hint="eastAsia" w:ascii="宋体" w:hAnsi="宋体"/>
          <w:color w:val="auto"/>
          <w:szCs w:val="21"/>
        </w:rPr>
      </w:pPr>
      <w:r>
        <w:rPr>
          <w:rFonts w:ascii="宋体" w:hAnsi="宋体"/>
          <w:color w:val="auto"/>
          <w:szCs w:val="21"/>
        </w:rPr>
        <w:t>(2)焊缝质量检测</w:t>
      </w:r>
      <w:r>
        <w:rPr>
          <w:rFonts w:hint="eastAsia" w:ascii="宋体" w:hAnsi="宋体"/>
          <w:color w:val="auto"/>
          <w:szCs w:val="21"/>
        </w:rPr>
        <w:t>；</w:t>
      </w:r>
    </w:p>
    <w:p w14:paraId="74CCC90F">
      <w:pPr>
        <w:ind w:left="102" w:firstLine="480"/>
        <w:jc w:val="left"/>
        <w:rPr>
          <w:rFonts w:hint="eastAsia" w:ascii="宋体" w:hAnsi="宋体"/>
          <w:color w:val="auto"/>
          <w:szCs w:val="21"/>
        </w:rPr>
      </w:pPr>
      <w:r>
        <w:rPr>
          <w:rFonts w:ascii="宋体" w:hAnsi="宋体"/>
          <w:color w:val="auto"/>
          <w:szCs w:val="21"/>
        </w:rPr>
        <w:t>(3)结构安装偏差检测</w:t>
      </w:r>
      <w:r>
        <w:rPr>
          <w:rFonts w:hint="eastAsia" w:ascii="宋体" w:hAnsi="宋体"/>
          <w:color w:val="auto"/>
          <w:szCs w:val="21"/>
        </w:rPr>
        <w:t>；</w:t>
      </w:r>
    </w:p>
    <w:p w14:paraId="6ACE63DC">
      <w:pPr>
        <w:ind w:left="102" w:firstLine="480"/>
        <w:jc w:val="left"/>
        <w:rPr>
          <w:rFonts w:hint="eastAsia" w:ascii="宋体" w:hAnsi="宋体"/>
          <w:color w:val="auto"/>
          <w:szCs w:val="21"/>
        </w:rPr>
      </w:pPr>
      <w:r>
        <w:rPr>
          <w:rFonts w:ascii="宋体" w:hAnsi="宋体"/>
          <w:color w:val="auto"/>
          <w:szCs w:val="21"/>
        </w:rPr>
        <w:t>(4)螺栓紧固检测</w:t>
      </w:r>
      <w:r>
        <w:rPr>
          <w:rFonts w:hint="eastAsia" w:ascii="宋体" w:hAnsi="宋体"/>
          <w:color w:val="auto"/>
          <w:szCs w:val="21"/>
        </w:rPr>
        <w:t>；</w:t>
      </w:r>
    </w:p>
    <w:p w14:paraId="2BF78F10">
      <w:pPr>
        <w:ind w:left="102" w:firstLine="480"/>
        <w:jc w:val="left"/>
        <w:rPr>
          <w:rFonts w:hint="eastAsia" w:ascii="宋体" w:hAnsi="宋体"/>
          <w:color w:val="auto"/>
          <w:szCs w:val="21"/>
        </w:rPr>
      </w:pPr>
      <w:r>
        <w:rPr>
          <w:rFonts w:ascii="宋体" w:hAnsi="宋体"/>
          <w:color w:val="auto"/>
          <w:szCs w:val="21"/>
        </w:rPr>
        <w:t>(5)螺栓坚固检测</w:t>
      </w:r>
      <w:r>
        <w:rPr>
          <w:rFonts w:hint="eastAsia" w:ascii="宋体" w:hAnsi="宋体"/>
          <w:color w:val="auto"/>
          <w:szCs w:val="21"/>
        </w:rPr>
        <w:t>；</w:t>
      </w:r>
    </w:p>
    <w:p w14:paraId="3EBF8B1D">
      <w:pPr>
        <w:ind w:left="102" w:firstLine="480"/>
        <w:jc w:val="left"/>
        <w:rPr>
          <w:rFonts w:hint="eastAsia" w:ascii="宋体" w:hAnsi="宋体"/>
          <w:color w:val="auto"/>
          <w:szCs w:val="21"/>
        </w:rPr>
      </w:pPr>
      <w:r>
        <w:rPr>
          <w:rFonts w:ascii="宋体" w:hAnsi="宋体"/>
          <w:color w:val="auto"/>
          <w:szCs w:val="21"/>
        </w:rPr>
        <w:t>(6)</w:t>
      </w:r>
      <w:r>
        <w:rPr>
          <w:rFonts w:hint="eastAsia" w:ascii="宋体" w:hAnsi="宋体"/>
          <w:color w:val="auto"/>
          <w:szCs w:val="21"/>
        </w:rPr>
        <w:t>检测</w:t>
      </w:r>
      <w:r>
        <w:rPr>
          <w:rFonts w:ascii="宋体" w:hAnsi="宋体"/>
          <w:color w:val="auto"/>
          <w:szCs w:val="21"/>
        </w:rPr>
        <w:t>平台、爬梯、护栏等附属设施质量</w:t>
      </w:r>
      <w:r>
        <w:rPr>
          <w:rFonts w:hint="eastAsia" w:ascii="宋体" w:hAnsi="宋体"/>
          <w:color w:val="auto"/>
          <w:szCs w:val="21"/>
        </w:rPr>
        <w:t>；</w:t>
      </w:r>
    </w:p>
    <w:p w14:paraId="498DE52D">
      <w:pPr>
        <w:ind w:left="102" w:firstLine="480"/>
        <w:jc w:val="left"/>
        <w:rPr>
          <w:rFonts w:ascii="宋体" w:hAnsi="宋体"/>
          <w:color w:val="auto"/>
          <w:szCs w:val="21"/>
        </w:rPr>
      </w:pPr>
      <w:r>
        <w:rPr>
          <w:rFonts w:ascii="宋体" w:hAnsi="宋体"/>
          <w:color w:val="auto"/>
          <w:szCs w:val="21"/>
        </w:rPr>
        <w:t>(7)安全性评估</w:t>
      </w:r>
      <w:r>
        <w:rPr>
          <w:rFonts w:hint="eastAsia" w:ascii="宋体" w:hAnsi="宋体"/>
          <w:color w:val="auto"/>
          <w:szCs w:val="21"/>
        </w:rPr>
        <w:t>。</w:t>
      </w:r>
    </w:p>
    <w:p w14:paraId="5E18DC07">
      <w:pPr>
        <w:ind w:left="102" w:firstLine="480"/>
        <w:jc w:val="left"/>
        <w:rPr>
          <w:rFonts w:hint="eastAsia" w:ascii="宋体" w:hAnsi="宋体"/>
          <w:color w:val="auto"/>
          <w:szCs w:val="21"/>
        </w:rPr>
      </w:pPr>
      <w:r>
        <w:rPr>
          <w:rFonts w:hint="eastAsia" w:ascii="宋体" w:hAnsi="宋体"/>
          <w:color w:val="auto"/>
          <w:szCs w:val="21"/>
        </w:rPr>
        <w:t>各块电子显示屏具体检测内容内容不同，详见表</w:t>
      </w:r>
      <w:r>
        <w:rPr>
          <w:rFonts w:ascii="宋体" w:hAnsi="宋体"/>
          <w:color w:val="auto"/>
          <w:szCs w:val="21"/>
        </w:rPr>
        <w:t>2.2</w:t>
      </w:r>
      <w:r>
        <w:rPr>
          <w:rFonts w:hint="eastAsia" w:ascii="宋体" w:hAnsi="宋体"/>
          <w:color w:val="auto"/>
          <w:szCs w:val="21"/>
        </w:rPr>
        <w:t>，具体如下：</w:t>
      </w:r>
    </w:p>
    <w:p w14:paraId="4EEDE46B">
      <w:pPr>
        <w:ind w:firstLine="424" w:firstLineChars="177"/>
        <w:jc w:val="center"/>
        <w:rPr>
          <w:rFonts w:ascii="宋体" w:hAnsi="宋体"/>
          <w:color w:val="auto"/>
          <w:szCs w:val="21"/>
        </w:rPr>
      </w:pPr>
      <w:r>
        <w:rPr>
          <w:rFonts w:hint="eastAsia" w:ascii="宋体" w:hAnsi="宋体"/>
          <w:color w:val="auto"/>
          <w:szCs w:val="21"/>
        </w:rPr>
        <w:t>表</w:t>
      </w:r>
      <w:r>
        <w:rPr>
          <w:rFonts w:ascii="宋体" w:hAnsi="宋体"/>
          <w:color w:val="auto"/>
          <w:szCs w:val="21"/>
        </w:rPr>
        <w:t>2.2</w:t>
      </w:r>
      <w:r>
        <w:rPr>
          <w:rFonts w:hint="eastAsia" w:ascii="宋体" w:hAnsi="宋体"/>
          <w:color w:val="auto"/>
          <w:szCs w:val="21"/>
        </w:rPr>
        <w:t>各电子显示屏检测内容</w:t>
      </w:r>
    </w:p>
    <w:tbl>
      <w:tblPr>
        <w:tblStyle w:val="10"/>
        <w:tblW w:w="7755" w:type="dxa"/>
        <w:jc w:val="center"/>
        <w:tblLayout w:type="autofit"/>
        <w:tblCellMar>
          <w:top w:w="0" w:type="dxa"/>
          <w:left w:w="108" w:type="dxa"/>
          <w:bottom w:w="0" w:type="dxa"/>
          <w:right w:w="108" w:type="dxa"/>
        </w:tblCellMar>
      </w:tblPr>
      <w:tblGrid>
        <w:gridCol w:w="1080"/>
        <w:gridCol w:w="1590"/>
        <w:gridCol w:w="1536"/>
        <w:gridCol w:w="3555"/>
      </w:tblGrid>
      <w:tr w14:paraId="4B00DDB3">
        <w:tblPrEx>
          <w:tblCellMar>
            <w:top w:w="0" w:type="dxa"/>
            <w:left w:w="108" w:type="dxa"/>
            <w:bottom w:w="0" w:type="dxa"/>
            <w:right w:w="108" w:type="dxa"/>
          </w:tblCellMar>
        </w:tblPrEx>
        <w:trPr>
          <w:trHeight w:val="46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277FD473">
            <w:pPr>
              <w:spacing w:line="240" w:lineRule="auto"/>
              <w:ind w:firstLine="0" w:firstLineChars="0"/>
              <w:jc w:val="center"/>
              <w:rPr>
                <w:rFonts w:hint="eastAsia" w:ascii="宋体" w:hAnsi="宋体"/>
                <w:color w:val="auto"/>
                <w:szCs w:val="21"/>
              </w:rPr>
            </w:pPr>
            <w:r>
              <w:rPr>
                <w:rFonts w:hint="eastAsia" w:ascii="宋体" w:hAnsi="宋体"/>
                <w:color w:val="auto"/>
                <w:szCs w:val="21"/>
              </w:rPr>
              <w:t>序号</w:t>
            </w:r>
          </w:p>
        </w:tc>
        <w:tc>
          <w:tcPr>
            <w:tcW w:w="1590"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589843D2">
            <w:pPr>
              <w:spacing w:line="240" w:lineRule="auto"/>
              <w:ind w:firstLine="0" w:firstLineChars="0"/>
              <w:jc w:val="center"/>
              <w:rPr>
                <w:rFonts w:hint="eastAsia" w:ascii="宋体" w:hAnsi="宋体"/>
                <w:color w:val="auto"/>
                <w:szCs w:val="21"/>
              </w:rPr>
            </w:pPr>
            <w:r>
              <w:rPr>
                <w:rFonts w:hint="eastAsia" w:ascii="宋体" w:hAnsi="宋体"/>
                <w:color w:val="auto"/>
                <w:szCs w:val="21"/>
              </w:rPr>
              <w:t>区域</w:t>
            </w:r>
          </w:p>
        </w:tc>
        <w:tc>
          <w:tcPr>
            <w:tcW w:w="1530"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53932CDD">
            <w:pPr>
              <w:spacing w:line="240" w:lineRule="auto"/>
              <w:ind w:firstLine="0" w:firstLineChars="0"/>
              <w:jc w:val="center"/>
              <w:rPr>
                <w:rFonts w:hint="eastAsia" w:ascii="宋体" w:hAnsi="宋体"/>
                <w:color w:val="auto"/>
                <w:szCs w:val="21"/>
              </w:rPr>
            </w:pPr>
            <w:r>
              <w:rPr>
                <w:rFonts w:hint="eastAsia" w:ascii="宋体" w:hAnsi="宋体"/>
                <w:color w:val="auto"/>
                <w:szCs w:val="21"/>
              </w:rPr>
              <w:t>大屏规格</w:t>
            </w:r>
          </w:p>
        </w:tc>
        <w:tc>
          <w:tcPr>
            <w:tcW w:w="3555"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14:paraId="76AB8FAA">
            <w:pPr>
              <w:spacing w:line="240" w:lineRule="auto"/>
              <w:ind w:firstLine="0" w:firstLineChars="0"/>
              <w:jc w:val="center"/>
              <w:rPr>
                <w:rFonts w:hint="eastAsia" w:ascii="宋体" w:hAnsi="宋体"/>
                <w:color w:val="auto"/>
                <w:szCs w:val="21"/>
              </w:rPr>
            </w:pPr>
            <w:r>
              <w:rPr>
                <w:rFonts w:hint="eastAsia" w:ascii="宋体" w:hAnsi="宋体"/>
                <w:color w:val="auto"/>
                <w:szCs w:val="21"/>
              </w:rPr>
              <w:t>检测内容</w:t>
            </w:r>
          </w:p>
        </w:tc>
      </w:tr>
      <w:tr w14:paraId="5143988B">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375BE8E">
            <w:pPr>
              <w:spacing w:line="240" w:lineRule="auto"/>
              <w:ind w:firstLine="0" w:firstLineChars="0"/>
              <w:jc w:val="center"/>
              <w:rPr>
                <w:rFonts w:hint="eastAsia" w:ascii="宋体" w:hAnsi="宋体"/>
                <w:color w:val="auto"/>
                <w:szCs w:val="21"/>
              </w:rPr>
            </w:pPr>
            <w:r>
              <w:rPr>
                <w:rFonts w:hint="eastAsia" w:ascii="宋体" w:hAnsi="宋体"/>
                <w:color w:val="auto"/>
                <w:szCs w:val="21"/>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A2519E">
            <w:pPr>
              <w:spacing w:line="240" w:lineRule="auto"/>
              <w:ind w:firstLine="0" w:firstLineChars="0"/>
              <w:jc w:val="center"/>
              <w:rPr>
                <w:rFonts w:hint="eastAsia" w:ascii="宋体" w:hAnsi="宋体"/>
                <w:color w:val="auto"/>
                <w:szCs w:val="21"/>
              </w:rPr>
            </w:pPr>
            <w:r>
              <w:rPr>
                <w:rFonts w:hint="eastAsia" w:ascii="宋体" w:hAnsi="宋体"/>
                <w:color w:val="auto"/>
                <w:szCs w:val="21"/>
              </w:rPr>
              <w:t>金鸡湖街道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A19C46">
            <w:pPr>
              <w:spacing w:line="240" w:lineRule="auto"/>
              <w:ind w:firstLine="0" w:firstLineChars="0"/>
              <w:jc w:val="center"/>
              <w:rPr>
                <w:rFonts w:hint="eastAsia" w:ascii="宋体" w:hAnsi="宋体"/>
                <w:color w:val="auto"/>
                <w:szCs w:val="21"/>
              </w:rPr>
            </w:pPr>
            <w:r>
              <w:rPr>
                <w:rFonts w:hint="eastAsia" w:ascii="宋体" w:hAnsi="宋体"/>
                <w:color w:val="auto"/>
                <w:szCs w:val="21"/>
              </w:rPr>
              <w:t>4500*4400mm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20C22882">
            <w:pPr>
              <w:spacing w:line="240" w:lineRule="auto"/>
              <w:ind w:firstLine="0" w:firstLineChars="0"/>
              <w:jc w:val="center"/>
              <w:rPr>
                <w:rFonts w:hint="eastAsia" w:ascii="宋体" w:hAnsi="宋体"/>
                <w:color w:val="auto"/>
                <w:szCs w:val="21"/>
              </w:rPr>
            </w:pPr>
            <w:r>
              <w:rPr>
                <w:rFonts w:hint="eastAsia" w:ascii="宋体" w:hAnsi="宋体"/>
                <w:color w:val="auto"/>
                <w:szCs w:val="21"/>
              </w:rPr>
              <w:t>3,7项</w:t>
            </w:r>
          </w:p>
        </w:tc>
      </w:tr>
      <w:tr w14:paraId="4FE8332F">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0C03181">
            <w:pPr>
              <w:spacing w:line="240" w:lineRule="auto"/>
              <w:ind w:firstLine="0" w:firstLineChars="0"/>
              <w:jc w:val="center"/>
              <w:rPr>
                <w:rFonts w:hint="eastAsia" w:ascii="宋体" w:hAnsi="宋体"/>
                <w:color w:val="auto"/>
                <w:szCs w:val="21"/>
              </w:rPr>
            </w:pPr>
            <w:r>
              <w:rPr>
                <w:rFonts w:hint="eastAsia" w:ascii="宋体" w:hAnsi="宋体"/>
                <w:color w:val="auto"/>
                <w:szCs w:val="21"/>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B14F0D">
            <w:pPr>
              <w:spacing w:line="240" w:lineRule="auto"/>
              <w:ind w:firstLine="0" w:firstLineChars="0"/>
              <w:jc w:val="center"/>
              <w:rPr>
                <w:rFonts w:hint="eastAsia" w:ascii="宋体" w:hAnsi="宋体"/>
                <w:color w:val="auto"/>
                <w:szCs w:val="21"/>
              </w:rPr>
            </w:pPr>
            <w:r>
              <w:rPr>
                <w:rFonts w:hint="eastAsia" w:ascii="宋体" w:hAnsi="宋体"/>
                <w:color w:val="auto"/>
                <w:szCs w:val="21"/>
              </w:rPr>
              <w:t>金鸡湖街道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E07076">
            <w:pPr>
              <w:spacing w:line="240" w:lineRule="auto"/>
              <w:ind w:firstLine="0" w:firstLineChars="0"/>
              <w:jc w:val="center"/>
              <w:rPr>
                <w:rFonts w:hint="eastAsia" w:ascii="宋体" w:hAnsi="宋体"/>
                <w:color w:val="auto"/>
                <w:szCs w:val="21"/>
              </w:rPr>
            </w:pPr>
            <w:r>
              <w:rPr>
                <w:rFonts w:hint="eastAsia" w:ascii="宋体" w:hAnsi="宋体"/>
                <w:color w:val="auto"/>
                <w:szCs w:val="21"/>
              </w:rPr>
              <w:t>4500*4400mm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6BF6592F">
            <w:pPr>
              <w:spacing w:line="240" w:lineRule="auto"/>
              <w:ind w:firstLine="0" w:firstLineChars="0"/>
              <w:jc w:val="center"/>
              <w:rPr>
                <w:rFonts w:hint="eastAsia" w:ascii="宋体" w:hAnsi="宋体"/>
                <w:color w:val="auto"/>
                <w:szCs w:val="21"/>
              </w:rPr>
            </w:pPr>
            <w:r>
              <w:rPr>
                <w:rFonts w:hint="eastAsia" w:ascii="宋体" w:hAnsi="宋体"/>
                <w:color w:val="auto"/>
                <w:szCs w:val="21"/>
              </w:rPr>
              <w:t>3,7项</w:t>
            </w:r>
          </w:p>
        </w:tc>
      </w:tr>
      <w:tr w14:paraId="436362B5">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FF02B0C">
            <w:pPr>
              <w:spacing w:line="240" w:lineRule="auto"/>
              <w:ind w:firstLine="0" w:firstLineChars="0"/>
              <w:jc w:val="center"/>
              <w:rPr>
                <w:rFonts w:hint="eastAsia" w:ascii="宋体" w:hAnsi="宋体"/>
                <w:color w:val="auto"/>
                <w:szCs w:val="21"/>
              </w:rPr>
            </w:pPr>
            <w:r>
              <w:rPr>
                <w:rFonts w:hint="eastAsia" w:ascii="宋体" w:hAnsi="宋体"/>
                <w:color w:val="auto"/>
                <w:szCs w:val="21"/>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A6F1E4">
            <w:pPr>
              <w:spacing w:line="240" w:lineRule="auto"/>
              <w:ind w:firstLine="0" w:firstLineChars="0"/>
              <w:jc w:val="center"/>
              <w:rPr>
                <w:rFonts w:hint="eastAsia" w:ascii="宋体" w:hAnsi="宋体"/>
                <w:color w:val="auto"/>
                <w:szCs w:val="21"/>
              </w:rPr>
            </w:pPr>
            <w:r>
              <w:rPr>
                <w:rFonts w:hint="eastAsia" w:ascii="宋体" w:hAnsi="宋体"/>
                <w:color w:val="auto"/>
                <w:szCs w:val="21"/>
              </w:rPr>
              <w:t>金鸡湖街道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EE48EF">
            <w:pPr>
              <w:spacing w:line="240" w:lineRule="auto"/>
              <w:ind w:firstLine="0" w:firstLineChars="0"/>
              <w:jc w:val="center"/>
              <w:rPr>
                <w:rFonts w:hint="eastAsia" w:ascii="宋体" w:hAnsi="宋体"/>
                <w:color w:val="auto"/>
                <w:szCs w:val="21"/>
              </w:rPr>
            </w:pPr>
            <w:r>
              <w:rPr>
                <w:rFonts w:hint="eastAsia" w:ascii="宋体" w:hAnsi="宋体"/>
                <w:color w:val="auto"/>
                <w:szCs w:val="21"/>
              </w:rPr>
              <w:t>4500*4400mm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699671CE">
            <w:pPr>
              <w:spacing w:line="240" w:lineRule="auto"/>
              <w:ind w:firstLine="0" w:firstLineChars="0"/>
              <w:jc w:val="center"/>
              <w:rPr>
                <w:rFonts w:hint="eastAsia" w:ascii="宋体" w:hAnsi="宋体"/>
                <w:color w:val="auto"/>
                <w:szCs w:val="21"/>
              </w:rPr>
            </w:pPr>
            <w:r>
              <w:rPr>
                <w:rFonts w:hint="eastAsia" w:ascii="宋体" w:hAnsi="宋体"/>
                <w:color w:val="auto"/>
                <w:szCs w:val="21"/>
              </w:rPr>
              <w:t>3,7项</w:t>
            </w:r>
          </w:p>
        </w:tc>
      </w:tr>
      <w:tr w14:paraId="5DA0A9F5">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7ED68C2">
            <w:pPr>
              <w:spacing w:line="240" w:lineRule="auto"/>
              <w:ind w:firstLine="0" w:firstLineChars="0"/>
              <w:jc w:val="center"/>
              <w:rPr>
                <w:rFonts w:hint="eastAsia" w:ascii="宋体" w:hAnsi="宋体"/>
                <w:color w:val="auto"/>
                <w:szCs w:val="21"/>
              </w:rPr>
            </w:pPr>
            <w:r>
              <w:rPr>
                <w:rFonts w:hint="eastAsia" w:ascii="宋体" w:hAnsi="宋体"/>
                <w:color w:val="auto"/>
                <w:szCs w:val="21"/>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2F18FD">
            <w:pPr>
              <w:spacing w:line="240" w:lineRule="auto"/>
              <w:ind w:firstLine="0" w:firstLineChars="0"/>
              <w:jc w:val="center"/>
              <w:rPr>
                <w:rFonts w:hint="eastAsia" w:ascii="宋体" w:hAnsi="宋体"/>
                <w:color w:val="auto"/>
                <w:szCs w:val="21"/>
              </w:rPr>
            </w:pPr>
            <w:r>
              <w:rPr>
                <w:rFonts w:hint="eastAsia" w:ascii="宋体" w:hAnsi="宋体"/>
                <w:color w:val="auto"/>
                <w:szCs w:val="21"/>
              </w:rPr>
              <w:t>胜浦街道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11FEE9">
            <w:pPr>
              <w:spacing w:line="240" w:lineRule="auto"/>
              <w:ind w:firstLine="0" w:firstLineChars="0"/>
              <w:jc w:val="center"/>
              <w:rPr>
                <w:rFonts w:hint="eastAsia" w:ascii="宋体" w:hAnsi="宋体"/>
                <w:color w:val="auto"/>
                <w:szCs w:val="21"/>
              </w:rPr>
            </w:pPr>
            <w:r>
              <w:rPr>
                <w:rFonts w:hint="eastAsia" w:ascii="宋体" w:hAnsi="宋体"/>
                <w:color w:val="auto"/>
                <w:szCs w:val="21"/>
              </w:rPr>
              <w:t>3840*1280mm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10A5DA42">
            <w:pPr>
              <w:spacing w:line="240" w:lineRule="auto"/>
              <w:ind w:firstLine="0" w:firstLineChars="0"/>
              <w:jc w:val="center"/>
              <w:rPr>
                <w:rFonts w:hint="eastAsia" w:ascii="宋体" w:hAnsi="宋体"/>
                <w:color w:val="auto"/>
                <w:szCs w:val="21"/>
              </w:rPr>
            </w:pPr>
            <w:r>
              <w:rPr>
                <w:rFonts w:hint="eastAsia" w:ascii="宋体" w:hAnsi="宋体"/>
                <w:color w:val="auto"/>
                <w:szCs w:val="21"/>
              </w:rPr>
              <w:t>2,3,6,7项</w:t>
            </w:r>
          </w:p>
        </w:tc>
      </w:tr>
      <w:tr w14:paraId="538E523F">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7D4599A">
            <w:pPr>
              <w:spacing w:line="240" w:lineRule="auto"/>
              <w:ind w:firstLine="0" w:firstLineChars="0"/>
              <w:jc w:val="center"/>
              <w:rPr>
                <w:rFonts w:hint="eastAsia" w:ascii="宋体" w:hAnsi="宋体"/>
                <w:color w:val="auto"/>
                <w:szCs w:val="21"/>
              </w:rPr>
            </w:pPr>
            <w:r>
              <w:rPr>
                <w:rFonts w:hint="eastAsia" w:ascii="宋体" w:hAnsi="宋体"/>
                <w:color w:val="auto"/>
                <w:szCs w:val="21"/>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E276E2">
            <w:pPr>
              <w:spacing w:line="240" w:lineRule="auto"/>
              <w:ind w:firstLine="0" w:firstLineChars="0"/>
              <w:jc w:val="center"/>
              <w:rPr>
                <w:rFonts w:hint="eastAsia" w:ascii="宋体" w:hAnsi="宋体"/>
                <w:color w:val="auto"/>
                <w:szCs w:val="21"/>
              </w:rPr>
            </w:pPr>
            <w:r>
              <w:rPr>
                <w:rFonts w:hint="eastAsia" w:ascii="宋体" w:hAnsi="宋体"/>
                <w:color w:val="auto"/>
                <w:szCs w:val="21"/>
              </w:rPr>
              <w:t>斜塘街道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77E979">
            <w:pPr>
              <w:spacing w:line="240" w:lineRule="auto"/>
              <w:ind w:firstLine="0" w:firstLineChars="0"/>
              <w:jc w:val="center"/>
              <w:rPr>
                <w:rFonts w:hint="eastAsia" w:ascii="宋体" w:hAnsi="宋体"/>
                <w:color w:val="auto"/>
                <w:szCs w:val="21"/>
              </w:rPr>
            </w:pPr>
            <w:r>
              <w:rPr>
                <w:rFonts w:hint="eastAsia" w:ascii="宋体" w:hAnsi="宋体"/>
                <w:color w:val="auto"/>
                <w:szCs w:val="21"/>
              </w:rPr>
              <w:t>7700*3800mm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1817ECBA">
            <w:pPr>
              <w:spacing w:line="240" w:lineRule="auto"/>
              <w:ind w:firstLine="0" w:firstLineChars="0"/>
              <w:jc w:val="center"/>
              <w:rPr>
                <w:rFonts w:hint="eastAsia" w:ascii="宋体" w:hAnsi="宋体"/>
                <w:color w:val="auto"/>
                <w:szCs w:val="21"/>
              </w:rPr>
            </w:pPr>
            <w:r>
              <w:rPr>
                <w:rFonts w:hint="eastAsia" w:ascii="宋体" w:hAnsi="宋体"/>
                <w:color w:val="auto"/>
                <w:szCs w:val="21"/>
              </w:rPr>
              <w:t>3,5,7项</w:t>
            </w:r>
          </w:p>
        </w:tc>
      </w:tr>
      <w:tr w14:paraId="6D31018E">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70B620D">
            <w:pPr>
              <w:spacing w:line="240" w:lineRule="auto"/>
              <w:ind w:firstLine="0" w:firstLineChars="0"/>
              <w:jc w:val="center"/>
              <w:rPr>
                <w:rFonts w:hint="eastAsia" w:ascii="宋体" w:hAnsi="宋体"/>
                <w:color w:val="auto"/>
                <w:szCs w:val="21"/>
              </w:rPr>
            </w:pPr>
            <w:r>
              <w:rPr>
                <w:rFonts w:hint="eastAsia" w:ascii="宋体" w:hAnsi="宋体"/>
                <w:color w:val="auto"/>
                <w:szCs w:val="21"/>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9CBBE2">
            <w:pPr>
              <w:spacing w:line="240" w:lineRule="auto"/>
              <w:ind w:firstLine="0" w:firstLineChars="0"/>
              <w:jc w:val="center"/>
              <w:rPr>
                <w:rFonts w:hint="eastAsia" w:ascii="宋体" w:hAnsi="宋体"/>
                <w:color w:val="auto"/>
                <w:szCs w:val="21"/>
              </w:rPr>
            </w:pPr>
            <w:r>
              <w:rPr>
                <w:rFonts w:hint="eastAsia" w:ascii="宋体" w:hAnsi="宋体"/>
                <w:color w:val="auto"/>
                <w:szCs w:val="21"/>
              </w:rPr>
              <w:t>娄葑街道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6E2E0B">
            <w:pPr>
              <w:spacing w:line="240" w:lineRule="auto"/>
              <w:ind w:firstLine="0" w:firstLineChars="0"/>
              <w:jc w:val="center"/>
              <w:rPr>
                <w:rFonts w:hint="eastAsia" w:ascii="宋体" w:hAnsi="宋体"/>
                <w:color w:val="auto"/>
                <w:szCs w:val="21"/>
              </w:rPr>
            </w:pPr>
            <w:r>
              <w:rPr>
                <w:rFonts w:hint="eastAsia" w:ascii="宋体" w:hAnsi="宋体"/>
                <w:color w:val="auto"/>
                <w:szCs w:val="21"/>
              </w:rPr>
              <w:t>2800*1800mm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609FB201">
            <w:pPr>
              <w:spacing w:line="240" w:lineRule="auto"/>
              <w:ind w:firstLine="0" w:firstLineChars="0"/>
              <w:jc w:val="center"/>
              <w:rPr>
                <w:rFonts w:hint="eastAsia" w:ascii="宋体" w:hAnsi="宋体"/>
                <w:color w:val="auto"/>
                <w:szCs w:val="21"/>
              </w:rPr>
            </w:pPr>
            <w:r>
              <w:rPr>
                <w:rFonts w:hint="eastAsia" w:ascii="宋体" w:hAnsi="宋体"/>
                <w:color w:val="auto"/>
                <w:szCs w:val="21"/>
              </w:rPr>
              <w:t>1,2,3,4,5,</w:t>
            </w:r>
            <w:r>
              <w:rPr>
                <w:rFonts w:ascii="宋体" w:hAnsi="宋体"/>
                <w:color w:val="auto"/>
                <w:szCs w:val="21"/>
              </w:rPr>
              <w:t>6</w:t>
            </w:r>
            <w:r>
              <w:rPr>
                <w:rFonts w:hint="eastAsia" w:ascii="宋体" w:hAnsi="宋体"/>
                <w:color w:val="auto"/>
                <w:szCs w:val="21"/>
              </w:rPr>
              <w:t>,7项</w:t>
            </w:r>
          </w:p>
        </w:tc>
      </w:tr>
      <w:tr w14:paraId="3FE53954">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93749C0">
            <w:pPr>
              <w:spacing w:line="240" w:lineRule="auto"/>
              <w:ind w:firstLine="0" w:firstLineChars="0"/>
              <w:jc w:val="center"/>
              <w:rPr>
                <w:rFonts w:hint="eastAsia" w:ascii="宋体" w:hAnsi="宋体"/>
                <w:color w:val="auto"/>
                <w:szCs w:val="21"/>
              </w:rPr>
            </w:pPr>
            <w:r>
              <w:rPr>
                <w:rFonts w:hint="eastAsia" w:ascii="宋体" w:hAnsi="宋体"/>
                <w:color w:val="auto"/>
                <w:szCs w:val="21"/>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0AD590">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A06B96">
            <w:pPr>
              <w:spacing w:line="240" w:lineRule="auto"/>
              <w:ind w:firstLine="0" w:firstLineChars="0"/>
              <w:jc w:val="center"/>
              <w:rPr>
                <w:rFonts w:hint="eastAsia" w:ascii="宋体" w:hAnsi="宋体"/>
                <w:color w:val="auto"/>
                <w:szCs w:val="21"/>
              </w:rPr>
            </w:pPr>
            <w:r>
              <w:rPr>
                <w:rFonts w:hint="eastAsia" w:ascii="宋体" w:hAnsi="宋体"/>
                <w:color w:val="auto"/>
                <w:szCs w:val="21"/>
              </w:rPr>
              <w:t>3200*2400mm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6DF210C0">
            <w:pPr>
              <w:spacing w:line="240" w:lineRule="auto"/>
              <w:ind w:firstLine="0" w:firstLineChars="0"/>
              <w:jc w:val="center"/>
              <w:rPr>
                <w:rFonts w:hint="eastAsia" w:ascii="宋体" w:hAnsi="宋体"/>
                <w:color w:val="auto"/>
                <w:szCs w:val="21"/>
              </w:rPr>
            </w:pPr>
            <w:r>
              <w:rPr>
                <w:rFonts w:hint="eastAsia" w:ascii="宋体" w:hAnsi="宋体"/>
                <w:color w:val="auto"/>
                <w:szCs w:val="21"/>
              </w:rPr>
              <w:t>1,2,3,4,5,7项</w:t>
            </w:r>
          </w:p>
        </w:tc>
      </w:tr>
      <w:tr w14:paraId="437222BD">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588DB10">
            <w:pPr>
              <w:spacing w:line="240" w:lineRule="auto"/>
              <w:ind w:firstLine="0" w:firstLineChars="0"/>
              <w:jc w:val="center"/>
              <w:rPr>
                <w:rFonts w:hint="eastAsia" w:ascii="宋体" w:hAnsi="宋体"/>
                <w:color w:val="auto"/>
                <w:szCs w:val="21"/>
              </w:rPr>
            </w:pPr>
            <w:r>
              <w:rPr>
                <w:rFonts w:hint="eastAsia" w:ascii="宋体" w:hAnsi="宋体"/>
                <w:color w:val="auto"/>
                <w:szCs w:val="21"/>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120563">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04C280">
            <w:pPr>
              <w:spacing w:line="240" w:lineRule="auto"/>
              <w:ind w:firstLine="0" w:firstLineChars="0"/>
              <w:jc w:val="center"/>
              <w:rPr>
                <w:rFonts w:hint="eastAsia" w:ascii="宋体" w:hAnsi="宋体"/>
                <w:color w:val="auto"/>
                <w:szCs w:val="21"/>
              </w:rPr>
            </w:pPr>
            <w:r>
              <w:rPr>
                <w:rFonts w:hint="eastAsia" w:ascii="宋体" w:hAnsi="宋体"/>
                <w:color w:val="auto"/>
                <w:szCs w:val="21"/>
              </w:rPr>
              <w:t>2650*1650mm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57F63BB8">
            <w:pPr>
              <w:spacing w:line="240" w:lineRule="auto"/>
              <w:ind w:firstLine="0" w:firstLineChars="0"/>
              <w:jc w:val="center"/>
              <w:rPr>
                <w:rFonts w:hint="eastAsia" w:ascii="宋体" w:hAnsi="宋体"/>
                <w:color w:val="auto"/>
                <w:szCs w:val="21"/>
              </w:rPr>
            </w:pPr>
            <w:r>
              <w:rPr>
                <w:rFonts w:hint="eastAsia" w:ascii="宋体" w:hAnsi="宋体"/>
                <w:color w:val="auto"/>
                <w:szCs w:val="21"/>
              </w:rPr>
              <w:t>2,3,4,5,7项</w:t>
            </w:r>
          </w:p>
        </w:tc>
      </w:tr>
      <w:tr w14:paraId="59433E5B">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F996C4C">
            <w:pPr>
              <w:spacing w:line="240" w:lineRule="auto"/>
              <w:ind w:firstLine="0" w:firstLineChars="0"/>
              <w:jc w:val="center"/>
              <w:rPr>
                <w:rFonts w:hint="eastAsia" w:ascii="宋体" w:hAnsi="宋体"/>
                <w:color w:val="auto"/>
                <w:szCs w:val="21"/>
              </w:rPr>
            </w:pPr>
            <w:r>
              <w:rPr>
                <w:rFonts w:hint="eastAsia" w:ascii="宋体" w:hAnsi="宋体"/>
                <w:color w:val="auto"/>
                <w:szCs w:val="21"/>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0D9D33">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902F91">
            <w:pPr>
              <w:spacing w:line="240" w:lineRule="auto"/>
              <w:ind w:firstLine="0" w:firstLineChars="0"/>
              <w:jc w:val="center"/>
              <w:rPr>
                <w:rFonts w:hint="eastAsia" w:ascii="宋体" w:hAnsi="宋体"/>
                <w:color w:val="auto"/>
                <w:szCs w:val="21"/>
              </w:rPr>
            </w:pPr>
            <w:r>
              <w:rPr>
                <w:rFonts w:hint="eastAsia" w:ascii="宋体" w:hAnsi="宋体"/>
                <w:color w:val="auto"/>
                <w:szCs w:val="21"/>
              </w:rPr>
              <w:t>3200*2400mm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078AF0CC">
            <w:pPr>
              <w:spacing w:line="240" w:lineRule="auto"/>
              <w:ind w:firstLine="0" w:firstLineChars="0"/>
              <w:jc w:val="center"/>
              <w:rPr>
                <w:rFonts w:hint="eastAsia" w:ascii="宋体" w:hAnsi="宋体"/>
                <w:color w:val="auto"/>
                <w:szCs w:val="21"/>
              </w:rPr>
            </w:pPr>
            <w:r>
              <w:rPr>
                <w:rFonts w:hint="eastAsia" w:ascii="宋体" w:hAnsi="宋体"/>
                <w:color w:val="auto"/>
                <w:szCs w:val="21"/>
              </w:rPr>
              <w:t>3,5,7项</w:t>
            </w:r>
          </w:p>
        </w:tc>
      </w:tr>
      <w:tr w14:paraId="486E2831">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EDA97D8">
            <w:pPr>
              <w:spacing w:line="240" w:lineRule="auto"/>
              <w:ind w:firstLine="0" w:firstLineChars="0"/>
              <w:jc w:val="center"/>
              <w:rPr>
                <w:rFonts w:hint="eastAsia" w:ascii="宋体" w:hAnsi="宋体"/>
                <w:color w:val="auto"/>
                <w:szCs w:val="21"/>
              </w:rPr>
            </w:pPr>
            <w:r>
              <w:rPr>
                <w:rFonts w:hint="eastAsia" w:ascii="宋体" w:hAnsi="宋体"/>
                <w:color w:val="auto"/>
                <w:szCs w:val="21"/>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60853E">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11586B">
            <w:pPr>
              <w:spacing w:line="240" w:lineRule="auto"/>
              <w:ind w:firstLine="0" w:firstLineChars="0"/>
              <w:jc w:val="center"/>
              <w:rPr>
                <w:rFonts w:hint="eastAsia" w:ascii="宋体" w:hAnsi="宋体"/>
                <w:color w:val="auto"/>
                <w:szCs w:val="21"/>
              </w:rPr>
            </w:pPr>
            <w:r>
              <w:rPr>
                <w:rFonts w:hint="eastAsia" w:ascii="宋体" w:hAnsi="宋体"/>
                <w:color w:val="auto"/>
                <w:szCs w:val="21"/>
              </w:rPr>
              <w:t>2650*1650mm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68590A24">
            <w:pPr>
              <w:spacing w:line="240" w:lineRule="auto"/>
              <w:ind w:firstLine="0" w:firstLineChars="0"/>
              <w:jc w:val="center"/>
              <w:rPr>
                <w:rFonts w:hint="eastAsia" w:ascii="宋体" w:hAnsi="宋体"/>
                <w:color w:val="auto"/>
                <w:szCs w:val="21"/>
              </w:rPr>
            </w:pPr>
            <w:r>
              <w:rPr>
                <w:rFonts w:hint="eastAsia" w:ascii="宋体" w:hAnsi="宋体"/>
                <w:color w:val="auto"/>
                <w:szCs w:val="21"/>
              </w:rPr>
              <w:t>2,3,4,5,7项</w:t>
            </w:r>
          </w:p>
        </w:tc>
      </w:tr>
      <w:tr w14:paraId="2ACCC68E">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35269E1">
            <w:pPr>
              <w:spacing w:line="240" w:lineRule="auto"/>
              <w:ind w:firstLine="0" w:firstLineChars="0"/>
              <w:jc w:val="center"/>
              <w:rPr>
                <w:rFonts w:hint="eastAsia" w:ascii="宋体" w:hAnsi="宋体"/>
                <w:color w:val="auto"/>
                <w:szCs w:val="21"/>
              </w:rPr>
            </w:pPr>
            <w:r>
              <w:rPr>
                <w:rFonts w:hint="eastAsia" w:ascii="宋体" w:hAnsi="宋体"/>
                <w:color w:val="auto"/>
                <w:szCs w:val="21"/>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42F408">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90281E">
            <w:pPr>
              <w:spacing w:line="240" w:lineRule="auto"/>
              <w:ind w:firstLine="0" w:firstLineChars="0"/>
              <w:jc w:val="center"/>
              <w:rPr>
                <w:rFonts w:hint="eastAsia" w:ascii="宋体" w:hAnsi="宋体"/>
                <w:color w:val="auto"/>
                <w:szCs w:val="21"/>
              </w:rPr>
            </w:pPr>
            <w:r>
              <w:rPr>
                <w:rFonts w:hint="eastAsia" w:ascii="宋体" w:hAnsi="宋体"/>
                <w:color w:val="auto"/>
                <w:szCs w:val="21"/>
              </w:rPr>
              <w:t>2650*1650mm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025E04FD">
            <w:pPr>
              <w:spacing w:line="240" w:lineRule="auto"/>
              <w:ind w:firstLine="0" w:firstLineChars="0"/>
              <w:jc w:val="center"/>
              <w:rPr>
                <w:rFonts w:hint="eastAsia" w:ascii="宋体" w:hAnsi="宋体"/>
                <w:color w:val="auto"/>
                <w:szCs w:val="21"/>
              </w:rPr>
            </w:pPr>
            <w:r>
              <w:rPr>
                <w:rFonts w:hint="eastAsia" w:ascii="宋体" w:hAnsi="宋体"/>
                <w:color w:val="auto"/>
                <w:szCs w:val="21"/>
              </w:rPr>
              <w:t>2,3,4,5,7项</w:t>
            </w:r>
          </w:p>
        </w:tc>
      </w:tr>
      <w:tr w14:paraId="3BCDDCCF">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40D0ADA">
            <w:pPr>
              <w:spacing w:line="240" w:lineRule="auto"/>
              <w:ind w:firstLine="0" w:firstLineChars="0"/>
              <w:jc w:val="center"/>
              <w:rPr>
                <w:rFonts w:hint="eastAsia" w:ascii="宋体" w:hAnsi="宋体"/>
                <w:color w:val="auto"/>
                <w:szCs w:val="21"/>
              </w:rPr>
            </w:pPr>
            <w:r>
              <w:rPr>
                <w:rFonts w:hint="eastAsia" w:ascii="宋体" w:hAnsi="宋体"/>
                <w:color w:val="auto"/>
                <w:szCs w:val="21"/>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BF6D77">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24152C">
            <w:pPr>
              <w:spacing w:line="240" w:lineRule="auto"/>
              <w:ind w:firstLine="0" w:firstLineChars="0"/>
              <w:jc w:val="center"/>
              <w:rPr>
                <w:rFonts w:hint="eastAsia" w:ascii="宋体" w:hAnsi="宋体"/>
                <w:color w:val="auto"/>
                <w:szCs w:val="21"/>
              </w:rPr>
            </w:pPr>
            <w:r>
              <w:rPr>
                <w:rFonts w:hint="eastAsia" w:ascii="宋体" w:hAnsi="宋体"/>
                <w:color w:val="auto"/>
                <w:szCs w:val="21"/>
              </w:rPr>
              <w:t>7200*5440mm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7AEE1DEC">
            <w:pPr>
              <w:spacing w:line="240" w:lineRule="auto"/>
              <w:ind w:firstLine="0" w:firstLineChars="0"/>
              <w:jc w:val="center"/>
              <w:rPr>
                <w:rFonts w:hint="eastAsia" w:ascii="宋体" w:hAnsi="宋体"/>
                <w:color w:val="auto"/>
                <w:szCs w:val="21"/>
              </w:rPr>
            </w:pPr>
            <w:r>
              <w:rPr>
                <w:rFonts w:hint="eastAsia" w:ascii="宋体" w:hAnsi="宋体"/>
                <w:color w:val="auto"/>
                <w:szCs w:val="21"/>
              </w:rPr>
              <w:t>1,2,3,4,5,</w:t>
            </w:r>
            <w:r>
              <w:rPr>
                <w:rFonts w:ascii="宋体" w:hAnsi="宋体"/>
                <w:color w:val="auto"/>
                <w:szCs w:val="21"/>
              </w:rPr>
              <w:t>6</w:t>
            </w:r>
            <w:r>
              <w:rPr>
                <w:rFonts w:hint="eastAsia" w:ascii="宋体" w:hAnsi="宋体"/>
                <w:color w:val="auto"/>
                <w:szCs w:val="21"/>
              </w:rPr>
              <w:t>,7项</w:t>
            </w:r>
          </w:p>
        </w:tc>
      </w:tr>
      <w:tr w14:paraId="43A0C7F6">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1937905">
            <w:pPr>
              <w:spacing w:line="240" w:lineRule="auto"/>
              <w:ind w:firstLine="0" w:firstLineChars="0"/>
              <w:jc w:val="center"/>
              <w:rPr>
                <w:rFonts w:hint="eastAsia" w:ascii="宋体" w:hAnsi="宋体"/>
                <w:color w:val="auto"/>
                <w:szCs w:val="21"/>
              </w:rPr>
            </w:pPr>
            <w:r>
              <w:rPr>
                <w:rFonts w:hint="eastAsia" w:ascii="宋体" w:hAnsi="宋体"/>
                <w:color w:val="auto"/>
                <w:szCs w:val="21"/>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F8B3EF">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FCDA4C">
            <w:pPr>
              <w:spacing w:line="240" w:lineRule="auto"/>
              <w:ind w:firstLine="0" w:firstLineChars="0"/>
              <w:jc w:val="center"/>
              <w:rPr>
                <w:rFonts w:hint="eastAsia" w:ascii="宋体" w:hAnsi="宋体"/>
                <w:color w:val="auto"/>
                <w:szCs w:val="21"/>
              </w:rPr>
            </w:pPr>
            <w:r>
              <w:rPr>
                <w:rFonts w:hint="eastAsia" w:ascii="宋体" w:hAnsi="宋体"/>
                <w:color w:val="auto"/>
                <w:szCs w:val="21"/>
              </w:rPr>
              <w:t>2650*1650mm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60D6E1DC">
            <w:pPr>
              <w:spacing w:line="240" w:lineRule="auto"/>
              <w:ind w:firstLine="0" w:firstLineChars="0"/>
              <w:jc w:val="center"/>
              <w:rPr>
                <w:rFonts w:hint="eastAsia" w:ascii="宋体" w:hAnsi="宋体"/>
                <w:color w:val="auto"/>
                <w:szCs w:val="21"/>
              </w:rPr>
            </w:pPr>
            <w:r>
              <w:rPr>
                <w:rFonts w:hint="eastAsia" w:ascii="宋体" w:hAnsi="宋体"/>
                <w:color w:val="auto"/>
                <w:szCs w:val="21"/>
              </w:rPr>
              <w:t>2,3,4,5,7项</w:t>
            </w:r>
          </w:p>
        </w:tc>
      </w:tr>
      <w:tr w14:paraId="16B90AD7">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771DDD1">
            <w:pPr>
              <w:spacing w:line="240" w:lineRule="auto"/>
              <w:ind w:firstLine="0" w:firstLineChars="0"/>
              <w:jc w:val="center"/>
              <w:rPr>
                <w:rFonts w:hint="eastAsia" w:ascii="宋体" w:hAnsi="宋体"/>
                <w:color w:val="auto"/>
                <w:szCs w:val="21"/>
              </w:rPr>
            </w:pPr>
            <w:r>
              <w:rPr>
                <w:rFonts w:hint="eastAsia" w:ascii="宋体" w:hAnsi="宋体"/>
                <w:color w:val="auto"/>
                <w:szCs w:val="21"/>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4DDA10">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04219E">
            <w:pPr>
              <w:spacing w:line="240" w:lineRule="auto"/>
              <w:ind w:firstLine="0" w:firstLineChars="0"/>
              <w:jc w:val="center"/>
              <w:rPr>
                <w:rFonts w:hint="eastAsia" w:ascii="宋体" w:hAnsi="宋体"/>
                <w:color w:val="auto"/>
                <w:szCs w:val="21"/>
              </w:rPr>
            </w:pPr>
            <w:r>
              <w:rPr>
                <w:rFonts w:hint="eastAsia" w:ascii="宋体" w:hAnsi="宋体"/>
                <w:color w:val="auto"/>
                <w:szCs w:val="21"/>
              </w:rPr>
              <w:t>2650*1650mm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13A1A105">
            <w:pPr>
              <w:spacing w:line="240" w:lineRule="auto"/>
              <w:ind w:firstLine="0" w:firstLineChars="0"/>
              <w:jc w:val="center"/>
              <w:rPr>
                <w:rFonts w:hint="eastAsia" w:ascii="宋体" w:hAnsi="宋体"/>
                <w:color w:val="auto"/>
                <w:szCs w:val="21"/>
              </w:rPr>
            </w:pPr>
            <w:r>
              <w:rPr>
                <w:rFonts w:hint="eastAsia" w:ascii="宋体" w:hAnsi="宋体"/>
                <w:color w:val="auto"/>
                <w:szCs w:val="21"/>
              </w:rPr>
              <w:t>2,3,4,5,7项</w:t>
            </w:r>
          </w:p>
        </w:tc>
      </w:tr>
      <w:tr w14:paraId="79D5D6C6">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382871A">
            <w:pPr>
              <w:spacing w:line="240" w:lineRule="auto"/>
              <w:ind w:firstLine="0" w:firstLineChars="0"/>
              <w:jc w:val="center"/>
              <w:rPr>
                <w:rFonts w:hint="eastAsia" w:ascii="宋体" w:hAnsi="宋体"/>
                <w:color w:val="auto"/>
                <w:szCs w:val="21"/>
              </w:rPr>
            </w:pPr>
            <w:r>
              <w:rPr>
                <w:rFonts w:hint="eastAsia" w:ascii="宋体" w:hAnsi="宋体"/>
                <w:color w:val="auto"/>
                <w:szCs w:val="21"/>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4B4B10">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A54563">
            <w:pPr>
              <w:spacing w:line="240" w:lineRule="auto"/>
              <w:ind w:firstLine="0" w:firstLineChars="0"/>
              <w:jc w:val="center"/>
              <w:rPr>
                <w:rFonts w:hint="eastAsia" w:ascii="宋体" w:hAnsi="宋体"/>
                <w:color w:val="auto"/>
                <w:szCs w:val="21"/>
              </w:rPr>
            </w:pPr>
            <w:r>
              <w:rPr>
                <w:rFonts w:hint="eastAsia" w:ascii="宋体" w:hAnsi="宋体"/>
                <w:color w:val="auto"/>
                <w:szCs w:val="21"/>
              </w:rPr>
              <w:t>3520*2240mm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207D101C">
            <w:pPr>
              <w:spacing w:line="240" w:lineRule="auto"/>
              <w:ind w:firstLine="0" w:firstLineChars="0"/>
              <w:jc w:val="center"/>
              <w:rPr>
                <w:rFonts w:hint="eastAsia" w:ascii="宋体" w:hAnsi="宋体"/>
                <w:color w:val="auto"/>
                <w:szCs w:val="21"/>
              </w:rPr>
            </w:pPr>
            <w:r>
              <w:rPr>
                <w:rFonts w:hint="eastAsia" w:ascii="宋体" w:hAnsi="宋体"/>
                <w:color w:val="auto"/>
                <w:szCs w:val="21"/>
              </w:rPr>
              <w:t>1,2,3,4,5,7项</w:t>
            </w:r>
          </w:p>
        </w:tc>
      </w:tr>
      <w:tr w14:paraId="3FC9DE51">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7926CE5">
            <w:pPr>
              <w:spacing w:line="240" w:lineRule="auto"/>
              <w:ind w:firstLine="0" w:firstLineChars="0"/>
              <w:jc w:val="center"/>
              <w:rPr>
                <w:rFonts w:hint="eastAsia" w:ascii="宋体" w:hAnsi="宋体"/>
                <w:color w:val="auto"/>
                <w:szCs w:val="21"/>
              </w:rPr>
            </w:pPr>
            <w:r>
              <w:rPr>
                <w:rFonts w:hint="eastAsia" w:ascii="宋体" w:hAnsi="宋体"/>
                <w:color w:val="auto"/>
                <w:szCs w:val="21"/>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1A7117">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706994">
            <w:pPr>
              <w:spacing w:line="240" w:lineRule="auto"/>
              <w:ind w:firstLine="0" w:firstLineChars="0"/>
              <w:jc w:val="center"/>
              <w:rPr>
                <w:rFonts w:hint="eastAsia" w:ascii="宋体" w:hAnsi="宋体"/>
                <w:color w:val="auto"/>
                <w:szCs w:val="21"/>
              </w:rPr>
            </w:pPr>
            <w:r>
              <w:rPr>
                <w:rFonts w:hint="eastAsia" w:ascii="宋体" w:hAnsi="宋体"/>
                <w:color w:val="auto"/>
                <w:szCs w:val="21"/>
              </w:rPr>
              <w:t>3520*2240mm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0C235A8F">
            <w:pPr>
              <w:spacing w:line="240" w:lineRule="auto"/>
              <w:ind w:firstLine="0" w:firstLineChars="0"/>
              <w:jc w:val="center"/>
              <w:rPr>
                <w:rFonts w:hint="eastAsia" w:ascii="宋体" w:hAnsi="宋体"/>
                <w:color w:val="auto"/>
                <w:szCs w:val="21"/>
              </w:rPr>
            </w:pPr>
            <w:r>
              <w:rPr>
                <w:rFonts w:hint="eastAsia" w:ascii="宋体" w:hAnsi="宋体"/>
                <w:color w:val="auto"/>
                <w:szCs w:val="21"/>
              </w:rPr>
              <w:t>1,2,3,4,5,7项</w:t>
            </w:r>
          </w:p>
        </w:tc>
      </w:tr>
      <w:tr w14:paraId="096FA8DF">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33EA6DD">
            <w:pPr>
              <w:spacing w:line="240" w:lineRule="auto"/>
              <w:ind w:firstLine="0" w:firstLineChars="0"/>
              <w:jc w:val="center"/>
              <w:rPr>
                <w:rFonts w:hint="eastAsia" w:ascii="宋体" w:hAnsi="宋体"/>
                <w:color w:val="auto"/>
                <w:szCs w:val="21"/>
              </w:rPr>
            </w:pPr>
            <w:r>
              <w:rPr>
                <w:rFonts w:hint="eastAsia" w:ascii="宋体" w:hAnsi="宋体"/>
                <w:color w:val="auto"/>
                <w:szCs w:val="21"/>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DC95F0">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5B1C93">
            <w:pPr>
              <w:spacing w:line="240" w:lineRule="auto"/>
              <w:ind w:firstLine="0" w:firstLineChars="0"/>
              <w:jc w:val="center"/>
              <w:rPr>
                <w:rFonts w:hint="eastAsia" w:ascii="宋体" w:hAnsi="宋体"/>
                <w:color w:val="auto"/>
                <w:szCs w:val="21"/>
              </w:rPr>
            </w:pPr>
            <w:r>
              <w:rPr>
                <w:rFonts w:hint="eastAsia" w:ascii="宋体" w:hAnsi="宋体"/>
                <w:color w:val="auto"/>
                <w:szCs w:val="21"/>
              </w:rPr>
              <w:t>3520*2240mm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17766113">
            <w:pPr>
              <w:spacing w:line="240" w:lineRule="auto"/>
              <w:ind w:firstLine="0" w:firstLineChars="0"/>
              <w:jc w:val="center"/>
              <w:rPr>
                <w:rFonts w:hint="eastAsia" w:ascii="宋体" w:hAnsi="宋体"/>
                <w:color w:val="auto"/>
                <w:szCs w:val="21"/>
              </w:rPr>
            </w:pPr>
            <w:r>
              <w:rPr>
                <w:rFonts w:hint="eastAsia" w:ascii="宋体" w:hAnsi="宋体"/>
                <w:color w:val="auto"/>
                <w:szCs w:val="21"/>
              </w:rPr>
              <w:t>1,2,3,4,5,7项</w:t>
            </w:r>
          </w:p>
        </w:tc>
      </w:tr>
      <w:tr w14:paraId="096A9D67">
        <w:tblPrEx>
          <w:tblCellMar>
            <w:top w:w="0" w:type="dxa"/>
            <w:left w:w="108" w:type="dxa"/>
            <w:bottom w:w="0" w:type="dxa"/>
            <w:right w:w="108" w:type="dxa"/>
          </w:tblCellMar>
        </w:tblPrEx>
        <w:trPr>
          <w:trHeight w:val="39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CB8762E">
            <w:pPr>
              <w:spacing w:line="240" w:lineRule="auto"/>
              <w:ind w:firstLine="0" w:firstLineChars="0"/>
              <w:jc w:val="center"/>
              <w:rPr>
                <w:rFonts w:hint="eastAsia" w:ascii="宋体" w:hAnsi="宋体"/>
                <w:color w:val="auto"/>
                <w:szCs w:val="21"/>
              </w:rPr>
            </w:pPr>
            <w:r>
              <w:rPr>
                <w:rFonts w:hint="eastAsia" w:ascii="宋体" w:hAnsi="宋体"/>
                <w:color w:val="auto"/>
                <w:szCs w:val="21"/>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30B3CC">
            <w:pPr>
              <w:spacing w:line="240" w:lineRule="auto"/>
              <w:ind w:firstLine="0" w:firstLineChars="0"/>
              <w:jc w:val="center"/>
              <w:rPr>
                <w:rFonts w:hint="eastAsia" w:ascii="宋体" w:hAnsi="宋体"/>
                <w:color w:val="auto"/>
                <w:szCs w:val="21"/>
              </w:rPr>
            </w:pPr>
            <w:r>
              <w:rPr>
                <w:rFonts w:hint="eastAsia" w:ascii="宋体" w:hAnsi="宋体"/>
                <w:color w:val="auto"/>
                <w:szCs w:val="21"/>
              </w:rPr>
              <w:t>唯亭街道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55CE33">
            <w:pPr>
              <w:spacing w:line="240" w:lineRule="auto"/>
              <w:ind w:firstLine="0" w:firstLineChars="0"/>
              <w:jc w:val="center"/>
              <w:rPr>
                <w:rFonts w:hint="eastAsia" w:ascii="宋体" w:hAnsi="宋体"/>
                <w:color w:val="auto"/>
                <w:szCs w:val="21"/>
              </w:rPr>
            </w:pPr>
            <w:r>
              <w:rPr>
                <w:rFonts w:hint="eastAsia" w:ascii="宋体" w:hAnsi="宋体"/>
                <w:color w:val="auto"/>
                <w:szCs w:val="21"/>
              </w:rPr>
              <w:t>3520*2240mm</w:t>
            </w:r>
          </w:p>
        </w:tc>
        <w:tc>
          <w:tcPr>
            <w:tcW w:w="3555" w:type="dxa"/>
            <w:tcBorders>
              <w:top w:val="single" w:color="000000" w:sz="4" w:space="0"/>
              <w:left w:val="single" w:color="000000" w:sz="4" w:space="0"/>
              <w:bottom w:val="single" w:color="000000" w:sz="4" w:space="0"/>
              <w:right w:val="single" w:color="000000" w:sz="4" w:space="0"/>
            </w:tcBorders>
            <w:noWrap/>
            <w:vAlign w:val="center"/>
          </w:tcPr>
          <w:p w14:paraId="6AACB907">
            <w:pPr>
              <w:spacing w:line="240" w:lineRule="auto"/>
              <w:ind w:firstLine="0" w:firstLineChars="0"/>
              <w:jc w:val="center"/>
              <w:rPr>
                <w:rFonts w:hint="eastAsia" w:ascii="宋体" w:hAnsi="宋体"/>
                <w:color w:val="auto"/>
                <w:szCs w:val="21"/>
              </w:rPr>
            </w:pPr>
            <w:r>
              <w:rPr>
                <w:rFonts w:hint="eastAsia" w:ascii="宋体" w:hAnsi="宋体"/>
                <w:color w:val="auto"/>
                <w:szCs w:val="21"/>
              </w:rPr>
              <w:t>1,2,3,4,5,7项</w:t>
            </w:r>
          </w:p>
        </w:tc>
      </w:tr>
    </w:tbl>
    <w:p w14:paraId="6232A412">
      <w:pPr>
        <w:ind w:left="102" w:firstLine="480"/>
        <w:jc w:val="left"/>
        <w:rPr>
          <w:rFonts w:ascii="宋体" w:hAnsi="宋体"/>
          <w:color w:val="auto"/>
          <w:szCs w:val="21"/>
        </w:rPr>
      </w:pPr>
    </w:p>
    <w:p w14:paraId="0C4CA28B">
      <w:pPr>
        <w:ind w:left="102" w:firstLine="482"/>
        <w:jc w:val="left"/>
        <w:rPr>
          <w:rFonts w:ascii="宋体" w:hAnsi="宋体"/>
          <w:color w:val="auto"/>
          <w:szCs w:val="21"/>
        </w:rPr>
      </w:pPr>
      <w:r>
        <w:rPr>
          <w:rFonts w:ascii="宋体" w:hAnsi="宋体"/>
          <w:b/>
          <w:bCs/>
          <w:color w:val="auto"/>
          <w:szCs w:val="21"/>
        </w:rPr>
        <w:t>3</w:t>
      </w:r>
      <w:r>
        <w:rPr>
          <w:rFonts w:hint="eastAsia" w:ascii="宋体" w:hAnsi="宋体"/>
          <w:b/>
          <w:bCs/>
          <w:color w:val="auto"/>
          <w:szCs w:val="21"/>
        </w:rPr>
        <w:t>、技术要求及管理要求</w:t>
      </w:r>
    </w:p>
    <w:p w14:paraId="50F47121">
      <w:pPr>
        <w:ind w:left="102" w:firstLine="480"/>
        <w:jc w:val="left"/>
        <w:rPr>
          <w:rFonts w:ascii="宋体" w:hAnsi="宋体"/>
          <w:color w:val="auto"/>
          <w:szCs w:val="21"/>
        </w:rPr>
      </w:pPr>
      <w:r>
        <w:rPr>
          <w:rFonts w:hint="eastAsia" w:ascii="宋体" w:hAnsi="宋体"/>
          <w:color w:val="auto"/>
          <w:szCs w:val="21"/>
        </w:rPr>
        <w:t>（</w:t>
      </w:r>
      <w:r>
        <w:rPr>
          <w:rFonts w:ascii="宋体" w:hAnsi="宋体"/>
          <w:color w:val="auto"/>
          <w:szCs w:val="21"/>
        </w:rPr>
        <w:t>1</w:t>
      </w:r>
      <w:r>
        <w:rPr>
          <w:rFonts w:hint="eastAsia" w:ascii="宋体" w:hAnsi="宋体"/>
          <w:color w:val="auto"/>
          <w:szCs w:val="21"/>
        </w:rPr>
        <w:t>）</w:t>
      </w:r>
      <w:r>
        <w:rPr>
          <w:rFonts w:ascii="宋体" w:hAnsi="宋体"/>
          <w:color w:val="auto"/>
          <w:szCs w:val="21"/>
        </w:rPr>
        <w:t>基础检测</w:t>
      </w:r>
    </w:p>
    <w:p w14:paraId="5613AEE5">
      <w:pPr>
        <w:ind w:left="102" w:firstLine="480"/>
        <w:jc w:val="left"/>
        <w:rPr>
          <w:rFonts w:ascii="宋体" w:hAnsi="宋体"/>
          <w:color w:val="auto"/>
          <w:szCs w:val="21"/>
        </w:rPr>
      </w:pPr>
      <w:r>
        <w:rPr>
          <w:rFonts w:ascii="宋体" w:hAnsi="宋体"/>
          <w:color w:val="auto"/>
          <w:szCs w:val="21"/>
        </w:rPr>
        <w:t>①　基础及混凝土情况：检查基础及混凝土有无开裂、钢筋外露、混凝土风化等情况。</w:t>
      </w:r>
    </w:p>
    <w:p w14:paraId="5AC99D32">
      <w:pPr>
        <w:ind w:left="102" w:firstLine="480"/>
        <w:jc w:val="left"/>
        <w:rPr>
          <w:rFonts w:ascii="宋体" w:hAnsi="宋体"/>
          <w:color w:val="auto"/>
          <w:szCs w:val="21"/>
        </w:rPr>
      </w:pPr>
      <w:r>
        <w:rPr>
          <w:rFonts w:ascii="宋体" w:hAnsi="宋体"/>
          <w:color w:val="auto"/>
          <w:szCs w:val="21"/>
        </w:rPr>
        <w:t>②　抗压强度：检测抗压强度（MPa）。</w:t>
      </w:r>
    </w:p>
    <w:p w14:paraId="457EF5CC">
      <w:pPr>
        <w:ind w:left="102" w:firstLine="480"/>
        <w:jc w:val="left"/>
        <w:rPr>
          <w:rFonts w:ascii="宋体" w:hAnsi="宋体"/>
          <w:color w:val="auto"/>
          <w:szCs w:val="21"/>
        </w:rPr>
      </w:pPr>
      <w:r>
        <w:rPr>
          <w:rFonts w:ascii="宋体" w:hAnsi="宋体"/>
          <w:color w:val="auto"/>
          <w:szCs w:val="21"/>
        </w:rPr>
        <w:t>③　检测工具：回弹仪等。</w:t>
      </w:r>
    </w:p>
    <w:p w14:paraId="7523D025">
      <w:pPr>
        <w:ind w:left="102" w:firstLine="480"/>
        <w:jc w:val="left"/>
        <w:rPr>
          <w:rFonts w:ascii="宋体" w:hAnsi="宋体"/>
          <w:color w:val="auto"/>
          <w:szCs w:val="21"/>
        </w:rPr>
      </w:pPr>
      <w:r>
        <w:rPr>
          <w:rFonts w:hint="eastAsia" w:ascii="宋体" w:hAnsi="宋体"/>
          <w:color w:val="auto"/>
          <w:szCs w:val="21"/>
        </w:rPr>
        <w:t>（</w:t>
      </w:r>
      <w:r>
        <w:rPr>
          <w:rFonts w:ascii="宋体" w:hAnsi="宋体"/>
          <w:color w:val="auto"/>
          <w:szCs w:val="21"/>
        </w:rPr>
        <w:t>2</w:t>
      </w:r>
      <w:r>
        <w:rPr>
          <w:rFonts w:hint="eastAsia" w:ascii="宋体" w:hAnsi="宋体"/>
          <w:color w:val="auto"/>
          <w:szCs w:val="21"/>
        </w:rPr>
        <w:t>）</w:t>
      </w:r>
      <w:r>
        <w:rPr>
          <w:rFonts w:ascii="宋体" w:hAnsi="宋体"/>
          <w:color w:val="auto"/>
          <w:szCs w:val="21"/>
        </w:rPr>
        <w:t>焊缝质量检测</w:t>
      </w:r>
    </w:p>
    <w:p w14:paraId="49AD2F16">
      <w:pPr>
        <w:ind w:left="102" w:firstLine="480"/>
        <w:jc w:val="left"/>
        <w:rPr>
          <w:rFonts w:ascii="宋体" w:hAnsi="宋体"/>
          <w:color w:val="auto"/>
          <w:szCs w:val="21"/>
        </w:rPr>
      </w:pPr>
      <w:r>
        <w:rPr>
          <w:rFonts w:ascii="宋体" w:hAnsi="宋体"/>
          <w:color w:val="auto"/>
          <w:szCs w:val="21"/>
        </w:rPr>
        <w:t>①　外观：外观均匀、成型较好，焊道与焊道、焊道与基本金属间过渡较平滑，焊渣和飞溅物基本清除干净。</w:t>
      </w:r>
    </w:p>
    <w:p w14:paraId="29F7FEF0">
      <w:pPr>
        <w:ind w:left="102" w:firstLine="480"/>
        <w:jc w:val="left"/>
        <w:rPr>
          <w:rFonts w:ascii="宋体" w:hAnsi="宋体"/>
          <w:color w:val="auto"/>
          <w:szCs w:val="21"/>
        </w:rPr>
      </w:pPr>
      <w:r>
        <w:rPr>
          <w:rFonts w:ascii="宋体" w:hAnsi="宋体"/>
          <w:color w:val="auto"/>
          <w:szCs w:val="21"/>
        </w:rPr>
        <w:t>②　表面缺陷：焊缝表面不得有裂纹、焊瘤。一、二级焊缝不得有表面气孔、夹渣、弧坑裂纹、电弧擦伤等缺陷。</w:t>
      </w:r>
    </w:p>
    <w:p w14:paraId="23EFBA02">
      <w:pPr>
        <w:ind w:left="102" w:firstLine="480"/>
        <w:jc w:val="left"/>
        <w:rPr>
          <w:rFonts w:ascii="宋体" w:hAnsi="宋体"/>
          <w:color w:val="auto"/>
          <w:szCs w:val="21"/>
        </w:rPr>
      </w:pPr>
      <w:r>
        <w:rPr>
          <w:rFonts w:ascii="宋体" w:hAnsi="宋体"/>
          <w:color w:val="auto"/>
          <w:szCs w:val="21"/>
        </w:rPr>
        <w:t>③　超声波无损探伤：主要受力焊缝、关键结构部位的母材进行超声波无损探伤，应符合设计要求。</w:t>
      </w:r>
    </w:p>
    <w:p w14:paraId="118D0075">
      <w:pPr>
        <w:ind w:left="102" w:firstLine="480"/>
        <w:jc w:val="left"/>
        <w:rPr>
          <w:rFonts w:ascii="宋体" w:hAnsi="宋体"/>
          <w:color w:val="auto"/>
          <w:szCs w:val="21"/>
        </w:rPr>
      </w:pPr>
      <w:r>
        <w:rPr>
          <w:rFonts w:ascii="宋体" w:hAnsi="宋体"/>
          <w:color w:val="auto"/>
          <w:szCs w:val="21"/>
        </w:rPr>
        <w:t>④　检测工具：焊接检验尺、超声波探伤仪等。</w:t>
      </w:r>
    </w:p>
    <w:p w14:paraId="4C4C9E04">
      <w:pPr>
        <w:ind w:left="102" w:firstLine="480"/>
        <w:jc w:val="left"/>
        <w:rPr>
          <w:rFonts w:ascii="宋体" w:hAnsi="宋体"/>
          <w:color w:val="auto"/>
          <w:szCs w:val="21"/>
        </w:rPr>
      </w:pPr>
      <w:r>
        <w:rPr>
          <w:rFonts w:hint="eastAsia" w:ascii="宋体" w:hAnsi="宋体"/>
          <w:color w:val="auto"/>
          <w:szCs w:val="21"/>
        </w:rPr>
        <w:t>（</w:t>
      </w:r>
      <w:r>
        <w:rPr>
          <w:rFonts w:ascii="宋体" w:hAnsi="宋体"/>
          <w:color w:val="auto"/>
          <w:szCs w:val="21"/>
        </w:rPr>
        <w:t>3</w:t>
      </w:r>
      <w:r>
        <w:rPr>
          <w:rFonts w:hint="eastAsia" w:ascii="宋体" w:hAnsi="宋体"/>
          <w:color w:val="auto"/>
          <w:szCs w:val="21"/>
        </w:rPr>
        <w:t>）</w:t>
      </w:r>
      <w:r>
        <w:rPr>
          <w:rFonts w:ascii="宋体" w:hAnsi="宋体"/>
          <w:color w:val="auto"/>
          <w:szCs w:val="21"/>
        </w:rPr>
        <w:t>结构安装偏差检测</w:t>
      </w:r>
    </w:p>
    <w:p w14:paraId="1EB05A9B">
      <w:pPr>
        <w:ind w:left="102" w:firstLine="480"/>
        <w:jc w:val="left"/>
        <w:rPr>
          <w:rFonts w:ascii="宋体" w:hAnsi="宋体"/>
          <w:color w:val="auto"/>
          <w:szCs w:val="21"/>
        </w:rPr>
      </w:pPr>
      <w:r>
        <w:rPr>
          <w:rFonts w:ascii="宋体" w:hAnsi="宋体"/>
          <w:color w:val="auto"/>
          <w:szCs w:val="21"/>
        </w:rPr>
        <w:t>①　立柱垂直度：立柱（高度为 H）垂直度允许偏差≤H/1000。</w:t>
      </w:r>
    </w:p>
    <w:p w14:paraId="3CF2C22C">
      <w:pPr>
        <w:ind w:left="102" w:firstLine="480"/>
        <w:jc w:val="left"/>
        <w:rPr>
          <w:rFonts w:ascii="宋体" w:hAnsi="宋体"/>
          <w:color w:val="auto"/>
          <w:szCs w:val="21"/>
        </w:rPr>
      </w:pPr>
      <w:r>
        <w:rPr>
          <w:rFonts w:ascii="宋体" w:hAnsi="宋体"/>
          <w:color w:val="auto"/>
          <w:szCs w:val="21"/>
        </w:rPr>
        <w:t>②　横梁水平度：横梁（跨度为 L）水平度允许偏差≤L/1000。</w:t>
      </w:r>
    </w:p>
    <w:p w14:paraId="0F2AD850">
      <w:pPr>
        <w:ind w:left="102" w:firstLine="480"/>
        <w:jc w:val="left"/>
        <w:rPr>
          <w:rFonts w:ascii="宋体" w:hAnsi="宋体"/>
          <w:color w:val="auto"/>
          <w:szCs w:val="21"/>
        </w:rPr>
      </w:pPr>
      <w:r>
        <w:rPr>
          <w:rFonts w:ascii="宋体" w:hAnsi="宋体"/>
          <w:color w:val="auto"/>
          <w:szCs w:val="21"/>
        </w:rPr>
        <w:t>③　检测工具：全站仪等。</w:t>
      </w:r>
    </w:p>
    <w:p w14:paraId="3CBD693F">
      <w:pPr>
        <w:ind w:left="102" w:firstLine="480"/>
        <w:jc w:val="left"/>
        <w:rPr>
          <w:rFonts w:ascii="宋体" w:hAnsi="宋体"/>
          <w:color w:val="auto"/>
          <w:szCs w:val="21"/>
        </w:rPr>
      </w:pPr>
      <w:r>
        <w:rPr>
          <w:rFonts w:hint="eastAsia" w:ascii="宋体" w:hAnsi="宋体"/>
          <w:color w:val="auto"/>
          <w:szCs w:val="21"/>
        </w:rPr>
        <w:t>（</w:t>
      </w:r>
      <w:r>
        <w:rPr>
          <w:rFonts w:ascii="宋体" w:hAnsi="宋体"/>
          <w:color w:val="auto"/>
          <w:szCs w:val="21"/>
        </w:rPr>
        <w:t>4</w:t>
      </w:r>
      <w:r>
        <w:rPr>
          <w:rFonts w:hint="eastAsia" w:ascii="宋体" w:hAnsi="宋体"/>
          <w:color w:val="auto"/>
          <w:szCs w:val="21"/>
        </w:rPr>
        <w:t>）</w:t>
      </w:r>
      <w:r>
        <w:rPr>
          <w:rFonts w:ascii="宋体" w:hAnsi="宋体"/>
          <w:color w:val="auto"/>
          <w:szCs w:val="21"/>
        </w:rPr>
        <w:t>螺栓紧固检测</w:t>
      </w:r>
    </w:p>
    <w:p w14:paraId="77D36375">
      <w:pPr>
        <w:ind w:left="102" w:firstLine="480"/>
        <w:jc w:val="left"/>
        <w:rPr>
          <w:rFonts w:ascii="宋体" w:hAnsi="宋体"/>
          <w:color w:val="auto"/>
          <w:szCs w:val="21"/>
        </w:rPr>
      </w:pPr>
      <w:r>
        <w:rPr>
          <w:rFonts w:ascii="宋体" w:hAnsi="宋体"/>
          <w:color w:val="auto"/>
          <w:szCs w:val="21"/>
        </w:rPr>
        <w:t>①　检测要求：螺栓规格应与预埋件螺杆螺纹匹配，紧固。</w:t>
      </w:r>
    </w:p>
    <w:p w14:paraId="180B2CA9">
      <w:pPr>
        <w:ind w:left="102" w:firstLine="480"/>
        <w:jc w:val="left"/>
        <w:rPr>
          <w:rFonts w:ascii="宋体" w:hAnsi="宋体"/>
          <w:color w:val="auto"/>
          <w:szCs w:val="21"/>
        </w:rPr>
      </w:pPr>
      <w:r>
        <w:rPr>
          <w:rFonts w:ascii="宋体" w:hAnsi="宋体"/>
          <w:color w:val="auto"/>
          <w:szCs w:val="21"/>
        </w:rPr>
        <w:t>②　检测工具：扳手等。</w:t>
      </w:r>
    </w:p>
    <w:p w14:paraId="33264D66">
      <w:pPr>
        <w:ind w:left="102" w:firstLine="480"/>
        <w:jc w:val="left"/>
        <w:rPr>
          <w:rFonts w:ascii="宋体" w:hAnsi="宋体"/>
          <w:color w:val="auto"/>
          <w:szCs w:val="21"/>
        </w:rPr>
      </w:pPr>
      <w:r>
        <w:rPr>
          <w:rFonts w:hint="eastAsia" w:ascii="宋体" w:hAnsi="宋体"/>
          <w:color w:val="auto"/>
          <w:szCs w:val="21"/>
        </w:rPr>
        <w:t>（</w:t>
      </w:r>
      <w:r>
        <w:rPr>
          <w:rFonts w:ascii="宋体" w:hAnsi="宋体"/>
          <w:color w:val="auto"/>
          <w:szCs w:val="21"/>
        </w:rPr>
        <w:t>5</w:t>
      </w:r>
      <w:r>
        <w:rPr>
          <w:rFonts w:hint="eastAsia" w:ascii="宋体" w:hAnsi="宋体"/>
          <w:color w:val="auto"/>
          <w:szCs w:val="21"/>
        </w:rPr>
        <w:t>）</w:t>
      </w:r>
      <w:r>
        <w:rPr>
          <w:rFonts w:ascii="宋体" w:hAnsi="宋体"/>
          <w:color w:val="auto"/>
          <w:szCs w:val="21"/>
        </w:rPr>
        <w:t>螺栓坚固检测</w:t>
      </w:r>
    </w:p>
    <w:p w14:paraId="01031EBC">
      <w:pPr>
        <w:ind w:left="102" w:firstLine="480"/>
        <w:jc w:val="left"/>
        <w:rPr>
          <w:rFonts w:ascii="宋体" w:hAnsi="宋体"/>
          <w:color w:val="auto"/>
          <w:szCs w:val="21"/>
        </w:rPr>
      </w:pPr>
      <w:r>
        <w:rPr>
          <w:rFonts w:ascii="宋体" w:hAnsi="宋体"/>
          <w:color w:val="auto"/>
          <w:szCs w:val="21"/>
        </w:rPr>
        <w:t>①　普通螺栓：连接应牢固、可靠，拧紧后外露丝扣不应少于 2 扣，双螺栓紧固时可平扣，螺栓穿入方向在同层同类节点中一致。</w:t>
      </w:r>
    </w:p>
    <w:p w14:paraId="14CE5CD6">
      <w:pPr>
        <w:ind w:left="102" w:firstLine="480"/>
        <w:jc w:val="left"/>
        <w:rPr>
          <w:rFonts w:ascii="宋体" w:hAnsi="宋体"/>
          <w:color w:val="auto"/>
          <w:szCs w:val="21"/>
        </w:rPr>
      </w:pPr>
      <w:r>
        <w:rPr>
          <w:rFonts w:ascii="宋体" w:hAnsi="宋体"/>
          <w:color w:val="auto"/>
          <w:szCs w:val="21"/>
        </w:rPr>
        <w:t>②　法兰螺栓：法兰螺栓应双螺母锁紧。</w:t>
      </w:r>
    </w:p>
    <w:p w14:paraId="49E813A5">
      <w:pPr>
        <w:ind w:left="102" w:firstLine="480"/>
        <w:jc w:val="left"/>
        <w:rPr>
          <w:rFonts w:ascii="宋体" w:hAnsi="宋体"/>
          <w:color w:val="auto"/>
          <w:szCs w:val="21"/>
        </w:rPr>
      </w:pPr>
      <w:r>
        <w:rPr>
          <w:rFonts w:ascii="宋体" w:hAnsi="宋体"/>
          <w:color w:val="auto"/>
          <w:szCs w:val="21"/>
        </w:rPr>
        <w:t>③　地脚螺栓：地脚螺栓应用双螺母锁紧，拧紧后外露丝扣不宜少于 2 扣；且有防腐措施。</w:t>
      </w:r>
    </w:p>
    <w:p w14:paraId="4D6DF540">
      <w:pPr>
        <w:ind w:left="102" w:firstLine="480"/>
        <w:jc w:val="left"/>
        <w:rPr>
          <w:rFonts w:ascii="宋体" w:hAnsi="宋体"/>
          <w:color w:val="auto"/>
          <w:szCs w:val="21"/>
        </w:rPr>
      </w:pPr>
      <w:r>
        <w:rPr>
          <w:rFonts w:ascii="宋体" w:hAnsi="宋体"/>
          <w:color w:val="auto"/>
          <w:szCs w:val="21"/>
        </w:rPr>
        <w:t>④　检测工具：扭矩扳手等。</w:t>
      </w:r>
    </w:p>
    <w:p w14:paraId="4A64C33D">
      <w:pPr>
        <w:ind w:left="102" w:firstLine="482"/>
        <w:jc w:val="left"/>
        <w:rPr>
          <w:rFonts w:ascii="宋体" w:hAnsi="宋体"/>
          <w:b/>
          <w:bCs/>
          <w:color w:val="auto"/>
          <w:szCs w:val="21"/>
        </w:rPr>
      </w:pPr>
      <w:r>
        <w:rPr>
          <w:rFonts w:ascii="宋体" w:hAnsi="宋体"/>
          <w:b/>
          <w:bCs/>
          <w:color w:val="auto"/>
          <w:szCs w:val="21"/>
        </w:rPr>
        <w:t>M18 螺栓</w:t>
      </w:r>
    </w:p>
    <w:p w14:paraId="74F98760">
      <w:pPr>
        <w:ind w:left="102" w:firstLine="480"/>
        <w:jc w:val="left"/>
        <w:rPr>
          <w:rFonts w:ascii="宋体" w:hAnsi="宋体"/>
          <w:color w:val="auto"/>
          <w:szCs w:val="21"/>
        </w:rPr>
      </w:pPr>
      <w:r>
        <w:rPr>
          <w:rFonts w:ascii="宋体" w:hAnsi="宋体"/>
          <w:color w:val="auto"/>
          <w:szCs w:val="21"/>
        </w:rPr>
        <w:t>对于强度等级为 8.8 级的 M18 螺栓，其紧固扭矩在 200 - 250 N・m 左右；如果是 10.8 级的 M18 螺栓，紧固扭矩可能达到 280 - 320 N・m；12.8 级的 M18 螺栓，扭矩大概在 350 - 400 N・m。</w:t>
      </w:r>
    </w:p>
    <w:p w14:paraId="32EE86F8">
      <w:pPr>
        <w:ind w:left="102" w:firstLine="482"/>
        <w:jc w:val="left"/>
        <w:rPr>
          <w:rFonts w:ascii="宋体" w:hAnsi="宋体"/>
          <w:b/>
          <w:bCs/>
          <w:color w:val="auto"/>
          <w:szCs w:val="21"/>
        </w:rPr>
      </w:pPr>
      <w:r>
        <w:rPr>
          <w:rFonts w:ascii="宋体" w:hAnsi="宋体"/>
          <w:b/>
          <w:bCs/>
          <w:color w:val="auto"/>
          <w:szCs w:val="21"/>
        </w:rPr>
        <w:t>M20 螺栓</w:t>
      </w:r>
    </w:p>
    <w:p w14:paraId="5A88B0E3">
      <w:pPr>
        <w:ind w:left="102" w:firstLine="480"/>
        <w:jc w:val="left"/>
        <w:rPr>
          <w:rFonts w:ascii="宋体" w:hAnsi="宋体"/>
          <w:color w:val="auto"/>
          <w:szCs w:val="21"/>
        </w:rPr>
      </w:pPr>
      <w:r>
        <w:rPr>
          <w:rFonts w:ascii="宋体" w:hAnsi="宋体"/>
          <w:color w:val="auto"/>
          <w:szCs w:val="21"/>
        </w:rPr>
        <w:t>8.8 级的 M20 螺栓，紧固扭矩一般在 300 - 350 N・m；10.8 级的 M20 螺栓，扭矩大约为 400 - 450 N・m</w:t>
      </w:r>
    </w:p>
    <w:p w14:paraId="52AAEADB">
      <w:pPr>
        <w:ind w:left="102" w:firstLine="480"/>
        <w:jc w:val="left"/>
        <w:rPr>
          <w:rFonts w:ascii="宋体" w:hAnsi="宋体"/>
          <w:color w:val="auto"/>
          <w:szCs w:val="21"/>
        </w:rPr>
      </w:pPr>
      <w:r>
        <w:rPr>
          <w:rFonts w:hint="eastAsia" w:ascii="宋体" w:hAnsi="宋体"/>
          <w:color w:val="auto"/>
          <w:szCs w:val="21"/>
        </w:rPr>
        <w:t>（</w:t>
      </w:r>
      <w:r>
        <w:rPr>
          <w:rFonts w:ascii="宋体" w:hAnsi="宋体"/>
          <w:color w:val="auto"/>
          <w:szCs w:val="21"/>
        </w:rPr>
        <w:t>6</w:t>
      </w:r>
      <w:r>
        <w:rPr>
          <w:rFonts w:hint="eastAsia" w:ascii="宋体" w:hAnsi="宋体"/>
          <w:color w:val="auto"/>
          <w:szCs w:val="21"/>
        </w:rPr>
        <w:t>）</w:t>
      </w:r>
      <w:r>
        <w:rPr>
          <w:rFonts w:ascii="宋体" w:hAnsi="宋体"/>
          <w:color w:val="auto"/>
          <w:szCs w:val="21"/>
        </w:rPr>
        <w:t>检查平台、爬梯、护栏等附属设施质量</w:t>
      </w:r>
    </w:p>
    <w:p w14:paraId="454ADC35">
      <w:pPr>
        <w:ind w:left="102" w:firstLine="480"/>
        <w:jc w:val="left"/>
        <w:rPr>
          <w:rFonts w:ascii="宋体" w:hAnsi="宋体"/>
          <w:color w:val="auto"/>
          <w:szCs w:val="21"/>
        </w:rPr>
      </w:pPr>
      <w:r>
        <w:rPr>
          <w:rFonts w:ascii="宋体" w:hAnsi="宋体"/>
          <w:color w:val="auto"/>
          <w:szCs w:val="21"/>
        </w:rPr>
        <w:t>①　抱箍螺栓：需双螺母紧固。</w:t>
      </w:r>
    </w:p>
    <w:p w14:paraId="4057F7DB">
      <w:pPr>
        <w:ind w:left="102" w:firstLine="480"/>
        <w:jc w:val="left"/>
        <w:rPr>
          <w:rFonts w:ascii="宋体" w:hAnsi="宋体"/>
          <w:color w:val="auto"/>
          <w:szCs w:val="21"/>
        </w:rPr>
      </w:pPr>
      <w:r>
        <w:rPr>
          <w:rFonts w:ascii="宋体" w:hAnsi="宋体"/>
          <w:color w:val="auto"/>
          <w:szCs w:val="21"/>
        </w:rPr>
        <w:t>②　平台：连接牢固、与地面水平。</w:t>
      </w:r>
    </w:p>
    <w:p w14:paraId="4B68EC97">
      <w:pPr>
        <w:ind w:left="102" w:firstLine="480"/>
        <w:jc w:val="left"/>
        <w:rPr>
          <w:rFonts w:ascii="宋体" w:hAnsi="宋体"/>
          <w:color w:val="auto"/>
          <w:szCs w:val="21"/>
        </w:rPr>
      </w:pPr>
      <w:r>
        <w:rPr>
          <w:rFonts w:ascii="宋体" w:hAnsi="宋体"/>
          <w:color w:val="auto"/>
          <w:szCs w:val="21"/>
        </w:rPr>
        <w:t>③　爬梯：步踏无缺失、松动，无尖角、阻挡，连接可靠。</w:t>
      </w:r>
    </w:p>
    <w:p w14:paraId="6B3EFCD7">
      <w:pPr>
        <w:ind w:left="102" w:firstLine="480"/>
        <w:jc w:val="left"/>
        <w:rPr>
          <w:rFonts w:ascii="宋体" w:hAnsi="宋体"/>
          <w:color w:val="auto"/>
          <w:szCs w:val="21"/>
        </w:rPr>
      </w:pPr>
      <w:r>
        <w:rPr>
          <w:rFonts w:ascii="宋体" w:hAnsi="宋体"/>
          <w:color w:val="auto"/>
          <w:szCs w:val="21"/>
        </w:rPr>
        <w:t>④　栏杆：牢固，无缺失、松动，连接可靠。</w:t>
      </w:r>
    </w:p>
    <w:p w14:paraId="5DC7F4DC">
      <w:pPr>
        <w:ind w:left="102" w:firstLine="480"/>
        <w:jc w:val="left"/>
        <w:rPr>
          <w:rFonts w:ascii="宋体" w:hAnsi="宋体"/>
          <w:color w:val="auto"/>
          <w:szCs w:val="21"/>
        </w:rPr>
      </w:pPr>
      <w:r>
        <w:rPr>
          <w:rFonts w:ascii="宋体" w:hAnsi="宋体"/>
          <w:color w:val="auto"/>
          <w:szCs w:val="21"/>
        </w:rPr>
        <w:t>⑤　检测工具：扳手、目测等。</w:t>
      </w:r>
    </w:p>
    <w:p w14:paraId="2EAFBE87">
      <w:pPr>
        <w:ind w:left="102" w:firstLine="480"/>
        <w:jc w:val="left"/>
        <w:rPr>
          <w:rFonts w:ascii="宋体" w:hAnsi="宋体"/>
          <w:color w:val="auto"/>
          <w:szCs w:val="21"/>
        </w:rPr>
      </w:pPr>
      <w:r>
        <w:rPr>
          <w:rFonts w:hint="eastAsia" w:ascii="宋体" w:hAnsi="宋体"/>
          <w:color w:val="auto"/>
          <w:szCs w:val="21"/>
        </w:rPr>
        <w:t>（</w:t>
      </w:r>
      <w:r>
        <w:rPr>
          <w:rFonts w:ascii="宋体" w:hAnsi="宋体"/>
          <w:color w:val="auto"/>
          <w:szCs w:val="21"/>
        </w:rPr>
        <w:t>7</w:t>
      </w:r>
      <w:r>
        <w:rPr>
          <w:rFonts w:hint="eastAsia" w:ascii="宋体" w:hAnsi="宋体"/>
          <w:color w:val="auto"/>
          <w:szCs w:val="21"/>
        </w:rPr>
        <w:t>）</w:t>
      </w:r>
      <w:r>
        <w:rPr>
          <w:rFonts w:ascii="宋体" w:hAnsi="宋体"/>
          <w:color w:val="auto"/>
          <w:szCs w:val="21"/>
        </w:rPr>
        <w:t>安全性评估</w:t>
      </w:r>
    </w:p>
    <w:p w14:paraId="6A76B044">
      <w:pPr>
        <w:ind w:left="102" w:firstLine="480"/>
        <w:jc w:val="left"/>
        <w:rPr>
          <w:rFonts w:ascii="宋体" w:hAnsi="宋体"/>
          <w:color w:val="auto"/>
          <w:szCs w:val="21"/>
        </w:rPr>
      </w:pPr>
      <w:r>
        <w:rPr>
          <w:rFonts w:ascii="宋体" w:hAnsi="宋体"/>
          <w:color w:val="auto"/>
          <w:szCs w:val="21"/>
        </w:rPr>
        <w:t>①　综合评估：综合各项检测结果，对钢结构的安全性进行评估。</w:t>
      </w:r>
    </w:p>
    <w:p w14:paraId="6FB99117">
      <w:pPr>
        <w:ind w:left="102" w:firstLine="480"/>
        <w:jc w:val="left"/>
        <w:rPr>
          <w:rFonts w:ascii="宋体" w:hAnsi="宋体"/>
          <w:color w:val="auto"/>
          <w:szCs w:val="21"/>
        </w:rPr>
      </w:pPr>
      <w:r>
        <w:rPr>
          <w:rFonts w:ascii="宋体" w:hAnsi="宋体"/>
          <w:color w:val="auto"/>
          <w:szCs w:val="21"/>
        </w:rPr>
        <w:t>②　检测工具：数据分析软件等。</w:t>
      </w:r>
    </w:p>
    <w:p w14:paraId="79D0A459">
      <w:pPr>
        <w:ind w:left="102" w:firstLine="480"/>
        <w:jc w:val="left"/>
        <w:rPr>
          <w:rFonts w:ascii="宋体" w:hAnsi="宋体"/>
          <w:color w:val="auto"/>
          <w:szCs w:val="21"/>
        </w:rPr>
      </w:pPr>
    </w:p>
    <w:p w14:paraId="4F4E547C">
      <w:pPr>
        <w:ind w:firstLine="482"/>
        <w:rPr>
          <w:b/>
          <w:color w:val="auto"/>
        </w:rPr>
      </w:pPr>
      <w:r>
        <w:rPr>
          <w:rFonts w:hint="eastAsia"/>
          <w:b/>
          <w:color w:val="auto"/>
        </w:rPr>
        <w:t>（三）雕塑、廊架、张拉膜、高大导视牌</w:t>
      </w:r>
    </w:p>
    <w:p w14:paraId="17201D1F">
      <w:pPr>
        <w:tabs>
          <w:tab w:val="left" w:pos="360"/>
        </w:tabs>
        <w:ind w:firstLine="576" w:firstLineChars="239"/>
        <w:rPr>
          <w:rFonts w:hint="eastAsia" w:ascii="宋体" w:hAnsi="宋体"/>
          <w:b/>
          <w:bCs/>
          <w:color w:val="auto"/>
          <w:szCs w:val="21"/>
        </w:rPr>
      </w:pPr>
      <w:r>
        <w:rPr>
          <w:rFonts w:hint="eastAsia" w:ascii="宋体" w:hAnsi="宋体"/>
          <w:b/>
          <w:bCs/>
          <w:color w:val="auto"/>
          <w:szCs w:val="21"/>
        </w:rPr>
        <w:t>1、基本情况</w:t>
      </w:r>
    </w:p>
    <w:p w14:paraId="0A0C2325">
      <w:pPr>
        <w:ind w:firstLine="424" w:firstLineChars="177"/>
        <w:rPr>
          <w:rFonts w:ascii="宋体" w:hAnsi="宋体"/>
          <w:color w:val="auto"/>
          <w:szCs w:val="21"/>
        </w:rPr>
      </w:pPr>
      <w:r>
        <w:rPr>
          <w:rFonts w:hint="eastAsia" w:ascii="宋体" w:hAnsi="宋体"/>
          <w:color w:val="auto"/>
          <w:szCs w:val="21"/>
        </w:rPr>
        <w:t>园区</w:t>
      </w:r>
      <w:r>
        <w:rPr>
          <w:rFonts w:hint="eastAsia"/>
          <w:bCs/>
          <w:color w:val="auto"/>
        </w:rPr>
        <w:t>雕塑、廊架、景观亭等建构筑物</w:t>
      </w:r>
      <w:r>
        <w:rPr>
          <w:rFonts w:hint="eastAsia" w:ascii="宋体" w:hAnsi="宋体"/>
          <w:bCs/>
          <w:color w:val="auto"/>
          <w:szCs w:val="21"/>
        </w:rPr>
        <w:t>主要位于</w:t>
      </w:r>
      <w:r>
        <w:rPr>
          <w:rFonts w:hint="eastAsia" w:ascii="宋体" w:hAnsi="宋体"/>
          <w:color w:val="auto"/>
          <w:szCs w:val="21"/>
        </w:rPr>
        <w:t>公园、绿化带、景区等公共区域，具体清单及定位见附件清单所示。</w:t>
      </w:r>
    </w:p>
    <w:p w14:paraId="495E975E">
      <w:pPr>
        <w:ind w:left="102" w:firstLine="482"/>
        <w:jc w:val="left"/>
        <w:rPr>
          <w:rFonts w:ascii="宋体" w:hAnsi="宋体"/>
          <w:b/>
          <w:bCs/>
          <w:color w:val="auto"/>
          <w:szCs w:val="21"/>
        </w:rPr>
      </w:pPr>
      <w:r>
        <w:rPr>
          <w:rFonts w:ascii="宋体" w:hAnsi="宋体"/>
          <w:b/>
          <w:bCs/>
          <w:color w:val="auto"/>
          <w:szCs w:val="21"/>
        </w:rPr>
        <w:t>2</w:t>
      </w:r>
      <w:r>
        <w:rPr>
          <w:rFonts w:hint="eastAsia" w:ascii="宋体" w:hAnsi="宋体"/>
          <w:b/>
          <w:bCs/>
          <w:color w:val="auto"/>
          <w:szCs w:val="21"/>
        </w:rPr>
        <w:t>、主要检查内容和方法</w:t>
      </w:r>
    </w:p>
    <w:p w14:paraId="4ED74A67">
      <w:pPr>
        <w:ind w:firstLine="426" w:firstLineChars="177"/>
        <w:rPr>
          <w:rFonts w:ascii="宋体" w:hAnsi="宋体"/>
          <w:b/>
          <w:bCs/>
          <w:color w:val="auto"/>
          <w:szCs w:val="21"/>
        </w:rPr>
      </w:pPr>
      <w:r>
        <w:rPr>
          <w:rFonts w:hint="eastAsia" w:ascii="宋体" w:hAnsi="宋体"/>
          <w:b/>
          <w:bCs/>
          <w:color w:val="auto"/>
          <w:szCs w:val="21"/>
        </w:rPr>
        <w:t>检测主要分专项检测和常规检测两部分，专项检测共计有雕塑8个，未纳入专项检测的</w:t>
      </w:r>
      <w:r>
        <w:rPr>
          <w:rFonts w:hint="eastAsia"/>
          <w:b/>
          <w:color w:val="auto"/>
        </w:rPr>
        <w:t>雕塑、廊架、景观亭等</w:t>
      </w:r>
      <w:r>
        <w:rPr>
          <w:rFonts w:hint="eastAsia" w:ascii="宋体" w:hAnsi="宋体"/>
          <w:b/>
          <w:bCs/>
          <w:color w:val="auto"/>
          <w:szCs w:val="21"/>
        </w:rPr>
        <w:t>均为常规检测（具体详附件清单）。</w:t>
      </w:r>
    </w:p>
    <w:p w14:paraId="0D0D313C">
      <w:pPr>
        <w:pStyle w:val="6"/>
        <w:spacing w:line="500" w:lineRule="exact"/>
        <w:ind w:left="0" w:leftChars="0" w:firstLine="482"/>
        <w:rPr>
          <w:rFonts w:hint="eastAsia" w:ascii="Times New Roman" w:hAnsi="Times New Roman" w:eastAsia="宋体"/>
          <w:b/>
          <w:color w:val="auto"/>
        </w:rPr>
      </w:pPr>
      <w:r>
        <w:rPr>
          <w:rFonts w:hint="eastAsia" w:ascii="宋体" w:hAnsi="宋体"/>
          <w:b/>
          <w:bCs/>
          <w:color w:val="auto"/>
          <w:szCs w:val="21"/>
        </w:rPr>
        <w:t>主要检测内容：1）结构体系及构件外观质量检查；2）构件截面尺寸检测；3）涂层厚度及钢结构腐蚀状况检测；4）钢材强度检测；</w:t>
      </w:r>
      <w:bookmarkStart w:id="0" w:name="OLE_LINK15"/>
      <w:r>
        <w:rPr>
          <w:rFonts w:hint="eastAsia" w:ascii="宋体" w:hAnsi="宋体"/>
          <w:b/>
          <w:bCs/>
          <w:color w:val="auto"/>
          <w:szCs w:val="21"/>
        </w:rPr>
        <w:t>5）</w:t>
      </w:r>
      <w:bookmarkEnd w:id="0"/>
      <w:r>
        <w:rPr>
          <w:rFonts w:hint="eastAsia" w:ascii="宋体" w:hAnsi="宋体"/>
          <w:b/>
          <w:bCs/>
          <w:color w:val="auto"/>
          <w:szCs w:val="21"/>
        </w:rPr>
        <w:t>钢结构螺栓连接检查；6）钢结构焊缝外观质量及无损探伤检测；7）钢柱垂直度检测；8）可靠性评价（含安全性评估）。</w:t>
      </w:r>
    </w:p>
    <w:p w14:paraId="076FF976">
      <w:pPr>
        <w:spacing w:before="120" w:beforeLines="50" w:line="500" w:lineRule="exact"/>
        <w:ind w:firstLine="480"/>
        <w:outlineLvl w:val="1"/>
        <w:rPr>
          <w:rFonts w:ascii="黑体" w:hAnsi="宋体" w:eastAsia="黑体" w:cs="宋体"/>
          <w:color w:val="auto"/>
        </w:rPr>
      </w:pPr>
      <w:r>
        <w:rPr>
          <w:rFonts w:hint="eastAsia" w:ascii="黑体" w:hAnsi="宋体" w:eastAsia="黑体" w:cs="宋体"/>
          <w:color w:val="auto"/>
        </w:rPr>
        <w:t>（1）</w:t>
      </w:r>
      <w:r>
        <w:rPr>
          <w:rFonts w:hint="eastAsia" w:ascii="Times New Roman" w:hAnsi="Times New Roman" w:eastAsia="宋体"/>
          <w:b/>
          <w:color w:val="auto"/>
        </w:rPr>
        <w:t>结构体系及构件外观质量检查</w:t>
      </w:r>
    </w:p>
    <w:p w14:paraId="41DC1401">
      <w:pPr>
        <w:pStyle w:val="6"/>
        <w:spacing w:line="500" w:lineRule="exact"/>
        <w:ind w:left="0" w:leftChars="0" w:firstLine="480"/>
        <w:rPr>
          <w:rFonts w:hint="eastAsia" w:ascii="仿宋_GB2312" w:hAnsi="宋体"/>
          <w:color w:val="auto"/>
          <w:kern w:val="0"/>
          <w:szCs w:val="24"/>
        </w:rPr>
      </w:pPr>
      <w:r>
        <w:rPr>
          <w:rFonts w:ascii="仿宋_GB2312" w:hAnsi="宋体"/>
          <w:color w:val="auto"/>
          <w:kern w:val="0"/>
          <w:szCs w:val="24"/>
        </w:rPr>
        <w:t>现场对该工程的结构体系进行全面检查，</w:t>
      </w:r>
      <w:r>
        <w:rPr>
          <w:rFonts w:hint="eastAsia" w:ascii="仿宋_GB2312" w:hAnsi="宋体"/>
          <w:color w:val="auto"/>
          <w:kern w:val="0"/>
          <w:szCs w:val="24"/>
        </w:rPr>
        <w:t>调查结构环境条件，使用期间的加固与维修情况和用途与荷载等变更情况；检查结构体系或传力系统布置、主要构件形式；检查支撑系统布置情况，检查结构平面布置的对称性、结构竖向布置的均匀性情况；</w:t>
      </w:r>
    </w:p>
    <w:p w14:paraId="0C723E05">
      <w:pPr>
        <w:pStyle w:val="6"/>
        <w:spacing w:line="500" w:lineRule="exact"/>
        <w:ind w:left="0" w:leftChars="0" w:firstLine="0" w:firstLineChars="0"/>
        <w:rPr>
          <w:rFonts w:ascii="仿宋_GB2312" w:hAnsi="宋体"/>
          <w:color w:val="auto"/>
          <w:kern w:val="0"/>
          <w:szCs w:val="24"/>
        </w:rPr>
      </w:pPr>
      <w:r>
        <w:rPr>
          <w:rFonts w:hint="eastAsia" w:ascii="仿宋_GB2312" w:hAnsi="宋体"/>
          <w:color w:val="auto"/>
          <w:kern w:val="0"/>
          <w:szCs w:val="24"/>
        </w:rPr>
        <w:t>检查结构体系中主要传力路径上的构件和节点的布置与构造措施情况，对结构受力体系进行判定。</w:t>
      </w:r>
    </w:p>
    <w:p w14:paraId="14A88CA2">
      <w:pPr>
        <w:pStyle w:val="6"/>
        <w:spacing w:line="500" w:lineRule="exact"/>
        <w:ind w:left="0" w:leftChars="0" w:firstLine="480"/>
        <w:rPr>
          <w:rFonts w:ascii="仿宋_GB2312" w:hAnsi="宋体"/>
          <w:color w:val="auto"/>
          <w:kern w:val="0"/>
          <w:szCs w:val="24"/>
        </w:rPr>
      </w:pPr>
      <w:r>
        <w:rPr>
          <w:rFonts w:ascii="仿宋_GB2312" w:hAnsi="宋体"/>
          <w:color w:val="auto"/>
          <w:kern w:val="0"/>
          <w:szCs w:val="24"/>
        </w:rPr>
        <w:t>检查构件是否存在变形和</w:t>
      </w:r>
      <w:r>
        <w:rPr>
          <w:rFonts w:hint="eastAsia" w:ascii="仿宋_GB2312" w:hAnsi="宋体"/>
          <w:color w:val="auto"/>
          <w:kern w:val="0"/>
          <w:szCs w:val="24"/>
        </w:rPr>
        <w:t>裂缝</w:t>
      </w:r>
      <w:r>
        <w:rPr>
          <w:rFonts w:ascii="仿宋_GB2312" w:hAnsi="宋体"/>
          <w:color w:val="auto"/>
          <w:kern w:val="0"/>
          <w:szCs w:val="24"/>
        </w:rPr>
        <w:t>，并对有缺陷和损伤的构件进行记录，检查</w:t>
      </w:r>
      <w:r>
        <w:rPr>
          <w:rFonts w:hint="eastAsia" w:ascii="仿宋_GB2312" w:hAnsi="宋体"/>
          <w:color w:val="auto"/>
          <w:kern w:val="0"/>
          <w:szCs w:val="24"/>
        </w:rPr>
        <w:t>上部结构是否存在由于基础不均匀沉降产生的上部结构变形</w:t>
      </w:r>
      <w:r>
        <w:rPr>
          <w:rFonts w:ascii="仿宋_GB2312" w:hAnsi="宋体"/>
          <w:color w:val="auto"/>
          <w:kern w:val="0"/>
          <w:szCs w:val="24"/>
        </w:rPr>
        <w:t>。</w:t>
      </w:r>
    </w:p>
    <w:p w14:paraId="7839ACDF">
      <w:pPr>
        <w:pStyle w:val="6"/>
        <w:spacing w:line="500" w:lineRule="exact"/>
        <w:ind w:left="0" w:leftChars="0" w:firstLine="480"/>
        <w:rPr>
          <w:rFonts w:hint="eastAsia" w:ascii="仿宋_GB2312" w:hAnsi="宋体"/>
          <w:color w:val="auto"/>
          <w:kern w:val="0"/>
          <w:szCs w:val="24"/>
        </w:rPr>
      </w:pPr>
      <w:r>
        <w:rPr>
          <w:rFonts w:ascii="仿宋_GB2312" w:hAnsi="宋体"/>
          <w:color w:val="auto"/>
          <w:kern w:val="0"/>
          <w:szCs w:val="24"/>
        </w:rPr>
        <w:t>现场对建筑结构的外观质量情况进行检查，混凝土结构构件是否存在蜂窝、麻面、夹渣、疏松、渗漏、露筋及钢筋锈蚀等质量缺陷情况。</w:t>
      </w:r>
      <w:r>
        <w:rPr>
          <w:rFonts w:hint="eastAsia" w:ascii="仿宋_GB2312" w:hAnsi="宋体"/>
          <w:color w:val="auto"/>
          <w:kern w:val="0"/>
          <w:szCs w:val="24"/>
        </w:rPr>
        <w:t>检查钢构件是否有明显下挠及侧向变形；表面是否有夹层、裂纹、非金属夹杂和明显的偏析、局部变形、损伤、严重锈蚀现象。</w:t>
      </w:r>
    </w:p>
    <w:p w14:paraId="3A73F916">
      <w:pPr>
        <w:pStyle w:val="6"/>
        <w:spacing w:line="500" w:lineRule="exact"/>
        <w:ind w:left="0" w:leftChars="0" w:firstLine="480"/>
        <w:rPr>
          <w:rFonts w:hint="eastAsia" w:ascii="仿宋_GB2312" w:hAnsi="宋体"/>
          <w:color w:val="auto"/>
          <w:kern w:val="0"/>
          <w:szCs w:val="24"/>
        </w:rPr>
      </w:pPr>
      <w:r>
        <w:rPr>
          <w:rFonts w:hint="eastAsia" w:ascii="仿宋_GB2312" w:hAnsi="宋体"/>
          <w:color w:val="auto"/>
          <w:kern w:val="0"/>
          <w:szCs w:val="24"/>
        </w:rPr>
        <w:t>检测对象的正常使用功能是否完善。如：</w:t>
      </w:r>
      <w:r>
        <w:rPr>
          <w:rFonts w:ascii="仿宋_GB2312" w:hAnsi="宋体"/>
          <w:color w:val="auto"/>
          <w:kern w:val="0"/>
          <w:szCs w:val="24"/>
        </w:rPr>
        <w:t>检查</w:t>
      </w:r>
      <w:r>
        <w:rPr>
          <w:rFonts w:hint="eastAsia" w:ascii="仿宋_GB2312" w:hAnsi="宋体"/>
          <w:color w:val="auto"/>
          <w:kern w:val="0"/>
          <w:szCs w:val="24"/>
        </w:rPr>
        <w:t>凉亭、连廊</w:t>
      </w:r>
      <w:r>
        <w:rPr>
          <w:rFonts w:ascii="仿宋_GB2312" w:hAnsi="宋体"/>
          <w:color w:val="auto"/>
          <w:kern w:val="0"/>
          <w:szCs w:val="24"/>
        </w:rPr>
        <w:t>的遮阳、避雨等功能是否完好，排水系统是否畅通</w:t>
      </w:r>
      <w:r>
        <w:rPr>
          <w:rFonts w:hint="eastAsia" w:ascii="仿宋_GB2312" w:hAnsi="宋体"/>
          <w:color w:val="auto"/>
          <w:kern w:val="0"/>
          <w:szCs w:val="24"/>
        </w:rPr>
        <w:t>，木结构是否有白蚁危害等</w:t>
      </w:r>
      <w:r>
        <w:rPr>
          <w:rFonts w:ascii="仿宋_GB2312" w:hAnsi="宋体"/>
          <w:color w:val="auto"/>
          <w:kern w:val="0"/>
          <w:szCs w:val="24"/>
        </w:rPr>
        <w:t>。</w:t>
      </w:r>
    </w:p>
    <w:p w14:paraId="70D39461">
      <w:pPr>
        <w:pStyle w:val="5"/>
        <w:adjustRightInd w:val="0"/>
        <w:snapToGrid w:val="0"/>
        <w:spacing w:line="500" w:lineRule="exact"/>
        <w:ind w:firstLine="480"/>
        <w:rPr>
          <w:rFonts w:hint="eastAsia" w:ascii="仿宋_GB2312" w:hAnsi="宋体"/>
          <w:color w:val="auto"/>
          <w:kern w:val="0"/>
        </w:rPr>
      </w:pPr>
      <w:r>
        <w:rPr>
          <w:rFonts w:hint="eastAsia" w:ascii="仿宋_GB2312" w:hAnsi="宋体"/>
          <w:color w:val="auto"/>
          <w:kern w:val="0"/>
        </w:rPr>
        <w:t>使用仪器：放大镜、激光测距仪、直尺、内窥镜等。</w:t>
      </w:r>
    </w:p>
    <w:p w14:paraId="34C81916">
      <w:pPr>
        <w:spacing w:before="120" w:beforeLines="50" w:line="500" w:lineRule="exact"/>
        <w:ind w:firstLine="480"/>
        <w:outlineLvl w:val="1"/>
        <w:rPr>
          <w:rFonts w:ascii="黑体" w:hAnsi="宋体" w:eastAsia="黑体" w:cs="宋体"/>
          <w:color w:val="auto"/>
        </w:rPr>
      </w:pPr>
      <w:r>
        <w:rPr>
          <w:rFonts w:hint="eastAsia" w:ascii="黑体" w:hAnsi="宋体" w:eastAsia="黑体" w:cs="宋体"/>
          <w:color w:val="auto"/>
        </w:rPr>
        <w:t>（2）</w:t>
      </w:r>
      <w:r>
        <w:rPr>
          <w:rFonts w:hint="eastAsia" w:ascii="Times New Roman" w:hAnsi="Times New Roman" w:eastAsia="宋体"/>
          <w:b/>
          <w:color w:val="auto"/>
        </w:rPr>
        <w:t>构件截面尺寸检测</w:t>
      </w:r>
    </w:p>
    <w:p w14:paraId="51A48CF3">
      <w:pPr>
        <w:pStyle w:val="5"/>
        <w:adjustRightInd w:val="0"/>
        <w:snapToGrid w:val="0"/>
        <w:spacing w:line="500" w:lineRule="exact"/>
        <w:ind w:firstLine="480"/>
        <w:rPr>
          <w:rFonts w:hint="eastAsia" w:ascii="仿宋_GB2312" w:hAnsi="宋体"/>
          <w:color w:val="auto"/>
          <w:kern w:val="0"/>
        </w:rPr>
      </w:pPr>
      <w:r>
        <w:rPr>
          <w:rFonts w:hint="eastAsia" w:ascii="仿宋_GB2312" w:hAnsi="宋体"/>
          <w:color w:val="auto"/>
          <w:kern w:val="0"/>
        </w:rPr>
        <w:t>采用钢卷尺、超声波测厚仪对该工程混凝土构件、钢结构构件的截面尺寸进行检测，受检构件数量按《建筑结构检测技术标准》（GB/T 50344-2019）中有关规定进行抽样。</w:t>
      </w:r>
    </w:p>
    <w:p w14:paraId="6BA21A29">
      <w:pPr>
        <w:pStyle w:val="5"/>
        <w:adjustRightInd w:val="0"/>
        <w:snapToGrid w:val="0"/>
        <w:spacing w:line="500" w:lineRule="exact"/>
        <w:ind w:firstLine="480"/>
        <w:rPr>
          <w:rFonts w:hint="eastAsia" w:ascii="仿宋_GB2312" w:hAnsi="宋体"/>
          <w:color w:val="auto"/>
          <w:kern w:val="0"/>
        </w:rPr>
      </w:pPr>
      <w:r>
        <w:rPr>
          <w:rFonts w:hint="eastAsia" w:ascii="仿宋_GB2312" w:hAnsi="宋体"/>
          <w:color w:val="auto"/>
          <w:kern w:val="0"/>
        </w:rPr>
        <w:t>构件截面尺寸检测结果作为结构承载力复核验算的依据。</w:t>
      </w:r>
    </w:p>
    <w:p w14:paraId="2168A605">
      <w:pPr>
        <w:pStyle w:val="5"/>
        <w:adjustRightInd w:val="0"/>
        <w:snapToGrid w:val="0"/>
        <w:spacing w:line="500" w:lineRule="exact"/>
        <w:ind w:firstLine="480"/>
        <w:rPr>
          <w:rFonts w:hint="eastAsia" w:ascii="仿宋_GB2312" w:hAnsi="宋体"/>
          <w:color w:val="auto"/>
          <w:kern w:val="0"/>
        </w:rPr>
      </w:pPr>
      <w:r>
        <w:rPr>
          <w:rFonts w:hint="eastAsia" w:ascii="仿宋_GB2312" w:hAnsi="宋体"/>
          <w:color w:val="auto"/>
          <w:kern w:val="0"/>
        </w:rPr>
        <w:t>使用仪器：钢卷尺、超声波测厚仪等。</w:t>
      </w:r>
    </w:p>
    <w:p w14:paraId="57A009CF">
      <w:pPr>
        <w:spacing w:before="120" w:beforeLines="50" w:line="500" w:lineRule="exact"/>
        <w:ind w:firstLine="480"/>
        <w:outlineLvl w:val="1"/>
        <w:rPr>
          <w:rFonts w:ascii="黑体" w:hAnsi="宋体" w:eastAsia="黑体" w:cs="宋体"/>
          <w:color w:val="auto"/>
        </w:rPr>
      </w:pPr>
      <w:r>
        <w:rPr>
          <w:rFonts w:hint="eastAsia" w:ascii="黑体" w:hAnsi="宋体" w:eastAsia="黑体" w:cs="宋体"/>
          <w:color w:val="auto"/>
        </w:rPr>
        <w:t>（3）</w:t>
      </w:r>
      <w:r>
        <w:rPr>
          <w:rFonts w:hint="eastAsia" w:ascii="Times New Roman" w:hAnsi="Times New Roman" w:eastAsia="宋体"/>
          <w:b/>
          <w:color w:val="auto"/>
        </w:rPr>
        <w:t>涂层厚度及</w:t>
      </w:r>
      <w:r>
        <w:rPr>
          <w:rFonts w:hint="eastAsia" w:ascii="黑体" w:hAnsi="宋体" w:eastAsia="黑体" w:cs="宋体"/>
          <w:color w:val="auto"/>
        </w:rPr>
        <w:t>钢</w:t>
      </w:r>
      <w:r>
        <w:rPr>
          <w:rFonts w:hint="eastAsia" w:ascii="Times New Roman" w:hAnsi="Times New Roman" w:eastAsia="宋体"/>
          <w:b/>
          <w:color w:val="auto"/>
        </w:rPr>
        <w:t>结构腐蚀状况检测检测</w:t>
      </w:r>
    </w:p>
    <w:p w14:paraId="472AA690">
      <w:pPr>
        <w:pStyle w:val="9"/>
        <w:spacing w:after="0" w:line="500" w:lineRule="exact"/>
        <w:ind w:left="0" w:leftChars="0" w:firstLine="480"/>
        <w:rPr>
          <w:rFonts w:hint="eastAsia" w:ascii="仿宋_GB2312" w:hAnsi="宋体" w:eastAsia="仿宋_GB2312"/>
          <w:color w:val="auto"/>
          <w:kern w:val="0"/>
          <w:sz w:val="24"/>
          <w:szCs w:val="24"/>
        </w:rPr>
      </w:pPr>
      <w:r>
        <w:rPr>
          <w:rFonts w:hint="eastAsia" w:ascii="仿宋_GB2312" w:hAnsi="宋体" w:eastAsia="仿宋_GB2312"/>
          <w:color w:val="auto"/>
          <w:kern w:val="0"/>
          <w:sz w:val="24"/>
          <w:szCs w:val="24"/>
        </w:rPr>
        <w:t>采取随机抽样的方式进行检测，随机抽取部分构件，受检构件数量按《建筑结构检测技术标准》（GB/T 50344-2019）中有关规定进行抽样。使用一体化涂层测厚仪检测，根据涂层厚度检测结果，判定涂层厚度是否满足要求，允许偏差为-25μm。每遍涂层干漆膜厚度的允许偏差为-5μm。每个构件检测5处，每处的数值为3个相距50mm测点涂层干漆膜厚度的平均值。根据《钢结构工程施工质量验收规范》规定，每处3个测点的涂层厚度平均值不应小于设计厚度的85%，同一构件上15个测点的涂层厚度平均值不应小于设计厚度。</w:t>
      </w:r>
    </w:p>
    <w:p w14:paraId="77732C8A">
      <w:pPr>
        <w:pStyle w:val="5"/>
        <w:adjustRightInd w:val="0"/>
        <w:snapToGrid w:val="0"/>
        <w:spacing w:line="500" w:lineRule="exact"/>
        <w:ind w:firstLine="480"/>
        <w:rPr>
          <w:rFonts w:hint="eastAsia" w:ascii="仿宋_GB2312" w:hAnsi="宋体"/>
          <w:color w:val="auto"/>
          <w:kern w:val="0"/>
        </w:rPr>
      </w:pPr>
      <w:r>
        <w:rPr>
          <w:rFonts w:hint="eastAsia" w:ascii="仿宋_GB2312" w:hAnsi="宋体"/>
          <w:color w:val="auto"/>
          <w:kern w:val="0"/>
        </w:rPr>
        <w:t>使用仪器：涂层测厚仪等。</w:t>
      </w:r>
    </w:p>
    <w:p w14:paraId="65D60DA2">
      <w:pPr>
        <w:pStyle w:val="5"/>
        <w:adjustRightInd w:val="0"/>
        <w:snapToGrid w:val="0"/>
        <w:spacing w:line="500" w:lineRule="exact"/>
        <w:ind w:firstLine="480"/>
        <w:rPr>
          <w:rFonts w:hint="eastAsia" w:ascii="仿宋_GB2312" w:hAnsi="宋体"/>
          <w:color w:val="auto"/>
          <w:kern w:val="0"/>
        </w:rPr>
      </w:pPr>
      <w:r>
        <w:rPr>
          <w:rFonts w:hint="eastAsia" w:ascii="仿宋_GB2312" w:hAnsi="宋体"/>
          <w:color w:val="auto"/>
          <w:kern w:val="0"/>
        </w:rPr>
        <w:t>由于钢结构锈蚀后，材料承载能力降低，进而容易导致整体结构强度和刚度下降，缩短其使用寿命，因此，需对雕塑主体钢结构进行腐蚀状态检测。通过数据整理及统计分析，得到主体钢结构蚀坑深度与频数分布的统计结果。根据金属结构腐蚀状态的评级方法，“腐蚀等级”分级如下：A级，轻微腐蚀：涂层基本完好，局部有少量的锈斑或不太明显的锈迹，金属表面无麻面现象或只有少量浅而分散的锈坑；B级，一般腐蚀：涂层局部脱落，有明显的锈斑、锈坑，蚀坑深度小于0.5mm，或虽有较深的蚀坑，深度均在1.0~2.0mm之间，但较分散，构件尚未明显削弱；C级，较重锈蚀：表面涂层大片脱落，或涂层与金属分离且中间夹有腐蚀皮，有密集成片蚀坑或麻面现象较重，构件已有一定程度的削弱；D级，严重锈蚀：蚀坑较深且密布成片，构件局部有很深的锈坑，深度在3.0mm以上，并有蚀损，出现孔洞、缺肉等现象，构件已严重削弱。对于外观检测发现存在锈蚀的钢结构构件，采用超声波测厚仪进行腐蚀程度检测。</w:t>
      </w:r>
    </w:p>
    <w:p w14:paraId="68417127">
      <w:pPr>
        <w:pStyle w:val="5"/>
        <w:adjustRightInd w:val="0"/>
        <w:snapToGrid w:val="0"/>
        <w:spacing w:line="500" w:lineRule="exact"/>
        <w:ind w:firstLine="480"/>
        <w:rPr>
          <w:rFonts w:hint="eastAsia" w:ascii="仿宋_GB2312" w:hAnsi="宋体"/>
          <w:color w:val="auto"/>
          <w:kern w:val="0"/>
        </w:rPr>
      </w:pPr>
      <w:r>
        <w:rPr>
          <w:rFonts w:hint="eastAsia" w:ascii="仿宋_GB2312" w:hAnsi="宋体"/>
          <w:color w:val="auto"/>
          <w:kern w:val="0"/>
        </w:rPr>
        <w:t>使用仪器：涂层测厚仪等。</w:t>
      </w:r>
    </w:p>
    <w:p w14:paraId="1406490C">
      <w:pPr>
        <w:spacing w:before="120" w:beforeLines="50" w:line="500" w:lineRule="exact"/>
        <w:ind w:firstLine="480"/>
        <w:outlineLvl w:val="1"/>
        <w:rPr>
          <w:rFonts w:ascii="黑体" w:hAnsi="宋体" w:eastAsia="黑体" w:cs="宋体"/>
          <w:color w:val="auto"/>
        </w:rPr>
      </w:pPr>
      <w:r>
        <w:rPr>
          <w:rFonts w:hint="eastAsia" w:ascii="黑体" w:hAnsi="宋体" w:eastAsia="黑体" w:cs="宋体"/>
          <w:color w:val="auto"/>
        </w:rPr>
        <w:t>（4）</w:t>
      </w:r>
      <w:r>
        <w:rPr>
          <w:rFonts w:hint="eastAsia" w:ascii="Times New Roman" w:hAnsi="Times New Roman" w:eastAsia="宋体"/>
          <w:b/>
          <w:color w:val="auto"/>
        </w:rPr>
        <w:t>强度检测</w:t>
      </w:r>
    </w:p>
    <w:p w14:paraId="117B9A64">
      <w:pPr>
        <w:pStyle w:val="5"/>
        <w:adjustRightInd w:val="0"/>
        <w:snapToGrid w:val="0"/>
        <w:spacing w:line="500" w:lineRule="exact"/>
        <w:ind w:firstLine="480"/>
        <w:rPr>
          <w:rFonts w:hint="eastAsia" w:ascii="仿宋_GB2312" w:hAnsi="宋体"/>
          <w:color w:val="auto"/>
          <w:kern w:val="0"/>
        </w:rPr>
      </w:pPr>
      <w:r>
        <w:rPr>
          <w:rFonts w:hint="eastAsia" w:ascii="仿宋_GB2312" w:hAnsi="宋体"/>
          <w:color w:val="auto"/>
          <w:kern w:val="0"/>
        </w:rPr>
        <w:t>采用里氏硬度计对钢材极限抗拉强度进行检测；采用阻力仪结合材质水份仪检测木材强度；采用混凝土回弹仪对承重混凝土构件抗压强度进行检测，同时对混凝土的碳化深度进行检测；采用贯入式砂浆强度检测仪对砂浆强度进行检测，采用砖回弹仪对砖、砌体抗压强度进行检测。</w:t>
      </w:r>
    </w:p>
    <w:p w14:paraId="3010B86D">
      <w:pPr>
        <w:pStyle w:val="5"/>
        <w:adjustRightInd w:val="0"/>
        <w:snapToGrid w:val="0"/>
        <w:spacing w:line="500" w:lineRule="exact"/>
        <w:ind w:firstLine="480"/>
        <w:rPr>
          <w:rFonts w:hint="eastAsia" w:ascii="仿宋_GB2312" w:hAnsi="宋体"/>
          <w:color w:val="auto"/>
          <w:kern w:val="0"/>
        </w:rPr>
      </w:pPr>
      <w:r>
        <w:rPr>
          <w:rFonts w:hint="eastAsia" w:ascii="仿宋_GB2312" w:hAnsi="宋体"/>
          <w:color w:val="auto"/>
          <w:kern w:val="0"/>
        </w:rPr>
        <w:t>使用仪器：里氏硬度计、混凝土回弹仪、砖回弹仪、贯入式砂浆强度检测仪等。</w:t>
      </w:r>
    </w:p>
    <w:p w14:paraId="12DF3FC4">
      <w:pPr>
        <w:spacing w:before="120" w:beforeLines="50" w:line="500" w:lineRule="exact"/>
        <w:ind w:firstLine="480"/>
        <w:outlineLvl w:val="1"/>
        <w:rPr>
          <w:rFonts w:ascii="黑体" w:hAnsi="宋体" w:eastAsia="黑体" w:cs="宋体"/>
          <w:color w:val="auto"/>
        </w:rPr>
      </w:pPr>
      <w:r>
        <w:rPr>
          <w:rFonts w:hint="eastAsia" w:ascii="黑体" w:hAnsi="宋体" w:eastAsia="黑体" w:cs="宋体"/>
          <w:color w:val="auto"/>
        </w:rPr>
        <w:t>（5）</w:t>
      </w:r>
      <w:r>
        <w:rPr>
          <w:rFonts w:hint="eastAsia" w:ascii="Times New Roman" w:hAnsi="Times New Roman" w:eastAsia="宋体"/>
          <w:b/>
          <w:color w:val="auto"/>
        </w:rPr>
        <w:t>钢结构螺栓连接检查</w:t>
      </w:r>
    </w:p>
    <w:p w14:paraId="001D4568">
      <w:pPr>
        <w:pStyle w:val="9"/>
        <w:spacing w:after="0" w:line="500" w:lineRule="exact"/>
        <w:ind w:left="0" w:leftChars="0" w:firstLine="480"/>
        <w:rPr>
          <w:rFonts w:hint="eastAsia" w:ascii="仿宋_GB2312" w:hAnsi="宋体" w:eastAsia="仿宋_GB2312"/>
          <w:color w:val="auto"/>
          <w:kern w:val="0"/>
          <w:sz w:val="24"/>
          <w:szCs w:val="24"/>
        </w:rPr>
      </w:pPr>
      <w:r>
        <w:rPr>
          <w:rFonts w:ascii="仿宋_GB2312" w:hAnsi="宋体" w:eastAsia="仿宋_GB2312"/>
          <w:color w:val="auto"/>
          <w:kern w:val="0"/>
          <w:sz w:val="24"/>
          <w:szCs w:val="24"/>
        </w:rPr>
        <w:t>检查连接板变形、预埋件变形和锈蚀情况</w:t>
      </w:r>
      <w:r>
        <w:rPr>
          <w:rFonts w:hint="eastAsia" w:ascii="仿宋_GB2312" w:hAnsi="宋体" w:eastAsia="仿宋_GB2312"/>
          <w:color w:val="auto"/>
          <w:kern w:val="0"/>
          <w:sz w:val="24"/>
          <w:szCs w:val="24"/>
        </w:rPr>
        <w:t>；使用游标卡尺、超声波测厚仪测量连接板</w:t>
      </w:r>
      <w:r>
        <w:rPr>
          <w:rFonts w:hint="eastAsia" w:ascii="仿宋_GB2312" w:hAnsi="宋体" w:eastAsia="仿宋_GB2312"/>
          <w:color w:val="auto"/>
          <w:kern w:val="0"/>
          <w:sz w:val="24"/>
          <w:szCs w:val="24"/>
        </w:rPr>
        <w:t>尺寸；使用卷尺、游标卡尺测量并绘制螺栓的布置情况。受检构件数量按《建筑结构检测技术标准》（GB/T 50344-2019）中有关规定进行抽样。</w:t>
      </w:r>
    </w:p>
    <w:p w14:paraId="66CF98D5">
      <w:pPr>
        <w:pStyle w:val="5"/>
        <w:adjustRightInd w:val="0"/>
        <w:snapToGrid w:val="0"/>
        <w:spacing w:line="500" w:lineRule="exact"/>
        <w:ind w:firstLine="480"/>
        <w:rPr>
          <w:rFonts w:hint="eastAsia" w:ascii="仿宋_GB2312" w:hAnsi="宋体"/>
          <w:color w:val="auto"/>
          <w:kern w:val="0"/>
        </w:rPr>
      </w:pPr>
      <w:r>
        <w:rPr>
          <w:rFonts w:hint="eastAsia" w:ascii="仿宋_GB2312" w:hAnsi="宋体"/>
          <w:color w:val="auto"/>
          <w:kern w:val="0"/>
        </w:rPr>
        <w:t>使用仪器：钢卷尺、游标卡尺、超声波测厚仪等。</w:t>
      </w:r>
    </w:p>
    <w:p w14:paraId="767DFAB1">
      <w:pPr>
        <w:spacing w:before="120" w:beforeLines="50" w:line="500" w:lineRule="exact"/>
        <w:ind w:firstLine="480"/>
        <w:outlineLvl w:val="1"/>
        <w:rPr>
          <w:rFonts w:ascii="黑体" w:hAnsi="宋体" w:eastAsia="黑体" w:cs="宋体"/>
          <w:color w:val="auto"/>
        </w:rPr>
      </w:pPr>
      <w:r>
        <w:rPr>
          <w:rFonts w:hint="eastAsia" w:ascii="黑体" w:hAnsi="宋体" w:eastAsia="黑体" w:cs="宋体"/>
          <w:color w:val="auto"/>
        </w:rPr>
        <w:t>（6）</w:t>
      </w:r>
      <w:r>
        <w:rPr>
          <w:rFonts w:hint="eastAsia" w:ascii="Times New Roman" w:hAnsi="Times New Roman" w:eastAsia="宋体"/>
          <w:b/>
          <w:color w:val="auto"/>
        </w:rPr>
        <w:t>钢结构焊缝外观质量及无损探伤检测</w:t>
      </w:r>
    </w:p>
    <w:p w14:paraId="75234CFA">
      <w:pPr>
        <w:pStyle w:val="5"/>
        <w:adjustRightInd w:val="0"/>
        <w:snapToGrid w:val="0"/>
        <w:spacing w:line="500" w:lineRule="exact"/>
        <w:ind w:firstLine="480"/>
        <w:rPr>
          <w:rFonts w:hint="eastAsia" w:ascii="仿宋_GB2312" w:hAnsi="宋体"/>
          <w:color w:val="auto"/>
          <w:kern w:val="0"/>
        </w:rPr>
      </w:pPr>
      <w:r>
        <w:rPr>
          <w:rFonts w:hint="eastAsia" w:ascii="仿宋_GB2312" w:hAnsi="宋体"/>
          <w:color w:val="auto"/>
          <w:kern w:val="0"/>
        </w:rPr>
        <w:t>雕塑钢结构各杆件由于焊接初始缺陷及后期在恒载和风荷载、雪荷载等外载作用下而可能产生裂纹或其他危害到雕塑正常使用的缺陷,因此，需对雕塑钢结构各杆件钢管纵缝、对接环缝、弦杆相贯焊缝进行焊缝无损探伤检测，以确保焊缝内部质量。</w:t>
      </w:r>
    </w:p>
    <w:p w14:paraId="74466860">
      <w:pPr>
        <w:pStyle w:val="5"/>
        <w:adjustRightInd w:val="0"/>
        <w:snapToGrid w:val="0"/>
        <w:spacing w:line="500" w:lineRule="exact"/>
        <w:ind w:firstLine="480"/>
        <w:rPr>
          <w:rFonts w:ascii="仿宋_GB2312" w:hAnsi="宋体"/>
          <w:color w:val="auto"/>
          <w:kern w:val="0"/>
        </w:rPr>
      </w:pPr>
      <w:r>
        <w:rPr>
          <w:rFonts w:hint="eastAsia" w:ascii="仿宋_GB2312" w:hAnsi="宋体"/>
          <w:color w:val="auto"/>
          <w:kern w:val="0"/>
        </w:rPr>
        <w:t>使用仪器：超声波探伤仪、钢直尺、对比试块</w:t>
      </w:r>
      <w:r>
        <w:rPr>
          <w:rFonts w:ascii="仿宋_GB2312" w:hAnsi="宋体"/>
          <w:color w:val="auto"/>
          <w:kern w:val="0"/>
        </w:rPr>
        <w:t>(</w:t>
      </w:r>
      <w:r>
        <w:rPr>
          <w:rFonts w:hint="eastAsia" w:ascii="仿宋_GB2312" w:hAnsi="宋体"/>
          <w:color w:val="auto"/>
          <w:kern w:val="0"/>
        </w:rPr>
        <w:t>不锈钢</w:t>
      </w:r>
      <w:r>
        <w:rPr>
          <w:rFonts w:ascii="仿宋_GB2312" w:hAnsi="宋体"/>
          <w:color w:val="auto"/>
          <w:kern w:val="0"/>
        </w:rPr>
        <w:t>)</w:t>
      </w:r>
      <w:r>
        <w:rPr>
          <w:rFonts w:hint="eastAsia" w:ascii="仿宋_GB2312" w:hAnsi="宋体"/>
          <w:color w:val="auto"/>
          <w:kern w:val="0"/>
        </w:rPr>
        <w:t>等。</w:t>
      </w:r>
    </w:p>
    <w:p w14:paraId="1290A885">
      <w:pPr>
        <w:pStyle w:val="5"/>
        <w:adjustRightInd w:val="0"/>
        <w:snapToGrid w:val="0"/>
        <w:spacing w:line="500" w:lineRule="exact"/>
        <w:ind w:firstLine="480"/>
        <w:rPr>
          <w:rFonts w:hint="eastAsia" w:ascii="仿宋_GB2312" w:hAnsi="宋体"/>
          <w:color w:val="auto"/>
          <w:kern w:val="0"/>
        </w:rPr>
      </w:pPr>
      <w:r>
        <w:rPr>
          <w:rFonts w:hint="eastAsia" w:ascii="仿宋_GB2312" w:hAnsi="宋体"/>
          <w:color w:val="auto"/>
          <w:kern w:val="0"/>
        </w:rPr>
        <w:t>检查</w:t>
      </w:r>
      <w:r>
        <w:rPr>
          <w:rFonts w:ascii="仿宋_GB2312" w:hAnsi="宋体"/>
          <w:color w:val="auto"/>
          <w:kern w:val="0"/>
        </w:rPr>
        <w:t>对接焊缝及节点焊缝外观质量</w:t>
      </w:r>
      <w:r>
        <w:rPr>
          <w:rFonts w:hint="eastAsia" w:ascii="仿宋_GB2312" w:hAnsi="宋体"/>
          <w:color w:val="auto"/>
          <w:kern w:val="0"/>
        </w:rPr>
        <w:t>，</w:t>
      </w:r>
      <w:r>
        <w:rPr>
          <w:rFonts w:ascii="仿宋_GB2312" w:hAnsi="宋体"/>
          <w:color w:val="auto"/>
          <w:kern w:val="0"/>
        </w:rPr>
        <w:t>是否存在缺焊、漏焊、未满焊、根部收缩、弧坑裂纹、表面夹渣、咬边等严重缺陷</w:t>
      </w:r>
      <w:r>
        <w:rPr>
          <w:rFonts w:hint="eastAsia" w:ascii="仿宋_GB2312" w:hAnsi="宋体"/>
          <w:color w:val="auto"/>
          <w:kern w:val="0"/>
        </w:rPr>
        <w:t>等。</w:t>
      </w:r>
    </w:p>
    <w:p w14:paraId="7121E403">
      <w:pPr>
        <w:pStyle w:val="5"/>
        <w:adjustRightInd w:val="0"/>
        <w:snapToGrid w:val="0"/>
        <w:spacing w:line="500" w:lineRule="exact"/>
        <w:ind w:firstLine="480"/>
        <w:rPr>
          <w:rFonts w:hint="eastAsia" w:ascii="仿宋_GB2312" w:hAnsi="宋体"/>
          <w:color w:val="auto"/>
          <w:kern w:val="0"/>
        </w:rPr>
      </w:pPr>
      <w:r>
        <w:rPr>
          <w:rFonts w:hint="eastAsia" w:ascii="仿宋_GB2312" w:hAnsi="宋体"/>
          <w:color w:val="auto"/>
          <w:kern w:val="0"/>
        </w:rPr>
        <w:t>采用超声波对主要受力焊缝进行无损探伤检测,焊缝超声探伤前应确保探伤移动区表面无飞溅、锈蚀、油污、凹坑等现象。探伤面平整光滑，必要时进行打磨；焊缝表面及探伤表面经外观检查合格后，方可进行探伤。</w:t>
      </w:r>
    </w:p>
    <w:p w14:paraId="27FF65DB">
      <w:pPr>
        <w:pStyle w:val="5"/>
        <w:adjustRightInd w:val="0"/>
        <w:snapToGrid w:val="0"/>
        <w:spacing w:line="500" w:lineRule="exact"/>
        <w:ind w:firstLine="480"/>
        <w:rPr>
          <w:rFonts w:hint="eastAsia" w:ascii="仿宋_GB2312" w:hAnsi="宋体"/>
          <w:color w:val="auto"/>
          <w:kern w:val="0"/>
        </w:rPr>
      </w:pPr>
      <w:r>
        <w:rPr>
          <w:rFonts w:hint="eastAsia" w:ascii="仿宋_GB2312" w:hAnsi="宋体"/>
          <w:color w:val="auto"/>
          <w:kern w:val="0"/>
        </w:rPr>
        <w:t>为发现焊缝或热影响区的横向缺陷，应进行平行扫查和在焊缝两侧使探头与焊缝中心线成10°～20°的斜平行扫查；探头移动速度不大于150mm/秒，每次扫查的覆盖率大于探头直径的15%，在保持探头与焊缝中心线垂直的同时作大致10~15°的摆动；为了确定缺陷的位置、方向或区分缺陷波与假讯号，采用前后、左右、转角、环绕等四种移动方式。在保持声束垂直焊缝做前后移动（见图6-1）同时，探头还应做左右10°摆动。</w:t>
      </w:r>
    </w:p>
    <w:p w14:paraId="4EB953C2">
      <w:pPr>
        <w:adjustRightInd w:val="0"/>
        <w:snapToGrid w:val="0"/>
        <w:ind w:firstLine="480"/>
        <w:rPr>
          <w:color w:val="auto"/>
          <w:szCs w:val="24"/>
        </w:rPr>
      </w:pPr>
    </w:p>
    <w:p w14:paraId="16665452">
      <w:pPr>
        <w:autoSpaceDE w:val="0"/>
        <w:autoSpaceDN w:val="0"/>
        <w:adjustRightInd w:val="0"/>
        <w:spacing w:before="120" w:after="120"/>
        <w:ind w:firstLine="480"/>
        <w:jc w:val="center"/>
        <w:rPr>
          <w:rFonts w:hint="eastAsia" w:ascii="仿宋_GB2312" w:hAnsi="宋体"/>
          <w:color w:val="auto"/>
          <w:kern w:val="0"/>
        </w:rPr>
      </w:pPr>
      <w:r>
        <w:rPr>
          <w:color w:val="auto"/>
          <w:szCs w:val="24"/>
        </w:rPr>
        <w:drawing>
          <wp:inline distT="0" distB="0" distL="114300" distR="114300">
            <wp:extent cx="3171825" cy="2057400"/>
            <wp:effectExtent l="0" t="0" r="317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3171825" cy="2057400"/>
                    </a:xfrm>
                    <a:prstGeom prst="rect">
                      <a:avLst/>
                    </a:prstGeom>
                    <a:noFill/>
                    <a:ln>
                      <a:noFill/>
                    </a:ln>
                  </pic:spPr>
                </pic:pic>
              </a:graphicData>
            </a:graphic>
          </wp:inline>
        </w:drawing>
      </w:r>
      <w:r>
        <w:rPr>
          <w:color w:val="auto"/>
          <w:szCs w:val="24"/>
        </w:rPr>
        <w:drawing>
          <wp:inline distT="0" distB="0" distL="114300" distR="114300">
            <wp:extent cx="914400" cy="733425"/>
            <wp:effectExtent l="0" t="0" r="0" b="317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2"/>
                    <a:stretch>
                      <a:fillRect/>
                    </a:stretch>
                  </pic:blipFill>
                  <pic:spPr>
                    <a:xfrm>
                      <a:off x="0" y="0"/>
                      <a:ext cx="914400" cy="733425"/>
                    </a:xfrm>
                    <a:prstGeom prst="rect">
                      <a:avLst/>
                    </a:prstGeom>
                    <a:noFill/>
                    <a:ln>
                      <a:noFill/>
                    </a:ln>
                  </pic:spPr>
                </pic:pic>
              </a:graphicData>
            </a:graphic>
          </wp:inline>
        </w:drawing>
      </w:r>
    </w:p>
    <w:p w14:paraId="00BD977E">
      <w:pPr>
        <w:pStyle w:val="5"/>
        <w:adjustRightInd w:val="0"/>
        <w:snapToGrid w:val="0"/>
        <w:spacing w:line="500" w:lineRule="exact"/>
        <w:ind w:firstLine="480"/>
        <w:jc w:val="center"/>
        <w:rPr>
          <w:rFonts w:hint="eastAsia" w:ascii="黑体" w:hAnsi="宋体" w:eastAsia="黑体" w:cs="宋体"/>
          <w:color w:val="auto"/>
        </w:rPr>
      </w:pPr>
      <w:r>
        <w:rPr>
          <w:rFonts w:hint="eastAsia" w:ascii="仿宋_GB2312" w:hAnsi="宋体"/>
          <w:color w:val="auto"/>
          <w:kern w:val="0"/>
        </w:rPr>
        <w:t>图6-1检测区域及扫查区域</w:t>
      </w:r>
    </w:p>
    <w:p w14:paraId="31B16328">
      <w:pPr>
        <w:spacing w:before="120" w:beforeLines="50" w:line="500" w:lineRule="exact"/>
        <w:ind w:firstLine="480"/>
        <w:outlineLvl w:val="1"/>
        <w:rPr>
          <w:rFonts w:ascii="黑体" w:hAnsi="宋体" w:eastAsia="黑体" w:cs="宋体"/>
          <w:color w:val="auto"/>
        </w:rPr>
      </w:pPr>
      <w:r>
        <w:rPr>
          <w:rFonts w:hint="eastAsia" w:ascii="黑体" w:hAnsi="宋体" w:eastAsia="黑体" w:cs="宋体"/>
          <w:color w:val="auto"/>
        </w:rPr>
        <w:t>（7）</w:t>
      </w:r>
      <w:r>
        <w:rPr>
          <w:rFonts w:hint="eastAsia" w:ascii="Times New Roman" w:hAnsi="Times New Roman" w:eastAsia="宋体"/>
          <w:b/>
          <w:color w:val="auto"/>
        </w:rPr>
        <w:t>整体倾斜检测</w:t>
      </w:r>
    </w:p>
    <w:p w14:paraId="7F08DD00">
      <w:pPr>
        <w:pStyle w:val="9"/>
        <w:spacing w:after="0" w:line="500" w:lineRule="exact"/>
        <w:ind w:left="0" w:leftChars="0" w:firstLine="480"/>
        <w:rPr>
          <w:rFonts w:hint="eastAsia" w:ascii="仿宋_GB2312" w:hAnsi="宋体" w:eastAsia="仿宋_GB2312"/>
          <w:color w:val="auto"/>
          <w:kern w:val="0"/>
          <w:sz w:val="24"/>
          <w:szCs w:val="24"/>
        </w:rPr>
      </w:pPr>
      <w:r>
        <w:rPr>
          <w:rFonts w:ascii="仿宋_GB2312" w:hAnsi="宋体" w:eastAsia="仿宋_GB2312"/>
          <w:color w:val="auto"/>
          <w:kern w:val="0"/>
          <w:sz w:val="24"/>
        </w:rPr>
        <w:t>采用全站仪对</w:t>
      </w:r>
      <w:r>
        <w:rPr>
          <w:rFonts w:hint="eastAsia" w:ascii="仿宋_GB2312" w:hAnsi="宋体" w:eastAsia="仿宋_GB2312"/>
          <w:color w:val="auto"/>
          <w:kern w:val="0"/>
          <w:sz w:val="24"/>
        </w:rPr>
        <w:t>各检测对象</w:t>
      </w:r>
      <w:r>
        <w:rPr>
          <w:rFonts w:ascii="仿宋_GB2312" w:hAnsi="宋体" w:eastAsia="仿宋_GB2312"/>
          <w:color w:val="auto"/>
          <w:kern w:val="0"/>
          <w:sz w:val="24"/>
        </w:rPr>
        <w:t>的</w:t>
      </w:r>
      <w:r>
        <w:rPr>
          <w:rFonts w:hint="eastAsia" w:ascii="仿宋_GB2312" w:hAnsi="宋体" w:eastAsia="仿宋_GB2312"/>
          <w:color w:val="auto"/>
          <w:kern w:val="0"/>
          <w:sz w:val="24"/>
        </w:rPr>
        <w:t>整体</w:t>
      </w:r>
      <w:r>
        <w:rPr>
          <w:rFonts w:ascii="仿宋_GB2312" w:hAnsi="宋体" w:eastAsia="仿宋_GB2312"/>
          <w:color w:val="auto"/>
          <w:kern w:val="0"/>
          <w:sz w:val="24"/>
        </w:rPr>
        <w:t>垂直度进行检测，以确定各</w:t>
      </w:r>
      <w:r>
        <w:rPr>
          <w:rFonts w:hint="eastAsia" w:ascii="仿宋_GB2312" w:hAnsi="宋体" w:eastAsia="仿宋_GB2312"/>
          <w:color w:val="auto"/>
          <w:kern w:val="0"/>
          <w:sz w:val="24"/>
        </w:rPr>
        <w:t>对象构件</w:t>
      </w:r>
      <w:r>
        <w:rPr>
          <w:rFonts w:ascii="仿宋_GB2312" w:hAnsi="宋体" w:eastAsia="仿宋_GB2312"/>
          <w:color w:val="auto"/>
          <w:kern w:val="0"/>
          <w:sz w:val="24"/>
        </w:rPr>
        <w:t>的变形、倾斜</w:t>
      </w:r>
      <w:r>
        <w:rPr>
          <w:rFonts w:hint="eastAsia" w:ascii="仿宋_GB2312" w:hAnsi="宋体" w:eastAsia="仿宋_GB2312"/>
          <w:color w:val="auto"/>
          <w:kern w:val="0"/>
          <w:sz w:val="24"/>
        </w:rPr>
        <w:t>情况</w:t>
      </w:r>
      <w:r>
        <w:rPr>
          <w:rFonts w:ascii="仿宋_GB2312" w:hAnsi="宋体" w:eastAsia="仿宋_GB2312"/>
          <w:color w:val="auto"/>
          <w:kern w:val="0"/>
          <w:sz w:val="24"/>
        </w:rPr>
        <w:t>。</w:t>
      </w:r>
      <w:r>
        <w:rPr>
          <w:rFonts w:hint="eastAsia" w:ascii="仿宋_GB2312" w:hAnsi="宋体" w:eastAsia="仿宋_GB2312"/>
          <w:color w:val="auto"/>
          <w:kern w:val="0"/>
          <w:sz w:val="24"/>
          <w:szCs w:val="24"/>
        </w:rPr>
        <w:t>受检构件数量按《建筑结构检测技术标准》（GB/T 50344-2019）中有关规定进行抽样。</w:t>
      </w:r>
    </w:p>
    <w:p w14:paraId="4B807554">
      <w:pPr>
        <w:pStyle w:val="5"/>
        <w:adjustRightInd w:val="0"/>
        <w:snapToGrid w:val="0"/>
        <w:spacing w:line="500" w:lineRule="exact"/>
        <w:ind w:firstLine="480"/>
        <w:rPr>
          <w:color w:val="auto"/>
        </w:rPr>
      </w:pPr>
      <w:r>
        <w:rPr>
          <w:rFonts w:ascii="仿宋_GB2312" w:hAnsi="宋体"/>
          <w:color w:val="auto"/>
          <w:kern w:val="0"/>
        </w:rPr>
        <w:t>使用仪器：全站仪。</w:t>
      </w:r>
      <w:bookmarkStart w:id="1" w:name="_Toc107412592"/>
    </w:p>
    <w:bookmarkEnd w:id="1"/>
    <w:p w14:paraId="18AB9CBE">
      <w:pPr>
        <w:pStyle w:val="9"/>
        <w:spacing w:after="0" w:line="500" w:lineRule="exact"/>
        <w:ind w:left="0" w:leftChars="0" w:firstLine="480"/>
        <w:rPr>
          <w:rFonts w:hint="eastAsia" w:ascii="仿宋_GB2312" w:hAnsi="宋体" w:eastAsia="仿宋_GB2312"/>
          <w:color w:val="auto"/>
          <w:kern w:val="0"/>
          <w:sz w:val="24"/>
          <w:szCs w:val="24"/>
        </w:rPr>
      </w:pPr>
      <w:r>
        <w:rPr>
          <w:rFonts w:hint="eastAsia" w:ascii="仿宋_GB2312" w:hAnsi="宋体" w:eastAsia="仿宋_GB2312"/>
          <w:color w:val="auto"/>
          <w:kern w:val="0"/>
          <w:sz w:val="24"/>
          <w:szCs w:val="24"/>
        </w:rPr>
        <w:t>受检构件数量按《建筑结构检测技术标准》（GB/T 50344-2019）中有关规定进行抽样。</w:t>
      </w:r>
    </w:p>
    <w:p w14:paraId="4E8F075B">
      <w:pPr>
        <w:spacing w:before="120" w:beforeLines="50" w:line="500" w:lineRule="exact"/>
        <w:ind w:firstLine="482"/>
        <w:outlineLvl w:val="1"/>
        <w:rPr>
          <w:rFonts w:hint="eastAsia" w:ascii="Times New Roman" w:hAnsi="Times New Roman" w:eastAsia="宋体"/>
          <w:b/>
          <w:color w:val="auto"/>
        </w:rPr>
      </w:pPr>
      <w:bookmarkStart w:id="2" w:name="_Toc198889007"/>
      <w:r>
        <w:rPr>
          <w:rFonts w:hint="eastAsia" w:ascii="Times New Roman" w:hAnsi="Times New Roman" w:eastAsia="宋体"/>
          <w:b/>
          <w:color w:val="auto"/>
        </w:rPr>
        <w:t>（8） 结构裂缝、损伤检测</w:t>
      </w:r>
      <w:bookmarkEnd w:id="2"/>
    </w:p>
    <w:p w14:paraId="605C0BE0">
      <w:pPr>
        <w:pStyle w:val="12"/>
        <w:spacing w:line="50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采用目测结合裂缝测宽仪等仪器对裂缝、损伤等进行检测，检测内容主要包括：检测混凝土构件是否存在露筋；检测混凝土构件的外观破损、疏松、风化现象；检测混凝土构件表面是否有蜂窝、麻面；检测混凝土构件是否有结构裂缝及发展情况；钢结构焊缝是否存在疲劳裂缝，是否存在受力损伤；采用木材应力波检测仪对木材内部缺陷进行检测。</w:t>
      </w:r>
    </w:p>
    <w:p w14:paraId="40DAC4E7">
      <w:pPr>
        <w:spacing w:before="120" w:beforeLines="50" w:line="500" w:lineRule="exact"/>
        <w:ind w:firstLine="482"/>
        <w:outlineLvl w:val="1"/>
        <w:rPr>
          <w:rFonts w:hint="eastAsia" w:ascii="Times New Roman" w:hAnsi="Times New Roman" w:eastAsia="宋体"/>
          <w:b/>
          <w:color w:val="auto"/>
        </w:rPr>
      </w:pPr>
      <w:r>
        <w:rPr>
          <w:rFonts w:hint="eastAsia" w:ascii="Times New Roman" w:hAnsi="Times New Roman" w:eastAsia="宋体"/>
          <w:b/>
          <w:color w:val="auto"/>
        </w:rPr>
        <w:t>（9）可靠性评价（含安全性评估）</w:t>
      </w:r>
    </w:p>
    <w:p w14:paraId="384DD101">
      <w:pPr>
        <w:pStyle w:val="12"/>
        <w:spacing w:line="50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参考《</w:t>
      </w:r>
      <w:r>
        <w:rPr>
          <w:rFonts w:hint="eastAsia" w:ascii="仿宋_GB2312" w:hAnsi="宋体" w:eastAsia="仿宋_GB2312"/>
          <w:color w:val="auto"/>
          <w:sz w:val="24"/>
          <w:szCs w:val="24"/>
        </w:rPr>
        <w:t>景观与雕塑钢结构检测与鉴定技术标准</w:t>
      </w:r>
      <w:r>
        <w:rPr>
          <w:rFonts w:hint="eastAsia" w:ascii="仿宋_GB2312" w:hAnsi="仿宋_GB2312" w:eastAsia="仿宋_GB2312" w:cs="仿宋_GB2312"/>
          <w:color w:val="auto"/>
          <w:sz w:val="24"/>
          <w:szCs w:val="24"/>
        </w:rPr>
        <w:t>》（</w:t>
      </w:r>
      <w:r>
        <w:rPr>
          <w:rFonts w:hint="eastAsia" w:ascii="仿宋_GB2312" w:hAnsi="宋体" w:eastAsia="仿宋_GB2312"/>
          <w:color w:val="auto"/>
          <w:sz w:val="24"/>
          <w:szCs w:val="24"/>
        </w:rPr>
        <w:t>征求意见稿</w:t>
      </w:r>
      <w:r>
        <w:rPr>
          <w:rFonts w:hint="eastAsia" w:ascii="仿宋_GB2312" w:hAnsi="仿宋_GB2312" w:eastAsia="仿宋_GB2312" w:cs="仿宋_GB2312"/>
          <w:color w:val="auto"/>
          <w:sz w:val="24"/>
          <w:szCs w:val="24"/>
        </w:rPr>
        <w:t>）对结构的可靠性进行评价。划分为构件、连接、节点、结构系统三个层次进行评级。主要通过局部变形、开裂损伤、腐蚀、连接可靠性以及整体变形进行评定。对于本次待检测的雕塑主要从构件连接方式、缺陷情况、焊缝、螺栓变形或其它损伤，构件变形、腐蚀，防腐涂层的外观质量、涂层完整性、涂层厚度，结构整体性、结构整体变形等方面进行检查，根据检查检测结果对雕塑进行相应评价。</w:t>
      </w:r>
    </w:p>
    <w:p w14:paraId="4F39B08F">
      <w:pPr>
        <w:pStyle w:val="12"/>
        <w:spacing w:line="50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雕塑的可靠性评级，应对构件、连接、节点和结构系统二个层次分别进行评定。</w:t>
      </w:r>
    </w:p>
    <w:p w14:paraId="06AC3A8D">
      <w:pPr>
        <w:pStyle w:val="13"/>
        <w:rPr>
          <w:rFonts w:hint="eastAsia" w:ascii="仿宋_GB2312" w:hAnsi="仿宋_GB2312" w:eastAsia="仿宋_GB2312" w:cs="仿宋_GB2312"/>
          <w:color w:val="auto"/>
          <w:sz w:val="24"/>
          <w:szCs w:val="24"/>
        </w:rPr>
      </w:pPr>
      <w:r>
        <w:rPr>
          <w:color w:val="auto"/>
        </w:rPr>
        <w:drawing>
          <wp:inline distT="0" distB="0" distL="114300" distR="114300">
            <wp:extent cx="5625465" cy="2812415"/>
            <wp:effectExtent l="0" t="0" r="635" b="698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3"/>
                    <a:stretch>
                      <a:fillRect/>
                    </a:stretch>
                  </pic:blipFill>
                  <pic:spPr>
                    <a:xfrm>
                      <a:off x="0" y="0"/>
                      <a:ext cx="5625465" cy="2812415"/>
                    </a:xfrm>
                    <a:prstGeom prst="rect">
                      <a:avLst/>
                    </a:prstGeom>
                    <a:noFill/>
                    <a:ln>
                      <a:noFill/>
                    </a:ln>
                  </pic:spPr>
                </pic:pic>
              </a:graphicData>
            </a:graphic>
          </wp:inline>
        </w:drawing>
      </w:r>
    </w:p>
    <w:p w14:paraId="5FC795B8">
      <w:pPr>
        <w:pStyle w:val="12"/>
        <w:spacing w:line="50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钢构件及节点应按安全性、适用性、耐久性等级分别评定，并取其中较低等级作为钢构件及节点可靠性等级，详见《</w:t>
      </w:r>
      <w:r>
        <w:rPr>
          <w:rFonts w:hint="eastAsia" w:ascii="仿宋_GB2312" w:hAnsi="宋体" w:eastAsia="仿宋_GB2312"/>
          <w:color w:val="auto"/>
          <w:sz w:val="24"/>
          <w:szCs w:val="24"/>
        </w:rPr>
        <w:t>景观与雕塑钢结构检测与鉴定技术标准</w:t>
      </w:r>
      <w:r>
        <w:rPr>
          <w:rFonts w:hint="eastAsia" w:ascii="仿宋_GB2312" w:hAnsi="仿宋_GB2312" w:eastAsia="仿宋_GB2312" w:cs="仿宋_GB2312"/>
          <w:color w:val="auto"/>
          <w:sz w:val="24"/>
          <w:szCs w:val="24"/>
        </w:rPr>
        <w:t>》（</w:t>
      </w:r>
      <w:r>
        <w:rPr>
          <w:rFonts w:hint="eastAsia" w:ascii="仿宋_GB2312" w:hAnsi="宋体" w:eastAsia="仿宋_GB2312"/>
          <w:color w:val="auto"/>
          <w:sz w:val="24"/>
          <w:szCs w:val="24"/>
        </w:rPr>
        <w:t>征求意见稿</w:t>
      </w:r>
      <w:r>
        <w:rPr>
          <w:rFonts w:hint="eastAsia" w:ascii="仿宋_GB2312" w:hAnsi="仿宋_GB2312" w:eastAsia="仿宋_GB2312" w:cs="仿宋_GB2312"/>
          <w:color w:val="auto"/>
          <w:sz w:val="24"/>
          <w:szCs w:val="24"/>
        </w:rPr>
        <w:t>）第5.3~5.5 条、第6.3~6.4 条。</w:t>
      </w:r>
    </w:p>
    <w:p w14:paraId="337BB060">
      <w:pPr>
        <w:pStyle w:val="12"/>
        <w:spacing w:line="500" w:lineRule="exact"/>
        <w:ind w:firstLine="480" w:firstLineChars="200"/>
        <w:rPr>
          <w:color w:val="auto"/>
        </w:rPr>
      </w:pPr>
      <w:r>
        <w:rPr>
          <w:rFonts w:hint="eastAsia" w:ascii="仿宋_GB2312" w:hAnsi="仿宋_GB2312" w:eastAsia="仿宋_GB2312" w:cs="仿宋_GB2312"/>
          <w:color w:val="auto"/>
          <w:sz w:val="24"/>
          <w:szCs w:val="24"/>
        </w:rPr>
        <w:t>结构系统应按安全性、适用性、耐久性等级分别评定，并取其中较低等级作为结构系统可靠性等级，详见《</w:t>
      </w:r>
      <w:r>
        <w:rPr>
          <w:rFonts w:hint="eastAsia" w:ascii="仿宋_GB2312" w:hAnsi="宋体" w:eastAsia="仿宋_GB2312"/>
          <w:color w:val="auto"/>
          <w:sz w:val="24"/>
          <w:szCs w:val="24"/>
        </w:rPr>
        <w:t>景观与雕塑钢结构检测与鉴定技术标准</w:t>
      </w:r>
      <w:r>
        <w:rPr>
          <w:rFonts w:hint="eastAsia" w:ascii="仿宋_GB2312" w:hAnsi="仿宋_GB2312" w:eastAsia="仿宋_GB2312" w:cs="仿宋_GB2312"/>
          <w:color w:val="auto"/>
          <w:sz w:val="24"/>
          <w:szCs w:val="24"/>
        </w:rPr>
        <w:t>》（</w:t>
      </w:r>
      <w:r>
        <w:rPr>
          <w:rFonts w:hint="eastAsia" w:ascii="仿宋_GB2312" w:hAnsi="宋体" w:eastAsia="仿宋_GB2312"/>
          <w:color w:val="auto"/>
          <w:sz w:val="24"/>
          <w:szCs w:val="24"/>
        </w:rPr>
        <w:t>征求意见稿</w:t>
      </w:r>
      <w:r>
        <w:rPr>
          <w:rFonts w:hint="eastAsia" w:ascii="仿宋_GB2312" w:hAnsi="仿宋_GB2312" w:eastAsia="仿宋_GB2312" w:cs="仿宋_GB2312"/>
          <w:color w:val="auto"/>
          <w:sz w:val="24"/>
          <w:szCs w:val="24"/>
        </w:rPr>
        <w:t>）第7.2.15、7.2.17、7.2.18、7.2.19条。</w:t>
      </w:r>
    </w:p>
    <w:p w14:paraId="4746017A">
      <w:pPr>
        <w:ind w:firstLine="426" w:firstLineChars="177"/>
        <w:rPr>
          <w:rFonts w:ascii="宋体" w:hAnsi="宋体"/>
          <w:b/>
          <w:bCs/>
          <w:color w:val="auto"/>
          <w:szCs w:val="21"/>
        </w:rPr>
      </w:pP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2"/>
        <w:gridCol w:w="853"/>
        <w:gridCol w:w="1325"/>
        <w:gridCol w:w="2744"/>
        <w:gridCol w:w="2586"/>
        <w:gridCol w:w="1563"/>
      </w:tblGrid>
      <w:tr w14:paraId="149AA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dxa"/>
            <w:noWrap w:val="0"/>
            <w:vAlign w:val="center"/>
          </w:tcPr>
          <w:p w14:paraId="1FE661C3">
            <w:pPr>
              <w:pStyle w:val="14"/>
              <w:ind w:firstLine="0" w:firstLineChars="0"/>
              <w:jc w:val="center"/>
              <w:rPr>
                <w:rFonts w:hint="eastAsia"/>
                <w:color w:val="auto"/>
              </w:rPr>
            </w:pPr>
            <w:r>
              <w:rPr>
                <w:rFonts w:hint="eastAsia"/>
                <w:color w:val="auto"/>
              </w:rPr>
              <w:t>序号</w:t>
            </w:r>
          </w:p>
        </w:tc>
        <w:tc>
          <w:tcPr>
            <w:tcW w:w="853" w:type="dxa"/>
            <w:noWrap w:val="0"/>
            <w:vAlign w:val="center"/>
          </w:tcPr>
          <w:p w14:paraId="7E0416A6">
            <w:pPr>
              <w:pStyle w:val="14"/>
              <w:ind w:firstLine="0" w:firstLineChars="0"/>
              <w:jc w:val="center"/>
              <w:rPr>
                <w:color w:val="auto"/>
              </w:rPr>
            </w:pPr>
            <w:r>
              <w:rPr>
                <w:rFonts w:hint="eastAsia"/>
                <w:color w:val="auto"/>
              </w:rPr>
              <w:t>检测类型</w:t>
            </w:r>
          </w:p>
        </w:tc>
        <w:tc>
          <w:tcPr>
            <w:tcW w:w="1325" w:type="dxa"/>
            <w:noWrap w:val="0"/>
            <w:vAlign w:val="center"/>
          </w:tcPr>
          <w:p w14:paraId="1914903E">
            <w:pPr>
              <w:pStyle w:val="14"/>
              <w:ind w:firstLine="0" w:firstLineChars="0"/>
              <w:jc w:val="center"/>
              <w:rPr>
                <w:rFonts w:hint="eastAsia"/>
                <w:color w:val="auto"/>
              </w:rPr>
            </w:pPr>
            <w:r>
              <w:rPr>
                <w:rFonts w:hint="eastAsia"/>
                <w:color w:val="auto"/>
              </w:rPr>
              <w:t>对象</w:t>
            </w:r>
          </w:p>
        </w:tc>
        <w:tc>
          <w:tcPr>
            <w:tcW w:w="2744" w:type="dxa"/>
            <w:noWrap w:val="0"/>
            <w:vAlign w:val="center"/>
          </w:tcPr>
          <w:p w14:paraId="7CC7C55C">
            <w:pPr>
              <w:pStyle w:val="14"/>
              <w:ind w:firstLine="0" w:firstLineChars="0"/>
              <w:jc w:val="center"/>
              <w:rPr>
                <w:rFonts w:hint="eastAsia"/>
                <w:color w:val="auto"/>
              </w:rPr>
            </w:pPr>
            <w:r>
              <w:rPr>
                <w:rFonts w:hint="eastAsia"/>
                <w:b/>
                <w:bCs/>
                <w:color w:val="auto"/>
                <w:szCs w:val="21"/>
              </w:rPr>
              <w:t>检查内容</w:t>
            </w:r>
          </w:p>
        </w:tc>
        <w:tc>
          <w:tcPr>
            <w:tcW w:w="2586" w:type="dxa"/>
            <w:noWrap w:val="0"/>
            <w:vAlign w:val="center"/>
          </w:tcPr>
          <w:p w14:paraId="396316DF">
            <w:pPr>
              <w:pStyle w:val="14"/>
              <w:ind w:firstLine="0" w:firstLineChars="0"/>
              <w:jc w:val="center"/>
              <w:rPr>
                <w:color w:val="auto"/>
              </w:rPr>
            </w:pPr>
            <w:r>
              <w:rPr>
                <w:rFonts w:hint="eastAsia"/>
                <w:color w:val="auto"/>
              </w:rPr>
              <w:t>检测数量</w:t>
            </w:r>
          </w:p>
        </w:tc>
        <w:tc>
          <w:tcPr>
            <w:tcW w:w="1563" w:type="dxa"/>
            <w:noWrap w:val="0"/>
            <w:vAlign w:val="center"/>
          </w:tcPr>
          <w:p w14:paraId="3DB66CC0">
            <w:pPr>
              <w:pStyle w:val="14"/>
              <w:ind w:firstLine="0" w:firstLineChars="0"/>
              <w:rPr>
                <w:color w:val="auto"/>
              </w:rPr>
            </w:pPr>
            <w:r>
              <w:rPr>
                <w:rFonts w:hint="eastAsia"/>
                <w:color w:val="auto"/>
              </w:rPr>
              <w:t>检测频率（次/年）</w:t>
            </w:r>
          </w:p>
        </w:tc>
      </w:tr>
      <w:tr w14:paraId="39049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dxa"/>
            <w:noWrap w:val="0"/>
            <w:vAlign w:val="center"/>
          </w:tcPr>
          <w:p w14:paraId="75227376">
            <w:pPr>
              <w:pStyle w:val="14"/>
              <w:ind w:firstLine="0" w:firstLineChars="0"/>
              <w:jc w:val="center"/>
              <w:rPr>
                <w:rFonts w:hint="eastAsia"/>
                <w:color w:val="auto"/>
              </w:rPr>
            </w:pPr>
            <w:r>
              <w:rPr>
                <w:rFonts w:hint="eastAsia"/>
                <w:color w:val="auto"/>
              </w:rPr>
              <w:t>1</w:t>
            </w:r>
          </w:p>
        </w:tc>
        <w:tc>
          <w:tcPr>
            <w:tcW w:w="853" w:type="dxa"/>
            <w:vMerge w:val="restart"/>
            <w:noWrap w:val="0"/>
            <w:vAlign w:val="center"/>
          </w:tcPr>
          <w:p w14:paraId="53459404">
            <w:pPr>
              <w:pStyle w:val="14"/>
              <w:ind w:firstLine="0" w:firstLineChars="0"/>
              <w:jc w:val="center"/>
              <w:rPr>
                <w:rFonts w:hint="eastAsia"/>
                <w:color w:val="auto"/>
              </w:rPr>
            </w:pPr>
            <w:r>
              <w:rPr>
                <w:rFonts w:hint="eastAsia"/>
                <w:color w:val="auto"/>
              </w:rPr>
              <w:t>专项检测</w:t>
            </w:r>
          </w:p>
        </w:tc>
        <w:tc>
          <w:tcPr>
            <w:tcW w:w="1325" w:type="dxa"/>
            <w:noWrap w:val="0"/>
            <w:vAlign w:val="center"/>
          </w:tcPr>
          <w:p w14:paraId="0C45D7C9">
            <w:pPr>
              <w:pStyle w:val="14"/>
              <w:ind w:firstLine="0" w:firstLineChars="0"/>
              <w:jc w:val="center"/>
              <w:rPr>
                <w:rFonts w:hint="eastAsia"/>
                <w:color w:val="auto"/>
              </w:rPr>
            </w:pPr>
            <w:r>
              <w:rPr>
                <w:rFonts w:hint="eastAsia"/>
                <w:color w:val="auto"/>
              </w:rPr>
              <w:t>圆融</w:t>
            </w:r>
          </w:p>
        </w:tc>
        <w:tc>
          <w:tcPr>
            <w:tcW w:w="2744" w:type="dxa"/>
            <w:noWrap w:val="0"/>
            <w:vAlign w:val="center"/>
          </w:tcPr>
          <w:p w14:paraId="29AFEFB8">
            <w:pPr>
              <w:pStyle w:val="14"/>
              <w:ind w:firstLine="480"/>
              <w:jc w:val="center"/>
              <w:rPr>
                <w:rFonts w:hint="eastAsia"/>
                <w:color w:val="auto"/>
              </w:rPr>
            </w:pPr>
            <w:r>
              <w:rPr>
                <w:rFonts w:hint="eastAsia"/>
                <w:color w:val="auto"/>
              </w:rPr>
              <w:t>（1）、（2）、（3）、（4）（7）、（8）、（9）</w:t>
            </w:r>
          </w:p>
        </w:tc>
        <w:tc>
          <w:tcPr>
            <w:tcW w:w="2586" w:type="dxa"/>
            <w:noWrap w:val="0"/>
            <w:vAlign w:val="center"/>
          </w:tcPr>
          <w:p w14:paraId="2E9398F2">
            <w:pPr>
              <w:pStyle w:val="14"/>
              <w:ind w:firstLine="0" w:firstLineChars="0"/>
              <w:jc w:val="center"/>
              <w:rPr>
                <w:color w:val="auto"/>
              </w:rPr>
            </w:pPr>
            <w:r>
              <w:rPr>
                <w:rFonts w:hint="eastAsia"/>
                <w:color w:val="auto"/>
              </w:rPr>
              <w:t>全数100%检测</w:t>
            </w:r>
          </w:p>
        </w:tc>
        <w:tc>
          <w:tcPr>
            <w:tcW w:w="1563" w:type="dxa"/>
            <w:noWrap w:val="0"/>
            <w:vAlign w:val="center"/>
          </w:tcPr>
          <w:p w14:paraId="06DA6F68">
            <w:pPr>
              <w:pStyle w:val="14"/>
              <w:ind w:firstLine="0" w:firstLineChars="0"/>
              <w:jc w:val="center"/>
              <w:rPr>
                <w:color w:val="auto"/>
              </w:rPr>
            </w:pPr>
            <w:r>
              <w:rPr>
                <w:rFonts w:hint="eastAsia"/>
                <w:color w:val="auto"/>
              </w:rPr>
              <w:t>1</w:t>
            </w:r>
          </w:p>
        </w:tc>
      </w:tr>
      <w:tr w14:paraId="6C122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dxa"/>
            <w:noWrap w:val="0"/>
            <w:vAlign w:val="center"/>
          </w:tcPr>
          <w:p w14:paraId="636B710E">
            <w:pPr>
              <w:pStyle w:val="14"/>
              <w:ind w:firstLine="0" w:firstLineChars="0"/>
              <w:jc w:val="center"/>
              <w:rPr>
                <w:rFonts w:hint="eastAsia"/>
                <w:color w:val="auto"/>
              </w:rPr>
            </w:pPr>
            <w:r>
              <w:rPr>
                <w:rFonts w:hint="eastAsia"/>
                <w:color w:val="auto"/>
              </w:rPr>
              <w:t>2</w:t>
            </w:r>
          </w:p>
        </w:tc>
        <w:tc>
          <w:tcPr>
            <w:tcW w:w="853" w:type="dxa"/>
            <w:vMerge w:val="continue"/>
            <w:noWrap w:val="0"/>
            <w:vAlign w:val="center"/>
          </w:tcPr>
          <w:p w14:paraId="0FAC687C">
            <w:pPr>
              <w:pStyle w:val="14"/>
              <w:ind w:firstLine="0" w:firstLineChars="0"/>
              <w:jc w:val="center"/>
              <w:rPr>
                <w:rFonts w:hint="eastAsia"/>
                <w:color w:val="auto"/>
              </w:rPr>
            </w:pPr>
          </w:p>
        </w:tc>
        <w:tc>
          <w:tcPr>
            <w:tcW w:w="1325" w:type="dxa"/>
            <w:noWrap w:val="0"/>
            <w:vAlign w:val="center"/>
          </w:tcPr>
          <w:p w14:paraId="50730841">
            <w:pPr>
              <w:pStyle w:val="14"/>
              <w:ind w:firstLine="0" w:firstLineChars="0"/>
              <w:jc w:val="center"/>
              <w:rPr>
                <w:rFonts w:hint="eastAsia"/>
                <w:color w:val="auto"/>
              </w:rPr>
            </w:pPr>
            <w:r>
              <w:rPr>
                <w:rFonts w:hint="eastAsia"/>
                <w:color w:val="auto"/>
              </w:rPr>
              <w:t>钟楼</w:t>
            </w:r>
          </w:p>
        </w:tc>
        <w:tc>
          <w:tcPr>
            <w:tcW w:w="2744" w:type="dxa"/>
            <w:noWrap w:val="0"/>
            <w:vAlign w:val="center"/>
          </w:tcPr>
          <w:p w14:paraId="06934CBD">
            <w:pPr>
              <w:pStyle w:val="14"/>
              <w:ind w:firstLine="480"/>
              <w:jc w:val="center"/>
              <w:rPr>
                <w:rFonts w:hint="eastAsia"/>
                <w:color w:val="auto"/>
              </w:rPr>
            </w:pPr>
            <w:r>
              <w:rPr>
                <w:rFonts w:hint="eastAsia"/>
                <w:color w:val="auto"/>
              </w:rPr>
              <w:t>（1）、（2）、（3）、（4）、（5）、（6）、（7）、（8）、（9）</w:t>
            </w:r>
          </w:p>
        </w:tc>
        <w:tc>
          <w:tcPr>
            <w:tcW w:w="2586" w:type="dxa"/>
            <w:noWrap w:val="0"/>
            <w:vAlign w:val="center"/>
          </w:tcPr>
          <w:p w14:paraId="10FE52C1">
            <w:pPr>
              <w:pStyle w:val="14"/>
              <w:ind w:firstLine="0" w:firstLineChars="0"/>
              <w:jc w:val="center"/>
              <w:rPr>
                <w:rFonts w:hint="eastAsia"/>
                <w:color w:val="auto"/>
              </w:rPr>
            </w:pPr>
            <w:r>
              <w:rPr>
                <w:rFonts w:hint="eastAsia"/>
                <w:color w:val="auto"/>
              </w:rPr>
              <w:t>全数100%检测</w:t>
            </w:r>
          </w:p>
        </w:tc>
        <w:tc>
          <w:tcPr>
            <w:tcW w:w="1563" w:type="dxa"/>
            <w:noWrap w:val="0"/>
            <w:vAlign w:val="center"/>
          </w:tcPr>
          <w:p w14:paraId="1DE9079E">
            <w:pPr>
              <w:ind w:firstLine="480"/>
              <w:rPr>
                <w:rFonts w:hint="eastAsia"/>
                <w:color w:val="auto"/>
              </w:rPr>
            </w:pPr>
            <w:r>
              <w:rPr>
                <w:rFonts w:hint="eastAsia"/>
                <w:color w:val="auto"/>
              </w:rPr>
              <w:t>1</w:t>
            </w:r>
          </w:p>
        </w:tc>
      </w:tr>
      <w:tr w14:paraId="3F8E3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dxa"/>
            <w:noWrap w:val="0"/>
            <w:vAlign w:val="center"/>
          </w:tcPr>
          <w:p w14:paraId="54CCF058">
            <w:pPr>
              <w:pStyle w:val="14"/>
              <w:ind w:firstLine="0" w:firstLineChars="0"/>
              <w:jc w:val="center"/>
              <w:rPr>
                <w:rFonts w:hint="eastAsia"/>
                <w:color w:val="auto"/>
              </w:rPr>
            </w:pPr>
            <w:r>
              <w:rPr>
                <w:rFonts w:hint="eastAsia"/>
                <w:color w:val="auto"/>
              </w:rPr>
              <w:t>3</w:t>
            </w:r>
          </w:p>
        </w:tc>
        <w:tc>
          <w:tcPr>
            <w:tcW w:w="853" w:type="dxa"/>
            <w:vMerge w:val="continue"/>
            <w:noWrap w:val="0"/>
            <w:vAlign w:val="center"/>
          </w:tcPr>
          <w:p w14:paraId="0EBC2A27">
            <w:pPr>
              <w:pStyle w:val="14"/>
              <w:ind w:firstLine="0" w:firstLineChars="0"/>
              <w:jc w:val="center"/>
              <w:rPr>
                <w:rFonts w:hint="eastAsia"/>
                <w:color w:val="auto"/>
              </w:rPr>
            </w:pPr>
          </w:p>
        </w:tc>
        <w:tc>
          <w:tcPr>
            <w:tcW w:w="1325" w:type="dxa"/>
            <w:noWrap w:val="0"/>
            <w:vAlign w:val="center"/>
          </w:tcPr>
          <w:p w14:paraId="62D5F3B4">
            <w:pPr>
              <w:pStyle w:val="14"/>
              <w:ind w:firstLine="0" w:firstLineChars="0"/>
              <w:jc w:val="center"/>
              <w:rPr>
                <w:rFonts w:hint="eastAsia"/>
                <w:color w:val="auto"/>
              </w:rPr>
            </w:pPr>
            <w:r>
              <w:rPr>
                <w:rFonts w:hint="eastAsia"/>
                <w:color w:val="auto"/>
              </w:rPr>
              <w:t>竹韵</w:t>
            </w:r>
          </w:p>
        </w:tc>
        <w:tc>
          <w:tcPr>
            <w:tcW w:w="2744" w:type="dxa"/>
            <w:noWrap w:val="0"/>
            <w:vAlign w:val="center"/>
          </w:tcPr>
          <w:p w14:paraId="0D82AA8B">
            <w:pPr>
              <w:pStyle w:val="14"/>
              <w:ind w:firstLine="480"/>
              <w:jc w:val="center"/>
              <w:rPr>
                <w:rFonts w:hint="eastAsia"/>
                <w:color w:val="auto"/>
              </w:rPr>
            </w:pPr>
            <w:r>
              <w:rPr>
                <w:rFonts w:hint="eastAsia"/>
                <w:color w:val="auto"/>
              </w:rPr>
              <w:t>（1）、（2）、（4）、（7）、（8）、（9）</w:t>
            </w:r>
          </w:p>
        </w:tc>
        <w:tc>
          <w:tcPr>
            <w:tcW w:w="2586" w:type="dxa"/>
            <w:noWrap w:val="0"/>
            <w:vAlign w:val="center"/>
          </w:tcPr>
          <w:p w14:paraId="31A40AC9">
            <w:pPr>
              <w:pStyle w:val="14"/>
              <w:ind w:firstLine="0" w:firstLineChars="0"/>
              <w:jc w:val="center"/>
              <w:rPr>
                <w:rFonts w:hint="eastAsia"/>
                <w:color w:val="auto"/>
              </w:rPr>
            </w:pPr>
            <w:r>
              <w:rPr>
                <w:rFonts w:hint="eastAsia"/>
                <w:color w:val="auto"/>
              </w:rPr>
              <w:t>全数100%检测</w:t>
            </w:r>
          </w:p>
        </w:tc>
        <w:tc>
          <w:tcPr>
            <w:tcW w:w="1563" w:type="dxa"/>
            <w:noWrap w:val="0"/>
            <w:vAlign w:val="center"/>
          </w:tcPr>
          <w:p w14:paraId="3C70D743">
            <w:pPr>
              <w:ind w:firstLine="480"/>
              <w:rPr>
                <w:rFonts w:hint="eastAsia"/>
                <w:color w:val="auto"/>
              </w:rPr>
            </w:pPr>
            <w:r>
              <w:rPr>
                <w:rFonts w:hint="eastAsia"/>
                <w:color w:val="auto"/>
              </w:rPr>
              <w:t>1</w:t>
            </w:r>
          </w:p>
        </w:tc>
      </w:tr>
      <w:tr w14:paraId="04B19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dxa"/>
            <w:noWrap w:val="0"/>
            <w:vAlign w:val="center"/>
          </w:tcPr>
          <w:p w14:paraId="27C211E3">
            <w:pPr>
              <w:pStyle w:val="14"/>
              <w:ind w:firstLine="0" w:firstLineChars="0"/>
              <w:jc w:val="center"/>
              <w:rPr>
                <w:rFonts w:hint="eastAsia"/>
                <w:color w:val="auto"/>
              </w:rPr>
            </w:pPr>
            <w:r>
              <w:rPr>
                <w:rFonts w:hint="eastAsia"/>
                <w:color w:val="auto"/>
              </w:rPr>
              <w:t>4</w:t>
            </w:r>
          </w:p>
        </w:tc>
        <w:tc>
          <w:tcPr>
            <w:tcW w:w="853" w:type="dxa"/>
            <w:vMerge w:val="continue"/>
            <w:noWrap w:val="0"/>
            <w:vAlign w:val="center"/>
          </w:tcPr>
          <w:p w14:paraId="5133F8AB">
            <w:pPr>
              <w:pStyle w:val="14"/>
              <w:ind w:firstLine="0" w:firstLineChars="0"/>
              <w:jc w:val="center"/>
              <w:rPr>
                <w:rFonts w:hint="eastAsia"/>
                <w:color w:val="auto"/>
              </w:rPr>
            </w:pPr>
          </w:p>
        </w:tc>
        <w:tc>
          <w:tcPr>
            <w:tcW w:w="1325" w:type="dxa"/>
            <w:noWrap w:val="0"/>
            <w:vAlign w:val="center"/>
          </w:tcPr>
          <w:p w14:paraId="325D221D">
            <w:pPr>
              <w:pStyle w:val="14"/>
              <w:ind w:firstLine="0" w:firstLineChars="0"/>
              <w:jc w:val="center"/>
              <w:rPr>
                <w:rFonts w:hint="eastAsia"/>
                <w:color w:val="auto"/>
              </w:rPr>
            </w:pPr>
            <w:r>
              <w:rPr>
                <w:rFonts w:hint="eastAsia"/>
                <w:color w:val="auto"/>
              </w:rPr>
              <w:t>飞翔</w:t>
            </w:r>
          </w:p>
        </w:tc>
        <w:tc>
          <w:tcPr>
            <w:tcW w:w="2744" w:type="dxa"/>
            <w:noWrap w:val="0"/>
            <w:vAlign w:val="center"/>
          </w:tcPr>
          <w:p w14:paraId="6CE6F341">
            <w:pPr>
              <w:pStyle w:val="14"/>
              <w:ind w:firstLine="480"/>
              <w:jc w:val="center"/>
              <w:rPr>
                <w:rFonts w:hint="eastAsia"/>
                <w:color w:val="auto"/>
              </w:rPr>
            </w:pPr>
            <w:r>
              <w:rPr>
                <w:rFonts w:hint="eastAsia"/>
                <w:color w:val="auto"/>
              </w:rPr>
              <w:t>（1）、（2）、（3）、（4）、（5）、（6）、（7）、（8）、（9）</w:t>
            </w:r>
          </w:p>
        </w:tc>
        <w:tc>
          <w:tcPr>
            <w:tcW w:w="2586" w:type="dxa"/>
            <w:noWrap w:val="0"/>
            <w:vAlign w:val="center"/>
          </w:tcPr>
          <w:p w14:paraId="316F1658">
            <w:pPr>
              <w:pStyle w:val="14"/>
              <w:ind w:firstLine="0" w:firstLineChars="0"/>
              <w:jc w:val="center"/>
              <w:rPr>
                <w:rFonts w:hint="eastAsia"/>
                <w:color w:val="auto"/>
              </w:rPr>
            </w:pPr>
            <w:r>
              <w:rPr>
                <w:rFonts w:hint="eastAsia"/>
                <w:color w:val="auto"/>
              </w:rPr>
              <w:t>全数100%检测</w:t>
            </w:r>
          </w:p>
        </w:tc>
        <w:tc>
          <w:tcPr>
            <w:tcW w:w="1563" w:type="dxa"/>
            <w:noWrap w:val="0"/>
            <w:vAlign w:val="center"/>
          </w:tcPr>
          <w:p w14:paraId="1FE4E042">
            <w:pPr>
              <w:ind w:firstLine="480"/>
              <w:rPr>
                <w:rFonts w:hint="eastAsia"/>
                <w:color w:val="auto"/>
              </w:rPr>
            </w:pPr>
            <w:r>
              <w:rPr>
                <w:rFonts w:hint="eastAsia"/>
                <w:color w:val="auto"/>
              </w:rPr>
              <w:t>1</w:t>
            </w:r>
          </w:p>
        </w:tc>
      </w:tr>
      <w:tr w14:paraId="03011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dxa"/>
            <w:noWrap w:val="0"/>
            <w:vAlign w:val="center"/>
          </w:tcPr>
          <w:p w14:paraId="13F37E90">
            <w:pPr>
              <w:pStyle w:val="14"/>
              <w:ind w:firstLine="0" w:firstLineChars="0"/>
              <w:jc w:val="center"/>
              <w:rPr>
                <w:rFonts w:hint="eastAsia"/>
                <w:color w:val="auto"/>
              </w:rPr>
            </w:pPr>
            <w:r>
              <w:rPr>
                <w:rFonts w:hint="eastAsia"/>
                <w:color w:val="auto"/>
              </w:rPr>
              <w:t>5</w:t>
            </w:r>
          </w:p>
        </w:tc>
        <w:tc>
          <w:tcPr>
            <w:tcW w:w="853" w:type="dxa"/>
            <w:vMerge w:val="continue"/>
            <w:noWrap w:val="0"/>
            <w:vAlign w:val="center"/>
          </w:tcPr>
          <w:p w14:paraId="03CED36C">
            <w:pPr>
              <w:pStyle w:val="14"/>
              <w:ind w:firstLine="0" w:firstLineChars="0"/>
              <w:jc w:val="center"/>
              <w:rPr>
                <w:rFonts w:hint="eastAsia"/>
                <w:color w:val="auto"/>
              </w:rPr>
            </w:pPr>
          </w:p>
        </w:tc>
        <w:tc>
          <w:tcPr>
            <w:tcW w:w="1325" w:type="dxa"/>
            <w:noWrap w:val="0"/>
            <w:vAlign w:val="center"/>
          </w:tcPr>
          <w:p w14:paraId="39864C29">
            <w:pPr>
              <w:pStyle w:val="14"/>
              <w:ind w:firstLine="0" w:firstLineChars="0"/>
              <w:jc w:val="center"/>
              <w:rPr>
                <w:rFonts w:hint="eastAsia"/>
                <w:color w:val="auto"/>
              </w:rPr>
            </w:pPr>
            <w:r>
              <w:rPr>
                <w:rFonts w:hint="eastAsia"/>
                <w:color w:val="auto"/>
              </w:rPr>
              <w:t>丝巾</w:t>
            </w:r>
          </w:p>
        </w:tc>
        <w:tc>
          <w:tcPr>
            <w:tcW w:w="2744" w:type="dxa"/>
            <w:noWrap w:val="0"/>
            <w:vAlign w:val="center"/>
          </w:tcPr>
          <w:p w14:paraId="655173A0">
            <w:pPr>
              <w:pStyle w:val="14"/>
              <w:ind w:firstLine="480"/>
              <w:jc w:val="center"/>
              <w:rPr>
                <w:rFonts w:hint="eastAsia"/>
                <w:color w:val="auto"/>
              </w:rPr>
            </w:pPr>
            <w:r>
              <w:rPr>
                <w:rFonts w:hint="eastAsia"/>
                <w:color w:val="auto"/>
              </w:rPr>
              <w:t>（1）、（2）、（3）、（4）、（6）、（7）、（8）、（9）</w:t>
            </w:r>
          </w:p>
        </w:tc>
        <w:tc>
          <w:tcPr>
            <w:tcW w:w="2586" w:type="dxa"/>
            <w:noWrap w:val="0"/>
            <w:vAlign w:val="center"/>
          </w:tcPr>
          <w:p w14:paraId="5E54E740">
            <w:pPr>
              <w:pStyle w:val="14"/>
              <w:ind w:firstLine="0" w:firstLineChars="0"/>
              <w:jc w:val="center"/>
              <w:rPr>
                <w:rFonts w:hint="eastAsia"/>
                <w:color w:val="auto"/>
              </w:rPr>
            </w:pPr>
            <w:r>
              <w:rPr>
                <w:rFonts w:hint="eastAsia"/>
                <w:color w:val="auto"/>
              </w:rPr>
              <w:t>全数100%检测</w:t>
            </w:r>
          </w:p>
        </w:tc>
        <w:tc>
          <w:tcPr>
            <w:tcW w:w="1563" w:type="dxa"/>
            <w:noWrap w:val="0"/>
            <w:vAlign w:val="center"/>
          </w:tcPr>
          <w:p w14:paraId="382C08D5">
            <w:pPr>
              <w:ind w:firstLine="480"/>
              <w:rPr>
                <w:rFonts w:hint="eastAsia"/>
                <w:color w:val="auto"/>
              </w:rPr>
            </w:pPr>
            <w:r>
              <w:rPr>
                <w:rFonts w:hint="eastAsia"/>
                <w:color w:val="auto"/>
              </w:rPr>
              <w:t>1</w:t>
            </w:r>
          </w:p>
        </w:tc>
      </w:tr>
      <w:tr w14:paraId="1EBE4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dxa"/>
            <w:noWrap w:val="0"/>
            <w:vAlign w:val="center"/>
          </w:tcPr>
          <w:p w14:paraId="4853FAA1">
            <w:pPr>
              <w:pStyle w:val="14"/>
              <w:ind w:firstLine="0" w:firstLineChars="0"/>
              <w:jc w:val="center"/>
              <w:rPr>
                <w:rFonts w:hint="eastAsia"/>
                <w:color w:val="auto"/>
              </w:rPr>
            </w:pPr>
            <w:r>
              <w:rPr>
                <w:rFonts w:hint="eastAsia"/>
                <w:color w:val="auto"/>
              </w:rPr>
              <w:t>6</w:t>
            </w:r>
          </w:p>
        </w:tc>
        <w:tc>
          <w:tcPr>
            <w:tcW w:w="853" w:type="dxa"/>
            <w:vMerge w:val="continue"/>
            <w:noWrap w:val="0"/>
            <w:vAlign w:val="center"/>
          </w:tcPr>
          <w:p w14:paraId="231F31DD">
            <w:pPr>
              <w:pStyle w:val="14"/>
              <w:ind w:firstLine="0" w:firstLineChars="0"/>
              <w:jc w:val="center"/>
              <w:rPr>
                <w:rFonts w:hint="eastAsia"/>
                <w:color w:val="auto"/>
              </w:rPr>
            </w:pPr>
          </w:p>
        </w:tc>
        <w:tc>
          <w:tcPr>
            <w:tcW w:w="1325" w:type="dxa"/>
            <w:noWrap w:val="0"/>
            <w:vAlign w:val="center"/>
          </w:tcPr>
          <w:p w14:paraId="3FD631C2">
            <w:pPr>
              <w:pStyle w:val="14"/>
              <w:ind w:firstLine="0" w:firstLineChars="0"/>
              <w:jc w:val="center"/>
              <w:rPr>
                <w:rFonts w:hint="eastAsia"/>
                <w:color w:val="auto"/>
              </w:rPr>
            </w:pPr>
            <w:r>
              <w:rPr>
                <w:rFonts w:hint="eastAsia"/>
                <w:color w:val="auto"/>
              </w:rPr>
              <w:t>蝶流</w:t>
            </w:r>
          </w:p>
        </w:tc>
        <w:tc>
          <w:tcPr>
            <w:tcW w:w="2744" w:type="dxa"/>
            <w:noWrap w:val="0"/>
            <w:vAlign w:val="center"/>
          </w:tcPr>
          <w:p w14:paraId="266E40D9">
            <w:pPr>
              <w:pStyle w:val="14"/>
              <w:ind w:firstLine="480"/>
              <w:jc w:val="center"/>
              <w:rPr>
                <w:rFonts w:hint="eastAsia"/>
                <w:color w:val="auto"/>
              </w:rPr>
            </w:pPr>
            <w:r>
              <w:rPr>
                <w:rFonts w:hint="eastAsia"/>
                <w:color w:val="auto"/>
              </w:rPr>
              <w:t>（1）、（2）、（3）、（4）、（6）、（7）、（8）、（9）</w:t>
            </w:r>
          </w:p>
        </w:tc>
        <w:tc>
          <w:tcPr>
            <w:tcW w:w="2586" w:type="dxa"/>
            <w:noWrap w:val="0"/>
            <w:vAlign w:val="center"/>
          </w:tcPr>
          <w:p w14:paraId="7724A517">
            <w:pPr>
              <w:pStyle w:val="14"/>
              <w:ind w:firstLine="0" w:firstLineChars="0"/>
              <w:jc w:val="center"/>
              <w:rPr>
                <w:rFonts w:hint="eastAsia"/>
                <w:color w:val="auto"/>
              </w:rPr>
            </w:pPr>
            <w:r>
              <w:rPr>
                <w:rFonts w:hint="eastAsia"/>
                <w:color w:val="auto"/>
              </w:rPr>
              <w:t>全数100%检测</w:t>
            </w:r>
          </w:p>
        </w:tc>
        <w:tc>
          <w:tcPr>
            <w:tcW w:w="1563" w:type="dxa"/>
            <w:noWrap w:val="0"/>
            <w:vAlign w:val="center"/>
          </w:tcPr>
          <w:p w14:paraId="4E07F07E">
            <w:pPr>
              <w:ind w:firstLine="480"/>
              <w:rPr>
                <w:rFonts w:hint="eastAsia"/>
                <w:color w:val="auto"/>
              </w:rPr>
            </w:pPr>
            <w:r>
              <w:rPr>
                <w:rFonts w:hint="eastAsia"/>
                <w:color w:val="auto"/>
              </w:rPr>
              <w:t>1</w:t>
            </w:r>
          </w:p>
        </w:tc>
      </w:tr>
      <w:tr w14:paraId="3A393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dxa"/>
            <w:noWrap w:val="0"/>
            <w:vAlign w:val="center"/>
          </w:tcPr>
          <w:p w14:paraId="1595F3A0">
            <w:pPr>
              <w:pStyle w:val="14"/>
              <w:ind w:firstLine="0" w:firstLineChars="0"/>
              <w:jc w:val="center"/>
              <w:rPr>
                <w:rFonts w:hint="eastAsia"/>
                <w:color w:val="auto"/>
              </w:rPr>
            </w:pPr>
            <w:r>
              <w:rPr>
                <w:rFonts w:hint="eastAsia"/>
                <w:color w:val="auto"/>
              </w:rPr>
              <w:t>7</w:t>
            </w:r>
          </w:p>
        </w:tc>
        <w:tc>
          <w:tcPr>
            <w:tcW w:w="853" w:type="dxa"/>
            <w:vMerge w:val="continue"/>
            <w:noWrap w:val="0"/>
            <w:vAlign w:val="center"/>
          </w:tcPr>
          <w:p w14:paraId="2373A621">
            <w:pPr>
              <w:pStyle w:val="14"/>
              <w:ind w:firstLine="0" w:firstLineChars="0"/>
              <w:jc w:val="center"/>
              <w:rPr>
                <w:rFonts w:hint="eastAsia"/>
                <w:color w:val="auto"/>
              </w:rPr>
            </w:pPr>
          </w:p>
        </w:tc>
        <w:tc>
          <w:tcPr>
            <w:tcW w:w="1325" w:type="dxa"/>
            <w:noWrap w:val="0"/>
            <w:vAlign w:val="center"/>
          </w:tcPr>
          <w:p w14:paraId="45BF379E">
            <w:pPr>
              <w:pStyle w:val="14"/>
              <w:ind w:firstLine="0" w:firstLineChars="0"/>
              <w:jc w:val="center"/>
              <w:rPr>
                <w:rFonts w:hint="eastAsia"/>
                <w:color w:val="auto"/>
              </w:rPr>
            </w:pPr>
            <w:r>
              <w:rPr>
                <w:rFonts w:hint="eastAsia"/>
                <w:color w:val="auto"/>
              </w:rPr>
              <w:t>阳澄之女</w:t>
            </w:r>
          </w:p>
        </w:tc>
        <w:tc>
          <w:tcPr>
            <w:tcW w:w="2744" w:type="dxa"/>
            <w:noWrap w:val="0"/>
            <w:vAlign w:val="center"/>
          </w:tcPr>
          <w:p w14:paraId="2588772E">
            <w:pPr>
              <w:pStyle w:val="14"/>
              <w:ind w:firstLine="480"/>
              <w:jc w:val="center"/>
              <w:rPr>
                <w:rFonts w:hint="eastAsia"/>
                <w:color w:val="auto"/>
              </w:rPr>
            </w:pPr>
            <w:r>
              <w:rPr>
                <w:rFonts w:hint="eastAsia"/>
                <w:color w:val="auto"/>
              </w:rPr>
              <w:t>（1）、（2）、（3）、（4）、（6）、（7）、（8）、（9）</w:t>
            </w:r>
          </w:p>
        </w:tc>
        <w:tc>
          <w:tcPr>
            <w:tcW w:w="2586" w:type="dxa"/>
            <w:noWrap w:val="0"/>
            <w:vAlign w:val="center"/>
          </w:tcPr>
          <w:p w14:paraId="7825422F">
            <w:pPr>
              <w:pStyle w:val="14"/>
              <w:ind w:firstLine="0" w:firstLineChars="0"/>
              <w:jc w:val="center"/>
              <w:rPr>
                <w:rFonts w:hint="eastAsia"/>
                <w:color w:val="auto"/>
              </w:rPr>
            </w:pPr>
            <w:r>
              <w:rPr>
                <w:rFonts w:hint="eastAsia"/>
                <w:color w:val="auto"/>
              </w:rPr>
              <w:t>全数100%检测</w:t>
            </w:r>
          </w:p>
        </w:tc>
        <w:tc>
          <w:tcPr>
            <w:tcW w:w="1563" w:type="dxa"/>
            <w:noWrap w:val="0"/>
            <w:vAlign w:val="center"/>
          </w:tcPr>
          <w:p w14:paraId="51ACF139">
            <w:pPr>
              <w:ind w:firstLine="480"/>
              <w:rPr>
                <w:rFonts w:hint="eastAsia"/>
                <w:color w:val="auto"/>
              </w:rPr>
            </w:pPr>
            <w:r>
              <w:rPr>
                <w:rFonts w:hint="eastAsia"/>
                <w:color w:val="auto"/>
              </w:rPr>
              <w:t>2</w:t>
            </w:r>
          </w:p>
        </w:tc>
      </w:tr>
      <w:tr w14:paraId="4465D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dxa"/>
            <w:noWrap w:val="0"/>
            <w:vAlign w:val="center"/>
          </w:tcPr>
          <w:p w14:paraId="282FE02B">
            <w:pPr>
              <w:pStyle w:val="14"/>
              <w:ind w:firstLine="0" w:firstLineChars="0"/>
              <w:jc w:val="center"/>
              <w:rPr>
                <w:rFonts w:hint="eastAsia"/>
                <w:color w:val="auto"/>
              </w:rPr>
            </w:pPr>
            <w:r>
              <w:rPr>
                <w:rFonts w:hint="eastAsia"/>
                <w:color w:val="auto"/>
              </w:rPr>
              <w:t>8</w:t>
            </w:r>
          </w:p>
        </w:tc>
        <w:tc>
          <w:tcPr>
            <w:tcW w:w="853" w:type="dxa"/>
            <w:vMerge w:val="continue"/>
            <w:noWrap w:val="0"/>
            <w:vAlign w:val="center"/>
          </w:tcPr>
          <w:p w14:paraId="0C98E5B5">
            <w:pPr>
              <w:pStyle w:val="14"/>
              <w:ind w:firstLine="0" w:firstLineChars="0"/>
              <w:jc w:val="center"/>
              <w:rPr>
                <w:rFonts w:hint="eastAsia"/>
                <w:color w:val="auto"/>
              </w:rPr>
            </w:pPr>
          </w:p>
        </w:tc>
        <w:tc>
          <w:tcPr>
            <w:tcW w:w="1325" w:type="dxa"/>
            <w:noWrap w:val="0"/>
            <w:vAlign w:val="center"/>
          </w:tcPr>
          <w:p w14:paraId="688910C3">
            <w:pPr>
              <w:pStyle w:val="14"/>
              <w:ind w:firstLine="0" w:firstLineChars="0"/>
              <w:jc w:val="center"/>
              <w:rPr>
                <w:rFonts w:hint="eastAsia"/>
                <w:color w:val="auto"/>
              </w:rPr>
            </w:pPr>
            <w:r>
              <w:rPr>
                <w:rFonts w:hint="eastAsia"/>
                <w:color w:val="auto"/>
              </w:rPr>
              <w:t>律动</w:t>
            </w:r>
          </w:p>
        </w:tc>
        <w:tc>
          <w:tcPr>
            <w:tcW w:w="2744" w:type="dxa"/>
            <w:noWrap w:val="0"/>
            <w:vAlign w:val="center"/>
          </w:tcPr>
          <w:p w14:paraId="420BC591">
            <w:pPr>
              <w:pStyle w:val="14"/>
              <w:ind w:firstLine="480"/>
              <w:jc w:val="center"/>
              <w:rPr>
                <w:rFonts w:hint="eastAsia"/>
                <w:color w:val="auto"/>
              </w:rPr>
            </w:pPr>
            <w:r>
              <w:rPr>
                <w:rFonts w:hint="eastAsia"/>
                <w:color w:val="auto"/>
              </w:rPr>
              <w:t>（1）、（2）、（3）、（4）、（6）、（7）、（8）、（9）</w:t>
            </w:r>
          </w:p>
        </w:tc>
        <w:tc>
          <w:tcPr>
            <w:tcW w:w="2586" w:type="dxa"/>
            <w:noWrap w:val="0"/>
            <w:vAlign w:val="center"/>
          </w:tcPr>
          <w:p w14:paraId="5C460384">
            <w:pPr>
              <w:pStyle w:val="14"/>
              <w:ind w:firstLine="0" w:firstLineChars="0"/>
              <w:jc w:val="center"/>
              <w:rPr>
                <w:rFonts w:hint="eastAsia"/>
                <w:color w:val="auto"/>
              </w:rPr>
            </w:pPr>
            <w:r>
              <w:rPr>
                <w:rFonts w:hint="eastAsia"/>
                <w:color w:val="auto"/>
              </w:rPr>
              <w:t>全数100%检测</w:t>
            </w:r>
          </w:p>
        </w:tc>
        <w:tc>
          <w:tcPr>
            <w:tcW w:w="1563" w:type="dxa"/>
            <w:noWrap w:val="0"/>
            <w:vAlign w:val="center"/>
          </w:tcPr>
          <w:p w14:paraId="6DE44FE7">
            <w:pPr>
              <w:ind w:firstLine="480"/>
              <w:rPr>
                <w:rFonts w:hint="eastAsia"/>
                <w:color w:val="auto"/>
              </w:rPr>
            </w:pPr>
            <w:r>
              <w:rPr>
                <w:rFonts w:hint="eastAsia"/>
                <w:color w:val="auto"/>
              </w:rPr>
              <w:t>1</w:t>
            </w:r>
          </w:p>
        </w:tc>
      </w:tr>
      <w:tr w14:paraId="3DDE8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dxa"/>
            <w:noWrap w:val="0"/>
            <w:vAlign w:val="center"/>
          </w:tcPr>
          <w:p w14:paraId="77D57095">
            <w:pPr>
              <w:pStyle w:val="14"/>
              <w:ind w:firstLine="0" w:firstLineChars="0"/>
              <w:jc w:val="center"/>
              <w:rPr>
                <w:rFonts w:hint="eastAsia"/>
                <w:color w:val="auto"/>
              </w:rPr>
            </w:pPr>
            <w:r>
              <w:rPr>
                <w:rFonts w:hint="eastAsia"/>
                <w:color w:val="auto"/>
              </w:rPr>
              <w:t>9</w:t>
            </w:r>
          </w:p>
        </w:tc>
        <w:tc>
          <w:tcPr>
            <w:tcW w:w="853" w:type="dxa"/>
            <w:noWrap w:val="0"/>
            <w:vAlign w:val="center"/>
          </w:tcPr>
          <w:p w14:paraId="1840B619">
            <w:pPr>
              <w:pStyle w:val="14"/>
              <w:ind w:firstLine="0" w:firstLineChars="0"/>
              <w:jc w:val="center"/>
              <w:rPr>
                <w:color w:val="auto"/>
              </w:rPr>
            </w:pPr>
            <w:r>
              <w:rPr>
                <w:rFonts w:hint="eastAsia"/>
                <w:color w:val="auto"/>
              </w:rPr>
              <w:t>常规检测</w:t>
            </w:r>
          </w:p>
        </w:tc>
        <w:tc>
          <w:tcPr>
            <w:tcW w:w="1325" w:type="dxa"/>
            <w:noWrap w:val="0"/>
            <w:vAlign w:val="center"/>
          </w:tcPr>
          <w:p w14:paraId="7F74ECDB">
            <w:pPr>
              <w:pStyle w:val="14"/>
              <w:ind w:firstLine="0" w:firstLineChars="0"/>
              <w:jc w:val="center"/>
              <w:rPr>
                <w:rFonts w:hint="eastAsia"/>
                <w:color w:val="auto"/>
              </w:rPr>
            </w:pPr>
            <w:r>
              <w:rPr>
                <w:rFonts w:hint="eastAsia"/>
                <w:color w:val="auto"/>
              </w:rPr>
              <w:t>其他雕塑、廊架、景观亭等</w:t>
            </w:r>
          </w:p>
        </w:tc>
        <w:tc>
          <w:tcPr>
            <w:tcW w:w="2744" w:type="dxa"/>
            <w:noWrap w:val="0"/>
            <w:vAlign w:val="center"/>
          </w:tcPr>
          <w:p w14:paraId="7A44AE98">
            <w:pPr>
              <w:pStyle w:val="14"/>
              <w:ind w:firstLine="480"/>
              <w:jc w:val="center"/>
              <w:rPr>
                <w:color w:val="auto"/>
              </w:rPr>
            </w:pPr>
            <w:r>
              <w:rPr>
                <w:rFonts w:hint="eastAsia"/>
                <w:color w:val="auto"/>
              </w:rPr>
              <w:t>（1）-（8）（根据结构构</w:t>
            </w:r>
            <w:r>
              <w:rPr>
                <w:rFonts w:hint="eastAsia"/>
                <w:color w:val="auto"/>
                <w:lang w:val="en-US" w:eastAsia="zh-CN"/>
              </w:rPr>
              <w:t>件</w:t>
            </w:r>
            <w:r>
              <w:rPr>
                <w:rFonts w:hint="eastAsia"/>
                <w:color w:val="auto"/>
              </w:rPr>
              <w:t>实际情况选取）+（9）</w:t>
            </w:r>
          </w:p>
        </w:tc>
        <w:tc>
          <w:tcPr>
            <w:tcW w:w="2586" w:type="dxa"/>
            <w:noWrap w:val="0"/>
            <w:vAlign w:val="center"/>
          </w:tcPr>
          <w:p w14:paraId="283AE473">
            <w:pPr>
              <w:pStyle w:val="14"/>
              <w:ind w:firstLine="0" w:firstLineChars="0"/>
              <w:jc w:val="center"/>
              <w:rPr>
                <w:color w:val="auto"/>
              </w:rPr>
            </w:pPr>
            <w:r>
              <w:rPr>
                <w:rFonts w:hint="eastAsia"/>
                <w:color w:val="auto"/>
              </w:rPr>
              <w:t>详备注</w:t>
            </w:r>
          </w:p>
        </w:tc>
        <w:tc>
          <w:tcPr>
            <w:tcW w:w="1563" w:type="dxa"/>
            <w:noWrap w:val="0"/>
            <w:vAlign w:val="center"/>
          </w:tcPr>
          <w:p w14:paraId="33AA5E72">
            <w:pPr>
              <w:ind w:firstLine="480"/>
              <w:rPr>
                <w:rFonts w:hint="eastAsia"/>
                <w:color w:val="auto"/>
              </w:rPr>
            </w:pPr>
            <w:r>
              <w:rPr>
                <w:rFonts w:hint="eastAsia"/>
                <w:color w:val="auto"/>
              </w:rPr>
              <w:t>1</w:t>
            </w:r>
          </w:p>
        </w:tc>
      </w:tr>
    </w:tbl>
    <w:p w14:paraId="22B5BE2F">
      <w:pPr>
        <w:ind w:firstLine="426" w:firstLineChars="177"/>
        <w:rPr>
          <w:rFonts w:hint="eastAsia" w:ascii="仿宋_GB2312" w:hAnsi="宋体"/>
          <w:color w:val="auto"/>
          <w:kern w:val="0"/>
          <w:szCs w:val="24"/>
        </w:rPr>
      </w:pPr>
      <w:r>
        <w:rPr>
          <w:rFonts w:hint="eastAsia" w:ascii="宋体" w:hAnsi="宋体"/>
          <w:b/>
          <w:bCs/>
          <w:color w:val="auto"/>
          <w:szCs w:val="21"/>
        </w:rPr>
        <w:t>备注：1、</w:t>
      </w:r>
      <w:r>
        <w:rPr>
          <w:rFonts w:hint="eastAsia" w:ascii="宋体" w:hAnsi="宋体" w:cs="宋体"/>
          <w:color w:val="auto"/>
        </w:rPr>
        <w:t>常规检测中，检测数量应</w:t>
      </w:r>
      <w:r>
        <w:rPr>
          <w:rFonts w:hint="eastAsia"/>
          <w:color w:val="auto"/>
        </w:rPr>
        <w:t>根据</w:t>
      </w:r>
      <w:r>
        <w:rPr>
          <w:rFonts w:hint="eastAsia" w:ascii="仿宋_GB2312" w:hAnsi="宋体"/>
          <w:color w:val="auto"/>
          <w:kern w:val="0"/>
          <w:szCs w:val="24"/>
        </w:rPr>
        <w:t>《建筑结构检测技术标准》（GB/T 50344-2019）及</w:t>
      </w:r>
      <w:r>
        <w:rPr>
          <w:rFonts w:hint="eastAsia" w:ascii="仿宋_GB2312" w:hAnsi="仿宋_GB2312" w:cs="仿宋_GB2312"/>
          <w:color w:val="auto"/>
          <w:szCs w:val="24"/>
        </w:rPr>
        <w:t>《</w:t>
      </w:r>
      <w:r>
        <w:rPr>
          <w:rFonts w:hint="eastAsia" w:ascii="仿宋_GB2312" w:hAnsi="宋体"/>
          <w:color w:val="auto"/>
          <w:kern w:val="0"/>
          <w:szCs w:val="24"/>
        </w:rPr>
        <w:t>景观与雕塑钢结构检测与鉴定技术标准</w:t>
      </w:r>
      <w:r>
        <w:rPr>
          <w:rFonts w:hint="eastAsia" w:ascii="仿宋_GB2312" w:hAnsi="仿宋_GB2312" w:cs="仿宋_GB2312"/>
          <w:color w:val="auto"/>
          <w:szCs w:val="24"/>
        </w:rPr>
        <w:t>》（</w:t>
      </w:r>
      <w:r>
        <w:rPr>
          <w:rFonts w:hint="eastAsia" w:ascii="仿宋_GB2312" w:hAnsi="宋体"/>
          <w:color w:val="auto"/>
          <w:kern w:val="0"/>
          <w:szCs w:val="24"/>
        </w:rPr>
        <w:t>征求意见稿</w:t>
      </w:r>
      <w:r>
        <w:rPr>
          <w:rFonts w:hint="eastAsia" w:ascii="仿宋_GB2312" w:hAnsi="仿宋_GB2312" w:cs="仿宋_GB2312"/>
          <w:color w:val="auto"/>
          <w:szCs w:val="24"/>
        </w:rPr>
        <w:t>）</w:t>
      </w:r>
      <w:r>
        <w:rPr>
          <w:rFonts w:hint="eastAsia" w:ascii="仿宋_GB2312" w:hAnsi="宋体"/>
          <w:color w:val="auto"/>
          <w:kern w:val="0"/>
          <w:szCs w:val="24"/>
        </w:rPr>
        <w:t>规定执行，两者规定数字不同，以大值为准；2、阳澄之女雕塑检测频率，以半年为周期，每半年检测1次，检测单位应汇总检测数据、总结变化规律，并给出后续养护建议。</w:t>
      </w:r>
    </w:p>
    <w:p w14:paraId="55C956A8">
      <w:pPr>
        <w:ind w:left="102" w:firstLine="482"/>
        <w:jc w:val="left"/>
        <w:rPr>
          <w:rFonts w:ascii="宋体" w:hAnsi="宋体"/>
          <w:color w:val="auto"/>
          <w:szCs w:val="21"/>
        </w:rPr>
      </w:pPr>
      <w:r>
        <w:rPr>
          <w:rFonts w:ascii="宋体" w:hAnsi="宋体"/>
          <w:b/>
          <w:bCs/>
          <w:color w:val="auto"/>
          <w:szCs w:val="21"/>
        </w:rPr>
        <w:t>3</w:t>
      </w:r>
      <w:r>
        <w:rPr>
          <w:rFonts w:hint="eastAsia" w:ascii="宋体" w:hAnsi="宋体"/>
          <w:b/>
          <w:bCs/>
          <w:color w:val="auto"/>
          <w:szCs w:val="21"/>
        </w:rPr>
        <w:t>、技术要求</w:t>
      </w:r>
    </w:p>
    <w:p w14:paraId="7E98FF32">
      <w:pPr>
        <w:ind w:firstLine="426" w:firstLineChars="177"/>
        <w:rPr>
          <w:rFonts w:ascii="宋体" w:hAnsi="宋体"/>
          <w:color w:val="auto"/>
          <w:szCs w:val="21"/>
        </w:rPr>
      </w:pPr>
      <w:r>
        <w:rPr>
          <w:rFonts w:ascii="宋体" w:hAnsi="宋体"/>
          <w:b/>
          <w:bCs/>
          <w:color w:val="auto"/>
          <w:szCs w:val="21"/>
        </w:rPr>
        <w:t>记录与报告：</w:t>
      </w:r>
      <w:r>
        <w:rPr>
          <w:rFonts w:ascii="宋体" w:hAnsi="宋体"/>
          <w:color w:val="auto"/>
          <w:szCs w:val="21"/>
        </w:rPr>
        <w:t>详细记录检测过程和结果，编制结构安全性</w:t>
      </w:r>
      <w:r>
        <w:rPr>
          <w:rFonts w:hint="eastAsia" w:ascii="宋体" w:hAnsi="宋体"/>
          <w:color w:val="auto"/>
          <w:szCs w:val="21"/>
        </w:rPr>
        <w:t>排查报告，</w:t>
      </w:r>
      <w:r>
        <w:rPr>
          <w:rFonts w:ascii="宋体" w:hAnsi="宋体"/>
          <w:color w:val="auto"/>
          <w:szCs w:val="21"/>
        </w:rPr>
        <w:t>提出整改建议和改进措施</w:t>
      </w:r>
      <w:r>
        <w:rPr>
          <w:rFonts w:hint="eastAsia" w:ascii="宋体" w:hAnsi="宋体"/>
          <w:color w:val="auto"/>
          <w:szCs w:val="21"/>
        </w:rPr>
        <w:t>。对有较大结构病害的建构筑物尚需出具完整的</w:t>
      </w:r>
      <w:r>
        <w:rPr>
          <w:rFonts w:ascii="宋体" w:hAnsi="宋体"/>
          <w:color w:val="auto"/>
          <w:szCs w:val="21"/>
        </w:rPr>
        <w:t>鉴定报告。</w:t>
      </w:r>
    </w:p>
    <w:p w14:paraId="4E079891">
      <w:pPr>
        <w:ind w:firstLine="482"/>
        <w:rPr>
          <w:b/>
          <w:color w:val="auto"/>
        </w:rPr>
      </w:pPr>
      <w:r>
        <w:rPr>
          <w:rFonts w:hint="eastAsia"/>
          <w:b/>
          <w:color w:val="auto"/>
        </w:rPr>
        <w:t>（</w:t>
      </w:r>
      <w:r>
        <w:rPr>
          <w:rFonts w:hint="eastAsia"/>
          <w:b/>
          <w:color w:val="auto"/>
          <w:lang w:val="en-US" w:eastAsia="zh-CN"/>
        </w:rPr>
        <w:t>四</w:t>
      </w:r>
      <w:r>
        <w:rPr>
          <w:rFonts w:hint="eastAsia"/>
          <w:b/>
          <w:color w:val="auto"/>
        </w:rPr>
        <w:t>）</w:t>
      </w:r>
      <w:r>
        <w:rPr>
          <w:rFonts w:hint="eastAsia"/>
          <w:b/>
          <w:color w:val="auto"/>
          <w:lang w:val="en-US" w:eastAsia="zh-CN"/>
        </w:rPr>
        <w:t>公共自行</w:t>
      </w:r>
      <w:r>
        <w:rPr>
          <w:rFonts w:hint="eastAsia"/>
          <w:b/>
          <w:color w:val="auto"/>
        </w:rPr>
        <w:t>车棚</w:t>
      </w:r>
    </w:p>
    <w:p w14:paraId="14BA1F64">
      <w:pPr>
        <w:tabs>
          <w:tab w:val="left" w:pos="360"/>
        </w:tabs>
        <w:ind w:firstLine="576" w:firstLineChars="239"/>
        <w:rPr>
          <w:rFonts w:hint="eastAsia" w:ascii="宋体" w:hAnsi="宋体"/>
          <w:b/>
          <w:bCs/>
          <w:color w:val="auto"/>
          <w:szCs w:val="21"/>
        </w:rPr>
      </w:pPr>
      <w:r>
        <w:rPr>
          <w:rFonts w:hint="eastAsia" w:ascii="宋体" w:hAnsi="宋体"/>
          <w:b/>
          <w:bCs/>
          <w:color w:val="auto"/>
          <w:szCs w:val="21"/>
        </w:rPr>
        <w:t>1、基本情况</w:t>
      </w:r>
    </w:p>
    <w:p w14:paraId="16D68571">
      <w:pPr>
        <w:ind w:left="102" w:firstLine="482"/>
        <w:jc w:val="left"/>
        <w:rPr>
          <w:rFonts w:hint="eastAsia" w:ascii="宋体" w:hAnsi="宋体"/>
          <w:color w:val="auto"/>
          <w:szCs w:val="21"/>
        </w:rPr>
      </w:pPr>
      <w:r>
        <w:rPr>
          <w:rFonts w:hint="eastAsia" w:ascii="宋体" w:hAnsi="宋体"/>
          <w:color w:val="auto"/>
          <w:szCs w:val="21"/>
          <w:lang w:val="en-US" w:eastAsia="zh-CN"/>
        </w:rPr>
        <w:t>公共自行车棚</w:t>
      </w:r>
      <w:r>
        <w:rPr>
          <w:rFonts w:hint="eastAsia" w:ascii="宋体" w:hAnsi="宋体"/>
          <w:bCs/>
          <w:color w:val="auto"/>
          <w:szCs w:val="21"/>
        </w:rPr>
        <w:t>主要位于</w:t>
      </w:r>
      <w:r>
        <w:rPr>
          <w:rFonts w:hint="eastAsia" w:ascii="宋体" w:hAnsi="宋体"/>
          <w:color w:val="auto"/>
          <w:szCs w:val="21"/>
          <w:lang w:val="en-US" w:eastAsia="zh-CN"/>
        </w:rPr>
        <w:t>道路边的</w:t>
      </w:r>
      <w:r>
        <w:rPr>
          <w:rFonts w:hint="eastAsia" w:ascii="宋体" w:hAnsi="宋体"/>
          <w:color w:val="auto"/>
          <w:szCs w:val="21"/>
        </w:rPr>
        <w:t>公共区域，具体清单及定位见附件清单所示。</w:t>
      </w:r>
    </w:p>
    <w:p w14:paraId="7FC73312">
      <w:pPr>
        <w:ind w:left="102" w:firstLine="482"/>
        <w:jc w:val="left"/>
        <w:rPr>
          <w:rFonts w:hint="default" w:ascii="宋体" w:hAnsi="宋体" w:eastAsia="仿宋_GB2312"/>
          <w:b/>
          <w:bCs/>
          <w:color w:val="auto"/>
          <w:szCs w:val="21"/>
          <w:lang w:val="en-US" w:eastAsia="zh-CN"/>
        </w:rPr>
      </w:pPr>
      <w:r>
        <w:rPr>
          <w:rFonts w:ascii="宋体" w:hAnsi="宋体"/>
          <w:b/>
          <w:bCs/>
          <w:color w:val="auto"/>
          <w:szCs w:val="21"/>
        </w:rPr>
        <w:t>2</w:t>
      </w:r>
      <w:r>
        <w:rPr>
          <w:rFonts w:hint="eastAsia" w:ascii="宋体" w:hAnsi="宋体"/>
          <w:b/>
          <w:bCs/>
          <w:color w:val="auto"/>
          <w:szCs w:val="21"/>
        </w:rPr>
        <w:t>、主要检查内容</w:t>
      </w:r>
      <w:r>
        <w:rPr>
          <w:rFonts w:hint="eastAsia" w:ascii="宋体" w:hAnsi="宋体"/>
          <w:b/>
          <w:bCs/>
          <w:color w:val="auto"/>
          <w:szCs w:val="21"/>
          <w:lang w:eastAsia="zh-CN"/>
        </w:rPr>
        <w:t>、</w:t>
      </w:r>
      <w:r>
        <w:rPr>
          <w:rFonts w:hint="eastAsia" w:ascii="宋体" w:hAnsi="宋体"/>
          <w:b/>
          <w:bCs/>
          <w:color w:val="auto"/>
          <w:szCs w:val="21"/>
        </w:rPr>
        <w:t>方法</w:t>
      </w:r>
      <w:r>
        <w:rPr>
          <w:rFonts w:hint="eastAsia" w:ascii="宋体" w:hAnsi="宋体"/>
          <w:b/>
          <w:bCs/>
          <w:color w:val="auto"/>
          <w:szCs w:val="21"/>
          <w:lang w:val="en-US" w:eastAsia="zh-CN"/>
        </w:rPr>
        <w:t>和技术要求</w:t>
      </w:r>
    </w:p>
    <w:p w14:paraId="11A2F32A">
      <w:pPr>
        <w:adjustRightInd w:val="0"/>
        <w:snapToGrid w:val="0"/>
        <w:ind w:firstLine="480"/>
        <w:rPr>
          <w:rFonts w:hint="default" w:ascii="仿宋" w:hAnsi="仿宋" w:eastAsia="仿宋" w:cs="宋体"/>
          <w:color w:val="auto"/>
          <w:szCs w:val="24"/>
          <w:lang w:val="en-US" w:eastAsia="zh-CN"/>
        </w:rPr>
      </w:pPr>
      <w:r>
        <w:rPr>
          <w:rFonts w:hint="eastAsia" w:ascii="仿宋" w:hAnsi="仿宋" w:eastAsia="仿宋" w:cs="宋体"/>
          <w:color w:val="auto"/>
          <w:szCs w:val="24"/>
          <w:lang w:val="en-US" w:eastAsia="zh-CN"/>
        </w:rPr>
        <w:t>检测内容、方法和技术要求和“</w:t>
      </w:r>
      <w:r>
        <w:rPr>
          <w:rFonts w:hint="eastAsia" w:ascii="仿宋" w:hAnsi="仿宋" w:eastAsia="仿宋" w:cs="宋体"/>
          <w:color w:val="auto"/>
          <w:szCs w:val="24"/>
        </w:rPr>
        <w:t>雕塑、廊架、张拉膜、高大导视牌</w:t>
      </w:r>
      <w:r>
        <w:rPr>
          <w:rFonts w:hint="eastAsia" w:ascii="仿宋" w:hAnsi="仿宋" w:eastAsia="仿宋" w:cs="宋体"/>
          <w:color w:val="auto"/>
          <w:szCs w:val="24"/>
          <w:lang w:eastAsia="zh-CN"/>
        </w:rPr>
        <w:t>”</w:t>
      </w:r>
      <w:r>
        <w:rPr>
          <w:rFonts w:hint="eastAsia" w:ascii="仿宋" w:hAnsi="仿宋" w:eastAsia="仿宋" w:cs="宋体"/>
          <w:color w:val="auto"/>
          <w:szCs w:val="24"/>
          <w:lang w:val="en-US" w:eastAsia="zh-CN"/>
        </w:rPr>
        <w:t>的常规检测部分一样。</w:t>
      </w:r>
    </w:p>
    <w:p w14:paraId="1B74BC31">
      <w:pPr>
        <w:ind w:firstLine="424" w:firstLineChars="177"/>
        <w:rPr>
          <w:rFonts w:ascii="宋体" w:hAnsi="宋体"/>
          <w:color w:val="auto"/>
          <w:szCs w:val="21"/>
        </w:rPr>
      </w:pPr>
    </w:p>
    <w:p w14:paraId="3109DC5E">
      <w:pPr>
        <w:ind w:firstLine="482"/>
        <w:rPr>
          <w:rFonts w:ascii="仿宋" w:hAnsi="仿宋" w:eastAsia="仿宋"/>
          <w:b/>
          <w:color w:val="auto"/>
          <w:szCs w:val="24"/>
        </w:rPr>
      </w:pPr>
      <w:r>
        <w:rPr>
          <w:rFonts w:hint="eastAsia" w:ascii="仿宋" w:hAnsi="仿宋" w:eastAsia="仿宋"/>
          <w:b/>
          <w:color w:val="auto"/>
          <w:szCs w:val="24"/>
        </w:rPr>
        <w:t>四、核验要求</w:t>
      </w:r>
    </w:p>
    <w:p w14:paraId="356B2053">
      <w:pPr>
        <w:ind w:left="192" w:leftChars="80" w:firstLine="240" w:firstLineChars="100"/>
        <w:rPr>
          <w:rFonts w:hint="eastAsia" w:ascii="仿宋" w:hAnsi="仿宋" w:eastAsia="仿宋"/>
          <w:color w:val="auto"/>
        </w:rPr>
      </w:pPr>
      <w:r>
        <w:rPr>
          <w:rFonts w:hint="eastAsia" w:ascii="仿宋" w:hAnsi="仿宋" w:eastAsia="仿宋"/>
          <w:color w:val="auto"/>
        </w:rPr>
        <w:t>具体见招标文件要求。</w:t>
      </w:r>
    </w:p>
    <w:p w14:paraId="34D729F4">
      <w:pPr>
        <w:ind w:left="192" w:leftChars="80" w:firstLine="241" w:firstLineChars="100"/>
        <w:rPr>
          <w:b/>
          <w:color w:val="auto"/>
        </w:rPr>
      </w:pPr>
      <w:r>
        <w:rPr>
          <w:rFonts w:hint="eastAsia"/>
          <w:b/>
          <w:color w:val="auto"/>
        </w:rPr>
        <w:t>五、其他要求</w:t>
      </w:r>
    </w:p>
    <w:p w14:paraId="7F136950">
      <w:pPr>
        <w:adjustRightInd w:val="0"/>
        <w:snapToGrid w:val="0"/>
        <w:ind w:firstLine="480"/>
        <w:rPr>
          <w:rFonts w:hint="eastAsia" w:ascii="仿宋" w:hAnsi="仿宋" w:eastAsia="仿宋" w:cs="宋体"/>
          <w:color w:val="auto"/>
          <w:szCs w:val="24"/>
        </w:rPr>
      </w:pPr>
      <w:r>
        <w:rPr>
          <w:rFonts w:hint="eastAsia" w:ascii="仿宋" w:hAnsi="仿宋" w:eastAsia="仿宋" w:cs="宋体"/>
          <w:color w:val="auto"/>
          <w:szCs w:val="24"/>
        </w:rPr>
        <w:t>1</w:t>
      </w:r>
      <w:r>
        <w:rPr>
          <w:rFonts w:hint="eastAsia" w:ascii="仿宋_GB2312" w:hAnsi="宋体"/>
          <w:color w:val="auto"/>
        </w:rPr>
        <w:t>、</w:t>
      </w:r>
      <w:r>
        <w:rPr>
          <w:rFonts w:hint="eastAsia" w:ascii="仿宋" w:hAnsi="仿宋" w:eastAsia="仿宋" w:cs="宋体"/>
          <w:color w:val="auto"/>
          <w:szCs w:val="24"/>
        </w:rPr>
        <w:t>因</w:t>
      </w:r>
      <w:r>
        <w:rPr>
          <w:rFonts w:ascii="仿宋" w:hAnsi="仿宋" w:eastAsia="仿宋" w:cs="宋体"/>
          <w:color w:val="auto"/>
          <w:szCs w:val="24"/>
        </w:rPr>
        <w:t>工程施工需要需办理临时用地</w:t>
      </w:r>
      <w:r>
        <w:rPr>
          <w:rFonts w:hint="eastAsia" w:ascii="仿宋" w:hAnsi="仿宋" w:eastAsia="仿宋" w:cs="宋体"/>
          <w:color w:val="auto"/>
          <w:szCs w:val="24"/>
        </w:rPr>
        <w:t>、</w:t>
      </w:r>
      <w:r>
        <w:rPr>
          <w:rFonts w:ascii="仿宋" w:hAnsi="仿宋" w:eastAsia="仿宋" w:cs="宋体"/>
          <w:color w:val="auto"/>
          <w:szCs w:val="24"/>
        </w:rPr>
        <w:t>交通组织</w:t>
      </w:r>
      <w:r>
        <w:rPr>
          <w:rFonts w:hint="eastAsia" w:ascii="仿宋" w:hAnsi="仿宋" w:eastAsia="仿宋" w:cs="宋体"/>
          <w:color w:val="auto"/>
          <w:szCs w:val="24"/>
        </w:rPr>
        <w:t>、</w:t>
      </w:r>
      <w:r>
        <w:rPr>
          <w:rFonts w:ascii="仿宋" w:hAnsi="仿宋" w:eastAsia="仿宋" w:cs="宋体"/>
          <w:color w:val="auto"/>
          <w:szCs w:val="24"/>
        </w:rPr>
        <w:t>环境保护</w:t>
      </w:r>
      <w:r>
        <w:rPr>
          <w:rFonts w:hint="eastAsia" w:ascii="仿宋" w:hAnsi="仿宋" w:eastAsia="仿宋" w:cs="宋体"/>
          <w:color w:val="auto"/>
          <w:szCs w:val="24"/>
        </w:rPr>
        <w:t>等</w:t>
      </w:r>
      <w:r>
        <w:rPr>
          <w:rFonts w:ascii="仿宋" w:hAnsi="仿宋" w:eastAsia="仿宋" w:cs="宋体"/>
          <w:color w:val="auto"/>
          <w:szCs w:val="24"/>
        </w:rPr>
        <w:t>相关手续的</w:t>
      </w:r>
      <w:r>
        <w:rPr>
          <w:rFonts w:hint="eastAsia" w:ascii="仿宋" w:hAnsi="仿宋" w:eastAsia="仿宋" w:cs="宋体"/>
          <w:color w:val="auto"/>
          <w:szCs w:val="24"/>
        </w:rPr>
        <w:t>，承包人必须到苏州工业园区国土</w:t>
      </w:r>
      <w:r>
        <w:rPr>
          <w:rFonts w:ascii="仿宋" w:hAnsi="仿宋" w:eastAsia="仿宋" w:cs="宋体"/>
          <w:color w:val="auto"/>
          <w:szCs w:val="24"/>
        </w:rPr>
        <w:t>、交通</w:t>
      </w:r>
      <w:r>
        <w:rPr>
          <w:rFonts w:hint="eastAsia" w:ascii="仿宋" w:hAnsi="仿宋" w:eastAsia="仿宋" w:cs="宋体"/>
          <w:color w:val="auto"/>
          <w:szCs w:val="24"/>
        </w:rPr>
        <w:t>、</w:t>
      </w:r>
      <w:r>
        <w:rPr>
          <w:rFonts w:ascii="仿宋" w:hAnsi="仿宋" w:eastAsia="仿宋" w:cs="宋体"/>
          <w:color w:val="auto"/>
          <w:szCs w:val="24"/>
        </w:rPr>
        <w:t>环保</w:t>
      </w:r>
      <w:r>
        <w:rPr>
          <w:rFonts w:hint="eastAsia" w:ascii="仿宋" w:hAnsi="仿宋" w:eastAsia="仿宋" w:cs="宋体"/>
          <w:color w:val="auto"/>
          <w:szCs w:val="24"/>
        </w:rPr>
        <w:t>、绿化</w:t>
      </w:r>
      <w:r>
        <w:rPr>
          <w:rFonts w:ascii="仿宋" w:hAnsi="仿宋" w:eastAsia="仿宋" w:cs="宋体"/>
          <w:color w:val="auto"/>
          <w:szCs w:val="24"/>
        </w:rPr>
        <w:t>部门</w:t>
      </w:r>
      <w:r>
        <w:rPr>
          <w:rFonts w:hint="eastAsia" w:ascii="仿宋" w:hAnsi="仿宋" w:eastAsia="仿宋" w:cs="宋体"/>
          <w:color w:val="auto"/>
          <w:szCs w:val="24"/>
        </w:rPr>
        <w:t>办理相关</w:t>
      </w:r>
      <w:r>
        <w:rPr>
          <w:rFonts w:ascii="仿宋" w:hAnsi="仿宋" w:eastAsia="仿宋" w:cs="宋体"/>
          <w:color w:val="auto"/>
          <w:szCs w:val="24"/>
        </w:rPr>
        <w:t>手续</w:t>
      </w:r>
      <w:r>
        <w:rPr>
          <w:rFonts w:hint="eastAsia" w:ascii="仿宋" w:hAnsi="仿宋" w:eastAsia="仿宋" w:cs="宋体"/>
          <w:color w:val="auto"/>
          <w:szCs w:val="24"/>
        </w:rPr>
        <w:t>。上述费用已含在投标报价中，费用包干，结算不调整。</w:t>
      </w:r>
    </w:p>
    <w:p w14:paraId="7393DA96">
      <w:pPr>
        <w:tabs>
          <w:tab w:val="left" w:pos="360"/>
        </w:tabs>
        <w:ind w:firstLine="480"/>
        <w:rPr>
          <w:rFonts w:hint="eastAsia" w:ascii="宋体" w:hAnsi="宋体"/>
          <w:color w:val="auto"/>
          <w:szCs w:val="21"/>
        </w:rPr>
      </w:pPr>
      <w:r>
        <w:rPr>
          <w:rFonts w:hint="eastAsia" w:ascii="仿宋" w:hAnsi="仿宋" w:eastAsia="仿宋" w:cs="宋体"/>
          <w:color w:val="auto"/>
          <w:szCs w:val="24"/>
        </w:rPr>
        <w:t>2</w:t>
      </w:r>
      <w:r>
        <w:rPr>
          <w:rFonts w:hint="eastAsia" w:ascii="宋体" w:hAnsi="宋体"/>
          <w:color w:val="auto"/>
          <w:szCs w:val="21"/>
        </w:rPr>
        <w:t>、</w:t>
      </w:r>
      <w:r>
        <w:rPr>
          <w:rFonts w:hint="eastAsia" w:ascii="仿宋_GB2312" w:hAnsi="宋体"/>
          <w:color w:val="auto"/>
        </w:rPr>
        <w:t>工程施工期间承包商不得擅自中断交通，封闭、占用道路设施需经相关交通管理部门同意并自行办理相关手续，</w:t>
      </w:r>
      <w:r>
        <w:rPr>
          <w:rFonts w:hint="eastAsia" w:ascii="仿宋" w:hAnsi="仿宋" w:eastAsia="仿宋" w:cs="宋体"/>
          <w:color w:val="auto"/>
          <w:szCs w:val="24"/>
        </w:rPr>
        <w:t>需要交纳的相应费用由投标人自行考虑并计入投标报价中，发包人仅负责配合协调工作</w:t>
      </w:r>
      <w:r>
        <w:rPr>
          <w:rFonts w:hint="eastAsia" w:ascii="仿宋_GB2312" w:hAnsi="宋体" w:eastAsia="仿宋"/>
          <w:color w:val="auto"/>
        </w:rPr>
        <w:t>。</w:t>
      </w:r>
      <w:r>
        <w:rPr>
          <w:rFonts w:hint="eastAsia" w:ascii="仿宋_GB2312" w:hAnsi="宋体"/>
          <w:color w:val="auto"/>
        </w:rPr>
        <w:t>承包商须负责施工期间的设施附近的保洁工作。</w:t>
      </w:r>
      <w:r>
        <w:rPr>
          <w:rFonts w:hint="eastAsia" w:ascii="宋体" w:hAnsi="宋体"/>
          <w:color w:val="auto"/>
          <w:szCs w:val="21"/>
        </w:rPr>
        <w:t>要求承包商充分考虑和相关部门的协调、管制、补偿等相关费用，确保检查工作顺利进行。</w:t>
      </w:r>
    </w:p>
    <w:p w14:paraId="001EEC6A">
      <w:pPr>
        <w:tabs>
          <w:tab w:val="left" w:pos="360"/>
        </w:tabs>
        <w:ind w:firstLine="480"/>
        <w:rPr>
          <w:rFonts w:hint="eastAsia" w:ascii="仿宋" w:hAnsi="仿宋" w:eastAsia="仿宋" w:cs="宋体"/>
          <w:color w:val="auto"/>
          <w:szCs w:val="24"/>
        </w:rPr>
      </w:pPr>
      <w:r>
        <w:rPr>
          <w:rFonts w:hint="eastAsia" w:ascii="宋体" w:hAnsi="宋体"/>
          <w:color w:val="auto"/>
          <w:szCs w:val="21"/>
        </w:rPr>
        <w:t>3、</w:t>
      </w:r>
      <w:r>
        <w:rPr>
          <w:rFonts w:hint="eastAsia" w:ascii="仿宋_GB2312" w:hAnsi="宋体"/>
          <w:color w:val="auto"/>
        </w:rPr>
        <w:t>为保证安全，承包商需在整个工程施工期间在周边设置必要的、统一的指示、指引、警告标志；施工过程中应安排专人负责交通、保洁工作。</w:t>
      </w:r>
      <w:r>
        <w:rPr>
          <w:rFonts w:hint="eastAsia" w:ascii="仿宋" w:hAnsi="仿宋" w:eastAsia="仿宋" w:cs="宋体"/>
          <w:color w:val="auto"/>
          <w:szCs w:val="24"/>
        </w:rPr>
        <w:t>承包人必须加强施工区域内交通组织管理，施工区域内发生交通安全事故由承包人负责处理并承担相应法律责任（如有）。</w:t>
      </w:r>
    </w:p>
    <w:p w14:paraId="14924604">
      <w:pPr>
        <w:adjustRightInd w:val="0"/>
        <w:snapToGrid w:val="0"/>
        <w:ind w:firstLine="480"/>
        <w:rPr>
          <w:rFonts w:ascii="仿宋" w:hAnsi="仿宋" w:eastAsia="仿宋"/>
          <w:color w:val="auto"/>
          <w:szCs w:val="24"/>
        </w:rPr>
      </w:pPr>
      <w:r>
        <w:rPr>
          <w:rFonts w:hint="eastAsia" w:ascii="仿宋_GB2312" w:hAnsi="宋体"/>
          <w:color w:val="auto"/>
        </w:rPr>
        <w:t>4、</w:t>
      </w:r>
      <w:r>
        <w:rPr>
          <w:rFonts w:hint="eastAsia" w:ascii="仿宋" w:hAnsi="仿宋" w:eastAsia="仿宋" w:cs="宋体"/>
          <w:color w:val="auto"/>
          <w:szCs w:val="24"/>
        </w:rPr>
        <w:t>承包人现场施工必须全部按苏州工业园区相关环保及文明施工的规定，全面做好施工场地的清洁卫生工作，费用由承包人包含到投标报价中；禁止向河道和绿地倾倒或排放建筑、生活垃圾以及污水，并承担由此而造成的一切赔偿和清理责任。</w:t>
      </w:r>
    </w:p>
    <w:p w14:paraId="6ADF7E34">
      <w:pPr>
        <w:adjustRightInd w:val="0"/>
        <w:snapToGrid w:val="0"/>
        <w:ind w:firstLine="480"/>
        <w:rPr>
          <w:rFonts w:ascii="仿宋" w:hAnsi="仿宋" w:eastAsia="仿宋"/>
          <w:color w:val="auto"/>
          <w:szCs w:val="24"/>
        </w:rPr>
      </w:pPr>
      <w:r>
        <w:rPr>
          <w:rFonts w:hint="eastAsia" w:ascii="仿宋" w:hAnsi="仿宋" w:eastAsia="仿宋" w:cs="宋体"/>
          <w:color w:val="auto"/>
          <w:szCs w:val="24"/>
        </w:rPr>
        <w:t>5、需承包人办理的有关施工场地交通、环卫和施工噪音管理等手续。根据苏州市及园区有关规定自行办理有关手续，费用由承包人包含到投标报价中。在园区举行重大活动时，需积极作好道路保洁、交通畅通等方面的临时突击工作，费用含入投标报价中。</w:t>
      </w:r>
    </w:p>
    <w:p w14:paraId="1804D385">
      <w:pPr>
        <w:ind w:firstLine="480"/>
        <w:rPr>
          <w:bCs/>
          <w:color w:val="auto"/>
        </w:rPr>
      </w:pPr>
      <w:r>
        <w:rPr>
          <w:rFonts w:ascii="仿宋" w:hAnsi="仿宋" w:eastAsia="仿宋" w:cs="宋体"/>
          <w:color w:val="auto"/>
          <w:szCs w:val="24"/>
        </w:rPr>
        <w:t>6</w:t>
      </w:r>
      <w:r>
        <w:rPr>
          <w:rFonts w:hint="eastAsia" w:ascii="仿宋" w:hAnsi="仿宋" w:eastAsia="仿宋" w:cs="宋体"/>
          <w:color w:val="auto"/>
          <w:szCs w:val="24"/>
        </w:rPr>
        <w:t>、</w:t>
      </w:r>
      <w:r>
        <w:rPr>
          <w:rFonts w:hint="eastAsia"/>
          <w:bCs/>
          <w:color w:val="auto"/>
        </w:rPr>
        <w:t>承包商应负责现场所有人员的安全。承包商不应允许任何工人在不符合安全规程的条件下施工，并应承担有关国家规定的因不符合要求而产生的所有罚金。承包商应满足安全规程的要求，如合适的安全帽、安全带、救生衣等，都要严格地遵守。如作业过程中涉及特种作业，作业人员应持证上岗。</w:t>
      </w:r>
    </w:p>
    <w:p w14:paraId="3AFA0101">
      <w:pPr>
        <w:tabs>
          <w:tab w:val="left" w:pos="360"/>
        </w:tabs>
        <w:ind w:firstLine="573" w:firstLineChars="239"/>
        <w:rPr>
          <w:rFonts w:hint="eastAsia" w:ascii="宋体" w:hAnsi="宋体"/>
          <w:color w:val="auto"/>
          <w:szCs w:val="21"/>
        </w:rPr>
      </w:pPr>
      <w:r>
        <w:rPr>
          <w:rFonts w:ascii="仿宋" w:hAnsi="仿宋" w:eastAsia="仿宋" w:cs="宋体"/>
          <w:color w:val="auto"/>
          <w:szCs w:val="24"/>
        </w:rPr>
        <w:t>7</w:t>
      </w:r>
      <w:r>
        <w:rPr>
          <w:rFonts w:hint="eastAsia" w:ascii="仿宋" w:hAnsi="仿宋" w:eastAsia="仿宋" w:cs="宋体"/>
          <w:color w:val="auto"/>
          <w:szCs w:val="24"/>
        </w:rPr>
        <w:t>、实事求是、透明公正地进行检测工作，由市政管理工程师根据合同约定及考核违约处罚条款对承包单位开展日常考核，并根据《违约处罚明细表》（附表1）进行相应处罚，考核结果定期汇总。</w:t>
      </w:r>
      <w:r>
        <w:rPr>
          <w:rFonts w:hint="eastAsia" w:ascii="宋体" w:hAnsi="宋体"/>
          <w:color w:val="auto"/>
          <w:szCs w:val="21"/>
        </w:rPr>
        <w:t>检测结束后，检测单位要有竣工情况汇报，以ppt方式进行，甲方请相关人员</w:t>
      </w:r>
      <w:r>
        <w:rPr>
          <w:rFonts w:hint="eastAsia" w:ascii="宋体" w:hAnsi="宋体"/>
          <w:color w:val="auto"/>
          <w:szCs w:val="21"/>
          <w:lang w:eastAsia="zh-CN"/>
        </w:rPr>
        <w:t>（</w:t>
      </w:r>
      <w:r>
        <w:rPr>
          <w:rFonts w:hint="eastAsia" w:ascii="宋体" w:hAnsi="宋体"/>
          <w:color w:val="auto"/>
          <w:szCs w:val="21"/>
          <w:lang w:val="en-US" w:eastAsia="zh-CN"/>
        </w:rPr>
        <w:t>专家</w:t>
      </w:r>
      <w:r>
        <w:rPr>
          <w:rFonts w:hint="eastAsia" w:ascii="宋体" w:hAnsi="宋体"/>
          <w:color w:val="auto"/>
          <w:szCs w:val="21"/>
          <w:lang w:eastAsia="zh-CN"/>
        </w:rPr>
        <w:t>）</w:t>
      </w:r>
      <w:r>
        <w:rPr>
          <w:rFonts w:hint="eastAsia" w:ascii="宋体" w:hAnsi="宋体"/>
          <w:color w:val="auto"/>
          <w:szCs w:val="21"/>
        </w:rPr>
        <w:t>参与</w:t>
      </w:r>
      <w:r>
        <w:rPr>
          <w:rFonts w:hint="eastAsia" w:ascii="宋体" w:hAnsi="宋体"/>
          <w:color w:val="auto"/>
          <w:szCs w:val="21"/>
          <w:lang w:val="en-US" w:eastAsia="zh-CN"/>
        </w:rPr>
        <w:t>评审</w:t>
      </w:r>
      <w:r>
        <w:rPr>
          <w:rFonts w:hint="eastAsia" w:ascii="宋体" w:hAnsi="宋体"/>
          <w:color w:val="auto"/>
          <w:szCs w:val="21"/>
        </w:rPr>
        <w:t>。</w:t>
      </w:r>
    </w:p>
    <w:p w14:paraId="58437112">
      <w:pPr>
        <w:adjustRightInd w:val="0"/>
        <w:snapToGrid w:val="0"/>
        <w:ind w:firstLine="482"/>
        <w:rPr>
          <w:rFonts w:hint="eastAsia" w:ascii="宋体" w:hAnsi="宋体" w:cs="宋体"/>
          <w:color w:val="auto"/>
          <w:sz w:val="32"/>
          <w:szCs w:val="32"/>
        </w:rPr>
      </w:pPr>
      <w:r>
        <w:rPr>
          <w:rFonts w:hint="eastAsia"/>
          <w:b/>
          <w:color w:val="auto"/>
        </w:rPr>
        <w:t>六、为保障项目平稳实施，甲方对项目保险作出如下要求</w:t>
      </w:r>
      <w:r>
        <w:rPr>
          <w:rFonts w:hint="eastAsia" w:ascii="宋体" w:hAnsi="宋体" w:cs="宋体"/>
          <w:color w:val="auto"/>
          <w:sz w:val="32"/>
          <w:szCs w:val="32"/>
        </w:rPr>
        <w:t>：</w:t>
      </w:r>
    </w:p>
    <w:p w14:paraId="7A0F46AE">
      <w:pPr>
        <w:adjustRightInd w:val="0"/>
        <w:snapToGrid w:val="0"/>
        <w:ind w:firstLine="480"/>
        <w:rPr>
          <w:rFonts w:ascii="仿宋" w:hAnsi="仿宋" w:eastAsia="仿宋" w:cs="宋体"/>
          <w:color w:val="auto"/>
          <w:szCs w:val="24"/>
        </w:rPr>
      </w:pPr>
      <w:r>
        <w:rPr>
          <w:rFonts w:hint="eastAsia" w:ascii="仿宋" w:hAnsi="仿宋" w:eastAsia="仿宋" w:cs="宋体"/>
          <w:color w:val="auto"/>
          <w:szCs w:val="24"/>
        </w:rPr>
        <w:t>1、投保</w:t>
      </w:r>
    </w:p>
    <w:p w14:paraId="00B317F9">
      <w:pPr>
        <w:adjustRightInd w:val="0"/>
        <w:snapToGrid w:val="0"/>
        <w:ind w:firstLine="480"/>
        <w:rPr>
          <w:rFonts w:ascii="仿宋" w:hAnsi="仿宋" w:eastAsia="仿宋" w:cs="宋体"/>
          <w:color w:val="auto"/>
          <w:szCs w:val="24"/>
        </w:rPr>
      </w:pPr>
      <w:r>
        <w:rPr>
          <w:rFonts w:hint="eastAsia" w:ascii="仿宋" w:hAnsi="仿宋" w:eastAsia="仿宋" w:cs="宋体"/>
          <w:color w:val="auto"/>
          <w:szCs w:val="24"/>
        </w:rPr>
        <w:t>乙方应投保团体意外险+公众责任险或建筑/安装工程一切险+建筑工程意外伤害险。</w:t>
      </w:r>
    </w:p>
    <w:p w14:paraId="368835A1">
      <w:pPr>
        <w:adjustRightInd w:val="0"/>
        <w:snapToGrid w:val="0"/>
        <w:ind w:firstLine="480"/>
        <w:rPr>
          <w:rFonts w:ascii="仿宋" w:hAnsi="仿宋" w:eastAsia="仿宋" w:cs="宋体"/>
          <w:color w:val="auto"/>
          <w:szCs w:val="24"/>
        </w:rPr>
      </w:pPr>
      <w:r>
        <w:rPr>
          <w:rFonts w:hint="eastAsia" w:ascii="仿宋" w:hAnsi="仿宋" w:eastAsia="仿宋" w:cs="宋体"/>
          <w:color w:val="auto"/>
          <w:szCs w:val="24"/>
        </w:rPr>
        <w:t>2、保险金额/赔偿限额</w:t>
      </w:r>
    </w:p>
    <w:p w14:paraId="49628FEB">
      <w:pPr>
        <w:adjustRightInd w:val="0"/>
        <w:snapToGrid w:val="0"/>
        <w:ind w:firstLine="480"/>
        <w:rPr>
          <w:rFonts w:ascii="仿宋" w:hAnsi="仿宋" w:eastAsia="仿宋" w:cs="宋体"/>
          <w:color w:val="auto"/>
          <w:szCs w:val="24"/>
        </w:rPr>
      </w:pPr>
      <w:r>
        <w:rPr>
          <w:rFonts w:ascii="仿宋" w:hAnsi="仿宋" w:eastAsia="仿宋" w:cs="宋体"/>
          <w:color w:val="auto"/>
          <w:szCs w:val="24"/>
        </w:rPr>
        <w:fldChar w:fldCharType="begin"/>
      </w:r>
      <w:r>
        <w:rPr>
          <w:rFonts w:ascii="仿宋" w:hAnsi="仿宋" w:eastAsia="仿宋" w:cs="宋体"/>
          <w:color w:val="auto"/>
          <w:szCs w:val="24"/>
        </w:rPr>
        <w:instrText xml:space="preserve"> </w:instrText>
      </w:r>
      <w:r>
        <w:rPr>
          <w:rFonts w:hint="eastAsia" w:ascii="仿宋" w:hAnsi="仿宋" w:eastAsia="仿宋" w:cs="宋体"/>
          <w:color w:val="auto"/>
          <w:szCs w:val="24"/>
        </w:rPr>
        <w:instrText xml:space="preserve">eq \o\ac(○,</w:instrText>
      </w:r>
      <w:r>
        <w:rPr>
          <w:rFonts w:hint="eastAsia" w:ascii="仿宋" w:hAnsi="仿宋" w:eastAsia="仿宋" w:cs="宋体"/>
          <w:color w:val="auto"/>
          <w:position w:val="3"/>
          <w:sz w:val="16"/>
          <w:szCs w:val="24"/>
        </w:rPr>
        <w:instrText xml:space="preserve">1</w:instrText>
      </w:r>
      <w:r>
        <w:rPr>
          <w:rFonts w:hint="eastAsia" w:ascii="仿宋" w:hAnsi="仿宋" w:eastAsia="仿宋" w:cs="宋体"/>
          <w:color w:val="auto"/>
          <w:szCs w:val="24"/>
        </w:rPr>
        <w:instrText xml:space="preserve">)</w:instrText>
      </w:r>
      <w:r>
        <w:rPr>
          <w:rFonts w:ascii="仿宋" w:hAnsi="仿宋" w:eastAsia="仿宋" w:cs="宋体"/>
          <w:color w:val="auto"/>
          <w:szCs w:val="24"/>
        </w:rPr>
        <w:fldChar w:fldCharType="end"/>
      </w:r>
      <w:r>
        <w:rPr>
          <w:rFonts w:hint="eastAsia" w:ascii="仿宋" w:hAnsi="仿宋" w:eastAsia="仿宋" w:cs="宋体"/>
          <w:color w:val="auto"/>
          <w:szCs w:val="24"/>
        </w:rPr>
        <w:t>.第三者人身伤害及财产损失，每次事故赔偿额度不得低于300万，不得设立每人赔偿限额。</w:t>
      </w:r>
    </w:p>
    <w:p w14:paraId="00C49ED2">
      <w:pPr>
        <w:adjustRightInd w:val="0"/>
        <w:snapToGrid w:val="0"/>
        <w:ind w:firstLine="480"/>
        <w:rPr>
          <w:rFonts w:ascii="仿宋" w:hAnsi="仿宋" w:eastAsia="仿宋" w:cs="宋体"/>
          <w:color w:val="auto"/>
          <w:szCs w:val="24"/>
        </w:rPr>
      </w:pPr>
      <w:r>
        <w:rPr>
          <w:rFonts w:ascii="仿宋" w:hAnsi="仿宋" w:eastAsia="仿宋" w:cs="宋体"/>
          <w:color w:val="auto"/>
          <w:szCs w:val="24"/>
        </w:rPr>
        <w:fldChar w:fldCharType="begin"/>
      </w:r>
      <w:r>
        <w:rPr>
          <w:rFonts w:ascii="仿宋" w:hAnsi="仿宋" w:eastAsia="仿宋" w:cs="宋体"/>
          <w:color w:val="auto"/>
          <w:szCs w:val="24"/>
        </w:rPr>
        <w:instrText xml:space="preserve"> </w:instrText>
      </w:r>
      <w:r>
        <w:rPr>
          <w:rFonts w:hint="eastAsia" w:ascii="仿宋" w:hAnsi="仿宋" w:eastAsia="仿宋" w:cs="宋体"/>
          <w:color w:val="auto"/>
          <w:szCs w:val="24"/>
        </w:rPr>
        <w:instrText xml:space="preserve">eq \o\ac(○,</w:instrText>
      </w:r>
      <w:r>
        <w:rPr>
          <w:rFonts w:hint="eastAsia" w:ascii="仿宋" w:hAnsi="仿宋" w:eastAsia="仿宋" w:cs="宋体"/>
          <w:color w:val="auto"/>
          <w:position w:val="3"/>
          <w:sz w:val="16"/>
          <w:szCs w:val="24"/>
        </w:rPr>
        <w:instrText xml:space="preserve">2</w:instrText>
      </w:r>
      <w:r>
        <w:rPr>
          <w:rFonts w:hint="eastAsia" w:ascii="仿宋" w:hAnsi="仿宋" w:eastAsia="仿宋" w:cs="宋体"/>
          <w:color w:val="auto"/>
          <w:szCs w:val="24"/>
        </w:rPr>
        <w:instrText xml:space="preserve">)</w:instrText>
      </w:r>
      <w:r>
        <w:rPr>
          <w:rFonts w:ascii="仿宋" w:hAnsi="仿宋" w:eastAsia="仿宋" w:cs="宋体"/>
          <w:color w:val="auto"/>
          <w:szCs w:val="24"/>
        </w:rPr>
        <w:fldChar w:fldCharType="end"/>
      </w:r>
      <w:r>
        <w:rPr>
          <w:rFonts w:hint="eastAsia" w:ascii="仿宋" w:hAnsi="仿宋" w:eastAsia="仿宋" w:cs="宋体"/>
          <w:color w:val="auto"/>
          <w:szCs w:val="24"/>
        </w:rPr>
        <w:t>.项目人员，每人赔偿限额不得低于150万。</w:t>
      </w:r>
    </w:p>
    <w:p w14:paraId="726C1289">
      <w:pPr>
        <w:adjustRightInd w:val="0"/>
        <w:snapToGrid w:val="0"/>
        <w:ind w:firstLine="480"/>
        <w:rPr>
          <w:rFonts w:ascii="仿宋" w:hAnsi="仿宋" w:eastAsia="仿宋" w:cs="宋体"/>
          <w:color w:val="auto"/>
          <w:szCs w:val="24"/>
        </w:rPr>
      </w:pPr>
      <w:r>
        <w:rPr>
          <w:rFonts w:ascii="仿宋" w:hAnsi="仿宋" w:eastAsia="仿宋" w:cs="宋体"/>
          <w:color w:val="auto"/>
          <w:szCs w:val="24"/>
        </w:rPr>
        <w:fldChar w:fldCharType="begin"/>
      </w:r>
      <w:r>
        <w:rPr>
          <w:rFonts w:ascii="仿宋" w:hAnsi="仿宋" w:eastAsia="仿宋" w:cs="宋体"/>
          <w:color w:val="auto"/>
          <w:szCs w:val="24"/>
        </w:rPr>
        <w:instrText xml:space="preserve"> </w:instrText>
      </w:r>
      <w:r>
        <w:rPr>
          <w:rFonts w:hint="eastAsia" w:ascii="仿宋" w:hAnsi="仿宋" w:eastAsia="仿宋" w:cs="宋体"/>
          <w:color w:val="auto"/>
          <w:szCs w:val="24"/>
        </w:rPr>
        <w:instrText xml:space="preserve">eq \o\ac(○,</w:instrText>
      </w:r>
      <w:r>
        <w:rPr>
          <w:rFonts w:hint="eastAsia" w:ascii="仿宋" w:hAnsi="仿宋" w:eastAsia="仿宋" w:cs="宋体"/>
          <w:color w:val="auto"/>
          <w:position w:val="3"/>
          <w:sz w:val="16"/>
          <w:szCs w:val="24"/>
        </w:rPr>
        <w:instrText xml:space="preserve">3</w:instrText>
      </w:r>
      <w:r>
        <w:rPr>
          <w:rFonts w:hint="eastAsia" w:ascii="仿宋" w:hAnsi="仿宋" w:eastAsia="仿宋" w:cs="宋体"/>
          <w:color w:val="auto"/>
          <w:szCs w:val="24"/>
        </w:rPr>
        <w:instrText xml:space="preserve">)</w:instrText>
      </w:r>
      <w:r>
        <w:rPr>
          <w:rFonts w:ascii="仿宋" w:hAnsi="仿宋" w:eastAsia="仿宋" w:cs="宋体"/>
          <w:color w:val="auto"/>
          <w:szCs w:val="24"/>
        </w:rPr>
        <w:fldChar w:fldCharType="end"/>
      </w:r>
      <w:r>
        <w:rPr>
          <w:rFonts w:hint="eastAsia" w:ascii="仿宋" w:hAnsi="仿宋" w:eastAsia="仿宋" w:cs="宋体"/>
          <w:color w:val="auto"/>
          <w:szCs w:val="24"/>
        </w:rPr>
        <w:t>.工程财产损失保险金额不得低于工程造价金额。</w:t>
      </w:r>
    </w:p>
    <w:p w14:paraId="0A150CD2">
      <w:pPr>
        <w:adjustRightInd w:val="0"/>
        <w:snapToGrid w:val="0"/>
        <w:ind w:firstLine="480"/>
        <w:rPr>
          <w:rFonts w:ascii="仿宋" w:hAnsi="仿宋" w:eastAsia="仿宋" w:cs="宋体"/>
          <w:color w:val="auto"/>
          <w:szCs w:val="24"/>
        </w:rPr>
      </w:pPr>
      <w:r>
        <w:rPr>
          <w:rFonts w:hint="eastAsia" w:ascii="仿宋" w:hAnsi="仿宋" w:eastAsia="仿宋" w:cs="宋体"/>
          <w:color w:val="auto"/>
          <w:szCs w:val="24"/>
        </w:rPr>
        <w:t>3、其他</w:t>
      </w:r>
    </w:p>
    <w:p w14:paraId="04D2BE24">
      <w:pPr>
        <w:adjustRightInd w:val="0"/>
        <w:snapToGrid w:val="0"/>
        <w:ind w:firstLine="480"/>
        <w:rPr>
          <w:rFonts w:ascii="仿宋" w:hAnsi="仿宋" w:eastAsia="仿宋" w:cs="宋体"/>
          <w:color w:val="auto"/>
          <w:szCs w:val="24"/>
        </w:rPr>
      </w:pPr>
      <w:r>
        <w:rPr>
          <w:rFonts w:ascii="仿宋" w:hAnsi="仿宋" w:eastAsia="仿宋" w:cs="宋体"/>
          <w:color w:val="auto"/>
          <w:szCs w:val="24"/>
        </w:rPr>
        <w:fldChar w:fldCharType="begin"/>
      </w:r>
      <w:r>
        <w:rPr>
          <w:rFonts w:ascii="仿宋" w:hAnsi="仿宋" w:eastAsia="仿宋" w:cs="宋体"/>
          <w:color w:val="auto"/>
          <w:szCs w:val="24"/>
        </w:rPr>
        <w:instrText xml:space="preserve"> </w:instrText>
      </w:r>
      <w:r>
        <w:rPr>
          <w:rFonts w:hint="eastAsia" w:ascii="仿宋" w:hAnsi="仿宋" w:eastAsia="仿宋" w:cs="宋体"/>
          <w:color w:val="auto"/>
          <w:szCs w:val="24"/>
        </w:rPr>
        <w:instrText xml:space="preserve">eq \o\ac(○,</w:instrText>
      </w:r>
      <w:r>
        <w:rPr>
          <w:rFonts w:hint="eastAsia" w:ascii="仿宋" w:hAnsi="仿宋" w:eastAsia="仿宋" w:cs="宋体"/>
          <w:color w:val="auto"/>
          <w:position w:val="3"/>
          <w:sz w:val="16"/>
          <w:szCs w:val="24"/>
        </w:rPr>
        <w:instrText xml:space="preserve">1</w:instrText>
      </w:r>
      <w:r>
        <w:rPr>
          <w:rFonts w:hint="eastAsia" w:ascii="仿宋" w:hAnsi="仿宋" w:eastAsia="仿宋" w:cs="宋体"/>
          <w:color w:val="auto"/>
          <w:szCs w:val="24"/>
        </w:rPr>
        <w:instrText xml:space="preserve">)</w:instrText>
      </w:r>
      <w:r>
        <w:rPr>
          <w:rFonts w:ascii="仿宋" w:hAnsi="仿宋" w:eastAsia="仿宋" w:cs="宋体"/>
          <w:color w:val="auto"/>
          <w:szCs w:val="24"/>
        </w:rPr>
        <w:fldChar w:fldCharType="end"/>
      </w:r>
      <w:r>
        <w:rPr>
          <w:rFonts w:hint="eastAsia" w:ascii="仿宋" w:hAnsi="仿宋" w:eastAsia="仿宋" w:cs="宋体"/>
          <w:color w:val="auto"/>
          <w:szCs w:val="24"/>
        </w:rPr>
        <w:t>.乙方应当在中标通知书发出后，合同开始履行前完成项目保险的投保，乙方应选择具有良好信誉和资质的保险公司进行投保，保险期应覆盖整个项目周期，按年度购买的，后续服务期，乙方应当提前一个月完成下一年度的投保。</w:t>
      </w:r>
    </w:p>
    <w:p w14:paraId="4EC7999C">
      <w:pPr>
        <w:adjustRightInd w:val="0"/>
        <w:snapToGrid w:val="0"/>
        <w:ind w:firstLine="480"/>
        <w:rPr>
          <w:rFonts w:ascii="仿宋" w:hAnsi="仿宋" w:eastAsia="仿宋" w:cs="宋体"/>
          <w:color w:val="auto"/>
          <w:szCs w:val="24"/>
        </w:rPr>
      </w:pPr>
      <w:r>
        <w:rPr>
          <w:rFonts w:ascii="仿宋" w:hAnsi="仿宋" w:eastAsia="仿宋" w:cs="宋体"/>
          <w:color w:val="auto"/>
          <w:szCs w:val="24"/>
        </w:rPr>
        <w:fldChar w:fldCharType="begin"/>
      </w:r>
      <w:r>
        <w:rPr>
          <w:rFonts w:ascii="仿宋" w:hAnsi="仿宋" w:eastAsia="仿宋" w:cs="宋体"/>
          <w:color w:val="auto"/>
          <w:szCs w:val="24"/>
        </w:rPr>
        <w:instrText xml:space="preserve"> </w:instrText>
      </w:r>
      <w:r>
        <w:rPr>
          <w:rFonts w:hint="eastAsia" w:ascii="仿宋" w:hAnsi="仿宋" w:eastAsia="仿宋" w:cs="宋体"/>
          <w:color w:val="auto"/>
          <w:szCs w:val="24"/>
        </w:rPr>
        <w:instrText xml:space="preserve">eq \o\ac(○,</w:instrText>
      </w:r>
      <w:r>
        <w:rPr>
          <w:rFonts w:hint="eastAsia" w:ascii="仿宋" w:hAnsi="仿宋" w:eastAsia="仿宋" w:cs="宋体"/>
          <w:color w:val="auto"/>
          <w:position w:val="3"/>
          <w:sz w:val="16"/>
          <w:szCs w:val="24"/>
        </w:rPr>
        <w:instrText xml:space="preserve">2</w:instrText>
      </w:r>
      <w:r>
        <w:rPr>
          <w:rFonts w:hint="eastAsia" w:ascii="仿宋" w:hAnsi="仿宋" w:eastAsia="仿宋" w:cs="宋体"/>
          <w:color w:val="auto"/>
          <w:szCs w:val="24"/>
        </w:rPr>
        <w:instrText xml:space="preserve">)</w:instrText>
      </w:r>
      <w:r>
        <w:rPr>
          <w:rFonts w:ascii="仿宋" w:hAnsi="仿宋" w:eastAsia="仿宋" w:cs="宋体"/>
          <w:color w:val="auto"/>
          <w:szCs w:val="24"/>
        </w:rPr>
        <w:fldChar w:fldCharType="end"/>
      </w:r>
      <w:r>
        <w:rPr>
          <w:rFonts w:hint="eastAsia" w:ascii="仿宋" w:hAnsi="仿宋" w:eastAsia="仿宋" w:cs="宋体"/>
          <w:color w:val="auto"/>
          <w:szCs w:val="24"/>
        </w:rPr>
        <w:t>.乙方投保建筑/安装工程一切险、公众责任险时应同时将甲方及相关方作为共同被保险人。</w:t>
      </w:r>
    </w:p>
    <w:p w14:paraId="3D2A5226">
      <w:pPr>
        <w:adjustRightInd w:val="0"/>
        <w:snapToGrid w:val="0"/>
        <w:ind w:firstLine="480"/>
        <w:rPr>
          <w:rFonts w:ascii="仿宋" w:hAnsi="仿宋" w:eastAsia="仿宋" w:cs="宋体"/>
          <w:color w:val="auto"/>
          <w:szCs w:val="24"/>
        </w:rPr>
      </w:pPr>
      <w:r>
        <w:rPr>
          <w:rFonts w:ascii="仿宋" w:hAnsi="仿宋" w:eastAsia="仿宋" w:cs="宋体"/>
          <w:color w:val="auto"/>
          <w:szCs w:val="24"/>
        </w:rPr>
        <w:fldChar w:fldCharType="begin"/>
      </w:r>
      <w:r>
        <w:rPr>
          <w:rFonts w:ascii="仿宋" w:hAnsi="仿宋" w:eastAsia="仿宋" w:cs="宋体"/>
          <w:color w:val="auto"/>
          <w:szCs w:val="24"/>
        </w:rPr>
        <w:instrText xml:space="preserve"> </w:instrText>
      </w:r>
      <w:r>
        <w:rPr>
          <w:rFonts w:hint="eastAsia" w:ascii="仿宋" w:hAnsi="仿宋" w:eastAsia="仿宋" w:cs="宋体"/>
          <w:color w:val="auto"/>
          <w:szCs w:val="24"/>
        </w:rPr>
        <w:instrText xml:space="preserve">eq \o\ac(○,</w:instrText>
      </w:r>
      <w:r>
        <w:rPr>
          <w:rFonts w:hint="eastAsia" w:ascii="仿宋" w:hAnsi="仿宋" w:eastAsia="仿宋" w:cs="宋体"/>
          <w:color w:val="auto"/>
          <w:position w:val="3"/>
          <w:sz w:val="16"/>
          <w:szCs w:val="24"/>
        </w:rPr>
        <w:instrText xml:space="preserve">3</w:instrText>
      </w:r>
      <w:r>
        <w:rPr>
          <w:rFonts w:hint="eastAsia" w:ascii="仿宋" w:hAnsi="仿宋" w:eastAsia="仿宋" w:cs="宋体"/>
          <w:color w:val="auto"/>
          <w:szCs w:val="24"/>
        </w:rPr>
        <w:instrText xml:space="preserve">)</w:instrText>
      </w:r>
      <w:r>
        <w:rPr>
          <w:rFonts w:ascii="仿宋" w:hAnsi="仿宋" w:eastAsia="仿宋" w:cs="宋体"/>
          <w:color w:val="auto"/>
          <w:szCs w:val="24"/>
        </w:rPr>
        <w:fldChar w:fldCharType="end"/>
      </w:r>
      <w:r>
        <w:rPr>
          <w:rFonts w:hint="eastAsia" w:ascii="仿宋" w:hAnsi="仿宋" w:eastAsia="仿宋" w:cs="宋体"/>
          <w:color w:val="auto"/>
          <w:szCs w:val="24"/>
        </w:rPr>
        <w:t>.乙方</w:t>
      </w:r>
      <w:r>
        <w:rPr>
          <w:rFonts w:ascii="仿宋" w:hAnsi="仿宋" w:eastAsia="仿宋" w:cs="宋体"/>
          <w:color w:val="auto"/>
          <w:szCs w:val="24"/>
        </w:rPr>
        <w:t>应及时向</w:t>
      </w:r>
      <w:r>
        <w:rPr>
          <w:rFonts w:hint="eastAsia" w:ascii="仿宋" w:hAnsi="仿宋" w:eastAsia="仿宋" w:cs="宋体"/>
          <w:color w:val="auto"/>
          <w:szCs w:val="24"/>
        </w:rPr>
        <w:t>甲方</w:t>
      </w:r>
      <w:r>
        <w:rPr>
          <w:rFonts w:ascii="仿宋" w:hAnsi="仿宋" w:eastAsia="仿宋" w:cs="宋体"/>
          <w:color w:val="auto"/>
          <w:szCs w:val="24"/>
        </w:rPr>
        <w:t>提交</w:t>
      </w:r>
      <w:r>
        <w:rPr>
          <w:rFonts w:hint="eastAsia" w:ascii="仿宋" w:hAnsi="仿宋" w:eastAsia="仿宋" w:cs="宋体"/>
          <w:color w:val="auto"/>
          <w:szCs w:val="24"/>
        </w:rPr>
        <w:t>所购买</w:t>
      </w:r>
      <w:r>
        <w:rPr>
          <w:rFonts w:ascii="仿宋" w:hAnsi="仿宋" w:eastAsia="仿宋" w:cs="宋体"/>
          <w:color w:val="auto"/>
          <w:szCs w:val="24"/>
        </w:rPr>
        <w:t>保险</w:t>
      </w:r>
      <w:r>
        <w:rPr>
          <w:rFonts w:hint="eastAsia" w:ascii="仿宋" w:hAnsi="仿宋" w:eastAsia="仿宋" w:cs="宋体"/>
          <w:color w:val="auto"/>
          <w:szCs w:val="24"/>
        </w:rPr>
        <w:t>的</w:t>
      </w:r>
      <w:r>
        <w:rPr>
          <w:rFonts w:ascii="仿宋" w:hAnsi="仿宋" w:eastAsia="仿宋" w:cs="宋体"/>
          <w:color w:val="auto"/>
          <w:szCs w:val="24"/>
        </w:rPr>
        <w:t>凭证</w:t>
      </w:r>
      <w:r>
        <w:rPr>
          <w:rFonts w:hint="eastAsia" w:ascii="仿宋" w:hAnsi="仿宋" w:eastAsia="仿宋" w:cs="宋体"/>
          <w:color w:val="auto"/>
          <w:szCs w:val="24"/>
        </w:rPr>
        <w:t>、</w:t>
      </w:r>
      <w:r>
        <w:rPr>
          <w:rFonts w:ascii="仿宋" w:hAnsi="仿宋" w:eastAsia="仿宋" w:cs="宋体"/>
          <w:color w:val="auto"/>
          <w:szCs w:val="24"/>
        </w:rPr>
        <w:t>保险单复印件，保险单</w:t>
      </w:r>
      <w:r>
        <w:rPr>
          <w:rFonts w:hint="eastAsia" w:ascii="仿宋" w:hAnsi="仿宋" w:eastAsia="仿宋" w:cs="宋体"/>
          <w:color w:val="auto"/>
          <w:szCs w:val="24"/>
        </w:rPr>
        <w:t>内容</w:t>
      </w:r>
      <w:r>
        <w:rPr>
          <w:rFonts w:ascii="仿宋" w:hAnsi="仿宋" w:eastAsia="仿宋" w:cs="宋体"/>
          <w:color w:val="auto"/>
          <w:szCs w:val="24"/>
        </w:rPr>
        <w:t>必须与</w:t>
      </w:r>
      <w:r>
        <w:rPr>
          <w:rFonts w:hint="eastAsia" w:ascii="仿宋" w:hAnsi="仿宋" w:eastAsia="仿宋" w:cs="宋体"/>
          <w:color w:val="auto"/>
          <w:szCs w:val="24"/>
        </w:rPr>
        <w:t>甲方要求</w:t>
      </w:r>
      <w:r>
        <w:rPr>
          <w:rFonts w:ascii="仿宋" w:hAnsi="仿宋" w:eastAsia="仿宋" w:cs="宋体"/>
          <w:color w:val="auto"/>
          <w:szCs w:val="24"/>
        </w:rPr>
        <w:t>保持一致。</w:t>
      </w:r>
    </w:p>
    <w:p w14:paraId="44507AE8">
      <w:pPr>
        <w:rPr>
          <w:color w:val="auto"/>
        </w:rPr>
      </w:pPr>
    </w:p>
    <w:bookmarkEnd w:id="3"/>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Arial Unicode MS">
    <w:altName w:val="宋体"/>
    <w:panose1 w:val="020B0604020202020204"/>
    <w:charset w:val="86"/>
    <w:family w:val="roman"/>
    <w:pitch w:val="default"/>
    <w:sig w:usb0="00000000" w:usb1="00000000" w:usb2="0000003F" w:usb3="00000000" w:csb0="603F01FF" w:csb1="FFFF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C3B3A">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25F2A4">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525F2A4">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E4AB4C"/>
    <w:multiLevelType w:val="singleLevel"/>
    <w:tmpl w:val="C6E4AB4C"/>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1928D4"/>
    <w:rsid w:val="053221DD"/>
    <w:rsid w:val="0A607363"/>
    <w:rsid w:val="0C184A18"/>
    <w:rsid w:val="0FAA4F28"/>
    <w:rsid w:val="30B31DDA"/>
    <w:rsid w:val="40BA0D05"/>
    <w:rsid w:val="41812F3D"/>
    <w:rsid w:val="4C59082D"/>
    <w:rsid w:val="4F876573"/>
    <w:rsid w:val="593A768F"/>
    <w:rsid w:val="59D07F95"/>
    <w:rsid w:val="6DCF01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Calibri" w:hAnsi="Calibri" w:eastAsia="仿宋_GB2312" w:cs="Times New Roman"/>
      <w:kern w:val="2"/>
      <w:sz w:val="24"/>
      <w:szCs w:val="22"/>
      <w:lang w:val="en-US" w:eastAsia="zh-CN" w:bidi="ar-SA"/>
    </w:rPr>
  </w:style>
  <w:style w:type="paragraph" w:styleId="2">
    <w:name w:val="heading 2"/>
    <w:basedOn w:val="1"/>
    <w:next w:val="1"/>
    <w:qFormat/>
    <w:uiPriority w:val="0"/>
    <w:pPr>
      <w:keepNext/>
      <w:keepLines/>
      <w:spacing w:before="120" w:after="120" w:line="416" w:lineRule="auto"/>
      <w:outlineLvl w:val="1"/>
    </w:pPr>
    <w:rPr>
      <w:rFonts w:ascii="Arial" w:hAnsi="Arial" w:eastAsia="黑体"/>
      <w:b/>
      <w:bCs/>
      <w:sz w:val="30"/>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Indent"/>
    <w:basedOn w:val="1"/>
    <w:next w:val="4"/>
    <w:qFormat/>
    <w:uiPriority w:val="99"/>
    <w:pPr>
      <w:spacing w:line="360" w:lineRule="auto"/>
      <w:ind w:firstLine="600"/>
    </w:pPr>
    <w:rPr>
      <w:rFonts w:ascii="??_GB2312" w:eastAsia="Times New Roman"/>
      <w:sz w:val="30"/>
    </w:rPr>
  </w:style>
  <w:style w:type="paragraph" w:styleId="4">
    <w:name w:val="envelope return"/>
    <w:basedOn w:val="1"/>
    <w:qFormat/>
    <w:uiPriority w:val="0"/>
    <w:pPr>
      <w:snapToGrid w:val="0"/>
    </w:pPr>
    <w:rPr>
      <w:rFonts w:ascii="Arial" w:hAnsi="Arial" w:eastAsia="宋体" w:cs="Times New Roman"/>
    </w:rPr>
  </w:style>
  <w:style w:type="paragraph" w:styleId="5">
    <w:name w:val="Plain Text"/>
    <w:basedOn w:val="1"/>
    <w:qFormat/>
    <w:uiPriority w:val="0"/>
    <w:rPr>
      <w:rFonts w:ascii="宋体" w:hAnsi="Courier New"/>
    </w:rPr>
  </w:style>
  <w:style w:type="paragraph" w:styleId="6">
    <w:name w:val="Date"/>
    <w:basedOn w:val="1"/>
    <w:next w:val="1"/>
    <w:qFormat/>
    <w:uiPriority w:val="0"/>
    <w:pPr>
      <w:ind w:left="100" w:leftChars="25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Body Text First Indent 2"/>
    <w:basedOn w:val="3"/>
    <w:qFormat/>
    <w:uiPriority w:val="0"/>
    <w:pPr>
      <w:spacing w:after="120" w:line="240" w:lineRule="auto"/>
      <w:ind w:left="420" w:leftChars="200" w:firstLine="420" w:firstLineChars="200"/>
    </w:pPr>
    <w:rPr>
      <w:rFonts w:ascii="Calibri" w:eastAsia="宋体"/>
      <w:sz w:val="28"/>
    </w:rPr>
  </w:style>
  <w:style w:type="paragraph" w:customStyle="1" w:styleId="12">
    <w:name w:val="段"/>
    <w:next w:val="13"/>
    <w:qFormat/>
    <w:uiPriority w:val="0"/>
    <w:pPr>
      <w:autoSpaceDE w:val="0"/>
      <w:autoSpaceDN w:val="0"/>
      <w:ind w:firstLine="200"/>
      <w:jc w:val="both"/>
    </w:pPr>
    <w:rPr>
      <w:rFonts w:ascii="宋体" w:hAnsi="Times New Roman" w:eastAsia="宋体" w:cs="Times New Roman"/>
      <w:sz w:val="21"/>
      <w:lang w:val="en-US" w:eastAsia="zh-CN" w:bidi="ar-SA"/>
    </w:rPr>
  </w:style>
  <w:style w:type="paragraph" w:customStyle="1" w:styleId="13">
    <w:name w:val="正文 A"/>
    <w:next w:val="12"/>
    <w:qFormat/>
    <w:uiPriority w:val="0"/>
    <w:pPr>
      <w:widowControl w:val="0"/>
      <w:jc w:val="both"/>
    </w:pPr>
    <w:rPr>
      <w:rFonts w:ascii="Arial Unicode MS" w:hAnsi="Arial Unicode MS" w:eastAsia="Times New Roman" w:cs="Arial Unicode MS"/>
      <w:color w:val="000000"/>
      <w:kern w:val="2"/>
      <w:sz w:val="21"/>
      <w:szCs w:val="21"/>
      <w:lang w:val="en-US" w:eastAsia="zh-CN" w:bidi="ar-SA"/>
    </w:rPr>
  </w:style>
  <w:style w:type="paragraph" w:customStyle="1" w:styleId="14">
    <w:name w:val="表格"/>
    <w:basedOn w:val="1"/>
    <w:qFormat/>
    <w:uiPriority w:val="0"/>
    <w:rPr>
      <w:rFonts w:ascii="宋体" w:hAnsi="宋体" w:cs="宋体"/>
    </w:rPr>
  </w:style>
  <w:style w:type="paragraph" w:customStyle="1" w:styleId="15">
    <w:name w:val="报告正文"/>
    <w:basedOn w:val="1"/>
    <w:qFormat/>
    <w:uiPriority w:val="0"/>
    <w:pPr>
      <w:spacing w:line="360" w:lineRule="auto"/>
      <w:ind w:firstLine="48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8407</Words>
  <Characters>9535</Characters>
  <Lines>0</Lines>
  <Paragraphs>0</Paragraphs>
  <TotalTime>3</TotalTime>
  <ScaleCrop>false</ScaleCrop>
  <LinksUpToDate>false</LinksUpToDate>
  <CharactersWithSpaces>9647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2025-07-09T06:08:00Z</dcterms:created>
  <dc:creator>Administrator</dc:creator>
  <cp:lastModifiedBy>微信用户</cp:lastModifiedBy>
  <dcterms:modified xsi:type="dcterms:W3CDTF">2025-08-01T08:40:59Z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eyJoZGlkIjoiZmNhYzAxNGYzMDUwY2JlOTYzOGM0MzM4ZmNiOTZjODUiLCJ1c2VySWQiOiIxMjE3NzU0MzE5In0=</vt:lpwstr>
  </property>
  <property fmtid="{D5CDD505-2E9C-101B-9397-08002B2CF9AE}" pid="4" name="ICV">
    <vt:lpwstr>A58289719A80409BB7581412EC529C63_12</vt:lpwstr>
  </property>
</Properties>
</file>