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03"/>
        <w:rPr>
          <w:rFonts w:hint="eastAsia"/>
        </w:rPr>
      </w:pPr>
      <w:r>
        <w:rPr>
          <w:rFonts w:hint="eastAsia"/>
        </w:rPr>
      </w:r>
      <w:r/>
    </w:p>
    <w:p>
      <w:pPr>
        <w:pStyle w:val="89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91"/>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南通市食品药品监督检验中心2024年仪器设备采购项目Ⅱ</w:t>
      </w:r>
      <w:r>
        <w:rPr>
          <w:rFonts w:hint="eastAsia" w:ascii="Arial" w:hAnsi="Arial" w:eastAsia="宋体" w:cs="Times New Roman"/>
          <w:b/>
          <w:bCs/>
          <w:color w:val="000000"/>
          <w:sz w:val="32"/>
          <w:szCs w:val="24"/>
        </w:rPr>
      </w:r>
      <w:r/>
    </w:p>
    <w:p>
      <w:pPr>
        <w:pStyle w:val="891"/>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项目编号：JSZC-320600-JZCG-G2024-0143</w:t>
      </w:r>
      <w:r>
        <w:rPr>
          <w:rFonts w:hint="eastAsia" w:ascii="Arial" w:hAnsi="Arial"/>
          <w:b/>
          <w:bCs/>
          <w:color w:val="000000"/>
          <w:sz w:val="32"/>
          <w:szCs w:val="24"/>
        </w:rPr>
      </w:r>
      <w:r/>
    </w:p>
    <w:p>
      <w:pPr>
        <w:pStyle w:val="89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89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89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024</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9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9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9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9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9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9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受</w:t>
      </w:r>
      <w:r>
        <w:rPr>
          <w:rFonts w:hint="eastAsia" w:ascii="仿宋" w:hAnsi="仿宋" w:eastAsia="仿宋"/>
          <w:i/>
          <w:color w:val="000000"/>
          <w:sz w:val="28"/>
          <w:szCs w:val="28"/>
        </w:rPr>
        <w:t xml:space="preserve">[南通市食品药品监督检验中心]</w:t>
      </w:r>
      <w:r>
        <w:rPr>
          <w:rFonts w:hint="eastAsia" w:ascii="仿宋" w:hAnsi="仿宋" w:eastAsia="仿宋"/>
          <w:color w:val="000000"/>
          <w:sz w:val="28"/>
          <w:szCs w:val="28"/>
        </w:rPr>
        <w:t xml:space="preserve">的委托，南通市政府采购中心就</w:t>
      </w:r>
      <w:r>
        <w:rPr>
          <w:rFonts w:hint="eastAsia" w:ascii="仿宋" w:hAnsi="仿宋" w:eastAsia="仿宋"/>
          <w:i/>
          <w:color w:val="000000"/>
          <w:sz w:val="28"/>
          <w:szCs w:val="28"/>
        </w:rPr>
        <w:t xml:space="preserve">[南通市食品药品监督检验中心2024年仪器设备采购项目Ⅱ]([JSZC-320600-JZCG-G2024-0143])</w:t>
      </w:r>
      <w:r>
        <w:rPr>
          <w:rFonts w:hint="eastAsia" w:ascii="仿宋" w:hAnsi="仿宋" w:eastAsia="仿宋"/>
          <w:color w:val="000000"/>
          <w:sz w:val="28"/>
          <w:szCs w:val="28"/>
        </w:rPr>
        <w:t xml:space="preserve">项目进行公开招标采购，欢迎符合条件的供应商投标。</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28"/>
          <w:szCs w:val="28"/>
        </w:rPr>
        <w:t xml:space="preserve">项目概况</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i/>
          <w:color w:val="000000"/>
          <w:sz w:val="28"/>
          <w:szCs w:val="28"/>
          <w:u w:val="single"/>
        </w:rPr>
        <w:t xml:space="preserve">南通市食品药品监督检验中心2024年仪器设备采购项目Ⅱ</w:t>
      </w:r>
      <w:r>
        <w:rPr>
          <w:rFonts w:hint="eastAsia" w:ascii="仿宋" w:hAnsi="仿宋" w:eastAsia="仿宋"/>
          <w:i/>
          <w:color w:val="000000"/>
          <w:sz w:val="28"/>
          <w:szCs w:val="28"/>
        </w:rPr>
        <w:t xml:space="preserve"> </w:t>
      </w:r>
      <w:r>
        <w:rPr>
          <w:rFonts w:hint="eastAsia" w:ascii="仿宋" w:hAnsi="仿宋" w:eastAsia="仿宋"/>
          <w:color w:val="000000"/>
          <w:sz w:val="28"/>
          <w:szCs w:val="28"/>
        </w:rPr>
        <w:t xml:space="preserve">招标项目的潜在投标人可在</w:t>
      </w:r>
      <w:r>
        <w:rPr>
          <w:rFonts w:hint="eastAsia" w:ascii="仿宋" w:hAnsi="仿宋" w:eastAsia="仿宋"/>
          <w:color w:val="000000"/>
          <w:sz w:val="28"/>
          <w:szCs w:val="28"/>
          <w:u w:val="single"/>
        </w:rPr>
        <w:t xml:space="preserve">“江苏政府采购网”自行免费下载</w:t>
      </w:r>
      <w:r>
        <w:rPr>
          <w:rFonts w:hint="eastAsia" w:ascii="仿宋" w:hAnsi="仿宋" w:eastAsia="仿宋"/>
          <w:color w:val="000000"/>
          <w:sz w:val="28"/>
          <w:szCs w:val="28"/>
        </w:rPr>
        <w:t xml:space="preserve">招标文件，并于</w:t>
      </w:r>
      <w:r>
        <w:rPr>
          <w:rFonts w:hint="eastAsia" w:ascii="仿宋" w:hAnsi="仿宋" w:eastAsia="仿宋"/>
          <w:color w:val="000000"/>
          <w:sz w:val="28"/>
          <w:szCs w:val="28"/>
          <w:u w:val="single"/>
          <w:lang w:val="en-US" w:eastAsia="zh-CN"/>
        </w:rPr>
        <w:t xml:space="preserve">2024</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月15日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4</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北京时间）前递交投标</w:t>
      </w:r>
      <w:r>
        <w:rPr>
          <w:rFonts w:ascii="仿宋" w:hAnsi="仿宋" w:eastAsia="仿宋"/>
          <w:bCs/>
          <w:color w:val="000000"/>
          <w:sz w:val="28"/>
          <w:szCs w:val="28"/>
        </w:rPr>
        <w:t xml:space="preserve">文件</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91"/>
        <w:ind w:firstLine="436"/>
        <w:keepLines/>
        <w:keepNext/>
        <w:spacing w:before="145" w:after="145" w:line="480" w:lineRule="exact"/>
        <w:rPr>
          <w:rFonts w:ascii="仿宋" w:hAnsi="仿宋" w:eastAsia="仿宋"/>
          <w:b/>
          <w:bCs/>
          <w:color w:val="000000"/>
          <w:sz w:val="28"/>
          <w:szCs w:val="28"/>
        </w:rPr>
        <w:outlineLvl w:val="2"/>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ascii="仿宋" w:hAnsi="仿宋" w:eastAsia="仿宋"/>
          <w:b/>
          <w:bCs/>
          <w:color w:val="000000"/>
          <w:sz w:val="28"/>
          <w:szCs w:val="28"/>
        </w:rPr>
        <w:t xml:space="preserve">一、项目基本情况</w:t>
      </w:r>
      <w:bookmarkEnd w:id="6"/>
      <w:r/>
      <w:bookmarkEnd w:id="7"/>
      <w:r/>
      <w:bookmarkEnd w:id="8"/>
      <w:r/>
      <w:bookmarkEnd w:id="9"/>
      <w:r/>
      <w:bookmarkEnd w:id="10"/>
      <w:r>
        <w:rPr>
          <w:rFonts w:ascii="仿宋" w:hAnsi="仿宋" w:eastAsia="仿宋"/>
          <w:b/>
          <w:bCs/>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1.项目编号：JSZC-320600-JZCG-G2024-0143</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2.项目名称：南通市食品药品监督检验中心2024年仪器设备采购项目Ⅱ</w:t>
      </w:r>
      <w:r>
        <w:rPr>
          <w:rFonts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bookmarkEnd w:id="11"/>
      <w:r>
        <w:rPr>
          <w:rFonts w:hint="eastAsia" w:ascii="仿宋" w:hAnsi="仿宋" w:eastAsia="仿宋"/>
          <w:color w:val="000000"/>
          <w:sz w:val="28"/>
          <w:szCs w:val="28"/>
        </w:rPr>
        <w:t xml:space="preserve">3.预算金额：350</w:t>
      </w:r>
      <w:r>
        <w:rPr>
          <w:rFonts w:ascii="仿宋" w:hAnsi="仿宋" w:eastAsia="仿宋"/>
          <w:color w:val="000000"/>
          <w:sz w:val="28"/>
          <w:szCs w:val="28"/>
        </w:rPr>
        <w:t xml:space="preserve">万元</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4.最高限价：350</w:t>
      </w:r>
      <w:r>
        <w:rPr>
          <w:rFonts w:ascii="仿宋" w:hAnsi="仿宋" w:eastAsia="仿宋"/>
          <w:color w:val="000000"/>
          <w:sz w:val="28"/>
          <w:szCs w:val="28"/>
        </w:rPr>
        <w:t xml:space="preserve">万元</w:t>
      </w:r>
      <w:r>
        <w:rPr>
          <w:rFonts w:hint="eastAsia" w:ascii="仿宋" w:hAnsi="仿宋" w:eastAsia="仿宋"/>
          <w:color w:val="000000"/>
          <w:sz w:val="28"/>
          <w:szCs w:val="28"/>
        </w:rPr>
      </w:r>
      <w:r/>
    </w:p>
    <w:p>
      <w:pPr>
        <w:pStyle w:val="891"/>
        <w:ind w:firstLine="560"/>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5.采购需求：</w:t>
      </w:r>
      <w:r>
        <w:rPr>
          <w:rFonts w:hint="eastAsia" w:ascii="仿宋" w:hAnsi="仿宋" w:eastAsia="仿宋" w:cs="宋体"/>
          <w:color w:val="000000"/>
          <w:sz w:val="28"/>
          <w:szCs w:val="28"/>
        </w:rPr>
        <w:t xml:space="preserve">详细内容见本招标文件第四章</w:t>
      </w:r>
      <w:r>
        <w:rPr>
          <w:rFonts w:ascii="仿宋" w:hAnsi="仿宋" w:eastAsia="仿宋"/>
          <w:color w:val="000000"/>
          <w:sz w:val="28"/>
          <w:szCs w:val="28"/>
          <w:u w:val="single"/>
        </w:rPr>
      </w:r>
      <w:r/>
    </w:p>
    <w:p>
      <w:pPr>
        <w:pStyle w:val="891"/>
        <w:ind w:firstLine="560"/>
        <w:spacing w:line="360" w:lineRule="exact"/>
        <w:rPr>
          <w:rFonts w:ascii="仿宋" w:hAnsi="仿宋" w:eastAsia="仿宋"/>
          <w:color w:val="000000"/>
          <w:sz w:val="28"/>
          <w:szCs w:val="28"/>
          <w:u w:val="single"/>
        </w:rPr>
      </w:pPr>
      <w:r>
        <w:rPr>
          <w:rFonts w:hint="eastAsia" w:ascii="仿宋" w:hAnsi="仿宋" w:eastAsia="仿宋"/>
          <w:color w:val="000000"/>
          <w:sz w:val="28"/>
          <w:szCs w:val="28"/>
        </w:rPr>
        <w:t xml:space="preserve">6.合同履行期限：</w:t>
      </w:r>
      <w:bookmarkStart w:id="12" w:name="_Hlk175314915"/>
      <w:r>
        <w:rPr>
          <w:rFonts w:hint="eastAsia" w:ascii="仿宋" w:hAnsi="仿宋" w:eastAsia="仿宋"/>
          <w:color w:val="000000"/>
          <w:sz w:val="28"/>
          <w:szCs w:val="28"/>
        </w:rPr>
        <w:t xml:space="preserve">合同签订后</w:t>
      </w:r>
      <w:r>
        <w:rPr>
          <w:rFonts w:hint="eastAsia" w:ascii="仿宋" w:hAnsi="仿宋" w:eastAsia="仿宋"/>
          <w:sz w:val="28"/>
          <w:szCs w:val="28"/>
        </w:rPr>
        <w:t xml:space="preserve">40</w:t>
      </w:r>
      <w:r>
        <w:rPr>
          <w:rFonts w:hint="eastAsia" w:ascii="仿宋" w:hAnsi="仿宋" w:eastAsia="仿宋"/>
          <w:color w:val="000000"/>
          <w:sz w:val="28"/>
          <w:szCs w:val="28"/>
        </w:rPr>
        <w:t xml:space="preserve">天内送达采购人指定地点并安装调试完毕。</w:t>
      </w:r>
      <w:bookmarkEnd w:id="12"/>
      <w:r>
        <w:rPr>
          <w:rFonts w:ascii="仿宋" w:hAnsi="仿宋" w:eastAsia="仿宋"/>
          <w:color w:val="000000"/>
          <w:sz w:val="28"/>
          <w:szCs w:val="28"/>
          <w:u w:val="single"/>
        </w:rPr>
      </w:r>
      <w:r/>
    </w:p>
    <w:p>
      <w:pPr>
        <w:pStyle w:val="891"/>
        <w:ind w:firstLine="436"/>
        <w:keepLines/>
        <w:keepNext/>
        <w:spacing w:before="145" w:after="145" w:line="480" w:lineRule="exact"/>
        <w:rPr>
          <w:rFonts w:ascii="仿宋" w:hAnsi="仿宋" w:eastAsia="仿宋"/>
          <w:b/>
          <w:bCs/>
          <w:color w:val="000000"/>
          <w:sz w:val="28"/>
          <w:szCs w:val="28"/>
        </w:rPr>
        <w:outlineLvl w:val="2"/>
      </w:pPr>
      <w:r/>
      <w:bookmarkStart w:id="13" w:name="_Toc28359003"/>
      <w:r/>
      <w:bookmarkStart w:id="14" w:name="_Toc28359080"/>
      <w:r/>
      <w:bookmarkStart w:id="15" w:name="_Toc35393622"/>
      <w:r/>
      <w:bookmarkStart w:id="16" w:name="_Toc38985264"/>
      <w:r/>
      <w:bookmarkStart w:id="17" w:name="_Toc35393791"/>
      <w:r>
        <w:rPr>
          <w:rFonts w:hint="eastAsia" w:ascii="仿宋" w:hAnsi="仿宋" w:eastAsia="仿宋"/>
          <w:b/>
          <w:bCs/>
          <w:color w:val="000000"/>
          <w:sz w:val="28"/>
          <w:szCs w:val="28"/>
        </w:rPr>
        <w:t xml:space="preserve">二、申请人的资格要求：</w:t>
      </w:r>
      <w:bookmarkEnd w:id="13"/>
      <w:r/>
      <w:bookmarkEnd w:id="14"/>
      <w:r/>
      <w:bookmarkEnd w:id="15"/>
      <w:r/>
      <w:bookmarkEnd w:id="16"/>
      <w:r/>
      <w:bookmarkEnd w:id="17"/>
      <w:r>
        <w:rPr>
          <w:rFonts w:ascii="仿宋" w:hAnsi="仿宋" w:eastAsia="仿宋"/>
          <w:b/>
          <w:bCs/>
          <w:color w:val="000000"/>
          <w:sz w:val="28"/>
          <w:szCs w:val="28"/>
        </w:rPr>
      </w:r>
      <w:r/>
    </w:p>
    <w:p>
      <w:pPr>
        <w:pStyle w:val="891"/>
        <w:ind w:firstLine="560"/>
        <w:spacing w:line="480" w:lineRule="exact"/>
        <w:rPr>
          <w:rFonts w:hint="eastAsia" w:ascii="仿宋" w:hAnsi="仿宋" w:eastAsia="仿宋"/>
          <w:color w:val="000000"/>
          <w:sz w:val="28"/>
          <w:szCs w:val="28"/>
        </w:rPr>
      </w:pPr>
      <w:r/>
      <w:bookmarkStart w:id="18" w:name="_Toc38985265"/>
      <w:r/>
      <w:bookmarkStart w:id="19" w:name="_Toc35393623"/>
      <w:r/>
      <w:bookmarkStart w:id="20" w:name="_Toc28359081"/>
      <w:r/>
      <w:bookmarkStart w:id="21" w:name="_Toc35393792"/>
      <w:r/>
      <w:bookmarkStart w:id="22" w:name="_Toc28359004"/>
      <w:r>
        <w:rPr>
          <w:rFonts w:hint="eastAsia" w:ascii="仿宋" w:hAnsi="仿宋" w:eastAsia="仿宋"/>
          <w:color w:val="000000"/>
          <w:sz w:val="28"/>
          <w:szCs w:val="28"/>
        </w:rPr>
        <w:t xml:space="preserve">（一</w:t>
      </w:r>
      <w:r>
        <w:rPr>
          <w:rFonts w:ascii="仿宋" w:hAnsi="仿宋" w:eastAsia="仿宋"/>
          <w:color w:val="000000"/>
          <w:sz w:val="28"/>
          <w:szCs w:val="28"/>
        </w:rPr>
        <w:t xml:space="preserve">）</w:t>
      </w:r>
      <w:r>
        <w:rPr>
          <w:rFonts w:hint="eastAsia" w:ascii="仿宋" w:hAnsi="仿宋" w:eastAsia="仿宋"/>
          <w:color w:val="000000"/>
          <w:sz w:val="28"/>
          <w:szCs w:val="28"/>
        </w:rPr>
        <w:t xml:space="preserve">通用</w:t>
      </w:r>
      <w:r>
        <w:rPr>
          <w:rFonts w:ascii="仿宋" w:hAnsi="仿宋" w:eastAsia="仿宋"/>
          <w:color w:val="000000"/>
          <w:sz w:val="28"/>
          <w:szCs w:val="28"/>
        </w:rPr>
        <w:t xml:space="preserve">资格要求</w:t>
      </w:r>
      <w:r>
        <w:rPr>
          <w:rFonts w:hint="eastAsia"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1.满足《中华人民共和国政府采购法》第二十二条规定。</w:t>
      </w:r>
      <w:r>
        <w:rPr>
          <w:rFonts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w:t>
      </w:r>
      <w:r>
        <w:rPr>
          <w:rFonts w:hint="eastAsia" w:ascii="仿宋" w:hAnsi="仿宋" w:eastAsia="仿宋"/>
          <w:color w:val="000000"/>
          <w:sz w:val="28"/>
          <w:szCs w:val="28"/>
          <w:highlight w:val="none"/>
        </w:rPr>
        <w:t xml:space="preserve">料）</w:t>
      </w:r>
      <w:r>
        <w:rPr>
          <w:rFonts w:hint="eastAsia" w:ascii="仿宋" w:hAnsi="仿宋" w:eastAsia="仿宋"/>
          <w:color w:val="000000"/>
          <w:sz w:val="28"/>
          <w:szCs w:val="28"/>
          <w:highlight w:val="none"/>
        </w:rPr>
      </w:r>
      <w:r/>
    </w:p>
    <w:p>
      <w:pPr>
        <w:pStyle w:val="891"/>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3.落实政府采购政策需满足的资格要求：无。</w:t>
      </w:r>
      <w:r>
        <w:rPr>
          <w:rFonts w:ascii="仿宋" w:hAnsi="仿宋" w:eastAsia="仿宋"/>
          <w:color w:val="000000"/>
          <w:sz w:val="28"/>
          <w:szCs w:val="28"/>
          <w:highlight w:val="none"/>
        </w:rPr>
      </w:r>
      <w:r/>
    </w:p>
    <w:p>
      <w:pPr>
        <w:pStyle w:val="89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4.本项目不接受联合体投标。</w:t>
      </w:r>
      <w:r>
        <w:rPr>
          <w:rFonts w:hint="eastAsia" w:ascii="仿宋" w:hAnsi="仿宋" w:eastAsia="仿宋"/>
          <w:color w:val="000000"/>
          <w:sz w:val="28"/>
          <w:szCs w:val="28"/>
          <w:highlight w:val="none"/>
        </w:rPr>
      </w:r>
      <w:r/>
    </w:p>
    <w:p>
      <w:pPr>
        <w:pStyle w:val="891"/>
        <w:ind w:firstLine="560"/>
        <w:spacing w:line="480" w:lineRule="exact"/>
        <w:rPr>
          <w:rFonts w:ascii="仿宋" w:hAnsi="仿宋" w:eastAsia="仿宋" w:cs="宋体"/>
          <w:color w:val="000000"/>
          <w:sz w:val="28"/>
          <w:szCs w:val="28"/>
          <w:highlight w:val="none"/>
        </w:rPr>
      </w:pPr>
      <w:r>
        <w:rPr>
          <w:rFonts w:hint="eastAsia" w:ascii="仿宋" w:hAnsi="仿宋" w:eastAsia="仿宋" w:cs="宋体"/>
          <w:i/>
          <w:color w:val="000000"/>
          <w:sz w:val="28"/>
          <w:szCs w:val="28"/>
          <w:highlight w:val="none"/>
        </w:rPr>
        <w:t xml:space="preserve">5.</w:t>
      </w:r>
      <w:r>
        <w:rPr>
          <w:rFonts w:hint="eastAsia" w:ascii="仿宋" w:hAnsi="仿宋" w:eastAsia="仿宋"/>
          <w:color w:val="000000"/>
          <w:sz w:val="28"/>
          <w:szCs w:val="28"/>
          <w:highlight w:val="none"/>
        </w:rPr>
        <w:t xml:space="preserve"> 本项目不接受分包。</w:t>
      </w:r>
      <w:r>
        <w:rPr>
          <w:rFonts w:ascii="仿宋" w:hAnsi="仿宋" w:eastAsia="仿宋" w:cs="宋体"/>
          <w:color w:val="000000"/>
          <w:sz w:val="28"/>
          <w:szCs w:val="28"/>
          <w:highlight w:val="none"/>
        </w:rPr>
      </w:r>
      <w:r/>
    </w:p>
    <w:p>
      <w:pPr>
        <w:pStyle w:val="89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（二）本项目的特定资格要求</w:t>
      </w:r>
      <w:r>
        <w:rPr>
          <w:rFonts w:hint="eastAsia" w:ascii="仿宋" w:hAnsi="仿宋" w:eastAsia="仿宋"/>
          <w:color w:val="000000"/>
          <w:sz w:val="28"/>
          <w:szCs w:val="28"/>
          <w:highlight w:val="none"/>
        </w:rPr>
      </w:r>
      <w:r/>
    </w:p>
    <w:p>
      <w:pPr>
        <w:pStyle w:val="891"/>
        <w:ind w:firstLine="504"/>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1.本项目接受产品代理商或经销商投标；</w:t>
      </w:r>
      <w:r>
        <w:rPr>
          <w:rFonts w:hint="eastAsia" w:ascii="仿宋" w:hAnsi="仿宋" w:eastAsia="仿宋"/>
          <w:color w:val="000000"/>
          <w:sz w:val="28"/>
          <w:szCs w:val="28"/>
        </w:rPr>
      </w:r>
      <w:r/>
    </w:p>
    <w:p>
      <w:pPr>
        <w:pStyle w:val="891"/>
        <w:ind w:firstLine="434"/>
        <w:keepLines/>
        <w:keepNext/>
        <w:spacing w:before="145" w:after="145" w:line="480" w:lineRule="exact"/>
        <w:rPr>
          <w:rFonts w:hint="eastAsia" w:ascii="仿宋" w:hAnsi="仿宋" w:eastAsia="仿宋"/>
          <w:color w:val="000000"/>
          <w:sz w:val="28"/>
          <w:szCs w:val="28"/>
        </w:rPr>
        <w:outlineLvl w:val="2"/>
      </w:pPr>
      <w:r>
        <w:rPr>
          <w:rFonts w:hint="eastAsia" w:ascii="仿宋" w:hAnsi="仿宋" w:eastAsia="仿宋"/>
          <w:color w:val="000000"/>
          <w:sz w:val="28"/>
          <w:szCs w:val="28"/>
        </w:rPr>
        <w:t xml:space="preserve">2.投标产品如果为进口产品的，投标人须提供制造商的专项授权书原件扫描件（本次采购接受进口产品投标情况详见采购需求）。</w:t>
      </w:r>
      <w:r>
        <w:rPr>
          <w:rFonts w:hint="eastAsia" w:ascii="仿宋" w:hAnsi="仿宋" w:eastAsia="仿宋"/>
          <w:color w:val="000000"/>
          <w:sz w:val="28"/>
          <w:szCs w:val="28"/>
        </w:rPr>
      </w:r>
      <w:r/>
    </w:p>
    <w:p>
      <w:pPr>
        <w:pStyle w:val="891"/>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三、获取招标文件</w:t>
      </w:r>
      <w:bookmarkEnd w:id="18"/>
      <w:r/>
      <w:bookmarkEnd w:id="19"/>
      <w:r/>
      <w:bookmarkEnd w:id="20"/>
      <w:r/>
      <w:bookmarkEnd w:id="21"/>
      <w:r/>
      <w:bookmarkEnd w:id="22"/>
      <w:r>
        <w:rPr>
          <w:rFonts w:ascii="仿宋" w:hAnsi="仿宋" w:eastAsia="仿宋"/>
          <w:b/>
          <w:bCs/>
          <w:color w:val="000000"/>
          <w:sz w:val="28"/>
          <w:szCs w:val="28"/>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bookmarkStart w:id="23" w:name="_Toc28359082"/>
      <w:r/>
      <w:bookmarkStart w:id="24" w:name="_Toc28359005"/>
      <w:r/>
      <w:bookmarkStart w:id="25" w:name="_Toc38985266"/>
      <w:r/>
      <w:bookmarkStart w:id="26" w:name="_Toc35393793"/>
      <w:r/>
      <w:bookmarkStart w:id="27" w:name="_Toc35393624"/>
      <w:r>
        <w:rPr>
          <w:rFonts w:hint="eastAsia" w:ascii="仿宋" w:hAnsi="仿宋" w:eastAsia="仿宋" w:cs="宋体"/>
          <w:color w:val="000000"/>
          <w:sz w:val="28"/>
          <w:szCs w:val="28"/>
        </w:rPr>
        <w:t xml:space="preserve">    1.时间：</w:t>
      </w:r>
      <w:r>
        <w:rPr>
          <w:rFonts w:ascii="仿宋" w:hAnsi="仿宋" w:eastAsia="仿宋" w:cs="宋体"/>
          <w:color w:val="000000"/>
          <w:sz w:val="28"/>
          <w:szCs w:val="28"/>
        </w:rPr>
      </w:r>
      <w:r>
        <w:rPr>
          <w:rFonts w:ascii="FangSong" w:hAnsi="FangSong" w:eastAsia="FangSong" w:cs="FangSong"/>
          <w:color w:val="000000"/>
          <w:sz w:val="28"/>
          <w:highlight w:val="none"/>
        </w:rPr>
        <w:t xml:space="preserve">2024年09月20日09:00至2024年09月27日23:59（北京时间，法定节假日除外）</w:t>
      </w:r>
      <w:r>
        <w:rPr>
          <w:rFonts w:ascii="FangSong" w:hAnsi="FangSong" w:eastAsia="FangSong" w:cs="FangSong"/>
          <w:color w:val="000000"/>
          <w:sz w:val="28"/>
        </w:rPr>
        <w:t xml:space="preserve"> 。</w:t>
      </w:r>
      <w:r/>
    </w:p>
    <w:p>
      <w:pPr>
        <w:pStyle w:val="891"/>
        <w:ind w:firstLine="540"/>
        <w:spacing w:line="480" w:lineRule="exact"/>
        <w:rPr>
          <w:rFonts w:ascii="仿宋" w:hAnsi="仿宋" w:eastAsia="仿宋" w:cs="宋体"/>
          <w:color w:val="000000"/>
          <w:sz w:val="28"/>
          <w:szCs w:val="28"/>
          <w:u w:val="single"/>
        </w:rPr>
      </w:pPr>
      <w:r>
        <w:rPr>
          <w:rFonts w:hint="eastAsia" w:ascii="仿宋" w:hAnsi="仿宋" w:eastAsia="仿宋" w:cs="宋体"/>
          <w:color w:val="000000"/>
          <w:sz w:val="28"/>
          <w:szCs w:val="28"/>
        </w:rPr>
        <w:t xml:space="preserve">2.方式：</w:t>
      </w:r>
      <w:r>
        <w:rPr>
          <w:rFonts w:hint="eastAsia" w:ascii="方正仿宋_GBK" w:hAnsi="方正仿宋_GBK" w:eastAsia="方正仿宋_GBK" w:cs="方正仿宋_GBK"/>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仿宋" w:hAnsi="仿宋" w:eastAsia="仿宋" w:cs="宋体"/>
          <w:color w:val="000000"/>
          <w:sz w:val="28"/>
          <w:szCs w:val="28"/>
          <w:u w:val="single"/>
        </w:rPr>
      </w:r>
      <w:r/>
    </w:p>
    <w:p>
      <w:pPr>
        <w:pStyle w:val="891"/>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四、提交投标文件</w:t>
      </w:r>
      <w:bookmarkEnd w:id="23"/>
      <w:r/>
      <w:bookmarkEnd w:id="24"/>
      <w:r>
        <w:rPr>
          <w:rFonts w:hint="eastAsia" w:ascii="仿宋" w:hAnsi="仿宋" w:eastAsia="仿宋"/>
          <w:b/>
          <w:bCs/>
          <w:color w:val="000000"/>
          <w:sz w:val="28"/>
          <w:szCs w:val="28"/>
        </w:rPr>
        <w:t xml:space="preserve">截止时间、开标时间和地点</w:t>
      </w:r>
      <w:bookmarkEnd w:id="25"/>
      <w:r/>
      <w:bookmarkEnd w:id="26"/>
      <w:r/>
      <w:bookmarkEnd w:id="27"/>
      <w:r>
        <w:rPr>
          <w:rFonts w:ascii="仿宋" w:hAnsi="仿宋" w:eastAsia="仿宋"/>
          <w:b/>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u w:val="single"/>
        </w:rPr>
        <w:t xml:space="preserve">1.</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lang w:val="en-US" w:eastAsia="zh-CN"/>
        </w:rPr>
        <w:t xml:space="preserve">024</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月15日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4</w:t>
      </w:r>
      <w:r>
        <w:rPr>
          <w:rFonts w:hint="eastAsia" w:ascii="仿宋" w:hAnsi="仿宋" w:eastAsia="仿宋"/>
          <w:bCs/>
          <w:color w:val="000000"/>
          <w:sz w:val="28"/>
          <w:szCs w:val="28"/>
          <w:u w:val="single"/>
        </w:rPr>
        <w:t xml:space="preserve">点</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分</w:t>
      </w:r>
      <w:r>
        <w:rPr>
          <w:rFonts w:hint="eastAsia" w:ascii="仿宋" w:hAnsi="仿宋" w:eastAsia="仿宋"/>
          <w:bCs/>
          <w:color w:val="000000"/>
          <w:sz w:val="28"/>
          <w:szCs w:val="28"/>
        </w:rPr>
        <w:t xml:space="preserve">（北京时间）。</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rPr>
          <w:rFonts w:hint="eastAsia" w:ascii="仿宋" w:hAnsi="仿宋" w:eastAsia="仿宋"/>
          <w:bCs/>
          <w:sz w:val="28"/>
          <w:szCs w:val="28"/>
          <w:u w:val="single"/>
        </w:rPr>
      </w:r>
      <w:r/>
    </w:p>
    <w:p>
      <w:pPr>
        <w:pStyle w:val="891"/>
        <w:ind w:firstLine="436"/>
        <w:keepLines/>
        <w:keepNext/>
        <w:spacing w:before="145" w:after="145" w:line="480" w:lineRule="exact"/>
        <w:rPr>
          <w:rFonts w:ascii="仿宋" w:hAnsi="仿宋" w:eastAsia="仿宋"/>
          <w:b/>
          <w:bCs/>
          <w:color w:val="000000"/>
          <w:sz w:val="28"/>
          <w:szCs w:val="28"/>
        </w:rPr>
        <w:outlineLvl w:val="2"/>
      </w:pPr>
      <w:r/>
      <w:bookmarkStart w:id="28" w:name="_Toc35393794"/>
      <w:r/>
      <w:bookmarkStart w:id="29" w:name="_Toc28359007"/>
      <w:r/>
      <w:bookmarkStart w:id="30" w:name="_Toc28359084"/>
      <w:r/>
      <w:bookmarkStart w:id="31" w:name="_Toc38985267"/>
      <w:r/>
      <w:bookmarkStart w:id="32" w:name="_Toc35393625"/>
      <w:r>
        <w:rPr>
          <w:rFonts w:hint="eastAsia" w:ascii="仿宋" w:hAnsi="仿宋" w:eastAsia="仿宋"/>
          <w:b/>
          <w:bCs/>
          <w:color w:val="000000"/>
          <w:sz w:val="28"/>
          <w:szCs w:val="28"/>
        </w:rPr>
        <w:t xml:space="preserve">五、公告期限</w:t>
      </w:r>
      <w:bookmarkEnd w:id="28"/>
      <w:r/>
      <w:bookmarkEnd w:id="29"/>
      <w:r/>
      <w:bookmarkEnd w:id="30"/>
      <w:r/>
      <w:bookmarkEnd w:id="31"/>
      <w:r/>
      <w:bookmarkEnd w:id="32"/>
      <w:r>
        <w:rPr>
          <w:rFonts w:ascii="仿宋" w:hAnsi="仿宋" w:eastAsia="仿宋"/>
          <w:b/>
          <w:bCs/>
          <w:color w:val="000000"/>
          <w:sz w:val="28"/>
          <w:szCs w:val="28"/>
        </w:rPr>
      </w:r>
      <w:r/>
    </w:p>
    <w:p>
      <w:pPr>
        <w:pStyle w:val="891"/>
        <w:ind w:firstLine="560"/>
        <w:spacing w:line="480" w:lineRule="exact"/>
        <w:rPr>
          <w:rFonts w:ascii="仿宋" w:hAnsi="仿宋" w:eastAsia="仿宋" w:cs="宋体"/>
          <w:color w:val="000000"/>
          <w:sz w:val="28"/>
          <w:szCs w:val="28"/>
        </w:rPr>
      </w:pPr>
      <w:r/>
      <w:bookmarkStart w:id="33" w:name="_Toc35393626"/>
      <w:r/>
      <w:bookmarkStart w:id="34" w:name="_Toc35393795"/>
      <w:r/>
      <w:bookmarkStart w:id="35" w:name="_Toc38985268"/>
      <w:r>
        <w:rPr>
          <w:rFonts w:hint="eastAsia" w:ascii="仿宋" w:hAnsi="仿宋" w:eastAsia="仿宋" w:cs="宋体"/>
          <w:sz w:val="28"/>
          <w:szCs w:val="28"/>
        </w:rPr>
        <w:t xml:space="preserve">招标公告及招标文件公告期限为自本公告发布之日起5个工作日。</w:t>
      </w:r>
      <w:r>
        <w:rPr>
          <w:rFonts w:ascii="仿宋" w:hAnsi="仿宋" w:eastAsia="仿宋" w:cs="宋体"/>
          <w:color w:val="000000"/>
          <w:sz w:val="28"/>
          <w:szCs w:val="28"/>
        </w:rPr>
      </w:r>
      <w:r/>
    </w:p>
    <w:p>
      <w:pPr>
        <w:pStyle w:val="891"/>
        <w:ind w:firstLine="436"/>
        <w:keepLines/>
        <w:keepNext/>
        <w:spacing w:before="145" w:after="145" w:line="480" w:lineRule="exact"/>
        <w:rPr>
          <w:rFonts w:ascii="仿宋" w:hAnsi="仿宋" w:eastAsia="仿宋"/>
          <w:b/>
          <w:bCs/>
          <w:color w:val="000000"/>
          <w:sz w:val="28"/>
          <w:szCs w:val="28"/>
        </w:rPr>
        <w:outlineLvl w:val="2"/>
      </w:pPr>
      <w:r>
        <w:rPr>
          <w:rFonts w:hint="eastAsia" w:ascii="仿宋" w:hAnsi="仿宋" w:eastAsia="仿宋"/>
          <w:b/>
          <w:bCs/>
          <w:color w:val="000000"/>
          <w:sz w:val="28"/>
          <w:szCs w:val="28"/>
        </w:rPr>
        <w:t xml:space="preserve">六、其他补充事宜</w:t>
      </w:r>
      <w:bookmarkEnd w:id="33"/>
      <w:r/>
      <w:bookmarkEnd w:id="34"/>
      <w:r/>
      <w:bookmarkEnd w:id="35"/>
      <w:r>
        <w:rPr>
          <w:rFonts w:ascii="仿宋" w:hAnsi="仿宋" w:eastAsia="仿宋"/>
          <w:b/>
          <w:bCs/>
          <w:color w:val="000000"/>
          <w:sz w:val="28"/>
          <w:szCs w:val="28"/>
        </w:rPr>
      </w:r>
      <w:r/>
    </w:p>
    <w:p>
      <w:pPr>
        <w:pStyle w:val="891"/>
        <w:ind w:firstLine="560"/>
        <w:spacing w:line="480" w:lineRule="exact"/>
        <w:rPr>
          <w:rFonts w:hint="eastAsia" w:ascii="仿宋" w:hAnsi="仿宋" w:eastAsia="仿宋"/>
          <w:sz w:val="28"/>
          <w:szCs w:val="28"/>
        </w:rPr>
      </w:pPr>
      <w:r>
        <w:rPr>
          <w:rFonts w:hint="eastAsia" w:ascii="仿宋" w:hAnsi="仿宋" w:eastAsia="仿宋" w:cs="宋体"/>
          <w:color w:val="000000"/>
          <w:sz w:val="28"/>
          <w:szCs w:val="28"/>
        </w:rPr>
        <w:t xml:space="preserve">1.</w:t>
      </w:r>
      <w:r>
        <w:rPr>
          <w:rFonts w:ascii="仿宋" w:hAnsi="仿宋" w:eastAsia="仿宋"/>
          <w:sz w:val="28"/>
          <w:szCs w:val="28"/>
        </w:rPr>
        <w:t xml:space="preserve"> 投标保证金：免收</w:t>
      </w:r>
      <w:r>
        <w:rPr>
          <w:rFonts w:hint="eastAsia" w:ascii="仿宋" w:hAnsi="仿宋" w:eastAsia="仿宋"/>
          <w:sz w:val="28"/>
          <w:szCs w:val="28"/>
        </w:rPr>
      </w:r>
      <w:r/>
    </w:p>
    <w:p>
      <w:pPr>
        <w:pStyle w:val="891"/>
        <w:ind w:firstLine="560"/>
        <w:spacing w:line="480" w:lineRule="exact"/>
        <w:rPr>
          <w:rFonts w:ascii="仿宋" w:hAnsi="仿宋" w:eastAsia="仿宋"/>
          <w:sz w:val="28"/>
          <w:szCs w:val="28"/>
          <w:highlight w:val="none"/>
          <w:lang w:val="en-US" w:eastAsia="zh-CN"/>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 项目演示、样品、答辩等：</w:t>
      </w:r>
      <w:r>
        <w:rPr>
          <w:rFonts w:hint="eastAsia" w:ascii="仿宋" w:hAnsi="仿宋" w:eastAsia="仿宋"/>
          <w:sz w:val="28"/>
          <w:szCs w:val="28"/>
          <w:highlight w:val="none"/>
          <w:lang w:val="en-US" w:eastAsia="zh-CN"/>
        </w:rPr>
        <w:t xml:space="preserve">无。</w:t>
      </w:r>
      <w:r>
        <w:rPr>
          <w:rFonts w:ascii="仿宋" w:hAnsi="仿宋" w:eastAsia="仿宋"/>
          <w:sz w:val="28"/>
          <w:szCs w:val="28"/>
          <w:highlight w:val="none"/>
          <w:lang w:val="en-US" w:eastAsia="zh-CN"/>
        </w:rPr>
      </w:r>
      <w:r/>
    </w:p>
    <w:p>
      <w:pPr>
        <w:pStyle w:val="891"/>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宋体"/>
          <w:color w:val="000000"/>
          <w:sz w:val="28"/>
          <w:szCs w:val="28"/>
          <w:highlight w:val="none"/>
        </w:rPr>
        <w:t xml:space="preserve">3.</w:t>
      </w:r>
      <w:r>
        <w:rPr>
          <w:rFonts w:ascii="仿宋" w:hAnsi="仿宋" w:eastAsia="仿宋"/>
          <w:sz w:val="28"/>
          <w:szCs w:val="28"/>
          <w:highlight w:val="none"/>
        </w:rPr>
        <w:t xml:space="preserve"> </w:t>
      </w:r>
      <w:r>
        <w:rPr>
          <w:rFonts w:hint="eastAsia" w:ascii="仿宋" w:hAnsi="仿宋" w:eastAsia="仿宋" w:cs="仿宋"/>
          <w:color w:val="000000"/>
          <w:sz w:val="28"/>
          <w:szCs w:val="28"/>
          <w:highlight w:val="none"/>
        </w:rPr>
        <w:t xml:space="preserve">供应商（含潜在供应商）对与本项目有关的所有询问、质疑均请向采购人提出，由采购人负责答复。</w:t>
      </w:r>
      <w:r>
        <w:rPr>
          <w:rFonts w:hint="eastAsia" w:ascii="仿宋" w:hAnsi="仿宋" w:eastAsia="仿宋" w:cs="仿宋"/>
          <w:b/>
          <w:color w:val="000000"/>
          <w:sz w:val="28"/>
          <w:szCs w:val="28"/>
          <w:highlight w:val="none"/>
        </w:rPr>
      </w:r>
      <w:r/>
    </w:p>
    <w:p>
      <w:pPr>
        <w:pStyle w:val="891"/>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系统操作过程中如遇问题，请致电“苏采云”客服0519-86722801。</w:t>
      </w:r>
      <w:r>
        <w:rPr>
          <w:rFonts w:hint="eastAsia" w:ascii="仿宋" w:hAnsi="仿宋" w:eastAsia="仿宋" w:cs="仿宋"/>
          <w:sz w:val="28"/>
          <w:szCs w:val="28"/>
          <w:highlight w:val="none"/>
          <w:lang w:val="en-US" w:eastAsia="zh-CN"/>
        </w:rPr>
      </w:r>
      <w:r/>
    </w:p>
    <w:p>
      <w:pPr>
        <w:pStyle w:val="891"/>
        <w:numPr>
          <w:ilvl w:val="0"/>
          <w:numId w:val="5"/>
        </w:numPr>
        <w:ind w:firstLine="560"/>
        <w:spacing w:line="48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有关本次招标的事项若存在变动或修改，</w:t>
      </w:r>
      <w:r>
        <w:rPr>
          <w:rFonts w:hint="eastAsia" w:ascii="仿宋" w:hAnsi="仿宋" w:eastAsia="仿宋"/>
          <w:sz w:val="28"/>
          <w:szCs w:val="28"/>
          <w:highlight w:val="none"/>
        </w:rPr>
        <w:t xml:space="preserve">均以江苏政府采购网发布的更正或补充通知为准，</w:t>
      </w:r>
      <w:r>
        <w:rPr>
          <w:rFonts w:hint="eastAsia" w:ascii="仿宋" w:hAnsi="仿宋" w:eastAsia="仿宋"/>
          <w:bCs/>
          <w:sz w:val="28"/>
          <w:szCs w:val="28"/>
          <w:highlight w:val="none"/>
        </w:rPr>
        <w:t xml:space="preserve">敬请及时关注。</w:t>
      </w:r>
      <w:r>
        <w:rPr>
          <w:rFonts w:hint="eastAsia" w:ascii="仿宋" w:hAnsi="仿宋" w:eastAsia="仿宋"/>
          <w:bCs/>
          <w:sz w:val="28"/>
          <w:szCs w:val="28"/>
          <w:highlight w:val="none"/>
        </w:rPr>
      </w:r>
      <w:r/>
    </w:p>
    <w:p>
      <w:pPr>
        <w:pStyle w:val="891"/>
        <w:numPr>
          <w:ilvl w:val="0"/>
          <w:numId w:val="5"/>
        </w:numPr>
        <w:ind w:firstLine="560"/>
        <w:spacing w:line="480" w:lineRule="exact"/>
        <w:rPr>
          <w:rFonts w:hint="eastAsia" w:ascii="仿宋" w:hAnsi="仿宋" w:eastAsia="仿宋"/>
          <w:bCs/>
          <w:sz w:val="28"/>
          <w:szCs w:val="28"/>
          <w:highlight w:val="none"/>
        </w:rPr>
      </w:pP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8"/>
          <w:szCs w:val="28"/>
          <w:highlight w:val="none"/>
        </w:rPr>
      </w:r>
      <w:r/>
    </w:p>
    <w:p>
      <w:pPr>
        <w:pStyle w:val="891"/>
        <w:ind w:firstLine="560"/>
        <w:spacing w:line="480" w:lineRule="exact"/>
        <w:rPr>
          <w:rFonts w:hint="eastAsia"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“苏采云”系统使用相关提醒</w:t>
      </w:r>
      <w:r>
        <w:rPr>
          <w:rFonts w:hint="eastAsia" w:ascii="仿宋" w:hAnsi="仿宋" w:eastAsia="仿宋"/>
          <w:sz w:val="28"/>
          <w:szCs w:val="28"/>
        </w:rPr>
      </w:r>
      <w:r/>
    </w:p>
    <w:p>
      <w:pPr>
        <w:pStyle w:val="891"/>
        <w:ind w:firstLine="560"/>
        <w:spacing w:line="480" w:lineRule="exact"/>
        <w:tabs>
          <w:tab w:val="left" w:pos="900" w:leader="none"/>
        </w:tabs>
        <w:rPr>
          <w:rFonts w:hint="eastAsia" w:ascii="仿宋" w:hAnsi="仿宋" w:eastAsia="仿宋"/>
          <w:bCs/>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bCs/>
          <w:sz w:val="28"/>
          <w:szCs w:val="28"/>
        </w:rPr>
        <w:t xml:space="preserve">根据省财政厅《关于更换全省政府采购交易系统C A数字证书和电子签章的通知》（苏财购〔2023〕101号），</w:t>
      </w:r>
      <w:r>
        <w:rPr>
          <w:rFonts w:hint="eastAsia" w:ascii="仿宋" w:hAnsi="仿宋" w:eastAsia="仿宋"/>
          <w:sz w:val="28"/>
          <w:szCs w:val="28"/>
        </w:rPr>
        <w:t xml:space="preserve">“苏采云”政府采购交易系统（以下简称苏采云系统）</w:t>
      </w:r>
      <w:r>
        <w:rPr>
          <w:rFonts w:hint="eastAsia" w:ascii="仿宋" w:hAnsi="仿宋" w:eastAsia="仿宋"/>
          <w:bCs/>
          <w:sz w:val="28"/>
          <w:szCs w:val="28"/>
        </w:rPr>
        <w:t xml:space="preserve">的CA数字证书、电子签章已更换为江苏省电子政务证书认证中心C A和方正国际软件（北京）有限公司电子签章。如果投标人通过</w:t>
      </w:r>
      <w:r>
        <w:rPr>
          <w:rFonts w:hint="eastAsia" w:ascii="仿宋" w:hAnsi="仿宋" w:eastAsia="仿宋"/>
          <w:sz w:val="28"/>
          <w:szCs w:val="28"/>
        </w:rPr>
        <w:t xml:space="preserve">苏采云系统</w:t>
      </w:r>
      <w:r>
        <w:rPr>
          <w:rFonts w:hint="eastAsia" w:ascii="仿宋" w:hAnsi="仿宋" w:eastAsia="仿宋"/>
          <w:bCs/>
          <w:sz w:val="28"/>
          <w:szCs w:val="28"/>
        </w:rPr>
        <w:t xml:space="preserve">参与政府采购项目，需要更换CA数字证书和电子签章。</w:t>
      </w:r>
      <w:r>
        <w:rPr>
          <w:rFonts w:hint="eastAsia" w:ascii="仿宋" w:hAnsi="仿宋" w:eastAsia="仿宋"/>
          <w:b/>
          <w:bCs/>
          <w:sz w:val="28"/>
          <w:szCs w:val="28"/>
        </w:rPr>
        <w:t xml:space="preserve">具体办理指南和操作手册见链接：http://www.ccgp-jiangsu.gov.cn/jiangsu/zlxz/ee/ee3a4bc5a3454aa2b0d9312230633ce9.html。</w:t>
      </w:r>
      <w:r>
        <w:rPr>
          <w:rFonts w:hint="eastAsia" w:ascii="仿宋" w:hAnsi="仿宋" w:eastAsia="仿宋"/>
          <w:bCs/>
          <w:sz w:val="28"/>
          <w:szCs w:val="28"/>
        </w:rPr>
      </w:r>
      <w:r/>
    </w:p>
    <w:p>
      <w:pPr>
        <w:pStyle w:val="891"/>
        <w:ind w:firstLine="560"/>
        <w:spacing w:after="120" w:line="480" w:lineRule="exact"/>
        <w:rPr>
          <w:rFonts w:hint="eastAsia" w:ascii="仿宋" w:hAnsi="仿宋" w:eastAsia="仿宋"/>
          <w:sz w:val="28"/>
          <w:szCs w:val="28"/>
        </w:rPr>
      </w:pPr>
      <w:r>
        <w:rPr>
          <w:rFonts w:hint="eastAsia" w:ascii="仿宋" w:hAnsi="仿宋" w:eastAsia="仿宋"/>
          <w:bCs/>
          <w:sz w:val="28"/>
          <w:szCs w:val="28"/>
          <w:lang w:val="en-US" w:eastAsia="zh-CN"/>
        </w:rPr>
        <w:t xml:space="preserve">6</w:t>
      </w:r>
      <w:r>
        <w:rPr>
          <w:rFonts w:hint="eastAsia" w:ascii="仿宋" w:hAnsi="仿宋" w:eastAsia="仿宋"/>
          <w:bCs/>
          <w:sz w:val="28"/>
          <w:szCs w:val="28"/>
        </w:rPr>
        <w:t xml:space="preserve">.2领取CA和办理电子签章请至南通市政务服务中心裙楼四楼（南通市公共资源交中心）CA办理窗口办理，详见《</w:t>
      </w:r>
      <w:r>
        <w:rPr>
          <w:rFonts w:ascii="仿宋" w:hAnsi="仿宋" w:eastAsia="仿宋"/>
          <w:bCs/>
          <w:sz w:val="28"/>
          <w:szCs w:val="28"/>
        </w:rPr>
        <w:t xml:space="preserve">江苏省政府采购数字证书(供应商)</w:t>
      </w:r>
      <w:r>
        <w:rPr>
          <w:rFonts w:ascii="宋体" w:hAnsi="宋体" w:eastAsia="仿宋"/>
          <w:bCs/>
          <w:sz w:val="28"/>
          <w:szCs w:val="28"/>
        </w:rPr>
        <w:t xml:space="preserve"> </w:t>
      </w:r>
      <w:r>
        <w:rPr>
          <w:rFonts w:ascii="仿宋" w:hAnsi="仿宋" w:eastAsia="仿宋"/>
          <w:bCs/>
          <w:sz w:val="28"/>
          <w:szCs w:val="28"/>
        </w:rPr>
        <w:t xml:space="preserve">CA及电子签章办理指南</w:t>
      </w:r>
      <w:r>
        <w:rPr>
          <w:rFonts w:hint="eastAsia" w:ascii="仿宋" w:hAnsi="仿宋" w:eastAsia="仿宋"/>
          <w:bCs/>
          <w:sz w:val="28"/>
          <w:szCs w:val="28"/>
        </w:rPr>
        <w:t xml:space="preserve">》），请及时进行注册并按要求制作、上传电子投标文件。</w:t>
      </w:r>
      <w:r>
        <w:rPr>
          <w:rFonts w:hint="eastAsia" w:ascii="仿宋" w:hAnsi="仿宋" w:eastAsia="仿宋"/>
          <w:sz w:val="28"/>
          <w:szCs w:val="28"/>
        </w:rPr>
      </w:r>
      <w:r/>
    </w:p>
    <w:p>
      <w:pPr>
        <w:pStyle w:val="891"/>
        <w:ind w:right="120" w:firstLine="562"/>
        <w:spacing w:after="120" w:line="480" w:lineRule="exact"/>
        <w:rPr>
          <w:rFonts w:hint="eastAsia" w:ascii="仿宋" w:hAnsi="仿宋" w:eastAsia="仿宋" w:cs="宋体"/>
          <w:b/>
          <w:sz w:val="28"/>
          <w:szCs w:val="28"/>
        </w:rPr>
      </w:pP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.3</w:t>
      </w:r>
      <w:r>
        <w:rPr>
          <w:rFonts w:hint="eastAsia" w:ascii="仿宋" w:hAnsi="仿宋" w:eastAsia="仿宋" w:cs="宋体"/>
          <w:sz w:val="28"/>
          <w:szCs w:val="28"/>
        </w:rPr>
        <w:t xml:space="preserve">开标当天投标供应商应及时登录</w:t>
      </w:r>
      <w:r>
        <w:rPr>
          <w:rFonts w:hint="eastAsia" w:ascii="仿宋" w:hAnsi="仿宋" w:eastAsia="仿宋"/>
          <w:sz w:val="28"/>
          <w:szCs w:val="28"/>
        </w:rPr>
        <w:t xml:space="preserve">“苏采云”</w:t>
      </w:r>
      <w:r>
        <w:rPr>
          <w:rFonts w:hint="eastAsia" w:ascii="仿宋" w:hAnsi="仿宋" w:eastAsia="仿宋" w:cs="宋体"/>
          <w:sz w:val="28"/>
          <w:szCs w:val="28"/>
        </w:rPr>
        <w:t xml:space="preserve">不见面开标大厅，并在规定时间内自行实施远程解密。</w:t>
      </w:r>
      <w:r>
        <w:rPr>
          <w:rFonts w:ascii="仿宋" w:hAnsi="仿宋" w:eastAsia="仿宋"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w:t>
      </w:r>
      <w:r>
        <w:rPr>
          <w:rFonts w:hint="eastAsia" w:ascii="仿宋" w:hAnsi="仿宋" w:eastAsia="仿宋" w:cs="宋体"/>
          <w:b/>
          <w:sz w:val="28"/>
          <w:szCs w:val="28"/>
        </w:rPr>
        <w:t xml:space="preserve">风险</w:t>
      </w:r>
      <w:r>
        <w:rPr>
          <w:rFonts w:ascii="仿宋" w:hAnsi="仿宋" w:eastAsia="仿宋" w:cs="宋体"/>
          <w:b/>
          <w:sz w:val="28"/>
          <w:szCs w:val="28"/>
        </w:rPr>
        <w:t xml:space="preserve">由供应商自行承担；</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hint="eastAsia" w:ascii="仿宋" w:hAnsi="仿宋" w:eastAsia="仿宋" w:cs="宋体"/>
          <w:b/>
          <w:sz w:val="28"/>
          <w:szCs w:val="28"/>
        </w:rPr>
      </w:r>
      <w:r/>
    </w:p>
    <w:p>
      <w:pPr>
        <w:pStyle w:val="891"/>
        <w:ind w:firstLine="436"/>
        <w:keepLines/>
        <w:keepNext/>
        <w:spacing w:before="145" w:after="145" w:line="480" w:lineRule="exact"/>
        <w:rPr>
          <w:rFonts w:ascii="仿宋" w:hAnsi="仿宋" w:eastAsia="仿宋"/>
          <w:b/>
          <w:bCs/>
          <w:color w:val="000000"/>
          <w:sz w:val="28"/>
          <w:szCs w:val="28"/>
        </w:rPr>
        <w:outlineLvl w:val="2"/>
      </w:pPr>
      <w:r/>
      <w:bookmarkStart w:id="36" w:name="_Toc28359085"/>
      <w:r/>
      <w:bookmarkStart w:id="37" w:name="_Toc35393627"/>
      <w:r/>
      <w:bookmarkStart w:id="38" w:name="_Toc28359008"/>
      <w:r/>
      <w:bookmarkStart w:id="39" w:name="_Toc35393796"/>
      <w:r/>
      <w:bookmarkStart w:id="40" w:name="_Toc38985269"/>
      <w:r>
        <w:rPr>
          <w:rFonts w:hint="eastAsia" w:ascii="仿宋" w:hAnsi="仿宋" w:eastAsia="仿宋"/>
          <w:b/>
          <w:bCs/>
          <w:color w:val="000000"/>
          <w:sz w:val="28"/>
          <w:szCs w:val="28"/>
        </w:rPr>
        <w:t xml:space="preserve">七、本次招标联系方式</w:t>
      </w:r>
      <w:bookmarkEnd w:id="36"/>
      <w:r/>
      <w:bookmarkEnd w:id="37"/>
      <w:r/>
      <w:bookmarkEnd w:id="38"/>
      <w:r/>
      <w:bookmarkEnd w:id="39"/>
      <w:r/>
      <w:bookmarkEnd w:id="40"/>
      <w:r>
        <w:rPr>
          <w:rFonts w:ascii="仿宋" w:hAnsi="仿宋" w:eastAsia="仿宋"/>
          <w:b/>
          <w:bCs/>
          <w:color w:val="000000"/>
          <w:sz w:val="28"/>
          <w:szCs w:val="28"/>
        </w:rPr>
      </w:r>
      <w:r/>
    </w:p>
    <w:p>
      <w:pPr>
        <w:pStyle w:val="891"/>
        <w:jc w:val="left"/>
        <w:spacing w:line="480" w:lineRule="exact"/>
        <w:widowControl/>
        <w:rPr>
          <w:rFonts w:ascii="仿宋" w:hAnsi="仿宋" w:eastAsia="仿宋"/>
          <w:color w:val="000000"/>
          <w:sz w:val="28"/>
          <w:szCs w:val="28"/>
        </w:rPr>
      </w:pPr>
      <w:r>
        <w:rPr>
          <w:rFonts w:hint="eastAsia" w:ascii="仿宋" w:hAnsi="仿宋" w:eastAsia="仿宋" w:cs="宋体"/>
          <w:color w:val="000000"/>
          <w:sz w:val="28"/>
          <w:szCs w:val="28"/>
        </w:rPr>
        <w:t xml:space="preserve">　　　1.采购人信息</w:t>
      </w:r>
      <w:r>
        <w:rPr>
          <w:rFonts w:ascii="仿宋" w:hAnsi="仿宋" w:eastAsia="仿宋"/>
          <w:color w:val="000000"/>
          <w:sz w:val="28"/>
          <w:szCs w:val="28"/>
        </w:rPr>
      </w:r>
      <w:r/>
    </w:p>
    <w:p>
      <w:pPr>
        <w:pStyle w:val="891"/>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名 称：</w:t>
      </w:r>
      <w:r>
        <w:rPr>
          <w:rFonts w:hint="eastAsia" w:ascii="仿宋" w:hAnsi="仿宋" w:eastAsia="仿宋"/>
          <w:color w:val="000000"/>
          <w:sz w:val="28"/>
          <w:szCs w:val="28"/>
          <w:u w:val="single"/>
        </w:rPr>
        <w:t xml:space="preserve">南通市食品药品监督检验中心</w:t>
      </w:r>
      <w:r>
        <w:rPr>
          <w:rFonts w:ascii="仿宋" w:hAnsi="仿宋" w:eastAsia="仿宋"/>
          <w:color w:val="000000"/>
          <w:sz w:val="28"/>
          <w:szCs w:val="28"/>
        </w:rPr>
      </w:r>
      <w:r/>
    </w:p>
    <w:p>
      <w:pPr>
        <w:pStyle w:val="891"/>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s="Times New Roman"/>
          <w:color w:val="000000"/>
          <w:sz w:val="28"/>
          <w:szCs w:val="28"/>
          <w:u w:val="single"/>
        </w:rPr>
        <w:t xml:space="preserve">南通市胜利路168号4幢　</w:t>
      </w:r>
      <w:r>
        <w:rPr>
          <w:rFonts w:ascii="仿宋" w:hAnsi="仿宋" w:eastAsia="仿宋"/>
          <w:color w:val="000000"/>
          <w:sz w:val="28"/>
          <w:szCs w:val="28"/>
        </w:rPr>
      </w:r>
      <w:r/>
    </w:p>
    <w:p>
      <w:pPr>
        <w:pStyle w:val="891"/>
        <w:ind w:left="1129" w:hanging="350"/>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hint="eastAsia" w:ascii="仿宋" w:hAnsi="仿宋" w:eastAsia="仿宋"/>
          <w:color w:val="000000"/>
          <w:sz w:val="28"/>
          <w:szCs w:val="28"/>
          <w:u w:val="single"/>
        </w:rPr>
        <w:t xml:space="preserve">葛建华</w:t>
      </w:r>
      <w:r>
        <w:rPr>
          <w:rFonts w:ascii="仿宋" w:hAnsi="仿宋" w:eastAsia="仿宋"/>
          <w:color w:val="000000"/>
          <w:sz w:val="28"/>
          <w:szCs w:val="28"/>
        </w:rPr>
      </w:r>
      <w:r/>
    </w:p>
    <w:p>
      <w:pPr>
        <w:pStyle w:val="891"/>
        <w:ind w:left="1129" w:hanging="350"/>
        <w:jc w:val="left"/>
        <w:spacing w:line="480" w:lineRule="exact"/>
        <w:rPr>
          <w:rFonts w:ascii="仿宋" w:hAnsi="仿宋" w:eastAsia="仿宋"/>
          <w:color w:val="000000"/>
          <w:sz w:val="28"/>
          <w:szCs w:val="28"/>
          <w:u w:val="single"/>
        </w:rPr>
      </w:pPr>
      <w:r>
        <w:rPr>
          <w:rFonts w:hint="eastAsia" w:ascii="仿宋" w:hAnsi="仿宋" w:eastAsia="仿宋"/>
          <w:color w:val="000000"/>
          <w:sz w:val="28"/>
          <w:szCs w:val="28"/>
        </w:rPr>
        <w:t xml:space="preserve">联系方式：</w:t>
      </w:r>
      <w:bookmarkStart w:id="41" w:name="_Toc28359009"/>
      <w:r/>
      <w:bookmarkStart w:id="42" w:name="_Toc28359086"/>
      <w:r>
        <w:rPr>
          <w:rFonts w:hint="eastAsia" w:ascii="仿宋" w:hAnsi="仿宋" w:eastAsia="仿宋"/>
          <w:color w:val="000000"/>
          <w:sz w:val="28"/>
          <w:szCs w:val="28"/>
          <w:u w:val="single"/>
        </w:rPr>
        <w:t xml:space="preserve">13862925576</w:t>
      </w:r>
      <w:r>
        <w:rPr>
          <w:rFonts w:ascii="仿宋" w:hAnsi="仿宋" w:eastAsia="仿宋"/>
          <w:color w:val="000000"/>
          <w:sz w:val="28"/>
          <w:szCs w:val="28"/>
          <w:u w:val="single"/>
        </w:rPr>
      </w:r>
      <w:r/>
    </w:p>
    <w:p>
      <w:pPr>
        <w:pStyle w:val="891"/>
        <w:ind w:left="1129" w:hanging="350"/>
        <w:jc w:val="left"/>
        <w:spacing w:line="480" w:lineRule="exact"/>
        <w:rPr>
          <w:rFonts w:ascii="仿宋" w:hAnsi="仿宋" w:eastAsia="仿宋"/>
          <w:color w:val="000000"/>
          <w:sz w:val="28"/>
          <w:szCs w:val="28"/>
        </w:rPr>
      </w:pPr>
      <w:r>
        <w:rPr>
          <w:rFonts w:hint="eastAsia" w:ascii="仿宋" w:hAnsi="仿宋" w:eastAsia="仿宋" w:cs="宋体"/>
          <w:color w:val="000000"/>
          <w:sz w:val="28"/>
          <w:szCs w:val="28"/>
        </w:rPr>
        <w:t xml:space="preserve">2.南通市政府采购中心信息</w:t>
      </w:r>
      <w:bookmarkEnd w:id="41"/>
      <w:r/>
      <w:bookmarkEnd w:id="42"/>
      <w:r>
        <w:rPr>
          <w:rFonts w:ascii="仿宋" w:hAnsi="仿宋" w:eastAsia="仿宋"/>
          <w:color w:val="000000"/>
          <w:sz w:val="28"/>
          <w:szCs w:val="28"/>
        </w:rPr>
      </w:r>
      <w:r/>
    </w:p>
    <w:p>
      <w:pPr>
        <w:pStyle w:val="891"/>
        <w:ind w:firstLine="84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sz w:val="28"/>
          <w:szCs w:val="28"/>
        </w:rPr>
        <w:t xml:space="preserve">南通市工农南路150号</w:t>
      </w:r>
      <w:r>
        <w:rPr>
          <w:rFonts w:ascii="仿宋" w:hAnsi="仿宋" w:eastAsia="仿宋"/>
          <w:color w:val="000000"/>
          <w:sz w:val="28"/>
          <w:szCs w:val="28"/>
        </w:rPr>
      </w:r>
      <w:r/>
    </w:p>
    <w:p>
      <w:pPr>
        <w:pStyle w:val="891"/>
        <w:ind w:firstLine="840"/>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联系人：</w:t>
      </w:r>
      <w:r>
        <w:rPr>
          <w:rFonts w:hint="eastAsia" w:ascii="仿宋" w:hAnsi="仿宋" w:eastAsia="仿宋"/>
          <w:color w:val="000000"/>
          <w:sz w:val="28"/>
          <w:szCs w:val="28"/>
          <w:lang w:eastAsia="zh-CN"/>
        </w:rPr>
        <w:t xml:space="preserve">陈露</w:t>
      </w:r>
      <w:r>
        <w:rPr>
          <w:rFonts w:hint="eastAsia" w:ascii="仿宋" w:hAnsi="仿宋" w:eastAsia="仿宋"/>
          <w:color w:val="000000"/>
          <w:sz w:val="28"/>
          <w:szCs w:val="28"/>
          <w:lang w:val="en-US" w:eastAsia="zh-CN"/>
        </w:rPr>
      </w:r>
      <w:r/>
    </w:p>
    <w:p>
      <w:pPr>
        <w:pStyle w:val="891"/>
        <w:ind w:firstLine="840"/>
        <w:spacing w:line="480" w:lineRule="exact"/>
        <w:rPr>
          <w:rFonts w:ascii="仿宋" w:hAnsi="仿宋" w:eastAsia="仿宋"/>
          <w:color w:val="000000"/>
          <w:sz w:val="28"/>
          <w:szCs w:val="28"/>
          <w:u w:val="single"/>
          <w:lang w:val="en-US" w:eastAsia="zh-CN"/>
        </w:rPr>
      </w:pPr>
      <w:r>
        <w:rPr>
          <w:rFonts w:hint="eastAsia" w:ascii="仿宋" w:hAnsi="仿宋" w:eastAsia="仿宋"/>
          <w:color w:val="000000"/>
          <w:sz w:val="28"/>
          <w:szCs w:val="28"/>
        </w:rPr>
        <w:t xml:space="preserve">联系方式：</w:t>
      </w:r>
      <w:bookmarkStart w:id="43" w:name="_Toc28359010"/>
      <w:r/>
      <w:bookmarkStart w:id="44" w:name="_Toc28359087"/>
      <w:r>
        <w:rPr>
          <w:rFonts w:hint="eastAsia" w:ascii="仿宋" w:hAnsi="仿宋" w:eastAsia="仿宋"/>
          <w:color w:val="000000"/>
          <w:sz w:val="28"/>
          <w:szCs w:val="28"/>
          <w:u w:val="single"/>
          <w:lang w:val="en-US" w:eastAsia="zh-CN"/>
        </w:rPr>
        <w:t xml:space="preserve">0513-59001986</w:t>
      </w:r>
      <w:r>
        <w:rPr>
          <w:rFonts w:ascii="仿宋" w:hAnsi="仿宋" w:eastAsia="仿宋"/>
          <w:color w:val="000000"/>
          <w:sz w:val="28"/>
          <w:szCs w:val="28"/>
          <w:u w:val="single"/>
          <w:lang w:val="en-US" w:eastAsia="zh-CN"/>
        </w:rPr>
      </w:r>
      <w:r/>
    </w:p>
    <w:p>
      <w:pPr>
        <w:pStyle w:val="891"/>
        <w:ind w:firstLine="560"/>
        <w:spacing w:line="480" w:lineRule="exact"/>
        <w:rPr>
          <w:rFonts w:hint="eastAsia" w:ascii="仿宋" w:hAnsi="仿宋" w:eastAsia="仿宋"/>
          <w:sz w:val="28"/>
          <w:szCs w:val="28"/>
        </w:rPr>
      </w:pPr>
      <w:r>
        <w:rPr>
          <w:rFonts w:hint="eastAsia" w:ascii="宋体" w:hAnsi="宋体" w:eastAsia="仿宋"/>
          <w:sz w:val="28"/>
          <w:szCs w:val="28"/>
        </w:rPr>
        <w:t xml:space="preserve"> </w:t>
      </w:r>
      <w:r>
        <w:rPr>
          <w:rFonts w:hint="eastAsia" w:ascii="仿宋" w:hAnsi="仿宋" w:eastAsia="仿宋"/>
          <w:sz w:val="28"/>
          <w:szCs w:val="28"/>
        </w:rPr>
        <w:t xml:space="preserve">3.软件技术支持：0519-86722801</w:t>
      </w:r>
      <w:r>
        <w:rPr>
          <w:rFonts w:hint="eastAsia" w:ascii="仿宋" w:hAnsi="仿宋" w:eastAsia="仿宋"/>
          <w:sz w:val="28"/>
          <w:szCs w:val="28"/>
        </w:rPr>
      </w:r>
      <w:r/>
    </w:p>
    <w:p>
      <w:pPr>
        <w:pStyle w:val="891"/>
        <w:ind w:firstLine="840"/>
        <w:spacing w:line="480" w:lineRule="exact"/>
        <w:rPr>
          <w:rFonts w:ascii="仿宋" w:hAnsi="仿宋" w:eastAsia="仿宋"/>
          <w:color w:val="000000"/>
          <w:sz w:val="28"/>
          <w:szCs w:val="28"/>
          <w:lang w:val="en-US" w:eastAsia="zh-CN"/>
        </w:rPr>
      </w:pPr>
      <w:r>
        <w:rPr>
          <w:rFonts w:hint="eastAsia" w:ascii="仿宋" w:hAnsi="仿宋" w:eastAsia="仿宋"/>
          <w:sz w:val="28"/>
          <w:szCs w:val="28"/>
        </w:rPr>
        <w:t xml:space="preserve">                      </w:t>
      </w:r>
      <w:r>
        <w:rPr>
          <w:rFonts w:hint="eastAsia" w:ascii="仿宋" w:hAnsi="仿宋" w:eastAsia="仿宋"/>
          <w:sz w:val="28"/>
          <w:szCs w:val="28"/>
        </w:rPr>
        <w:t xml:space="preserve">  那家铭  </w:t>
      </w:r>
      <w:r>
        <w:rPr>
          <w:rFonts w:hint="eastAsia" w:ascii="仿宋" w:hAnsi="仿宋" w:eastAsia="仿宋"/>
          <w:sz w:val="28"/>
          <w:szCs w:val="28"/>
          <w:lang w:val="en-US" w:eastAsia="zh-CN"/>
        </w:rPr>
        <w:t xml:space="preserve">0513-59001950</w:t>
      </w:r>
      <w:r>
        <w:rPr>
          <w:rFonts w:ascii="仿宋" w:hAnsi="仿宋" w:eastAsia="仿宋"/>
          <w:color w:val="000000"/>
          <w:sz w:val="28"/>
          <w:szCs w:val="28"/>
          <w:lang w:val="en-US" w:eastAsia="zh-CN"/>
        </w:rPr>
      </w:r>
      <w:r/>
    </w:p>
    <w:p>
      <w:pPr>
        <w:pStyle w:val="891"/>
        <w:ind w:firstLine="480"/>
        <w:spacing w:line="560" w:lineRule="exact"/>
        <w:tabs>
          <w:tab w:val="left" w:pos="900" w:leader="none"/>
        </w:tabs>
        <w:rPr>
          <w:rFonts w:hint="eastAsia" w:ascii="宋体" w:hAnsi="宋体"/>
          <w:bCs/>
          <w:sz w:val="24"/>
          <w:szCs w:val="24"/>
        </w:rPr>
      </w:pPr>
      <w:r/>
      <w:bookmarkEnd w:id="43"/>
      <w:r/>
      <w:bookmarkEnd w:id="44"/>
      <w:r>
        <w:rPr>
          <w:rFonts w:hint="eastAsia" w:ascii="宋体" w:hAnsi="宋体"/>
          <w:bCs/>
          <w:sz w:val="24"/>
          <w:szCs w:val="24"/>
        </w:rPr>
      </w:r>
      <w:r/>
    </w:p>
    <w:p>
      <w:pPr>
        <w:pStyle w:val="89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9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9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5"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5"/>
      <w:r/>
      <w:bookmarkStart w:id="46" w:name="_Toc120614213"/>
      <w:r/>
      <w:bookmarkStart w:id="47" w:name="_Toc513029202"/>
      <w:r/>
      <w:bookmarkStart w:id="48" w:name="_Toc20823274"/>
      <w:r/>
      <w:bookmarkStart w:id="49" w:name="_Toc16938518"/>
      <w:r>
        <w:rPr>
          <w:rFonts w:hint="eastAsia" w:ascii="黑体" w:hAnsi="Arial" w:eastAsia="黑体" w:cs="Arial"/>
          <w:b/>
          <w:bCs/>
          <w:color w:val="000000"/>
          <w:sz w:val="44"/>
          <w:szCs w:val="44"/>
        </w:rPr>
        <w:t xml:space="preserve">投标人须知</w:t>
      </w:r>
      <w:bookmarkEnd w:id="46"/>
      <w:r/>
      <w:bookmarkEnd w:id="47"/>
      <w:r/>
      <w:bookmarkEnd w:id="48"/>
      <w:r/>
      <w:bookmarkEnd w:id="49"/>
      <w:r>
        <w:rPr>
          <w:rFonts w:hint="eastAsia" w:ascii="黑体" w:hAnsi="Arial" w:eastAsia="黑体" w:cs="Arial"/>
          <w:color w:val="000000"/>
          <w:sz w:val="44"/>
          <w:szCs w:val="44"/>
        </w:rPr>
      </w:r>
      <w:r/>
    </w:p>
    <w:p>
      <w:pPr>
        <w:pStyle w:val="891"/>
        <w:keepLines/>
        <w:keepNext/>
        <w:spacing w:line="480" w:lineRule="exact"/>
        <w:rPr>
          <w:rFonts w:ascii="仿宋" w:hAnsi="仿宋" w:eastAsia="仿宋"/>
          <w:b/>
          <w:bCs/>
          <w:sz w:val="28"/>
          <w:szCs w:val="28"/>
        </w:rPr>
        <w:outlineLvl w:val="2"/>
      </w:pPr>
      <w:r/>
      <w:bookmarkStart w:id="50" w:name="_Toc16938519"/>
      <w:r/>
      <w:bookmarkStart w:id="51" w:name="_Toc513029203"/>
      <w:r/>
      <w:bookmarkStart w:id="52" w:name="_Toc120614214"/>
      <w:r/>
      <w:bookmarkStart w:id="53" w:name="_Toc20823275"/>
      <w:r>
        <w:rPr>
          <w:rFonts w:ascii="仿宋" w:hAnsi="仿宋" w:eastAsia="仿宋"/>
          <w:b/>
          <w:bCs/>
          <w:sz w:val="28"/>
          <w:szCs w:val="28"/>
        </w:rPr>
        <w:t xml:space="preserve">（一）总则</w:t>
      </w:r>
      <w:bookmarkEnd w:id="50"/>
      <w:r/>
      <w:bookmarkEnd w:id="51"/>
      <w:r/>
      <w:bookmarkEnd w:id="52"/>
      <w:r/>
      <w:bookmarkEnd w:id="53"/>
      <w:r>
        <w:rPr>
          <w:rFonts w:ascii="仿宋" w:hAnsi="仿宋" w:eastAsia="仿宋"/>
          <w:b/>
          <w:bCs/>
          <w:sz w:val="28"/>
          <w:szCs w:val="28"/>
        </w:rPr>
      </w:r>
      <w:r/>
    </w:p>
    <w:p>
      <w:pPr>
        <w:pStyle w:val="891"/>
        <w:keepNext/>
        <w:spacing w:line="480" w:lineRule="exact"/>
        <w:rPr>
          <w:rFonts w:ascii="仿宋" w:hAnsi="仿宋" w:eastAsia="仿宋"/>
          <w:b/>
          <w:bCs/>
          <w:sz w:val="28"/>
          <w:szCs w:val="28"/>
        </w:rPr>
        <w:outlineLvl w:val="3"/>
      </w:pPr>
      <w:r/>
      <w:bookmarkStart w:id="54" w:name="_Hlt16619475"/>
      <w:r/>
      <w:bookmarkEnd w:id="54"/>
      <w:r/>
      <w:bookmarkStart w:id="55" w:name="_Toc458694821"/>
      <w:r/>
      <w:bookmarkStart w:id="56" w:name="_Toc16938520"/>
      <w:r/>
      <w:bookmarkStart w:id="57" w:name="_Toc513029204"/>
      <w:r/>
      <w:bookmarkStart w:id="58" w:name="_Toc20823276"/>
      <w:r>
        <w:rPr>
          <w:rFonts w:ascii="仿宋" w:hAnsi="仿宋" w:eastAsia="仿宋"/>
          <w:sz w:val="28"/>
          <w:szCs w:val="28"/>
        </w:rPr>
        <w:t xml:space="preserve">1</w:t>
      </w:r>
      <w:bookmarkEnd w:id="55"/>
      <w:r>
        <w:rPr>
          <w:rFonts w:ascii="仿宋" w:hAnsi="仿宋" w:eastAsia="仿宋"/>
          <w:sz w:val="28"/>
          <w:szCs w:val="28"/>
        </w:rPr>
        <w:t xml:space="preserve">.招标方式</w:t>
      </w:r>
      <w:bookmarkEnd w:id="56"/>
      <w:r/>
      <w:bookmarkEnd w:id="57"/>
      <w:r/>
      <w:bookmarkEnd w:id="58"/>
      <w:r>
        <w:rPr>
          <w:rFonts w:ascii="仿宋" w:hAnsi="仿宋" w:eastAsia="仿宋"/>
          <w:b/>
          <w:bCs/>
          <w:sz w:val="28"/>
          <w:szCs w:val="28"/>
        </w:rPr>
      </w:r>
      <w:r/>
    </w:p>
    <w:p>
      <w:pPr>
        <w:pStyle w:val="89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891"/>
        <w:keepNext/>
        <w:spacing w:line="480" w:lineRule="exact"/>
        <w:rPr>
          <w:rFonts w:ascii="仿宋" w:hAnsi="仿宋" w:eastAsia="仿宋"/>
          <w:b/>
          <w:bCs/>
          <w:sz w:val="28"/>
          <w:szCs w:val="28"/>
        </w:rPr>
        <w:outlineLvl w:val="3"/>
      </w:pPr>
      <w:r/>
      <w:bookmarkStart w:id="59" w:name="_Toc16938521"/>
      <w:r/>
      <w:bookmarkStart w:id="60" w:name="_Toc513029205"/>
      <w:r/>
      <w:bookmarkStart w:id="61" w:name="_Toc20823277"/>
      <w:r>
        <w:rPr>
          <w:rFonts w:ascii="仿宋" w:hAnsi="仿宋" w:eastAsia="仿宋"/>
          <w:sz w:val="28"/>
          <w:szCs w:val="28"/>
        </w:rPr>
        <w:t xml:space="preserve">2.合格的投标人</w:t>
      </w:r>
      <w:bookmarkEnd w:id="59"/>
      <w:r/>
      <w:bookmarkEnd w:id="60"/>
      <w:r/>
      <w:bookmarkEnd w:id="61"/>
      <w:r>
        <w:rPr>
          <w:rFonts w:ascii="仿宋" w:hAnsi="仿宋" w:eastAsia="仿宋"/>
          <w:b/>
          <w:bCs/>
          <w:sz w:val="28"/>
          <w:szCs w:val="28"/>
        </w:rPr>
      </w:r>
      <w:r/>
    </w:p>
    <w:p>
      <w:pPr>
        <w:pStyle w:val="891"/>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rPr>
          <w:rFonts w:ascii="仿宋" w:hAnsi="仿宋" w:eastAsia="仿宋"/>
          <w:sz w:val="28"/>
          <w:szCs w:val="28"/>
        </w:rPr>
      </w:r>
      <w:r/>
    </w:p>
    <w:p>
      <w:pPr>
        <w:pStyle w:val="89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891"/>
        <w:keepNext/>
        <w:spacing w:line="480" w:lineRule="exact"/>
        <w:rPr>
          <w:rFonts w:ascii="仿宋" w:hAnsi="仿宋" w:eastAsia="仿宋"/>
          <w:b/>
          <w:bCs/>
          <w:sz w:val="28"/>
          <w:szCs w:val="28"/>
        </w:rPr>
        <w:outlineLvl w:val="3"/>
      </w:pPr>
      <w:r/>
      <w:bookmarkStart w:id="62" w:name="_Toc16938522"/>
      <w:r/>
      <w:bookmarkStart w:id="63" w:name="_Toc20823278"/>
      <w:r/>
      <w:bookmarkStart w:id="64" w:name="_Toc513029206"/>
      <w:r>
        <w:rPr>
          <w:rFonts w:ascii="仿宋" w:hAnsi="仿宋" w:eastAsia="仿宋"/>
          <w:sz w:val="28"/>
          <w:szCs w:val="28"/>
        </w:rPr>
        <w:t xml:space="preserve">3.适用法律</w:t>
      </w:r>
      <w:bookmarkEnd w:id="62"/>
      <w:r/>
      <w:bookmarkEnd w:id="63"/>
      <w:r/>
      <w:bookmarkEnd w:id="64"/>
      <w:r>
        <w:rPr>
          <w:rFonts w:ascii="仿宋" w:hAnsi="仿宋" w:eastAsia="仿宋"/>
          <w:b/>
          <w:bCs/>
          <w:sz w:val="28"/>
          <w:szCs w:val="28"/>
        </w:rPr>
      </w:r>
      <w:r/>
    </w:p>
    <w:p>
      <w:pPr>
        <w:pStyle w:val="891"/>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891"/>
        <w:keepNext/>
        <w:spacing w:line="480" w:lineRule="exact"/>
        <w:rPr>
          <w:rFonts w:ascii="仿宋" w:hAnsi="仿宋" w:eastAsia="仿宋"/>
          <w:b/>
          <w:bCs/>
          <w:sz w:val="28"/>
          <w:szCs w:val="28"/>
        </w:rPr>
        <w:outlineLvl w:val="3"/>
      </w:pPr>
      <w:r/>
      <w:bookmarkStart w:id="65" w:name="_Toc462564067"/>
      <w:r/>
      <w:bookmarkStart w:id="66" w:name="_Toc16938523"/>
      <w:r/>
      <w:bookmarkStart w:id="67" w:name="_Toc513029207"/>
      <w:r/>
      <w:bookmarkStart w:id="68" w:name="_Toc20823279"/>
      <w:r>
        <w:rPr>
          <w:rFonts w:ascii="仿宋" w:hAnsi="仿宋" w:eastAsia="仿宋"/>
          <w:sz w:val="28"/>
          <w:szCs w:val="28"/>
        </w:rPr>
        <w:t xml:space="preserve">4.投标费用</w:t>
      </w:r>
      <w:bookmarkEnd w:id="65"/>
      <w:r/>
      <w:bookmarkEnd w:id="66"/>
      <w:r/>
      <w:bookmarkEnd w:id="67"/>
      <w:r/>
      <w:bookmarkEnd w:id="68"/>
      <w:r>
        <w:rPr>
          <w:rFonts w:ascii="仿宋" w:hAnsi="仿宋" w:eastAsia="仿宋"/>
          <w:b/>
          <w:bCs/>
          <w:sz w:val="28"/>
          <w:szCs w:val="28"/>
        </w:rPr>
      </w:r>
      <w:r/>
    </w:p>
    <w:p>
      <w:pPr>
        <w:pStyle w:val="89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投标人应自行承担所有与参加投标有关的费用，无论投标过程中的做法和结果如何，南通市政府采购中心（以下简称采购中心）在任何情况下均无义务和责任承担这些费用。</w:t>
      </w:r>
      <w:r>
        <w:rPr>
          <w:rFonts w:ascii="仿宋" w:hAnsi="仿宋" w:eastAsia="仿宋"/>
          <w:sz w:val="28"/>
          <w:szCs w:val="28"/>
        </w:rPr>
      </w:r>
      <w:r/>
    </w:p>
    <w:p>
      <w:pPr>
        <w:pStyle w:val="891"/>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rPr>
          <w:rFonts w:ascii="仿宋" w:hAnsi="仿宋" w:eastAsia="仿宋"/>
          <w:sz w:val="28"/>
          <w:szCs w:val="28"/>
        </w:rPr>
      </w:r>
      <w:r/>
    </w:p>
    <w:p>
      <w:pPr>
        <w:pStyle w:val="891"/>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rPr>
          <w:rFonts w:ascii="仿宋" w:hAnsi="仿宋" w:eastAsia="仿宋"/>
          <w:b/>
          <w:bCs/>
          <w:sz w:val="28"/>
          <w:szCs w:val="28"/>
        </w:rPr>
      </w:r>
      <w:r/>
    </w:p>
    <w:p>
      <w:pPr>
        <w:pStyle w:val="89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891"/>
        <w:ind w:firstLine="281"/>
        <w:keepLines/>
        <w:keepNext/>
        <w:spacing w:before="145" w:after="145" w:line="480" w:lineRule="exact"/>
        <w:rPr>
          <w:rFonts w:hint="eastAsia" w:ascii="仿宋" w:hAnsi="仿宋" w:eastAsia="仿宋"/>
          <w:b/>
          <w:bCs/>
          <w:color w:val="000000"/>
          <w:sz w:val="28"/>
          <w:szCs w:val="28"/>
        </w:rPr>
        <w:outlineLvl w:val="2"/>
      </w:pPr>
      <w:r/>
      <w:bookmarkStart w:id="69" w:name="_Toc513029209"/>
      <w:r/>
      <w:bookmarkStart w:id="70" w:name="_Toc120614215"/>
      <w:r/>
      <w:bookmarkStart w:id="71" w:name="_Toc16938525"/>
      <w:r/>
      <w:bookmarkStart w:id="72" w:name="_Toc20823281"/>
      <w:r>
        <w:rPr>
          <w:rFonts w:hint="eastAsia" w:ascii="仿宋" w:hAnsi="仿宋" w:eastAsia="仿宋"/>
          <w:b/>
          <w:bCs/>
          <w:color w:val="000000"/>
          <w:sz w:val="28"/>
          <w:szCs w:val="28"/>
        </w:rPr>
        <w:t xml:space="preserve">二、招标文件</w:t>
      </w:r>
      <w:bookmarkEnd w:id="69"/>
      <w:r/>
      <w:bookmarkEnd w:id="70"/>
      <w:r/>
      <w:bookmarkEnd w:id="71"/>
      <w:r/>
      <w:bookmarkEnd w:id="72"/>
      <w:r>
        <w:rPr>
          <w:rFonts w:hint="eastAsia" w:ascii="仿宋" w:hAnsi="仿宋" w:eastAsia="仿宋"/>
          <w:b/>
          <w:bCs/>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73" w:name="_Toc20823282"/>
      <w:r/>
      <w:bookmarkStart w:id="74" w:name="_Toc513029210"/>
      <w:r/>
      <w:bookmarkStart w:id="75" w:name="_Toc16938526"/>
      <w:r>
        <w:rPr>
          <w:rFonts w:hint="eastAsia" w:ascii="仿宋" w:hAnsi="仿宋" w:eastAsia="仿宋" w:cs="Arial"/>
          <w:color w:val="000000"/>
          <w:sz w:val="28"/>
          <w:szCs w:val="28"/>
        </w:rPr>
        <w:t xml:space="preserve">6、招标文件构成</w:t>
      </w:r>
      <w:bookmarkEnd w:id="73"/>
      <w:r/>
      <w:bookmarkEnd w:id="74"/>
      <w:r/>
      <w:bookmarkEnd w:id="75"/>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请仔细检查招标文件是否齐全，如有缺漏请立即与采购中心联系解决。</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891"/>
        <w:ind w:firstLine="560"/>
        <w:keepLines/>
        <w:keepNext/>
        <w:spacing w:line="480" w:lineRule="exact"/>
        <w:rPr>
          <w:rFonts w:hint="eastAsia" w:ascii="仿宋" w:hAnsi="仿宋" w:eastAsia="仿宋" w:cs="Arial"/>
          <w:color w:val="000000"/>
          <w:sz w:val="28"/>
          <w:szCs w:val="28"/>
        </w:rPr>
        <w:outlineLvl w:val="3"/>
      </w:pPr>
      <w:r/>
      <w:bookmarkStart w:id="76" w:name="_Toc20823283"/>
      <w:r/>
      <w:bookmarkStart w:id="77" w:name="_Toc462564070"/>
      <w:r/>
      <w:bookmarkStart w:id="78" w:name="_Toc513029211"/>
      <w:r/>
      <w:bookmarkStart w:id="79" w:name="_Toc16938527"/>
      <w:r>
        <w:rPr>
          <w:rFonts w:hint="eastAsia" w:ascii="仿宋" w:hAnsi="仿宋" w:eastAsia="仿宋" w:cs="Arial"/>
          <w:color w:val="000000"/>
          <w:sz w:val="28"/>
          <w:szCs w:val="28"/>
        </w:rPr>
        <w:t xml:space="preserve">7、招标文件的澄清</w:t>
      </w:r>
      <w:bookmarkEnd w:id="76"/>
      <w:r/>
      <w:bookmarkEnd w:id="77"/>
      <w:r/>
      <w:bookmarkEnd w:id="78"/>
      <w:r/>
      <w:bookmarkEnd w:id="79"/>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前按招标公告中的通讯地址，以书面形式通知采购中心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891"/>
        <w:ind w:firstLine="560"/>
        <w:keepLines/>
        <w:keepNext/>
        <w:spacing w:line="480" w:lineRule="exact"/>
        <w:rPr>
          <w:rFonts w:hint="eastAsia" w:ascii="仿宋" w:hAnsi="仿宋" w:eastAsia="仿宋" w:cs="Arial"/>
          <w:color w:val="000000"/>
          <w:sz w:val="28"/>
          <w:szCs w:val="28"/>
        </w:rPr>
        <w:outlineLvl w:val="3"/>
      </w:pPr>
      <w:r/>
      <w:bookmarkStart w:id="80" w:name="_Toc462564071"/>
      <w:r/>
      <w:bookmarkStart w:id="81" w:name="_Toc513029212"/>
      <w:r/>
      <w:bookmarkStart w:id="82" w:name="_Toc16938528"/>
      <w:r/>
      <w:bookmarkStart w:id="83" w:name="_Toc20823284"/>
      <w:r>
        <w:rPr>
          <w:rFonts w:hint="eastAsia" w:ascii="仿宋" w:hAnsi="仿宋" w:eastAsia="仿宋" w:cs="Arial"/>
          <w:color w:val="000000"/>
          <w:sz w:val="28"/>
          <w:szCs w:val="28"/>
        </w:rPr>
        <w:t xml:space="preserve">8、招标文件的修改</w:t>
      </w:r>
      <w:bookmarkEnd w:id="80"/>
      <w:r/>
      <w:bookmarkEnd w:id="81"/>
      <w:r/>
      <w:bookmarkEnd w:id="82"/>
      <w:r/>
      <w:bookmarkEnd w:id="83"/>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在投标截止时间前，采购中心可以对招标文件进行修改。</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rPr>
        <w:t xml:space="preserve">采购中心有权按照法定的要求推迟投标截止日期和开标日期。</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891"/>
        <w:ind w:firstLine="422"/>
        <w:keepLines/>
        <w:keepNext/>
        <w:spacing w:before="145" w:after="145" w:line="480" w:lineRule="exact"/>
        <w:rPr>
          <w:rFonts w:hint="eastAsia" w:ascii="仿宋" w:hAnsi="仿宋" w:eastAsia="仿宋"/>
          <w:b/>
          <w:bCs/>
          <w:color w:val="000000"/>
          <w:sz w:val="28"/>
          <w:szCs w:val="28"/>
        </w:rPr>
        <w:outlineLvl w:val="2"/>
      </w:pPr>
      <w:r/>
      <w:bookmarkStart w:id="84" w:name="_Toc120614216"/>
      <w:r/>
      <w:bookmarkStart w:id="85" w:name="_Toc462564072"/>
      <w:r/>
      <w:bookmarkStart w:id="86" w:name="_Toc16938529"/>
      <w:r/>
      <w:bookmarkStart w:id="87" w:name="_Toc20823285"/>
      <w:r/>
      <w:bookmarkStart w:id="88" w:name="_Toc513029213"/>
      <w:r>
        <w:rPr>
          <w:rFonts w:hint="eastAsia" w:ascii="仿宋" w:hAnsi="仿宋" w:eastAsia="仿宋"/>
          <w:b/>
          <w:bCs/>
          <w:color w:val="000000"/>
          <w:sz w:val="28"/>
          <w:szCs w:val="28"/>
        </w:rPr>
        <w:t xml:space="preserve">三、投标文件的编制</w:t>
      </w:r>
      <w:bookmarkEnd w:id="84"/>
      <w:r/>
      <w:bookmarkEnd w:id="85"/>
      <w:r/>
      <w:bookmarkEnd w:id="86"/>
      <w:r/>
      <w:bookmarkEnd w:id="87"/>
      <w:r/>
      <w:bookmarkEnd w:id="88"/>
      <w:r>
        <w:rPr>
          <w:rFonts w:hint="eastAsia" w:ascii="仿宋" w:hAnsi="仿宋" w:eastAsia="仿宋"/>
          <w:b/>
          <w:bCs/>
          <w:color w:val="000000"/>
          <w:sz w:val="28"/>
          <w:szCs w:val="28"/>
        </w:rPr>
      </w:r>
      <w:r/>
    </w:p>
    <w:p>
      <w:pPr>
        <w:pStyle w:val="891"/>
        <w:ind w:firstLine="560"/>
        <w:keepLines/>
        <w:keepNext/>
        <w:spacing w:line="480" w:lineRule="exact"/>
        <w:rPr>
          <w:rFonts w:hint="eastAsia" w:ascii="仿宋" w:hAnsi="仿宋" w:eastAsia="仿宋" w:cs="Arial"/>
          <w:b/>
          <w:color w:val="000000"/>
          <w:sz w:val="28"/>
          <w:szCs w:val="28"/>
        </w:rPr>
        <w:outlineLvl w:val="3"/>
      </w:pPr>
      <w:r/>
      <w:bookmarkStart w:id="89" w:name="_Toc20823286"/>
      <w:r/>
      <w:bookmarkStart w:id="90" w:name="_Toc462564073"/>
      <w:r/>
      <w:bookmarkStart w:id="91" w:name="_Toc513029214"/>
      <w:r/>
      <w:bookmarkStart w:id="92" w:name="_Toc16938530"/>
      <w:r>
        <w:rPr>
          <w:rFonts w:hint="eastAsia" w:ascii="仿宋" w:hAnsi="仿宋" w:eastAsia="仿宋" w:cs="Arial"/>
          <w:color w:val="000000"/>
          <w:sz w:val="28"/>
          <w:szCs w:val="28"/>
        </w:rPr>
        <w:t xml:space="preserve">9、投标文件的语言及度量衡单位</w:t>
      </w:r>
      <w:bookmarkEnd w:id="89"/>
      <w:r/>
      <w:bookmarkEnd w:id="90"/>
      <w:r/>
      <w:bookmarkEnd w:id="91"/>
      <w:r/>
      <w:bookmarkEnd w:id="92"/>
      <w:r>
        <w:rPr>
          <w:rFonts w:hint="eastAsia" w:ascii="仿宋" w:hAnsi="仿宋" w:eastAsia="仿宋" w:cs="Arial"/>
          <w:b/>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投标人提交的投标文件以及投标人与采购中心就有关投标的所有来往通知、函件和文件均应使用简体中文。</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93" w:name="_Toc16938531"/>
      <w:r/>
      <w:bookmarkStart w:id="94" w:name="_Toc462564074"/>
      <w:r/>
      <w:bookmarkStart w:id="95" w:name="_Toc20823287"/>
      <w:r/>
      <w:bookmarkStart w:id="96" w:name="_Toc513029215"/>
      <w:r>
        <w:rPr>
          <w:rFonts w:hint="eastAsia" w:ascii="仿宋" w:hAnsi="仿宋" w:eastAsia="仿宋" w:cs="Arial"/>
          <w:color w:val="000000"/>
          <w:sz w:val="28"/>
          <w:szCs w:val="28"/>
        </w:rPr>
        <w:t xml:space="preserve">10、投标文件构成</w:t>
      </w:r>
      <w:bookmarkEnd w:id="93"/>
      <w:r/>
      <w:bookmarkEnd w:id="94"/>
      <w:r/>
      <w:bookmarkEnd w:id="95"/>
      <w:r/>
      <w:bookmarkEnd w:id="96"/>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97" w:name="_Hlt26670360"/>
      <w:r/>
      <w:bookmarkEnd w:id="97"/>
      <w:r/>
      <w:bookmarkStart w:id="98" w:name="_Hlt26668975"/>
      <w:r/>
      <w:bookmarkEnd w:id="98"/>
      <w:r/>
      <w:bookmarkStart w:id="99" w:name="_Hlt26954838"/>
      <w:r/>
      <w:bookmarkEnd w:id="99"/>
      <w:r/>
      <w:bookmarkStart w:id="100" w:name="_Toc49090509"/>
      <w:r/>
      <w:bookmarkStart w:id="101" w:name="_Toc513029219"/>
      <w:r/>
      <w:bookmarkStart w:id="102" w:name="_Toc14577357"/>
      <w:r/>
      <w:bookmarkStart w:id="103" w:name="_Toc513029216"/>
      <w:r/>
      <w:bookmarkStart w:id="104" w:name="_Toc49090507"/>
      <w:r/>
      <w:bookmarkStart w:id="105" w:name="_Toc14577354"/>
      <w:r/>
      <w:bookmarkStart w:id="106" w:name="_Toc14577355"/>
      <w:r/>
      <w:bookmarkStart w:id="107" w:name="_Toc49090508"/>
      <w:r>
        <w:rPr>
          <w:rFonts w:hint="eastAsia" w:ascii="仿宋" w:hAnsi="仿宋" w:eastAsia="仿宋" w:cs="Arial"/>
          <w:color w:val="000000"/>
          <w:sz w:val="28"/>
          <w:szCs w:val="28"/>
        </w:rPr>
        <w:t xml:space="preserve">11、证明投标人及投标标的符合招标文件规定的文件</w:t>
      </w:r>
      <w:bookmarkEnd w:id="100"/>
      <w:r/>
      <w:bookmarkEnd w:id="101"/>
      <w:r/>
      <w:bookmarkEnd w:id="102"/>
      <w:r>
        <w:rPr>
          <w:rFonts w:hint="eastAsia" w:ascii="仿宋" w:hAnsi="仿宋" w:eastAsia="仿宋" w:cs="Arial"/>
          <w:color w:val="000000"/>
          <w:sz w:val="28"/>
          <w:szCs w:val="28"/>
        </w:rPr>
      </w:r>
      <w:r/>
    </w:p>
    <w:p>
      <w:pPr>
        <w:pStyle w:val="891"/>
        <w:spacing w:line="480" w:lineRule="exact"/>
        <w:rPr>
          <w:rFonts w:hint="eastAsia" w:ascii="仿宋" w:hAnsi="仿宋" w:eastAsia="仿宋"/>
          <w:color w:val="000000"/>
          <w:sz w:val="28"/>
          <w:szCs w:val="28"/>
        </w:rPr>
      </w:pPr>
      <w:r/>
      <w:bookmarkEnd w:id="103"/>
      <w:r/>
      <w:bookmarkEnd w:id="104"/>
      <w:r/>
      <w:bookmarkEnd w:id="105"/>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End w:id="106"/>
      <w:r/>
      <w:bookmarkEnd w:id="107"/>
      <w:r>
        <w:rPr>
          <w:rFonts w:hint="eastAsia" w:ascii="仿宋" w:hAnsi="仿宋" w:eastAsia="仿宋" w:cs="Arial"/>
          <w:color w:val="000000"/>
          <w:sz w:val="28"/>
          <w:szCs w:val="28"/>
        </w:rPr>
        <w:t xml:space="preserve">12、投标分项报价表</w:t>
      </w:r>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108" w:name="_Hlt26670482"/>
      <w:r/>
      <w:bookmarkEnd w:id="108"/>
      <w:r/>
      <w:bookmarkStart w:id="109" w:name="_Hlt26954846"/>
      <w:r/>
      <w:bookmarkEnd w:id="109"/>
      <w:r/>
      <w:bookmarkStart w:id="110" w:name="_Hlt26954848"/>
      <w:r/>
      <w:bookmarkEnd w:id="110"/>
      <w:r/>
      <w:bookmarkStart w:id="111" w:name="_Hlt26954731"/>
      <w:r/>
      <w:bookmarkEnd w:id="111"/>
      <w:r/>
      <w:bookmarkStart w:id="112" w:name="_Hlt26670486"/>
      <w:r/>
      <w:bookmarkEnd w:id="112"/>
      <w:r>
        <w:rPr>
          <w:rFonts w:hint="eastAsia" w:ascii="仿宋" w:hAnsi="仿宋" w:eastAsia="仿宋" w:cs="Arial"/>
          <w:color w:val="000000"/>
          <w:sz w:val="28"/>
          <w:szCs w:val="28"/>
        </w:rPr>
        <w:t xml:space="preserve">13、技术要求响应及偏离表、商务要求响应及偏离表</w:t>
      </w:r>
      <w:r>
        <w:rPr>
          <w:rFonts w:hint="eastAsia" w:ascii="仿宋" w:hAnsi="仿宋" w:eastAsia="仿宋" w:cs="Arial"/>
          <w:color w:val="000000"/>
          <w:sz w:val="28"/>
          <w:szCs w:val="28"/>
        </w:rPr>
      </w:r>
      <w:r/>
    </w:p>
    <w:p>
      <w:pPr>
        <w:pStyle w:val="89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89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89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14、服务承诺、培训计划、人员安排及其他</w:t>
      </w:r>
      <w:r>
        <w:rPr>
          <w:rFonts w:hint="eastAsia" w:ascii="仿宋" w:hAnsi="仿宋" w:eastAsia="仿宋" w:cs="Arial"/>
          <w:color w:val="000000"/>
          <w:sz w:val="28"/>
          <w:szCs w:val="28"/>
        </w:rPr>
      </w:r>
      <w:r/>
    </w:p>
    <w:p>
      <w:pPr>
        <w:pStyle w:val="89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89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89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113" w:name="_Toc49090510"/>
      <w:r/>
      <w:bookmarkStart w:id="114" w:name="_Toc14577359"/>
      <w:r>
        <w:rPr>
          <w:rFonts w:hint="eastAsia" w:ascii="仿宋" w:hAnsi="仿宋" w:eastAsia="仿宋" w:cs="Arial"/>
          <w:color w:val="000000"/>
          <w:sz w:val="28"/>
          <w:szCs w:val="28"/>
        </w:rPr>
        <w:t xml:space="preserve">15、投标函和开标一览表</w:t>
      </w:r>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End w:id="113"/>
      <w:r/>
      <w:bookmarkEnd w:id="114"/>
      <w:r/>
      <w:bookmarkStart w:id="115" w:name="_Toc49090511"/>
      <w:r/>
      <w:bookmarkStart w:id="116" w:name="_Toc14577360"/>
      <w:r>
        <w:rPr>
          <w:rFonts w:hint="eastAsia" w:ascii="仿宋" w:hAnsi="仿宋" w:eastAsia="仿宋" w:cs="Arial"/>
          <w:color w:val="000000"/>
          <w:sz w:val="28"/>
          <w:szCs w:val="28"/>
        </w:rPr>
        <w:t xml:space="preserve">16、投标有效期</w:t>
      </w:r>
      <w:bookmarkEnd w:id="115"/>
      <w:r/>
      <w:bookmarkEnd w:id="116"/>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16.1投标有效期为采购中心规定的开标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、投标有效期的延长</w:t>
      </w:r>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891"/>
        <w:keepLines/>
        <w:keepNext/>
        <w:spacing w:before="145" w:after="145" w:line="480" w:lineRule="exact"/>
        <w:rPr>
          <w:rFonts w:hint="eastAsia" w:ascii="仿宋" w:hAnsi="仿宋" w:eastAsia="仿宋"/>
          <w:b/>
          <w:bCs/>
          <w:color w:val="000000"/>
          <w:sz w:val="28"/>
          <w:szCs w:val="28"/>
        </w:rPr>
        <w:outlineLvl w:val="2"/>
      </w:pPr>
      <w:r/>
      <w:bookmarkStart w:id="117" w:name="_Hlt26954739"/>
      <w:r/>
      <w:bookmarkEnd w:id="117"/>
      <w:r/>
      <w:bookmarkStart w:id="118" w:name="_Hlt26954852"/>
      <w:r/>
      <w:bookmarkEnd w:id="118"/>
      <w:r/>
      <w:bookmarkStart w:id="119" w:name="_Toc20823296"/>
      <w:r/>
      <w:bookmarkStart w:id="120" w:name="_Toc513029224"/>
      <w:r/>
      <w:bookmarkStart w:id="121" w:name="_Toc16938540"/>
      <w:r/>
      <w:bookmarkStart w:id="122" w:name="_Toc120614217"/>
      <w:r>
        <w:rPr>
          <w:rFonts w:hint="eastAsia" w:ascii="仿宋" w:hAnsi="仿宋" w:eastAsia="仿宋"/>
          <w:b/>
          <w:bCs/>
          <w:color w:val="000000"/>
          <w:sz w:val="28"/>
          <w:szCs w:val="28"/>
        </w:rPr>
        <w:t xml:space="preserve">四、投标文件的递交</w:t>
      </w:r>
      <w:bookmarkEnd w:id="119"/>
      <w:r/>
      <w:bookmarkEnd w:id="120"/>
      <w:r/>
      <w:bookmarkEnd w:id="121"/>
      <w:r/>
      <w:bookmarkEnd w:id="122"/>
      <w:r>
        <w:rPr>
          <w:rFonts w:hint="eastAsia" w:ascii="仿宋" w:hAnsi="仿宋" w:eastAsia="仿宋"/>
          <w:b/>
          <w:bCs/>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123" w:name="_Toc20823297"/>
      <w:r/>
      <w:bookmarkStart w:id="124" w:name="_Toc513029225"/>
      <w:r/>
      <w:bookmarkStart w:id="125" w:name="_Toc462564084"/>
      <w:r/>
      <w:bookmarkStart w:id="126" w:name="_Toc16938541"/>
      <w:r>
        <w:rPr>
          <w:rFonts w:hint="eastAsia" w:ascii="仿宋" w:hAnsi="仿宋" w:eastAsia="仿宋" w:cs="Arial"/>
          <w:color w:val="000000"/>
          <w:sz w:val="28"/>
          <w:szCs w:val="28"/>
        </w:rPr>
        <w:t xml:space="preserve">1</w:t>
      </w:r>
      <w:r>
        <w:rPr>
          <w:rFonts w:ascii="仿宋" w:hAnsi="仿宋" w:eastAsia="仿宋" w:cs="Arial"/>
          <w:color w:val="000000"/>
          <w:sz w:val="28"/>
          <w:szCs w:val="28"/>
        </w:rPr>
        <w:t xml:space="preserve">8</w:t>
      </w:r>
      <w:r>
        <w:rPr>
          <w:rFonts w:hint="eastAsia" w:ascii="仿宋" w:hAnsi="仿宋" w:eastAsia="仿宋" w:cs="Arial"/>
          <w:color w:val="000000"/>
          <w:sz w:val="28"/>
          <w:szCs w:val="28"/>
        </w:rPr>
        <w:t xml:space="preserve">、电子投标文件</w:t>
      </w:r>
      <w:bookmarkEnd w:id="123"/>
      <w:r/>
      <w:bookmarkEnd w:id="124"/>
      <w:r/>
      <w:bookmarkEnd w:id="125"/>
      <w:r/>
      <w:bookmarkEnd w:id="126"/>
      <w:r>
        <w:rPr>
          <w:rFonts w:hint="eastAsia" w:ascii="仿宋" w:hAnsi="仿宋" w:eastAsia="仿宋" w:cs="Arial"/>
          <w:color w:val="000000"/>
          <w:sz w:val="28"/>
          <w:szCs w:val="28"/>
        </w:rPr>
        <w:t xml:space="preserve">的递交</w:t>
      </w:r>
      <w:r>
        <w:rPr>
          <w:rFonts w:hint="eastAsia" w:ascii="仿宋" w:hAnsi="仿宋" w:eastAsia="仿宋" w:cs="Arial"/>
          <w:color w:val="000000"/>
          <w:sz w:val="28"/>
          <w:szCs w:val="28"/>
        </w:rPr>
      </w:r>
      <w:r/>
    </w:p>
    <w:p>
      <w:pPr>
        <w:pStyle w:val="891"/>
        <w:ind w:left="525"/>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18.1投标人应当按照《操作手册》规定，在投标截止时间前</w:t>
      </w:r>
      <w:r>
        <w:rPr>
          <w:rFonts w:ascii="仿宋" w:hAnsi="仿宋" w:eastAsia="仿宋"/>
          <w:bCs/>
          <w:color w:val="000000"/>
          <w:sz w:val="28"/>
          <w:szCs w:val="28"/>
        </w:rPr>
        <w:t xml:space="preserve">制作</w:t>
      </w:r>
      <w:r>
        <w:rPr>
          <w:rFonts w:hint="eastAsia" w:ascii="仿宋" w:hAnsi="仿宋" w:eastAsia="仿宋"/>
          <w:bCs/>
          <w:color w:val="000000"/>
          <w:sz w:val="28"/>
          <w:szCs w:val="28"/>
        </w:rPr>
        <w:t xml:space="preserve">并上传电子投标文件。</w:t>
      </w:r>
      <w:bookmarkStart w:id="127" w:name="_Toc20823298"/>
      <w:r/>
      <w:bookmarkStart w:id="128" w:name="_Toc513029226"/>
      <w:r/>
      <w:bookmarkStart w:id="129" w:name="_Toc16938542"/>
      <w:r>
        <w:rPr>
          <w:rFonts w:ascii="仿宋" w:hAnsi="仿宋" w:eastAsia="仿宋"/>
          <w:bCs/>
          <w:color w:val="000000"/>
          <w:sz w:val="28"/>
          <w:szCs w:val="28"/>
        </w:rPr>
      </w:r>
      <w:r/>
    </w:p>
    <w:p>
      <w:pPr>
        <w:pStyle w:val="891"/>
        <w:ind w:firstLine="420"/>
        <w:keepLines/>
        <w:keepNext/>
        <w:spacing w:before="280" w:after="290" w:line="480" w:lineRule="exact"/>
        <w:rPr>
          <w:rFonts w:hint="eastAsia" w:ascii="仿宋" w:hAnsi="仿宋" w:eastAsia="仿宋" w:cs="Arial"/>
          <w:bCs/>
          <w:color w:val="000000"/>
          <w:sz w:val="28"/>
          <w:szCs w:val="28"/>
        </w:rPr>
        <w:outlineLvl w:val="3"/>
      </w:pPr>
      <w:r>
        <w:rPr>
          <w:rFonts w:ascii="仿宋" w:hAnsi="仿宋" w:eastAsia="仿宋" w:cs="Arial"/>
          <w:bCs/>
          <w:color w:val="000000"/>
          <w:sz w:val="28"/>
          <w:szCs w:val="28"/>
        </w:rPr>
        <w:t xml:space="preserve">19</w:t>
      </w:r>
      <w:r>
        <w:rPr>
          <w:rFonts w:hint="eastAsia" w:ascii="仿宋" w:hAnsi="仿宋" w:eastAsia="仿宋" w:cs="Arial"/>
          <w:bCs/>
          <w:color w:val="000000"/>
          <w:sz w:val="28"/>
          <w:szCs w:val="28"/>
        </w:rPr>
        <w:t xml:space="preserve">、投标截止日期</w:t>
      </w:r>
      <w:bookmarkEnd w:id="127"/>
      <w:r/>
      <w:bookmarkEnd w:id="128"/>
      <w:r/>
      <w:bookmarkEnd w:id="129"/>
      <w:r>
        <w:rPr>
          <w:rFonts w:hint="eastAsia" w:ascii="仿宋" w:hAnsi="仿宋" w:eastAsia="仿宋" w:cs="Arial"/>
          <w:bCs/>
          <w:color w:val="000000"/>
          <w:sz w:val="28"/>
          <w:szCs w:val="28"/>
        </w:rPr>
      </w:r>
      <w:r/>
    </w:p>
    <w:p>
      <w:pPr>
        <w:pStyle w:val="89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采购中心可以按照规定，通过修改招标文件酌情延长投标截止日期，在此情况下，投标人的所有权利和义务以及投标人受制的截止日期均应以延长后新的截止日期为准。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130" w:name="_Toc20823299"/>
      <w:r/>
      <w:bookmarkStart w:id="131" w:name="_Toc513029227"/>
      <w:r/>
      <w:bookmarkStart w:id="132" w:name="_Toc16938543"/>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0</w:t>
      </w:r>
      <w:r>
        <w:rPr>
          <w:rFonts w:hint="eastAsia" w:ascii="仿宋" w:hAnsi="仿宋" w:eastAsia="仿宋" w:cs="Arial"/>
          <w:color w:val="000000"/>
          <w:sz w:val="28"/>
          <w:szCs w:val="28"/>
        </w:rPr>
        <w:t xml:space="preserve">、投标文件</w:t>
      </w:r>
      <w:bookmarkEnd w:id="130"/>
      <w:r/>
      <w:bookmarkEnd w:id="131"/>
      <w:r/>
      <w:bookmarkEnd w:id="132"/>
      <w:r>
        <w:rPr>
          <w:rFonts w:hint="eastAsia" w:ascii="仿宋" w:hAnsi="仿宋" w:eastAsia="仿宋" w:cs="Arial"/>
          <w:color w:val="000000"/>
          <w:sz w:val="28"/>
          <w:szCs w:val="28"/>
        </w:rPr>
        <w:t xml:space="preserve">的拒收</w:t>
      </w:r>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采购中心拒绝接收在其规定的投标截止时间后上传的任何投标文件。</w:t>
      </w:r>
      <w:r>
        <w:rPr>
          <w:rFonts w:hint="eastAsia" w:ascii="仿宋" w:hAnsi="仿宋" w:eastAsia="仿宋"/>
          <w:bCs/>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133" w:name="_Toc20823300"/>
      <w:r/>
      <w:bookmarkStart w:id="134" w:name="_Toc16938544"/>
      <w:r/>
      <w:bookmarkStart w:id="135" w:name="_Toc513029228"/>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1</w:t>
      </w:r>
      <w:r>
        <w:rPr>
          <w:rFonts w:hint="eastAsia" w:ascii="仿宋" w:hAnsi="仿宋" w:eastAsia="仿宋" w:cs="Arial"/>
          <w:color w:val="000000"/>
          <w:sz w:val="28"/>
          <w:szCs w:val="28"/>
        </w:rPr>
        <w:t xml:space="preserve">、投标文件的撤回和修改</w:t>
      </w:r>
      <w:bookmarkEnd w:id="133"/>
      <w:r/>
      <w:bookmarkEnd w:id="134"/>
      <w:r/>
      <w:bookmarkEnd w:id="135"/>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891"/>
        <w:ind w:firstLine="422"/>
        <w:keepLines/>
        <w:keepNext/>
        <w:spacing w:before="145" w:after="145" w:line="480" w:lineRule="exact"/>
        <w:rPr>
          <w:rFonts w:hint="eastAsia" w:ascii="仿宋" w:hAnsi="仿宋" w:eastAsia="仿宋"/>
          <w:b/>
          <w:bCs/>
          <w:color w:val="000000"/>
          <w:sz w:val="28"/>
          <w:szCs w:val="28"/>
        </w:rPr>
        <w:outlineLvl w:val="2"/>
      </w:pPr>
      <w:r/>
      <w:bookmarkStart w:id="136" w:name="_Toc120614218"/>
      <w:r/>
      <w:bookmarkStart w:id="137" w:name="_Toc20823301"/>
      <w:r/>
      <w:bookmarkStart w:id="138" w:name="_Toc513029229"/>
      <w:r/>
      <w:bookmarkStart w:id="139" w:name="_Toc16938545"/>
      <w:r>
        <w:rPr>
          <w:rFonts w:hint="eastAsia" w:ascii="仿宋" w:hAnsi="仿宋" w:eastAsia="仿宋"/>
          <w:b/>
          <w:bCs/>
          <w:color w:val="000000"/>
          <w:sz w:val="28"/>
          <w:szCs w:val="28"/>
        </w:rPr>
        <w:t xml:space="preserve">五、开标与评标</w:t>
      </w:r>
      <w:bookmarkEnd w:id="136"/>
      <w:r/>
      <w:bookmarkEnd w:id="137"/>
      <w:r/>
      <w:bookmarkEnd w:id="138"/>
      <w:r/>
      <w:bookmarkEnd w:id="139"/>
      <w:r>
        <w:rPr>
          <w:rFonts w:hint="eastAsia" w:ascii="仿宋" w:hAnsi="仿宋" w:eastAsia="仿宋"/>
          <w:b/>
          <w:bCs/>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140" w:name="_Toc513029230"/>
      <w:r/>
      <w:bookmarkStart w:id="141" w:name="_Toc16938546"/>
      <w:r/>
      <w:bookmarkStart w:id="142" w:name="_Toc20823302"/>
      <w:r>
        <w:rPr>
          <w:rFonts w:hint="eastAsia" w:ascii="仿宋" w:hAnsi="仿宋" w:eastAsia="仿宋" w:cs="Arial"/>
          <w:color w:val="000000"/>
          <w:sz w:val="28"/>
          <w:szCs w:val="28"/>
        </w:rPr>
        <w:t xml:space="preserve">22、开标</w:t>
      </w:r>
      <w:bookmarkEnd w:id="140"/>
      <w:r/>
      <w:bookmarkEnd w:id="141"/>
      <w:r/>
      <w:bookmarkEnd w:id="142"/>
      <w:r>
        <w:rPr>
          <w:rFonts w:hint="eastAsia" w:ascii="仿宋" w:hAnsi="仿宋" w:eastAsia="仿宋" w:cs="Arial"/>
          <w:color w:val="000000"/>
          <w:sz w:val="28"/>
          <w:szCs w:val="28"/>
        </w:rPr>
      </w:r>
      <w:r/>
    </w:p>
    <w:p>
      <w:pPr>
        <w:pStyle w:val="89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89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89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89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143" w:name="_Toc16938547"/>
      <w:r/>
      <w:bookmarkStart w:id="144" w:name="_Toc513029231"/>
      <w:r/>
      <w:bookmarkStart w:id="145" w:name="_Toc20823303"/>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3</w:t>
      </w:r>
      <w:r>
        <w:rPr>
          <w:rFonts w:hint="eastAsia" w:ascii="仿宋" w:hAnsi="仿宋" w:eastAsia="仿宋" w:cs="Arial"/>
          <w:color w:val="000000"/>
          <w:sz w:val="28"/>
          <w:szCs w:val="28"/>
        </w:rPr>
        <w:t xml:space="preserve">、评标委员会</w:t>
      </w:r>
      <w:r>
        <w:rPr>
          <w:rFonts w:hint="eastAsia" w:ascii="仿宋" w:hAnsi="仿宋" w:eastAsia="仿宋" w:cs="Arial"/>
          <w:color w:val="000000"/>
          <w:sz w:val="28"/>
          <w:szCs w:val="28"/>
        </w:rPr>
      </w:r>
      <w:r/>
    </w:p>
    <w:p>
      <w:pPr>
        <w:pStyle w:val="89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开标后，采购中心将立即组织评标委员会（以下简称评委会）进行评标。</w:t>
      </w:r>
      <w:r>
        <w:rPr>
          <w:rFonts w:hint="eastAsia" w:ascii="仿宋" w:hAnsi="仿宋" w:eastAsia="仿宋"/>
          <w:b/>
          <w:color w:val="000000"/>
          <w:sz w:val="28"/>
          <w:szCs w:val="28"/>
        </w:rPr>
      </w:r>
      <w:r/>
    </w:p>
    <w:p>
      <w:pPr>
        <w:pStyle w:val="89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89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.3评委会独立工作，负责评审所有投标文件并确定中标侯选人。</w:t>
      </w:r>
      <w:r>
        <w:rPr>
          <w:rFonts w:hint="eastAsia" w:ascii="仿宋" w:hAnsi="仿宋" w:eastAsia="仿宋"/>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4</w:t>
      </w:r>
      <w:r>
        <w:rPr>
          <w:rFonts w:hint="eastAsia" w:ascii="仿宋" w:hAnsi="仿宋" w:eastAsia="仿宋" w:cs="Arial"/>
          <w:color w:val="000000"/>
          <w:sz w:val="28"/>
          <w:szCs w:val="28"/>
        </w:rPr>
        <w:t xml:space="preserve">．评标过程的保密与公正</w:t>
      </w:r>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bCs/>
          <w:color w:val="000000"/>
          <w:sz w:val="28"/>
          <w:szCs w:val="28"/>
        </w:rPr>
      </w:pPr>
      <w:r/>
      <w:bookmarkEnd w:id="143"/>
      <w:r/>
      <w:bookmarkEnd w:id="144"/>
      <w:r/>
      <w:bookmarkEnd w:id="145"/>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凡是与审查、澄清、评价和比较投标的有关资料以及授标建议等，采购人、评委、采购中心均不得向投标人或与评标无关的其他人员透露。</w:t>
      </w:r>
      <w:r>
        <w:rPr>
          <w:rFonts w:hint="eastAsia" w:ascii="仿宋" w:hAnsi="仿宋" w:eastAsia="仿宋"/>
          <w:bCs/>
          <w:color w:val="000000"/>
          <w:sz w:val="28"/>
          <w:szCs w:val="28"/>
        </w:rPr>
      </w:r>
      <w:r/>
    </w:p>
    <w:p>
      <w:pPr>
        <w:pStyle w:val="89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89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采购中心和评标委员会不向未中标的投标人解释未中标原因，也不公布评标过程中的相关细节。</w:t>
      </w:r>
      <w:r>
        <w:rPr>
          <w:rFonts w:hint="eastAsia" w:ascii="仿宋" w:hAnsi="仿宋" w:eastAsia="仿宋"/>
          <w:b/>
          <w:color w:val="000000"/>
          <w:sz w:val="28"/>
          <w:szCs w:val="28"/>
        </w:rPr>
      </w:r>
      <w:r/>
    </w:p>
    <w:p>
      <w:pPr>
        <w:pStyle w:val="89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bookmarkStart w:id="146" w:name="_Toc16938548"/>
      <w:r/>
      <w:bookmarkStart w:id="147" w:name="_Toc513029232"/>
      <w:r/>
      <w:bookmarkStart w:id="148" w:name="_Toc20823304"/>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5</w:t>
      </w:r>
      <w:r>
        <w:rPr>
          <w:rFonts w:hint="eastAsia" w:ascii="仿宋" w:hAnsi="仿宋" w:eastAsia="仿宋" w:cs="Arial"/>
          <w:color w:val="000000"/>
          <w:sz w:val="28"/>
          <w:szCs w:val="28"/>
        </w:rPr>
        <w:t xml:space="preserve">．投标文件的澄清</w:t>
      </w:r>
      <w:bookmarkEnd w:id="146"/>
      <w:r/>
      <w:bookmarkEnd w:id="147"/>
      <w:r/>
      <w:bookmarkEnd w:id="148"/>
      <w:r>
        <w:rPr>
          <w:rFonts w:hint="eastAsia" w:ascii="仿宋" w:hAnsi="仿宋" w:eastAsia="仿宋" w:cs="Arial"/>
          <w:color w:val="000000"/>
          <w:sz w:val="28"/>
          <w:szCs w:val="28"/>
        </w:rPr>
      </w:r>
      <w:r/>
    </w:p>
    <w:p>
      <w:pPr>
        <w:pStyle w:val="891"/>
        <w:ind w:firstLine="560"/>
        <w:spacing w:line="480" w:lineRule="exact"/>
        <w:rPr>
          <w:rFonts w:ascii="仿宋" w:hAnsi="仿宋" w:eastAsia="仿宋"/>
          <w:color w:val="000000"/>
          <w:sz w:val="28"/>
          <w:szCs w:val="28"/>
        </w:rPr>
      </w:pPr>
      <w:r/>
      <w:bookmarkStart w:id="149" w:name="_Toc513029233"/>
      <w:r/>
      <w:bookmarkStart w:id="150" w:name="_Toc20823305"/>
      <w:r/>
      <w:bookmarkStart w:id="151" w:name="_Toc16938549"/>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6</w:t>
      </w:r>
      <w:r>
        <w:rPr>
          <w:rFonts w:hint="eastAsia" w:ascii="仿宋" w:hAnsi="仿宋" w:eastAsia="仿宋" w:cs="Arial"/>
          <w:color w:val="000000"/>
          <w:sz w:val="28"/>
          <w:szCs w:val="28"/>
        </w:rPr>
        <w:t xml:space="preserve">、对投标文件的初审</w:t>
      </w:r>
      <w:bookmarkEnd w:id="149"/>
      <w:r/>
      <w:bookmarkEnd w:id="150"/>
      <w:r/>
      <w:bookmarkEnd w:id="151"/>
      <w:r>
        <w:rPr>
          <w:rFonts w:hint="eastAsia" w:ascii="仿宋" w:hAnsi="仿宋" w:eastAsia="仿宋" w:cs="Arial"/>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89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89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89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rPr>
          <w:rFonts w:hint="eastAsia" w:ascii="仿宋" w:hAnsi="仿宋" w:eastAsia="仿宋"/>
          <w:b/>
          <w:bCs/>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89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89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89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89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891"/>
        <w:ind w:firstLine="560"/>
        <w:spacing w:line="480" w:lineRule="exact"/>
        <w:rPr>
          <w:rFonts w:ascii="仿宋" w:hAnsi="仿宋" w:eastAsia="仿宋"/>
          <w:color w:val="000000"/>
          <w:sz w:val="28"/>
          <w:szCs w:val="28"/>
        </w:rPr>
      </w:pPr>
      <w:r/>
      <w:bookmarkStart w:id="152" w:name="_Toc513029234"/>
      <w:r/>
      <w:bookmarkStart w:id="153" w:name="_Toc16938550"/>
      <w:r/>
      <w:bookmarkStart w:id="154" w:name="_Toc20823306"/>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89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2</w:t>
      </w:r>
      <w:r>
        <w:rPr>
          <w:rFonts w:ascii="仿宋" w:hAnsi="仿宋" w:eastAsia="仿宋" w:cs="Arial"/>
          <w:color w:val="000000"/>
          <w:sz w:val="28"/>
          <w:szCs w:val="28"/>
        </w:rPr>
        <w:t xml:space="preserve">7</w:t>
      </w:r>
      <w:r>
        <w:rPr>
          <w:rFonts w:hint="eastAsia" w:ascii="仿宋" w:hAnsi="仿宋" w:eastAsia="仿宋" w:cs="Arial"/>
          <w:color w:val="000000"/>
          <w:sz w:val="28"/>
          <w:szCs w:val="28"/>
        </w:rPr>
        <w:t xml:space="preserve">、</w:t>
      </w:r>
      <w:bookmarkEnd w:id="152"/>
      <w:r/>
      <w:bookmarkEnd w:id="153"/>
      <w:r/>
      <w:bookmarkEnd w:id="154"/>
      <w:r>
        <w:rPr>
          <w:rFonts w:hint="eastAsia" w:ascii="仿宋" w:hAnsi="仿宋" w:eastAsia="仿宋" w:cs="Arial"/>
          <w:color w:val="000000"/>
          <w:sz w:val="28"/>
          <w:szCs w:val="28"/>
        </w:rPr>
        <w:t xml:space="preserve">无效投标条款和废标条款</w:t>
      </w:r>
      <w:r>
        <w:rPr>
          <w:rFonts w:hint="eastAsia" w:ascii="仿宋" w:hAnsi="仿宋" w:eastAsia="仿宋" w:cs="Arial"/>
          <w:color w:val="000000"/>
          <w:sz w:val="28"/>
          <w:szCs w:val="28"/>
        </w:rPr>
      </w:r>
      <w:r/>
    </w:p>
    <w:p>
      <w:pPr>
        <w:pStyle w:val="891"/>
        <w:ind w:left="479"/>
        <w:spacing w:line="480" w:lineRule="exact"/>
        <w:rPr>
          <w:rFonts w:hint="eastAsia" w:ascii="仿宋" w:hAnsi="仿宋" w:eastAsia="仿宋"/>
          <w:bCs/>
          <w:color w:val="000000"/>
          <w:sz w:val="28"/>
          <w:szCs w:val="28"/>
        </w:rPr>
      </w:pPr>
      <w:r/>
      <w:bookmarkStart w:id="155" w:name="_Toc16938551"/>
      <w:r/>
      <w:bookmarkStart w:id="156" w:name="_Toc513029235"/>
      <w:r/>
      <w:bookmarkStart w:id="157" w:name="_Toc20823307"/>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891"/>
        <w:ind w:firstLine="42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891"/>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891"/>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891"/>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891"/>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891"/>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891"/>
        <w:ind w:firstLine="42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 2</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highlight w:val="yellow"/>
          <w:lang w:val="en-US" w:eastAsia="zh-CN"/>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.1.1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其他法律、法规及本招标文件规定的属无效投标的情形。</w:t>
      </w:r>
      <w:r>
        <w:rPr>
          <w:rFonts w:hint="eastAsia" w:ascii="仿宋" w:hAnsi="仿宋" w:eastAsia="仿宋"/>
          <w:bCs/>
          <w:color w:val="000000"/>
          <w:sz w:val="28"/>
          <w:szCs w:val="28"/>
          <w:highlight w:val="yellow"/>
          <w:lang w:val="en-US" w:eastAsia="zh-CN"/>
        </w:rPr>
      </w:r>
      <w:r/>
    </w:p>
    <w:p>
      <w:pPr>
        <w:pStyle w:val="891"/>
        <w:ind w:firstLine="560"/>
        <w:spacing w:line="480" w:lineRule="exact"/>
        <w:rPr>
          <w:rFonts w:ascii="仿宋" w:hAnsi="仿宋" w:eastAsia="仿宋"/>
          <w:bCs/>
          <w:color w:val="000000"/>
          <w:sz w:val="28"/>
          <w:szCs w:val="28"/>
          <w:highlight w:val="none"/>
          <w:lang w:val="en-US" w:eastAsia="zh-CN"/>
        </w:rPr>
      </w:pPr>
      <w:r>
        <w:rPr>
          <w:rFonts w:hint="eastAsia" w:ascii="仿宋" w:hAnsi="仿宋" w:eastAsia="仿宋"/>
          <w:bCs/>
          <w:color w:val="000000"/>
          <w:sz w:val="28"/>
          <w:szCs w:val="28"/>
          <w:highlight w:val="none"/>
          <w:lang w:val="en-US" w:eastAsia="zh-CN"/>
        </w:rPr>
        <w:t xml:space="preserve">27.1.14</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rPr>
          <w:rFonts w:ascii="仿宋" w:hAnsi="仿宋" w:eastAsia="仿宋"/>
          <w:bCs/>
          <w:color w:val="000000"/>
          <w:sz w:val="28"/>
          <w:szCs w:val="28"/>
          <w:highlight w:val="none"/>
          <w:lang w:val="en-US" w:eastAsia="zh-CN"/>
        </w:rPr>
      </w:r>
      <w:r/>
    </w:p>
    <w:p>
      <w:pPr>
        <w:pStyle w:val="891"/>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891"/>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891"/>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891"/>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891"/>
        <w:ind w:left="479"/>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891"/>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891"/>
        <w:ind w:left="479"/>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7</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891"/>
        <w:ind w:firstLine="422"/>
        <w:keepLines/>
        <w:keepNext/>
        <w:spacing w:before="145" w:after="145" w:line="480" w:lineRule="exact"/>
        <w:rPr>
          <w:rFonts w:hint="eastAsia" w:ascii="仿宋" w:hAnsi="仿宋" w:eastAsia="仿宋"/>
          <w:b/>
          <w:bCs/>
          <w:color w:val="000000"/>
          <w:sz w:val="28"/>
          <w:szCs w:val="28"/>
        </w:rPr>
        <w:outlineLvl w:val="2"/>
      </w:pPr>
      <w:r/>
      <w:bookmarkStart w:id="158" w:name="_Toc120614219"/>
      <w:r>
        <w:rPr>
          <w:rFonts w:hint="eastAsia" w:ascii="仿宋" w:hAnsi="仿宋" w:eastAsia="仿宋"/>
          <w:b/>
          <w:bCs/>
          <w:color w:val="000000"/>
          <w:sz w:val="28"/>
          <w:szCs w:val="28"/>
        </w:rPr>
        <w:t xml:space="preserve">六、</w:t>
      </w:r>
      <w:bookmarkEnd w:id="155"/>
      <w:r/>
      <w:bookmarkEnd w:id="156"/>
      <w:r/>
      <w:bookmarkEnd w:id="157"/>
      <w:r>
        <w:rPr>
          <w:rFonts w:hint="eastAsia" w:ascii="仿宋" w:hAnsi="仿宋" w:eastAsia="仿宋"/>
          <w:b/>
          <w:bCs/>
          <w:color w:val="000000"/>
          <w:sz w:val="28"/>
          <w:szCs w:val="28"/>
        </w:rPr>
        <w:t xml:space="preserve">定标</w:t>
      </w:r>
      <w:bookmarkEnd w:id="158"/>
      <w:r>
        <w:rPr>
          <w:rFonts w:hint="eastAsia" w:ascii="仿宋" w:hAnsi="仿宋" w:eastAsia="仿宋"/>
          <w:b/>
          <w:bCs/>
          <w:color w:val="000000"/>
          <w:sz w:val="28"/>
          <w:szCs w:val="28"/>
        </w:rPr>
      </w:r>
      <w:r/>
    </w:p>
    <w:p>
      <w:pPr>
        <w:pStyle w:val="891"/>
        <w:ind w:firstLine="560"/>
        <w:keepLines/>
        <w:keepNext/>
        <w:spacing w:line="480" w:lineRule="exact"/>
        <w:rPr>
          <w:rFonts w:hint="eastAsia" w:ascii="仿宋" w:hAnsi="仿宋" w:eastAsia="仿宋"/>
          <w:bCs/>
          <w:color w:val="000000"/>
          <w:sz w:val="28"/>
          <w:szCs w:val="28"/>
        </w:rPr>
        <w:outlineLvl w:val="3"/>
      </w:pPr>
      <w:r/>
      <w:bookmarkStart w:id="159" w:name="_Toc513029238"/>
      <w:r/>
      <w:bookmarkStart w:id="160" w:name="_Toc16938554"/>
      <w:r/>
      <w:bookmarkStart w:id="161" w:name="_Toc20823310"/>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w:t>
      </w:r>
      <w:bookmarkEnd w:id="159"/>
      <w:r>
        <w:rPr>
          <w:rFonts w:hint="eastAsia" w:ascii="仿宋" w:hAnsi="仿宋" w:eastAsia="仿宋"/>
          <w:bCs/>
          <w:color w:val="000000"/>
          <w:sz w:val="28"/>
          <w:szCs w:val="28"/>
        </w:rPr>
        <w:t xml:space="preserve">确定</w:t>
      </w:r>
      <w:bookmarkEnd w:id="160"/>
      <w:r/>
      <w:bookmarkEnd w:id="161"/>
      <w:r>
        <w:rPr>
          <w:rFonts w:hint="eastAsia" w:ascii="仿宋" w:hAnsi="仿宋" w:eastAsia="仿宋"/>
          <w:bCs/>
          <w:color w:val="000000"/>
          <w:sz w:val="28"/>
          <w:szCs w:val="28"/>
        </w:rPr>
        <w:t xml:space="preserve">中标单位</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.3 </w:t>
      </w:r>
      <w:r>
        <w:rPr>
          <w:rFonts w:hint="eastAsia" w:ascii="仿宋" w:hAnsi="仿宋" w:eastAsia="仿宋"/>
          <w:color w:val="000000"/>
          <w:sz w:val="28"/>
          <w:szCs w:val="28"/>
        </w:rPr>
        <w:t xml:space="preserve">采购中心将在“江苏政府采购网”发布中标公告，公告期限为1个工作日。</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.4.2向采购人、采购中心行贿或者提供其他不正当利益的。</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bookmarkStart w:id="162" w:name="_Toc200451960"/>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8</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891"/>
        <w:ind w:firstLine="560"/>
        <w:keepLines/>
        <w:keepNext/>
        <w:spacing w:line="480" w:lineRule="exact"/>
        <w:rPr>
          <w:rFonts w:hint="eastAsia" w:ascii="仿宋" w:hAnsi="仿宋" w:eastAsia="仿宋"/>
          <w:bCs/>
          <w:color w:val="000000"/>
          <w:sz w:val="28"/>
          <w:szCs w:val="28"/>
        </w:rPr>
        <w:outlineLvl w:val="3"/>
      </w:pPr>
      <w:r>
        <w:rPr>
          <w:rFonts w:ascii="仿宋" w:hAnsi="仿宋" w:eastAsia="仿宋"/>
          <w:bCs/>
          <w:color w:val="000000"/>
          <w:sz w:val="28"/>
          <w:szCs w:val="28"/>
        </w:rPr>
        <w:t xml:space="preserve">29</w:t>
      </w:r>
      <w:r>
        <w:rPr>
          <w:rFonts w:hint="eastAsia" w:ascii="仿宋" w:hAnsi="仿宋" w:eastAsia="仿宋"/>
          <w:bCs/>
          <w:color w:val="000000"/>
          <w:sz w:val="28"/>
          <w:szCs w:val="28"/>
        </w:rPr>
        <w:t xml:space="preserve">、质疑处理</w:t>
      </w:r>
      <w:bookmarkEnd w:id="162"/>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s="宋体"/>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ascii="仿宋" w:hAnsi="仿宋" w:eastAsia="仿宋"/>
          <w:color w:val="000000"/>
          <w:sz w:val="28"/>
          <w:szCs w:val="28"/>
        </w:rPr>
        <w:t xml:space="preserve">29</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89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b/>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.4 </w:t>
      </w:r>
      <w:r>
        <w:rPr>
          <w:rFonts w:hint="eastAsia" w:ascii="仿宋" w:hAnsi="仿宋" w:eastAsia="仿宋"/>
          <w:color w:val="000000"/>
          <w:sz w:val="28"/>
          <w:szCs w:val="28"/>
        </w:rPr>
        <w:t xml:space="preserve">供应商（含潜在</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）对与</w:t>
      </w:r>
      <w:r>
        <w:rPr>
          <w:rFonts w:ascii="仿宋" w:hAnsi="仿宋" w:eastAsia="仿宋"/>
          <w:color w:val="000000"/>
          <w:sz w:val="28"/>
          <w:szCs w:val="28"/>
        </w:rPr>
        <w:t xml:space="preserve">本项目</w:t>
      </w:r>
      <w:r>
        <w:rPr>
          <w:rFonts w:hint="eastAsia" w:ascii="仿宋" w:hAnsi="仿宋" w:eastAsia="仿宋"/>
          <w:color w:val="000000"/>
          <w:sz w:val="28"/>
          <w:szCs w:val="28"/>
        </w:rPr>
        <w:t xml:space="preserve">有关的</w:t>
      </w:r>
      <w:r>
        <w:rPr>
          <w:rFonts w:ascii="仿宋" w:hAnsi="仿宋" w:eastAsia="仿宋"/>
          <w:color w:val="000000"/>
          <w:sz w:val="28"/>
          <w:szCs w:val="28"/>
        </w:rPr>
        <w:t xml:space="preserve">所有询问、质疑</w:t>
      </w:r>
      <w:r>
        <w:rPr>
          <w:rFonts w:hint="eastAsia" w:ascii="仿宋" w:hAnsi="仿宋" w:eastAsia="仿宋"/>
          <w:color w:val="000000"/>
          <w:sz w:val="28"/>
          <w:szCs w:val="28"/>
        </w:rPr>
        <w:t xml:space="preserve">均</w:t>
      </w:r>
      <w:r>
        <w:rPr>
          <w:rFonts w:ascii="仿宋" w:hAnsi="仿宋" w:eastAsia="仿宋"/>
          <w:color w:val="000000"/>
          <w:sz w:val="28"/>
          <w:szCs w:val="28"/>
        </w:rPr>
        <w:t xml:space="preserve">请向采购人提出，由采购人负责答复。</w:t>
      </w:r>
      <w:r>
        <w:rPr>
          <w:rFonts w:hint="eastAsia" w:ascii="仿宋" w:hAnsi="仿宋" w:eastAsia="仿宋"/>
          <w:b/>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采购人及采购中心只接收以纸质原件形式送达的质疑,建议供应商尽量通过邮寄方式提交质疑（采购人和采购中心不接受无快递运</w:t>
      </w:r>
      <w:r>
        <w:rPr>
          <w:rFonts w:ascii="仿宋" w:hAnsi="仿宋" w:eastAsia="仿宋"/>
          <w:color w:val="000000"/>
          <w:sz w:val="28"/>
          <w:szCs w:val="28"/>
        </w:rPr>
        <w:t xml:space="preserve">单号</w:t>
      </w:r>
      <w:r>
        <w:rPr>
          <w:rFonts w:hint="eastAsia" w:ascii="仿宋" w:hAnsi="仿宋" w:eastAsia="仿宋"/>
          <w:color w:val="000000"/>
          <w:sz w:val="28"/>
          <w:szCs w:val="28"/>
        </w:rPr>
        <w:t xml:space="preserve">的快递）。</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采购中心质疑接收部门为政策法规科（快递运单上的收件人填写“政策法规科”即可），联系地址：南通市崇川区工农路150号南通市政务中心裙楼415室，联系电话：0513-59001850。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891"/>
        <w:ind w:firstLine="546"/>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29</w:t>
      </w:r>
      <w:r>
        <w:rPr>
          <w:rFonts w:hint="eastAsia" w:ascii="仿宋" w:hAnsi="仿宋" w:eastAsia="仿宋"/>
          <w:color w:val="000000"/>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89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、中标通知书</w:t>
      </w:r>
      <w:r>
        <w:rPr>
          <w:rFonts w:hint="eastAsia" w:ascii="仿宋" w:hAnsi="仿宋" w:eastAsia="仿宋"/>
          <w:bCs/>
          <w:color w:val="000000"/>
          <w:sz w:val="28"/>
          <w:szCs w:val="28"/>
        </w:rPr>
      </w:r>
      <w:r/>
    </w:p>
    <w:p>
      <w:pPr>
        <w:pStyle w:val="89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30</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中标结果确定后，采购中心将向中标人发出中标通知书。请中标人在中标结果公告届满之日起30日内,使用CA数字证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89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0</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891"/>
        <w:keepLines/>
        <w:keepNext/>
        <w:spacing w:before="145" w:after="145" w:line="480" w:lineRule="exact"/>
        <w:rPr>
          <w:rFonts w:hint="eastAsia" w:ascii="仿宋" w:hAnsi="仿宋" w:eastAsia="仿宋"/>
          <w:b/>
          <w:bCs/>
          <w:color w:val="000000"/>
          <w:sz w:val="28"/>
          <w:szCs w:val="28"/>
        </w:rPr>
        <w:outlineLvl w:val="2"/>
      </w:pPr>
      <w:r/>
      <w:bookmarkStart w:id="163" w:name="_Toc120614220"/>
      <w:r/>
      <w:bookmarkStart w:id="164" w:name="_Toc20823308"/>
      <w:r/>
      <w:bookmarkStart w:id="165" w:name="_Toc16938552"/>
      <w:r/>
      <w:bookmarkStart w:id="166" w:name="_Toc513029236"/>
      <w:r>
        <w:rPr>
          <w:rFonts w:hint="eastAsia" w:ascii="仿宋" w:hAnsi="仿宋" w:eastAsia="仿宋"/>
          <w:b/>
          <w:bCs/>
          <w:color w:val="000000"/>
          <w:sz w:val="28"/>
          <w:szCs w:val="28"/>
        </w:rPr>
        <w:t xml:space="preserve">七、授予合同</w:t>
      </w:r>
      <w:bookmarkEnd w:id="163"/>
      <w:r>
        <w:rPr>
          <w:rFonts w:hint="eastAsia" w:ascii="仿宋" w:hAnsi="仿宋" w:eastAsia="仿宋"/>
          <w:b/>
          <w:bCs/>
          <w:color w:val="000000"/>
          <w:sz w:val="28"/>
          <w:szCs w:val="28"/>
        </w:rPr>
      </w:r>
      <w:r/>
    </w:p>
    <w:p>
      <w:pPr>
        <w:pStyle w:val="891"/>
        <w:ind w:firstLine="560"/>
        <w:keepLines/>
        <w:keepNext/>
        <w:spacing w:line="480" w:lineRule="exact"/>
        <w:rPr>
          <w:rFonts w:hint="eastAsia" w:ascii="仿宋" w:hAnsi="仿宋" w:eastAsia="仿宋"/>
          <w:bCs/>
          <w:color w:val="000000"/>
          <w:sz w:val="28"/>
          <w:szCs w:val="28"/>
        </w:rPr>
        <w:outlineLvl w:val="3"/>
      </w:pPr>
      <w:r/>
      <w:bookmarkEnd w:id="164"/>
      <w:r/>
      <w:bookmarkEnd w:id="165"/>
      <w:r/>
      <w:bookmarkEnd w:id="166"/>
      <w:r/>
      <w:bookmarkStart w:id="167" w:name="_Toc513029237"/>
      <w:r/>
      <w:bookmarkStart w:id="168" w:name="_Toc20823309"/>
      <w:r/>
      <w:bookmarkStart w:id="169" w:name="_Toc16938553"/>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 签订合同</w:t>
      </w:r>
      <w:r>
        <w:rPr>
          <w:rFonts w:hint="eastAsia" w:ascii="仿宋" w:hAnsi="仿宋" w:eastAsia="仿宋"/>
          <w:bCs/>
          <w:color w:val="000000"/>
          <w:sz w:val="28"/>
          <w:szCs w:val="28"/>
        </w:rPr>
      </w:r>
      <w:r/>
    </w:p>
    <w:p>
      <w:pPr>
        <w:pStyle w:val="89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1</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89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891"/>
        <w:ind w:firstLine="700"/>
        <w:spacing w:line="480" w:lineRule="exact"/>
        <w:rPr>
          <w:rFonts w:hint="eastAsia" w:ascii="仿宋" w:hAnsi="仿宋" w:eastAsia="仿宋"/>
          <w:b/>
          <w:color w:val="000000"/>
          <w:sz w:val="28"/>
          <w:szCs w:val="28"/>
        </w:rPr>
      </w:pPr>
      <w:r>
        <w:rPr>
          <w:rFonts w:hint="eastAsia" w:ascii="仿宋" w:hAnsi="仿宋" w:eastAsia="仿宋"/>
          <w:color w:val="000000"/>
          <w:sz w:val="28"/>
          <w:szCs w:val="28"/>
        </w:rPr>
        <w:t xml:space="preserve">31.3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b/>
          <w:color w:val="000000"/>
          <w:sz w:val="28"/>
          <w:szCs w:val="28"/>
        </w:rPr>
      </w:r>
      <w:r/>
    </w:p>
    <w:p>
      <w:pPr>
        <w:pStyle w:val="89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、货物（包含与货物相关的服务）的追加</w:t>
      </w:r>
      <w:r>
        <w:rPr>
          <w:rFonts w:hint="eastAsia" w:ascii="仿宋" w:hAnsi="仿宋" w:eastAsia="仿宋"/>
          <w:bCs/>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891"/>
        <w:ind w:firstLine="560"/>
        <w:keepLines/>
        <w:keepNext/>
        <w:spacing w:line="480" w:lineRule="exact"/>
        <w:rPr>
          <w:rFonts w:ascii="仿宋" w:hAnsi="仿宋" w:eastAsia="仿宋"/>
          <w:bCs/>
          <w:color w:val="000000"/>
          <w:sz w:val="28"/>
          <w:szCs w:val="28"/>
        </w:rPr>
        <w:outlineLvl w:val="3"/>
      </w:pPr>
      <w:r/>
      <w:bookmarkEnd w:id="167"/>
      <w:r/>
      <w:bookmarkEnd w:id="168"/>
      <w:r/>
      <w:bookmarkEnd w:id="169"/>
      <w:r/>
      <w:bookmarkStart w:id="170" w:name="_Toc20823314"/>
      <w:r/>
      <w:bookmarkStart w:id="171" w:name="_Toc120614221"/>
      <w:r/>
      <w:bookmarkStart w:id="172" w:name="_Toc16938558"/>
      <w:r/>
      <w:bookmarkStart w:id="173" w:name="_Toc513029242"/>
      <w:r/>
      <w:bookmarkStart w:id="174" w:name="_Toc479757207"/>
      <w:r>
        <w:rPr>
          <w:rFonts w:hint="eastAsia" w:ascii="仿宋" w:hAnsi="仿宋" w:eastAsia="仿宋"/>
          <w:bCs/>
          <w:color w:val="000000"/>
          <w:sz w:val="28"/>
          <w:szCs w:val="28"/>
        </w:rPr>
        <w:t xml:space="preserve">3</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、政府采购履约资金扶持政策</w:t>
      </w:r>
      <w:r>
        <w:rPr>
          <w:rFonts w:ascii="仿宋" w:hAnsi="仿宋" w:eastAsia="仿宋"/>
          <w:bCs/>
          <w:color w:val="000000"/>
          <w:sz w:val="28"/>
          <w:szCs w:val="28"/>
        </w:rPr>
      </w:r>
      <w:r/>
    </w:p>
    <w:p>
      <w:pPr>
        <w:pStyle w:val="891"/>
        <w:ind w:firstLine="420"/>
        <w:rPr>
          <w:rFonts w:hint="eastAsia" w:ascii="仿宋" w:hAnsi="仿宋" w:eastAsia="仿宋"/>
          <w:bCs/>
          <w:color w:val="000000"/>
          <w:sz w:val="28"/>
          <w:szCs w:val="28"/>
          <w:lang w:eastAsia="zh-CN"/>
        </w:rPr>
      </w:pPr>
      <w:r>
        <w:rPr>
          <w:rFonts w:hint="eastAsia" w:ascii="仿宋" w:hAnsi="仿宋" w:eastAsia="仿宋"/>
          <w:bCs/>
          <w:color w:val="000000"/>
          <w:sz w:val="28"/>
          <w:szCs w:val="28"/>
          <w:lang w:val="en-US" w:eastAsia="zh-CN"/>
        </w:rPr>
        <w:t xml:space="preserve">33.1</w:t>
      </w:r>
      <w:r>
        <w:rPr>
          <w:rFonts w:hint="eastAsia" w:ascii="仿宋" w:hAnsi="仿宋" w:eastAsia="仿宋"/>
          <w:bCs/>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eastAsia="zh-CN"/>
        </w:rPr>
      </w:r>
      <w:r/>
    </w:p>
    <w:p>
      <w:pPr>
        <w:pStyle w:val="909"/>
        <w:rPr>
          <w:rFonts w:ascii="宋体" w:hAnsi="宋体" w:eastAsia="宋体"/>
          <w:bCs/>
          <w:sz w:val="24"/>
          <w:lang w:val="en-US" w:eastAsia="zh-CN"/>
        </w:rPr>
      </w:pPr>
      <w:r>
        <w:rPr>
          <w:rFonts w:hint="eastAsia" w:ascii="仿宋" w:hAnsi="仿宋" w:eastAsia="仿宋"/>
          <w:bCs/>
          <w:color w:val="000000"/>
          <w:sz w:val="28"/>
          <w:szCs w:val="28"/>
          <w:lang w:val="en-US" w:eastAsia="zh-CN"/>
        </w:rPr>
        <w:t xml:space="preserve">33.2</w:t>
      </w:r>
      <w:r>
        <w:rPr>
          <w:rFonts w:hint="eastAsia" w:ascii="仿宋" w:hAnsi="仿宋" w:eastAsia="仿宋" w:cs="Times New Roman"/>
          <w:bCs/>
          <w:color w:val="000000"/>
          <w:sz w:val="28"/>
          <w:szCs w:val="28"/>
          <w:lang w:val="en-US" w:eastAsia="zh-CN" w:bidi="ar-SA"/>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eastAsia="宋体"/>
          <w:bCs/>
          <w:sz w:val="24"/>
          <w:lang w:val="en-US" w:eastAsia="zh-CN"/>
        </w:rPr>
      </w:r>
      <w:r/>
    </w:p>
    <w:p>
      <w:pPr>
        <w:pStyle w:val="903"/>
        <w:rPr>
          <w:lang w:val="en-US" w:eastAsia="zh-CN"/>
        </w:rPr>
      </w:pPr>
      <w:r>
        <w:rPr>
          <w:lang w:val="en-US" w:eastAsia="zh-CN"/>
        </w:rPr>
      </w:r>
      <w:r/>
    </w:p>
    <w:p>
      <w:pPr>
        <w:pStyle w:val="903"/>
        <w:ind w:left="0" w:firstLine="0"/>
        <w:rPr>
          <w:rFonts w:hint="eastAsia" w:ascii="宋体" w:hAnsi="宋体"/>
          <w:bCs/>
          <w:color w:val="000000"/>
          <w:sz w:val="24"/>
          <w:szCs w:val="24"/>
        </w:rPr>
      </w:pPr>
      <w:r>
        <w:rPr>
          <w:rFonts w:hint="eastAsia" w:ascii="宋体" w:hAnsi="宋体"/>
          <w:bCs/>
          <w:color w:val="000000"/>
          <w:sz w:val="24"/>
          <w:szCs w:val="24"/>
        </w:rPr>
      </w:r>
      <w:r/>
    </w:p>
    <w:p>
      <w:pPr>
        <w:pStyle w:val="903"/>
        <w:rPr>
          <w:rFonts w:hint="eastAsia" w:ascii="宋体" w:hAnsi="宋体"/>
          <w:bCs/>
          <w:color w:val="000000"/>
          <w:sz w:val="24"/>
          <w:szCs w:val="24"/>
        </w:rPr>
      </w:pPr>
      <w:r>
        <w:rPr>
          <w:rFonts w:hint="eastAsia" w:ascii="宋体" w:hAnsi="宋体"/>
          <w:bCs/>
          <w:color w:val="000000"/>
          <w:sz w:val="24"/>
          <w:szCs w:val="24"/>
        </w:rPr>
      </w:r>
      <w:r/>
    </w:p>
    <w:p>
      <w:pPr>
        <w:pStyle w:val="891"/>
        <w:ind w:firstLine="1760"/>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70"/>
      <w:r/>
      <w:bookmarkEnd w:id="171"/>
      <w:r/>
      <w:bookmarkEnd w:id="172"/>
      <w:r/>
      <w:bookmarkEnd w:id="173"/>
      <w:r/>
      <w:bookmarkEnd w:id="174"/>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891"/>
        <w:ind w:firstLine="504"/>
        <w:spacing w:line="360" w:lineRule="exact"/>
        <w:rPr>
          <w:rFonts w:hint="eastAsia" w:ascii="仿宋" w:hAnsi="仿宋" w:eastAsia="仿宋"/>
          <w:color w:val="000000"/>
          <w:sz w:val="28"/>
          <w:szCs w:val="28"/>
        </w:rPr>
      </w:pPr>
      <w:r/>
      <w:bookmarkStart w:id="175" w:name="_Hlt16619350"/>
      <w:r/>
      <w:bookmarkStart w:id="176" w:name="_Toc20823346"/>
      <w:r/>
      <w:bookmarkStart w:id="177" w:name="_Toc120614244"/>
      <w:r/>
      <w:bookmarkStart w:id="178" w:name="_Toc16938590"/>
      <w:r/>
      <w:bookmarkStart w:id="179" w:name="_Toc479757211"/>
      <w:r/>
      <w:bookmarkStart w:id="180" w:name="_Toc462564139"/>
      <w:r>
        <w:rPr>
          <w:rFonts w:hint="eastAsia" w:ascii="仿宋" w:hAnsi="仿宋" w:eastAsia="仿宋"/>
          <w:color w:val="000000"/>
          <w:sz w:val="28"/>
          <w:szCs w:val="28"/>
        </w:rPr>
        <w:t xml:space="preserve">以下为中标后签定本项目合同的通用条款，中标人不得提出实质性的修改。</w:t>
      </w:r>
      <w:bookmarkStart w:id="181" w:name="_Toc3995"/>
      <w:r>
        <w:rPr>
          <w:rFonts w:hint="eastAsia" w:ascii="仿宋" w:hAnsi="仿宋" w:eastAsia="仿宋"/>
          <w:color w:val="000000"/>
          <w:sz w:val="28"/>
          <w:szCs w:val="28"/>
        </w:rPr>
      </w:r>
      <w:r/>
    </w:p>
    <w:p>
      <w:pPr>
        <w:pStyle w:val="891"/>
        <w:jc w:val="center"/>
        <w:spacing w:line="278" w:lineRule="auto"/>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hint="eastAsia" w:ascii="宋体" w:hAnsi="宋体" w:cs="宋体"/>
          <w:b/>
          <w:bCs/>
          <w:spacing w:val="-20"/>
          <w:sz w:val="48"/>
          <w:szCs w:val="48"/>
        </w:rPr>
      </w:r>
      <w:r/>
    </w:p>
    <w:p>
      <w:pPr>
        <w:pStyle w:val="891"/>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pStyle w:val="891"/>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pStyle w:val="891"/>
        <w:spacing w:line="278" w:lineRule="auto"/>
        <w:rPr>
          <w:rFonts w:hint="eastAsia" w:ascii="宋体" w:hAnsi="宋体" w:cs="宋体"/>
          <w:b/>
          <w:bCs/>
          <w:spacing w:val="-20"/>
          <w:sz w:val="40"/>
          <w:szCs w:val="40"/>
        </w:rPr>
      </w:pPr>
      <w:r>
        <w:rPr>
          <w:rFonts w:hint="eastAsia" w:ascii="宋体" w:hAnsi="宋体" w:cs="宋体"/>
          <w:b/>
          <w:bCs/>
          <w:spacing w:val="-20"/>
          <w:sz w:val="40"/>
          <w:szCs w:val="40"/>
        </w:rPr>
      </w:r>
      <w:r/>
    </w:p>
    <w:p>
      <w:pPr>
        <w:pStyle w:val="891"/>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891"/>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891"/>
        <w:ind w:left="420"/>
        <w:spacing w:line="360" w:lineRule="auto"/>
        <w:rPr>
          <w:sz w:val="32"/>
          <w:szCs w:val="32"/>
        </w:rPr>
      </w:pPr>
      <w:r>
        <w:rPr>
          <w:rFonts w:hint="eastAsia"/>
          <w:sz w:val="32"/>
          <w:szCs w:val="32"/>
        </w:rPr>
        <w:t xml:space="preserve">甲    方：</w:t>
      </w:r>
      <w:r>
        <w:rPr>
          <w:rFonts w:hint="eastAsia"/>
          <w:sz w:val="32"/>
          <w:szCs w:val="32"/>
          <w:u w:val="single"/>
        </w:rPr>
        <w:t xml:space="preserve">南通市食品药品监督检验中心   </w:t>
      </w:r>
      <w:r>
        <w:rPr>
          <w:sz w:val="32"/>
          <w:szCs w:val="32"/>
        </w:rPr>
      </w:r>
      <w:r/>
    </w:p>
    <w:p>
      <w:pPr>
        <w:pStyle w:val="891"/>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891"/>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891"/>
        <w:spacing w:line="278" w:lineRule="auto"/>
        <w:rPr>
          <w:szCs w:val="24"/>
        </w:rPr>
      </w:pPr>
      <w:r>
        <w:rPr>
          <w:szCs w:val="24"/>
        </w:rPr>
      </w:r>
      <w:r/>
    </w:p>
    <w:p>
      <w:pPr>
        <w:pStyle w:val="891"/>
        <w:spacing w:line="278" w:lineRule="auto"/>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891"/>
        <w:jc w:val="center"/>
        <w:keepLines/>
        <w:keepNext/>
        <w:spacing w:line="400" w:lineRule="exact"/>
        <w:rPr>
          <w:rFonts w:hint="eastAsia" w:ascii="黑体" w:hAnsi="黑体" w:eastAsia="黑体"/>
          <w:b/>
          <w:bCs/>
          <w:sz w:val="28"/>
          <w:szCs w:val="28"/>
        </w:rPr>
        <w:outlineLvl w:val="1"/>
      </w:pPr>
      <w:r/>
      <w:bookmarkEnd w:id="181"/>
      <w:r/>
      <w:bookmarkStart w:id="182" w:name="_Toc22209"/>
      <w:r>
        <w:rPr>
          <w:rFonts w:hint="eastAsia" w:ascii="黑体" w:hAnsi="黑体" w:eastAsia="黑体"/>
          <w:b/>
          <w:bCs/>
          <w:sz w:val="28"/>
          <w:szCs w:val="28"/>
        </w:rPr>
      </w:r>
      <w:r/>
    </w:p>
    <w:p>
      <w:pPr>
        <w:pStyle w:val="891"/>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82"/>
      <w:r>
        <w:rPr>
          <w:rFonts w:hint="eastAsia" w:ascii="黑体" w:hAnsi="华文中宋" w:eastAsia="黑体"/>
          <w:sz w:val="28"/>
          <w:szCs w:val="28"/>
        </w:rPr>
      </w:r>
      <w:r/>
    </w:p>
    <w:p>
      <w:pPr>
        <w:pStyle w:val="891"/>
        <w:jc w:val="center"/>
        <w:keepLines/>
        <w:keepNext/>
        <w:spacing w:line="400" w:lineRule="exact"/>
        <w:rPr>
          <w:rFonts w:hint="eastAsia" w:ascii="黑体" w:hAnsi="华文中宋" w:eastAsia="黑体"/>
          <w:sz w:val="28"/>
          <w:szCs w:val="28"/>
        </w:rPr>
        <w:outlineLvl w:val="1"/>
      </w:pPr>
      <w:r>
        <w:rPr>
          <w:rFonts w:hint="eastAsia" w:ascii="黑体" w:hAnsi="华文中宋" w:eastAsia="黑体"/>
          <w:sz w:val="28"/>
          <w:szCs w:val="28"/>
        </w:rPr>
      </w:r>
      <w:r/>
    </w:p>
    <w:p>
      <w:pPr>
        <w:pStyle w:val="891"/>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南通市食品药品监督检验中心</w:t>
      </w:r>
      <w:r>
        <w:rPr>
          <w:rFonts w:hint="eastAsia" w:ascii="宋体" w:hAnsi="宋体"/>
          <w:szCs w:val="21"/>
        </w:rPr>
        <w:t xml:space="preserve">（采购人）</w:t>
      </w:r>
      <w:r>
        <w:rPr>
          <w:rFonts w:hint="eastAsia" w:ascii="宋体" w:hAnsi="宋体"/>
          <w:szCs w:val="21"/>
        </w:rPr>
      </w:r>
      <w:r/>
    </w:p>
    <w:p>
      <w:pPr>
        <w:pStyle w:val="891"/>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rPr>
          <w:rFonts w:hint="eastAsia" w:ascii="宋体" w:hAnsi="宋体"/>
          <w:szCs w:val="21"/>
        </w:rPr>
      </w:r>
      <w:r/>
    </w:p>
    <w:p>
      <w:pPr>
        <w:pStyle w:val="891"/>
        <w:spacing w:line="400" w:lineRule="exact"/>
        <w:rPr>
          <w:szCs w:val="24"/>
        </w:rPr>
      </w:pPr>
      <w:r>
        <w:rPr>
          <w:szCs w:val="24"/>
        </w:rPr>
      </w:r>
      <w:r/>
    </w:p>
    <w:p>
      <w:pPr>
        <w:pStyle w:val="891"/>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hint="eastAsia" w:ascii="宋体" w:hAnsi="宋体"/>
          <w:szCs w:val="21"/>
        </w:rPr>
      </w:r>
      <w:r/>
    </w:p>
    <w:p>
      <w:pPr>
        <w:pStyle w:val="891"/>
        <w:numPr>
          <w:ilvl w:val="0"/>
          <w:numId w:val="6"/>
        </w:numPr>
        <w:ind w:firstLine="422"/>
        <w:spacing w:line="400" w:lineRule="exact"/>
        <w:rPr>
          <w:rFonts w:hint="eastAsia" w:ascii="宋体" w:hAnsi="宋体"/>
          <w:b/>
          <w:szCs w:val="21"/>
        </w:rPr>
      </w:pPr>
      <w:r>
        <w:rPr>
          <w:rFonts w:hint="eastAsia" w:ascii="宋体" w:hAnsi="宋体"/>
          <w:b/>
          <w:szCs w:val="21"/>
        </w:rPr>
        <w:t xml:space="preserve">项目信息</w:t>
      </w:r>
      <w:r>
        <w:rPr>
          <w:rFonts w:hint="eastAsia" w:ascii="宋体" w:hAnsi="宋体"/>
          <w:b/>
          <w:szCs w:val="21"/>
        </w:rPr>
      </w:r>
      <w:r/>
    </w:p>
    <w:p>
      <w:pPr>
        <w:pStyle w:val="891"/>
        <w:numPr>
          <w:ilvl w:val="0"/>
          <w:numId w:val="7"/>
        </w:numPr>
        <w:ind w:firstLine="420"/>
        <w:spacing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r>
      <w:r/>
    </w:p>
    <w:p>
      <w:pPr>
        <w:pStyle w:val="891"/>
        <w:numPr>
          <w:ilvl w:val="0"/>
          <w:numId w:val="0"/>
        </w:numPr>
        <w:spacing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891"/>
        <w:ind w:firstLine="420"/>
        <w:spacing w:line="400" w:lineRule="exact"/>
        <w:rPr>
          <w:rFonts w:hint="eastAsia" w:ascii="宋体" w:hAnsi="宋体" w:cs="宋体"/>
          <w:szCs w:val="24"/>
        </w:rPr>
      </w:pPr>
      <w:r>
        <w:rPr>
          <w:rFonts w:hint="eastAsia" w:ascii="宋体" w:hAnsi="宋体"/>
          <w:szCs w:val="21"/>
        </w:rPr>
        <w:t xml:space="preserve">    </w:t>
      </w:r>
      <w:r>
        <w:rPr>
          <w:rFonts w:hint="eastAsia" w:ascii="宋体" w:hAnsi="宋体" w:cs="宋体"/>
          <w:szCs w:val="24"/>
        </w:rPr>
      </w:r>
      <w:r/>
    </w:p>
    <w:tbl>
      <w:tblPr>
        <w:tblW w:w="103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55"/>
        <w:gridCol w:w="4022"/>
        <w:gridCol w:w="914"/>
        <w:gridCol w:w="1050"/>
        <w:gridCol w:w="1050"/>
      </w:tblGrid>
      <w:tr>
        <w:trPr>
          <w:cantSplit/>
          <w:trHeight w:val="653"/>
        </w:trPr>
        <w:tc>
          <w:tcPr>
            <w:tcW w:w="1129" w:type="dxa"/>
            <w:vAlign w:val="center"/>
            <w:textDirection w:val="lrTb"/>
            <w:noWrap w:val="false"/>
          </w:tcPr>
          <w:p>
            <w:pPr>
              <w:pStyle w:val="891"/>
              <w:jc w:val="center"/>
              <w:rPr>
                <w:rFonts w:ascii="仿宋_GB2312" w:eastAsia="仿宋_GB2312"/>
                <w:sz w:val="28"/>
                <w:szCs w:val="28"/>
                <w:lang w:val="zh-CN"/>
              </w:rPr>
            </w:pPr>
            <w:r>
              <w:rPr>
                <w:rFonts w:hint="eastAsia" w:ascii="仿宋_GB2312" w:eastAsia="仿宋_GB2312"/>
                <w:sz w:val="28"/>
                <w:szCs w:val="28"/>
                <w:lang w:val="zh-CN"/>
              </w:rPr>
              <w:t xml:space="preserve">序号</w:t>
            </w:r>
            <w:r>
              <w:rPr>
                <w:rFonts w:ascii="仿宋_GB2312" w:eastAsia="仿宋_GB2312"/>
                <w:sz w:val="28"/>
                <w:szCs w:val="28"/>
                <w:lang w:val="zh-CN"/>
              </w:rPr>
            </w:r>
            <w:r/>
          </w:p>
        </w:tc>
        <w:tc>
          <w:tcPr>
            <w:tcW w:w="2155" w:type="dxa"/>
            <w:vAlign w:val="center"/>
            <w:textDirection w:val="lrTb"/>
            <w:noWrap w:val="false"/>
          </w:tcPr>
          <w:p>
            <w:pPr>
              <w:pStyle w:val="891"/>
              <w:jc w:val="center"/>
              <w:rPr>
                <w:rFonts w:ascii="仿宋_GB2312" w:eastAsia="仿宋_GB2312"/>
                <w:sz w:val="28"/>
                <w:szCs w:val="28"/>
                <w:lang w:val="zh-CN"/>
              </w:rPr>
            </w:pPr>
            <w:r>
              <w:rPr>
                <w:rFonts w:hint="eastAsia" w:ascii="仿宋_GB2312" w:eastAsia="仿宋_GB2312"/>
                <w:sz w:val="28"/>
                <w:szCs w:val="28"/>
                <w:lang w:val="zh-CN"/>
              </w:rPr>
              <w:t xml:space="preserve">货物名称</w:t>
            </w:r>
            <w:r>
              <w:rPr>
                <w:rFonts w:ascii="仿宋_GB2312" w:eastAsia="仿宋_GB2312"/>
                <w:sz w:val="28"/>
                <w:szCs w:val="28"/>
                <w:lang w:val="zh-CN"/>
              </w:rPr>
            </w:r>
            <w:r/>
          </w:p>
        </w:tc>
        <w:tc>
          <w:tcPr>
            <w:tcW w:w="4022" w:type="dxa"/>
            <w:vAlign w:val="center"/>
            <w:textDirection w:val="lrTb"/>
            <w:noWrap w:val="false"/>
          </w:tcPr>
          <w:p>
            <w:pPr>
              <w:pStyle w:val="891"/>
              <w:jc w:val="center"/>
              <w:rPr>
                <w:rFonts w:ascii="仿宋_GB2312" w:eastAsia="仿宋_GB2312"/>
                <w:sz w:val="28"/>
                <w:szCs w:val="28"/>
                <w:lang w:val="zh-CN"/>
              </w:rPr>
            </w:pPr>
            <w:r>
              <w:rPr>
                <w:rFonts w:hint="eastAsia" w:ascii="仿宋_GB2312" w:eastAsia="仿宋_GB2312"/>
                <w:sz w:val="28"/>
                <w:szCs w:val="28"/>
                <w:lang w:val="zh-CN"/>
              </w:rPr>
              <w:t xml:space="preserve">规格、型号</w:t>
            </w:r>
            <w:r>
              <w:rPr>
                <w:rFonts w:ascii="仿宋_GB2312" w:eastAsia="仿宋_GB2312"/>
                <w:sz w:val="28"/>
                <w:szCs w:val="28"/>
                <w:lang w:val="zh-CN"/>
              </w:rPr>
            </w:r>
            <w:r/>
          </w:p>
        </w:tc>
        <w:tc>
          <w:tcPr>
            <w:tcW w:w="914" w:type="dxa"/>
            <w:vAlign w:val="center"/>
            <w:textDirection w:val="lrTb"/>
            <w:noWrap w:val="false"/>
          </w:tcPr>
          <w:p>
            <w:pPr>
              <w:pStyle w:val="891"/>
              <w:jc w:val="center"/>
              <w:rPr>
                <w:rFonts w:ascii="仿宋_GB2312" w:eastAsia="仿宋_GB2312"/>
                <w:sz w:val="28"/>
                <w:szCs w:val="28"/>
              </w:rPr>
            </w:pPr>
            <w:r>
              <w:rPr>
                <w:rFonts w:hint="eastAsia" w:ascii="仿宋_GB2312" w:eastAsia="仿宋_GB2312"/>
                <w:sz w:val="28"/>
                <w:szCs w:val="28"/>
              </w:rPr>
              <w:t xml:space="preserve">单位</w:t>
            </w:r>
            <w:r>
              <w:rPr>
                <w:rFonts w:ascii="仿宋_GB2312" w:eastAsia="仿宋_GB2312"/>
                <w:sz w:val="28"/>
                <w:szCs w:val="28"/>
              </w:rPr>
            </w:r>
            <w:r/>
          </w:p>
        </w:tc>
        <w:tc>
          <w:tcPr>
            <w:tcW w:w="1050" w:type="dxa"/>
            <w:vAlign w:val="center"/>
            <w:textDirection w:val="lrTb"/>
            <w:noWrap w:val="false"/>
          </w:tcPr>
          <w:p>
            <w:pPr>
              <w:pStyle w:val="891"/>
              <w:jc w:val="center"/>
              <w:rPr>
                <w:rFonts w:ascii="仿宋_GB2312" w:eastAsia="仿宋_GB2312"/>
                <w:sz w:val="28"/>
                <w:szCs w:val="28"/>
              </w:rPr>
            </w:pPr>
            <w:r>
              <w:rPr>
                <w:rFonts w:hint="eastAsia" w:ascii="仿宋_GB2312" w:eastAsia="仿宋_GB2312"/>
                <w:sz w:val="28"/>
                <w:szCs w:val="28"/>
              </w:rPr>
              <w:t xml:space="preserve">数量</w:t>
            </w:r>
            <w:r>
              <w:rPr>
                <w:rFonts w:ascii="仿宋_GB2312" w:eastAsia="仿宋_GB2312"/>
                <w:sz w:val="28"/>
                <w:szCs w:val="28"/>
              </w:rPr>
            </w:r>
            <w:r/>
          </w:p>
        </w:tc>
        <w:tc>
          <w:tcPr>
            <w:tcW w:w="1050" w:type="dxa"/>
            <w:vAlign w:val="center"/>
            <w:textDirection w:val="lrTb"/>
            <w:noWrap w:val="false"/>
          </w:tcPr>
          <w:p>
            <w:pPr>
              <w:pStyle w:val="891"/>
              <w:jc w:val="center"/>
              <w:rPr>
                <w:rFonts w:ascii="仿宋_GB2312" w:eastAsia="仿宋_GB2312"/>
                <w:sz w:val="28"/>
                <w:szCs w:val="28"/>
              </w:rPr>
            </w:pPr>
            <w:r>
              <w:rPr>
                <w:rFonts w:hint="eastAsia" w:ascii="仿宋_GB2312" w:eastAsia="仿宋_GB2312"/>
                <w:sz w:val="28"/>
                <w:szCs w:val="28"/>
              </w:rPr>
              <w:t xml:space="preserve">品牌</w:t>
            </w:r>
            <w:r>
              <w:rPr>
                <w:rFonts w:ascii="仿宋_GB2312" w:eastAsia="仿宋_GB2312"/>
                <w:sz w:val="28"/>
                <w:szCs w:val="28"/>
              </w:rPr>
            </w:r>
            <w:r/>
          </w:p>
        </w:tc>
      </w:tr>
      <w:tr>
        <w:trPr>
          <w:cantSplit/>
          <w:trHeight w:val="980"/>
        </w:trPr>
        <w:tc>
          <w:tcPr>
            <w:tcW w:w="1129" w:type="dxa"/>
            <w:vAlign w:val="center"/>
            <w:textDirection w:val="lrTb"/>
            <w:noWrap w:val="false"/>
          </w:tcPr>
          <w:p>
            <w:pPr>
              <w:pStyle w:val="891"/>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pStyle w:val="891"/>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pStyle w:val="891"/>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pStyle w:val="891"/>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891"/>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891"/>
              <w:jc w:val="center"/>
              <w:rPr>
                <w:rFonts w:ascii="仿宋_GB2312" w:eastAsia="仿宋_GB2312"/>
                <w:sz w:val="28"/>
                <w:szCs w:val="28"/>
                <w:lang w:val="zh-CN"/>
              </w:rPr>
            </w:pPr>
            <w:r>
              <w:rPr>
                <w:rFonts w:ascii="仿宋_GB2312" w:eastAsia="仿宋_GB2312"/>
                <w:sz w:val="28"/>
                <w:szCs w:val="28"/>
                <w:lang w:val="zh-CN"/>
              </w:rPr>
            </w:r>
            <w:r/>
          </w:p>
        </w:tc>
      </w:tr>
      <w:tr>
        <w:trPr>
          <w:cantSplit/>
          <w:trHeight w:val="980"/>
        </w:trPr>
        <w:tc>
          <w:tcPr>
            <w:tcW w:w="1129" w:type="dxa"/>
            <w:vAlign w:val="center"/>
            <w:textDirection w:val="lrTb"/>
            <w:noWrap w:val="false"/>
          </w:tcPr>
          <w:p>
            <w:pPr>
              <w:pStyle w:val="891"/>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pStyle w:val="891"/>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pStyle w:val="891"/>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pStyle w:val="891"/>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891"/>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891"/>
              <w:jc w:val="center"/>
              <w:rPr>
                <w:rFonts w:ascii="仿宋_GB2312" w:eastAsia="仿宋_GB2312"/>
                <w:sz w:val="28"/>
                <w:szCs w:val="28"/>
                <w:lang w:val="zh-CN"/>
              </w:rPr>
            </w:pPr>
            <w:r>
              <w:rPr>
                <w:rFonts w:ascii="仿宋_GB2312" w:eastAsia="仿宋_GB2312"/>
                <w:sz w:val="28"/>
                <w:szCs w:val="28"/>
                <w:lang w:val="zh-CN"/>
              </w:rPr>
            </w:r>
            <w:r/>
          </w:p>
        </w:tc>
      </w:tr>
      <w:tr>
        <w:trPr>
          <w:cantSplit/>
          <w:trHeight w:val="980"/>
        </w:trPr>
        <w:tc>
          <w:tcPr>
            <w:tcW w:w="1129" w:type="dxa"/>
            <w:vAlign w:val="center"/>
            <w:textDirection w:val="lrTb"/>
            <w:noWrap w:val="false"/>
          </w:tcPr>
          <w:p>
            <w:pPr>
              <w:pStyle w:val="891"/>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val="false"/>
          </w:tcPr>
          <w:p>
            <w:pPr>
              <w:pStyle w:val="891"/>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val="false"/>
          </w:tcPr>
          <w:p>
            <w:pPr>
              <w:pStyle w:val="891"/>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val="false"/>
          </w:tcPr>
          <w:p>
            <w:pPr>
              <w:pStyle w:val="891"/>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891"/>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val="false"/>
          </w:tcPr>
          <w:p>
            <w:pPr>
              <w:pStyle w:val="891"/>
              <w:jc w:val="center"/>
              <w:rPr>
                <w:rFonts w:ascii="仿宋_GB2312" w:eastAsia="仿宋_GB2312"/>
                <w:sz w:val="28"/>
                <w:szCs w:val="28"/>
                <w:lang w:val="zh-CN"/>
              </w:rPr>
            </w:pPr>
            <w:r>
              <w:rPr>
                <w:rFonts w:ascii="仿宋_GB2312" w:eastAsia="仿宋_GB2312"/>
                <w:sz w:val="28"/>
                <w:szCs w:val="28"/>
                <w:lang w:val="zh-CN"/>
              </w:rPr>
            </w:r>
            <w:r/>
          </w:p>
        </w:tc>
      </w:tr>
    </w:tbl>
    <w:p>
      <w:pPr>
        <w:pStyle w:val="891"/>
        <w:ind w:firstLine="420"/>
        <w:spacing w:line="400" w:lineRule="exact"/>
        <w:rPr>
          <w:rFonts w:hint="eastAsia" w:ascii="宋体" w:hAnsi="宋体" w:cs="宋体"/>
          <w:szCs w:val="24"/>
        </w:rPr>
      </w:pPr>
      <w:r>
        <w:rPr>
          <w:rFonts w:hint="eastAsia" w:ascii="宋体" w:hAnsi="宋体" w:cs="宋体"/>
          <w:szCs w:val="24"/>
        </w:rPr>
      </w:r>
      <w:r/>
    </w:p>
    <w:p>
      <w:pPr>
        <w:pStyle w:val="891"/>
        <w:numPr>
          <w:ilvl w:val="0"/>
          <w:numId w:val="0"/>
        </w:numPr>
        <w:jc w:val="left"/>
        <w:spacing w:line="400" w:lineRule="exact"/>
        <w:widowControl/>
        <w:rPr>
          <w:rFonts w:hint="eastAsia" w:ascii="宋体" w:hAnsi="宋体" w:cs="宋体"/>
          <w:szCs w:val="21"/>
        </w:rPr>
      </w:pPr>
      <w:r>
        <w:rPr>
          <w:rFonts w:hint="eastAsia" w:ascii="宋体" w:hAnsi="宋体" w:cs="宋体"/>
          <w:szCs w:val="21"/>
        </w:rPr>
        <w:t xml:space="preserve">    （</w:t>
      </w:r>
      <w:r>
        <w:rPr>
          <w:rFonts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þ</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rPr>
          <w:rFonts w:hint="eastAsia" w:ascii="宋体" w:hAnsi="宋体" w:cs="宋体"/>
          <w:szCs w:val="21"/>
        </w:rPr>
      </w:r>
      <w:r/>
    </w:p>
    <w:p>
      <w:pPr>
        <w:pStyle w:val="891"/>
        <w:numPr>
          <w:ilvl w:val="0"/>
          <w:numId w:val="0"/>
        </w:numPr>
        <w:ind w:firstLine="420"/>
        <w:jc w:val="left"/>
        <w:spacing w:line="400" w:lineRule="exact"/>
        <w:widowControl/>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þ</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rPr>
          <w:rFonts w:hint="eastAsia" w:ascii="宋体" w:hAnsi="宋体" w:cs="宋体"/>
          <w:szCs w:val="21"/>
        </w:rPr>
      </w:r>
      <w:r/>
    </w:p>
    <w:p>
      <w:pPr>
        <w:pStyle w:val="891"/>
        <w:numPr>
          <w:ilvl w:val="0"/>
          <w:numId w:val="0"/>
        </w:numPr>
        <w:ind w:firstLine="420"/>
        <w:jc w:val="left"/>
        <w:spacing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rPr>
          <w:rFonts w:hint="eastAsia" w:ascii="宋体" w:hAnsi="宋体" w:cs="宋体"/>
          <w:szCs w:val="21"/>
          <w:u w:val="single"/>
        </w:rPr>
      </w:r>
      <w:r/>
    </w:p>
    <w:p>
      <w:pPr>
        <w:pStyle w:val="891"/>
        <w:numPr>
          <w:ilvl w:val="0"/>
          <w:numId w:val="0"/>
        </w:numPr>
        <w:ind w:firstLine="440"/>
        <w:jc w:val="left"/>
        <w:spacing w:line="400" w:lineRule="exact"/>
        <w:widowControl/>
        <w:rPr>
          <w:rFonts w:hint="eastAsia"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891"/>
        <w:numPr>
          <w:ilvl w:val="0"/>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rPr>
          <w:rFonts w:hint="eastAsia" w:ascii="宋体" w:hAnsi="宋体"/>
          <w:iCs/>
          <w:szCs w:val="21"/>
        </w:rPr>
      </w:r>
      <w:r/>
    </w:p>
    <w:p>
      <w:pPr>
        <w:pStyle w:val="891"/>
        <w:numPr>
          <w:ilvl w:val="0"/>
          <w:numId w:val="0"/>
        </w:numPr>
        <w:spacing w:line="400" w:lineRule="exact"/>
        <w:rPr>
          <w:rFonts w:hint="eastAsia" w:ascii="宋体" w:hAnsi="宋体"/>
          <w:iCs/>
          <w:szCs w:val="21"/>
        </w:rPr>
      </w:pPr>
      <w:r>
        <w:rPr>
          <w:rFonts w:hint="eastAsia"/>
          <w:szCs w:val="24"/>
        </w:rPr>
        <w:t xml:space="preserve">         若本项目不专门面向中小企业采购，是否给予小微企业评审优惠：</w:t>
      </w:r>
      <w:bookmarkStart w:id="183" w:name="OLE_LINK25"/>
      <w:r>
        <w:rPr>
          <w:rFonts w:ascii="Wingdings" w:hAnsi="Wingdings" w:eastAsia="Wingdings" w:cs="Wingdings"/>
          <w:iCs/>
          <w:szCs w:val="21"/>
        </w:rPr>
        <w:t xml:space="preserve">¨</w:t>
      </w:r>
      <w:bookmarkEnd w:id="183"/>
      <w:r>
        <w:rPr>
          <w:rFonts w:hint="eastAsia" w:ascii="宋体" w:hAnsi="宋体"/>
          <w:iCs/>
          <w:szCs w:val="21"/>
        </w:rPr>
        <w:t xml:space="preserve">是  </w:t>
      </w:r>
      <w:r>
        <w:rPr>
          <w:rFonts w:ascii="Wingdings" w:hAnsi="Wingdings" w:eastAsia="Wingdings" w:cs="Wingdings"/>
          <w:szCs w:val="24"/>
        </w:rPr>
        <w:t xml:space="preserve">þ</w:t>
      </w:r>
      <w:r>
        <w:rPr>
          <w:rFonts w:hint="eastAsia" w:ascii="宋体" w:hAnsi="宋体"/>
          <w:iCs/>
          <w:szCs w:val="21"/>
        </w:rPr>
        <w:t xml:space="preserve">否</w:t>
      </w:r>
      <w:r>
        <w:rPr>
          <w:rFonts w:hint="eastAsia" w:ascii="宋体" w:hAnsi="宋体"/>
          <w:iCs/>
          <w:szCs w:val="21"/>
        </w:rPr>
      </w:r>
      <w:r/>
    </w:p>
    <w:p>
      <w:pPr>
        <w:pStyle w:val="891"/>
        <w:numPr>
          <w:ilvl w:val="0"/>
          <w:numId w:val="0"/>
        </w:numPr>
        <w:spacing w:line="400" w:lineRule="exact"/>
        <w:rPr>
          <w:rFonts w:hint="eastAsia" w:ascii="宋体" w:hAnsi="宋体"/>
          <w:iCs/>
          <w:szCs w:val="21"/>
        </w:rPr>
      </w:pPr>
      <w:r>
        <w:rPr>
          <w:rFonts w:hint="eastAsia"/>
          <w:szCs w:val="24"/>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891"/>
        <w:spacing w:line="400" w:lineRule="exact"/>
        <w:rPr>
          <w:szCs w:val="24"/>
        </w:rPr>
      </w:pPr>
      <w:r>
        <w:rPr>
          <w:rFonts w:hint="eastAsia"/>
          <w:szCs w:val="24"/>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szCs w:val="24"/>
        </w:rPr>
      </w:r>
      <w:r/>
    </w:p>
    <w:p>
      <w:pPr>
        <w:pStyle w:val="891"/>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bookmarkStart w:id="184" w:name="OLE_LINK2"/>
      <w:r>
        <w:rPr>
          <w:rFonts w:ascii="Wingdings" w:hAnsi="Wingdings" w:eastAsia="Wingdings" w:cs="Wingdings"/>
          <w:szCs w:val="24"/>
        </w:rPr>
        <w:t xml:space="preserve">þ</w:t>
      </w:r>
      <w:bookmarkEnd w:id="184"/>
      <w:r>
        <w:rPr>
          <w:rFonts w:hint="eastAsia" w:ascii="宋体" w:hAnsi="宋体"/>
          <w:iCs/>
          <w:szCs w:val="21"/>
        </w:rPr>
        <w:t xml:space="preserve">否</w:t>
      </w:r>
      <w:r>
        <w:rPr>
          <w:rFonts w:hint="eastAsia" w:ascii="宋体" w:hAnsi="宋体"/>
          <w:szCs w:val="21"/>
        </w:rPr>
      </w:r>
      <w:r/>
    </w:p>
    <w:p>
      <w:pPr>
        <w:pStyle w:val="891"/>
        <w:numPr>
          <w:ilvl w:val="0"/>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hint="eastAsia" w:ascii="宋体" w:hAnsi="宋体" w:cs="宋体"/>
          <w:iCs/>
          <w:szCs w:val="21"/>
        </w:rPr>
      </w:r>
      <w:r/>
    </w:p>
    <w:p>
      <w:pPr>
        <w:pStyle w:val="891"/>
        <w:ind w:firstLine="420"/>
        <w:jc w:val="left"/>
        <w:spacing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rPr>
          <w:rFonts w:hint="eastAsia" w:ascii="宋体" w:hAnsi="宋体" w:cs="宋体"/>
          <w:szCs w:val="21"/>
          <w:u w:val="single"/>
        </w:rPr>
      </w:r>
      <w:r/>
    </w:p>
    <w:p>
      <w:pPr>
        <w:pStyle w:val="891"/>
        <w:numPr>
          <w:ilvl w:val="0"/>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hint="eastAsia" w:ascii="宋体" w:hAnsi="宋体" w:cs="宋体"/>
          <w:szCs w:val="21"/>
        </w:rPr>
      </w:r>
      <w:r/>
    </w:p>
    <w:p>
      <w:pPr>
        <w:pStyle w:val="891"/>
        <w:numPr>
          <w:ilvl w:val="0"/>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4"/>
        </w:rPr>
        <w:t xml:space="preserve">þ</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u w:val="single"/>
        </w:rPr>
      </w:r>
      <w:r/>
    </w:p>
    <w:p>
      <w:pPr>
        <w:pStyle w:val="891"/>
        <w:numPr>
          <w:ilvl w:val="0"/>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hint="eastAsia" w:ascii="宋体" w:hAnsi="宋体"/>
          <w:szCs w:val="21"/>
        </w:rPr>
      </w:r>
      <w:r/>
    </w:p>
    <w:p>
      <w:pPr>
        <w:pStyle w:val="891"/>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r>
      <w:r/>
    </w:p>
    <w:p>
      <w:pPr>
        <w:pStyle w:val="891"/>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hint="eastAsia" w:ascii="宋体" w:hAnsi="宋体"/>
          <w:szCs w:val="21"/>
        </w:rPr>
      </w:r>
      <w:r/>
    </w:p>
    <w:p>
      <w:pPr>
        <w:pStyle w:val="891"/>
        <w:numPr>
          <w:ilvl w:val="0"/>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iCs/>
          <w:szCs w:val="21"/>
        </w:rPr>
      </w:r>
      <w:r/>
    </w:p>
    <w:p>
      <w:pPr>
        <w:pStyle w:val="891"/>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891"/>
        <w:numPr>
          <w:ilvl w:val="0"/>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rPr>
          <w:rFonts w:hint="eastAsia" w:ascii="宋体" w:hAnsi="宋体"/>
          <w:szCs w:val="21"/>
        </w:rPr>
      </w:r>
      <w:r/>
    </w:p>
    <w:p>
      <w:pPr>
        <w:pStyle w:val="891"/>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rPr>
          <w:rFonts w:hint="eastAsia" w:ascii="宋体" w:hAnsi="宋体"/>
          <w:szCs w:val="21"/>
        </w:rPr>
      </w:r>
      <w:r/>
    </w:p>
    <w:p>
      <w:pPr>
        <w:pStyle w:val="891"/>
        <w:numPr>
          <w:ilvl w:val="0"/>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891"/>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891"/>
        <w:numPr>
          <w:ilvl w:val="0"/>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szCs w:val="21"/>
        </w:rPr>
        <w:t xml:space="preserve">否</w:t>
      </w:r>
      <w:r>
        <w:rPr>
          <w:rFonts w:hint="eastAsia" w:ascii="宋体" w:hAnsi="宋体"/>
          <w:szCs w:val="21"/>
        </w:rPr>
      </w:r>
      <w:r/>
    </w:p>
    <w:p>
      <w:pPr>
        <w:pStyle w:val="891"/>
        <w:numPr>
          <w:ilvl w:val="0"/>
          <w:numId w:val="0"/>
        </w:numPr>
        <w:jc w:val="left"/>
        <w:spacing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rPr>
          <w:rFonts w:hint="eastAsia" w:ascii="宋体" w:hAnsi="宋体"/>
          <w:szCs w:val="21"/>
        </w:rPr>
      </w:r>
      <w:r/>
    </w:p>
    <w:p>
      <w:pPr>
        <w:pStyle w:val="891"/>
        <w:ind w:firstLine="420"/>
        <w:jc w:val="left"/>
        <w:spacing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rPr>
          <w:rFonts w:hint="eastAsia" w:ascii="宋体" w:hAnsi="宋体" w:cs="华文楷体"/>
          <w:sz w:val="22"/>
          <w:szCs w:val="21"/>
          <w:u w:val="single"/>
        </w:rPr>
      </w:r>
      <w:r/>
    </w:p>
    <w:p>
      <w:pPr>
        <w:pStyle w:val="891"/>
        <w:numPr>
          <w:ilvl w:val="0"/>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hint="eastAsia" w:ascii="宋体" w:hAnsi="宋体"/>
          <w:iCs/>
          <w:szCs w:val="21"/>
        </w:rPr>
      </w:r>
      <w:r/>
    </w:p>
    <w:p>
      <w:pPr>
        <w:pStyle w:val="891"/>
        <w:ind w:firstLine="420"/>
        <w:jc w:val="left"/>
        <w:spacing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 w:val="22"/>
          <w:szCs w:val="21"/>
        </w:rPr>
        <w:t xml:space="preserve">þ</w:t>
      </w:r>
      <w:r>
        <w:rPr>
          <w:rFonts w:hint="eastAsia" w:ascii="宋体" w:hAnsi="宋体"/>
          <w:szCs w:val="21"/>
        </w:rPr>
        <w:t xml:space="preserve">否</w:t>
      </w:r>
      <w:r>
        <w:rPr>
          <w:rFonts w:hint="eastAsia" w:ascii="宋体" w:hAnsi="宋体" w:eastAsia="华文楷体" w:cs="华文楷体"/>
          <w:szCs w:val="21"/>
        </w:rPr>
      </w:r>
      <w:r/>
    </w:p>
    <w:p>
      <w:pPr>
        <w:pStyle w:val="891"/>
        <w:numPr>
          <w:ilvl w:val="0"/>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hint="eastAsia" w:ascii="宋体" w:hAnsi="宋体"/>
          <w:szCs w:val="21"/>
        </w:rPr>
      </w:r>
      <w:r/>
    </w:p>
    <w:p>
      <w:pPr>
        <w:pStyle w:val="891"/>
        <w:numPr>
          <w:ilvl w:val="0"/>
          <w:numId w:val="0"/>
        </w:numPr>
        <w:ind w:firstLine="840"/>
        <w:spacing w:line="400" w:lineRule="exact"/>
        <w:rPr>
          <w:rFonts w:hint="eastAsia" w:ascii="宋体" w:hAnsi="宋体"/>
          <w:szCs w:val="21"/>
        </w:rPr>
      </w:pPr>
      <w:r>
        <w:rPr>
          <w:rFonts w:ascii="Wingdings" w:hAnsi="Wingdings" w:eastAsia="Wingdings" w:cs="Wingdings"/>
          <w:szCs w:val="24"/>
        </w:rPr>
        <w:t xml:space="preserve">þ</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hint="eastAsia" w:ascii="宋体" w:hAnsi="宋体"/>
          <w:szCs w:val="21"/>
        </w:rPr>
      </w:r>
      <w:r/>
    </w:p>
    <w:p>
      <w:pPr>
        <w:pStyle w:val="891"/>
        <w:numPr>
          <w:ilvl w:val="0"/>
          <w:numId w:val="6"/>
        </w:numPr>
        <w:ind w:firstLine="422"/>
        <w:spacing w:line="400" w:lineRule="exact"/>
        <w:rPr>
          <w:rFonts w:hint="eastAsia" w:ascii="宋体" w:hAnsi="宋体"/>
          <w:b/>
          <w:szCs w:val="21"/>
        </w:rPr>
      </w:pPr>
      <w:r>
        <w:rPr>
          <w:rFonts w:hint="eastAsia" w:ascii="宋体" w:hAnsi="宋体"/>
          <w:b/>
          <w:szCs w:val="21"/>
        </w:rPr>
        <w:t xml:space="preserve">合同金额</w:t>
      </w:r>
      <w:r>
        <w:rPr>
          <w:rFonts w:hint="eastAsia" w:ascii="宋体" w:hAnsi="宋体"/>
          <w:b/>
          <w:szCs w:val="21"/>
        </w:rPr>
      </w:r>
      <w:r/>
    </w:p>
    <w:p>
      <w:pPr>
        <w:pStyle w:val="891"/>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891"/>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hint="eastAsia" w:ascii="宋体" w:hAnsi="宋体"/>
          <w:szCs w:val="21"/>
          <w:u w:val="single"/>
        </w:rPr>
      </w:r>
      <w:r/>
    </w:p>
    <w:p>
      <w:pPr>
        <w:pStyle w:val="891"/>
        <w:ind w:firstLine="420"/>
        <w:jc w:val="left"/>
        <w:spacing w:line="400" w:lineRule="exact"/>
        <w:widowControl/>
        <w:rPr>
          <w:rFonts w:hint="eastAsia" w:ascii="宋体" w:hAnsi="宋体"/>
          <w:szCs w:val="21"/>
        </w:rPr>
      </w:pPr>
      <w:r>
        <w:rPr>
          <w:rFonts w:hint="eastAsia" w:ascii="宋体" w:hAnsi="宋体"/>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szCs w:val="21"/>
        </w:rPr>
      </w:r>
      <w:r/>
    </w:p>
    <w:p>
      <w:pPr>
        <w:pStyle w:val="891"/>
        <w:ind w:firstLine="420"/>
        <w:jc w:val="left"/>
        <w:spacing w:line="400" w:lineRule="exact"/>
        <w:widowControl/>
        <w:rPr>
          <w:rFonts w:hint="eastAsia" w:ascii="宋体" w:hAnsi="宋体"/>
          <w:szCs w:val="21"/>
        </w:rPr>
      </w:pPr>
      <w:r>
        <w:rPr>
          <w:rFonts w:hint="eastAsia" w:ascii="宋体" w:hAnsi="宋体"/>
          <w:szCs w:val="21"/>
        </w:rPr>
        <w:t xml:space="preserve">本合同总价款还包含乙方应当提供的伴随服务/售后服务费用。</w:t>
      </w:r>
      <w:r>
        <w:rPr>
          <w:rFonts w:hint="eastAsia" w:ascii="宋体" w:hAnsi="宋体"/>
          <w:szCs w:val="21"/>
        </w:rPr>
      </w:r>
      <w:r/>
    </w:p>
    <w:p>
      <w:pPr>
        <w:pStyle w:val="891"/>
        <w:ind w:firstLine="420"/>
        <w:jc w:val="left"/>
        <w:spacing w:line="400" w:lineRule="exact"/>
        <w:widowControl/>
        <w:rPr>
          <w:rFonts w:hint="eastAsia" w:ascii="华文楷体" w:hAnsi="华文楷体" w:eastAsia="华文楷体" w:cs="华文楷体"/>
          <w:sz w:val="22"/>
          <w:szCs w:val="21"/>
        </w:rPr>
      </w:pPr>
      <w:r>
        <w:rPr>
          <w:rFonts w:hint="eastAsia" w:ascii="宋体" w:hAnsi="宋体"/>
          <w:szCs w:val="21"/>
        </w:rPr>
        <w:t xml:space="preserve">本合同执行期间合同总价款不变。</w:t>
      </w:r>
      <w:r>
        <w:rPr>
          <w:rFonts w:hint="eastAsia" w:ascii="华文楷体" w:hAnsi="华文楷体" w:eastAsia="华文楷体" w:cs="华文楷体"/>
          <w:sz w:val="22"/>
          <w:szCs w:val="21"/>
        </w:rPr>
      </w:r>
      <w:r/>
    </w:p>
    <w:p>
      <w:pPr>
        <w:pStyle w:val="891"/>
        <w:numPr>
          <w:ilvl w:val="0"/>
          <w:numId w:val="0"/>
        </w:numPr>
        <w:spacing w:line="400" w:lineRule="exact"/>
        <w:rPr>
          <w:rFonts w:hint="eastAsia" w:ascii="宋体" w:hAnsi="宋体"/>
          <w:szCs w:val="21"/>
        </w:rPr>
      </w:pPr>
      <w:r>
        <w:rPr>
          <w:rFonts w:hint="eastAsia" w:ascii="宋体" w:hAnsi="宋体"/>
          <w:szCs w:val="21"/>
        </w:rPr>
        <w:t xml:space="preserve">    （2）合同定价方式：</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szCs w:val="24"/>
        </w:rPr>
        <w:t xml:space="preserve">þ</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891"/>
        <w:ind w:firstLine="420"/>
        <w:spacing w:line="400" w:lineRule="exact"/>
        <w:rPr>
          <w:szCs w:val="21"/>
        </w:rPr>
      </w:pPr>
      <w:r>
        <w:rPr>
          <w:rFonts w:hint="eastAsia" w:ascii="宋体" w:hAnsi="宋体"/>
          <w:szCs w:val="21"/>
        </w:rPr>
        <w:t xml:space="preserve">（3）付款方式：</w:t>
      </w:r>
      <w:r>
        <w:rPr>
          <w:szCs w:val="21"/>
        </w:rPr>
      </w:r>
      <w:r/>
    </w:p>
    <w:p>
      <w:pPr>
        <w:pStyle w:val="891"/>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r>
      <w:r/>
    </w:p>
    <w:p>
      <w:pPr>
        <w:ind w:left="0" w:right="0" w:firstLine="63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Wingdings" w:hAnsi="Wingdings" w:eastAsia="Wingdings" w:cs="Wingdings"/>
          <w:szCs w:val="24"/>
        </w:rPr>
        <w:t xml:space="preserve">þ</w:t>
      </w:r>
      <w:r>
        <w:rPr>
          <w:rFonts w:hint="eastAsia" w:ascii="宋体" w:hAnsi="宋体"/>
          <w:szCs w:val="21"/>
        </w:rPr>
        <w:t xml:space="preserve">分期付款：</w:t>
      </w:r>
      <w:r>
        <w:rPr>
          <w:rFonts w:ascii="SimSun" w:hAnsi="SimSun" w:eastAsia="SimSun" w:cs="SimSun"/>
          <w:color w:val="000000"/>
          <w:sz w:val="21"/>
        </w:rPr>
        <w:t xml:space="preserve">：</w:t>
      </w:r>
      <w:r>
        <w:rPr>
          <w:rFonts w:ascii="SimSun" w:hAnsi="SimSun" w:eastAsia="SimSun" w:cs="SimSun"/>
          <w:color w:val="000000" w:themeColor="text1"/>
          <w:sz w:val="21"/>
          <w:u w:val="single"/>
        </w:rPr>
        <w:t xml:space="preserve">合同签订并收到乙方开具的发票后10个工作日内支付本合同总价款的50%（人民币         元）；货物交付安装、调试完成、验收合格后，乙方开具金额为合同总价款的10%、有效期至货物质保期满之日的银行质量保函，甲方在收到保函和发票后10个工作日内再支付合同总价款的50%（人民币           元）。以上付款均通过银行转账，不计利息</w:t>
      </w:r>
      <w:r>
        <w:rPr>
          <w:rFonts w:ascii="SimSun" w:hAnsi="SimSun" w:eastAsia="SimSun" w:cs="SimSun"/>
          <w:color w:val="000000" w:themeColor="text1"/>
          <w:sz w:val="21"/>
          <w:u w:val="single"/>
        </w:rPr>
        <w:t xml:space="preserve">。</w:t>
      </w:r>
      <w:r>
        <w:rPr>
          <w:color w:val="000000" w:themeColor="text1"/>
        </w:rPr>
      </w:r>
    </w:p>
    <w:p>
      <w:pPr>
        <w:ind w:firstLine="630"/>
        <w:spacing w:line="400" w:lineRule="exact"/>
        <w:rPr>
          <w:color w:val="000000" w:themeColor="text1"/>
        </w:rPr>
      </w:pPr>
      <w:r>
        <w:rPr>
          <w:rFonts w:hint="eastAsia" w:ascii="宋体" w:hAnsi="宋体"/>
          <w:color w:val="000000" w:themeColor="text1"/>
          <w:szCs w:val="21"/>
        </w:rPr>
      </w:r>
      <w:r>
        <w:rPr>
          <w:color w:val="000000" w:themeColor="text1"/>
        </w:rPr>
      </w:r>
    </w:p>
    <w:p>
      <w:pPr>
        <w:pStyle w:val="891"/>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r>
      <w:r/>
    </w:p>
    <w:p>
      <w:pPr>
        <w:pStyle w:val="891"/>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r>
      <w:r/>
    </w:p>
    <w:p>
      <w:pPr>
        <w:pStyle w:val="891"/>
        <w:ind w:firstLine="630"/>
        <w:spacing w:line="400" w:lineRule="exact"/>
        <w:rPr>
          <w:rFonts w:hint="eastAsia" w:ascii="宋体" w:hAnsi="宋体"/>
          <w:szCs w:val="21"/>
        </w:rPr>
      </w:pPr>
      <w:r>
        <w:rPr>
          <w:rFonts w:hint="eastAsia" w:ascii="宋体" w:hAnsi="宋体"/>
          <w:szCs w:val="21"/>
        </w:rPr>
        <w:t xml:space="preserve">本合同项下的采购款项由甲方按相关财务支付规定办理支付手续。付款前，乙方应当向甲方开具符合甲方要求及法律规定的发票，否则甲方可以延迟付款且不承担任何因此产生的违约责任。</w:t>
      </w:r>
      <w:r>
        <w:rPr>
          <w:rFonts w:hint="eastAsia" w:ascii="宋体" w:hAnsi="宋体"/>
          <w:szCs w:val="21"/>
        </w:rPr>
      </w:r>
      <w:r/>
    </w:p>
    <w:p>
      <w:pPr>
        <w:pStyle w:val="891"/>
        <w:numPr>
          <w:ilvl w:val="0"/>
          <w:numId w:val="6"/>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891"/>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891"/>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南通市胜利路168号4幢指定楼层的指定安装位置                            </w:t>
      </w:r>
      <w:r>
        <w:rPr>
          <w:rFonts w:hint="eastAsia" w:ascii="宋体" w:hAnsi="宋体" w:cs="宋体"/>
          <w:szCs w:val="21"/>
          <w:u w:val="single"/>
        </w:rPr>
      </w:r>
      <w:r/>
    </w:p>
    <w:p>
      <w:pPr>
        <w:pStyle w:val="891"/>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hint="eastAsia" w:ascii="宋体" w:hAnsi="宋体" w:cs="宋体"/>
          <w:szCs w:val="21"/>
        </w:rPr>
      </w:r>
      <w:r/>
    </w:p>
    <w:p>
      <w:pPr>
        <w:pStyle w:val="891"/>
        <w:ind w:firstLine="440"/>
        <w:jc w:val="left"/>
        <w:spacing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收取履约保证金形式：乙方</w:t>
      </w:r>
      <w:bookmarkStart w:id="185" w:name="OLE_LINK40"/>
      <w:r>
        <w:rPr>
          <w:rFonts w:hint="eastAsia" w:ascii="宋体" w:hAnsi="宋体" w:cs="宋体"/>
          <w:bCs/>
          <w:szCs w:val="21"/>
          <w:u w:val="single"/>
        </w:rPr>
        <w:t xml:space="preserve">以支票、汇票、本票或者金融机构、担保机构出具的保函等非现金形式提交</w:t>
      </w:r>
      <w:bookmarkEnd w:id="185"/>
      <w:r>
        <w:rPr>
          <w:rFonts w:hint="eastAsia" w:ascii="宋体" w:hAnsi="宋体" w:cs="宋体"/>
          <w:bCs/>
          <w:szCs w:val="21"/>
          <w:u w:val="single"/>
        </w:rPr>
        <w:t xml:space="preserve">。                  </w:t>
      </w:r>
      <w:r>
        <w:rPr>
          <w:rFonts w:hint="eastAsia" w:ascii="宋体" w:hAnsi="宋体" w:cs="宋体"/>
          <w:szCs w:val="21"/>
        </w:rPr>
      </w:r>
      <w:r/>
    </w:p>
    <w:p>
      <w:pPr>
        <w:pStyle w:val="891"/>
        <w:ind w:firstLine="420"/>
        <w:jc w:val="left"/>
        <w:spacing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项目成交金额的10%                 </w:t>
      </w:r>
      <w:r>
        <w:rPr>
          <w:rFonts w:hint="eastAsia" w:ascii="宋体" w:hAnsi="宋体" w:cs="宋体"/>
          <w:szCs w:val="21"/>
        </w:rPr>
      </w:r>
      <w:r/>
    </w:p>
    <w:p>
      <w:pPr>
        <w:pStyle w:val="891"/>
        <w:ind w:firstLine="420"/>
        <w:spacing w:line="400" w:lineRule="exact"/>
        <w:rPr>
          <w:rFonts w:hint="eastAsia"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履约验收合格后，采购人退还履约保证金。               </w:t>
      </w:r>
      <w:r>
        <w:rPr>
          <w:rFonts w:hint="eastAsia" w:ascii="宋体" w:hAnsi="宋体" w:cs="宋体"/>
          <w:szCs w:val="24"/>
        </w:rPr>
      </w:r>
      <w:r/>
    </w:p>
    <w:p>
      <w:pPr>
        <w:pStyle w:val="891"/>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rPr>
          <w:rFonts w:hint="eastAsia" w:ascii="宋体" w:hAnsi="宋体" w:cs="宋体"/>
          <w:bCs/>
          <w:szCs w:val="21"/>
        </w:rPr>
      </w:r>
      <w:r/>
    </w:p>
    <w:p>
      <w:pPr>
        <w:pStyle w:val="891"/>
        <w:ind w:firstLine="420"/>
        <w:spacing w:line="400" w:lineRule="exact"/>
        <w:rPr>
          <w:rFonts w:hint="eastAsia" w:ascii="宋体" w:hAnsi="宋体" w:cs="宋体"/>
          <w:bCs/>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如乙方未能履行合同规定的义务，甲方有权从履约保证金中取得补偿。</w:t>
      </w:r>
      <w:r>
        <w:rPr>
          <w:rFonts w:hint="eastAsia" w:ascii="宋体" w:hAnsi="宋体" w:cs="宋体"/>
          <w:bCs/>
          <w:szCs w:val="21"/>
          <w:u w:val="single"/>
        </w:rPr>
      </w:r>
      <w:r/>
    </w:p>
    <w:p>
      <w:pPr>
        <w:pStyle w:val="891"/>
        <w:numPr>
          <w:ilvl w:val="0"/>
          <w:numId w:val="6"/>
        </w:numPr>
        <w:ind w:firstLine="422"/>
        <w:spacing w:line="400" w:lineRule="exact"/>
        <w:rPr>
          <w:rFonts w:hint="eastAsia" w:ascii="宋体" w:hAnsi="宋体"/>
          <w:b/>
          <w:szCs w:val="21"/>
        </w:rPr>
      </w:pPr>
      <w:r>
        <w:rPr>
          <w:rFonts w:hint="eastAsia" w:ascii="宋体" w:hAnsi="宋体"/>
          <w:b/>
          <w:szCs w:val="21"/>
        </w:rPr>
        <w:t xml:space="preserve">合同验收</w:t>
      </w:r>
      <w:r>
        <w:rPr>
          <w:rFonts w:hint="eastAsia" w:ascii="宋体" w:hAnsi="宋体"/>
          <w:b/>
          <w:szCs w:val="21"/>
        </w:rPr>
      </w:r>
      <w:r/>
    </w:p>
    <w:p>
      <w:pPr>
        <w:pStyle w:val="891"/>
        <w:numPr>
          <w:ilvl w:val="0"/>
          <w:numId w:val="8"/>
        </w:numPr>
        <w:ind w:firstLine="420"/>
        <w:spacing w:line="400" w:lineRule="exact"/>
        <w:rPr>
          <w:rFonts w:hint="eastAsia" w:ascii="宋体" w:hAnsi="宋体"/>
          <w:bCs/>
          <w:szCs w:val="21"/>
        </w:rPr>
      </w:pPr>
      <w:r>
        <w:rPr>
          <w:rFonts w:hint="eastAsia" w:ascii="宋体" w:hAnsi="宋体"/>
          <w:bCs/>
          <w:szCs w:val="21"/>
        </w:rPr>
        <w:t xml:space="preserve">验收组织方式：</w:t>
      </w:r>
      <w:bookmarkStart w:id="186" w:name="_Hlk171087831"/>
      <w:r>
        <w:rPr>
          <w:rFonts w:ascii="Wingdings" w:hAnsi="Wingdings" w:eastAsia="Wingdings" w:cs="Wingdings"/>
          <w:szCs w:val="21"/>
        </w:rPr>
        <w:t xml:space="preserve">þ</w:t>
      </w:r>
      <w:bookmarkEnd w:id="186"/>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hint="eastAsia" w:ascii="宋体" w:hAnsi="宋体"/>
          <w:bCs/>
          <w:szCs w:val="21"/>
        </w:rPr>
      </w:r>
      <w:r/>
    </w:p>
    <w:p>
      <w:pPr>
        <w:pStyle w:val="891"/>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rPr>
          <w:rFonts w:hint="eastAsia" w:ascii="宋体" w:hAnsi="宋体"/>
          <w:bCs/>
          <w:szCs w:val="21"/>
        </w:rPr>
      </w:r>
      <w:r/>
    </w:p>
    <w:p>
      <w:pPr>
        <w:pStyle w:val="891"/>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91"/>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91"/>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91"/>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91"/>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91"/>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                                       </w:t>
      </w:r>
      <w:r>
        <w:rPr>
          <w:rFonts w:hint="eastAsia" w:ascii="宋体" w:hAnsi="宋体"/>
          <w:bCs/>
          <w:szCs w:val="21"/>
          <w:u w:val="single"/>
        </w:rPr>
      </w:r>
      <w:r/>
    </w:p>
    <w:p>
      <w:pPr>
        <w:pStyle w:val="891"/>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bCs/>
          <w:szCs w:val="21"/>
        </w:rPr>
      </w:r>
      <w:r/>
    </w:p>
    <w:p>
      <w:pPr>
        <w:pStyle w:val="891"/>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891"/>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自供应商提出验收申请之日起10日内组织验收        </w:t>
      </w:r>
      <w:r>
        <w:rPr>
          <w:rFonts w:hint="eastAsia" w:ascii="宋体" w:hAnsi="宋体"/>
          <w:bCs/>
          <w:szCs w:val="21"/>
          <w:u w:val="single"/>
        </w:rPr>
      </w:r>
      <w:r/>
    </w:p>
    <w:p>
      <w:pPr>
        <w:pStyle w:val="891"/>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hint="eastAsia" w:ascii="宋体" w:hAnsi="宋体"/>
          <w:bCs/>
          <w:szCs w:val="21"/>
        </w:rPr>
      </w:r>
      <w:r/>
    </w:p>
    <w:p>
      <w:pPr>
        <w:pStyle w:val="891"/>
        <w:spacing w:line="400" w:lineRule="exact"/>
        <w:rPr>
          <w:rFonts w:hint="eastAsia" w:ascii="宋体" w:hAnsi="宋体"/>
          <w:bCs/>
          <w:szCs w:val="21"/>
        </w:rPr>
      </w:pPr>
      <w:r>
        <w:rPr>
          <w:rFonts w:hint="eastAsia" w:ascii="宋体" w:hAnsi="宋体"/>
          <w:bCs/>
          <w:szCs w:val="21"/>
        </w:rPr>
        <w:t xml:space="preserve">                       </w:t>
      </w:r>
      <w:bookmarkStart w:id="187" w:name="_Hlk171087968"/>
      <w:r>
        <w:rPr>
          <w:rFonts w:ascii="Wingdings" w:hAnsi="Wingdings" w:eastAsia="Wingdings" w:cs="Wingdings"/>
          <w:szCs w:val="21"/>
        </w:rPr>
        <w:t xml:space="preserve">þ</w:t>
      </w:r>
      <w:bookmarkEnd w:id="187"/>
      <w:r>
        <w:rPr>
          <w:rFonts w:hint="eastAsia" w:ascii="宋体" w:hAnsi="宋体"/>
          <w:bCs/>
          <w:szCs w:val="21"/>
        </w:rPr>
        <w:t xml:space="preserve">分期/分项验收：</w:t>
      </w:r>
      <w:r>
        <w:rPr>
          <w:rFonts w:hint="eastAsia" w:ascii="宋体" w:hAnsi="宋体"/>
          <w:bCs/>
          <w:szCs w:val="21"/>
          <w:u w:val="single"/>
        </w:rPr>
        <w:t xml:space="preserve">    每台设备安装调试合格后分别验收     </w:t>
      </w:r>
      <w:r>
        <w:rPr>
          <w:rFonts w:hint="eastAsia" w:ascii="宋体" w:hAnsi="宋体"/>
          <w:bCs/>
          <w:szCs w:val="21"/>
        </w:rPr>
      </w:r>
      <w:r/>
    </w:p>
    <w:p>
      <w:pPr>
        <w:pStyle w:val="891"/>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891"/>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货物的到货验收包括：型号、规格、数量、外观质量、及货物包装是否完好、开机运行是否正常等。</w:t>
      </w:r>
      <w:r>
        <w:rPr>
          <w:rFonts w:hint="eastAsia" w:ascii="宋体" w:hAnsi="宋体"/>
          <w:bCs/>
          <w:szCs w:val="21"/>
          <w:u w:val="single"/>
        </w:rPr>
      </w:r>
      <w:r/>
    </w:p>
    <w:p>
      <w:pPr>
        <w:pStyle w:val="891"/>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rPr>
          <w:rFonts w:hint="eastAsia" w:ascii="宋体" w:hAnsi="宋体"/>
          <w:bCs/>
          <w:szCs w:val="21"/>
          <w:u w:val="single"/>
        </w:rPr>
      </w:r>
      <w:r/>
    </w:p>
    <w:p>
      <w:pPr>
        <w:pStyle w:val="891"/>
        <w:ind w:firstLine="420"/>
        <w:jc w:val="left"/>
        <w:spacing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 w:val="22"/>
          <w:szCs w:val="21"/>
        </w:rPr>
        <w:t xml:space="preserve">þ</w:t>
      </w:r>
      <w:r>
        <w:rPr>
          <w:rFonts w:hint="eastAsia" w:ascii="宋体" w:hAnsi="宋体" w:cs="宋体"/>
          <w:bCs/>
          <w:szCs w:val="21"/>
        </w:rPr>
        <w:t xml:space="preserve">否</w:t>
      </w:r>
      <w:r>
        <w:rPr>
          <w:rFonts w:hint="eastAsia" w:ascii="宋体" w:hAnsi="宋体" w:cs="宋体"/>
          <w:szCs w:val="21"/>
        </w:rPr>
      </w:r>
      <w:r/>
    </w:p>
    <w:p>
      <w:pPr>
        <w:pStyle w:val="891"/>
        <w:ind w:firstLine="420"/>
        <w:spacing w:line="400" w:lineRule="exact"/>
        <w:rPr>
          <w:rFonts w:hint="eastAsia" w:ascii="宋体" w:hAnsi="宋体"/>
          <w:bCs/>
          <w:szCs w:val="21"/>
          <w:u w:val="single"/>
        </w:rPr>
      </w:pPr>
      <w:r>
        <w:rPr>
          <w:rFonts w:hint="eastAsia" w:ascii="宋体" w:hAnsi="宋体" w:cs="宋体"/>
          <w:bCs/>
          <w:szCs w:val="21"/>
        </w:rPr>
        <w:t xml:space="preserve">（8）履约验收其他事项：</w:t>
      </w:r>
      <w:r>
        <w:rPr>
          <w:rFonts w:hint="eastAsia" w:ascii="宋体" w:hAnsi="宋体"/>
          <w:bCs/>
          <w:szCs w:val="21"/>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bCs/>
          <w:szCs w:val="21"/>
          <w:u w:val="single"/>
        </w:rPr>
      </w:r>
      <w:r/>
    </w:p>
    <w:p>
      <w:pPr>
        <w:pStyle w:val="891"/>
        <w:ind w:left="422"/>
        <w:spacing w:line="400" w:lineRule="exact"/>
        <w:rPr>
          <w:rFonts w:hint="eastAsia" w:ascii="宋体" w:hAnsi="宋体"/>
          <w:b/>
          <w:szCs w:val="21"/>
        </w:rPr>
      </w:pPr>
      <w:r>
        <w:rPr>
          <w:rFonts w:hint="eastAsia" w:ascii="宋体" w:hAnsi="宋体"/>
          <w:b/>
          <w:szCs w:val="21"/>
        </w:rPr>
        <w:t xml:space="preserve">5. 组成合同的文件</w:t>
      </w:r>
      <w:r>
        <w:rPr>
          <w:rFonts w:hint="eastAsia" w:ascii="宋体" w:hAnsi="宋体"/>
          <w:b/>
          <w:szCs w:val="21"/>
        </w:rPr>
      </w:r>
      <w:r/>
    </w:p>
    <w:p>
      <w:pPr>
        <w:pStyle w:val="891"/>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（2）政府采购合同专用条款</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（3）政府采购合同通用条款</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（4）中标（成交）通知书</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（5）投标（响应）文件</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（6）采购文件</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（7）有关技术文件，图纸</w:t>
      </w:r>
      <w:r>
        <w:rPr>
          <w:rFonts w:hint="eastAsia" w:ascii="宋体" w:hAnsi="宋体"/>
          <w:szCs w:val="21"/>
        </w:rPr>
      </w:r>
      <w:r/>
    </w:p>
    <w:p>
      <w:pPr>
        <w:pStyle w:val="891"/>
        <w:numPr>
          <w:ilvl w:val="0"/>
          <w:numId w:val="9"/>
        </w:numPr>
        <w:jc w:val="left"/>
        <w:spacing w:line="400" w:lineRule="exact"/>
        <w:widowControl/>
        <w:rPr>
          <w:rFonts w:hint="eastAsia" w:ascii="宋体" w:hAnsi="宋体" w:cs="宋体"/>
          <w:szCs w:val="21"/>
        </w:rPr>
      </w:pP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s="宋体"/>
          <w:szCs w:val="21"/>
        </w:rPr>
      </w:r>
      <w:r/>
    </w:p>
    <w:p>
      <w:pPr>
        <w:pStyle w:val="891"/>
        <w:ind w:left="422"/>
        <w:spacing w:line="400" w:lineRule="exact"/>
        <w:rPr>
          <w:rFonts w:hint="eastAsia" w:ascii="宋体" w:hAnsi="宋体"/>
          <w:b/>
          <w:szCs w:val="21"/>
        </w:rPr>
      </w:pPr>
      <w:r>
        <w:rPr>
          <w:rFonts w:hint="eastAsia" w:ascii="宋体" w:hAnsi="宋体"/>
          <w:b/>
          <w:szCs w:val="21"/>
        </w:rPr>
        <w:t xml:space="preserve">6. 合同生效</w:t>
      </w:r>
      <w:r>
        <w:rPr>
          <w:rFonts w:hint="eastAsia" w:ascii="宋体" w:hAnsi="宋体"/>
          <w:b/>
          <w:szCs w:val="21"/>
        </w:rPr>
      </w:r>
      <w:r/>
    </w:p>
    <w:p>
      <w:pPr>
        <w:pStyle w:val="891"/>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hint="eastAsia" w:ascii="宋体" w:hAnsi="宋体"/>
          <w:szCs w:val="21"/>
        </w:rPr>
      </w:r>
      <w:r/>
    </w:p>
    <w:p>
      <w:pPr>
        <w:pStyle w:val="891"/>
        <w:ind w:left="422"/>
        <w:spacing w:line="400" w:lineRule="exact"/>
        <w:rPr>
          <w:rFonts w:hint="eastAsia" w:ascii="宋体" w:hAnsi="宋体"/>
          <w:b/>
          <w:szCs w:val="21"/>
        </w:rPr>
      </w:pPr>
      <w:r>
        <w:rPr>
          <w:rFonts w:hint="eastAsia" w:ascii="宋体" w:hAnsi="宋体"/>
          <w:b/>
          <w:szCs w:val="21"/>
        </w:rPr>
        <w:t xml:space="preserve">7. 合同份数</w:t>
      </w:r>
      <w:r>
        <w:rPr>
          <w:rFonts w:hint="eastAsia" w:ascii="宋体" w:hAnsi="宋体"/>
          <w:b/>
          <w:szCs w:val="21"/>
        </w:rPr>
      </w:r>
      <w:r/>
    </w:p>
    <w:p>
      <w:pPr>
        <w:pStyle w:val="891"/>
        <w:ind w:firstLine="420"/>
        <w:spacing w:line="400" w:lineRule="exact"/>
        <w:rPr>
          <w:rFonts w:hint="eastAsia" w:ascii="宋体" w:hAnsi="宋体"/>
          <w:szCs w:val="21"/>
        </w:rPr>
      </w:pPr>
      <w:r>
        <w:rPr>
          <w:rFonts w:hint="eastAsia" w:ascii="宋体" w:hAnsi="宋体"/>
          <w:szCs w:val="21"/>
        </w:rPr>
        <w:t xml:space="preserve">本合同一式肆份，甲方执</w:t>
      </w:r>
      <w:r>
        <w:rPr>
          <w:rFonts w:hint="eastAsia" w:ascii="宋体" w:hAnsi="宋体"/>
          <w:szCs w:val="21"/>
          <w:u w:val="single"/>
        </w:rPr>
        <w:t xml:space="preserve"> 叁 </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份，均具有同等法律效力。</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891"/>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891"/>
        <w:spacing w:line="278" w:lineRule="auto"/>
        <w:rPr>
          <w:szCs w:val="24"/>
        </w:rPr>
      </w:pPr>
      <w:r>
        <w:rPr>
          <w:rFonts w:hint="eastAsia"/>
          <w:szCs w:val="24"/>
        </w:rPr>
        <w:br w:type="page" w:clear="all"/>
      </w:r>
      <w:r>
        <w:rPr>
          <w:szCs w:val="24"/>
        </w:rPr>
      </w:r>
      <w:r/>
    </w:p>
    <w:p>
      <w:pPr>
        <w:pStyle w:val="891"/>
        <w:ind w:firstLine="420"/>
        <w:spacing w:line="278" w:lineRule="auto"/>
        <w:rPr>
          <w:szCs w:val="21"/>
        </w:rPr>
      </w:pPr>
      <w:r>
        <w:rPr>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W w:w="4629" w:type="dxa"/>
            <w:vAlign w:val="center"/>
            <w:textDirection w:val="lrTb"/>
            <w:noWrap w:val="false"/>
          </w:tcPr>
          <w:p>
            <w:pPr>
              <w:pStyle w:val="891"/>
              <w:jc w:val="center"/>
              <w:spacing w:line="300" w:lineRule="exact"/>
              <w:rPr>
                <w:szCs w:val="24"/>
              </w:rPr>
            </w:pPr>
            <w:r>
              <w:rPr>
                <w:szCs w:val="21"/>
              </w:rPr>
              <w:t xml:space="preserve">甲方</w:t>
            </w:r>
            <w:r>
              <w:rPr>
                <w:szCs w:val="24"/>
              </w:rPr>
            </w:r>
            <w:r/>
          </w:p>
        </w:tc>
        <w:tc>
          <w:tcPr>
            <w:gridSpan w:val="2"/>
            <w:tcW w:w="4406" w:type="dxa"/>
            <w:vAlign w:val="center"/>
            <w:textDirection w:val="lrTb"/>
            <w:noWrap w:val="false"/>
          </w:tcPr>
          <w:p>
            <w:pPr>
              <w:pStyle w:val="891"/>
              <w:jc w:val="center"/>
              <w:spacing w:line="300" w:lineRule="exact"/>
              <w:rPr>
                <w:szCs w:val="24"/>
              </w:rPr>
            </w:pPr>
            <w:r>
              <w:rPr>
                <w:szCs w:val="21"/>
              </w:rPr>
              <w:t xml:space="preserve">乙方</w:t>
            </w:r>
            <w:r>
              <w:rPr>
                <w:szCs w:val="24"/>
              </w:rPr>
            </w:r>
            <w:r/>
          </w:p>
        </w:tc>
      </w:tr>
      <w:tr>
        <w:trPr>
          <w:trHeight w:val="917"/>
        </w:trPr>
        <w:tc>
          <w:tcPr>
            <w:tcW w:w="1126" w:type="dxa"/>
            <w:vAlign w:val="center"/>
            <w:textDirection w:val="lrTb"/>
            <w:noWrap w:val="false"/>
          </w:tcPr>
          <w:p>
            <w:pPr>
              <w:pStyle w:val="89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891"/>
              <w:jc w:val="center"/>
              <w:spacing w:line="300" w:lineRule="exact"/>
              <w:rPr>
                <w:szCs w:val="21"/>
              </w:rPr>
            </w:pPr>
            <w:r>
              <w:rPr>
                <w:rFonts w:hint="eastAsia"/>
                <w:szCs w:val="21"/>
              </w:rPr>
              <w:t xml:space="preserve">南通市食品药品监督检验中心</w:t>
            </w:r>
            <w:r>
              <w:rPr>
                <w:szCs w:val="21"/>
              </w:rPr>
            </w:r>
            <w:r/>
          </w:p>
        </w:tc>
        <w:tc>
          <w:tcPr>
            <w:tcW w:w="1178" w:type="dxa"/>
            <w:vAlign w:val="center"/>
            <w:textDirection w:val="lrTb"/>
            <w:noWrap w:val="false"/>
          </w:tcPr>
          <w:p>
            <w:pPr>
              <w:pStyle w:val="891"/>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891"/>
              <w:jc w:val="center"/>
              <w:spacing w:line="300" w:lineRule="exact"/>
              <w:rPr>
                <w:szCs w:val="21"/>
              </w:rPr>
            </w:pPr>
            <w:r>
              <w:rPr>
                <w:szCs w:val="21"/>
              </w:rPr>
              <w:t xml:space="preserve">法定代表人</w:t>
            </w:r>
            <w:r>
              <w:rPr>
                <w:szCs w:val="21"/>
              </w:rPr>
            </w:r>
            <w:r/>
          </w:p>
          <w:p>
            <w:pPr>
              <w:pStyle w:val="891"/>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szCs w:val="21"/>
              </w:rPr>
              <w:t xml:space="preserve">法定代表人</w:t>
            </w:r>
            <w:r>
              <w:rPr>
                <w:szCs w:val="21"/>
              </w:rPr>
            </w:r>
            <w:r/>
          </w:p>
          <w:p>
            <w:pPr>
              <w:pStyle w:val="89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60" w:type="dxa"/>
            <w:vAlign w:val="center"/>
            <w:textDirection w:val="lrTb"/>
            <w:noWrap w:val="false"/>
          </w:tcPr>
          <w:p>
            <w:pPr>
              <w:pStyle w:val="891"/>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891"/>
              <w:jc w:val="center"/>
              <w:spacing w:line="300" w:lineRule="exact"/>
              <w:rPr>
                <w:szCs w:val="21"/>
              </w:rPr>
            </w:pPr>
            <w:r>
              <w:rPr>
                <w:szCs w:val="21"/>
              </w:rPr>
            </w:r>
            <w:r/>
          </w:p>
        </w:tc>
        <w:tc>
          <w:tcPr>
            <w:tcW w:w="1436" w:type="dxa"/>
            <w:vAlign w:val="center"/>
            <w:vMerge w:val="continue"/>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rFonts w:hint="eastAsia"/>
                <w:szCs w:val="21"/>
              </w:rPr>
              <w:t xml:space="preserve">拥有者性别</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rFonts w:hint="eastAsia"/>
                <w:szCs w:val="21"/>
              </w:rPr>
              <w:t xml:space="preserve">住  所</w:t>
            </w:r>
            <w:r>
              <w:rPr>
                <w:szCs w:val="21"/>
              </w:rPr>
            </w:r>
            <w:r/>
          </w:p>
        </w:tc>
        <w:tc>
          <w:tcPr>
            <w:tcW w:w="1436" w:type="dxa"/>
            <w:vAlign w:val="center"/>
            <w:textDirection w:val="lrTb"/>
            <w:noWrap w:val="false"/>
          </w:tcPr>
          <w:p>
            <w:pPr>
              <w:pStyle w:val="891"/>
              <w:jc w:val="center"/>
              <w:spacing w:line="300" w:lineRule="exact"/>
              <w:rPr>
                <w:szCs w:val="21"/>
              </w:rPr>
            </w:pPr>
            <w:r>
              <w:rPr>
                <w:rFonts w:hint="eastAsia"/>
                <w:szCs w:val="21"/>
              </w:rPr>
              <w:t xml:space="preserve">南通市胜利路168号4幢</w:t>
            </w:r>
            <w:r>
              <w:rPr>
                <w:szCs w:val="21"/>
              </w:rPr>
            </w:r>
            <w:r/>
          </w:p>
        </w:tc>
        <w:tc>
          <w:tcPr>
            <w:tcW w:w="1178" w:type="dxa"/>
            <w:vAlign w:val="center"/>
            <w:textDirection w:val="lrTb"/>
            <w:noWrap w:val="false"/>
          </w:tcPr>
          <w:p>
            <w:pPr>
              <w:pStyle w:val="891"/>
              <w:jc w:val="center"/>
              <w:spacing w:line="300" w:lineRule="exact"/>
              <w:rPr>
                <w:szCs w:val="21"/>
              </w:rPr>
            </w:pPr>
            <w:r>
              <w:rPr>
                <w:rFonts w:hint="eastAsia"/>
                <w:szCs w:val="21"/>
              </w:rPr>
              <w:t xml:space="preserve">住  所</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szCs w:val="21"/>
              </w:rPr>
              <w:t xml:space="preserve">联 系 人</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szCs w:val="21"/>
              </w:rPr>
              <w:t xml:space="preserve">联系电话</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rFonts w:hint="eastAsia"/>
                <w:szCs w:val="21"/>
              </w:rPr>
              <w:t xml:space="preserve">通信地址</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szCs w:val="21"/>
              </w:rPr>
              <w:t xml:space="preserve">邮政编码</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rFonts w:hint="eastAsia"/>
                <w:szCs w:val="21"/>
              </w:rPr>
              <w:t xml:space="preserve">电子邮箱</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rFonts w:hint="eastAsia"/>
                <w:szCs w:val="21"/>
              </w:rPr>
              <w:t xml:space="preserve">统一社会信用代码</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szCs w:val="21"/>
              </w:rPr>
            </w:r>
            <w:r/>
          </w:p>
        </w:tc>
        <w:tc>
          <w:tcPr>
            <w:tcW w:w="1436" w:type="dxa"/>
            <w:vAlign w:val="center"/>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szCs w:val="21"/>
              </w:rPr>
              <w:t xml:space="preserve">开户名称</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szCs w:val="21"/>
              </w:rPr>
            </w:r>
            <w:r/>
          </w:p>
        </w:tc>
        <w:tc>
          <w:tcPr>
            <w:tcW w:w="1436" w:type="dxa"/>
            <w:vAlign w:val="center"/>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891"/>
              <w:jc w:val="center"/>
              <w:spacing w:line="300" w:lineRule="exact"/>
              <w:rPr>
                <w:szCs w:val="21"/>
              </w:rPr>
            </w:pPr>
            <w:r>
              <w:rPr>
                <w:szCs w:val="21"/>
              </w:rPr>
            </w:r>
            <w:r/>
          </w:p>
        </w:tc>
        <w:tc>
          <w:tcPr>
            <w:tcW w:w="1436" w:type="dxa"/>
            <w:vAlign w:val="center"/>
            <w:textDirection w:val="lrTb"/>
            <w:noWrap w:val="false"/>
          </w:tcPr>
          <w:p>
            <w:pPr>
              <w:pStyle w:val="891"/>
              <w:jc w:val="center"/>
              <w:spacing w:line="300" w:lineRule="exact"/>
              <w:rPr>
                <w:szCs w:val="21"/>
              </w:rPr>
            </w:pPr>
            <w:r>
              <w:rPr>
                <w:szCs w:val="21"/>
              </w:rPr>
            </w:r>
            <w:r/>
          </w:p>
        </w:tc>
        <w:tc>
          <w:tcPr>
            <w:tcW w:w="1178" w:type="dxa"/>
            <w:vAlign w:val="center"/>
            <w:textDirection w:val="lrTb"/>
            <w:noWrap w:val="false"/>
          </w:tcPr>
          <w:p>
            <w:pPr>
              <w:pStyle w:val="891"/>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891"/>
              <w:jc w:val="center"/>
              <w:spacing w:line="300" w:lineRule="exact"/>
              <w:rPr>
                <w:spacing w:val="20"/>
                <w:szCs w:val="21"/>
              </w:rPr>
            </w:pPr>
            <w:r>
              <w:rPr>
                <w:spacing w:val="20"/>
                <w:szCs w:val="21"/>
              </w:rPr>
            </w:r>
            <w:r/>
          </w:p>
        </w:tc>
      </w:tr>
    </w:tbl>
    <w:p>
      <w:pPr>
        <w:pStyle w:val="891"/>
        <w:jc w:val="center"/>
        <w:keepLines/>
        <w:keepNext/>
        <w:spacing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188" w:name="_Toc27624"/>
      <w:r>
        <w:rPr>
          <w:rFonts w:hint="eastAsia" w:ascii="黑体" w:hAnsi="黑体" w:eastAsia="黑体"/>
          <w:sz w:val="28"/>
          <w:szCs w:val="28"/>
        </w:rPr>
        <w:t xml:space="preserve">第二节 政府采购合同通用条款</w:t>
      </w:r>
      <w:bookmarkEnd w:id="188"/>
      <w:r>
        <w:rPr>
          <w:rFonts w:hint="eastAsia" w:ascii="黑体" w:hAnsi="黑体" w:eastAsia="黑体"/>
          <w:b/>
          <w:bCs/>
          <w:sz w:val="28"/>
          <w:szCs w:val="28"/>
        </w:rPr>
      </w:r>
      <w:r/>
    </w:p>
    <w:p>
      <w:pPr>
        <w:pStyle w:val="891"/>
        <w:jc w:val="left"/>
        <w:spacing w:line="400" w:lineRule="exact"/>
        <w:tabs>
          <w:tab w:val="left" w:pos="8820" w:leader="none"/>
          <w:tab w:val="left" w:pos="9345" w:leader="none"/>
          <w:tab w:val="left" w:pos="9765" w:leader="none"/>
        </w:tabs>
        <w:rPr>
          <w:rFonts w:hint="eastAsia"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rPr>
          <w:rFonts w:hint="eastAsia" w:ascii="宋体" w:hAnsi="宋体"/>
          <w:b/>
          <w:bCs/>
          <w:sz w:val="24"/>
          <w:szCs w:val="24"/>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rPr>
          <w:rFonts w:hint="eastAsia" w:ascii="宋体" w:hAnsi="宋体"/>
          <w:color w:val="000000"/>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891"/>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891"/>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891"/>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highlight w:val="yellow"/>
        </w:rPr>
      </w:r>
      <w:r/>
    </w:p>
    <w:p>
      <w:pPr>
        <w:pStyle w:val="891"/>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yellow"/>
        </w:rPr>
      </w:r>
      <w:r/>
    </w:p>
    <w:p>
      <w:pPr>
        <w:pStyle w:val="891"/>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891"/>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891"/>
        <w:numPr>
          <w:ilvl w:val="0"/>
          <w:numId w:val="10"/>
        </w:numPr>
        <w:jc w:val="left"/>
        <w:spacing w:line="400" w:lineRule="exact"/>
        <w:rPr>
          <w:rFonts w:hint="eastAsia" w:ascii="宋体" w:hAnsi="宋体"/>
          <w:b/>
          <w:bCs/>
          <w:color w:val="000000"/>
          <w:sz w:val="24"/>
          <w:szCs w:val="24"/>
        </w:rPr>
      </w:pPr>
      <w:r>
        <w:rPr>
          <w:rFonts w:hint="eastAsia" w:ascii="宋体" w:hAnsi="宋体"/>
          <w:b/>
          <w:color w:val="000000"/>
          <w:sz w:val="24"/>
          <w:szCs w:val="24"/>
        </w:rPr>
        <w:t xml:space="preserve">合同标的及金额</w:t>
      </w:r>
      <w:r>
        <w:rPr>
          <w:rFonts w:hint="eastAsia" w:ascii="宋体" w:hAnsi="宋体"/>
          <w:b/>
          <w:bCs/>
          <w:color w:val="000000"/>
          <w:sz w:val="24"/>
          <w:szCs w:val="24"/>
        </w:rPr>
      </w:r>
      <w:r/>
    </w:p>
    <w:p>
      <w:pPr>
        <w:pStyle w:val="891"/>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hint="eastAsia" w:ascii="宋体" w:hAnsi="宋体"/>
          <w:b/>
          <w:bCs/>
          <w:i/>
          <w:iCs/>
          <w:color w:val="000000"/>
          <w:szCs w:val="21"/>
        </w:rPr>
      </w:r>
      <w:r/>
    </w:p>
    <w:p>
      <w:pPr>
        <w:pStyle w:val="891"/>
        <w:jc w:val="left"/>
        <w:spacing w:line="400" w:lineRule="exact"/>
        <w:rPr>
          <w:rFonts w:hint="eastAsia" w:ascii="宋体" w:hAnsi="宋体"/>
          <w:b/>
          <w:color w:val="000000"/>
          <w:sz w:val="24"/>
          <w:szCs w:val="24"/>
        </w:rPr>
      </w:pPr>
      <w:r>
        <w:rPr>
          <w:rFonts w:hint="eastAsia" w:ascii="宋体" w:hAnsi="宋体"/>
          <w:b/>
          <w:color w:val="000000"/>
          <w:sz w:val="24"/>
          <w:szCs w:val="24"/>
        </w:rPr>
        <w:t xml:space="preserve">3. 履行合同的时间、地点和方式</w:t>
      </w:r>
      <w:r>
        <w:rPr>
          <w:rFonts w:hint="eastAsia" w:ascii="宋体" w:hAnsi="宋体"/>
          <w:b/>
          <w:color w:val="000000"/>
          <w:sz w:val="24"/>
          <w:szCs w:val="24"/>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hint="eastAsia" w:ascii="宋体" w:hAnsi="宋体"/>
          <w:color w:val="000000"/>
          <w:szCs w:val="21"/>
        </w:rPr>
      </w:r>
      <w:r/>
    </w:p>
    <w:p>
      <w:pPr>
        <w:pStyle w:val="89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4. 甲方的权利和义务</w:t>
      </w:r>
      <w:r>
        <w:rPr>
          <w:rFonts w:hint="eastAsia" w:ascii="宋体" w:hAnsi="宋体"/>
          <w:b/>
          <w:bCs/>
          <w:color w:val="000000"/>
          <w:sz w:val="24"/>
          <w:szCs w:val="24"/>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hint="eastAsia" w:ascii="宋体" w:hAnsi="宋体"/>
          <w:color w:val="000000"/>
          <w:szCs w:val="21"/>
        </w:rPr>
      </w:r>
      <w:r/>
    </w:p>
    <w:p>
      <w:pPr>
        <w:pStyle w:val="891"/>
        <w:ind w:firstLine="420"/>
        <w:spacing w:line="400" w:lineRule="exact"/>
        <w:rPr>
          <w:rFonts w:eastAsia="华文楷体"/>
          <w:szCs w:val="24"/>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szCs w:val="24"/>
        </w:rPr>
      </w:r>
      <w:r/>
    </w:p>
    <w:p>
      <w:pPr>
        <w:pStyle w:val="891"/>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hint="eastAsia" w:ascii="宋体" w:hAnsi="宋体"/>
          <w:color w:val="000000"/>
          <w:szCs w:val="21"/>
        </w:rPr>
      </w:r>
      <w:r/>
    </w:p>
    <w:p>
      <w:pPr>
        <w:pStyle w:val="89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5. 乙方的权利和义务</w:t>
      </w:r>
      <w:r>
        <w:rPr>
          <w:rFonts w:hint="eastAsia" w:ascii="宋体" w:hAnsi="宋体"/>
          <w:b/>
          <w:bCs/>
          <w:color w:val="000000"/>
          <w:sz w:val="24"/>
          <w:szCs w:val="24"/>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hint="eastAsia" w:ascii="宋体" w:hAnsi="宋体"/>
          <w:color w:val="000000"/>
          <w:szCs w:val="21"/>
        </w:rPr>
      </w:r>
      <w:r/>
    </w:p>
    <w:p>
      <w:pPr>
        <w:pStyle w:val="891"/>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rPr>
          <w:rFonts w:hint="eastAsia" w:ascii="宋体" w:hAnsi="宋体" w:cs="宋体"/>
          <w:color w:val="000000"/>
          <w:szCs w:val="21"/>
        </w:rPr>
      </w:r>
      <w:r/>
    </w:p>
    <w:p>
      <w:pPr>
        <w:pStyle w:val="891"/>
        <w:ind w:firstLine="370"/>
        <w:spacing w:line="400" w:lineRule="exact"/>
        <w:rPr>
          <w:rFonts w:hint="eastAsia"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hint="eastAsia" w:ascii="宋体" w:hAnsi="宋体" w:cs="宋体"/>
          <w:color w:val="000000"/>
          <w:szCs w:val="21"/>
        </w:rPr>
      </w:r>
      <w:r/>
    </w:p>
    <w:p>
      <w:pPr>
        <w:pStyle w:val="891"/>
        <w:numPr>
          <w:ilvl w:val="0"/>
          <w:numId w:val="11"/>
        </w:num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合同履行</w:t>
      </w:r>
      <w:r>
        <w:rPr>
          <w:rFonts w:hint="eastAsia" w:ascii="宋体" w:hAnsi="宋体"/>
          <w:b/>
          <w:bCs/>
          <w:color w:val="000000"/>
          <w:sz w:val="24"/>
          <w:szCs w:val="24"/>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hint="eastAsia" w:ascii="宋体" w:hAnsi="宋体"/>
          <w:color w:val="000000"/>
          <w:szCs w:val="21"/>
        </w:rPr>
      </w:r>
      <w:r/>
    </w:p>
    <w:p>
      <w:pPr>
        <w:pStyle w:val="891"/>
        <w:ind w:firstLine="420"/>
        <w:jc w:val="left"/>
        <w:spacing w:line="400" w:lineRule="exact"/>
        <w:rPr>
          <w:szCs w:val="24"/>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szCs w:val="24"/>
        </w:rPr>
      </w:r>
      <w:r/>
    </w:p>
    <w:p>
      <w:pPr>
        <w:pStyle w:val="89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7. 货物包装、运输、保险和交付要求</w:t>
      </w:r>
      <w:r>
        <w:rPr>
          <w:rFonts w:hint="eastAsia" w:ascii="宋体" w:hAnsi="宋体"/>
          <w:b/>
          <w:bCs/>
          <w:color w:val="000000"/>
          <w:sz w:val="24"/>
          <w:szCs w:val="24"/>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891"/>
        <w:ind w:firstLine="420"/>
        <w:jc w:val="left"/>
        <w:spacing w:line="400" w:lineRule="exact"/>
        <w:widowControl/>
        <w:rPr>
          <w:rFonts w:hint="eastAsia"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rPr>
          <w:rFonts w:hint="eastAsia" w:ascii="华文楷体" w:hAnsi="华文楷体" w:eastAsia="华文楷体" w:cs="华文楷体"/>
          <w:szCs w:val="21"/>
        </w:rPr>
      </w:r>
      <w:r/>
    </w:p>
    <w:p>
      <w:pPr>
        <w:pStyle w:val="891"/>
        <w:jc w:val="left"/>
        <w:spacing w:line="400" w:lineRule="exact"/>
        <w:rPr>
          <w:rFonts w:hint="eastAsia"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 xml:space="preserve">质量标准和保证</w:t>
      </w:r>
      <w:r>
        <w:rPr>
          <w:rFonts w:hint="eastAsia" w:ascii="宋体" w:hAnsi="宋体"/>
          <w:b/>
          <w:sz w:val="24"/>
          <w:szCs w:val="24"/>
        </w:rPr>
      </w:r>
      <w:r/>
    </w:p>
    <w:p>
      <w:pPr>
        <w:pStyle w:val="891"/>
        <w:ind w:firstLine="420"/>
        <w:jc w:val="left"/>
        <w:spacing w:line="400" w:lineRule="exact"/>
        <w:rPr>
          <w:rFonts w:hint="eastAsia" w:ascii="宋体" w:hAnsi="宋体" w:cs="Courier New"/>
          <w:b/>
          <w:szCs w:val="21"/>
        </w:rPr>
      </w:pPr>
      <w:r>
        <w:rPr>
          <w:rFonts w:hint="eastAsia" w:ascii="宋体" w:hAnsi="宋体" w:cs="Courier New"/>
          <w:szCs w:val="21"/>
        </w:rPr>
        <w:t xml:space="preserve">8.1 质量标准</w:t>
      </w:r>
      <w:r>
        <w:rPr>
          <w:rFonts w:hint="eastAsia" w:ascii="宋体" w:hAnsi="宋体" w:cs="Courier New"/>
          <w:b/>
          <w:szCs w:val="21"/>
        </w:rPr>
      </w:r>
      <w:r/>
    </w:p>
    <w:p>
      <w:pPr>
        <w:pStyle w:val="891"/>
        <w:ind w:firstLine="420"/>
        <w:jc w:val="left"/>
        <w:spacing w:line="400" w:lineRule="exact"/>
        <w:rPr>
          <w:rFonts w:hint="eastAsia" w:ascii="宋体" w:hAnsi="宋体"/>
          <w:szCs w:val="21"/>
        </w:rPr>
      </w:pPr>
      <w:r/>
      <w:bookmarkStart w:id="189" w:name="OLE_LINK7"/>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189"/>
      <w:r>
        <w:rPr>
          <w:rFonts w:hint="eastAsia" w:ascii="宋体" w:hAnsi="宋体"/>
          <w:szCs w:val="21"/>
        </w:rPr>
      </w:r>
      <w:r/>
    </w:p>
    <w:p>
      <w:pPr>
        <w:pStyle w:val="891"/>
        <w:ind w:firstLine="420"/>
        <w:jc w:val="left"/>
        <w:spacing w:line="400" w:lineRule="exact"/>
        <w:rPr>
          <w:rFonts w:hint="eastAsia" w:ascii="宋体" w:hAnsi="宋体" w:cs="Courier New"/>
          <w:szCs w:val="21"/>
        </w:rPr>
      </w:pPr>
      <w:r>
        <w:rPr>
          <w:rFonts w:hint="eastAsia" w:ascii="宋体" w:hAnsi="宋体" w:cs="Courier New"/>
          <w:szCs w:val="21"/>
        </w:rPr>
        <w:t xml:space="preserve">（2）采用中华人民共和国法定计量单位。</w:t>
      </w:r>
      <w:r>
        <w:rPr>
          <w:rFonts w:hint="eastAsia" w:ascii="宋体" w:hAnsi="宋体" w:cs="Courier New"/>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hint="eastAsia" w:ascii="宋体" w:hAnsi="宋体"/>
          <w:szCs w:val="21"/>
        </w:rPr>
      </w:r>
      <w:r/>
    </w:p>
    <w:p>
      <w:pPr>
        <w:pStyle w:val="891"/>
        <w:ind w:firstLine="420"/>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szCs w:val="24"/>
        </w:rPr>
      </w:r>
      <w:r/>
    </w:p>
    <w:p>
      <w:pPr>
        <w:pStyle w:val="891"/>
        <w:jc w:val="left"/>
        <w:spacing w:line="400" w:lineRule="exact"/>
        <w:rPr>
          <w:rFonts w:hint="eastAsia" w:ascii="宋体" w:hAnsi="宋体"/>
          <w:b/>
          <w:bCs/>
          <w:sz w:val="24"/>
          <w:szCs w:val="24"/>
        </w:rPr>
      </w:pPr>
      <w:r>
        <w:rPr>
          <w:rFonts w:hint="eastAsia" w:ascii="宋体" w:hAnsi="宋体"/>
          <w:b/>
          <w:bCs/>
          <w:color w:val="000000"/>
          <w:sz w:val="24"/>
          <w:szCs w:val="24"/>
        </w:rPr>
        <w:t xml:space="preserve">9</w:t>
      </w:r>
      <w:r>
        <w:rPr>
          <w:rFonts w:hint="eastAsia" w:ascii="宋体" w:hAnsi="宋体"/>
          <w:b/>
          <w:bCs/>
          <w:sz w:val="24"/>
          <w:szCs w:val="24"/>
        </w:rPr>
        <w:t xml:space="preserve">.</w:t>
      </w:r>
      <w:r>
        <w:rPr>
          <w:rFonts w:hint="eastAsia" w:ascii="宋体" w:hAnsi="宋体"/>
          <w:b/>
          <w:bCs/>
          <w:color w:val="000000"/>
          <w:sz w:val="24"/>
          <w:szCs w:val="24"/>
        </w:rPr>
        <w:t xml:space="preserve"> </w:t>
      </w:r>
      <w:r>
        <w:rPr>
          <w:rFonts w:hint="eastAsia" w:ascii="宋体" w:hAnsi="宋体"/>
          <w:b/>
          <w:bCs/>
          <w:sz w:val="24"/>
          <w:szCs w:val="24"/>
        </w:rPr>
        <w:t xml:space="preserve">权利瑕疵担保</w:t>
      </w:r>
      <w:r>
        <w:rPr>
          <w:rFonts w:hint="eastAsia" w:ascii="宋体" w:hAnsi="宋体"/>
          <w:b/>
          <w:bCs/>
          <w:sz w:val="24"/>
          <w:szCs w:val="24"/>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olor w:val="000000"/>
          <w:szCs w:val="21"/>
        </w:rPr>
      </w:r>
      <w:r/>
    </w:p>
    <w:p>
      <w:pPr>
        <w:pStyle w:val="891"/>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hint="eastAsia" w:ascii="宋体" w:hAnsi="宋体"/>
          <w:color w:val="000000"/>
          <w:szCs w:val="21"/>
        </w:rPr>
      </w:r>
      <w:r/>
    </w:p>
    <w:p>
      <w:pPr>
        <w:pStyle w:val="89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10. 知识产权保护</w:t>
      </w:r>
      <w:r>
        <w:rPr>
          <w:rFonts w:hint="eastAsia" w:ascii="宋体" w:hAnsi="宋体"/>
          <w:b/>
          <w:bCs/>
          <w:color w:val="000000"/>
          <w:sz w:val="24"/>
          <w:szCs w:val="24"/>
        </w:rPr>
      </w:r>
      <w:r/>
    </w:p>
    <w:p>
      <w:pPr>
        <w:pStyle w:val="891"/>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0"/>
      <w:r>
        <w:rPr>
          <w:rFonts w:hint="eastAsia" w:ascii="宋体" w:hAnsi="宋体"/>
          <w:szCs w:val="21"/>
        </w:rPr>
        <w:t xml:space="preserve">。</w:t>
      </w:r>
      <w:r>
        <w:rPr>
          <w:rFonts w:hint="eastAsia" w:ascii="宋体" w:hAnsi="宋体"/>
          <w:szCs w:val="21"/>
        </w:rPr>
      </w:r>
      <w:r/>
    </w:p>
    <w:p>
      <w:pPr>
        <w:pStyle w:val="891"/>
        <w:jc w:val="left"/>
        <w:spacing w:line="400" w:lineRule="exact"/>
        <w:rPr>
          <w:rFonts w:hint="eastAsia" w:ascii="宋体" w:hAnsi="宋体"/>
          <w:b/>
          <w:bCs/>
          <w:sz w:val="24"/>
          <w:szCs w:val="24"/>
        </w:rPr>
      </w:pPr>
      <w:r>
        <w:rPr>
          <w:rFonts w:hint="eastAsia" w:ascii="宋体" w:hAnsi="宋体"/>
          <w:b/>
          <w:bCs/>
          <w:sz w:val="24"/>
          <w:szCs w:val="24"/>
        </w:rPr>
        <w:t xml:space="preserve">11. 保密义务</w:t>
      </w:r>
      <w:r>
        <w:rPr>
          <w:rFonts w:hint="eastAsia" w:ascii="宋体" w:hAnsi="宋体"/>
          <w:b/>
          <w:bCs/>
          <w:sz w:val="24"/>
          <w:szCs w:val="24"/>
        </w:rPr>
      </w:r>
      <w:r/>
    </w:p>
    <w:p>
      <w:pPr>
        <w:pStyle w:val="891"/>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891"/>
        <w:jc w:val="left"/>
        <w:spacing w:line="400" w:lineRule="exact"/>
        <w:rPr>
          <w:rFonts w:hint="eastAsia" w:ascii="宋体" w:hAnsi="宋体"/>
          <w:b/>
          <w:bCs/>
          <w:sz w:val="24"/>
          <w:szCs w:val="24"/>
        </w:rPr>
      </w:pPr>
      <w:r>
        <w:rPr>
          <w:rFonts w:hint="eastAsia" w:ascii="宋体" w:hAnsi="宋体"/>
          <w:b/>
          <w:bCs/>
          <w:sz w:val="24"/>
          <w:szCs w:val="24"/>
        </w:rPr>
        <w:t xml:space="preserve">12. 合同价款支付</w:t>
      </w:r>
      <w:r>
        <w:rPr>
          <w:rFonts w:hint="eastAsia" w:ascii="宋体" w:hAnsi="宋体"/>
          <w:b/>
          <w:bCs/>
          <w:sz w:val="24"/>
          <w:szCs w:val="24"/>
        </w:rPr>
      </w:r>
      <w:r/>
    </w:p>
    <w:p>
      <w:pPr>
        <w:pStyle w:val="891"/>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891"/>
        <w:ind w:firstLine="420"/>
        <w:keepLines/>
        <w:keepNext/>
        <w:spacing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Arial" w:hAnsi="Arial"/>
          <w:b/>
          <w:bCs/>
          <w:sz w:val="24"/>
          <w:szCs w:val="32"/>
        </w:rPr>
      </w:r>
      <w:r/>
    </w:p>
    <w:p>
      <w:pPr>
        <w:pStyle w:val="891"/>
        <w:spacing w:line="400" w:lineRule="exact"/>
        <w:rPr>
          <w:rFonts w:hint="eastAsia" w:ascii="宋体" w:hAnsi="宋体"/>
          <w:b/>
          <w:bCs/>
          <w:sz w:val="24"/>
          <w:szCs w:val="24"/>
        </w:rPr>
      </w:pPr>
      <w:r>
        <w:rPr>
          <w:rFonts w:hint="eastAsia" w:ascii="宋体" w:hAnsi="宋体"/>
          <w:b/>
          <w:bCs/>
          <w:sz w:val="24"/>
          <w:szCs w:val="24"/>
        </w:rPr>
        <w:t xml:space="preserve">13. 履约保证金</w:t>
      </w:r>
      <w:r>
        <w:rPr>
          <w:rFonts w:hint="eastAsia" w:ascii="宋体" w:hAnsi="宋体"/>
          <w:b/>
          <w:bCs/>
          <w:sz w:val="24"/>
          <w:szCs w:val="24"/>
        </w:rPr>
      </w:r>
      <w:r/>
    </w:p>
    <w:p>
      <w:pPr>
        <w:pStyle w:val="891"/>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891"/>
        <w:ind w:firstLine="420"/>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szCs w:val="24"/>
        </w:rPr>
      </w:r>
      <w:r/>
    </w:p>
    <w:p>
      <w:pPr>
        <w:pStyle w:val="891"/>
        <w:jc w:val="left"/>
        <w:spacing w:line="400" w:lineRule="exact"/>
        <w:rPr>
          <w:rFonts w:hint="eastAsia"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rPr>
          <w:rFonts w:hint="eastAsia" w:ascii="宋体" w:hAnsi="宋体"/>
          <w:b/>
          <w:sz w:val="24"/>
          <w:szCs w:val="24"/>
        </w:rPr>
      </w:r>
      <w:r/>
    </w:p>
    <w:p>
      <w:pPr>
        <w:pStyle w:val="891"/>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891"/>
        <w:ind w:firstLine="420"/>
        <w:jc w:val="left"/>
        <w:spacing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rPr>
          <w:rFonts w:hint="eastAsia" w:ascii="宋体" w:hAnsi="宋体" w:cs="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891"/>
        <w:jc w:val="left"/>
        <w:spacing w:line="400" w:lineRule="exact"/>
        <w:rPr>
          <w:rFonts w:hint="eastAsia" w:ascii="宋体" w:hAnsi="宋体"/>
          <w:b/>
          <w:bCs/>
          <w:sz w:val="24"/>
          <w:szCs w:val="24"/>
        </w:rPr>
      </w:pPr>
      <w:r>
        <w:rPr>
          <w:rFonts w:hint="eastAsia" w:ascii="宋体" w:hAnsi="宋体"/>
          <w:b/>
          <w:bCs/>
          <w:sz w:val="24"/>
          <w:szCs w:val="24"/>
        </w:rPr>
        <w:t xml:space="preserve">15. 违约责任</w:t>
      </w:r>
      <w:r>
        <w:rPr>
          <w:rFonts w:hint="eastAsia" w:ascii="宋体" w:hAnsi="宋体"/>
          <w:b/>
          <w:bCs/>
          <w:sz w:val="24"/>
          <w:szCs w:val="24"/>
        </w:rPr>
      </w:r>
      <w:r/>
    </w:p>
    <w:p>
      <w:pPr>
        <w:pStyle w:val="891"/>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891"/>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891"/>
        <w:numPr>
          <w:ilvl w:val="0"/>
          <w:numId w:val="12"/>
        </w:numPr>
        <w:jc w:val="left"/>
        <w:spacing w:line="400" w:lineRule="exact"/>
        <w:rPr>
          <w:rFonts w:hint="eastAsia" w:ascii="宋体" w:hAnsi="宋体"/>
          <w:b/>
          <w:sz w:val="24"/>
          <w:szCs w:val="24"/>
        </w:rPr>
      </w:pPr>
      <w:r>
        <w:rPr>
          <w:rFonts w:hint="eastAsia" w:ascii="宋体" w:hAnsi="宋体"/>
          <w:b/>
          <w:sz w:val="24"/>
          <w:szCs w:val="24"/>
        </w:rPr>
        <w:t xml:space="preserve">合同变更、中止与终止</w:t>
      </w:r>
      <w:r>
        <w:rPr>
          <w:rFonts w:hint="eastAsia" w:ascii="宋体" w:hAnsi="宋体"/>
          <w:b/>
          <w:sz w:val="24"/>
          <w:szCs w:val="24"/>
        </w:rPr>
      </w:r>
      <w:r/>
    </w:p>
    <w:p>
      <w:pPr>
        <w:pStyle w:val="891"/>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891"/>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华文楷体" w:hAnsi="华文楷体" w:eastAsia="华文楷体" w:cs="华文楷体"/>
          <w:szCs w:val="21"/>
        </w:rPr>
      </w:r>
      <w:r/>
    </w:p>
    <w:p>
      <w:pPr>
        <w:pStyle w:val="891"/>
        <w:ind w:firstLine="420"/>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rPr>
          <w:szCs w:val="24"/>
        </w:rPr>
      </w:r>
      <w:r/>
    </w:p>
    <w:p>
      <w:pPr>
        <w:pStyle w:val="891"/>
        <w:ind w:firstLine="420"/>
        <w:jc w:val="left"/>
        <w:spacing w:line="400" w:lineRule="exact"/>
        <w:rPr>
          <w:rFonts w:hint="eastAsia" w:ascii="宋体" w:hAnsi="宋体"/>
          <w:szCs w:val="21"/>
        </w:rPr>
      </w:pPr>
      <w:r>
        <w:rPr>
          <w:rFonts w:hint="eastAsia" w:ascii="宋体" w:hAnsi="宋体"/>
          <w:szCs w:val="21"/>
        </w:rPr>
        <w:t xml:space="preserve">16.3合同的终止</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891"/>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891"/>
        <w:ind w:firstLine="440"/>
        <w:jc w:val="left"/>
        <w:spacing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rPr>
          <w:rFonts w:hint="eastAsia" w:ascii="宋体" w:hAnsi="宋体" w:eastAsia="华文楷体" w:cs="华文楷体"/>
          <w:sz w:val="22"/>
          <w:szCs w:val="21"/>
        </w:rPr>
      </w:r>
      <w:r/>
    </w:p>
    <w:p>
      <w:pPr>
        <w:pStyle w:val="891"/>
        <w:ind w:firstLine="420"/>
        <w:spacing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华文楷体" w:hAnsi="华文楷体" w:eastAsia="华文楷体" w:cs="华文楷体"/>
          <w:szCs w:val="21"/>
        </w:rPr>
      </w:r>
      <w:r/>
    </w:p>
    <w:p>
      <w:pPr>
        <w:pStyle w:val="891"/>
        <w:jc w:val="left"/>
        <w:spacing w:line="400" w:lineRule="exact"/>
        <w:rPr>
          <w:rFonts w:hint="eastAsia" w:ascii="宋体" w:hAnsi="宋体"/>
          <w:b/>
          <w:bCs/>
          <w:sz w:val="24"/>
          <w:szCs w:val="24"/>
        </w:rPr>
      </w:pPr>
      <w:r>
        <w:rPr>
          <w:rFonts w:hint="eastAsia" w:ascii="宋体" w:hAnsi="宋体"/>
          <w:b/>
          <w:bCs/>
          <w:sz w:val="24"/>
          <w:szCs w:val="24"/>
        </w:rPr>
        <w:t xml:space="preserve">17. 合同分包</w:t>
      </w:r>
      <w:r>
        <w:rPr>
          <w:rFonts w:hint="eastAsia" w:ascii="宋体" w:hAnsi="宋体"/>
          <w:b/>
          <w:bCs/>
          <w:sz w:val="24"/>
          <w:szCs w:val="24"/>
        </w:rPr>
      </w:r>
      <w:r/>
    </w:p>
    <w:p>
      <w:pPr>
        <w:pStyle w:val="891"/>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891"/>
        <w:jc w:val="left"/>
        <w:spacing w:line="400" w:lineRule="exact"/>
        <w:rPr>
          <w:rFonts w:hint="eastAsia" w:ascii="宋体" w:hAnsi="宋体"/>
          <w:b/>
          <w:bCs/>
          <w:sz w:val="24"/>
          <w:szCs w:val="24"/>
        </w:rPr>
      </w:pPr>
      <w:r>
        <w:rPr>
          <w:rFonts w:hint="eastAsia" w:ascii="宋体" w:hAnsi="宋体"/>
          <w:b/>
          <w:bCs/>
          <w:sz w:val="24"/>
          <w:szCs w:val="24"/>
        </w:rPr>
        <w:t xml:space="preserve">18. 不可抗力</w:t>
      </w:r>
      <w:r>
        <w:rPr>
          <w:rFonts w:hint="eastAsia" w:ascii="宋体" w:hAnsi="宋体"/>
          <w:b/>
          <w:bCs/>
          <w:sz w:val="24"/>
          <w:szCs w:val="24"/>
        </w:rPr>
      </w:r>
      <w:r/>
    </w:p>
    <w:p>
      <w:pPr>
        <w:pStyle w:val="891"/>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891"/>
        <w:jc w:val="left"/>
        <w:spacing w:line="400" w:lineRule="exact"/>
        <w:rPr>
          <w:rFonts w:hint="eastAsia" w:ascii="宋体" w:hAnsi="宋体"/>
          <w:b/>
          <w:bCs/>
          <w:sz w:val="24"/>
          <w:szCs w:val="24"/>
        </w:rPr>
      </w:pPr>
      <w:r>
        <w:rPr>
          <w:rFonts w:hint="eastAsia" w:ascii="宋体" w:hAnsi="宋体"/>
          <w:b/>
          <w:bCs/>
          <w:sz w:val="24"/>
          <w:szCs w:val="24"/>
        </w:rPr>
        <w:t xml:space="preserve">19. 解决争议的方法</w:t>
      </w:r>
      <w:r>
        <w:rPr>
          <w:rFonts w:hint="eastAsia" w:ascii="宋体" w:hAnsi="宋体"/>
          <w:b/>
          <w:bCs/>
          <w:sz w:val="24"/>
          <w:szCs w:val="24"/>
        </w:rPr>
      </w:r>
      <w:r/>
    </w:p>
    <w:p>
      <w:pPr>
        <w:pStyle w:val="891"/>
        <w:ind w:firstLine="420"/>
        <w:spacing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szCs w:val="21"/>
        </w:rPr>
      </w:r>
      <w:r/>
    </w:p>
    <w:p>
      <w:pPr>
        <w:pStyle w:val="891"/>
        <w:ind w:firstLine="420"/>
        <w:spacing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rPr>
          <w:rFonts w:hint="eastAsia" w:ascii="宋体" w:hAnsi="宋体" w:cs="宋体"/>
          <w:szCs w:val="21"/>
        </w:rPr>
      </w:r>
      <w:r/>
    </w:p>
    <w:p>
      <w:pPr>
        <w:pStyle w:val="891"/>
        <w:ind w:firstLine="420"/>
        <w:spacing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rPr>
          <w:rFonts w:hint="eastAsia" w:ascii="宋体" w:hAnsi="宋体" w:cs="宋体"/>
          <w:szCs w:val="21"/>
        </w:rPr>
      </w:r>
      <w:r/>
    </w:p>
    <w:p>
      <w:pPr>
        <w:pStyle w:val="891"/>
        <w:jc w:val="left"/>
        <w:spacing w:line="400" w:lineRule="exact"/>
        <w:rPr>
          <w:rFonts w:hint="eastAsia" w:ascii="宋体" w:hAnsi="宋体"/>
          <w:sz w:val="24"/>
          <w:szCs w:val="24"/>
        </w:rPr>
      </w:pPr>
      <w:r>
        <w:rPr>
          <w:rFonts w:hint="eastAsia" w:ascii="宋体" w:hAnsi="宋体"/>
          <w:b/>
          <w:sz w:val="24"/>
          <w:szCs w:val="24"/>
        </w:rPr>
        <w:t xml:space="preserve">20. 政府采购政策</w:t>
      </w:r>
      <w:r>
        <w:rPr>
          <w:rFonts w:hint="eastAsia" w:ascii="宋体" w:hAnsi="宋体"/>
          <w:sz w:val="24"/>
          <w:szCs w:val="24"/>
        </w:rPr>
      </w:r>
      <w:r/>
    </w:p>
    <w:p>
      <w:pPr>
        <w:pStyle w:val="891"/>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rPr>
          <w:rFonts w:hint="eastAsia" w:ascii="宋体" w:hAnsi="宋体"/>
          <w:szCs w:val="21"/>
        </w:rPr>
      </w:r>
      <w:r/>
    </w:p>
    <w:p>
      <w:pPr>
        <w:pStyle w:val="891"/>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hint="eastAsia" w:ascii="宋体" w:hAnsi="宋体"/>
          <w:szCs w:val="21"/>
        </w:rPr>
      </w:r>
      <w:r/>
    </w:p>
    <w:p>
      <w:pPr>
        <w:pStyle w:val="891"/>
        <w:ind w:firstLine="420"/>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rPr>
      </w:r>
      <w:r/>
    </w:p>
    <w:p>
      <w:pPr>
        <w:pStyle w:val="891"/>
        <w:jc w:val="left"/>
        <w:spacing w:line="400" w:lineRule="exact"/>
        <w:rPr>
          <w:rFonts w:hint="eastAsia" w:ascii="宋体" w:hAnsi="宋体"/>
          <w:b/>
          <w:sz w:val="24"/>
          <w:szCs w:val="24"/>
        </w:rPr>
      </w:pPr>
      <w:r>
        <w:rPr>
          <w:rFonts w:hint="eastAsia" w:ascii="宋体" w:hAnsi="宋体"/>
          <w:b/>
          <w:sz w:val="24"/>
          <w:szCs w:val="24"/>
        </w:rPr>
        <w:t xml:space="preserve">21. 法律适用</w:t>
      </w:r>
      <w:r>
        <w:rPr>
          <w:rFonts w:hint="eastAsia" w:ascii="宋体" w:hAnsi="宋体"/>
          <w:b/>
          <w:sz w:val="24"/>
          <w:szCs w:val="24"/>
        </w:rPr>
      </w:r>
      <w:r/>
    </w:p>
    <w:p>
      <w:pPr>
        <w:pStyle w:val="891"/>
        <w:ind w:firstLine="420"/>
        <w:spacing w:line="400" w:lineRule="exact"/>
        <w:widowControl/>
        <w:rPr>
          <w:rFonts w:hint="eastAsia" w:ascii="宋体" w:hAnsi="宋体" w:cs="宋体"/>
          <w:szCs w:val="21"/>
        </w:rPr>
      </w:pPr>
      <w:r>
        <w:rPr>
          <w:rFonts w:hint="eastAsia" w:ascii="宋体" w:hAnsi="宋体" w:cs="宋体"/>
          <w:szCs w:val="21"/>
        </w:rPr>
        <w:t xml:space="preserve">21.1 本合同的订立、生效、解释、履行及与本合同有关的争议解决，均适用法律、行政法规。</w:t>
      </w:r>
      <w:r>
        <w:rPr>
          <w:rFonts w:hint="eastAsia" w:ascii="宋体" w:hAnsi="宋体" w:cs="宋体"/>
          <w:szCs w:val="21"/>
        </w:rPr>
      </w:r>
      <w:r/>
    </w:p>
    <w:p>
      <w:pPr>
        <w:pStyle w:val="891"/>
        <w:ind w:firstLine="420"/>
        <w:spacing w:line="400" w:lineRule="exact"/>
        <w:widowControl/>
        <w:rPr>
          <w:rFonts w:hint="eastAsia"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rPr>
          <w:rFonts w:hint="eastAsia" w:ascii="宋体" w:hAnsi="宋体" w:cs="宋体"/>
          <w:szCs w:val="21"/>
        </w:rPr>
      </w:r>
      <w:r/>
    </w:p>
    <w:p>
      <w:pPr>
        <w:pStyle w:val="891"/>
        <w:numPr>
          <w:ilvl w:val="0"/>
          <w:numId w:val="0"/>
        </w:numPr>
        <w:jc w:val="left"/>
        <w:spacing w:line="400" w:lineRule="exact"/>
        <w:rPr>
          <w:rFonts w:hint="eastAsia" w:ascii="宋体" w:hAnsi="宋体"/>
          <w:b/>
          <w:sz w:val="24"/>
          <w:szCs w:val="24"/>
        </w:rPr>
      </w:pPr>
      <w:r>
        <w:rPr>
          <w:rFonts w:hint="eastAsia" w:ascii="宋体" w:hAnsi="宋体"/>
          <w:b/>
          <w:sz w:val="24"/>
          <w:szCs w:val="24"/>
        </w:rPr>
        <w:t xml:space="preserve">22. 通知</w:t>
      </w:r>
      <w:r>
        <w:rPr>
          <w:rFonts w:hint="eastAsia" w:ascii="宋体" w:hAnsi="宋体"/>
          <w:b/>
          <w:sz w:val="24"/>
          <w:szCs w:val="24"/>
        </w:rPr>
      </w:r>
      <w:r/>
    </w:p>
    <w:p>
      <w:pPr>
        <w:pStyle w:val="891"/>
        <w:ind w:firstLine="420"/>
        <w:spacing w:line="400" w:lineRule="exact"/>
        <w:widowControl/>
        <w:rPr>
          <w:rFonts w:hint="eastAsia"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szCs w:val="21"/>
        </w:rPr>
      </w:r>
      <w:r/>
    </w:p>
    <w:p>
      <w:pPr>
        <w:pStyle w:val="891"/>
        <w:spacing w:line="400" w:lineRule="exact"/>
        <w:widowControl/>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rPr>
          <w:rFonts w:hint="eastAsia" w:ascii="华文楷体" w:hAnsi="华文楷体" w:eastAsia="华文楷体" w:cs="华文楷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891"/>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891"/>
        <w:numPr>
          <w:ilvl w:val="0"/>
          <w:numId w:val="13"/>
        </w:numPr>
        <w:jc w:val="left"/>
        <w:spacing w:line="400" w:lineRule="exact"/>
        <w:rPr>
          <w:rFonts w:hint="eastAsia" w:ascii="宋体" w:hAnsi="宋体"/>
          <w:b/>
          <w:bCs/>
          <w:sz w:val="24"/>
          <w:szCs w:val="24"/>
        </w:rPr>
      </w:pPr>
      <w:r>
        <w:rPr>
          <w:rFonts w:hint="eastAsia" w:ascii="宋体" w:hAnsi="宋体"/>
          <w:b/>
          <w:bCs/>
          <w:sz w:val="24"/>
          <w:szCs w:val="24"/>
        </w:rPr>
        <w:t xml:space="preserve">合同未尽事项</w:t>
      </w:r>
      <w:r>
        <w:rPr>
          <w:rFonts w:hint="eastAsia" w:ascii="宋体" w:hAnsi="宋体"/>
          <w:b/>
          <w:bCs/>
          <w:sz w:val="24"/>
          <w:szCs w:val="24"/>
        </w:rPr>
      </w:r>
      <w:r/>
    </w:p>
    <w:p>
      <w:pPr>
        <w:pStyle w:val="891"/>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891"/>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191" w:name="_Toc20313"/>
      <w:r>
        <w:rPr>
          <w:rFonts w:hint="eastAsia" w:ascii="黑体" w:hAnsi="华文中宋" w:eastAsia="黑体"/>
          <w:sz w:val="28"/>
          <w:szCs w:val="28"/>
        </w:rPr>
      </w:r>
      <w:r/>
    </w:p>
    <w:p>
      <w:pPr>
        <w:pStyle w:val="891"/>
        <w:jc w:val="center"/>
        <w:spacing w:line="278" w:lineRule="auto"/>
        <w:rPr>
          <w:rFonts w:hint="eastAsia" w:ascii="黑体" w:hAnsi="华文中宋" w:eastAsia="黑体"/>
          <w:sz w:val="28"/>
          <w:szCs w:val="28"/>
        </w:rPr>
      </w:pPr>
      <w:r>
        <w:rPr>
          <w:rFonts w:hint="eastAsia" w:ascii="黑体" w:hAnsi="华文中宋" w:eastAsia="黑体"/>
          <w:sz w:val="28"/>
          <w:szCs w:val="28"/>
        </w:rPr>
        <w:br w:type="page" w:clear="all"/>
      </w:r>
      <w:r>
        <w:rPr>
          <w:rFonts w:hint="eastAsia" w:ascii="黑体" w:hAnsi="华文中宋" w:eastAsia="黑体"/>
          <w:sz w:val="28"/>
          <w:szCs w:val="28"/>
        </w:rPr>
      </w:r>
      <w:r/>
    </w:p>
    <w:p>
      <w:pPr>
        <w:pStyle w:val="891"/>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191"/>
      <w:r>
        <w:rPr>
          <w:rFonts w:hint="eastAsia" w:ascii="黑体" w:hAnsi="华文中宋" w:eastAsia="黑体"/>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第1.2（6）项</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联合体具体要求</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w:t>
            </w:r>
            <w:r>
              <w:rPr>
                <w:rFonts w:hint="eastAsia" w:ascii="宋体" w:hAnsi="宋体" w:eastAsia="宋体"/>
                <w:szCs w:val="21"/>
              </w:rPr>
            </w:r>
            <w:r/>
          </w:p>
        </w:tc>
      </w:tr>
      <w:tr>
        <w:trPr>
          <w:trHeight w:val="604"/>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第1.2（7）项</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其他术语解释</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w:t>
            </w:r>
            <w:r>
              <w:rPr>
                <w:rFonts w:hint="eastAsia" w:ascii="宋体" w:hAnsi="宋体" w:eastAsia="宋体"/>
                <w:szCs w:val="21"/>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第4.4款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履约验收中甲方提出异议或作出说明的期限</w:t>
            </w:r>
            <w:r>
              <w:rPr>
                <w:rFonts w:hint="eastAsia" w:ascii="宋体" w:hAnsi="宋体" w:eastAsia="宋体"/>
                <w:szCs w:val="21"/>
              </w:rPr>
            </w:r>
            <w:r/>
          </w:p>
        </w:tc>
        <w:tc>
          <w:tcPr>
            <w:tcW w:w="5170" w:type="dxa"/>
            <w:vAlign w:val="center"/>
            <w:textDirection w:val="lrTb"/>
            <w:noWrap w:val="false"/>
          </w:tcPr>
          <w:p>
            <w:pPr>
              <w:pStyle w:val="903"/>
              <w:ind w:firstLine="0"/>
              <w:spacing w:after="0"/>
              <w:rPr>
                <w:rFonts w:ascii="宋体" w:hAnsi="宋体" w:eastAsia="宋体"/>
              </w:rPr>
            </w:pPr>
            <w:r>
              <w:rPr>
                <w:rFonts w:hint="eastAsia" w:ascii="宋体" w:hAnsi="宋体" w:eastAsia="宋体" w:cs="Times New Roman"/>
                <w:sz w:val="21"/>
                <w:szCs w:val="21"/>
                <w:lang w:val="en-US" w:eastAsia="zh-CN" w:bidi="ar-SA"/>
              </w:rPr>
              <w:t xml:space="preserve">甲方未在60日内对乙方履约提出任何异议或者向乙方作出任何说明的，视为验收通过</w:t>
            </w:r>
            <w:r>
              <w:rPr>
                <w:rFonts w:hint="eastAsia" w:ascii="宋体" w:hAnsi="宋体" w:eastAsia="宋体"/>
              </w:rPr>
              <w:t xml:space="preserve">。</w:t>
            </w:r>
            <w:r>
              <w:rPr>
                <w:rFonts w:ascii="宋体" w:hAnsi="宋体" w:eastAsia="宋体"/>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第4.6款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约定甲方承担的其他义务和责任</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w:t>
            </w:r>
            <w:r>
              <w:rPr>
                <w:rFonts w:hint="eastAsia" w:ascii="宋体" w:hAnsi="宋体" w:eastAsia="宋体"/>
                <w:szCs w:val="21"/>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ascii="宋体" w:hAnsi="宋体" w:eastAsia="宋体"/>
                <w:szCs w:val="24"/>
              </w:rPr>
            </w:pPr>
            <w:r>
              <w:rPr>
                <w:rFonts w:hint="eastAsia" w:ascii="宋体" w:hAnsi="宋体" w:eastAsia="宋体"/>
                <w:szCs w:val="21"/>
              </w:rPr>
              <w:t xml:space="preserve">第5.4款</w:t>
            </w:r>
            <w:r>
              <w:rPr>
                <w:rFonts w:ascii="宋体" w:hAnsi="宋体" w:eastAsia="宋体"/>
                <w:szCs w:val="24"/>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约定乙方承担的其他义务和责任</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2.仪器设备到达后，乙方在5个工作日内安排有经验的工程师到达设备使用现场，免费安装调试设备，并在3天内安装、调试完毕。</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4.保修期内乙方按投标承诺提供免费维护和质量保证，所有货物保修服务方式均为乙方上门保修，即由乙方派员到货物使用现场维修，保修费用计入合同总价，不再另行收取。</w:t>
            </w:r>
            <w:r>
              <w:rPr>
                <w:rFonts w:hint="eastAsia" w:ascii="宋体" w:hAnsi="宋体" w:eastAsia="宋体"/>
                <w:szCs w:val="21"/>
              </w:rPr>
            </w:r>
            <w:r/>
          </w:p>
          <w:p>
            <w:pPr>
              <w:pStyle w:val="891"/>
              <w:jc w:val="left"/>
              <w:spacing w:line="278" w:lineRule="auto"/>
              <w:rPr>
                <w:rFonts w:hint="eastAsia" w:ascii="宋体" w:hAnsi="宋体" w:eastAsia="宋体" w:cs="Times New Roman"/>
                <w:szCs w:val="21"/>
              </w:rPr>
            </w:pPr>
            <w:r>
              <w:rPr>
                <w:rFonts w:hint="eastAsia" w:ascii="宋体" w:hAnsi="宋体" w:eastAsia="宋体" w:cs="Times New Roman"/>
                <w:szCs w:val="21"/>
              </w:rPr>
              <w:t xml:space="preserve">5.售后服务4小时内响应，2个工作日内上门。保修期内每年提供一次原厂技术维护。乙方提供设备终身维修保养服务。</w:t>
            </w:r>
            <w:r>
              <w:rPr>
                <w:rFonts w:hint="eastAsia" w:ascii="宋体" w:hAnsi="宋体" w:eastAsia="宋体" w:cs="Times New Roman"/>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7.如果设备交付使用后，缺陷多次反复出现，乙方必</w:t>
            </w:r>
            <w:bookmarkStart w:id="192" w:name="OLE_LINK3"/>
            <w:r>
              <w:rPr>
                <w:rFonts w:hint="eastAsia" w:ascii="宋体" w:hAnsi="宋体" w:eastAsia="宋体"/>
                <w:szCs w:val="21"/>
              </w:rPr>
              <w:t xml:space="preserve">须提出分析报告和解决方案，更换该产品，直到最后纠正缺陷、乙方提供质保从纠正之日起重新计算质保期。</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8.如乙方提供的设备设有维修软件密码，乙方应保证无条件地为甲方永久免费打开。</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9.仪器设备安装后，乙方需长期提供技术支持和维修服务，包括软件的免费升级、为甲方提供需要的方法开发及应用资料。</w:t>
            </w:r>
            <w:bookmarkEnd w:id="192"/>
            <w:r>
              <w:rPr>
                <w:rFonts w:hint="eastAsia" w:ascii="宋体" w:hAnsi="宋体" w:eastAsia="宋体"/>
                <w:szCs w:val="21"/>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第6.1款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履行合同义务的顺序</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w:t>
            </w:r>
            <w:r>
              <w:rPr>
                <w:rFonts w:hint="eastAsia" w:ascii="宋体" w:hAnsi="宋体" w:eastAsia="宋体"/>
                <w:szCs w:val="21"/>
              </w:rPr>
            </w:r>
            <w:r/>
          </w:p>
        </w:tc>
      </w:tr>
      <w:tr>
        <w:trPr>
          <w:trHeight w:val="667"/>
        </w:trPr>
        <w:tc>
          <w:tcPr>
            <w:tcW w:w="1607" w:type="dxa"/>
            <w:vAlign w:val="center"/>
            <w:vMerge w:val="restart"/>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第7.1款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包装特殊要求</w:t>
            </w:r>
            <w:r>
              <w:rPr>
                <w:rFonts w:hint="eastAsia" w:ascii="宋体" w:hAnsi="宋体" w:eastAsia="宋体"/>
                <w:szCs w:val="21"/>
              </w:rPr>
            </w:r>
            <w:r/>
          </w:p>
        </w:tc>
        <w:tc>
          <w:tcPr>
            <w:tcW w:w="5170" w:type="dxa"/>
            <w:vAlign w:val="center"/>
            <w:textDirection w:val="lrTb"/>
            <w:noWrap w:val="false"/>
          </w:tcPr>
          <w:p>
            <w:pPr>
              <w:pStyle w:val="891"/>
              <w:spacing w:line="278" w:lineRule="auto"/>
              <w:rPr>
                <w:rFonts w:ascii="宋体" w:hAnsi="宋体" w:eastAsia="宋体"/>
                <w:szCs w:val="24"/>
              </w:rPr>
            </w:pPr>
            <w:r/>
            <w:bookmarkStart w:id="193" w:name="_Hlk175612562"/>
            <w:r>
              <w:rPr>
                <w:rFonts w:hint="eastAsia" w:ascii="宋体" w:hAnsi="宋体" w:eastAsia="宋体"/>
                <w:szCs w:val="24"/>
              </w:rPr>
              <w:t xml:space="preserve">商品包装和快递包装要求执行财办库【</w:t>
            </w:r>
            <w:r>
              <w:rPr>
                <w:rFonts w:ascii="宋体" w:hAnsi="宋体" w:eastAsia="宋体"/>
                <w:szCs w:val="24"/>
              </w:rPr>
              <w:t xml:space="preserve">2020</w:t>
            </w:r>
            <w:r>
              <w:rPr>
                <w:rFonts w:hint="eastAsia" w:ascii="宋体" w:hAnsi="宋体" w:eastAsia="宋体"/>
                <w:szCs w:val="24"/>
              </w:rPr>
              <w:t xml:space="preserve">】</w:t>
            </w:r>
            <w:r>
              <w:rPr>
                <w:rFonts w:ascii="宋体" w:hAnsi="宋体" w:eastAsia="宋体"/>
                <w:szCs w:val="24"/>
              </w:rPr>
              <w:t xml:space="preserve">123</w:t>
            </w:r>
            <w:r>
              <w:rPr>
                <w:rFonts w:hint="eastAsia" w:ascii="宋体" w:hAnsi="宋体" w:eastAsia="宋体"/>
                <w:szCs w:val="24"/>
              </w:rPr>
              <w:t xml:space="preserve">号，具体如下：</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商品包装环保要求</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1.1.1</w:t>
            </w:r>
            <w:r>
              <w:rPr>
                <w:rFonts w:hint="eastAsia" w:ascii="宋体" w:hAnsi="宋体" w:eastAsia="宋体"/>
                <w:szCs w:val="24"/>
              </w:rPr>
              <w:t xml:space="preserve">商品包装层数不得超过</w:t>
            </w:r>
            <w:r>
              <w:rPr>
                <w:rFonts w:ascii="宋体" w:hAnsi="宋体" w:eastAsia="宋体"/>
                <w:szCs w:val="24"/>
              </w:rPr>
              <w:t xml:space="preserve">3</w:t>
            </w:r>
            <w:r>
              <w:rPr>
                <w:rFonts w:hint="eastAsia" w:ascii="宋体" w:hAnsi="宋体" w:eastAsia="宋体"/>
                <w:szCs w:val="24"/>
              </w:rPr>
              <w:t xml:space="preserve">层，空隙率不大于</w:t>
            </w:r>
            <w:r>
              <w:rPr>
                <w:rFonts w:ascii="宋体" w:hAnsi="宋体" w:eastAsia="宋体"/>
                <w:szCs w:val="24"/>
              </w:rPr>
              <w:t xml:space="preserve">40%</w:t>
            </w:r>
            <w:r>
              <w:rPr>
                <w:rFonts w:hint="eastAsia" w:ascii="宋体" w:hAnsi="宋体" w:eastAsia="宋体"/>
                <w:szCs w:val="24"/>
              </w:rPr>
              <w:t xml:space="preserve">；</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1.1.2</w:t>
            </w:r>
            <w:r>
              <w:rPr>
                <w:rFonts w:hint="eastAsia" w:ascii="宋体" w:hAnsi="宋体" w:eastAsia="宋体"/>
                <w:szCs w:val="24"/>
              </w:rPr>
              <w:t xml:space="preserve">商品包装尽可能使用单一材质的包装材料，如因功能需求必需使用不同材质，不同材质间应便于分离；</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1.1.3</w:t>
            </w:r>
            <w:r>
              <w:rPr>
                <w:rFonts w:hint="eastAsia" w:ascii="宋体" w:hAnsi="宋体" w:eastAsia="宋体"/>
                <w:szCs w:val="24"/>
              </w:rPr>
              <w:t xml:space="preserve">商品包装中铅、汞、镉、六价铬的总含量应不大于</w:t>
            </w:r>
            <w:r>
              <w:rPr>
                <w:rFonts w:ascii="宋体" w:hAnsi="宋体" w:eastAsia="宋体"/>
                <w:szCs w:val="24"/>
              </w:rPr>
              <w:t xml:space="preserve">100mg/kg</w:t>
            </w:r>
            <w:r>
              <w:rPr>
                <w:rFonts w:hint="eastAsia" w:ascii="宋体" w:hAnsi="宋体" w:eastAsia="宋体"/>
                <w:szCs w:val="24"/>
              </w:rPr>
              <w:t xml:space="preserve">；</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1.1.4</w:t>
            </w:r>
            <w:r>
              <w:rPr>
                <w:rFonts w:hint="eastAsia" w:ascii="宋体" w:hAnsi="宋体" w:eastAsia="宋体"/>
                <w:szCs w:val="24"/>
              </w:rPr>
              <w:t xml:space="preserve">商品包装印刷使用的油墨中挥发性有机化合物</w:t>
            </w:r>
            <w:r>
              <w:rPr>
                <w:rFonts w:ascii="宋体" w:hAnsi="宋体" w:eastAsia="宋体"/>
                <w:szCs w:val="24"/>
              </w:rPr>
              <w:t xml:space="preserve">(VOCs)</w:t>
            </w:r>
            <w:r>
              <w:rPr>
                <w:rFonts w:hint="eastAsia" w:ascii="宋体" w:hAnsi="宋体" w:eastAsia="宋体"/>
                <w:szCs w:val="24"/>
              </w:rPr>
              <w:t xml:space="preserve">含量应不大于</w:t>
            </w:r>
            <w:r>
              <w:rPr>
                <w:rFonts w:ascii="宋体" w:hAnsi="宋体" w:eastAsia="宋体"/>
                <w:szCs w:val="24"/>
              </w:rPr>
              <w:t xml:space="preserve">5%</w:t>
            </w:r>
            <w:r>
              <w:rPr>
                <w:rFonts w:hint="eastAsia" w:ascii="宋体" w:hAnsi="宋体" w:eastAsia="宋体"/>
                <w:szCs w:val="24"/>
              </w:rPr>
              <w:t xml:space="preserve">（以重量计）；</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1.1.5</w:t>
            </w:r>
            <w:r>
              <w:rPr>
                <w:rFonts w:hint="eastAsia" w:ascii="宋体" w:hAnsi="宋体" w:eastAsia="宋体"/>
                <w:szCs w:val="24"/>
              </w:rPr>
              <w:t xml:space="preserve">塑料材质商品包装上呈现的印刷颜色不得超过</w:t>
            </w:r>
            <w:r>
              <w:rPr>
                <w:rFonts w:ascii="宋体" w:hAnsi="宋体" w:eastAsia="宋体"/>
                <w:szCs w:val="24"/>
              </w:rPr>
              <w:t xml:space="preserve">6 </w:t>
            </w:r>
            <w:r>
              <w:rPr>
                <w:rFonts w:hint="eastAsia" w:ascii="宋体" w:hAnsi="宋体" w:eastAsia="宋体"/>
                <w:szCs w:val="24"/>
              </w:rPr>
              <w:t xml:space="preserve">色；</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1.1.6</w:t>
            </w:r>
            <w:r>
              <w:rPr>
                <w:rFonts w:hint="eastAsia" w:ascii="宋体" w:hAnsi="宋体" w:eastAsia="宋体"/>
                <w:szCs w:val="24"/>
              </w:rPr>
              <w:t xml:space="preserve">纸质商品包装应使用</w:t>
            </w:r>
            <w:r>
              <w:rPr>
                <w:rFonts w:ascii="宋体" w:hAnsi="宋体" w:eastAsia="宋体"/>
                <w:szCs w:val="24"/>
              </w:rPr>
              <w:t xml:space="preserve">75%</w:t>
            </w:r>
            <w:r>
              <w:rPr>
                <w:rFonts w:hint="eastAsia" w:ascii="宋体" w:hAnsi="宋体" w:eastAsia="宋体"/>
                <w:szCs w:val="24"/>
              </w:rPr>
              <w:t xml:space="preserve">以上的可再生纤维原料生产；</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1.1.7</w:t>
            </w:r>
            <w:r>
              <w:rPr>
                <w:rFonts w:hint="eastAsia" w:ascii="宋体" w:hAnsi="宋体" w:eastAsia="宋体"/>
                <w:szCs w:val="24"/>
              </w:rPr>
              <w:t xml:space="preserve">木质商品包装的原料应来源于可持续性森林。</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快递包装环保要求</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1.2.1</w:t>
            </w:r>
            <w:r>
              <w:rPr>
                <w:rFonts w:hint="eastAsia" w:ascii="宋体" w:hAnsi="宋体" w:eastAsia="宋体"/>
                <w:szCs w:val="24"/>
              </w:rPr>
              <w:t xml:space="preserve">快递包装中重金属（铅、汞、镉、六价铬）总量应</w:t>
            </w:r>
            <w:bookmarkStart w:id="194" w:name="_Hlk175336721"/>
            <w:r>
              <w:rPr>
                <w:rFonts w:hint="eastAsia" w:ascii="宋体" w:hAnsi="宋体" w:eastAsia="宋体"/>
                <w:szCs w:val="24"/>
              </w:rPr>
              <w:t xml:space="preserve">不大于</w:t>
            </w:r>
            <w:r>
              <w:rPr>
                <w:rFonts w:ascii="宋体" w:hAnsi="宋体" w:eastAsia="宋体"/>
                <w:szCs w:val="24"/>
              </w:rPr>
              <w:t xml:space="preserve">100mg/kg</w:t>
            </w:r>
            <w:r>
              <w:rPr>
                <w:rFonts w:hint="eastAsia" w:ascii="宋体" w:hAnsi="宋体" w:eastAsia="宋体"/>
                <w:szCs w:val="24"/>
              </w:rPr>
              <w:t xml:space="preserve">；</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1.2.2</w:t>
            </w:r>
            <w:r>
              <w:rPr>
                <w:rFonts w:hint="eastAsia" w:ascii="宋体" w:hAnsi="宋体" w:eastAsia="宋体"/>
                <w:szCs w:val="24"/>
              </w:rPr>
              <w:t xml:space="preserve">快递包装印刷使用的油墨中不应添加邻苯二甲酸酯，其挥发性有机化合物</w:t>
            </w:r>
            <w:r>
              <w:rPr>
                <w:rFonts w:ascii="宋体" w:hAnsi="宋体" w:eastAsia="宋体"/>
                <w:szCs w:val="24"/>
              </w:rPr>
              <w:t xml:space="preserve">(VOCs)</w:t>
            </w:r>
            <w:r>
              <w:rPr>
                <w:rFonts w:hint="eastAsia" w:ascii="宋体" w:hAnsi="宋体" w:eastAsia="宋体"/>
                <w:szCs w:val="24"/>
              </w:rPr>
              <w:t xml:space="preserve">含量应不大于</w:t>
            </w:r>
            <w:r>
              <w:rPr>
                <w:rFonts w:ascii="宋体" w:hAnsi="宋体" w:eastAsia="宋体"/>
                <w:szCs w:val="24"/>
              </w:rPr>
              <w:t xml:space="preserve">5%</w:t>
            </w:r>
            <w:r>
              <w:rPr>
                <w:rFonts w:hint="eastAsia" w:ascii="宋体" w:hAnsi="宋体" w:eastAsia="宋体"/>
                <w:szCs w:val="24"/>
              </w:rPr>
              <w:t xml:space="preserve">（以重量计）；</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1.2.3</w:t>
            </w:r>
            <w:r>
              <w:rPr>
                <w:rFonts w:hint="eastAsia" w:ascii="宋体" w:hAnsi="宋体" w:eastAsia="宋体"/>
                <w:szCs w:val="24"/>
              </w:rPr>
              <w:t xml:space="preserve">快递包装中使用纸基材的包装材料，纸基材中的有机氯的含量应不大于</w:t>
            </w:r>
            <w:r>
              <w:rPr>
                <w:rFonts w:ascii="宋体" w:hAnsi="宋体" w:eastAsia="宋体"/>
                <w:szCs w:val="24"/>
              </w:rPr>
              <w:t xml:space="preserve">150 mg/kg</w:t>
            </w:r>
            <w:r>
              <w:rPr>
                <w:rFonts w:hint="eastAsia" w:ascii="宋体" w:hAnsi="宋体" w:eastAsia="宋体"/>
                <w:szCs w:val="24"/>
              </w:rPr>
              <w:t xml:space="preserve">；</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1.2.4</w:t>
            </w:r>
            <w:r>
              <w:rPr>
                <w:rFonts w:hint="eastAsia" w:ascii="宋体" w:hAnsi="宋体" w:eastAsia="宋体"/>
                <w:szCs w:val="24"/>
              </w:rPr>
              <w:t xml:space="preserve">快递包装中使用塑料基材的包装材料不得使用邻苯二甲酸二异壬酯、邻苯二甲酸二正辛酯、邻苯二甲酸二</w:t>
            </w:r>
            <w:r>
              <w:rPr>
                <w:rFonts w:ascii="宋体" w:hAnsi="宋体" w:eastAsia="宋体"/>
                <w:szCs w:val="24"/>
              </w:rPr>
              <w:t xml:space="preserve">(2-</w:t>
            </w:r>
            <w:r>
              <w:rPr>
                <w:rFonts w:hint="eastAsia" w:ascii="宋体" w:hAnsi="宋体" w:eastAsia="宋体"/>
                <w:szCs w:val="24"/>
              </w:rPr>
              <w:t xml:space="preserve">乙基</w:t>
            </w:r>
            <w:r>
              <w:rPr>
                <w:rFonts w:ascii="宋体" w:hAnsi="宋体" w:eastAsia="宋体"/>
                <w:szCs w:val="24"/>
              </w:rPr>
              <w:t xml:space="preserve">)</w:t>
            </w:r>
            <w:r>
              <w:rPr>
                <w:rFonts w:hint="eastAsia" w:ascii="宋体" w:hAnsi="宋体" w:eastAsia="宋体"/>
                <w:szCs w:val="24"/>
              </w:rPr>
              <w:t xml:space="preserve">己酯、邻苯二甲酸二异癸酯、邻苯二甲酸丁基苄基酯、邻苯二甲酸二丁酯等作为增塑剂；</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1.2.5</w:t>
            </w:r>
            <w:r>
              <w:rPr>
                <w:rFonts w:hint="eastAsia" w:ascii="宋体" w:hAnsi="宋体" w:eastAsia="宋体"/>
                <w:szCs w:val="24"/>
              </w:rPr>
              <w:t xml:space="preserve">快递中使用的塑料包装袋不得使用聚氯乙烯作为原料，且原料应为单一材质制成，生物分解率大于</w:t>
            </w:r>
            <w:bookmarkEnd w:id="193"/>
            <w:r/>
            <w:bookmarkStart w:id="195" w:name="_Hlk175612636"/>
            <w:r>
              <w:rPr>
                <w:rFonts w:ascii="宋体" w:hAnsi="宋体" w:eastAsia="宋体"/>
                <w:szCs w:val="24"/>
              </w:rPr>
              <w:t xml:space="preserve">60%</w:t>
            </w:r>
            <w:r>
              <w:rPr>
                <w:rFonts w:hint="eastAsia" w:ascii="宋体" w:hAnsi="宋体" w:eastAsia="宋体"/>
                <w:szCs w:val="24"/>
              </w:rPr>
              <w:t xml:space="preserve">；</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1.2.6</w:t>
            </w:r>
            <w:r>
              <w:rPr>
                <w:rFonts w:hint="eastAsia" w:ascii="宋体" w:hAnsi="宋体" w:eastAsia="宋体"/>
                <w:szCs w:val="24"/>
              </w:rPr>
              <w:t xml:space="preserve">快递中使用的充气类填充物不得使用聚氯乙烯作为原料，且原料为单一材质制成，生物分解率大于</w:t>
            </w:r>
            <w:r>
              <w:rPr>
                <w:rFonts w:ascii="宋体" w:hAnsi="宋体" w:eastAsia="宋体"/>
                <w:szCs w:val="24"/>
              </w:rPr>
              <w:t xml:space="preserve">60%</w:t>
            </w:r>
            <w:r>
              <w:rPr>
                <w:rFonts w:hint="eastAsia" w:ascii="宋体" w:hAnsi="宋体" w:eastAsia="宋体"/>
                <w:szCs w:val="24"/>
              </w:rPr>
              <w:t xml:space="preserve">；</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1.2.7</w:t>
            </w:r>
            <w:r>
              <w:rPr>
                <w:rFonts w:hint="eastAsia" w:ascii="宋体" w:hAnsi="宋体" w:eastAsia="宋体"/>
                <w:szCs w:val="24"/>
              </w:rPr>
              <w:t xml:space="preserve">快递中使用的集装袋应为单一材质制成，其重复使用次数应不小于</w:t>
            </w:r>
            <w:r>
              <w:rPr>
                <w:rFonts w:ascii="宋体" w:hAnsi="宋体" w:eastAsia="宋体"/>
                <w:szCs w:val="24"/>
              </w:rPr>
              <w:t xml:space="preserve">80</w:t>
            </w:r>
            <w:r>
              <w:rPr>
                <w:rFonts w:hint="eastAsia" w:ascii="宋体" w:hAnsi="宋体" w:eastAsia="宋体"/>
                <w:szCs w:val="24"/>
              </w:rPr>
              <w:t xml:space="preserve">次；</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1.2.8</w:t>
            </w:r>
            <w:r>
              <w:rPr>
                <w:rFonts w:hint="eastAsia" w:ascii="宋体" w:hAnsi="宋体" w:eastAsia="宋体"/>
                <w:szCs w:val="24"/>
              </w:rPr>
              <w:t xml:space="preserve">快递中应使用幅宽不大于</w:t>
            </w:r>
            <w:r>
              <w:rPr>
                <w:rFonts w:ascii="宋体" w:hAnsi="宋体" w:eastAsia="宋体"/>
                <w:szCs w:val="24"/>
              </w:rPr>
              <w:t xml:space="preserve">45mm</w:t>
            </w:r>
            <w:r>
              <w:rPr>
                <w:rFonts w:hint="eastAsia" w:ascii="宋体" w:hAnsi="宋体" w:eastAsia="宋体"/>
                <w:szCs w:val="24"/>
              </w:rPr>
              <w:t xml:space="preserve">的生物降解胶带；</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1.2.9</w:t>
            </w:r>
            <w:r>
              <w:rPr>
                <w:rFonts w:hint="eastAsia" w:ascii="宋体" w:hAnsi="宋体" w:eastAsia="宋体"/>
                <w:szCs w:val="24"/>
              </w:rPr>
              <w:t xml:space="preserve">快递包装中不得使用溶剂型胶粘剂；</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1.2.10</w:t>
            </w:r>
            <w:r>
              <w:rPr>
                <w:rFonts w:hint="eastAsia" w:ascii="宋体" w:hAnsi="宋体" w:eastAsia="宋体"/>
                <w:szCs w:val="24"/>
              </w:rPr>
              <w:t xml:space="preserve">快递应使用电子面单；</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1.2.11</w:t>
            </w:r>
            <w:r>
              <w:rPr>
                <w:rFonts w:hint="eastAsia" w:ascii="宋体" w:hAnsi="宋体" w:eastAsia="宋体"/>
                <w:szCs w:val="24"/>
              </w:rPr>
              <w:t xml:space="preserve">直接使用商品包装作为快递包装的商品，其商品包装满足《商品包装政府采购需求标准（试行）》即可；</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1.2.12</w:t>
            </w:r>
            <w:r>
              <w:rPr>
                <w:rFonts w:hint="eastAsia" w:ascii="宋体" w:hAnsi="宋体" w:eastAsia="宋体"/>
                <w:szCs w:val="24"/>
              </w:rPr>
              <w:t xml:space="preserve">快递包装产品质量和封装方式应符合相关国家或行业标准技术指标要求。</w:t>
            </w:r>
            <w:bookmarkEnd w:id="194"/>
            <w:r/>
            <w:bookmarkEnd w:id="195"/>
            <w:r>
              <w:rPr>
                <w:rFonts w:ascii="宋体" w:hAnsi="宋体" w:eastAsia="宋体"/>
                <w:szCs w:val="24"/>
              </w:rPr>
            </w:r>
            <w:r/>
          </w:p>
        </w:tc>
      </w:tr>
      <w:tr>
        <w:trPr>
          <w:trHeight w:val="667"/>
        </w:trPr>
        <w:tc>
          <w:tcPr>
            <w:tcW w:w="1607" w:type="dxa"/>
            <w:vAlign w:val="center"/>
            <w:vMerge w:val="continue"/>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指定现场</w:t>
            </w:r>
            <w:r>
              <w:rPr>
                <w:rFonts w:hint="eastAsia" w:ascii="宋体" w:hAnsi="宋体" w:eastAsia="宋体"/>
                <w:szCs w:val="21"/>
              </w:rPr>
            </w:r>
            <w:r/>
          </w:p>
        </w:tc>
        <w:tc>
          <w:tcPr>
            <w:tcW w:w="5170" w:type="dxa"/>
            <w:vAlign w:val="center"/>
            <w:textDirection w:val="lrTb"/>
            <w:noWrap w:val="false"/>
          </w:tcPr>
          <w:p>
            <w:pPr>
              <w:pStyle w:val="891"/>
              <w:spacing w:line="278" w:lineRule="auto"/>
              <w:rPr>
                <w:rFonts w:ascii="宋体" w:hAnsi="宋体" w:eastAsia="宋体"/>
                <w:szCs w:val="24"/>
              </w:rPr>
            </w:pPr>
            <w:r>
              <w:rPr>
                <w:rFonts w:hint="eastAsia" w:ascii="宋体" w:hAnsi="宋体" w:eastAsia="宋体"/>
                <w:szCs w:val="24"/>
              </w:rPr>
              <w:t xml:space="preserve">采购人指定地点</w:t>
            </w:r>
            <w:r>
              <w:rPr>
                <w:rFonts w:ascii="宋体" w:hAnsi="宋体" w:eastAsia="宋体"/>
                <w:szCs w:val="24"/>
              </w:rPr>
            </w:r>
            <w:r/>
          </w:p>
        </w:tc>
      </w:tr>
      <w:tr>
        <w:trPr>
          <w:trHeight w:val="772"/>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第7.2款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运输特殊要求</w:t>
            </w:r>
            <w:r>
              <w:rPr>
                <w:rFonts w:hint="eastAsia" w:ascii="宋体" w:hAnsi="宋体" w:eastAsia="宋体"/>
                <w:szCs w:val="21"/>
              </w:rPr>
            </w:r>
            <w:r/>
          </w:p>
        </w:tc>
        <w:tc>
          <w:tcPr>
            <w:tcW w:w="5170" w:type="dxa"/>
            <w:vAlign w:val="center"/>
            <w:textDirection w:val="lrTb"/>
            <w:noWrap w:val="false"/>
          </w:tcPr>
          <w:p>
            <w:pPr>
              <w:pStyle w:val="891"/>
              <w:spacing w:line="278" w:lineRule="auto"/>
              <w:rPr>
                <w:rFonts w:ascii="宋体" w:hAnsi="宋体" w:eastAsia="宋体"/>
                <w:szCs w:val="24"/>
              </w:rPr>
            </w:pPr>
            <w:r>
              <w:rPr>
                <w:rFonts w:ascii="宋体" w:hAnsi="宋体" w:eastAsia="宋体"/>
                <w:szCs w:val="24"/>
              </w:rPr>
              <w:t xml:space="preserve">1.</w:t>
            </w:r>
            <w:r>
              <w:rPr>
                <w:rFonts w:hint="eastAsia" w:ascii="宋体" w:hAnsi="宋体" w:eastAsia="宋体"/>
                <w:szCs w:val="24"/>
              </w:rPr>
              <w:t xml:space="preserve">乙方应采取必要的安全措施保证货物的运输及安装的安全，且须考虑到可能会发生的野蛮装卸、长途运输及多次装卸之需要。如因乙方包装不当以及其它原因造成损坏或丢失，应由乙方负一切责任。</w:t>
            </w:r>
            <w:r>
              <w:rPr>
                <w:rFonts w:ascii="宋体" w:hAnsi="宋体" w:eastAsia="宋体"/>
                <w:szCs w:val="24"/>
              </w:rPr>
            </w:r>
            <w:r/>
          </w:p>
          <w:p>
            <w:pPr>
              <w:pStyle w:val="891"/>
              <w:spacing w:line="278"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乙方发货到甲方指定地点，并送达甲方指定楼层的安装位置。</w:t>
            </w:r>
            <w:r>
              <w:rPr>
                <w:rFonts w:ascii="宋体" w:hAnsi="宋体" w:eastAsia="宋体"/>
                <w:szCs w:val="24"/>
              </w:rPr>
            </w:r>
            <w:r/>
          </w:p>
        </w:tc>
      </w:tr>
      <w:tr>
        <w:trPr>
          <w:trHeight w:val="667"/>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第7.3款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保险要求</w:t>
            </w:r>
            <w:r>
              <w:rPr>
                <w:rFonts w:hint="eastAsia" w:ascii="宋体" w:hAnsi="宋体" w:eastAsia="宋体"/>
                <w:szCs w:val="21"/>
              </w:rPr>
            </w:r>
            <w:r/>
          </w:p>
        </w:tc>
        <w:tc>
          <w:tcPr>
            <w:tcW w:w="5170" w:type="dxa"/>
            <w:vAlign w:val="center"/>
            <w:textDirection w:val="lrTb"/>
            <w:noWrap w:val="false"/>
          </w:tcPr>
          <w:p>
            <w:pPr>
              <w:pStyle w:val="891"/>
              <w:spacing w:line="278" w:lineRule="auto"/>
              <w:rPr>
                <w:rFonts w:ascii="宋体" w:hAnsi="宋体" w:eastAsia="宋体"/>
                <w:szCs w:val="24"/>
              </w:rPr>
            </w:pPr>
            <w:r>
              <w:rPr>
                <w:rFonts w:ascii="宋体" w:hAnsi="宋体" w:eastAsia="宋体"/>
                <w:szCs w:val="24"/>
              </w:rPr>
              <w:t xml:space="preserve">/</w:t>
            </w:r>
            <w:r>
              <w:rPr>
                <w:rFonts w:ascii="宋体" w:hAnsi="宋体" w:eastAsia="宋体"/>
                <w:szCs w:val="24"/>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第8.2（1）项</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质量保证期</w:t>
            </w:r>
            <w:r>
              <w:rPr>
                <w:rFonts w:hint="eastAsia" w:ascii="宋体" w:hAnsi="宋体" w:eastAsia="宋体"/>
                <w:szCs w:val="21"/>
              </w:rPr>
            </w:r>
            <w:r/>
          </w:p>
        </w:tc>
        <w:tc>
          <w:tcPr>
            <w:tcW w:w="5170" w:type="dxa"/>
            <w:vAlign w:val="center"/>
            <w:textDirection w:val="lrTb"/>
            <w:noWrap w:val="false"/>
          </w:tcPr>
          <w:p>
            <w:pPr>
              <w:pStyle w:val="891"/>
              <w:ind w:firstLine="420"/>
              <w:jc w:val="left"/>
              <w:spacing w:line="278" w:lineRule="auto"/>
              <w:rPr>
                <w:rFonts w:hint="eastAsia" w:ascii="宋体" w:hAnsi="宋体" w:eastAsia="宋体"/>
                <w:szCs w:val="21"/>
              </w:rPr>
            </w:pPr>
            <w:r/>
            <w:bookmarkStart w:id="196" w:name="OLE_LINK10"/>
            <w:r>
              <w:rPr>
                <w:rFonts w:hint="eastAsia" w:ascii="宋体" w:hAnsi="宋体" w:eastAsia="宋体"/>
                <w:szCs w:val="21"/>
              </w:rPr>
              <w:t xml:space="preserve">质保期  年，质保期内维修、零配件更换、人工、差旅等所有费用由乙方承担。</w:t>
            </w:r>
            <w:bookmarkStart w:id="197" w:name="OLE_LINK9"/>
            <w:r>
              <w:rPr>
                <w:rFonts w:hint="eastAsia" w:ascii="宋体" w:hAnsi="宋体" w:eastAsia="宋体"/>
                <w:szCs w:val="21"/>
              </w:rPr>
              <w:t xml:space="preserve">乙方提供设备终身维修保养服务。</w:t>
            </w:r>
            <w:bookmarkEnd w:id="196"/>
            <w:r/>
            <w:bookmarkEnd w:id="197"/>
            <w:r>
              <w:rPr>
                <w:rFonts w:hint="eastAsia" w:ascii="宋体" w:hAnsi="宋体" w:eastAsia="宋体"/>
                <w:szCs w:val="21"/>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bookmarkStart w:id="198" w:name="_Hlk174700718"/>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第8.2（3）项</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货物质量缺陷</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响应时间</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bookmarkStart w:id="199" w:name="OLE_LINK13"/>
            <w:r>
              <w:rPr>
                <w:rFonts w:hint="eastAsia" w:ascii="宋体" w:hAnsi="宋体" w:eastAsia="宋体"/>
                <w:szCs w:val="21"/>
              </w:rPr>
              <w:t xml:space="preserve">1.乙方维修的响应时间为4小时，2个工作日内到达现场维修。</w:t>
            </w:r>
            <w:bookmarkEnd w:id="199"/>
            <w:r>
              <w:rPr>
                <w:rFonts w:hint="eastAsia" w:ascii="宋体" w:hAnsi="宋体" w:eastAsia="宋体"/>
                <w:szCs w:val="21"/>
              </w:rPr>
            </w:r>
            <w:r/>
          </w:p>
          <w:p>
            <w:pPr>
              <w:pStyle w:val="903"/>
              <w:ind w:firstLine="0"/>
              <w:jc w:val="left"/>
              <w:spacing w:after="0"/>
              <w:rPr>
                <w:rFonts w:ascii="宋体" w:hAnsi="宋体" w:eastAsia="宋体"/>
              </w:rPr>
            </w:pPr>
            <w:r>
              <w:rPr>
                <w:rFonts w:hint="eastAsia" w:ascii="宋体" w:hAnsi="宋体" w:eastAsia="宋体" w:cs="Times New Roman"/>
                <w:sz w:val="21"/>
                <w:szCs w:val="21"/>
                <w:lang w:val="en-US" w:eastAsia="zh-CN" w:bidi="ar-SA"/>
              </w:rPr>
              <w:t xml:space="preserve">2.乙方应于15日内更换有缺陷的货物或部件。</w:t>
            </w:r>
            <w:bookmarkEnd w:id="198"/>
            <w:r>
              <w:rPr>
                <w:rFonts w:ascii="宋体" w:hAnsi="宋体" w:eastAsia="宋体"/>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cs="宋体"/>
                <w:szCs w:val="21"/>
              </w:rPr>
            </w:pPr>
            <w:r>
              <w:rPr>
                <w:rFonts w:hint="eastAsia" w:ascii="宋体" w:hAnsi="宋体" w:eastAsia="宋体" w:cs="宋体"/>
                <w:szCs w:val="21"/>
              </w:rPr>
              <w:t xml:space="preserve">第二节</w:t>
            </w:r>
            <w:r>
              <w:rPr>
                <w:rFonts w:hint="eastAsia" w:ascii="宋体" w:hAnsi="宋体" w:eastAsia="宋体" w:cs="宋体"/>
                <w:szCs w:val="21"/>
              </w:rPr>
            </w:r>
            <w:r/>
          </w:p>
          <w:p>
            <w:pPr>
              <w:pStyle w:val="891"/>
              <w:jc w:val="center"/>
              <w:spacing w:line="400" w:lineRule="exact"/>
              <w:widowControl/>
              <w:rPr>
                <w:rFonts w:hint="eastAsia" w:ascii="宋体" w:hAnsi="宋体" w:eastAsia="宋体" w:cs="华文楷体"/>
                <w:sz w:val="22"/>
                <w:szCs w:val="21"/>
              </w:rPr>
            </w:pPr>
            <w:r>
              <w:rPr>
                <w:rFonts w:hint="eastAsia" w:ascii="宋体" w:hAnsi="宋体" w:eastAsia="宋体" w:cs="宋体"/>
                <w:sz w:val="22"/>
                <w:szCs w:val="21"/>
              </w:rPr>
              <w:t xml:space="preserve">第11.1款</w:t>
            </w:r>
            <w:r>
              <w:rPr>
                <w:rFonts w:hint="eastAsia" w:ascii="宋体" w:hAnsi="宋体" w:eastAsia="宋体" w:cs="华文楷体"/>
                <w:sz w:val="22"/>
                <w:szCs w:val="21"/>
              </w:rPr>
            </w:r>
            <w:r/>
          </w:p>
        </w:tc>
        <w:tc>
          <w:tcPr>
            <w:tcW w:w="1742" w:type="dxa"/>
            <w:vAlign w:val="center"/>
            <w:textDirection w:val="lrTb"/>
            <w:noWrap w:val="false"/>
          </w:tcPr>
          <w:p>
            <w:pPr>
              <w:pStyle w:val="891"/>
              <w:spacing w:line="278" w:lineRule="auto"/>
              <w:rPr>
                <w:rFonts w:hint="eastAsia" w:ascii="宋体" w:hAnsi="宋体" w:eastAsia="宋体"/>
                <w:szCs w:val="21"/>
              </w:rPr>
            </w:pPr>
            <w:r>
              <w:rPr>
                <w:rFonts w:hint="eastAsia" w:ascii="宋体" w:hAnsi="宋体" w:eastAsia="宋体"/>
                <w:szCs w:val="21"/>
              </w:rPr>
              <w:t xml:space="preserve">其他应当保密的信息</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bookmarkStart w:id="200" w:name="OLE_LINK5"/>
            <w:r>
              <w:rPr>
                <w:rFonts w:hint="eastAsia" w:ascii="宋体" w:hAnsi="宋体" w:eastAsia="宋体"/>
                <w:szCs w:val="21"/>
              </w:rPr>
              <w:t xml:space="preserve">1.乙方有权依据合同约定和项目需要，向甲方了解有关情况，调阅有关资料等，甲方应予积极配合；</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2.乙方有义务妥善保管和保护由甲方提供的前款信息和资料等；</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200"/>
            <w:r>
              <w:rPr>
                <w:rFonts w:hint="eastAsia" w:ascii="宋体" w:hAnsi="宋体" w:eastAsia="宋体"/>
                <w:szCs w:val="21"/>
              </w:rPr>
              <w:t xml:space="preserve">信息和资料。</w:t>
            </w:r>
            <w:r>
              <w:rPr>
                <w:rFonts w:hint="eastAsia" w:ascii="宋体" w:hAnsi="宋体" w:eastAsia="宋体"/>
                <w:szCs w:val="21"/>
              </w:rPr>
            </w:r>
            <w:r/>
          </w:p>
        </w:tc>
      </w:tr>
      <w:tr>
        <w:trPr>
          <w:trHeight w:val="697"/>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第12.2款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合同价款支付时间</w:t>
            </w:r>
            <w:r>
              <w:rPr>
                <w:rFonts w:hint="eastAsia" w:ascii="宋体" w:hAnsi="宋体" w:eastAsia="宋体"/>
                <w:szCs w:val="21"/>
              </w:rPr>
            </w:r>
            <w:r/>
          </w:p>
        </w:tc>
        <w:tc>
          <w:tcPr>
            <w:tcW w:w="517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合同签订并收到乙方开具的发票后10个工作日内支付本合同总价款的50%（人民币         元）；货物交付安装、调试完成、验收合格后，乙方开具金额为合同总价款的10%、有效期至货物质保期满之日的银行质量保函，甲方在收到保函和发票后10个工作日内再支付合同总价款的50%（人民币           元）。以上付款均通过银行转账，不计利息。</w:t>
            </w:r>
            <w:r>
              <w:rPr>
                <w:color w:val="000000" w:themeColor="text1"/>
                <w:sz w:val="21"/>
              </w:rPr>
            </w:r>
            <w:r>
              <w:rPr>
                <w:color w:val="000000" w:themeColor="text1"/>
              </w:rPr>
            </w:r>
          </w:p>
        </w:tc>
      </w:tr>
      <w:tr>
        <w:trPr>
          <w:trHeight w:val="697"/>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第13.2款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履约保证金不予退还的情形</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发生以下情况的，履约保证金不予退还或部分退还：</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a.签订合同后，乙方不履行合同义务的，甲方有权全额扣除履约保证金，全额不予退还，同时甲方亦有权终止合同，乙方还须承担相应的法律赔偿责任。</w:t>
            </w:r>
            <w:r>
              <w:rPr>
                <w:rFonts w:hint="eastAsia" w:ascii="宋体" w:hAnsi="宋体" w:eastAsia="宋体"/>
                <w:szCs w:val="21"/>
              </w:rPr>
            </w:r>
            <w:r/>
          </w:p>
          <w:p>
            <w:pPr>
              <w:pStyle w:val="891"/>
              <w:jc w:val="left"/>
              <w:spacing w:line="400" w:lineRule="exact"/>
              <w:widowControl/>
              <w:rPr>
                <w:rFonts w:hint="eastAsia" w:ascii="宋体" w:hAnsi="宋体" w:eastAsia="宋体" w:cs="华文楷体"/>
                <w:sz w:val="22"/>
                <w:szCs w:val="21"/>
              </w:rPr>
            </w:pPr>
            <w:r>
              <w:rPr>
                <w:rFonts w:hint="eastAsia" w:ascii="宋体" w:hAnsi="宋体" w:eastAsia="宋体"/>
                <w:szCs w:val="21"/>
              </w:rPr>
              <w:t xml:space="preserve">b.乙方在履约过程中发生违约行为，给甲方造成损失的，甲方有权在乙方缴纳的履约保证金中予以扣款，以弥补甲方经济损失，不足的部分乙方另外补齐。</w:t>
            </w:r>
            <w:r>
              <w:rPr>
                <w:rFonts w:hint="eastAsia" w:ascii="宋体" w:hAnsi="宋体" w:eastAsia="宋体" w:cs="华文楷体"/>
                <w:sz w:val="22"/>
                <w:szCs w:val="21"/>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第13.3款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履约保证金退还时间及逾期退还的违约金</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rPr>
              <w:t xml:space="preserve">乙方全部履行合同义务，经甲方验收合格无质量、进度等问题的，甲方在验收合格后</w:t>
            </w:r>
            <w:r>
              <w:rPr>
                <w:rFonts w:ascii="宋体" w:hAnsi="宋体" w:eastAsia="宋体"/>
              </w:rPr>
              <w:t xml:space="preserve">10</w:t>
            </w:r>
            <w:r>
              <w:rPr>
                <w:rFonts w:hint="eastAsia" w:ascii="宋体" w:hAnsi="宋体" w:eastAsia="宋体"/>
              </w:rPr>
              <w:t xml:space="preserve">个工作日内一次性退还履约保证金（无息），甲方若逾期退还履约保证金的，按照逾期部分的每日</w:t>
            </w:r>
            <w:r>
              <w:rPr>
                <w:rFonts w:ascii="宋体" w:hAnsi="宋体" w:eastAsia="宋体"/>
              </w:rPr>
              <w:t xml:space="preserve">0.05%</w:t>
            </w:r>
            <w:r>
              <w:rPr>
                <w:rFonts w:hint="eastAsia" w:ascii="宋体" w:hAnsi="宋体" w:eastAsia="宋体"/>
              </w:rPr>
              <w:t xml:space="preserve">支付违约金。</w:t>
            </w:r>
            <w:r>
              <w:rPr>
                <w:rFonts w:hint="eastAsia" w:ascii="宋体" w:hAnsi="宋体" w:eastAsia="宋体"/>
                <w:szCs w:val="21"/>
              </w:rPr>
            </w:r>
            <w:r/>
          </w:p>
        </w:tc>
      </w:tr>
      <w:tr>
        <w:trPr>
          <w:trHeight w:val="784"/>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第14.1（3）项</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运行监督、维修期限</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质保期  年，质保期内维修、零配件更换、人工、差旅等所有费用由乙方承担。</w:t>
            </w:r>
            <w:bookmarkStart w:id="201" w:name="OLE_LINK12"/>
            <w:r>
              <w:rPr>
                <w:rFonts w:hint="eastAsia" w:ascii="宋体" w:hAnsi="宋体" w:eastAsia="宋体"/>
                <w:szCs w:val="21"/>
              </w:rPr>
              <w:t xml:space="preserve">乙方提供设备终身维修保养服务</w:t>
            </w:r>
            <w:bookmarkEnd w:id="201"/>
            <w:r/>
            <w:bookmarkStart w:id="202" w:name="OLE_LINK33"/>
            <w:r>
              <w:rPr>
                <w:rFonts w:hint="eastAsia" w:ascii="宋体" w:hAnsi="宋体" w:eastAsia="宋体"/>
                <w:szCs w:val="21"/>
              </w:rPr>
              <w:t xml:space="preserve">。</w:t>
            </w:r>
            <w:bookmarkEnd w:id="202"/>
            <w:r>
              <w:rPr>
                <w:rFonts w:hint="eastAsia" w:ascii="宋体" w:hAnsi="宋体" w:eastAsia="宋体"/>
                <w:szCs w:val="21"/>
              </w:rPr>
            </w:r>
            <w:r/>
          </w:p>
        </w:tc>
      </w:tr>
      <w:tr>
        <w:trPr>
          <w:trHeight w:val="784"/>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第14.1（5）项</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货物回收的约定</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w:t>
            </w:r>
            <w:r>
              <w:rPr>
                <w:rFonts w:hint="eastAsia" w:ascii="宋体" w:hAnsi="宋体" w:eastAsia="宋体"/>
                <w:szCs w:val="21"/>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第14.1（6）项</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乙方提供的其他服务</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w:t>
            </w:r>
            <w:r>
              <w:rPr>
                <w:rFonts w:hint="eastAsia" w:ascii="宋体" w:hAnsi="宋体" w:eastAsia="宋体"/>
                <w:szCs w:val="21"/>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第15.1款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修理、重作、更换相关具体规定</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如果设备交付使用后，缺陷多次反复出现，乙方必须提出分析报告和解决方案，更换该产品，直到最后纠正缺陷、乙方提供质保从纠正之日起重新计算质保期。</w:t>
            </w:r>
            <w:r>
              <w:rPr>
                <w:rFonts w:hint="eastAsia" w:ascii="宋体" w:hAnsi="宋体" w:eastAsia="宋体"/>
                <w:szCs w:val="21"/>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第15.2（2）项</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迟延交货赔偿费</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rPr>
                <w:rFonts w:hint="eastAsia" w:ascii="宋体" w:hAnsi="宋体" w:eastAsia="宋体"/>
                <w:szCs w:val="21"/>
              </w:rPr>
            </w:r>
            <w:r/>
          </w:p>
        </w:tc>
      </w:tr>
      <w:tr>
        <w:trPr>
          <w:trHeight w:val="73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第15.3款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逾期付款利息</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bookmarkStart w:id="203" w:name="OLE_LINK6"/>
            <w:r>
              <w:rPr>
                <w:rFonts w:hint="eastAsia" w:ascii="宋体" w:hAnsi="宋体" w:eastAsia="宋体"/>
                <w:szCs w:val="21"/>
              </w:rPr>
              <w:t xml:space="preserve">甲方未按合同规定的期限向乙方支付货款的，每逾期1天甲方向乙方偿付欠款总额的5‰逾期付款违约金，</w:t>
            </w:r>
            <w:bookmarkEnd w:id="203"/>
            <w:r>
              <w:rPr>
                <w:rFonts w:hint="eastAsia" w:ascii="宋体" w:hAnsi="宋体" w:eastAsia="宋体"/>
                <w:szCs w:val="21"/>
              </w:rPr>
              <w:t xml:space="preserve">但累计违约金总额不超过欠款总额的5%。</w:t>
            </w:r>
            <w:r>
              <w:rPr>
                <w:rFonts w:hint="eastAsia" w:ascii="宋体" w:hAnsi="宋体" w:eastAsia="宋体"/>
                <w:szCs w:val="21"/>
              </w:rPr>
            </w:r>
            <w:r/>
          </w:p>
        </w:tc>
      </w:tr>
      <w:tr>
        <w:trPr>
          <w:trHeight w:val="876"/>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第15.4款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其他违约责任</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1.甲方无正当理由拒收货物、拒付货物款的，由甲方向乙方偿付本合同总价款5%的违约金。</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2.如乙方不能按期交付货物、完成安装调试并验收通过的，甲方有权扣留全部履约保证金；同时乙方应向甲方支付本合同总价款5%的违约金。</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4.乙方所交付的货物品种、型号、规格不符合合同规定的，甲方有权拒收并扣留乙方全部履约保证金。甲方拒收的，乙方应向甲方支付本合同总价款5%的违约金。</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6.乙方未按本合同的规定和“服务承诺”提供伴随服务/售后服务的，应承担甲方另行采购相关服务而支付的费用，并按本合同总价款的5%向甲方承担违约责任。</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rPr>
                <w:rFonts w:hint="eastAsia" w:ascii="宋体" w:hAnsi="宋体" w:eastAsia="宋体"/>
                <w:szCs w:val="21"/>
              </w:rPr>
            </w:r>
            <w:r/>
          </w:p>
          <w:p>
            <w:pPr>
              <w:pStyle w:val="891"/>
              <w:jc w:val="left"/>
              <w:spacing w:line="278" w:lineRule="auto"/>
              <w:rPr>
                <w:rFonts w:hint="eastAsia" w:ascii="宋体" w:hAnsi="宋体" w:eastAsia="宋体"/>
                <w:szCs w:val="21"/>
              </w:rPr>
            </w:pPr>
            <w:r>
              <w:rPr>
                <w:rFonts w:hint="eastAsia" w:ascii="宋体" w:hAnsi="宋体" w:eastAsia="宋体"/>
                <w:szCs w:val="21"/>
              </w:rPr>
              <w:t xml:space="preserve">8.乙方在承担一项或多项违约责任后，仍应继续履行合同规定的义务（甲方解除合同的除外）。甲方未能及时追究乙方的任何一项违约责任并不表明甲方放弃追究乙方该项或其他违约责任。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szCs w:val="21"/>
              </w:rPr>
            </w:r>
            <w:r/>
          </w:p>
        </w:tc>
      </w:tr>
      <w:tr>
        <w:trPr>
          <w:trHeight w:val="90"/>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第19.2款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szCs w:val="21"/>
              </w:rPr>
              <w:t xml:space="preserve">解决争议的方法</w:t>
            </w:r>
            <w:r>
              <w:rPr>
                <w:rFonts w:hint="eastAsia" w:ascii="宋体" w:hAnsi="宋体" w:eastAsia="宋体"/>
                <w:szCs w:val="21"/>
              </w:rPr>
            </w:r>
            <w:r/>
          </w:p>
        </w:tc>
        <w:tc>
          <w:tcPr>
            <w:tcW w:w="5170" w:type="dxa"/>
            <w:vAlign w:val="center"/>
            <w:textDirection w:val="lrTb"/>
            <w:noWrap w:val="false"/>
          </w:tcPr>
          <w:p>
            <w:pPr>
              <w:pStyle w:val="891"/>
              <w:jc w:val="left"/>
              <w:spacing w:line="400" w:lineRule="exact"/>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（1）</w:t>
            </w:r>
            <w:r>
              <w:rPr>
                <w:rFonts w:hint="eastAsia" w:ascii="宋体" w:hAnsi="宋体" w:eastAsia="宋体" w:cs="宋体"/>
                <w:iCs/>
                <w:szCs w:val="21"/>
              </w:rPr>
              <w:t xml:space="preserve">种方式解决：</w:t>
            </w:r>
            <w:r>
              <w:rPr>
                <w:rFonts w:hint="eastAsia" w:ascii="宋体" w:hAnsi="宋体" w:eastAsia="宋体" w:cs="宋体"/>
                <w:iCs/>
                <w:szCs w:val="21"/>
              </w:rPr>
            </w:r>
            <w:r/>
          </w:p>
          <w:p>
            <w:pPr>
              <w:pStyle w:val="891"/>
              <w:jc w:val="left"/>
              <w:spacing w:line="400" w:lineRule="exact"/>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南通市</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南通市   </w:t>
            </w:r>
            <w:r>
              <w:rPr>
                <w:rFonts w:hint="eastAsia" w:ascii="宋体" w:hAnsi="宋体" w:eastAsia="宋体" w:cs="宋体"/>
                <w:iCs/>
                <w:szCs w:val="21"/>
              </w:rPr>
              <w:t xml:space="preserve">；</w:t>
            </w:r>
            <w:r>
              <w:rPr>
                <w:rFonts w:hint="eastAsia" w:ascii="宋体" w:hAnsi="宋体" w:eastAsia="宋体" w:cs="宋体"/>
                <w:iCs/>
                <w:szCs w:val="21"/>
              </w:rPr>
            </w:r>
            <w:r/>
          </w:p>
          <w:p>
            <w:pPr>
              <w:pStyle w:val="891"/>
              <w:jc w:val="left"/>
              <w:spacing w:line="278" w:lineRule="auto"/>
              <w:rPr>
                <w:rFonts w:hint="eastAsia" w:ascii="宋体" w:hAnsi="宋体" w:eastAsia="宋体"/>
                <w:szCs w:val="21"/>
                <w:u w:val="single"/>
              </w:rPr>
            </w:pPr>
            <w:r>
              <w:rPr>
                <w:rFonts w:hint="eastAsia" w:ascii="宋体" w:hAnsi="宋体" w:eastAsia="宋体" w:cs="宋体"/>
                <w:iCs/>
                <w:szCs w:val="21"/>
              </w:rPr>
              <w:t xml:space="preserve">（2）向甲方所在地有管辖权的人民法院起诉。</w:t>
            </w:r>
            <w:r>
              <w:rPr>
                <w:rFonts w:hint="eastAsia" w:ascii="宋体" w:hAnsi="宋体" w:eastAsia="宋体"/>
                <w:szCs w:val="21"/>
                <w:u w:val="single"/>
              </w:rPr>
            </w:r>
            <w:r/>
          </w:p>
        </w:tc>
      </w:tr>
      <w:tr>
        <w:trPr>
          <w:trHeight w:val="770"/>
        </w:trPr>
        <w:tc>
          <w:tcPr>
            <w:tcW w:w="1607" w:type="dxa"/>
            <w:vAlign w:val="center"/>
            <w:textDirection w:val="lrTb"/>
            <w:noWrap w:val="false"/>
          </w:tcPr>
          <w:p>
            <w:pPr>
              <w:pStyle w:val="891"/>
              <w:jc w:val="center"/>
              <w:spacing w:line="278" w:lineRule="auto"/>
              <w:rPr>
                <w:rFonts w:hint="eastAsia" w:ascii="宋体" w:hAnsi="宋体" w:eastAsia="宋体"/>
                <w:szCs w:val="21"/>
              </w:rPr>
            </w:pPr>
            <w:r>
              <w:rPr>
                <w:rFonts w:hint="eastAsia" w:ascii="宋体" w:hAnsi="宋体" w:eastAsia="宋体"/>
                <w:szCs w:val="21"/>
              </w:rPr>
              <w:t xml:space="preserve">第二节</w:t>
            </w:r>
            <w:r>
              <w:rPr>
                <w:rFonts w:hint="eastAsia" w:ascii="宋体" w:hAnsi="宋体" w:eastAsia="宋体"/>
                <w:szCs w:val="21"/>
              </w:rPr>
            </w:r>
            <w:r/>
          </w:p>
          <w:p>
            <w:pPr>
              <w:pStyle w:val="891"/>
              <w:jc w:val="center"/>
              <w:spacing w:line="278" w:lineRule="auto"/>
              <w:rPr>
                <w:rFonts w:hint="eastAsia" w:ascii="宋体" w:hAnsi="宋体" w:eastAsia="宋体"/>
                <w:szCs w:val="21"/>
              </w:rPr>
            </w:pPr>
            <w:r>
              <w:rPr>
                <w:rFonts w:hint="eastAsia" w:ascii="宋体" w:hAnsi="宋体" w:eastAsia="宋体"/>
                <w:szCs w:val="21"/>
              </w:rPr>
              <w:t xml:space="preserve">第23.1款</w:t>
            </w:r>
            <w:r>
              <w:rPr>
                <w:rFonts w:hint="eastAsia" w:ascii="宋体" w:hAnsi="宋体" w:eastAsia="宋体"/>
                <w:szCs w:val="21"/>
              </w:rPr>
            </w:r>
            <w:r/>
          </w:p>
        </w:tc>
        <w:tc>
          <w:tcPr>
            <w:tcW w:w="1742" w:type="dxa"/>
            <w:vAlign w:val="center"/>
            <w:textDirection w:val="lrTb"/>
            <w:noWrap w:val="false"/>
          </w:tcPr>
          <w:p>
            <w:pPr>
              <w:pStyle w:val="891"/>
              <w:jc w:val="left"/>
              <w:spacing w:line="278" w:lineRule="auto"/>
              <w:rPr>
                <w:rFonts w:hint="eastAsia" w:ascii="宋体" w:hAnsi="宋体" w:eastAsia="宋体"/>
                <w:szCs w:val="21"/>
              </w:rPr>
            </w:pPr>
            <w:r>
              <w:rPr>
                <w:rFonts w:hint="eastAsia" w:ascii="宋体" w:hAnsi="宋体" w:eastAsia="宋体"/>
                <w:bCs/>
                <w:szCs w:val="21"/>
              </w:rPr>
              <w:t xml:space="preserve">其他专用条款</w:t>
            </w:r>
            <w:r>
              <w:rPr>
                <w:rFonts w:hint="eastAsia" w:ascii="宋体" w:hAnsi="宋体" w:eastAsia="宋体"/>
                <w:szCs w:val="21"/>
              </w:rPr>
            </w:r>
            <w:r/>
          </w:p>
        </w:tc>
        <w:tc>
          <w:tcPr>
            <w:tcW w:w="5170" w:type="dxa"/>
            <w:vAlign w:val="center"/>
            <w:textDirection w:val="lrTb"/>
            <w:noWrap w:val="false"/>
          </w:tcPr>
          <w:p>
            <w:pPr>
              <w:pStyle w:val="891"/>
              <w:jc w:val="left"/>
              <w:spacing w:line="278" w:lineRule="auto"/>
              <w:rPr>
                <w:rFonts w:ascii="宋体" w:hAnsi="宋体" w:eastAsia="宋体"/>
                <w:szCs w:val="24"/>
              </w:rPr>
            </w:pPr>
            <w:r>
              <w:rPr>
                <w:rFonts w:ascii="宋体" w:hAnsi="宋体" w:eastAsia="宋体"/>
                <w:szCs w:val="24"/>
              </w:rPr>
              <w:t xml:space="preserve"> </w:t>
            </w:r>
            <w:r>
              <w:rPr>
                <w:rFonts w:hint="eastAsia" w:ascii="宋体" w:hAnsi="宋体" w:eastAsia="宋体"/>
                <w:szCs w:val="21"/>
              </w:rPr>
              <w:t xml:space="preserve">因货物的质量问题发生争议的，应当邀请国家认可的质量检测机构对货物质量进行鉴定。货物符合标准的，鉴定费由甲方承担；货物不符合质量标准的，鉴定费由乙方承担。</w:t>
            </w:r>
            <w:r>
              <w:rPr>
                <w:rFonts w:ascii="宋体" w:hAnsi="宋体" w:eastAsia="宋体"/>
                <w:szCs w:val="24"/>
              </w:rPr>
            </w:r>
            <w:r/>
          </w:p>
        </w:tc>
      </w:tr>
    </w:tbl>
    <w:p>
      <w:pPr>
        <w:pStyle w:val="89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1"/>
        <w:jc w:val="center"/>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891"/>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5"/>
      <w:r>
        <w:rPr>
          <w:rFonts w:hint="eastAsia" w:ascii="黑体" w:hAnsi="Courier New" w:eastAsia="黑体" w:cs="Courier New"/>
          <w:bCs/>
          <w:color w:val="000000"/>
          <w:sz w:val="44"/>
          <w:szCs w:val="21"/>
        </w:rPr>
        <w:t xml:space="preserve">四章 采购需求</w:t>
      </w:r>
      <w:bookmarkEnd w:id="176"/>
      <w:r/>
      <w:bookmarkEnd w:id="177"/>
      <w:r/>
      <w:bookmarkEnd w:id="178"/>
      <w:r>
        <w:rPr>
          <w:rFonts w:hint="eastAsia" w:ascii="宋体" w:hAnsi="宋体" w:cs="Courier New"/>
          <w:color w:val="000000"/>
          <w:sz w:val="24"/>
          <w:szCs w:val="24"/>
        </w:rPr>
      </w:r>
      <w:r/>
    </w:p>
    <w:p>
      <w:pPr>
        <w:pStyle w:val="891"/>
        <w:spacing w:line="480" w:lineRule="exact"/>
        <w:rPr>
          <w:rFonts w:hint="eastAsia" w:ascii="仿宋" w:hAnsi="仿宋" w:eastAsia="仿宋"/>
          <w:color w:val="000000"/>
          <w:sz w:val="28"/>
          <w:szCs w:val="28"/>
        </w:rPr>
      </w:pPr>
      <w:r/>
      <w:bookmarkStart w:id="204" w:name="_Toc26554093"/>
      <w:r/>
      <w:bookmarkStart w:id="205" w:name="_Toc49090575"/>
      <w:r>
        <w:rPr>
          <w:rFonts w:hint="eastAsia" w:ascii="仿宋" w:hAnsi="仿宋" w:eastAsia="仿宋"/>
          <w:color w:val="000000"/>
          <w:sz w:val="28"/>
          <w:szCs w:val="28"/>
        </w:rPr>
        <w:t xml:space="preserve">项目属性:货物类项目。</w:t>
      </w:r>
      <w:r>
        <w:rPr>
          <w:rFonts w:hint="eastAsia" w:ascii="仿宋" w:hAnsi="仿宋" w:eastAsia="仿宋"/>
          <w:color w:val="000000"/>
          <w:sz w:val="28"/>
          <w:szCs w:val="28"/>
        </w:rPr>
      </w:r>
      <w:r/>
    </w:p>
    <w:p>
      <w:pPr>
        <w:pStyle w:val="89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ascii="仿宋" w:hAnsi="仿宋" w:eastAsia="仿宋"/>
          <w:b/>
          <w:color w:val="000000"/>
          <w:sz w:val="28"/>
          <w:szCs w:val="28"/>
        </w:rPr>
      </w:r>
      <w:r/>
    </w:p>
    <w:tbl>
      <w:tblPr>
        <w:tblW w:w="85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268"/>
        <w:gridCol w:w="2268"/>
        <w:gridCol w:w="1134"/>
        <w:gridCol w:w="1985"/>
      </w:tblGrid>
      <w:tr>
        <w:trPr>
          <w:cantSplit/>
        </w:trPr>
        <w:tc>
          <w:tcPr>
            <w:tcW w:w="846" w:type="dxa"/>
            <w:vAlign w:val="center"/>
            <w:textDirection w:val="lrTb"/>
            <w:noWrap w:val="false"/>
          </w:tcPr>
          <w:p>
            <w:pPr>
              <w:pStyle w:val="891"/>
              <w:jc w:val="center"/>
              <w:spacing w:line="480" w:lineRule="exact"/>
              <w:rPr>
                <w:rFonts w:hint="eastAsia" w:ascii="仿宋" w:hAnsi="仿宋" w:eastAsia="仿宋"/>
                <w:sz w:val="28"/>
                <w:szCs w:val="28"/>
              </w:rPr>
            </w:pPr>
            <w:r/>
            <w:bookmarkStart w:id="206" w:name="_Hlk175314267"/>
            <w:r>
              <w:rPr>
                <w:rFonts w:hint="eastAsia" w:ascii="仿宋" w:hAnsi="仿宋" w:eastAsia="仿宋"/>
                <w:sz w:val="28"/>
                <w:szCs w:val="28"/>
              </w:rPr>
              <w:t xml:space="preserve">序号</w:t>
            </w:r>
            <w:r>
              <w:rPr>
                <w:rFonts w:hint="eastAsia" w:ascii="仿宋" w:hAnsi="仿宋" w:eastAsia="仿宋"/>
                <w:sz w:val="28"/>
                <w:szCs w:val="28"/>
              </w:rPr>
            </w:r>
            <w:r/>
          </w:p>
        </w:tc>
        <w:tc>
          <w:tcPr>
            <w:tcW w:w="2268"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采购</w:t>
            </w:r>
            <w:r>
              <w:rPr>
                <w:rFonts w:ascii="仿宋" w:hAnsi="仿宋" w:eastAsia="仿宋"/>
                <w:sz w:val="28"/>
                <w:szCs w:val="28"/>
              </w:rPr>
              <w:t xml:space="preserve">标的</w:t>
            </w:r>
            <w:r>
              <w:rPr>
                <w:rFonts w:hint="eastAsia" w:ascii="仿宋" w:hAnsi="仿宋" w:eastAsia="仿宋"/>
                <w:sz w:val="28"/>
                <w:szCs w:val="28"/>
              </w:rPr>
            </w:r>
            <w:r/>
          </w:p>
        </w:tc>
        <w:tc>
          <w:tcPr>
            <w:tcW w:w="2268"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对应中</w:t>
            </w:r>
            <w:r>
              <w:rPr>
                <w:rFonts w:ascii="仿宋" w:hAnsi="仿宋" w:eastAsia="仿宋"/>
                <w:sz w:val="28"/>
                <w:szCs w:val="28"/>
              </w:rPr>
              <w:t xml:space="preserve">小企业划分标准所属行业</w:t>
            </w:r>
            <w:r>
              <w:rPr>
                <w:rFonts w:hint="eastAsia" w:ascii="仿宋" w:hAnsi="仿宋" w:eastAsia="仿宋"/>
                <w:sz w:val="28"/>
                <w:szCs w:val="28"/>
              </w:rPr>
            </w:r>
            <w:r/>
          </w:p>
        </w:tc>
        <w:tc>
          <w:tcPr>
            <w:tcW w:w="1134"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数量</w:t>
            </w:r>
            <w:r>
              <w:rPr>
                <w:rFonts w:hint="eastAsia" w:ascii="仿宋" w:hAnsi="仿宋" w:eastAsia="仿宋"/>
                <w:sz w:val="28"/>
                <w:szCs w:val="28"/>
              </w:rPr>
            </w:r>
            <w:r/>
          </w:p>
        </w:tc>
        <w:tc>
          <w:tcPr>
            <w:tcW w:w="1985" w:type="dxa"/>
            <w:vAlign w:val="top"/>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是否属于强制环保节能产品</w:t>
            </w:r>
            <w:r>
              <w:rPr>
                <w:rFonts w:hint="eastAsia" w:ascii="仿宋" w:hAnsi="仿宋" w:eastAsia="仿宋"/>
                <w:sz w:val="28"/>
                <w:szCs w:val="28"/>
              </w:rPr>
            </w:r>
            <w:r/>
          </w:p>
        </w:tc>
      </w:tr>
      <w:tr>
        <w:trPr>
          <w:cantSplit/>
          <w:trHeight w:val="291"/>
        </w:trPr>
        <w:tc>
          <w:tcPr>
            <w:tcW w:w="846" w:type="dxa"/>
            <w:vAlign w:val="center"/>
            <w:textDirection w:val="lrTb"/>
            <w:noWrap w:val="false"/>
          </w:tcPr>
          <w:p>
            <w:pPr>
              <w:pStyle w:val="891"/>
              <w:jc w:val="center"/>
              <w:spacing w:line="480" w:lineRule="exact"/>
              <w:rPr>
                <w:rFonts w:hint="eastAsia" w:ascii="仿宋" w:hAnsi="仿宋" w:eastAsia="仿宋"/>
                <w:sz w:val="28"/>
                <w:szCs w:val="28"/>
              </w:rPr>
            </w:pPr>
            <w:r/>
            <w:bookmarkStart w:id="207" w:name="OLE_LINK34"/>
            <w:r/>
            <w:bookmarkStart w:id="208" w:name="_Hlk174624518"/>
            <w:r>
              <w:rPr>
                <w:rFonts w:hint="eastAsia" w:ascii="仿宋" w:hAnsi="仿宋" w:eastAsia="仿宋"/>
                <w:sz w:val="28"/>
                <w:szCs w:val="28"/>
              </w:rPr>
              <w:t xml:space="preserve">1</w:t>
            </w:r>
            <w:r>
              <w:rPr>
                <w:rFonts w:hint="eastAsia" w:ascii="仿宋" w:hAnsi="仿宋" w:eastAsia="仿宋"/>
                <w:sz w:val="28"/>
                <w:szCs w:val="28"/>
              </w:rPr>
            </w:r>
            <w:r/>
          </w:p>
        </w:tc>
        <w:tc>
          <w:tcPr>
            <w:tcW w:w="2268"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三重四级杆气质联用仪</w:t>
            </w:r>
            <w:r>
              <w:rPr>
                <w:rFonts w:hint="eastAsia" w:ascii="仿宋" w:hAnsi="仿宋" w:eastAsia="仿宋"/>
                <w:sz w:val="28"/>
                <w:szCs w:val="28"/>
              </w:rPr>
            </w:r>
            <w:r/>
          </w:p>
        </w:tc>
        <w:tc>
          <w:tcPr>
            <w:tcW w:w="2268"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工业</w:t>
            </w:r>
            <w:r>
              <w:rPr>
                <w:rFonts w:hint="eastAsia" w:ascii="仿宋" w:hAnsi="仿宋" w:eastAsia="仿宋"/>
                <w:sz w:val="28"/>
                <w:szCs w:val="28"/>
              </w:rPr>
            </w:r>
            <w:r/>
          </w:p>
        </w:tc>
        <w:tc>
          <w:tcPr>
            <w:tcW w:w="1134" w:type="dxa"/>
            <w:vAlign w:val="center"/>
            <w:textDirection w:val="lrTb"/>
            <w:noWrap w:val="false"/>
          </w:tcPr>
          <w:p>
            <w:pPr>
              <w:pStyle w:val="891"/>
              <w:jc w:val="center"/>
              <w:spacing w:line="48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台</w:t>
            </w:r>
            <w:r>
              <w:rPr>
                <w:rFonts w:hint="eastAsia" w:ascii="仿宋" w:hAnsi="仿宋" w:eastAsia="仿宋"/>
                <w:sz w:val="28"/>
                <w:szCs w:val="28"/>
              </w:rPr>
            </w:r>
            <w:r/>
          </w:p>
        </w:tc>
        <w:tc>
          <w:tcPr>
            <w:tcW w:w="1985"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否</w:t>
            </w:r>
            <w:bookmarkEnd w:id="207"/>
            <w:r/>
            <w:bookmarkEnd w:id="208"/>
            <w:r>
              <w:rPr>
                <w:rFonts w:hint="eastAsia" w:ascii="仿宋" w:hAnsi="仿宋" w:eastAsia="仿宋"/>
                <w:sz w:val="28"/>
                <w:szCs w:val="28"/>
              </w:rPr>
            </w:r>
            <w:r/>
          </w:p>
        </w:tc>
      </w:tr>
      <w:tr>
        <w:trPr>
          <w:cantSplit/>
          <w:trHeight w:val="235"/>
        </w:trPr>
        <w:tc>
          <w:tcPr>
            <w:tcW w:w="846"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2268"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三重四级杆液质联用仪</w:t>
            </w:r>
            <w:r>
              <w:rPr>
                <w:rFonts w:hint="eastAsia" w:ascii="仿宋" w:hAnsi="仿宋" w:eastAsia="仿宋"/>
                <w:sz w:val="28"/>
                <w:szCs w:val="28"/>
              </w:rPr>
            </w:r>
            <w:r/>
          </w:p>
        </w:tc>
        <w:tc>
          <w:tcPr>
            <w:tcW w:w="2268"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sz w:val="28"/>
                <w:szCs w:val="28"/>
              </w:rPr>
              <w:t xml:space="preserve">工业</w:t>
            </w:r>
            <w:r>
              <w:rPr>
                <w:rFonts w:hint="eastAsia" w:ascii="仿宋" w:hAnsi="仿宋" w:eastAsia="仿宋"/>
                <w:sz w:val="28"/>
                <w:szCs w:val="28"/>
              </w:rPr>
            </w:r>
            <w:r/>
          </w:p>
        </w:tc>
        <w:tc>
          <w:tcPr>
            <w:tcW w:w="1134" w:type="dxa"/>
            <w:vAlign w:val="center"/>
            <w:textDirection w:val="lrTb"/>
            <w:noWrap w:val="false"/>
          </w:tcPr>
          <w:p>
            <w:pPr>
              <w:pStyle w:val="891"/>
              <w:jc w:val="center"/>
              <w:spacing w:line="480" w:lineRule="exact"/>
              <w:rPr>
                <w:rFonts w:hint="eastAsia" w:ascii="仿宋" w:hAnsi="仿宋" w:eastAsia="仿宋"/>
                <w:sz w:val="28"/>
                <w:szCs w:val="28"/>
              </w:rPr>
            </w:pPr>
            <w:r>
              <w:rPr>
                <w:rFonts w:hint="eastAsia" w:ascii="仿宋" w:hAnsi="仿宋" w:eastAsia="仿宋" w:cs="宋体"/>
                <w:sz w:val="28"/>
                <w:szCs w:val="28"/>
              </w:rPr>
              <w:t xml:space="preserve">1台</w:t>
            </w:r>
            <w:r>
              <w:rPr>
                <w:rFonts w:hint="eastAsia" w:ascii="仿宋" w:hAnsi="仿宋" w:eastAsia="仿宋"/>
                <w:sz w:val="28"/>
                <w:szCs w:val="28"/>
              </w:rPr>
            </w:r>
            <w:r/>
          </w:p>
        </w:tc>
        <w:tc>
          <w:tcPr>
            <w:tcW w:w="1985" w:type="dxa"/>
            <w:vAlign w:val="center"/>
            <w:textDirection w:val="lrTb"/>
            <w:noWrap w:val="false"/>
          </w:tcPr>
          <w:p>
            <w:pPr>
              <w:pStyle w:val="891"/>
              <w:jc w:val="center"/>
              <w:spacing w:line="480" w:lineRule="exact"/>
              <w:rPr>
                <w:rFonts w:hint="eastAsia" w:ascii="仿宋" w:hAnsi="仿宋" w:eastAsia="仿宋" w:cs="宋体"/>
                <w:sz w:val="28"/>
                <w:szCs w:val="28"/>
              </w:rPr>
            </w:pPr>
            <w:r>
              <w:rPr>
                <w:rFonts w:hint="eastAsia" w:ascii="仿宋" w:hAnsi="仿宋" w:eastAsia="仿宋"/>
                <w:sz w:val="28"/>
                <w:szCs w:val="28"/>
              </w:rPr>
              <w:t xml:space="preserve">否</w:t>
            </w:r>
            <w:bookmarkEnd w:id="206"/>
            <w:r>
              <w:rPr>
                <w:rFonts w:hint="eastAsia" w:ascii="仿宋" w:hAnsi="仿宋" w:eastAsia="仿宋" w:cs="宋体"/>
                <w:sz w:val="28"/>
                <w:szCs w:val="28"/>
              </w:rPr>
            </w:r>
            <w:r/>
          </w:p>
        </w:tc>
      </w:tr>
    </w:tbl>
    <w:p>
      <w:pPr>
        <w:pStyle w:val="89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91"/>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891"/>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89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89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891"/>
        <w:ind w:firstLine="420"/>
        <w:spacing w:line="480" w:lineRule="exact"/>
      </w:pPr>
      <w:r>
        <w:rPr>
          <w:rFonts w:hint="eastAsia"/>
        </w:rPr>
        <w:t xml:space="preserve">品目一：</w:t>
      </w:r>
      <w:bookmarkStart w:id="209" w:name="_Hlk175092120"/>
      <w:r>
        <w:rPr>
          <w:rFonts w:hint="eastAsia"/>
        </w:rPr>
        <w:t xml:space="preserve">三重四级杆气</w:t>
      </w:r>
      <w:bookmarkEnd w:id="209"/>
      <w:r>
        <w:rPr>
          <w:rFonts w:hint="eastAsia"/>
        </w:rPr>
        <w:t xml:space="preserve">质联用仪 1台</w:t>
      </w:r>
      <w:r/>
    </w:p>
    <w:p>
      <w:pPr>
        <w:pStyle w:val="891"/>
        <w:ind w:firstLine="420"/>
        <w:spacing w:line="480" w:lineRule="exact"/>
      </w:pPr>
      <w:r>
        <w:rPr>
          <w:rFonts w:hint="eastAsia"/>
        </w:rPr>
        <w:t xml:space="preserve">1、工作条件</w:t>
      </w:r>
      <w:r/>
    </w:p>
    <w:p>
      <w:pPr>
        <w:pStyle w:val="891"/>
        <w:ind w:firstLine="420"/>
        <w:spacing w:line="480" w:lineRule="exact"/>
      </w:pPr>
      <w:r>
        <w:rPr>
          <w:rFonts w:hint="eastAsia"/>
        </w:rPr>
        <w:t xml:space="preserve">1.1电源电压：220V 50Hz；</w:t>
      </w:r>
      <w:r/>
    </w:p>
    <w:p>
      <w:pPr>
        <w:pStyle w:val="891"/>
        <w:ind w:firstLine="420"/>
        <w:spacing w:line="480" w:lineRule="exact"/>
      </w:pPr>
      <w:r>
        <w:rPr>
          <w:rFonts w:hint="eastAsia"/>
        </w:rPr>
        <w:t xml:space="preserve">1.2环境温度：操作环境20～35℃；</w:t>
      </w:r>
      <w:r/>
    </w:p>
    <w:p>
      <w:pPr>
        <w:pStyle w:val="891"/>
        <w:ind w:firstLine="420"/>
        <w:spacing w:line="480" w:lineRule="exact"/>
      </w:pPr>
      <w:r>
        <w:rPr>
          <w:rFonts w:hint="eastAsia"/>
        </w:rPr>
        <w:t xml:space="preserve">1.3相对湿度：操作状态25～50%，非操作状态20～80%。</w:t>
      </w:r>
      <w:r/>
    </w:p>
    <w:p>
      <w:pPr>
        <w:pStyle w:val="891"/>
        <w:ind w:firstLine="420"/>
        <w:spacing w:line="480" w:lineRule="exact"/>
      </w:pPr>
      <w:r>
        <w:rPr>
          <w:rFonts w:hint="eastAsia"/>
        </w:rPr>
        <w:t xml:space="preserve">2、技术指标</w:t>
      </w:r>
      <w:r/>
    </w:p>
    <w:p>
      <w:pPr>
        <w:pStyle w:val="891"/>
        <w:ind w:firstLine="420"/>
        <w:spacing w:line="480" w:lineRule="exact"/>
      </w:pPr>
      <w:r>
        <w:rPr>
          <w:rFonts w:hint="eastAsia"/>
        </w:rPr>
        <w:t xml:space="preserve">2.1产品各个模块为同一品牌，同一生产商提供售后服务；</w:t>
      </w:r>
      <w:r/>
    </w:p>
    <w:p>
      <w:pPr>
        <w:pStyle w:val="891"/>
        <w:ind w:firstLine="420"/>
        <w:spacing w:line="480" w:lineRule="exact"/>
      </w:pPr>
      <w:r>
        <w:rPr>
          <w:rFonts w:hint="eastAsia"/>
        </w:rPr>
        <w:t xml:space="preserve">2.2气相色谱仪主机及柱温箱</w:t>
      </w:r>
      <w:r/>
    </w:p>
    <w:p>
      <w:pPr>
        <w:pStyle w:val="891"/>
        <w:ind w:firstLine="420"/>
        <w:spacing w:line="480" w:lineRule="exact"/>
      </w:pPr>
      <w:r>
        <w:rPr>
          <w:rFonts w:hint="eastAsia"/>
        </w:rPr>
        <w:t xml:space="preserve">2.2.1保留时间重复性≤0.008%；峰面积重复性≤1%RSD；</w:t>
      </w:r>
      <w:r/>
    </w:p>
    <w:p>
      <w:pPr>
        <w:pStyle w:val="891"/>
        <w:ind w:firstLine="420"/>
        <w:spacing w:line="480" w:lineRule="exact"/>
      </w:pPr>
      <w:r>
        <w:rPr>
          <w:rFonts w:hint="eastAsia"/>
        </w:rPr>
        <w:t xml:space="preserve">2.2.2可通过多个计数器实时跟踪各种进样口，检测器，自动进样器参数和消耗品的使用情况；</w:t>
      </w:r>
      <w:r/>
    </w:p>
    <w:p>
      <w:pPr>
        <w:pStyle w:val="891"/>
        <w:ind w:firstLine="420"/>
        <w:spacing w:line="480" w:lineRule="exact"/>
      </w:pPr>
      <w:r>
        <w:rPr>
          <w:rFonts w:hint="eastAsia"/>
        </w:rPr>
        <w:t xml:space="preserve">2.2.3柱温箱温度：不小于区间室温上5℃～450℃范围，程序升温梯度≥18；</w:t>
      </w:r>
      <w:r/>
    </w:p>
    <w:p>
      <w:pPr>
        <w:pStyle w:val="891"/>
        <w:ind w:firstLine="420"/>
        <w:spacing w:line="480" w:lineRule="exact"/>
      </w:pPr>
      <w:r>
        <w:rPr>
          <w:rFonts w:hint="eastAsia"/>
        </w:rPr>
        <w:t xml:space="preserve">2.2.4升温速率：≥100℃/min；降温速率：从450℃降至50℃≤4min；</w:t>
      </w:r>
      <w:r/>
    </w:p>
    <w:p>
      <w:pPr>
        <w:pStyle w:val="891"/>
        <w:ind w:firstLine="420"/>
        <w:spacing w:line="480" w:lineRule="exact"/>
      </w:pPr>
      <w:r>
        <w:rPr>
          <w:rFonts w:hint="eastAsia"/>
        </w:rPr>
        <w:t xml:space="preserve">2.2.5具有液晶触摸屏面板；</w:t>
      </w:r>
      <w:r/>
    </w:p>
    <w:p>
      <w:pPr>
        <w:pStyle w:val="891"/>
        <w:ind w:firstLine="420"/>
        <w:spacing w:line="480" w:lineRule="exact"/>
      </w:pPr>
      <w:r>
        <w:rPr>
          <w:rFonts w:hint="eastAsia"/>
        </w:rPr>
        <w:t xml:space="preserve">▲2.2.6具有柱前、柱中和柱后反吹功能，并可实现更换色谱柱真空锁定功能；</w:t>
      </w:r>
      <w:r/>
    </w:p>
    <w:p>
      <w:pPr>
        <w:pStyle w:val="891"/>
        <w:ind w:firstLine="420"/>
        <w:spacing w:line="480" w:lineRule="exact"/>
      </w:pPr>
      <w:r>
        <w:rPr>
          <w:rFonts w:hint="eastAsia"/>
        </w:rPr>
        <w:t xml:space="preserve">2.3分流/不分流毛细管柱进样口</w:t>
      </w:r>
      <w:r/>
    </w:p>
    <w:p>
      <w:pPr>
        <w:pStyle w:val="891"/>
        <w:ind w:firstLine="420"/>
        <w:spacing w:line="480" w:lineRule="exact"/>
      </w:pPr>
      <w:r>
        <w:rPr>
          <w:rFonts w:hint="eastAsia"/>
        </w:rPr>
        <w:t xml:space="preserve">2.3.1压力、流量和分流比可通过先进的流量控制系统进行数字化设定，不小于区间0～100psi范围；</w:t>
      </w:r>
      <w:r/>
    </w:p>
    <w:p>
      <w:pPr>
        <w:pStyle w:val="891"/>
        <w:ind w:firstLine="420"/>
        <w:spacing w:line="480" w:lineRule="exact"/>
      </w:pPr>
      <w:r>
        <w:rPr>
          <w:rFonts w:hint="eastAsia"/>
        </w:rPr>
        <w:t xml:space="preserve">2.3.2压力设定精度：0.001psi；温度范围：不小于区间50℃～400℃范围；</w:t>
      </w:r>
      <w:r/>
    </w:p>
    <w:p>
      <w:pPr>
        <w:pStyle w:val="891"/>
        <w:ind w:firstLine="420"/>
        <w:spacing w:line="480" w:lineRule="exact"/>
      </w:pPr>
      <w:r>
        <w:rPr>
          <w:rFonts w:hint="eastAsia"/>
        </w:rPr>
        <w:t xml:space="preserve">2.4液体自动进样器</w:t>
      </w:r>
      <w:r/>
    </w:p>
    <w:p>
      <w:pPr>
        <w:pStyle w:val="891"/>
        <w:ind w:firstLine="420"/>
        <w:spacing w:line="480" w:lineRule="exact"/>
      </w:pPr>
      <w:r>
        <w:rPr>
          <w:rFonts w:hint="eastAsia"/>
        </w:rPr>
        <w:t xml:space="preserve">2.4.1进样量范围：不小于区间0.1～20μL范围；</w:t>
      </w:r>
      <w:r/>
    </w:p>
    <w:p>
      <w:pPr>
        <w:pStyle w:val="891"/>
        <w:ind w:firstLine="420"/>
        <w:spacing w:line="480" w:lineRule="exact"/>
      </w:pPr>
      <w:r>
        <w:rPr>
          <w:rFonts w:hint="eastAsia"/>
        </w:rPr>
        <w:t xml:space="preserve">▲2.4.2样品瓶位数：≥160位；</w:t>
      </w:r>
      <w:r/>
    </w:p>
    <w:p>
      <w:pPr>
        <w:pStyle w:val="891"/>
        <w:ind w:firstLine="420"/>
        <w:spacing w:line="480" w:lineRule="exact"/>
      </w:pPr>
      <w:r>
        <w:rPr>
          <w:rFonts w:hint="eastAsia"/>
        </w:rPr>
        <w:t xml:space="preserve">2.4.3进样速度：高速/低速/自定义速度3种进样模式，吸取样品深度可调；</w:t>
      </w:r>
      <w:r/>
    </w:p>
    <w:p>
      <w:pPr>
        <w:pStyle w:val="891"/>
        <w:ind w:firstLine="420"/>
        <w:spacing w:line="480" w:lineRule="exact"/>
      </w:pPr>
      <w:r>
        <w:rPr>
          <w:rFonts w:hint="eastAsia"/>
        </w:rPr>
        <w:t xml:space="preserve">2.4.4峰面积重现性：RSD≤0.3%，交叉污染≤十万分之一。</w:t>
      </w:r>
      <w:r/>
    </w:p>
    <w:p>
      <w:pPr>
        <w:pStyle w:val="891"/>
        <w:ind w:firstLine="420"/>
        <w:spacing w:line="480" w:lineRule="exact"/>
      </w:pPr>
      <w:r>
        <w:rPr>
          <w:rFonts w:hint="eastAsia"/>
        </w:rPr>
        <w:t xml:space="preserve">2.5顶空进样器</w:t>
      </w:r>
      <w:r/>
    </w:p>
    <w:p>
      <w:pPr>
        <w:pStyle w:val="891"/>
        <w:ind w:firstLine="420"/>
        <w:spacing w:line="480" w:lineRule="exact"/>
      </w:pPr>
      <w:r>
        <w:rPr>
          <w:rFonts w:hint="eastAsia"/>
        </w:rPr>
        <w:t xml:space="preserve">2.5.1全电子流量控制且具有大气压力补偿的功能：压力设定精度0.001Psi；</w:t>
      </w:r>
      <w:r/>
    </w:p>
    <w:p>
      <w:pPr>
        <w:pStyle w:val="891"/>
        <w:ind w:firstLine="420"/>
        <w:spacing w:line="480" w:lineRule="exact"/>
      </w:pPr>
      <w:r>
        <w:rPr>
          <w:rFonts w:hint="eastAsia"/>
        </w:rPr>
        <w:t xml:space="preserve">2.5.2独立的顶空进样器；</w:t>
      </w:r>
      <w:r/>
    </w:p>
    <w:p>
      <w:pPr>
        <w:pStyle w:val="891"/>
        <w:ind w:firstLine="420"/>
        <w:spacing w:line="480" w:lineRule="exact"/>
      </w:pPr>
      <w:r>
        <w:rPr>
          <w:rFonts w:hint="eastAsia"/>
        </w:rPr>
        <w:t xml:space="preserve">▲2.5.3可使用20ml或10ml的钳口或罗纹口样品瓶，10ml的样品瓶不需要转换座；</w:t>
      </w:r>
      <w:r/>
    </w:p>
    <w:p>
      <w:pPr>
        <w:pStyle w:val="891"/>
        <w:ind w:firstLine="420"/>
        <w:spacing w:line="480" w:lineRule="exact"/>
      </w:pPr>
      <w:r>
        <w:rPr>
          <w:rFonts w:hint="eastAsia"/>
        </w:rPr>
        <w:t xml:space="preserve">2.5.4最高平衡温度：≥300℃；</w:t>
      </w:r>
      <w:r/>
    </w:p>
    <w:p>
      <w:pPr>
        <w:pStyle w:val="891"/>
        <w:ind w:firstLine="420"/>
        <w:spacing w:line="480" w:lineRule="exact"/>
      </w:pPr>
      <w:r>
        <w:rPr>
          <w:rFonts w:hint="eastAsia"/>
        </w:rPr>
        <w:t xml:space="preserve">2.5.5最高传输管线温度：≥250℃；</w:t>
      </w:r>
      <w:r/>
    </w:p>
    <w:p>
      <w:pPr>
        <w:pStyle w:val="891"/>
        <w:ind w:firstLine="420"/>
        <w:spacing w:line="480" w:lineRule="exact"/>
      </w:pPr>
      <w:r>
        <w:rPr>
          <w:rFonts w:hint="eastAsia"/>
        </w:rPr>
        <w:t xml:space="preserve">2.5.6峰面积重现性：RSD≤1%；</w:t>
      </w:r>
      <w:r/>
    </w:p>
    <w:p>
      <w:pPr>
        <w:pStyle w:val="891"/>
        <w:ind w:firstLine="420"/>
        <w:spacing w:line="480" w:lineRule="exact"/>
      </w:pPr>
      <w:r>
        <w:rPr>
          <w:rFonts w:hint="eastAsia"/>
        </w:rPr>
        <w:t xml:space="preserve">▲2.5.7进样位数：≥100位，同时加热样品瓶位数≥10位；</w:t>
      </w:r>
      <w:r/>
    </w:p>
    <w:p>
      <w:pPr>
        <w:pStyle w:val="891"/>
        <w:ind w:firstLine="420"/>
        <w:spacing w:line="480" w:lineRule="exact"/>
      </w:pPr>
      <w:r>
        <w:rPr>
          <w:rFonts w:hint="eastAsia"/>
        </w:rPr>
        <w:t xml:space="preserve">2.6质谱部分</w:t>
      </w:r>
      <w:r/>
    </w:p>
    <w:p>
      <w:pPr>
        <w:pStyle w:val="891"/>
        <w:ind w:firstLine="420"/>
        <w:spacing w:line="480" w:lineRule="exact"/>
      </w:pPr>
      <w:r>
        <w:rPr>
          <w:rFonts w:hint="eastAsia"/>
        </w:rPr>
        <w:t xml:space="preserve">2.6.1质量数范围：不小于区间10～1000 m/z范围；</w:t>
      </w:r>
      <w:r/>
    </w:p>
    <w:p>
      <w:pPr>
        <w:pStyle w:val="891"/>
        <w:ind w:firstLine="420"/>
        <w:spacing w:line="480" w:lineRule="exact"/>
      </w:pPr>
      <w:r>
        <w:rPr>
          <w:rFonts w:hint="eastAsia"/>
        </w:rPr>
        <w:t xml:space="preserve">2.6.2分辨率：0.6～3 amu可调；</w:t>
      </w:r>
      <w:r/>
    </w:p>
    <w:p>
      <w:pPr>
        <w:pStyle w:val="891"/>
        <w:ind w:firstLine="420"/>
        <w:spacing w:line="480" w:lineRule="exact"/>
      </w:pPr>
      <w:r>
        <w:rPr>
          <w:rFonts w:hint="eastAsia"/>
        </w:rPr>
        <w:t xml:space="preserve">▲2.6.3仪器验收指标：检测限指标及灵敏度10fgOFN连续8次进样，峰面积RSD≤13%，IDL≤4fg； </w:t>
      </w:r>
      <w:r/>
    </w:p>
    <w:p>
      <w:pPr>
        <w:pStyle w:val="891"/>
        <w:ind w:firstLine="420"/>
        <w:spacing w:line="480" w:lineRule="exact"/>
      </w:pPr>
      <w:r>
        <w:rPr>
          <w:rFonts w:hint="eastAsia"/>
        </w:rPr>
        <w:t xml:space="preserve">2.6.4 MRM扫描速率：最大可达800个MRM/秒；</w:t>
      </w:r>
      <w:r/>
    </w:p>
    <w:p>
      <w:pPr>
        <w:pStyle w:val="891"/>
        <w:ind w:firstLine="420"/>
        <w:spacing w:line="480" w:lineRule="exact"/>
      </w:pPr>
      <w:r>
        <w:rPr>
          <w:rFonts w:hint="eastAsia"/>
        </w:rPr>
        <w:t xml:space="preserve">2.6.5最大离子化能量：≥150eV； </w:t>
      </w:r>
      <w:r/>
    </w:p>
    <w:p>
      <w:pPr>
        <w:pStyle w:val="891"/>
        <w:ind w:firstLine="420"/>
        <w:spacing w:line="480" w:lineRule="exact"/>
      </w:pPr>
      <w:r>
        <w:rPr>
          <w:rFonts w:hint="eastAsia"/>
        </w:rPr>
        <w:t xml:space="preserve">▲2.6.6离子源：独立的EI源和CI源；</w:t>
      </w:r>
      <w:r/>
    </w:p>
    <w:p>
      <w:pPr>
        <w:ind w:left="0" w:right="0" w:firstLine="420"/>
        <w:jc w:val="both"/>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2.6.7</w:t>
      </w:r>
      <w:r>
        <w:rPr>
          <w:rFonts w:ascii="SimSun" w:hAnsi="SimSun" w:eastAsia="SimSun" w:cs="SimSun"/>
          <w:color w:val="000000" w:themeColor="text1"/>
          <w:sz w:val="21"/>
        </w:rPr>
        <w:t xml:space="preserve">离子源带有自动清洗附件或真空锁定功能附件；</w:t>
      </w:r>
      <w:r>
        <w:rPr>
          <w:rFonts w:ascii="Times New Roman" w:hAnsi="Times New Roman" w:eastAsia="Times New Roman" w:cs="Times New Roman"/>
          <w:color w:val="000000" w:themeColor="text1"/>
          <w:sz w:val="21"/>
        </w:rPr>
      </w:r>
      <w:r>
        <w:rPr>
          <w:color w:val="000000" w:themeColor="text1"/>
        </w:rPr>
      </w:r>
    </w:p>
    <w:p>
      <w:pPr>
        <w:pStyle w:val="891"/>
        <w:ind w:firstLine="420"/>
        <w:spacing w:line="480" w:lineRule="exact"/>
      </w:pPr>
      <w:r>
        <w:rPr>
          <w:rFonts w:hint="eastAsia"/>
        </w:rPr>
        <w:t xml:space="preserve">▲2.6.8四极杆质量分析器：能独立控温，实现四级杆免维护功能，如无此功能需提供终身免费上门清洗服务；</w:t>
      </w:r>
      <w:r/>
    </w:p>
    <w:p>
      <w:pPr>
        <w:pStyle w:val="891"/>
        <w:ind w:firstLine="420"/>
        <w:spacing w:line="480" w:lineRule="exact"/>
      </w:pPr>
      <w:r>
        <w:rPr>
          <w:rFonts w:hint="eastAsia"/>
        </w:rPr>
        <w:t xml:space="preserve">2.6.9气质接口温度：独立控温，最高温度≥350℃；</w:t>
      </w:r>
      <w:r/>
    </w:p>
    <w:p>
      <w:pPr>
        <w:pStyle w:val="891"/>
        <w:ind w:firstLine="420"/>
        <w:spacing w:line="480" w:lineRule="exact"/>
      </w:pPr>
      <w:r>
        <w:rPr>
          <w:rFonts w:hint="eastAsia"/>
        </w:rPr>
        <w:t xml:space="preserve">2.6.10扫描功能：支持全扫描(Full Scan)、子离子扫描( Product Ion Scan)、母离子扫描(Precursor Ion Scan)、中性丢失扫描(Neutral Loss Scan)、选择离子扫描模式(SIM)、多反应扫描模式（SRM）； </w:t>
      </w:r>
      <w:r/>
    </w:p>
    <w:p>
      <w:pPr>
        <w:pStyle w:val="891"/>
        <w:ind w:firstLine="420"/>
        <w:spacing w:line="480" w:lineRule="exact"/>
      </w:pPr>
      <w:r>
        <w:rPr>
          <w:rFonts w:hint="eastAsia"/>
        </w:rPr>
        <w:t xml:space="preserve">2.7数据处理系统</w:t>
      </w:r>
      <w:r/>
    </w:p>
    <w:p>
      <w:pPr>
        <w:pStyle w:val="891"/>
        <w:ind w:firstLine="420"/>
        <w:spacing w:line="480" w:lineRule="exact"/>
      </w:pPr>
      <w:r>
        <w:rPr>
          <w:rFonts w:hint="eastAsia"/>
        </w:rPr>
        <w:t xml:space="preserve">2.7.1通用谱库：最新NIST谱库和化学结构式库； </w:t>
      </w:r>
      <w:r/>
    </w:p>
    <w:p>
      <w:pPr>
        <w:pStyle w:val="891"/>
        <w:ind w:firstLine="420"/>
        <w:spacing w:line="480" w:lineRule="exact"/>
      </w:pPr>
      <w:r>
        <w:rPr>
          <w:rFonts w:hint="eastAsia"/>
        </w:rPr>
        <w:t xml:space="preserve">2.7.2具有保留时间锁定或类似功能（须附农残混标谱图，并提供相应农残混标作为检验保留时间的依据）；</w:t>
      </w:r>
      <w:r/>
    </w:p>
    <w:p>
      <w:pPr>
        <w:pStyle w:val="891"/>
        <w:ind w:firstLine="420"/>
        <w:spacing w:line="480" w:lineRule="exact"/>
      </w:pPr>
      <w:r>
        <w:rPr>
          <w:rFonts w:hint="eastAsia"/>
        </w:rPr>
        <w:t xml:space="preserve">2.7.3包含超过1000种农药和环境污染物的MRM数据库。</w:t>
      </w:r>
      <w:r/>
    </w:p>
    <w:p>
      <w:pPr>
        <w:pStyle w:val="891"/>
        <w:ind w:firstLine="420"/>
        <w:spacing w:line="480" w:lineRule="exact"/>
        <w:rPr>
          <w:rFonts w:hint="eastAsia" w:ascii="Times New Roman" w:hAnsi="Times New Roman" w:eastAsia="宋体" w:cs="Times New Roman"/>
        </w:rPr>
      </w:pPr>
      <w:r/>
      <w:bookmarkStart w:id="210" w:name="_Hlk175529851"/>
      <w:r>
        <w:rPr>
          <w:rFonts w:hint="eastAsia" w:ascii="Times New Roman" w:hAnsi="Times New Roman" w:eastAsia="宋体" w:cs="Times New Roman"/>
        </w:rPr>
        <w:t xml:space="preserve">3、原厂培训要求</w:t>
      </w:r>
      <w:r>
        <w:rPr>
          <w:rFonts w:hint="eastAsia" w:ascii="Times New Roman" w:hAnsi="Times New Roman" w:eastAsia="宋体" w:cs="Times New Roman"/>
        </w:rPr>
      </w:r>
      <w:r/>
    </w:p>
    <w:p>
      <w:pPr>
        <w:pStyle w:val="891"/>
        <w:ind w:firstLine="420"/>
        <w:spacing w:line="480" w:lineRule="exact"/>
        <w:rPr>
          <w:rFonts w:hint="eastAsia" w:ascii="Times New Roman" w:hAnsi="Times New Roman" w:eastAsia="宋体" w:cs="Times New Roman"/>
        </w:rPr>
      </w:pPr>
      <w:r>
        <w:rPr>
          <w:rFonts w:hint="eastAsia" w:ascii="Times New Roman" w:hAnsi="Times New Roman" w:eastAsia="宋体" w:cs="Times New Roman"/>
        </w:rPr>
        <w:t xml:space="preserve">3.1一台仪器4个名额，参加原厂组织的实操培训，培训时间不少于5天。</w:t>
      </w:r>
      <w:bookmarkEnd w:id="210"/>
      <w:r>
        <w:rPr>
          <w:rFonts w:hint="eastAsia" w:ascii="Times New Roman" w:hAnsi="Times New Roman" w:eastAsia="宋体" w:cs="Times New Roman"/>
        </w:rPr>
      </w:r>
      <w:r/>
    </w:p>
    <w:p>
      <w:pPr>
        <w:pStyle w:val="891"/>
        <w:ind w:firstLine="420"/>
        <w:spacing w:line="480" w:lineRule="exact"/>
      </w:pPr>
      <w:r>
        <w:rPr>
          <w:rFonts w:hint="eastAsia"/>
        </w:rPr>
        <w:t xml:space="preserve">4、配置要求 </w:t>
      </w:r>
      <w:r/>
    </w:p>
    <w:p>
      <w:pPr>
        <w:pStyle w:val="891"/>
        <w:ind w:firstLine="420"/>
        <w:spacing w:line="480" w:lineRule="exact"/>
      </w:pPr>
      <w:r>
        <w:rPr>
          <w:rFonts w:hint="eastAsia"/>
        </w:rPr>
        <w:t xml:space="preserve">4.1三重四极杆气质质谱仪主机(EI/CI) 1套</w:t>
      </w:r>
      <w:r/>
    </w:p>
    <w:p>
      <w:pPr>
        <w:pStyle w:val="891"/>
        <w:ind w:firstLine="420"/>
        <w:spacing w:line="480" w:lineRule="exact"/>
      </w:pPr>
      <w:r>
        <w:rPr>
          <w:rFonts w:hint="eastAsia"/>
        </w:rPr>
        <w:t xml:space="preserve">4.2气相色谱仪主机1套</w:t>
      </w:r>
      <w:r/>
    </w:p>
    <w:p>
      <w:pPr>
        <w:pStyle w:val="891"/>
        <w:ind w:firstLine="420"/>
        <w:spacing w:line="480" w:lineRule="exact"/>
      </w:pPr>
      <w:r>
        <w:rPr>
          <w:rFonts w:hint="eastAsia"/>
        </w:rPr>
        <w:t xml:space="preserve">4.3分流/不分流进样口（含电子流量控制）2套</w:t>
      </w:r>
      <w:r/>
    </w:p>
    <w:p>
      <w:pPr>
        <w:pStyle w:val="891"/>
        <w:ind w:firstLine="420"/>
        <w:spacing w:line="480" w:lineRule="exact"/>
      </w:pPr>
      <w:r>
        <w:rPr>
          <w:rFonts w:hint="eastAsia"/>
        </w:rPr>
        <w:t xml:space="preserve">4.4液体自动进样器 1套</w:t>
      </w:r>
      <w:r/>
    </w:p>
    <w:p>
      <w:pPr>
        <w:pStyle w:val="891"/>
        <w:ind w:firstLine="420"/>
        <w:spacing w:line="480" w:lineRule="exact"/>
      </w:pPr>
      <w:r>
        <w:rPr>
          <w:rFonts w:hint="eastAsia"/>
        </w:rPr>
        <w:t xml:space="preserve">4.5顶空自动进样器 1套</w:t>
      </w:r>
      <w:r/>
    </w:p>
    <w:p>
      <w:pPr>
        <w:pStyle w:val="891"/>
        <w:ind w:firstLine="420"/>
        <w:spacing w:line="480" w:lineRule="exact"/>
      </w:pPr>
      <w:r>
        <w:rPr>
          <w:rFonts w:hint="eastAsia"/>
        </w:rPr>
        <w:t xml:space="preserve">4.6色谱柱前、柱中及柱后反吹组件1套</w:t>
      </w:r>
      <w:r/>
    </w:p>
    <w:p>
      <w:pPr>
        <w:pStyle w:val="891"/>
        <w:ind w:firstLine="420"/>
        <w:spacing w:line="480" w:lineRule="exact"/>
      </w:pPr>
      <w:r>
        <w:rPr>
          <w:rFonts w:hint="eastAsia"/>
        </w:rPr>
        <w:t xml:space="preserve">4.7超过1000种物质的MRM数据库1套</w:t>
      </w:r>
      <w:r/>
    </w:p>
    <w:p>
      <w:pPr>
        <w:pStyle w:val="891"/>
        <w:ind w:firstLine="420"/>
        <w:spacing w:line="480" w:lineRule="exact"/>
      </w:pPr>
      <w:r>
        <w:rPr>
          <w:rFonts w:hint="eastAsia"/>
        </w:rPr>
        <w:t xml:space="preserve">4.8常用耗材（衬管4套、超高惰性衬管4套、隔垫2包、气质色谱柱5根、真空泵油2L、载气过滤器1个、离子源灯丝1根、调谐标样1瓶、进样针5根、液体样品瓶500个，顶空瓶200个，通用螺帽2包，密封垫2包）</w:t>
      </w:r>
      <w:r/>
    </w:p>
    <w:p>
      <w:pPr>
        <w:pStyle w:val="891"/>
        <w:ind w:firstLine="420"/>
        <w:spacing w:line="480" w:lineRule="exact"/>
      </w:pPr>
      <w:r>
        <w:rPr>
          <w:rFonts w:hint="eastAsia"/>
        </w:rPr>
        <w:t xml:space="preserve">4.9仪器控制和数据处理系统（固态硬盘+硬盘≥1.2TB、内存≥32GB；具有不少于4个 USB3.0专用接口；27寸双屏）1套；</w:t>
      </w:r>
      <w:r/>
    </w:p>
    <w:p>
      <w:pPr>
        <w:pStyle w:val="891"/>
        <w:ind w:firstLine="420"/>
        <w:spacing w:line="480" w:lineRule="exact"/>
      </w:pPr>
      <w:r>
        <w:rPr>
          <w:rFonts w:hint="eastAsia"/>
        </w:rPr>
        <w:t xml:space="preserve">4.10数据输出系统1台；</w:t>
      </w:r>
      <w:r/>
    </w:p>
    <w:p>
      <w:pPr>
        <w:pStyle w:val="891"/>
        <w:ind w:firstLine="420"/>
        <w:spacing w:line="480" w:lineRule="exact"/>
      </w:pPr>
      <w:r>
        <w:rPr>
          <w:rFonts w:hint="eastAsia"/>
        </w:rPr>
        <w:t xml:space="preserve">4.11不间断电源（≥6KVA，延时2小时） 1套；</w:t>
      </w:r>
      <w:r/>
    </w:p>
    <w:p>
      <w:pPr>
        <w:pStyle w:val="891"/>
        <w:ind w:firstLine="420"/>
        <w:spacing w:line="480" w:lineRule="exact"/>
      </w:pPr>
      <w:r>
        <w:rPr>
          <w:rFonts w:hint="eastAsia"/>
        </w:rPr>
        <w:t xml:space="preserve">4.12隔离变压器（≥10KVA） 1台。</w:t>
      </w:r>
      <w:r/>
    </w:p>
    <w:p>
      <w:pPr>
        <w:pStyle w:val="903"/>
        <w:ind w:firstLine="210"/>
        <w:spacing w:after="0" w:line="360" w:lineRule="exact"/>
      </w:pPr>
      <w:r/>
      <w:r/>
    </w:p>
    <w:p>
      <w:pPr>
        <w:pStyle w:val="891"/>
        <w:ind w:firstLine="420"/>
        <w:spacing w:line="480" w:lineRule="exact"/>
      </w:pPr>
      <w:r>
        <w:rPr>
          <w:rFonts w:hint="eastAsia"/>
        </w:rPr>
        <w:t xml:space="preserve">品目二：三重四级杆液质联用仪 1台</w:t>
      </w:r>
      <w:r/>
    </w:p>
    <w:p>
      <w:pPr>
        <w:pStyle w:val="891"/>
        <w:ind w:firstLine="420"/>
        <w:spacing w:line="480" w:lineRule="exact"/>
      </w:pPr>
      <w:r>
        <w:rPr>
          <w:rFonts w:hint="eastAsia"/>
        </w:rPr>
        <w:t xml:space="preserve">1、工作条件</w:t>
      </w:r>
      <w:r/>
    </w:p>
    <w:p>
      <w:pPr>
        <w:pStyle w:val="891"/>
        <w:ind w:firstLine="420"/>
        <w:spacing w:line="480" w:lineRule="exact"/>
      </w:pPr>
      <w:r>
        <w:rPr>
          <w:rFonts w:hint="eastAsia"/>
        </w:rPr>
        <w:t xml:space="preserve">1.1电源电压：220V 50Hz</w:t>
      </w:r>
      <w:r/>
    </w:p>
    <w:p>
      <w:pPr>
        <w:pStyle w:val="891"/>
        <w:ind w:firstLine="420"/>
        <w:spacing w:line="480" w:lineRule="exact"/>
      </w:pPr>
      <w:r>
        <w:rPr>
          <w:rFonts w:hint="eastAsia"/>
        </w:rPr>
        <w:t xml:space="preserve">1.2环境温度：操作环境20～35℃</w:t>
      </w:r>
      <w:r/>
    </w:p>
    <w:p>
      <w:pPr>
        <w:pStyle w:val="891"/>
        <w:ind w:firstLine="420"/>
        <w:spacing w:line="480" w:lineRule="exact"/>
      </w:pPr>
      <w:r>
        <w:rPr>
          <w:rFonts w:hint="eastAsia"/>
        </w:rPr>
        <w:t xml:space="preserve">1.3相对湿度：操作状态25～50%，非操作状态20～80%</w:t>
      </w:r>
      <w:r/>
    </w:p>
    <w:p>
      <w:pPr>
        <w:pStyle w:val="891"/>
        <w:ind w:firstLine="420"/>
        <w:spacing w:line="480" w:lineRule="exact"/>
      </w:pPr>
      <w:r>
        <w:rPr>
          <w:rFonts w:hint="eastAsia"/>
        </w:rPr>
        <w:t xml:space="preserve">2、技术指标</w:t>
      </w:r>
      <w:r/>
    </w:p>
    <w:p>
      <w:pPr>
        <w:pStyle w:val="891"/>
        <w:ind w:firstLine="420"/>
        <w:spacing w:line="480" w:lineRule="exact"/>
      </w:pPr>
      <w:r>
        <w:rPr>
          <w:rFonts w:hint="eastAsia"/>
        </w:rPr>
        <w:t xml:space="preserve">2.1液相色谱部分</w:t>
      </w:r>
      <w:r/>
    </w:p>
    <w:p>
      <w:pPr>
        <w:pStyle w:val="891"/>
        <w:ind w:firstLine="420"/>
        <w:spacing w:line="480" w:lineRule="exact"/>
      </w:pPr>
      <w:r>
        <w:rPr>
          <w:rFonts w:hint="eastAsia"/>
        </w:rPr>
        <w:t xml:space="preserve">2.1.1超高压二元梯度泵</w:t>
      </w:r>
      <w:r/>
    </w:p>
    <w:p>
      <w:pPr>
        <w:pStyle w:val="891"/>
        <w:ind w:firstLine="420"/>
        <w:spacing w:line="480" w:lineRule="exact"/>
      </w:pPr>
      <w:r>
        <w:rPr>
          <w:rFonts w:hint="eastAsia"/>
        </w:rPr>
        <w:t xml:space="preserve">2.1.1.1串联式双柱塞往复泵</w:t>
      </w:r>
      <w:r/>
    </w:p>
    <w:p>
      <w:pPr>
        <w:pStyle w:val="891"/>
        <w:ind w:firstLine="420"/>
        <w:spacing w:line="480" w:lineRule="exact"/>
      </w:pPr>
      <w:r>
        <w:rPr>
          <w:rFonts w:hint="eastAsia"/>
        </w:rPr>
        <w:t xml:space="preserve">▲2.1.1.2流量范围：不小于区间0.001mL/min～2.0mL/min范围，递增率0.001mL/min，最大耐压：≥17400psi（1200bar）</w:t>
      </w:r>
      <w:r/>
    </w:p>
    <w:p>
      <w:pPr>
        <w:pStyle w:val="891"/>
        <w:ind w:firstLine="420"/>
        <w:spacing w:line="480" w:lineRule="exact"/>
      </w:pPr>
      <w:r>
        <w:rPr>
          <w:rFonts w:hint="eastAsia"/>
        </w:rPr>
        <w:t xml:space="preserve">2.1.1.3流量精度：≤0.075%RSD</w:t>
      </w:r>
      <w:r/>
    </w:p>
    <w:p>
      <w:pPr>
        <w:pStyle w:val="891"/>
        <w:ind w:firstLine="420"/>
        <w:spacing w:line="480" w:lineRule="exact"/>
      </w:pPr>
      <w:r>
        <w:rPr>
          <w:rFonts w:hint="eastAsia"/>
        </w:rPr>
        <w:t xml:space="preserve">2.1.1.4可实现梯度洗脱范围：1%～99%（需提供原厂技术证明材料，如白皮书、彩页、手册等）</w:t>
      </w:r>
      <w:r/>
    </w:p>
    <w:p>
      <w:pPr>
        <w:pStyle w:val="891"/>
        <w:ind w:firstLine="420"/>
        <w:spacing w:line="480" w:lineRule="exact"/>
      </w:pPr>
      <w:r>
        <w:rPr>
          <w:rFonts w:hint="eastAsia"/>
        </w:rPr>
        <w:t xml:space="preserve">2.1.1.5梯度精度：≤0.5%RSD</w:t>
      </w:r>
      <w:r/>
    </w:p>
    <w:p>
      <w:pPr>
        <w:pStyle w:val="891"/>
        <w:ind w:firstLine="420"/>
        <w:spacing w:line="480" w:lineRule="exact"/>
      </w:pPr>
      <w:r>
        <w:rPr>
          <w:rFonts w:hint="eastAsia"/>
        </w:rPr>
        <w:t xml:space="preserve">2.1.1.6延迟体积：≤100μL</w:t>
      </w:r>
      <w:r/>
    </w:p>
    <w:p>
      <w:pPr>
        <w:pStyle w:val="891"/>
        <w:ind w:firstLine="420"/>
        <w:spacing w:line="480" w:lineRule="exact"/>
      </w:pPr>
      <w:r>
        <w:rPr>
          <w:rFonts w:hint="eastAsia"/>
        </w:rPr>
        <w:t xml:space="preserve">▲2.1.1.7可通过智能模拟或其他技术可模拟不同型号仪器的方法，做到一机多用。</w:t>
      </w:r>
      <w:r/>
    </w:p>
    <w:p>
      <w:pPr>
        <w:pStyle w:val="891"/>
        <w:ind w:firstLine="420"/>
        <w:spacing w:line="480" w:lineRule="exact"/>
      </w:pPr>
      <w:r>
        <w:rPr>
          <w:rFonts w:hint="eastAsia"/>
        </w:rPr>
        <w:t xml:space="preserve">2.1.2自动进样器</w:t>
      </w:r>
      <w:r/>
    </w:p>
    <w:p>
      <w:pPr>
        <w:pStyle w:val="891"/>
        <w:ind w:firstLine="420"/>
        <w:spacing w:line="480" w:lineRule="exact"/>
      </w:pPr>
      <w:r>
        <w:rPr>
          <w:rFonts w:hint="eastAsia"/>
        </w:rPr>
        <w:t xml:space="preserve">▲2.1.2.1自动进样器样品容量：可容纳≥120个2mL 样品瓶</w:t>
      </w:r>
      <w:r/>
    </w:p>
    <w:p>
      <w:pPr>
        <w:pStyle w:val="891"/>
        <w:ind w:firstLine="420"/>
        <w:spacing w:line="480" w:lineRule="exact"/>
      </w:pPr>
      <w:r>
        <w:rPr>
          <w:rFonts w:hint="eastAsia"/>
        </w:rPr>
        <w:t xml:space="preserve">2.1.2.2进样范围：不小于区间0～20μL范围</w:t>
      </w:r>
      <w:r/>
    </w:p>
    <w:p>
      <w:pPr>
        <w:pStyle w:val="891"/>
        <w:ind w:firstLine="420"/>
        <w:spacing w:line="480" w:lineRule="exact"/>
      </w:pPr>
      <w:r>
        <w:rPr>
          <w:rFonts w:hint="eastAsia"/>
        </w:rPr>
        <w:t xml:space="preserve">2.1.2.3进样精度：≤0.25%RSD</w:t>
      </w:r>
      <w:r/>
    </w:p>
    <w:p>
      <w:pPr>
        <w:pStyle w:val="891"/>
        <w:ind w:firstLine="420"/>
        <w:spacing w:line="480" w:lineRule="exact"/>
      </w:pPr>
      <w:r>
        <w:rPr>
          <w:rFonts w:hint="eastAsia"/>
        </w:rPr>
        <w:t xml:space="preserve">2.1.2.4交叉污染度：≤0.003%（30ppm） </w:t>
      </w:r>
      <w:r/>
    </w:p>
    <w:p>
      <w:pPr>
        <w:pStyle w:val="891"/>
        <w:ind w:firstLine="420"/>
        <w:spacing w:line="480" w:lineRule="exact"/>
      </w:pPr>
      <w:r>
        <w:rPr>
          <w:rFonts w:hint="eastAsia"/>
        </w:rPr>
        <w:t xml:space="preserve">2.1.2.5最高耐压范围：≥17400psi（1200bar）</w:t>
      </w:r>
      <w:r/>
    </w:p>
    <w:p>
      <w:pPr>
        <w:pStyle w:val="891"/>
        <w:ind w:firstLine="420"/>
        <w:spacing w:line="480" w:lineRule="exact"/>
      </w:pPr>
      <w:r>
        <w:rPr>
          <w:rFonts w:hint="eastAsia"/>
        </w:rPr>
        <w:t xml:space="preserve">2.1.2.6内置控温模块，控温范围：不小于区间4℃～40℃范围；</w:t>
      </w:r>
      <w:r>
        <w:t xml:space="preserve"> </w:t>
      </w:r>
      <w:r/>
    </w:p>
    <w:p>
      <w:pPr>
        <w:pStyle w:val="891"/>
        <w:ind w:firstLine="420"/>
        <w:spacing w:line="480" w:lineRule="exact"/>
      </w:pPr>
      <w:r>
        <w:rPr>
          <w:rFonts w:hint="eastAsia"/>
        </w:rPr>
        <w:t xml:space="preserve">2.1.3智能化可降温柱箱</w:t>
      </w:r>
      <w:r/>
    </w:p>
    <w:p>
      <w:pPr>
        <w:pStyle w:val="891"/>
        <w:ind w:firstLine="420"/>
        <w:spacing w:line="480" w:lineRule="exact"/>
      </w:pPr>
      <w:r>
        <w:rPr>
          <w:rFonts w:hint="eastAsia"/>
        </w:rPr>
        <w:t xml:space="preserve">▲2.1.3.1柱温范围：不小于区间20℃～90℃范围；</w:t>
      </w:r>
      <w:r/>
    </w:p>
    <w:p>
      <w:pPr>
        <w:pStyle w:val="891"/>
        <w:ind w:firstLine="420"/>
        <w:spacing w:line="480" w:lineRule="exact"/>
      </w:pPr>
      <w:r>
        <w:rPr>
          <w:rFonts w:hint="eastAsia"/>
        </w:rPr>
        <w:t xml:space="preserve">2.1.3.2温度准确度：校正后±0.5℃</w:t>
      </w:r>
      <w:r/>
    </w:p>
    <w:p>
      <w:pPr>
        <w:pStyle w:val="891"/>
        <w:ind w:firstLine="420"/>
        <w:spacing w:line="480" w:lineRule="exact"/>
      </w:pPr>
      <w:r>
        <w:rPr>
          <w:rFonts w:hint="eastAsia"/>
        </w:rPr>
        <w:t xml:space="preserve">2.1.3.3柱容量：同时容纳30cm柱四根或15cm柱8根，内置2位6通色谱柱切换阀及相关驱动和工具包，可实现多柱或者多检测器自动切换。</w:t>
      </w:r>
      <w:r/>
    </w:p>
    <w:p>
      <w:pPr>
        <w:pStyle w:val="891"/>
        <w:ind w:firstLine="420"/>
        <w:spacing w:line="480" w:lineRule="exact"/>
      </w:pPr>
      <w:r>
        <w:rPr>
          <w:rFonts w:hint="eastAsia"/>
        </w:rPr>
        <w:t xml:space="preserve">2.1.3.4柱温箱最大压力≥17400psi（1200bar）</w:t>
      </w:r>
      <w:r/>
    </w:p>
    <w:p>
      <w:pPr>
        <w:pStyle w:val="891"/>
        <w:ind w:firstLine="420"/>
        <w:spacing w:line="480" w:lineRule="exact"/>
      </w:pPr>
      <w:r>
        <w:rPr>
          <w:rFonts w:hint="eastAsia"/>
        </w:rPr>
        <w:t xml:space="preserve">2.1.4二极管阵列检测器</w:t>
      </w:r>
      <w:r/>
    </w:p>
    <w:p>
      <w:pPr>
        <w:pStyle w:val="891"/>
        <w:ind w:firstLine="420"/>
        <w:spacing w:line="480" w:lineRule="exact"/>
      </w:pPr>
      <w:r>
        <w:rPr>
          <w:rFonts w:hint="eastAsia"/>
        </w:rPr>
        <w:t xml:space="preserve">▲2.1.4.1检测器类型：1024个二极管元件</w:t>
      </w:r>
      <w:r/>
    </w:p>
    <w:p>
      <w:pPr>
        <w:pStyle w:val="891"/>
        <w:ind w:firstLine="420"/>
        <w:spacing w:line="480" w:lineRule="exact"/>
      </w:pPr>
      <w:r>
        <w:rPr>
          <w:rFonts w:hint="eastAsia"/>
        </w:rPr>
        <w:t xml:space="preserve">2.1.4.2信号数量：8</w:t>
      </w:r>
      <w:r/>
    </w:p>
    <w:p>
      <w:pPr>
        <w:pStyle w:val="891"/>
        <w:ind w:firstLine="420"/>
        <w:spacing w:line="480" w:lineRule="exact"/>
      </w:pPr>
      <w:r>
        <w:rPr>
          <w:rFonts w:hint="eastAsia"/>
        </w:rPr>
        <w:t xml:space="preserve">2.1.4.3漂移：＜0.5×10</w:t>
      </w:r>
      <w:r>
        <w:rPr>
          <w:rFonts w:hint="eastAsia"/>
          <w:vertAlign w:val="superscript"/>
        </w:rPr>
        <w:t xml:space="preserve">-3</w:t>
      </w:r>
      <w:r>
        <w:rPr>
          <w:rFonts w:hint="eastAsia"/>
        </w:rPr>
        <w:t xml:space="preserve">AU/h</w:t>
      </w:r>
      <w:r/>
    </w:p>
    <w:p>
      <w:pPr>
        <w:pStyle w:val="891"/>
        <w:ind w:firstLine="420"/>
        <w:spacing w:line="480" w:lineRule="exact"/>
      </w:pPr>
      <w:r>
        <w:rPr>
          <w:rFonts w:hint="eastAsia"/>
        </w:rPr>
        <w:t xml:space="preserve">2.1.4.4波长范围：不小于区间190～600nm范围</w:t>
      </w:r>
      <w:r/>
    </w:p>
    <w:p>
      <w:pPr>
        <w:pStyle w:val="891"/>
        <w:ind w:firstLine="420"/>
        <w:spacing w:line="480" w:lineRule="exact"/>
      </w:pPr>
      <w:r>
        <w:rPr>
          <w:rFonts w:hint="eastAsia"/>
        </w:rPr>
        <w:t xml:space="preserve">2.1.4.5波长准确度：±1nm，自动校正。</w:t>
      </w:r>
      <w:r/>
    </w:p>
    <w:p>
      <w:pPr>
        <w:pStyle w:val="891"/>
        <w:ind w:firstLine="420"/>
        <w:spacing w:line="480" w:lineRule="exact"/>
      </w:pPr>
      <w:r>
        <w:rPr>
          <w:rFonts w:hint="eastAsia"/>
        </w:rPr>
        <w:t xml:space="preserve">2.2三重串联四极杆质谱仪</w:t>
      </w:r>
      <w:r/>
    </w:p>
    <w:p>
      <w:pPr>
        <w:pStyle w:val="891"/>
        <w:ind w:firstLine="420"/>
        <w:spacing w:line="480" w:lineRule="exact"/>
      </w:pPr>
      <w:r>
        <w:rPr>
          <w:rFonts w:hint="eastAsia"/>
        </w:rPr>
        <w:t xml:space="preserve">2.2.1为保证产品使用周期及售后服务完整性及可持续性，要求所投产品必须为六年内上市产品，并提供产品上市时间及型号及公开信息链接，以及官方盖章证明。</w:t>
      </w:r>
      <w:r/>
    </w:p>
    <w:p>
      <w:pPr>
        <w:pStyle w:val="891"/>
        <w:ind w:firstLine="420"/>
        <w:spacing w:line="480" w:lineRule="exact"/>
      </w:pPr>
      <w:r>
        <w:rPr>
          <w:rFonts w:hint="eastAsia"/>
        </w:rPr>
        <w:t xml:space="preserve">2.2.2离子源：独立的ESI源和APCI源。</w:t>
      </w:r>
      <w:r/>
    </w:p>
    <w:p>
      <w:pPr>
        <w:pStyle w:val="891"/>
        <w:ind w:firstLine="420"/>
        <w:spacing w:line="480" w:lineRule="exact"/>
      </w:pPr>
      <w:r>
        <w:rPr>
          <w:rFonts w:hint="eastAsia"/>
        </w:rPr>
        <w:t xml:space="preserve">2.2.3扫描方式：全扫描、子离子扫描、母离子扫描、中性丢失扫描、MRM（用于定量分析）、触发式MRM或扫描、选择性离子监测，手动时间编程、正/负极性切换。</w:t>
      </w:r>
      <w:r/>
    </w:p>
    <w:p>
      <w:pPr>
        <w:pStyle w:val="891"/>
        <w:ind w:firstLine="420"/>
        <w:spacing w:line="480" w:lineRule="exact"/>
      </w:pPr>
      <w:r>
        <w:rPr>
          <w:rFonts w:hint="eastAsia"/>
        </w:rPr>
        <w:t xml:space="preserve">2.2.4检测性能：</w:t>
      </w:r>
      <w:r/>
    </w:p>
    <w:p>
      <w:pPr>
        <w:pStyle w:val="891"/>
        <w:ind w:firstLine="420"/>
        <w:spacing w:line="480" w:lineRule="exact"/>
      </w:pPr>
      <w:r>
        <w:rPr>
          <w:rFonts w:hint="eastAsia"/>
        </w:rPr>
        <w:t xml:space="preserve">▲2.2.4.1质量范围：母离子单电荷上限≥m/z 2048amu。</w:t>
      </w:r>
      <w:r/>
    </w:p>
    <w:p>
      <w:pPr>
        <w:pStyle w:val="891"/>
        <w:ind w:firstLine="420"/>
        <w:spacing w:line="480" w:lineRule="exact"/>
      </w:pPr>
      <w:r>
        <w:rPr>
          <w:rFonts w:hint="eastAsia"/>
        </w:rPr>
        <w:t xml:space="preserve">2.2.4.2最大扫描速率：≥15,000amu/s（以0.1amu步径做全扫描）</w:t>
      </w:r>
      <w:r/>
    </w:p>
    <w:p>
      <w:pPr>
        <w:pStyle w:val="891"/>
        <w:ind w:firstLine="420"/>
        <w:spacing w:line="480" w:lineRule="exact"/>
      </w:pPr>
      <w:r>
        <w:rPr>
          <w:rFonts w:hint="eastAsia"/>
        </w:rPr>
        <w:t xml:space="preserve">2.2.4.3 ESI+灵敏度：1pg利血平，分辨率为0.7±0.1amu（半峰宽）时，柱上进样量，信噪比＞800,000:1 (m/z 609＞195)；ESI-灵敏度：1pg氯霉素，分辨率为0.7±0.1amu（半峰宽）时，柱上进样量，信噪比＞800,000:1 (m/z 321＞152)（需提供原厂技术证明材料，如白皮书、彩页、手册等）；APCI灵敏度：NDMA水溶液，0.025ng/ml进样量20ul, S/N＞10，连续3针峰面积RSD＜3%（提供文献数据证明）</w:t>
      </w:r>
      <w:r/>
    </w:p>
    <w:p>
      <w:pPr>
        <w:pStyle w:val="891"/>
        <w:ind w:firstLine="420"/>
        <w:spacing w:line="480" w:lineRule="exact"/>
      </w:pPr>
      <w:r>
        <w:rPr>
          <w:rFonts w:hint="eastAsia"/>
        </w:rPr>
        <w:t xml:space="preserve">2.2.4.4正负模式切换时间：≤30ms；</w:t>
      </w:r>
      <w:r/>
    </w:p>
    <w:p>
      <w:pPr>
        <w:pStyle w:val="891"/>
        <w:ind w:firstLine="420"/>
        <w:spacing w:line="480" w:lineRule="exact"/>
      </w:pPr>
      <w:r>
        <w:rPr>
          <w:rFonts w:hint="eastAsia"/>
        </w:rPr>
        <w:t xml:space="preserve">2.2.4.5质量轴稳定性：≤0.1amu/24hours；</w:t>
      </w:r>
      <w:r/>
    </w:p>
    <w:p>
      <w:pPr>
        <w:pStyle w:val="891"/>
        <w:ind w:firstLine="420"/>
        <w:spacing w:line="480" w:lineRule="exact"/>
      </w:pPr>
      <w:r>
        <w:rPr>
          <w:rFonts w:hint="eastAsia"/>
        </w:rPr>
        <w:t xml:space="preserve">2.2.4.6可同时做500个MRM离子对检测；</w:t>
      </w:r>
      <w:r/>
    </w:p>
    <w:p>
      <w:pPr>
        <w:pStyle w:val="891"/>
        <w:ind w:firstLine="420"/>
        <w:spacing w:line="480" w:lineRule="exact"/>
      </w:pPr>
      <w:r>
        <w:rPr>
          <w:rFonts w:hint="eastAsia"/>
        </w:rPr>
        <w:t xml:space="preserve">2.2.4.7四极杆：具有恒温温控技术，四极杆终身免维护，或无温控技术提供终身免费上门清洗服务；</w:t>
      </w:r>
      <w:r/>
    </w:p>
    <w:p>
      <w:pPr>
        <w:pStyle w:val="891"/>
        <w:ind w:firstLine="420"/>
        <w:spacing w:line="480" w:lineRule="exact"/>
      </w:pPr>
      <w:r>
        <w:rPr>
          <w:rFonts w:hint="eastAsia"/>
        </w:rPr>
        <w:t xml:space="preserve">2.2.4.8碰撞反应池：采用弯曲碰撞池或采用环形堆叠技术碰撞池。（需提供仪器三重四级杆硬件结构图，能够直接分辨碰撞室结构；验收时，提供拆机验收碰撞室结构服务。）</w:t>
      </w:r>
      <w:r/>
    </w:p>
    <w:p>
      <w:pPr>
        <w:pStyle w:val="891"/>
        <w:ind w:firstLine="420"/>
        <w:spacing w:line="480" w:lineRule="exact"/>
      </w:pPr>
      <w:r>
        <w:rPr>
          <w:rFonts w:hint="eastAsia"/>
        </w:rPr>
        <w:t xml:space="preserve">2.2.4.9重现性：1pg利血平柱上进样，连续10针峰面积RSD＜2%（提供数据证明）</w:t>
      </w:r>
      <w:r/>
    </w:p>
    <w:p>
      <w:pPr>
        <w:pStyle w:val="891"/>
        <w:ind w:firstLine="420"/>
        <w:spacing w:line="480" w:lineRule="exact"/>
      </w:pPr>
      <w:r>
        <w:rPr>
          <w:rFonts w:hint="eastAsia"/>
        </w:rPr>
        <w:t xml:space="preserve">2.2.4.10通量能力：一针进样，质谱端不分时间段至少可同时检测500种以上化合物，无需手动设定保留时间和驻留时间（提供应用文献支持）</w:t>
      </w:r>
      <w:r/>
    </w:p>
    <w:p>
      <w:pPr>
        <w:pStyle w:val="891"/>
        <w:ind w:firstLine="420"/>
        <w:spacing w:line="480" w:lineRule="exact"/>
      </w:pPr>
      <w:r>
        <w:rPr>
          <w:rFonts w:hint="eastAsia"/>
        </w:rPr>
        <w:t xml:space="preserve">2.2.4.11兽药多残留检测技术：提供肉类基质中至少220种多兽药残留同时检测方法，以及乳制品中至少200种多兽药残留同时检测的LCMS方法，提供前处理流程、具体化合物列表、混标供应信息、具体方法文件、谱图。兽药二级质谱库提供至少600种兽药化合物的二级质谱谱图信息。</w:t>
      </w:r>
      <w:r/>
    </w:p>
    <w:p>
      <w:pPr>
        <w:pStyle w:val="891"/>
        <w:ind w:firstLine="420"/>
        <w:spacing w:line="480" w:lineRule="exact"/>
      </w:pPr>
      <w:r>
        <w:rPr>
          <w:rFonts w:hint="eastAsia"/>
        </w:rPr>
        <w:t xml:space="preserve">2.2.4.12农药多残留检测技术：提供植物源性食品中至少300种农药多残留同时检测方法包，提供前处理流程、具体化合物列表、混标供应信息、具体方法文件、谱图。农药二级质谱库提供至少700种农药化合物的二级质谱谱图信息，提供官方谱库宣传资料及化合物列表信息。提供GB23200.121完整电子方法包。</w:t>
      </w:r>
      <w:r/>
    </w:p>
    <w:p>
      <w:pPr>
        <w:pStyle w:val="891"/>
        <w:ind w:firstLine="420"/>
        <w:spacing w:line="480" w:lineRule="exact"/>
      </w:pPr>
      <w:r>
        <w:rPr>
          <w:rFonts w:hint="eastAsia"/>
        </w:rPr>
        <w:t xml:space="preserve">2.3工作站软件</w:t>
      </w:r>
      <w:r/>
    </w:p>
    <w:p>
      <w:pPr>
        <w:pStyle w:val="891"/>
        <w:ind w:firstLine="420"/>
        <w:spacing w:line="480" w:lineRule="exact"/>
      </w:pPr>
      <w:r>
        <w:rPr>
          <w:rFonts w:hint="eastAsia"/>
        </w:rPr>
        <w:t xml:space="preserve">2.3.1全自动调谐系统，调谐液自动输送，自动参数优化。可完成调谐。</w:t>
      </w:r>
      <w:r/>
    </w:p>
    <w:p>
      <w:pPr>
        <w:pStyle w:val="891"/>
        <w:ind w:firstLine="420"/>
        <w:spacing w:line="480" w:lineRule="exact"/>
      </w:pPr>
      <w:r>
        <w:rPr>
          <w:rFonts w:hint="eastAsia"/>
        </w:rPr>
        <w:t xml:space="preserve">2.3.2自动方法优化软件：采用流动注射功能，自动优化每个目标化合物的质谱参数。</w:t>
      </w:r>
      <w:r/>
    </w:p>
    <w:p>
      <w:pPr>
        <w:pStyle w:val="891"/>
        <w:ind w:firstLine="420"/>
        <w:spacing w:line="480" w:lineRule="exact"/>
      </w:pPr>
      <w:r>
        <w:rPr>
          <w:rFonts w:hint="eastAsia"/>
        </w:rPr>
        <w:t xml:space="preserve">2.3.3多反应监测（MRM）可以链接内标化合物名称。样品信息自动导入。可以对每一个离子设定驻留时间，碰撞电压，碰撞能量。一次进样可同时进行500对离子检测。</w:t>
      </w:r>
      <w:r/>
    </w:p>
    <w:p>
      <w:pPr>
        <w:pStyle w:val="891"/>
        <w:ind w:firstLine="420"/>
        <w:spacing w:line="480" w:lineRule="exact"/>
      </w:pPr>
      <w:r>
        <w:rPr>
          <w:rFonts w:hint="eastAsia"/>
        </w:rPr>
        <w:t xml:space="preserve">2.3.4同时定量和定性确认。MRM自动触发二级离子定性检测的同时，MRM定量检测灵敏度不得低于单独检测时的灵敏度，获得的二级离子谱图可以进行谱库检索。</w:t>
      </w:r>
      <w:r/>
    </w:p>
    <w:p>
      <w:pPr>
        <w:pStyle w:val="891"/>
        <w:ind w:firstLine="420"/>
        <w:spacing w:line="480" w:lineRule="exact"/>
      </w:pPr>
      <w:r>
        <w:rPr>
          <w:rFonts w:hint="eastAsia"/>
        </w:rPr>
        <w:t xml:space="preserve">2.3.6液相色谱和质谱为同一品牌。色谱和质谱需使用同一个软件平台，以保证服务的一致性。</w:t>
      </w:r>
      <w:r/>
    </w:p>
    <w:p>
      <w:pPr>
        <w:pStyle w:val="891"/>
        <w:ind w:firstLine="420"/>
        <w:spacing w:line="480" w:lineRule="exact"/>
      </w:pPr>
      <w:r>
        <w:rPr>
          <w:rFonts w:hint="eastAsia"/>
        </w:rPr>
        <w:t xml:space="preserve">2.3.7为保证仪器使用效率，质谱关机状态下，质谱软件平台可独立控制液相色谱。所配的质谱软件要求可以反控全套液相色谱系统。</w:t>
      </w:r>
      <w:r/>
    </w:p>
    <w:p>
      <w:pPr>
        <w:pStyle w:val="891"/>
        <w:ind w:firstLine="420"/>
        <w:spacing w:line="480" w:lineRule="exact"/>
      </w:pPr>
      <w:r>
        <w:rPr>
          <w:rFonts w:hint="eastAsia"/>
        </w:rPr>
        <w:t xml:space="preserve">2.4进口氮气发生器</w:t>
      </w:r>
      <w:r/>
    </w:p>
    <w:p>
      <w:pPr>
        <w:pStyle w:val="891"/>
        <w:ind w:firstLine="420"/>
        <w:spacing w:line="480" w:lineRule="exact"/>
      </w:pPr>
      <w:r>
        <w:rPr>
          <w:rFonts w:hint="eastAsia"/>
        </w:rPr>
        <w:t xml:space="preserve">2.4.1最大流速：≥32L/min</w:t>
      </w:r>
      <w:r/>
    </w:p>
    <w:p>
      <w:pPr>
        <w:pStyle w:val="891"/>
        <w:ind w:firstLine="420"/>
        <w:spacing w:line="480" w:lineRule="exact"/>
      </w:pPr>
      <w:r>
        <w:rPr>
          <w:rFonts w:hint="eastAsia"/>
        </w:rPr>
        <w:t xml:space="preserve">2.4.2 最大压力：≥100psi（6.9bar）</w:t>
      </w:r>
      <w:r/>
    </w:p>
    <w:p>
      <w:pPr>
        <w:pStyle w:val="891"/>
        <w:ind w:firstLine="420"/>
        <w:spacing w:line="480" w:lineRule="exact"/>
      </w:pPr>
      <w:r>
        <w:rPr>
          <w:rFonts w:hint="eastAsia"/>
        </w:rPr>
        <w:t xml:space="preserve">2.5带在线稳压UPS电源，纯正弦波输出，≥6KVA。</w:t>
      </w:r>
      <w:r/>
    </w:p>
    <w:p>
      <w:pPr>
        <w:pStyle w:val="891"/>
        <w:ind w:firstLine="420"/>
        <w:spacing w:line="480" w:lineRule="exact"/>
        <w:rPr>
          <w:rFonts w:hint="eastAsia" w:ascii="Times New Roman" w:hAnsi="Times New Roman" w:eastAsia="宋体" w:cs="Times New Roman"/>
        </w:rPr>
      </w:pPr>
      <w:r>
        <w:rPr>
          <w:rFonts w:hint="eastAsia" w:ascii="Times New Roman" w:hAnsi="Times New Roman" w:eastAsia="宋体" w:cs="Times New Roman"/>
        </w:rPr>
        <w:t xml:space="preserve">3、原厂培训要求</w:t>
      </w:r>
      <w:r>
        <w:rPr>
          <w:rFonts w:hint="eastAsia" w:ascii="Times New Roman" w:hAnsi="Times New Roman" w:eastAsia="宋体" w:cs="Times New Roman"/>
        </w:rPr>
      </w:r>
      <w:r/>
    </w:p>
    <w:p>
      <w:pPr>
        <w:pStyle w:val="891"/>
        <w:ind w:firstLine="420"/>
        <w:spacing w:line="480" w:lineRule="exact"/>
      </w:pPr>
      <w:r>
        <w:rPr>
          <w:rFonts w:hint="eastAsia" w:ascii="Times New Roman" w:hAnsi="Times New Roman" w:eastAsia="宋体" w:cs="Times New Roman"/>
        </w:rPr>
        <w:t xml:space="preserve">3.1一台仪器6个名额，参加原厂组织的实操培训，培训时间不少于5天。</w:t>
      </w:r>
      <w:r/>
    </w:p>
    <w:p>
      <w:pPr>
        <w:pStyle w:val="891"/>
        <w:ind w:firstLine="420"/>
        <w:spacing w:line="480" w:lineRule="exact"/>
      </w:pPr>
      <w:r>
        <w:rPr>
          <w:rFonts w:hint="eastAsia"/>
        </w:rPr>
        <w:t xml:space="preserve">4、配置要求</w:t>
      </w:r>
      <w:r/>
    </w:p>
    <w:p>
      <w:pPr>
        <w:pStyle w:val="891"/>
        <w:ind w:firstLine="420"/>
        <w:spacing w:line="480" w:lineRule="exact"/>
      </w:pPr>
      <w:r>
        <w:rPr>
          <w:rFonts w:hint="eastAsia"/>
        </w:rPr>
        <w:t xml:space="preserve">4.1液相色谱系统（超高压二元梯度泵（含脱气机、主动密封垫冲洗、工具包），超洁净管线工具包，自动进样器（带温控），可降温柱温箱，二极管阵列检测器） 1套；</w:t>
      </w:r>
      <w:r/>
    </w:p>
    <w:p>
      <w:pPr>
        <w:pStyle w:val="891"/>
        <w:ind w:firstLine="420"/>
        <w:spacing w:line="480" w:lineRule="exact"/>
      </w:pPr>
      <w:r>
        <w:rPr>
          <w:rFonts w:hint="eastAsia"/>
        </w:rPr>
        <w:t xml:space="preserve">4.2三重串联四极杆质谱系统（包括ESI离子源，APCI离子源，三重串联四极杆主机，质谱工作站）1套；</w:t>
      </w:r>
      <w:r/>
    </w:p>
    <w:p>
      <w:pPr>
        <w:pStyle w:val="891"/>
        <w:ind w:firstLine="420"/>
        <w:spacing w:line="480" w:lineRule="exact"/>
      </w:pPr>
      <w:r>
        <w:rPr>
          <w:rFonts w:hint="eastAsia"/>
        </w:rPr>
        <w:t xml:space="preserve">4.3仪器控制和数据处理系统（≥32GB内存，2×1TB硬盘（一个备份），独立显卡，DVD/CD-RW， 27寸双屏）1套；</w:t>
      </w:r>
      <w:r/>
    </w:p>
    <w:p>
      <w:pPr>
        <w:pStyle w:val="891"/>
        <w:ind w:firstLine="420"/>
        <w:spacing w:line="480" w:lineRule="exact"/>
      </w:pPr>
      <w:r>
        <w:rPr>
          <w:rFonts w:hint="eastAsia"/>
        </w:rPr>
        <w:t xml:space="preserve">4.4数据输出系统 1台；</w:t>
      </w:r>
      <w:r/>
    </w:p>
    <w:p>
      <w:pPr>
        <w:pStyle w:val="891"/>
        <w:ind w:firstLine="420"/>
        <w:spacing w:line="480" w:lineRule="exact"/>
      </w:pPr>
      <w:r>
        <w:rPr>
          <w:rFonts w:hint="eastAsia"/>
        </w:rPr>
        <w:t xml:space="preserve">4.4进口氮气发生器（≥32L）1套；</w:t>
      </w:r>
      <w:r/>
    </w:p>
    <w:p>
      <w:pPr>
        <w:pStyle w:val="891"/>
        <w:ind w:firstLine="420"/>
        <w:spacing w:line="480" w:lineRule="exact"/>
      </w:pPr>
      <w:r>
        <w:rPr>
          <w:rFonts w:hint="eastAsia"/>
        </w:rPr>
        <w:t xml:space="preserve">4.5不间断电源(≥6KVA，延时2小时）1台；</w:t>
      </w:r>
      <w:r/>
    </w:p>
    <w:p>
      <w:pPr>
        <w:pStyle w:val="891"/>
        <w:ind w:firstLine="420"/>
        <w:spacing w:line="480" w:lineRule="exact"/>
      </w:pPr>
      <w:r>
        <w:rPr>
          <w:rFonts w:hint="eastAsia"/>
        </w:rPr>
        <w:t xml:space="preserve">4.6常用耗材（碰撞气捕集阱 1根；过滤器滤芯（5/PK）1包；在线过滤器 1包；样品瓶含盖垫（500/PK）1盒；PEEK管接头 1包；PEEK管 1包；喷针5根；反向色谱柱（C18）5根；离子传输管5根；泵油2瓶）；</w:t>
      </w:r>
      <w:r/>
    </w:p>
    <w:p>
      <w:pPr>
        <w:pStyle w:val="891"/>
        <w:ind w:firstLine="210"/>
        <w:spacing w:line="480" w:lineRule="exact"/>
        <w:rPr>
          <w:rFonts w:hint="eastAsia" w:ascii="仿宋" w:hAnsi="仿宋" w:eastAsia="仿宋"/>
          <w:bCs/>
          <w:color w:val="000000"/>
          <w:sz w:val="28"/>
          <w:szCs w:val="28"/>
        </w:rPr>
      </w:pPr>
      <w:r>
        <w:rPr>
          <w:rFonts w:hint="eastAsia"/>
        </w:rPr>
        <w:t xml:space="preserve">4.7隔离变压器（10KVA） 1台。</w:t>
      </w:r>
      <w:r>
        <w:rPr>
          <w:rFonts w:hint="eastAsia" w:ascii="仿宋" w:hAnsi="仿宋" w:eastAsia="仿宋"/>
          <w:bCs/>
          <w:color w:val="000000"/>
          <w:sz w:val="28"/>
          <w:szCs w:val="28"/>
        </w:rPr>
      </w:r>
      <w:r/>
    </w:p>
    <w:p>
      <w:pPr>
        <w:pStyle w:val="891"/>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91"/>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三</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89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891"/>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其内容包含</w:t>
      </w:r>
      <w:r>
        <w:rPr>
          <w:rFonts w:ascii="仿宋" w:hAnsi="仿宋" w:eastAsia="仿宋"/>
          <w:bCs/>
          <w:color w:val="000000"/>
          <w:sz w:val="28"/>
          <w:szCs w:val="28"/>
        </w:rPr>
        <w:t xml:space="preserve">但不限于</w:t>
      </w:r>
      <w:r>
        <w:rPr>
          <w:rFonts w:hint="eastAsia" w:ascii="仿宋" w:hAnsi="仿宋" w:eastAsia="仿宋"/>
          <w:bCs/>
          <w:color w:val="000000"/>
          <w:sz w:val="28"/>
          <w:szCs w:val="28"/>
        </w:rPr>
        <w:t xml:space="preserve">以下</w:t>
      </w:r>
      <w:r>
        <w:rPr>
          <w:rFonts w:ascii="仿宋" w:hAnsi="仿宋" w:eastAsia="仿宋"/>
          <w:bCs/>
          <w:color w:val="000000"/>
          <w:sz w:val="28"/>
          <w:szCs w:val="28"/>
        </w:rPr>
        <w:t xml:space="preserve">内容：</w:t>
      </w:r>
      <w:r>
        <w:rPr>
          <w:rFonts w:hint="eastAsia" w:ascii="仿宋" w:hAnsi="仿宋" w:eastAsia="仿宋"/>
          <w:color w:val="000000"/>
          <w:sz w:val="28"/>
          <w:szCs w:val="28"/>
        </w:rPr>
      </w:r>
      <w:r/>
    </w:p>
    <w:p>
      <w:pPr>
        <w:pStyle w:val="891"/>
        <w:numPr>
          <w:ilvl w:val="0"/>
          <w:numId w:val="14"/>
        </w:numP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采购标的需实现的功能或者目标，以及为落实政府采购政策需满足的要求；</w:t>
      </w:r>
      <w:r>
        <w:rPr>
          <w:rFonts w:hint="eastAsia" w:ascii="仿宋" w:hAnsi="仿宋" w:eastAsia="仿宋"/>
          <w:color w:val="000000"/>
          <w:sz w:val="28"/>
          <w:szCs w:val="28"/>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hAnsi="Times New Roman" w:cs="Times New Roman"/>
        </w:rPr>
        <w:t xml:space="preserve">投标产品能够充分满足采购人开展化妆品</w:t>
      </w:r>
      <w:r>
        <w:rPr>
          <w:rFonts w:ascii="SimSun" w:hAnsi="SimSun" w:eastAsia="SimSun" w:cs="SimSun"/>
          <w:color w:val="000000" w:themeColor="text1"/>
          <w:sz w:val="21"/>
        </w:rPr>
        <w:t xml:space="preserve">、</w:t>
      </w:r>
      <w:r>
        <w:rPr>
          <w:rFonts w:ascii="SimSun" w:hAnsi="SimSun" w:eastAsia="SimSun" w:cs="SimSun"/>
          <w:color w:val="000000" w:themeColor="text1"/>
          <w:sz w:val="21"/>
        </w:rPr>
        <w:t xml:space="preserve">食品</w:t>
      </w:r>
      <w:r>
        <w:rPr>
          <w:rFonts w:hint="eastAsia" w:hAnsi="Times New Roman" w:cs="Times New Roman"/>
          <w:color w:val="000000" w:themeColor="text1"/>
        </w:rPr>
        <w:t xml:space="preserve">监督</w:t>
      </w:r>
      <w:r>
        <w:rPr>
          <w:rFonts w:hint="eastAsia" w:hAnsi="Times New Roman" w:cs="Times New Roman"/>
        </w:rPr>
        <w:t xml:space="preserve">检验工作的应用需求。</w:t>
      </w:r>
      <w:r>
        <w:rPr>
          <w:sz w:val="21"/>
        </w:rPr>
      </w:r>
      <w:r/>
    </w:p>
    <w:p>
      <w:pPr>
        <w:pStyle w:val="903"/>
        <w:numPr>
          <w:ilvl w:val="0"/>
          <w:numId w:val="0"/>
        </w:numPr>
      </w:pPr>
      <w:r/>
      <w:r/>
    </w:p>
    <w:p>
      <w:pPr>
        <w:pStyle w:val="891"/>
        <w:numPr>
          <w:ilvl w:val="0"/>
          <w:numId w:val="14"/>
        </w:numPr>
        <w:ind w:left="0" w:firstLine="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采购标的需执行的国家相关标准、行业标准、地方标准或者其他标准、规范；</w:t>
      </w:r>
      <w:r>
        <w:rPr>
          <w:rFonts w:hint="eastAsia" w:ascii="仿宋" w:hAnsi="仿宋" w:eastAsia="仿宋"/>
          <w:color w:val="000000"/>
          <w:sz w:val="28"/>
          <w:szCs w:val="28"/>
        </w:rPr>
      </w:r>
      <w:r/>
    </w:p>
    <w:p>
      <w:pPr>
        <w:pStyle w:val="903"/>
        <w:spacing w:after="0" w:line="360" w:lineRule="exact"/>
        <w:rPr>
          <w:rFonts w:hint="eastAsia" w:hAnsi="Times New Roman" w:cs="Times New Roman"/>
        </w:rPr>
      </w:pPr>
      <w:r>
        <w:rPr>
          <w:rFonts w:hint="eastAsia" w:hAnsi="Times New Roman" w:cs="Times New Roman"/>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rPr>
          <w:rFonts w:hint="eastAsia" w:hAnsi="Times New Roman" w:cs="Times New Roman"/>
        </w:rPr>
      </w:r>
      <w:r/>
    </w:p>
    <w:p>
      <w:pPr>
        <w:pStyle w:val="891"/>
        <w:numPr>
          <w:ilvl w:val="0"/>
          <w:numId w:val="14"/>
        </w:numPr>
        <w:ind w:left="0" w:firstLine="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采购标的需满足的质量、安全、技术规格、物理特性等要求；</w:t>
      </w:r>
      <w:r>
        <w:rPr>
          <w:rFonts w:hint="eastAsia" w:ascii="仿宋" w:hAnsi="仿宋" w:eastAsia="仿宋"/>
          <w:color w:val="000000"/>
          <w:sz w:val="28"/>
          <w:szCs w:val="28"/>
        </w:rPr>
      </w:r>
      <w:r/>
    </w:p>
    <w:p>
      <w:pPr>
        <w:pStyle w:val="903"/>
        <w:spacing w:after="0" w:line="360" w:lineRule="exact"/>
      </w:pPr>
      <w:r>
        <w:rPr>
          <w:rFonts w:hint="eastAsia"/>
        </w:rPr>
        <w:t xml:space="preserve">3.1质保期≥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p>
    <w:p>
      <w:pPr>
        <w:pStyle w:val="903"/>
        <w:spacing w:after="0" w:line="360" w:lineRule="exact"/>
      </w:pPr>
      <w:r>
        <w:rPr>
          <w:rFonts w:hint="eastAsia"/>
        </w:rPr>
        <w:t xml:space="preserve">3.2确保设备质保期内开机率为95%，如设备故障停机率超过5%（一年按365天计算，每年18天），每超过一天，质保期延长两周。</w:t>
      </w:r>
      <w:r/>
    </w:p>
    <w:p>
      <w:pPr>
        <w:pStyle w:val="903"/>
        <w:spacing w:after="0" w:line="360" w:lineRule="exact"/>
      </w:pPr>
      <w:r>
        <w:rPr>
          <w:rFonts w:hint="eastAsia"/>
        </w:rPr>
        <w:t xml:space="preserve">3.3本次所投产品的年限为10年，设备使用年限内中标人承诺保证配件、耗材的供应。</w:t>
      </w:r>
      <w:r/>
    </w:p>
    <w:p>
      <w:pPr>
        <w:pStyle w:val="903"/>
        <w:numPr>
          <w:ilvl w:val="0"/>
          <w:numId w:val="0"/>
        </w:numPr>
      </w:pPr>
      <w:r/>
      <w:r/>
    </w:p>
    <w:p>
      <w:pPr>
        <w:pStyle w:val="891"/>
        <w:numPr>
          <w:ilvl w:val="0"/>
          <w:numId w:val="14"/>
        </w:numPr>
        <w:ind w:left="0" w:firstLine="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采购标的的数量、采购项目交付或者实施的时间和地点；</w:t>
      </w:r>
      <w:r>
        <w:rPr>
          <w:rFonts w:hint="eastAsia" w:ascii="仿宋" w:hAnsi="仿宋" w:eastAsia="仿宋"/>
          <w:color w:val="000000"/>
          <w:sz w:val="28"/>
          <w:szCs w:val="28"/>
        </w:rPr>
      </w:r>
      <w:r/>
    </w:p>
    <w:p>
      <w:pPr>
        <w:pStyle w:val="903"/>
        <w:spacing w:after="0" w:line="360" w:lineRule="exact"/>
      </w:pPr>
      <w:r>
        <w:rPr>
          <w:rFonts w:hint="eastAsia"/>
        </w:rPr>
        <w:t xml:space="preserve">4.1采购标的数量：三重四级杆气质联用仪1台、三重四级杆液质联用仪1台</w:t>
      </w:r>
      <w:r/>
    </w:p>
    <w:p>
      <w:pPr>
        <w:pStyle w:val="903"/>
        <w:spacing w:after="0" w:line="360" w:lineRule="exact"/>
      </w:pPr>
      <w:r>
        <w:rPr>
          <w:rFonts w:hint="eastAsia"/>
        </w:rPr>
        <w:t xml:space="preserve">4.2主要标的：三重四级杆液质联用仪。</w:t>
      </w:r>
      <w:r/>
    </w:p>
    <w:p>
      <w:pPr>
        <w:pStyle w:val="903"/>
        <w:spacing w:after="0" w:line="360" w:lineRule="exact"/>
      </w:pPr>
      <w:r>
        <w:rPr>
          <w:rFonts w:hint="eastAsia"/>
        </w:rPr>
        <w:t xml:space="preserve">4.3交货期：合同签订后40天内交货。</w:t>
      </w:r>
      <w:r/>
    </w:p>
    <w:p>
      <w:pPr>
        <w:pStyle w:val="903"/>
        <w:spacing w:after="0" w:line="360" w:lineRule="exact"/>
      </w:pPr>
      <w:r>
        <w:rPr>
          <w:rFonts w:hint="eastAsia"/>
        </w:rPr>
        <w:t xml:space="preserve">4.4交货地点：采购人指定地点指定楼层的安装位置。</w:t>
      </w:r>
      <w:r/>
    </w:p>
    <w:p>
      <w:pPr>
        <w:pStyle w:val="903"/>
        <w:numPr>
          <w:ilvl w:val="0"/>
          <w:numId w:val="0"/>
        </w:numPr>
      </w:pPr>
      <w:r/>
      <w:r/>
    </w:p>
    <w:p>
      <w:pPr>
        <w:pStyle w:val="891"/>
        <w:numPr>
          <w:ilvl w:val="0"/>
          <w:numId w:val="14"/>
        </w:numPr>
        <w:ind w:left="0" w:firstLine="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采购标的需满足的服务标准、期限、效率等要求；</w:t>
      </w:r>
      <w:r>
        <w:rPr>
          <w:rFonts w:hint="eastAsia" w:ascii="仿宋" w:hAnsi="仿宋" w:eastAsia="仿宋"/>
          <w:color w:val="000000"/>
          <w:sz w:val="28"/>
          <w:szCs w:val="28"/>
        </w:rPr>
      </w:r>
      <w:r/>
    </w:p>
    <w:p>
      <w:pPr>
        <w:pStyle w:val="903"/>
        <w:spacing w:after="0" w:line="360" w:lineRule="exact"/>
      </w:pPr>
      <w:r>
        <w:rPr>
          <w:rFonts w:hint="eastAsia"/>
        </w:rPr>
        <w:t xml:space="preserve">5.1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pStyle w:val="903"/>
        <w:spacing w:after="0" w:line="360" w:lineRule="exact"/>
      </w:pPr>
      <w:r>
        <w:rPr>
          <w:rFonts w:hint="eastAsia"/>
        </w:rPr>
        <w:t xml:space="preserve">5.2仪器设备到达后，中标人在5个工作日内安排有经验的工程师到达设备使用现场，免费安装调试设备，并在3天内安装、调试完毕。</w:t>
      </w:r>
      <w:r/>
    </w:p>
    <w:p>
      <w:pPr>
        <w:pStyle w:val="903"/>
        <w:spacing w:after="0" w:line="360" w:lineRule="exact"/>
      </w:pPr>
      <w:r>
        <w:rPr>
          <w:rFonts w:hint="eastAsia"/>
        </w:rPr>
        <w:t xml:space="preserve">5.3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人员进行相应的技术培训，培训地点主要在货物安装现场或由采购人安排。</w:t>
      </w:r>
      <w:r/>
    </w:p>
    <w:p>
      <w:pPr>
        <w:pStyle w:val="903"/>
        <w:spacing w:after="0" w:line="360" w:lineRule="exact"/>
      </w:pPr>
      <w:r>
        <w:rPr>
          <w:rFonts w:hint="eastAsia"/>
        </w:rPr>
        <w:t xml:space="preserve">5.4 保修期内中标人按投标承诺提供免费维护和质量保证，所有货物保修服务方式均为中标人上门保修，即由中标人派员到货物使用现场维修，保修费用计入投标总价，不再另行收取。</w:t>
      </w:r>
      <w:r/>
    </w:p>
    <w:p>
      <w:pPr>
        <w:pStyle w:val="903"/>
        <w:spacing w:after="0" w:line="360" w:lineRule="exact"/>
      </w:pPr>
      <w:r>
        <w:rPr>
          <w:rFonts w:hint="eastAsia"/>
        </w:rPr>
        <w:t xml:space="preserve">5.5 货物发生故障后，中标人在规定时间内响应并上门维修，若货物故障在检修8工作小时后仍无法排除，中标人应在一周内免费提供不低于故障货物规格型号档次的备用货物供采购人使用，直至故障货物修复。</w:t>
      </w:r>
      <w:r/>
    </w:p>
    <w:p>
      <w:pPr>
        <w:pStyle w:val="903"/>
        <w:spacing w:after="0" w:line="360" w:lineRule="exact"/>
      </w:pPr>
      <w:r>
        <w:rPr>
          <w:rFonts w:hint="eastAsia"/>
        </w:rPr>
        <w:t xml:space="preserve">5.6如果设备交付使用后，缺陷多次反复出现，中标人必须提出分析报告和解决方案，更换该产品，直到最后纠正缺陷、中标人提供质保从纠正之日起重新计算质保期。</w:t>
      </w:r>
      <w:r/>
    </w:p>
    <w:p>
      <w:pPr>
        <w:pStyle w:val="903"/>
        <w:spacing w:after="0" w:line="360" w:lineRule="exact"/>
      </w:pPr>
      <w:r>
        <w:rPr>
          <w:rFonts w:hint="eastAsia"/>
        </w:rPr>
        <w:t xml:space="preserve">5.7如中标人提供的设备设有维修软件密码，中标人应保证无条件地为采购人永久免费打开。</w:t>
      </w:r>
      <w:r/>
    </w:p>
    <w:p>
      <w:pPr>
        <w:pStyle w:val="903"/>
        <w:spacing w:after="0" w:line="360" w:lineRule="exact"/>
      </w:pPr>
      <w:r>
        <w:rPr>
          <w:rFonts w:hint="eastAsia"/>
        </w:rPr>
        <w:t xml:space="preserve">5.8仪器设备安装后，需长期提供技术支持和维修服务，包括软件的免费升级、为采购人提供需要的方法开发及应用资料。</w:t>
      </w:r>
      <w:r/>
    </w:p>
    <w:p>
      <w:pPr>
        <w:pStyle w:val="903"/>
        <w:numPr>
          <w:ilvl w:val="0"/>
          <w:numId w:val="0"/>
        </w:numPr>
      </w:pPr>
      <w:r/>
      <w:r/>
    </w:p>
    <w:p>
      <w:pPr>
        <w:pStyle w:val="891"/>
        <w:numPr>
          <w:ilvl w:val="0"/>
          <w:numId w:val="14"/>
        </w:numPr>
        <w:ind w:left="0" w:firstLine="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采购标的的验收标准；</w:t>
      </w:r>
      <w:r>
        <w:rPr>
          <w:rFonts w:hint="eastAsia" w:ascii="仿宋" w:hAnsi="仿宋" w:eastAsia="仿宋"/>
          <w:color w:val="000000"/>
          <w:sz w:val="28"/>
          <w:szCs w:val="28"/>
        </w:rPr>
      </w:r>
      <w:r/>
    </w:p>
    <w:p>
      <w:pPr>
        <w:pStyle w:val="903"/>
        <w:spacing w:after="0" w:line="360" w:lineRule="exact"/>
      </w:pPr>
      <w:r>
        <w:rPr>
          <w:rFonts w:hint="eastAsia"/>
        </w:rPr>
        <w:t xml:space="preserve">6.1中标人应采取必要的安全措施保证货物的运输及安装的安全，且须考虑到可能会发生的野蛮装卸、长途运输及多次装卸之需要。如因中标人包装不当以及其它原因造成损坏或丢失，应由中标人负一切责任。</w:t>
      </w:r>
      <w:r/>
    </w:p>
    <w:p>
      <w:pPr>
        <w:pStyle w:val="903"/>
        <w:spacing w:after="0" w:line="360" w:lineRule="exact"/>
      </w:pPr>
      <w:r>
        <w:rPr>
          <w:rFonts w:hint="eastAsia"/>
        </w:rPr>
        <w:t xml:space="preserve">6.2中标人在货物运输到达之前应提前通知采购人，并提示货物运输装卸的注意事项，采购人配合中标人做好货物的交接工作。</w:t>
      </w:r>
      <w:r/>
    </w:p>
    <w:p>
      <w:pPr>
        <w:pStyle w:val="903"/>
        <w:spacing w:after="0" w:line="360" w:lineRule="exact"/>
      </w:pPr>
      <w:r>
        <w:rPr>
          <w:rFonts w:hint="eastAsia"/>
        </w:rPr>
        <w:t xml:space="preserve">6.3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p>
    <w:p>
      <w:pPr>
        <w:pStyle w:val="903"/>
        <w:spacing w:after="0" w:line="360" w:lineRule="exact"/>
      </w:pPr>
      <w:r>
        <w:rPr>
          <w:rFonts w:hint="eastAsia"/>
        </w:rPr>
        <w:t xml:space="preserve">6.4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p>
    <w:p>
      <w:pPr>
        <w:pStyle w:val="903"/>
        <w:spacing w:after="0" w:line="360" w:lineRule="exact"/>
      </w:pPr>
      <w:r>
        <w:rPr>
          <w:rFonts w:hint="eastAsia"/>
        </w:rPr>
        <w:t xml:space="preserve">6.5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p>
    <w:p>
      <w:pPr>
        <w:pStyle w:val="903"/>
        <w:spacing w:after="0" w:line="360" w:lineRule="exact"/>
      </w:pPr>
      <w:r>
        <w:rPr>
          <w:rFonts w:hint="eastAsia"/>
        </w:rPr>
        <w:t xml:space="preserve">6.6如果验收过程中发现数量不足或有质量、技术等问题的，采购人有权拒收。中标人应在30天内按照采购人的要求，采取补足、更换或退货等处理措施，并承担由此发生的一切损失和费用。</w:t>
      </w:r>
      <w:r/>
    </w:p>
    <w:p>
      <w:pPr>
        <w:pStyle w:val="903"/>
        <w:numPr>
          <w:ilvl w:val="0"/>
          <w:numId w:val="0"/>
        </w:numPr>
      </w:p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、非单一产品采购项目，采购标的中的核心产品。</w:t>
      </w:r>
      <w:r>
        <w:rPr>
          <w:rFonts w:ascii="仿宋" w:hAnsi="仿宋" w:eastAsia="仿宋"/>
          <w:color w:val="000000"/>
          <w:sz w:val="28"/>
          <w:szCs w:val="28"/>
        </w:rPr>
      </w:r>
      <w:r/>
    </w:p>
    <w:p>
      <w:pPr>
        <w:pStyle w:val="891"/>
        <w:ind w:firstLine="420"/>
        <w:spacing w:line="480" w:lineRule="exact"/>
        <w:rPr>
          <w:rFonts w:hint="eastAsia" w:ascii="仿宋_GB2312" w:hAnsi="Times New Roman" w:eastAsia="仿宋_GB2312" w:cs="Times New Roman"/>
          <w:sz w:val="30"/>
          <w:szCs w:val="30"/>
          <w:lang w:val="en-US" w:eastAsia="zh-CN" w:bidi="ar-SA"/>
        </w:rPr>
      </w:pPr>
      <w:r>
        <w:rPr>
          <w:rFonts w:hint="eastAsia" w:ascii="仿宋_GB2312" w:hAnsi="Times New Roman" w:eastAsia="仿宋_GB2312" w:cs="Times New Roman"/>
          <w:sz w:val="30"/>
          <w:szCs w:val="30"/>
          <w:lang w:val="en-US" w:eastAsia="zh-CN" w:bidi="ar-SA"/>
        </w:rPr>
        <w:t xml:space="preserve">三重四级杆液质联用仪</w:t>
      </w:r>
      <w:r>
        <w:rPr>
          <w:rFonts w:hint="eastAsia" w:ascii="仿宋_GB2312" w:hAnsi="Times New Roman" w:eastAsia="仿宋_GB2312" w:cs="Times New Roman"/>
          <w:sz w:val="30"/>
          <w:szCs w:val="30"/>
          <w:lang w:val="en-US" w:eastAsia="zh-CN" w:bidi="ar-SA"/>
        </w:rPr>
      </w:r>
      <w:r/>
    </w:p>
    <w:p>
      <w:pPr>
        <w:pStyle w:val="89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91"/>
        <w:spacing w:line="480" w:lineRule="exact"/>
        <w:rPr>
          <w:rFonts w:hint="eastAsia" w:ascii="仿宋" w:hAnsi="仿宋" w:eastAsia="仿宋" w:cs="Times New Roman"/>
          <w:i/>
          <w:color w:val="000000"/>
          <w:sz w:val="28"/>
          <w:szCs w:val="28"/>
          <w:u w:val="single"/>
          <w:lang w:val="en-US" w:eastAsia="zh-CN"/>
        </w:rPr>
      </w:pPr>
      <w:r>
        <w:rPr>
          <w:rFonts w:hint="eastAsia" w:ascii="仿宋" w:hAnsi="仿宋" w:eastAsia="仿宋"/>
          <w:i/>
          <w:color w:val="000000"/>
          <w:sz w:val="28"/>
          <w:szCs w:val="28"/>
          <w:u w:val="single"/>
          <w:lang w:val="en-US" w:eastAsia="zh-CN"/>
        </w:rPr>
        <w:t xml:space="preserve">8</w:t>
      </w:r>
      <w:r>
        <w:rPr>
          <w:rFonts w:hint="eastAsia" w:ascii="仿宋" w:hAnsi="仿宋" w:eastAsia="仿宋"/>
          <w:i/>
          <w:color w:val="000000"/>
          <w:sz w:val="28"/>
          <w:szCs w:val="28"/>
          <w:u w:val="single"/>
        </w:rPr>
        <w:t xml:space="preserve">、关于进口产品投标</w:t>
      </w:r>
      <w:r>
        <w:rPr>
          <w:rFonts w:hint="eastAsia" w:ascii="仿宋" w:hAnsi="仿宋" w:eastAsia="仿宋"/>
          <w:i/>
          <w:color w:val="000000"/>
          <w:sz w:val="28"/>
          <w:szCs w:val="28"/>
          <w:u w:val="single"/>
          <w:lang w:val="en-US" w:eastAsia="zh-CN"/>
        </w:rPr>
        <w:t xml:space="preserve">:</w:t>
      </w:r>
      <w:r>
        <w:rPr>
          <w:rFonts w:hint="eastAsia" w:ascii="仿宋" w:hAnsi="仿宋" w:eastAsia="仿宋" w:cs="Times New Roman"/>
          <w:i/>
          <w:color w:val="000000"/>
          <w:sz w:val="28"/>
          <w:szCs w:val="28"/>
          <w:u w:val="single"/>
          <w:lang w:val="en-US" w:eastAsia="zh-CN"/>
        </w:rPr>
        <w:t xml:space="preserve">本项目</w:t>
      </w:r>
      <w:r>
        <w:rPr>
          <w:rFonts w:hint="eastAsia" w:ascii="仿宋" w:hAnsi="仿宋" w:eastAsia="仿宋" w:cs="Times New Roman"/>
          <w:i/>
          <w:color w:val="000000"/>
          <w:sz w:val="28"/>
          <w:szCs w:val="28"/>
          <w:u w:val="single"/>
        </w:rPr>
        <w:t xml:space="preserve">接受进口产品投标</w:t>
      </w:r>
      <w:r>
        <w:rPr>
          <w:rFonts w:hint="eastAsia" w:ascii="仿宋" w:hAnsi="仿宋" w:eastAsia="仿宋" w:cs="Times New Roman"/>
          <w:i/>
          <w:color w:val="000000"/>
          <w:sz w:val="28"/>
          <w:szCs w:val="28"/>
          <w:u w:val="single"/>
          <w:lang w:eastAsia="zh-CN"/>
        </w:rPr>
        <w:t xml:space="preserve">，</w:t>
      </w:r>
      <w:r>
        <w:rPr>
          <w:rFonts w:hint="eastAsia" w:ascii="仿宋" w:hAnsi="仿宋" w:eastAsia="仿宋" w:cs="Times New Roman"/>
          <w:i/>
          <w:color w:val="000000"/>
          <w:sz w:val="28"/>
          <w:szCs w:val="28"/>
          <w:u w:val="single"/>
        </w:rPr>
        <w:t xml:space="preserve">投标产品如果为进口产品的，投标人须提供制造商的专项授权书原件扫描件</w:t>
      </w:r>
      <w:r>
        <w:rPr>
          <w:rFonts w:hint="eastAsia" w:ascii="仿宋" w:hAnsi="仿宋" w:eastAsia="仿宋" w:cs="Times New Roman"/>
          <w:i/>
          <w:color w:val="000000"/>
          <w:sz w:val="28"/>
          <w:szCs w:val="28"/>
          <w:u w:val="single"/>
          <w:lang w:eastAsia="zh-CN"/>
        </w:rPr>
        <w:t xml:space="preserve">。</w:t>
      </w:r>
      <w:r>
        <w:rPr>
          <w:rFonts w:hint="eastAsia" w:ascii="仿宋" w:hAnsi="仿宋" w:eastAsia="仿宋" w:cs="Times New Roman"/>
          <w:i/>
          <w:color w:val="000000"/>
          <w:sz w:val="28"/>
          <w:szCs w:val="28"/>
          <w:u w:val="single"/>
          <w:lang w:val="en-US" w:eastAsia="zh-CN"/>
        </w:rPr>
      </w:r>
      <w:r/>
    </w:p>
    <w:p>
      <w:pPr>
        <w:pStyle w:val="891"/>
        <w:spacing w:line="480" w:lineRule="exact"/>
        <w:rPr>
          <w:rFonts w:hint="eastAsia" w:ascii="仿宋" w:hAnsi="仿宋" w:eastAsia="仿宋"/>
          <w:color w:val="ff0000"/>
          <w:sz w:val="28"/>
          <w:szCs w:val="28"/>
          <w:lang w:val="en-US" w:eastAsia="zh-CN"/>
        </w:rPr>
      </w:pPr>
      <w:r>
        <w:rPr>
          <w:rFonts w:hint="eastAsia" w:ascii="仿宋" w:hAnsi="仿宋" w:eastAsia="仿宋"/>
          <w:color w:val="ff0000"/>
          <w:sz w:val="28"/>
          <w:szCs w:val="28"/>
          <w:lang w:val="en-US" w:eastAsia="zh-CN"/>
        </w:rPr>
      </w:r>
      <w:r/>
    </w:p>
    <w:p>
      <w:pPr>
        <w:pStyle w:val="891"/>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9.履约保证金要求</w:t>
      </w:r>
      <w:r>
        <w:rPr>
          <w:rFonts w:ascii="仿宋" w:hAnsi="仿宋" w:eastAsia="仿宋" w:cs="Times New Roman"/>
          <w:color w:val="000000"/>
          <w:sz w:val="28"/>
          <w:szCs w:val="28"/>
          <w:lang w:val="en-US" w:eastAsia="zh-CN"/>
        </w:rPr>
      </w:r>
      <w:r/>
    </w:p>
    <w:p>
      <w:pPr>
        <w:pStyle w:val="89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9.</w:t>
      </w:r>
      <w:r>
        <w:rPr>
          <w:rFonts w:hint="eastAsia" w:ascii="仿宋" w:hAnsi="仿宋" w:eastAsia="仿宋" w:cs="Times New Roman"/>
          <w:color w:val="000000"/>
          <w:sz w:val="28"/>
          <w:szCs w:val="28"/>
        </w:rPr>
        <w:t xml:space="preserve">1本项目成交后的履约保证金为项目成交价</w:t>
      </w:r>
      <w:r>
        <w:rPr>
          <w:rFonts w:hint="eastAsia" w:ascii="仿宋" w:hAnsi="仿宋" w:eastAsia="仿宋" w:cs="Times New Roman"/>
          <w:color w:val="000000"/>
          <w:sz w:val="28"/>
          <w:szCs w:val="28"/>
          <w:highlight w:val="none"/>
        </w:rPr>
        <w:t xml:space="preserve">的</w:t>
      </w:r>
      <w:r>
        <w:rPr>
          <w:rFonts w:hint="eastAsia" w:ascii="仿宋" w:hAnsi="仿宋" w:eastAsia="仿宋" w:cs="Times New Roman"/>
          <w:color w:val="000000"/>
          <w:sz w:val="28"/>
          <w:szCs w:val="28"/>
          <w:highlight w:val="none"/>
          <w:lang w:val="en-US" w:eastAsia="zh-CN"/>
        </w:rPr>
        <w:t xml:space="preserve">10</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s="Times New Roman"/>
          <w:color w:val="000000"/>
          <w:sz w:val="28"/>
          <w:szCs w:val="28"/>
        </w:rPr>
      </w:r>
      <w:r/>
    </w:p>
    <w:p>
      <w:pPr>
        <w:pStyle w:val="89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9.</w:t>
      </w:r>
      <w:r>
        <w:rPr>
          <w:rFonts w:hint="eastAsia" w:ascii="仿宋" w:hAnsi="仿宋" w:eastAsia="仿宋" w:cs="Times New Roman"/>
          <w:color w:val="000000"/>
          <w:sz w:val="28"/>
          <w:szCs w:val="28"/>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s="Times New Roman"/>
          <w:color w:val="000000"/>
          <w:sz w:val="28"/>
          <w:szCs w:val="28"/>
        </w:rPr>
      </w:r>
      <w:r/>
    </w:p>
    <w:p>
      <w:pPr>
        <w:pStyle w:val="89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9.</w:t>
      </w:r>
      <w:r>
        <w:rPr>
          <w:rFonts w:hint="eastAsia" w:ascii="仿宋" w:hAnsi="仿宋" w:eastAsia="仿宋" w:cs="Times New Roman"/>
          <w:color w:val="000000"/>
          <w:sz w:val="28"/>
          <w:szCs w:val="28"/>
        </w:rPr>
        <w:t xml:space="preserve">3发生以下情况的，履约保证金不予退还或部分退还：</w:t>
      </w:r>
      <w:r>
        <w:rPr>
          <w:rFonts w:hint="eastAsia" w:ascii="仿宋" w:hAnsi="仿宋" w:eastAsia="仿宋" w:cs="Times New Roman"/>
          <w:color w:val="000000"/>
          <w:sz w:val="28"/>
          <w:szCs w:val="28"/>
        </w:rPr>
      </w:r>
      <w:r/>
    </w:p>
    <w:p>
      <w:pPr>
        <w:pStyle w:val="891"/>
        <w:ind w:firstLine="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   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s="Times New Roman"/>
          <w:color w:val="000000"/>
          <w:sz w:val="28"/>
          <w:szCs w:val="28"/>
        </w:rPr>
      </w:r>
      <w:r/>
    </w:p>
    <w:p>
      <w:pPr>
        <w:pStyle w:val="89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Times New Roman"/>
          <w:color w:val="000000"/>
          <w:sz w:val="28"/>
          <w:szCs w:val="28"/>
        </w:rPr>
      </w:r>
      <w:r/>
    </w:p>
    <w:p>
      <w:pPr>
        <w:pStyle w:val="903"/>
        <w:rPr>
          <w:rFonts w:hint="eastAsia" w:ascii="仿宋" w:hAnsi="仿宋" w:eastAsia="仿宋" w:cs="仿宋"/>
          <w:color w:val="000000"/>
          <w:sz w:val="28"/>
          <w:lang w:val="en-US" w:eastAsia="zh-CN"/>
        </w:rPr>
      </w:pPr>
      <w:r>
        <w:rPr>
          <w:rFonts w:hint="eastAsia" w:eastAsia="仿宋"/>
          <w:lang w:val="en-US" w:eastAsia="zh-CN"/>
        </w:rPr>
        <w:t xml:space="preserve"> 9.4</w:t>
      </w:r>
      <w:r>
        <w:rPr>
          <w:rFonts w:ascii="仿宋" w:hAnsi="仿宋" w:eastAsia="仿宋" w:cs="仿宋"/>
          <w:color w:val="000000"/>
          <w:sz w:val="28"/>
        </w:rPr>
        <w:t xml:space="preserve">以履约保函（保险）形式向采购人缴纳的，按照《关于在全省政府采购领域推行电子履约保函（保险）的通知》，登录</w:t>
      </w:r>
      <w:r>
        <w:rPr>
          <w:rFonts w:hint="eastAsia" w:ascii="仿宋" w:hAnsi="仿宋" w:eastAsia="仿宋" w:cs="仿宋"/>
          <w:color w:val="000000"/>
          <w:sz w:val="28"/>
          <w:lang w:eastAsia="zh-CN"/>
        </w:rPr>
        <w:t xml:space="preserve">江苏政府采购网，选择“保险保函”模块，进行相关操作。供应商可登陆江苏政府采购网“资料下载”栏目下载“政府采购电子履约（保函）保险操作手册”（网址：</w:t>
      </w:r>
      <w:r>
        <w:rPr>
          <w:rFonts w:hint="eastAsia" w:ascii="仿宋" w:hAnsi="仿宋" w:eastAsia="仿宋" w:cs="仿宋"/>
          <w:color w:val="000000"/>
          <w:sz w:val="28"/>
          <w:lang w:val="en-US" w:eastAsia="zh-CN"/>
        </w:rPr>
        <w:fldChar w:fldCharType="begin"/>
      </w:r>
      <w:r>
        <w:rPr>
          <w:rFonts w:hint="eastAsia" w:ascii="仿宋" w:hAnsi="仿宋" w:eastAsia="仿宋" w:cs="仿宋"/>
          <w:color w:val="000000"/>
          <w:sz w:val="28"/>
          <w:lang w:val="en-US" w:eastAsia="zh-CN"/>
        </w:rPr>
        <w:instrText xml:space="preserve"> HYPERLINK "http://www.ccgp-jiangsu.gov.cn/jisngsu/zlxz/)。" </w:instrText>
      </w:r>
      <w:r>
        <w:rPr>
          <w:rFonts w:hint="eastAsia" w:ascii="仿宋" w:hAnsi="仿宋" w:eastAsia="仿宋" w:cs="仿宋"/>
          <w:color w:val="000000"/>
          <w:sz w:val="28"/>
          <w:lang w:val="en-US" w:eastAsia="zh-CN"/>
        </w:rPr>
        <w:fldChar w:fldCharType="separate"/>
      </w:r>
      <w:r>
        <w:rPr>
          <w:rStyle w:val="965"/>
          <w:rFonts w:hint="eastAsia" w:ascii="仿宋" w:hAnsi="仿宋" w:eastAsia="仿宋" w:cs="仿宋"/>
          <w:sz w:val="28"/>
          <w:lang w:val="en-US" w:eastAsia="zh-CN"/>
        </w:rPr>
        <w:t xml:space="preserve">www.ccgp-jiangsu.gov.cn/jisngsu/zlxz/)</w:t>
      </w:r>
      <w:r>
        <w:rPr>
          <w:rStyle w:val="965"/>
          <w:rFonts w:hint="eastAsia" w:eastAsia="仿宋"/>
          <w:lang w:val="en-US" w:eastAsia="zh-CN"/>
        </w:rPr>
        <w:t xml:space="preserve">。</w:t>
      </w:r>
      <w:r>
        <w:rPr>
          <w:rFonts w:hint="eastAsia" w:ascii="仿宋" w:hAnsi="仿宋" w:eastAsia="仿宋" w:cs="仿宋"/>
          <w:color w:val="000000"/>
          <w:sz w:val="28"/>
          <w:lang w:val="en-US" w:eastAsia="zh-CN"/>
        </w:rPr>
        <w:fldChar w:fldCharType="end"/>
      </w:r>
      <w:r>
        <w:rPr>
          <w:rFonts w:hint="eastAsia" w:ascii="仿宋" w:hAnsi="仿宋" w:eastAsia="仿宋" w:cs="仿宋"/>
          <w:color w:val="000000"/>
          <w:sz w:val="28"/>
          <w:lang w:val="en-US" w:eastAsia="zh-CN"/>
        </w:rPr>
      </w:r>
      <w:r/>
    </w:p>
    <w:p>
      <w:pPr>
        <w:pStyle w:val="903"/>
        <w:rPr>
          <w:rFonts w:hint="eastAsia" w:ascii="仿宋" w:hAnsi="仿宋" w:eastAsia="仿宋" w:cs="仿宋"/>
          <w:color w:val="000000"/>
          <w:sz w:val="28"/>
          <w:lang w:val="en-US" w:eastAsia="zh-CN"/>
        </w:rPr>
      </w:pPr>
      <w:r>
        <w:rPr>
          <w:rFonts w:hint="eastAsia" w:ascii="仿宋" w:hAnsi="仿宋" w:eastAsia="仿宋" w:cs="仿宋"/>
          <w:color w:val="000000"/>
          <w:sz w:val="28"/>
          <w:lang w:val="en-US" w:eastAsia="zh-CN"/>
        </w:rPr>
      </w:r>
      <w:r/>
    </w:p>
    <w:p>
      <w:pPr>
        <w:pStyle w:val="891"/>
        <w:spacing w:line="480" w:lineRule="exact"/>
        <w:rPr>
          <w:rFonts w:hint="eastAsia" w:ascii="仿宋" w:hAnsi="仿宋" w:eastAsia="仿宋" w:cs="仿宋"/>
          <w:color w:val="000000"/>
          <w:sz w:val="28"/>
          <w:szCs w:val="30"/>
          <w:lang w:val="en-US" w:eastAsia="zh-CN" w:bidi="ar-SA"/>
        </w:rPr>
      </w:pPr>
      <w:r>
        <w:rPr>
          <w:rFonts w:hint="eastAsia" w:ascii="仿宋" w:hAnsi="仿宋" w:eastAsia="仿宋" w:cs="仿宋"/>
          <w:color w:val="000000"/>
          <w:sz w:val="28"/>
          <w:szCs w:val="30"/>
          <w:lang w:val="en-US" w:eastAsia="zh-CN" w:bidi="ar-SA"/>
        </w:rPr>
        <w:t xml:space="preserve">10.付款方式：</w:t>
      </w:r>
      <w:r>
        <w:rPr>
          <w:rFonts w:hint="eastAsia" w:ascii="仿宋" w:hAnsi="仿宋" w:eastAsia="仿宋" w:cs="仿宋"/>
          <w:color w:val="000000"/>
          <w:sz w:val="28"/>
          <w:szCs w:val="30"/>
          <w:lang w:val="en-US" w:eastAsia="zh-CN" w:bidi="ar-SA"/>
        </w:rPr>
      </w:r>
      <w:r/>
    </w:p>
    <w:p>
      <w:pPr>
        <w:ind w:left="0" w:right="0" w:firstLine="200"/>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rPr>
        <w:t xml:space="preserve">合同签订并收到乙方开具的发票后10个工作日内支付本合同总价款的50%（人民币         元）；货物交付安装、调试完成、验收合格后，乙方开具金额为合同总价款的10%、有效期至货物质保期满之日的银行质量保函，甲方在收到保函和发票后10个工作日内再支付合同总价款的50%（人民币           元）。以上付款均通过银行转账，不计利息。</w:t>
      </w:r>
      <w:r>
        <w:rPr>
          <w:rFonts w:ascii="FangSong" w:hAnsi="FangSong" w:eastAsia="FangSong" w:cs="FangSong"/>
          <w:color w:val="000000" w:themeColor="text1"/>
          <w:sz w:val="30"/>
        </w:rPr>
      </w:r>
      <w:r>
        <w:rPr>
          <w:color w:val="000000" w:themeColor="text1"/>
        </w:rPr>
      </w:r>
    </w:p>
    <w:p>
      <w:pPr>
        <w:pStyle w:val="903"/>
        <w:spacing w:after="0" w:line="360" w:lineRule="exact"/>
        <w:rPr>
          <w:rFonts w:hint="eastAsia"/>
          <w:color w:val="000000" w:themeColor="text1"/>
        </w:rPr>
      </w:pPr>
      <w:r>
        <w:rPr>
          <w:rFonts w:hint="eastAsia"/>
          <w:color w:val="000000" w:themeColor="text1"/>
        </w:rPr>
      </w:r>
      <w:r>
        <w:rPr>
          <w:color w:val="000000" w:themeColor="text1"/>
        </w:rPr>
      </w:r>
    </w:p>
    <w:p>
      <w:pPr>
        <w:pStyle w:val="891"/>
        <w:spacing w:line="278" w:lineRule="auto"/>
        <w:rPr>
          <w:rFonts w:hint="eastAsia" w:ascii="仿宋" w:hAnsi="仿宋" w:eastAsia="仿宋"/>
          <w:color w:val="000000"/>
          <w:sz w:val="28"/>
          <w:szCs w:val="28"/>
        </w:rPr>
      </w:pPr>
      <w:r>
        <w:rPr>
          <w:rFonts w:hint="eastAsia" w:ascii="仿宋" w:hAnsi="仿宋" w:eastAsia="仿宋"/>
          <w:color w:val="000000"/>
          <w:sz w:val="28"/>
          <w:szCs w:val="28"/>
        </w:rPr>
        <w:t xml:space="preserve">11.商品包装和快递包装要求执行财办库【2020】123号，具体如下：</w:t>
      </w:r>
      <w:r>
        <w:rPr>
          <w:rFonts w:hint="eastAsia" w:ascii="仿宋" w:hAnsi="仿宋" w:eastAsia="仿宋"/>
          <w:color w:val="000000"/>
          <w:sz w:val="28"/>
          <w:szCs w:val="28"/>
        </w:rPr>
      </w:r>
      <w:r/>
    </w:p>
    <w:p>
      <w:pPr>
        <w:pStyle w:val="903"/>
        <w:spacing w:after="0" w:line="360" w:lineRule="exact"/>
      </w:pPr>
      <w:r/>
      <w:bookmarkStart w:id="211" w:name="_Hlk175617619"/>
      <w:r>
        <w:rPr>
          <w:rFonts w:hint="eastAsia"/>
        </w:rPr>
        <w:t xml:space="preserve">11.1商品包装环保要求</w:t>
      </w:r>
      <w:r/>
    </w:p>
    <w:p>
      <w:pPr>
        <w:pStyle w:val="903"/>
        <w:spacing w:after="0" w:line="360" w:lineRule="exact"/>
      </w:pPr>
      <w:r>
        <w:rPr>
          <w:rFonts w:hint="eastAsia"/>
        </w:rPr>
        <w:t xml:space="preserve">11.1.1商品包装层数不得超过3层，空隙率不大于40%；</w:t>
      </w:r>
      <w:r/>
    </w:p>
    <w:p>
      <w:pPr>
        <w:pStyle w:val="903"/>
        <w:spacing w:after="0" w:line="360" w:lineRule="exact"/>
      </w:pPr>
      <w:r>
        <w:rPr>
          <w:rFonts w:hint="eastAsia"/>
        </w:rPr>
        <w:t xml:space="preserve">11.1.2商品包装尽可能使用单一材质的包装材料，如因功能需求必需使用不同材质，不同材质间应便于分离；</w:t>
      </w:r>
      <w:r/>
    </w:p>
    <w:p>
      <w:pPr>
        <w:pStyle w:val="903"/>
        <w:spacing w:after="0" w:line="360" w:lineRule="exact"/>
      </w:pPr>
      <w:r>
        <w:rPr>
          <w:rFonts w:hint="eastAsia"/>
        </w:rPr>
        <w:t xml:space="preserve">11.1.3商品包装中铅、汞、镉、六价铬的总含量应不大于100mg/kg；</w:t>
      </w:r>
      <w:r/>
    </w:p>
    <w:p>
      <w:pPr>
        <w:pStyle w:val="903"/>
        <w:spacing w:after="0" w:line="360" w:lineRule="exact"/>
      </w:pPr>
      <w:r>
        <w:rPr>
          <w:rFonts w:hint="eastAsia"/>
        </w:rPr>
        <w:t xml:space="preserve">11.1.4商品包装印刷使用的油墨中挥发性有机化合物(VOCs)含量应不大于5%（以重量计）；</w:t>
      </w:r>
      <w:r/>
    </w:p>
    <w:p>
      <w:pPr>
        <w:pStyle w:val="903"/>
        <w:spacing w:after="0" w:line="360" w:lineRule="exact"/>
      </w:pPr>
      <w:r>
        <w:rPr>
          <w:rFonts w:hint="eastAsia"/>
        </w:rPr>
        <w:t xml:space="preserve">11.1.5塑料材质商品包装上呈现的印刷颜色不得超过6 色；</w:t>
      </w:r>
      <w:r/>
    </w:p>
    <w:p>
      <w:pPr>
        <w:pStyle w:val="903"/>
        <w:spacing w:after="0" w:line="360" w:lineRule="exact"/>
      </w:pPr>
      <w:r>
        <w:rPr>
          <w:rFonts w:hint="eastAsia"/>
        </w:rPr>
        <w:t xml:space="preserve">11.1.6纸质商品包装应使用75%以上的可再生纤维原料生产；</w:t>
      </w:r>
      <w:r/>
    </w:p>
    <w:p>
      <w:pPr>
        <w:pStyle w:val="903"/>
        <w:spacing w:after="0" w:line="360" w:lineRule="exact"/>
      </w:pPr>
      <w:r>
        <w:rPr>
          <w:rFonts w:hint="eastAsia"/>
        </w:rPr>
        <w:t xml:space="preserve">11.1.7木质商品包装的原料应来源于可持续性森林。</w:t>
      </w:r>
      <w:r/>
    </w:p>
    <w:p>
      <w:pPr>
        <w:pStyle w:val="903"/>
        <w:spacing w:after="0" w:line="360" w:lineRule="exact"/>
      </w:pPr>
      <w:r>
        <w:rPr>
          <w:rFonts w:hint="eastAsia"/>
        </w:rPr>
        <w:t xml:space="preserve">11.2快递包装环保要求</w:t>
      </w:r>
      <w:r/>
    </w:p>
    <w:p>
      <w:pPr>
        <w:pStyle w:val="903"/>
        <w:spacing w:after="0" w:line="360" w:lineRule="exact"/>
      </w:pPr>
      <w:r>
        <w:rPr>
          <w:rFonts w:hint="eastAsia"/>
        </w:rPr>
        <w:t xml:space="preserve">11.2.1快递包装中重金属（铅、汞、镉、六价铬）总量应不大于100mg/kg；</w:t>
      </w:r>
      <w:r/>
    </w:p>
    <w:p>
      <w:pPr>
        <w:pStyle w:val="903"/>
        <w:spacing w:after="0" w:line="360" w:lineRule="exact"/>
      </w:pPr>
      <w:r>
        <w:rPr>
          <w:rFonts w:hint="eastAsia"/>
        </w:rPr>
        <w:t xml:space="preserve">11.2.2快递包装印刷使用的油墨中不应添加邻苯二甲酸酯，其挥发性有机化合物(VOCs)含量应不大于5%（以重量计）；</w:t>
      </w:r>
      <w:r/>
    </w:p>
    <w:p>
      <w:pPr>
        <w:pStyle w:val="903"/>
        <w:spacing w:after="0" w:line="360" w:lineRule="exact"/>
      </w:pPr>
      <w:r>
        <w:rPr>
          <w:rFonts w:hint="eastAsia"/>
        </w:rPr>
        <w:t xml:space="preserve">11.2.3快递包装中使用纸基材的包装材料，纸基材中的有机氯的含量应不大于150 mg/kg；</w:t>
      </w:r>
      <w:r/>
    </w:p>
    <w:p>
      <w:pPr>
        <w:pStyle w:val="903"/>
        <w:spacing w:after="0" w:line="360" w:lineRule="exact"/>
      </w:pPr>
      <w:r>
        <w:rPr>
          <w:rFonts w:hint="eastAsia"/>
        </w:rPr>
        <w:t xml:space="preserve">11.2.4快递包装中使用塑料基材的包装材料不得使用邻苯二甲酸二异壬酯、邻苯二甲酸二正辛酯、邻苯二甲酸二(2-乙基)己酯、邻苯二甲酸二异癸酯、邻苯二甲酸丁基苄基酯、邻苯二甲酸二丁酯等作为增塑剂；</w:t>
      </w:r>
      <w:r/>
    </w:p>
    <w:p>
      <w:pPr>
        <w:pStyle w:val="903"/>
        <w:spacing w:after="0" w:line="360" w:lineRule="exact"/>
      </w:pPr>
      <w:r>
        <w:rPr>
          <w:rFonts w:hint="eastAsia"/>
        </w:rPr>
        <w:t xml:space="preserve">11.2.5快递中使用的塑料包装袋不得使用聚氯乙烯作为原料，且原料应为单一材质制成，生物分解率大于60%；</w:t>
      </w:r>
      <w:r/>
    </w:p>
    <w:p>
      <w:pPr>
        <w:pStyle w:val="903"/>
        <w:spacing w:after="0" w:line="360" w:lineRule="exact"/>
      </w:pPr>
      <w:r>
        <w:rPr>
          <w:rFonts w:hint="eastAsia"/>
        </w:rPr>
        <w:t xml:space="preserve">11.2.6快递中使用的充气类填充物不得使用聚氯乙烯作为原料，且原料为单一材质制成，生物分解率大于60%；</w:t>
      </w:r>
      <w:r/>
    </w:p>
    <w:p>
      <w:pPr>
        <w:pStyle w:val="903"/>
        <w:spacing w:after="0" w:line="360" w:lineRule="exact"/>
      </w:pPr>
      <w:r>
        <w:rPr>
          <w:rFonts w:hint="eastAsia"/>
        </w:rPr>
        <w:t xml:space="preserve">11.2.7快递中使用的集装袋应为单一材质制成，其重复使用次数应不小于80次；</w:t>
      </w:r>
      <w:r/>
    </w:p>
    <w:p>
      <w:pPr>
        <w:pStyle w:val="903"/>
        <w:spacing w:after="0" w:line="360" w:lineRule="exact"/>
      </w:pPr>
      <w:r>
        <w:rPr>
          <w:rFonts w:hint="eastAsia"/>
        </w:rPr>
        <w:t xml:space="preserve">11.2.8快递中应使用幅宽不大于45mm的生物降解胶带；</w:t>
      </w:r>
      <w:r/>
    </w:p>
    <w:p>
      <w:pPr>
        <w:pStyle w:val="903"/>
        <w:spacing w:after="0" w:line="360" w:lineRule="exact"/>
      </w:pPr>
      <w:r>
        <w:rPr>
          <w:rFonts w:hint="eastAsia"/>
        </w:rPr>
        <w:t xml:space="preserve">11.2.9快递包装中不得使用溶剂型胶粘剂；</w:t>
      </w:r>
      <w:r/>
    </w:p>
    <w:p>
      <w:pPr>
        <w:pStyle w:val="903"/>
        <w:spacing w:after="0" w:line="360" w:lineRule="exact"/>
      </w:pPr>
      <w:r>
        <w:rPr>
          <w:rFonts w:hint="eastAsia"/>
        </w:rPr>
        <w:t xml:space="preserve">11.2.10快递应使用电子面单；</w:t>
      </w:r>
      <w:r/>
    </w:p>
    <w:p>
      <w:pPr>
        <w:pStyle w:val="903"/>
        <w:spacing w:after="0" w:line="360" w:lineRule="exact"/>
      </w:pPr>
      <w:r>
        <w:rPr>
          <w:rFonts w:hint="eastAsia"/>
        </w:rPr>
        <w:t xml:space="preserve">11.2.11直接使用商品包装作为快递包装的商品，其商品包装满足《商品包装政府采购需求标准（试行）》即可；</w:t>
      </w:r>
      <w:r/>
    </w:p>
    <w:p>
      <w:pPr>
        <w:pStyle w:val="903"/>
        <w:ind w:firstLine="210"/>
      </w:pPr>
      <w:r>
        <w:rPr>
          <w:rFonts w:hint="eastAsia"/>
        </w:rPr>
        <w:t xml:space="preserve">11.2.12快递包装产品质量和封装方式应符合相关国家或行业标准技术指标要求。</w:t>
      </w:r>
      <w:bookmarkEnd w:id="211"/>
      <w:r/>
      <w:r/>
    </w:p>
    <w:p>
      <w:pPr>
        <w:pStyle w:val="903"/>
        <w:ind w:left="0" w:firstLine="0"/>
        <w:rPr>
          <w:rFonts w:eastAsia="仿宋"/>
          <w:lang w:val="en-US" w:eastAsia="zh-CN"/>
        </w:rPr>
      </w:pPr>
      <w:r>
        <w:rPr>
          <w:rFonts w:eastAsia="仿宋"/>
          <w:lang w:val="en-US" w:eastAsia="zh-CN"/>
        </w:rPr>
      </w:r>
      <w:r/>
    </w:p>
    <w:p>
      <w:pPr>
        <w:pStyle w:val="891"/>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rPr>
        <w:t xml:space="preserve">四、</w:t>
      </w:r>
      <w:r>
        <w:rPr>
          <w:rFonts w:hint="eastAsia" w:ascii="仿宋" w:hAnsi="仿宋" w:eastAsia="仿宋"/>
          <w:b/>
          <w:i/>
          <w:color w:val="000000"/>
          <w:sz w:val="28"/>
          <w:szCs w:val="28"/>
          <w:u w:val="single"/>
        </w:rPr>
        <w:t xml:space="preserve">采购需求中必须满足的实质性要求。（请单独列出并加斜体</w:t>
      </w:r>
      <w:r>
        <w:rPr>
          <w:rFonts w:ascii="仿宋" w:hAnsi="仿宋" w:eastAsia="仿宋"/>
          <w:b/>
          <w:i/>
          <w:color w:val="000000"/>
          <w:sz w:val="28"/>
          <w:szCs w:val="28"/>
          <w:u w:val="single"/>
        </w:rPr>
        <w:t xml:space="preserve">下划线</w:t>
      </w:r>
      <w:r>
        <w:rPr>
          <w:rFonts w:hint="eastAsia" w:ascii="仿宋" w:hAnsi="仿宋" w:eastAsia="仿宋"/>
          <w:b/>
          <w:i/>
          <w:color w:val="000000"/>
          <w:sz w:val="28"/>
          <w:szCs w:val="28"/>
          <w:u w:val="single"/>
        </w:rPr>
        <w:t xml:space="preserve">）</w:t>
      </w:r>
      <w:r>
        <w:rPr>
          <w:rFonts w:hint="eastAsia" w:ascii="仿宋" w:hAnsi="仿宋" w:eastAsia="仿宋"/>
          <w:b/>
          <w:i/>
          <w:color w:val="000000"/>
          <w:sz w:val="28"/>
          <w:szCs w:val="28"/>
          <w:u w:val="single"/>
        </w:rPr>
      </w:r>
      <w:r/>
    </w:p>
    <w:p>
      <w:pPr>
        <w:pStyle w:val="891"/>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4.1技术部分实质性要求</w:t>
      </w:r>
      <w:r>
        <w:rPr>
          <w:rFonts w:hint="eastAsia" w:ascii="仿宋" w:hAnsi="仿宋" w:eastAsia="仿宋"/>
          <w:i/>
          <w:sz w:val="28"/>
          <w:szCs w:val="28"/>
          <w:highlight w:val="none"/>
          <w:u w:val="single"/>
        </w:rPr>
      </w:r>
      <w:r/>
    </w:p>
    <w:p>
      <w:pPr>
        <w:pStyle w:val="903"/>
        <w:spacing w:after="0" w:line="360" w:lineRule="exact"/>
        <w:rPr>
          <w:i/>
          <w:iCs/>
          <w:u w:val="single"/>
        </w:rPr>
      </w:pPr>
      <w:r>
        <w:rPr>
          <w:rFonts w:hint="eastAsia"/>
          <w:i/>
          <w:iCs/>
          <w:u w:val="single"/>
        </w:rPr>
        <w:t xml:space="preserve">4.1.1投标参数应客观真实，保证不虚假应标。</w:t>
      </w:r>
      <w:r>
        <w:rPr>
          <w:i/>
          <w:iCs/>
          <w:u w:val="single"/>
        </w:rPr>
      </w:r>
      <w:r/>
    </w:p>
    <w:p>
      <w:pPr>
        <w:pStyle w:val="903"/>
        <w:spacing w:after="0" w:line="360" w:lineRule="exact"/>
        <w:rPr>
          <w:rFonts w:hint="eastAsia" w:ascii="仿宋" w:hAnsi="仿宋" w:eastAsia="仿宋"/>
          <w:i/>
          <w:sz w:val="28"/>
          <w:szCs w:val="28"/>
          <w:highlight w:val="none"/>
          <w:u w:val="single"/>
        </w:rPr>
      </w:pPr>
      <w:r>
        <w:rPr>
          <w:rFonts w:hint="eastAsia"/>
          <w:i/>
          <w:iCs/>
          <w:u w:val="single"/>
        </w:rPr>
        <w:t xml:space="preserve">4.1.2投标人在投标时须填写并提交技术要求响应及偏离表，每条均注明“响应”或“正/负偏离”。</w:t>
      </w:r>
      <w:r>
        <w:rPr>
          <w:rFonts w:hint="eastAsia" w:ascii="仿宋" w:hAnsi="仿宋" w:eastAsia="仿宋"/>
          <w:i/>
          <w:sz w:val="28"/>
          <w:szCs w:val="28"/>
          <w:highlight w:val="none"/>
          <w:u w:val="single"/>
        </w:rPr>
      </w:r>
      <w:r/>
    </w:p>
    <w:p>
      <w:pPr>
        <w:pStyle w:val="891"/>
        <w:ind w:firstLine="560"/>
        <w:spacing w:line="480" w:lineRule="exact"/>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4.2商务部分实质性要求</w:t>
      </w:r>
      <w:r>
        <w:rPr>
          <w:rFonts w:hint="eastAsia" w:ascii="仿宋" w:hAnsi="仿宋" w:eastAsia="仿宋"/>
          <w:i/>
          <w:sz w:val="28"/>
          <w:szCs w:val="28"/>
          <w:highlight w:val="none"/>
          <w:u w:val="single"/>
        </w:rPr>
      </w:r>
      <w:r/>
    </w:p>
    <w:p>
      <w:pPr>
        <w:pStyle w:val="903"/>
        <w:spacing w:after="0" w:line="360" w:lineRule="exact"/>
        <w:rPr>
          <w:i/>
          <w:iCs/>
          <w:u w:val="single"/>
        </w:rPr>
      </w:pPr>
      <w:r>
        <w:rPr>
          <w:rFonts w:hint="eastAsia"/>
          <w:i/>
          <w:iCs/>
          <w:u w:val="single"/>
        </w:rPr>
        <w:t xml:space="preserve">4.2.1中标人在中标通知书发出后30日内凭履约保证金缴纳凭证，按照招标文件确定的事项与采购人签订合同，超期视为自动放弃成交资格。</w:t>
      </w:r>
      <w:r>
        <w:rPr>
          <w:i/>
          <w:iCs/>
          <w:u w:val="single"/>
        </w:rPr>
      </w:r>
      <w:r/>
    </w:p>
    <w:p>
      <w:pPr>
        <w:pStyle w:val="903"/>
        <w:spacing w:after="0" w:line="360" w:lineRule="exact"/>
        <w:rPr>
          <w:i/>
          <w:iCs/>
          <w:u w:val="single"/>
        </w:rPr>
      </w:pPr>
      <w:r>
        <w:rPr>
          <w:rFonts w:hint="eastAsia"/>
          <w:i/>
          <w:iCs/>
          <w:u w:val="single"/>
        </w:rPr>
        <w:t xml:space="preserve">4.2.2中标人保证所供应的产品是全新、未使用过的原装合格正品，严禁供应改装、翻新产品。</w:t>
      </w:r>
      <w:r>
        <w:rPr>
          <w:i/>
          <w:iCs/>
          <w:u w:val="single"/>
        </w:rPr>
      </w:r>
      <w:r/>
    </w:p>
    <w:p>
      <w:pPr>
        <w:pStyle w:val="903"/>
        <w:spacing w:after="0" w:line="360" w:lineRule="exact"/>
        <w:rPr>
          <w:i/>
          <w:iCs/>
          <w:u w:val="single"/>
        </w:rPr>
      </w:pPr>
      <w:r>
        <w:rPr>
          <w:rFonts w:hint="eastAsia"/>
          <w:i/>
          <w:iCs/>
          <w:u w:val="single"/>
        </w:rPr>
        <w:t xml:space="preserve">4.2.3中标人确保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rPr>
          <w:i/>
          <w:iCs/>
          <w:u w:val="single"/>
        </w:rPr>
      </w:r>
      <w:r/>
    </w:p>
    <w:p>
      <w:pPr>
        <w:pStyle w:val="903"/>
        <w:spacing w:after="0" w:line="360" w:lineRule="exact"/>
        <w:rPr>
          <w:i/>
          <w:iCs/>
          <w:u w:val="single"/>
        </w:rPr>
      </w:pPr>
      <w:r>
        <w:rPr>
          <w:rFonts w:hint="eastAsia"/>
          <w:i/>
          <w:iCs/>
          <w:u w:val="single"/>
        </w:rPr>
        <w:t xml:space="preserve">4.2.4货物到货后，需报采购人后方可进场，保证绝不将不合格的货物使用到本项目，否则一切损失及后果由中标人自行承担。</w:t>
      </w:r>
      <w:r>
        <w:rPr>
          <w:i/>
          <w:iCs/>
          <w:u w:val="single"/>
        </w:rPr>
      </w:r>
      <w:r/>
    </w:p>
    <w:p>
      <w:pPr>
        <w:pStyle w:val="903"/>
        <w:spacing w:after="0" w:line="360" w:lineRule="exact"/>
        <w:rPr>
          <w:i/>
          <w:iCs/>
          <w:u w:val="single"/>
        </w:rPr>
      </w:pPr>
      <w:r>
        <w:rPr>
          <w:rFonts w:hint="eastAsia"/>
          <w:i/>
          <w:iCs/>
          <w:u w:val="single"/>
        </w:rPr>
        <w:t xml:space="preserve">4.2.5中标人应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的包括但不限于律师费、诉讼费、保全费、公证费、差旅费、保全保险费等费用），此外还须向采购人支付本合同总价款20%的赔偿金。</w:t>
      </w:r>
      <w:r>
        <w:rPr>
          <w:i/>
          <w:iCs/>
          <w:u w:val="single"/>
        </w:rPr>
      </w:r>
      <w:r/>
    </w:p>
    <w:p>
      <w:pPr>
        <w:pStyle w:val="903"/>
        <w:spacing w:after="0" w:line="360" w:lineRule="exact"/>
        <w:rPr>
          <w:i/>
          <w:iCs/>
          <w:u w:val="single"/>
        </w:rPr>
      </w:pPr>
      <w:r>
        <w:rPr>
          <w:rFonts w:hint="eastAsia"/>
          <w:i/>
          <w:iCs/>
          <w:u w:val="single"/>
        </w:rPr>
        <w:t xml:space="preserve">4.2.6中标人保证设备报修后4小时内响应，2个工作日内到达现场维修。</w:t>
      </w:r>
      <w:r>
        <w:rPr>
          <w:i/>
          <w:iCs/>
          <w:u w:val="single"/>
        </w:rPr>
      </w:r>
      <w:r/>
    </w:p>
    <w:p>
      <w:pPr>
        <w:pStyle w:val="903"/>
        <w:spacing w:after="0" w:line="360" w:lineRule="exact"/>
        <w:rPr>
          <w:i/>
          <w:iCs/>
          <w:u w:val="single"/>
        </w:rPr>
      </w:pPr>
      <w:r>
        <w:rPr>
          <w:rFonts w:hint="eastAsia"/>
          <w:i/>
          <w:iCs/>
          <w:u w:val="single"/>
        </w:rPr>
        <w:t xml:space="preserve">4.2.7如果货物的质量或规格与合同不符，或证实货物是有缺陷的，包括潜在的缺陷或使用不符合要求的材料等，中标人承担违约责任。</w:t>
      </w:r>
      <w:r>
        <w:rPr>
          <w:i/>
          <w:iCs/>
          <w:u w:val="single"/>
        </w:rPr>
      </w:r>
      <w:r/>
    </w:p>
    <w:p>
      <w:pPr>
        <w:pStyle w:val="903"/>
        <w:spacing w:after="0" w:line="360" w:lineRule="exact"/>
        <w:rPr>
          <w:i/>
          <w:iCs/>
          <w:u w:val="single"/>
        </w:rPr>
      </w:pPr>
      <w:r>
        <w:rPr>
          <w:rFonts w:hint="eastAsia"/>
          <w:i/>
          <w:iCs/>
          <w:u w:val="single"/>
        </w:rPr>
        <w:t xml:space="preserve">4.2.8投标人在投标时须填写并提交商务要求响应及偏离表，每条均注明“响应”或</w:t>
      </w:r>
      <w:bookmarkStart w:id="212" w:name="_Hlk175646290"/>
      <w:r>
        <w:rPr>
          <w:rFonts w:hint="eastAsia"/>
          <w:i/>
          <w:iCs/>
          <w:u w:val="single"/>
        </w:rPr>
        <w:t xml:space="preserve">“</w:t>
      </w:r>
      <w:bookmarkStart w:id="213" w:name="_Hlk175617747"/>
      <w:r>
        <w:rPr>
          <w:rFonts w:hint="eastAsia"/>
          <w:i/>
          <w:iCs/>
          <w:u w:val="single"/>
        </w:rPr>
        <w:t xml:space="preserve">正/负</w:t>
      </w:r>
      <w:bookmarkEnd w:id="212"/>
      <w:r/>
      <w:bookmarkEnd w:id="213"/>
      <w:r>
        <w:rPr>
          <w:rFonts w:hint="eastAsia"/>
          <w:i/>
          <w:iCs/>
          <w:u w:val="single"/>
        </w:rPr>
        <w:t xml:space="preserve">偏离”。</w:t>
      </w:r>
      <w:r>
        <w:rPr>
          <w:i/>
          <w:iCs/>
          <w:u w:val="single"/>
        </w:rPr>
      </w:r>
      <w:r/>
    </w:p>
    <w:p>
      <w:pPr>
        <w:pStyle w:val="891"/>
        <w:ind w:firstLine="560"/>
        <w:spacing w:line="480" w:lineRule="exact"/>
        <w:rPr>
          <w:rFonts w:hint="eastAsia" w:ascii="仿宋" w:hAnsi="仿宋" w:eastAsia="仿宋"/>
          <w:i/>
          <w:iCs/>
          <w:sz w:val="28"/>
          <w:szCs w:val="28"/>
          <w:u w:val="single"/>
        </w:rPr>
      </w:pPr>
      <w:r>
        <w:rPr>
          <w:rFonts w:hint="eastAsia" w:ascii="仿宋" w:hAnsi="仿宋" w:eastAsia="仿宋"/>
          <w:i/>
          <w:iCs/>
          <w:sz w:val="28"/>
          <w:szCs w:val="28"/>
          <w:u w:val="single"/>
        </w:rPr>
        <w:t xml:space="preserve">4.3报价部分实质性要求</w:t>
      </w:r>
      <w:r>
        <w:rPr>
          <w:rFonts w:hint="eastAsia" w:ascii="仿宋" w:hAnsi="仿宋" w:eastAsia="仿宋"/>
          <w:i/>
          <w:iCs/>
          <w:sz w:val="28"/>
          <w:szCs w:val="28"/>
          <w:u w:val="single"/>
        </w:rPr>
      </w:r>
      <w:r/>
    </w:p>
    <w:p>
      <w:pPr>
        <w:pStyle w:val="903"/>
        <w:spacing w:after="0" w:line="360" w:lineRule="exact"/>
        <w:rPr>
          <w:i/>
          <w:iCs/>
          <w:u w:val="single"/>
        </w:rPr>
      </w:pPr>
      <w:r>
        <w:rPr>
          <w:rFonts w:hint="eastAsia"/>
          <w:i/>
          <w:iCs/>
          <w:u w:val="single"/>
        </w:rPr>
        <w:t xml:space="preserve">4.3.1本项目报价包含但不限于投标、货物供应、运输、安装调试、培训、质保等各方面产生的全部费用，中标人不得要求采购人支付除合同价款以外的其他任何费用。</w:t>
      </w:r>
      <w:r>
        <w:rPr>
          <w:i/>
          <w:iCs/>
          <w:u w:val="single"/>
        </w:rPr>
      </w:r>
      <w:r/>
    </w:p>
    <w:p>
      <w:pPr>
        <w:pStyle w:val="903"/>
        <w:spacing w:after="0" w:line="360" w:lineRule="exact"/>
        <w:rPr>
          <w:i/>
          <w:iCs/>
          <w:u w:val="single"/>
        </w:rPr>
      </w:pPr>
      <w:r>
        <w:rPr>
          <w:rFonts w:hint="eastAsia"/>
          <w:i/>
          <w:iCs/>
          <w:u w:val="single"/>
        </w:rPr>
        <w:t xml:space="preserve">4.3.2报价超过本项目最高限价的为无效投标。</w:t>
      </w:r>
      <w:r>
        <w:rPr>
          <w:i/>
          <w:iCs/>
          <w:u w:val="single"/>
        </w:rPr>
      </w:r>
      <w:r/>
    </w:p>
    <w:p>
      <w:pPr>
        <w:pStyle w:val="891"/>
        <w:ind w:firstLine="480"/>
        <w:rPr>
          <w:rFonts w:hint="eastAsia" w:ascii="宋体" w:hAnsi="宋体"/>
          <w:color w:val="000000"/>
          <w:sz w:val="24"/>
          <w:szCs w:val="24"/>
        </w:rPr>
      </w:pPr>
      <w:r>
        <w:rPr>
          <w:rFonts w:hint="eastAsia" w:ascii="宋体" w:hAnsi="宋体"/>
          <w:color w:val="000000"/>
          <w:sz w:val="24"/>
          <w:szCs w:val="24"/>
        </w:rPr>
      </w:r>
      <w:r/>
    </w:p>
    <w:p>
      <w:pPr>
        <w:pStyle w:val="891"/>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891"/>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891"/>
        <w:rPr>
          <w:rFonts w:hint="eastAsia" w:ascii="宋体" w:hAnsi="宋体"/>
          <w:b/>
          <w:color w:val="000000"/>
          <w:sz w:val="28"/>
          <w:szCs w:val="28"/>
        </w:rPr>
      </w:pPr>
      <w:r>
        <w:rPr>
          <w:rFonts w:hint="eastAsia" w:ascii="宋体" w:hAnsi="宋体"/>
          <w:b/>
          <w:color w:val="000000"/>
          <w:sz w:val="28"/>
          <w:szCs w:val="28"/>
        </w:rPr>
      </w:r>
      <w:r/>
    </w:p>
    <w:p>
      <w:pPr>
        <w:pStyle w:val="891"/>
        <w:jc w:val="center"/>
        <w:keepNext/>
        <w:rPr>
          <w:rFonts w:hint="eastAsia" w:ascii="黑体" w:hAnsi="Times New Roman" w:eastAsia="黑体"/>
          <w:bCs/>
          <w:color w:val="000000"/>
          <w:sz w:val="44"/>
          <w:szCs w:val="28"/>
        </w:rPr>
        <w:outlineLvl w:val="0"/>
      </w:pPr>
      <w:r/>
      <w:bookmarkStart w:id="214" w:name="_Toc120614281"/>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03"/>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9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891"/>
        <w:ind w:firstLine="512"/>
        <w:jc w:val="left"/>
        <w:spacing w:before="120" w:after="120" w:line="480" w:lineRule="exact"/>
        <w:rPr>
          <w:rFonts w:hint="eastAsia" w:ascii="仿宋" w:hAnsi="仿宋" w:eastAsia="仿宋" w:cs="Arial"/>
          <w:color w:val="000000"/>
          <w:sz w:val="28"/>
          <w:szCs w:val="28"/>
        </w:rPr>
      </w:pPr>
      <w:r>
        <w:rPr>
          <w:rFonts w:hint="eastAsia" w:ascii="仿宋" w:hAnsi="仿宋" w:eastAsia="仿宋" w:cs="Arial"/>
          <w:color w:val="000000"/>
          <w:sz w:val="28"/>
          <w:szCs w:val="28"/>
        </w:rPr>
      </w:r>
      <w:r/>
    </w:p>
    <w:p>
      <w:pPr>
        <w:pStyle w:val="891"/>
        <w:ind w:firstLine="514"/>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政府采购政策功能落实</w:t>
      </w:r>
      <w:r>
        <w:rPr>
          <w:rFonts w:hint="eastAsia" w:ascii="仿宋" w:hAnsi="仿宋" w:eastAsia="仿宋"/>
          <w:b/>
          <w:color w:val="000000"/>
          <w:sz w:val="28"/>
          <w:szCs w:val="28"/>
          <w:highlight w:val="yellow"/>
        </w:rPr>
      </w:r>
      <w:r/>
    </w:p>
    <w:p>
      <w:pPr>
        <w:pStyle w:val="891"/>
        <w:ind w:firstLine="560"/>
        <w:jc w:val="left"/>
        <w:spacing w:before="120" w:after="120" w:line="480" w:lineRule="exact"/>
        <w:rPr>
          <w:rFonts w:ascii="仿宋" w:hAnsi="仿宋" w:eastAsia="仿宋" w:cs="Times New Roman"/>
          <w:color w:val="000000"/>
          <w:sz w:val="28"/>
          <w:szCs w:val="28"/>
          <w:highlight w:val="yellow"/>
          <w:lang w:val="en-US" w:eastAsia="zh-CN"/>
        </w:rPr>
      </w:pPr>
      <w:r>
        <w:rPr>
          <w:rFonts w:hint="eastAsia" w:ascii="仿宋" w:hAnsi="仿宋" w:eastAsia="仿宋"/>
          <w:color w:val="000000"/>
          <w:sz w:val="28"/>
          <w:szCs w:val="28"/>
        </w:rPr>
        <w:t xml:space="preserve">1、小微型企业价格扣除</w:t>
      </w:r>
      <w:r>
        <w:rPr>
          <w:rFonts w:ascii="仿宋" w:hAnsi="仿宋" w:eastAsia="仿宋" w:cs="Times New Roman"/>
          <w:color w:val="000000"/>
          <w:sz w:val="28"/>
          <w:szCs w:val="28"/>
          <w:highlight w:val="yellow"/>
          <w:lang w:val="en-US" w:eastAsia="zh-CN"/>
        </w:rPr>
      </w:r>
      <w:r/>
    </w:p>
    <w:p>
      <w:pPr>
        <w:pStyle w:val="89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（1）本项目对小型和微型企业产品</w:t>
      </w:r>
      <w:r>
        <w:rPr>
          <w:rFonts w:hint="eastAsia" w:ascii="仿宋" w:hAnsi="仿宋" w:eastAsia="仿宋"/>
          <w:color w:val="000000"/>
          <w:sz w:val="28"/>
          <w:szCs w:val="28"/>
          <w:highlight w:val="none"/>
        </w:rPr>
        <w:t xml:space="preserve">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的扣除价格，用扣除后的价格参与评审。（2）供应商需按照采购文件的要求提供相应的《小微企业声明函》。</w:t>
      </w:r>
      <w:r>
        <w:rPr>
          <w:rFonts w:hint="eastAsia" w:ascii="仿宋" w:hAnsi="仿宋" w:eastAsia="仿宋"/>
          <w:color w:val="000000"/>
          <w:sz w:val="28"/>
          <w:szCs w:val="28"/>
          <w:highlight w:val="none"/>
        </w:rPr>
      </w:r>
      <w:r/>
    </w:p>
    <w:p>
      <w:pPr>
        <w:pStyle w:val="891"/>
        <w:ind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（3）企业标准请参照《关于印发中小企业划型标准规定的通知》（工信部联企业[2011]300号）文件规定自行填写。</w:t>
      </w:r>
      <w:r>
        <w:rPr>
          <w:rFonts w:hint="eastAsia" w:ascii="仿宋" w:hAnsi="仿宋" w:eastAsia="仿宋"/>
          <w:color w:val="000000"/>
          <w:sz w:val="28"/>
          <w:szCs w:val="28"/>
          <w:highlight w:val="none"/>
        </w:rPr>
      </w:r>
      <w:r/>
    </w:p>
    <w:p>
      <w:pPr>
        <w:pStyle w:val="89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2、残疾人福利单位价格扣除</w:t>
      </w:r>
      <w:r>
        <w:rPr>
          <w:rFonts w:hint="eastAsia" w:ascii="仿宋" w:hAnsi="仿宋" w:eastAsia="仿宋"/>
          <w:color w:val="000000"/>
          <w:sz w:val="28"/>
          <w:szCs w:val="28"/>
          <w:highlight w:val="none"/>
        </w:rPr>
      </w:r>
      <w:r/>
    </w:p>
    <w:p>
      <w:pPr>
        <w:pStyle w:val="89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（1）本项目对残疾人福利性单位视同小型、微型企业，给予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89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（2）残疾人福利单位需按照采购文件的要求提供《残疾人福利性单位声明函》。</w:t>
      </w:r>
      <w:r>
        <w:rPr>
          <w:rFonts w:hint="eastAsia" w:ascii="仿宋" w:hAnsi="仿宋" w:eastAsia="仿宋"/>
          <w:color w:val="000000"/>
          <w:sz w:val="28"/>
          <w:szCs w:val="28"/>
          <w:highlight w:val="none"/>
        </w:rPr>
      </w:r>
      <w:r/>
    </w:p>
    <w:p>
      <w:pPr>
        <w:pStyle w:val="891"/>
        <w:ind w:left="120" w:firstLine="42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（3）残疾人福利单位标准请参照《关于促进残疾人就业政府采购政策的通知》（财库〔2017〕141号）。</w:t>
      </w:r>
      <w:r>
        <w:rPr>
          <w:rFonts w:hint="eastAsia" w:ascii="仿宋" w:hAnsi="仿宋" w:eastAsia="仿宋"/>
          <w:color w:val="000000"/>
          <w:sz w:val="28"/>
          <w:szCs w:val="28"/>
          <w:highlight w:val="none"/>
        </w:rPr>
      </w:r>
      <w:r/>
    </w:p>
    <w:p>
      <w:pPr>
        <w:pStyle w:val="89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3、监狱和戒毒企业价格扣除</w:t>
      </w:r>
      <w:r>
        <w:rPr>
          <w:rFonts w:hint="eastAsia" w:ascii="仿宋" w:hAnsi="仿宋" w:eastAsia="仿宋"/>
          <w:color w:val="000000"/>
          <w:sz w:val="28"/>
          <w:szCs w:val="28"/>
          <w:highlight w:val="none"/>
        </w:rPr>
      </w:r>
      <w:r/>
    </w:p>
    <w:p>
      <w:pPr>
        <w:pStyle w:val="891"/>
        <w:ind w:firstLine="560"/>
        <w:jc w:val="left"/>
        <w:spacing w:before="120" w:after="120"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（1）本项目对监狱和戒毒企业（简称监狱企业）视同小型、微型企业，给予</w:t>
      </w:r>
      <w:r>
        <w:rPr>
          <w:rFonts w:hint="eastAsia" w:ascii="仿宋" w:hAnsi="仿宋" w:eastAsia="仿宋"/>
          <w:color w:val="000000"/>
          <w:sz w:val="28"/>
          <w:szCs w:val="28"/>
          <w:highlight w:val="none"/>
          <w:u w:val="single"/>
          <w:lang w:val="en-US" w:eastAsia="zh-CN"/>
        </w:rPr>
        <w:t xml:space="preserve">10</w:t>
      </w:r>
      <w:r>
        <w:rPr>
          <w:rFonts w:hint="eastAsia" w:ascii="仿宋" w:hAnsi="仿宋" w:eastAsia="仿宋"/>
          <w:color w:val="000000"/>
          <w:sz w:val="28"/>
          <w:szCs w:val="28"/>
          <w:highlight w:val="none"/>
          <w:u w:val="single"/>
        </w:rPr>
        <w:t xml:space="preserve">%</w:t>
      </w:r>
      <w:r>
        <w:rPr>
          <w:rFonts w:hint="eastAsia" w:ascii="仿宋" w:hAnsi="仿宋" w:eastAsia="仿宋"/>
          <w:color w:val="000000"/>
          <w:sz w:val="28"/>
          <w:szCs w:val="28"/>
          <w:highlight w:val="none"/>
        </w:rPr>
        <w:t xml:space="preserve">的价格扣除，用扣除后的价格参与评审。</w:t>
      </w:r>
      <w:r>
        <w:rPr>
          <w:rFonts w:hint="eastAsia" w:ascii="仿宋" w:hAnsi="仿宋" w:eastAsia="仿宋"/>
          <w:color w:val="000000"/>
          <w:sz w:val="28"/>
          <w:szCs w:val="28"/>
          <w:highlight w:val="none"/>
        </w:rPr>
      </w:r>
      <w:r/>
    </w:p>
    <w:p>
      <w:pPr>
        <w:pStyle w:val="89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highlight w:val="none"/>
        </w:rPr>
        <w:t xml:space="preserve">（2）监狱企业参加政府采购活动时，需提供由省级以上监狱管理局、戒毒管理局(含新疆生产建设兵团)出具的属于监狱企业的</w:t>
      </w:r>
      <w:r>
        <w:rPr>
          <w:rFonts w:hint="eastAsia" w:ascii="仿宋" w:hAnsi="仿宋" w:eastAsia="仿宋"/>
          <w:color w:val="000000"/>
          <w:sz w:val="28"/>
          <w:szCs w:val="28"/>
        </w:rPr>
        <w:t xml:space="preserve">证明文件。</w:t>
      </w:r>
      <w:r>
        <w:rPr>
          <w:rFonts w:hint="eastAsia" w:ascii="仿宋" w:hAnsi="仿宋" w:eastAsia="仿宋"/>
          <w:color w:val="000000"/>
          <w:sz w:val="28"/>
          <w:szCs w:val="28"/>
        </w:rPr>
        <w:t xml:space="preserve">供应商如不提供上述证明文件，价格将不做相应扣除</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w:t>
      </w:r>
      <w:r>
        <w:rPr>
          <w:rFonts w:ascii="仿宋" w:hAnsi="仿宋" w:eastAsia="仿宋"/>
          <w:color w:val="000000"/>
          <w:sz w:val="28"/>
          <w:szCs w:val="28"/>
        </w:rPr>
        <w:t xml:space="preserve">财库[2014]68号</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1"/>
        <w:ind w:firstLine="560"/>
        <w:jc w:val="left"/>
        <w:spacing w:before="120" w:after="120"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4、残疾人福利单位、监狱企业属于小型、微型企业的，不重复享受政策。</w:t>
      </w:r>
      <w:r>
        <w:rPr>
          <w:rFonts w:hint="eastAsia" w:ascii="仿宋" w:hAnsi="仿宋" w:eastAsia="仿宋"/>
          <w:color w:val="000000"/>
          <w:sz w:val="28"/>
          <w:szCs w:val="28"/>
        </w:rPr>
      </w:r>
      <w:r/>
    </w:p>
    <w:p>
      <w:pPr>
        <w:pStyle w:val="891"/>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977"/>
        <w:numPr>
          <w:ilvl w:val="0"/>
          <w:numId w:val="15"/>
        </w:numPr>
        <w:ind w:firstLine="562"/>
        <w:spacing w:line="480" w:lineRule="exact"/>
        <w:tabs>
          <w:tab w:val="left" w:pos="312" w:leader="none"/>
        </w:tabs>
        <w:rPr>
          <w:rFonts w:hint="eastAsia" w:ascii="仿宋" w:hAnsi="仿宋" w:eastAsia="仿宋"/>
          <w:b/>
          <w:sz w:val="28"/>
          <w:szCs w:val="28"/>
          <w:highlight w:val="none"/>
        </w:rPr>
      </w:pP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3</w:t>
      </w:r>
      <w:r>
        <w:rPr>
          <w:rFonts w:hint="eastAsia" w:ascii="仿宋" w:hAnsi="仿宋" w:eastAsia="仿宋"/>
          <w:b/>
          <w:sz w:val="28"/>
          <w:szCs w:val="28"/>
          <w:highlight w:val="none"/>
          <w:lang w:val="en-US" w:eastAsia="zh-CN"/>
        </w:rPr>
        <w:t xml:space="preserve">5</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891"/>
        <w:ind w:firstLine="562"/>
        <w:spacing w:line="500" w:lineRule="exact"/>
        <w:rPr>
          <w:rFonts w:eastAsia="方正仿宋_GBK"/>
          <w:sz w:val="28"/>
          <w:szCs w:val="28"/>
        </w:rPr>
      </w:pPr>
      <w:r>
        <w:rPr>
          <w:rFonts w:hint="eastAsia" w:ascii="仿宋" w:hAnsi="仿宋" w:eastAsia="仿宋"/>
          <w:b/>
          <w:sz w:val="28"/>
          <w:szCs w:val="28"/>
          <w:highlight w:val="none"/>
          <w:lang w:val="en-US" w:eastAsia="zh-CN"/>
        </w:rPr>
        <w:t xml:space="preserve"> </w:t>
      </w:r>
      <w:r>
        <w:rPr>
          <w:rFonts w:hint="eastAsia" w:ascii="仿宋" w:hAnsi="仿宋" w:eastAsia="仿宋"/>
          <w:b/>
          <w:sz w:val="28"/>
          <w:szCs w:val="28"/>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9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891"/>
        <w:numPr>
          <w:ilvl w:val="0"/>
          <w:numId w:val="15"/>
        </w:numPr>
        <w:ind w:firstLine="562"/>
        <w:jc w:val="left"/>
        <w:spacing w:before="120" w:after="120" w:line="480" w:lineRule="exact"/>
        <w:tabs>
          <w:tab w:val="left" w:pos="312" w:leader="none"/>
        </w:tabs>
        <w:rPr>
          <w:rFonts w:ascii="仿宋" w:hAnsi="仿宋" w:eastAsia="仿宋"/>
          <w:b/>
          <w:sz w:val="28"/>
          <w:szCs w:val="28"/>
          <w:highlight w:val="none"/>
        </w:rPr>
      </w:pP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6</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695"/>
        <w:gridCol w:w="3135"/>
        <w:gridCol w:w="1095"/>
        <w:gridCol w:w="1140"/>
        <w:gridCol w:w="1520"/>
      </w:tblGrid>
      <w:tr>
        <w:trPr/>
        <w:tc>
          <w:tcPr>
            <w:tcW w:w="879"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仿宋" w:hAnsi="仿宋" w:eastAsia="仿宋"/>
                <w:b/>
                <w:sz w:val="28"/>
                <w:szCs w:val="28"/>
              </w:rPr>
              <w:t xml:space="preserve">序号</w:t>
            </w:r>
            <w:r>
              <w:rPr>
                <w:rFonts w:hint="eastAsia" w:ascii="仿宋" w:hAnsi="仿宋" w:eastAsia="仿宋"/>
                <w:b/>
                <w:sz w:val="28"/>
                <w:szCs w:val="28"/>
              </w:rPr>
            </w:r>
            <w:r/>
          </w:p>
        </w:tc>
        <w:tc>
          <w:tcPr>
            <w:tcW w:w="169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rPr>
                <w:rFonts w:hint="eastAsia" w:ascii="仿宋" w:hAnsi="仿宋" w:eastAsia="仿宋"/>
                <w:b/>
                <w:sz w:val="28"/>
                <w:szCs w:val="28"/>
              </w:rPr>
            </w:r>
            <w:r/>
          </w:p>
        </w:tc>
        <w:tc>
          <w:tcPr>
            <w:tcW w:w="3135" w:type="dxa"/>
            <w:vAlign w:val="top"/>
            <w:textDirection w:val="lrTb"/>
            <w:noWrap w:val="false"/>
          </w:tcPr>
          <w:p>
            <w:pPr>
              <w:pStyle w:val="891"/>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rPr>
                <w:rFonts w:hint="eastAsia" w:ascii="仿宋" w:hAnsi="仿宋" w:eastAsia="仿宋"/>
                <w:b/>
                <w:sz w:val="28"/>
                <w:szCs w:val="28"/>
              </w:rPr>
            </w:r>
            <w:r/>
          </w:p>
        </w:tc>
        <w:tc>
          <w:tcPr>
            <w:tcW w:w="109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rPr>
                <w:rFonts w:hint="eastAsia" w:ascii="仿宋" w:hAnsi="仿宋" w:eastAsia="仿宋"/>
                <w:b/>
                <w:sz w:val="28"/>
                <w:szCs w:val="28"/>
              </w:rPr>
            </w:r>
            <w:r/>
          </w:p>
        </w:tc>
        <w:tc>
          <w:tcPr>
            <w:tcW w:w="1140"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rPr>
                <w:rFonts w:hint="eastAsia" w:ascii="仿宋" w:hAnsi="仿宋" w:eastAsia="仿宋"/>
                <w:b/>
                <w:sz w:val="28"/>
                <w:szCs w:val="28"/>
              </w:rPr>
            </w:r>
            <w:r/>
          </w:p>
        </w:tc>
        <w:tc>
          <w:tcPr>
            <w:tcW w:w="1520"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879" w:type="dxa"/>
            <w:vAlign w:val="center"/>
            <w:textDirection w:val="lrTb"/>
            <w:noWrap w:val="false"/>
          </w:tcPr>
          <w:p>
            <w:pPr>
              <w:pStyle w:val="891"/>
              <w:jc w:val="center"/>
              <w:spacing w:line="480" w:lineRule="exact"/>
              <w:rPr>
                <w:rFonts w:hint="eastAsia" w:ascii="宋体" w:hAnsi="宋体" w:eastAsia="宋体"/>
                <w:b/>
                <w:sz w:val="28"/>
                <w:szCs w:val="28"/>
              </w:rPr>
            </w:pPr>
            <w:r>
              <w:rPr>
                <w:rFonts w:hint="eastAsia" w:ascii="宋体" w:hAnsi="宋体" w:eastAsia="宋体"/>
                <w:b/>
                <w:sz w:val="28"/>
                <w:szCs w:val="28"/>
              </w:rPr>
              <w:t xml:space="preserve">1</w:t>
            </w:r>
            <w:r>
              <w:rPr>
                <w:rFonts w:hint="eastAsia" w:ascii="宋体" w:hAnsi="宋体" w:eastAsia="宋体"/>
                <w:b/>
                <w:sz w:val="28"/>
                <w:szCs w:val="28"/>
              </w:rPr>
            </w:r>
            <w:r/>
          </w:p>
        </w:tc>
        <w:tc>
          <w:tcPr>
            <w:tcW w:w="169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rPr>
              <w:t xml:space="preserve">技术要求响应</w:t>
            </w:r>
            <w:r>
              <w:rPr>
                <w:rFonts w:hint="eastAsia" w:ascii="仿宋" w:hAnsi="仿宋" w:eastAsia="仿宋"/>
                <w:b/>
                <w:sz w:val="28"/>
                <w:szCs w:val="28"/>
              </w:rPr>
            </w:r>
            <w:r/>
          </w:p>
        </w:tc>
        <w:tc>
          <w:tcPr>
            <w:tcW w:w="3135" w:type="dxa"/>
            <w:vAlign w:val="top"/>
            <w:textDirection w:val="lrTb"/>
            <w:noWrap w:val="false"/>
          </w:tcPr>
          <w:p>
            <w:pPr>
              <w:pStyle w:val="891"/>
              <w:jc w:val="left"/>
              <w:spacing w:line="360" w:lineRule="auto"/>
              <w:rPr>
                <w:rFonts w:hint="eastAsia" w:ascii="宋体" w:hAnsi="宋体" w:cs="宋体"/>
                <w:sz w:val="24"/>
                <w:szCs w:val="24"/>
              </w:rPr>
            </w:pPr>
            <w:r>
              <w:rPr>
                <w:rFonts w:hint="eastAsia" w:ascii="宋体" w:hAnsi="宋体" w:cs="宋体"/>
                <w:sz w:val="24"/>
                <w:szCs w:val="24"/>
              </w:rPr>
              <w:t xml:space="preserve">评委根据投标文件《技术要求响应及偏离表》中相关内容，结合投标文件提供的佐证材料等进行打分。其中：完全满足招标文件技术参数要求的得40分；招标文件中标注“▲”的内容为关键参数要求，有一项负偏离的，扣3分；其他参数为常规参数，有一项负偏离的，扣1分；扣完为止。</w:t>
            </w:r>
            <w:r>
              <w:rPr>
                <w:rFonts w:hint="eastAsia" w:ascii="宋体" w:hAnsi="宋体" w:cs="宋体"/>
                <w:sz w:val="24"/>
                <w:szCs w:val="24"/>
              </w:rPr>
            </w:r>
            <w:r/>
          </w:p>
          <w:p>
            <w:pPr>
              <w:pStyle w:val="891"/>
              <w:jc w:val="left"/>
              <w:spacing w:line="480" w:lineRule="exact"/>
              <w:rPr>
                <w:rFonts w:hint="eastAsia" w:ascii="仿宋" w:hAnsi="仿宋" w:eastAsia="仿宋"/>
                <w:b/>
                <w:sz w:val="28"/>
                <w:szCs w:val="28"/>
              </w:rPr>
            </w:pPr>
            <w:r>
              <w:rPr>
                <w:rFonts w:hint="eastAsia" w:ascii="宋体" w:hAnsi="宋体" w:cs="宋体"/>
                <w:sz w:val="24"/>
                <w:szCs w:val="24"/>
              </w:rPr>
              <w:t xml:space="preserve">注：投标产品为进口产品的，标注“▲”的参数，必须提供相关证明材料（如产品彩页、技术白皮书、检测报告等，并加盖制造商公章）扫描件，否则视为负偏离；技术要求响应及偏离表中技术要求条目须与招标文件严格对应，如有缺漏、删减或自行修改的，则视为负偏离。</w:t>
            </w:r>
            <w:r>
              <w:rPr>
                <w:rFonts w:hint="eastAsia" w:ascii="仿宋" w:hAnsi="仿宋" w:eastAsia="仿宋"/>
                <w:b/>
                <w:sz w:val="28"/>
                <w:szCs w:val="28"/>
              </w:rPr>
            </w:r>
            <w:r/>
          </w:p>
        </w:tc>
        <w:tc>
          <w:tcPr>
            <w:tcW w:w="109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40</w:t>
            </w:r>
            <w:r>
              <w:rPr>
                <w:rFonts w:hint="eastAsia" w:ascii="仿宋" w:hAnsi="仿宋" w:eastAsia="仿宋"/>
                <w:b/>
                <w:sz w:val="28"/>
                <w:szCs w:val="28"/>
              </w:rPr>
            </w:r>
            <w:r/>
          </w:p>
        </w:tc>
        <w:tc>
          <w:tcPr>
            <w:tcW w:w="1140"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520"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客观分</w:t>
            </w:r>
            <w:r>
              <w:rPr>
                <w:rFonts w:hint="eastAsia" w:ascii="仿宋" w:hAnsi="仿宋" w:eastAsia="仿宋"/>
                <w:b/>
                <w:sz w:val="28"/>
                <w:szCs w:val="28"/>
              </w:rPr>
            </w:r>
            <w:r/>
          </w:p>
        </w:tc>
      </w:tr>
      <w:tr>
        <w:trPr/>
        <w:tc>
          <w:tcPr>
            <w:tcW w:w="879" w:type="dxa"/>
            <w:vAlign w:val="center"/>
            <w:textDirection w:val="lrTb"/>
            <w:noWrap w:val="false"/>
          </w:tcPr>
          <w:p>
            <w:pPr>
              <w:pStyle w:val="891"/>
              <w:jc w:val="center"/>
              <w:spacing w:line="480" w:lineRule="exact"/>
              <w:rPr>
                <w:rFonts w:hint="eastAsia" w:ascii="宋体" w:hAnsi="宋体" w:eastAsia="宋体"/>
                <w:b/>
                <w:sz w:val="28"/>
                <w:szCs w:val="28"/>
              </w:rPr>
            </w:pPr>
            <w:r>
              <w:rPr>
                <w:rFonts w:hint="eastAsia" w:ascii="宋体" w:hAnsi="宋体" w:eastAsia="宋体"/>
                <w:b/>
                <w:sz w:val="28"/>
                <w:szCs w:val="28"/>
              </w:rPr>
              <w:t xml:space="preserve">2</w:t>
            </w:r>
            <w:r>
              <w:rPr>
                <w:rFonts w:hint="eastAsia" w:ascii="宋体" w:hAnsi="宋体" w:eastAsia="宋体"/>
                <w:b/>
                <w:sz w:val="28"/>
                <w:szCs w:val="28"/>
              </w:rPr>
            </w:r>
            <w:r/>
          </w:p>
        </w:tc>
        <w:tc>
          <w:tcPr>
            <w:tcW w:w="169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仿宋" w:hAnsi="仿宋" w:eastAsia="仿宋"/>
                <w:b/>
                <w:sz w:val="28"/>
                <w:szCs w:val="28"/>
              </w:rPr>
              <w:t xml:space="preserve">产品质量性能</w:t>
            </w:r>
            <w:r>
              <w:rPr>
                <w:rFonts w:hint="eastAsia" w:ascii="仿宋" w:hAnsi="仿宋" w:eastAsia="仿宋"/>
                <w:b/>
                <w:sz w:val="28"/>
                <w:szCs w:val="28"/>
              </w:rPr>
            </w:r>
            <w:r/>
          </w:p>
        </w:tc>
        <w:tc>
          <w:tcPr>
            <w:tcW w:w="3135" w:type="dxa"/>
            <w:vAlign w:val="top"/>
            <w:textDirection w:val="lrTb"/>
            <w:noWrap w:val="false"/>
          </w:tcPr>
          <w:p>
            <w:pPr>
              <w:pStyle w:val="891"/>
              <w:jc w:val="left"/>
              <w:spacing w:line="360" w:lineRule="auto"/>
              <w:rPr>
                <w:rFonts w:hint="eastAsia" w:ascii="宋体" w:hAnsi="宋体"/>
                <w:sz w:val="24"/>
              </w:rPr>
            </w:pPr>
            <w:r>
              <w:rPr>
                <w:rFonts w:hint="eastAsia" w:ascii="宋体" w:hAnsi="宋体"/>
                <w:sz w:val="24"/>
              </w:rPr>
              <w:t xml:space="preserve">投标人应提供产品配置选型详细列表，注明技术先进性、产品稳定性、品牌性能口碑（诸如既往用户满意度评价、第三方市场占有率的调查数据、在知名杂志发表的专业类文献等）等证明性参数。评委根据投标人所投产品的整体配置选型情况进行打分：</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1、配置选型合理，技术先进，稳定性好，品牌性能口碑好，得</w:t>
            </w:r>
            <w:r>
              <w:rPr>
                <w:rFonts w:ascii="宋体" w:hAnsi="宋体"/>
                <w:sz w:val="24"/>
              </w:rPr>
              <w:t xml:space="preserve">6</w:t>
            </w:r>
            <w:r>
              <w:rPr>
                <w:rFonts w:hint="eastAsia" w:ascii="宋体" w:hAnsi="宋体"/>
                <w:sz w:val="24"/>
              </w:rPr>
              <w:t xml:space="preserve">分；</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2、配置选型合理，技术、稳定性、性能口碑中有1项较弱，得3分；</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3、配置选型合理性差，或技术、稳定性、性能口碑中有2项以上较弱，得1分；</w:t>
            </w:r>
            <w:r>
              <w:rPr>
                <w:rFonts w:hint="eastAsia" w:ascii="宋体" w:hAnsi="宋体"/>
                <w:sz w:val="24"/>
              </w:rPr>
            </w:r>
            <w:r/>
          </w:p>
          <w:p>
            <w:pPr>
              <w:pStyle w:val="891"/>
              <w:jc w:val="left"/>
              <w:spacing w:line="480" w:lineRule="exact"/>
              <w:rPr>
                <w:rFonts w:hint="eastAsia" w:ascii="仿宋" w:hAnsi="仿宋" w:eastAsia="仿宋"/>
                <w:b/>
                <w:sz w:val="28"/>
                <w:szCs w:val="28"/>
              </w:rPr>
            </w:pPr>
            <w:r>
              <w:rPr>
                <w:rFonts w:hint="eastAsia" w:ascii="宋体" w:hAnsi="宋体"/>
                <w:sz w:val="24"/>
              </w:rPr>
              <w:t xml:space="preserve">4、未提供相关信息的不得分。</w:t>
            </w:r>
            <w:r>
              <w:rPr>
                <w:rFonts w:hint="eastAsia" w:ascii="仿宋" w:hAnsi="仿宋" w:eastAsia="仿宋"/>
                <w:b/>
                <w:sz w:val="28"/>
                <w:szCs w:val="28"/>
              </w:rPr>
            </w:r>
            <w:r/>
          </w:p>
        </w:tc>
        <w:tc>
          <w:tcPr>
            <w:tcW w:w="1095" w:type="dxa"/>
            <w:vAlign w:val="center"/>
            <w:textDirection w:val="lrTb"/>
            <w:noWrap w:val="false"/>
          </w:tcPr>
          <w:p>
            <w:pPr>
              <w:pStyle w:val="891"/>
              <w:jc w:val="center"/>
              <w:spacing w:line="48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140" w:type="dxa"/>
            <w:vAlign w:val="center"/>
            <w:textDirection w:val="lrTb"/>
            <w:noWrap w:val="false"/>
          </w:tcPr>
          <w:p>
            <w:pPr>
              <w:pStyle w:val="891"/>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1520" w:type="dxa"/>
            <w:vAlign w:val="center"/>
            <w:textDirection w:val="lrTb"/>
            <w:noWrap w:val="false"/>
          </w:tcPr>
          <w:p>
            <w:pPr>
              <w:pStyle w:val="891"/>
              <w:jc w:val="center"/>
              <w:spacing w:line="480" w:lineRule="exact"/>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bl>
    <w:p>
      <w:pPr>
        <w:pStyle w:val="891"/>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891"/>
        <w:numPr>
          <w:ilvl w:val="0"/>
          <w:numId w:val="15"/>
        </w:numPr>
        <w:ind w:firstLine="562"/>
        <w:jc w:val="left"/>
        <w:spacing w:before="120" w:after="120" w:line="480" w:lineRule="exact"/>
        <w:tabs>
          <w:tab w:val="left" w:pos="312" w:leader="none"/>
        </w:tabs>
        <w:rPr>
          <w:rFonts w:hint="eastAsia" w:ascii="仿宋" w:hAnsi="仿宋" w:eastAsia="仿宋"/>
          <w:sz w:val="28"/>
          <w:szCs w:val="28"/>
          <w:highlight w:val="none"/>
        </w:rPr>
      </w:pP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lang w:val="en-US" w:eastAsia="zh-CN"/>
        </w:rPr>
        <w:t xml:space="preserve">9</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665"/>
        <w:gridCol w:w="3165"/>
        <w:gridCol w:w="1125"/>
        <w:gridCol w:w="1110"/>
        <w:gridCol w:w="1535"/>
      </w:tblGrid>
      <w:tr>
        <w:trPr/>
        <w:tc>
          <w:tcPr>
            <w:tcW w:w="864" w:type="dxa"/>
            <w:vAlign w:val="center"/>
            <w:textDirection w:val="lrTb"/>
            <w:noWrap w:val="false"/>
          </w:tcPr>
          <w:p>
            <w:pPr>
              <w:pStyle w:val="891"/>
              <w:jc w:val="left"/>
              <w:spacing w:line="480" w:lineRule="exact"/>
              <w:rPr>
                <w:rFonts w:hint="eastAsia" w:ascii="仿宋" w:hAnsi="仿宋" w:eastAsia="仿宋"/>
                <w:b/>
                <w:sz w:val="28"/>
                <w:szCs w:val="28"/>
              </w:rPr>
            </w:pPr>
            <w:r>
              <w:rPr>
                <w:rFonts w:hint="eastAsia" w:ascii="仿宋" w:hAnsi="仿宋" w:eastAsia="仿宋"/>
                <w:b/>
                <w:sz w:val="28"/>
                <w:szCs w:val="28"/>
              </w:rPr>
              <w:t xml:space="preserve">序号</w:t>
            </w:r>
            <w:r>
              <w:rPr>
                <w:rFonts w:hint="eastAsia" w:ascii="仿宋" w:hAnsi="仿宋" w:eastAsia="仿宋"/>
                <w:b/>
                <w:sz w:val="28"/>
                <w:szCs w:val="28"/>
              </w:rPr>
            </w:r>
            <w:r/>
          </w:p>
        </w:tc>
        <w:tc>
          <w:tcPr>
            <w:tcW w:w="1665" w:type="dxa"/>
            <w:vAlign w:val="center"/>
            <w:textDirection w:val="lrTb"/>
            <w:noWrap w:val="false"/>
          </w:tcPr>
          <w:p>
            <w:pPr>
              <w:pStyle w:val="891"/>
              <w:jc w:val="left"/>
              <w:spacing w:line="480" w:lineRule="exact"/>
              <w:rPr>
                <w:rFonts w:hint="eastAsia" w:ascii="仿宋" w:hAnsi="仿宋" w:eastAsia="仿宋"/>
                <w:b/>
                <w:sz w:val="28"/>
                <w:szCs w:val="28"/>
              </w:rPr>
            </w:pPr>
            <w:r>
              <w:rPr>
                <w:rFonts w:hint="eastAsia" w:ascii="仿宋" w:hAnsi="仿宋" w:eastAsia="仿宋"/>
                <w:b/>
                <w:sz w:val="28"/>
                <w:szCs w:val="28"/>
              </w:rPr>
              <w:t xml:space="preserve">评分点名称</w:t>
            </w:r>
            <w:r>
              <w:rPr>
                <w:rFonts w:hint="eastAsia" w:ascii="仿宋" w:hAnsi="仿宋" w:eastAsia="仿宋"/>
                <w:b/>
                <w:sz w:val="28"/>
                <w:szCs w:val="28"/>
              </w:rPr>
            </w:r>
            <w:r/>
          </w:p>
        </w:tc>
        <w:tc>
          <w:tcPr>
            <w:tcW w:w="3165" w:type="dxa"/>
            <w:vAlign w:val="top"/>
            <w:textDirection w:val="lrTb"/>
            <w:noWrap w:val="false"/>
          </w:tcPr>
          <w:p>
            <w:pPr>
              <w:pStyle w:val="891"/>
              <w:jc w:val="center"/>
              <w:spacing w:line="480" w:lineRule="exact"/>
              <w:rPr>
                <w:rFonts w:hint="eastAsia" w:ascii="仿宋" w:hAnsi="仿宋" w:eastAsia="仿宋"/>
                <w:b/>
                <w:sz w:val="28"/>
                <w:szCs w:val="28"/>
              </w:rPr>
            </w:pPr>
            <w:r>
              <w:rPr>
                <w:rFonts w:hint="eastAsia" w:ascii="仿宋" w:hAnsi="仿宋" w:eastAsia="仿宋"/>
                <w:b/>
                <w:sz w:val="28"/>
                <w:szCs w:val="28"/>
              </w:rPr>
              <w:t xml:space="preserve">评审标准</w:t>
            </w:r>
            <w:r>
              <w:rPr>
                <w:rFonts w:hint="eastAsia" w:ascii="仿宋" w:hAnsi="仿宋" w:eastAsia="仿宋"/>
                <w:b/>
                <w:sz w:val="28"/>
                <w:szCs w:val="28"/>
              </w:rPr>
            </w:r>
            <w:r/>
          </w:p>
        </w:tc>
        <w:tc>
          <w:tcPr>
            <w:tcW w:w="1125" w:type="dxa"/>
            <w:vAlign w:val="center"/>
            <w:textDirection w:val="lrTb"/>
            <w:noWrap w:val="false"/>
          </w:tcPr>
          <w:p>
            <w:pPr>
              <w:pStyle w:val="891"/>
              <w:jc w:val="left"/>
              <w:spacing w:line="480" w:lineRule="exact"/>
              <w:rPr>
                <w:rFonts w:hint="eastAsia" w:ascii="仿宋" w:hAnsi="仿宋" w:eastAsia="仿宋"/>
                <w:b/>
                <w:sz w:val="28"/>
                <w:szCs w:val="28"/>
              </w:rPr>
            </w:pPr>
            <w:r>
              <w:rPr>
                <w:rFonts w:hint="eastAsia" w:ascii="仿宋" w:hAnsi="仿宋" w:eastAsia="仿宋"/>
                <w:b/>
                <w:sz w:val="28"/>
                <w:szCs w:val="28"/>
              </w:rPr>
              <w:t xml:space="preserve">最高分</w:t>
            </w:r>
            <w:r>
              <w:rPr>
                <w:rFonts w:hint="eastAsia" w:ascii="仿宋" w:hAnsi="仿宋" w:eastAsia="仿宋"/>
                <w:b/>
                <w:sz w:val="28"/>
                <w:szCs w:val="28"/>
              </w:rPr>
            </w:r>
            <w:r/>
          </w:p>
        </w:tc>
        <w:tc>
          <w:tcPr>
            <w:tcW w:w="1110" w:type="dxa"/>
            <w:vAlign w:val="center"/>
            <w:textDirection w:val="lrTb"/>
            <w:noWrap w:val="false"/>
          </w:tcPr>
          <w:p>
            <w:pPr>
              <w:pStyle w:val="891"/>
              <w:jc w:val="left"/>
              <w:spacing w:line="480" w:lineRule="exact"/>
              <w:rPr>
                <w:rFonts w:hint="eastAsia" w:ascii="仿宋" w:hAnsi="仿宋" w:eastAsia="仿宋"/>
                <w:b/>
                <w:sz w:val="28"/>
                <w:szCs w:val="28"/>
              </w:rPr>
            </w:pPr>
            <w:r>
              <w:rPr>
                <w:rFonts w:hint="eastAsia" w:ascii="仿宋" w:hAnsi="仿宋" w:eastAsia="仿宋"/>
                <w:b/>
                <w:sz w:val="28"/>
                <w:szCs w:val="28"/>
              </w:rPr>
              <w:t xml:space="preserve">最低分</w:t>
            </w:r>
            <w:r>
              <w:rPr>
                <w:rFonts w:hint="eastAsia" w:ascii="仿宋" w:hAnsi="仿宋" w:eastAsia="仿宋"/>
                <w:b/>
                <w:sz w:val="28"/>
                <w:szCs w:val="28"/>
              </w:rPr>
            </w:r>
            <w:r/>
          </w:p>
        </w:tc>
        <w:tc>
          <w:tcPr>
            <w:tcW w:w="1535" w:type="dxa"/>
            <w:vAlign w:val="center"/>
            <w:textDirection w:val="lrTb"/>
            <w:noWrap w:val="false"/>
          </w:tcPr>
          <w:p>
            <w:pPr>
              <w:pStyle w:val="891"/>
              <w:jc w:val="left"/>
              <w:spacing w:line="480" w:lineRule="exact"/>
              <w:rPr>
                <w:rFonts w:hint="eastAsia" w:ascii="仿宋" w:hAnsi="仿宋" w:eastAsia="仿宋"/>
                <w:b/>
                <w:sz w:val="28"/>
                <w:szCs w:val="28"/>
              </w:rPr>
            </w:pPr>
            <w:r>
              <w:rPr>
                <w:rFonts w:hint="eastAsia" w:ascii="仿宋" w:hAnsi="仿宋" w:eastAsia="仿宋"/>
                <w:b/>
                <w:sz w:val="28"/>
                <w:szCs w:val="28"/>
              </w:rPr>
              <w:t xml:space="preserve">主/客观分</w:t>
            </w:r>
            <w:r>
              <w:rPr>
                <w:rFonts w:hint="eastAsia" w:ascii="仿宋" w:hAnsi="仿宋" w:eastAsia="仿宋"/>
                <w:b/>
                <w:sz w:val="28"/>
                <w:szCs w:val="28"/>
              </w:rPr>
            </w:r>
            <w:r/>
          </w:p>
        </w:tc>
      </w:tr>
      <w:tr>
        <w:trPr/>
        <w:tc>
          <w:tcPr>
            <w:tcW w:w="864" w:type="dxa"/>
            <w:vAlign w:val="center"/>
            <w:textDirection w:val="lrTb"/>
            <w:noWrap w:val="false"/>
          </w:tcPr>
          <w:p>
            <w:pPr>
              <w:pStyle w:val="891"/>
              <w:jc w:val="center"/>
              <w:spacing w:line="48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r>
            <w:r/>
          </w:p>
        </w:tc>
        <w:tc>
          <w:tcPr>
            <w:tcW w:w="1665" w:type="dxa"/>
            <w:vAlign w:val="center"/>
            <w:textDirection w:val="lrTb"/>
            <w:noWrap w:val="false"/>
          </w:tcPr>
          <w:p>
            <w:pPr>
              <w:pStyle w:val="891"/>
              <w:jc w:val="center"/>
              <w:spacing w:line="480" w:lineRule="exact"/>
              <w:rPr>
                <w:rFonts w:hint="eastAsia" w:ascii="宋体" w:hAnsi="宋体" w:cs="宋体"/>
                <w:sz w:val="24"/>
                <w:szCs w:val="24"/>
              </w:rPr>
            </w:pPr>
            <w:r>
              <w:rPr>
                <w:rFonts w:hint="eastAsia" w:ascii="宋体" w:hAnsi="宋体" w:cs="宋体"/>
                <w:sz w:val="24"/>
                <w:szCs w:val="24"/>
              </w:rPr>
              <w:t xml:space="preserve">安装调试方案</w:t>
            </w:r>
            <w:r>
              <w:rPr>
                <w:rFonts w:hint="eastAsia" w:ascii="宋体" w:hAnsi="宋体" w:cs="宋体"/>
                <w:sz w:val="24"/>
                <w:szCs w:val="24"/>
              </w:rPr>
            </w:r>
            <w:r/>
          </w:p>
        </w:tc>
        <w:tc>
          <w:tcPr>
            <w:tcW w:w="3165" w:type="dxa"/>
            <w:vAlign w:val="top"/>
            <w:textDirection w:val="lrTb"/>
            <w:noWrap w:val="false"/>
          </w:tcPr>
          <w:p>
            <w:pPr>
              <w:pStyle w:val="891"/>
              <w:jc w:val="left"/>
              <w:spacing w:line="360" w:lineRule="auto"/>
              <w:rPr>
                <w:rFonts w:hint="eastAsia" w:ascii="宋体" w:hAnsi="宋体"/>
                <w:sz w:val="24"/>
              </w:rPr>
            </w:pPr>
            <w:r>
              <w:rPr>
                <w:rFonts w:hint="eastAsia" w:ascii="宋体" w:hAnsi="宋体"/>
                <w:sz w:val="24"/>
              </w:rPr>
              <w:t xml:space="preserve">投标人应对本项目提供完整、详细、可行的安装调试方案，内容包括但不限于①工作目标、②程序和步骤、③人员构架、④管理和协调、⑤时间进度、⑥关键要点。评委根据投标人提供的具体安装调试方案进行打分：</w:t>
            </w:r>
            <w:r>
              <w:rPr>
                <w:rFonts w:hint="eastAsia" w:ascii="宋体" w:hAnsi="宋体"/>
                <w:sz w:val="24"/>
              </w:rPr>
            </w:r>
            <w:r/>
          </w:p>
          <w:p>
            <w:pPr>
              <w:pStyle w:val="891"/>
              <w:jc w:val="left"/>
              <w:spacing w:line="360" w:lineRule="auto"/>
              <w:rPr>
                <w:rFonts w:hint="eastAsia" w:ascii="宋体" w:hAnsi="宋体"/>
              </w:rPr>
            </w:pPr>
            <w:r/>
            <w:bookmarkStart w:id="215" w:name="OLE_LINK11"/>
            <w:r>
              <w:rPr>
                <w:rFonts w:hint="eastAsia" w:ascii="宋体" w:hAnsi="宋体"/>
                <w:sz w:val="24"/>
              </w:rPr>
              <w:t xml:space="preserve">1、上述</w:t>
            </w:r>
            <w:r>
              <w:rPr>
                <w:rFonts w:ascii="宋体" w:hAnsi="宋体"/>
                <w:sz w:val="24"/>
              </w:rPr>
              <w:t xml:space="preserve">方案</w:t>
            </w:r>
            <w:r>
              <w:rPr>
                <w:rFonts w:hint="eastAsia" w:ascii="宋体" w:hAnsi="宋体"/>
                <w:sz w:val="24"/>
              </w:rPr>
              <w:t xml:space="preserve">内容均阐述到位，方案详细周全、高效可行的，</w:t>
            </w:r>
            <w:bookmarkEnd w:id="215"/>
            <w:r>
              <w:rPr>
                <w:rFonts w:ascii="宋体" w:hAnsi="宋体"/>
                <w:sz w:val="24"/>
              </w:rPr>
              <w:t xml:space="preserve">得</w:t>
            </w:r>
            <w:r>
              <w:rPr>
                <w:rFonts w:hint="eastAsia" w:ascii="宋体" w:hAnsi="宋体"/>
                <w:sz w:val="24"/>
              </w:rPr>
              <w:t xml:space="preserve">6分；</w:t>
            </w:r>
            <w:r>
              <w:rPr>
                <w:rFonts w:hint="eastAsia" w:ascii="宋体" w:hAnsi="宋体"/>
              </w:rPr>
            </w:r>
            <w:r/>
          </w:p>
          <w:p>
            <w:pPr>
              <w:pStyle w:val="891"/>
              <w:jc w:val="left"/>
              <w:spacing w:line="360" w:lineRule="auto"/>
              <w:rPr>
                <w:rFonts w:hint="eastAsia" w:ascii="宋体" w:hAnsi="宋体"/>
                <w:sz w:val="24"/>
              </w:rPr>
            </w:pPr>
            <w:r>
              <w:rPr>
                <w:rFonts w:hint="eastAsia" w:ascii="宋体" w:hAnsi="宋体"/>
                <w:sz w:val="24"/>
              </w:rPr>
              <w:t xml:space="preserve">2、上述</w:t>
            </w:r>
            <w:r>
              <w:rPr>
                <w:rFonts w:ascii="宋体" w:hAnsi="宋体"/>
                <w:sz w:val="24"/>
              </w:rPr>
              <w:t xml:space="preserve">方案</w:t>
            </w:r>
            <w:r>
              <w:rPr>
                <w:rFonts w:hint="eastAsia" w:ascii="宋体" w:hAnsi="宋体"/>
                <w:sz w:val="24"/>
              </w:rPr>
              <w:t xml:space="preserve">内容有1项缺少、粗陋或有缺陷的，得3分；</w:t>
            </w:r>
            <w:r>
              <w:rPr>
                <w:rFonts w:hint="eastAsia" w:ascii="宋体" w:hAnsi="宋体"/>
                <w:sz w:val="24"/>
              </w:rPr>
            </w:r>
            <w:r/>
          </w:p>
          <w:p>
            <w:pPr>
              <w:pStyle w:val="891"/>
              <w:jc w:val="lef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、上述方案内容有2项及2项以上缺少、粗陋或有缺陷的，得1分；</w:t>
            </w:r>
            <w:r>
              <w:rPr>
                <w:rFonts w:hint="eastAsia" w:ascii="宋体" w:hAnsi="宋体"/>
                <w:sz w:val="24"/>
              </w:rPr>
            </w:r>
            <w:r/>
          </w:p>
          <w:p>
            <w:pPr>
              <w:pStyle w:val="891"/>
              <w:rPr>
                <w:rFonts w:hint="eastAsia" w:ascii="仿宋" w:hAnsi="仿宋" w:eastAsia="仿宋"/>
                <w:b/>
                <w:sz w:val="28"/>
                <w:szCs w:val="28"/>
              </w:rPr>
            </w:pPr>
            <w:r>
              <w:rPr>
                <w:rFonts w:hint="eastAsia" w:ascii="宋体" w:hAnsi="宋体"/>
                <w:sz w:val="24"/>
              </w:rPr>
              <w:t xml:space="preserve">4、未提供方案的，不得分。</w:t>
            </w:r>
            <w:r>
              <w:rPr>
                <w:rFonts w:hint="eastAsia" w:ascii="仿宋" w:hAnsi="仿宋" w:eastAsia="仿宋"/>
                <w:b/>
                <w:sz w:val="28"/>
                <w:szCs w:val="28"/>
              </w:rPr>
            </w:r>
            <w:r/>
          </w:p>
        </w:tc>
        <w:tc>
          <w:tcPr>
            <w:tcW w:w="1125" w:type="dxa"/>
            <w:vAlign w:val="center"/>
            <w:textDirection w:val="lrTb"/>
            <w:noWrap w:val="false"/>
          </w:tcPr>
          <w:p>
            <w:pPr>
              <w:pStyle w:val="891"/>
              <w:jc w:val="center"/>
              <w:spacing w:line="48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110" w:type="dxa"/>
            <w:vAlign w:val="center"/>
            <w:textDirection w:val="lrTb"/>
            <w:noWrap w:val="false"/>
          </w:tcPr>
          <w:p>
            <w:pPr>
              <w:pStyle w:val="891"/>
              <w:jc w:val="center"/>
              <w:spacing w:line="480" w:lineRule="exact"/>
              <w:rPr>
                <w:rFonts w:hint="eastAsia" w:ascii="宋体" w:hAnsi="宋体" w:cs="宋体"/>
                <w:sz w:val="24"/>
                <w:szCs w:val="24"/>
              </w:rPr>
            </w:pPr>
            <w:r>
              <w:rPr>
                <w:rFonts w:hint="eastAsia" w:ascii="宋体" w:hAnsi="宋体" w:cs="宋体"/>
                <w:sz w:val="24"/>
                <w:szCs w:val="24"/>
              </w:rPr>
              <w:t xml:space="preserve">0</w:t>
            </w:r>
            <w:r>
              <w:rPr>
                <w:rFonts w:hint="eastAsia" w:ascii="宋体" w:hAnsi="宋体" w:cs="宋体"/>
                <w:sz w:val="24"/>
                <w:szCs w:val="24"/>
              </w:rPr>
            </w:r>
            <w:r/>
          </w:p>
        </w:tc>
        <w:tc>
          <w:tcPr>
            <w:tcW w:w="1535" w:type="dxa"/>
            <w:vAlign w:val="center"/>
            <w:textDirection w:val="lrTb"/>
            <w:noWrap w:val="false"/>
          </w:tcPr>
          <w:p>
            <w:pPr>
              <w:pStyle w:val="891"/>
              <w:jc w:val="center"/>
              <w:spacing w:line="480" w:lineRule="exact"/>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r>
        <w:trPr>
          <w:trHeight w:val="90"/>
        </w:trPr>
        <w:tc>
          <w:tcPr>
            <w:tcW w:w="864" w:type="dxa"/>
            <w:vAlign w:val="center"/>
            <w:textDirection w:val="lrTb"/>
            <w:noWrap w:val="false"/>
          </w:tcPr>
          <w:p>
            <w:pPr>
              <w:pStyle w:val="891"/>
              <w:jc w:val="center"/>
              <w:spacing w:line="48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r>
            <w:r/>
          </w:p>
        </w:tc>
        <w:tc>
          <w:tcPr>
            <w:tcW w:w="166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sz w:val="24"/>
              </w:rPr>
              <w:t xml:space="preserve">验收方案</w:t>
            </w:r>
            <w:r>
              <w:rPr>
                <w:rFonts w:hint="eastAsia" w:ascii="仿宋" w:hAnsi="仿宋" w:eastAsia="仿宋"/>
                <w:b/>
                <w:sz w:val="28"/>
                <w:szCs w:val="28"/>
              </w:rPr>
            </w:r>
            <w:r/>
          </w:p>
        </w:tc>
        <w:tc>
          <w:tcPr>
            <w:tcW w:w="3165" w:type="dxa"/>
            <w:vAlign w:val="top"/>
            <w:textDirection w:val="lrTb"/>
            <w:noWrap w:val="false"/>
          </w:tcPr>
          <w:p>
            <w:pPr>
              <w:pStyle w:val="891"/>
              <w:jc w:val="left"/>
              <w:spacing w:line="360" w:lineRule="auto"/>
              <w:rPr>
                <w:rFonts w:hint="eastAsia" w:ascii="宋体" w:hAnsi="宋体"/>
                <w:sz w:val="24"/>
              </w:rPr>
            </w:pPr>
            <w:r>
              <w:rPr>
                <w:rFonts w:hint="eastAsia" w:ascii="宋体" w:hAnsi="宋体"/>
                <w:sz w:val="24"/>
              </w:rPr>
              <w:t xml:space="preserve">投标人应对本项目提供完整、详细、可行的验收方案，内容包括但不限于①工作目标、②程序和步骤、③组织和协调、④应急预案。评委根据投标人提供的具体验收方案进行打分：</w:t>
            </w:r>
            <w:r>
              <w:rPr>
                <w:rFonts w:hint="eastAsia" w:ascii="宋体" w:hAnsi="宋体"/>
                <w:sz w:val="24"/>
              </w:rPr>
            </w:r>
            <w:r/>
          </w:p>
          <w:p>
            <w:pPr>
              <w:pStyle w:val="891"/>
              <w:jc w:val="left"/>
              <w:spacing w:line="360" w:lineRule="auto"/>
              <w:rPr>
                <w:rFonts w:hint="eastAsia" w:ascii="宋体" w:hAnsi="宋体"/>
              </w:rPr>
            </w:pPr>
            <w:r>
              <w:rPr>
                <w:rFonts w:hint="eastAsia" w:ascii="宋体" w:hAnsi="宋体"/>
                <w:sz w:val="24"/>
              </w:rPr>
              <w:t xml:space="preserve">1、上述方案内容阐述详尽合理，可操作性强，应急措施得当的，</w:t>
            </w:r>
            <w:r>
              <w:rPr>
                <w:rFonts w:ascii="宋体" w:hAnsi="宋体"/>
                <w:sz w:val="24"/>
              </w:rPr>
              <w:t xml:space="preserve">得</w:t>
            </w:r>
            <w:r>
              <w:rPr>
                <w:rFonts w:hint="eastAsia" w:ascii="宋体" w:hAnsi="宋体"/>
                <w:sz w:val="24"/>
              </w:rPr>
              <w:t xml:space="preserve">3分；</w:t>
            </w:r>
            <w:r>
              <w:rPr>
                <w:rFonts w:hint="eastAsia" w:ascii="宋体" w:hAnsi="宋体"/>
              </w:rPr>
            </w:r>
            <w:r/>
          </w:p>
          <w:p>
            <w:pPr>
              <w:pStyle w:val="891"/>
              <w:jc w:val="left"/>
              <w:spacing w:line="360" w:lineRule="auto"/>
              <w:rPr>
                <w:rFonts w:hint="eastAsia" w:ascii="宋体" w:hAnsi="宋体"/>
                <w:sz w:val="24"/>
              </w:rPr>
            </w:pPr>
            <w:r>
              <w:rPr>
                <w:rFonts w:hint="eastAsia" w:ascii="宋体" w:hAnsi="宋体"/>
                <w:sz w:val="24"/>
              </w:rPr>
              <w:t xml:space="preserve">2、上述方案内容有1项缺少、粗陋或有缺陷的，得2分；</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3、上述方案内容有2项及2项以上缺少、粗陋或有缺陷的，得1分；</w:t>
            </w:r>
            <w:r>
              <w:rPr>
                <w:rFonts w:hint="eastAsia" w:ascii="宋体" w:hAnsi="宋体"/>
                <w:sz w:val="24"/>
              </w:rPr>
            </w:r>
            <w:r/>
          </w:p>
          <w:p>
            <w:pPr>
              <w:pStyle w:val="891"/>
            </w:pPr>
            <w:r>
              <w:rPr>
                <w:rFonts w:hint="eastAsia" w:ascii="宋体" w:hAnsi="宋体"/>
                <w:sz w:val="24"/>
              </w:rPr>
              <w:t xml:space="preserve">4、未提供方案的，不得分。</w:t>
            </w:r>
            <w:r/>
          </w:p>
          <w:p>
            <w:pPr>
              <w:pStyle w:val="891"/>
              <w:jc w:val="left"/>
              <w:spacing w:line="360" w:lineRule="auto"/>
              <w:rPr>
                <w:rFonts w:hint="eastAsia" w:ascii="仿宋" w:hAnsi="仿宋" w:eastAsia="仿宋"/>
                <w:b/>
                <w:sz w:val="28"/>
                <w:szCs w:val="28"/>
              </w:rPr>
            </w:pPr>
            <w:r>
              <w:rPr>
                <w:rFonts w:hint="eastAsia" w:ascii="仿宋" w:hAnsi="仿宋" w:eastAsia="仿宋"/>
                <w:b/>
                <w:sz w:val="28"/>
                <w:szCs w:val="28"/>
              </w:rPr>
            </w:r>
            <w:r/>
          </w:p>
        </w:tc>
        <w:tc>
          <w:tcPr>
            <w:tcW w:w="112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3</w:t>
            </w:r>
            <w:r>
              <w:rPr>
                <w:rFonts w:hint="eastAsia" w:ascii="仿宋" w:hAnsi="仿宋" w:eastAsia="仿宋"/>
                <w:b/>
                <w:sz w:val="28"/>
                <w:szCs w:val="28"/>
              </w:rPr>
            </w:r>
            <w:r/>
          </w:p>
        </w:tc>
        <w:tc>
          <w:tcPr>
            <w:tcW w:w="1110"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53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rPr>
                <w:rFonts w:hint="eastAsia" w:ascii="仿宋" w:hAnsi="仿宋" w:eastAsia="仿宋"/>
                <w:b/>
                <w:sz w:val="28"/>
                <w:szCs w:val="28"/>
              </w:rPr>
            </w:r>
            <w:r/>
          </w:p>
        </w:tc>
      </w:tr>
      <w:tr>
        <w:trPr>
          <w:trHeight w:val="11065"/>
        </w:trPr>
        <w:tc>
          <w:tcPr>
            <w:tcW w:w="864" w:type="dxa"/>
            <w:vAlign w:val="center"/>
            <w:textDirection w:val="lrTb"/>
            <w:noWrap w:val="false"/>
          </w:tcPr>
          <w:p>
            <w:pPr>
              <w:pStyle w:val="891"/>
              <w:jc w:val="center"/>
              <w:spacing w:line="480" w:lineRule="exact"/>
              <w:rPr>
                <w:rFonts w:hint="eastAsia" w:ascii="宋体" w:hAnsi="宋体" w:cs="宋体"/>
                <w:sz w:val="28"/>
                <w:szCs w:val="28"/>
              </w:rPr>
            </w:pPr>
            <w:r/>
            <w:bookmarkStart w:id="216" w:name="_Hlk175328100"/>
            <w:r>
              <w:rPr>
                <w:rFonts w:hint="eastAsia" w:ascii="宋体" w:hAnsi="宋体" w:cs="宋体"/>
                <w:sz w:val="28"/>
                <w:szCs w:val="28"/>
              </w:rPr>
              <w:t xml:space="preserve">3</w:t>
            </w:r>
            <w:r>
              <w:rPr>
                <w:rFonts w:hint="eastAsia" w:ascii="宋体" w:hAnsi="宋体" w:cs="宋体"/>
                <w:sz w:val="28"/>
                <w:szCs w:val="28"/>
              </w:rPr>
            </w:r>
            <w:r/>
          </w:p>
        </w:tc>
        <w:tc>
          <w:tcPr>
            <w:tcW w:w="166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sz w:val="24"/>
              </w:rPr>
              <w:t xml:space="preserve">培训方案</w:t>
            </w:r>
            <w:r>
              <w:rPr>
                <w:rFonts w:hint="eastAsia" w:ascii="仿宋" w:hAnsi="仿宋" w:eastAsia="仿宋"/>
                <w:b/>
                <w:sz w:val="28"/>
                <w:szCs w:val="28"/>
              </w:rPr>
            </w:r>
            <w:r/>
          </w:p>
        </w:tc>
        <w:tc>
          <w:tcPr>
            <w:tcW w:w="3165" w:type="dxa"/>
            <w:vAlign w:val="top"/>
            <w:textDirection w:val="lrTb"/>
            <w:noWrap w:val="false"/>
          </w:tcPr>
          <w:p>
            <w:pPr>
              <w:pStyle w:val="891"/>
              <w:jc w:val="left"/>
              <w:spacing w:line="360" w:lineRule="auto"/>
              <w:rPr>
                <w:rFonts w:hint="eastAsia" w:ascii="宋体" w:hAnsi="宋体"/>
                <w:sz w:val="24"/>
              </w:rPr>
            </w:pPr>
            <w:r>
              <w:rPr>
                <w:rFonts w:hint="eastAsia" w:ascii="宋体" w:hAnsi="宋体"/>
                <w:sz w:val="24"/>
              </w:rPr>
              <w:t xml:space="preserve">投标人应对本项目提供完整、详细、可行的培训方案，内容包括但不限于①培训内容和目标、②时间地点安排、③方法要点、④师资和人次、⑤管理和协调、⑥效果评价。评委根据投标人提供的具体培训方案进行打分：</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1、上述方案内容阐述详细完善，针对性强，预期效果好的，得4分；</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2、上述方案内容有1项缺少、粗陋、针对性不强、预期效果差或有缺陷的，得2分； </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3、上述方案内容有2项及2项以上缺少、粗陋、针对性不强、预期效果差或有缺陷的，得1分；</w:t>
            </w:r>
            <w:r>
              <w:rPr>
                <w:rFonts w:hint="eastAsia" w:ascii="宋体" w:hAnsi="宋体"/>
                <w:sz w:val="24"/>
              </w:rPr>
            </w:r>
            <w:r/>
          </w:p>
          <w:p>
            <w:pPr>
              <w:pStyle w:val="891"/>
            </w:pPr>
            <w:r>
              <w:rPr>
                <w:rFonts w:hint="eastAsia" w:ascii="宋体" w:hAnsi="宋体"/>
                <w:sz w:val="24"/>
              </w:rPr>
              <w:t xml:space="preserve">4、未提供方案的，不得分。</w:t>
            </w:r>
            <w:r/>
          </w:p>
          <w:p>
            <w:pPr>
              <w:pStyle w:val="891"/>
              <w:jc w:val="left"/>
              <w:spacing w:line="360" w:lineRule="auto"/>
              <w:rPr>
                <w:rFonts w:hint="eastAsia" w:ascii="仿宋" w:hAnsi="仿宋" w:eastAsia="仿宋"/>
                <w:b/>
                <w:sz w:val="28"/>
                <w:szCs w:val="28"/>
              </w:rPr>
            </w:pPr>
            <w:r>
              <w:rPr>
                <w:rFonts w:hint="eastAsia" w:ascii="仿宋" w:hAnsi="仿宋" w:eastAsia="仿宋"/>
                <w:b/>
                <w:sz w:val="28"/>
                <w:szCs w:val="28"/>
              </w:rPr>
            </w:r>
            <w:r/>
          </w:p>
        </w:tc>
        <w:tc>
          <w:tcPr>
            <w:tcW w:w="112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rPr>
                <w:rFonts w:hint="eastAsia" w:ascii="仿宋" w:hAnsi="仿宋" w:eastAsia="仿宋"/>
                <w:b/>
                <w:sz w:val="28"/>
                <w:szCs w:val="28"/>
              </w:rPr>
            </w:r>
            <w:r/>
          </w:p>
        </w:tc>
        <w:tc>
          <w:tcPr>
            <w:tcW w:w="1110"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53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bookmarkEnd w:id="216"/>
            <w:r>
              <w:rPr>
                <w:rFonts w:hint="eastAsia" w:ascii="仿宋" w:hAnsi="仿宋" w:eastAsia="仿宋"/>
                <w:b/>
                <w:sz w:val="28"/>
                <w:szCs w:val="28"/>
              </w:rPr>
            </w:r>
            <w:r/>
          </w:p>
        </w:tc>
      </w:tr>
      <w:tr>
        <w:trPr>
          <w:trHeight w:val="10530"/>
        </w:trPr>
        <w:tc>
          <w:tcPr>
            <w:tcW w:w="864" w:type="dxa"/>
            <w:vAlign w:val="center"/>
            <w:textDirection w:val="lrTb"/>
            <w:noWrap w:val="false"/>
          </w:tcPr>
          <w:p>
            <w:pPr>
              <w:pStyle w:val="891"/>
              <w:jc w:val="center"/>
              <w:spacing w:line="48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r>
            <w:r/>
          </w:p>
        </w:tc>
        <w:tc>
          <w:tcPr>
            <w:tcW w:w="166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sz w:val="24"/>
              </w:rPr>
              <w:t xml:space="preserve">售后服务方案</w:t>
            </w:r>
            <w:r>
              <w:rPr>
                <w:rFonts w:hint="eastAsia" w:ascii="仿宋" w:hAnsi="仿宋" w:eastAsia="仿宋"/>
                <w:b/>
                <w:sz w:val="28"/>
                <w:szCs w:val="28"/>
              </w:rPr>
            </w:r>
            <w:r/>
          </w:p>
        </w:tc>
        <w:tc>
          <w:tcPr>
            <w:tcW w:w="3165" w:type="dxa"/>
            <w:vAlign w:val="top"/>
            <w:textDirection w:val="lrTb"/>
            <w:noWrap w:val="false"/>
          </w:tcPr>
          <w:p>
            <w:pPr>
              <w:pStyle w:val="891"/>
              <w:jc w:val="left"/>
              <w:spacing w:line="360" w:lineRule="auto"/>
              <w:rPr>
                <w:rFonts w:hint="eastAsia" w:ascii="宋体" w:hAnsi="宋体"/>
                <w:sz w:val="24"/>
              </w:rPr>
            </w:pPr>
            <w:r>
              <w:rPr>
                <w:rFonts w:hint="eastAsia" w:ascii="宋体" w:hAnsi="宋体"/>
                <w:sz w:val="24"/>
              </w:rPr>
              <w:t xml:space="preserve">投标人应对本项目提供完整、详细、可行的售后方案，内容包括但不限于①保修时间响应、②服务响应速度、③应急处理方式、④日常维护和保养、⑤零配件和维修备品备件的供应保障、⑥服务人员专业素养、⑦软件免费升级保障、⑧客户反馈处理机制等。评委根据投标人提供的具体售后方案进行打分：</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1、上述方案内容阐述详尽，实施便捷，服务周到，切实可行的，得4分；</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2、上述方案内容有1-2项缺少、粗陋、可行性不足或有缺陷的，得2分； </w:t>
            </w:r>
            <w:r>
              <w:rPr>
                <w:rFonts w:hint="eastAsia" w:ascii="宋体" w:hAnsi="宋体"/>
                <w:sz w:val="24"/>
              </w:rPr>
            </w:r>
            <w:r/>
          </w:p>
          <w:p>
            <w:pPr>
              <w:pStyle w:val="891"/>
              <w:jc w:val="left"/>
              <w:spacing w:line="360" w:lineRule="auto"/>
              <w:rPr>
                <w:rFonts w:hint="eastAsia" w:ascii="宋体" w:hAnsi="宋体"/>
                <w:sz w:val="24"/>
              </w:rPr>
            </w:pPr>
            <w:r>
              <w:rPr>
                <w:rFonts w:hint="eastAsia" w:ascii="宋体" w:hAnsi="宋体"/>
                <w:sz w:val="24"/>
              </w:rPr>
              <w:t xml:space="preserve">3、上述方案内容有3项及3项以上缺少、粗陋、可行性不足或有缺陷的，得1分；</w:t>
            </w:r>
            <w:r>
              <w:rPr>
                <w:rFonts w:hint="eastAsia" w:ascii="宋体" w:hAnsi="宋体"/>
                <w:sz w:val="24"/>
              </w:rPr>
            </w:r>
            <w:r/>
          </w:p>
          <w:p>
            <w:pPr>
              <w:pStyle w:val="891"/>
            </w:pPr>
            <w:r>
              <w:rPr>
                <w:rFonts w:hint="eastAsia" w:ascii="宋体" w:hAnsi="宋体"/>
                <w:sz w:val="24"/>
              </w:rPr>
              <w:t xml:space="preserve">4、未提供方案的，不得分。</w:t>
            </w:r>
            <w:r/>
          </w:p>
          <w:p>
            <w:pPr>
              <w:pStyle w:val="891"/>
            </w:pPr>
            <w:r/>
            <w:r/>
          </w:p>
          <w:p>
            <w:pPr>
              <w:pStyle w:val="891"/>
              <w:jc w:val="left"/>
              <w:spacing w:line="360" w:lineRule="auto"/>
              <w:rPr>
                <w:rFonts w:hint="eastAsia" w:ascii="仿宋" w:hAnsi="仿宋" w:eastAsia="仿宋"/>
                <w:b/>
                <w:sz w:val="28"/>
                <w:szCs w:val="28"/>
              </w:rPr>
            </w:pPr>
            <w:r>
              <w:rPr>
                <w:rFonts w:hint="eastAsia" w:ascii="仿宋" w:hAnsi="仿宋" w:eastAsia="仿宋"/>
                <w:b/>
                <w:sz w:val="28"/>
                <w:szCs w:val="28"/>
              </w:rPr>
            </w:r>
            <w:r/>
          </w:p>
        </w:tc>
        <w:tc>
          <w:tcPr>
            <w:tcW w:w="112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4</w:t>
            </w:r>
            <w:r>
              <w:rPr>
                <w:rFonts w:hint="eastAsia" w:ascii="仿宋" w:hAnsi="仿宋" w:eastAsia="仿宋"/>
                <w:b/>
                <w:sz w:val="28"/>
                <w:szCs w:val="28"/>
              </w:rPr>
            </w:r>
            <w:r/>
          </w:p>
        </w:tc>
        <w:tc>
          <w:tcPr>
            <w:tcW w:w="1110"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0</w:t>
            </w:r>
            <w:r>
              <w:rPr>
                <w:rFonts w:hint="eastAsia" w:ascii="仿宋" w:hAnsi="仿宋" w:eastAsia="仿宋"/>
                <w:b/>
                <w:sz w:val="28"/>
                <w:szCs w:val="28"/>
              </w:rPr>
            </w:r>
            <w:r/>
          </w:p>
        </w:tc>
        <w:tc>
          <w:tcPr>
            <w:tcW w:w="1535" w:type="dxa"/>
            <w:vAlign w:val="center"/>
            <w:textDirection w:val="lrTb"/>
            <w:noWrap w:val="false"/>
          </w:tcPr>
          <w:p>
            <w:pPr>
              <w:pStyle w:val="891"/>
              <w:jc w:val="center"/>
              <w:spacing w:line="480" w:lineRule="exact"/>
              <w:rPr>
                <w:rFonts w:hint="eastAsia" w:ascii="仿宋" w:hAnsi="仿宋" w:eastAsia="仿宋"/>
                <w:b/>
                <w:sz w:val="28"/>
                <w:szCs w:val="28"/>
              </w:rPr>
            </w:pPr>
            <w:r>
              <w:rPr>
                <w:rFonts w:hint="eastAsia" w:ascii="宋体" w:hAnsi="宋体" w:cs="宋体"/>
                <w:sz w:val="24"/>
                <w:szCs w:val="24"/>
              </w:rPr>
              <w:t xml:space="preserve">主观分</w:t>
            </w:r>
            <w:r>
              <w:rPr>
                <w:rFonts w:hint="eastAsia" w:ascii="仿宋" w:hAnsi="仿宋" w:eastAsia="仿宋"/>
                <w:b/>
                <w:sz w:val="28"/>
                <w:szCs w:val="28"/>
              </w:rPr>
            </w:r>
            <w:r/>
          </w:p>
        </w:tc>
      </w:tr>
      <w:tr>
        <w:trPr>
          <w:trHeight w:val="10530"/>
        </w:trPr>
        <w:tc>
          <w:tcPr>
            <w:tcW w:w="864" w:type="dxa"/>
            <w:vAlign w:val="center"/>
            <w:textDirection w:val="lrTb"/>
            <w:noWrap w:val="false"/>
          </w:tcPr>
          <w:p>
            <w:pPr>
              <w:pStyle w:val="891"/>
              <w:jc w:val="center"/>
              <w:spacing w:line="48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r>
            <w:r/>
          </w:p>
        </w:tc>
        <w:tc>
          <w:tcPr>
            <w:tcW w:w="1665" w:type="dxa"/>
            <w:vAlign w:val="center"/>
            <w:textDirection w:val="lrTb"/>
            <w:noWrap w:val="false"/>
          </w:tcPr>
          <w:p>
            <w:pPr>
              <w:pStyle w:val="891"/>
              <w:jc w:val="center"/>
              <w:spacing w:line="480" w:lineRule="exact"/>
              <w:rPr>
                <w:rFonts w:hint="eastAsia" w:ascii="宋体" w:hAnsi="宋体" w:eastAsia="宋体"/>
                <w:sz w:val="24"/>
                <w:lang w:eastAsia="zh-CN"/>
              </w:rPr>
            </w:pPr>
            <w:r>
              <w:rPr>
                <w:rFonts w:hint="eastAsia" w:ascii="宋体" w:hAnsi="宋体"/>
                <w:sz w:val="24"/>
                <w:lang w:eastAsia="zh-CN"/>
              </w:rPr>
              <w:t xml:space="preserve">节能环保</w:t>
            </w:r>
            <w:r>
              <w:rPr>
                <w:rFonts w:hint="eastAsia" w:ascii="宋体" w:hAnsi="宋体" w:eastAsia="宋体"/>
                <w:sz w:val="24"/>
                <w:lang w:eastAsia="zh-CN"/>
              </w:rPr>
            </w:r>
            <w:r/>
          </w:p>
        </w:tc>
        <w:tc>
          <w:tcPr>
            <w:tcW w:w="3165" w:type="dxa"/>
            <w:vAlign w:val="top"/>
            <w:textDirection w:val="lrTb"/>
            <w:noWrap w:val="false"/>
          </w:tcPr>
          <w:p>
            <w:pPr>
              <w:pStyle w:val="891"/>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Times New Roman"/>
                <w:sz w:val="24"/>
              </w:rPr>
            </w:r>
            <w:r/>
          </w:p>
          <w:p>
            <w:pPr>
              <w:pStyle w:val="891"/>
              <w:jc w:val="left"/>
              <w:spacing w:line="360" w:lineRule="auto"/>
              <w:rPr>
                <w:rFonts w:hint="eastAsia" w:ascii="仿宋" w:hAnsi="仿宋" w:eastAsia="仿宋"/>
                <w:b/>
                <w:sz w:val="28"/>
                <w:szCs w:val="28"/>
              </w:rPr>
            </w:pPr>
            <w:r>
              <w:rPr>
                <w:rFonts w:hint="eastAsia" w:ascii="宋体" w:hAnsi="宋体" w:eastAsia="宋体" w:cs="Times New Roman"/>
                <w:sz w:val="24"/>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仿宋" w:hAnsi="仿宋" w:eastAsia="仿宋"/>
                <w:b/>
                <w:sz w:val="28"/>
                <w:szCs w:val="28"/>
              </w:rPr>
            </w:r>
            <w:r/>
          </w:p>
        </w:tc>
        <w:tc>
          <w:tcPr>
            <w:tcW w:w="1125" w:type="dxa"/>
            <w:vAlign w:val="center"/>
            <w:textDirection w:val="lrTb"/>
            <w:noWrap w:val="false"/>
          </w:tcPr>
          <w:p>
            <w:pPr>
              <w:pStyle w:val="891"/>
              <w:jc w:val="center"/>
              <w:spacing w:line="48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r>
            <w:r/>
          </w:p>
        </w:tc>
        <w:tc>
          <w:tcPr>
            <w:tcW w:w="1110" w:type="dxa"/>
            <w:vAlign w:val="center"/>
            <w:textDirection w:val="lrTb"/>
            <w:noWrap w:val="false"/>
          </w:tcPr>
          <w:p>
            <w:pPr>
              <w:pStyle w:val="891"/>
              <w:jc w:val="center"/>
              <w:spacing w:line="48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r>
            <w:r/>
          </w:p>
        </w:tc>
        <w:tc>
          <w:tcPr>
            <w:tcW w:w="1535" w:type="dxa"/>
            <w:vAlign w:val="center"/>
            <w:textDirection w:val="lrTb"/>
            <w:noWrap w:val="false"/>
          </w:tcPr>
          <w:p>
            <w:pPr>
              <w:pStyle w:val="891"/>
              <w:jc w:val="center"/>
              <w:spacing w:line="48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客观分</w:t>
            </w:r>
            <w:r>
              <w:rPr>
                <w:rFonts w:hint="eastAsia" w:ascii="宋体" w:hAnsi="宋体" w:eastAsia="宋体" w:cs="宋体"/>
                <w:sz w:val="24"/>
                <w:szCs w:val="24"/>
                <w:lang w:eastAsia="zh-CN"/>
              </w:rPr>
            </w:r>
            <w:r/>
          </w:p>
        </w:tc>
      </w:tr>
    </w:tbl>
    <w:p>
      <w:pPr>
        <w:pStyle w:val="891"/>
        <w:ind w:firstLine="1806"/>
        <w:jc w:val="left"/>
        <w:spacing w:before="120" w:after="120" w:line="480" w:lineRule="exact"/>
        <w:rPr>
          <w:rFonts w:hint="eastAsia" w:ascii="仿宋" w:hAnsi="仿宋" w:eastAsia="仿宋"/>
          <w:sz w:val="28"/>
          <w:szCs w:val="28"/>
          <w:highlight w:val="green"/>
        </w:rPr>
      </w:pPr>
      <w:r>
        <w:rPr>
          <w:rFonts w:hint="eastAsia" w:ascii="仿宋" w:hAnsi="仿宋" w:eastAsia="仿宋"/>
          <w:sz w:val="28"/>
          <w:szCs w:val="28"/>
          <w:highlight w:val="green"/>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rPr>
          <w:rFonts w:hint="eastAsia" w:ascii="Times New Roman" w:hAnsi="Times New Roman"/>
          <w:color w:val="000000"/>
          <w:szCs w:val="21"/>
        </w:rPr>
      </w:pPr>
      <w:r>
        <w:rPr>
          <w:rFonts w:hint="eastAsia" w:ascii="Times New Roman" w:hAnsi="Times New Roman"/>
          <w:color w:val="000000"/>
          <w:szCs w:val="21"/>
        </w:rPr>
      </w:r>
      <w:r/>
    </w:p>
    <w:p>
      <w:pPr>
        <w:pStyle w:val="89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89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left="0" w:firstLine="0"/>
        <w:rPr>
          <w:rFonts w:ascii="黑体" w:hAnsi="Times New Roman" w:eastAsia="黑体"/>
          <w:bCs/>
          <w:color w:val="000000"/>
          <w:sz w:val="44"/>
          <w:szCs w:val="28"/>
        </w:rPr>
      </w:pPr>
      <w:r>
        <w:rPr>
          <w:rFonts w:ascii="黑体" w:hAnsi="Times New Roman" w:eastAsia="黑体"/>
          <w:bCs/>
          <w:color w:val="000000"/>
          <w:sz w:val="44"/>
          <w:szCs w:val="28"/>
        </w:rPr>
      </w:r>
      <w:r/>
    </w:p>
    <w:p>
      <w:pPr>
        <w:pStyle w:val="891"/>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204"/>
      <w:r/>
      <w:bookmarkEnd w:id="205"/>
      <w:r/>
      <w:bookmarkEnd w:id="214"/>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891"/>
        <w:jc w:val="center"/>
        <w:rPr>
          <w:rFonts w:hint="eastAsia" w:ascii="宋体" w:hAnsi="宋体"/>
          <w:b/>
          <w:color w:val="000000"/>
          <w:sz w:val="72"/>
          <w:szCs w:val="21"/>
        </w:rPr>
      </w:pPr>
      <w:r/>
      <w:bookmarkStart w:id="217" w:name="_Hlt26955039"/>
      <w:r/>
      <w:bookmarkEnd w:id="217"/>
      <w:r/>
      <w:bookmarkStart w:id="218" w:name="_Hlt26671244"/>
      <w:r/>
      <w:bookmarkEnd w:id="218"/>
      <w:r/>
      <w:bookmarkStart w:id="219" w:name="_Toc120614282"/>
      <w:r/>
      <w:bookmarkStart w:id="220" w:name="_Toc26554094"/>
      <w:r/>
      <w:bookmarkStart w:id="221" w:name="_Toc49090576"/>
      <w:r>
        <w:rPr>
          <w:rFonts w:hint="eastAsia" w:ascii="宋体" w:hAnsi="宋体"/>
          <w:b/>
          <w:color w:val="000000"/>
          <w:sz w:val="72"/>
          <w:szCs w:val="21"/>
        </w:rPr>
      </w:r>
      <w:r/>
    </w:p>
    <w:p>
      <w:pPr>
        <w:pStyle w:val="89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91"/>
        <w:jc w:val="center"/>
        <w:rPr>
          <w:rFonts w:hint="eastAsia" w:ascii="宋体" w:hAnsi="宋体"/>
          <w:b/>
          <w:color w:val="000000"/>
          <w:sz w:val="72"/>
          <w:szCs w:val="21"/>
        </w:rPr>
      </w:pPr>
      <w:r>
        <w:rPr>
          <w:rFonts w:hint="eastAsia" w:ascii="宋体" w:hAnsi="宋体"/>
          <w:b/>
          <w:color w:val="000000"/>
          <w:sz w:val="72"/>
          <w:szCs w:val="21"/>
        </w:rPr>
      </w:r>
      <w:r/>
    </w:p>
    <w:p>
      <w:pPr>
        <w:pStyle w:val="891"/>
        <w:jc w:val="center"/>
        <w:rPr>
          <w:rFonts w:hint="eastAsia" w:ascii="宋体" w:hAnsi="宋体"/>
          <w:b/>
          <w:color w:val="000000"/>
          <w:sz w:val="72"/>
          <w:szCs w:val="21"/>
        </w:rPr>
      </w:pPr>
      <w:r>
        <w:rPr>
          <w:rFonts w:hint="eastAsia" w:ascii="宋体" w:hAnsi="宋体"/>
          <w:b/>
          <w:color w:val="000000"/>
          <w:sz w:val="72"/>
          <w:szCs w:val="21"/>
        </w:rPr>
      </w:r>
      <w:r/>
    </w:p>
    <w:p>
      <w:pPr>
        <w:pStyle w:val="891"/>
        <w:jc w:val="center"/>
        <w:rPr>
          <w:rFonts w:hint="eastAsia" w:ascii="宋体" w:hAnsi="宋体"/>
          <w:b/>
          <w:color w:val="000000"/>
          <w:sz w:val="36"/>
          <w:szCs w:val="21"/>
        </w:rPr>
      </w:pPr>
      <w:r>
        <w:rPr>
          <w:rFonts w:hint="eastAsia" w:ascii="宋体" w:hAnsi="宋体"/>
          <w:b/>
          <w:color w:val="000000"/>
          <w:sz w:val="36"/>
          <w:szCs w:val="21"/>
        </w:rPr>
      </w:r>
      <w:r/>
    </w:p>
    <w:p>
      <w:pPr>
        <w:pStyle w:val="891"/>
        <w:jc w:val="center"/>
        <w:rPr>
          <w:rFonts w:hint="eastAsia" w:ascii="宋体" w:hAnsi="宋体"/>
          <w:b/>
          <w:color w:val="000000"/>
          <w:sz w:val="36"/>
          <w:szCs w:val="21"/>
        </w:rPr>
      </w:pPr>
      <w:r>
        <w:rPr>
          <w:rFonts w:hint="eastAsia" w:ascii="宋体" w:hAnsi="宋体"/>
          <w:b/>
          <w:color w:val="000000"/>
          <w:sz w:val="36"/>
          <w:szCs w:val="21"/>
        </w:rPr>
      </w:r>
      <w:r/>
    </w:p>
    <w:p>
      <w:pPr>
        <w:pStyle w:val="891"/>
        <w:jc w:val="center"/>
        <w:rPr>
          <w:rFonts w:hint="eastAsia" w:ascii="宋体" w:hAnsi="宋体"/>
          <w:b/>
          <w:color w:val="000000"/>
          <w:sz w:val="36"/>
          <w:szCs w:val="21"/>
        </w:rPr>
      </w:pPr>
      <w:r>
        <w:rPr>
          <w:rFonts w:hint="eastAsia" w:ascii="宋体" w:hAnsi="宋体"/>
          <w:b/>
          <w:color w:val="000000"/>
          <w:sz w:val="36"/>
          <w:szCs w:val="21"/>
        </w:rPr>
      </w:r>
      <w:r/>
    </w:p>
    <w:p>
      <w:pPr>
        <w:pStyle w:val="89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9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9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9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spacing w:line="440" w:lineRule="exact"/>
        <w:rPr>
          <w:rFonts w:ascii="宋体" w:hAnsi="宋体"/>
          <w:color w:val="000000"/>
          <w:szCs w:val="21"/>
        </w:rPr>
      </w:pPr>
      <w:r>
        <w:rPr>
          <w:rFonts w:ascii="宋体" w:hAnsi="宋体"/>
          <w:color w:val="000000"/>
          <w:szCs w:val="21"/>
        </w:rPr>
      </w:r>
      <w:r/>
    </w:p>
    <w:p>
      <w:pPr>
        <w:pStyle w:val="891"/>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89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89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9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9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91"/>
        <w:ind w:firstLine="560"/>
        <w:jc w:val="both"/>
        <w:widowControl/>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5</w:t>
      </w:r>
      <w:r>
        <w:rPr>
          <w:rFonts w:hint="eastAsia" w:ascii="仿宋" w:hAnsi="仿宋" w:eastAsia="仿宋" w:cs="Times New Roman"/>
          <w:color w:val="000000"/>
          <w:sz w:val="28"/>
          <w:szCs w:val="28"/>
        </w:rPr>
        <w:t xml:space="preserve">.投标产品配置选型一览表</w:t>
      </w:r>
      <w:r>
        <w:rPr>
          <w:rFonts w:hint="eastAsia" w:ascii="仿宋" w:hAnsi="仿宋" w:eastAsia="仿宋"/>
          <w:color w:val="000000"/>
          <w:sz w:val="28"/>
          <w:szCs w:val="28"/>
        </w:rPr>
        <w:t xml:space="preserve">（格式</w:t>
      </w:r>
      <w:r>
        <w:rPr>
          <w:rFonts w:ascii="仿宋" w:hAnsi="仿宋" w:eastAsia="仿宋"/>
          <w:color w:val="000000"/>
          <w:sz w:val="28"/>
          <w:szCs w:val="28"/>
        </w:rPr>
        <w:t xml:space="preserve">见附件</w:t>
      </w:r>
      <w:r>
        <w:rPr>
          <w:rFonts w:hint="eastAsia" w:ascii="仿宋" w:hAnsi="仿宋" w:eastAsia="仿宋"/>
          <w:color w:val="000000"/>
          <w:sz w:val="28"/>
          <w:szCs w:val="28"/>
          <w:lang w:val="en-US" w:eastAsia="zh-CN"/>
        </w:rPr>
        <w:t xml:space="preserve">10</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9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9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条投标人必须在投标文件中提供相关材料，否则作无效投标处理；</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89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91"/>
        <w:ind w:firstLine="560"/>
        <w:spacing w:line="480" w:lineRule="exact"/>
        <w:rPr>
          <w:rFonts w:ascii="仿宋" w:hAnsi="仿宋" w:eastAsia="仿宋"/>
          <w:b/>
          <w:bCs/>
          <w:color w:val="000000"/>
          <w:sz w:val="28"/>
          <w:szCs w:val="28"/>
          <w:highlight w:val="none"/>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，否则做无效投标处理。</w:t>
      </w:r>
      <w:r>
        <w:rPr>
          <w:rFonts w:hint="eastAsia" w:ascii="仿宋" w:hAnsi="仿宋" w:eastAsia="仿宋"/>
          <w:color w:val="000000"/>
          <w:sz w:val="28"/>
          <w:szCs w:val="28"/>
          <w:highlight w:val="none"/>
          <w:lang w:val="en-US" w:eastAsia="zh-CN"/>
        </w:rPr>
        <w:t xml:space="preserve">(格式见附件11）</w:t>
      </w:r>
      <w:r>
        <w:rPr>
          <w:rFonts w:ascii="仿宋" w:hAnsi="仿宋" w:eastAsia="仿宋"/>
          <w:b/>
          <w:bCs/>
          <w:color w:val="000000"/>
          <w:sz w:val="28"/>
          <w:szCs w:val="28"/>
          <w:highlight w:val="none"/>
          <w:lang w:val="en-US" w:eastAsia="zh-CN"/>
        </w:rPr>
      </w:r>
      <w:r/>
    </w:p>
    <w:p>
      <w:pPr>
        <w:pStyle w:val="891"/>
        <w:ind w:firstLine="480"/>
        <w:spacing w:line="48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四、价格</w:t>
      </w:r>
      <w:r>
        <w:rPr>
          <w:rFonts w:ascii="仿宋" w:hAnsi="仿宋" w:eastAsia="仿宋"/>
          <w:b/>
          <w:color w:val="000000"/>
          <w:sz w:val="28"/>
          <w:szCs w:val="28"/>
          <w:highlight w:val="none"/>
        </w:rPr>
        <w:t xml:space="preserve">扣除证明文件</w:t>
      </w:r>
      <w:r>
        <w:rPr>
          <w:rFonts w:ascii="仿宋" w:hAnsi="仿宋" w:eastAsia="仿宋"/>
          <w:b/>
          <w:color w:val="000000"/>
          <w:sz w:val="28"/>
          <w:szCs w:val="28"/>
          <w:highlight w:val="none"/>
        </w:rPr>
      </w:r>
      <w:r/>
    </w:p>
    <w:p>
      <w:pPr>
        <w:pStyle w:val="891"/>
        <w:ind w:firstLine="560"/>
        <w:spacing w:line="48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中小微企业声明函（</w:t>
      </w:r>
      <w:r>
        <w:rPr>
          <w:rFonts w:ascii="仿宋" w:hAnsi="仿宋" w:eastAsia="仿宋"/>
          <w:color w:val="000000"/>
          <w:sz w:val="28"/>
          <w:szCs w:val="28"/>
          <w:highlight w:val="none"/>
        </w:rPr>
        <w:t xml:space="preserve">格式</w:t>
      </w:r>
      <w:r>
        <w:rPr>
          <w:rFonts w:hint="eastAsia" w:ascii="仿宋" w:hAnsi="仿宋" w:eastAsia="仿宋"/>
          <w:color w:val="000000"/>
          <w:sz w:val="28"/>
          <w:szCs w:val="28"/>
          <w:highlight w:val="none"/>
        </w:rPr>
        <w:t xml:space="preserve">见</w:t>
      </w:r>
      <w:r>
        <w:rPr>
          <w:rFonts w:ascii="仿宋" w:hAnsi="仿宋" w:eastAsia="仿宋"/>
          <w:color w:val="000000"/>
          <w:sz w:val="28"/>
          <w:szCs w:val="28"/>
          <w:highlight w:val="none"/>
        </w:rPr>
        <w:t xml:space="preserve">附件</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89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9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89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89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89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89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89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9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89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89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89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891"/>
        <w:spacing w:line="480" w:lineRule="exact"/>
        <w:rPr>
          <w:rFonts w:ascii="仿宋" w:hAnsi="仿宋" w:eastAsia="仿宋"/>
          <w:color w:val="000000"/>
          <w:sz w:val="28"/>
          <w:szCs w:val="28"/>
        </w:rPr>
      </w:pPr>
      <w:r>
        <w:rPr>
          <w:rFonts w:ascii="仿宋" w:hAnsi="仿宋" w:eastAsia="仿宋"/>
          <w:color w:val="000000"/>
          <w:sz w:val="28"/>
          <w:szCs w:val="28"/>
        </w:rPr>
      </w:r>
      <w:r/>
    </w:p>
    <w:p>
      <w:pPr>
        <w:pStyle w:val="891"/>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9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pStyle w:val="89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投标分项报价表（分包号：***）</w:t>
      </w:r>
      <w:r>
        <w:rPr>
          <w:rFonts w:hint="eastAsia" w:ascii="仿宋" w:hAnsi="仿宋" w:eastAsia="仿宋"/>
          <w:b/>
          <w:color w:val="000000"/>
          <w:sz w:val="28"/>
          <w:szCs w:val="28"/>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93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980"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1106"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r>
            <w:r/>
          </w:p>
        </w:tc>
        <w:tc>
          <w:tcPr>
            <w:tcW w:w="1385"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w:t>
            </w:r>
            <w:r>
              <w:rPr>
                <w:rFonts w:hint="eastAsia" w:ascii="仿宋" w:hAnsi="仿宋" w:eastAsia="仿宋"/>
                <w:color w:val="000000"/>
                <w:sz w:val="28"/>
                <w:szCs w:val="28"/>
              </w:rPr>
            </w:r>
            <w:r/>
          </w:p>
        </w:tc>
        <w:tc>
          <w:tcPr>
            <w:tcW w:w="924"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7</w:t>
            </w:r>
            <w:r>
              <w:rPr>
                <w:rFonts w:hint="eastAsia" w:ascii="仿宋" w:hAnsi="仿宋" w:eastAsia="仿宋"/>
                <w:color w:val="000000"/>
                <w:sz w:val="28"/>
                <w:szCs w:val="28"/>
              </w:rPr>
            </w:r>
            <w:r/>
          </w:p>
        </w:tc>
        <w:tc>
          <w:tcPr>
            <w:tcW w:w="100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rPr>
                <w:rFonts w:hint="eastAsia" w:ascii="仿宋" w:hAnsi="仿宋" w:eastAsia="仿宋"/>
                <w:color w:val="000000"/>
                <w:sz w:val="28"/>
                <w:szCs w:val="28"/>
              </w:rPr>
            </w:r>
            <w:r/>
          </w:p>
        </w:tc>
        <w:tc>
          <w:tcPr>
            <w:tcW w:w="966"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w:t>
            </w:r>
            <w:r>
              <w:rPr>
                <w:rFonts w:hint="eastAsia" w:ascii="仿宋" w:hAnsi="仿宋" w:eastAsia="仿宋"/>
                <w:color w:val="000000"/>
                <w:sz w:val="28"/>
                <w:szCs w:val="28"/>
              </w:rPr>
            </w:r>
            <w:r/>
          </w:p>
        </w:tc>
      </w:tr>
      <w:tr>
        <w:trPr>
          <w:cantSplit/>
          <w:trHeight w:val="294"/>
        </w:trPr>
        <w:tc>
          <w:tcPr>
            <w:tcW w:w="500"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产品</w:t>
            </w:r>
            <w:r>
              <w:rPr>
                <w:rFonts w:hint="eastAsia" w:ascii="仿宋" w:hAnsi="仿宋" w:eastAsia="仿宋"/>
                <w:color w:val="000000"/>
                <w:sz w:val="28"/>
                <w:szCs w:val="28"/>
              </w:rPr>
            </w:r>
            <w:r/>
          </w:p>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名称</w:t>
            </w: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品牌</w:t>
            </w:r>
            <w:r>
              <w:rPr>
                <w:rFonts w:hint="eastAsia" w:ascii="仿宋" w:hAnsi="仿宋" w:eastAsia="仿宋"/>
                <w:color w:val="000000"/>
                <w:sz w:val="28"/>
                <w:szCs w:val="28"/>
              </w:rPr>
            </w:r>
            <w:r/>
          </w:p>
        </w:tc>
        <w:tc>
          <w:tcPr>
            <w:tcW w:w="93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规格</w:t>
            </w:r>
            <w:r>
              <w:rPr>
                <w:rFonts w:hint="eastAsia" w:ascii="仿宋" w:hAnsi="仿宋" w:eastAsia="仿宋"/>
                <w:color w:val="000000"/>
                <w:sz w:val="28"/>
                <w:szCs w:val="28"/>
              </w:rPr>
            </w:r>
            <w:r/>
          </w:p>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型号</w:t>
            </w:r>
            <w:r>
              <w:rPr>
                <w:rFonts w:hint="eastAsia" w:ascii="仿宋" w:hAnsi="仿宋" w:eastAsia="仿宋"/>
                <w:color w:val="000000"/>
                <w:sz w:val="28"/>
                <w:szCs w:val="28"/>
              </w:rPr>
            </w:r>
            <w:r/>
          </w:p>
        </w:tc>
        <w:tc>
          <w:tcPr>
            <w:tcW w:w="980"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制造商名称</w:t>
            </w:r>
            <w:r>
              <w:rPr>
                <w:rFonts w:hint="eastAsia" w:ascii="仿宋" w:hAnsi="仿宋" w:eastAsia="仿宋"/>
                <w:color w:val="000000"/>
                <w:sz w:val="28"/>
                <w:szCs w:val="28"/>
              </w:rPr>
            </w:r>
            <w:r/>
          </w:p>
        </w:tc>
        <w:tc>
          <w:tcPr>
            <w:tcW w:w="1106"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产地</w:t>
            </w:r>
            <w:r>
              <w:rPr>
                <w:rFonts w:hint="eastAsia" w:ascii="仿宋" w:hAnsi="仿宋" w:eastAsia="仿宋"/>
                <w:color w:val="000000"/>
                <w:sz w:val="28"/>
                <w:szCs w:val="28"/>
              </w:rPr>
            </w:r>
            <w:r/>
          </w:p>
        </w:tc>
        <w:tc>
          <w:tcPr>
            <w:tcW w:w="1385"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交付期</w:t>
            </w:r>
            <w:r>
              <w:rPr>
                <w:rFonts w:hint="eastAsia" w:ascii="仿宋" w:hAnsi="仿宋" w:eastAsia="仿宋"/>
                <w:color w:val="000000"/>
                <w:sz w:val="28"/>
                <w:szCs w:val="28"/>
              </w:rPr>
            </w:r>
            <w:r/>
          </w:p>
        </w:tc>
        <w:tc>
          <w:tcPr>
            <w:tcW w:w="924"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rPr>
                <w:rFonts w:hint="eastAsia" w:ascii="仿宋" w:hAnsi="仿宋" w:eastAsia="仿宋"/>
                <w:color w:val="000000"/>
                <w:sz w:val="28"/>
                <w:szCs w:val="28"/>
              </w:rPr>
            </w:r>
            <w:r/>
          </w:p>
        </w:tc>
        <w:tc>
          <w:tcPr>
            <w:tcW w:w="1008" w:type="dxa"/>
            <w:vAlign w:val="center"/>
            <w:textDirection w:val="lrTb"/>
            <w:noWrap w:val="false"/>
          </w:tcPr>
          <w:p>
            <w:pPr>
              <w:pStyle w:val="89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单价</w:t>
            </w:r>
            <w:r>
              <w:rPr>
                <w:rFonts w:hint="eastAsia" w:ascii="仿宋" w:hAnsi="仿宋" w:eastAsia="仿宋"/>
                <w:color w:val="000000"/>
                <w:sz w:val="28"/>
                <w:szCs w:val="28"/>
              </w:rPr>
            </w:r>
            <w:r/>
          </w:p>
        </w:tc>
        <w:tc>
          <w:tcPr>
            <w:tcW w:w="966" w:type="dxa"/>
            <w:vAlign w:val="center"/>
            <w:textDirection w:val="lrTb"/>
            <w:noWrap w:val="false"/>
          </w:tcPr>
          <w:p>
            <w:pPr>
              <w:pStyle w:val="89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分项</w:t>
            </w:r>
            <w:r>
              <w:rPr>
                <w:rFonts w:ascii="仿宋" w:hAnsi="仿宋" w:eastAsia="仿宋"/>
                <w:color w:val="000000"/>
                <w:sz w:val="28"/>
                <w:szCs w:val="28"/>
              </w:rPr>
            </w:r>
            <w:r/>
          </w:p>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总价</w:t>
            </w:r>
            <w:r>
              <w:rPr>
                <w:rFonts w:hint="eastAsia" w:ascii="仿宋" w:hAnsi="仿宋" w:eastAsia="仿宋"/>
                <w:color w:val="000000"/>
                <w:sz w:val="28"/>
                <w:szCs w:val="28"/>
              </w:rPr>
            </w:r>
            <w:r/>
          </w:p>
        </w:tc>
      </w:tr>
      <w:tr>
        <w:trPr>
          <w:cantSplit/>
          <w:trHeight w:val="696"/>
        </w:trPr>
        <w:tc>
          <w:tcPr>
            <w:tcW w:w="500"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91"/>
              <w:jc w:val="center"/>
              <w:spacing w:line="480" w:lineRule="exact"/>
              <w:rPr>
                <w:rFonts w:hint="eastAsia" w:ascii="仿宋" w:hAnsi="仿宋" w:eastAsia="仿宋"/>
                <w:color w:val="000000"/>
                <w:sz w:val="28"/>
                <w:szCs w:val="28"/>
                <w:highlight w:val="cyan"/>
              </w:rPr>
            </w:pPr>
            <w:r>
              <w:rPr>
                <w:rFonts w:hint="eastAsia" w:ascii="仿宋" w:hAnsi="仿宋" w:eastAsia="仿宋"/>
                <w:color w:val="000000"/>
                <w:sz w:val="28"/>
                <w:szCs w:val="28"/>
                <w:highlight w:val="cyan"/>
              </w:rPr>
            </w:r>
            <w:r/>
          </w:p>
        </w:tc>
        <w:tc>
          <w:tcPr>
            <w:tcW w:w="1106"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91"/>
              <w:jc w:val="center"/>
              <w:spacing w:line="48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合同签订后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u w:val="single"/>
              </w:rPr>
            </w:r>
            <w:r/>
          </w:p>
        </w:tc>
        <w:tc>
          <w:tcPr>
            <w:tcW w:w="924"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724"/>
        </w:trPr>
        <w:tc>
          <w:tcPr>
            <w:tcW w:w="500"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00"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580"/>
        </w:trPr>
        <w:tc>
          <w:tcPr>
            <w:tcW w:w="500" w:type="dxa"/>
            <w:vAlign w:val="center"/>
            <w:textDirection w:val="lrTb"/>
            <w:noWrap w:val="false"/>
          </w:tcPr>
          <w:p>
            <w:pPr>
              <w:pStyle w:val="891"/>
              <w:jc w:val="center"/>
              <w:spacing w:line="480" w:lineRule="exact"/>
              <w:rPr>
                <w:rFonts w:ascii="仿宋" w:hAnsi="仿宋" w:eastAsia="仿宋"/>
                <w:color w:val="000000"/>
                <w:sz w:val="28"/>
                <w:szCs w:val="28"/>
              </w:rPr>
            </w:pPr>
            <w:r>
              <w:rPr>
                <w:rFonts w:ascii="仿宋" w:hAnsi="仿宋" w:eastAsia="仿宋"/>
                <w:color w:val="000000"/>
                <w:sz w:val="28"/>
                <w:szCs w:val="28"/>
              </w:rPr>
              <w:t xml:space="preserve">…</w:t>
            </w:r>
            <w:r>
              <w:rPr>
                <w:rFonts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72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3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80"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106"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385"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24"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1008"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966"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249"/>
        </w:trPr>
        <w:tc>
          <w:tcPr>
            <w:tcW w:w="500"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gridSpan w:val="8"/>
            <w:tcW w:w="7797"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投标总报价（人民币：元）</w:t>
            </w:r>
            <w:r>
              <w:rPr>
                <w:rFonts w:hint="eastAsia" w:ascii="仿宋" w:hAnsi="仿宋" w:eastAsia="仿宋"/>
                <w:color w:val="000000"/>
                <w:sz w:val="28"/>
                <w:szCs w:val="28"/>
              </w:rPr>
            </w:r>
            <w:r/>
          </w:p>
        </w:tc>
        <w:tc>
          <w:tcPr>
            <w:tcW w:w="966" w:type="dxa"/>
            <w:vAlign w:val="top"/>
            <w:textDirection w:val="lrTb"/>
            <w:noWrap w:val="false"/>
          </w:tcPr>
          <w:p>
            <w:pPr>
              <w:pStyle w:val="89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）国内运输保险、报关清关（如果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）、开证（如果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）、办理全套免税手续费用（如果</w:t>
      </w:r>
      <w:r>
        <w:rPr>
          <w:rFonts w:ascii="仿宋" w:hAnsi="仿宋" w:eastAsia="仿宋"/>
          <w:color w:val="000000"/>
          <w:sz w:val="28"/>
          <w:szCs w:val="28"/>
        </w:rPr>
        <w:t xml:space="preserve">有</w:t>
      </w:r>
      <w:r>
        <w:rPr>
          <w:rFonts w:hint="eastAsia" w:ascii="仿宋" w:hAnsi="仿宋" w:eastAsia="仿宋"/>
          <w:color w:val="000000"/>
          <w:sz w:val="28"/>
          <w:szCs w:val="28"/>
        </w:rPr>
        <w:t xml:space="preserve">）及其他有关的为完成本项目发生的所有费用，招标文件中另有规定的除外。</w:t>
      </w:r>
      <w:r>
        <w:rPr>
          <w:rFonts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2.“投标分项报价表”中“投标总报价”数额应当与“开标一览表”中“投标总报价”数额一致。</w:t>
      </w:r>
      <w:r>
        <w:rPr>
          <w:rFonts w:ascii="仿宋" w:hAnsi="仿宋" w:eastAsia="仿宋"/>
          <w:color w:val="000000"/>
          <w:sz w:val="28"/>
          <w:szCs w:val="28"/>
        </w:rPr>
      </w:r>
      <w:r/>
    </w:p>
    <w:p>
      <w:pPr>
        <w:pStyle w:val="89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3.投标人需认真填写本报价表，尤其注意规格型号的准确填写。</w:t>
      </w:r>
      <w:r>
        <w:rPr>
          <w:rFonts w:hint="eastAsia" w:ascii="仿宋" w:hAnsi="仿宋" w:eastAsia="仿宋"/>
          <w:color w:val="000000"/>
          <w:sz w:val="28"/>
          <w:szCs w:val="28"/>
        </w:rPr>
      </w:r>
      <w:r/>
    </w:p>
    <w:p>
      <w:pPr>
        <w:pStyle w:val="89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4.项目</w:t>
      </w:r>
      <w:r>
        <w:rPr>
          <w:rFonts w:ascii="仿宋" w:hAnsi="仿宋" w:eastAsia="仿宋"/>
          <w:color w:val="000000"/>
          <w:sz w:val="28"/>
          <w:szCs w:val="28"/>
        </w:rPr>
        <w:t xml:space="preserve">经办人可以根据</w:t>
      </w:r>
      <w:r>
        <w:rPr>
          <w:rFonts w:hint="eastAsia" w:ascii="仿宋" w:hAnsi="仿宋" w:eastAsia="仿宋"/>
          <w:color w:val="000000"/>
          <w:sz w:val="28"/>
          <w:szCs w:val="28"/>
        </w:rPr>
        <w:t xml:space="preserve">项目</w:t>
      </w:r>
      <w:r>
        <w:rPr>
          <w:rFonts w:ascii="仿宋" w:hAnsi="仿宋" w:eastAsia="仿宋"/>
          <w:color w:val="000000"/>
          <w:sz w:val="28"/>
          <w:szCs w:val="28"/>
        </w:rPr>
        <w:t xml:space="preserve">实际需要</w:t>
      </w:r>
      <w:r>
        <w:rPr>
          <w:rFonts w:hint="eastAsia" w:ascii="仿宋" w:hAnsi="仿宋" w:eastAsia="仿宋"/>
          <w:color w:val="000000"/>
          <w:sz w:val="28"/>
          <w:szCs w:val="28"/>
        </w:rPr>
        <w:t xml:space="preserve">对</w:t>
      </w:r>
      <w:r>
        <w:rPr>
          <w:rFonts w:ascii="仿宋" w:hAnsi="仿宋" w:eastAsia="仿宋"/>
          <w:color w:val="000000"/>
          <w:sz w:val="28"/>
          <w:szCs w:val="28"/>
        </w:rPr>
        <w:t xml:space="preserve">表格结构进行</w:t>
      </w:r>
      <w:r>
        <w:rPr>
          <w:rFonts w:hint="eastAsia" w:ascii="仿宋" w:hAnsi="仿宋" w:eastAsia="仿宋"/>
          <w:color w:val="000000"/>
          <w:sz w:val="28"/>
          <w:szCs w:val="28"/>
        </w:rPr>
        <w:t xml:space="preserve">调整</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9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91"/>
        <w:jc w:val="center"/>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91"/>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9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89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rPr>
                <w:sz w:val="21"/>
              </w:rPr>
            </w:r>
            <w:r/>
          </w:p>
        </w:tc>
      </w:tr>
      <w:tr>
        <w:trPr>
          <w:cantSplit/>
          <w:trHeight w:val="640"/>
        </w:trPr>
        <w:tc>
          <w:tcPr>
            <w:tcW w:w="545"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9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89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9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89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rPr>
                <w:sz w:val="21"/>
              </w:rPr>
            </w:r>
            <w:r/>
          </w:p>
        </w:tc>
      </w:tr>
      <w:tr>
        <w:trPr>
          <w:cantSplit/>
          <w:trHeight w:val="640"/>
        </w:trPr>
        <w:tc>
          <w:tcPr>
            <w:tcW w:w="545"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89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89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9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89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91"/>
        <w:ind w:left="480"/>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89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89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9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9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9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9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9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9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9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91"/>
        <w:ind w:firstLine="482"/>
        <w:spacing w:line="500" w:lineRule="exact"/>
        <w:rPr>
          <w:rFonts w:hint="eastAsia" w:ascii="宋体" w:hAnsi="宋体"/>
          <w:color w:val="000000"/>
          <w:sz w:val="24"/>
        </w:rPr>
      </w:pPr>
      <w:r>
        <w:rPr>
          <w:rFonts w:hint="eastAsia" w:ascii="宋体" w:hAnsi="宋体"/>
          <w:color w:val="000000"/>
          <w:sz w:val="24"/>
        </w:rPr>
      </w:r>
      <w:r/>
    </w:p>
    <w:p>
      <w:pPr>
        <w:pStyle w:val="891"/>
        <w:spacing w:line="500" w:lineRule="exact"/>
        <w:rPr>
          <w:rFonts w:hint="eastAsia" w:ascii="宋体" w:hAnsi="宋体"/>
          <w:color w:val="000000"/>
          <w:sz w:val="24"/>
        </w:rPr>
      </w:pPr>
      <w:r>
        <w:rPr>
          <w:rFonts w:hint="eastAsia" w:ascii="宋体" w:hAnsi="宋体"/>
          <w:color w:val="000000"/>
          <w:sz w:val="24"/>
        </w:rPr>
      </w:r>
      <w:r/>
    </w:p>
    <w:p>
      <w:pPr>
        <w:pStyle w:val="89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9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9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9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9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9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9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89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9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91"/>
        <w:ind w:firstLine="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9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89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89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89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89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1"/>
        <w:keepLines/>
        <w:keepNext/>
        <w:spacing w:before="260" w:after="260" w:line="480" w:lineRule="exact"/>
        <w:rPr>
          <w:rFonts w:ascii="仿宋" w:hAnsi="仿宋" w:eastAsia="仿宋"/>
          <w:b/>
          <w:i/>
          <w:color w:val="000000"/>
          <w:sz w:val="28"/>
          <w:szCs w:val="28"/>
          <w:u w:val="single"/>
        </w:rPr>
        <w:outlineLvl w:val="1"/>
      </w:pPr>
      <w:r>
        <w:rPr>
          <w:rFonts w:ascii="仿宋" w:hAnsi="仿宋" w:eastAsia="仿宋" w:cs="Arial"/>
          <w:b/>
          <w:color w:val="000000"/>
          <w:sz w:val="28"/>
          <w:szCs w:val="28"/>
        </w:rPr>
        <w:br w:type="page" w:clear="all"/>
      </w: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891"/>
        <w:jc w:val="left"/>
        <w:spacing w:line="480" w:lineRule="exact"/>
        <w:rPr>
          <w:rFonts w:ascii="仿宋" w:hAnsi="仿宋" w:eastAsia="仿宋"/>
          <w:color w:val="000000"/>
          <w:sz w:val="28"/>
          <w:szCs w:val="28"/>
        </w:rPr>
      </w:pPr>
      <w:r>
        <w:rPr>
          <w:rFonts w:hint="eastAsia" w:ascii="仿宋" w:hAnsi="仿宋" w:eastAsia="仿宋"/>
          <w:color w:val="000000"/>
          <w:sz w:val="28"/>
          <w:szCs w:val="28"/>
        </w:rPr>
        <w:t xml:space="preserve">致：南通市政府采购中心</w:t>
      </w:r>
      <w:r>
        <w:rPr>
          <w:rFonts w:ascii="仿宋" w:hAnsi="仿宋" w:eastAsia="仿宋"/>
          <w:color w:val="000000"/>
          <w:sz w:val="28"/>
          <w:szCs w:val="28"/>
        </w:rPr>
      </w:r>
      <w:r/>
    </w:p>
    <w:p>
      <w:pPr>
        <w:pStyle w:val="89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89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89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89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89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89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89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89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89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89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89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89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89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89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89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89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89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9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9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891"/>
        <w:ind w:firstLine="281"/>
        <w:jc w:val="left"/>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89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本公司（联合体）郑重声明，根据《政府采购促进中小企业发展管理办法》(财库[2020]46号)的规定，本公司（联合体）参加南通市政府采购中心组织的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采购编号为JSZC</w:t>
      </w:r>
      <w:r>
        <w:rPr>
          <w:rFonts w:ascii="仿宋" w:hAnsi="仿宋" w:eastAsia="仿宋"/>
          <w:color w:val="000000"/>
          <w:sz w:val="28"/>
          <w:szCs w:val="28"/>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9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89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89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9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89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89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89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891"/>
        <w:ind w:left="560" w:hanging="14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w:t>
      </w:r>
      <w:r>
        <w:rPr>
          <w:rFonts w:ascii="仿宋" w:hAnsi="仿宋" w:eastAsia="仿宋"/>
          <w:color w:val="000000"/>
          <w:sz w:val="28"/>
          <w:szCs w:val="28"/>
        </w:rPr>
        <w:t xml:space="preserve">自行勾选</w:t>
      </w:r>
      <w:r>
        <w:rPr>
          <w:rFonts w:hint="eastAsia" w:ascii="仿宋" w:hAnsi="仿宋" w:eastAsia="仿宋"/>
          <w:color w:val="000000"/>
          <w:sz w:val="28"/>
          <w:szCs w:val="28"/>
        </w:rPr>
        <w:t xml:space="preserve">制造商</w:t>
      </w:r>
      <w:r>
        <w:rPr>
          <w:rFonts w:ascii="仿宋" w:hAnsi="仿宋" w:eastAsia="仿宋"/>
          <w:color w:val="000000"/>
          <w:sz w:val="28"/>
          <w:szCs w:val="28"/>
        </w:rPr>
        <w:t xml:space="preserve">的企业</w:t>
      </w:r>
      <w:r>
        <w:rPr>
          <w:rFonts w:hint="eastAsia" w:ascii="仿宋" w:hAnsi="仿宋" w:eastAsia="仿宋"/>
          <w:color w:val="000000"/>
          <w:sz w:val="28"/>
          <w:szCs w:val="28"/>
        </w:rPr>
        <w:t xml:space="preserve">规模类型</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89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9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891"/>
        <w:spacing w:line="480" w:lineRule="exact"/>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89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89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89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89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89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89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89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89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89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9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91"/>
        <w:spacing w:line="480" w:lineRule="exact"/>
        <w:rPr>
          <w:rFonts w:hint="eastAsia" w:ascii="仿宋" w:hAnsi="仿宋" w:eastAsia="仿宋"/>
          <w:b/>
          <w:bCs/>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w:t>
      </w:r>
      <w:r>
        <w:rPr>
          <w:rFonts w:hint="eastAsia" w:ascii="仿宋" w:hAnsi="仿宋" w:eastAsia="仿宋"/>
          <w:b/>
          <w:color w:val="000000"/>
          <w:sz w:val="28"/>
          <w:szCs w:val="28"/>
          <w:lang w:val="en-US" w:eastAsia="zh-CN"/>
        </w:rPr>
        <w:t xml:space="preserve">0</w:t>
      </w:r>
      <w:r>
        <w:rPr>
          <w:rFonts w:hint="eastAsia" w:ascii="仿宋" w:hAnsi="仿宋" w:eastAsia="仿宋"/>
          <w:b/>
          <w:color w:val="000000"/>
          <w:sz w:val="28"/>
          <w:szCs w:val="28"/>
        </w:rPr>
        <w:t xml:space="preserve"> </w:t>
      </w:r>
      <w:r>
        <w:rPr>
          <w:rFonts w:hint="eastAsia" w:ascii="仿宋" w:hAnsi="仿宋" w:eastAsia="仿宋"/>
          <w:b/>
          <w:color w:val="000000"/>
          <w:sz w:val="28"/>
          <w:szCs w:val="28"/>
          <w:lang w:eastAsia="zh-CN"/>
        </w:rPr>
        <w:t xml:space="preserve">、</w:t>
      </w:r>
      <w:r>
        <w:rPr>
          <w:rFonts w:hint="eastAsia" w:ascii="仿宋" w:hAnsi="仿宋" w:eastAsia="仿宋"/>
          <w:b/>
          <w:bCs/>
          <w:sz w:val="28"/>
          <w:szCs w:val="28"/>
        </w:rPr>
        <w:t xml:space="preserve">投标产品配置选型一览表</w:t>
      </w:r>
      <w:r>
        <w:rPr>
          <w:rFonts w:hint="eastAsia" w:ascii="仿宋" w:hAnsi="仿宋" w:eastAsia="仿宋" w:cs="Times New Roman"/>
          <w:b/>
          <w:color w:val="000000"/>
          <w:sz w:val="28"/>
          <w:szCs w:val="28"/>
          <w:highlight w:val="none"/>
          <w:lang w:val="en-US" w:eastAsia="zh-CN"/>
        </w:rPr>
        <w:t xml:space="preserve">（分包号：**）</w:t>
      </w:r>
      <w:r>
        <w:rPr>
          <w:rFonts w:hint="eastAsia" w:ascii="仿宋" w:hAnsi="仿宋" w:eastAsia="仿宋"/>
          <w:b/>
          <w:bCs/>
          <w:sz w:val="28"/>
          <w:szCs w:val="28"/>
        </w:rPr>
      </w:r>
      <w:r/>
    </w:p>
    <w:tbl>
      <w:tblPr>
        <w:tblStyle w:val="1004"/>
        <w:tblW w:w="8354"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559"/>
        <w:gridCol w:w="1418"/>
        <w:gridCol w:w="984"/>
        <w:gridCol w:w="1000"/>
        <w:gridCol w:w="1559"/>
        <w:gridCol w:w="993"/>
      </w:tblGrid>
      <w:tr>
        <w:trPr/>
        <w:tc>
          <w:tcPr>
            <w:tcMar>
              <w:left w:w="108" w:type="dxa"/>
              <w:top w:w="0" w:type="dxa"/>
              <w:right w:w="108" w:type="dxa"/>
              <w:bottom w:w="0" w:type="dxa"/>
            </w:tcMar>
            <w:tcW w:w="841"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序号</w:t>
            </w:r>
            <w:r>
              <w:rPr>
                <w:sz w:val="20"/>
                <w:szCs w:val="20"/>
              </w:rPr>
            </w:r>
            <w:r/>
          </w:p>
        </w:tc>
        <w:tc>
          <w:tcPr>
            <w:tcMar>
              <w:left w:w="108" w:type="dxa"/>
              <w:top w:w="0" w:type="dxa"/>
              <w:right w:w="108" w:type="dxa"/>
              <w:bottom w:w="0" w:type="dxa"/>
            </w:tcMar>
            <w:tcW w:w="1559"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设备名称</w:t>
            </w:r>
            <w:r>
              <w:rPr>
                <w:sz w:val="20"/>
                <w:szCs w:val="20"/>
              </w:rPr>
            </w:r>
            <w:r/>
          </w:p>
        </w:tc>
        <w:tc>
          <w:tcPr>
            <w:tcMar>
              <w:left w:w="108" w:type="dxa"/>
              <w:top w:w="0" w:type="dxa"/>
              <w:right w:w="108" w:type="dxa"/>
              <w:bottom w:w="0" w:type="dxa"/>
            </w:tcMar>
            <w:tcW w:w="1418"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品牌规格型号</w:t>
            </w:r>
            <w:r>
              <w:rPr>
                <w:sz w:val="20"/>
                <w:szCs w:val="20"/>
              </w:rPr>
            </w:r>
            <w:r/>
          </w:p>
        </w:tc>
        <w:tc>
          <w:tcPr>
            <w:tcMar>
              <w:left w:w="108" w:type="dxa"/>
              <w:top w:w="0" w:type="dxa"/>
              <w:right w:w="108" w:type="dxa"/>
              <w:bottom w:w="0" w:type="dxa"/>
            </w:tcMar>
            <w:tcW w:w="984"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生产厂家</w:t>
            </w:r>
            <w:r>
              <w:rPr>
                <w:sz w:val="20"/>
                <w:szCs w:val="20"/>
              </w:rPr>
            </w:r>
            <w:r/>
          </w:p>
        </w:tc>
        <w:tc>
          <w:tcPr>
            <w:tcMar>
              <w:left w:w="108" w:type="dxa"/>
              <w:top w:w="0" w:type="dxa"/>
              <w:right w:w="108" w:type="dxa"/>
              <w:bottom w:w="0" w:type="dxa"/>
            </w:tcMar>
            <w:tcW w:w="1000"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质量性能</w:t>
            </w:r>
            <w:r>
              <w:rPr>
                <w:sz w:val="20"/>
                <w:szCs w:val="20"/>
              </w:rPr>
            </w:r>
            <w:r/>
          </w:p>
        </w:tc>
        <w:tc>
          <w:tcPr>
            <w:tcMar>
              <w:left w:w="108" w:type="dxa"/>
              <w:top w:w="0" w:type="dxa"/>
              <w:right w:w="108" w:type="dxa"/>
              <w:bottom w:w="0" w:type="dxa"/>
            </w:tcMar>
            <w:tcW w:w="1559"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0"/>
              </w:rPr>
              <w:t xml:space="preserve">单价</w:t>
            </w:r>
            <w:r>
              <w:rPr>
                <w:rFonts w:hint="eastAsia" w:ascii="宋体" w:hAnsi="宋体" w:cs="宋体"/>
                <w:color w:val="000000"/>
                <w:sz w:val="28"/>
                <w:szCs w:val="20"/>
              </w:rPr>
              <w:t xml:space="preserve">（万元）</w:t>
            </w:r>
            <w:r>
              <w:rPr>
                <w:sz w:val="20"/>
                <w:szCs w:val="20"/>
              </w:rPr>
            </w:r>
            <w:r/>
          </w:p>
        </w:tc>
        <w:tc>
          <w:tcPr>
            <w:tcMar>
              <w:left w:w="108" w:type="dxa"/>
              <w:top w:w="0" w:type="dxa"/>
              <w:right w:w="108" w:type="dxa"/>
              <w:bottom w:w="0" w:type="dxa"/>
            </w:tcMar>
            <w:tcW w:w="993"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0"/>
              </w:rPr>
              <w:t xml:space="preserve">是否进口</w:t>
            </w:r>
            <w:r>
              <w:rPr>
                <w:sz w:val="20"/>
                <w:szCs w:val="20"/>
              </w:rPr>
            </w:r>
            <w:r/>
          </w:p>
        </w:tc>
      </w:tr>
      <w:tr>
        <w:trPr>
          <w:trHeight w:val="480"/>
        </w:trPr>
        <w:tc>
          <w:tcPr>
            <w:tcMar>
              <w:left w:w="108" w:type="dxa"/>
              <w:top w:w="0" w:type="dxa"/>
              <w:right w:w="108" w:type="dxa"/>
              <w:bottom w:w="0" w:type="dxa"/>
            </w:tcMar>
            <w:tcW w:w="841" w:type="dxa"/>
            <w:vAlign w:val="center"/>
            <w:textDirection w:val="lrTb"/>
            <w:noWrap w:val="false"/>
          </w:tcPr>
          <w:p>
            <w:pPr>
              <w:pStyle w:val="891"/>
              <w:jc w:val="center"/>
              <w:spacing w:line="85" w:lineRule="atLeast"/>
              <w:widowControl/>
              <w:rPr>
                <w:rFonts w:eastAsia="宋体"/>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rFonts w:hint="eastAsia" w:eastAsia="宋体"/>
                <w:color w:val="000000"/>
                <w:sz w:val="28"/>
                <w:szCs w:val="20"/>
              </w:rPr>
              <w:t xml:space="preserve">1</w:t>
            </w:r>
            <w:r>
              <w:rPr>
                <w:rFonts w:eastAsia="宋体"/>
                <w:sz w:val="20"/>
                <w:szCs w:val="20"/>
              </w:rPr>
            </w:r>
            <w:r/>
          </w:p>
        </w:tc>
        <w:tc>
          <w:tcPr>
            <w:tcMar>
              <w:left w:w="108" w:type="dxa"/>
              <w:top w:w="0" w:type="dxa"/>
              <w:right w:w="108" w:type="dxa"/>
              <w:bottom w:w="0" w:type="dxa"/>
            </w:tcMar>
            <w:tcW w:w="1559"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418"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984"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000"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1559"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c>
          <w:tcPr>
            <w:tcMar>
              <w:left w:w="108" w:type="dxa"/>
              <w:top w:w="0" w:type="dxa"/>
              <w:right w:w="108" w:type="dxa"/>
              <w:bottom w:w="0" w:type="dxa"/>
            </w:tcMar>
            <w:tcW w:w="993" w:type="dxa"/>
            <w:vAlign w:val="center"/>
            <w:textDirection w:val="lrTb"/>
            <w:noWrap w:val="false"/>
          </w:tcPr>
          <w:p>
            <w:pPr>
              <w:pStyle w:val="891"/>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t xml:space="preserve"> </w:t>
            </w:r>
            <w:r>
              <w:rPr>
                <w:sz w:val="20"/>
                <w:szCs w:val="20"/>
              </w:rPr>
            </w:r>
            <w:r/>
          </w:p>
        </w:tc>
      </w:tr>
      <w:tr>
        <w:trPr>
          <w:trHeight w:val="480"/>
        </w:trPr>
        <w:tc>
          <w:tcPr>
            <w:tcMar>
              <w:left w:w="108" w:type="dxa"/>
              <w:top w:w="0" w:type="dxa"/>
              <w:right w:w="108" w:type="dxa"/>
              <w:bottom w:w="0" w:type="dxa"/>
            </w:tcMar>
            <w:tcW w:w="841" w:type="dxa"/>
            <w:vAlign w:val="center"/>
            <w:textDirection w:val="lrTb"/>
            <w:noWrap w:val="false"/>
          </w:tcPr>
          <w:p>
            <w:pPr>
              <w:pStyle w:val="891"/>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Mar>
              <w:left w:w="108" w:type="dxa"/>
              <w:top w:w="0" w:type="dxa"/>
              <w:right w:w="108" w:type="dxa"/>
              <w:bottom w:w="0" w:type="dxa"/>
            </w:tcMar>
            <w:tcW w:w="1559" w:type="dxa"/>
            <w:vAlign w:val="center"/>
            <w:textDirection w:val="lrTb"/>
            <w:noWrap w:val="false"/>
          </w:tcPr>
          <w:p>
            <w:pPr>
              <w:pStyle w:val="891"/>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w:t>
            </w:r>
            <w:r>
              <w:rPr>
                <w:rFonts w:eastAsia="Times New Roman"/>
                <w:color w:val="000000"/>
                <w:sz w:val="28"/>
                <w:szCs w:val="20"/>
              </w:rPr>
            </w:r>
            <w:r/>
          </w:p>
        </w:tc>
        <w:tc>
          <w:tcPr>
            <w:tcMar>
              <w:left w:w="108" w:type="dxa"/>
              <w:top w:w="0" w:type="dxa"/>
              <w:right w:w="108" w:type="dxa"/>
              <w:bottom w:w="0" w:type="dxa"/>
            </w:tcMar>
            <w:tcW w:w="1418" w:type="dxa"/>
            <w:vAlign w:val="center"/>
            <w:textDirection w:val="lrTb"/>
            <w:noWrap w:val="false"/>
          </w:tcPr>
          <w:p>
            <w:pPr>
              <w:pStyle w:val="891"/>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Mar>
              <w:left w:w="108" w:type="dxa"/>
              <w:top w:w="0" w:type="dxa"/>
              <w:right w:w="108" w:type="dxa"/>
              <w:bottom w:w="0" w:type="dxa"/>
            </w:tcMar>
            <w:tcW w:w="984" w:type="dxa"/>
            <w:vAlign w:val="center"/>
            <w:textDirection w:val="lrTb"/>
            <w:noWrap w:val="false"/>
          </w:tcPr>
          <w:p>
            <w:pPr>
              <w:pStyle w:val="891"/>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Mar>
              <w:left w:w="108" w:type="dxa"/>
              <w:top w:w="0" w:type="dxa"/>
              <w:right w:w="108" w:type="dxa"/>
              <w:bottom w:w="0" w:type="dxa"/>
            </w:tcMar>
            <w:tcW w:w="1000" w:type="dxa"/>
            <w:vAlign w:val="center"/>
            <w:textDirection w:val="lrTb"/>
            <w:noWrap w:val="false"/>
          </w:tcPr>
          <w:p>
            <w:pPr>
              <w:pStyle w:val="891"/>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Mar>
              <w:left w:w="108" w:type="dxa"/>
              <w:top w:w="0" w:type="dxa"/>
              <w:right w:w="108" w:type="dxa"/>
              <w:bottom w:w="0" w:type="dxa"/>
            </w:tcMar>
            <w:tcW w:w="1559" w:type="dxa"/>
            <w:vAlign w:val="center"/>
            <w:textDirection w:val="lrTb"/>
            <w:noWrap w:val="false"/>
          </w:tcPr>
          <w:p>
            <w:pPr>
              <w:pStyle w:val="891"/>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c>
          <w:tcPr>
            <w:tcMar>
              <w:left w:w="108" w:type="dxa"/>
              <w:top w:w="0" w:type="dxa"/>
              <w:right w:w="108" w:type="dxa"/>
              <w:bottom w:w="0" w:type="dxa"/>
            </w:tcMar>
            <w:tcW w:w="993" w:type="dxa"/>
            <w:vAlign w:val="center"/>
            <w:textDirection w:val="lrTb"/>
            <w:noWrap w:val="false"/>
          </w:tcPr>
          <w:p>
            <w:pPr>
              <w:pStyle w:val="891"/>
              <w:jc w:val="center"/>
              <w:spacing w:line="85" w:lineRule="atLeast"/>
              <w:widowControl/>
              <w:rPr>
                <w:rFonts w:eastAsia="Times New Roman"/>
                <w:color w:val="000000"/>
                <w:sz w:val="28"/>
                <w:szCs w:val="20"/>
              </w:rPr>
              <w:pBdr>
                <w:top w:val="none" w:color="000000" w:sz="0" w:space="0"/>
                <w:left w:val="none" w:color="000000" w:sz="0" w:space="0"/>
                <w:bottom w:val="none" w:color="000000" w:sz="0" w:space="0"/>
                <w:right w:val="none" w:color="000000" w:sz="0" w:space="0"/>
              </w:pBdr>
            </w:pPr>
            <w:r>
              <w:rPr>
                <w:rFonts w:eastAsia="Times New Roman"/>
                <w:color w:val="000000"/>
                <w:sz w:val="28"/>
                <w:szCs w:val="20"/>
              </w:rPr>
            </w:r>
            <w:r/>
          </w:p>
        </w:tc>
      </w:tr>
    </w:tbl>
    <w:p>
      <w:pPr>
        <w:pStyle w:val="891"/>
        <w:spacing w:line="480" w:lineRule="exact"/>
        <w:rPr>
          <w:rFonts w:ascii="仿宋" w:hAnsi="仿宋" w:eastAsia="仿宋"/>
          <w:color w:val="000000"/>
          <w:sz w:val="28"/>
          <w:szCs w:val="28"/>
        </w:rPr>
      </w:pPr>
      <w:r>
        <w:rPr>
          <w:rFonts w:ascii="仿宋" w:hAnsi="仿宋" w:eastAsia="仿宋"/>
          <w:color w:val="000000"/>
          <w:sz w:val="28"/>
          <w:szCs w:val="28"/>
        </w:rPr>
      </w:r>
      <w:r/>
    </w:p>
    <w:p>
      <w:pPr>
        <w:pStyle w:val="891"/>
        <w:jc w:val="center"/>
        <w:spacing w:line="480" w:lineRule="exact"/>
        <w:rPr>
          <w:rFonts w:hint="eastAsia" w:ascii="仿宋" w:hAnsi="仿宋" w:eastAsia="仿宋" w:cs="Times New Roman"/>
          <w:b/>
          <w:color w:val="000000"/>
          <w:sz w:val="28"/>
          <w:szCs w:val="28"/>
        </w:rPr>
      </w:pPr>
      <w:r>
        <w:rPr>
          <w:rFonts w:hint="eastAsia" w:ascii="仿宋" w:hAnsi="仿宋" w:eastAsia="仿宋" w:cs="Times New Roman"/>
          <w:b/>
          <w:color w:val="000000"/>
          <w:sz w:val="28"/>
          <w:szCs w:val="28"/>
        </w:rPr>
      </w:r>
      <w:r/>
    </w:p>
    <w:p>
      <w:pPr>
        <w:pStyle w:val="891"/>
        <w:jc w:val="center"/>
        <w:spacing w:line="480" w:lineRule="exact"/>
        <w:rPr>
          <w:rFonts w:hint="eastAsia" w:ascii="仿宋" w:hAnsi="仿宋" w:eastAsia="仿宋" w:cs="Times New Roman"/>
          <w:b/>
          <w:color w:val="000000"/>
          <w:sz w:val="28"/>
          <w:szCs w:val="28"/>
          <w:highlight w:val="none"/>
          <w:lang w:val="en-US" w:eastAsia="zh-CN"/>
        </w:rPr>
      </w:pPr>
      <w:r>
        <w:rPr>
          <w:rFonts w:hint="eastAsia" w:ascii="仿宋" w:hAnsi="仿宋" w:eastAsia="仿宋" w:cs="Times New Roman"/>
          <w:b/>
          <w:color w:val="000000"/>
          <w:sz w:val="28"/>
          <w:szCs w:val="28"/>
          <w:highlight w:val="none"/>
          <w:lang w:val="en-US" w:eastAsia="zh-CN"/>
        </w:rPr>
        <w:t xml:space="preserve">附件11、实质性要求响应及偏离表（分包号：**）</w:t>
      </w:r>
      <w:r>
        <w:rPr>
          <w:rFonts w:hint="eastAsia" w:ascii="仿宋" w:hAnsi="仿宋" w:eastAsia="仿宋" w:cs="Times New Roman"/>
          <w:b/>
          <w:color w:val="000000"/>
          <w:sz w:val="28"/>
          <w:szCs w:val="28"/>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序号</w:t>
            </w:r>
            <w:r>
              <w:rPr>
                <w:rFonts w:hint="eastAsia" w:ascii="仿宋" w:hAnsi="仿宋" w:eastAsia="仿宋" w:cs="Times New Roman"/>
                <w:color w:val="000000"/>
                <w:sz w:val="28"/>
                <w:szCs w:val="28"/>
              </w:rPr>
            </w:r>
            <w:r/>
          </w:p>
        </w:tc>
        <w:tc>
          <w:tcPr>
            <w:tcW w:w="3609" w:type="dxa"/>
            <w:vAlign w:val="center"/>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技术要求和商务要求中的实质性要求（加斜体下划线内容）</w:t>
            </w:r>
            <w:r>
              <w:rPr>
                <w:rFonts w:hint="eastAsia" w:ascii="仿宋" w:hAnsi="仿宋" w:eastAsia="仿宋" w:cs="Times New Roman"/>
                <w:color w:val="000000"/>
                <w:sz w:val="28"/>
                <w:szCs w:val="28"/>
              </w:rPr>
            </w:r>
            <w:r/>
          </w:p>
        </w:tc>
        <w:tc>
          <w:tcPr>
            <w:tcW w:w="3317" w:type="dxa"/>
            <w:vAlign w:val="center"/>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投标响应情况</w:t>
            </w:r>
            <w:r>
              <w:rPr>
                <w:rFonts w:hint="eastAsia" w:ascii="仿宋" w:hAnsi="仿宋" w:eastAsia="仿宋" w:cs="Times New Roman"/>
                <w:color w:val="000000"/>
                <w:sz w:val="28"/>
                <w:szCs w:val="28"/>
              </w:rPr>
            </w:r>
            <w:r/>
          </w:p>
        </w:tc>
        <w:tc>
          <w:tcPr>
            <w:tcW w:w="15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rPr>
                <w:sz w:val="21"/>
              </w:rPr>
            </w:r>
            <w:r/>
          </w:p>
        </w:tc>
      </w:tr>
      <w:tr>
        <w:trPr>
          <w:cantSplit/>
          <w:trHeight w:val="640"/>
        </w:trPr>
        <w:tc>
          <w:tcPr>
            <w:tcW w:w="545"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hint="eastAsia" w:ascii="仿宋" w:hAnsi="仿宋" w:eastAsia="仿宋" w:cs="Times New Roman"/>
                <w:color w:val="000000"/>
                <w:sz w:val="28"/>
                <w:szCs w:val="28"/>
              </w:rPr>
            </w:r>
            <w:r/>
          </w:p>
        </w:tc>
        <w:tc>
          <w:tcPr>
            <w:tcW w:w="3609"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3317"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1526"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r>
      <w:tr>
        <w:trPr>
          <w:cantSplit/>
          <w:trHeight w:val="640"/>
        </w:trPr>
        <w:tc>
          <w:tcPr>
            <w:tcW w:w="545"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rPr>
            </w:r>
            <w:r/>
          </w:p>
        </w:tc>
        <w:tc>
          <w:tcPr>
            <w:tcW w:w="3609"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3317"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1526"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r>
      <w:tr>
        <w:trPr>
          <w:cantSplit/>
          <w:trHeight w:val="640"/>
        </w:trPr>
        <w:tc>
          <w:tcPr>
            <w:tcW w:w="545"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3609"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rPr>
            </w:r>
            <w:r/>
          </w:p>
        </w:tc>
        <w:tc>
          <w:tcPr>
            <w:tcW w:w="3317"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c>
          <w:tcPr>
            <w:tcW w:w="1526" w:type="dxa"/>
            <w:vAlign w:val="top"/>
            <w:textDirection w:val="lrTb"/>
            <w:noWrap w:val="false"/>
          </w:tcPr>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tc>
      </w:tr>
    </w:tbl>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附件1</w:t>
      </w:r>
      <w:r>
        <w:rPr>
          <w:rFonts w:hint="eastAsia" w:ascii="仿宋" w:hAnsi="仿宋" w:eastAsia="仿宋" w:cs="Times New Roman"/>
          <w:color w:val="000000"/>
          <w:sz w:val="28"/>
          <w:szCs w:val="28"/>
          <w:lang w:val="en-US" w:eastAsia="zh-CN"/>
        </w:rPr>
        <w:t xml:space="preserve">1</w:t>
      </w:r>
      <w:r>
        <w:rPr>
          <w:rFonts w:hint="eastAsia" w:ascii="仿宋" w:hAnsi="仿宋" w:eastAsia="仿宋" w:cs="Times New Roman"/>
          <w:color w:val="000000"/>
          <w:sz w:val="28"/>
          <w:szCs w:val="28"/>
        </w:rPr>
        <w:t xml:space="preserve">-1 证明材料1，证明材料2，……</w:t>
      </w:r>
      <w:r>
        <w:rPr>
          <w:rFonts w:hint="eastAsia" w:ascii="仿宋" w:hAnsi="仿宋" w:eastAsia="仿宋" w:cs="Times New Roman"/>
          <w:color w:val="000000"/>
          <w:sz w:val="28"/>
          <w:szCs w:val="28"/>
        </w:rPr>
      </w:r>
      <w:r/>
    </w:p>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r>
      <w:r/>
    </w:p>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备注：</w:t>
      </w:r>
      <w:r>
        <w:rPr>
          <w:rFonts w:hint="eastAsia" w:ascii="仿宋" w:hAnsi="仿宋" w:eastAsia="仿宋" w:cs="Times New Roman"/>
          <w:color w:val="000000"/>
          <w:sz w:val="28"/>
          <w:szCs w:val="28"/>
        </w:rPr>
      </w:r>
      <w:r/>
    </w:p>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1.投标人必须对技术要求和商务要求中的实质性要求（加斜体下划线内容）逐条做出明确响应，否则作无效投标处理。</w:t>
      </w:r>
      <w:r>
        <w:rPr>
          <w:rFonts w:hint="eastAsia" w:ascii="仿宋" w:hAnsi="仿宋" w:eastAsia="仿宋" w:cs="Times New Roman"/>
          <w:color w:val="000000"/>
          <w:sz w:val="28"/>
          <w:szCs w:val="28"/>
        </w:rPr>
      </w:r>
      <w:r/>
    </w:p>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2.如果招标文件要求提供证明材料，投标人必须将证明材料列于该表之下。</w:t>
      </w:r>
      <w:r>
        <w:rPr>
          <w:rFonts w:hint="eastAsia" w:ascii="仿宋" w:hAnsi="仿宋" w:eastAsia="仿宋" w:cs="Times New Roman"/>
          <w:color w:val="000000"/>
          <w:sz w:val="28"/>
          <w:szCs w:val="28"/>
        </w:rPr>
      </w:r>
      <w:r/>
    </w:p>
    <w:p>
      <w:pPr>
        <w:pStyle w:val="891"/>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3.投标人未对实质性要求逐条作出明确响应的，或未按招标文件要求提供证明材料的，该分包作无效投标处理。</w:t>
      </w:r>
      <w:r>
        <w:rPr>
          <w:rFonts w:hint="eastAsia" w:ascii="仿宋" w:hAnsi="仿宋" w:eastAsia="仿宋" w:cs="Times New Roman"/>
          <w:color w:val="000000"/>
          <w:sz w:val="28"/>
          <w:szCs w:val="28"/>
        </w:rPr>
      </w:r>
      <w:r/>
    </w:p>
    <w:p>
      <w:pPr>
        <w:pStyle w:val="891"/>
        <w:spacing w:line="480" w:lineRule="exact"/>
        <w:rPr>
          <w:rFonts w:hint="eastAsia" w:ascii="仿宋" w:hAnsi="仿宋" w:eastAsia="仿宋" w:cs="Times New Roman"/>
          <w:color w:val="ff0000"/>
          <w:sz w:val="28"/>
          <w:szCs w:val="28"/>
        </w:rPr>
      </w:pPr>
      <w:r>
        <w:rPr>
          <w:rFonts w:hint="eastAsia" w:ascii="仿宋" w:hAnsi="仿宋" w:eastAsia="仿宋" w:cs="Times New Roman"/>
          <w:color w:val="ff0000"/>
          <w:sz w:val="28"/>
          <w:szCs w:val="28"/>
        </w:rPr>
      </w:r>
      <w:r/>
    </w:p>
    <w:p>
      <w:pPr>
        <w:pStyle w:val="891"/>
        <w:spacing w:line="480" w:lineRule="exact"/>
        <w:rPr>
          <w:rFonts w:ascii="仿宋" w:hAnsi="仿宋" w:eastAsia="仿宋"/>
          <w:color w:val="000000"/>
          <w:sz w:val="28"/>
          <w:szCs w:val="28"/>
        </w:rPr>
      </w:pPr>
      <w:r>
        <w:rPr>
          <w:rFonts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ascii="仿宋" w:hAnsi="仿宋" w:eastAsia="仿宋"/>
          <w:color w:val="000000"/>
          <w:sz w:val="28"/>
          <w:szCs w:val="28"/>
        </w:rPr>
      </w:r>
      <w:r/>
    </w:p>
    <w:p>
      <w:pPr>
        <w:pStyle w:val="891"/>
        <w:jc w:val="center"/>
        <w:spacing w:line="480" w:lineRule="exact"/>
        <w:rPr>
          <w:rFonts w:hint="eastAsia" w:ascii="仿宋" w:hAnsi="仿宋" w:eastAsia="仿宋" w:cs="仿宋"/>
          <w:b/>
          <w:bCs/>
          <w:color w:val="000000"/>
          <w:sz w:val="28"/>
          <w:szCs w:val="28"/>
        </w:rPr>
      </w:pPr>
      <w:r/>
      <w:bookmarkEnd w:id="179"/>
      <w:r/>
      <w:bookmarkEnd w:id="180"/>
      <w:r/>
      <w:bookmarkEnd w:id="219"/>
      <w:r/>
      <w:bookmarkEnd w:id="220"/>
      <w:r/>
      <w:bookmarkEnd w:id="221"/>
      <w:r>
        <w:rPr>
          <w:rFonts w:hint="eastAsia" w:ascii="仿宋" w:hAnsi="仿宋" w:eastAsia="仿宋" w:cs="仿宋"/>
          <w:b/>
          <w:bCs/>
          <w:color w:val="000000"/>
          <w:sz w:val="28"/>
          <w:szCs w:val="28"/>
        </w:rPr>
      </w:r>
      <w:r/>
    </w:p>
    <w:p>
      <w:pPr>
        <w:pStyle w:val="89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9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91"/>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91"/>
        <w:jc w:val="cente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89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89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9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9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9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9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9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9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89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9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9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9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9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89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9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9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89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9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9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89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89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89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89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89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89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89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89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89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89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89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89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91"/>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3"/>
        <w:rFonts w:ascii="宋体" w:hAnsi="宋体"/>
      </w:rPr>
      <w:framePr w:wrap="around" w:vAnchor="text" w:hAnchor="margin" w:xAlign="center" w:y="1"/>
    </w:pPr>
    <w:r>
      <w:rPr>
        <w:rFonts w:ascii="宋体" w:hAnsi="宋体"/>
      </w:rPr>
      <w:fldChar w:fldCharType="begin"/>
    </w:r>
    <w:r>
      <w:rPr>
        <w:rStyle w:val="963"/>
        <w:rFonts w:ascii="宋体" w:hAnsi="宋体"/>
      </w:rPr>
      <w:instrText xml:space="preserve">PAGE  </w:instrText>
    </w:r>
    <w:r>
      <w:rPr>
        <w:rFonts w:ascii="宋体" w:hAnsi="宋体"/>
      </w:rPr>
      <w:fldChar w:fldCharType="separate"/>
    </w:r>
    <w:r>
      <w:rPr>
        <w:rStyle w:val="963"/>
        <w:rFonts w:ascii="宋体" w:hAnsi="宋体"/>
      </w:rPr>
      <w:t xml:space="preserve">１７</w:t>
    </w:r>
    <w:r>
      <w:rPr>
        <w:rFonts w:ascii="宋体" w:hAnsi="宋体"/>
      </w:rPr>
      <w:fldChar w:fldCharType="end"/>
    </w:r>
    <w:r>
      <w:rPr>
        <w:rStyle w:val="963"/>
        <w:rFonts w:ascii="宋体" w:hAnsi="宋体"/>
      </w:rPr>
    </w:r>
    <w:r/>
  </w:p>
  <w:p>
    <w:pPr>
      <w:pStyle w:val="94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rPr>
        <w:rStyle w:val="963"/>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2">
    <w:multiLevelType w:val="hybridMultilevel"/>
    <w:lvl w:ilvl="0">
      <w:start w:val="8"/>
      <w:numFmt w:val="decimal"/>
      <w:isLgl w:val="false"/>
      <w:suff w:val="tab"/>
      <w:lvlText w:val="（%1）"/>
      <w:lvlJc w:val="left"/>
      <w:pPr>
        <w:pStyle w:val="891"/>
        <w:ind w:left="1140" w:hanging="720"/>
      </w:pPr>
    </w:lvl>
    <w:lvl w:ilvl="1">
      <w:start w:val="1"/>
      <w:numFmt w:val="lowerLetter"/>
      <w:isLgl w:val="false"/>
      <w:suff w:val="tab"/>
      <w:lvlText w:val="%2)"/>
      <w:lvlJc w:val="left"/>
      <w:pPr>
        <w:pStyle w:val="891"/>
        <w:ind w:left="1300" w:hanging="440"/>
      </w:pPr>
    </w:lvl>
    <w:lvl w:ilvl="2">
      <w:start w:val="1"/>
      <w:numFmt w:val="lowerRoman"/>
      <w:isLgl w:val="false"/>
      <w:suff w:val="tab"/>
      <w:lvlText w:val="%3."/>
      <w:lvlJc w:val="right"/>
      <w:pPr>
        <w:pStyle w:val="891"/>
        <w:ind w:left="1740" w:hanging="440"/>
      </w:pPr>
    </w:lvl>
    <w:lvl w:ilvl="3">
      <w:start w:val="1"/>
      <w:numFmt w:val="decimal"/>
      <w:isLgl w:val="false"/>
      <w:suff w:val="tab"/>
      <w:lvlText w:val="%4."/>
      <w:lvlJc w:val="left"/>
      <w:pPr>
        <w:pStyle w:val="891"/>
        <w:ind w:left="2180" w:hanging="440"/>
      </w:pPr>
    </w:lvl>
    <w:lvl w:ilvl="4">
      <w:start w:val="1"/>
      <w:numFmt w:val="lowerLetter"/>
      <w:isLgl w:val="false"/>
      <w:suff w:val="tab"/>
      <w:lvlText w:val="%5)"/>
      <w:lvlJc w:val="left"/>
      <w:pPr>
        <w:pStyle w:val="891"/>
        <w:ind w:left="2620" w:hanging="440"/>
      </w:pPr>
    </w:lvl>
    <w:lvl w:ilvl="5">
      <w:start w:val="1"/>
      <w:numFmt w:val="lowerRoman"/>
      <w:isLgl w:val="false"/>
      <w:suff w:val="tab"/>
      <w:lvlText w:val="%6."/>
      <w:lvlJc w:val="right"/>
      <w:pPr>
        <w:pStyle w:val="891"/>
        <w:ind w:left="3060" w:hanging="440"/>
      </w:pPr>
    </w:lvl>
    <w:lvl w:ilvl="6">
      <w:start w:val="1"/>
      <w:numFmt w:val="decimal"/>
      <w:isLgl w:val="false"/>
      <w:suff w:val="tab"/>
      <w:lvlText w:val="%7."/>
      <w:lvlJc w:val="left"/>
      <w:pPr>
        <w:pStyle w:val="891"/>
        <w:ind w:left="3500" w:hanging="440"/>
      </w:pPr>
    </w:lvl>
    <w:lvl w:ilvl="7">
      <w:start w:val="1"/>
      <w:numFmt w:val="lowerLetter"/>
      <w:isLgl w:val="false"/>
      <w:suff w:val="tab"/>
      <w:lvlText w:val="%8)"/>
      <w:lvlJc w:val="left"/>
      <w:pPr>
        <w:pStyle w:val="891"/>
        <w:ind w:left="3940" w:hanging="440"/>
      </w:pPr>
    </w:lvl>
    <w:lvl w:ilvl="8">
      <w:start w:val="1"/>
      <w:numFmt w:val="lowerRoman"/>
      <w:isLgl w:val="false"/>
      <w:suff w:val="tab"/>
      <w:lvlText w:val="%9."/>
      <w:lvlJc w:val="right"/>
      <w:pPr>
        <w:pStyle w:val="891"/>
        <w:ind w:left="4380" w:hanging="440"/>
      </w:pPr>
    </w:lvl>
  </w:abstractNum>
  <w:abstractNum w:abstractNumId="3">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5">
    <w:multiLevelType w:val="hybridMultilevel"/>
    <w:lvl w:ilvl="0">
      <w:start w:val="4"/>
      <w:numFmt w:val="decimal"/>
      <w:isLgl w:val="false"/>
      <w:suff w:val="space"/>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7">
    <w:multiLevelType w:val="hybridMultilevel"/>
    <w:lvl w:ilvl="0">
      <w:start w:val="6"/>
      <w:numFmt w:val="decimal"/>
      <w:isLgl w:val="false"/>
      <w:suff w:val="space"/>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8">
    <w:multiLevelType w:val="hybridMultilevel"/>
    <w:lvl w:ilvl="0">
      <w:start w:val="1"/>
      <w:numFmt w:val="upperLetter"/>
      <w:pStyle w:val="969"/>
      <w:isLgl w:val="false"/>
      <w:suff w:val="tab"/>
      <w:lvlText w:val="附录%1."/>
      <w:lvlJc w:val="left"/>
      <w:pPr>
        <w:pStyle w:val="89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10">
    <w:multiLevelType w:val="hybridMultilevel"/>
    <w:lvl w:ilvl="0">
      <w:start w:val="1"/>
      <w:numFmt w:val="decimal"/>
      <w:pStyle w:val="986"/>
      <w:isLgl w:val="false"/>
      <w:suff w:val="tab"/>
      <w:lvlText w:val="%1."/>
      <w:lvlJc w:val="left"/>
      <w:pPr>
        <w:pStyle w:val="891"/>
        <w:ind w:left="709" w:hanging="709"/>
        <w:tabs>
          <w:tab w:val="num" w:pos="709" w:leader="none"/>
        </w:tabs>
      </w:pPr>
      <w:rPr>
        <w:rFonts w:hint="eastAsia"/>
      </w:rPr>
    </w:lvl>
    <w:lvl w:ilvl="1">
      <w:start w:val="1"/>
      <w:numFmt w:val="decimal"/>
      <w:isLgl w:val="false"/>
      <w:suff w:val="tab"/>
      <w:lvlText w:val="%1.%2"/>
      <w:lvlJc w:val="left"/>
      <w:pPr>
        <w:pStyle w:val="891"/>
        <w:ind w:left="709" w:hanging="709"/>
        <w:tabs>
          <w:tab w:val="num" w:pos="709" w:leader="none"/>
        </w:tabs>
      </w:pPr>
      <w:rPr>
        <w:rFonts w:hint="eastAsia"/>
      </w:rPr>
    </w:lvl>
    <w:lvl w:ilvl="2">
      <w:start w:val="1"/>
      <w:numFmt w:val="decimal"/>
      <w:isLgl w:val="false"/>
      <w:suff w:val="tab"/>
      <w:lvlText w:val="%1.%2.%3."/>
      <w:lvlJc w:val="left"/>
      <w:pPr>
        <w:pStyle w:val="891"/>
        <w:ind w:left="425" w:hanging="425"/>
        <w:tabs>
          <w:tab w:val="num" w:pos="425" w:leader="none"/>
        </w:tabs>
      </w:pPr>
      <w:rPr>
        <w:rFonts w:hint="eastAsia"/>
      </w:rPr>
    </w:lvl>
    <w:lvl w:ilvl="3">
      <w:start w:val="1"/>
      <w:numFmt w:val="decimal"/>
      <w:isLgl w:val="false"/>
      <w:suff w:val="tab"/>
      <w:lvlText w:val="%1.%2.%3.%4."/>
      <w:lvlJc w:val="left"/>
      <w:pPr>
        <w:pStyle w:val="891"/>
        <w:ind w:left="851" w:hanging="851"/>
        <w:tabs>
          <w:tab w:val="num" w:pos="851" w:leader="none"/>
        </w:tabs>
      </w:pPr>
      <w:rPr>
        <w:rFonts w:hint="eastAsia"/>
      </w:rPr>
    </w:lvl>
    <w:lvl w:ilvl="4">
      <w:start w:val="1"/>
      <w:numFmt w:val="decimal"/>
      <w:isLgl w:val="false"/>
      <w:suff w:val="tab"/>
      <w:lvlText w:val="%1.%2.%3.%4.%5."/>
      <w:lvlJc w:val="left"/>
      <w:pPr>
        <w:pStyle w:val="891"/>
        <w:ind w:left="992" w:hanging="992"/>
        <w:tabs>
          <w:tab w:val="num" w:pos="992" w:leader="none"/>
        </w:tabs>
      </w:pPr>
      <w:rPr>
        <w:rFonts w:hint="eastAsia"/>
      </w:rPr>
    </w:lvl>
    <w:lvl w:ilvl="5">
      <w:start w:val="1"/>
      <w:numFmt w:val="decimal"/>
      <w:isLgl w:val="false"/>
      <w:suff w:val="tab"/>
      <w:lvlText w:val="%1.%2.%3.%4.%5.%6."/>
      <w:lvlJc w:val="left"/>
      <w:pPr>
        <w:pStyle w:val="891"/>
        <w:ind w:left="1134" w:hanging="1134"/>
        <w:tabs>
          <w:tab w:val="num" w:pos="1134" w:leader="none"/>
        </w:tabs>
      </w:pPr>
      <w:rPr>
        <w:rFonts w:hint="eastAsia"/>
      </w:rPr>
    </w:lvl>
    <w:lvl w:ilvl="6">
      <w:start w:val="1"/>
      <w:numFmt w:val="decimal"/>
      <w:isLgl w:val="false"/>
      <w:suff w:val="tab"/>
      <w:lvlText w:val="%1.%2.%3.%4.%5.%6.%7."/>
      <w:lvlJc w:val="left"/>
      <w:pPr>
        <w:pStyle w:val="891"/>
        <w:ind w:left="1276" w:hanging="1276"/>
        <w:tabs>
          <w:tab w:val="num" w:pos="1276" w:leader="none"/>
        </w:tabs>
      </w:pPr>
      <w:rPr>
        <w:rFonts w:hint="eastAsia"/>
      </w:rPr>
    </w:lvl>
    <w:lvl w:ilvl="7">
      <w:start w:val="1"/>
      <w:numFmt w:val="decimal"/>
      <w:isLgl w:val="false"/>
      <w:suff w:val="tab"/>
      <w:lvlText w:val="%1.%2.%3.%4.%5.%6.%7.%8."/>
      <w:lvlJc w:val="left"/>
      <w:pPr>
        <w:pStyle w:val="891"/>
        <w:ind w:left="1418" w:hanging="1418"/>
        <w:tabs>
          <w:tab w:val="num" w:pos="1418" w:leader="none"/>
        </w:tabs>
      </w:pPr>
      <w:rPr>
        <w:rFonts w:hint="eastAsia"/>
      </w:rPr>
    </w:lvl>
    <w:lvl w:ilvl="8">
      <w:start w:val="1"/>
      <w:numFmt w:val="decimal"/>
      <w:isLgl w:val="false"/>
      <w:suff w:val="tab"/>
      <w:lvlText w:val="%1.%2.%3.%4.%5.%6.%7.%8.%9."/>
      <w:lvlJc w:val="left"/>
      <w:pPr>
        <w:pStyle w:val="891"/>
        <w:ind w:left="1559" w:hanging="1559"/>
        <w:tabs>
          <w:tab w:val="num" w:pos="1559" w:leader="none"/>
        </w:tabs>
      </w:pPr>
      <w:rPr>
        <w:rFonts w:hint="eastAsia"/>
      </w:rPr>
    </w:lvl>
  </w:abstractNum>
  <w:abstractNum w:abstractNumId="11">
    <w:multiLevelType w:val="hybridMultilevel"/>
    <w:lvl w:ilvl="0">
      <w:start w:val="1"/>
      <w:numFmt w:val="decimal"/>
      <w:isLgl w:val="false"/>
      <w:suff w:val="nothing"/>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891"/>
        <w:ind w:left="0" w:firstLine="0"/>
      </w:pPr>
      <w:rPr>
        <w:rFonts w:hint="eastAsia"/>
      </w:rPr>
    </w:lvl>
    <w:lvl w:ilvl="1">
      <w:start w:val="1"/>
      <w:numFmt w:val="decimal"/>
      <w:isLgl w:val="false"/>
      <w:suff w:val="nothing"/>
      <w:lvlText w:val="%2、"/>
      <w:lvlJc w:val="left"/>
      <w:pPr>
        <w:pStyle w:val="891"/>
        <w:ind w:left="0" w:firstLine="0"/>
      </w:pPr>
      <w:rPr>
        <w:rFonts w:hint="eastAsia"/>
      </w:rPr>
    </w:lvl>
    <w:lvl w:ilvl="2">
      <w:start w:val="1"/>
      <w:numFmt w:val="decimal"/>
      <w:isLgl w:val="false"/>
      <w:suff w:val="nothing"/>
      <w:lvlText w:val="%2.%3 "/>
      <w:lvlJc w:val="left"/>
      <w:pPr>
        <w:pStyle w:val="891"/>
        <w:ind w:left="0" w:firstLine="0"/>
      </w:pPr>
      <w:rPr>
        <w:rFonts w:hint="eastAsia"/>
      </w:rPr>
    </w:lvl>
    <w:lvl w:ilvl="3">
      <w:start w:val="1"/>
      <w:numFmt w:val="decimal"/>
      <w:isLgl w:val="false"/>
      <w:suff w:val="nothing"/>
      <w:lvlText w:val="%2.%3.%4 "/>
      <w:lvlJc w:val="left"/>
      <w:pPr>
        <w:pStyle w:val="891"/>
        <w:ind w:left="0" w:firstLine="0"/>
      </w:pPr>
      <w:rPr>
        <w:rFonts w:hint="eastAsia"/>
      </w:rPr>
    </w:lvl>
    <w:lvl w:ilvl="4">
      <w:start w:val="1"/>
      <w:numFmt w:val="decimal"/>
      <w:isLgl w:val="false"/>
      <w:suff w:val="nothing"/>
      <w:lvlText w:val="%2.%3.%4.%5 "/>
      <w:lvlJc w:val="left"/>
      <w:pPr>
        <w:pStyle w:val="891"/>
        <w:ind w:left="0" w:firstLine="0"/>
      </w:pPr>
      <w:rPr>
        <w:rFonts w:hint="eastAsia"/>
      </w:rPr>
    </w:lvl>
    <w:lvl w:ilvl="5">
      <w:start w:val="1"/>
      <w:numFmt w:val="decimal"/>
      <w:pStyle w:val="897"/>
      <w:isLgl w:val="false"/>
      <w:suff w:val="nothing"/>
      <w:lvlText w:val=""/>
      <w:lvlJc w:val="left"/>
      <w:pPr>
        <w:pStyle w:val="891"/>
        <w:ind w:left="0" w:firstLine="0"/>
      </w:pPr>
      <w:rPr>
        <w:rFonts w:hint="eastAsia"/>
      </w:rPr>
    </w:lvl>
    <w:lvl w:ilvl="6">
      <w:start w:val="1"/>
      <w:numFmt w:val="decimal"/>
      <w:pStyle w:val="898"/>
      <w:isLgl w:val="false"/>
      <w:suff w:val="nothing"/>
      <w:lvlText w:val=""/>
      <w:lvlJc w:val="left"/>
      <w:pPr>
        <w:pStyle w:val="891"/>
        <w:ind w:left="0" w:firstLine="0"/>
      </w:pPr>
      <w:rPr>
        <w:rFonts w:hint="eastAsia"/>
      </w:rPr>
    </w:lvl>
    <w:lvl w:ilvl="7">
      <w:start w:val="1"/>
      <w:numFmt w:val="decimal"/>
      <w:pStyle w:val="899"/>
      <w:isLgl w:val="false"/>
      <w:suff w:val="nothing"/>
      <w:lvlText w:val=""/>
      <w:lvlJc w:val="left"/>
      <w:pPr>
        <w:pStyle w:val="891"/>
        <w:ind w:left="0" w:firstLine="0"/>
      </w:pPr>
      <w:rPr>
        <w:rFonts w:hint="eastAsia"/>
      </w:rPr>
    </w:lvl>
    <w:lvl w:ilvl="8">
      <w:start w:val="1"/>
      <w:numFmt w:val="decimal"/>
      <w:pStyle w:val="900"/>
      <w:isLgl w:val="false"/>
      <w:suff w:val="nothing"/>
      <w:lvlText w:val=""/>
      <w:lvlJc w:val="left"/>
      <w:pPr>
        <w:pStyle w:val="891"/>
        <w:ind w:left="0" w:firstLine="0"/>
      </w:pPr>
      <w:rPr>
        <w:rFonts w:hint="eastAsia"/>
      </w:rPr>
    </w:lvl>
  </w:abstractNum>
  <w:abstractNum w:abstractNumId="13">
    <w:multiLevelType w:val="hybridMultilevel"/>
    <w:lvl w:ilvl="0">
      <w:start w:val="1"/>
      <w:numFmt w:val="japaneseCounting"/>
      <w:isLgl w:val="false"/>
      <w:suff w:val="tab"/>
      <w:lvlText w:val="第%1章"/>
      <w:lvlJc w:val="left"/>
      <w:pPr>
        <w:pStyle w:val="89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pStyle w:val="891"/>
      </w:pPr>
    </w:lvl>
    <w:lvl w:ilvl="1">
      <w:start w:val="1"/>
      <w:numFmt w:val="bullet"/>
      <w:isLgl w:val="false"/>
      <w:suff w:val="tab"/>
      <w:lvlText w:val="o"/>
      <w:lvlJc w:val="left"/>
      <w:pPr>
        <w:pStyle w:val="891"/>
        <w:ind w:left="1440" w:hanging="360"/>
      </w:pPr>
      <w:rPr>
        <w:rFonts w:ascii="Courier New" w:hAnsi="Courier New" w:eastAsia="Courier New" w:cs="Courier New"/>
      </w:rPr>
    </w:lvl>
    <w:lvl w:ilvl="2">
      <w:start w:val="1"/>
      <w:numFmt w:val="bullet"/>
      <w:isLgl w:val="false"/>
      <w:suff w:val="tab"/>
      <w:lvlText w:val="§"/>
      <w:lvlJc w:val="left"/>
      <w:pPr>
        <w:pStyle w:val="891"/>
        <w:ind w:left="2160" w:hanging="360"/>
      </w:pPr>
      <w:rPr>
        <w:rFonts w:ascii="Wingdings" w:hAnsi="Wingdings" w:eastAsia="Wingdings" w:cs="Wingdings"/>
      </w:rPr>
    </w:lvl>
    <w:lvl w:ilvl="3">
      <w:start w:val="1"/>
      <w:numFmt w:val="bullet"/>
      <w:isLgl w:val="false"/>
      <w:suff w:val="tab"/>
      <w:lvlText w:val="·"/>
      <w:lvlJc w:val="left"/>
      <w:pPr>
        <w:pStyle w:val="891"/>
        <w:ind w:left="2880" w:hanging="360"/>
      </w:pPr>
      <w:rPr>
        <w:rFonts w:ascii="Symbol" w:hAnsi="Symbol" w:eastAsia="Symbol" w:cs="Symbol"/>
      </w:rPr>
    </w:lvl>
    <w:lvl w:ilvl="4">
      <w:start w:val="1"/>
      <w:numFmt w:val="bullet"/>
      <w:isLgl w:val="false"/>
      <w:suff w:val="tab"/>
      <w:lvlText w:val="o"/>
      <w:lvlJc w:val="left"/>
      <w:pPr>
        <w:pStyle w:val="891"/>
        <w:ind w:left="3600" w:hanging="360"/>
      </w:pPr>
      <w:rPr>
        <w:rFonts w:ascii="Courier New" w:hAnsi="Courier New" w:eastAsia="Courier New" w:cs="Courier New"/>
      </w:rPr>
    </w:lvl>
    <w:lvl w:ilvl="5">
      <w:start w:val="1"/>
      <w:numFmt w:val="bullet"/>
      <w:isLgl w:val="false"/>
      <w:suff w:val="tab"/>
      <w:lvlText w:val="§"/>
      <w:lvlJc w:val="left"/>
      <w:pPr>
        <w:pStyle w:val="891"/>
        <w:ind w:left="4320" w:hanging="360"/>
      </w:pPr>
      <w:rPr>
        <w:rFonts w:ascii="Wingdings" w:hAnsi="Wingdings" w:eastAsia="Wingdings" w:cs="Wingdings"/>
      </w:rPr>
    </w:lvl>
    <w:lvl w:ilvl="6">
      <w:start w:val="1"/>
      <w:numFmt w:val="bullet"/>
      <w:isLgl w:val="false"/>
      <w:suff w:val="tab"/>
      <w:lvlText w:val="·"/>
      <w:lvlJc w:val="left"/>
      <w:pPr>
        <w:pStyle w:val="891"/>
        <w:ind w:left="5040" w:hanging="360"/>
      </w:pPr>
      <w:rPr>
        <w:rFonts w:ascii="Symbol" w:hAnsi="Symbol" w:eastAsia="Symbol" w:cs="Symbol"/>
      </w:rPr>
    </w:lvl>
    <w:lvl w:ilvl="7">
      <w:start w:val="1"/>
      <w:numFmt w:val="bullet"/>
      <w:isLgl w:val="false"/>
      <w:suff w:val="tab"/>
      <w:lvlText w:val="o"/>
      <w:lvlJc w:val="left"/>
      <w:pPr>
        <w:pStyle w:val="891"/>
        <w:ind w:left="5760" w:hanging="360"/>
      </w:pPr>
      <w:rPr>
        <w:rFonts w:ascii="Courier New" w:hAnsi="Courier New" w:eastAsia="Courier New" w:cs="Courier New"/>
      </w:rPr>
    </w:lvl>
    <w:lvl w:ilvl="8">
      <w:start w:val="1"/>
      <w:numFmt w:val="bullet"/>
      <w:isLgl w:val="false"/>
      <w:suff w:val="tab"/>
      <w:lvlText w:val="§"/>
      <w:lvlJc w:val="left"/>
      <w:pPr>
        <w:pStyle w:val="891"/>
        <w:ind w:left="6480" w:hanging="360"/>
      </w:pPr>
      <w:rPr>
        <w:rFonts w:ascii="Wingdings" w:hAnsi="Wingdings" w:eastAsia="Wingdings" w:cs="Wingdings"/>
      </w:rPr>
    </w:lvl>
  </w:abstractNum>
  <w:num w:numId="1">
    <w:abstractNumId w:val="12"/>
  </w:num>
  <w:num w:numId="2">
    <w:abstractNumId w:val="8"/>
  </w:num>
  <w:num w:numId="3">
    <w:abstractNumId w:val="10"/>
  </w:num>
  <w:num w:numId="4">
    <w:abstractNumId w:val="13"/>
  </w:num>
  <w:num w:numId="5">
    <w:abstractNumId w:val="5"/>
  </w:num>
  <w:num w:numId="6">
    <w:abstractNumId w:val="6"/>
  </w:num>
  <w:num w:numId="7">
    <w:abstractNumId w:val="4"/>
  </w:num>
  <w:num w:numId="8">
    <w:abstractNumId w:val="11"/>
  </w:num>
  <w:num w:numId="9">
    <w:abstractNumId w:val="2"/>
  </w:num>
  <w:num w:numId="10">
    <w:abstractNumId w:val="1"/>
  </w:num>
  <w:num w:numId="11">
    <w:abstractNumId w:val="7"/>
  </w:num>
  <w:num w:numId="12">
    <w:abstractNumId w:val="9"/>
  </w:num>
  <w:num w:numId="13">
    <w:abstractNumId w:val="14"/>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3"/>
    <w:link w:val="891"/>
    <w:qFormat/>
    <w:pPr>
      <w:jc w:val="both"/>
      <w:widowControl w:val="off"/>
    </w:pPr>
    <w:rPr>
      <w:sz w:val="21"/>
      <w:szCs w:val="22"/>
      <w:lang w:val="en-US" w:eastAsia="zh-CN" w:bidi="ar-SA"/>
    </w:rPr>
  </w:style>
  <w:style w:type="paragraph" w:styleId="892">
    <w:name w:val="标题 1"/>
    <w:basedOn w:val="891"/>
    <w:next w:val="891"/>
    <w:link w:val="907"/>
    <w:qFormat/>
    <w:pPr>
      <w:jc w:val="center"/>
      <w:keepNext/>
      <w:outlineLvl w:val="0"/>
    </w:pPr>
    <w:rPr>
      <w:rFonts w:ascii="楷体_GB2312" w:hAnsi="Times New Roman" w:eastAsia="楷体_GB2312"/>
      <w:sz w:val="28"/>
      <w:szCs w:val="28"/>
    </w:rPr>
  </w:style>
  <w:style w:type="paragraph" w:styleId="893">
    <w:name w:val="标题 2"/>
    <w:basedOn w:val="891"/>
    <w:next w:val="909"/>
    <w:link w:val="908"/>
    <w:qFormat/>
    <w:pPr>
      <w:jc w:val="center"/>
      <w:keepLines/>
      <w:keepNext/>
      <w:spacing w:before="260" w:after="260" w:line="416" w:lineRule="auto"/>
      <w:outlineLvl w:val="1"/>
    </w:pPr>
    <w:rPr>
      <w:rFonts w:ascii="Arial" w:hAnsi="Arial" w:eastAsia="幼圆"/>
      <w:b/>
      <w:bCs/>
      <w:sz w:val="44"/>
      <w:szCs w:val="44"/>
    </w:rPr>
  </w:style>
  <w:style w:type="paragraph" w:styleId="894">
    <w:name w:val="标题 3"/>
    <w:basedOn w:val="891"/>
    <w:next w:val="909"/>
    <w:link w:val="911"/>
    <w:qFormat/>
    <w:pPr>
      <w:keepLines/>
      <w:keepNext/>
      <w:spacing w:before="260" w:after="260" w:line="416" w:lineRule="auto"/>
      <w:outlineLvl w:val="2"/>
    </w:pPr>
    <w:rPr>
      <w:rFonts w:ascii="Times New Roman" w:hAnsi="Times New Roman"/>
      <w:b/>
      <w:bCs/>
      <w:sz w:val="32"/>
      <w:szCs w:val="32"/>
    </w:rPr>
  </w:style>
  <w:style w:type="paragraph" w:styleId="895">
    <w:name w:val="标题 4"/>
    <w:basedOn w:val="891"/>
    <w:next w:val="909"/>
    <w:link w:val="912"/>
    <w:qFormat/>
    <w:pPr>
      <w:keepLines/>
      <w:keepNext/>
      <w:spacing w:before="280" w:after="290" w:line="376" w:lineRule="auto"/>
      <w:outlineLvl w:val="3"/>
    </w:pPr>
    <w:rPr>
      <w:rFonts w:ascii="Arial" w:hAnsi="Arial" w:eastAsia="黑体"/>
      <w:b/>
      <w:bCs/>
      <w:sz w:val="28"/>
      <w:szCs w:val="28"/>
    </w:rPr>
  </w:style>
  <w:style w:type="paragraph" w:styleId="896">
    <w:name w:val="标题 5"/>
    <w:basedOn w:val="891"/>
    <w:next w:val="909"/>
    <w:link w:val="913"/>
    <w:qFormat/>
    <w:pPr>
      <w:keepNext/>
      <w:outlineLvl w:val="4"/>
    </w:pPr>
    <w:rPr>
      <w:rFonts w:ascii="宋体" w:hAnsi="Times New Roman"/>
      <w:color w:val="000000"/>
      <w:sz w:val="28"/>
      <w:szCs w:val="28"/>
    </w:rPr>
  </w:style>
  <w:style w:type="paragraph" w:styleId="897">
    <w:name w:val="标题 6"/>
    <w:basedOn w:val="891"/>
    <w:next w:val="891"/>
    <w:link w:val="91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标题 7"/>
    <w:basedOn w:val="891"/>
    <w:next w:val="891"/>
    <w:link w:val="91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99">
    <w:name w:val="标题 8"/>
    <w:basedOn w:val="891"/>
    <w:next w:val="891"/>
    <w:link w:val="916"/>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标题 9"/>
    <w:basedOn w:val="891"/>
    <w:next w:val="891"/>
    <w:link w:val="917"/>
    <w:qFormat/>
    <w:pPr>
      <w:numPr>
        <w:ilvl w:val="8"/>
        <w:numId w:val="1"/>
      </w:numPr>
      <w:keepLines/>
      <w:keepNext/>
      <w:spacing w:before="240" w:after="64" w:line="320" w:lineRule="auto"/>
      <w:outlineLvl w:val="8"/>
    </w:pPr>
    <w:rPr>
      <w:rFonts w:ascii="Arial" w:hAnsi="Arial" w:eastAsia="黑体"/>
      <w:sz w:val="20"/>
      <w:szCs w:val="21"/>
    </w:rPr>
  </w:style>
  <w:style w:type="character" w:styleId="901">
    <w:name w:val="默认段落字体"/>
    <w:next w:val="901"/>
    <w:link w:val="891"/>
    <w:uiPriority w:val="1"/>
    <w:unhideWhenUsed/>
  </w:style>
  <w:style w:type="table" w:styleId="902">
    <w:name w:val="普通表格"/>
    <w:next w:val="902"/>
    <w:link w:val="891"/>
    <w:uiPriority w:val="99"/>
    <w:unhideWhenUsed/>
    <w:tblPr/>
  </w:style>
  <w:style w:type="paragraph" w:styleId="903">
    <w:name w:val="正文首行缩进"/>
    <w:basedOn w:val="904"/>
    <w:next w:val="903"/>
    <w:link w:val="906"/>
    <w:pPr>
      <w:ind w:firstLine="200"/>
      <w:spacing w:line="360" w:lineRule="auto"/>
    </w:pPr>
    <w:rPr>
      <w:rFonts w:ascii="仿宋_GB2312" w:hAnsi="Times New Roman" w:eastAsia="仿宋_GB2312"/>
      <w:sz w:val="30"/>
      <w:szCs w:val="30"/>
    </w:rPr>
  </w:style>
  <w:style w:type="paragraph" w:styleId="904">
    <w:name w:val="正文文本"/>
    <w:basedOn w:val="891"/>
    <w:next w:val="891"/>
    <w:link w:val="905"/>
    <w:rPr>
      <w:rFonts w:ascii="楷体_GB2312" w:hAnsi="Arial" w:eastAsia="楷体_GB2312"/>
      <w:sz w:val="28"/>
      <w:szCs w:val="28"/>
    </w:rPr>
  </w:style>
  <w:style w:type="character" w:styleId="905">
    <w:name w:val="正文文本 Char"/>
    <w:next w:val="905"/>
    <w:link w:val="904"/>
    <w:rPr>
      <w:rFonts w:ascii="楷体_GB2312" w:hAnsi="Arial" w:eastAsia="楷体_GB2312" w:cs="Times New Roman"/>
      <w:sz w:val="28"/>
      <w:szCs w:val="28"/>
    </w:rPr>
  </w:style>
  <w:style w:type="character" w:styleId="906">
    <w:name w:val="正文首行缩进 Char"/>
    <w:next w:val="906"/>
    <w:link w:val="903"/>
    <w:rPr>
      <w:rFonts w:ascii="仿宋_GB2312" w:hAnsi="Times New Roman" w:eastAsia="仿宋_GB2312" w:cs="Times New Roman"/>
      <w:sz w:val="30"/>
      <w:szCs w:val="30"/>
    </w:rPr>
  </w:style>
  <w:style w:type="character" w:styleId="907">
    <w:name w:val="标题 1 Char"/>
    <w:next w:val="907"/>
    <w:link w:val="892"/>
    <w:rPr>
      <w:rFonts w:ascii="楷体_GB2312" w:hAnsi="Times New Roman" w:eastAsia="楷体_GB2312" w:cs="Times New Roman"/>
      <w:sz w:val="28"/>
      <w:szCs w:val="28"/>
    </w:rPr>
  </w:style>
  <w:style w:type="character" w:styleId="908">
    <w:name w:val="标题 2 Char"/>
    <w:next w:val="908"/>
    <w:link w:val="893"/>
    <w:rPr>
      <w:rFonts w:ascii="Arial" w:hAnsi="Arial" w:eastAsia="幼圆" w:cs="Arial"/>
      <w:b/>
      <w:bCs/>
      <w:sz w:val="44"/>
      <w:szCs w:val="44"/>
    </w:rPr>
  </w:style>
  <w:style w:type="paragraph" w:styleId="909">
    <w:name w:val="正文缩进"/>
    <w:basedOn w:val="891"/>
    <w:next w:val="909"/>
    <w:link w:val="910"/>
    <w:pPr>
      <w:ind w:firstLine="420"/>
    </w:pPr>
    <w:rPr>
      <w:sz w:val="20"/>
      <w:szCs w:val="21"/>
    </w:rPr>
  </w:style>
  <w:style w:type="character" w:styleId="910">
    <w:name w:val="正文缩进 Char"/>
    <w:next w:val="910"/>
    <w:link w:val="909"/>
    <w:rPr>
      <w:szCs w:val="21"/>
    </w:rPr>
  </w:style>
  <w:style w:type="character" w:styleId="911">
    <w:name w:val="标题 3 Char"/>
    <w:next w:val="911"/>
    <w:link w:val="894"/>
    <w:rPr>
      <w:rFonts w:ascii="Times New Roman" w:hAnsi="Times New Roman" w:eastAsia="宋体" w:cs="Times New Roman"/>
      <w:b/>
      <w:bCs/>
      <w:sz w:val="32"/>
      <w:szCs w:val="32"/>
    </w:rPr>
  </w:style>
  <w:style w:type="character" w:styleId="912">
    <w:name w:val="标题 4 Char"/>
    <w:next w:val="912"/>
    <w:link w:val="895"/>
    <w:rPr>
      <w:rFonts w:ascii="Arial" w:hAnsi="Arial" w:eastAsia="黑体" w:cs="Arial"/>
      <w:b/>
      <w:bCs/>
      <w:sz w:val="28"/>
      <w:szCs w:val="28"/>
    </w:rPr>
  </w:style>
  <w:style w:type="character" w:styleId="913">
    <w:name w:val="标题 5 Char"/>
    <w:next w:val="913"/>
    <w:link w:val="896"/>
    <w:rPr>
      <w:rFonts w:ascii="宋体" w:hAnsi="Times New Roman" w:eastAsia="宋体" w:cs="Times New Roman"/>
      <w:color w:val="000000"/>
      <w:sz w:val="28"/>
      <w:szCs w:val="28"/>
    </w:rPr>
  </w:style>
  <w:style w:type="character" w:styleId="914">
    <w:name w:val="标题 6 Char"/>
    <w:next w:val="914"/>
    <w:link w:val="897"/>
    <w:rPr>
      <w:rFonts w:ascii="Arial" w:hAnsi="Arial" w:eastAsia="黑体" w:cs="Times New Roman"/>
      <w:b/>
      <w:bCs/>
      <w:sz w:val="24"/>
      <w:szCs w:val="24"/>
    </w:rPr>
  </w:style>
  <w:style w:type="character" w:styleId="915">
    <w:name w:val="标题 7 Char"/>
    <w:next w:val="915"/>
    <w:link w:val="898"/>
    <w:rPr>
      <w:rFonts w:ascii="Times New Roman" w:hAnsi="Times New Roman" w:eastAsia="宋体" w:cs="Times New Roman"/>
      <w:b/>
      <w:bCs/>
      <w:sz w:val="24"/>
      <w:szCs w:val="24"/>
    </w:rPr>
  </w:style>
  <w:style w:type="character" w:styleId="916">
    <w:name w:val="标题 8 Char"/>
    <w:next w:val="916"/>
    <w:link w:val="899"/>
    <w:rPr>
      <w:rFonts w:ascii="Arial" w:hAnsi="Arial" w:eastAsia="黑体" w:cs="Times New Roman"/>
      <w:sz w:val="24"/>
      <w:szCs w:val="24"/>
    </w:rPr>
  </w:style>
  <w:style w:type="character" w:styleId="917">
    <w:name w:val="标题 9 Char"/>
    <w:next w:val="917"/>
    <w:link w:val="900"/>
    <w:rPr>
      <w:rFonts w:ascii="Arial" w:hAnsi="Arial" w:eastAsia="黑体" w:cs="Times New Roman"/>
      <w:szCs w:val="21"/>
    </w:rPr>
  </w:style>
  <w:style w:type="paragraph" w:styleId="918">
    <w:name w:val="列表 3"/>
    <w:basedOn w:val="891"/>
    <w:next w:val="918"/>
    <w:link w:val="891"/>
    <w:pPr>
      <w:ind w:left="100" w:hanging="200"/>
    </w:pPr>
    <w:rPr>
      <w:rFonts w:ascii="Times New Roman" w:hAnsi="Times New Roman" w:eastAsia="宋体" w:cs="Times New Roman"/>
      <w:szCs w:val="21"/>
    </w:rPr>
  </w:style>
  <w:style w:type="paragraph" w:styleId="919">
    <w:name w:val="目录 7"/>
    <w:basedOn w:val="891"/>
    <w:next w:val="891"/>
    <w:link w:val="891"/>
    <w:semiHidden/>
    <w:pPr>
      <w:ind w:left="1260"/>
      <w:jc w:val="left"/>
    </w:pPr>
    <w:rPr>
      <w:rFonts w:ascii="Times New Roman" w:hAnsi="Times New Roman" w:eastAsia="宋体" w:cs="Times New Roman"/>
      <w:szCs w:val="21"/>
    </w:rPr>
  </w:style>
  <w:style w:type="paragraph" w:styleId="920">
    <w:name w:val="文档结构图"/>
    <w:basedOn w:val="891"/>
    <w:next w:val="920"/>
    <w:link w:val="921"/>
    <w:semiHidden/>
    <w:pPr>
      <w:shd w:val="clear" w:color="auto" w:fill="000080"/>
    </w:pPr>
    <w:rPr>
      <w:rFonts w:ascii="Times New Roman" w:hAnsi="Times New Roman"/>
      <w:sz w:val="20"/>
      <w:szCs w:val="21"/>
    </w:rPr>
  </w:style>
  <w:style w:type="character" w:styleId="921">
    <w:name w:val="文档结构图 Char"/>
    <w:next w:val="921"/>
    <w:link w:val="920"/>
    <w:semiHidden/>
    <w:rPr>
      <w:rFonts w:ascii="Times New Roman" w:hAnsi="Times New Roman" w:eastAsia="宋体" w:cs="Times New Roman"/>
      <w:szCs w:val="21"/>
      <w:shd w:val="clear" w:color="auto" w:fill="000080"/>
    </w:rPr>
  </w:style>
  <w:style w:type="paragraph" w:styleId="922">
    <w:name w:val="批注文字"/>
    <w:basedOn w:val="891"/>
    <w:next w:val="922"/>
    <w:link w:val="923"/>
    <w:unhideWhenUsed/>
    <w:pPr>
      <w:jc w:val="left"/>
    </w:pPr>
  </w:style>
  <w:style w:type="character" w:styleId="923">
    <w:name w:val="批注文字 Char"/>
    <w:basedOn w:val="901"/>
    <w:next w:val="923"/>
    <w:link w:val="922"/>
    <w:uiPriority w:val="99"/>
    <w:semiHidden/>
  </w:style>
  <w:style w:type="paragraph" w:styleId="924">
    <w:name w:val="正文文本 3"/>
    <w:basedOn w:val="891"/>
    <w:next w:val="924"/>
    <w:link w:val="925"/>
    <w:rPr>
      <w:rFonts w:ascii="仿宋_GB2312" w:hAnsi="Arial" w:eastAsia="仿宋_GB2312"/>
      <w:sz w:val="32"/>
      <w:szCs w:val="32"/>
    </w:rPr>
  </w:style>
  <w:style w:type="character" w:styleId="925">
    <w:name w:val="正文文本 3 Char"/>
    <w:next w:val="925"/>
    <w:link w:val="924"/>
    <w:rPr>
      <w:rFonts w:ascii="仿宋_GB2312" w:hAnsi="Arial" w:eastAsia="仿宋_GB2312" w:cs="Times New Roman"/>
      <w:sz w:val="32"/>
      <w:szCs w:val="32"/>
    </w:rPr>
  </w:style>
  <w:style w:type="paragraph" w:styleId="926">
    <w:name w:val="正文文本缩进"/>
    <w:basedOn w:val="891"/>
    <w:next w:val="926"/>
    <w:link w:val="927"/>
    <w:unhideWhenUsed/>
    <w:pPr>
      <w:ind w:left="420"/>
      <w:spacing w:after="120"/>
    </w:pPr>
  </w:style>
  <w:style w:type="character" w:styleId="927">
    <w:name w:val="正文文本缩进 Char"/>
    <w:basedOn w:val="901"/>
    <w:next w:val="927"/>
    <w:link w:val="926"/>
    <w:uiPriority w:val="99"/>
    <w:semiHidden/>
  </w:style>
  <w:style w:type="paragraph" w:styleId="928">
    <w:name w:val="列表 2"/>
    <w:basedOn w:val="891"/>
    <w:next w:val="928"/>
    <w:link w:val="891"/>
    <w:pPr>
      <w:ind w:left="100" w:hanging="200"/>
    </w:pPr>
    <w:rPr>
      <w:rFonts w:ascii="Times New Roman" w:hAnsi="Times New Roman" w:eastAsia="宋体" w:cs="Times New Roman"/>
      <w:szCs w:val="21"/>
    </w:rPr>
  </w:style>
  <w:style w:type="paragraph" w:styleId="929">
    <w:name w:val="目录 5"/>
    <w:basedOn w:val="891"/>
    <w:next w:val="891"/>
    <w:link w:val="891"/>
    <w:semiHidden/>
    <w:pPr>
      <w:ind w:left="840"/>
      <w:jc w:val="left"/>
    </w:pPr>
    <w:rPr>
      <w:rFonts w:ascii="Times New Roman" w:hAnsi="Times New Roman" w:eastAsia="宋体" w:cs="Times New Roman"/>
      <w:szCs w:val="21"/>
    </w:rPr>
  </w:style>
  <w:style w:type="paragraph" w:styleId="930">
    <w:name w:val="目录 3"/>
    <w:basedOn w:val="891"/>
    <w:next w:val="891"/>
    <w:link w:val="891"/>
    <w:semiHidden/>
    <w:pPr>
      <w:ind w:left="420"/>
      <w:jc w:val="left"/>
    </w:pPr>
    <w:rPr>
      <w:rFonts w:ascii="Times New Roman" w:hAnsi="Times New Roman" w:eastAsia="宋体" w:cs="Times New Roman"/>
      <w:i/>
      <w:iCs/>
      <w:szCs w:val="24"/>
    </w:rPr>
  </w:style>
  <w:style w:type="paragraph" w:styleId="931">
    <w:name w:val="纯文本"/>
    <w:basedOn w:val="891"/>
    <w:next w:val="931"/>
    <w:link w:val="932"/>
    <w:rPr>
      <w:rFonts w:ascii="宋体" w:hAnsi="Courier New"/>
      <w:sz w:val="20"/>
      <w:szCs w:val="21"/>
    </w:rPr>
  </w:style>
  <w:style w:type="character" w:styleId="932">
    <w:name w:val="纯文本 Char"/>
    <w:next w:val="932"/>
    <w:link w:val="931"/>
    <w:rPr>
      <w:rFonts w:ascii="宋体" w:hAnsi="Courier New" w:eastAsia="宋体" w:cs="Courier New"/>
      <w:szCs w:val="21"/>
    </w:rPr>
  </w:style>
  <w:style w:type="paragraph" w:styleId="933">
    <w:name w:val="目录 8"/>
    <w:basedOn w:val="891"/>
    <w:next w:val="891"/>
    <w:link w:val="891"/>
    <w:semiHidden/>
    <w:pPr>
      <w:ind w:left="1470"/>
      <w:jc w:val="left"/>
    </w:pPr>
    <w:rPr>
      <w:rFonts w:ascii="Times New Roman" w:hAnsi="Times New Roman" w:eastAsia="宋体" w:cs="Times New Roman"/>
      <w:szCs w:val="21"/>
    </w:rPr>
  </w:style>
  <w:style w:type="paragraph" w:styleId="934">
    <w:name w:val="日期"/>
    <w:basedOn w:val="891"/>
    <w:next w:val="891"/>
    <w:link w:val="935"/>
    <w:rPr>
      <w:rFonts w:ascii="Times New Roman" w:hAnsi="Times New Roman"/>
      <w:sz w:val="24"/>
      <w:szCs w:val="24"/>
    </w:rPr>
  </w:style>
  <w:style w:type="character" w:styleId="935">
    <w:name w:val="日期 Char"/>
    <w:next w:val="935"/>
    <w:link w:val="934"/>
    <w:rPr>
      <w:rFonts w:ascii="Times New Roman" w:hAnsi="Times New Roman" w:eastAsia="宋体" w:cs="Times New Roman"/>
      <w:sz w:val="24"/>
      <w:szCs w:val="24"/>
    </w:rPr>
  </w:style>
  <w:style w:type="paragraph" w:styleId="936">
    <w:name w:val="正文文本缩进 2"/>
    <w:basedOn w:val="891"/>
    <w:next w:val="936"/>
    <w:link w:val="937"/>
    <w:pPr>
      <w:ind w:left="630" w:firstLine="645"/>
    </w:pPr>
    <w:rPr>
      <w:rFonts w:ascii="Arial" w:hAnsi="Arial" w:eastAsia="仿宋_GB2312"/>
      <w:sz w:val="32"/>
      <w:szCs w:val="32"/>
    </w:rPr>
  </w:style>
  <w:style w:type="character" w:styleId="937">
    <w:name w:val="正文文本缩进 2 Char"/>
    <w:next w:val="937"/>
    <w:link w:val="936"/>
    <w:rPr>
      <w:rFonts w:ascii="Arial" w:hAnsi="Arial" w:eastAsia="仿宋_GB2312" w:cs="Arial"/>
      <w:sz w:val="32"/>
      <w:szCs w:val="32"/>
    </w:rPr>
  </w:style>
  <w:style w:type="paragraph" w:styleId="938">
    <w:name w:val="批注框文本"/>
    <w:basedOn w:val="891"/>
    <w:next w:val="938"/>
    <w:link w:val="939"/>
    <w:semiHidden/>
    <w:rPr>
      <w:rFonts w:ascii="Times New Roman" w:hAnsi="Times New Roman"/>
      <w:sz w:val="18"/>
      <w:szCs w:val="18"/>
    </w:rPr>
  </w:style>
  <w:style w:type="character" w:styleId="939">
    <w:name w:val="批注框文本 Char"/>
    <w:next w:val="939"/>
    <w:link w:val="938"/>
    <w:semiHidden/>
    <w:rPr>
      <w:rFonts w:ascii="Times New Roman" w:hAnsi="Times New Roman" w:eastAsia="宋体" w:cs="Times New Roman"/>
      <w:sz w:val="18"/>
      <w:szCs w:val="18"/>
    </w:rPr>
  </w:style>
  <w:style w:type="paragraph" w:styleId="940">
    <w:name w:val="页脚"/>
    <w:basedOn w:val="891"/>
    <w:next w:val="940"/>
    <w:link w:val="941"/>
    <w:pPr>
      <w:jc w:val="left"/>
      <w:tabs>
        <w:tab w:val="center" w:pos="4153" w:leader="none"/>
        <w:tab w:val="right" w:pos="8306" w:leader="none"/>
      </w:tabs>
    </w:pPr>
    <w:rPr>
      <w:rFonts w:ascii="Times New Roman" w:hAnsi="Times New Roman"/>
      <w:sz w:val="18"/>
      <w:szCs w:val="18"/>
    </w:rPr>
  </w:style>
  <w:style w:type="character" w:styleId="941">
    <w:name w:val="页脚 Char"/>
    <w:next w:val="941"/>
    <w:link w:val="940"/>
    <w:rPr>
      <w:rFonts w:ascii="Times New Roman" w:hAnsi="Times New Roman" w:eastAsia="宋体" w:cs="Times New Roman"/>
      <w:sz w:val="18"/>
      <w:szCs w:val="18"/>
    </w:rPr>
  </w:style>
  <w:style w:type="paragraph" w:styleId="942">
    <w:name w:val="页眉"/>
    <w:basedOn w:val="891"/>
    <w:next w:val="942"/>
    <w:link w:val="943"/>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3">
    <w:name w:val="页眉 Char"/>
    <w:next w:val="943"/>
    <w:link w:val="942"/>
    <w:rPr>
      <w:rFonts w:ascii="Times New Roman" w:hAnsi="Times New Roman" w:eastAsia="宋体" w:cs="Times New Roman"/>
      <w:sz w:val="18"/>
      <w:szCs w:val="18"/>
    </w:rPr>
  </w:style>
  <w:style w:type="paragraph" w:styleId="944">
    <w:name w:val="目录 1"/>
    <w:basedOn w:val="891"/>
    <w:next w:val="891"/>
    <w:link w:val="89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5">
    <w:name w:val="目录 4"/>
    <w:basedOn w:val="891"/>
    <w:next w:val="891"/>
    <w:link w:val="891"/>
    <w:semiHidden/>
    <w:pPr>
      <w:ind w:left="630"/>
      <w:jc w:val="left"/>
    </w:pPr>
    <w:rPr>
      <w:rFonts w:ascii="Times New Roman" w:hAnsi="Times New Roman" w:eastAsia="宋体" w:cs="Times New Roman"/>
      <w:szCs w:val="21"/>
    </w:rPr>
  </w:style>
  <w:style w:type="paragraph" w:styleId="946">
    <w:name w:val="列表"/>
    <w:basedOn w:val="891"/>
    <w:next w:val="946"/>
    <w:link w:val="891"/>
    <w:pPr>
      <w:ind w:left="200" w:hanging="200"/>
    </w:pPr>
    <w:rPr>
      <w:rFonts w:ascii="Times New Roman" w:hAnsi="Times New Roman" w:eastAsia="宋体" w:cs="Times New Roman"/>
      <w:szCs w:val="21"/>
    </w:rPr>
  </w:style>
  <w:style w:type="paragraph" w:styleId="947">
    <w:name w:val="目录 6"/>
    <w:basedOn w:val="891"/>
    <w:next w:val="891"/>
    <w:link w:val="891"/>
    <w:semiHidden/>
    <w:pPr>
      <w:ind w:left="1050"/>
      <w:jc w:val="left"/>
    </w:pPr>
    <w:rPr>
      <w:rFonts w:ascii="Times New Roman" w:hAnsi="Times New Roman" w:eastAsia="宋体" w:cs="Times New Roman"/>
      <w:szCs w:val="21"/>
    </w:rPr>
  </w:style>
  <w:style w:type="paragraph" w:styleId="948">
    <w:name w:val="正文文本缩进 3"/>
    <w:basedOn w:val="891"/>
    <w:next w:val="948"/>
    <w:link w:val="949"/>
    <w:pPr>
      <w:ind w:left="645" w:firstLine="645"/>
    </w:pPr>
    <w:rPr>
      <w:rFonts w:ascii="Arial" w:hAnsi="Arial" w:eastAsia="仿宋_GB2312"/>
      <w:color w:val="ffff00"/>
      <w:sz w:val="32"/>
      <w:szCs w:val="32"/>
    </w:rPr>
  </w:style>
  <w:style w:type="character" w:styleId="949">
    <w:name w:val="正文文本缩进 3 Char"/>
    <w:next w:val="949"/>
    <w:link w:val="948"/>
    <w:rPr>
      <w:rFonts w:ascii="Arial" w:hAnsi="Arial" w:eastAsia="仿宋_GB2312" w:cs="Arial"/>
      <w:color w:val="ffff00"/>
      <w:sz w:val="32"/>
      <w:szCs w:val="32"/>
    </w:rPr>
  </w:style>
  <w:style w:type="paragraph" w:styleId="950">
    <w:name w:val="图表目录"/>
    <w:basedOn w:val="891"/>
    <w:next w:val="891"/>
    <w:link w:val="891"/>
    <w:semiHidden/>
    <w:pPr>
      <w:ind w:left="840" w:hanging="420"/>
    </w:pPr>
    <w:rPr>
      <w:rFonts w:ascii="Times New Roman" w:hAnsi="Times New Roman" w:eastAsia="宋体" w:cs="Times New Roman"/>
      <w:szCs w:val="21"/>
    </w:rPr>
  </w:style>
  <w:style w:type="paragraph" w:styleId="951">
    <w:name w:val="目录 2"/>
    <w:basedOn w:val="891"/>
    <w:next w:val="891"/>
    <w:link w:val="891"/>
    <w:semiHidden/>
    <w:pPr>
      <w:ind w:left="210"/>
      <w:jc w:val="left"/>
    </w:pPr>
    <w:rPr>
      <w:rFonts w:ascii="Times New Roman" w:hAnsi="Times New Roman" w:eastAsia="宋体" w:cs="Times New Roman"/>
      <w:smallCaps/>
      <w:szCs w:val="24"/>
    </w:rPr>
  </w:style>
  <w:style w:type="paragraph" w:styleId="952">
    <w:name w:val="目录 9"/>
    <w:basedOn w:val="891"/>
    <w:next w:val="891"/>
    <w:link w:val="891"/>
    <w:semiHidden/>
    <w:pPr>
      <w:ind w:left="1680"/>
      <w:jc w:val="left"/>
    </w:pPr>
    <w:rPr>
      <w:rFonts w:ascii="Times New Roman" w:hAnsi="Times New Roman" w:eastAsia="宋体" w:cs="Times New Roman"/>
      <w:szCs w:val="21"/>
    </w:rPr>
  </w:style>
  <w:style w:type="paragraph" w:styleId="953">
    <w:name w:val="正文文本 2"/>
    <w:basedOn w:val="891"/>
    <w:next w:val="953"/>
    <w:link w:val="954"/>
    <w:pPr>
      <w:jc w:val="center"/>
      <w:widowControl/>
    </w:pPr>
    <w:rPr>
      <w:rFonts w:ascii="楷体_GB2312" w:hAnsi="Times New Roman" w:eastAsia="楷体_GB2312"/>
      <w:sz w:val="28"/>
      <w:szCs w:val="28"/>
    </w:rPr>
  </w:style>
  <w:style w:type="character" w:styleId="954">
    <w:name w:val="正文文本 2 Char"/>
    <w:next w:val="954"/>
    <w:link w:val="953"/>
    <w:rPr>
      <w:rFonts w:ascii="楷体_GB2312" w:hAnsi="Times New Roman" w:eastAsia="楷体_GB2312" w:cs="Times New Roman"/>
      <w:sz w:val="28"/>
      <w:szCs w:val="28"/>
    </w:rPr>
  </w:style>
  <w:style w:type="paragraph" w:styleId="955">
    <w:name w:val="普通(网站)"/>
    <w:basedOn w:val="891"/>
    <w:next w:val="955"/>
    <w:link w:val="891"/>
    <w:uiPriority w:val="99"/>
    <w:pPr>
      <w:jc w:val="left"/>
      <w:spacing w:before="100" w:beforeAutospacing="1" w:after="100" w:afterAutospacing="1"/>
      <w:widowControl/>
    </w:pPr>
    <w:rPr>
      <w:rFonts w:ascii="宋体" w:hAnsi="宋体" w:eastAsia="宋体" w:cs="宋体"/>
      <w:sz w:val="24"/>
      <w:szCs w:val="24"/>
    </w:rPr>
  </w:style>
  <w:style w:type="paragraph" w:styleId="956">
    <w:name w:val="索引 1"/>
    <w:basedOn w:val="891"/>
    <w:next w:val="891"/>
    <w:link w:val="891"/>
    <w:semiHidden/>
    <w:pPr>
      <w:spacing w:line="240" w:lineRule="atLeast"/>
    </w:pPr>
    <w:rPr>
      <w:rFonts w:ascii="Times New Roman" w:hAnsi="Times New Roman" w:eastAsia="宋体" w:cs="Times New Roman"/>
      <w:b/>
      <w:bCs/>
      <w:szCs w:val="21"/>
    </w:rPr>
  </w:style>
  <w:style w:type="paragraph" w:styleId="957">
    <w:name w:val="批注主题"/>
    <w:basedOn w:val="922"/>
    <w:next w:val="922"/>
    <w:link w:val="958"/>
    <w:semiHidden/>
    <w:rPr>
      <w:rFonts w:ascii="Times New Roman" w:hAnsi="Times New Roman"/>
      <w:b/>
      <w:bCs/>
      <w:sz w:val="20"/>
      <w:szCs w:val="21"/>
    </w:rPr>
  </w:style>
  <w:style w:type="character" w:styleId="958">
    <w:name w:val="批注主题 Char"/>
    <w:next w:val="958"/>
    <w:link w:val="957"/>
    <w:semiHidden/>
    <w:rPr>
      <w:rFonts w:ascii="Times New Roman" w:hAnsi="Times New Roman" w:eastAsia="宋体" w:cs="Times New Roman"/>
      <w:b/>
      <w:bCs/>
      <w:szCs w:val="21"/>
    </w:rPr>
  </w:style>
  <w:style w:type="paragraph" w:styleId="959">
    <w:name w:val="正文首行缩进 2"/>
    <w:basedOn w:val="926"/>
    <w:next w:val="959"/>
    <w:link w:val="960"/>
    <w:pPr>
      <w:ind w:left="0" w:firstLine="420"/>
      <w:spacing w:after="0" w:line="360" w:lineRule="auto"/>
    </w:pPr>
    <w:rPr>
      <w:rFonts w:ascii="宋体" w:hAnsi="宋体"/>
      <w:sz w:val="20"/>
      <w:szCs w:val="20"/>
    </w:rPr>
  </w:style>
  <w:style w:type="character" w:styleId="960">
    <w:name w:val="正文首行缩进 2 Char"/>
    <w:next w:val="960"/>
    <w:link w:val="959"/>
    <w:rPr>
      <w:rFonts w:ascii="宋体" w:hAnsi="宋体" w:eastAsia="宋体" w:cs="Times New Roman"/>
      <w:szCs w:val="20"/>
    </w:rPr>
  </w:style>
  <w:style w:type="table" w:styleId="961">
    <w:name w:val="网格型"/>
    <w:basedOn w:val="902"/>
    <w:next w:val="961"/>
    <w:link w:val="891"/>
    <w:pPr>
      <w:jc w:val="both"/>
      <w:widowControl w:val="off"/>
    </w:pPr>
    <w:rPr>
      <w:rFonts w:ascii="Times New Roman" w:hAnsi="Times New Roman" w:eastAsia="宋体" w:cs="Times New Roman"/>
      <w:sz w:val="20"/>
      <w:szCs w:val="20"/>
    </w:rPr>
    <w:tblPr/>
  </w:style>
  <w:style w:type="character" w:styleId="962">
    <w:name w:val="要点"/>
    <w:next w:val="962"/>
    <w:link w:val="891"/>
    <w:qFormat/>
    <w:rPr>
      <w:b/>
      <w:bCs/>
    </w:rPr>
  </w:style>
  <w:style w:type="character" w:styleId="963">
    <w:name w:val="页码"/>
    <w:next w:val="963"/>
    <w:link w:val="891"/>
  </w:style>
  <w:style w:type="character" w:styleId="964">
    <w:name w:val="已访问的超链接"/>
    <w:next w:val="964"/>
    <w:link w:val="891"/>
    <w:rPr>
      <w:color w:val="800080"/>
      <w:u w:val="single"/>
    </w:rPr>
  </w:style>
  <w:style w:type="character" w:styleId="965">
    <w:name w:val="超链接"/>
    <w:next w:val="965"/>
    <w:link w:val="891"/>
    <w:rPr>
      <w:color w:val="0000ff"/>
      <w:u w:val="single"/>
    </w:rPr>
  </w:style>
  <w:style w:type="character" w:styleId="966">
    <w:name w:val="批注引用"/>
    <w:next w:val="966"/>
    <w:link w:val="891"/>
    <w:semiHidden/>
    <w:rPr>
      <w:sz w:val="21"/>
      <w:szCs w:val="21"/>
    </w:rPr>
  </w:style>
  <w:style w:type="character" w:styleId="967">
    <w:name w:val="font5 Char"/>
    <w:next w:val="967"/>
    <w:link w:val="891"/>
    <w:rPr>
      <w:rFonts w:ascii="宋体" w:hAnsi="宋体" w:eastAsia="宋体"/>
      <w:sz w:val="28"/>
      <w:szCs w:val="28"/>
      <w:lang w:val="en-US" w:eastAsia="zh-CN" w:bidi="ar-SA"/>
    </w:rPr>
  </w:style>
  <w:style w:type="character" w:styleId="968">
    <w:name w:val="二级目录 Char"/>
    <w:next w:val="968"/>
    <w:link w:val="969"/>
    <w:rPr>
      <w:b/>
      <w:sz w:val="30"/>
      <w:szCs w:val="28"/>
      <w:lang w:val="en-US" w:eastAsia="zh-CN" w:bidi="ar-SA"/>
    </w:rPr>
  </w:style>
  <w:style w:type="paragraph" w:styleId="969">
    <w:name w:val="二级目录"/>
    <w:next w:val="891"/>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91"/>
    <w:next w:val="971"/>
    <w:link w:val="970"/>
    <w:qFormat/>
    <w:pPr>
      <w:contextualSpacing/>
      <w:ind w:left="720"/>
      <w:jc w:val="left"/>
      <w:widowControl/>
    </w:pPr>
    <w:rPr>
      <w:sz w:val="24"/>
      <w:szCs w:val="24"/>
      <w:lang w:eastAsia="en-US" w:bidi="en-US"/>
    </w:rPr>
  </w:style>
  <w:style w:type="paragraph" w:styleId="972">
    <w:name w:val="Body Text(ch)"/>
    <w:basedOn w:val="891"/>
    <w:next w:val="904"/>
    <w:link w:val="891"/>
    <w:pPr>
      <w:spacing w:after="120"/>
    </w:pPr>
    <w:rPr>
      <w:rFonts w:ascii="宋体" w:hAnsi="Arial" w:eastAsia="宋体" w:cs="Times New Roman"/>
      <w:bCs/>
      <w:iCs/>
      <w:szCs w:val="24"/>
    </w:rPr>
  </w:style>
  <w:style w:type="paragraph" w:styleId="973">
    <w:name w:val="xl27"/>
    <w:basedOn w:val="891"/>
    <w:next w:val="973"/>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6"/>
    <w:basedOn w:val="891"/>
    <w:next w:val="974"/>
    <w:link w:val="8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Char"/>
    <w:basedOn w:val="891"/>
    <w:next w:val="975"/>
    <w:link w:val="891"/>
    <w:pPr>
      <w:ind w:firstLine="200"/>
      <w:tabs>
        <w:tab w:val="left" w:pos="360" w:leader="none"/>
      </w:tabs>
    </w:pPr>
    <w:rPr>
      <w:rFonts w:ascii="Times New Roman" w:hAnsi="Times New Roman" w:eastAsia="宋体" w:cs="Times New Roman"/>
      <w:sz w:val="28"/>
      <w:szCs w:val="30"/>
    </w:rPr>
  </w:style>
  <w:style w:type="paragraph" w:styleId="976">
    <w:name w:val=" Char"/>
    <w:basedOn w:val="920"/>
    <w:next w:val="976"/>
    <w:link w:val="891"/>
    <w:rPr>
      <w:rFonts w:ascii="Tahoma" w:hAnsi="Tahoma"/>
      <w:sz w:val="24"/>
      <w:szCs w:val="24"/>
    </w:rPr>
  </w:style>
  <w:style w:type="paragraph" w:styleId="977">
    <w:name w:val="普通正文"/>
    <w:basedOn w:val="891"/>
    <w:next w:val="977"/>
    <w:link w:val="891"/>
    <w:pPr>
      <w:ind w:firstLine="480"/>
      <w:jc w:val="left"/>
      <w:spacing w:before="120" w:after="120" w:line="360" w:lineRule="auto"/>
    </w:pPr>
    <w:rPr>
      <w:rFonts w:ascii="Arial" w:hAnsi="Arial" w:eastAsia="宋体" w:cs="Times New Roman"/>
      <w:sz w:val="24"/>
      <w:szCs w:val="24"/>
    </w:rPr>
  </w:style>
  <w:style w:type="paragraph" w:styleId="978">
    <w:name w:val="table_lines"/>
    <w:basedOn w:val="891"/>
    <w:next w:val="978"/>
    <w:link w:val="891"/>
    <w:pPr>
      <w:jc w:val="left"/>
      <w:widowControl/>
    </w:pPr>
    <w:rPr>
      <w:rFonts w:ascii="Times New Roman" w:hAnsi="Times New Roman" w:eastAsia="宋体" w:cs="Times New Roman"/>
      <w:sz w:val="20"/>
      <w:szCs w:val="20"/>
      <w:lang w:val="de-DE" w:eastAsia="de-DE"/>
    </w:rPr>
  </w:style>
  <w:style w:type="paragraph" w:styleId="979">
    <w:name w:val="附录1"/>
    <w:next w:val="979"/>
    <w:link w:val="89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91"/>
    <w:next w:val="980"/>
    <w:link w:val="891"/>
    <w:pPr>
      <w:jc w:val="left"/>
      <w:spacing w:before="100" w:beforeAutospacing="1" w:after="100" w:afterAutospacing="1"/>
      <w:widowControl/>
    </w:pPr>
    <w:rPr>
      <w:rFonts w:hint="eastAsia" w:ascii="宋体" w:hAnsi="宋体" w:eastAsia="宋体" w:cs="Times New Roman"/>
      <w:sz w:val="18"/>
      <w:szCs w:val="18"/>
    </w:rPr>
  </w:style>
  <w:style w:type="paragraph" w:styleId="981">
    <w:name w:val=" Char Char Char Char"/>
    <w:basedOn w:val="920"/>
    <w:next w:val="981"/>
    <w:link w:val="891"/>
    <w:pPr>
      <w:spacing w:line="360" w:lineRule="auto"/>
    </w:pPr>
    <w:rPr>
      <w:rFonts w:ascii="Tahoma" w:hAnsi="Tahoma"/>
      <w:sz w:val="24"/>
      <w:szCs w:val="24"/>
    </w:rPr>
  </w:style>
  <w:style w:type="paragraph" w:styleId="982">
    <w:name w:val="列出段落"/>
    <w:basedOn w:val="891"/>
    <w:next w:val="982"/>
    <w:link w:val="891"/>
    <w:qFormat/>
    <w:pPr>
      <w:contextualSpacing/>
      <w:ind w:left="720"/>
      <w:jc w:val="left"/>
      <w:widowControl/>
    </w:pPr>
    <w:rPr>
      <w:rFonts w:ascii="Calibri" w:hAnsi="Calibri" w:eastAsia="宋体" w:cs="Times New Roman"/>
      <w:sz w:val="24"/>
      <w:szCs w:val="24"/>
      <w:lang w:eastAsia="en-US" w:bidi="en-US"/>
    </w:rPr>
  </w:style>
  <w:style w:type="paragraph" w:styleId="983">
    <w:name w:val="4"/>
    <w:basedOn w:val="891"/>
    <w:next w:val="948"/>
    <w:link w:val="891"/>
    <w:pPr>
      <w:ind w:firstLine="420"/>
      <w:spacing w:line="360" w:lineRule="auto"/>
    </w:pPr>
    <w:rPr>
      <w:rFonts w:ascii="Times New Roman" w:hAnsi="Times New Roman" w:eastAsia="宋体" w:cs="Times New Roman"/>
      <w:color w:val="ff0000"/>
      <w:sz w:val="24"/>
      <w:szCs w:val="24"/>
    </w:rPr>
  </w:style>
  <w:style w:type="paragraph" w:styleId="984">
    <w:name w:val="普通 (Web)"/>
    <w:basedOn w:val="891"/>
    <w:next w:val="984"/>
    <w:link w:val="891"/>
    <w:pPr>
      <w:jc w:val="left"/>
      <w:spacing w:before="100" w:beforeAutospacing="1" w:after="100" w:afterAutospacing="1"/>
      <w:widowControl/>
    </w:pPr>
    <w:rPr>
      <w:rFonts w:ascii="宋体" w:hAnsi="宋体" w:eastAsia="宋体" w:cs="Times New Roman"/>
      <w:sz w:val="24"/>
      <w:szCs w:val="24"/>
    </w:rPr>
  </w:style>
  <w:style w:type="paragraph" w:styleId="985">
    <w:name w:val=" Char Char Char Char Char Char Char Char Char Char"/>
    <w:basedOn w:val="891"/>
    <w:next w:val="985"/>
    <w:link w:val="891"/>
    <w:pPr>
      <w:spacing w:line="360" w:lineRule="auto"/>
    </w:pPr>
    <w:rPr>
      <w:rFonts w:ascii="Times New Roman" w:hAnsi="Times New Roman" w:eastAsia="宋体" w:cs="Times New Roman"/>
      <w:sz w:val="24"/>
      <w:szCs w:val="20"/>
    </w:rPr>
  </w:style>
  <w:style w:type="paragraph" w:styleId="986">
    <w:name w:val="样式1"/>
    <w:basedOn w:val="891"/>
    <w:next w:val="986"/>
    <w:link w:val="891"/>
    <w:pPr>
      <w:numPr>
        <w:ilvl w:val="0"/>
        <w:numId w:val="3"/>
      </w:numPr>
      <w:tabs>
        <w:tab w:val="left" w:pos="709" w:leader="none"/>
      </w:tabs>
    </w:pPr>
    <w:rPr>
      <w:rFonts w:ascii="宋体" w:hAnsi="宋体" w:eastAsia="宋体" w:cs="Times New Roman"/>
      <w:szCs w:val="21"/>
    </w:rPr>
  </w:style>
  <w:style w:type="paragraph" w:styleId="987">
    <w:name w:val="font6"/>
    <w:basedOn w:val="891"/>
    <w:next w:val="987"/>
    <w:link w:val="891"/>
    <w:pPr>
      <w:jc w:val="left"/>
      <w:spacing w:before="100" w:beforeAutospacing="1" w:after="100" w:afterAutospacing="1"/>
      <w:widowControl/>
    </w:pPr>
    <w:rPr>
      <w:rFonts w:hint="eastAsia" w:ascii="宋体" w:hAnsi="宋体" w:eastAsia="宋体" w:cs="Times New Roman"/>
      <w:sz w:val="28"/>
      <w:szCs w:val="28"/>
      <w:u w:val="single"/>
    </w:rPr>
  </w:style>
  <w:style w:type="paragraph" w:styleId="988">
    <w:name w:val="xl25"/>
    <w:basedOn w:val="891"/>
    <w:next w:val="988"/>
    <w:link w:val="89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91"/>
    <w:next w:val="891"/>
    <w:link w:val="89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0">
    <w:name w:val="标题3"/>
    <w:basedOn w:val="891"/>
    <w:next w:val="891"/>
    <w:link w:val="891"/>
    <w:pPr>
      <w:ind w:firstLine="624"/>
      <w:spacing w:line="590" w:lineRule="atLeast"/>
    </w:pPr>
    <w:rPr>
      <w:rFonts w:ascii="方正黑体_GBK" w:hAnsi="Times New Roman" w:eastAsia="方正黑体_GBK" w:cs="Times New Roman"/>
      <w:sz w:val="32"/>
      <w:szCs w:val="32"/>
    </w:rPr>
  </w:style>
  <w:style w:type="paragraph" w:styleId="991">
    <w:name w:val="xl24"/>
    <w:basedOn w:val="891"/>
    <w:next w:val="991"/>
    <w:link w:val="8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xl29"/>
    <w:basedOn w:val="891"/>
    <w:next w:val="992"/>
    <w:link w:val="89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3">
    <w:name w:val="Char Char Char Char Char Char Char Char"/>
    <w:basedOn w:val="891"/>
    <w:next w:val="993"/>
    <w:link w:val="891"/>
    <w:pPr>
      <w:jc w:val="left"/>
      <w:spacing w:after="160" w:line="240" w:lineRule="exact"/>
      <w:widowControl/>
    </w:pPr>
    <w:rPr>
      <w:rFonts w:ascii="Verdana" w:hAnsi="Verdana" w:eastAsia="宋体" w:cs="Times New Roman"/>
      <w:sz w:val="20"/>
      <w:szCs w:val="20"/>
      <w:lang w:eastAsia="en-US"/>
    </w:rPr>
  </w:style>
  <w:style w:type="paragraph" w:styleId="994">
    <w:name w:val="xl28"/>
    <w:basedOn w:val="891"/>
    <w:next w:val="994"/>
    <w:link w:val="89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5">
    <w:name w:val=" Char Char Char Char Char Char Char Char"/>
    <w:basedOn w:val="891"/>
    <w:next w:val="995"/>
    <w:link w:val="891"/>
    <w:pPr>
      <w:jc w:val="left"/>
      <w:spacing w:after="160" w:line="240" w:lineRule="exact"/>
      <w:widowControl/>
    </w:pPr>
    <w:rPr>
      <w:rFonts w:ascii="Verdana" w:hAnsi="Verdana" w:eastAsia="宋体" w:cs="Times New Roman"/>
      <w:sz w:val="20"/>
      <w:szCs w:val="20"/>
      <w:lang w:eastAsia="en-US"/>
    </w:rPr>
  </w:style>
  <w:style w:type="paragraph" w:styleId="996">
    <w:name w:val="xl30"/>
    <w:basedOn w:val="891"/>
    <w:next w:val="996"/>
    <w:link w:val="891"/>
    <w:pPr>
      <w:jc w:val="center"/>
      <w:spacing w:before="100" w:beforeAutospacing="1" w:after="100" w:afterAutospacing="1"/>
      <w:widowControl/>
    </w:pPr>
    <w:rPr>
      <w:rFonts w:ascii="宋体" w:hAnsi="宋体" w:eastAsia="宋体" w:cs="Times New Roman"/>
      <w:b/>
      <w:bCs/>
      <w:sz w:val="36"/>
      <w:szCs w:val="36"/>
    </w:rPr>
  </w:style>
  <w:style w:type="paragraph" w:styleId="997">
    <w:name w:val="Char Char Char Char"/>
    <w:basedOn w:val="920"/>
    <w:next w:val="997"/>
    <w:link w:val="891"/>
    <w:pPr>
      <w:spacing w:line="360" w:lineRule="auto"/>
    </w:pPr>
    <w:rPr>
      <w:rFonts w:ascii="Tahoma" w:hAnsi="Tahoma"/>
      <w:sz w:val="24"/>
      <w:szCs w:val="24"/>
    </w:rPr>
  </w:style>
  <w:style w:type="paragraph" w:styleId="998">
    <w:name w:val="table_1stline"/>
    <w:basedOn w:val="891"/>
    <w:next w:val="998"/>
    <w:link w:val="891"/>
    <w:pPr>
      <w:jc w:val="left"/>
      <w:spacing w:before="120"/>
      <w:widowControl/>
    </w:pPr>
    <w:rPr>
      <w:rFonts w:ascii="Times New Roman" w:hAnsi="Times New Roman" w:eastAsia="宋体" w:cs="Times New Roman"/>
      <w:bCs/>
      <w:sz w:val="20"/>
      <w:szCs w:val="20"/>
      <w:lang w:val="de-DE" w:eastAsia="de-DE"/>
    </w:rPr>
  </w:style>
  <w:style w:type="paragraph" w:styleId="999">
    <w:name w:val="font5"/>
    <w:basedOn w:val="891"/>
    <w:next w:val="999"/>
    <w:link w:val="891"/>
    <w:pPr>
      <w:jc w:val="left"/>
      <w:spacing w:before="100" w:beforeAutospacing="1" w:after="100" w:afterAutospacing="1"/>
      <w:widowControl/>
    </w:pPr>
    <w:rPr>
      <w:rFonts w:hint="eastAsia" w:ascii="宋体" w:hAnsi="宋体" w:eastAsia="宋体" w:cs="Times New Roman"/>
      <w:sz w:val="28"/>
      <w:szCs w:val="28"/>
    </w:rPr>
  </w:style>
  <w:style w:type="paragraph" w:styleId="1000">
    <w:name w:val="标题1"/>
    <w:basedOn w:val="891"/>
    <w:next w:val="891"/>
    <w:link w:val="89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1">
    <w:name w:val="修订"/>
    <w:next w:val="1001"/>
    <w:link w:val="891"/>
    <w:uiPriority w:val="99"/>
    <w:semiHidden/>
    <w:rPr>
      <w:rFonts w:ascii="Times New Roman" w:hAnsi="Times New Roman"/>
      <w:sz w:val="21"/>
      <w:szCs w:val="21"/>
      <w:lang w:val="en-US" w:eastAsia="zh-CN" w:bidi="ar-SA"/>
    </w:rPr>
  </w:style>
  <w:style w:type="paragraph" w:styleId="1002">
    <w:name w:val="无间隔"/>
    <w:next w:val="1002"/>
    <w:link w:val="891"/>
    <w:uiPriority w:val="99"/>
    <w:qFormat/>
    <w:pPr>
      <w:jc w:val="both"/>
      <w:widowControl w:val="off"/>
    </w:pPr>
    <w:rPr>
      <w:rFonts w:ascii="Times New Roman" w:hAnsi="Times New Roman"/>
      <w:sz w:val="21"/>
      <w:szCs w:val="21"/>
      <w:lang w:val="en-US" w:eastAsia="zh-CN" w:bidi="ar-SA"/>
    </w:rPr>
  </w:style>
  <w:style w:type="paragraph" w:styleId="1003">
    <w:name w:val="引文目录标题1"/>
    <w:basedOn w:val="891"/>
    <w:next w:val="891"/>
    <w:link w:val="891"/>
    <w:qFormat/>
    <w:pPr>
      <w:spacing w:before="120"/>
    </w:pPr>
    <w:rPr>
      <w:rFonts w:ascii="Arial" w:hAnsi="Arial"/>
      <w:sz w:val="24"/>
    </w:rPr>
  </w:style>
  <w:style w:type="table" w:styleId="1004">
    <w:name w:val="网格型3"/>
    <w:next w:val="1004"/>
    <w:link w:val="891"/>
    <w:uiPriority w:val="59"/>
    <w:rPr>
      <w:rFonts w:ascii="Times New Roman" w:hAnsi="Times New Roman" w:cs="Times New Roman"/>
      <w:sz w:val="20"/>
      <w:szCs w:val="20"/>
    </w:rPr>
    <w:tbl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7</cp:revision>
  <dcterms:created xsi:type="dcterms:W3CDTF">2023-12-25T07:48:00Z</dcterms:created>
  <dcterms:modified xsi:type="dcterms:W3CDTF">2024-09-14T05:48:37Z</dcterms:modified>
</cp:coreProperties>
</file>