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before="120" w:beforeAutospacing="0" w:after="120" w:afterAutospacing="0" w:line="360" w:lineRule="auto"/>
        <w:rPr>
          <w:rFonts w:ascii="Times New Roman" w:hAnsi="Times New Roman"/>
          <w:color w:val="auto"/>
          <w:highlight w:val="none"/>
        </w:rPr>
      </w:pPr>
      <w:r>
        <w:rPr>
          <w:rFonts w:ascii="Times New Roman" w:hAnsi="Times New Roman"/>
          <w:color w:val="auto"/>
          <w:highlight w:val="none"/>
        </w:rPr>
        <w:t> </w:t>
      </w:r>
    </w:p>
    <w:p>
      <w:pPr>
        <w:pStyle w:val="12"/>
        <w:spacing w:before="120" w:beforeAutospacing="0" w:after="120" w:afterAutospacing="0" w:line="360" w:lineRule="auto"/>
        <w:rPr>
          <w:rFonts w:ascii="Times New Roman" w:hAnsi="Times New Roman"/>
          <w:color w:val="auto"/>
          <w:highlight w:val="none"/>
        </w:rPr>
      </w:pPr>
    </w:p>
    <w:p>
      <w:pPr>
        <w:pStyle w:val="12"/>
        <w:spacing w:before="120" w:beforeAutospacing="0" w:after="120" w:afterAutospacing="0" w:line="360" w:lineRule="auto"/>
        <w:rPr>
          <w:rFonts w:ascii="Times New Roman" w:hAnsi="Times New Roman"/>
          <w:color w:val="auto"/>
          <w:highlight w:val="none"/>
        </w:rPr>
      </w:pPr>
    </w:p>
    <w:p>
      <w:pPr>
        <w:pStyle w:val="12"/>
        <w:spacing w:before="120" w:beforeAutospacing="0" w:after="120" w:afterAutospacing="0" w:line="360" w:lineRule="auto"/>
        <w:jc w:val="center"/>
        <w:rPr>
          <w:rFonts w:ascii="Times New Roman" w:hAnsi="Times New Roman"/>
          <w:color w:val="auto"/>
          <w:highlight w:val="none"/>
        </w:rPr>
      </w:pPr>
      <w:r>
        <w:rPr>
          <w:rFonts w:ascii="Times New Roman" w:hAnsi="Times New Roman" w:cs="Arial"/>
          <w:b/>
          <w:color w:val="auto"/>
          <w:sz w:val="84"/>
          <w:szCs w:val="84"/>
          <w:highlight w:val="none"/>
        </w:rPr>
        <w:t>招标文件</w:t>
      </w:r>
    </w:p>
    <w:p>
      <w:pPr>
        <w:pStyle w:val="12"/>
        <w:spacing w:before="120" w:beforeAutospacing="0" w:after="120" w:afterAutospacing="0" w:line="360" w:lineRule="auto"/>
        <w:ind w:firstLine="964" w:firstLineChars="300"/>
        <w:rPr>
          <w:rFonts w:ascii="Times New Roman" w:hAnsi="Times New Roman" w:cs="Arial"/>
          <w:b/>
          <w:color w:val="auto"/>
          <w:sz w:val="32"/>
          <w:szCs w:val="32"/>
          <w:highlight w:val="none"/>
        </w:rPr>
      </w:pPr>
    </w:p>
    <w:p>
      <w:pPr>
        <w:pStyle w:val="12"/>
        <w:spacing w:before="120" w:beforeAutospacing="0" w:after="120" w:afterAutospacing="0" w:line="360" w:lineRule="auto"/>
        <w:ind w:left="2566" w:leftChars="457" w:hanging="1606" w:hangingChars="500"/>
        <w:rPr>
          <w:rFonts w:ascii="Times New Roman" w:hAnsi="Times New Roman" w:cs="Arial"/>
          <w:bCs/>
          <w:color w:val="auto"/>
          <w:sz w:val="32"/>
          <w:szCs w:val="32"/>
          <w:highlight w:val="none"/>
        </w:rPr>
      </w:pPr>
      <w:r>
        <w:rPr>
          <w:rFonts w:ascii="Times New Roman" w:hAnsi="Times New Roman" w:cs="Arial"/>
          <w:b/>
          <w:color w:val="auto"/>
          <w:sz w:val="32"/>
          <w:szCs w:val="32"/>
          <w:highlight w:val="none"/>
        </w:rPr>
        <w:t>项目名称：</w:t>
      </w:r>
      <w:r>
        <w:rPr>
          <w:rFonts w:hint="eastAsia" w:ascii="Times New Roman" w:hAnsi="Times New Roman" w:cs="Arial"/>
          <w:bCs/>
          <w:color w:val="auto"/>
          <w:sz w:val="32"/>
          <w:szCs w:val="32"/>
          <w:highlight w:val="none"/>
        </w:rPr>
        <w:t>响水经济开发区智慧园区平台“厂中厂”模块接入项目</w:t>
      </w:r>
    </w:p>
    <w:p>
      <w:pPr>
        <w:pStyle w:val="12"/>
        <w:spacing w:before="120" w:beforeAutospacing="0" w:after="120" w:afterAutospacing="0" w:line="360" w:lineRule="auto"/>
        <w:ind w:firstLine="2249"/>
        <w:jc w:val="both"/>
        <w:rPr>
          <w:rFonts w:ascii="Times New Roman" w:hAnsi="Times New Roman" w:cs="Arial"/>
          <w:b/>
          <w:color w:val="auto"/>
          <w:sz w:val="32"/>
          <w:szCs w:val="32"/>
          <w:highlight w:val="none"/>
        </w:rPr>
      </w:pPr>
    </w:p>
    <w:p>
      <w:pPr>
        <w:pStyle w:val="12"/>
        <w:spacing w:before="120" w:beforeAutospacing="0" w:after="120" w:afterAutospacing="0" w:line="360" w:lineRule="auto"/>
        <w:ind w:firstLine="2249"/>
        <w:jc w:val="both"/>
        <w:rPr>
          <w:rFonts w:ascii="Times New Roman" w:hAnsi="Times New Roman" w:cs="Arial"/>
          <w:b/>
          <w:color w:val="auto"/>
          <w:sz w:val="32"/>
          <w:szCs w:val="32"/>
          <w:highlight w:val="none"/>
        </w:rPr>
      </w:pPr>
    </w:p>
    <w:p>
      <w:pPr>
        <w:pStyle w:val="12"/>
        <w:spacing w:before="120" w:beforeAutospacing="0" w:after="120" w:afterAutospacing="0" w:line="360" w:lineRule="auto"/>
        <w:ind w:firstLine="964" w:firstLineChars="300"/>
        <w:jc w:val="both"/>
        <w:rPr>
          <w:rFonts w:hint="default" w:ascii="Times New Roman" w:hAnsi="Times New Roman" w:cs="Arial" w:eastAsiaTheme="minorEastAsia"/>
          <w:b/>
          <w:color w:val="auto"/>
          <w:sz w:val="32"/>
          <w:szCs w:val="32"/>
          <w:highlight w:val="none"/>
          <w:lang w:val="en-US" w:eastAsia="zh-CN"/>
        </w:rPr>
      </w:pPr>
      <w:r>
        <w:rPr>
          <w:rFonts w:ascii="Times New Roman" w:hAnsi="Times New Roman" w:cs="Arial"/>
          <w:b/>
          <w:color w:val="auto"/>
          <w:sz w:val="32"/>
          <w:szCs w:val="32"/>
          <w:highlight w:val="none"/>
        </w:rPr>
        <w:t>项目编号：</w:t>
      </w:r>
      <w:r>
        <w:rPr>
          <w:rFonts w:hint="eastAsia" w:ascii="Times New Roman" w:hAnsi="Times New Roman" w:cs="Arial"/>
          <w:b/>
          <w:color w:val="auto"/>
          <w:sz w:val="32"/>
          <w:szCs w:val="32"/>
          <w:highlight w:val="none"/>
          <w:lang w:val="en-US" w:eastAsia="zh-CN"/>
        </w:rPr>
        <w:t>JSZC-320921-YCJY-G2024-0004</w:t>
      </w:r>
    </w:p>
    <w:tbl>
      <w:tblPr>
        <w:tblStyle w:val="13"/>
        <w:tblW w:w="115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15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92" w:type="dxa"/>
              <w:left w:w="288" w:type="dxa"/>
              <w:bottom w:w="192" w:type="dxa"/>
              <w:right w:w="288" w:type="dxa"/>
            </w:tcMar>
            <w:vAlign w:val="center"/>
          </w:tcPr>
          <w:p>
            <w:pPr>
              <w:keepNext w:val="0"/>
              <w:keepLines w:val="0"/>
              <w:widowControl/>
              <w:suppressLineNumbers w:val="0"/>
              <w:spacing w:line="19" w:lineRule="atLeast"/>
              <w:jc w:val="left"/>
              <w:rPr>
                <w:rFonts w:ascii="Segoe UI" w:hAnsi="Segoe UI" w:eastAsia="Segoe UI" w:cs="Segoe UI"/>
                <w:i w:val="0"/>
                <w:iCs w:val="0"/>
                <w:caps w:val="0"/>
                <w:spacing w:val="0"/>
                <w:sz w:val="16"/>
                <w:szCs w:val="16"/>
              </w:rPr>
            </w:pPr>
            <w:r>
              <w:rPr>
                <w:rFonts w:hint="default" w:ascii="Segoe UI" w:hAnsi="Segoe UI" w:eastAsia="Segoe UI" w:cs="Segoe UI"/>
                <w:i w:val="0"/>
                <w:iCs w:val="0"/>
                <w:caps w:val="0"/>
                <w:spacing w:val="0"/>
                <w:kern w:val="0"/>
                <w:sz w:val="16"/>
                <w:szCs w:val="16"/>
                <w:lang w:val="en-US" w:eastAsia="zh-CN" w:bidi="ar"/>
              </w:rPr>
              <w:br w:type="textWrapping"/>
            </w:r>
          </w:p>
        </w:tc>
      </w:tr>
    </w:tbl>
    <w:p>
      <w:pPr>
        <w:pStyle w:val="12"/>
        <w:spacing w:before="120" w:beforeAutospacing="0" w:after="120" w:afterAutospacing="0" w:line="360" w:lineRule="auto"/>
        <w:ind w:firstLine="2249"/>
        <w:jc w:val="both"/>
        <w:rPr>
          <w:rFonts w:ascii="Times New Roman" w:hAnsi="Times New Roman" w:cs="Arial"/>
          <w:b/>
          <w:color w:val="auto"/>
          <w:sz w:val="32"/>
          <w:szCs w:val="32"/>
          <w:highlight w:val="none"/>
        </w:rPr>
      </w:pPr>
    </w:p>
    <w:tbl>
      <w:tblPr>
        <w:tblStyle w:val="13"/>
        <w:tblW w:w="115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15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92" w:type="dxa"/>
              <w:left w:w="288" w:type="dxa"/>
              <w:bottom w:w="192" w:type="dxa"/>
              <w:right w:w="288" w:type="dxa"/>
            </w:tcMar>
            <w:vAlign w:val="center"/>
          </w:tcPr>
          <w:p>
            <w:pPr>
              <w:keepNext w:val="0"/>
              <w:keepLines w:val="0"/>
              <w:widowControl/>
              <w:suppressLineNumbers w:val="0"/>
              <w:spacing w:line="19" w:lineRule="atLeast"/>
              <w:jc w:val="left"/>
              <w:rPr>
                <w:rFonts w:ascii="Segoe UI" w:hAnsi="Segoe UI" w:eastAsia="Segoe UI" w:cs="Segoe UI"/>
                <w:i w:val="0"/>
                <w:iCs w:val="0"/>
                <w:caps w:val="0"/>
                <w:spacing w:val="0"/>
                <w:sz w:val="16"/>
                <w:szCs w:val="16"/>
              </w:rPr>
            </w:pPr>
          </w:p>
        </w:tc>
      </w:tr>
    </w:tbl>
    <w:p>
      <w:pPr>
        <w:pStyle w:val="12"/>
        <w:spacing w:beforeAutospacing="0" w:afterAutospacing="0" w:line="360" w:lineRule="auto"/>
        <w:ind w:firstLine="2249" w:firstLineChars="800"/>
        <w:rPr>
          <w:rFonts w:ascii="Times New Roman" w:hAnsi="Times New Roman" w:cs="Arial"/>
          <w:b/>
          <w:bCs/>
          <w:color w:val="auto"/>
          <w:sz w:val="44"/>
          <w:szCs w:val="44"/>
          <w:highlight w:val="none"/>
        </w:rPr>
      </w:pPr>
      <w:r>
        <w:rPr>
          <w:rFonts w:hint="eastAsia" w:ascii="Times New Roman" w:hAnsi="Times New Roman" w:cs="Calibri"/>
          <w:b/>
          <w:bCs/>
          <w:color w:val="auto"/>
          <w:sz w:val="28"/>
          <w:szCs w:val="28"/>
          <w:highlight w:val="none"/>
        </w:rPr>
        <w:t>江苏响水经济开发区管理委员会</w:t>
      </w:r>
      <w:r>
        <w:rPr>
          <w:rFonts w:hint="eastAsia" w:ascii="Times New Roman" w:hAnsi="Times New Roman" w:eastAsia="仿宋" w:cs="仿宋"/>
          <w:color w:val="auto"/>
          <w:sz w:val="28"/>
          <w:szCs w:val="28"/>
          <w:highlight w:val="none"/>
          <w:shd w:val="clear" w:color="auto" w:fill="FFFFFF"/>
        </w:rPr>
        <w:t xml:space="preserve">  </w:t>
      </w:r>
    </w:p>
    <w:p>
      <w:pPr>
        <w:pStyle w:val="12"/>
        <w:spacing w:before="120" w:beforeAutospacing="0" w:after="120" w:afterAutospacing="0" w:line="360" w:lineRule="auto"/>
        <w:jc w:val="center"/>
        <w:rPr>
          <w:rFonts w:ascii="Times New Roman" w:hAnsi="Times New Roman"/>
          <w:color w:val="auto"/>
          <w:highlight w:val="none"/>
        </w:rPr>
      </w:pPr>
      <w:r>
        <w:rPr>
          <w:rFonts w:hint="eastAsia" w:ascii="Times New Roman" w:hAnsi="Times New Roman" w:cs="Arial"/>
          <w:b/>
          <w:color w:val="auto"/>
          <w:sz w:val="32"/>
          <w:szCs w:val="32"/>
          <w:highlight w:val="none"/>
        </w:rPr>
        <w:t>2024</w:t>
      </w:r>
      <w:r>
        <w:rPr>
          <w:rFonts w:ascii="Times New Roman" w:hAnsi="Times New Roman" w:cs="Arial"/>
          <w:b/>
          <w:color w:val="auto"/>
          <w:sz w:val="32"/>
          <w:szCs w:val="32"/>
          <w:highlight w:val="none"/>
        </w:rPr>
        <w:t>年</w:t>
      </w:r>
      <w:r>
        <w:rPr>
          <w:rFonts w:hint="eastAsia" w:ascii="Times New Roman" w:hAnsi="Times New Roman" w:cs="Arial"/>
          <w:b/>
          <w:color w:val="auto"/>
          <w:sz w:val="32"/>
          <w:szCs w:val="32"/>
          <w:highlight w:val="none"/>
        </w:rPr>
        <w:t>8</w:t>
      </w:r>
      <w:r>
        <w:rPr>
          <w:rFonts w:ascii="Times New Roman" w:hAnsi="Times New Roman" w:cs="Arial"/>
          <w:b/>
          <w:color w:val="auto"/>
          <w:sz w:val="32"/>
          <w:szCs w:val="32"/>
          <w:highlight w:val="none"/>
        </w:rPr>
        <w:t>月</w:t>
      </w:r>
      <w:r>
        <w:rPr>
          <w:rFonts w:hint="eastAsia" w:ascii="Times New Roman" w:hAnsi="Times New Roman" w:cs="Arial"/>
          <w:b/>
          <w:color w:val="auto"/>
          <w:sz w:val="32"/>
          <w:szCs w:val="32"/>
          <w:highlight w:val="none"/>
        </w:rPr>
        <w:t>2</w:t>
      </w:r>
      <w:r>
        <w:rPr>
          <w:rFonts w:hint="eastAsia" w:ascii="Times New Roman" w:hAnsi="Times New Roman" w:cs="Arial"/>
          <w:b/>
          <w:color w:val="auto"/>
          <w:sz w:val="32"/>
          <w:szCs w:val="32"/>
          <w:highlight w:val="none"/>
          <w:lang w:val="en-US" w:eastAsia="zh-CN"/>
        </w:rPr>
        <w:t>6</w:t>
      </w:r>
      <w:r>
        <w:rPr>
          <w:rFonts w:ascii="Times New Roman" w:hAnsi="Times New Roman" w:cs="Arial"/>
          <w:b/>
          <w:color w:val="auto"/>
          <w:sz w:val="32"/>
          <w:szCs w:val="32"/>
          <w:highlight w:val="none"/>
        </w:rPr>
        <w:t>日</w:t>
      </w:r>
    </w:p>
    <w:p>
      <w:pPr>
        <w:pStyle w:val="12"/>
        <w:spacing w:before="120" w:beforeAutospacing="0" w:after="120" w:afterAutospacing="0" w:line="360" w:lineRule="auto"/>
        <w:rPr>
          <w:rFonts w:ascii="Times New Roman" w:hAnsi="Times New Roman"/>
          <w:color w:val="auto"/>
          <w:highlight w:val="none"/>
        </w:rPr>
      </w:pPr>
      <w:r>
        <w:rPr>
          <w:rFonts w:ascii="Times New Roman" w:hAnsi="Times New Roman" w:cs="Arial"/>
          <w:color w:val="auto"/>
          <w:highlight w:val="none"/>
        </w:rPr>
        <w:t xml:space="preserve">                        </w:t>
      </w:r>
    </w:p>
    <w:p>
      <w:pPr>
        <w:pStyle w:val="12"/>
        <w:spacing w:before="120" w:beforeAutospacing="0" w:after="120" w:afterAutospacing="0" w:line="360" w:lineRule="auto"/>
        <w:jc w:val="center"/>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br w:type="page"/>
      </w:r>
    </w:p>
    <w:p>
      <w:pPr>
        <w:pStyle w:val="12"/>
        <w:spacing w:beforeAutospacing="0" w:afterAutospacing="0" w:line="480" w:lineRule="auto"/>
        <w:jc w:val="center"/>
        <w:rPr>
          <w:rFonts w:ascii="Times New Roman" w:hAnsi="Times New Roman"/>
          <w:color w:val="auto"/>
          <w:sz w:val="21"/>
          <w:szCs w:val="21"/>
          <w:highlight w:val="none"/>
        </w:rPr>
      </w:pPr>
    </w:p>
    <w:p>
      <w:pPr>
        <w:pStyle w:val="12"/>
        <w:spacing w:beforeAutospacing="0" w:afterAutospacing="0" w:line="480" w:lineRule="auto"/>
        <w:jc w:val="center"/>
        <w:rPr>
          <w:rFonts w:ascii="Times New Roman" w:hAnsi="Times New Roman" w:cstheme="minorEastAsia"/>
          <w:color w:val="auto"/>
          <w:sz w:val="20"/>
          <w:szCs w:val="20"/>
          <w:highlight w:val="none"/>
        </w:rPr>
      </w:pPr>
    </w:p>
    <w:p>
      <w:pPr>
        <w:pStyle w:val="12"/>
        <w:spacing w:beforeAutospacing="0" w:afterAutospacing="0" w:line="480" w:lineRule="auto"/>
        <w:jc w:val="center"/>
        <w:rPr>
          <w:rFonts w:ascii="Times New Roman" w:hAnsi="Times New Roman" w:cstheme="minorEastAsia"/>
          <w:color w:val="auto"/>
          <w:sz w:val="22"/>
          <w:szCs w:val="22"/>
          <w:highlight w:val="none"/>
        </w:rPr>
      </w:pPr>
      <w:bookmarkStart w:id="0" w:name="_Toc16938516"/>
      <w:bookmarkEnd w:id="0"/>
      <w:bookmarkStart w:id="1" w:name="_Toc523127445"/>
      <w:bookmarkEnd w:id="1"/>
      <w:bookmarkStart w:id="2" w:name="_Toc513029200"/>
      <w:bookmarkEnd w:id="2"/>
      <w:bookmarkStart w:id="3" w:name="_Toc479757206"/>
      <w:bookmarkEnd w:id="3"/>
      <w:bookmarkStart w:id="4" w:name="_Toc20823272"/>
      <w:bookmarkEnd w:id="4"/>
      <w:bookmarkStart w:id="5" w:name="_Toc120614210"/>
      <w:bookmarkEnd w:id="5"/>
      <w:r>
        <w:rPr>
          <w:rFonts w:hint="eastAsia" w:ascii="Times New Roman" w:hAnsi="Times New Roman" w:cstheme="minorEastAsia"/>
          <w:b/>
          <w:color w:val="auto"/>
          <w:sz w:val="40"/>
          <w:szCs w:val="40"/>
          <w:highlight w:val="none"/>
        </w:rPr>
        <w:t>总  目  录</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8"/>
          <w:szCs w:val="28"/>
          <w:highlight w:val="none"/>
        </w:rPr>
      </w:pPr>
      <w:r>
        <w:rPr>
          <w:rFonts w:hint="eastAsia" w:ascii="Times New Roman" w:hAnsi="Times New Roman" w:eastAsia="方正仿宋_GBK" w:cs="方正仿宋_GBK"/>
          <w:color w:val="auto"/>
          <w:sz w:val="28"/>
          <w:szCs w:val="28"/>
          <w:highlight w:val="none"/>
        </w:rPr>
        <w:t>招标公告……………………………………</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1"/>
          <w:szCs w:val="21"/>
          <w:highlight w:val="none"/>
        </w:rPr>
      </w:pPr>
      <w:r>
        <w:rPr>
          <w:rFonts w:hint="eastAsia" w:ascii="Times New Roman" w:hAnsi="Times New Roman" w:eastAsia="方正仿宋_GBK" w:cs="方正仿宋_GBK"/>
          <w:color w:val="auto"/>
          <w:sz w:val="28"/>
          <w:szCs w:val="28"/>
          <w:highlight w:val="none"/>
        </w:rPr>
        <w:t xml:space="preserve">投标人须知…………………………………  </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1"/>
          <w:szCs w:val="21"/>
          <w:highlight w:val="none"/>
        </w:rPr>
      </w:pPr>
      <w:r>
        <w:rPr>
          <w:rFonts w:hint="eastAsia" w:ascii="Times New Roman" w:hAnsi="Times New Roman" w:eastAsia="方正仿宋_GBK" w:cs="方正仿宋_GBK"/>
          <w:color w:val="auto"/>
          <w:sz w:val="28"/>
          <w:szCs w:val="28"/>
          <w:highlight w:val="none"/>
        </w:rPr>
        <w:t>合同条款……………………………………</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1"/>
          <w:szCs w:val="21"/>
          <w:highlight w:val="none"/>
        </w:rPr>
      </w:pPr>
      <w:r>
        <w:rPr>
          <w:rFonts w:hint="eastAsia" w:ascii="Times New Roman" w:hAnsi="Times New Roman" w:eastAsia="方正仿宋_GBK" w:cs="方正仿宋_GBK"/>
          <w:color w:val="auto"/>
          <w:sz w:val="28"/>
          <w:szCs w:val="28"/>
          <w:highlight w:val="none"/>
        </w:rPr>
        <w:t>采购需求……………………………………</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1"/>
          <w:szCs w:val="21"/>
          <w:highlight w:val="none"/>
        </w:rPr>
      </w:pPr>
      <w:r>
        <w:rPr>
          <w:rFonts w:hint="eastAsia" w:ascii="Times New Roman" w:hAnsi="Times New Roman" w:eastAsia="方正仿宋_GBK" w:cs="方正仿宋_GBK"/>
          <w:color w:val="auto"/>
          <w:sz w:val="28"/>
          <w:szCs w:val="28"/>
          <w:highlight w:val="none"/>
        </w:rPr>
        <w:t>评标方法与评标标准………………………</w:t>
      </w:r>
    </w:p>
    <w:p>
      <w:pPr>
        <w:pStyle w:val="12"/>
        <w:tabs>
          <w:tab w:val="left" w:pos="1441"/>
        </w:tabs>
        <w:spacing w:beforeAutospacing="0" w:afterAutospacing="0" w:line="480" w:lineRule="auto"/>
        <w:ind w:left="2160" w:hanging="900"/>
        <w:jc w:val="both"/>
        <w:rPr>
          <w:rFonts w:ascii="Times New Roman" w:hAnsi="Times New Roman" w:eastAsia="方正仿宋_GBK" w:cs="方正仿宋_GBK"/>
          <w:color w:val="auto"/>
          <w:sz w:val="21"/>
          <w:szCs w:val="21"/>
          <w:highlight w:val="none"/>
        </w:rPr>
      </w:pPr>
      <w:r>
        <w:rPr>
          <w:rFonts w:hint="eastAsia" w:ascii="Times New Roman" w:hAnsi="Times New Roman" w:eastAsia="方正仿宋_GBK" w:cs="方正仿宋_GBK"/>
          <w:color w:val="auto"/>
          <w:sz w:val="28"/>
          <w:szCs w:val="28"/>
          <w:highlight w:val="none"/>
        </w:rPr>
        <w:t>投标文件格式………………………………</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pStyle w:val="12"/>
        <w:spacing w:beforeAutospacing="0" w:afterAutospacing="0"/>
        <w:jc w:val="both"/>
        <w:rPr>
          <w:rFonts w:ascii="Times New Roman" w:hAnsi="Times New Roman"/>
          <w:color w:val="auto"/>
          <w:highlight w:val="none"/>
        </w:rPr>
      </w:pPr>
      <w:r>
        <w:rPr>
          <w:rFonts w:ascii="Times New Roman" w:hAnsi="Times New Roman"/>
          <w:color w:val="auto"/>
          <w:highlight w:val="none"/>
        </w:rPr>
        <w:t> </w:t>
      </w:r>
    </w:p>
    <w:p>
      <w:pPr>
        <w:rPr>
          <w:rFonts w:ascii="Times New Roman" w:hAnsi="Times New Roman"/>
          <w:color w:val="auto"/>
          <w:highlight w:val="none"/>
        </w:rPr>
      </w:pPr>
      <w:r>
        <w:rPr>
          <w:rFonts w:ascii="Times New Roman" w:hAnsi="Times New Roman"/>
          <w:color w:val="auto"/>
          <w:highlight w:val="none"/>
        </w:rPr>
        <w:br w:type="page"/>
      </w:r>
    </w:p>
    <w:p>
      <w:pPr>
        <w:pStyle w:val="12"/>
        <w:keepNext/>
        <w:spacing w:beforeAutospacing="0" w:afterAutospacing="0"/>
        <w:jc w:val="center"/>
        <w:rPr>
          <w:rFonts w:ascii="Times New Roman" w:hAnsi="Times New Roman" w:eastAsia="方正大标宋_GBK" w:cs="方正大标宋_GBK"/>
          <w:color w:val="auto"/>
          <w:sz w:val="44"/>
          <w:szCs w:val="44"/>
          <w:highlight w:val="none"/>
        </w:rPr>
      </w:pPr>
      <w:r>
        <w:rPr>
          <w:rFonts w:hint="eastAsia" w:ascii="Times New Roman" w:hAnsi="Times New Roman" w:eastAsia="方正大标宋_GBK" w:cs="方正大标宋_GBK"/>
          <w:color w:val="auto"/>
          <w:sz w:val="44"/>
          <w:szCs w:val="44"/>
          <w:highlight w:val="none"/>
        </w:rPr>
        <w:t>第一章   招标公告</w:t>
      </w:r>
    </w:p>
    <w:p>
      <w:pPr>
        <w:pStyle w:val="12"/>
        <w:keepNext/>
        <w:spacing w:beforeAutospacing="0" w:afterAutospacing="0"/>
        <w:jc w:val="center"/>
        <w:rPr>
          <w:rFonts w:ascii="Times New Roman" w:hAnsi="Times New Roman" w:eastAsia="黑体" w:cs="黑体"/>
          <w:color w:val="auto"/>
          <w:sz w:val="44"/>
          <w:szCs w:val="44"/>
          <w:highlight w:val="none"/>
        </w:rPr>
      </w:pPr>
    </w:p>
    <w:p>
      <w:pPr>
        <w:pStyle w:val="1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Times New Roman" w:hAnsi="Times New Roman" w:eastAsia="仿宋" w:cs="仿宋"/>
          <w:b/>
          <w:bCs/>
          <w:color w:val="auto"/>
          <w:sz w:val="28"/>
          <w:szCs w:val="28"/>
          <w:highlight w:val="none"/>
        </w:rPr>
      </w:pPr>
      <w:r>
        <w:rPr>
          <w:rFonts w:hint="eastAsia" w:ascii="Times New Roman" w:hAnsi="Times New Roman" w:eastAsia="仿宋" w:cs="仿宋"/>
          <w:b/>
          <w:bCs/>
          <w:color w:val="auto"/>
          <w:sz w:val="28"/>
          <w:szCs w:val="28"/>
          <w:highlight w:val="none"/>
        </w:rPr>
        <w:t>项目概况</w:t>
      </w:r>
    </w:p>
    <w:p>
      <w:pPr>
        <w:pStyle w:val="1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Times New Roman" w:hAnsi="Times New Roman" w:eastAsia="方正仿宋_GBK" w:cs="方正仿宋_GBK"/>
          <w:color w:val="auto"/>
          <w:sz w:val="28"/>
          <w:szCs w:val="28"/>
          <w:highlight w:val="none"/>
        </w:rPr>
      </w:pPr>
      <w:r>
        <w:rPr>
          <w:rFonts w:hint="eastAsia" w:ascii="Times New Roman" w:hAnsi="Times New Roman" w:eastAsia="方正仿宋_GBK" w:cs="方正仿宋_GBK"/>
          <w:color w:val="auto"/>
          <w:sz w:val="28"/>
          <w:szCs w:val="28"/>
          <w:highlight w:val="none"/>
        </w:rPr>
        <w:t>响水经济开发区智慧园区平台“厂中厂”模块接入项目的潜在投标人可在“中国政府采购网、江苏政府采购网、盐城市政府采购网”获取招标文件，并于2024年9月 19日 15点00分（北京时间）前递交投标文件。</w:t>
      </w:r>
    </w:p>
    <w:p>
      <w:pPr>
        <w:pStyle w:val="12"/>
        <w:keepNext/>
        <w:keepLines/>
        <w:spacing w:beforeAutospacing="0" w:afterAutospacing="0" w:line="400" w:lineRule="exact"/>
        <w:ind w:firstLine="499"/>
        <w:jc w:val="both"/>
        <w:rPr>
          <w:rFonts w:asciiTheme="majorEastAsia" w:hAnsiTheme="majorEastAsia" w:eastAsiaTheme="majorEastAsia" w:cstheme="majorEastAsia"/>
          <w:color w:val="auto"/>
          <w:sz w:val="28"/>
          <w:szCs w:val="28"/>
          <w:highlight w:val="none"/>
        </w:rPr>
      </w:pPr>
      <w:bookmarkStart w:id="6" w:name="_Toc35393621"/>
      <w:bookmarkEnd w:id="6"/>
      <w:bookmarkStart w:id="7" w:name="_Toc35393790"/>
      <w:bookmarkEnd w:id="7"/>
      <w:bookmarkStart w:id="8" w:name="_Toc38985263"/>
      <w:bookmarkEnd w:id="8"/>
      <w:bookmarkStart w:id="9" w:name="_Toc28359002"/>
      <w:bookmarkEnd w:id="9"/>
      <w:bookmarkStart w:id="10" w:name="_Toc28359079"/>
      <w:bookmarkEnd w:id="10"/>
      <w:bookmarkStart w:id="11" w:name="_Hlk24379207"/>
      <w:bookmarkEnd w:id="11"/>
      <w:r>
        <w:rPr>
          <w:rFonts w:hint="eastAsia" w:asciiTheme="majorEastAsia" w:hAnsiTheme="majorEastAsia" w:eastAsiaTheme="majorEastAsia" w:cstheme="majorEastAsia"/>
          <w:b/>
          <w:color w:val="auto"/>
          <w:sz w:val="28"/>
          <w:szCs w:val="28"/>
          <w:highlight w:val="none"/>
        </w:rPr>
        <w:t>一、项目基本情况</w:t>
      </w:r>
    </w:p>
    <w:p>
      <w:pPr>
        <w:pStyle w:val="12"/>
        <w:spacing w:beforeAutospacing="0" w:afterAutospacing="0" w:line="400" w:lineRule="exact"/>
        <w:ind w:firstLine="560" w:firstLineChars="200"/>
        <w:jc w:val="both"/>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rPr>
        <w:t>1.项目编号：</w:t>
      </w:r>
      <w:r>
        <w:rPr>
          <w:rFonts w:hint="eastAsia" w:asciiTheme="majorEastAsia" w:hAnsiTheme="majorEastAsia" w:eastAsiaTheme="majorEastAsia" w:cstheme="majorEastAsia"/>
          <w:color w:val="auto"/>
          <w:sz w:val="28"/>
          <w:szCs w:val="28"/>
          <w:highlight w:val="none"/>
          <w:lang w:val="en-US" w:eastAsia="zh-CN"/>
        </w:rPr>
        <w:t>JSZC-320921-YCJY-G2024-0004</w:t>
      </w:r>
    </w:p>
    <w:p>
      <w:pPr>
        <w:pStyle w:val="12"/>
        <w:spacing w:beforeAutospacing="0" w:afterAutospacing="0" w:line="400" w:lineRule="exact"/>
        <w:ind w:firstLine="560" w:firstLineChars="200"/>
        <w:jc w:val="both"/>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2.项目名称：响水经济开发区智慧园区平台“厂中厂”模块接入项目</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shd w:val="clear" w:color="auto" w:fill="FFFFFF"/>
        </w:rPr>
        <w:t>3.采购方式：公开招标</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4.预算金额：213.437万元</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shd w:val="clear" w:color="auto" w:fill="FFFF00"/>
        </w:rPr>
      </w:pPr>
      <w:r>
        <w:rPr>
          <w:rFonts w:hint="eastAsia" w:asciiTheme="majorEastAsia" w:hAnsiTheme="majorEastAsia" w:eastAsiaTheme="majorEastAsia" w:cstheme="majorEastAsia"/>
          <w:color w:val="auto"/>
          <w:sz w:val="28"/>
          <w:szCs w:val="28"/>
          <w:highlight w:val="none"/>
          <w:shd w:val="clear" w:color="auto" w:fill="FFFFFF"/>
        </w:rPr>
        <w:t>5.最高限价：</w:t>
      </w:r>
      <w:r>
        <w:rPr>
          <w:rFonts w:hint="eastAsia" w:asciiTheme="majorEastAsia" w:hAnsiTheme="majorEastAsia" w:eastAsiaTheme="majorEastAsia" w:cstheme="majorEastAsia"/>
          <w:color w:val="auto"/>
          <w:sz w:val="28"/>
          <w:szCs w:val="28"/>
          <w:highlight w:val="none"/>
        </w:rPr>
        <w:t>213.437万元</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采购需求：本次智慧园区平台“厂中厂”模块接入项目规划软件模块全开发及4家重点监管厂区接入针对消防设备监测区域不全的问题，进行硬件设备排查补盲，以确保重点风险区域全方面覆盖，提高消防设备的监测能力和水平，实现不同设备和系统之间的无缝连接，并集中采集和处理数据。（详细内容见本招标文件第四章）</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kern w:val="2"/>
          <w:sz w:val="28"/>
          <w:szCs w:val="28"/>
          <w:highlight w:val="none"/>
        </w:rPr>
      </w:pPr>
      <w:r>
        <w:rPr>
          <w:rFonts w:hint="eastAsia" w:asciiTheme="majorEastAsia" w:hAnsiTheme="majorEastAsia" w:eastAsiaTheme="majorEastAsia" w:cstheme="majorEastAsia"/>
          <w:color w:val="auto"/>
          <w:sz w:val="28"/>
          <w:szCs w:val="28"/>
          <w:highlight w:val="none"/>
        </w:rPr>
        <w:t>7</w:t>
      </w:r>
      <w:r>
        <w:rPr>
          <w:rFonts w:hint="eastAsia" w:asciiTheme="majorEastAsia" w:hAnsiTheme="majorEastAsia" w:eastAsiaTheme="majorEastAsia" w:cstheme="majorEastAsia"/>
          <w:color w:val="auto"/>
          <w:kern w:val="2"/>
          <w:sz w:val="28"/>
          <w:szCs w:val="28"/>
          <w:highlight w:val="none"/>
        </w:rPr>
        <w:t>.合同履行期限：合同签订后一个月内完成安装、调试交付甲方使用。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kern w:val="2"/>
          <w:sz w:val="28"/>
          <w:szCs w:val="28"/>
          <w:highlight w:val="none"/>
        </w:rPr>
      </w:pPr>
      <w:r>
        <w:rPr>
          <w:rFonts w:hint="eastAsia" w:asciiTheme="majorEastAsia" w:hAnsiTheme="majorEastAsia" w:eastAsiaTheme="majorEastAsia" w:cstheme="majorEastAsia"/>
          <w:color w:val="auto"/>
          <w:kern w:val="2"/>
          <w:sz w:val="28"/>
          <w:szCs w:val="28"/>
          <w:highlight w:val="none"/>
        </w:rPr>
        <w:t>8.质保期：项目验收合格起硬件质保二年，软件免费服务二年。</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kern w:val="2"/>
          <w:sz w:val="28"/>
          <w:szCs w:val="28"/>
          <w:highlight w:val="none"/>
        </w:rPr>
      </w:pPr>
      <w:r>
        <w:rPr>
          <w:rFonts w:hint="eastAsia" w:asciiTheme="majorEastAsia" w:hAnsiTheme="majorEastAsia" w:eastAsiaTheme="majorEastAsia" w:cstheme="majorEastAsia"/>
          <w:color w:val="auto"/>
          <w:kern w:val="2"/>
          <w:sz w:val="28"/>
          <w:szCs w:val="28"/>
          <w:highlight w:val="none"/>
        </w:rPr>
        <w:t>9.付款方式：合同签订后预付合同款的30%，项目实施结束并通过验收后付合同款的40% ，项目验收后运行满半年后付合同款的25%，余款项目质保期满后付清(无息支付)。</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shd w:val="clear" w:color="auto" w:fill="FFFF00"/>
        </w:rPr>
      </w:pPr>
      <w:r>
        <w:rPr>
          <w:rFonts w:hint="eastAsia" w:asciiTheme="majorEastAsia" w:hAnsiTheme="majorEastAsia" w:eastAsiaTheme="majorEastAsia" w:cstheme="majorEastAsia"/>
          <w:color w:val="auto"/>
          <w:sz w:val="28"/>
          <w:szCs w:val="28"/>
          <w:highlight w:val="none"/>
          <w:shd w:val="clear" w:color="auto" w:fill="FFFFFF"/>
        </w:rPr>
        <w:t>10.本项目不接受联合体</w:t>
      </w:r>
      <w:r>
        <w:rPr>
          <w:rFonts w:hint="eastAsia" w:asciiTheme="majorEastAsia" w:hAnsiTheme="majorEastAsia" w:eastAsiaTheme="majorEastAsia" w:cstheme="majorEastAsia"/>
          <w:color w:val="auto"/>
          <w:sz w:val="28"/>
          <w:szCs w:val="28"/>
          <w:highlight w:val="none"/>
        </w:rPr>
        <w:t>参与招标。</w:t>
      </w:r>
    </w:p>
    <w:p>
      <w:pPr>
        <w:pStyle w:val="12"/>
        <w:keepNext/>
        <w:keepLines/>
        <w:spacing w:beforeAutospacing="0" w:afterAutospacing="0" w:line="400" w:lineRule="exact"/>
        <w:ind w:firstLine="499"/>
        <w:jc w:val="both"/>
        <w:rPr>
          <w:rFonts w:asciiTheme="majorEastAsia" w:hAnsiTheme="majorEastAsia" w:eastAsiaTheme="majorEastAsia" w:cstheme="majorEastAsia"/>
          <w:b/>
          <w:color w:val="auto"/>
          <w:sz w:val="28"/>
          <w:szCs w:val="28"/>
          <w:highlight w:val="none"/>
        </w:rPr>
      </w:pPr>
      <w:bookmarkStart w:id="12" w:name="_Toc28359080"/>
      <w:bookmarkEnd w:id="12"/>
      <w:bookmarkStart w:id="13" w:name="_Toc28359003"/>
      <w:bookmarkEnd w:id="13"/>
      <w:bookmarkStart w:id="14" w:name="_Toc35393791"/>
      <w:bookmarkEnd w:id="14"/>
      <w:bookmarkStart w:id="15" w:name="_Toc35393622"/>
      <w:bookmarkEnd w:id="15"/>
      <w:bookmarkStart w:id="16" w:name="_Toc38985264"/>
      <w:bookmarkEnd w:id="16"/>
      <w:r>
        <w:rPr>
          <w:rFonts w:hint="eastAsia" w:asciiTheme="majorEastAsia" w:hAnsiTheme="majorEastAsia" w:eastAsiaTheme="majorEastAsia" w:cstheme="majorEastAsia"/>
          <w:b/>
          <w:color w:val="auto"/>
          <w:sz w:val="28"/>
          <w:szCs w:val="28"/>
          <w:highlight w:val="none"/>
        </w:rPr>
        <w:t>二、申请人的资格要求：</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1.满足《中华人民共和国政府采购法》第二十二条规定，并提供下列材料：</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1.1 法人或者其他组织的营业执照等证明文件，自然人的身份证明；</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1.2上一年度的财务状况报表（成立不满一年无需提供）；</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1.3具备履行合同所必需的设备和专业技术能力的书面声明；</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1.5参加政府采购活动前3年内在经营活动中没有重大违法记录的书面声明。</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1.6法律、行政法规规定的其他条件。</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1.8单位负责人为同一人或者存在直接控股、管理关系的不同供应商，不得参加同一合同项下的政府采购活动。</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2.落实政府采购政策需满足的资格要求：无</w:t>
      </w:r>
    </w:p>
    <w:p>
      <w:pPr>
        <w:pStyle w:val="12"/>
        <w:spacing w:beforeAutospacing="0" w:afterAutospacing="0" w:line="400" w:lineRule="exact"/>
        <w:ind w:firstLine="48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3.本项目的特定资格要求：无</w:t>
      </w:r>
    </w:p>
    <w:p>
      <w:pPr>
        <w:pStyle w:val="12"/>
        <w:keepNext/>
        <w:keepLines/>
        <w:spacing w:beforeAutospacing="0" w:afterAutospacing="0" w:line="400" w:lineRule="exact"/>
        <w:ind w:firstLine="499"/>
        <w:jc w:val="both"/>
        <w:rPr>
          <w:rFonts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三、获取招标文件</w:t>
      </w:r>
    </w:p>
    <w:p>
      <w:pPr>
        <w:pStyle w:val="12"/>
        <w:widowControl/>
        <w:shd w:val="clear" w:color="auto" w:fill="FFFFFF"/>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7" w:name="_Toc28359005"/>
      <w:bookmarkEnd w:id="17"/>
      <w:bookmarkStart w:id="18" w:name="_Toc35393793"/>
      <w:bookmarkEnd w:id="18"/>
      <w:bookmarkStart w:id="19" w:name="_Toc28359082"/>
      <w:bookmarkEnd w:id="19"/>
      <w:bookmarkStart w:id="20" w:name="_Toc38985266"/>
      <w:bookmarkEnd w:id="20"/>
      <w:bookmarkStart w:id="21" w:name="_Toc35393624"/>
      <w:bookmarkEnd w:id="21"/>
      <w:r>
        <w:rPr>
          <w:rFonts w:hint="eastAsia" w:asciiTheme="majorEastAsia" w:hAnsiTheme="majorEastAsia" w:eastAsiaTheme="majorEastAsia" w:cstheme="majorEastAsia"/>
          <w:color w:val="auto"/>
          <w:sz w:val="28"/>
          <w:szCs w:val="28"/>
          <w:highlight w:val="none"/>
        </w:rPr>
        <w:t>1.时间：2024年8月2</w:t>
      </w:r>
      <w:r>
        <w:rPr>
          <w:rFonts w:hint="eastAsia" w:asciiTheme="majorEastAsia" w:hAnsiTheme="majorEastAsia" w:eastAsiaTheme="majorEastAsia" w:cstheme="majorEastAsia"/>
          <w:color w:val="auto"/>
          <w:sz w:val="28"/>
          <w:szCs w:val="28"/>
          <w:highlight w:val="none"/>
          <w:lang w:val="en-US" w:eastAsia="zh-CN"/>
        </w:rPr>
        <w:t>7</w:t>
      </w:r>
      <w:r>
        <w:rPr>
          <w:rFonts w:hint="eastAsia" w:asciiTheme="majorEastAsia" w:hAnsiTheme="majorEastAsia" w:eastAsiaTheme="majorEastAsia" w:cstheme="majorEastAsia"/>
          <w:color w:val="auto"/>
          <w:sz w:val="28"/>
          <w:szCs w:val="28"/>
          <w:highlight w:val="none"/>
        </w:rPr>
        <w:t>日至2024年</w:t>
      </w:r>
      <w:r>
        <w:rPr>
          <w:rFonts w:hint="eastAsia" w:asciiTheme="majorEastAsia" w:hAnsiTheme="majorEastAsia" w:eastAsiaTheme="majorEastAsia" w:cstheme="majorEastAsia"/>
          <w:color w:val="auto"/>
          <w:sz w:val="28"/>
          <w:szCs w:val="28"/>
          <w:highlight w:val="none"/>
          <w:lang w:val="en-US" w:eastAsia="zh-CN"/>
        </w:rPr>
        <w:t>9</w:t>
      </w:r>
      <w:r>
        <w:rPr>
          <w:rFonts w:hint="eastAsia" w:asciiTheme="majorEastAsia" w:hAnsiTheme="majorEastAsia" w:eastAsiaTheme="majorEastAsia" w:cstheme="majorEastAsia"/>
          <w:color w:val="auto"/>
          <w:sz w:val="28"/>
          <w:szCs w:val="28"/>
          <w:highlight w:val="none"/>
        </w:rPr>
        <w:t>月</w:t>
      </w:r>
      <w:r>
        <w:rPr>
          <w:rFonts w:hint="eastAsia" w:asciiTheme="majorEastAsia" w:hAnsiTheme="majorEastAsia" w:eastAsiaTheme="majorEastAsia" w:cstheme="majorEastAsia"/>
          <w:color w:val="auto"/>
          <w:sz w:val="28"/>
          <w:szCs w:val="28"/>
          <w:highlight w:val="none"/>
          <w:lang w:val="en-US" w:eastAsia="zh-CN"/>
        </w:rPr>
        <w:t>2</w:t>
      </w:r>
      <w:r>
        <w:rPr>
          <w:rFonts w:hint="eastAsia" w:asciiTheme="majorEastAsia" w:hAnsiTheme="majorEastAsia" w:eastAsiaTheme="majorEastAsia" w:cstheme="majorEastAsia"/>
          <w:color w:val="auto"/>
          <w:sz w:val="28"/>
          <w:szCs w:val="28"/>
          <w:highlight w:val="none"/>
        </w:rPr>
        <w:t>日（提供期限自本公告发布之日起不得少于5个工作日），每天上午8时30分至12时00分，下午14时30分至18时00分（北京时间，法定节假日除外）。</w:t>
      </w:r>
    </w:p>
    <w:p>
      <w:pPr>
        <w:widowControl/>
        <w:spacing w:line="400" w:lineRule="exact"/>
        <w:ind w:firstLine="560" w:firstLineChars="200"/>
        <w:jc w:val="left"/>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2.地点：</w:t>
      </w:r>
      <w:r>
        <w:rPr>
          <w:rFonts w:hint="eastAsia" w:asciiTheme="majorEastAsia" w:hAnsiTheme="majorEastAsia" w:eastAsiaTheme="majorEastAsia" w:cstheme="majorEastAsia"/>
          <w:color w:val="auto"/>
          <w:kern w:val="0"/>
          <w:sz w:val="28"/>
          <w:szCs w:val="28"/>
          <w:highlight w:val="none"/>
        </w:rPr>
        <w:t>中国政府采购网、</w:t>
      </w:r>
      <w:r>
        <w:rPr>
          <w:rFonts w:hint="eastAsia" w:asciiTheme="majorEastAsia" w:hAnsiTheme="majorEastAsia" w:eastAsiaTheme="majorEastAsia" w:cstheme="majorEastAsia"/>
          <w:color w:val="auto"/>
          <w:sz w:val="28"/>
          <w:szCs w:val="28"/>
          <w:highlight w:val="none"/>
        </w:rPr>
        <w:t>江苏政府采购网、盐城市政府采购网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3.方式：在“中国政府采购网”、“江苏政府采购网”、“盐城市政府采购网”自行免费下载招标文件。</w:t>
      </w:r>
    </w:p>
    <w:p>
      <w:pPr>
        <w:widowControl/>
        <w:spacing w:line="400" w:lineRule="exact"/>
        <w:ind w:firstLine="560" w:firstLineChars="200"/>
        <w:jc w:val="lef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8"/>
          <w:szCs w:val="28"/>
          <w:highlight w:val="none"/>
        </w:rPr>
        <w:t>4.售价：0元</w:t>
      </w:r>
    </w:p>
    <w:p>
      <w:pPr>
        <w:pStyle w:val="12"/>
        <w:keepNext/>
        <w:keepLines/>
        <w:spacing w:beforeAutospacing="0" w:afterAutospacing="0" w:line="400" w:lineRule="exact"/>
        <w:ind w:firstLine="499"/>
        <w:jc w:val="both"/>
        <w:rPr>
          <w:rFonts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四、提交投标文件截止时间、开标时间和地点</w:t>
      </w:r>
    </w:p>
    <w:p>
      <w:pPr>
        <w:pStyle w:val="12"/>
        <w:widowControl/>
        <w:shd w:val="clear" w:color="auto" w:fill="FFFFFF"/>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1.时间：</w:t>
      </w:r>
      <w:r>
        <w:rPr>
          <w:rFonts w:hint="eastAsia" w:asciiTheme="majorEastAsia" w:hAnsiTheme="majorEastAsia" w:eastAsiaTheme="majorEastAsia" w:cstheme="majorEastAsia"/>
          <w:color w:val="auto"/>
          <w:sz w:val="28"/>
          <w:szCs w:val="28"/>
          <w:highlight w:val="none"/>
          <w:shd w:val="clear" w:color="auto" w:fill="FFFFFF"/>
        </w:rPr>
        <w:t>2024年9月19日 15时00分</w:t>
      </w:r>
      <w:r>
        <w:rPr>
          <w:rFonts w:hint="eastAsia" w:asciiTheme="majorEastAsia" w:hAnsiTheme="majorEastAsia" w:eastAsiaTheme="majorEastAsia" w:cstheme="majorEastAsia"/>
          <w:color w:val="auto"/>
          <w:sz w:val="28"/>
          <w:szCs w:val="28"/>
          <w:highlight w:val="none"/>
        </w:rPr>
        <w:t>（北京时间）</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22" w:name="_Toc38985267"/>
      <w:bookmarkStart w:id="23" w:name="_Toc28359084"/>
      <w:bookmarkStart w:id="24" w:name="_Toc35393794"/>
      <w:bookmarkStart w:id="25" w:name="_Toc35393625"/>
      <w:bookmarkStart w:id="26" w:name="_Toc28359007"/>
      <w:r>
        <w:rPr>
          <w:rFonts w:hint="eastAsia" w:asciiTheme="majorEastAsia" w:hAnsiTheme="majorEastAsia" w:eastAsiaTheme="majorEastAsia" w:cstheme="majorEastAsia"/>
          <w:color w:val="auto"/>
          <w:sz w:val="28"/>
          <w:szCs w:val="28"/>
          <w:highlight w:val="none"/>
        </w:rPr>
        <w:t>2.地点：“苏采云”政府采购交易系统网上开标大厅。</w:t>
      </w:r>
    </w:p>
    <w:bookmarkEnd w:id="22"/>
    <w:bookmarkEnd w:id="23"/>
    <w:bookmarkEnd w:id="24"/>
    <w:bookmarkEnd w:id="25"/>
    <w:bookmarkEnd w:id="26"/>
    <w:p>
      <w:pPr>
        <w:pStyle w:val="12"/>
        <w:spacing w:beforeAutospacing="0" w:afterAutospacing="0" w:line="400" w:lineRule="exact"/>
        <w:ind w:firstLine="643"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五、公告期限</w:t>
      </w:r>
    </w:p>
    <w:p>
      <w:pPr>
        <w:pStyle w:val="12"/>
        <w:widowControl/>
        <w:shd w:val="clear" w:color="auto" w:fill="FFFFFF"/>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shd w:val="clear" w:color="auto" w:fill="FFFFFF"/>
        </w:rPr>
      </w:pPr>
      <w:bookmarkStart w:id="27" w:name="_Toc35393626"/>
      <w:bookmarkEnd w:id="27"/>
      <w:bookmarkStart w:id="28" w:name="_Toc38985268"/>
      <w:bookmarkEnd w:id="28"/>
      <w:bookmarkStart w:id="29" w:name="_Toc35393795"/>
      <w:bookmarkEnd w:id="29"/>
      <w:r>
        <w:rPr>
          <w:rFonts w:hint="eastAsia" w:asciiTheme="majorEastAsia" w:hAnsiTheme="majorEastAsia" w:eastAsiaTheme="majorEastAsia" w:cstheme="majorEastAsia"/>
          <w:color w:val="auto"/>
          <w:sz w:val="28"/>
          <w:szCs w:val="28"/>
          <w:highlight w:val="none"/>
          <w:shd w:val="clear" w:color="auto" w:fill="FFFFFF"/>
        </w:rPr>
        <w:t>自本公告发布之日起5个工作日。</w:t>
      </w:r>
    </w:p>
    <w:p>
      <w:pPr>
        <w:pStyle w:val="12"/>
        <w:keepNext/>
        <w:keepLines/>
        <w:spacing w:beforeAutospacing="0" w:afterAutospacing="0" w:line="400" w:lineRule="exact"/>
        <w:ind w:firstLine="643" w:firstLineChars="200"/>
        <w:jc w:val="both"/>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六、其他补充事宜</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Cs/>
          <w:color w:val="auto"/>
          <w:sz w:val="28"/>
          <w:szCs w:val="28"/>
          <w:highlight w:val="none"/>
        </w:rPr>
        <w:t>1.核心产品：</w:t>
      </w:r>
      <w:r>
        <w:rPr>
          <w:rFonts w:hint="eastAsia" w:asciiTheme="majorEastAsia" w:hAnsiTheme="majorEastAsia" w:eastAsiaTheme="majorEastAsia" w:cstheme="majorEastAsia"/>
          <w:b/>
          <w:color w:val="auto"/>
          <w:sz w:val="28"/>
          <w:szCs w:val="28"/>
          <w:highlight w:val="none"/>
        </w:rPr>
        <w:t>烟火检测摄像机</w:t>
      </w:r>
    </w:p>
    <w:p>
      <w:pPr>
        <w:pStyle w:val="12"/>
        <w:widowControl/>
        <w:shd w:val="clear" w:color="auto" w:fill="FFFFFF"/>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30" w:name="_Toc28359018"/>
      <w:r>
        <w:rPr>
          <w:rFonts w:hint="eastAsia" w:asciiTheme="majorEastAsia" w:hAnsiTheme="majorEastAsia" w:eastAsiaTheme="majorEastAsia" w:cstheme="majorEastAsia"/>
          <w:color w:val="auto"/>
          <w:sz w:val="28"/>
          <w:szCs w:val="28"/>
          <w:highlight w:val="none"/>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w:t>
      </w:r>
      <w:r>
        <w:rPr>
          <w:rFonts w:hint="eastAsia" w:asciiTheme="majorEastAsia" w:hAnsiTheme="majorEastAsia" w:eastAsiaTheme="majorEastAsia" w:cstheme="majorEastAsia"/>
          <w:color w:val="auto"/>
          <w:sz w:val="28"/>
          <w:szCs w:val="28"/>
          <w:highlight w:val="none"/>
        </w:rPr>
        <w:t>册：在盐城市政府采购网点击【办事指南】-【供应商参与政府采购活动相关资料】。</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w:t>
      </w:r>
      <w:r>
        <w:rPr>
          <w:rFonts w:hint="eastAsia" w:asciiTheme="majorEastAsia" w:hAnsiTheme="majorEastAsia" w:eastAsiaTheme="majorEastAsia" w:cstheme="majorEastAsia"/>
          <w:color w:val="auto"/>
          <w:sz w:val="28"/>
          <w:szCs w:val="28"/>
          <w:highlight w:val="none"/>
        </w:rPr>
        <w:t>册》：在盐城市政府采购网点击【办事指南】-【供应商参与政府采购活动相关资料】。</w:t>
      </w:r>
    </w:p>
    <w:p>
      <w:pPr>
        <w:pStyle w:val="12"/>
        <w:widowControl/>
        <w:numPr>
          <w:ilvl w:val="0"/>
          <w:numId w:val="2"/>
        </w:numPr>
        <w:shd w:val="clear" w:color="auto" w:fill="FFFFFF"/>
        <w:spacing w:beforeAutospacing="0" w:afterAutospacing="0" w:line="400" w:lineRule="exact"/>
        <w:ind w:left="279" w:leftChars="133" w:firstLine="464" w:firstLineChars="166"/>
        <w:jc w:val="left"/>
        <w:rPr>
          <w:rFonts w:hint="eastAsia"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有关本次招标的事项若存在变动或修改，敬请及时关注采购人在“</w:t>
      </w:r>
      <w:r>
        <w:rPr>
          <w:rFonts w:hint="eastAsia" w:asciiTheme="majorEastAsia" w:hAnsiTheme="majorEastAsia" w:eastAsiaTheme="majorEastAsia" w:cstheme="majorEastAsia"/>
          <w:color w:val="auto"/>
          <w:sz w:val="28"/>
          <w:szCs w:val="28"/>
          <w:highlight w:val="none"/>
        </w:rPr>
        <w:t>中国政府采购网</w:t>
      </w:r>
      <w:r>
        <w:rPr>
          <w:rFonts w:hint="eastAsia" w:asciiTheme="majorEastAsia" w:hAnsiTheme="majorEastAsia" w:eastAsiaTheme="majorEastAsia" w:cstheme="majorEastAsia"/>
          <w:color w:val="auto"/>
          <w:sz w:val="28"/>
          <w:szCs w:val="28"/>
          <w:highlight w:val="none"/>
          <w:shd w:val="clear" w:color="auto" w:fill="FFFFFF"/>
        </w:rPr>
        <w:t>”、“江苏政府采购网”、“盐城市政府采购网”发布的更正公告。</w:t>
      </w:r>
    </w:p>
    <w:p>
      <w:pPr>
        <w:pStyle w:val="12"/>
        <w:widowControl/>
        <w:numPr>
          <w:ilvl w:val="0"/>
          <w:numId w:val="0"/>
        </w:numPr>
        <w:shd w:val="clear" w:color="auto" w:fill="FFFFFF"/>
        <w:spacing w:beforeAutospacing="0" w:afterAutospacing="0" w:line="400" w:lineRule="exact"/>
        <w:ind w:leftChars="299"/>
        <w:jc w:val="left"/>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4.</w:t>
      </w:r>
      <w:r>
        <w:rPr>
          <w:rFonts w:hint="eastAsia" w:asciiTheme="majorEastAsia" w:hAnsiTheme="majorEastAsia" w:eastAsiaTheme="majorEastAsia" w:cstheme="majorEastAsia"/>
          <w:color w:val="auto"/>
          <w:sz w:val="28"/>
          <w:szCs w:val="28"/>
          <w:highlight w:val="none"/>
          <w:shd w:val="clear" w:color="auto" w:fill="FFFFFF"/>
        </w:rPr>
        <w:t>根据《关于在全省政府采购领域推行电子履约保函（保险）的通知》（苏财购〔2023〕150号），供应商中标后，可以以履约保函（保险）形式代替履约保证金，可通过政府采购电子履约保函（保险）平台（www.jsdzbh.com）在线申请履约保函（保险），详见通知内容。</w:t>
      </w:r>
    </w:p>
    <w:p>
      <w:pPr>
        <w:pStyle w:val="12"/>
        <w:widowControl/>
        <w:shd w:val="clear" w:color="auto" w:fill="FFFFFF"/>
        <w:spacing w:beforeAutospacing="0" w:afterAutospacing="0" w:line="400" w:lineRule="exact"/>
        <w:ind w:left="279" w:leftChars="133" w:firstLine="464" w:firstLineChars="166"/>
        <w:jc w:val="left"/>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5</w:t>
      </w:r>
      <w:r>
        <w:rPr>
          <w:rFonts w:hint="eastAsia" w:asciiTheme="majorEastAsia" w:hAnsiTheme="majorEastAsia" w:eastAsiaTheme="majorEastAsia" w:cstheme="majorEastAsia"/>
          <w:color w:val="auto"/>
          <w:sz w:val="28"/>
          <w:szCs w:val="28"/>
          <w:highlight w:val="none"/>
          <w:shd w:val="clear" w:color="auto" w:fill="FFFFFF"/>
        </w:rPr>
        <w:t>.电子投标文件一份（通过系统提交）；纸质投标文件正本一份，副本四份（评审结束后由中标候选人邮寄至（代理公司），未中标单位不需要提供）。</w:t>
      </w:r>
    </w:p>
    <w:p>
      <w:pPr>
        <w:pStyle w:val="12"/>
        <w:widowControl/>
        <w:shd w:val="clear" w:color="auto" w:fill="FFFFFF"/>
        <w:spacing w:beforeAutospacing="0" w:afterAutospacing="0" w:line="400" w:lineRule="exact"/>
        <w:ind w:left="279" w:leftChars="133" w:firstLine="464" w:firstLineChars="166"/>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6</w:t>
      </w:r>
      <w:r>
        <w:rPr>
          <w:rFonts w:hint="eastAsia" w:asciiTheme="majorEastAsia" w:hAnsiTheme="majorEastAsia" w:eastAsiaTheme="majorEastAsia" w:cstheme="majorEastAsia"/>
          <w:color w:val="auto"/>
          <w:sz w:val="28"/>
          <w:szCs w:val="28"/>
          <w:highlight w:val="none"/>
          <w:shd w:val="clear" w:color="auto" w:fill="FFFFFF"/>
        </w:rPr>
        <w:t>.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pPr>
        <w:pStyle w:val="12"/>
        <w:widowControl/>
        <w:shd w:val="clear" w:color="auto" w:fill="FFFFFF"/>
        <w:spacing w:beforeAutospacing="0" w:afterAutospacing="0" w:line="400" w:lineRule="exact"/>
        <w:ind w:left="279" w:leftChars="133" w:firstLine="464" w:firstLineChars="166"/>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7</w:t>
      </w:r>
      <w:r>
        <w:rPr>
          <w:rFonts w:hint="eastAsia" w:asciiTheme="majorEastAsia" w:hAnsiTheme="majorEastAsia" w:eastAsiaTheme="majorEastAsia" w:cstheme="majorEastAsia"/>
          <w:color w:val="auto"/>
          <w:sz w:val="28"/>
          <w:szCs w:val="28"/>
          <w:highlight w:val="none"/>
          <w:shd w:val="clear" w:color="auto" w:fill="FFFFFF"/>
        </w:rPr>
        <w:t>.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pPr>
        <w:pStyle w:val="12"/>
        <w:widowControl/>
        <w:shd w:val="clear" w:color="auto" w:fill="FFFFFF"/>
        <w:spacing w:beforeAutospacing="0" w:afterAutospacing="0" w:line="400" w:lineRule="exact"/>
        <w:ind w:left="279" w:leftChars="133" w:firstLine="464" w:firstLineChars="166"/>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8</w:t>
      </w:r>
      <w:r>
        <w:rPr>
          <w:rFonts w:hint="eastAsia" w:asciiTheme="majorEastAsia" w:hAnsiTheme="majorEastAsia" w:eastAsiaTheme="majorEastAsia" w:cstheme="majorEastAsia"/>
          <w:color w:val="auto"/>
          <w:sz w:val="28"/>
          <w:szCs w:val="28"/>
          <w:highlight w:val="none"/>
          <w:shd w:val="clear" w:color="auto" w:fill="FFFFFF"/>
        </w:rPr>
        <w:t>、各投标人在投标截止时间前应当每天都上网查询，以便获取更新的澄清、修改、补充内容。凡涉及到该项目的补充说明和修改，均以江苏政府采购网上的更正或补充通知为准。</w:t>
      </w:r>
    </w:p>
    <w:p>
      <w:pPr>
        <w:pStyle w:val="12"/>
        <w:widowControl/>
        <w:shd w:val="clear" w:color="auto" w:fill="FFFFFF"/>
        <w:spacing w:beforeAutospacing="0" w:afterAutospacing="0" w:line="400" w:lineRule="exact"/>
        <w:ind w:left="279" w:leftChars="133" w:firstLine="464" w:firstLineChars="166"/>
        <w:jc w:val="both"/>
        <w:rPr>
          <w:rFonts w:hint="eastAsia"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9</w:t>
      </w:r>
      <w:r>
        <w:rPr>
          <w:rFonts w:hint="eastAsia" w:asciiTheme="majorEastAsia" w:hAnsiTheme="majorEastAsia" w:eastAsiaTheme="majorEastAsia" w:cstheme="majorEastAsia"/>
          <w:color w:val="auto"/>
          <w:sz w:val="28"/>
          <w:szCs w:val="28"/>
          <w:highlight w:val="none"/>
          <w:shd w:val="clear" w:color="auto" w:fill="FFFFFF"/>
        </w:rPr>
        <w:t>、因供应商的系统环境、操作等原因导致报名、开评标过程中出现问题由供应商自行承担负责。</w:t>
      </w:r>
    </w:p>
    <w:p>
      <w:pPr>
        <w:pStyle w:val="12"/>
        <w:spacing w:beforeAutospacing="0" w:afterAutospacing="0" w:line="400" w:lineRule="exact"/>
        <w:ind w:firstLine="560" w:firstLineChars="200"/>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10</w:t>
      </w:r>
      <w:r>
        <w:rPr>
          <w:rFonts w:hint="eastAsia" w:asciiTheme="majorEastAsia" w:hAnsiTheme="majorEastAsia" w:eastAsiaTheme="majorEastAsia" w:cstheme="majorEastAsia"/>
          <w:color w:val="auto"/>
          <w:sz w:val="28"/>
          <w:szCs w:val="28"/>
          <w:highlight w:val="none"/>
          <w:shd w:val="clear" w:color="auto" w:fill="FFFFFF"/>
        </w:rPr>
        <w:t xml:space="preserve">、本项目对小型和微型企业产品给予20%的价格扣除，用扣除后的价格参与评审。 </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lang w:val="en-US" w:eastAsia="zh-CN"/>
        </w:rPr>
        <w:t>11</w:t>
      </w:r>
      <w:r>
        <w:rPr>
          <w:rFonts w:hint="eastAsia" w:asciiTheme="majorEastAsia" w:hAnsiTheme="majorEastAsia" w:eastAsiaTheme="majorEastAsia" w:cstheme="majorEastAsia"/>
          <w:color w:val="auto"/>
          <w:sz w:val="28"/>
          <w:szCs w:val="28"/>
          <w:highlight w:val="none"/>
          <w:shd w:val="clear" w:color="auto" w:fill="FFFFFF"/>
        </w:rPr>
        <w:t>、本次招标不收取投标保证金，不收取质量保证金。</w:t>
      </w:r>
    </w:p>
    <w:bookmarkEnd w:id="30"/>
    <w:p>
      <w:pPr>
        <w:pStyle w:val="2"/>
        <w:widowControl/>
        <w:shd w:val="clear" w:color="auto" w:fill="FFFFFF"/>
        <w:spacing w:beforeAutospacing="0" w:afterAutospacing="0" w:line="400" w:lineRule="exact"/>
        <w:ind w:firstLine="560" w:firstLineChars="200"/>
        <w:jc w:val="both"/>
        <w:rPr>
          <w:rFonts w:hint="default" w:asciiTheme="majorEastAsia" w:hAnsiTheme="majorEastAsia" w:eastAsiaTheme="majorEastAsia" w:cstheme="majorEastAsia"/>
          <w:b w:val="0"/>
          <w:bCs w:val="0"/>
          <w:color w:val="auto"/>
          <w:sz w:val="27"/>
          <w:szCs w:val="27"/>
          <w:highlight w:val="none"/>
        </w:rPr>
      </w:pPr>
      <w:r>
        <w:rPr>
          <w:rFonts w:asciiTheme="majorEastAsia" w:hAnsiTheme="majorEastAsia" w:eastAsiaTheme="majorEastAsia" w:cstheme="majorEastAsia"/>
          <w:b w:val="0"/>
          <w:bCs w:val="0"/>
          <w:color w:val="auto"/>
          <w:sz w:val="28"/>
          <w:szCs w:val="28"/>
          <w:highlight w:val="none"/>
          <w:shd w:val="clear" w:color="auto" w:fill="FFFFFF"/>
        </w:rPr>
        <w:t>七、对本次招标提出询问，请按以下方式联系。</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1.采购人信息</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 xml:space="preserve">名称：江苏响水经济开发区管理委员会    </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 xml:space="preserve">地址：响水县灌江路与建安路交叉口    </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 xml:space="preserve">联系人：何海霞              </w:t>
      </w:r>
    </w:p>
    <w:p>
      <w:pPr>
        <w:pStyle w:val="12"/>
        <w:widowControl/>
        <w:shd w:val="clear" w:color="auto" w:fill="FFFFFF"/>
        <w:spacing w:beforeAutospacing="0" w:afterAutospacing="0" w:line="400" w:lineRule="exact"/>
        <w:ind w:firstLine="560"/>
        <w:jc w:val="both"/>
        <w:rPr>
          <w:rFonts w:asciiTheme="majorEastAsia" w:hAnsiTheme="majorEastAsia" w:eastAsiaTheme="majorEastAsia" w:cstheme="majorEastAsia"/>
          <w:color w:val="auto"/>
          <w:sz w:val="28"/>
          <w:szCs w:val="28"/>
          <w:highlight w:val="none"/>
          <w:shd w:val="clear" w:color="auto" w:fill="FFFFFF"/>
        </w:rPr>
      </w:pPr>
      <w:r>
        <w:rPr>
          <w:rFonts w:hint="eastAsia" w:asciiTheme="majorEastAsia" w:hAnsiTheme="majorEastAsia" w:eastAsiaTheme="majorEastAsia" w:cstheme="majorEastAsia"/>
          <w:color w:val="auto"/>
          <w:sz w:val="28"/>
          <w:szCs w:val="28"/>
          <w:highlight w:val="none"/>
          <w:shd w:val="clear" w:color="auto" w:fill="FFFFFF"/>
        </w:rPr>
        <w:t xml:space="preserve">联系方式：13615158129              </w:t>
      </w:r>
    </w:p>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bookmarkStart w:id="31" w:name="_Toc35393638"/>
      <w:bookmarkEnd w:id="31"/>
      <w:bookmarkStart w:id="32" w:name="_Toc35393807"/>
      <w:bookmarkEnd w:id="32"/>
      <w:bookmarkStart w:id="33" w:name="_Toc28359097"/>
      <w:bookmarkEnd w:id="33"/>
      <w:bookmarkStart w:id="34" w:name="_Toc28359020"/>
      <w:bookmarkEnd w:id="34"/>
      <w:r>
        <w:rPr>
          <w:rFonts w:hint="eastAsia" w:asciiTheme="majorEastAsia" w:hAnsiTheme="majorEastAsia" w:eastAsiaTheme="majorEastAsia" w:cstheme="majorEastAsia"/>
          <w:color w:val="auto"/>
          <w:kern w:val="0"/>
          <w:sz w:val="28"/>
          <w:szCs w:val="28"/>
          <w:highlight w:val="none"/>
          <w:shd w:val="clear" w:color="auto" w:fill="FFFFFF"/>
        </w:rPr>
        <w:t>2.采购代理机构信息</w:t>
      </w:r>
    </w:p>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名称：盐城锦运项目管理服务有限公司</w:t>
      </w:r>
    </w:p>
    <w:p>
      <w:pPr>
        <w:adjustRightInd w:val="0"/>
        <w:snapToGrid w:val="0"/>
        <w:spacing w:line="400" w:lineRule="exact"/>
        <w:ind w:left="839" w:leftChars="266" w:hanging="280" w:hangingChars="100"/>
        <w:rPr>
          <w:rFonts w:asciiTheme="majorEastAsia" w:hAnsiTheme="majorEastAsia" w:eastAsiaTheme="majorEastAsia" w:cstheme="majorEastAsia"/>
          <w:color w:val="auto"/>
          <w:kern w:val="0"/>
          <w:sz w:val="28"/>
          <w:szCs w:val="28"/>
          <w:highlight w:val="none"/>
          <w:shd w:val="clear" w:color="auto" w:fill="FFFFFF"/>
        </w:rPr>
      </w:pPr>
      <w:bookmarkStart w:id="35" w:name="_Toc35393639"/>
      <w:bookmarkStart w:id="36" w:name="_Toc35393808"/>
      <w:bookmarkStart w:id="37" w:name="_Toc28359098"/>
      <w:bookmarkStart w:id="38" w:name="_Toc28359021"/>
      <w:r>
        <w:rPr>
          <w:rFonts w:hint="eastAsia" w:asciiTheme="majorEastAsia" w:hAnsiTheme="majorEastAsia" w:eastAsiaTheme="majorEastAsia" w:cstheme="majorEastAsia"/>
          <w:color w:val="auto"/>
          <w:kern w:val="0"/>
          <w:sz w:val="28"/>
          <w:szCs w:val="28"/>
          <w:highlight w:val="none"/>
          <w:shd w:val="clear" w:color="auto" w:fill="FFFFFF"/>
        </w:rPr>
        <w:t>地址：响水县开发区灌江一组312号(和通门业院内)三楼</w:t>
      </w:r>
    </w:p>
    <w:p>
      <w:pPr>
        <w:adjustRightInd w:val="0"/>
        <w:snapToGrid w:val="0"/>
        <w:spacing w:line="400" w:lineRule="exact"/>
        <w:ind w:left="839" w:leftChars="266" w:hanging="280" w:hangingChars="1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联系人：姚红霞</w:t>
      </w:r>
    </w:p>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联系电话：13179334773</w:t>
      </w:r>
    </w:p>
    <w:bookmarkEnd w:id="35"/>
    <w:bookmarkEnd w:id="36"/>
    <w:bookmarkEnd w:id="37"/>
    <w:bookmarkEnd w:id="38"/>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3.项目联系方式</w:t>
      </w:r>
    </w:p>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项目联系人：王林</w:t>
      </w:r>
    </w:p>
    <w:p>
      <w:pPr>
        <w:adjustRightInd w:val="0"/>
        <w:snapToGrid w:val="0"/>
        <w:spacing w:line="400" w:lineRule="exact"/>
        <w:ind w:firstLine="560" w:firstLineChars="200"/>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t>电话：13905119101</w:t>
      </w:r>
    </w:p>
    <w:p>
      <w:pPr>
        <w:rPr>
          <w:rFonts w:asciiTheme="majorEastAsia" w:hAnsiTheme="majorEastAsia" w:eastAsiaTheme="majorEastAsia" w:cstheme="majorEastAsia"/>
          <w:color w:val="auto"/>
          <w:kern w:val="0"/>
          <w:sz w:val="28"/>
          <w:szCs w:val="28"/>
          <w:highlight w:val="none"/>
          <w:shd w:val="clear" w:color="auto" w:fill="FFFFFF"/>
        </w:rPr>
      </w:pPr>
      <w:r>
        <w:rPr>
          <w:rFonts w:hint="eastAsia" w:asciiTheme="majorEastAsia" w:hAnsiTheme="majorEastAsia" w:eastAsiaTheme="majorEastAsia" w:cstheme="majorEastAsia"/>
          <w:color w:val="auto"/>
          <w:kern w:val="0"/>
          <w:sz w:val="28"/>
          <w:szCs w:val="28"/>
          <w:highlight w:val="none"/>
          <w:shd w:val="clear" w:color="auto" w:fill="FFFFFF"/>
        </w:rPr>
        <w:br w:type="page"/>
      </w:r>
    </w:p>
    <w:p>
      <w:pPr>
        <w:pStyle w:val="12"/>
        <w:keepNext/>
        <w:spacing w:beforeAutospacing="0" w:afterAutospacing="0"/>
        <w:jc w:val="center"/>
        <w:rPr>
          <w:rFonts w:ascii="Times New Roman" w:hAnsi="Times New Roman" w:eastAsia="方正大标宋_GBK" w:cs="方正大标宋_GBK"/>
          <w:color w:val="auto"/>
          <w:sz w:val="44"/>
          <w:szCs w:val="44"/>
          <w:highlight w:val="none"/>
        </w:rPr>
      </w:pPr>
      <w:bookmarkStart w:id="39" w:name="_Toc16938518"/>
      <w:bookmarkEnd w:id="39"/>
      <w:bookmarkStart w:id="40" w:name="_Toc120614213"/>
      <w:bookmarkEnd w:id="40"/>
      <w:bookmarkStart w:id="41" w:name="_Toc513029202"/>
      <w:bookmarkEnd w:id="41"/>
      <w:bookmarkStart w:id="42" w:name="_Toc120614211"/>
      <w:bookmarkEnd w:id="42"/>
      <w:bookmarkStart w:id="43" w:name="_Toc20823274"/>
      <w:bookmarkEnd w:id="43"/>
      <w:r>
        <w:rPr>
          <w:rFonts w:hint="eastAsia" w:ascii="Times New Roman" w:hAnsi="Times New Roman" w:eastAsia="方正大标宋_GBK" w:cs="方正大标宋_GBK"/>
          <w:color w:val="auto"/>
          <w:sz w:val="44"/>
          <w:szCs w:val="44"/>
          <w:highlight w:val="none"/>
        </w:rPr>
        <w:t>第二章  投标人须知</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b/>
          <w:bCs/>
          <w:color w:val="auto"/>
          <w:sz w:val="28"/>
          <w:szCs w:val="28"/>
          <w:highlight w:val="none"/>
        </w:rPr>
      </w:pPr>
      <w:bookmarkStart w:id="44" w:name="_Toc120614214"/>
      <w:bookmarkEnd w:id="44"/>
      <w:bookmarkStart w:id="45" w:name="_Toc513029203"/>
      <w:bookmarkEnd w:id="45"/>
      <w:bookmarkStart w:id="46" w:name="_Toc16938519"/>
      <w:bookmarkEnd w:id="46"/>
      <w:bookmarkStart w:id="47" w:name="_Toc20823275"/>
      <w:bookmarkEnd w:id="47"/>
      <w:r>
        <w:rPr>
          <w:rFonts w:hint="eastAsia" w:asciiTheme="majorEastAsia" w:hAnsiTheme="majorEastAsia" w:eastAsiaTheme="majorEastAsia" w:cstheme="majorEastAsia"/>
          <w:b/>
          <w:bCs/>
          <w:color w:val="auto"/>
          <w:sz w:val="28"/>
          <w:szCs w:val="28"/>
          <w:highlight w:val="none"/>
        </w:rPr>
        <w:t>一、总则</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48" w:name="_Toc513029204"/>
      <w:bookmarkEnd w:id="48"/>
      <w:bookmarkStart w:id="49" w:name="_Toc20823276"/>
      <w:bookmarkEnd w:id="49"/>
      <w:bookmarkStart w:id="50" w:name="_Toc16938520"/>
      <w:bookmarkEnd w:id="50"/>
      <w:bookmarkStart w:id="51" w:name="_Toc458694821"/>
      <w:bookmarkEnd w:id="51"/>
      <w:r>
        <w:rPr>
          <w:rFonts w:hint="eastAsia" w:asciiTheme="majorEastAsia" w:hAnsiTheme="majorEastAsia" w:eastAsiaTheme="majorEastAsia" w:cstheme="majorEastAsia"/>
          <w:color w:val="auto"/>
          <w:sz w:val="28"/>
          <w:szCs w:val="28"/>
          <w:highlight w:val="none"/>
        </w:rPr>
        <w:t>1、招标方式</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1.1 本次招标采取公开招标方式，本招标文件仅适用于招标公告中所述项目。</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52" w:name="_Toc16938521"/>
      <w:bookmarkEnd w:id="52"/>
      <w:bookmarkStart w:id="53" w:name="_Toc513029205"/>
      <w:bookmarkEnd w:id="53"/>
      <w:bookmarkStart w:id="54" w:name="_Toc20823277"/>
      <w:bookmarkEnd w:id="54"/>
      <w:r>
        <w:rPr>
          <w:rFonts w:hint="eastAsia" w:asciiTheme="majorEastAsia" w:hAnsiTheme="majorEastAsia" w:eastAsiaTheme="majorEastAsia" w:cstheme="majorEastAsia"/>
          <w:color w:val="auto"/>
          <w:sz w:val="28"/>
          <w:szCs w:val="28"/>
          <w:highlight w:val="none"/>
        </w:rPr>
        <w:t>2、合格的投标人</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2.1满足招标公告中供应商的资格要求的规定。</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2.2 满足本文件实质性要求和条件的规定。</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55" w:name="_Toc16938522"/>
      <w:bookmarkEnd w:id="55"/>
      <w:bookmarkStart w:id="56" w:name="_Toc20823278"/>
      <w:bookmarkEnd w:id="56"/>
      <w:bookmarkStart w:id="57" w:name="_Toc513029206"/>
      <w:bookmarkEnd w:id="57"/>
      <w:r>
        <w:rPr>
          <w:rFonts w:hint="eastAsia" w:asciiTheme="majorEastAsia" w:hAnsiTheme="majorEastAsia" w:eastAsiaTheme="majorEastAsia" w:cstheme="majorEastAsia"/>
          <w:color w:val="auto"/>
          <w:sz w:val="28"/>
          <w:szCs w:val="28"/>
          <w:highlight w:val="none"/>
        </w:rPr>
        <w:t>3、适用法律</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3.1 本次招标及由此产生的合同受中华人民共和国有关的法律法规制约和保护。</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58" w:name="_Toc462564067"/>
      <w:bookmarkEnd w:id="58"/>
      <w:bookmarkStart w:id="59" w:name="_Toc20823279"/>
      <w:bookmarkEnd w:id="59"/>
      <w:bookmarkStart w:id="60" w:name="_Toc16938523"/>
      <w:bookmarkEnd w:id="60"/>
      <w:bookmarkStart w:id="61" w:name="_Toc513029207"/>
      <w:bookmarkEnd w:id="61"/>
      <w:r>
        <w:rPr>
          <w:rFonts w:hint="eastAsia" w:asciiTheme="majorEastAsia" w:hAnsiTheme="majorEastAsia" w:eastAsiaTheme="majorEastAsia" w:cstheme="majorEastAsia"/>
          <w:color w:val="auto"/>
          <w:sz w:val="28"/>
          <w:szCs w:val="28"/>
          <w:highlight w:val="none"/>
        </w:rPr>
        <w:t>4、投标费用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4.1 投标人应自行承担所有与参加投标有关的费用，无论投标过程中的做法和结果如何，采购人在任何情况下均无义务和责任承担这些费用。</w:t>
      </w:r>
    </w:p>
    <w:p>
      <w:pPr>
        <w:autoSpaceDE w:val="0"/>
        <w:autoSpaceDN w:val="0"/>
        <w:adjustRightInd w:val="0"/>
        <w:snapToGrid w:val="0"/>
        <w:spacing w:line="360" w:lineRule="auto"/>
        <w:ind w:firstLine="42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4.2本次招标</w:t>
      </w:r>
      <w:r>
        <w:rPr>
          <w:rFonts w:hint="eastAsia" w:asciiTheme="majorEastAsia" w:hAnsiTheme="majorEastAsia" w:eastAsiaTheme="majorEastAsia" w:cstheme="majorEastAsia"/>
          <w:color w:val="auto"/>
          <w:kern w:val="0"/>
          <w:sz w:val="28"/>
          <w:szCs w:val="28"/>
          <w:highlight w:val="none"/>
          <w:lang w:val="zh-CN"/>
        </w:rPr>
        <w:t>中标人按关于印发《江苏省招标代理服务收费的指导意见》苏招协【2022】002号文收费标准计算，向代理机构支付招标服务费。该项费用请投标人综合考虑在投标报价中，后期采购人不单独列支。</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color w:val="auto"/>
          <w:sz w:val="28"/>
          <w:szCs w:val="28"/>
          <w:highlight w:val="none"/>
        </w:rPr>
        <w:t>5、</w:t>
      </w:r>
      <w:r>
        <w:rPr>
          <w:rFonts w:hint="eastAsia" w:asciiTheme="majorEastAsia" w:hAnsiTheme="majorEastAsia" w:eastAsiaTheme="majorEastAsia" w:cstheme="majorEastAsia"/>
          <w:color w:val="auto"/>
          <w:sz w:val="28"/>
          <w:szCs w:val="28"/>
          <w:highlight w:val="none"/>
        </w:rPr>
        <w:t>招标文件的约束力</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5.1 投标人一旦参加本项目采购活动，即被认为接受了本招标文件的规定和约束。</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62" w:name="_Toc20823281"/>
      <w:bookmarkEnd w:id="62"/>
      <w:bookmarkStart w:id="63" w:name="_Toc513029209"/>
      <w:bookmarkEnd w:id="63"/>
      <w:bookmarkStart w:id="64" w:name="_Toc120614215"/>
      <w:bookmarkEnd w:id="64"/>
      <w:bookmarkStart w:id="65" w:name="_Toc16938525"/>
      <w:bookmarkEnd w:id="65"/>
      <w:r>
        <w:rPr>
          <w:rFonts w:hint="eastAsia" w:asciiTheme="majorEastAsia" w:hAnsiTheme="majorEastAsia" w:eastAsiaTheme="majorEastAsia" w:cstheme="majorEastAsia"/>
          <w:b/>
          <w:color w:val="auto"/>
          <w:sz w:val="28"/>
          <w:szCs w:val="28"/>
          <w:highlight w:val="none"/>
        </w:rPr>
        <w:t>二、招标文件</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66" w:name="_Toc16938526"/>
      <w:bookmarkEnd w:id="66"/>
      <w:bookmarkStart w:id="67" w:name="_Toc20823282"/>
      <w:bookmarkEnd w:id="67"/>
      <w:bookmarkStart w:id="68" w:name="_Toc513029210"/>
      <w:bookmarkEnd w:id="68"/>
      <w:r>
        <w:rPr>
          <w:rFonts w:hint="eastAsia" w:asciiTheme="majorEastAsia" w:hAnsiTheme="majorEastAsia" w:eastAsiaTheme="majorEastAsia" w:cstheme="majorEastAsia"/>
          <w:color w:val="auto"/>
          <w:sz w:val="28"/>
          <w:szCs w:val="28"/>
          <w:highlight w:val="none"/>
        </w:rPr>
        <w:t>6、招标文件构成</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6.1 招标文件由以下部分组成：</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（1）招标公告</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（2）投标人须知</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（3）合同文本</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（4）采购需求</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（5）评标方法与评标标准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（6）投标文件格式</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请仔细检查招标文件是否齐全，如有缺漏请立即与采购人联系解决。</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69" w:name="_Toc20823283"/>
      <w:bookmarkEnd w:id="69"/>
      <w:bookmarkStart w:id="70" w:name="_Toc16938527"/>
      <w:bookmarkEnd w:id="70"/>
      <w:bookmarkStart w:id="71" w:name="_Toc462564070"/>
      <w:bookmarkEnd w:id="71"/>
      <w:bookmarkStart w:id="72" w:name="_Toc513029211"/>
      <w:bookmarkEnd w:id="72"/>
      <w:r>
        <w:rPr>
          <w:rFonts w:hint="eastAsia" w:asciiTheme="majorEastAsia" w:hAnsiTheme="majorEastAsia" w:eastAsiaTheme="majorEastAsia" w:cstheme="majorEastAsia"/>
          <w:color w:val="auto"/>
          <w:sz w:val="28"/>
          <w:szCs w:val="28"/>
          <w:highlight w:val="none"/>
        </w:rPr>
        <w:t>7、招标文件的澄清</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7.1 任何要求对招标文件进行澄清的投标人，应在投标截止期</w:t>
      </w:r>
      <w:r>
        <w:rPr>
          <w:rFonts w:hint="eastAsia" w:asciiTheme="majorEastAsia" w:hAnsiTheme="majorEastAsia" w:eastAsiaTheme="majorEastAsia" w:cstheme="majorEastAsia"/>
          <w:b/>
          <w:color w:val="auto"/>
          <w:sz w:val="28"/>
          <w:szCs w:val="28"/>
          <w:highlight w:val="none"/>
        </w:rPr>
        <w:t>十日</w:t>
      </w:r>
      <w:r>
        <w:rPr>
          <w:rFonts w:hint="eastAsia" w:asciiTheme="majorEastAsia" w:hAnsiTheme="majorEastAsia" w:eastAsiaTheme="majorEastAsia" w:cstheme="majorEastAsia"/>
          <w:color w:val="auto"/>
          <w:sz w:val="28"/>
          <w:szCs w:val="28"/>
          <w:highlight w:val="none"/>
        </w:rPr>
        <w:t>前按招标公告中的通讯地址，以书面形式通知采购人。</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73" w:name="_Toc462564071"/>
      <w:bookmarkEnd w:id="73"/>
      <w:bookmarkStart w:id="74" w:name="_Toc20823284"/>
      <w:bookmarkEnd w:id="74"/>
      <w:bookmarkStart w:id="75" w:name="_Toc16938528"/>
      <w:bookmarkEnd w:id="75"/>
      <w:bookmarkStart w:id="76" w:name="_Toc513029212"/>
      <w:bookmarkEnd w:id="76"/>
      <w:r>
        <w:rPr>
          <w:rFonts w:hint="eastAsia" w:asciiTheme="majorEastAsia" w:hAnsiTheme="majorEastAsia" w:eastAsiaTheme="majorEastAsia" w:cstheme="majorEastAsia"/>
          <w:color w:val="auto"/>
          <w:sz w:val="28"/>
          <w:szCs w:val="28"/>
          <w:highlight w:val="none"/>
        </w:rPr>
        <w:t>8、招标文件的修改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8.1 在投标截止时间前，采购人可以对招标文件进行修改。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8.2 采购人有权按照法定的要求推迟投标截止日期和开标日期。</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8.3 招标文件的修改将在中国政府采购网</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江苏政府采购网、盐城市政府采购网公布，补充文件将作为招标文件的组成部分，并对投标人具有约束力。</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77" w:name="_Toc16938529"/>
      <w:bookmarkEnd w:id="77"/>
      <w:bookmarkStart w:id="78" w:name="_Toc120614216"/>
      <w:bookmarkEnd w:id="78"/>
      <w:bookmarkStart w:id="79" w:name="_Toc513029213"/>
      <w:bookmarkEnd w:id="79"/>
      <w:bookmarkStart w:id="80" w:name="_Toc462564072"/>
      <w:bookmarkEnd w:id="80"/>
      <w:bookmarkStart w:id="81" w:name="_Toc20823285"/>
      <w:bookmarkEnd w:id="81"/>
      <w:r>
        <w:rPr>
          <w:rFonts w:hint="eastAsia" w:asciiTheme="majorEastAsia" w:hAnsiTheme="majorEastAsia" w:eastAsiaTheme="majorEastAsia" w:cstheme="majorEastAsia"/>
          <w:b/>
          <w:color w:val="auto"/>
          <w:sz w:val="28"/>
          <w:szCs w:val="28"/>
          <w:highlight w:val="none"/>
        </w:rPr>
        <w:t>三、投标文件的编制</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82" w:name="_Toc20823286"/>
      <w:bookmarkEnd w:id="82"/>
      <w:bookmarkStart w:id="83" w:name="_Toc16938530"/>
      <w:bookmarkEnd w:id="83"/>
      <w:bookmarkStart w:id="84" w:name="_Toc513029214"/>
      <w:bookmarkEnd w:id="84"/>
      <w:bookmarkStart w:id="85" w:name="_Toc462564073"/>
      <w:bookmarkEnd w:id="85"/>
      <w:r>
        <w:rPr>
          <w:rFonts w:hint="eastAsia" w:asciiTheme="majorEastAsia" w:hAnsiTheme="majorEastAsia" w:eastAsiaTheme="majorEastAsia" w:cstheme="majorEastAsia"/>
          <w:color w:val="auto"/>
          <w:sz w:val="28"/>
          <w:szCs w:val="28"/>
          <w:highlight w:val="none"/>
        </w:rPr>
        <w:t>9、投标文件的语言及度量衡单位</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9.1 投标人提交的投标文件以及投标人与采购人就有关投标的所有来往通知、函件和文件均应使用</w:t>
      </w:r>
      <w:r>
        <w:rPr>
          <w:rFonts w:hint="eastAsia" w:asciiTheme="majorEastAsia" w:hAnsiTheme="majorEastAsia" w:eastAsiaTheme="majorEastAsia" w:cstheme="majorEastAsia"/>
          <w:b/>
          <w:color w:val="auto"/>
          <w:sz w:val="28"/>
          <w:szCs w:val="28"/>
          <w:highlight w:val="none"/>
        </w:rPr>
        <w:t>简体中文</w:t>
      </w:r>
      <w:r>
        <w:rPr>
          <w:rFonts w:hint="eastAsia" w:asciiTheme="majorEastAsia" w:hAnsiTheme="majorEastAsia" w:eastAsiaTheme="majorEastAsia" w:cstheme="majorEastAsia"/>
          <w:color w:val="auto"/>
          <w:sz w:val="28"/>
          <w:szCs w:val="28"/>
          <w:highlight w:val="none"/>
        </w:rPr>
        <w:t>。</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9.2 除技术性能另有规定外，投标文件所使用的度量衡单位，均须采用国家法定计量单位。</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86" w:name="_Toc16938531"/>
      <w:bookmarkEnd w:id="86"/>
      <w:bookmarkStart w:id="87" w:name="_Toc20823287"/>
      <w:bookmarkEnd w:id="87"/>
      <w:bookmarkStart w:id="88" w:name="_Toc513029215"/>
      <w:bookmarkEnd w:id="88"/>
      <w:bookmarkStart w:id="89" w:name="_Toc462564074"/>
      <w:bookmarkEnd w:id="89"/>
      <w:r>
        <w:rPr>
          <w:rFonts w:hint="eastAsia" w:asciiTheme="majorEastAsia" w:hAnsiTheme="majorEastAsia" w:eastAsiaTheme="majorEastAsia" w:cstheme="majorEastAsia"/>
          <w:color w:val="auto"/>
          <w:sz w:val="28"/>
          <w:szCs w:val="28"/>
          <w:highlight w:val="none"/>
        </w:rPr>
        <w:t>10、投标文件构成</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10.1 投标人编写的投标文件应包括资格证明文件、符合性证明文件、投标分项报价表、技术要求响应及偏离表、商务要求响应及偏离表、其他证明文件、投标函、开标一览表等部分。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10.2 如标书制作工具中格式和内容与</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中国政府采购网</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“江苏政府采购网”、“盐城市政府采购网</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发布的招标文件不一致，请以中国政府采购网</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“江苏政府采购网”、“盐城市政府采购网</w:t>
      </w:r>
      <w:r>
        <w:rPr>
          <w:rFonts w:hint="eastAsia" w:asciiTheme="majorEastAsia" w:hAnsiTheme="majorEastAsia" w:eastAsiaTheme="majorEastAsia" w:cstheme="majorEastAsia"/>
          <w:color w:val="auto"/>
          <w:sz w:val="28"/>
          <w:szCs w:val="28"/>
          <w:highlight w:val="none"/>
          <w:shd w:val="clear" w:color="auto" w:fill="FFFFFF"/>
        </w:rPr>
        <w:t>”</w:t>
      </w:r>
      <w:r>
        <w:rPr>
          <w:rFonts w:hint="eastAsia" w:asciiTheme="majorEastAsia" w:hAnsiTheme="majorEastAsia" w:eastAsiaTheme="majorEastAsia" w:cstheme="majorEastAsia"/>
          <w:color w:val="auto"/>
          <w:sz w:val="28"/>
          <w:szCs w:val="28"/>
          <w:highlight w:val="none"/>
        </w:rPr>
        <w:t>发布的招标文件为准。</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90" w:name="_Toc513029219"/>
      <w:bookmarkEnd w:id="90"/>
      <w:bookmarkStart w:id="91" w:name="_Toc14577355"/>
      <w:bookmarkEnd w:id="91"/>
      <w:bookmarkStart w:id="92" w:name="_Toc14577354"/>
      <w:bookmarkEnd w:id="92"/>
      <w:bookmarkStart w:id="93" w:name="_Toc513029216"/>
      <w:bookmarkEnd w:id="93"/>
      <w:bookmarkStart w:id="94" w:name="_Toc49090507"/>
      <w:bookmarkEnd w:id="94"/>
      <w:bookmarkStart w:id="95" w:name="_Toc14577357"/>
      <w:bookmarkEnd w:id="95"/>
      <w:bookmarkStart w:id="96" w:name="_Toc49090508"/>
      <w:bookmarkEnd w:id="96"/>
      <w:bookmarkStart w:id="97" w:name="_Toc49090509"/>
      <w:bookmarkEnd w:id="97"/>
      <w:r>
        <w:rPr>
          <w:rFonts w:hint="eastAsia" w:asciiTheme="majorEastAsia" w:hAnsiTheme="majorEastAsia" w:eastAsiaTheme="majorEastAsia" w:cstheme="majorEastAsia"/>
          <w:color w:val="auto"/>
          <w:sz w:val="28"/>
          <w:szCs w:val="28"/>
          <w:highlight w:val="none"/>
        </w:rPr>
        <w:t>11、证明投标人及投标标的符合招标文件规定的文件</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11.1 投标人应按照招标文件要求提交证明文件，证明其及投标标的符合招标文件规定。</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11.2招标文件对证明文件无明确形式要求的，证明文件可以以文字资料、图纸和数据等形式提交。</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12、投标分项报价表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12.1 投标人应按照招标文件规定格式填报投标分项报价表。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12.2投标货币。投标文件中的单价和总价无特殊规定的采用人民币报价，以元为单位标注。招标文件中另有规定的按规定执行。</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13、技术要求响应及偏离表、商务要求响应及偏离表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13.1 投标人需对招标文件中的技术要求与商务要求逐项作出响应或偏离，并说明原因。</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13.2 投标人可在投标文件中提供认为需要的其他技术文件或说明。</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14、服务承诺、培训计划、人员安排及其他</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14.1 投标人需根据招标文件要求提供有关售后服务的管理制度，售后服务机构的分布情况，售后服务人员的数量、素质、技术水平及售后服务的反应能力等。</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14.2 投标人需根据招标文件要求提供培训计划。</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14.3  投标人需根据招标文件要求提供所投标的的主要组成部分、功能设计、实现思路及关键技术等。</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98" w:name="_Toc14577359"/>
      <w:bookmarkEnd w:id="98"/>
      <w:bookmarkStart w:id="99" w:name="_Toc49090510"/>
      <w:bookmarkEnd w:id="99"/>
      <w:r>
        <w:rPr>
          <w:rFonts w:hint="eastAsia" w:asciiTheme="majorEastAsia" w:hAnsiTheme="majorEastAsia" w:eastAsiaTheme="majorEastAsia" w:cstheme="majorEastAsia"/>
          <w:color w:val="auto"/>
          <w:sz w:val="28"/>
          <w:szCs w:val="28"/>
          <w:highlight w:val="none"/>
        </w:rPr>
        <w:t>15、投标函和开标一览表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15.1 投标人应按照招标文件中提供的格式完整、正确填写投标函、开标一览表。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15.2 对于采用货币报价的项目，开标一览表中的投标总报价应与投标分项报价表中的投标总报价一致，如不一致，不作为无效投标处理，但评标时按开标一览表中价格为准。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00" w:name="_Toc49090511"/>
      <w:bookmarkEnd w:id="100"/>
      <w:bookmarkStart w:id="101" w:name="_Toc14577360"/>
      <w:bookmarkEnd w:id="101"/>
      <w:r>
        <w:rPr>
          <w:rFonts w:hint="eastAsia" w:asciiTheme="majorEastAsia" w:hAnsiTheme="majorEastAsia" w:eastAsiaTheme="majorEastAsia" w:cstheme="majorEastAsia"/>
          <w:color w:val="auto"/>
          <w:sz w:val="28"/>
          <w:szCs w:val="28"/>
          <w:highlight w:val="none"/>
        </w:rPr>
        <w:t>16、投标有效期</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16.1投标有效期为采购规定的开标之日后六十（60）天。投标有效期比规定短的将被视为未实质性响应招标文件而予以拒绝。</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17、投标有效期的延长</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102" w:name="_Toc16938540"/>
      <w:bookmarkEnd w:id="102"/>
      <w:bookmarkStart w:id="103" w:name="_Toc20823296"/>
      <w:bookmarkEnd w:id="103"/>
      <w:bookmarkStart w:id="104" w:name="_Toc513029224"/>
      <w:bookmarkEnd w:id="104"/>
      <w:bookmarkStart w:id="105" w:name="_Toc120614217"/>
      <w:bookmarkEnd w:id="105"/>
      <w:r>
        <w:rPr>
          <w:rFonts w:hint="eastAsia" w:asciiTheme="majorEastAsia" w:hAnsiTheme="majorEastAsia" w:eastAsiaTheme="majorEastAsia" w:cstheme="majorEastAsia"/>
          <w:b/>
          <w:color w:val="auto"/>
          <w:sz w:val="28"/>
          <w:szCs w:val="28"/>
          <w:highlight w:val="none"/>
        </w:rPr>
        <w:t>四、投标文件的递交</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06" w:name="_Toc462564084"/>
      <w:bookmarkEnd w:id="106"/>
      <w:bookmarkStart w:id="107" w:name="_Toc513029225"/>
      <w:bookmarkEnd w:id="107"/>
      <w:bookmarkStart w:id="108" w:name="_Toc20823297"/>
      <w:bookmarkEnd w:id="108"/>
      <w:bookmarkStart w:id="109" w:name="_Toc16938541"/>
      <w:bookmarkEnd w:id="109"/>
      <w:r>
        <w:rPr>
          <w:rFonts w:hint="eastAsia" w:asciiTheme="majorEastAsia" w:hAnsiTheme="majorEastAsia" w:eastAsiaTheme="majorEastAsia" w:cstheme="majorEastAsia"/>
          <w:color w:val="auto"/>
          <w:sz w:val="28"/>
          <w:szCs w:val="28"/>
          <w:highlight w:val="none"/>
        </w:rPr>
        <w:t>18、电子投标文件的递交</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18.1投标人应当按照《操作手册》规定，在投标截止时间前制作并上传电子投标</w:t>
      </w:r>
      <w:bookmarkStart w:id="110" w:name="_Toc20823298"/>
      <w:bookmarkEnd w:id="110"/>
      <w:bookmarkStart w:id="111" w:name="_Toc16938542"/>
      <w:bookmarkEnd w:id="111"/>
      <w:r>
        <w:rPr>
          <w:rFonts w:hint="eastAsia" w:asciiTheme="majorEastAsia" w:hAnsiTheme="majorEastAsia" w:eastAsiaTheme="majorEastAsia" w:cstheme="majorEastAsia"/>
          <w:color w:val="auto"/>
          <w:sz w:val="28"/>
          <w:szCs w:val="28"/>
          <w:highlight w:val="none"/>
        </w:rPr>
        <w:t>文件。</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19、投标截止日期</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19.1 投标人上传电子投标文件的时间不得迟于招标公告中规定的投标截止时间。</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投标人应充分考虑到网络环境、网络带宽等风险因素，如因投标人自身原因造成的电子投标文件上传不成功的按照本招标文件第二章第27.1.2条规定做无效投标处理。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19.2 采购人可以按照规定，通过修改招标文件酌情延长投标截止日期，在此情况下，投标人的所有权利和义务以及投标人受制的截止日期均应以延长后新的截止日期为准。</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12" w:name="_Toc20823299"/>
      <w:bookmarkEnd w:id="112"/>
      <w:bookmarkStart w:id="113" w:name="_Toc513029227"/>
      <w:bookmarkEnd w:id="113"/>
      <w:bookmarkStart w:id="114" w:name="_Toc16938543"/>
      <w:bookmarkEnd w:id="114"/>
      <w:r>
        <w:rPr>
          <w:rFonts w:hint="eastAsia" w:asciiTheme="majorEastAsia" w:hAnsiTheme="majorEastAsia" w:eastAsiaTheme="majorEastAsia" w:cstheme="majorEastAsia"/>
          <w:color w:val="auto"/>
          <w:sz w:val="28"/>
          <w:szCs w:val="28"/>
          <w:highlight w:val="none"/>
        </w:rPr>
        <w:t>20、投标文件的拒收</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20.1 代理机构拒绝接收在其规定的投标截止时间后上传的任何投标文件。</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15" w:name="_Toc16938544"/>
      <w:bookmarkEnd w:id="115"/>
      <w:bookmarkStart w:id="116" w:name="_Toc513029228"/>
      <w:bookmarkEnd w:id="116"/>
      <w:bookmarkStart w:id="117" w:name="_Toc20823300"/>
      <w:bookmarkEnd w:id="117"/>
      <w:r>
        <w:rPr>
          <w:rFonts w:hint="eastAsia" w:asciiTheme="majorEastAsia" w:hAnsiTheme="majorEastAsia" w:eastAsiaTheme="majorEastAsia" w:cstheme="majorEastAsia"/>
          <w:color w:val="auto"/>
          <w:sz w:val="28"/>
          <w:szCs w:val="28"/>
          <w:highlight w:val="none"/>
        </w:rPr>
        <w:t>21、投标文件的撤回和修改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21.1 投标文件的撤回</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21.1.1 电子投标文件的撤回</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投标人可在投标截止时间前，撤回其电子投标文件，具体操作方法见《操作手册》。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21.1.2 投标人撤回电子投标文件，则认为其不再参与本项目投标活动。</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21.2 投标文件的修改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21.2.1投标人可在投标截止时间前，对其电子投标文件进行修改，具体操作方法见《操作手册》。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21.2.2 在投标截止时间之后，投标人不得对其电子投标文件作任何修改。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21.3 在投标截止时间至招标文件中规定的投标有效期满之间的这段时间内，投标人不得撤回其投标。</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118" w:name="_Toc20823301"/>
      <w:bookmarkEnd w:id="118"/>
      <w:bookmarkStart w:id="119" w:name="_Toc513029229"/>
      <w:bookmarkEnd w:id="119"/>
      <w:bookmarkStart w:id="120" w:name="_Toc120614218"/>
      <w:bookmarkEnd w:id="120"/>
      <w:bookmarkStart w:id="121" w:name="_Toc16938545"/>
      <w:bookmarkEnd w:id="121"/>
      <w:r>
        <w:rPr>
          <w:rFonts w:hint="eastAsia" w:asciiTheme="majorEastAsia" w:hAnsiTheme="majorEastAsia" w:eastAsiaTheme="majorEastAsia" w:cstheme="majorEastAsia"/>
          <w:b/>
          <w:color w:val="auto"/>
          <w:sz w:val="28"/>
          <w:szCs w:val="28"/>
          <w:highlight w:val="none"/>
        </w:rPr>
        <w:t>五、开标与评标</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22" w:name="_Toc513029230"/>
      <w:bookmarkEnd w:id="122"/>
      <w:bookmarkStart w:id="123" w:name="_Toc16938546"/>
      <w:bookmarkEnd w:id="123"/>
      <w:bookmarkStart w:id="124" w:name="_Toc20823302"/>
      <w:bookmarkEnd w:id="124"/>
      <w:r>
        <w:rPr>
          <w:rFonts w:hint="eastAsia" w:asciiTheme="majorEastAsia" w:hAnsiTheme="majorEastAsia" w:eastAsiaTheme="majorEastAsia" w:cstheme="majorEastAsia"/>
          <w:color w:val="auto"/>
          <w:sz w:val="28"/>
          <w:szCs w:val="28"/>
          <w:highlight w:val="none"/>
        </w:rPr>
        <w:t>22、开标</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22.1 代理机构将在招标公告中规定的时间和地点组织公开开标。投标人应当按照《操作手册》规定，参加开标活动和在苏采云系统规定的时间内对投标文件进行解密。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22.2开标仪式由代理机构组织。苏采云系统将自动对项目进行开标，并宣布各投标人名称和投标价格。</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22.3投标人在开标过程中涉及到的投标文件解密、开标结果确认等工作，应按照《操作手册》规定执行。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22.4投标人如果对开标过程和开标记录有疑义，应当根据《操作手册》规定提出，如苏采云系统中《开标记录表》宣布后5分钟内未提出的，视同认可开标结果。</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25" w:name="_Toc16938547"/>
      <w:bookmarkEnd w:id="125"/>
      <w:bookmarkStart w:id="126" w:name="_Toc513029231"/>
      <w:bookmarkEnd w:id="126"/>
      <w:bookmarkStart w:id="127" w:name="_Toc20823303"/>
      <w:bookmarkEnd w:id="127"/>
      <w:r>
        <w:rPr>
          <w:rFonts w:hint="eastAsia" w:asciiTheme="majorEastAsia" w:hAnsiTheme="majorEastAsia" w:eastAsiaTheme="majorEastAsia" w:cstheme="majorEastAsia"/>
          <w:color w:val="auto"/>
          <w:sz w:val="28"/>
          <w:szCs w:val="28"/>
          <w:highlight w:val="none"/>
        </w:rPr>
        <w:t>23、评标委员会</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23.1开标后，代理机构将立即组织评标委员会（以下简称评委会）进行评标。</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23.2 评委会由采购人代表和有关技术、经济等方面的专家组成，且人员构成符合政府采购有关规定。</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23.3评委会独立工作，负责评审所有投标文件并确定中标侯选人。</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24．评标过程的保密与公正</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24.1凡是与审查、澄清、评价和比较投标的有关资料以及授标建议等，采购人、评委、代理机构均不得向投标人或与评标无关的其他人员透露。</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24.2在评标过程中，投标人不得以任何行为影响评标过程，否则其投标文件将被作为无效投标文件。</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24.3 采购人和评标委员会不向未中标的投标人解释未中标原因，也不公布评标过程中的相关细节。</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24.4 采用综合评分法的项目，未中标的投标人可于中标结果公告期限届满之日起通过苏采云系统查看自己的评审得分及排序情况。</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28" w:name="_Toc20823304"/>
      <w:bookmarkEnd w:id="128"/>
      <w:bookmarkStart w:id="129" w:name="_Toc513029232"/>
      <w:bookmarkEnd w:id="129"/>
      <w:bookmarkStart w:id="130" w:name="_Toc16938548"/>
      <w:bookmarkEnd w:id="130"/>
      <w:r>
        <w:rPr>
          <w:rFonts w:hint="eastAsia" w:asciiTheme="majorEastAsia" w:hAnsiTheme="majorEastAsia" w:eastAsiaTheme="majorEastAsia" w:cstheme="majorEastAsia"/>
          <w:color w:val="auto"/>
          <w:sz w:val="28"/>
          <w:szCs w:val="28"/>
          <w:highlight w:val="none"/>
        </w:rPr>
        <w:t>25．投标文件的澄清</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31" w:name="_Toc20823305"/>
      <w:bookmarkEnd w:id="131"/>
      <w:bookmarkStart w:id="132" w:name="_Toc513029233"/>
      <w:bookmarkEnd w:id="132"/>
      <w:bookmarkStart w:id="133" w:name="_Toc16938549"/>
      <w:bookmarkEnd w:id="133"/>
      <w:r>
        <w:rPr>
          <w:rFonts w:hint="eastAsia" w:asciiTheme="majorEastAsia" w:hAnsiTheme="majorEastAsia" w:eastAsiaTheme="majorEastAsia" w:cstheme="majorEastAsia"/>
          <w:color w:val="auto"/>
          <w:sz w:val="28"/>
          <w:szCs w:val="28"/>
          <w:highlight w:val="none"/>
        </w:rPr>
        <w:t>25.1评标期间，评委会对投标文件中含义不明确、同类问题表述不一致或者有明显文字和计算错误的内容 ，有权要求投标人作出必要的澄清、说明或者补正。</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投标人的澄清、说明或者补正不得超出投标文件的范围或者改变投标文件的实质性内容。</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评标委员会并非对每个投标人都做澄清要求。</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25.3 接到评委会澄清、说明和补正要求的投标人如未按规定做出澄清、说明和补正，其风险由投标人自行承担。</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26、对投标文件的初审</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26.1投标文件初审分为资格审查和符合性审查。</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26.1.1 资格审查：依据法律法规和招标文件的规定，由采购人对投标文件中的资格证明文件进行审查。资格审查的结论，采购人以书面形式向评委会进行反馈。</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采购人在进行资格性审查的同时，将在“信用中国”网站（www.creditchina.gov.cn）查询投标人的信用记录，以确定投标人是否具备投标资格,查询结果留存并归档。</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 xml:space="preserve"> 26.1.2 符合性审查：依据招标文件的规定，由评委会从投标文件的有效性、完整性和对招标文件的响应程度进行审查，以确定是否对招标文件的实质性要求作出响应。</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26.1.3 未通过资格审查或符合性审查的投标人，采购人将在苏采云系统中告知未通过资格审查或符合性审查的原因，评审结束后，采购人将不再告知未通过资格审查或符合性审查的原因。</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26.2在详细评标之前，评委会将首先审查每份投标文件是否实质性响应了招标文件的要求。实质性响应的投标应该是与招标文件要求的全部条款、条件和规格相符，没有重大偏离或保留的投标。</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26.3如果投标文件实质上没有响应招标文件的要求，评委会将予以拒绝，投标人不得通过修改或撤销不合要求的偏离或保留而使其投标成为实质性响应的投标。</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26.4评委会将对确定为实质性响应的投标进行进一步审核，看其是否有计算上或累加上的算术错误，修正错误的原则如下：</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（1）投标文件中开标一览表内容与投标文件中相应内容不一致的，以开标一览表为准。</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（2）大写金额和小写金额不一致的，以大写金额为准。</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（3）单价金额小数点或者百分比有明显错位的，以开标一览表的总价为准，并修改单价。</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（4）总价金额与按单价汇总金额不一致的，以单价金额计算结果为准。</w:t>
      </w:r>
    </w:p>
    <w:p>
      <w:pPr>
        <w:pStyle w:val="12"/>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同时出现两种以上错误的，按照前款规定的顺序修正。</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26.5评委会将按上述修正错误的方法调整投标文件中的投标报价，并通过苏采云系统告知投标人，调整后的价格应对投标人具有约束力。如果投标人不接受修正后的价格，则其投标将被拒绝。</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34" w:name="_Toc20823306"/>
      <w:bookmarkEnd w:id="134"/>
      <w:bookmarkStart w:id="135" w:name="_Toc513029234"/>
      <w:bookmarkEnd w:id="135"/>
      <w:bookmarkStart w:id="136" w:name="_Toc16938550"/>
      <w:bookmarkEnd w:id="136"/>
      <w:r>
        <w:rPr>
          <w:rFonts w:hint="eastAsia" w:asciiTheme="majorEastAsia" w:hAnsiTheme="majorEastAsia" w:eastAsiaTheme="majorEastAsia" w:cstheme="majorEastAsia"/>
          <w:color w:val="auto"/>
          <w:sz w:val="28"/>
          <w:szCs w:val="28"/>
          <w:highlight w:val="none"/>
        </w:rPr>
        <w:t>26.6 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非单一产品采购项目，招标文件中将载明其中的核心产品。多家投标人提供的核心产品品牌相同的，按前款规定处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26.7投标人在开、评标全过程中应保持通讯畅通，及时登录苏采云系统查阅、答复相关信息，并安排专人与采购人及评标委员会联系。</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27、无效投标条款和废标条款</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37" w:name="_Toc20823307"/>
      <w:bookmarkEnd w:id="137"/>
      <w:bookmarkStart w:id="138" w:name="_Toc16938551"/>
      <w:bookmarkEnd w:id="138"/>
      <w:bookmarkStart w:id="139" w:name="_Toc513029235"/>
      <w:bookmarkEnd w:id="139"/>
      <w:r>
        <w:rPr>
          <w:rFonts w:hint="eastAsia" w:asciiTheme="majorEastAsia" w:hAnsiTheme="majorEastAsia" w:eastAsiaTheme="majorEastAsia" w:cstheme="majorEastAsia"/>
          <w:color w:val="auto"/>
          <w:sz w:val="28"/>
          <w:szCs w:val="28"/>
          <w:highlight w:val="none"/>
        </w:rPr>
        <w:t>27.1无效投标条款</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27.1.1 投标人在苏采云系统规定的时间内未成功解密电子投标文件的。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27.1.2 投标人未按照招标文件要求上传电子投标文件的。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27.1.3同一投标人提交两个（含两个）以上不同的投标报价的。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27.1.4投标人不具备招标文件中规定资格要求的。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27.1.5投标人的报价超过了采购预算或最高限价的。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27.1.6未通过符合性审查的。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27.1.7不符合招标文件中规定的实质性要求和条件的。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27.1.9  投标文件含有采购人不能接受的附加条件的。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27.1.12 投标文件未按照招标文件要求加盖CA电子公章的。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27.1.13其他法律、法规及本招标文件规定的属无效投标的情形。</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27.2废标条款</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27.2.1符合专业条件的供应商或者对招标文件作实质响应的供应商不足三家的。27.2.2出现影响采购公正的违法、违规行为的。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27.2.3因重大变故，采购任务取消的。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27.2.4评标委员会认定招标文件存在歧义、重大缺陷导致评审工作无法进行。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27.2.5 因苏采云系统系统故障原因造成开标不成功的。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27.3 投标截止时间结束后参加投标的供应商不足三家的处理：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27.3.1如出现投标截止时间结束后参加投标的供应商或者在评标期间对招标文件做出实质响应的供应商不足三家情况，按政府采购相关规定执行。</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140" w:name="_Toc120614219"/>
      <w:bookmarkEnd w:id="140"/>
      <w:r>
        <w:rPr>
          <w:rFonts w:hint="eastAsia" w:asciiTheme="majorEastAsia" w:hAnsiTheme="majorEastAsia" w:eastAsiaTheme="majorEastAsia" w:cstheme="majorEastAsia"/>
          <w:b/>
          <w:color w:val="auto"/>
          <w:sz w:val="28"/>
          <w:szCs w:val="28"/>
          <w:highlight w:val="none"/>
        </w:rPr>
        <w:t>六、定标</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41" w:name="_Toc513029238"/>
      <w:bookmarkEnd w:id="141"/>
      <w:bookmarkStart w:id="142" w:name="_Toc16938554"/>
      <w:bookmarkEnd w:id="142"/>
      <w:bookmarkStart w:id="143" w:name="_Toc20823310"/>
      <w:bookmarkEnd w:id="143"/>
      <w:r>
        <w:rPr>
          <w:rFonts w:hint="eastAsia" w:asciiTheme="majorEastAsia" w:hAnsiTheme="majorEastAsia" w:eastAsiaTheme="majorEastAsia" w:cstheme="majorEastAsia"/>
          <w:color w:val="auto"/>
          <w:sz w:val="28"/>
          <w:szCs w:val="28"/>
          <w:highlight w:val="none"/>
        </w:rPr>
        <w:t>28、确定中标单位</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28.1中标候选人的选取原则和数量见招标文件第五章规定。</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28.2 采购人应根据评委会推荐的中标候选人确定中标人。</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28.3 采购人将在中国政府采购网”、“江苏政府采购网”、“盐城市政府采购网”发布中标公告，公告期限为1个工作日。</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28.4若有充分证据证明，中标人出现下列情况之一的，一经查实，将被取消中标资格：</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28.4.1提供虚假材料谋取中标的。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28.4.2向采购人、代理机构行贿或者提供其他不正当利益的。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28.4.3属于本文件规定的无效条件，但在评标过程中又未被评委会发现的。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28.4.4与采购人或者其他供应商恶意串通的。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28.4.5采取不正当手段诋毁、排挤其他供应商的。</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44" w:name="_Toc200451960"/>
      <w:bookmarkEnd w:id="144"/>
      <w:r>
        <w:rPr>
          <w:rFonts w:hint="eastAsia" w:asciiTheme="majorEastAsia" w:hAnsiTheme="majorEastAsia" w:eastAsiaTheme="majorEastAsia" w:cstheme="majorEastAsia"/>
          <w:color w:val="auto"/>
          <w:sz w:val="28"/>
          <w:szCs w:val="28"/>
          <w:highlight w:val="none"/>
        </w:rPr>
        <w:t>28.5. 有下列情形之一的，视为投标人串通投标，投标无效：</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28.5.1不同投标人的投标文件由同一单位或者个人编制；</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28.5.2不同投标人委托同一单位或者个人办理投标事宜；</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28.5.3 不同投标人的投标文件载明的项目管理成员或者联系人员为同一人；</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28.5.4不同投标人的投标文件异常一致或者投标报价呈规律性差异；</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29、质疑处理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29.1 提出质疑的供应商应当是参与所质疑项目采购活动的供应商。潜在供应商依法获取其可质疑的采购文件的，可以对采购文件提出质疑。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29.2.1对可以质疑的采购文件提出质疑的，为收到采购文件之日或者采购文件公告期限届满之日；</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29.2.2对采购过程提出质疑的，为各采购程序环节结束之日；</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29.2.3对中标或者成交结果提出质疑的，为中标或者成交结果公告期限届满之日。</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采购人及代理机构只接收以纸质原件形式送达的质疑,采购人和代理机构不接受未填写快递运单的快件。质疑接收部门为</w:t>
      </w:r>
      <w:r>
        <w:rPr>
          <w:rFonts w:hint="eastAsia" w:asciiTheme="majorEastAsia" w:hAnsiTheme="majorEastAsia" w:eastAsiaTheme="majorEastAsia" w:cstheme="majorEastAsia"/>
          <w:color w:val="auto"/>
          <w:sz w:val="28"/>
          <w:szCs w:val="28"/>
          <w:highlight w:val="none"/>
          <w:shd w:val="clear" w:color="auto" w:fill="FFFFFF"/>
        </w:rPr>
        <w:t>江苏响水经济开发区管理委员会</w:t>
      </w:r>
      <w:r>
        <w:rPr>
          <w:rFonts w:hint="eastAsia" w:asciiTheme="majorEastAsia" w:hAnsiTheme="majorEastAsia" w:eastAsiaTheme="majorEastAsia" w:cstheme="majorEastAsia"/>
          <w:color w:val="auto"/>
          <w:sz w:val="28"/>
          <w:szCs w:val="28"/>
          <w:highlight w:val="none"/>
        </w:rPr>
        <w:t>，联系地址：</w:t>
      </w:r>
      <w:r>
        <w:rPr>
          <w:rFonts w:hint="eastAsia" w:asciiTheme="majorEastAsia" w:hAnsiTheme="majorEastAsia" w:eastAsiaTheme="majorEastAsia" w:cstheme="majorEastAsia"/>
          <w:color w:val="auto"/>
          <w:sz w:val="28"/>
          <w:szCs w:val="28"/>
          <w:highlight w:val="none"/>
          <w:shd w:val="clear" w:color="auto" w:fill="FFFFFF"/>
        </w:rPr>
        <w:t>响水县灌江路与建安路交叉口</w:t>
      </w:r>
      <w:r>
        <w:rPr>
          <w:rFonts w:hint="eastAsia" w:asciiTheme="majorEastAsia" w:hAnsiTheme="majorEastAsia" w:eastAsiaTheme="majorEastAsia" w:cstheme="majorEastAsia"/>
          <w:color w:val="auto"/>
          <w:sz w:val="28"/>
          <w:szCs w:val="28"/>
          <w:highlight w:val="none"/>
        </w:rPr>
        <w:t>，联系电话：</w:t>
      </w:r>
      <w:r>
        <w:rPr>
          <w:rFonts w:hint="eastAsia" w:asciiTheme="majorEastAsia" w:hAnsiTheme="majorEastAsia" w:eastAsiaTheme="majorEastAsia" w:cstheme="majorEastAsia"/>
          <w:color w:val="auto"/>
          <w:sz w:val="28"/>
          <w:szCs w:val="28"/>
          <w:highlight w:val="none"/>
          <w:shd w:val="clear" w:color="auto" w:fill="FFFFFF"/>
        </w:rPr>
        <w:t>13615158129</w:t>
      </w:r>
      <w:r>
        <w:rPr>
          <w:rFonts w:hint="eastAsia" w:asciiTheme="majorEastAsia" w:hAnsiTheme="majorEastAsia" w:eastAsiaTheme="majorEastAsia" w:cstheme="majorEastAsia"/>
          <w:color w:val="auto"/>
          <w:sz w:val="28"/>
          <w:szCs w:val="28"/>
          <w:highlight w:val="none"/>
        </w:rPr>
        <w:t>。</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 以下情形的质疑不予受理</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29.5.1 内容不符合《政府采购质疑和投诉办法》第十二条规定的质疑。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29.5.2 超出政府采购法定期限的质疑。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29.5.3 以传真、电子邮件等方式递交的非原件形式的质疑。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29.5.4 未参加投标活动的供应商或在投标活动中自身权益未受到损害的供应商所提出的质疑。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29.5.5供应商组成联合体参加投标，联合体中任何一方或多方未按要求签字、盖章、加盖公章的质疑。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30、中标通知书</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30.l</w:t>
      </w:r>
      <w:r>
        <w:rPr>
          <w:rFonts w:hint="eastAsia" w:asciiTheme="majorEastAsia" w:hAnsiTheme="majorEastAsia" w:eastAsiaTheme="majorEastAsia" w:cstheme="majorEastAsia"/>
          <w:b/>
          <w:color w:val="auto"/>
          <w:sz w:val="28"/>
          <w:szCs w:val="28"/>
          <w:highlight w:val="none"/>
        </w:rPr>
        <w:t> </w:t>
      </w:r>
      <w:r>
        <w:rPr>
          <w:rFonts w:hint="eastAsia" w:asciiTheme="majorEastAsia" w:hAnsiTheme="majorEastAsia" w:eastAsiaTheme="majorEastAsia" w:cstheme="majorEastAsia"/>
          <w:color w:val="auto"/>
          <w:sz w:val="28"/>
          <w:szCs w:val="28"/>
          <w:highlight w:val="none"/>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30.2中标通知书将是合同的一个组成部分。对采购人和中标供应商均具有法律效力。中标通知书发出后，采购人改变中标结果的，或者中标供应商放弃中标项目的，应当依法承担法律责任。</w:t>
      </w:r>
    </w:p>
    <w:p>
      <w:pPr>
        <w:pStyle w:val="12"/>
        <w:keepNext/>
        <w:keepLines/>
        <w:spacing w:beforeAutospacing="0" w:afterAutospacing="0" w:line="400" w:lineRule="exact"/>
        <w:ind w:firstLine="562" w:firstLineChars="200"/>
        <w:jc w:val="both"/>
        <w:rPr>
          <w:rFonts w:asciiTheme="majorEastAsia" w:hAnsiTheme="majorEastAsia" w:eastAsiaTheme="majorEastAsia" w:cstheme="majorEastAsia"/>
          <w:color w:val="auto"/>
          <w:sz w:val="28"/>
          <w:szCs w:val="28"/>
          <w:highlight w:val="none"/>
        </w:rPr>
      </w:pPr>
      <w:bookmarkStart w:id="145" w:name="_Toc20823308"/>
      <w:bookmarkEnd w:id="145"/>
      <w:bookmarkStart w:id="146" w:name="_Toc120614220"/>
      <w:bookmarkEnd w:id="146"/>
      <w:bookmarkStart w:id="147" w:name="_Toc16938552"/>
      <w:bookmarkEnd w:id="147"/>
      <w:bookmarkStart w:id="148" w:name="_Toc513029236"/>
      <w:bookmarkEnd w:id="148"/>
      <w:r>
        <w:rPr>
          <w:rFonts w:hint="eastAsia" w:asciiTheme="majorEastAsia" w:hAnsiTheme="majorEastAsia" w:eastAsiaTheme="majorEastAsia" w:cstheme="majorEastAsia"/>
          <w:b/>
          <w:color w:val="auto"/>
          <w:sz w:val="28"/>
          <w:szCs w:val="28"/>
          <w:highlight w:val="none"/>
        </w:rPr>
        <w:t>七、授予合同</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bookmarkStart w:id="149" w:name="_Toc20823309"/>
      <w:bookmarkEnd w:id="149"/>
      <w:bookmarkStart w:id="150" w:name="_Toc513029237"/>
      <w:bookmarkEnd w:id="150"/>
      <w:bookmarkStart w:id="151" w:name="_Toc16938553"/>
      <w:bookmarkEnd w:id="151"/>
      <w:r>
        <w:rPr>
          <w:rFonts w:hint="eastAsia" w:asciiTheme="majorEastAsia" w:hAnsiTheme="majorEastAsia" w:eastAsiaTheme="majorEastAsia" w:cstheme="majorEastAsia"/>
          <w:color w:val="auto"/>
          <w:sz w:val="28"/>
          <w:szCs w:val="28"/>
          <w:highlight w:val="none"/>
        </w:rPr>
        <w:t>31. 签订合同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31.l中标人应当在中标通知书发出之日起三十日内，按照招标文件确定的事项与采购人签订政府采购合同。</w:t>
      </w:r>
    </w:p>
    <w:p>
      <w:pPr>
        <w:pStyle w:val="12"/>
        <w:spacing w:beforeAutospacing="0" w:afterAutospacing="0" w:line="400" w:lineRule="exact"/>
        <w:ind w:left="279" w:leftChars="133" w:firstLine="280" w:firstLineChars="1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31.2</w:t>
      </w:r>
      <w:r>
        <w:rPr>
          <w:rFonts w:hint="eastAsia" w:asciiTheme="majorEastAsia" w:hAnsiTheme="majorEastAsia" w:eastAsiaTheme="majorEastAsia" w:cstheme="majorEastAsia"/>
          <w:b/>
          <w:color w:val="auto"/>
          <w:sz w:val="28"/>
          <w:szCs w:val="28"/>
          <w:highlight w:val="none"/>
        </w:rPr>
        <w:t> </w:t>
      </w:r>
      <w:r>
        <w:rPr>
          <w:rFonts w:hint="eastAsia" w:asciiTheme="majorEastAsia" w:hAnsiTheme="majorEastAsia" w:eastAsiaTheme="majorEastAsia" w:cstheme="majorEastAsia"/>
          <w:color w:val="auto"/>
          <w:sz w:val="28"/>
          <w:szCs w:val="28"/>
          <w:highlight w:val="none"/>
        </w:rPr>
        <w:t>招标文件、中标人的投标文件及招标过程中有关澄清、承诺文件均应作为合同附件。</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pPr>
        <w:pStyle w:val="12"/>
        <w:keepNext/>
        <w:keepLines/>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32、货物（包含与货物相关的服务）的追加</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12"/>
        <w:spacing w:beforeAutospacing="0" w:afterAutospacing="0" w:line="400" w:lineRule="exact"/>
        <w:ind w:firstLine="562" w:firstLineChars="200"/>
        <w:jc w:val="both"/>
        <w:rPr>
          <w:rFonts w:asciiTheme="majorEastAsia" w:hAnsiTheme="majorEastAsia" w:eastAsiaTheme="majorEastAsia" w:cstheme="majorEastAsia"/>
          <w:b/>
          <w:bCs/>
          <w:color w:val="auto"/>
          <w:sz w:val="28"/>
          <w:szCs w:val="28"/>
          <w:highlight w:val="none"/>
        </w:rPr>
      </w:pPr>
      <w:bookmarkStart w:id="152" w:name="_Toc513029242"/>
      <w:bookmarkEnd w:id="152"/>
      <w:bookmarkStart w:id="153" w:name="_Toc120614221"/>
      <w:bookmarkEnd w:id="153"/>
      <w:bookmarkStart w:id="154" w:name="_Toc16938558"/>
      <w:bookmarkEnd w:id="154"/>
      <w:bookmarkStart w:id="155" w:name="_Toc479757207"/>
      <w:bookmarkEnd w:id="155"/>
      <w:bookmarkStart w:id="156" w:name="_Toc20823314"/>
      <w:bookmarkEnd w:id="156"/>
      <w:r>
        <w:rPr>
          <w:rFonts w:hint="eastAsia" w:asciiTheme="majorEastAsia" w:hAnsiTheme="majorEastAsia" w:eastAsiaTheme="majorEastAsia" w:cstheme="majorEastAsia"/>
          <w:b/>
          <w:bCs/>
          <w:color w:val="auto"/>
          <w:sz w:val="28"/>
          <w:szCs w:val="28"/>
          <w:highlight w:val="none"/>
        </w:rPr>
        <w:t>33、政府采购线上合同信用融资政策</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34、其他</w:t>
      </w: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34.1供应商对于投标产品的商品包装、快递包装应按照《关于印发《商品包装政府采购需求标准（试行）》、《快递包装政府采购需求标准（试行）》的通知》（财办库〔2020〕123号）执行。</w:t>
      </w: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34.2本文件中若涉及到数据中心采购，应按照《&lt;绿色数据中心政府采购需求标准（试行）&gt;的通知》（财库〔2023〕7号）执行。</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34.3 本项目落实预付款制度，</w:t>
      </w:r>
      <w:r>
        <w:rPr>
          <w:rFonts w:hint="eastAsia" w:asciiTheme="majorEastAsia" w:hAnsiTheme="majorEastAsia" w:eastAsiaTheme="majorEastAsia" w:cstheme="majorEastAsia"/>
          <w:b/>
          <w:bCs/>
          <w:color w:val="auto"/>
          <w:sz w:val="28"/>
          <w:szCs w:val="28"/>
          <w:highlight w:val="none"/>
        </w:rPr>
        <w:t>预付款比例为30%。</w:t>
      </w:r>
      <w:r>
        <w:rPr>
          <w:rFonts w:hint="eastAsia" w:asciiTheme="majorEastAsia" w:hAnsiTheme="majorEastAsia" w:eastAsiaTheme="majorEastAsia" w:cstheme="majorEastAsia"/>
          <w:color w:val="auto"/>
          <w:sz w:val="28"/>
          <w:szCs w:val="28"/>
          <w:highlight w:val="none"/>
        </w:rPr>
        <w:t>在签订合同时，中标、成交供应商明确书面表示无需预付款或者主动要求降低预付款比例的，采购人可就预付款比例作相应调整。</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34.4 确需收取履约保证金的，履约保证金的缴纳形式：</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pStyle w:val="12"/>
        <w:spacing w:beforeAutospacing="0" w:afterAutospacing="0" w:line="400" w:lineRule="exact"/>
        <w:ind w:firstLine="560" w:firstLineChars="200"/>
        <w:jc w:val="both"/>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如以履约保函（保险）形式缴纳履约保证金，供应商可通过政府采购电子履约保函（保险）平台（www.jsdzbh.com）在线申请履约保函（保险）。</w:t>
      </w: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spacing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pPr>
        <w:widowControl/>
        <w:spacing w:line="400" w:lineRule="exact"/>
        <w:jc w:val="center"/>
        <w:rPr>
          <w:rFonts w:asciiTheme="majorEastAsia" w:hAnsiTheme="majorEastAsia" w:eastAsiaTheme="majorEastAsia" w:cstheme="majorEastAsia"/>
          <w:b/>
          <w:color w:val="auto"/>
          <w:sz w:val="40"/>
          <w:szCs w:val="36"/>
          <w:highlight w:val="none"/>
        </w:rPr>
      </w:pPr>
      <w:bookmarkStart w:id="157" w:name="_Hlt16619350"/>
      <w:bookmarkStart w:id="158" w:name="_Toc16938590"/>
      <w:bookmarkStart w:id="159" w:name="_Toc20823346"/>
      <w:bookmarkStart w:id="160" w:name="_Toc120614244"/>
      <w:bookmarkStart w:id="161" w:name="_Toc479757211"/>
      <w:bookmarkStart w:id="162" w:name="_Toc462564139"/>
    </w:p>
    <w:p>
      <w:pPr>
        <w:widowControl/>
        <w:spacing w:line="480" w:lineRule="exact"/>
        <w:jc w:val="center"/>
        <w:rPr>
          <w:rFonts w:asciiTheme="majorEastAsia" w:hAnsiTheme="majorEastAsia" w:eastAsiaTheme="majorEastAsia" w:cstheme="majorEastAsia"/>
          <w:b/>
          <w:color w:val="auto"/>
          <w:sz w:val="40"/>
          <w:szCs w:val="36"/>
          <w:highlight w:val="none"/>
        </w:rPr>
      </w:pPr>
    </w:p>
    <w:p>
      <w:pPr>
        <w:widowControl/>
        <w:spacing w:line="480" w:lineRule="exact"/>
        <w:jc w:val="center"/>
        <w:rPr>
          <w:rFonts w:ascii="Times New Roman" w:hAnsi="Times New Roman" w:eastAsia="方正大标宋_GBK" w:cs="方正大标宋_GBK"/>
          <w:color w:val="auto"/>
          <w:kern w:val="0"/>
          <w:sz w:val="44"/>
          <w:szCs w:val="44"/>
          <w:highlight w:val="none"/>
        </w:rPr>
      </w:pPr>
      <w:r>
        <w:rPr>
          <w:rFonts w:hint="eastAsia" w:ascii="Times New Roman" w:hAnsi="Times New Roman" w:eastAsia="方正大标宋_GBK" w:cs="方正大标宋_GBK"/>
          <w:color w:val="auto"/>
          <w:kern w:val="0"/>
          <w:sz w:val="44"/>
          <w:szCs w:val="44"/>
          <w:highlight w:val="none"/>
        </w:rPr>
        <w:t>第三章合同条款</w:t>
      </w:r>
    </w:p>
    <w:p>
      <w:pPr>
        <w:spacing w:line="400" w:lineRule="exact"/>
        <w:rPr>
          <w:rFonts w:asciiTheme="majorEastAsia" w:hAnsiTheme="majorEastAsia" w:eastAsiaTheme="majorEastAsia" w:cstheme="majorEastAsia"/>
          <w:color w:val="auto"/>
          <w:sz w:val="30"/>
          <w:highlight w:val="none"/>
        </w:rPr>
      </w:pPr>
    </w:p>
    <w:p>
      <w:pPr>
        <w:spacing w:line="400" w:lineRule="exact"/>
        <w:jc w:val="center"/>
        <w:rPr>
          <w:rFonts w:asciiTheme="majorEastAsia" w:hAnsiTheme="majorEastAsia" w:eastAsiaTheme="majorEastAsia" w:cstheme="majorEastAsia"/>
          <w:color w:val="auto"/>
          <w:sz w:val="36"/>
          <w:szCs w:val="32"/>
          <w:highlight w:val="none"/>
        </w:rPr>
      </w:pPr>
    </w:p>
    <w:p>
      <w:pPr>
        <w:spacing w:line="400" w:lineRule="exact"/>
        <w:jc w:val="center"/>
        <w:rPr>
          <w:rFonts w:asciiTheme="majorEastAsia" w:hAnsiTheme="majorEastAsia" w:eastAsiaTheme="majorEastAsia" w:cstheme="majorEastAsia"/>
          <w:color w:val="auto"/>
          <w:sz w:val="36"/>
          <w:szCs w:val="32"/>
          <w:highlight w:val="none"/>
        </w:rPr>
      </w:pPr>
      <w:r>
        <w:rPr>
          <w:rFonts w:hint="eastAsia" w:asciiTheme="majorEastAsia" w:hAnsiTheme="majorEastAsia" w:eastAsiaTheme="majorEastAsia" w:cstheme="majorEastAsia"/>
          <w:color w:val="auto"/>
          <w:sz w:val="36"/>
          <w:szCs w:val="32"/>
          <w:highlight w:val="none"/>
        </w:rPr>
        <w:t>政府采购货物买卖合同</w:t>
      </w:r>
    </w:p>
    <w:p>
      <w:pPr>
        <w:spacing w:line="400" w:lineRule="exact"/>
        <w:jc w:val="center"/>
        <w:rPr>
          <w:rFonts w:asciiTheme="majorEastAsia" w:hAnsiTheme="majorEastAsia" w:eastAsiaTheme="majorEastAsia" w:cstheme="majorEastAsia"/>
          <w:color w:val="auto"/>
          <w:sz w:val="30"/>
          <w:highlight w:val="none"/>
        </w:rPr>
      </w:pPr>
    </w:p>
    <w:p>
      <w:pPr>
        <w:spacing w:line="400" w:lineRule="exact"/>
        <w:rPr>
          <w:rFonts w:asciiTheme="majorEastAsia" w:hAnsiTheme="majorEastAsia" w:eastAsiaTheme="majorEastAsia" w:cstheme="majorEastAsia"/>
          <w:color w:val="auto"/>
          <w:sz w:val="30"/>
          <w:highlight w:val="none"/>
        </w:rPr>
      </w:pPr>
    </w:p>
    <w:p>
      <w:pPr>
        <w:spacing w:line="400" w:lineRule="exact"/>
        <w:rPr>
          <w:rFonts w:asciiTheme="majorEastAsia" w:hAnsiTheme="majorEastAsia" w:eastAsiaTheme="majorEastAsia" w:cstheme="majorEastAsia"/>
          <w:color w:val="auto"/>
          <w:sz w:val="30"/>
          <w:highlight w:val="none"/>
        </w:rPr>
      </w:pPr>
    </w:p>
    <w:p>
      <w:pPr>
        <w:spacing w:line="400" w:lineRule="exact"/>
        <w:rPr>
          <w:rFonts w:asciiTheme="majorEastAsia" w:hAnsiTheme="majorEastAsia" w:eastAsiaTheme="majorEastAsia" w:cstheme="majorEastAsia"/>
          <w:color w:val="auto"/>
          <w:sz w:val="30"/>
          <w:highlight w:val="none"/>
        </w:rPr>
      </w:pPr>
    </w:p>
    <w:p>
      <w:pPr>
        <w:spacing w:line="400" w:lineRule="exact"/>
        <w:ind w:left="420" w:firstLine="1458" w:firstLineChars="486"/>
        <w:rPr>
          <w:rFonts w:asciiTheme="majorEastAsia" w:hAnsiTheme="majorEastAsia" w:eastAsiaTheme="majorEastAsia" w:cstheme="majorEastAsia"/>
          <w:color w:val="auto"/>
          <w:sz w:val="30"/>
          <w:highlight w:val="none"/>
        </w:rPr>
      </w:pPr>
      <w:r>
        <w:rPr>
          <w:rFonts w:hint="eastAsia" w:asciiTheme="majorEastAsia" w:hAnsiTheme="majorEastAsia" w:eastAsiaTheme="majorEastAsia" w:cstheme="majorEastAsia"/>
          <w:color w:val="auto"/>
          <w:sz w:val="30"/>
          <w:highlight w:val="none"/>
        </w:rPr>
        <w:t>项目名称：</w:t>
      </w:r>
    </w:p>
    <w:p>
      <w:pPr>
        <w:spacing w:line="400" w:lineRule="exact"/>
        <w:ind w:left="420" w:firstLine="1458" w:firstLineChars="486"/>
        <w:rPr>
          <w:rFonts w:asciiTheme="majorEastAsia" w:hAnsiTheme="majorEastAsia" w:eastAsiaTheme="majorEastAsia" w:cstheme="majorEastAsia"/>
          <w:color w:val="auto"/>
          <w:sz w:val="30"/>
          <w:highlight w:val="none"/>
        </w:rPr>
      </w:pPr>
      <w:r>
        <w:rPr>
          <w:rFonts w:hint="eastAsia" w:asciiTheme="majorEastAsia" w:hAnsiTheme="majorEastAsia" w:eastAsiaTheme="majorEastAsia" w:cstheme="majorEastAsia"/>
          <w:color w:val="auto"/>
          <w:sz w:val="30"/>
          <w:highlight w:val="none"/>
        </w:rPr>
        <w:t>合同编号：</w:t>
      </w:r>
    </w:p>
    <w:p>
      <w:pPr>
        <w:spacing w:line="400" w:lineRule="exact"/>
        <w:ind w:left="420" w:firstLine="1458" w:firstLineChars="486"/>
        <w:rPr>
          <w:rFonts w:asciiTheme="majorEastAsia" w:hAnsiTheme="majorEastAsia" w:eastAsiaTheme="majorEastAsia" w:cstheme="majorEastAsia"/>
          <w:color w:val="auto"/>
          <w:sz w:val="30"/>
          <w:highlight w:val="none"/>
        </w:rPr>
      </w:pPr>
      <w:r>
        <w:rPr>
          <w:rFonts w:hint="eastAsia" w:asciiTheme="majorEastAsia" w:hAnsiTheme="majorEastAsia" w:eastAsiaTheme="majorEastAsia" w:cstheme="majorEastAsia"/>
          <w:color w:val="auto"/>
          <w:sz w:val="30"/>
          <w:highlight w:val="none"/>
        </w:rPr>
        <w:t>甲方：</w:t>
      </w:r>
    </w:p>
    <w:p>
      <w:pPr>
        <w:spacing w:line="400" w:lineRule="exact"/>
        <w:ind w:left="420" w:firstLine="1458" w:firstLineChars="486"/>
        <w:rPr>
          <w:rFonts w:asciiTheme="majorEastAsia" w:hAnsiTheme="majorEastAsia" w:eastAsiaTheme="majorEastAsia" w:cstheme="majorEastAsia"/>
          <w:color w:val="auto"/>
          <w:sz w:val="30"/>
          <w:highlight w:val="none"/>
        </w:rPr>
      </w:pPr>
      <w:r>
        <w:rPr>
          <w:rFonts w:hint="eastAsia" w:asciiTheme="majorEastAsia" w:hAnsiTheme="majorEastAsia" w:eastAsiaTheme="majorEastAsia" w:cstheme="majorEastAsia"/>
          <w:color w:val="auto"/>
          <w:sz w:val="30"/>
          <w:highlight w:val="none"/>
        </w:rPr>
        <w:t>乙方：</w:t>
      </w:r>
    </w:p>
    <w:p>
      <w:pPr>
        <w:spacing w:line="400" w:lineRule="exact"/>
        <w:ind w:left="420" w:firstLine="1458" w:firstLineChars="486"/>
        <w:rPr>
          <w:rFonts w:asciiTheme="majorEastAsia" w:hAnsiTheme="majorEastAsia" w:eastAsiaTheme="majorEastAsia" w:cstheme="majorEastAsia"/>
          <w:color w:val="auto"/>
          <w:sz w:val="30"/>
          <w:highlight w:val="none"/>
        </w:rPr>
      </w:pPr>
      <w:r>
        <w:rPr>
          <w:rFonts w:hint="eastAsia" w:asciiTheme="majorEastAsia" w:hAnsiTheme="majorEastAsia" w:eastAsiaTheme="majorEastAsia" w:cstheme="majorEastAsia"/>
          <w:color w:val="auto"/>
          <w:sz w:val="30"/>
          <w:highlight w:val="none"/>
        </w:rPr>
        <w:t>签订时间：</w:t>
      </w:r>
    </w:p>
    <w:p>
      <w:pPr>
        <w:spacing w:line="400" w:lineRule="exact"/>
        <w:rPr>
          <w:rFonts w:asciiTheme="majorEastAsia" w:hAnsiTheme="majorEastAsia" w:eastAsiaTheme="majorEastAsia" w:cstheme="majorEastAsia"/>
          <w:color w:val="auto"/>
          <w:highlight w:val="none"/>
        </w:rPr>
      </w:pPr>
    </w:p>
    <w:p>
      <w:pPr>
        <w:spacing w:line="400" w:lineRule="exact"/>
        <w:rPr>
          <w:rFonts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r>
    </w:p>
    <w:p>
      <w:pPr>
        <w:spacing w:line="400" w:lineRule="exact"/>
        <w:jc w:val="center"/>
        <w:rPr>
          <w:rFonts w:asciiTheme="majorEastAsia" w:hAnsiTheme="majorEastAsia" w:eastAsiaTheme="majorEastAsia" w:cstheme="majorEastAsia"/>
          <w:color w:val="auto"/>
          <w:sz w:val="44"/>
          <w:szCs w:val="44"/>
          <w:highlight w:val="none"/>
        </w:rPr>
      </w:pPr>
    </w:p>
    <w:p>
      <w:pPr>
        <w:spacing w:line="400" w:lineRule="exact"/>
        <w:jc w:val="center"/>
        <w:rPr>
          <w:rFonts w:asciiTheme="majorEastAsia" w:hAnsiTheme="majorEastAsia" w:eastAsiaTheme="majorEastAsia" w:cstheme="majorEastAsia"/>
          <w:color w:val="auto"/>
          <w:sz w:val="44"/>
          <w:szCs w:val="44"/>
          <w:highlight w:val="none"/>
        </w:rPr>
      </w:pPr>
    </w:p>
    <w:p>
      <w:pPr>
        <w:spacing w:line="480" w:lineRule="exact"/>
        <w:jc w:val="center"/>
        <w:rPr>
          <w:rFonts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t>使用说明</w:t>
      </w:r>
    </w:p>
    <w:p>
      <w:pPr>
        <w:spacing w:line="400" w:lineRule="exact"/>
        <w:ind w:firstLine="640"/>
        <w:rPr>
          <w:rFonts w:asciiTheme="majorEastAsia" w:hAnsiTheme="majorEastAsia" w:eastAsiaTheme="majorEastAsia" w:cstheme="majorEastAsia"/>
          <w:color w:val="auto"/>
          <w:sz w:val="32"/>
          <w:szCs w:val="32"/>
          <w:highlight w:val="none"/>
        </w:rPr>
      </w:pP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1.本合同标准文本适用于购买现成货物的采购项目，不包括需要供应商定制开发、创新研发的货物采购项目。</w:t>
      </w: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2.本合同标准文本为政府采购货物买卖合同编制提供参考，可以结合采购项目具体情况，对文本作必要的调整修订后使用。</w:t>
      </w:r>
    </w:p>
    <w:p>
      <w:pPr>
        <w:spacing w:line="400" w:lineRule="exact"/>
        <w:ind w:firstLine="560" w:firstLineChars="200"/>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8"/>
          <w:szCs w:val="28"/>
          <w:highlight w:val="none"/>
        </w:rPr>
        <w:t>3.本合同标准文本各条款中，如涉及填写多家供应商、制造商，多种采购标的、分包主要内容等信息的，可根据采购项目具体情况添加信息项。</w:t>
      </w:r>
    </w:p>
    <w:p>
      <w:pPr>
        <w:spacing w:line="400" w:lineRule="exact"/>
        <w:ind w:firstLine="560" w:firstLineChars="200"/>
        <w:rPr>
          <w:rFonts w:asciiTheme="majorEastAsia" w:hAnsiTheme="majorEastAsia" w:eastAsiaTheme="majorEastAsia" w:cstheme="majorEastAsia"/>
          <w:color w:val="auto"/>
          <w:kern w:val="0"/>
          <w:sz w:val="28"/>
          <w:szCs w:val="28"/>
          <w:highlight w:val="none"/>
        </w:rPr>
        <w:sectPr>
          <w:footerReference r:id="rId3" w:type="default"/>
          <w:pgSz w:w="11906" w:h="16838"/>
          <w:pgMar w:top="1440" w:right="1800" w:bottom="1440" w:left="1800" w:header="851" w:footer="992" w:gutter="0"/>
          <w:cols w:space="425" w:num="1"/>
          <w:docGrid w:linePitch="360" w:charSpace="0"/>
        </w:sectPr>
      </w:pPr>
    </w:p>
    <w:p>
      <w:pPr>
        <w:keepNext/>
        <w:keepLines/>
        <w:spacing w:line="400" w:lineRule="exact"/>
        <w:jc w:val="center"/>
        <w:outlineLvl w:val="1"/>
        <w:rPr>
          <w:rFonts w:asciiTheme="majorEastAsia" w:hAnsiTheme="majorEastAsia" w:eastAsiaTheme="majorEastAsia" w:cstheme="majorEastAsia"/>
          <w:b/>
          <w:bCs/>
          <w:color w:val="auto"/>
          <w:sz w:val="28"/>
          <w:szCs w:val="28"/>
          <w:highlight w:val="none"/>
        </w:rPr>
      </w:pPr>
      <w:bookmarkStart w:id="163" w:name="_Toc22209"/>
    </w:p>
    <w:bookmarkEnd w:id="163"/>
    <w:p>
      <w:pPr>
        <w:keepNext/>
        <w:keepLines/>
        <w:spacing w:line="400" w:lineRule="exact"/>
        <w:jc w:val="center"/>
        <w:outlineLvl w:val="1"/>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第一节政府采购合同协议书</w:t>
      </w:r>
    </w:p>
    <w:p>
      <w:pPr>
        <w:keepNext/>
        <w:keepLines/>
        <w:spacing w:line="400" w:lineRule="exact"/>
        <w:jc w:val="center"/>
        <w:outlineLvl w:val="1"/>
        <w:rPr>
          <w:rFonts w:asciiTheme="majorEastAsia" w:hAnsiTheme="majorEastAsia" w:eastAsiaTheme="majorEastAsia" w:cstheme="majorEastAsia"/>
          <w:color w:val="auto"/>
          <w:sz w:val="28"/>
          <w:szCs w:val="28"/>
          <w:highlight w:val="none"/>
        </w:rPr>
      </w:pP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甲方（全称）：</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乙方（全称）：</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1.项目信息</w:t>
      </w:r>
    </w:p>
    <w:p>
      <w:pPr>
        <w:numPr>
          <w:ilvl w:val="0"/>
          <w:numId w:val="3"/>
        </w:num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采购项目名称：</w:t>
      </w:r>
    </w:p>
    <w:p>
      <w:pPr>
        <w:numPr>
          <w:ilvl w:val="255"/>
          <w:numId w:val="0"/>
        </w:numPr>
        <w:tabs>
          <w:tab w:val="left" w:pos="999"/>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采购项目编号：</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（2）采购计划编号：</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（3）项目内容：</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采购标的及数量（台/套/个/架/组等）：</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品牌：规格型号：</w:t>
      </w:r>
    </w:p>
    <w:p>
      <w:p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采购标的的技术要求、商务要求具体见附件。</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①涉及信息类产品，请填写该产品关键部件的品牌、型号：</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标的名称：</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关键部件：品牌：型号：</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关键部件：品牌：型号：</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关键部件：品牌：型号：</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pPr>
        <w:widowControl/>
        <w:numPr>
          <w:ilvl w:val="255"/>
          <w:numId w:val="0"/>
        </w:numPr>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（4）政府采购组织形式：政府集中采购部门集中采购分散采购</w:t>
      </w:r>
    </w:p>
    <w:p>
      <w:pPr>
        <w:widowControl/>
        <w:numPr>
          <w:ilvl w:val="255"/>
          <w:numId w:val="0"/>
        </w:numPr>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（5）政府采购方式：公开招标邀请招标竞争性谈判竞争性磋商</w:t>
      </w:r>
    </w:p>
    <w:p>
      <w:pPr>
        <w:widowControl/>
        <w:numPr>
          <w:ilvl w:val="255"/>
          <w:numId w:val="0"/>
        </w:numPr>
        <w:spacing w:line="400" w:lineRule="exact"/>
        <w:ind w:firstLine="480" w:firstLineChars="200"/>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询价单一来源框架协议其他：</w:t>
      </w:r>
    </w:p>
    <w:p>
      <w:pPr>
        <w:widowControl/>
        <w:numPr>
          <w:ilvl w:val="255"/>
          <w:numId w:val="0"/>
        </w:numPr>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（6）中标（成交）采购标的制造商是否为中小企业：是否</w:t>
      </w:r>
    </w:p>
    <w:p>
      <w:pPr>
        <w:numPr>
          <w:ilvl w:val="255"/>
          <w:numId w:val="0"/>
        </w:numPr>
        <w:spacing w:line="400" w:lineRule="exact"/>
        <w:ind w:firstLine="480" w:firstLineChars="200"/>
        <w:rPr>
          <w:rFonts w:asciiTheme="majorEastAsia" w:hAnsiTheme="majorEastAsia" w:eastAsiaTheme="majorEastAsia" w:cstheme="majorEastAsia"/>
          <w:iCs/>
          <w:color w:val="auto"/>
          <w:sz w:val="24"/>
          <w:highlight w:val="none"/>
        </w:rPr>
      </w:pPr>
      <w:r>
        <w:rPr>
          <w:rFonts w:hint="eastAsia" w:asciiTheme="majorEastAsia" w:hAnsiTheme="majorEastAsia" w:eastAsiaTheme="majorEastAsia" w:cstheme="majorEastAsia"/>
          <w:color w:val="auto"/>
          <w:sz w:val="24"/>
          <w:highlight w:val="none"/>
        </w:rPr>
        <w:t>本合同是否为专门面向中小企业的采购合同（中小企业预留合同）：</w:t>
      </w:r>
      <w:r>
        <w:rPr>
          <w:rFonts w:hint="eastAsia" w:asciiTheme="majorEastAsia" w:hAnsiTheme="majorEastAsia" w:eastAsiaTheme="majorEastAsia" w:cstheme="majorEastAsia"/>
          <w:iCs/>
          <w:color w:val="auto"/>
          <w:sz w:val="24"/>
          <w:highlight w:val="none"/>
        </w:rPr>
        <w:t>是否</w:t>
      </w:r>
    </w:p>
    <w:p>
      <w:pPr>
        <w:numPr>
          <w:ilvl w:val="255"/>
          <w:numId w:val="0"/>
        </w:numPr>
        <w:spacing w:line="400" w:lineRule="exact"/>
        <w:ind w:firstLine="480" w:firstLineChars="200"/>
        <w:rPr>
          <w:rFonts w:asciiTheme="majorEastAsia" w:hAnsiTheme="majorEastAsia" w:eastAsiaTheme="majorEastAsia" w:cstheme="majorEastAsia"/>
          <w:iCs/>
          <w:color w:val="auto"/>
          <w:sz w:val="24"/>
          <w:highlight w:val="none"/>
        </w:rPr>
      </w:pPr>
      <w:r>
        <w:rPr>
          <w:rFonts w:hint="eastAsia" w:asciiTheme="majorEastAsia" w:hAnsiTheme="majorEastAsia" w:eastAsiaTheme="majorEastAsia" w:cstheme="majorEastAsia"/>
          <w:color w:val="auto"/>
          <w:sz w:val="24"/>
          <w:highlight w:val="none"/>
        </w:rPr>
        <w:t>若本项目不专门面向中小企业采购，是否给予小微企业评审优惠：</w:t>
      </w:r>
      <w:r>
        <w:rPr>
          <w:rFonts w:hint="eastAsia" w:asciiTheme="majorEastAsia" w:hAnsiTheme="majorEastAsia" w:eastAsiaTheme="majorEastAsia" w:cstheme="majorEastAsia"/>
          <w:iCs/>
          <w:color w:val="auto"/>
          <w:sz w:val="24"/>
          <w:highlight w:val="none"/>
        </w:rPr>
        <w:t>是否</w:t>
      </w:r>
    </w:p>
    <w:p>
      <w:pPr>
        <w:numPr>
          <w:ilvl w:val="255"/>
          <w:numId w:val="0"/>
        </w:numPr>
        <w:spacing w:line="400" w:lineRule="exact"/>
        <w:ind w:firstLine="480" w:firstLineChars="200"/>
        <w:rPr>
          <w:rFonts w:asciiTheme="majorEastAsia" w:hAnsiTheme="majorEastAsia" w:eastAsiaTheme="majorEastAsia" w:cstheme="majorEastAsia"/>
          <w:iCs/>
          <w:color w:val="auto"/>
          <w:sz w:val="24"/>
          <w:highlight w:val="none"/>
        </w:rPr>
      </w:pPr>
      <w:r>
        <w:rPr>
          <w:rFonts w:hint="eastAsia" w:asciiTheme="majorEastAsia" w:hAnsiTheme="majorEastAsia" w:eastAsiaTheme="majorEastAsia" w:cstheme="majorEastAsia"/>
          <w:color w:val="auto"/>
          <w:sz w:val="24"/>
          <w:highlight w:val="none"/>
        </w:rPr>
        <w:t>中标（成交）采购标的制造商是否为残疾人福利性单位：</w:t>
      </w:r>
      <w:r>
        <w:rPr>
          <w:rFonts w:hint="eastAsia" w:asciiTheme="majorEastAsia" w:hAnsiTheme="majorEastAsia" w:eastAsiaTheme="majorEastAsia" w:cstheme="majorEastAsia"/>
          <w:iCs/>
          <w:color w:val="auto"/>
          <w:sz w:val="24"/>
          <w:highlight w:val="none"/>
        </w:rPr>
        <w:t>是否</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中标（成交）采购标的制造商是否为监狱企业：</w:t>
      </w:r>
      <w:r>
        <w:rPr>
          <w:rFonts w:hint="eastAsia" w:asciiTheme="majorEastAsia" w:hAnsiTheme="majorEastAsia" w:eastAsiaTheme="majorEastAsia" w:cstheme="majorEastAsia"/>
          <w:iCs/>
          <w:color w:val="auto"/>
          <w:sz w:val="24"/>
          <w:highlight w:val="none"/>
        </w:rPr>
        <w:t>是否</w:t>
      </w:r>
    </w:p>
    <w:p>
      <w:pPr>
        <w:numPr>
          <w:ilvl w:val="255"/>
          <w:numId w:val="0"/>
        </w:numPr>
        <w:spacing w:line="400" w:lineRule="exact"/>
        <w:ind w:firstLine="480" w:firstLineChars="200"/>
        <w:rPr>
          <w:rFonts w:asciiTheme="majorEastAsia" w:hAnsiTheme="majorEastAsia" w:eastAsiaTheme="majorEastAsia" w:cstheme="majorEastAsia"/>
          <w:iCs/>
          <w:color w:val="auto"/>
          <w:sz w:val="24"/>
          <w:highlight w:val="none"/>
        </w:rPr>
      </w:pPr>
      <w:r>
        <w:rPr>
          <w:rFonts w:hint="eastAsia" w:asciiTheme="majorEastAsia" w:hAnsiTheme="majorEastAsia" w:eastAsiaTheme="majorEastAsia" w:cstheme="majorEastAsia"/>
          <w:color w:val="auto"/>
          <w:sz w:val="24"/>
          <w:highlight w:val="none"/>
        </w:rPr>
        <w:t>（7）中标（成交）供应商是否为外商投资企业：</w:t>
      </w:r>
      <w:r>
        <w:rPr>
          <w:rFonts w:hint="eastAsia" w:asciiTheme="majorEastAsia" w:hAnsiTheme="majorEastAsia" w:eastAsiaTheme="majorEastAsia" w:cstheme="majorEastAsia"/>
          <w:iCs/>
          <w:color w:val="auto"/>
          <w:sz w:val="24"/>
          <w:highlight w:val="none"/>
        </w:rPr>
        <w:t>是否</w:t>
      </w:r>
    </w:p>
    <w:p>
      <w:pPr>
        <w:widowControl/>
        <w:tabs>
          <w:tab w:val="left" w:pos="1340"/>
        </w:tabs>
        <w:spacing w:line="400" w:lineRule="exact"/>
        <w:ind w:firstLine="480" w:firstLineChars="200"/>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外商投资企业类型：</w:t>
      </w:r>
      <w:r>
        <w:rPr>
          <w:rFonts w:hint="eastAsia" w:asciiTheme="majorEastAsia" w:hAnsiTheme="majorEastAsia" w:eastAsiaTheme="majorEastAsia" w:cstheme="majorEastAsia"/>
          <w:iCs/>
          <w:color w:val="auto"/>
          <w:sz w:val="24"/>
          <w:highlight w:val="none"/>
        </w:rPr>
        <w:t></w:t>
      </w:r>
      <w:r>
        <w:rPr>
          <w:rFonts w:hint="eastAsia" w:asciiTheme="majorEastAsia" w:hAnsiTheme="majorEastAsia" w:eastAsiaTheme="majorEastAsia" w:cstheme="majorEastAsia"/>
          <w:color w:val="auto"/>
          <w:sz w:val="24"/>
          <w:highlight w:val="none"/>
        </w:rPr>
        <w:t>全部由外国投资者投资</w:t>
      </w:r>
      <w:r>
        <w:rPr>
          <w:rFonts w:hint="eastAsia" w:asciiTheme="majorEastAsia" w:hAnsiTheme="majorEastAsia" w:eastAsiaTheme="majorEastAsia" w:cstheme="majorEastAsia"/>
          <w:iCs/>
          <w:color w:val="auto"/>
          <w:sz w:val="24"/>
          <w:highlight w:val="none"/>
        </w:rPr>
        <w:t>部分由外国投资者投资</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（8）是否涉及进口产品：</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是，《政府采购品目分类目录》底级品目名称：金额：</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国别：品牌：规格型号：</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否</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（9）是否涉及节能产品：</w:t>
      </w:r>
    </w:p>
    <w:p>
      <w:pPr>
        <w:numPr>
          <w:ilvl w:val="255"/>
          <w:numId w:val="0"/>
        </w:numPr>
        <w:tabs>
          <w:tab w:val="left" w:pos="740"/>
        </w:tabs>
        <w:spacing w:line="400" w:lineRule="exact"/>
        <w:ind w:firstLine="480" w:firstLineChars="200"/>
        <w:rPr>
          <w:rFonts w:asciiTheme="majorEastAsia" w:hAnsiTheme="majorEastAsia" w:eastAsiaTheme="majorEastAsia" w:cstheme="majorEastAsia"/>
          <w:iCs/>
          <w:color w:val="auto"/>
          <w:sz w:val="24"/>
          <w:highlight w:val="none"/>
        </w:rPr>
      </w:pPr>
      <w:r>
        <w:rPr>
          <w:rFonts w:hint="eastAsia" w:asciiTheme="majorEastAsia" w:hAnsiTheme="majorEastAsia" w:eastAsiaTheme="majorEastAsia" w:cstheme="majorEastAsia"/>
          <w:color w:val="auto"/>
          <w:sz w:val="24"/>
          <w:highlight w:val="none"/>
        </w:rPr>
        <w:t>是，《节能产品政府采购品目清单》的底级品目名称：</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强制采购优先采购</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否</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是否涉及环境标志产品：</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是，《环境标志产品政府采购品目清单》的底级品目名称：</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强制采购优先采购</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否</w:t>
      </w:r>
    </w:p>
    <w:p>
      <w:pPr>
        <w:widowControl/>
        <w:numPr>
          <w:ilvl w:val="255"/>
          <w:numId w:val="0"/>
        </w:numPr>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是否涉及绿色产品：</w:t>
      </w:r>
    </w:p>
    <w:p>
      <w:pPr>
        <w:widowControl/>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是，绿色产品政府采购相关政策确定的底级品目名称：</w:t>
      </w:r>
    </w:p>
    <w:p>
      <w:pPr>
        <w:numPr>
          <w:ilvl w:val="255"/>
          <w:numId w:val="0"/>
        </w:numPr>
        <w:tabs>
          <w:tab w:val="left" w:pos="740"/>
        </w:tabs>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强制采购优先采购</w:t>
      </w:r>
    </w:p>
    <w:p>
      <w:pPr>
        <w:widowControl/>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否</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（10）涉及商品包装和快递包装的，是否参考《商品包装政府采购需求标准（试行）》、《快递包装政府采购需求标准（试行）》明确产品及相关快递服务的具体包装要求：</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是否不涉及</w:t>
      </w:r>
    </w:p>
    <w:p>
      <w:pPr>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2.合同金额</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（1）合同金额小写：</w:t>
      </w:r>
    </w:p>
    <w:p>
      <w:p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大写：</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分包金额（如有）小写：</w:t>
      </w:r>
    </w:p>
    <w:p>
      <w:p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大写：</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（2）付款方式（按项目实际勾选填写，具体详见专用条款第二节</w:t>
      </w:r>
    </w:p>
    <w:p>
      <w:pPr>
        <w:numPr>
          <w:ilvl w:val="255"/>
          <w:numId w:val="0"/>
        </w:num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第12.2款）：</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sym w:font="Wingdings" w:char="F0A8"/>
      </w:r>
      <w:r>
        <w:rPr>
          <w:rFonts w:hint="eastAsia" w:asciiTheme="majorEastAsia" w:hAnsiTheme="majorEastAsia" w:eastAsiaTheme="majorEastAsia" w:cstheme="majorEastAsia"/>
          <w:color w:val="auto"/>
          <w:sz w:val="24"/>
          <w:highlight w:val="none"/>
        </w:rPr>
        <w:t>全额付款：</w:t>
      </w:r>
      <w:r>
        <w:rPr>
          <w:rFonts w:hint="eastAsia" w:asciiTheme="majorEastAsia" w:hAnsiTheme="majorEastAsia" w:eastAsiaTheme="majorEastAsia" w:cstheme="majorEastAsia"/>
          <w:color w:val="auto"/>
          <w:sz w:val="24"/>
          <w:highlight w:val="none"/>
          <w:u w:val="single"/>
        </w:rPr>
        <w:t>（应明确一次性支付合同款项的条件）</w:t>
      </w:r>
    </w:p>
    <w:p>
      <w:pPr>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sym w:font="Wingdings" w:char="F0FE"/>
      </w:r>
      <w:r>
        <w:rPr>
          <w:rFonts w:hint="eastAsia" w:asciiTheme="majorEastAsia" w:hAnsiTheme="majorEastAsia" w:eastAsiaTheme="majorEastAsia" w:cstheme="majorEastAsia"/>
          <w:color w:val="auto"/>
          <w:sz w:val="24"/>
          <w:highlight w:val="none"/>
        </w:rPr>
        <w:t>分期付款：</w:t>
      </w:r>
      <w:r>
        <w:rPr>
          <w:rFonts w:hint="eastAsia" w:asciiTheme="majorEastAsia" w:hAnsiTheme="majorEastAsia" w:eastAsiaTheme="majorEastAsia" w:cstheme="majorEastAsia"/>
          <w:color w:val="auto"/>
          <w:sz w:val="24"/>
          <w:highlight w:val="none"/>
          <w:u w:val="single"/>
        </w:rPr>
        <w:t>（应明确分期支付合同款项的各期比例和支付条件，各期支付条件应与分期履约验收情况挂钩）</w:t>
      </w:r>
      <w:r>
        <w:rPr>
          <w:rFonts w:hint="eastAsia" w:asciiTheme="majorEastAsia" w:hAnsiTheme="majorEastAsia" w:eastAsiaTheme="majorEastAsia" w:cstheme="majorEastAsia"/>
          <w:color w:val="auto"/>
          <w:sz w:val="24"/>
          <w:highlight w:val="none"/>
        </w:rPr>
        <w:t>，其中涉及预付款的：</w:t>
      </w:r>
      <w:r>
        <w:rPr>
          <w:rFonts w:hint="eastAsia" w:asciiTheme="majorEastAsia" w:hAnsiTheme="majorEastAsia" w:eastAsiaTheme="majorEastAsia" w:cstheme="majorEastAsia"/>
          <w:color w:val="auto"/>
          <w:sz w:val="24"/>
          <w:highlight w:val="none"/>
          <w:u w:val="single"/>
        </w:rPr>
        <w:t>（应明确预付款的支付比例和支付条件）</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sym w:font="Wingdings" w:char="F0A8"/>
      </w:r>
      <w:r>
        <w:rPr>
          <w:rFonts w:hint="eastAsia" w:asciiTheme="majorEastAsia" w:hAnsiTheme="majorEastAsia" w:eastAsiaTheme="majorEastAsia" w:cstheme="majorEastAsia"/>
          <w:color w:val="auto"/>
          <w:sz w:val="24"/>
          <w:highlight w:val="none"/>
        </w:rPr>
        <w:t>成本补偿：</w:t>
      </w:r>
      <w:r>
        <w:rPr>
          <w:rFonts w:hint="eastAsia" w:asciiTheme="majorEastAsia" w:hAnsiTheme="majorEastAsia" w:eastAsiaTheme="majorEastAsia" w:cstheme="majorEastAsia"/>
          <w:color w:val="auto"/>
          <w:sz w:val="24"/>
          <w:highlight w:val="none"/>
          <w:u w:val="single"/>
        </w:rPr>
        <w:t>（应明确按照成本补偿方式的支付方式和支付条件）</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sym w:font="Wingdings" w:char="F0A8"/>
      </w:r>
      <w:r>
        <w:rPr>
          <w:rFonts w:hint="eastAsia" w:asciiTheme="majorEastAsia" w:hAnsiTheme="majorEastAsia" w:eastAsiaTheme="majorEastAsia" w:cstheme="majorEastAsia"/>
          <w:color w:val="auto"/>
          <w:sz w:val="24"/>
          <w:highlight w:val="none"/>
        </w:rPr>
        <w:t>绩效激励：</w:t>
      </w:r>
      <w:r>
        <w:rPr>
          <w:rFonts w:hint="eastAsia" w:asciiTheme="majorEastAsia" w:hAnsiTheme="majorEastAsia" w:eastAsiaTheme="majorEastAsia" w:cstheme="majorEastAsia"/>
          <w:color w:val="auto"/>
          <w:sz w:val="24"/>
          <w:highlight w:val="none"/>
          <w:u w:val="single"/>
        </w:rPr>
        <w:t>（应明确按照绩效激励方式的支付方式和支付条件）</w:t>
      </w:r>
    </w:p>
    <w:p>
      <w:pPr>
        <w:spacing w:line="400" w:lineRule="exact"/>
        <w:ind w:firstLine="482" w:firstLineChars="200"/>
        <w:rPr>
          <w:rFonts w:asciiTheme="majorEastAsia" w:hAnsiTheme="majorEastAsia" w:eastAsiaTheme="majorEastAsia" w:cstheme="majorEastAsia"/>
          <w:b/>
          <w:color w:val="auto"/>
          <w:sz w:val="24"/>
          <w:highlight w:val="none"/>
          <w:u w:val="single"/>
        </w:rPr>
      </w:pPr>
      <w:r>
        <w:rPr>
          <w:rFonts w:hint="eastAsia" w:asciiTheme="majorEastAsia" w:hAnsiTheme="majorEastAsia" w:eastAsiaTheme="majorEastAsia" w:cstheme="majorEastAsia"/>
          <w:b/>
          <w:color w:val="auto"/>
          <w:sz w:val="24"/>
          <w:highlight w:val="none"/>
        </w:rPr>
        <w:t>3.合同履行</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（1）起始日期：年月日，完成日期：年月日。</w:t>
      </w:r>
    </w:p>
    <w:p>
      <w:p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（2）履约地点</w:t>
      </w:r>
      <w:r>
        <w:rPr>
          <w:rFonts w:hint="eastAsia" w:asciiTheme="majorEastAsia" w:hAnsiTheme="majorEastAsia" w:eastAsiaTheme="majorEastAsia" w:cstheme="majorEastAsia"/>
          <w:bCs/>
          <w:color w:val="auto"/>
          <w:sz w:val="24"/>
          <w:highlight w:val="none"/>
        </w:rPr>
        <w:t>：</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（3）</w:t>
      </w:r>
      <w:r>
        <w:rPr>
          <w:rFonts w:hint="eastAsia" w:asciiTheme="majorEastAsia" w:hAnsiTheme="majorEastAsia" w:eastAsiaTheme="majorEastAsia" w:cstheme="majorEastAsia"/>
          <w:color w:val="auto"/>
          <w:sz w:val="24"/>
          <w:highlight w:val="none"/>
        </w:rPr>
        <w:t>履约担保：履约担保：是否收取履约保证金：</w:t>
      </w:r>
      <w:r>
        <w:rPr>
          <w:rFonts w:hint="eastAsia" w:asciiTheme="majorEastAsia" w:hAnsiTheme="majorEastAsia" w:eastAsiaTheme="majorEastAsia" w:cstheme="majorEastAsia"/>
          <w:color w:val="auto"/>
          <w:sz w:val="24"/>
          <w:highlight w:val="none"/>
        </w:rPr>
        <w:sym w:font="Wingdings" w:char="F0A8"/>
      </w:r>
      <w:r>
        <w:rPr>
          <w:rFonts w:hint="eastAsia" w:asciiTheme="majorEastAsia" w:hAnsiTheme="majorEastAsia" w:eastAsiaTheme="majorEastAsia" w:cstheme="majorEastAsia"/>
          <w:color w:val="auto"/>
          <w:sz w:val="24"/>
          <w:highlight w:val="none"/>
        </w:rPr>
        <w:t>是</w:t>
      </w:r>
      <w:r>
        <w:rPr>
          <w:rFonts w:hint="eastAsia" w:asciiTheme="majorEastAsia" w:hAnsiTheme="majorEastAsia" w:eastAsiaTheme="majorEastAsia" w:cstheme="majorEastAsia"/>
          <w:color w:val="auto"/>
          <w:sz w:val="24"/>
          <w:highlight w:val="none"/>
        </w:rPr>
        <w:sym w:font="Wingdings" w:char="F0A8"/>
      </w:r>
      <w:r>
        <w:rPr>
          <w:rFonts w:hint="eastAsia" w:asciiTheme="majorEastAsia" w:hAnsiTheme="majorEastAsia" w:eastAsiaTheme="majorEastAsia" w:cstheme="majorEastAsia"/>
          <w:color w:val="auto"/>
          <w:sz w:val="24"/>
          <w:highlight w:val="none"/>
        </w:rPr>
        <w:t>否</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收取履约保证金形式：</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收取履约保证金金额：</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color w:val="auto"/>
          <w:sz w:val="24"/>
          <w:highlight w:val="none"/>
        </w:rPr>
        <w:t>履约担保期限：</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（4）</w:t>
      </w:r>
      <w:r>
        <w:rPr>
          <w:rFonts w:hint="eastAsia" w:asciiTheme="majorEastAsia" w:hAnsiTheme="majorEastAsia" w:eastAsiaTheme="majorEastAsia" w:cstheme="majorEastAsia"/>
          <w:color w:val="auto"/>
          <w:sz w:val="24"/>
          <w:highlight w:val="none"/>
        </w:rPr>
        <w:t>确需收取履约保证金的，履约保证金的缴纳形式：</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如以履约保函（保险）形式缴纳履约保证金，供应商可通过政府采购电子履约保函（保险）平台（www.jsdzbh.com）在线申请履约保函（保险）。</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（备注：履约保证金金额不得超过合同金额的10%，采购人应当对AA评级及以上政府采购供应商（需提供信用管理部门备案的第三方信用报告）免收履约保证金或降低履约保证金缴纳比例。）</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（5）分期履行要求：</w:t>
      </w:r>
    </w:p>
    <w:p>
      <w:pPr>
        <w:spacing w:line="400" w:lineRule="exact"/>
        <w:ind w:firstLine="480" w:firstLineChars="2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bCs/>
          <w:color w:val="auto"/>
          <w:sz w:val="24"/>
          <w:highlight w:val="none"/>
        </w:rPr>
        <w:t>（6）风险处置措施和替代方案：</w:t>
      </w:r>
    </w:p>
    <w:p>
      <w:pPr>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4.合同验收</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（1）验收组织方式：</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自行组织</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委托第三方组织</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验收主体：</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是否邀请本项目的其他供应商参加验收：</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是否邀请专家参加验收：</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是否邀请服务对象参加验收：</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是否邀请第三方检测机构参加验收：</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是否进行抽查检测：</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是，抽查比例：</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是否存在破坏性检测：</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bCs/>
          <w:color w:val="auto"/>
          <w:sz w:val="24"/>
          <w:highlight w:val="none"/>
          <w:u w:val="single"/>
        </w:rPr>
        <w:t>（应明确对被破坏的检测产品的处理方式）</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验收组织的其他事项：</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（2）履约验收时间：</w:t>
      </w:r>
      <w:r>
        <w:rPr>
          <w:rFonts w:hint="eastAsia" w:asciiTheme="majorEastAsia" w:hAnsiTheme="majorEastAsia" w:eastAsiaTheme="majorEastAsia" w:cstheme="majorEastAsia"/>
          <w:bCs/>
          <w:color w:val="auto"/>
          <w:sz w:val="24"/>
          <w:highlight w:val="none"/>
          <w:u w:val="single"/>
        </w:rPr>
        <w:t>（计划于何时验收/供应商提出验收申请之日起日内组织验收）</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（3）履约验收方式：</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一次性验收</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分期/分项验收：</w:t>
      </w:r>
      <w:r>
        <w:rPr>
          <w:rFonts w:hint="eastAsia" w:asciiTheme="majorEastAsia" w:hAnsiTheme="majorEastAsia" w:eastAsiaTheme="majorEastAsia" w:cstheme="majorEastAsia"/>
          <w:bCs/>
          <w:color w:val="auto"/>
          <w:sz w:val="24"/>
          <w:highlight w:val="none"/>
          <w:u w:val="single"/>
        </w:rPr>
        <w:t>（应明确分期/分项验收的工作安排）</w:t>
      </w:r>
    </w:p>
    <w:p>
      <w:pPr>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（4）履约验收程序：</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（5）履约验收的内容：</w:t>
      </w:r>
      <w:r>
        <w:rPr>
          <w:rFonts w:hint="eastAsia" w:asciiTheme="majorEastAsia" w:hAnsiTheme="majorEastAsia" w:eastAsiaTheme="majorEastAsia" w:cstheme="majorEastAsia"/>
          <w:bCs/>
          <w:color w:val="auto"/>
          <w:sz w:val="24"/>
          <w:highlight w:val="none"/>
          <w:u w:val="single"/>
        </w:rPr>
        <w:t>（应当包括每一项技术和商务要求的履约情况，特别是落实政府采购扶持中小企业，支持绿色发展和乡村振兴等政策情况）</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（6）履约验收标准：</w:t>
      </w:r>
    </w:p>
    <w:p>
      <w:pPr>
        <w:widowControl/>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（7）是否以采购活动中供应商提供的样品作为参考：</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是</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否</w:t>
      </w:r>
    </w:p>
    <w:p>
      <w:pPr>
        <w:spacing w:line="400" w:lineRule="exact"/>
        <w:ind w:firstLine="480" w:firstLineChars="200"/>
        <w:rPr>
          <w:rFonts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（8）履约验收其他事项：</w:t>
      </w:r>
      <w:r>
        <w:rPr>
          <w:rFonts w:hint="eastAsia" w:asciiTheme="majorEastAsia" w:hAnsiTheme="majorEastAsia" w:eastAsiaTheme="majorEastAsia" w:cstheme="majorEastAsia"/>
          <w:bCs/>
          <w:color w:val="auto"/>
          <w:sz w:val="24"/>
          <w:highlight w:val="none"/>
          <w:u w:val="single"/>
        </w:rPr>
        <w:t>（产权过户登记等）</w:t>
      </w:r>
    </w:p>
    <w:p>
      <w:pPr>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5.组成合同的文件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本协议书与下列文件一起构成合同文件，如下述文件之间有任何抵触、矛盾或歧义，应按以下顺序解释：</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（1）政府采购合同协议书及其变更、补充协议</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（2）政府采购合同专用条款</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（3）政府采购合同通用条款</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（4）中标（成交）通知书</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（5）投标（响应）文件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（6）采购文件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（7）有关技术文件，图纸</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（8）国家法律、行政法规和规章制度规定或合同约定的作为合同组成部分的其他文件</w:t>
      </w:r>
    </w:p>
    <w:p>
      <w:pPr>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6.合同生效</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本合同自年月日生效。</w:t>
      </w:r>
    </w:p>
    <w:p>
      <w:pPr>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7.合同份数</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本合同一式份，甲方执份，乙方执份，均具有同等法律效力。</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合同订立时间：年月日</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合同订立地点：</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附件：具体标的及其技术要求和商务要求等。</w:t>
      </w:r>
    </w:p>
    <w:p>
      <w:pPr>
        <w:spacing w:line="400" w:lineRule="exact"/>
        <w:ind w:firstLine="480"/>
        <w:rPr>
          <w:rFonts w:asciiTheme="majorEastAsia" w:hAnsiTheme="majorEastAsia" w:eastAsiaTheme="majorEastAsia" w:cstheme="majorEastAsia"/>
          <w:color w:val="auto"/>
          <w:sz w:val="24"/>
          <w:highlight w:val="none"/>
        </w:rPr>
      </w:pPr>
    </w:p>
    <w:p>
      <w:pPr>
        <w:spacing w:line="400" w:lineRule="exact"/>
        <w:rPr>
          <w:rFonts w:asciiTheme="majorEastAsia" w:hAnsiTheme="majorEastAsia" w:eastAsiaTheme="majorEastAsia" w:cstheme="majorEastAsia"/>
          <w:color w:val="auto"/>
          <w:sz w:val="24"/>
          <w:highlight w:val="none"/>
        </w:rPr>
      </w:pPr>
    </w:p>
    <w:p>
      <w:pPr>
        <w:spacing w:line="400" w:lineRule="exact"/>
        <w:ind w:firstLine="480"/>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br w:type="page"/>
      </w:r>
    </w:p>
    <w:p>
      <w:pPr>
        <w:spacing w:line="400" w:lineRule="exact"/>
        <w:ind w:firstLine="420"/>
        <w:rPr>
          <w:rFonts w:asciiTheme="majorEastAsia" w:hAnsiTheme="majorEastAsia" w:eastAsiaTheme="majorEastAsia" w:cstheme="majorEastAsia"/>
          <w:color w:val="auto"/>
          <w:szCs w:val="21"/>
          <w:highlight w:val="none"/>
        </w:rPr>
      </w:pPr>
    </w:p>
    <w:tbl>
      <w:tblPr>
        <w:tblStyle w:val="1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甲方（采购人、受采购人委托签订合同的单位或采购文件约定的合同甲方）</w:t>
            </w:r>
          </w:p>
        </w:tc>
        <w:tc>
          <w:tcPr>
            <w:tcW w:w="4789" w:type="dxa"/>
            <w:gridSpan w:val="2"/>
            <w:tcBorders>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乙方（供应商）</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单位名称（公章或合同章）</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单位名称（公章或合同章）</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p>
            <w:pPr>
              <w:spacing w:line="400" w:lineRule="exact"/>
              <w:ind w:firstLine="115"/>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或其委托代理人（签章）</w:t>
            </w:r>
          </w:p>
        </w:tc>
        <w:tc>
          <w:tcPr>
            <w:tcW w:w="2820" w:type="dxa"/>
            <w:vMerge w:val="restart"/>
            <w:tcBorders>
              <w:top w:val="single" w:color="000000" w:sz="2" w:space="0"/>
              <w:left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或其委托代理人（签章）</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820" w:type="dxa"/>
            <w:vMerge w:val="continue"/>
            <w:tcBorders>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拥有者性别</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住所</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联系人</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联系人</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联系电话</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通信地址</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邮政编码</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电子邮箱</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统一社会信用代码</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开户名称</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开户银行</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银行账号</w:t>
            </w:r>
          </w:p>
        </w:tc>
        <w:tc>
          <w:tcPr>
            <w:tcW w:w="2475" w:type="dxa"/>
            <w:tcBorders>
              <w:top w:val="single" w:color="000000" w:sz="2" w:space="0"/>
              <w:left w:val="single" w:color="000000" w:sz="2" w:space="0"/>
              <w:bottom w:val="single" w:color="000000" w:sz="2" w:space="0"/>
            </w:tcBorders>
            <w:vAlign w:val="center"/>
          </w:tcPr>
          <w:p>
            <w:pPr>
              <w:spacing w:line="400" w:lineRule="exact"/>
              <w:jc w:val="center"/>
              <w:rPr>
                <w:rFonts w:asciiTheme="majorEastAsia" w:hAnsiTheme="majorEastAsia" w:eastAsiaTheme="majorEastAsia" w:cstheme="majorEastAsia"/>
                <w:color w:val="auto"/>
                <w:spacing w:val="2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vAlign w:val="center"/>
          </w:tcPr>
          <w:p>
            <w:pPr>
              <w:spacing w:line="400" w:lineRule="exact"/>
              <w:jc w:val="left"/>
              <w:rPr>
                <w:rFonts w:asciiTheme="majorEastAsia" w:hAnsiTheme="majorEastAsia" w:eastAsiaTheme="majorEastAsia" w:cstheme="majorEastAsia"/>
                <w:color w:val="auto"/>
                <w:spacing w:val="20"/>
                <w:sz w:val="24"/>
                <w:highlight w:val="none"/>
              </w:rPr>
            </w:pPr>
            <w:r>
              <w:rPr>
                <w:rFonts w:hint="eastAsia" w:asciiTheme="majorEastAsia" w:hAnsiTheme="majorEastAsia" w:eastAsiaTheme="majorEastAsia" w:cstheme="majorEastAsia"/>
                <w:color w:val="auto"/>
                <w:sz w:val="24"/>
                <w:highlight w:val="none"/>
              </w:rPr>
              <w:t>注：涉及联合体或其他合同主体的信息应按上表格式加列。</w:t>
            </w:r>
          </w:p>
        </w:tc>
      </w:tr>
    </w:tbl>
    <w:p>
      <w:pPr>
        <w:pStyle w:val="2"/>
        <w:adjustRightInd w:val="0"/>
        <w:snapToGrid w:val="0"/>
        <w:spacing w:beforeAutospacing="0" w:afterAutospacing="0" w:line="400" w:lineRule="exact"/>
        <w:jc w:val="center"/>
        <w:rPr>
          <w:rFonts w:hint="default" w:asciiTheme="majorEastAsia" w:hAnsiTheme="majorEastAsia" w:eastAsiaTheme="majorEastAsia" w:cstheme="majorEastAsia"/>
          <w:color w:val="auto"/>
          <w:sz w:val="28"/>
          <w:szCs w:val="28"/>
          <w:highlight w:val="none"/>
        </w:rPr>
      </w:pPr>
      <w:bookmarkStart w:id="164" w:name="_Toc27624"/>
      <w:bookmarkEnd w:id="164"/>
      <w:bookmarkStart w:id="165" w:name="_Toc20313"/>
      <w:r>
        <w:rPr>
          <w:rFonts w:asciiTheme="majorEastAsia" w:hAnsiTheme="majorEastAsia" w:eastAsiaTheme="majorEastAsia" w:cstheme="majorEastAsia"/>
          <w:color w:val="auto"/>
          <w:highlight w:val="none"/>
          <w:u w:val="single"/>
        </w:rPr>
        <w:br w:type="page"/>
      </w:r>
      <w:r>
        <w:rPr>
          <w:rFonts w:asciiTheme="majorEastAsia" w:hAnsiTheme="majorEastAsia" w:eastAsiaTheme="majorEastAsia" w:cstheme="majorEastAsia"/>
          <w:color w:val="auto"/>
          <w:sz w:val="28"/>
          <w:szCs w:val="28"/>
          <w:highlight w:val="none"/>
        </w:rPr>
        <w:t>第二节政府采购合同通用条款</w:t>
      </w:r>
    </w:p>
    <w:p>
      <w:pPr>
        <w:tabs>
          <w:tab w:val="left" w:pos="8820"/>
          <w:tab w:val="left" w:pos="9345"/>
          <w:tab w:val="left" w:pos="9765"/>
        </w:tabs>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color w:val="auto"/>
          <w:sz w:val="24"/>
          <w:highlight w:val="none"/>
        </w:rPr>
        <w:t xml:space="preserve">1. </w:t>
      </w:r>
      <w:r>
        <w:rPr>
          <w:rFonts w:hint="eastAsia" w:asciiTheme="majorEastAsia" w:hAnsiTheme="majorEastAsia" w:eastAsiaTheme="majorEastAsia" w:cstheme="majorEastAsia"/>
          <w:b/>
          <w:bCs/>
          <w:color w:val="auto"/>
          <w:sz w:val="24"/>
          <w:highlight w:val="none"/>
        </w:rPr>
        <w:t>定义</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1.1合同当事人</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（3）其他合同主体是指除采购人和供应商以外，</w:t>
      </w:r>
      <w:r>
        <w:rPr>
          <w:rFonts w:hint="eastAsia" w:asciiTheme="majorEastAsia" w:hAnsiTheme="majorEastAsia" w:eastAsiaTheme="majorEastAsia" w:cstheme="majorEastAsia"/>
          <w:bCs/>
          <w:color w:val="auto"/>
          <w:sz w:val="24"/>
          <w:highlight w:val="none"/>
        </w:rPr>
        <w:t>依法参与合同缔结或履行，享有权利、承担义务的合同当事人</w:t>
      </w:r>
      <w:r>
        <w:rPr>
          <w:rFonts w:hint="eastAsia" w:asciiTheme="majorEastAsia" w:hAnsiTheme="majorEastAsia" w:eastAsiaTheme="majorEastAsia" w:cstheme="majorEastAsia"/>
          <w:color w:val="auto"/>
          <w:sz w:val="24"/>
          <w:highlight w:val="none"/>
        </w:rPr>
        <w:t>。</w:t>
      </w:r>
    </w:p>
    <w:p>
      <w:pPr>
        <w:tabs>
          <w:tab w:val="left" w:pos="570"/>
          <w:tab w:val="left" w:pos="9240"/>
          <w:tab w:val="left" w:pos="9555"/>
        </w:tabs>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1.2本合同下列术语应解释为：</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（1）“合同”系指</w:t>
      </w:r>
      <w:r>
        <w:rPr>
          <w:rFonts w:hint="eastAsia" w:asciiTheme="majorEastAsia" w:hAnsiTheme="majorEastAsia" w:eastAsiaTheme="majorEastAsia" w:cstheme="majorEastAsia"/>
          <w:bCs/>
          <w:color w:val="auto"/>
          <w:sz w:val="24"/>
          <w:highlight w:val="none"/>
        </w:rPr>
        <w:t>合同当事人意思表示达成一致的任何协议，包括签署的</w:t>
      </w:r>
      <w:r>
        <w:rPr>
          <w:rFonts w:hint="eastAsia" w:asciiTheme="majorEastAsia" w:hAnsiTheme="majorEastAsia" w:eastAsiaTheme="majorEastAsia" w:cstheme="majorEastAsia"/>
          <w:color w:val="auto"/>
          <w:sz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pPr>
        <w:tabs>
          <w:tab w:val="left" w:pos="570"/>
          <w:tab w:val="left" w:pos="9240"/>
          <w:tab w:val="left" w:pos="9555"/>
        </w:tabs>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（3）“货物”系指乙方根据本合同规定须向甲方提供的各种形态和种类的物品，包括原材料、设备、产品（包括软件）及相关的其备品备件、工具、手册及其他技术资料和材料等。</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w:t>
      </w:r>
    </w:p>
    <w:p>
      <w:pPr>
        <w:tabs>
          <w:tab w:val="left" w:pos="570"/>
          <w:tab w:val="left" w:pos="9240"/>
          <w:tab w:val="left" w:pos="9555"/>
        </w:tabs>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（7）其他术语解释，见【</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w:t>
      </w:r>
    </w:p>
    <w:p>
      <w:pPr>
        <w:numPr>
          <w:ilvl w:val="0"/>
          <w:numId w:val="4"/>
        </w:num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color w:val="auto"/>
          <w:sz w:val="24"/>
          <w:highlight w:val="none"/>
        </w:rPr>
        <w:t>合同标的及金额</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b/>
          <w:bCs/>
          <w:i/>
          <w:iCs/>
          <w:color w:val="auto"/>
          <w:sz w:val="24"/>
          <w:highlight w:val="none"/>
        </w:rPr>
      </w:pPr>
      <w:r>
        <w:rPr>
          <w:rFonts w:hint="eastAsia" w:asciiTheme="majorEastAsia" w:hAnsiTheme="majorEastAsia" w:eastAsiaTheme="majorEastAsia" w:cstheme="majorEastAsia"/>
          <w:color w:val="auto"/>
          <w:sz w:val="24"/>
          <w:highlight w:val="none"/>
        </w:rPr>
        <w:t>2.1 合同标的及金额应与中标（成交）结果一致。乙方为履行本合同而发生的所有费用均应包含在合同价款中，甲方不再另行支付其他任何费用。</w:t>
      </w:r>
    </w:p>
    <w:p>
      <w:pPr>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3. 履行合同的时间、地点和方式</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3.1 乙方应当在约定的时间、地点，按照约定方式履行合同。</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4. 甲方的权利和义务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4.3 甲方有权要求乙方对缺陷部分予以修复，并按合同约定享有货物保修及其他合同约定的权利。</w:t>
      </w:r>
    </w:p>
    <w:p>
      <w:pPr>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4.4 甲方应当按照合同约定及时对交付的货物进行验收，未在</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约定的期限内对乙方履约提出任何异议或者向乙方作出任何说明的，视为验收通过。</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4.5 甲方应当根据合同约定及时向乙方支付合同价款，不得以内部人员变更、履行内部付款流程等为由，拒绝或迟延支付。</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4.6 国家法律法规规定及</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约定应由甲方承担的其他义务和责任。</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5. 乙方的权利和义务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5.1 签署合同后，乙方应确定项目负责人（或项目联系人），负责与本合同有关的事务。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8"/>
        <w:spacing w:after="0" w:line="4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5.3乙方有权根据合同约定向甲方收取合同价款。</w:t>
      </w:r>
    </w:p>
    <w:p>
      <w:pPr>
        <w:pStyle w:val="8"/>
        <w:spacing w:after="0" w:line="4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5.4国家法律法规规定及</w:t>
      </w:r>
      <w:r>
        <w:rPr>
          <w:rFonts w:hint="eastAsia" w:asciiTheme="majorEastAsia" w:hAnsiTheme="majorEastAsia" w:eastAsiaTheme="majorEastAsia" w:cstheme="majorEastAsia"/>
          <w:b/>
          <w:bCs/>
          <w:color w:val="auto"/>
          <w:sz w:val="24"/>
          <w:szCs w:val="24"/>
          <w:highlight w:val="none"/>
        </w:rPr>
        <w:t>【政府采购合同专用条款】</w:t>
      </w:r>
      <w:r>
        <w:rPr>
          <w:rFonts w:hint="eastAsia" w:asciiTheme="majorEastAsia" w:hAnsiTheme="majorEastAsia" w:eastAsiaTheme="majorEastAsia" w:cstheme="majorEastAsia"/>
          <w:color w:val="auto"/>
          <w:sz w:val="24"/>
          <w:szCs w:val="24"/>
          <w:highlight w:val="none"/>
        </w:rPr>
        <w:t>约定应由乙方承担的其他义务和责任。</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6.合同履行</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6.1 甲乙双方应当按照</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约定顺序履行合同义务；如果没有先后顺序的，应当同时履行。</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7. 货物包装、运输、保险和交付要求</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7.1 本合同</w:t>
      </w:r>
      <w:r>
        <w:rPr>
          <w:rFonts w:hint="eastAsia" w:asciiTheme="majorEastAsia" w:hAnsiTheme="majorEastAsia" w:eastAsiaTheme="majorEastAsia" w:cstheme="majorEastAsia"/>
          <w:bCs/>
          <w:color w:val="auto"/>
          <w:sz w:val="24"/>
          <w:highlight w:val="none"/>
        </w:rPr>
        <w:t>涉及商品包装、快递包装的，</w:t>
      </w:r>
      <w:r>
        <w:rPr>
          <w:rFonts w:hint="eastAsia" w:asciiTheme="majorEastAsia" w:hAnsiTheme="majorEastAsia" w:eastAsiaTheme="majorEastAsia" w:cstheme="majorEastAsia"/>
          <w:color w:val="auto"/>
          <w:sz w:val="24"/>
          <w:highlight w:val="none"/>
        </w:rPr>
        <w:t>除</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另有约定外，</w:t>
      </w:r>
      <w:r>
        <w:rPr>
          <w:rFonts w:hint="eastAsia" w:asciiTheme="majorEastAsia" w:hAnsiTheme="majorEastAsia" w:eastAsiaTheme="majorEastAsia" w:cstheme="majorEastAsia"/>
          <w:color w:val="auto"/>
          <w:sz w:val="24"/>
          <w:highlight w:val="none"/>
        </w:rPr>
        <w:t>包装应适应远距离运输、防潮、防震、防锈和防野蛮装卸等要求，确保货物安全无损地运抵</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约定的</w:t>
      </w:r>
      <w:r>
        <w:rPr>
          <w:rFonts w:hint="eastAsia" w:asciiTheme="majorEastAsia" w:hAnsiTheme="majorEastAsia" w:eastAsiaTheme="majorEastAsia" w:cstheme="majorEastAsia"/>
          <w:color w:val="auto"/>
          <w:sz w:val="24"/>
          <w:highlight w:val="none"/>
        </w:rPr>
        <w:t>指定现场。</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7.2 除</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另有约定外，</w:t>
      </w:r>
      <w:r>
        <w:rPr>
          <w:rFonts w:hint="eastAsia" w:asciiTheme="majorEastAsia" w:hAnsiTheme="majorEastAsia" w:eastAsiaTheme="majorEastAsia" w:cstheme="majorEastAsia"/>
          <w:color w:val="auto"/>
          <w:sz w:val="24"/>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7.3 货物保险要求按</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规定执行</w:t>
      </w:r>
      <w:r>
        <w:rPr>
          <w:rFonts w:hint="eastAsia" w:asciiTheme="majorEastAsia" w:hAnsiTheme="majorEastAsia" w:eastAsiaTheme="majorEastAsia" w:cstheme="majorEastAsia"/>
          <w:color w:val="auto"/>
          <w:sz w:val="24"/>
          <w:highlight w:val="none"/>
        </w:rPr>
        <w:t>。</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7.5 乙方在运输到达之前应提前通知甲方，并提示货物运输装卸的注意事项，甲方配合乙方做好货物的接收工作。</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kern w:val="2"/>
          <w:sz w:val="24"/>
          <w:szCs w:val="24"/>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8. 质量标准和保证</w:t>
      </w:r>
    </w:p>
    <w:p>
      <w:pPr>
        <w:pStyle w:val="9"/>
        <w:adjustRightInd w:val="0"/>
        <w:snapToGrid w:val="0"/>
        <w:spacing w:line="400" w:lineRule="exact"/>
        <w:ind w:firstLine="480"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质量标准</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9"/>
        <w:adjustRightInd w:val="0"/>
        <w:snapToGrid w:val="0"/>
        <w:spacing w:line="4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（2）采用中华人民共和国法定计量单位。</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（3）乙方所提供的货物应符合国家有关安全、环保、卫生的规定。</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8.2 保证</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规定或乙方书面承诺（两者以较长的为准）的质量保证期内，本保证保持有效。</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（2）在质量保证期内所发现的缺陷，甲方应尽快以书面形式通知乙方。</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（3）乙方收到通知后，应在</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规定的响应时间内以合理的速度免费维修或更换有缺陷的货物或部件。</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9.权利瑕疵担保</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9.1 乙方保证对其出售的货物享有合法的权利。</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9.2 乙方保证在交付的货物上不存在抵押权等担保物权。</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9.3 如甲方使用上述货物构成对第三人侵权的，则由乙方承担全部责任。</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10. 知识产权保护</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bookmarkStart w:id="166" w:name="_Hlk163047038"/>
      <w:bookmarkEnd w:id="166"/>
      <w:r>
        <w:rPr>
          <w:rFonts w:hint="eastAsia" w:asciiTheme="majorEastAsia" w:hAnsiTheme="majorEastAsia" w:eastAsiaTheme="majorEastAsia" w:cstheme="majorEastAsia"/>
          <w:color w:val="auto"/>
          <w:sz w:val="24"/>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11. 保密义务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中约定。</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12. 合同价款支付</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12.1 合同价款支付按照国库集中支付制度及财政管理相关规定执行。</w:t>
      </w:r>
    </w:p>
    <w:p>
      <w:pPr>
        <w:pStyle w:val="2"/>
        <w:spacing w:beforeAutospacing="0" w:afterAutospacing="0" w:line="400" w:lineRule="exact"/>
        <w:ind w:firstLine="480" w:firstLineChars="200"/>
        <w:jc w:val="both"/>
        <w:rPr>
          <w:rFonts w:hint="default"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b w:val="0"/>
          <w:bCs w:val="0"/>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heme="majorEastAsia" w:hAnsiTheme="majorEastAsia" w:eastAsiaTheme="majorEastAsia" w:cstheme="majorEastAsia"/>
          <w:color w:val="auto"/>
          <w:sz w:val="24"/>
          <w:szCs w:val="24"/>
          <w:highlight w:val="none"/>
        </w:rPr>
        <w:t>政府采购合同专用条款</w:t>
      </w:r>
      <w:r>
        <w:rPr>
          <w:rFonts w:asciiTheme="majorEastAsia" w:hAnsiTheme="majorEastAsia" w:eastAsiaTheme="majorEastAsia" w:cstheme="majorEastAsia"/>
          <w:b w:val="0"/>
          <w:bCs w:val="0"/>
          <w:color w:val="auto"/>
          <w:sz w:val="24"/>
          <w:szCs w:val="24"/>
          <w:highlight w:val="none"/>
        </w:rPr>
        <w:t>】中约定。</w:t>
      </w:r>
    </w:p>
    <w:p>
      <w:pPr>
        <w:pStyle w:val="8"/>
        <w:spacing w:after="0" w:line="4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13. 履约保证金</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13.1 乙方应当以支票、汇票、本票或者金融机构、担保机构出具的保函等非现金形式提交。</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13.2 如果乙方出现</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13.3 甲方在项目通过验收后按照</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规定的时间内将履约保证金退还乙方；逾期退还的，乙方可要求甲方支付违约金，违约金按照</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规定支付。</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bCs/>
          <w:color w:val="auto"/>
          <w:sz w:val="24"/>
          <w:highlight w:val="none"/>
        </w:rPr>
        <w:t xml:space="preserve">14. </w:t>
      </w:r>
      <w:r>
        <w:rPr>
          <w:rFonts w:hint="eastAsia" w:asciiTheme="majorEastAsia" w:hAnsiTheme="majorEastAsia" w:eastAsiaTheme="majorEastAsia" w:cstheme="majorEastAsia"/>
          <w:b/>
          <w:color w:val="auto"/>
          <w:sz w:val="24"/>
          <w:highlight w:val="none"/>
        </w:rPr>
        <w:t>售后服务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14.1 除项目不涉及或采购活动中明确约定无须承担外，乙方还应提供下列服务：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（1）货物的现场移动、安装、调试、启动监督及技术支持；</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（2）提供货物组装和维修所需的专用工具和辅助材料；</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（3）在</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（4）在制造商所在地或指定现场就货物的安装、启动、运营、维护、废弃处置等对甲方操作人员进行培训；</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（5）依照法律、行政法规的规定或者按照</w:t>
      </w:r>
      <w:r>
        <w:rPr>
          <w:rFonts w:hint="eastAsia" w:asciiTheme="majorEastAsia" w:hAnsiTheme="majorEastAsia" w:eastAsiaTheme="majorEastAsia" w:cstheme="majorEastAsia"/>
          <w:b/>
          <w:bCs/>
          <w:color w:val="auto"/>
          <w:sz w:val="24"/>
          <w:szCs w:val="24"/>
          <w:highlight w:val="none"/>
        </w:rPr>
        <w:t>【政府采购合同专用条款】</w:t>
      </w:r>
      <w:r>
        <w:rPr>
          <w:rFonts w:hint="eastAsia" w:asciiTheme="majorEastAsia" w:hAnsiTheme="majorEastAsia" w:eastAsiaTheme="majorEastAsia" w:cstheme="majorEastAsia"/>
          <w:color w:val="auto"/>
          <w:sz w:val="24"/>
          <w:szCs w:val="24"/>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规定由乙方提供的其他服务。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14.2 乙方提供的售后服务的费用已包含在合同价款中，甲方不再另行支付。</w:t>
      </w:r>
    </w:p>
    <w:p>
      <w:pPr>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15. 违约责任</w:t>
      </w:r>
    </w:p>
    <w:p>
      <w:pPr>
        <w:adjustRightInd w:val="0"/>
        <w:snapToGrid w:val="0"/>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15.1质量瑕疵的违约责任</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乙方提供的产品不符合合同约定的质量标准或存在产品质量缺陷，甲方有权要求乙方根据</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要求</w:t>
      </w:r>
      <w:r>
        <w:rPr>
          <w:rFonts w:hint="eastAsia" w:asciiTheme="majorEastAsia" w:hAnsiTheme="majorEastAsia" w:eastAsiaTheme="majorEastAsia" w:cstheme="majorEastAsia"/>
          <w:color w:val="auto"/>
          <w:sz w:val="24"/>
          <w:highlight w:val="none"/>
        </w:rPr>
        <w:t>及时修理、重作、更换，并承担由此给甲方造成的损失。</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15.2 迟延交货的违约责任</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（2）如果乙方没有按照合同规定的时间交货和提供相关服务，甲方有权从货款中扣除误期赔偿费而不影响合同项下的其他补救方法，赔偿费按</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15.3 迟延支付的违约责任</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甲方存在迟延支付乙方合同款项的，应当承担</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规定的逾期付款利息。</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15.4其他违约责任根据项目实际需要按</w:t>
      </w:r>
      <w:r>
        <w:rPr>
          <w:rFonts w:hint="eastAsia" w:asciiTheme="majorEastAsia" w:hAnsiTheme="majorEastAsia" w:eastAsiaTheme="majorEastAsia" w:cstheme="majorEastAsia"/>
          <w:b/>
          <w:bCs/>
          <w:color w:val="auto"/>
          <w:sz w:val="24"/>
          <w:highlight w:val="none"/>
        </w:rPr>
        <w:t>【政府采购合同专用条款】</w:t>
      </w:r>
      <w:r>
        <w:rPr>
          <w:rFonts w:hint="eastAsia" w:asciiTheme="majorEastAsia" w:hAnsiTheme="majorEastAsia" w:eastAsiaTheme="majorEastAsia" w:cstheme="majorEastAsia"/>
          <w:color w:val="auto"/>
          <w:sz w:val="24"/>
          <w:highlight w:val="none"/>
        </w:rPr>
        <w:t>规定执行。</w:t>
      </w:r>
    </w:p>
    <w:p>
      <w:pPr>
        <w:numPr>
          <w:ilvl w:val="0"/>
          <w:numId w:val="5"/>
        </w:numPr>
        <w:autoSpaceDE w:val="0"/>
        <w:autoSpaceDN w:val="0"/>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合同变更、中止与终止</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16.1合同的变更</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16.2合同的中止</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（4）甲方不得以行政区划调整、政府换届、机构或者职能调整以及相关责任人更替为由中止合同。</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16.3合同的终止</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（1）合同因有效期限届满而终止；</w:t>
      </w:r>
    </w:p>
    <w:p>
      <w:pPr>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（2）乙方未按合同约定履行，构成根本性违约的，甲方有权终止合同，并追究乙方的违约责任。</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16.4 </w:t>
      </w:r>
      <w:r>
        <w:rPr>
          <w:rFonts w:hint="eastAsia" w:asciiTheme="majorEastAsia" w:hAnsiTheme="majorEastAsia" w:eastAsiaTheme="majorEastAsia" w:cstheme="majorEastAsia"/>
          <w:color w:val="auto"/>
          <w:kern w:val="2"/>
          <w:sz w:val="24"/>
          <w:szCs w:val="24"/>
          <w:highlight w:val="none"/>
        </w:rPr>
        <w:t>涉及国家利益、社会公共利益的情形</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17. 合同分包</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18. 不可抗力</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18.1 不可抗力是指合同双方不能预见、不能避免且不能克服的客观情况。</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19. 解决争议的方法</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19.2 选择仲裁的，应在</w:t>
      </w:r>
      <w:r>
        <w:rPr>
          <w:rFonts w:hint="eastAsia" w:asciiTheme="majorEastAsia" w:hAnsiTheme="majorEastAsia" w:eastAsiaTheme="majorEastAsia" w:cstheme="majorEastAsia"/>
          <w:b/>
          <w:bCs/>
          <w:color w:val="auto"/>
          <w:sz w:val="24"/>
          <w:szCs w:val="24"/>
          <w:highlight w:val="none"/>
        </w:rPr>
        <w:t>【政府采购合同专用条款】</w:t>
      </w:r>
      <w:r>
        <w:rPr>
          <w:rFonts w:hint="eastAsia" w:asciiTheme="majorEastAsia" w:hAnsiTheme="majorEastAsia" w:eastAsiaTheme="majorEastAsia" w:cstheme="majorEastAsia"/>
          <w:color w:val="auto"/>
          <w:sz w:val="24"/>
          <w:szCs w:val="24"/>
          <w:highlight w:val="none"/>
        </w:rPr>
        <w:t>中明确仲裁机构及仲裁地；通过诉讼方式解决的，可以在</w:t>
      </w:r>
      <w:r>
        <w:rPr>
          <w:rFonts w:hint="eastAsia" w:asciiTheme="majorEastAsia" w:hAnsiTheme="majorEastAsia" w:eastAsiaTheme="majorEastAsia" w:cstheme="majorEastAsia"/>
          <w:b/>
          <w:bCs/>
          <w:color w:val="auto"/>
          <w:sz w:val="24"/>
          <w:szCs w:val="24"/>
          <w:highlight w:val="none"/>
        </w:rPr>
        <w:t>【政府采购合同专用条款】</w:t>
      </w:r>
      <w:r>
        <w:rPr>
          <w:rFonts w:hint="eastAsia" w:asciiTheme="majorEastAsia" w:hAnsiTheme="majorEastAsia" w:eastAsiaTheme="majorEastAsia" w:cstheme="majorEastAsia"/>
          <w:color w:val="auto"/>
          <w:sz w:val="24"/>
          <w:szCs w:val="24"/>
          <w:highlight w:val="none"/>
        </w:rPr>
        <w:t>中进一步约定选择与争议有实际联系的地点的人民法院管辖，但管辖法院的约定不得违反级别管辖和专属管辖的规定。</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20. 政府采购政策</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20.1 </w:t>
      </w:r>
      <w:r>
        <w:rPr>
          <w:rFonts w:hint="eastAsia" w:asciiTheme="majorEastAsia" w:hAnsiTheme="majorEastAsia" w:eastAsiaTheme="majorEastAsia" w:cstheme="majorEastAsia"/>
          <w:color w:val="auto"/>
          <w:sz w:val="24"/>
          <w:highlight w:val="none"/>
          <w:lang w:val="en-GB"/>
        </w:rPr>
        <w:t>本合同应当按照规定执行政府采购政策。</w:t>
      </w:r>
    </w:p>
    <w:p>
      <w:pPr>
        <w:autoSpaceDE w:val="0"/>
        <w:autoSpaceDN w:val="0"/>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20.2 本合同依法执行政府采购政策的方式和内容，属于合同履约验收的范围。甲乙双方</w:t>
      </w:r>
      <w:r>
        <w:rPr>
          <w:rFonts w:hint="eastAsia" w:asciiTheme="majorEastAsia" w:hAnsiTheme="majorEastAsia" w:eastAsiaTheme="majorEastAsia" w:cstheme="majorEastAsia"/>
          <w:color w:val="auto"/>
          <w:sz w:val="24"/>
          <w:highlight w:val="none"/>
          <w:lang w:val="en-GB"/>
        </w:rPr>
        <w:t>未按规定要求执行政府采购政策造成损失的</w:t>
      </w:r>
      <w:r>
        <w:rPr>
          <w:rFonts w:hint="eastAsia" w:asciiTheme="majorEastAsia" w:hAnsiTheme="majorEastAsia" w:eastAsiaTheme="majorEastAsia" w:cstheme="majorEastAsia"/>
          <w:color w:val="auto"/>
          <w:sz w:val="24"/>
          <w:highlight w:val="none"/>
        </w:rPr>
        <w:t>，有过错的一方应当承担赔偿责任，双方都有过错的，各自承担相应的责任。</w:t>
      </w:r>
    </w:p>
    <w:p>
      <w:pPr>
        <w:pStyle w:val="8"/>
        <w:spacing w:after="0" w:line="4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21. 法律适用</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本合同的订立、生效、解释、履行及与本合同有关的争议解决，均适用法律、行政法规。</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22. 通知</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22.1 本合同任何一方向对方发出的通知、信件、数据电文等，应当发送至本合同第一部分《政府采购合同协议书》所约定的通讯地址、联系人、联系电话或电子邮箱。</w:t>
      </w:r>
    </w:p>
    <w:p>
      <w:pPr>
        <w:pStyle w:val="19"/>
        <w:ind w:firstLine="480"/>
        <w:jc w:val="both"/>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22.3本合同一方给另一方的通知均应采用书面形式，传真或快递送到本合同中规定的对方的地址和办理签收手续。</w:t>
      </w:r>
    </w:p>
    <w:p>
      <w:pPr>
        <w:adjustRightInd w:val="0"/>
        <w:snapToGrid w:val="0"/>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22.4通知以送达之日或通知书中规定的生效之日起生效，两者中以较迟之日为准。</w:t>
      </w:r>
    </w:p>
    <w:p>
      <w:pPr>
        <w:numPr>
          <w:ilvl w:val="0"/>
          <w:numId w:val="6"/>
        </w:numPr>
        <w:adjustRightInd w:val="0"/>
        <w:snapToGrid w:val="0"/>
        <w:spacing w:line="400" w:lineRule="exact"/>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合同未尽事项</w:t>
      </w:r>
    </w:p>
    <w:p>
      <w:pPr>
        <w:adjustRightInd w:val="0"/>
        <w:snapToGrid w:val="0"/>
        <w:spacing w:line="400" w:lineRule="exact"/>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23.1合同未尽事项见</w:t>
      </w:r>
      <w:r>
        <w:rPr>
          <w:rFonts w:hint="eastAsia" w:asciiTheme="majorEastAsia" w:hAnsiTheme="majorEastAsia" w:eastAsiaTheme="majorEastAsia" w:cstheme="majorEastAsia"/>
          <w:b/>
          <w:color w:val="auto"/>
          <w:sz w:val="24"/>
          <w:highlight w:val="none"/>
        </w:rPr>
        <w:t>【政府采购合同专用条款】</w:t>
      </w:r>
      <w:r>
        <w:rPr>
          <w:rFonts w:hint="eastAsia" w:asciiTheme="majorEastAsia" w:hAnsiTheme="majorEastAsia" w:eastAsiaTheme="majorEastAsia" w:cstheme="majorEastAsia"/>
          <w:bCs/>
          <w:color w:val="auto"/>
          <w:sz w:val="24"/>
          <w:highlight w:val="none"/>
        </w:rPr>
        <w:t>。</w:t>
      </w:r>
    </w:p>
    <w:p>
      <w:pPr>
        <w:adjustRightInd w:val="0"/>
        <w:snapToGrid w:val="0"/>
        <w:spacing w:line="400" w:lineRule="exact"/>
        <w:ind w:firstLine="48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Cs/>
          <w:color w:val="auto"/>
          <w:sz w:val="24"/>
          <w:highlight w:val="none"/>
        </w:rPr>
        <w:t xml:space="preserve">    23.2 合同附件与合同正文具有同等的法律效力。</w:t>
      </w:r>
    </w:p>
    <w:p>
      <w:pPr>
        <w:keepNext/>
        <w:keepLines/>
        <w:spacing w:line="400" w:lineRule="exact"/>
        <w:jc w:val="center"/>
        <w:outlineLvl w:val="1"/>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br w:type="page"/>
      </w:r>
    </w:p>
    <w:bookmarkEnd w:id="165"/>
    <w:p>
      <w:pPr>
        <w:keepNext/>
        <w:keepLines/>
        <w:spacing w:line="400" w:lineRule="exact"/>
        <w:jc w:val="center"/>
        <w:outlineLvl w:val="1"/>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第三节政府采购合同专用条款</w:t>
      </w:r>
    </w:p>
    <w:p>
      <w:pPr>
        <w:keepNext/>
        <w:keepLines/>
        <w:spacing w:line="400" w:lineRule="exact"/>
        <w:outlineLvl w:val="1"/>
        <w:rPr>
          <w:rFonts w:asciiTheme="majorEastAsia" w:hAnsiTheme="majorEastAsia" w:eastAsiaTheme="majorEastAsia" w:cstheme="majorEastAsia"/>
          <w:color w:val="auto"/>
          <w:sz w:val="28"/>
          <w:szCs w:val="28"/>
          <w:highlight w:val="none"/>
        </w:rPr>
      </w:pPr>
    </w:p>
    <w:tbl>
      <w:tblPr>
        <w:tblStyle w:val="13"/>
        <w:tblW w:w="8511"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686"/>
        <w:gridCol w:w="5265"/>
      </w:tblGrid>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第1.2（6）项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联合体具体要求</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第1.2（7）项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其他术语解释</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第4.4款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履约验收中甲方提出异议或作出说明的期限</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第4.6款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约定甲方承担的其他义务和责任</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第5.4款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约定乙方承担的其他义务和责任</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第6.1款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履行合同义务的顺序</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Merge w:val="restart"/>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第7.1款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包装特殊要求</w:t>
            </w:r>
          </w:p>
        </w:tc>
        <w:tc>
          <w:tcPr>
            <w:tcW w:w="5265"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本项目中涉及商品包装和快递包装的，金属件:使用泡泡纸覆盖包装防止碰撞；板式件: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1.商品包装层数不得超过3 层，空隙率不大于40%；</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2.商品包装尽可能使用单一材质的包装材料，如因功能需求必需使用不同材质，不同材质间应便于分离；</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3.商品包装中铅、汞、镉、六价铬的总含量应不大于100mg/kg；</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4.商品包装印刷使用的油墨中挥发性有机化合物(VOCs)含量应不大于 5%（以重量计）；</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5.塑料材质商品包装上呈现的印刷颜色不得超过6色；</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6.纸质商品包装应使用75%以上的可再生纤维原料生产；</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7.木质商品包装的原料应来源于可持续性森林。</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9每件包装箱内应附一份详细装箱单和质量合格凭证。</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Merge w:val="continue"/>
            <w:vAlign w:val="center"/>
          </w:tcPr>
          <w:p>
            <w:pPr>
              <w:spacing w:line="400" w:lineRule="exact"/>
              <w:jc w:val="center"/>
              <w:rPr>
                <w:rFonts w:asciiTheme="majorEastAsia" w:hAnsiTheme="majorEastAsia" w:eastAsiaTheme="majorEastAsia" w:cstheme="majorEastAsia"/>
                <w:color w:val="auto"/>
                <w:sz w:val="24"/>
                <w:highlight w:val="none"/>
              </w:rPr>
            </w:pP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指定现场</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72"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第7.2款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运输特殊要求</w:t>
            </w:r>
          </w:p>
        </w:tc>
        <w:tc>
          <w:tcPr>
            <w:tcW w:w="5265"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1.货物验收合格、交付使用并提供所需单据的日期视为交货日期。</w:t>
            </w:r>
          </w:p>
          <w:p>
            <w:pPr>
              <w:pStyle w:val="19"/>
              <w:ind w:firstLine="0" w:firstLineChars="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sz w:val="24"/>
                <w:szCs w:val="24"/>
                <w:highlight w:val="none"/>
              </w:rPr>
              <w:t>2.乙方在货物发运手续办理完毕后24小时内或货到48小时前通知甲方，以</w:t>
            </w:r>
            <w:r>
              <w:rPr>
                <w:rFonts w:hint="eastAsia" w:asciiTheme="majorEastAsia" w:hAnsiTheme="majorEastAsia" w:eastAsiaTheme="majorEastAsia" w:cstheme="majorEastAsia"/>
                <w:color w:val="auto"/>
                <w:kern w:val="2"/>
                <w:sz w:val="24"/>
                <w:szCs w:val="24"/>
                <w:highlight w:val="none"/>
              </w:rPr>
              <w:t>准备接货。（具体时间根据双方实际需求调整）</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3.乙方装运的货物不应超过合同规定的数量或重量。乙方应对超交数量或超重而产生的一切后果负责。</w:t>
            </w:r>
          </w:p>
          <w:p>
            <w:pPr>
              <w:pStyle w:val="19"/>
              <w:ind w:firstLine="0" w:firstLineChars="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4.货物在交付甲方前发生的风险均由乙方负责。</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第7.3款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保险要求</w:t>
            </w:r>
          </w:p>
        </w:tc>
        <w:tc>
          <w:tcPr>
            <w:tcW w:w="5265"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货物交货前由乙方承担保险义务</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第8.2（1）项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质量保证期</w:t>
            </w:r>
          </w:p>
        </w:tc>
        <w:tc>
          <w:tcPr>
            <w:tcW w:w="5265" w:type="dxa"/>
            <w:vAlign w:val="center"/>
          </w:tcPr>
          <w:p>
            <w:pPr>
              <w:pStyle w:val="12"/>
              <w:spacing w:beforeAutospacing="0" w:afterAutospacing="0" w:line="400" w:lineRule="exact"/>
              <w:ind w:left="480" w:hanging="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1.货物免费质保期</w:t>
            </w:r>
            <w:r>
              <w:rPr>
                <w:rFonts w:hint="eastAsia" w:asciiTheme="majorEastAsia" w:hAnsiTheme="majorEastAsia" w:eastAsiaTheme="majorEastAsia" w:cstheme="majorEastAsia"/>
                <w:color w:val="auto"/>
                <w:highlight w:val="none"/>
                <w:u w:val="single"/>
              </w:rPr>
              <w:t>年</w:t>
            </w:r>
            <w:r>
              <w:rPr>
                <w:rFonts w:hint="eastAsia" w:asciiTheme="majorEastAsia" w:hAnsiTheme="majorEastAsia" w:eastAsiaTheme="majorEastAsia" w:cstheme="majorEastAsia"/>
                <w:color w:val="auto"/>
                <w:highlight w:val="none"/>
              </w:rPr>
              <w:t>。（自交货验收合格之日起计），因人为因素出现的故障不在免费保修范围内。超过保修期的机器设备，终生维修，维修时只收部件成本费。</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第8.2（3）项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货物质量缺陷</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响应时间</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如在使用过程中发生质量问题，乙方在接到甲方通知后在_________小时内到达甲方现场。</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第8款补充</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质量保证要求</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在质保期内，乙方应对货物出现的质量及安全问题负责处理解决并承担一切费用（因甲方不当使用的除外）。</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2.乙方应按照国家有关法律法规规章和“三包”规定以及招标文件售后服务要求及投标文件售后服务承诺提供售后服务。</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3.所有货物保修服务方式均为乙方上门保修，由乙方派员到货物使用现场维修，所产生的一切费用由乙方承担（双方视项目情况调整）。</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pPr>
              <w:pStyle w:val="12"/>
              <w:spacing w:beforeAutospacing="0" w:afterAutospacing="0" w:line="400" w:lineRule="exact"/>
              <w:ind w:left="480" w:hanging="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第11.1款</w:t>
            </w:r>
          </w:p>
        </w:tc>
        <w:tc>
          <w:tcPr>
            <w:tcW w:w="1686"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其他应当保密的信息</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第12.2款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合同价款支付时间及要求</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1.合同款项的支付方式及进度安排：</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①自合同签订生效之日起，收到乙方发票10个工作日内，甲方向乙方支付合同总价的____款项作为预付款；</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②所有货物安装完毕，甲方组织初步验收，初步验收合格后收到乙方发票10个工作日内甲方向乙方支付至合同总价的____款项；</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③初步验收合格且项目运行满____个月后，甲方组织最终验收，最终验收合格后收到乙方发票10个工作日内甲方付清货款。</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（具体验收流程双方可视实际情况调整）</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发票；</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制造厂家出具的质量检验证书等；</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装箱单；</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 甲方加盖公章证明交付使用合格的验收单。</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第13.2款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履约保证金不予退还的情形</w:t>
            </w:r>
          </w:p>
        </w:tc>
        <w:tc>
          <w:tcPr>
            <w:tcW w:w="5265"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除不可抗力情况外，投标人出现下列情形之一的，其履约保证金，招标人将视情节决定不予退还或部分不予退还。</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（1）中标人无正当理由拒绝签订合同的，或者在签订合同时向采购人提出附加条件或者更改合同实质性内容要求的；</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（2）中标人不履行与采购人订立的合同的；</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（3）中标人所供货物或服务不符合招标文件规定要求的；</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（4）中标人采取欺骗、弄虚作假方式投标的或与其它投标人串通投标的；</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（5）中标人将合同内容转包、违法分包的；</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（6）中标人故意捏造事实或伪造证明材料，进行虚假恶意投诉或反映的。</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第13.3款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履约保证金退还时间及逾期退还的违约金</w:t>
            </w:r>
          </w:p>
        </w:tc>
        <w:tc>
          <w:tcPr>
            <w:tcW w:w="5265" w:type="dxa"/>
            <w:vAlign w:val="center"/>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1、合同履行结束后，甲方应及时退还交纳的履约保证金。</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2、退还方式：无息退还至投标人缴纳履约保证金的账户。如为保函，在到期时自行失效。</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3、退还时间：验收合格且甲方收到发票后30日内。</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4、退还条件：按合同要求全部履约完成并经采购人验收合格，且采购人收到中标人出具的发票。</w:t>
            </w:r>
          </w:p>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第14.1（3）项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运行监督、维修期限</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第14.1（5）项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货物回收的约定</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第14.1（6）项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乙方提供的其他服务</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第15.1款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修理、重作、更换相关具体规定</w:t>
            </w:r>
          </w:p>
        </w:tc>
        <w:tc>
          <w:tcPr>
            <w:tcW w:w="5265" w:type="dxa"/>
            <w:vAlign w:val="center"/>
          </w:tcPr>
          <w:p>
            <w:pPr>
              <w:numPr>
                <w:ilvl w:val="0"/>
                <w:numId w:val="7"/>
              </w:num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详见合同通用条款8.2条款、合同专用条款第二节第8款补充条款及合同专用条款中索赔条款。</w:t>
            </w:r>
          </w:p>
          <w:p>
            <w:pPr>
              <w:numPr>
                <w:ilvl w:val="0"/>
                <w:numId w:val="7"/>
              </w:num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第15.2（2）项</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迟延交货赔偿费</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1.乙方应按照“开标（报价）一览表”中规定的交货期或承诺交货和提供服务，并交付甲方验收使用。</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2.如果乙方无正当理由拖延交货，将受到以下制裁：加收误期赔偿或终止合同。</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乙方逾期交付货物的，乙方应按逾期交货总额每日向甲方支付违约金，由甲方从待付货款中扣除。逾期超过约定日期个工作日不能交货的，甲方可解除本合同。乙方因逾期交货或因其他违约行为导致甲方解除合同的，乙方应向甲方支付合同总值的违约金，如造成甲方损失超过违约金的，超出部分由乙方继续承担赔偿责任。</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4.如乙方不能交付货物，或者有违法转包他人情形，乙方应向甲方支付合同总价的滞纳金。</w:t>
            </w:r>
          </w:p>
          <w:p>
            <w:pPr>
              <w:spacing w:line="400" w:lineRule="exact"/>
              <w:jc w:val="left"/>
              <w:rPr>
                <w:rFonts w:asciiTheme="majorEastAsia" w:hAnsiTheme="majorEastAsia" w:eastAsiaTheme="majorEastAsia" w:cstheme="majorEastAsia"/>
                <w:color w:val="auto"/>
                <w:sz w:val="24"/>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第15.3款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逾期付款利息</w:t>
            </w:r>
          </w:p>
        </w:tc>
        <w:tc>
          <w:tcPr>
            <w:tcW w:w="5265" w:type="dxa"/>
            <w:vAlign w:val="center"/>
          </w:tcPr>
          <w:p>
            <w:pPr>
              <w:pStyle w:val="12"/>
              <w:spacing w:beforeAutospacing="0" w:afterAutospacing="0" w:line="400" w:lineRule="exact"/>
              <w:ind w:left="410" w:hanging="41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1.甲方无正当理由拒收货物的，甲方向乙方偿付拒收货款总值</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的违约金。</w:t>
            </w:r>
          </w:p>
          <w:p>
            <w:pPr>
              <w:pStyle w:val="12"/>
              <w:spacing w:beforeAutospacing="0" w:afterAutospacing="0" w:line="400" w:lineRule="exact"/>
              <w:ind w:left="410" w:hanging="410"/>
              <w:jc w:val="both"/>
              <w:rPr>
                <w:rFonts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2.甲方无故逾期验收和办理货款支付手续的,甲方应按逾期付款总额每日</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向乙方支付违约金。</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560" w:type="dxa"/>
            <w:tcBorders>
              <w:bottom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第15.4款</w:t>
            </w:r>
          </w:p>
        </w:tc>
        <w:tc>
          <w:tcPr>
            <w:tcW w:w="1686" w:type="dxa"/>
            <w:tcBorders>
              <w:left w:val="single" w:color="000000" w:sz="2" w:space="0"/>
              <w:bottom w:val="single" w:color="000000" w:sz="2" w:space="0"/>
              <w:right w:val="single" w:color="000000" w:sz="2" w:space="0"/>
            </w:tcBorders>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其他违约责任</w:t>
            </w:r>
          </w:p>
        </w:tc>
        <w:tc>
          <w:tcPr>
            <w:tcW w:w="5265" w:type="dxa"/>
            <w:tcBorders>
              <w:left w:val="single" w:color="000000" w:sz="2" w:space="0"/>
              <w:bottom w:val="single" w:color="000000" w:sz="2" w:space="0"/>
            </w:tcBorders>
            <w:vAlign w:val="center"/>
          </w:tcPr>
          <w:p>
            <w:pPr>
              <w:spacing w:line="400" w:lineRule="exact"/>
              <w:jc w:val="left"/>
              <w:rPr>
                <w:rFonts w:asciiTheme="majorEastAsia" w:hAnsiTheme="majorEastAsia" w:eastAsiaTheme="majorEastAsia" w:cstheme="majorEastAsia"/>
                <w:color w:val="auto"/>
                <w:sz w:val="24"/>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0" w:type="dxa"/>
            <w:tcBorders>
              <w:top w:val="single" w:color="000000" w:sz="2" w:space="0"/>
              <w:right w:val="single" w:color="000000" w:sz="2" w:space="0"/>
            </w:tcBorders>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第19.2款</w:t>
            </w:r>
          </w:p>
        </w:tc>
        <w:tc>
          <w:tcPr>
            <w:tcW w:w="1686" w:type="dxa"/>
            <w:tcBorders>
              <w:top w:val="single" w:color="000000" w:sz="2" w:space="0"/>
              <w:left w:val="single" w:color="000000" w:sz="2" w:space="0"/>
              <w:right w:val="single" w:color="000000" w:sz="2" w:space="0"/>
            </w:tcBorders>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解决争议的方法</w:t>
            </w:r>
          </w:p>
        </w:tc>
        <w:tc>
          <w:tcPr>
            <w:tcW w:w="5265" w:type="dxa"/>
            <w:tcBorders>
              <w:top w:val="single" w:color="000000" w:sz="2" w:space="0"/>
              <w:left w:val="single" w:color="000000" w:sz="2" w:space="0"/>
            </w:tcBorders>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1.因本合同及合同有关事项发生的争议，由双方协商解决，协商不成时，按下列第种方式解决：</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（1）向仲裁委员会申请仲裁，仲裁地点为；</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（2）向甲方所在地人民法院起诉。</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纠纷解决办法</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第二节</w:t>
            </w:r>
          </w:p>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第23.1款</w:t>
            </w: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其他专用条款</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验收不合格的货物，乙方应在个工作日内予以更换，逾期按交货延误予以处罚。乙方所交付的货物品种、型号、规格不符合合同规定的，甲方有权拒收。甲方拒收的，乙方向甲方支付货款总额%的违约金。在乙方承诺的或国家规定的质量保证期内，若经乙方维修或更换，货物仍不能达到合同约定的质量标准，甲方有权退货，乙方应退回全部货款，同时，乙方还须赔偿甲方因此遭受的损失。</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4.货物验收要求</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（1）依照招标文件要求对全部货物、型号、规格、数量、外型、外观、包装及资料、文件（如装箱单、保修单、随箱介质等）进行验收。</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（2）甲方与乙方对货物到货后共同进行开箱检查，出现损坏、数量不全或产品不对等问题时，由乙方负责解决。</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（3）甲方有权从乙方所送货物中任意抽出不同型号的产品送采购人所在地的质检部门检验，如果检验合格，检验费由甲方负担；如果检验不合格，则检验费由乙方负担。</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（4）乙方应按照本合同规定的时间、地点和方式向乙方交付货物。</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交货时间：日前完成供货（安装）并交付使用。</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交货地点：。</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甲方应在全部货物到货安装完毕后的日内进行验收，验收包括：型号、规格、数量、外观是否完好，安装调试是否合格等。验收合格后甲方应在验收报告上签字盖章，初步验收合格且项目运行满个月后，甲方组织对货物的质量及使用状况等进行最终验收。</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pPr>
              <w:spacing w:line="400" w:lineRule="exact"/>
              <w:jc w:val="left"/>
              <w:rPr>
                <w:rFonts w:asciiTheme="majorEastAsia" w:hAnsiTheme="majorEastAsia" w:eastAsiaTheme="majorEastAsia" w:cstheme="maj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p>
        </w:tc>
        <w:tc>
          <w:tcPr>
            <w:tcW w:w="1686" w:type="dxa"/>
            <w:vAlign w:val="center"/>
          </w:tcPr>
          <w:p>
            <w:pPr>
              <w:spacing w:line="400" w:lineRule="exact"/>
              <w:jc w:val="left"/>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税费</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1.中国政府根据现行税法规定对甲方征收的与本合同有关的一切税费均由甲方负担（免税部分除外），招标文件另有规定的除外。</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2.中国政府根据现行税法规定对乙方征收的与本合同有关的一切税费均由乙方负担（免税部分除外）。</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p>
        </w:tc>
        <w:tc>
          <w:tcPr>
            <w:tcW w:w="1686" w:type="dxa"/>
            <w:vAlign w:val="center"/>
          </w:tcPr>
          <w:p>
            <w:pPr>
              <w:spacing w:line="400" w:lineRule="exact"/>
              <w:jc w:val="left"/>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伴随服务</w:t>
            </w: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1.乙方应按照国家</w:t>
            </w:r>
            <w:r>
              <w:rPr>
                <w:rFonts w:hint="eastAsia" w:asciiTheme="majorEastAsia" w:hAnsiTheme="majorEastAsia" w:eastAsiaTheme="majorEastAsia" w:cstheme="majorEastAsia"/>
                <w:b/>
                <w:color w:val="auto"/>
                <w:sz w:val="24"/>
                <w:highlight w:val="none"/>
              </w:rPr>
              <w:t>“新三包”</w:t>
            </w:r>
            <w:r>
              <w:rPr>
                <w:rFonts w:hint="eastAsia" w:asciiTheme="majorEastAsia" w:hAnsiTheme="majorEastAsia" w:eastAsiaTheme="majorEastAsia" w:cstheme="majorEastAsia"/>
                <w:color w:val="auto"/>
                <w:sz w:val="24"/>
                <w:highlight w:val="none"/>
              </w:rPr>
              <w:t>规定和合同中所附的服务承诺提供服务。</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2.除第1条规定外，乙方还应提供下列服务：</w:t>
            </w:r>
          </w:p>
          <w:p>
            <w:pPr>
              <w:spacing w:line="400" w:lineRule="exact"/>
              <w:jc w:val="left"/>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 xml:space="preserve"> (1) 招标文件中的“服务要求”所规定的服务内容以及投标文件承诺提供的其他服务内容；</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(2) 负责货物的开孔，货物的现场安装；</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(3) 提供货物组装和维修所需的工具；</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(4) 在合同中乙方承诺的质保期限内对所提供货物正常使用实施监督、维修，但前提条件是该服务并不能免除乙方在质量保证期内应承担的义务；</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(5) 在货物交货现场就货物的安装、启用、维护等对甲方人员进行培训。</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3.伴随服务的费用应含在合同价中，不单独进行支付。</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索赔</w:t>
            </w:r>
          </w:p>
          <w:p>
            <w:pPr>
              <w:spacing w:line="400" w:lineRule="exact"/>
              <w:jc w:val="left"/>
              <w:rPr>
                <w:rFonts w:asciiTheme="majorEastAsia" w:hAnsiTheme="majorEastAsia" w:eastAsiaTheme="majorEastAsia" w:cstheme="majorEastAsia"/>
                <w:color w:val="auto"/>
                <w:sz w:val="24"/>
                <w:highlight w:val="none"/>
              </w:rPr>
            </w:pP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1.甲方有权根据当地质检部门出具的检验报告，向乙方提出索赔。</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2.根据合同规定的检验期和质量保证期内，如果乙方对甲方提出的索赔和差异负有责任，乙方应按照甲方同意的下列一种或多种方式解决索赔事宜：</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(2) 根据货物的低劣程度、损坏程度以及甲方所遭受损失的数额，乙方必须降低货物的价格。</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pPr>
              <w:spacing w:line="400" w:lineRule="exact"/>
              <w:jc w:val="center"/>
              <w:rPr>
                <w:rFonts w:asciiTheme="majorEastAsia" w:hAnsiTheme="majorEastAsia" w:eastAsiaTheme="majorEastAsia" w:cstheme="majorEastAsia"/>
                <w:color w:val="auto"/>
                <w:sz w:val="24"/>
                <w:highlight w:val="none"/>
              </w:rPr>
            </w:pPr>
          </w:p>
        </w:tc>
        <w:tc>
          <w:tcPr>
            <w:tcW w:w="1686"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合同生效及其它</w:t>
            </w:r>
          </w:p>
          <w:p>
            <w:pPr>
              <w:spacing w:line="400" w:lineRule="exact"/>
              <w:jc w:val="left"/>
              <w:rPr>
                <w:rFonts w:asciiTheme="majorEastAsia" w:hAnsiTheme="majorEastAsia" w:eastAsiaTheme="majorEastAsia" w:cstheme="majorEastAsia"/>
                <w:bCs/>
                <w:color w:val="auto"/>
                <w:sz w:val="24"/>
                <w:highlight w:val="none"/>
              </w:rPr>
            </w:pPr>
          </w:p>
        </w:tc>
        <w:tc>
          <w:tcPr>
            <w:tcW w:w="5265" w:type="dxa"/>
            <w:vAlign w:val="center"/>
          </w:tcPr>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合同经甲方、乙方盖章后生效。</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货物交付使用后所发生的合同纠纷，由甲方与乙方协商处理。</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pPr>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4.本合同应按照中华人民共和国的现行法律进行解释。本合同未尽事宜，遵照《民法典》、《政府采购法》等有关条文执行。</w:t>
            </w:r>
          </w:p>
        </w:tc>
      </w:tr>
    </w:tbl>
    <w:p>
      <w:pPr>
        <w:pStyle w:val="12"/>
        <w:spacing w:beforeAutospacing="0" w:afterAutospacing="0" w:line="400" w:lineRule="exact"/>
        <w:jc w:val="center"/>
        <w:rPr>
          <w:rFonts w:asciiTheme="majorEastAsia" w:hAnsiTheme="majorEastAsia" w:eastAsiaTheme="majorEastAsia" w:cstheme="majorEastAsia"/>
          <w:color w:val="auto"/>
          <w:sz w:val="44"/>
          <w:szCs w:val="44"/>
          <w:highlight w:val="none"/>
        </w:rPr>
      </w:pPr>
    </w:p>
    <w:p>
      <w:pPr>
        <w:pStyle w:val="12"/>
        <w:spacing w:beforeAutospacing="0" w:afterAutospacing="0" w:line="400" w:lineRule="exact"/>
        <w:jc w:val="center"/>
        <w:rPr>
          <w:rFonts w:asciiTheme="majorEastAsia" w:hAnsiTheme="majorEastAsia" w:eastAsiaTheme="majorEastAsia" w:cstheme="majorEastAsia"/>
          <w:color w:val="auto"/>
          <w:sz w:val="44"/>
          <w:szCs w:val="44"/>
          <w:highlight w:val="none"/>
        </w:rPr>
      </w:pPr>
    </w:p>
    <w:p>
      <w:pPr>
        <w:pStyle w:val="12"/>
        <w:spacing w:beforeAutospacing="0" w:afterAutospacing="0" w:line="400" w:lineRule="exact"/>
        <w:jc w:val="center"/>
        <w:rPr>
          <w:rFonts w:asciiTheme="majorEastAsia" w:hAnsiTheme="majorEastAsia" w:eastAsiaTheme="majorEastAsia" w:cstheme="majorEastAsia"/>
          <w:color w:val="auto"/>
          <w:sz w:val="44"/>
          <w:szCs w:val="44"/>
          <w:highlight w:val="none"/>
        </w:rPr>
      </w:pPr>
    </w:p>
    <w:p>
      <w:pPr>
        <w:spacing w:line="400" w:lineRule="exact"/>
        <w:rPr>
          <w:rFonts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r>
    </w:p>
    <w:bookmarkEnd w:id="157"/>
    <w:bookmarkEnd w:id="158"/>
    <w:bookmarkEnd w:id="159"/>
    <w:bookmarkEnd w:id="160"/>
    <w:bookmarkEnd w:id="161"/>
    <w:bookmarkEnd w:id="162"/>
    <w:p>
      <w:pPr>
        <w:pStyle w:val="12"/>
        <w:spacing w:beforeAutospacing="0" w:afterAutospacing="0" w:line="560" w:lineRule="exact"/>
        <w:jc w:val="center"/>
        <w:rPr>
          <w:rFonts w:ascii="方正大标宋_GBK" w:hAnsi="方正大标宋_GBK" w:eastAsia="方正大标宋_GBK" w:cs="方正大标宋_GBK"/>
          <w:color w:val="auto"/>
          <w:sz w:val="44"/>
          <w:szCs w:val="44"/>
          <w:highlight w:val="none"/>
        </w:rPr>
      </w:pPr>
      <w:r>
        <w:rPr>
          <w:rFonts w:hint="eastAsia" w:ascii="方正大标宋_GBK" w:hAnsi="方正大标宋_GBK" w:eastAsia="方正大标宋_GBK" w:cs="方正大标宋_GBK"/>
          <w:color w:val="auto"/>
          <w:sz w:val="44"/>
          <w:szCs w:val="44"/>
          <w:highlight w:val="none"/>
        </w:rPr>
        <w:t>第四章采购需求</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p>
    <w:p>
      <w:pPr>
        <w:pStyle w:val="2"/>
        <w:numPr>
          <w:ilvl w:val="1"/>
          <w:numId w:val="0"/>
        </w:numPr>
        <w:spacing w:beforeAutospacing="0" w:afterAutospacing="0" w:line="400" w:lineRule="exact"/>
        <w:ind w:firstLine="562" w:firstLineChars="200"/>
        <w:rPr>
          <w:rFonts w:hint="default" w:asciiTheme="majorEastAsia" w:hAnsiTheme="majorEastAsia" w:eastAsiaTheme="majorEastAsia" w:cstheme="majorEastAsia"/>
          <w:color w:val="auto"/>
          <w:sz w:val="28"/>
          <w:szCs w:val="28"/>
          <w:highlight w:val="none"/>
        </w:rPr>
      </w:pPr>
      <w:bookmarkStart w:id="167" w:name="_Toc595336740"/>
      <w:bookmarkEnd w:id="167"/>
      <w:r>
        <w:rPr>
          <w:rFonts w:asciiTheme="majorEastAsia" w:hAnsiTheme="majorEastAsia" w:eastAsiaTheme="majorEastAsia" w:cstheme="majorEastAsia"/>
          <w:color w:val="auto"/>
          <w:sz w:val="28"/>
          <w:szCs w:val="28"/>
          <w:highlight w:val="none"/>
        </w:rPr>
        <w:t>1.项目背景分析</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江苏响水经济开发区位于响水县城东部，其前身为响水外向型农业综合开发区，由江苏省人民政府于 1997 年 7 月批准设立2006 年 3 月经国家发改委批准，更名为“江苏响水经济开发区”。根据《江苏响水经济开发区开发建设规划（2021-2035）》，本次规划范围为南至迎宾大道，东至沈海高速，西至响坎河、金海路，北至灌河、灌江路，规划总面积由原30平方公里调整为24.4348平方公里。园区主导产业为新型建材、再生纸制品产业、纺织服装产业、食品加工产业、智能制造产业，并大力发展现代服务业。</w:t>
      </w:r>
    </w:p>
    <w:p>
      <w:pPr>
        <w:widowControl/>
        <w:spacing w:line="400" w:lineRule="exact"/>
        <w:ind w:firstLine="560" w:firstLineChars="200"/>
        <w:jc w:val="left"/>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随着国家对安全生产监管力度的不断加大，各级政府和相关部门出台了一系列安全生产法律法规和政策文件，强调企业必须履行安全生产主体责任，提高安全管理水平。园区作为企业集聚、产业发展的重要载体，其安全生产状况直接影响到区域经济社会的稳定和发展。因此，政策指导明确要求加强园区安监平台建设，实现对企业安全生产情况的实时监控、预警和应急处理，确保园区安全生产形势持续稳定。其中2024年由江苏省省委办公厅、江苏省省政府办公厅印发的《关于进一步加强安全生产和消防工作的若干措施》中的第十二章节和第十四章节分别提出了“加快重点企业风险监测数字化”、“加快重点场所消防监管智能化”进一步强调了“园区智慧管理”的重要性。</w:t>
      </w:r>
    </w:p>
    <w:p>
      <w:pPr>
        <w:widowControl/>
        <w:spacing w:line="400" w:lineRule="exact"/>
        <w:ind w:firstLine="560" w:firstLineChars="200"/>
        <w:jc w:val="left"/>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传统的园区安全生产监管方式主要依赖于人工巡查和纸质记录,虽有安监相关硬件但是利用率较低，存在监管效率低、监管难度大、信息不透明等问题。同时，由于园区内企业众多、监管人员有限，往往难以实现对企业的全面覆盖和精准监管。此外，传统的监管方式还存在数据汇总困难、信息共享不畅等问题，导致安全生产监管工作难以形成合力。因此，需要借助现代科技手段，建立园区安监平台，实现对企业安全生产情况的实时监控和数据分析，提高监管效率和水平。</w:t>
      </w:r>
    </w:p>
    <w:p>
      <w:pPr>
        <w:pStyle w:val="2"/>
        <w:numPr>
          <w:ilvl w:val="1"/>
          <w:numId w:val="0"/>
        </w:numPr>
        <w:spacing w:beforeAutospacing="0" w:afterAutospacing="0" w:line="400" w:lineRule="exact"/>
        <w:ind w:firstLine="562" w:firstLineChars="200"/>
        <w:rPr>
          <w:rFonts w:hint="default" w:asciiTheme="majorEastAsia" w:hAnsiTheme="majorEastAsia" w:eastAsiaTheme="majorEastAsia" w:cstheme="majorEastAsia"/>
          <w:color w:val="auto"/>
          <w:sz w:val="28"/>
          <w:szCs w:val="28"/>
          <w:highlight w:val="none"/>
        </w:rPr>
      </w:pPr>
      <w:bookmarkStart w:id="168" w:name="_Toc698277807"/>
      <w:bookmarkEnd w:id="168"/>
      <w:r>
        <w:rPr>
          <w:rFonts w:asciiTheme="majorEastAsia" w:hAnsiTheme="majorEastAsia" w:eastAsiaTheme="majorEastAsia" w:cstheme="majorEastAsia"/>
          <w:color w:val="auto"/>
          <w:sz w:val="28"/>
          <w:szCs w:val="28"/>
          <w:highlight w:val="none"/>
        </w:rPr>
        <w:t>2.项目建设目标</w:t>
      </w:r>
    </w:p>
    <w:p>
      <w:pPr>
        <w:pStyle w:val="21"/>
        <w:spacing w:line="400" w:lineRule="exact"/>
        <w:ind w:firstLine="56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考虑到园区现有厂中厂企业近300家，一次性接入难度较大，本次智慧园区平台'厂中厂’模块接入项目规划软件模块全开发及4家重点监管厂区接入。具体工作如下：</w:t>
      </w:r>
    </w:p>
    <w:p>
      <w:pPr>
        <w:pStyle w:val="3"/>
        <w:numPr>
          <w:ilvl w:val="2"/>
          <w:numId w:val="0"/>
        </w:numPr>
        <w:spacing w:before="0" w:after="0" w:line="400" w:lineRule="exact"/>
        <w:ind w:firstLine="560" w:firstLineChars="200"/>
        <w:rPr>
          <w:rFonts w:asciiTheme="majorEastAsia" w:hAnsiTheme="majorEastAsia" w:eastAsiaTheme="majorEastAsia" w:cstheme="majorEastAsia"/>
          <w:color w:val="auto"/>
          <w:sz w:val="28"/>
          <w:szCs w:val="28"/>
          <w:highlight w:val="none"/>
        </w:rPr>
      </w:pPr>
      <w:bookmarkStart w:id="169" w:name="_Toc2104455041"/>
      <w:bookmarkEnd w:id="169"/>
      <w:r>
        <w:rPr>
          <w:rFonts w:hint="eastAsia" w:asciiTheme="majorEastAsia" w:hAnsiTheme="majorEastAsia" w:eastAsiaTheme="majorEastAsia" w:cstheme="majorEastAsia"/>
          <w:color w:val="auto"/>
          <w:sz w:val="28"/>
          <w:szCs w:val="28"/>
          <w:highlight w:val="none"/>
        </w:rPr>
        <w:t>2.1硬件设备排查补盲，重点风险区域全方面覆盖</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针对消防设备监测区域不全的问题，进行硬件设备排查补盲，以确保重点风险区域全方面覆盖，提高消防设备的监测能力和水平。</w:t>
      </w:r>
    </w:p>
    <w:p>
      <w:pPr>
        <w:pStyle w:val="3"/>
        <w:numPr>
          <w:ilvl w:val="2"/>
          <w:numId w:val="0"/>
        </w:numPr>
        <w:spacing w:before="0" w:after="0" w:line="400" w:lineRule="exact"/>
        <w:ind w:firstLine="560" w:firstLineChars="200"/>
        <w:rPr>
          <w:rFonts w:asciiTheme="majorEastAsia" w:hAnsiTheme="majorEastAsia" w:eastAsiaTheme="majorEastAsia" w:cstheme="majorEastAsia"/>
          <w:color w:val="auto"/>
          <w:sz w:val="28"/>
          <w:szCs w:val="28"/>
          <w:highlight w:val="none"/>
        </w:rPr>
      </w:pPr>
      <w:bookmarkStart w:id="170" w:name="_Toc520207997"/>
      <w:bookmarkEnd w:id="170"/>
      <w:r>
        <w:rPr>
          <w:rFonts w:hint="eastAsia" w:asciiTheme="majorEastAsia" w:hAnsiTheme="majorEastAsia" w:eastAsiaTheme="majorEastAsia" w:cstheme="majorEastAsia"/>
          <w:color w:val="auto"/>
          <w:sz w:val="28"/>
          <w:szCs w:val="28"/>
          <w:highlight w:val="none"/>
        </w:rPr>
        <w:t>2.2建设统一的物联接入及数据采集平台</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实现不同设备和系统之间的无缝连接，并集中采集和处理数据。对于提高设备管理的效率、优化资源配置以及实现智能化决策具有重要意义。</w:t>
      </w:r>
    </w:p>
    <w:p>
      <w:pPr>
        <w:pStyle w:val="3"/>
        <w:numPr>
          <w:ilvl w:val="2"/>
          <w:numId w:val="0"/>
        </w:numPr>
        <w:spacing w:before="0" w:after="0" w:line="400" w:lineRule="exact"/>
        <w:ind w:firstLine="560" w:firstLineChars="200"/>
        <w:rPr>
          <w:rFonts w:asciiTheme="majorEastAsia" w:hAnsiTheme="majorEastAsia" w:eastAsiaTheme="majorEastAsia" w:cstheme="majorEastAsia"/>
          <w:color w:val="auto"/>
          <w:sz w:val="28"/>
          <w:szCs w:val="28"/>
          <w:highlight w:val="none"/>
        </w:rPr>
      </w:pPr>
      <w:bookmarkStart w:id="171" w:name="_Toc729878642"/>
      <w:bookmarkEnd w:id="171"/>
      <w:r>
        <w:rPr>
          <w:rFonts w:hint="eastAsia" w:asciiTheme="majorEastAsia" w:hAnsiTheme="majorEastAsia" w:eastAsiaTheme="majorEastAsia" w:cstheme="majorEastAsia"/>
          <w:color w:val="auto"/>
          <w:sz w:val="28"/>
          <w:szCs w:val="28"/>
          <w:highlight w:val="none"/>
        </w:rPr>
        <w:t>2.3预警信息统一，快速定位故障</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整合所有相关系统和设备的预警信息，确保所有故障和异常情况都能被集中监控和管理。实时监控所有关键设备和系统的运行状态，确保能够及时发现异常情况。</w:t>
      </w:r>
    </w:p>
    <w:p>
      <w:pPr>
        <w:pStyle w:val="3"/>
        <w:numPr>
          <w:ilvl w:val="2"/>
          <w:numId w:val="0"/>
        </w:numPr>
        <w:spacing w:before="0" w:after="0" w:line="400" w:lineRule="exact"/>
        <w:ind w:firstLine="560" w:firstLineChars="200"/>
        <w:rPr>
          <w:rFonts w:asciiTheme="majorEastAsia" w:hAnsiTheme="majorEastAsia" w:eastAsiaTheme="majorEastAsia" w:cstheme="majorEastAsia"/>
          <w:color w:val="auto"/>
          <w:sz w:val="28"/>
          <w:szCs w:val="28"/>
          <w:highlight w:val="none"/>
        </w:rPr>
      </w:pPr>
      <w:bookmarkStart w:id="172" w:name="_Toc643744430"/>
      <w:bookmarkEnd w:id="172"/>
      <w:r>
        <w:rPr>
          <w:rFonts w:hint="eastAsia" w:asciiTheme="majorEastAsia" w:hAnsiTheme="majorEastAsia" w:eastAsiaTheme="majorEastAsia" w:cstheme="majorEastAsia"/>
          <w:color w:val="auto"/>
          <w:sz w:val="28"/>
          <w:szCs w:val="28"/>
          <w:highlight w:val="none"/>
        </w:rPr>
        <w:t>2.4前沿先进技术打造指挥中心智慧大屏</w:t>
      </w:r>
    </w:p>
    <w:p>
      <w:pPr>
        <w:spacing w:line="400" w:lineRule="exact"/>
        <w:ind w:firstLine="560" w:firstLineChars="200"/>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采用数字孪生、IOT、GIS、等先进技术，将庞大的实时数据和多维信息以直观而高效的方式展示在大屏上。以实现安监信息的实时、全面、准确地展示。</w:t>
      </w:r>
    </w:p>
    <w:p>
      <w:pPr>
        <w:pStyle w:val="2"/>
        <w:numPr>
          <w:ilvl w:val="1"/>
          <w:numId w:val="0"/>
        </w:numPr>
        <w:spacing w:beforeAutospacing="0" w:afterAutospacing="0" w:line="400" w:lineRule="exact"/>
        <w:ind w:firstLine="562" w:firstLineChars="200"/>
        <w:rPr>
          <w:rFonts w:hint="default" w:asciiTheme="majorEastAsia" w:hAnsiTheme="majorEastAsia" w:eastAsiaTheme="majorEastAsia" w:cstheme="majorEastAsia"/>
          <w:color w:val="auto"/>
          <w:sz w:val="28"/>
          <w:szCs w:val="28"/>
          <w:highlight w:val="none"/>
        </w:rPr>
      </w:pPr>
      <w:bookmarkStart w:id="173" w:name="_Toc390021424"/>
      <w:bookmarkEnd w:id="173"/>
      <w:r>
        <w:rPr>
          <w:rFonts w:asciiTheme="majorEastAsia" w:hAnsiTheme="majorEastAsia" w:eastAsiaTheme="majorEastAsia" w:cstheme="majorEastAsia"/>
          <w:color w:val="auto"/>
          <w:sz w:val="28"/>
          <w:szCs w:val="28"/>
          <w:highlight w:val="none"/>
        </w:rPr>
        <w:t>3技术指标</w:t>
      </w:r>
    </w:p>
    <w:p>
      <w:pPr>
        <w:pStyle w:val="2"/>
        <w:numPr>
          <w:ilvl w:val="1"/>
          <w:numId w:val="0"/>
        </w:numPr>
        <w:spacing w:beforeAutospacing="0" w:afterAutospacing="0" w:line="400" w:lineRule="exact"/>
        <w:ind w:firstLine="560" w:firstLineChars="200"/>
        <w:rPr>
          <w:rFonts w:hint="default" w:asciiTheme="majorEastAsia" w:hAnsiTheme="majorEastAsia" w:eastAsiaTheme="majorEastAsia" w:cstheme="majorEastAsia"/>
          <w:b w:val="0"/>
          <w:bCs w:val="0"/>
          <w:color w:val="auto"/>
          <w:sz w:val="28"/>
          <w:szCs w:val="28"/>
          <w:highlight w:val="none"/>
        </w:rPr>
      </w:pPr>
      <w:bookmarkStart w:id="174" w:name="_Toc969982524"/>
      <w:bookmarkEnd w:id="174"/>
      <w:r>
        <w:rPr>
          <w:rFonts w:asciiTheme="majorEastAsia" w:hAnsiTheme="majorEastAsia" w:eastAsiaTheme="majorEastAsia" w:cstheme="majorEastAsia"/>
          <w:b w:val="0"/>
          <w:bCs w:val="0"/>
          <w:color w:val="auto"/>
          <w:sz w:val="28"/>
          <w:szCs w:val="28"/>
          <w:highlight w:val="none"/>
        </w:rPr>
        <w:t>3.1硬件设备相关参数</w:t>
      </w:r>
    </w:p>
    <w:tbl>
      <w:tblPr>
        <w:tblStyle w:val="14"/>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456"/>
        <w:gridCol w:w="3459"/>
        <w:gridCol w:w="1334"/>
        <w:gridCol w:w="1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1456"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名称</w:t>
            </w:r>
          </w:p>
        </w:tc>
        <w:tc>
          <w:tcPr>
            <w:tcW w:w="3459"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参数</w:t>
            </w:r>
          </w:p>
        </w:tc>
        <w:tc>
          <w:tcPr>
            <w:tcW w:w="1334"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数量</w:t>
            </w:r>
          </w:p>
        </w:tc>
        <w:tc>
          <w:tcPr>
            <w:tcW w:w="1139"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点型烟感探测器</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（1）地址编码可由电子编码器事先写入，也可由控制器直接更改，工程调试简便可靠；</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（2）单片机实时采样处理数据、并能保存14个历史数据，曲线显示跟踪现场情况；</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（3）具有温度、湿度漂移补偿，灰尘积累程度及故障探测功能；</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（4）无极性二总线信号；</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（5）采用集成芯片，抗电磁干扰能力强；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（6）应用轨到轨运放，抗灰尘累积能力强。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（7）指示灯指示明显，360度范围可见。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主要技术指标</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（1）工作电压：</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信号总线电压：总线24V   允许范围：16V～28V</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（2工作电流：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监视电流≤0.3mA</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报警电流≤1.0mA</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（3）指示灯：报警确认灯，红色，巡检时闪烁，报警时常亮</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（4）编码方式：电子编码（编码范围为1～242）</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（5）线制：信号二总线无极性</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（6）使用环境：</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温度：-10℃～+55℃</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相对湿度≤95%，不凝露</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（7）外壳防护等级：IP32</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（8）壳体材料和颜色：ABS，白色</w:t>
            </w:r>
          </w:p>
        </w:tc>
        <w:tc>
          <w:tcPr>
            <w:tcW w:w="1334" w:type="dxa"/>
            <w:vAlign w:val="center"/>
          </w:tcPr>
          <w:p>
            <w:pPr>
              <w:spacing w:line="380" w:lineRule="exact"/>
              <w:ind w:firstLine="240" w:firstLineChars="1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380</w:t>
            </w:r>
          </w:p>
        </w:tc>
        <w:tc>
          <w:tcPr>
            <w:tcW w:w="1139"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压力监测传感器</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量程0-1.6MPA，4-20mA/485输出，DC24V供电</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TS阀门开关传感器</w:t>
            </w:r>
          </w:p>
        </w:tc>
        <w:tc>
          <w:tcPr>
            <w:tcW w:w="3459" w:type="dxa"/>
            <w:vAlign w:val="center"/>
          </w:tcPr>
          <w:p>
            <w:pPr>
              <w:spacing w:line="380" w:lineRule="exact"/>
              <w:rPr>
                <w:color w:val="auto"/>
                <w:highlight w:val="none"/>
              </w:rPr>
            </w:pPr>
            <w:r>
              <w:rPr>
                <w:rFonts w:hint="eastAsia" w:asciiTheme="majorEastAsia" w:hAnsiTheme="majorEastAsia" w:eastAsiaTheme="majorEastAsia" w:cstheme="majorEastAsia"/>
                <w:color w:val="auto"/>
                <w:sz w:val="24"/>
                <w:highlight w:val="none"/>
              </w:rPr>
              <w:t>反馈阀门开关量信号，无线LORA信号传输阀门开关状态给消防一体化工控机</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水箱液位传感器</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激光液位传感器，量程0-5M，4-20mA/485输出，无线LORA信号传输水箱液位值给消防一体化工控机，配挂壁式供电箱</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通信卡</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适配消防主机和用户传输装置数据通讯</w:t>
            </w:r>
          </w:p>
        </w:tc>
        <w:tc>
          <w:tcPr>
            <w:tcW w:w="1334"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烟火检测摄像机</w:t>
            </w:r>
          </w:p>
        </w:tc>
        <w:tc>
          <w:tcPr>
            <w:tcW w:w="3459" w:type="dxa"/>
            <w:vAlign w:val="center"/>
          </w:tcPr>
          <w:p>
            <w:pPr>
              <w:rPr>
                <w:color w:val="auto"/>
                <w:highlight w:val="none"/>
              </w:rPr>
            </w:pPr>
            <w:r>
              <w:rPr>
                <w:rFonts w:hint="eastAsia"/>
                <w:color w:val="auto"/>
                <w:highlight w:val="none"/>
              </w:rPr>
              <w:t>★★可通过IE浏览器开启或关闭畸变校正功能，开启后样机视场角应减小，开启畸变校正功能后，样机几何失真率应≤2%</w:t>
            </w:r>
          </w:p>
          <w:p>
            <w:pPr>
              <w:rPr>
                <w:color w:val="auto"/>
                <w:highlight w:val="none"/>
              </w:rPr>
            </w:pPr>
            <w:r>
              <w:rPr>
                <w:rFonts w:hint="eastAsia"/>
                <w:color w:val="auto"/>
                <w:highlight w:val="none"/>
              </w:rPr>
              <w:t>★★热成像视频图像具有白热黑热融合1、融合2、彩虹、铁红1、铁红2、深褐色、色彩1、色彩2、冰火、雨、红热、绿热、深蓝、热点、冰火2、冰、热点2、绚丽、青紫、聚变1、聚变2、金秋1、金秋2、午日1、午日2、彩虹1、彩虹2、夕阳1、夕阳2、琥珀1、琥珀2、玉石1、玉石2、油画、石榴人翡翠、春、夏、秋、冬、深红、浅蓝、黄昏48种显示模式</w:t>
            </w:r>
          </w:p>
          <w:p>
            <w:pPr>
              <w:rPr>
                <w:color w:val="auto"/>
                <w:highlight w:val="none"/>
              </w:rPr>
            </w:pPr>
            <w:r>
              <w:rPr>
                <w:rFonts w:hint="eastAsia"/>
                <w:color w:val="auto"/>
                <w:highlight w:val="none"/>
              </w:rPr>
              <w:t>★可对监控画面中由目标发生镜面反射而产生的报警进行过滤</w:t>
            </w:r>
          </w:p>
          <w:p>
            <w:pPr>
              <w:rPr>
                <w:color w:val="auto"/>
                <w:highlight w:val="none"/>
              </w:rPr>
            </w:pPr>
            <w:r>
              <w:rPr>
                <w:rFonts w:hint="eastAsia"/>
                <w:color w:val="auto"/>
                <w:highlight w:val="none"/>
              </w:rPr>
              <w:t>★★噪声等效温差(NETD)≤10mk</w:t>
            </w:r>
          </w:p>
          <w:p>
            <w:pPr>
              <w:rPr>
                <w:color w:val="auto"/>
                <w:highlight w:val="none"/>
              </w:rPr>
            </w:pPr>
            <w:r>
              <w:rPr>
                <w:rFonts w:hint="eastAsia"/>
                <w:color w:val="auto"/>
                <w:highlight w:val="none"/>
              </w:rPr>
              <w:t>样机外接温湿度传感器后，可在预览画面中显示温湿度信息</w:t>
            </w:r>
          </w:p>
          <w:p>
            <w:pPr>
              <w:rPr>
                <w:color w:val="auto"/>
                <w:highlight w:val="none"/>
              </w:rPr>
            </w:pPr>
            <w:r>
              <w:rPr>
                <w:rFonts w:hint="eastAsia"/>
                <w:color w:val="auto"/>
                <w:highlight w:val="none"/>
              </w:rPr>
              <w:t>在丢包率设置为35%的网络环境下，可正常显示监视画面</w:t>
            </w:r>
          </w:p>
          <w:p>
            <w:pPr>
              <w:rPr>
                <w:color w:val="auto"/>
                <w:highlight w:val="none"/>
              </w:rPr>
            </w:pPr>
            <w:r>
              <w:rPr>
                <w:rFonts w:hint="eastAsia"/>
                <w:color w:val="auto"/>
                <w:highlight w:val="none"/>
              </w:rPr>
              <w:t>支持SD卡热拔插，最大支持512GB可通过IE浏览器添加、修改、删除算法库，并可对算法库名称，是否生成状态等进行设置和查看，最多应支持4个算法库当监控场景中出现点燃的香烟且有明显吸烟动作时，可联动报警并在视频画面上进行框选提示</w:t>
            </w:r>
          </w:p>
          <w:p>
            <w:pPr>
              <w:rPr>
                <w:color w:val="auto"/>
                <w:highlight w:val="none"/>
              </w:rPr>
            </w:pPr>
            <w:r>
              <w:rPr>
                <w:rFonts w:hint="eastAsia"/>
                <w:color w:val="auto"/>
                <w:highlight w:val="none"/>
              </w:rPr>
              <w:t>支持吸烟检测、火点检测、烟雾检测、温度异常</w:t>
            </w:r>
          </w:p>
          <w:p>
            <w:pPr>
              <w:rPr>
                <w:color w:val="auto"/>
                <w:highlight w:val="none"/>
              </w:rPr>
            </w:pPr>
            <w:r>
              <w:rPr>
                <w:rFonts w:hint="eastAsia"/>
                <w:color w:val="auto"/>
                <w:highlight w:val="none"/>
              </w:rPr>
              <w:t>支持区域入侵检测、越界检测、进入区域检测、离开区域检测、音频异常检测等功能</w:t>
            </w:r>
          </w:p>
          <w:p>
            <w:pPr>
              <w:rPr>
                <w:color w:val="auto"/>
                <w:highlight w:val="none"/>
              </w:rPr>
            </w:pPr>
            <w:r>
              <w:rPr>
                <w:rFonts w:hint="eastAsia"/>
                <w:color w:val="auto"/>
                <w:highlight w:val="none"/>
              </w:rPr>
              <w:t>支持测温功能：支持普通测温，专家测温检测；可以画最多10个点，1条线，10个区域检测</w:t>
            </w:r>
          </w:p>
          <w:p>
            <w:pPr>
              <w:rPr>
                <w:color w:val="auto"/>
                <w:highlight w:val="none"/>
              </w:rPr>
            </w:pPr>
            <w:r>
              <w:rPr>
                <w:rFonts w:hint="eastAsia"/>
                <w:color w:val="auto"/>
                <w:highlight w:val="none"/>
              </w:rPr>
              <w:t>支持线性、直方图、自适应等热成像AGC模式，支持DDE、3D DNR</w:t>
            </w:r>
          </w:p>
          <w:p>
            <w:pPr>
              <w:rPr>
                <w:color w:val="auto"/>
                <w:highlight w:val="none"/>
              </w:rPr>
            </w:pPr>
            <w:r>
              <w:rPr>
                <w:rFonts w:hint="eastAsia"/>
                <w:color w:val="auto"/>
                <w:highlight w:val="none"/>
              </w:rPr>
              <w:t>支持双光融合、叉车去误报、太阳反光去误报等智能算法</w:t>
            </w:r>
          </w:p>
          <w:p>
            <w:pPr>
              <w:rPr>
                <w:color w:val="auto"/>
                <w:highlight w:val="none"/>
              </w:rPr>
            </w:pPr>
            <w:r>
              <w:rPr>
                <w:rFonts w:hint="eastAsia"/>
                <w:color w:val="auto"/>
                <w:highlight w:val="none"/>
              </w:rPr>
              <w:t>热成像传感器类型：氧化钒非制冷型探测器</w:t>
            </w:r>
          </w:p>
          <w:p>
            <w:pPr>
              <w:rPr>
                <w:color w:val="auto"/>
                <w:highlight w:val="none"/>
              </w:rPr>
            </w:pPr>
            <w:r>
              <w:rPr>
                <w:rFonts w:hint="eastAsia"/>
                <w:color w:val="auto"/>
                <w:highlight w:val="none"/>
              </w:rPr>
              <w:t>热成像响应波段：8~14μm</w:t>
            </w:r>
          </w:p>
          <w:p>
            <w:pPr>
              <w:rPr>
                <w:color w:val="auto"/>
                <w:highlight w:val="none"/>
              </w:rPr>
            </w:pPr>
            <w:r>
              <w:rPr>
                <w:rFonts w:hint="eastAsia"/>
                <w:color w:val="auto"/>
                <w:highlight w:val="none"/>
              </w:rPr>
              <w:t>热成像像元尺寸：12μm</w:t>
            </w:r>
          </w:p>
          <w:p>
            <w:pPr>
              <w:rPr>
                <w:color w:val="auto"/>
                <w:highlight w:val="none"/>
              </w:rPr>
            </w:pPr>
            <w:r>
              <w:rPr>
                <w:rFonts w:hint="eastAsia"/>
                <w:color w:val="auto"/>
                <w:highlight w:val="none"/>
              </w:rPr>
              <w:t>热成像分辨率：256 × 192</w:t>
            </w:r>
          </w:p>
          <w:p>
            <w:pPr>
              <w:rPr>
                <w:color w:val="auto"/>
                <w:highlight w:val="none"/>
              </w:rPr>
            </w:pPr>
            <w:r>
              <w:rPr>
                <w:rFonts w:hint="eastAsia"/>
                <w:color w:val="auto"/>
                <w:highlight w:val="none"/>
              </w:rPr>
              <w:t>测温精度：±8℃或者读数的±8%（取最大值）</w:t>
            </w:r>
          </w:p>
          <w:p>
            <w:pPr>
              <w:rPr>
                <w:color w:val="auto"/>
                <w:highlight w:val="none"/>
              </w:rPr>
            </w:pPr>
            <w:r>
              <w:rPr>
                <w:rFonts w:hint="eastAsia"/>
                <w:color w:val="auto"/>
                <w:highlight w:val="none"/>
              </w:rPr>
              <w:t>温度异常功能：全屏测温</w:t>
            </w:r>
          </w:p>
          <w:p>
            <w:pPr>
              <w:rPr>
                <w:color w:val="auto"/>
                <w:highlight w:val="none"/>
              </w:rPr>
            </w:pPr>
            <w:r>
              <w:rPr>
                <w:rFonts w:hint="eastAsia"/>
                <w:color w:val="auto"/>
                <w:highlight w:val="none"/>
              </w:rPr>
              <w:t>专家模式：10个点，10个框，1条线总计21个测温规则</w:t>
            </w:r>
          </w:p>
          <w:p>
            <w:pPr>
              <w:rPr>
                <w:color w:val="auto"/>
                <w:highlight w:val="none"/>
              </w:rPr>
            </w:pPr>
            <w:r>
              <w:rPr>
                <w:rFonts w:hint="eastAsia"/>
                <w:color w:val="auto"/>
                <w:highlight w:val="none"/>
              </w:rPr>
              <w:t>目标物最远测温距离（以0.1×0.1米为准）：10.5m</w:t>
            </w:r>
          </w:p>
          <w:p>
            <w:pPr>
              <w:rPr>
                <w:color w:val="auto"/>
                <w:highlight w:val="none"/>
              </w:rPr>
            </w:pPr>
            <w:r>
              <w:rPr>
                <w:rFonts w:hint="eastAsia"/>
                <w:color w:val="auto"/>
                <w:highlight w:val="none"/>
              </w:rPr>
              <w:t>人员最远报警距离（以1.8米*0.5米为准）：70m</w:t>
            </w:r>
          </w:p>
          <w:p>
            <w:pPr>
              <w:rPr>
                <w:color w:val="auto"/>
                <w:highlight w:val="none"/>
              </w:rPr>
            </w:pPr>
            <w:r>
              <w:rPr>
                <w:rFonts w:hint="eastAsia"/>
                <w:color w:val="auto"/>
                <w:highlight w:val="none"/>
              </w:rPr>
              <w:t>车辆最远报警距离（以4米*1.4米为准）：210m</w:t>
            </w:r>
          </w:p>
          <w:p>
            <w:pPr>
              <w:rPr>
                <w:color w:val="auto"/>
                <w:highlight w:val="none"/>
              </w:rPr>
            </w:pPr>
            <w:r>
              <w:rPr>
                <w:rFonts w:hint="eastAsia"/>
                <w:color w:val="auto"/>
                <w:highlight w:val="none"/>
              </w:rPr>
              <w:t>火点最远报警距离（以0.1米*0.1米为准）：42m</w:t>
            </w:r>
          </w:p>
          <w:p>
            <w:pPr>
              <w:rPr>
                <w:color w:val="auto"/>
                <w:highlight w:val="none"/>
              </w:rPr>
            </w:pPr>
            <w:r>
              <w:rPr>
                <w:rFonts w:hint="eastAsia"/>
                <w:color w:val="auto"/>
                <w:highlight w:val="none"/>
              </w:rPr>
              <w:t xml:space="preserve">吸烟检测最远报警距离：10.5m </w:t>
            </w:r>
          </w:p>
          <w:p>
            <w:pPr>
              <w:rPr>
                <w:color w:val="auto"/>
                <w:highlight w:val="none"/>
              </w:rPr>
            </w:pPr>
            <w:r>
              <w:rPr>
                <w:rFonts w:hint="eastAsia"/>
                <w:color w:val="auto"/>
                <w:highlight w:val="none"/>
              </w:rPr>
              <w:t>可见光传感器类型：400万星光级1/2.7" Progressive Scan CMOS</w:t>
            </w:r>
          </w:p>
          <w:p>
            <w:pPr>
              <w:rPr>
                <w:color w:val="auto"/>
                <w:highlight w:val="none"/>
              </w:rPr>
            </w:pPr>
            <w:r>
              <w:rPr>
                <w:rFonts w:hint="eastAsia"/>
                <w:color w:val="auto"/>
                <w:highlight w:val="none"/>
              </w:rPr>
              <w:t>双光融合：支持热成像通道融合可见光图像信息，提升热成像通道图像细节</w:t>
            </w:r>
          </w:p>
          <w:p>
            <w:pPr>
              <w:rPr>
                <w:color w:val="auto"/>
                <w:highlight w:val="none"/>
              </w:rPr>
            </w:pPr>
            <w:r>
              <w:rPr>
                <w:rFonts w:hint="eastAsia"/>
                <w:color w:val="auto"/>
                <w:highlight w:val="none"/>
              </w:rPr>
              <w:t>智能信息叠加：支持可见光通道图像中叠加热成像信息（仅支持测温规则，测温值）</w:t>
            </w:r>
          </w:p>
          <w:p>
            <w:pPr>
              <w:rPr>
                <w:color w:val="auto"/>
                <w:highlight w:val="none"/>
              </w:rPr>
            </w:pPr>
            <w:r>
              <w:rPr>
                <w:rFonts w:hint="eastAsia"/>
                <w:color w:val="auto"/>
                <w:highlight w:val="none"/>
              </w:rPr>
              <w:t>报警联动：1个内置白光灯、1个内置扬声器，支持联动白光报警、支持联动声音报警（语音可自定义）</w:t>
            </w:r>
          </w:p>
          <w:p>
            <w:pPr>
              <w:rPr>
                <w:color w:val="auto"/>
                <w:highlight w:val="none"/>
              </w:rPr>
            </w:pPr>
            <w:r>
              <w:rPr>
                <w:rFonts w:hint="eastAsia"/>
                <w:color w:val="auto"/>
                <w:highlight w:val="none"/>
              </w:rPr>
              <w:t>周界防范应用：热成像通道（默认）：越界探测,区域入侵探测,进入/离开区域探测</w:t>
            </w:r>
          </w:p>
          <w:p>
            <w:pPr>
              <w:rPr>
                <w:color w:val="auto"/>
                <w:highlight w:val="none"/>
              </w:rPr>
            </w:pPr>
            <w:r>
              <w:rPr>
                <w:rFonts w:hint="eastAsia"/>
                <w:color w:val="auto"/>
                <w:highlight w:val="none"/>
              </w:rPr>
              <w:t>可见光通道：越界探测,区域入侵探测,进入/离开区域探测</w:t>
            </w:r>
          </w:p>
          <w:p>
            <w:pPr>
              <w:rPr>
                <w:color w:val="auto"/>
                <w:highlight w:val="none"/>
              </w:rPr>
            </w:pPr>
            <w:r>
              <w:rPr>
                <w:rFonts w:hint="eastAsia"/>
                <w:color w:val="auto"/>
                <w:highlight w:val="none"/>
              </w:rPr>
              <w:t>防火监测应用：热成像通道：吸烟检测、火点检测、温度异常</w:t>
            </w:r>
          </w:p>
          <w:p>
            <w:pPr>
              <w:rPr>
                <w:color w:val="auto"/>
                <w:highlight w:val="none"/>
              </w:rPr>
            </w:pPr>
            <w:r>
              <w:rPr>
                <w:rFonts w:hint="eastAsia"/>
                <w:color w:val="auto"/>
                <w:highlight w:val="none"/>
              </w:rPr>
              <w:t>可见光通道：烟雾检测</w:t>
            </w:r>
          </w:p>
          <w:p>
            <w:pPr>
              <w:rPr>
                <w:color w:val="auto"/>
                <w:highlight w:val="none"/>
              </w:rPr>
            </w:pPr>
            <w:r>
              <w:rPr>
                <w:rFonts w:hint="eastAsia"/>
                <w:color w:val="auto"/>
                <w:highlight w:val="none"/>
              </w:rPr>
              <w:t>最大预览路数：20路</w:t>
            </w:r>
          </w:p>
          <w:p>
            <w:pPr>
              <w:rPr>
                <w:color w:val="auto"/>
                <w:highlight w:val="none"/>
              </w:rPr>
            </w:pPr>
            <w:r>
              <w:rPr>
                <w:rFonts w:hint="eastAsia"/>
                <w:color w:val="auto"/>
                <w:highlight w:val="none"/>
              </w:rPr>
              <w:t>报警输入：支持1路DC 0~5V报警输入</w:t>
            </w:r>
          </w:p>
          <w:p>
            <w:pPr>
              <w:rPr>
                <w:color w:val="auto"/>
                <w:highlight w:val="none"/>
              </w:rPr>
            </w:pPr>
            <w:r>
              <w:rPr>
                <w:rFonts w:hint="eastAsia"/>
                <w:color w:val="auto"/>
                <w:highlight w:val="none"/>
              </w:rPr>
              <w:t>报警输出：支持1路常开型继电器输出，报警类型可设置</w:t>
            </w:r>
          </w:p>
          <w:p>
            <w:pPr>
              <w:rPr>
                <w:color w:val="auto"/>
                <w:highlight w:val="none"/>
              </w:rPr>
            </w:pPr>
            <w:r>
              <w:rPr>
                <w:rFonts w:hint="eastAsia"/>
                <w:color w:val="auto"/>
                <w:highlight w:val="none"/>
              </w:rPr>
              <w:t>音频输入：1路3.5mm Mic in/Line in interface. Line input: 2-2.4V[p-p]</w:t>
            </w:r>
          </w:p>
          <w:p>
            <w:pPr>
              <w:rPr>
                <w:color w:val="auto"/>
                <w:highlight w:val="none"/>
              </w:rPr>
            </w:pPr>
            <w:r>
              <w:rPr>
                <w:rFonts w:hint="eastAsia"/>
                <w:color w:val="auto"/>
                <w:highlight w:val="none"/>
              </w:rPr>
              <w:t>音频输出：1路3.5mm Impedance: 600Ω</w:t>
            </w:r>
          </w:p>
          <w:p>
            <w:pPr>
              <w:rPr>
                <w:color w:val="auto"/>
                <w:highlight w:val="none"/>
              </w:rPr>
            </w:pPr>
            <w:r>
              <w:rPr>
                <w:rFonts w:hint="eastAsia"/>
                <w:color w:val="auto"/>
                <w:highlight w:val="none"/>
              </w:rPr>
              <w:t>防护等级：IP67</w:t>
            </w:r>
          </w:p>
          <w:p>
            <w:pPr>
              <w:spacing w:line="380" w:lineRule="exact"/>
              <w:rPr>
                <w:rFonts w:asciiTheme="majorEastAsia" w:hAnsiTheme="majorEastAsia" w:eastAsiaTheme="majorEastAsia" w:cstheme="majorEastAsia"/>
                <w:color w:val="auto"/>
                <w:sz w:val="24"/>
                <w:highlight w:val="none"/>
              </w:rPr>
            </w:pPr>
          </w:p>
        </w:tc>
        <w:tc>
          <w:tcPr>
            <w:tcW w:w="1334" w:type="dxa"/>
            <w:vAlign w:val="center"/>
          </w:tcPr>
          <w:p>
            <w:pPr>
              <w:spacing w:line="38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变焦筒型网络摄像机</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400万变焦筒型网络摄像机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最高分辨率可达2688 × 1520 @25 fps，在该分辨率下可输出实时图像</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Smart侦测：场景变更侦测，虚焦侦测，区域入侵侦测，越界侦测，进入区域侦测，离开区域侦测，物品遗留侦测，物品拿取侦测，徘徊侦测，停车侦测，人员聚集侦测，快速移动侦测，音频异常侦测，音频陡升侦测，音频陡降侦测</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支持背光补偿，强光抑制，3D数字降噪，120 dB宽动态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支持白光/红外双补光，红外光最远可达50 m，白光最远可达30 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支持H.265/H.264/MJPEG视频压缩算法，支持多级别视频质量配置、编码复杂度设置</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支持最大512 GB MicroSD/MicroSDHC/MicroSDXC卡本地存储</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1个内置麦克风</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符合IP66防尘防水设计，可靠性高</w:t>
            </w:r>
          </w:p>
          <w:p>
            <w:pPr>
              <w:spacing w:line="380" w:lineRule="exact"/>
              <w:rPr>
                <w:rFonts w:asciiTheme="majorEastAsia" w:hAnsiTheme="majorEastAsia" w:eastAsiaTheme="majorEastAsia" w:cstheme="majorEastAsia"/>
                <w:color w:val="auto"/>
                <w:sz w:val="24"/>
                <w:highlight w:val="none"/>
              </w:rPr>
            </w:pP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传感器类型：1/3" Progressive Scan CMOS</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最低照度：彩色：0.005 Lux </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焦距&amp;amp;视场角：2.7~13.5 mm，水平视场角：102.4°~31.2°，垂直视场角：54.7°~17.6°，对角视场角：122.1°~35.8°</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补光灯类型：支持白光，红外补光</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补光距离：红外光最远可达50 m，白光最远可达30 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防补光过曝：支持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红外波长范围：850 nm </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最大分辨率：2688 × 1520</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视频压缩标准：主码流：H.265/H.264</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子码流：H.265/H.264/MJPEG</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第三码流：H.265/H.264 </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宽动态：120 dB </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网络：1个RJ45 10 M/100 M自适应以太网口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SD卡扩展：内置MicroSD/MicroSDHC/MicroSDXC插槽，最大支持512 GB</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音频：1个内置麦克风</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复位：支持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产品尺寸：94.9 × 100.1 × 195.9 mm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包装尺寸：315 × 137 × 141 mm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设备重量：760 g</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带包装重量：1050 g</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启动和工作温湿度：-30 °C~60 °C，湿度小于95%（无凝结）</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恢复出厂设置：支持RESET按键，客户端或浏览器恢复</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电流及功耗：DC：12 V，0.63 A，最大功耗：7.5 W</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PoE：IEEE 802.3af，CLASS 3，最大功耗：9 W</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供电方式：DC：12 V ± 25%</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PoE：IEEE 802.3af，CLASS 3</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电源接口类型：Ø5.5 mm圆口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防护：IP66</w:t>
            </w:r>
          </w:p>
        </w:tc>
        <w:tc>
          <w:tcPr>
            <w:tcW w:w="1334" w:type="dxa"/>
            <w:vAlign w:val="center"/>
          </w:tcPr>
          <w:p>
            <w:pPr>
              <w:spacing w:line="38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91</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硬盘录像机</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2U机架式8盘位嵌入式网络硬盘录像机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存储接口：8个SATA接口，可满配8TB硬盘</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视频接口：2×HDMI，2×VGA</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网络接口：2×RJ45 10/100/1000Mbps自适应以太网口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报警接口：支持16路报警输入，4路报警输出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串行接口：支持1路RS-232接口，1路半双工RS-485接口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USB接口：支持2×USB 2.0，1×USB 3.0</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接入能力：支持32路H.264、H.265格式高清码流接入</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解码能力：最大支持12×1080P</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显示能力：最大支持4K+1080P异源输出</w:t>
            </w:r>
          </w:p>
        </w:tc>
        <w:tc>
          <w:tcPr>
            <w:tcW w:w="1334" w:type="dxa"/>
            <w:vAlign w:val="center"/>
          </w:tcPr>
          <w:p>
            <w:pPr>
              <w:spacing w:line="38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线路、管材等辅材</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国产优质</w:t>
            </w:r>
          </w:p>
        </w:tc>
        <w:tc>
          <w:tcPr>
            <w:tcW w:w="1334" w:type="dxa"/>
            <w:vAlign w:val="center"/>
          </w:tcPr>
          <w:p>
            <w:pPr>
              <w:spacing w:line="38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若干</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消防报警工控机</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图形化彩色显示界面。本控制器采用图形化彩色显示界面，不同信息采用不同窗口显示，界面清晰易懂、方便直观，通过简单的操作（通过键盘的数字键或方向键操作）就可实现系统提供的多种功能。另外新的便捷操作途径，使用户可以大幅度提高效率。</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①检查锁方便用户或检查人员迅速查看系统内设备情况。</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②手自动转换锁和联动启动按钮方便在紧急情况下快速切换控制状态，快速进入联动状态。</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（2）多种功能配置选择。接入联网接口卡或其他接口卡，丰富的接口使系统还可以连接其他消防设备。</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（3）配备智能手动消防启动盘。本控制器配接智能手动消防启动盘，智能手动消防启动盘上的每一个启/停键均可通过定义与系统所连接的任意一个总线设备关联，完成对该总线制联动设备的启/停控制。</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配备直接控制盘。本控制器配备直接控制盘，可对消防泵、排烟机、送风机等重要设备进行直接控制。本控制盘具有输出线断线、短路故障检测功能，可最大限度的保障控制盘本身与终端设备之间连接的可靠性。直接控制盘实现两线对启停双控设备的控制。</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（5）调试方便快捷。为方便用户及工作人员使用，控制中增加了一些便捷的调试方式，可以快速明确控制设备状态和发现问题。</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①设备状态查询界面，一个界面显示整个回路的设备状态，报警、故障、屏蔽等状态一目了然。</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②快速打印整个回路的探测器污染度，方便设备维护保养。</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③支持联网上传下载定义，也可以通过手机APP蓝牙通讯上传下载数据，远程调试（支持云端数据的上传下载）和故障诊断。</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④重码检测后重码设备指示灯闪烁，容易识别。</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主要技术指标</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（1）液晶屏规格：4.3英寸彩色液晶屏。</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（2）回路带载能力：最大输出能力为700mA。实际带载情况应根据负载最大工作电流、线路长度和线路截面积计算。为保证设备可靠工作，应确保线路末端电压≥16V。</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11</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用户信息传输装置</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主电源： AC 220V (+10%,-15%) 50HZ</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副电源： DC12V，4AH</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功耗：≤10W</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备电连续运行时间 8 小时</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通讯方式报警接收 RS232/RS485</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报警上传有线以太网</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通讯距离 RS232 ≤15m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RS485 ≤1000m</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历史记录≤5000 条</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环境温度 0~50℃</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相对湿度≤95％</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防护等级 IP30</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安装方式壁挂</w:t>
            </w:r>
          </w:p>
        </w:tc>
        <w:tc>
          <w:tcPr>
            <w:tcW w:w="1334" w:type="dxa"/>
            <w:vAlign w:val="center"/>
          </w:tcPr>
          <w:p>
            <w:pPr>
              <w:spacing w:line="38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无线传输网关</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LORA 模组特性纯射频模组，支持发送、接收数据信号工作频段 410-525Mhz，支持 ISM 频段，传输模式半双工，透明传输调制方式最大发射功率30dbm， RS232、RS485两种串口串口参数，工作电压 DC9-28V，推荐 12V 或 24V，端子接线供电，电源防反接电流参数守候 DC12V 时，48ma；DC24V 时，24ma发射（瞬间）发射功率 30dbm 时，480ma（DC12V）或 230ma(DC24V)接收（瞬间） 60ma(DC12V)或 30ma(DC24V)数据长度单包容量超出模块内部环形 FIFO 缓存 240Byte 时，自动打包发出；最大缓存容量 4096Byte工作环境工作温度：-40~+85℃；存储温度：-40~+125℃天线接口 RF-SMA 吸盘天线，特性阻抗 50Ω尺寸</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消防一体化工控机</w:t>
            </w:r>
          </w:p>
        </w:tc>
        <w:tc>
          <w:tcPr>
            <w:tcW w:w="345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★可外置LORA无线传输装置</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★集成数据采集触摸屏一体机</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★私有化部署定制平台数据采集传输软件</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电源电压：AC220V</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CPU：ARM Cortex-A7 双核1.2GHz</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硬件看门狗</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2路10M/100M自适应以太网端口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Cat1 全网通4G模块</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配置RS232及RS485串口</w:t>
            </w:r>
          </w:p>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支持5min断电超级电容续传</w:t>
            </w:r>
          </w:p>
          <w:p>
            <w:pPr>
              <w:pStyle w:val="22"/>
              <w:spacing w:line="380" w:lineRule="exact"/>
              <w:ind w:firstLine="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7吋彩色触摸屏，本地记录显示历史数据曲线及报警记录</w:t>
            </w:r>
          </w:p>
          <w:p>
            <w:pPr>
              <w:pStyle w:val="22"/>
              <w:spacing w:line="380" w:lineRule="exact"/>
              <w:ind w:firstLine="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配置声光报警器，可对除烟感报警以外的超限报警进行本地报警，设置报警确认按钮手动消除报警</w:t>
            </w:r>
          </w:p>
          <w:p>
            <w:pPr>
              <w:pStyle w:val="22"/>
              <w:spacing w:line="380" w:lineRule="exact"/>
              <w:ind w:firstLine="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具有将除消防主机以外的消防数据转换成HTTP协议对接到软件平台功能</w:t>
            </w:r>
          </w:p>
        </w:tc>
        <w:tc>
          <w:tcPr>
            <w:tcW w:w="1334" w:type="dxa"/>
            <w:vAlign w:val="center"/>
          </w:tcPr>
          <w:p>
            <w:pPr>
              <w:spacing w:line="38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1139"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vAlign w:val="center"/>
          </w:tcPr>
          <w:p>
            <w:pPr>
              <w:spacing w:line="380" w:lineRule="exact"/>
              <w:jc w:val="center"/>
              <w:rPr>
                <w:rFonts w:asciiTheme="majorEastAsia" w:hAnsiTheme="majorEastAsia" w:eastAsiaTheme="majorEastAsia" w:cstheme="majorEastAsia"/>
                <w:color w:val="auto"/>
                <w:sz w:val="24"/>
                <w:highlight w:val="none"/>
              </w:rPr>
            </w:pPr>
            <w:r>
              <w:rPr>
                <w:rFonts w:asciiTheme="majorEastAsia" w:hAnsiTheme="majorEastAsia" w:eastAsiaTheme="majorEastAsia" w:cstheme="majorEastAsia"/>
                <w:color w:val="auto"/>
                <w:sz w:val="24"/>
                <w:highlight w:val="none"/>
              </w:rPr>
              <w:t>1</w:t>
            </w:r>
            <w:r>
              <w:rPr>
                <w:rFonts w:hint="eastAsia" w:asciiTheme="majorEastAsia" w:hAnsiTheme="majorEastAsia" w:eastAsiaTheme="majorEastAsia" w:cstheme="majorEastAsia"/>
                <w:color w:val="auto"/>
                <w:sz w:val="24"/>
                <w:highlight w:val="none"/>
              </w:rPr>
              <w:t>4</w:t>
            </w:r>
          </w:p>
        </w:tc>
        <w:tc>
          <w:tcPr>
            <w:tcW w:w="1456" w:type="dxa"/>
            <w:vAlign w:val="center"/>
          </w:tcPr>
          <w:p>
            <w:pPr>
              <w:spacing w:line="38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设备调试</w:t>
            </w:r>
          </w:p>
        </w:tc>
        <w:tc>
          <w:tcPr>
            <w:tcW w:w="3459" w:type="dxa"/>
            <w:vAlign w:val="center"/>
          </w:tcPr>
          <w:p>
            <w:pPr>
              <w:pStyle w:val="22"/>
              <w:spacing w:line="380" w:lineRule="exact"/>
              <w:ind w:firstLine="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消防类设备及监控设备数据的接入及调试</w:t>
            </w:r>
          </w:p>
        </w:tc>
        <w:tc>
          <w:tcPr>
            <w:tcW w:w="1334" w:type="dxa"/>
            <w:vAlign w:val="center"/>
          </w:tcPr>
          <w:p>
            <w:pPr>
              <w:spacing w:line="380" w:lineRule="exact"/>
              <w:rPr>
                <w:rFonts w:asciiTheme="majorEastAsia" w:hAnsiTheme="majorEastAsia" w:eastAsiaTheme="majorEastAsia" w:cstheme="majorEastAsia"/>
                <w:color w:val="auto"/>
                <w:sz w:val="24"/>
                <w:highlight w:val="none"/>
              </w:rPr>
            </w:pPr>
          </w:p>
        </w:tc>
        <w:tc>
          <w:tcPr>
            <w:tcW w:w="1139" w:type="dxa"/>
            <w:vAlign w:val="center"/>
          </w:tcPr>
          <w:p>
            <w:pPr>
              <w:spacing w:line="380" w:lineRule="exact"/>
              <w:rPr>
                <w:rFonts w:asciiTheme="majorEastAsia" w:hAnsiTheme="majorEastAsia" w:eastAsiaTheme="majorEastAsia" w:cstheme="majorEastAsia"/>
                <w:color w:val="auto"/>
                <w:sz w:val="24"/>
                <w:highlight w:val="none"/>
              </w:rPr>
            </w:pPr>
          </w:p>
        </w:tc>
      </w:tr>
    </w:tbl>
    <w:p>
      <w:pPr>
        <w:spacing w:line="400" w:lineRule="exact"/>
        <w:rPr>
          <w:rFonts w:asciiTheme="majorEastAsia" w:hAnsiTheme="majorEastAsia" w:eastAsiaTheme="majorEastAsia" w:cstheme="majorEastAsia"/>
          <w:color w:val="auto"/>
          <w:highlight w:val="none"/>
        </w:rPr>
      </w:pPr>
    </w:p>
    <w:p>
      <w:pPr>
        <w:pStyle w:val="3"/>
        <w:numPr>
          <w:ilvl w:val="2"/>
          <w:numId w:val="0"/>
        </w:numPr>
        <w:spacing w:before="0" w:after="0" w:line="400" w:lineRule="exact"/>
        <w:ind w:firstLine="480" w:firstLineChars="200"/>
        <w:rPr>
          <w:rFonts w:asciiTheme="majorEastAsia" w:hAnsiTheme="majorEastAsia" w:eastAsiaTheme="majorEastAsia" w:cstheme="majorEastAsia"/>
          <w:color w:val="auto"/>
          <w:sz w:val="24"/>
          <w:highlight w:val="none"/>
        </w:rPr>
      </w:pPr>
      <w:bookmarkStart w:id="175" w:name="_Toc947916491"/>
      <w:bookmarkEnd w:id="175"/>
      <w:r>
        <w:rPr>
          <w:rFonts w:hint="eastAsia" w:asciiTheme="majorEastAsia" w:hAnsiTheme="majorEastAsia" w:eastAsiaTheme="majorEastAsia" w:cstheme="majorEastAsia"/>
          <w:color w:val="auto"/>
          <w:sz w:val="24"/>
          <w:highlight w:val="none"/>
        </w:rPr>
        <w:t>3.2软件平台相关参数</w:t>
      </w:r>
    </w:p>
    <w:p>
      <w:pPr>
        <w:pStyle w:val="4"/>
        <w:numPr>
          <w:ilvl w:val="3"/>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3.2.1消防安全可视化平台功能需求清单</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BIM可视化平台清单</w:t>
      </w:r>
    </w:p>
    <w:tbl>
      <w:tblPr>
        <w:tblStyle w:val="14"/>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845"/>
        <w:gridCol w:w="7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shd w:val="clear" w:color="auto" w:fill="FFFFFF" w:themeFill="background1"/>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845" w:type="dxa"/>
            <w:shd w:val="clear" w:color="auto" w:fill="FFFFFF" w:themeFill="background1"/>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功能名称</w:t>
            </w:r>
          </w:p>
        </w:tc>
        <w:tc>
          <w:tcPr>
            <w:tcW w:w="7409" w:type="dxa"/>
            <w:shd w:val="clear" w:color="auto" w:fill="FFFFFF" w:themeFill="background1"/>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84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三维模型快速接入</w:t>
            </w:r>
          </w:p>
        </w:tc>
        <w:tc>
          <w:tcPr>
            <w:tcW w:w="7409" w:type="dxa"/>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平台应支持用户导入三维模型文件（3DS、FBX、rvt格式等），并对原始模型文件进行可视化元素设计，包括配置可数据驱动的运动关节，可数据驱动的运动动画，可数据驱动的效果动画等。数据可视化支撑平台支持用户将接入平台的数据与三维模型的可视化元素进行绑定，实现外部数据驱动三维模型运动和效果变化的功能。</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平台支持人工快速对三维模型文件（3DS、FBX、rvt格式等）进行格式转换处理，并对模型文件进行可视化元素设计，包括配置运动关节、运动动画，可数据驱动的效果动画，如鸟瞰、漫游、聚焦、平滑过渡等。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数据融合</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模型与模型融合：可以将多个不同来源、不同时期、不同格式的数据通过人工方式和系统整合进行统一关联。</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模型与专题数据融合：根据业务专题数据（文本数据、矢量数据）包含的地名地址信息，利用中文地理编码技术与三维数据进行时空关联，实现业务数据空间化操作。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数据治理</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平台应支持通过云端存储与UE客户端的集成，实现数据集成、接入、更新升级，包括坐标统一、数据转换、数据融合、数据组织、数据存储、数据管理、质检、数据更新等。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数据美化</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平台应支持建模后的数据优化，全要素美化（建筑、地面、元素、设备、人物）场景材质处理成PBR物理材质的美化，重点建筑室内效果制作及美化。模型转换后，通过编辑器进行模型的优化与美化，将全要素（建筑、地面、元素、设备、人物）场景材质处理成材质，并进行真实效果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可视化内容灵活组织</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平台应具备完整、灵活、工具化的内容组织能力，包括将可视化图层、可视化图表、三维模型、地理信息等数据组织成可视化页面。将多个可视化页面通过排列组合组织成可视化主题。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845" w:type="dxa"/>
            <w:vAlign w:val="center"/>
          </w:tcPr>
          <w:p>
            <w:pPr>
              <w:widowControl/>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数字孪生场景</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平台需满足生成大规模三维场景的需求，提供基于矢量（包括建筑、装修、建筑物底部顶部轮廓和层数）、栅格影像、数字高程模型等多源数据自动生成大范围三维模型场景，并融合人工编辑和替换三维模型、建筑物等多种类别模型的生产流程。</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针对响水经济开发区场景、建筑、设备等，进行1:1还原，在三维中真实再现现实场景。提供基于矢量，栅格影像，高度图自动生成大范围三维模型场景。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w:t>
            </w:r>
          </w:p>
        </w:tc>
        <w:tc>
          <w:tcPr>
            <w:tcW w:w="845" w:type="dxa"/>
            <w:vAlign w:val="center"/>
          </w:tcPr>
          <w:p>
            <w:pPr>
              <w:widowControl/>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可视化要求</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sz w:val="24"/>
                <w:highlight w:val="none"/>
              </w:rPr>
              <w:t>平台需具备大量基础可视化组件和多种高级可视化效果能力。高级可视化效果包括：阴影、光辉效果、建筑光影效果、事件类效果等。支持辐射圈、高亮、闪烁、颜色标定、动态线条等特效，为厂区运行中发生的安全报警、设备故障、应急事件等各类事件的突出提示提供支持；支持模拟厂区地面上人员走动的动态特效，展现接近现实效果渲染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845" w:type="dxa"/>
            <w:vAlign w:val="center"/>
          </w:tcPr>
          <w:p>
            <w:pPr>
              <w:widowControl/>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三维模型轻量化</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平台需能够实现多源异构的各类 GIS、BIM 等数据的无缝融合，在保障数据精度的前提下，实现几何、属性、纹理等全要素信息的转换；支持多线程技术+分布式处理技术，提升处理效率。同时具备海量数据处理能力，支持三维场景的调度显示，实现对场景数据的按需加载，支持前端三维场景的按需、流式加载，支持自动构建实例化信息，支持空间区域对象划分，以及单体对象单独划分，并保证单体对象的完整性，支持根据权值智能重新计算法线。在逐步近似的过程中，可优先保持场景的外观属性、部件结构，便于在桌面端下快速加载场景数据，提高场景浏览过程中的帧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9</w:t>
            </w:r>
          </w:p>
        </w:tc>
        <w:tc>
          <w:tcPr>
            <w:tcW w:w="845"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高性能图形引擎</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★为保障软件平台的开放性和可迭代性，平台需基于自主引擎或开源商业引擎进行定制开发，源码可提供给业主方，拥有充分的源码自主权，需提供相关材料并加盖公司印章。</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平台应采用高性能图形引擎技术提供浏览器实时渲染服务，在轻量级平台展现三维场景，并提供测量、剖切、位置查询、定位、属性查看等功能，以适应用户在不同设备、不同场景下便捷浏览的需求。具备海量数据流畅调度、三维场景可视化漫游、高保真场景渲染能力，在保障展示效果的前提下，降低针对系统内存的读写，达成功耗节省目标，不占用过多硬件资源。三维场景内容越来越丰富，模型量越来越巨大，如三维场景，因此可视化渲染呈现需要在确保重量级三维场景展示效果的同时也具备最优的性能。平台提供智能 LOD 技术，多级标准划分与模型贴图处理，实现三维模型外观完成和无缝切换。流畅显示大范围三维场景（包括底板和模型）并挂接实体模型至外部业务数据库等需求。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10</w:t>
            </w:r>
          </w:p>
        </w:tc>
        <w:tc>
          <w:tcPr>
            <w:tcW w:w="845"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API接口</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平台需支持提供地图类、三维模型类、BIM类、控件类、事件类、实时感知类、数据分析类等应用程序接口服务，提供API开发指南、接口说明和类说明文档，调用示例及API完善等，方便用户使用接口调用平台服务以支撑数字化应用。</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地图类：提供经济开发区资源的描述、调用、加载、渲染和场景漫游，提供属性查询、符号化等功能。</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三维模型类：提供三维模型的资源描述、调用与交互操作。</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控件类：平台中常用功能控件的调用。</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事件类：场景交互中可侦听和触发的事件。</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实时感知类：物联感知设备定位、接入、解译、推送与调取。</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数据分析类：历史数据的分析，按空间、时间、属性等信息的对比，大数据挖掘分析。</w:t>
            </w:r>
          </w:p>
        </w:tc>
      </w:tr>
    </w:tbl>
    <w:p>
      <w:pPr>
        <w:widowControl/>
        <w:spacing w:line="400" w:lineRule="exact"/>
        <w:jc w:val="left"/>
        <w:rPr>
          <w:rFonts w:asciiTheme="majorEastAsia" w:hAnsiTheme="majorEastAsia" w:eastAsiaTheme="majorEastAsia" w:cstheme="majorEastAsia"/>
          <w:color w:val="auto"/>
          <w:kern w:val="0"/>
          <w:sz w:val="24"/>
          <w:highlight w:val="none"/>
        </w:rPr>
      </w:pPr>
    </w:p>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可视化平台应用功能清单</w:t>
      </w:r>
    </w:p>
    <w:tbl>
      <w:tblPr>
        <w:tblStyle w:val="14"/>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845"/>
        <w:gridCol w:w="7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shd w:val="clear" w:color="auto" w:fill="FFFFFF" w:themeFill="background1"/>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845" w:type="dxa"/>
            <w:shd w:val="clear" w:color="auto" w:fill="FFFFFF" w:themeFill="background1"/>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功能名称</w:t>
            </w:r>
          </w:p>
        </w:tc>
        <w:tc>
          <w:tcPr>
            <w:tcW w:w="7409" w:type="dxa"/>
            <w:shd w:val="clear" w:color="auto" w:fill="FFFFFF" w:themeFill="background1"/>
            <w:vAlign w:val="center"/>
          </w:tcPr>
          <w:p>
            <w:pPr>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84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三维场站建模</w:t>
            </w:r>
          </w:p>
        </w:tc>
        <w:tc>
          <w:tcPr>
            <w:tcW w:w="7409"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本次建设范围：响水县米兰纺织有限公司、江苏佳讯电子有限公司、江苏岛瀛服饰有限公司、江苏茂腾针织有限公司，通过三维建模1：1还原厂站设施，运用倾斜摄影、无人机航拍及高清摄像技术，全方位采集园区内外素材。依托GIS地理信息及详尽的建筑图纸，精心制作LOD300级高精度模型，确保每一处细节都精准呈现。同时，对建筑外立面材质、景观植被、内部装修等进行精细的三维渲染，打造出身临其境、效果逼真的园区数字孪生场景，通过IOT数据采集、基础数据挖掘、三维场景还原等手段建设数字孪生安全驾驶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响水开发区GIS底图</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响水开发区DEM、DOM数据底图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安监管理综合态势</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展示管理区域内的安监，设备，预警，巡检等各项事务的综合概况，并基于数字孪生底座，全方面掌握安监形势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安全设施</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展示消防安全设备情况、点位分布，及实时展示设备状态信息。以区域-园区-企业-楼层等空间层级关系展示设备点位，实时掌握设备空间位置及在线情况。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信息联动</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点位信息联动查看，点击某具体设备点位，三维画面同步定位至该设备，并调出相关位置实时监控视频。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845"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巡检任务</w:t>
            </w:r>
          </w:p>
        </w:tc>
        <w:tc>
          <w:tcPr>
            <w:tcW w:w="7409" w:type="dxa"/>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巡检任务查看，查看巡检人员任务信息，及相关巡检信息。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7</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AI监测</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AI视频监测：通过边缘云设备识别异常安全隐患如：火情等行为。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dxa"/>
          </w:tcPr>
          <w:p>
            <w:pPr>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845" w:type="dxa"/>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处置告警</w:t>
            </w:r>
          </w:p>
        </w:tc>
        <w:tc>
          <w:tcPr>
            <w:tcW w:w="7409" w:type="dxa"/>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★发生烟感等消防预警及违规预警时，在驾驶舱中进行同步呈现，并发送短信告警。</w:t>
            </w:r>
          </w:p>
        </w:tc>
      </w:tr>
    </w:tbl>
    <w:p>
      <w:pPr>
        <w:pStyle w:val="22"/>
        <w:spacing w:line="400" w:lineRule="exact"/>
        <w:ind w:firstLine="0"/>
        <w:rPr>
          <w:rFonts w:asciiTheme="majorEastAsia" w:hAnsiTheme="majorEastAsia" w:eastAsiaTheme="majorEastAsia" w:cstheme="majorEastAsia"/>
          <w:color w:val="auto"/>
          <w:sz w:val="24"/>
          <w:szCs w:val="24"/>
          <w:highlight w:val="none"/>
        </w:rPr>
      </w:pPr>
    </w:p>
    <w:p>
      <w:pPr>
        <w:pStyle w:val="5"/>
        <w:numPr>
          <w:ilvl w:val="4"/>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3.2.1.1平台要求</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需要同时具备基于先进引擎开发的三维场景编辑能力和可视化数据应用搭建能力。核心三维渲染引擎底座应由投标人自身研发设计，全面掌握核心技术，实现可视化系统从配置、部署、升级、维护的全程可控，能够根据用户特定业务需求，提供底层核心高度定制化的解决方案。</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2、要求平台能够地形图及卫星图，支持集成倾斜摄影数据、无人机航拍数据、精细建筑结构数据、BIM/CIM数据、传感器数据等，支持经/纬/高程坐标厘米级精度定位。</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3、组件要求：</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要求具备丰富的图元技术与可视化组件辅助整体场景的空间表达，包括但不限于立体弹窗、散点、飞线流光、区域热力、基本数据显示组件等。</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要求所有组件均满足高可用、负载均衡、容器化方式部署，有良好的横向和纵向扩展能力，支持集群水平扩展，可以通过增加主机或提高主机的性能提高整个系统的处理能力。具有灵活性、可伸缩性，保证功能模块随系统结构和业务流程发展变化灵活组合和扩充，可迅速灵活扩展新业务。各模块既可分布式运行，也可集中式运行。</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4、要求孪生平台可以将各类空间数据进行本地化实时渲染</w:t>
      </w:r>
      <w:r>
        <w:rPr>
          <w:rFonts w:hint="eastAsia" w:asciiTheme="majorEastAsia" w:hAnsiTheme="majorEastAsia" w:eastAsiaTheme="majorEastAsia" w:cstheme="majorEastAsia"/>
          <w:b/>
          <w:bCs/>
          <w:color w:val="auto"/>
          <w:sz w:val="24"/>
          <w:highlight w:val="none"/>
        </w:rPr>
        <w:t xml:space="preserve">, </w:t>
      </w:r>
      <w:r>
        <w:rPr>
          <w:rFonts w:hint="eastAsia" w:asciiTheme="majorEastAsia" w:hAnsiTheme="majorEastAsia" w:eastAsiaTheme="majorEastAsia" w:cstheme="majorEastAsia"/>
          <w:color w:val="auto"/>
          <w:sz w:val="24"/>
          <w:highlight w:val="none"/>
        </w:rPr>
        <w:t>实现对真实世界中自然空间尤其是业务中设备位置定位孪生效果，支持多级精度三维场景显示，可依据视野动态加载不同精度的模型数据，优化显示效率，实现从开发区、再到厂站、楼层细节的无级放缩，流畅展现。</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5、要求具备多终端场景联动、游戏级实时渲染效果、流畅三维场景交互、内部自集空间要素模型库、脚本设计、镜头与场景编辑等工具或能力。从而实现厂中厂管理视角的充分展现。</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针对数据应用搭建工具，要求能够过业务分析和统计数据接入能力、应用算法接入能力以及编辑器，进行日常业务可视化应用的编辑，实现业务人员在不同业务场景下的孪生应用。整体来看，为了厂中厂管理数据得充分应用，要求具备内部自集数据可视化设计模板和图表组件库、多源数据接入、图像化搭建、多分辨率适配与发布、数据交互分析配置、本地化部署运行、大屏拼接展示、二次开发支持等工具或能力。</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7、要求提供适配设计一体化解决方案。要求针对不同物理尺寸大屏，匹配制定最佳展示方案，给出整体内容排版、展示形式设计。</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w:t>
      </w:r>
      <w:r>
        <w:rPr>
          <w:rFonts w:hint="eastAsia" w:asciiTheme="majorEastAsia" w:hAnsiTheme="majorEastAsia" w:eastAsiaTheme="majorEastAsia" w:cstheme="majorEastAsia"/>
          <w:color w:val="auto"/>
          <w:sz w:val="24"/>
          <w:highlight w:val="none"/>
        </w:rPr>
        <w:t>8、平台性能</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1）消防安全可视化平台性能</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1.1）在建议配置的系统环境中渲染多栋建筑或5000个以上管理对象场景，3D帧率需＞60帧；</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1.2）平台初次加载时间＜1s；</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1.3）实时数据传送时间≤1s；</w:t>
      </w:r>
    </w:p>
    <w:p>
      <w:pPr>
        <w:snapToGrid w:val="0"/>
        <w:spacing w:line="400" w:lineRule="exact"/>
        <w:ind w:firstLine="484" w:firstLineChars="20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1.4）控制命令传送时间≤1s。</w:t>
      </w:r>
    </w:p>
    <w:p>
      <w:pPr>
        <w:pStyle w:val="4"/>
        <w:numPr>
          <w:ilvl w:val="3"/>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3.2.2消防物联管理平台</w:t>
      </w:r>
    </w:p>
    <w:p>
      <w:pPr>
        <w:pStyle w:val="5"/>
        <w:numPr>
          <w:ilvl w:val="4"/>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3.2.2.1平台功能要求</w:t>
      </w:r>
    </w:p>
    <w:tbl>
      <w:tblPr>
        <w:tblStyle w:val="13"/>
        <w:tblW w:w="0" w:type="auto"/>
        <w:jc w:val="center"/>
        <w:tblLayout w:type="autofit"/>
        <w:tblCellMar>
          <w:top w:w="0" w:type="dxa"/>
          <w:left w:w="108" w:type="dxa"/>
          <w:bottom w:w="0" w:type="dxa"/>
          <w:right w:w="108" w:type="dxa"/>
        </w:tblCellMar>
      </w:tblPr>
      <w:tblGrid>
        <w:gridCol w:w="865"/>
        <w:gridCol w:w="865"/>
        <w:gridCol w:w="6791"/>
      </w:tblGrid>
      <w:tr>
        <w:tblPrEx>
          <w:tblCellMar>
            <w:top w:w="0" w:type="dxa"/>
            <w:left w:w="108" w:type="dxa"/>
            <w:bottom w:w="0" w:type="dxa"/>
            <w:right w:w="108" w:type="dxa"/>
          </w:tblCellMar>
        </w:tblPrEx>
        <w:trPr>
          <w:trHeight w:val="284"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序号</w:t>
            </w:r>
          </w:p>
        </w:tc>
        <w:tc>
          <w:tcPr>
            <w:tcW w:w="86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功能名称</w:t>
            </w:r>
          </w:p>
        </w:tc>
        <w:tc>
          <w:tcPr>
            <w:tcW w:w="67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功能说明</w:t>
            </w:r>
          </w:p>
        </w:tc>
      </w:tr>
      <w:tr>
        <w:tblPrEx>
          <w:tblCellMar>
            <w:top w:w="0" w:type="dxa"/>
            <w:left w:w="108" w:type="dxa"/>
            <w:bottom w:w="0" w:type="dxa"/>
            <w:right w:w="108" w:type="dxa"/>
          </w:tblCellMar>
        </w:tblPrEx>
        <w:trPr>
          <w:trHeight w:val="284"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厂中厂基本信息</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厂中厂基础信息录入功能（厂中厂名称、面积、地址、建筑空间、负责人、联系方式等）；</w:t>
            </w:r>
          </w:p>
        </w:tc>
      </w:tr>
      <w:tr>
        <w:tblPrEx>
          <w:tblCellMar>
            <w:top w:w="0" w:type="dxa"/>
            <w:left w:w="108" w:type="dxa"/>
            <w:bottom w:w="0" w:type="dxa"/>
            <w:right w:w="108" w:type="dxa"/>
          </w:tblCellMar>
        </w:tblPrEx>
        <w:trPr>
          <w:trHeight w:val="284"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入驻单位信息</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入驻单位基础信息录入功能（租赁单位名称、租赁周期、租赁厂房空间、负责人、安全员、联系方式等）；</w:t>
            </w:r>
          </w:p>
        </w:tc>
      </w:tr>
      <w:tr>
        <w:tblPrEx>
          <w:tblCellMar>
            <w:top w:w="0" w:type="dxa"/>
            <w:left w:w="108" w:type="dxa"/>
            <w:bottom w:w="0" w:type="dxa"/>
            <w:right w:w="108" w:type="dxa"/>
          </w:tblCellMar>
        </w:tblPrEx>
        <w:trPr>
          <w:trHeight w:val="1127"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3</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资产管理</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1.资产管理功能（管理维护烟感、消费水压、视频监控等安全设备资产，记录设备采购时间、投入使用时间，可查询该设备相关报警、巡检数据，可记录资产维保记录）；</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2.硬件设备物联接入</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通过IOT、网络传输协议等方式对消防硬件设备进行接入及管理，安监部门、厂中厂、入驻单位可通过分配不同的数据权限进行设备的管理查看。</w:t>
            </w:r>
          </w:p>
        </w:tc>
      </w:tr>
      <w:tr>
        <w:tblPrEx>
          <w:tblCellMar>
            <w:top w:w="0" w:type="dxa"/>
            <w:left w:w="108" w:type="dxa"/>
            <w:bottom w:w="0" w:type="dxa"/>
            <w:right w:w="108" w:type="dxa"/>
          </w:tblCellMar>
        </w:tblPrEx>
        <w:trPr>
          <w:trHeight w:val="191"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4</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巡检人员</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巡检人员管理模块（管理维护巡检人员信息）</w:t>
            </w:r>
          </w:p>
        </w:tc>
      </w:tr>
      <w:tr>
        <w:tblPrEx>
          <w:tblCellMar>
            <w:top w:w="0" w:type="dxa"/>
            <w:left w:w="108" w:type="dxa"/>
            <w:bottom w:w="0" w:type="dxa"/>
            <w:right w:w="108" w:type="dxa"/>
          </w:tblCellMar>
        </w:tblPrEx>
        <w:trPr>
          <w:trHeight w:val="752"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5</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巡检任务</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相关单位负责人可以通过管理后台创建日常点检巡检任务，常态化的巡检管理保障硬件设备的健康状态及日常隐患第一时间发现。</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（制定巡检任务、规划巡检人员、巡检设备/点位、巡检任务查看、逾期未完成提醒）</w:t>
            </w:r>
          </w:p>
        </w:tc>
      </w:tr>
      <w:tr>
        <w:tblPrEx>
          <w:tblCellMar>
            <w:top w:w="0" w:type="dxa"/>
            <w:left w:w="108" w:type="dxa"/>
            <w:bottom w:w="0" w:type="dxa"/>
            <w:right w:w="108" w:type="dxa"/>
          </w:tblCellMar>
        </w:tblPrEx>
        <w:trPr>
          <w:trHeight w:val="378"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6</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工单模块</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工单管理模块（对于巡检环节发现的问题，生成对于处置工单，指定相关人员进行任务跟进）</w:t>
            </w:r>
          </w:p>
        </w:tc>
      </w:tr>
      <w:tr>
        <w:tblPrEx>
          <w:tblCellMar>
            <w:top w:w="0" w:type="dxa"/>
            <w:left w:w="108" w:type="dxa"/>
            <w:bottom w:w="0" w:type="dxa"/>
            <w:right w:w="108" w:type="dxa"/>
          </w:tblCellMar>
        </w:tblPrEx>
        <w:trPr>
          <w:trHeight w:val="752"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7</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预警模块</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对于接入的硬件设备进行统一的监测分析，当产生异常预警时，在管理后台生成对应的警情数据，对应责任人可进行警情确认等后续流程的处理。</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（对于预期工单、紧急情况需生成告警信息，通过短信等提醒方式发送到指定人员手机）</w:t>
            </w:r>
          </w:p>
        </w:tc>
      </w:tr>
      <w:tr>
        <w:tblPrEx>
          <w:tblCellMar>
            <w:top w:w="0" w:type="dxa"/>
            <w:left w:w="108" w:type="dxa"/>
            <w:bottom w:w="0" w:type="dxa"/>
            <w:right w:w="108" w:type="dxa"/>
          </w:tblCellMar>
        </w:tblPrEx>
        <w:trPr>
          <w:trHeight w:val="107"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8</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消防安全</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消防安全评估、隐患整改</w:t>
            </w:r>
          </w:p>
        </w:tc>
      </w:tr>
      <w:tr>
        <w:tblPrEx>
          <w:tblCellMar>
            <w:top w:w="0" w:type="dxa"/>
            <w:left w:w="108" w:type="dxa"/>
            <w:bottom w:w="0" w:type="dxa"/>
            <w:right w:w="108" w:type="dxa"/>
          </w:tblCellMar>
        </w:tblPrEx>
        <w:trPr>
          <w:trHeight w:val="752"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9</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课程视频管理</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安监管理部门可以在消防物联管理平台进行学习视频的上传管理，上传后园区/企业的安全责任人可在移动端进行视频课程的学习，视频查看的记录将进行数据存储，安监管理部门可随时查看园区/企业的学习情况。</w:t>
            </w:r>
          </w:p>
        </w:tc>
      </w:tr>
      <w:tr>
        <w:tblPrEx>
          <w:tblCellMar>
            <w:top w:w="0" w:type="dxa"/>
            <w:left w:w="108" w:type="dxa"/>
            <w:bottom w:w="0" w:type="dxa"/>
            <w:right w:w="108" w:type="dxa"/>
          </w:tblCellMar>
        </w:tblPrEx>
        <w:trPr>
          <w:trHeight w:val="378"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10</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消防看板</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对消防设备、预警事件等进行多维度分析统计展示，有助于安监部门部门和相关单位更好地监控、分析和决策。</w:t>
            </w:r>
          </w:p>
        </w:tc>
      </w:tr>
      <w:tr>
        <w:tblPrEx>
          <w:tblCellMar>
            <w:top w:w="0" w:type="dxa"/>
            <w:left w:w="108" w:type="dxa"/>
            <w:bottom w:w="0" w:type="dxa"/>
            <w:right w:w="108" w:type="dxa"/>
          </w:tblCellMar>
        </w:tblPrEx>
        <w:trPr>
          <w:trHeight w:val="201"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11</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系统管理</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系统账号、数据权限、菜单配置、部门角色功能。</w:t>
            </w:r>
          </w:p>
        </w:tc>
      </w:tr>
      <w:tr>
        <w:tblPrEx>
          <w:tblCellMar>
            <w:top w:w="0" w:type="dxa"/>
            <w:left w:w="108" w:type="dxa"/>
            <w:bottom w:w="0" w:type="dxa"/>
            <w:right w:w="108" w:type="dxa"/>
          </w:tblCellMar>
        </w:tblPrEx>
        <w:trPr>
          <w:trHeight w:val="201"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12</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★统一权限控制</w:t>
            </w:r>
          </w:p>
        </w:tc>
        <w:tc>
          <w:tcPr>
            <w:tcW w:w="6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1.统一规划厂中厂消防安全管理，区分大长站数据视角，具体场站数据视角，由面至点，实现数据权限分离。</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2.可进行用户权限分配，定义基础权限：厂区总体权限（可查看厂区整体数据、及各厂站数据），具体厂站权限（只可查看具体厂站数据）。</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3.权限及数据规划涉及管理后台、数字化厂场站管控及APP应用。</w:t>
            </w:r>
          </w:p>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4.人员管理、园区管理、账号登录、角色管理、企业管理、统计看板</w:t>
            </w:r>
          </w:p>
        </w:tc>
      </w:tr>
    </w:tbl>
    <w:p>
      <w:pPr>
        <w:spacing w:line="400" w:lineRule="exact"/>
        <w:rPr>
          <w:rFonts w:asciiTheme="majorEastAsia" w:hAnsiTheme="majorEastAsia" w:eastAsiaTheme="majorEastAsia" w:cstheme="majorEastAsia"/>
          <w:color w:val="auto"/>
          <w:sz w:val="24"/>
          <w:highlight w:val="none"/>
        </w:rPr>
      </w:pPr>
    </w:p>
    <w:p>
      <w:pPr>
        <w:pStyle w:val="5"/>
        <w:numPr>
          <w:ilvl w:val="4"/>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3.2.2.2平台技术要求</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3.2.2.2.1.编程语言与框架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w:t>
      </w:r>
      <w:r>
        <w:rPr>
          <w:rFonts w:hint="eastAsia" w:asciiTheme="majorEastAsia" w:hAnsiTheme="majorEastAsia" w:eastAsiaTheme="majorEastAsia" w:cstheme="majorEastAsia"/>
          <w:color w:val="auto"/>
          <w:sz w:val="24"/>
          <w:highlight w:val="none"/>
        </w:rPr>
        <w:t>1. 主流编程语言：</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渲染引擎：基于c++语言，它提供了</w:t>
      </w:r>
      <w:r>
        <w:rPr>
          <w:rFonts w:hint="eastAsia" w:asciiTheme="majorEastAsia" w:hAnsiTheme="majorEastAsia" w:eastAsiaTheme="majorEastAsia" w:cstheme="majorEastAsia"/>
          <w:color w:val="auto"/>
          <w:sz w:val="24"/>
          <w:highlight w:val="none"/>
          <w:shd w:val="clear" w:color="auto" w:fill="FFFFFF"/>
        </w:rPr>
        <w:t>高性能、‌底层硬件访问，‌如CPU、‌GPU、‌内存等、‌跨平台兼容性、‌成熟的库和框架支持以及强大的社区支持。</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服务器端：Java、Python、Node.js、C++等，这些语言因其成熟的生态系统和广泛的应用场景而被广泛使用。</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前端开发：JavaScript是必不可少的，同时HTML、CSS等前端技术也是基础要求。</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开发框架：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后端框架：如Spring Boot（Java）、Django（Python）、Express.js（Node.js）等，用于构建高效、可靠的后端服务。</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前端框架：React、Angular、Vue.js等，加速前端开发并提供更好的用户体验。</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3.2.2.2.2.网络与安全</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网络通信：熟悉常见的网络通信协议（如TCP/IP、HTTP/HTTPS），确保数据的稳定传输。</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安全性：</w:t>
      </w:r>
    </w:p>
    <w:p>
      <w:pPr>
        <w:numPr>
          <w:ilvl w:val="0"/>
          <w:numId w:val="8"/>
        </w:numPr>
        <w:spacing w:line="400" w:lineRule="exact"/>
        <w:ind w:left="0"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数据加密：使用加密算法（如AES）对数据进行加密保护。</w:t>
      </w:r>
    </w:p>
    <w:p>
      <w:pPr>
        <w:numPr>
          <w:ilvl w:val="0"/>
          <w:numId w:val="8"/>
        </w:numPr>
        <w:spacing w:line="400" w:lineRule="exact"/>
        <w:ind w:left="0"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访问控制：实施严格的用户权限管理和身份验证机制。</w:t>
      </w:r>
    </w:p>
    <w:p>
      <w:pPr>
        <w:numPr>
          <w:ilvl w:val="0"/>
          <w:numId w:val="8"/>
        </w:numPr>
        <w:spacing w:line="400" w:lineRule="exact"/>
        <w:ind w:left="0"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防止网络攻击：如防止DDoS攻击、SQL注入等。</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3.2.2.2.3.云计算与云服务</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云平台：支持云服务的部署和管理。</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分布式服务：支持分布式服务部署，用于应用的后期扩容。</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3.2.2.2.4.运维与监控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系统监控：实施全面的系统监控策略，包括性能监控、日志分析等，确保系统稳定运行。</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故障恢复：制定故障恢复计划，确保在系统发生故障时能够迅速恢复服务。</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3.2.2.2.5.兼容性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跨平台兼容性：确保软件能够在不同操作系统和浏览器上稳定运行。</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第三方服务集成：支持与其他第三方服务（如推送通知等）的集成。</w:t>
      </w:r>
    </w:p>
    <w:p>
      <w:pPr>
        <w:pStyle w:val="5"/>
        <w:numPr>
          <w:ilvl w:val="4"/>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3.2.2.3平台性能要求</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3.2.2.3.1.高性能</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处理能力：物联平台应具备高效的数据处理能力，能够同时处理大量来自不同设备和传感器的数据流。</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扩展性：平台应具备良好的可扩展性，能够随着业务需求的增长而轻松扩展，确保性能不会因数据量增大而下降。</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并发处理：支持高并发访问，确保在多用户同时访问时仍能保持高性能。</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3.2.2.3.2.低时延</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数据传输时延：平台应保证数据传输的低时延，以满足实时性和快速响应的需求。</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计算处理时延：数据处理和计算应在短时间内完成，确保实时数据分析和决策的准确性。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网络优化：采用优化的网络传输协议和策略，减少数据传输的延迟。</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3.2.2.3.3.高可用性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故障恢复：平台应具备快速故障恢复能力，当部分设备或系统发生故障时，能够迅速恢复服务并保证数据不丢失。</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负载均衡：采用负载均衡技术，确保系统在高负载下仍能保持稳定的性能。</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冗余设计：关键设备和系统应具备冗余设计，确保在单点故障发生时仍能保持服务。</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3.2.2.3.4.分布式设计</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分布式架构：平台应采用分布式架构，确保数据分散存储和处理，提高系统的可扩展性和容错能力。</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数据一致性：在分布式系统中，应确保数据的一致性和完整性，避免因数据不一致导致的问题。</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节点通信：节点之间的通信应高效可靠，确保数据的实时同步和传输。</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3.2.2.3.5.系统安全性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数据加密：采用数据加密技术，确保在传输和存储过程中数据的安全性。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访问控制：实施严格的访问控制策略，确保只有授权用户才能访问和操作数据。</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安全审计：对系统操作进行安全审计和日志记录，以便及时发现和处理潜在的安全威胁。</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3.2.2.3.6.系统测试</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性能测试：对物联平台进行全面的性能测试，包括处理能力、响应时间、并发处理等指标。</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安全性测试：对系统进行安全性测试，检测潜在的安全漏洞和威胁。</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稳定性测试：在高负载和长时间运行下对系统进行稳定性测试，确保系统能够稳定运行并处理大量数据。</w:t>
      </w:r>
    </w:p>
    <w:p>
      <w:pPr>
        <w:pStyle w:val="6"/>
        <w:numPr>
          <w:ilvl w:val="1"/>
          <w:numId w:val="0"/>
        </w:numPr>
        <w:spacing w:before="0" w:after="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3.2.2.3.7.兼容性</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 设备兼容性：平台应支持多种设备和传感器的接入，确保与不同厂商和型号的设备兼容。</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 协议兼容性：支持多种通信协议和数据格式，以便与不同的系统和应用进行集成和交互。</w:t>
      </w:r>
    </w:p>
    <w:p>
      <w:pPr>
        <w:spacing w:line="4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操作系统兼容性：支持多种操作系统和浏览器，以满足不同用户的使用需求。</w:t>
      </w:r>
    </w:p>
    <w:p>
      <w:pPr>
        <w:pStyle w:val="4"/>
        <w:numPr>
          <w:ilvl w:val="3"/>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3.2.3移动用户端</w:t>
      </w:r>
    </w:p>
    <w:p>
      <w:pPr>
        <w:pStyle w:val="5"/>
        <w:numPr>
          <w:ilvl w:val="4"/>
          <w:numId w:val="0"/>
        </w:numPr>
        <w:spacing w:before="0" w:after="0" w:line="400" w:lineRule="exact"/>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3.2.3.1平台功能要求</w:t>
      </w:r>
    </w:p>
    <w:tbl>
      <w:tblPr>
        <w:tblStyle w:val="13"/>
        <w:tblW w:w="0" w:type="auto"/>
        <w:jc w:val="center"/>
        <w:tblLayout w:type="autofit"/>
        <w:tblCellMar>
          <w:top w:w="0" w:type="dxa"/>
          <w:left w:w="108" w:type="dxa"/>
          <w:bottom w:w="0" w:type="dxa"/>
          <w:right w:w="108" w:type="dxa"/>
        </w:tblCellMar>
      </w:tblPr>
      <w:tblGrid>
        <w:gridCol w:w="926"/>
        <w:gridCol w:w="996"/>
        <w:gridCol w:w="6600"/>
      </w:tblGrid>
      <w:tr>
        <w:tblPrEx>
          <w:tblCellMar>
            <w:top w:w="0" w:type="dxa"/>
            <w:left w:w="108" w:type="dxa"/>
            <w:bottom w:w="0" w:type="dxa"/>
            <w:right w:w="108" w:type="dxa"/>
          </w:tblCellMar>
        </w:tblPrEx>
        <w:trPr>
          <w:trHeight w:val="284"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序号</w:t>
            </w:r>
          </w:p>
        </w:tc>
        <w:tc>
          <w:tcPr>
            <w:tcW w:w="9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功能名称</w:t>
            </w:r>
          </w:p>
        </w:tc>
        <w:tc>
          <w:tcPr>
            <w:tcW w:w="66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功能说明</w:t>
            </w:r>
          </w:p>
        </w:tc>
      </w:tr>
      <w:tr>
        <w:tblPrEx>
          <w:tblCellMar>
            <w:top w:w="0" w:type="dxa"/>
            <w:left w:w="108" w:type="dxa"/>
            <w:bottom w:w="0" w:type="dxa"/>
            <w:right w:w="108" w:type="dxa"/>
          </w:tblCellMar>
        </w:tblPrEx>
        <w:trPr>
          <w:trHeight w:val="284"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厂区总览</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查看厂区整体情况，安全设施数量，报警事件；入驻单位租赁情况；厂中厂安全排名等。</w:t>
            </w:r>
          </w:p>
        </w:tc>
      </w:tr>
      <w:tr>
        <w:tblPrEx>
          <w:tblCellMar>
            <w:top w:w="0" w:type="dxa"/>
            <w:left w:w="108" w:type="dxa"/>
            <w:bottom w:w="0" w:type="dxa"/>
            <w:right w:w="108" w:type="dxa"/>
          </w:tblCellMar>
        </w:tblPrEx>
        <w:trPr>
          <w:trHeight w:val="284"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w:t>
            </w:r>
          </w:p>
        </w:tc>
        <w:tc>
          <w:tcPr>
            <w:tcW w:w="9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t>巡检任务</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查看我的巡检任务，可查看任务基本信息，巡检点位，计划时间，巡检设施等信息</w:t>
            </w:r>
          </w:p>
        </w:tc>
      </w:tr>
      <w:tr>
        <w:tblPrEx>
          <w:tblCellMar>
            <w:top w:w="0" w:type="dxa"/>
            <w:left w:w="108" w:type="dxa"/>
            <w:bottom w:w="0" w:type="dxa"/>
            <w:right w:w="108" w:type="dxa"/>
          </w:tblCellMar>
        </w:tblPrEx>
        <w:trPr>
          <w:trHeight w:val="284"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ind w:firstLine="480" w:firstLineChars="2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9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ind w:firstLine="480" w:firstLineChars="200"/>
              <w:jc w:val="center"/>
              <w:rPr>
                <w:rFonts w:asciiTheme="majorEastAsia" w:hAnsiTheme="majorEastAsia" w:eastAsiaTheme="majorEastAsia" w:cstheme="majorEastAsia"/>
                <w:color w:val="auto"/>
                <w:sz w:val="24"/>
                <w:highlight w:val="none"/>
              </w:rPr>
            </w:pP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巡检任务打卡：巡检人员可持应用至巡检点位进行拍照打卡，并上传巡检信息。</w:t>
            </w:r>
          </w:p>
        </w:tc>
      </w:tr>
      <w:tr>
        <w:tblPrEx>
          <w:tblCellMar>
            <w:top w:w="0" w:type="dxa"/>
            <w:left w:w="108" w:type="dxa"/>
            <w:bottom w:w="0" w:type="dxa"/>
            <w:right w:w="108" w:type="dxa"/>
          </w:tblCellMar>
        </w:tblPrEx>
        <w:trPr>
          <w:trHeight w:val="378"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ind w:firstLine="480" w:firstLineChars="2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9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ind w:firstLine="480" w:firstLineChars="200"/>
              <w:jc w:val="center"/>
              <w:rPr>
                <w:rFonts w:asciiTheme="majorEastAsia" w:hAnsiTheme="majorEastAsia" w:eastAsiaTheme="majorEastAsia" w:cstheme="majorEastAsia"/>
                <w:color w:val="auto"/>
                <w:sz w:val="24"/>
                <w:highlight w:val="none"/>
              </w:rPr>
            </w:pP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异常上报：针对巡检过程中发现的异常情况，巡检人员及时上报，系统生成相关工单，分配给相关人员进行处置。</w:t>
            </w:r>
          </w:p>
        </w:tc>
      </w:tr>
      <w:tr>
        <w:tblPrEx>
          <w:tblCellMar>
            <w:top w:w="0" w:type="dxa"/>
            <w:left w:w="108" w:type="dxa"/>
            <w:bottom w:w="0" w:type="dxa"/>
            <w:right w:w="108" w:type="dxa"/>
          </w:tblCellMar>
        </w:tblPrEx>
        <w:trPr>
          <w:trHeight w:val="399"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5</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视频监控</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安监部门、厂中厂、入驻单位相关负责人可以通过移动端进行消防摄像头的实时监控查看，了解管控区域现场情况。</w:t>
            </w:r>
          </w:p>
        </w:tc>
      </w:tr>
      <w:tr>
        <w:tblPrEx>
          <w:tblCellMar>
            <w:top w:w="0" w:type="dxa"/>
            <w:left w:w="108" w:type="dxa"/>
            <w:bottom w:w="0" w:type="dxa"/>
            <w:right w:w="108" w:type="dxa"/>
          </w:tblCellMar>
        </w:tblPrEx>
        <w:trPr>
          <w:trHeight w:val="565"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6</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全局报警</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当发生消防隐患异常报警时，各级机构相关负责人将第一事件收到报警提醒通知，可进行警情信息的查看及确认复核处理。警情详情可查看企业安全责任人信息，支持在线拨号。</w:t>
            </w:r>
          </w:p>
        </w:tc>
      </w:tr>
      <w:tr>
        <w:tblPrEx>
          <w:tblCellMar>
            <w:top w:w="0" w:type="dxa"/>
            <w:left w:w="108" w:type="dxa"/>
            <w:bottom w:w="0" w:type="dxa"/>
            <w:right w:w="108" w:type="dxa"/>
          </w:tblCellMar>
        </w:tblPrEx>
        <w:trPr>
          <w:trHeight w:val="201"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7</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厂中厂动态</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消息推送：展示场站内最新动态，如告警异常、消防风险等。</w:t>
            </w:r>
          </w:p>
        </w:tc>
      </w:tr>
      <w:tr>
        <w:tblPrEx>
          <w:tblCellMar>
            <w:top w:w="0" w:type="dxa"/>
            <w:left w:w="108" w:type="dxa"/>
            <w:bottom w:w="0" w:type="dxa"/>
            <w:right w:w="108" w:type="dxa"/>
          </w:tblCellMar>
        </w:tblPrEx>
        <w:trPr>
          <w:trHeight w:val="300"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8</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我的</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1.基本资料管理，可维护头像、姓名、身份信息、手机号等。</w:t>
            </w:r>
            <w:r>
              <w:rPr>
                <w:rFonts w:hint="eastAsia" w:asciiTheme="majorEastAsia" w:hAnsiTheme="majorEastAsia" w:eastAsiaTheme="majorEastAsia" w:cstheme="majorEastAsia"/>
                <w:color w:val="auto"/>
                <w:kern w:val="0"/>
                <w:sz w:val="24"/>
                <w:highlight w:val="none"/>
              </w:rPr>
              <w:br w:type="textWrapping"/>
            </w:r>
            <w:r>
              <w:rPr>
                <w:rFonts w:hint="eastAsia" w:asciiTheme="majorEastAsia" w:hAnsiTheme="majorEastAsia" w:eastAsiaTheme="majorEastAsia" w:cstheme="majorEastAsia"/>
                <w:color w:val="auto"/>
                <w:kern w:val="0"/>
                <w:sz w:val="24"/>
                <w:highlight w:val="none"/>
              </w:rPr>
              <w:t>2.登录、注销</w:t>
            </w:r>
          </w:p>
        </w:tc>
      </w:tr>
      <w:tr>
        <w:tblPrEx>
          <w:tblCellMar>
            <w:top w:w="0" w:type="dxa"/>
            <w:left w:w="108" w:type="dxa"/>
            <w:bottom w:w="0" w:type="dxa"/>
            <w:right w:w="108" w:type="dxa"/>
          </w:tblCellMar>
        </w:tblPrEx>
        <w:trPr>
          <w:trHeight w:val="378"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ind w:firstLine="480" w:firstLineChars="2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通讯拨号</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可在厂中厂、入驻单位等基本信息页面查看负责人、安全员联系方式，具备点击跳转到手机界面拨号的功能</w:t>
            </w:r>
          </w:p>
        </w:tc>
      </w:tr>
      <w:tr>
        <w:tblPrEx>
          <w:tblCellMar>
            <w:top w:w="0" w:type="dxa"/>
            <w:left w:w="108" w:type="dxa"/>
            <w:bottom w:w="0" w:type="dxa"/>
            <w:right w:w="108" w:type="dxa"/>
          </w:tblCellMar>
        </w:tblPrEx>
        <w:trPr>
          <w:trHeight w:val="471"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视频课程学习</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厂中厂企业安全责任人可在移动端对视频课程进行在线学习查看，对应的查看记录将同步存储，安监管理部门可实时查看厂中厂企业的学习情况。</w:t>
            </w:r>
          </w:p>
        </w:tc>
      </w:tr>
      <w:tr>
        <w:tblPrEx>
          <w:tblCellMar>
            <w:top w:w="0" w:type="dxa"/>
            <w:left w:w="108" w:type="dxa"/>
            <w:bottom w:w="0" w:type="dxa"/>
            <w:right w:w="108" w:type="dxa"/>
          </w:tblCellMar>
        </w:tblPrEx>
        <w:trPr>
          <w:trHeight w:val="201" w:hRule="atLeast"/>
          <w:jc w:val="center"/>
        </w:trPr>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11</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app基础</w:t>
            </w:r>
          </w:p>
        </w:tc>
        <w:tc>
          <w:tcPr>
            <w:tcW w:w="66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用户协议</w:t>
            </w:r>
            <w:r>
              <w:rPr>
                <w:rFonts w:hint="eastAsia" w:asciiTheme="majorEastAsia" w:hAnsiTheme="majorEastAsia" w:eastAsiaTheme="majorEastAsia" w:cstheme="majorEastAsia"/>
                <w:color w:val="auto"/>
                <w:kern w:val="0"/>
                <w:sz w:val="24"/>
                <w:highlight w:val="none"/>
              </w:rPr>
              <w:br w:type="textWrapping"/>
            </w:r>
            <w:r>
              <w:rPr>
                <w:rFonts w:hint="eastAsia" w:asciiTheme="majorEastAsia" w:hAnsiTheme="majorEastAsia" w:eastAsiaTheme="majorEastAsia" w:cstheme="majorEastAsia"/>
                <w:color w:val="auto"/>
                <w:kern w:val="0"/>
                <w:sz w:val="24"/>
                <w:highlight w:val="none"/>
              </w:rPr>
              <w:t>隐私协议：应用隐私协议说明</w:t>
            </w:r>
          </w:p>
        </w:tc>
      </w:tr>
    </w:tbl>
    <w:p>
      <w:pPr>
        <w:spacing w:line="400" w:lineRule="exact"/>
        <w:ind w:firstLine="480" w:firstLineChars="200"/>
        <w:rPr>
          <w:rFonts w:asciiTheme="majorEastAsia" w:hAnsiTheme="majorEastAsia" w:eastAsiaTheme="majorEastAsia" w:cstheme="majorEastAsia"/>
          <w:color w:val="auto"/>
          <w:sz w:val="24"/>
          <w:highlight w:val="none"/>
        </w:rPr>
      </w:pP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（二）商务要求是指取得采购标的的时间、地点、财务和服务要求，包括交付（实施）的时间（期限）和地点（范围），付款条件（进度和方法），包装和运输，售后服务，保险等。</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演示方式上传视频演示</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b/>
          <w:bCs/>
          <w:color w:val="auto"/>
          <w:highlight w:val="none"/>
        </w:rPr>
        <w:t>演示内容如下：</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（1）平台具备响水经济开发区地图3D展示内容。</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（2）支持响水经济开发区、岛瀛服饰、车间楼层多视角切换功能。</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（3）支持重点厂区建筑呈现效果3D展示。并演示岛瀛园区内漫游效果，内容流畅，界面清晰。</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（4）支持查看模拟消防点位分布情况，点击消防点位可查看消防点位信息。</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（5）操作便捷性：视频需展示设备列表数据，列表数据为模拟设备数据，并支持点击设备列表中模拟设备数据，跳转到三维设备模型所在的空间位置展示效果。</w:t>
      </w:r>
    </w:p>
    <w:p>
      <w:pPr>
        <w:tabs>
          <w:tab w:val="left" w:pos="645"/>
        </w:tabs>
        <w:spacing w:line="400" w:lineRule="exact"/>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（6）演示需展示全局动态光照，体现逼真、写实的场景渲染，当太阳光线从不同角度、不同位置照射到岛瀛服饰园区后，建筑物阴影和反射效果需根据太阳光线动态调整。</w:t>
      </w:r>
    </w:p>
    <w:p>
      <w:pPr>
        <w:pStyle w:val="12"/>
        <w:spacing w:beforeAutospacing="0" w:afterAutospacing="0" w:line="400" w:lineRule="exact"/>
        <w:ind w:firstLine="240" w:firstLineChars="1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（7）演示系统的访问方式，为满足高质量渲染要求，需采用服务端渲染方式，支持C/S架构与B/S架构切换，支持浏览器访问及客户端访问两种形式。</w:t>
      </w:r>
    </w:p>
    <w:p>
      <w:pPr>
        <w:pStyle w:val="12"/>
        <w:spacing w:beforeAutospacing="0" w:afterAutospacing="0" w:line="400" w:lineRule="exact"/>
        <w:ind w:firstLine="482"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本项目不接受进口产品投标</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13、采购标的对应的中小企业划分标准所属行业一览表</w:t>
      </w:r>
    </w:p>
    <w:tbl>
      <w:tblPr>
        <w:tblStyle w:val="13"/>
        <w:tblW w:w="6688" w:type="dxa"/>
        <w:jc w:val="center"/>
        <w:tblCellSpacing w:w="0" w:type="dxa"/>
        <w:tblLayout w:type="fixed"/>
        <w:tblCellMar>
          <w:top w:w="0" w:type="dxa"/>
          <w:left w:w="108" w:type="dxa"/>
          <w:bottom w:w="0" w:type="dxa"/>
          <w:right w:w="108" w:type="dxa"/>
        </w:tblCellMar>
      </w:tblPr>
      <w:tblGrid>
        <w:gridCol w:w="904"/>
        <w:gridCol w:w="2134"/>
        <w:gridCol w:w="3650"/>
      </w:tblGrid>
      <w:tr>
        <w:tblPrEx>
          <w:tblCellMar>
            <w:top w:w="0" w:type="dxa"/>
            <w:left w:w="108" w:type="dxa"/>
            <w:bottom w:w="0" w:type="dxa"/>
            <w:right w:w="108" w:type="dxa"/>
          </w:tblCellMar>
        </w:tblPrEx>
        <w:trPr>
          <w:tblCellSpacing w:w="0" w:type="dxa"/>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序号</w:t>
            </w:r>
          </w:p>
        </w:tc>
        <w:tc>
          <w:tcPr>
            <w:tcW w:w="213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采购标的</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对应中小企业划分标准所属行业</w:t>
            </w:r>
          </w:p>
        </w:tc>
      </w:tr>
      <w:tr>
        <w:tblPrEx>
          <w:tblCellMar>
            <w:top w:w="0" w:type="dxa"/>
            <w:left w:w="108" w:type="dxa"/>
            <w:bottom w:w="0" w:type="dxa"/>
            <w:right w:w="108" w:type="dxa"/>
          </w:tblCellMar>
        </w:tblPrEx>
        <w:trPr>
          <w:trHeight w:val="291" w:hRule="atLeast"/>
          <w:tblCellSpacing w:w="0" w:type="dxa"/>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p>
        </w:tc>
        <w:tc>
          <w:tcPr>
            <w:tcW w:w="213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经济开发区智慧园区平台“厂中厂”模块接入项目</w:t>
            </w:r>
          </w:p>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软件和信息技术服务业，根据《工业和信息化部、国家统计局、国家发展和改革委员会、财政部关于印发中小企业划型标准规定的通知》（工信部联企业[2011]300号）规定的划分标准填写。 </w:t>
            </w:r>
          </w:p>
        </w:tc>
      </w:tr>
      <w:tr>
        <w:tblPrEx>
          <w:tblCellMar>
            <w:top w:w="0" w:type="dxa"/>
            <w:left w:w="108" w:type="dxa"/>
            <w:bottom w:w="0" w:type="dxa"/>
            <w:right w:w="108" w:type="dxa"/>
          </w:tblCellMar>
        </w:tblPrEx>
        <w:trPr>
          <w:trHeight w:val="235" w:hRule="atLeast"/>
          <w:tblCellSpacing w:w="0" w:type="dxa"/>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p>
        </w:tc>
        <w:tc>
          <w:tcPr>
            <w:tcW w:w="213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222" w:hRule="atLeast"/>
          <w:tblCellSpacing w:w="0" w:type="dxa"/>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p>
        </w:tc>
        <w:tc>
          <w:tcPr>
            <w:tcW w:w="213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ind w:firstLine="480" w:firstLineChars="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pPr>
        <w:spacing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pPr>
        <w:pStyle w:val="12"/>
        <w:keepNext/>
        <w:spacing w:beforeAutospacing="0" w:afterAutospacing="0" w:line="560" w:lineRule="exact"/>
        <w:jc w:val="center"/>
        <w:rPr>
          <w:rFonts w:ascii="方正大标宋_GBK" w:hAnsi="方正大标宋_GBK" w:eastAsia="方正大标宋_GBK" w:cs="方正大标宋_GBK"/>
          <w:color w:val="auto"/>
          <w:highlight w:val="none"/>
        </w:rPr>
      </w:pPr>
      <w:r>
        <w:rPr>
          <w:rFonts w:hint="eastAsia" w:ascii="方正大标宋_GBK" w:hAnsi="方正大标宋_GBK" w:eastAsia="方正大标宋_GBK" w:cs="方正大标宋_GBK"/>
          <w:color w:val="auto"/>
          <w:sz w:val="44"/>
          <w:szCs w:val="44"/>
          <w:highlight w:val="none"/>
        </w:rPr>
        <w:t>第五章   评标方法与评标标准</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pPr>
        <w:pStyle w:val="12"/>
        <w:spacing w:beforeAutospacing="0" w:afterAutospacing="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政府采购政策功能落实</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1、小微型企业价格扣除</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（1）本项目对小型和微型企业产品给予</w:t>
      </w:r>
      <w:r>
        <w:rPr>
          <w:rFonts w:hint="eastAsia" w:asciiTheme="majorEastAsia" w:hAnsiTheme="majorEastAsia" w:eastAsiaTheme="majorEastAsia" w:cstheme="majorEastAsia"/>
          <w:color w:val="auto"/>
          <w:highlight w:val="none"/>
          <w:u w:val="single"/>
        </w:rPr>
        <w:t>20%</w:t>
      </w:r>
      <w:r>
        <w:rPr>
          <w:rFonts w:hint="eastAsia" w:asciiTheme="majorEastAsia" w:hAnsiTheme="majorEastAsia" w:eastAsiaTheme="majorEastAsia" w:cstheme="majorEastAsia"/>
          <w:color w:val="auto"/>
          <w:highlight w:val="none"/>
        </w:rPr>
        <w:t>的价格扣除，用扣除后的价格参与评审。</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（2）供应商需按照采购文件的要求提供相应的《小微企业声明函》。</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（3）企业标准请参照《关于印发中小企业划型标准规定的通知》（工信部联企业[2011]300号）文件规定自行填写。</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2、残疾人福利单位价格扣除</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（1）本项目对残疾人福利性单位视同小型、微型企业，给予</w:t>
      </w:r>
      <w:r>
        <w:rPr>
          <w:rFonts w:hint="eastAsia" w:asciiTheme="majorEastAsia" w:hAnsiTheme="majorEastAsia" w:eastAsiaTheme="majorEastAsia" w:cstheme="majorEastAsia"/>
          <w:color w:val="auto"/>
          <w:highlight w:val="none"/>
          <w:u w:val="single"/>
        </w:rPr>
        <w:t>20</w:t>
      </w:r>
      <w:r>
        <w:rPr>
          <w:rFonts w:hint="eastAsia" w:asciiTheme="majorEastAsia" w:hAnsiTheme="majorEastAsia" w:eastAsiaTheme="majorEastAsia" w:cstheme="majorEastAsia"/>
          <w:color w:val="auto"/>
          <w:highlight w:val="none"/>
        </w:rPr>
        <w:t>%的价格扣除。</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（2）残疾人福利单位需按照采购文件的要求提供《残疾人福利性单位声明函》。</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（3）残疾人福利单位标准请参照《关于促进残疾人就业政府采购政策的通知》（财库〔2017〕141号）。</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3、监狱和戒毒企业价格扣除</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本项目对监狱和戒毒企业（简称监狱企业）视同小型、微型企业，给（2）监狱企业参加政府采购活动时，需提供由省级以上监狱管理局、戒毒管理局(含新疆生产建设兵团)出具的属于监狱企业的证明文件。供应商如不提供上述证明文件，价格将不做相应扣除。</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（3）监狱企业标准请参照《关于政府采购支持监狱企业发展有关问题的通知》（财库[2014]68号）。</w:t>
      </w:r>
    </w:p>
    <w:p>
      <w:pPr>
        <w:pStyle w:val="12"/>
        <w:spacing w:beforeAutospacing="0" w:afterAutospacing="0" w:line="400" w:lineRule="exact"/>
        <w:ind w:firstLine="480"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4、残疾人福利单位、监狱企业属于小型、微型企业的，不重复享受政策。</w:t>
      </w:r>
    </w:p>
    <w:p>
      <w:pPr>
        <w:spacing w:line="400" w:lineRule="exact"/>
        <w:ind w:firstLine="480" w:firstLineChars="200"/>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kern w:val="0"/>
          <w:sz w:val="24"/>
          <w:highlight w:val="none"/>
        </w:rPr>
        <w:t>如属政府强制采购产品未提供认证证书的或认证证书提供不全的将视为未实质性响应采购要求</w:t>
      </w:r>
      <w:r>
        <w:rPr>
          <w:rFonts w:hint="eastAsia" w:asciiTheme="majorEastAsia" w:hAnsiTheme="majorEastAsia" w:eastAsiaTheme="majorEastAsia" w:cstheme="majorEastAsia"/>
          <w:i/>
          <w:color w:val="auto"/>
          <w:kern w:val="0"/>
          <w:sz w:val="24"/>
          <w:highlight w:val="none"/>
        </w:rPr>
        <w:t>。</w:t>
      </w:r>
      <w:r>
        <w:rPr>
          <w:rFonts w:hint="eastAsia" w:asciiTheme="majorEastAsia" w:hAnsiTheme="majorEastAsia" w:eastAsiaTheme="majorEastAsia" w:cstheme="majorEastAsia"/>
          <w:color w:val="auto"/>
          <w:kern w:val="0"/>
          <w:sz w:val="24"/>
          <w:highlight w:val="none"/>
        </w:rPr>
        <w:t>其他条件相同情况下，应当优先采购节能产品、环境标志产品。</w:t>
      </w:r>
    </w:p>
    <w:p>
      <w:pPr>
        <w:pStyle w:val="12"/>
        <w:spacing w:beforeAutospacing="0" w:afterAutospacing="0" w:line="400" w:lineRule="exact"/>
        <w:ind w:firstLine="482" w:firstLineChars="20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评标方法与评标标准</w:t>
      </w:r>
    </w:p>
    <w:tbl>
      <w:tblPr>
        <w:tblStyle w:val="13"/>
        <w:tblW w:w="0" w:type="auto"/>
        <w:jc w:val="center"/>
        <w:tblLayout w:type="fixed"/>
        <w:tblCellMar>
          <w:top w:w="0" w:type="dxa"/>
          <w:left w:w="108" w:type="dxa"/>
          <w:bottom w:w="0" w:type="dxa"/>
          <w:right w:w="108" w:type="dxa"/>
        </w:tblCellMar>
      </w:tblPr>
      <w:tblGrid>
        <w:gridCol w:w="644"/>
        <w:gridCol w:w="1084"/>
        <w:gridCol w:w="704"/>
        <w:gridCol w:w="6090"/>
      </w:tblGrid>
      <w:tr>
        <w:tblPrEx>
          <w:tblCellMar>
            <w:top w:w="0" w:type="dxa"/>
            <w:left w:w="108" w:type="dxa"/>
            <w:bottom w:w="0" w:type="dxa"/>
            <w:right w:w="108" w:type="dxa"/>
          </w:tblCellMar>
        </w:tblPrEx>
        <w:trPr>
          <w:trHeight w:val="652"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b/>
                <w:bCs/>
                <w:color w:val="auto"/>
                <w:kern w:val="0"/>
                <w:sz w:val="24"/>
                <w:highlight w:val="none"/>
              </w:rPr>
            </w:pPr>
            <w:r>
              <w:rPr>
                <w:rFonts w:hint="eastAsia" w:asciiTheme="majorEastAsia" w:hAnsiTheme="majorEastAsia" w:eastAsiaTheme="majorEastAsia" w:cstheme="majorEastAsia"/>
                <w:b/>
                <w:bCs/>
                <w:color w:val="auto"/>
                <w:kern w:val="0"/>
                <w:sz w:val="24"/>
                <w:highlight w:val="none"/>
              </w:rPr>
              <w:t>序号</w:t>
            </w:r>
          </w:p>
        </w:tc>
        <w:tc>
          <w:tcPr>
            <w:tcW w:w="108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b/>
                <w:bCs/>
                <w:color w:val="auto"/>
                <w:kern w:val="0"/>
                <w:sz w:val="24"/>
                <w:highlight w:val="none"/>
              </w:rPr>
            </w:pPr>
            <w:r>
              <w:rPr>
                <w:rFonts w:hint="eastAsia" w:asciiTheme="majorEastAsia" w:hAnsiTheme="majorEastAsia" w:eastAsiaTheme="majorEastAsia" w:cstheme="majorEastAsia"/>
                <w:b/>
                <w:bCs/>
                <w:color w:val="auto"/>
                <w:kern w:val="0"/>
                <w:sz w:val="24"/>
                <w:highlight w:val="none"/>
              </w:rPr>
              <w:t>类别</w:t>
            </w:r>
          </w:p>
        </w:tc>
        <w:tc>
          <w:tcPr>
            <w:tcW w:w="70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b/>
                <w:bCs/>
                <w:color w:val="auto"/>
                <w:kern w:val="0"/>
                <w:sz w:val="24"/>
                <w:highlight w:val="none"/>
              </w:rPr>
            </w:pPr>
            <w:r>
              <w:rPr>
                <w:rFonts w:hint="eastAsia" w:asciiTheme="majorEastAsia" w:hAnsiTheme="majorEastAsia" w:eastAsiaTheme="majorEastAsia" w:cstheme="majorEastAsia"/>
                <w:b/>
                <w:bCs/>
                <w:color w:val="auto"/>
                <w:kern w:val="0"/>
                <w:sz w:val="24"/>
                <w:highlight w:val="none"/>
              </w:rPr>
              <w:t>分值</w:t>
            </w:r>
          </w:p>
        </w:tc>
        <w:tc>
          <w:tcPr>
            <w:tcW w:w="6090"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b/>
                <w:bCs/>
                <w:color w:val="auto"/>
                <w:kern w:val="0"/>
                <w:sz w:val="24"/>
                <w:highlight w:val="none"/>
              </w:rPr>
            </w:pPr>
            <w:r>
              <w:rPr>
                <w:rFonts w:hint="eastAsia" w:asciiTheme="majorEastAsia" w:hAnsiTheme="majorEastAsia" w:eastAsiaTheme="majorEastAsia" w:cstheme="majorEastAsia"/>
                <w:b/>
                <w:bCs/>
                <w:color w:val="auto"/>
                <w:kern w:val="0"/>
                <w:sz w:val="24"/>
                <w:highlight w:val="none"/>
              </w:rPr>
              <w:t>评分细则</w:t>
            </w:r>
          </w:p>
        </w:tc>
      </w:tr>
      <w:tr>
        <w:tblPrEx>
          <w:tblCellMar>
            <w:top w:w="0" w:type="dxa"/>
            <w:left w:w="108" w:type="dxa"/>
            <w:bottom w:w="0" w:type="dxa"/>
            <w:right w:w="108" w:type="dxa"/>
          </w:tblCellMar>
        </w:tblPrEx>
        <w:trPr>
          <w:trHeight w:val="2122"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w:t>
            </w:r>
          </w:p>
        </w:tc>
        <w:tc>
          <w:tcPr>
            <w:tcW w:w="108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投标报价</w:t>
            </w:r>
          </w:p>
        </w:tc>
        <w:tc>
          <w:tcPr>
            <w:tcW w:w="70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30分</w:t>
            </w:r>
          </w:p>
        </w:tc>
        <w:tc>
          <w:tcPr>
            <w:tcW w:w="6090"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采用低价优先法计算，即满足招标文件要求且投标价格最低的投标报价为评标基准价，其价格分为满分。其他投标人的价格分统一按照下列公式计算：投标报价得分=(评标基准价／投标报价)×30。投标人投标报价得分按“四舍五入”精确到小数点后两位。</w:t>
            </w:r>
            <w:r>
              <w:rPr>
                <w:rFonts w:hint="eastAsia" w:asciiTheme="majorEastAsia" w:hAnsiTheme="majorEastAsia" w:eastAsiaTheme="majorEastAsia" w:cstheme="majorEastAsia"/>
                <w:color w:val="auto"/>
                <w:kern w:val="0"/>
                <w:sz w:val="24"/>
                <w:highlight w:val="none"/>
              </w:rPr>
              <w:br w:type="textWrapping"/>
            </w:r>
            <w:r>
              <w:rPr>
                <w:rFonts w:hint="eastAsia" w:asciiTheme="majorEastAsia" w:hAnsiTheme="majorEastAsia" w:eastAsiaTheme="majorEastAsia" w:cstheme="majorEastAsia"/>
                <w:color w:val="auto"/>
                <w:kern w:val="0"/>
                <w:sz w:val="24"/>
                <w:highlight w:val="none"/>
              </w:rPr>
              <w:t>本项目对小型和微型企业产品给予20%的扣除价格，用扣除后的价格参与评审。</w:t>
            </w:r>
          </w:p>
        </w:tc>
      </w:tr>
      <w:tr>
        <w:tblPrEx>
          <w:tblCellMar>
            <w:top w:w="0" w:type="dxa"/>
            <w:left w:w="108" w:type="dxa"/>
            <w:bottom w:w="0" w:type="dxa"/>
            <w:right w:w="108" w:type="dxa"/>
          </w:tblCellMar>
        </w:tblPrEx>
        <w:trPr>
          <w:trHeight w:val="443"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产品技术参数</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28分</w:t>
            </w:r>
          </w:p>
        </w:tc>
        <w:tc>
          <w:tcPr>
            <w:tcW w:w="6090"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产品技术性能（28分）：评委依据招标文件要求对投标人投标设备系统具体功能、主要技术性能、配置、技术参数、及投标设备规格、技术配置参数、设备</w:t>
            </w:r>
            <w:r>
              <w:rPr>
                <w:rFonts w:hint="eastAsia" w:asciiTheme="majorEastAsia" w:hAnsiTheme="majorEastAsia" w:eastAsiaTheme="majorEastAsia" w:cstheme="majorEastAsia"/>
                <w:color w:val="auto"/>
                <w:kern w:val="0"/>
                <w:sz w:val="24"/>
                <w:highlight w:val="none"/>
              </w:rPr>
              <w:t>配置等内容进行评审。★技术指标作为重要指标，每偏离一项扣</w:t>
            </w:r>
            <w:r>
              <w:rPr>
                <w:rFonts w:hint="eastAsia" w:asciiTheme="majorEastAsia" w:hAnsiTheme="majorEastAsia" w:eastAsiaTheme="majorEastAsia" w:cstheme="majorEastAsia"/>
                <w:color w:val="auto"/>
                <w:kern w:val="0"/>
                <w:sz w:val="24"/>
                <w:highlight w:val="none"/>
                <w:lang w:val="en-US" w:eastAsia="zh-CN"/>
              </w:rPr>
              <w:t>1</w:t>
            </w:r>
            <w:r>
              <w:rPr>
                <w:rFonts w:hint="eastAsia" w:asciiTheme="majorEastAsia" w:hAnsiTheme="majorEastAsia" w:eastAsiaTheme="majorEastAsia" w:cstheme="majorEastAsia"/>
                <w:color w:val="auto"/>
                <w:kern w:val="0"/>
                <w:sz w:val="24"/>
                <w:highlight w:val="none"/>
              </w:rPr>
              <w:t>分，非★技术指标每偏离一项扣0.</w:t>
            </w:r>
            <w:r>
              <w:rPr>
                <w:rFonts w:hint="eastAsia" w:asciiTheme="majorEastAsia" w:hAnsiTheme="majorEastAsia" w:eastAsiaTheme="majorEastAsia" w:cstheme="majorEastAsia"/>
                <w:color w:val="auto"/>
                <w:kern w:val="0"/>
                <w:sz w:val="24"/>
                <w:highlight w:val="none"/>
                <w:lang w:val="en-US" w:eastAsia="zh-CN"/>
              </w:rPr>
              <w:t>2</w:t>
            </w:r>
            <w:r>
              <w:rPr>
                <w:rFonts w:hint="eastAsia" w:asciiTheme="majorEastAsia" w:hAnsiTheme="majorEastAsia" w:eastAsiaTheme="majorEastAsia" w:cstheme="majorEastAsia"/>
                <w:color w:val="auto"/>
                <w:kern w:val="0"/>
                <w:sz w:val="24"/>
                <w:highlight w:val="none"/>
              </w:rPr>
              <w:t>分，直至扣完本项</w:t>
            </w:r>
            <w:r>
              <w:rPr>
                <w:rFonts w:hint="eastAsia" w:asciiTheme="majorEastAsia" w:hAnsiTheme="majorEastAsia" w:eastAsiaTheme="majorEastAsia" w:cstheme="majorEastAsia"/>
                <w:color w:val="auto"/>
                <w:sz w:val="24"/>
                <w:highlight w:val="none"/>
              </w:rPr>
              <w:t>得分。（相同设备的相同评分条款不重复扣分）</w:t>
            </w:r>
          </w:p>
        </w:tc>
      </w:tr>
      <w:tr>
        <w:tblPrEx>
          <w:tblCellMar>
            <w:top w:w="0" w:type="dxa"/>
            <w:left w:w="108" w:type="dxa"/>
            <w:bottom w:w="0" w:type="dxa"/>
            <w:right w:w="108" w:type="dxa"/>
          </w:tblCellMar>
        </w:tblPrEx>
        <w:trPr>
          <w:trHeight w:val="792"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业绩</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5分</w:t>
            </w:r>
          </w:p>
        </w:tc>
        <w:tc>
          <w:tcPr>
            <w:tcW w:w="6090"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投标人2021年1月1日以来(以合同签订时间为准)具有类似项目业绩的，每提供1份合同的得1分，最多得5分。(提供合同原件扫描件，否则本项不得分)。</w:t>
            </w:r>
          </w:p>
        </w:tc>
      </w:tr>
      <w:tr>
        <w:tblPrEx>
          <w:tblCellMar>
            <w:top w:w="0" w:type="dxa"/>
            <w:left w:w="108" w:type="dxa"/>
            <w:bottom w:w="0" w:type="dxa"/>
            <w:right w:w="108" w:type="dxa"/>
          </w:tblCellMar>
        </w:tblPrEx>
        <w:trPr>
          <w:trHeight w:val="792"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4 </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总体实施方案</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15分</w:t>
            </w:r>
          </w:p>
        </w:tc>
        <w:tc>
          <w:tcPr>
            <w:tcW w:w="6090"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投标人需提供项目总体实施方案：</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（1）提供DEM、DOM数据底图相关解决方案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3</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1.5</w:t>
            </w:r>
            <w:r>
              <w:rPr>
                <w:rFonts w:hint="eastAsia" w:asciiTheme="majorEastAsia" w:hAnsiTheme="majorEastAsia" w:eastAsiaTheme="majorEastAsia" w:cstheme="majorEastAsia"/>
                <w:color w:val="auto"/>
                <w:kern w:val="0"/>
                <w:sz w:val="24"/>
                <w:highlight w:val="none"/>
              </w:rPr>
              <w:t>分;不满足项目需求或未提供的，不得分。（2）提供数字孪生可视化平台中还原建筑物外观的解决方案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3</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1.5</w:t>
            </w:r>
            <w:r>
              <w:rPr>
                <w:rFonts w:hint="eastAsia" w:asciiTheme="majorEastAsia" w:hAnsiTheme="majorEastAsia" w:eastAsiaTheme="majorEastAsia" w:cstheme="majorEastAsia"/>
                <w:color w:val="auto"/>
                <w:kern w:val="0"/>
                <w:sz w:val="24"/>
                <w:highlight w:val="none"/>
              </w:rPr>
              <w:t>分;不满足项目需求或未提供的，不得分。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（3）提供数字孪生可视化平台建筑空间中展示设备点位分布及其设备信息的解决方案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3</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1.5</w:t>
            </w:r>
            <w:r>
              <w:rPr>
                <w:rFonts w:hint="eastAsia" w:asciiTheme="majorEastAsia" w:hAnsiTheme="majorEastAsia" w:eastAsiaTheme="majorEastAsia" w:cstheme="majorEastAsia"/>
                <w:color w:val="auto"/>
                <w:kern w:val="0"/>
                <w:sz w:val="24"/>
                <w:highlight w:val="none"/>
              </w:rPr>
              <w:t>分;不满足项目需求或未提供的，不得分。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（4）提供数字孪生平台中设备数据与真实设备数据关联的解决方案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3</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1.5</w:t>
            </w:r>
            <w:r>
              <w:rPr>
                <w:rFonts w:hint="eastAsia" w:asciiTheme="majorEastAsia" w:hAnsiTheme="majorEastAsia" w:eastAsiaTheme="majorEastAsia" w:cstheme="majorEastAsia"/>
                <w:color w:val="auto"/>
                <w:kern w:val="0"/>
                <w:sz w:val="24"/>
                <w:highlight w:val="none"/>
              </w:rPr>
              <w:t>分;不满足项目需求或未提供的，不得分。</w:t>
            </w:r>
          </w:p>
          <w:p>
            <w:pPr>
              <w:widowControl/>
              <w:spacing w:line="400" w:lineRule="exact"/>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（5）提供消防物联管理平台具体方案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3</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1.5</w:t>
            </w:r>
            <w:r>
              <w:rPr>
                <w:rFonts w:hint="eastAsia" w:asciiTheme="majorEastAsia" w:hAnsiTheme="majorEastAsia" w:eastAsiaTheme="majorEastAsia" w:cstheme="majorEastAsia"/>
                <w:color w:val="auto"/>
                <w:kern w:val="0"/>
                <w:sz w:val="24"/>
                <w:highlight w:val="none"/>
              </w:rPr>
              <w:t>分;不满足项目需求或未提供的，不得分。</w:t>
            </w:r>
            <w:r>
              <w:rPr>
                <w:rFonts w:hint="eastAsia" w:asciiTheme="majorEastAsia" w:hAnsiTheme="majorEastAsia" w:eastAsiaTheme="majorEastAsia" w:cstheme="majorEastAsia"/>
                <w:color w:val="auto"/>
                <w:kern w:val="0"/>
                <w:sz w:val="24"/>
                <w:highlight w:val="none"/>
                <w:lang w:val="en-US" w:eastAsia="zh-CN"/>
              </w:rPr>
              <w:t xml:space="preserve"> </w:t>
            </w:r>
          </w:p>
        </w:tc>
      </w:tr>
      <w:tr>
        <w:tblPrEx>
          <w:tblCellMar>
            <w:top w:w="0" w:type="dxa"/>
            <w:left w:w="108" w:type="dxa"/>
            <w:bottom w:w="0" w:type="dxa"/>
            <w:right w:w="108" w:type="dxa"/>
          </w:tblCellMar>
        </w:tblPrEx>
        <w:trPr>
          <w:trHeight w:val="1243"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 xml:space="preserve"> </w:t>
            </w:r>
            <w:r>
              <w:rPr>
                <w:rFonts w:hint="eastAsia" w:asciiTheme="majorEastAsia" w:hAnsiTheme="majorEastAsia" w:eastAsiaTheme="majorEastAsia" w:cstheme="majorEastAsia"/>
                <w:color w:val="auto"/>
                <w:sz w:val="24"/>
                <w:highlight w:val="none"/>
              </w:rPr>
              <w:t xml:space="preserve">  5</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录屏</w:t>
            </w:r>
          </w:p>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演示</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14分</w:t>
            </w:r>
          </w:p>
        </w:tc>
        <w:tc>
          <w:tcPr>
            <w:tcW w:w="6090"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录屏演示：</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根据提供的附件材料，以响水经济开发区岛瀛服饰为试点，制作三维演示DEMO并进行录屏展示，时长不超过10分钟。根据平台功能、操作便捷性、展示效果、界面功能点、构件属性信息等方面进行打分。具体评价内容包括：</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（1）平台具备响水经济开发区地图3D展示内容，符合要求的得2分。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（2）支持响水经济开发区、岛瀛服饰、车间楼层多视角切换功能，符合要求的得2分。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（3）支持重点厂区建筑呈现效果3D展示。并演示岛瀛园区内漫游效果，内容流畅，界面清晰，符合要求的得2分。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（4）支持查看模拟消防点位分布情况，点击消防点位可查看消防点位信息，符合要求的得2分。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（5）操作便捷性：视频需展示设备列表数据，列表数据为模拟设备数据，并支持点击设备列表中模拟设备数据，跳转到三维设备模型所在的空间位置展示效果。符合要求的得2分。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（6）演示需展示全局动态光照，体现逼真、写实的场景渲染，当太阳光线从不同角度、不同位置照射到岛瀛服饰园区后，建筑物阴影和反射效果需根据太阳光线动态调整，符合要求得2分。</w:t>
            </w:r>
          </w:p>
          <w:p>
            <w:pPr>
              <w:widowControl/>
              <w:spacing w:line="400" w:lineRule="exact"/>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（7）演示系统的访问方式，为满足高质量渲染要求，需采用服务端渲染方式，支持C/S架构与B/S架构切换，支持浏览器访问及客户端访问两种形式，符合要求得2分。</w:t>
            </w:r>
          </w:p>
        </w:tc>
      </w:tr>
      <w:tr>
        <w:tblPrEx>
          <w:tblCellMar>
            <w:top w:w="0" w:type="dxa"/>
            <w:left w:w="108" w:type="dxa"/>
            <w:bottom w:w="0" w:type="dxa"/>
            <w:right w:w="108" w:type="dxa"/>
          </w:tblCellMar>
        </w:tblPrEx>
        <w:trPr>
          <w:trHeight w:val="792"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6</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售后服务</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6090"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240" w:firstLineChars="100"/>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lang w:val="en-US" w:eastAsia="zh-CN"/>
              </w:rPr>
              <w:t>1.</w:t>
            </w:r>
            <w:r>
              <w:rPr>
                <w:rFonts w:hint="eastAsia" w:asciiTheme="majorEastAsia" w:hAnsiTheme="majorEastAsia" w:eastAsiaTheme="majorEastAsia" w:cstheme="majorEastAsia"/>
                <w:color w:val="auto"/>
                <w:kern w:val="0"/>
                <w:sz w:val="24"/>
                <w:highlight w:val="none"/>
              </w:rPr>
              <w:t>产品售后服务方案</w:t>
            </w:r>
            <w:r>
              <w:rPr>
                <w:rFonts w:hint="eastAsia" w:asciiTheme="majorEastAsia" w:hAnsiTheme="majorEastAsia" w:eastAsiaTheme="majorEastAsia" w:cstheme="majorEastAsia"/>
                <w:color w:val="auto"/>
                <w:kern w:val="0"/>
                <w:sz w:val="24"/>
                <w:highlight w:val="none"/>
                <w:lang w:eastAsia="zh-CN"/>
              </w:rPr>
              <w:t>：</w:t>
            </w:r>
            <w:r>
              <w:rPr>
                <w:rFonts w:hint="eastAsia" w:asciiTheme="majorEastAsia" w:hAnsiTheme="majorEastAsia" w:eastAsiaTheme="majorEastAsia" w:cstheme="majorEastAsia"/>
                <w:color w:val="auto"/>
                <w:kern w:val="0"/>
                <w:sz w:val="24"/>
                <w:highlight w:val="none"/>
              </w:rPr>
              <w:t>需求理解完整、准确，优于招标文件要求的,得</w:t>
            </w:r>
            <w:r>
              <w:rPr>
                <w:rFonts w:hint="eastAsia" w:asciiTheme="majorEastAsia" w:hAnsiTheme="majorEastAsia" w:eastAsiaTheme="majorEastAsia" w:cstheme="majorEastAsia"/>
                <w:color w:val="auto"/>
                <w:kern w:val="0"/>
                <w:sz w:val="24"/>
                <w:highlight w:val="none"/>
                <w:lang w:val="en-US" w:eastAsia="zh-CN"/>
              </w:rPr>
              <w:t>2</w:t>
            </w:r>
            <w:r>
              <w:rPr>
                <w:rFonts w:hint="eastAsia" w:asciiTheme="majorEastAsia" w:hAnsiTheme="majorEastAsia" w:eastAsiaTheme="majorEastAsia" w:cstheme="majorEastAsia"/>
                <w:color w:val="auto"/>
                <w:kern w:val="0"/>
                <w:sz w:val="24"/>
                <w:highlight w:val="none"/>
              </w:rPr>
              <w:t>分;符合招标文件要求的得</w:t>
            </w:r>
            <w:r>
              <w:rPr>
                <w:rFonts w:hint="eastAsia" w:asciiTheme="majorEastAsia" w:hAnsiTheme="majorEastAsia" w:eastAsiaTheme="majorEastAsia" w:cstheme="majorEastAsia"/>
                <w:color w:val="auto"/>
                <w:kern w:val="0"/>
                <w:sz w:val="24"/>
                <w:highlight w:val="none"/>
                <w:lang w:val="en-US" w:eastAsia="zh-CN"/>
              </w:rPr>
              <w:t>1</w:t>
            </w:r>
            <w:r>
              <w:rPr>
                <w:rFonts w:hint="eastAsia" w:asciiTheme="majorEastAsia" w:hAnsiTheme="majorEastAsia" w:eastAsiaTheme="majorEastAsia" w:cstheme="majorEastAsia"/>
                <w:color w:val="auto"/>
                <w:kern w:val="0"/>
                <w:sz w:val="24"/>
                <w:highlight w:val="none"/>
              </w:rPr>
              <w:t>分;不满足项目需求或未提供的，不得分。</w:t>
            </w:r>
          </w:p>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2.</w:t>
            </w:r>
            <w:r>
              <w:rPr>
                <w:rFonts w:hint="eastAsia" w:asciiTheme="majorEastAsia" w:hAnsiTheme="majorEastAsia" w:eastAsiaTheme="majorEastAsia" w:cstheme="majorEastAsia"/>
                <w:color w:val="auto"/>
                <w:sz w:val="24"/>
                <w:highlight w:val="none"/>
              </w:rPr>
              <w:t>设备出现故障后，投标人承诺：承诺2小时内障碍修复得3分，承诺2-4小时内障碍修复得2分，承诺4-6小时内障碍修复得1分，承诺6-8小时内障碍修复得0.5分，其余不得分。投标人提供书面加盖投标人公章的承诺函（承诺函格式自拟）本项最高得</w:t>
            </w: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分，未提供不得分。</w:t>
            </w:r>
          </w:p>
          <w:p>
            <w:pPr>
              <w:tabs>
                <w:tab w:val="left" w:pos="645"/>
              </w:tabs>
              <w:spacing w:line="400" w:lineRule="exac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投标人承诺：有本地化服务团队，投标人提供书面加盖投标人公章的承诺函（承诺函格式自拟），本项最高得</w:t>
            </w:r>
            <w:r>
              <w:rPr>
                <w:rFonts w:hint="eastAsia" w:asciiTheme="majorEastAsia" w:hAnsiTheme="majorEastAsia" w:eastAsiaTheme="majorEastAsia" w:cstheme="majorEastAsia"/>
                <w:b/>
                <w:bCs/>
                <w:color w:val="auto"/>
                <w:sz w:val="24"/>
                <w:highlight w:val="none"/>
                <w:lang w:val="en-US" w:eastAsia="zh-CN"/>
              </w:rPr>
              <w:t>1</w:t>
            </w:r>
            <w:r>
              <w:rPr>
                <w:rFonts w:hint="eastAsia" w:asciiTheme="majorEastAsia" w:hAnsiTheme="majorEastAsia" w:eastAsiaTheme="majorEastAsia" w:cstheme="majorEastAsia"/>
                <w:color w:val="auto"/>
                <w:sz w:val="24"/>
                <w:highlight w:val="none"/>
              </w:rPr>
              <w:t>分，未提供不得分。</w:t>
            </w:r>
          </w:p>
        </w:tc>
      </w:tr>
      <w:tr>
        <w:tblPrEx>
          <w:tblCellMar>
            <w:top w:w="0" w:type="dxa"/>
            <w:left w:w="108" w:type="dxa"/>
            <w:bottom w:w="0" w:type="dxa"/>
            <w:right w:w="108" w:type="dxa"/>
          </w:tblCellMar>
        </w:tblPrEx>
        <w:trPr>
          <w:trHeight w:val="4147"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 xml:space="preserve">  </w:t>
            </w:r>
            <w:r>
              <w:rPr>
                <w:rFonts w:hint="eastAsia" w:asciiTheme="majorEastAsia" w:hAnsiTheme="majorEastAsia" w:eastAsiaTheme="majorEastAsia" w:cstheme="majorEastAsia"/>
                <w:color w:val="auto"/>
                <w:sz w:val="24"/>
                <w:highlight w:val="none"/>
              </w:rPr>
              <w:t xml:space="preserve">  7</w:t>
            </w:r>
          </w:p>
        </w:tc>
        <w:tc>
          <w:tcPr>
            <w:tcW w:w="108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imes New Roman" w:hAnsi="Times New Roman" w:eastAsia="宋体" w:cs="宋体"/>
                <w:color w:val="auto"/>
                <w:highlight w:val="none"/>
              </w:rPr>
              <w:t>节能环保</w:t>
            </w:r>
          </w:p>
        </w:tc>
        <w:tc>
          <w:tcPr>
            <w:tcW w:w="704" w:type="dxa"/>
            <w:tcBorders>
              <w:top w:val="single" w:color="000000" w:sz="4" w:space="0"/>
              <w:left w:val="single" w:color="000000" w:sz="4" w:space="0"/>
              <w:bottom w:val="single" w:color="000000" w:sz="4" w:space="0"/>
              <w:right w:val="single" w:color="000000" w:sz="4" w:space="0"/>
            </w:tcBorders>
            <w:vAlign w:val="center"/>
          </w:tcPr>
          <w:p>
            <w:pPr>
              <w:tabs>
                <w:tab w:val="left" w:pos="645"/>
              </w:tabs>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6090" w:type="dxa"/>
            <w:tcBorders>
              <w:top w:val="single" w:color="000000" w:sz="4" w:space="0"/>
              <w:left w:val="single" w:color="000000" w:sz="4" w:space="0"/>
              <w:bottom w:val="single" w:color="000000" w:sz="4" w:space="0"/>
              <w:right w:val="single" w:color="000000" w:sz="4" w:space="0"/>
            </w:tcBorders>
            <w:vAlign w:val="center"/>
          </w:tcPr>
          <w:p>
            <w:pPr>
              <w:pStyle w:val="12"/>
              <w:spacing w:beforeAutospacing="0" w:afterAutospacing="0" w:line="460" w:lineRule="exact"/>
              <w:ind w:firstLine="480" w:firstLineChars="200"/>
              <w:jc w:val="both"/>
              <w:rPr>
                <w:rFonts w:ascii="Times New Roman" w:hAnsi="Times New Roman"/>
                <w:color w:val="auto"/>
                <w:highlight w:val="none"/>
              </w:rPr>
            </w:pPr>
            <w:r>
              <w:rPr>
                <w:rFonts w:hint="eastAsia" w:ascii="Times New Roman" w:hAnsi="Times New Roman" w:eastAsia="宋体" w:cs="宋体"/>
                <w:color w:val="auto"/>
                <w:highlight w:val="none"/>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pPr>
              <w:pStyle w:val="12"/>
              <w:spacing w:beforeAutospacing="0" w:afterAutospacing="0" w:line="460" w:lineRule="exact"/>
              <w:ind w:firstLine="480" w:firstLineChars="200"/>
              <w:jc w:val="both"/>
              <w:rPr>
                <w:rFonts w:ascii="Times New Roman" w:hAnsi="Times New Roman"/>
                <w:color w:val="auto"/>
                <w:highlight w:val="none"/>
              </w:rPr>
            </w:pPr>
            <w:r>
              <w:rPr>
                <w:rFonts w:hint="eastAsia" w:ascii="Times New Roman" w:hAnsi="Times New Roman" w:eastAsia="宋体" w:cs="宋体"/>
                <w:color w:val="auto"/>
                <w:highlight w:val="none"/>
              </w:rPr>
              <w:t>2.投标产品属于财政部、生态环境部公布的“环境标志产品品目清单”范围内的，投标人提供国家确定的认证机构出具的、处于有效期内的该环保产品认证证书复印件的，有1个得0.5分，最多得1分。</w:t>
            </w:r>
          </w:p>
          <w:p>
            <w:pPr>
              <w:tabs>
                <w:tab w:val="left" w:pos="645"/>
              </w:tabs>
              <w:spacing w:line="400" w:lineRule="exact"/>
              <w:rPr>
                <w:rFonts w:asciiTheme="majorEastAsia" w:hAnsiTheme="majorEastAsia" w:eastAsiaTheme="majorEastAsia" w:cstheme="majorEastAsia"/>
                <w:color w:val="auto"/>
                <w:sz w:val="24"/>
                <w:highlight w:val="none"/>
              </w:rPr>
            </w:pPr>
          </w:p>
        </w:tc>
      </w:tr>
    </w:tbl>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adjustRightInd w:val="0"/>
        <w:snapToGrid w:val="0"/>
        <w:spacing w:line="360" w:lineRule="auto"/>
        <w:ind w:firstLine="240" w:firstLineChars="100"/>
        <w:rPr>
          <w:rFonts w:asciiTheme="majorEastAsia" w:hAnsiTheme="majorEastAsia" w:eastAsiaTheme="majorEastAsia" w:cstheme="majorEastAsia"/>
          <w:color w:val="auto"/>
          <w:highlight w:val="none"/>
        </w:rPr>
      </w:pPr>
      <w:r>
        <w:rPr>
          <w:rFonts w:hint="eastAsia" w:ascii="宋体" w:hAnsi="宋体" w:cs="仿宋"/>
          <w:color w:val="auto"/>
          <w:sz w:val="24"/>
          <w:highlight w:val="none"/>
        </w:rPr>
        <w:t>注：1.投标人得分分值计算保留小数点后两位，小数点后第三位“四舍五入”。</w:t>
      </w:r>
    </w:p>
    <w:p>
      <w:pPr>
        <w:pStyle w:val="12"/>
        <w:spacing w:beforeAutospacing="0" w:afterAutospacing="0" w:line="460" w:lineRule="exact"/>
        <w:ind w:firstLine="480" w:firstLineChars="200"/>
        <w:jc w:val="both"/>
        <w:rPr>
          <w:rFonts w:ascii="Times New Roman" w:hAnsi="Times New Roman" w:eastAsia="宋体"/>
          <w:color w:val="auto"/>
          <w:highlight w:val="none"/>
        </w:rPr>
      </w:pPr>
      <w:r>
        <w:rPr>
          <w:rFonts w:hint="eastAsia" w:ascii="宋体" w:hAnsi="宋体" w:cs="仿宋"/>
          <w:color w:val="auto"/>
          <w:highlight w:val="none"/>
        </w:rPr>
        <w:t>2.本项目核心产品：</w:t>
      </w:r>
      <w:r>
        <w:rPr>
          <w:rFonts w:hint="eastAsia" w:ascii="宋体" w:hAnsi="宋体" w:cs="仿宋"/>
          <w:b/>
          <w:bCs/>
          <w:color w:val="auto"/>
          <w:highlight w:val="none"/>
        </w:rPr>
        <w:t>烟火检测摄像机</w:t>
      </w:r>
      <w:r>
        <w:rPr>
          <w:rFonts w:hint="eastAsia" w:ascii="宋体" w:hAnsi="宋体" w:cs="仿宋"/>
          <w:color w:val="auto"/>
          <w:highlight w:val="none"/>
        </w:rPr>
        <w:t>。</w:t>
      </w:r>
      <w:r>
        <w:rPr>
          <w:rFonts w:hint="eastAsia" w:ascii="宋体" w:hAnsi="宋体" w:eastAsia="宋体" w:cs="仿宋"/>
          <w:color w:val="auto"/>
          <w:highlight w:val="none"/>
        </w:rPr>
        <w:t>核心产品提供相同品牌产品且通过资格审查、符合性审查的不同投标人参加本合同项下投标的，按一家投标人计算，评审后得分最高的同品牌投标人获得中标人推荐资格；评审得分相同的，由采购人委托评标委员会采取随机抽取方式确定一个投标人获得中标人推荐资格，其他同品牌投标人不作为中标候选人。</w:t>
      </w:r>
    </w:p>
    <w:p>
      <w:pPr>
        <w:adjustRightInd w:val="0"/>
        <w:snapToGrid w:val="0"/>
        <w:spacing w:line="360" w:lineRule="auto"/>
        <w:ind w:left="239" w:leftChars="114" w:firstLine="480" w:firstLineChars="200"/>
        <w:rPr>
          <w:rFonts w:ascii="宋体" w:hAnsi="宋体" w:eastAsia="宋体" w:cs="仿宋"/>
          <w:color w:val="auto"/>
          <w:sz w:val="24"/>
          <w:highlight w:val="none"/>
        </w:rPr>
      </w:pPr>
    </w:p>
    <w:p>
      <w:pPr>
        <w:rPr>
          <w:rFonts w:asciiTheme="majorEastAsia" w:hAnsiTheme="majorEastAsia" w:eastAsiaTheme="majorEastAsia" w:cstheme="majorEastAsia"/>
          <w:color w:val="auto"/>
          <w:sz w:val="44"/>
          <w:szCs w:val="44"/>
          <w:highlight w:val="none"/>
        </w:rPr>
      </w:pPr>
    </w:p>
    <w:p>
      <w:pPr>
        <w:rPr>
          <w:rFonts w:asciiTheme="majorEastAsia" w:hAnsiTheme="majorEastAsia" w:eastAsiaTheme="majorEastAsia" w:cstheme="majorEastAsia"/>
          <w:color w:val="auto"/>
          <w:sz w:val="44"/>
          <w:szCs w:val="44"/>
          <w:highlight w:val="none"/>
        </w:rPr>
      </w:pPr>
    </w:p>
    <w:p>
      <w:pPr>
        <w:rPr>
          <w:rFonts w:asciiTheme="majorEastAsia" w:hAnsiTheme="majorEastAsia" w:eastAsiaTheme="majorEastAsia" w:cstheme="majorEastAsia"/>
          <w:color w:val="auto"/>
          <w:sz w:val="44"/>
          <w:szCs w:val="44"/>
          <w:highlight w:val="none"/>
        </w:rPr>
      </w:pPr>
    </w:p>
    <w:p>
      <w:pPr>
        <w:pStyle w:val="12"/>
        <w:keepNext/>
        <w:spacing w:beforeAutospacing="0" w:afterAutospacing="0"/>
        <w:jc w:val="center"/>
        <w:rPr>
          <w:rFonts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lang w:val="en-US" w:eastAsia="zh-CN"/>
        </w:rPr>
        <w:t xml:space="preserve">  </w:t>
      </w:r>
    </w:p>
    <w:p>
      <w:pPr>
        <w:pStyle w:val="12"/>
        <w:keepNext/>
        <w:spacing w:beforeAutospacing="0" w:afterAutospacing="0"/>
        <w:jc w:val="center"/>
        <w:rPr>
          <w:rFonts w:ascii="方正大标宋_GBK" w:hAnsi="方正大标宋_GBK" w:eastAsia="方正大标宋_GBK" w:cs="方正大标宋_GBK"/>
          <w:color w:val="auto"/>
          <w:sz w:val="44"/>
          <w:szCs w:val="44"/>
          <w:highlight w:val="none"/>
        </w:rPr>
      </w:pPr>
      <w:bookmarkStart w:id="176" w:name="_Toc49090576"/>
      <w:bookmarkEnd w:id="176"/>
      <w:bookmarkStart w:id="177" w:name="_Toc120614282"/>
      <w:bookmarkEnd w:id="177"/>
      <w:r>
        <w:rPr>
          <w:rFonts w:hint="eastAsia" w:ascii="方正大标宋_GBK" w:hAnsi="方正大标宋_GBK" w:eastAsia="方正大标宋_GBK" w:cs="方正大标宋_GBK"/>
          <w:color w:val="auto"/>
          <w:sz w:val="44"/>
          <w:szCs w:val="44"/>
          <w:highlight w:val="none"/>
        </w:rPr>
        <w:t>第六章  投标文件格式</w:t>
      </w:r>
    </w:p>
    <w:p>
      <w:pPr>
        <w:pStyle w:val="12"/>
        <w:keepNext/>
        <w:spacing w:beforeAutospacing="0" w:afterAutospacing="0"/>
        <w:jc w:val="center"/>
        <w:rPr>
          <w:rFonts w:ascii="方正大标宋_GBK" w:hAnsi="方正大标宋_GBK" w:eastAsia="方正大标宋_GBK" w:cs="方正大标宋_GBK"/>
          <w:color w:val="auto"/>
          <w:sz w:val="44"/>
          <w:szCs w:val="44"/>
          <w:highlight w:val="none"/>
        </w:rPr>
      </w:pPr>
    </w:p>
    <w:p>
      <w:pPr>
        <w:pStyle w:val="12"/>
        <w:keepNext/>
        <w:spacing w:beforeAutospacing="0" w:afterAutospacing="0"/>
        <w:jc w:val="center"/>
        <w:rPr>
          <w:rFonts w:ascii="方正大标宋_GBK" w:hAnsi="方正大标宋_GBK" w:eastAsia="方正大标宋_GBK" w:cs="方正大标宋_GBK"/>
          <w:color w:val="auto"/>
          <w:sz w:val="44"/>
          <w:szCs w:val="44"/>
          <w:highlight w:val="none"/>
        </w:rPr>
      </w:pPr>
    </w:p>
    <w:p>
      <w:pPr>
        <w:pStyle w:val="12"/>
        <w:spacing w:beforeAutospacing="0" w:afterAutospacing="0"/>
        <w:jc w:val="center"/>
        <w:rPr>
          <w:rFonts w:asciiTheme="majorEastAsia" w:hAnsiTheme="majorEastAsia" w:eastAsiaTheme="majorEastAsia" w:cstheme="majorEastAsia"/>
          <w:bCs/>
          <w:color w:val="auto"/>
          <w:highlight w:val="none"/>
        </w:rPr>
      </w:pPr>
      <w:r>
        <w:rPr>
          <w:rFonts w:hint="eastAsia" w:asciiTheme="majorEastAsia" w:hAnsiTheme="majorEastAsia" w:eastAsiaTheme="majorEastAsia" w:cstheme="majorEastAsia"/>
          <w:bCs/>
          <w:color w:val="auto"/>
          <w:sz w:val="72"/>
          <w:szCs w:val="72"/>
          <w:highlight w:val="none"/>
        </w:rPr>
        <w:t>投 标 文件</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1084"/>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项目名称：</w:t>
      </w:r>
      <w:r>
        <w:rPr>
          <w:rFonts w:hint="eastAsia" w:asciiTheme="majorEastAsia" w:hAnsiTheme="majorEastAsia" w:eastAsiaTheme="majorEastAsia" w:cstheme="majorEastAsia"/>
          <w:b/>
          <w:color w:val="auto"/>
          <w:sz w:val="36"/>
          <w:szCs w:val="36"/>
          <w:highlight w:val="none"/>
          <w:u w:val="single"/>
        </w:rPr>
        <w:t>             </w:t>
      </w:r>
    </w:p>
    <w:p>
      <w:pPr>
        <w:pStyle w:val="12"/>
        <w:spacing w:beforeAutospacing="0" w:afterAutospacing="0" w:line="400" w:lineRule="exact"/>
        <w:ind w:firstLine="1084"/>
        <w:jc w:val="both"/>
        <w:rPr>
          <w:rFonts w:asciiTheme="majorEastAsia" w:hAnsiTheme="majorEastAsia" w:eastAsiaTheme="majorEastAsia" w:cstheme="majorEastAsia"/>
          <w:b/>
          <w:color w:val="auto"/>
          <w:sz w:val="36"/>
          <w:szCs w:val="36"/>
          <w:highlight w:val="none"/>
        </w:rPr>
      </w:pPr>
    </w:p>
    <w:p>
      <w:pPr>
        <w:pStyle w:val="12"/>
        <w:spacing w:beforeAutospacing="0" w:afterAutospacing="0" w:line="400" w:lineRule="exact"/>
        <w:ind w:firstLine="1084"/>
        <w:jc w:val="both"/>
        <w:rPr>
          <w:rFonts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rPr>
        <w:t>项目编号：</w:t>
      </w:r>
      <w:r>
        <w:rPr>
          <w:rFonts w:hint="eastAsia" w:asciiTheme="majorEastAsia" w:hAnsiTheme="majorEastAsia" w:eastAsiaTheme="majorEastAsia" w:cstheme="majorEastAsia"/>
          <w:b/>
          <w:color w:val="auto"/>
          <w:sz w:val="36"/>
          <w:szCs w:val="36"/>
          <w:highlight w:val="none"/>
          <w:u w:val="single"/>
        </w:rPr>
        <w:t>             </w:t>
      </w:r>
    </w:p>
    <w:p>
      <w:pPr>
        <w:pStyle w:val="12"/>
        <w:spacing w:beforeAutospacing="0" w:afterAutospacing="0" w:line="400" w:lineRule="exact"/>
        <w:ind w:firstLine="1084"/>
        <w:jc w:val="both"/>
        <w:rPr>
          <w:rFonts w:asciiTheme="majorEastAsia" w:hAnsiTheme="majorEastAsia" w:eastAsiaTheme="majorEastAsia" w:cstheme="majorEastAsia"/>
          <w:b/>
          <w:color w:val="auto"/>
          <w:sz w:val="36"/>
          <w:szCs w:val="36"/>
          <w:highlight w:val="none"/>
        </w:rPr>
      </w:pPr>
    </w:p>
    <w:p>
      <w:pPr>
        <w:pStyle w:val="12"/>
        <w:spacing w:beforeAutospacing="0" w:afterAutospacing="0" w:line="400" w:lineRule="exact"/>
        <w:ind w:firstLine="1084"/>
        <w:jc w:val="both"/>
        <w:rPr>
          <w:rFonts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rPr>
        <w:t>投标人名称：</w:t>
      </w:r>
      <w:r>
        <w:rPr>
          <w:rFonts w:hint="eastAsia" w:asciiTheme="majorEastAsia" w:hAnsiTheme="majorEastAsia" w:eastAsiaTheme="majorEastAsia" w:cstheme="majorEastAsia"/>
          <w:b/>
          <w:color w:val="auto"/>
          <w:sz w:val="36"/>
          <w:szCs w:val="36"/>
          <w:highlight w:val="none"/>
          <w:u w:val="single"/>
        </w:rPr>
        <w:t>（加盖CA电子公章）</w:t>
      </w:r>
    </w:p>
    <w:p>
      <w:pPr>
        <w:pStyle w:val="12"/>
        <w:spacing w:beforeAutospacing="0" w:afterAutospacing="0" w:line="400" w:lineRule="exact"/>
        <w:ind w:firstLine="1084"/>
        <w:jc w:val="both"/>
        <w:rPr>
          <w:rFonts w:asciiTheme="majorEastAsia" w:hAnsiTheme="majorEastAsia" w:eastAsiaTheme="majorEastAsia" w:cstheme="majorEastAsia"/>
          <w:b/>
          <w:color w:val="auto"/>
          <w:sz w:val="36"/>
          <w:szCs w:val="36"/>
          <w:highlight w:val="none"/>
        </w:rPr>
      </w:pPr>
    </w:p>
    <w:p>
      <w:pPr>
        <w:pStyle w:val="12"/>
        <w:spacing w:beforeAutospacing="0" w:afterAutospacing="0" w:line="400" w:lineRule="exact"/>
        <w:ind w:firstLine="1084"/>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日   期：</w:t>
      </w:r>
      <w:r>
        <w:rPr>
          <w:rFonts w:hint="eastAsia" w:asciiTheme="majorEastAsia" w:hAnsiTheme="majorEastAsia" w:eastAsiaTheme="majorEastAsia" w:cstheme="majorEastAsia"/>
          <w:b/>
          <w:color w:val="auto"/>
          <w:sz w:val="36"/>
          <w:szCs w:val="36"/>
          <w:highlight w:val="none"/>
          <w:u w:val="singl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投标文件目录</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left="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一、法人或者其他组织的营业执照等证明文件，自然人的身份证明</w:t>
      </w:r>
    </w:p>
    <w:p>
      <w:pPr>
        <w:tabs>
          <w:tab w:val="left" w:pos="1331"/>
        </w:tabs>
        <w:spacing w:line="400" w:lineRule="exact"/>
        <w:ind w:firstLine="480" w:firstLineChars="200"/>
        <w:jc w:val="left"/>
        <w:rPr>
          <w:rFonts w:asciiTheme="majorEastAsia" w:hAnsiTheme="majorEastAsia" w:eastAsiaTheme="majorEastAsia" w:cstheme="majorEastAsia"/>
          <w:i/>
          <w:color w:val="auto"/>
          <w:kern w:val="0"/>
          <w:sz w:val="24"/>
          <w:highlight w:val="none"/>
          <w:u w:val="single"/>
        </w:rPr>
      </w:pPr>
      <w:r>
        <w:rPr>
          <w:rFonts w:hint="eastAsia" w:asciiTheme="majorEastAsia" w:hAnsiTheme="majorEastAsia" w:eastAsiaTheme="majorEastAsia" w:cstheme="majorEastAsia"/>
          <w:i/>
          <w:color w:val="auto"/>
          <w:kern w:val="0"/>
          <w:sz w:val="24"/>
          <w:highlight w:val="none"/>
          <w:u w:val="single"/>
        </w:rPr>
        <w:t>二、上一年度的财务状况报表（至少提供资产负债表、利润表、现金流量表，</w:t>
      </w:r>
    </w:p>
    <w:p>
      <w:pPr>
        <w:pStyle w:val="12"/>
        <w:spacing w:beforeAutospacing="0" w:afterAutospacing="0" w:line="400" w:lineRule="exact"/>
        <w:ind w:left="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投标人成立不满一年无需提供）</w:t>
      </w:r>
    </w:p>
    <w:p>
      <w:pPr>
        <w:pStyle w:val="12"/>
        <w:spacing w:beforeAutospacing="0" w:afterAutospacing="0" w:line="400" w:lineRule="exact"/>
        <w:ind w:left="480"/>
        <w:jc w:val="both"/>
        <w:rPr>
          <w:rFonts w:asciiTheme="majorEastAsia" w:hAnsiTheme="majorEastAsia" w:eastAsiaTheme="majorEastAsia" w:cstheme="majorEastAsia"/>
          <w:i/>
          <w:color w:val="auto"/>
          <w:highlight w:val="none"/>
          <w:u w:val="single"/>
        </w:rPr>
      </w:pPr>
      <w:r>
        <w:rPr>
          <w:rFonts w:hint="eastAsia" w:asciiTheme="majorEastAsia" w:hAnsiTheme="majorEastAsia" w:eastAsiaTheme="majorEastAsia" w:cstheme="majorEastAsia"/>
          <w:i/>
          <w:color w:val="auto"/>
          <w:highlight w:val="none"/>
          <w:u w:val="single"/>
        </w:rPr>
        <w:t>三、具备履行合同所必需的设备和专业技术能力的书面声明</w:t>
      </w:r>
    </w:p>
    <w:p>
      <w:pPr>
        <w:pStyle w:val="12"/>
        <w:spacing w:beforeAutospacing="0" w:afterAutospacing="0" w:line="400" w:lineRule="exact"/>
        <w:ind w:left="480"/>
        <w:jc w:val="both"/>
        <w:rPr>
          <w:rFonts w:asciiTheme="majorEastAsia" w:hAnsiTheme="majorEastAsia" w:eastAsiaTheme="majorEastAsia" w:cstheme="majorEastAsia"/>
          <w:i/>
          <w:color w:val="auto"/>
          <w:highlight w:val="none"/>
          <w:u w:val="single"/>
        </w:rPr>
      </w:pPr>
      <w:r>
        <w:rPr>
          <w:rFonts w:hint="eastAsia" w:asciiTheme="majorEastAsia" w:hAnsiTheme="majorEastAsia" w:eastAsiaTheme="majorEastAsia" w:cstheme="majorEastAsia"/>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五、参加政府采购活动前 3 年内在经营活动中没有重大违法记录的书面声明</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六、特定资格要求的证明文件（如果本项目设置特定资格要求，则需要提供）</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七、法人授权书</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highlight w:val="none"/>
          <w:u w:val="single"/>
        </w:rPr>
        <w:t>八、投标函</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九、小微企业声明函</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十、残疾人福利性单位声明函</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十一、联合体协议</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十二、投标分项报价表</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十三、技术要求响应及偏离表</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十四、商务要求响应及偏离表</w:t>
      </w:r>
    </w:p>
    <w:p>
      <w:pPr>
        <w:pStyle w:val="12"/>
        <w:spacing w:beforeAutospacing="0" w:afterAutospacing="0" w:line="400" w:lineRule="exact"/>
        <w:ind w:firstLine="480"/>
        <w:jc w:val="both"/>
        <w:rPr>
          <w:rFonts w:asciiTheme="majorEastAsia" w:hAnsiTheme="majorEastAsia" w:eastAsiaTheme="majorEastAsia" w:cstheme="majorEastAsia"/>
          <w:i/>
          <w:color w:val="auto"/>
          <w:highlight w:val="none"/>
          <w:u w:val="single"/>
        </w:rPr>
      </w:pPr>
      <w:r>
        <w:rPr>
          <w:rFonts w:hint="eastAsia" w:asciiTheme="majorEastAsia" w:hAnsiTheme="majorEastAsia" w:eastAsiaTheme="majorEastAsia" w:cstheme="majorEastAsia"/>
          <w:i/>
          <w:color w:val="auto"/>
          <w:highlight w:val="none"/>
          <w:u w:val="single"/>
        </w:rPr>
        <w:t>十五、开标一览表</w:t>
      </w:r>
    </w:p>
    <w:p>
      <w:pPr>
        <w:widowControl/>
        <w:spacing w:line="400" w:lineRule="exact"/>
        <w:ind w:firstLine="480" w:firstLineChars="200"/>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十六、技术方案、服务承诺、培训承诺等</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十七、盐城市政府采购事前信用承诺书</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spacing w:line="400" w:lineRule="exact"/>
        <w:rPr>
          <w:rFonts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一、法人或者其他组织的营业执照等证明文件，自然人的身份证明</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二、上一年度的财务状况报表</w:t>
      </w:r>
    </w:p>
    <w:p>
      <w:pPr>
        <w:pStyle w:val="12"/>
        <w:spacing w:beforeAutospacing="0" w:afterAutospacing="0" w:line="400" w:lineRule="exact"/>
        <w:ind w:firstLine="48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投标人成立不满一年无需提供</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numPr>
          <w:ilvl w:val="0"/>
          <w:numId w:val="9"/>
        </w:numPr>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具备履行合同所必需的设备和专业技术能力的</w:t>
      </w: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书面声明</w:t>
      </w:r>
    </w:p>
    <w:p>
      <w:pPr>
        <w:pStyle w:val="12"/>
        <w:spacing w:beforeAutospacing="0" w:afterAutospacing="0" w:line="400" w:lineRule="exact"/>
        <w:ind w:firstLine="492"/>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92"/>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我单位郑重声明：我单位具备履行本项采购合同所必需的设备和专业技术能力，为履行本项采购合同我公司具备如下主要设备和主要专业技术能力：</w:t>
      </w:r>
    </w:p>
    <w:p>
      <w:pPr>
        <w:pStyle w:val="12"/>
        <w:spacing w:beforeAutospacing="0" w:afterAutospacing="0" w:line="400" w:lineRule="exact"/>
        <w:ind w:firstLine="492"/>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主要设备有：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主要专业技术能力有：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四、依法缴纳税收和社会保障资金的相关材料</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提供提交投标文件截止时间前一年内至少一个月依法缴纳税收及缴纳社会保障资金的证明材料。投标人依法享受缓缴、免缴税收、社会保障资金的提供证明材料。</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五、参加政府采购活动前 3 年内在经营活动中没有重大违法记录的书面声明</w:t>
      </w:r>
    </w:p>
    <w:p>
      <w:pPr>
        <w:pStyle w:val="12"/>
        <w:spacing w:beforeAutospacing="0" w:afterAutospacing="0" w:line="400" w:lineRule="exact"/>
        <w:jc w:val="both"/>
        <w:rPr>
          <w:rFonts w:asciiTheme="majorEastAsia" w:hAnsiTheme="majorEastAsia" w:eastAsiaTheme="majorEastAsia" w:cstheme="majorEastAsia"/>
          <w:b/>
          <w:color w:val="auto"/>
          <w:sz w:val="44"/>
          <w:szCs w:val="44"/>
          <w:highlight w:val="none"/>
        </w:rPr>
      </w:pPr>
      <w:r>
        <w:rPr>
          <w:rFonts w:hint="eastAsia" w:asciiTheme="majorEastAsia" w:hAnsiTheme="majorEastAsia" w:eastAsiaTheme="majorEastAsia" w:cstheme="majorEastAsia"/>
          <w:b/>
          <w:color w:val="auto"/>
          <w:sz w:val="44"/>
          <w:szCs w:val="44"/>
          <w:highlight w:val="none"/>
        </w:rPr>
        <w:t>                </w:t>
      </w:r>
    </w:p>
    <w:p>
      <w:pPr>
        <w:pStyle w:val="12"/>
        <w:spacing w:beforeAutospacing="0" w:afterAutospacing="0" w:line="400" w:lineRule="exact"/>
        <w:ind w:firstLine="3092" w:firstLineChars="700"/>
        <w:jc w:val="both"/>
        <w:rPr>
          <w:rFonts w:asciiTheme="majorEastAsia" w:hAnsiTheme="majorEastAsia" w:eastAsiaTheme="majorEastAsia" w:cstheme="majorEastAsia"/>
          <w:b/>
          <w:color w:val="auto"/>
          <w:sz w:val="44"/>
          <w:szCs w:val="44"/>
          <w:highlight w:val="none"/>
        </w:rPr>
      </w:pPr>
    </w:p>
    <w:p>
      <w:pPr>
        <w:pStyle w:val="12"/>
        <w:spacing w:beforeAutospacing="0" w:afterAutospacing="0"/>
        <w:ind w:firstLine="3092" w:firstLineChars="700"/>
        <w:jc w:val="both"/>
        <w:rPr>
          <w:rFonts w:asciiTheme="majorEastAsia" w:hAnsiTheme="majorEastAsia" w:eastAsiaTheme="majorEastAsia" w:cstheme="majorEastAsia"/>
          <w:b/>
          <w:color w:val="auto"/>
          <w:sz w:val="44"/>
          <w:szCs w:val="44"/>
          <w:highlight w:val="none"/>
        </w:rPr>
      </w:pPr>
    </w:p>
    <w:p>
      <w:pPr>
        <w:pStyle w:val="12"/>
        <w:spacing w:beforeAutospacing="0" w:afterAutospacing="0"/>
        <w:ind w:firstLine="3092" w:firstLineChars="7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声  明</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六、特定资格要求的证明文件</w:t>
      </w: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如果本项目申请人的特定资格要求中要求提供的，必须提供。</w:t>
      </w:r>
    </w:p>
    <w:p>
      <w:pPr>
        <w:pStyle w:val="12"/>
        <w:spacing w:beforeAutospacing="0" w:afterAutospacing="0" w:line="400" w:lineRule="exact"/>
        <w:jc w:val="center"/>
        <w:rPr>
          <w:rFonts w:asciiTheme="majorEastAsia" w:hAnsiTheme="majorEastAsia" w:eastAsiaTheme="majorEastAsia" w:cstheme="majorEastAsia"/>
          <w:i/>
          <w:color w:val="auto"/>
          <w:sz w:val="32"/>
          <w:szCs w:val="32"/>
          <w:highlight w:val="none"/>
          <w:u w:val="single"/>
        </w:rPr>
      </w:pPr>
    </w:p>
    <w:p>
      <w:pPr>
        <w:pStyle w:val="12"/>
        <w:spacing w:beforeAutospacing="0" w:afterAutospacing="0" w:line="400" w:lineRule="exact"/>
        <w:jc w:val="center"/>
        <w:rPr>
          <w:rFonts w:asciiTheme="majorEastAsia" w:hAnsiTheme="majorEastAsia" w:eastAsiaTheme="majorEastAsia" w:cstheme="majorEastAsia"/>
          <w:i/>
          <w:color w:val="auto"/>
          <w:sz w:val="32"/>
          <w:szCs w:val="32"/>
          <w:highlight w:val="none"/>
          <w:u w:val="single"/>
        </w:rPr>
      </w:pPr>
    </w:p>
    <w:p>
      <w:pPr>
        <w:pStyle w:val="12"/>
        <w:spacing w:beforeAutospacing="0" w:afterAutospacing="0" w:line="400" w:lineRule="exact"/>
        <w:jc w:val="center"/>
        <w:rPr>
          <w:rFonts w:asciiTheme="majorEastAsia" w:hAnsiTheme="majorEastAsia" w:eastAsiaTheme="majorEastAsia" w:cstheme="majorEastAsia"/>
          <w:i/>
          <w:color w:val="auto"/>
          <w:sz w:val="32"/>
          <w:szCs w:val="32"/>
          <w:highlight w:val="none"/>
          <w:u w:val="single"/>
        </w:rPr>
      </w:pPr>
    </w:p>
    <w:p>
      <w:pPr>
        <w:rPr>
          <w:rFonts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br w:type="page"/>
      </w:r>
    </w:p>
    <w:p>
      <w:pPr>
        <w:pStyle w:val="12"/>
        <w:spacing w:beforeAutospacing="0" w:afterAutospacing="0" w:line="400" w:lineRule="exact"/>
        <w:ind w:firstLine="321"/>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七、法人授权书</w:t>
      </w:r>
    </w:p>
    <w:p>
      <w:pPr>
        <w:pStyle w:val="12"/>
        <w:spacing w:beforeAutospacing="0" w:afterAutospacing="0" w:line="400" w:lineRule="exact"/>
        <w:jc w:val="both"/>
        <w:rPr>
          <w:rFonts w:asciiTheme="majorEastAsia" w:hAnsiTheme="majorEastAsia" w:eastAsiaTheme="majorEastAsia" w:cstheme="majorEastAsia"/>
          <w:b/>
          <w:color w:val="auto"/>
          <w:sz w:val="32"/>
          <w:szCs w:val="32"/>
          <w:highlight w:val="none"/>
        </w:rPr>
      </w:pPr>
    </w:p>
    <w:p>
      <w:pPr>
        <w:pStyle w:val="12"/>
        <w:tabs>
          <w:tab w:val="left" w:pos="360"/>
        </w:tabs>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本授权书声明：____________（投标人名称）授权________________（被授权人的姓名）为我方就JSZC-</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号项目采购活动的合法代理人，以本单位名义全权处理一切与该项目采购有关的事务。</w:t>
      </w:r>
    </w:p>
    <w:p>
      <w:pPr>
        <w:pStyle w:val="12"/>
        <w:tabs>
          <w:tab w:val="left" w:pos="360"/>
        </w:tabs>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本授权书于______年____月____日起生效，特此声明。</w:t>
      </w:r>
    </w:p>
    <w:p>
      <w:pPr>
        <w:pStyle w:val="12"/>
        <w:tabs>
          <w:tab w:val="left" w:pos="360"/>
        </w:tabs>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被授权人身份证号码：</w:t>
      </w:r>
      <w:r>
        <w:rPr>
          <w:rFonts w:hint="eastAsia" w:asciiTheme="majorEastAsia" w:hAnsiTheme="majorEastAsia" w:eastAsiaTheme="majorEastAsia" w:cstheme="majorEastAsia"/>
          <w:color w:val="auto"/>
          <w:highlight w:val="none"/>
          <w:u w:val="single"/>
        </w:rPr>
        <w:t xml:space="preserve">                             </w:t>
      </w:r>
    </w:p>
    <w:p>
      <w:pPr>
        <w:pStyle w:val="12"/>
        <w:tabs>
          <w:tab w:val="left" w:pos="360"/>
        </w:tabs>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被授权人联系电话：（手机）</w:t>
      </w:r>
      <w:r>
        <w:rPr>
          <w:rFonts w:hint="eastAsia" w:asciiTheme="majorEastAsia" w:hAnsiTheme="majorEastAsia" w:eastAsiaTheme="majorEastAsia" w:cstheme="majorEastAsia"/>
          <w:color w:val="auto"/>
          <w:highlight w:val="none"/>
          <w:u w:val="single"/>
        </w:rPr>
        <w:t xml:space="preserve">              </w:t>
      </w:r>
    </w:p>
    <w:p>
      <w:pPr>
        <w:pStyle w:val="12"/>
        <w:tabs>
          <w:tab w:val="left" w:pos="360"/>
        </w:tabs>
        <w:spacing w:beforeAutospacing="0" w:afterAutospacing="0" w:line="400" w:lineRule="exact"/>
        <w:ind w:firstLine="12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授权单位名称：</w:t>
      </w:r>
      <w:r>
        <w:rPr>
          <w:rFonts w:hint="eastAsia" w:asciiTheme="majorEastAsia" w:hAnsiTheme="majorEastAsia" w:eastAsiaTheme="majorEastAsia" w:cstheme="majorEastAsia"/>
          <w:color w:val="auto"/>
          <w:highlight w:val="none"/>
          <w:u w:val="single"/>
        </w:rPr>
        <w:t>（加盖CA电子公章）</w:t>
      </w:r>
    </w:p>
    <w:p>
      <w:pPr>
        <w:pStyle w:val="12"/>
        <w:tabs>
          <w:tab w:val="left" w:pos="360"/>
        </w:tabs>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单位地址：</w:t>
      </w:r>
      <w:r>
        <w:rPr>
          <w:rFonts w:hint="eastAsia" w:asciiTheme="majorEastAsia" w:hAnsiTheme="majorEastAsia" w:eastAsiaTheme="majorEastAsia" w:cstheme="majorEastAsia"/>
          <w:color w:val="auto"/>
          <w:highlight w:val="none"/>
          <w:u w:val="single"/>
        </w:rPr>
        <w:t xml:space="preserve">                                         </w:t>
      </w:r>
    </w:p>
    <w:p>
      <w:pPr>
        <w:pStyle w:val="12"/>
        <w:tabs>
          <w:tab w:val="left" w:pos="360"/>
        </w:tabs>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日期：</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ind w:firstLine="42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keepNext/>
        <w:keepLines/>
        <w:spacing w:beforeAutospacing="0" w:afterAutospacing="0" w:line="400" w:lineRule="exact"/>
        <w:ind w:firstLine="339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br w:type="page"/>
      </w:r>
      <w:r>
        <w:rPr>
          <w:rFonts w:hint="eastAsia" w:asciiTheme="majorEastAsia" w:hAnsiTheme="majorEastAsia" w:eastAsiaTheme="majorEastAsia" w:cstheme="majorEastAsia"/>
          <w:b/>
          <w:color w:val="auto"/>
          <w:sz w:val="32"/>
          <w:szCs w:val="32"/>
          <w:highlight w:val="none"/>
        </w:rPr>
        <w:t> 八、投标函</w:t>
      </w:r>
    </w:p>
    <w:p>
      <w:pPr>
        <w:pStyle w:val="12"/>
        <w:spacing w:beforeAutospacing="0" w:afterAutospacing="0" w:line="400" w:lineRule="exact"/>
        <w:rPr>
          <w:rFonts w:asciiTheme="majorEastAsia" w:hAnsiTheme="majorEastAsia" w:eastAsiaTheme="majorEastAsia" w:cstheme="majorEastAsia"/>
          <w:color w:val="auto"/>
          <w:highlight w:val="none"/>
        </w:rPr>
      </w:pPr>
    </w:p>
    <w:p>
      <w:pPr>
        <w:pStyle w:val="12"/>
        <w:spacing w:beforeAutospacing="0" w:afterAutospacing="0"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致：江苏响水经济开发区管理委员会</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根据贵方的JSZC-***</w:t>
      </w:r>
      <w:r>
        <w:rPr>
          <w:rFonts w:hint="eastAsia" w:asciiTheme="majorEastAsia" w:hAnsiTheme="majorEastAsia" w:eastAsiaTheme="majorEastAsia" w:cstheme="majorEastAsia"/>
          <w:b/>
          <w:color w:val="auto"/>
          <w:sz w:val="36"/>
          <w:szCs w:val="36"/>
          <w:highlight w:val="none"/>
          <w:u w:val="single"/>
        </w:rPr>
        <w:t xml:space="preserve">            </w:t>
      </w:r>
      <w:r>
        <w:rPr>
          <w:rFonts w:hint="eastAsia" w:asciiTheme="majorEastAsia" w:hAnsiTheme="majorEastAsia" w:eastAsiaTheme="majorEastAsia" w:cstheme="majorEastAsia"/>
          <w:color w:val="auto"/>
          <w:highlight w:val="none"/>
        </w:rPr>
        <w:t>号招标文件，正式授权下述签字人_________________(姓名)代表我方______________（投标人的名称），全权处理本次项目投标的有关事宜。</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据此函，__________签字人兹宣布同意如下：</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1.按招标文件规定的各项要求，向买方提供所需货物（包含与货物相关的服务）。</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2.我们完全理解贵方不一定将合同授予最低报价的投标人。</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3.我们已详细审核全部招标文件及其有效补充文件，我们知道必须放弃提出含糊不清或误解问题的权利。</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4.我们同意从规定的开标日期起遵循本投标文件，并在规定的投标有效期期满之前均具有约束力。</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5.同意向贵方提供贵方可能另外要求的与投标有关的任何证据或资料，并保证我方已提供和将要提供的文件是真实的、准确的。</w:t>
      </w:r>
    </w:p>
    <w:p>
      <w:pPr>
        <w:pStyle w:val="12"/>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6.一旦我方中标,我方将根据招标文件的规定，严格履行合同的责任和义务,并保证在招标文件规定的时间完成项目，交付买方验收、使用。</w:t>
      </w:r>
    </w:p>
    <w:p>
      <w:pPr>
        <w:pStyle w:val="12"/>
        <w:spacing w:beforeAutospacing="0" w:afterAutospacing="0" w:line="400" w:lineRule="exact"/>
        <w:ind w:left="425"/>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7.与本投标有关的正式通讯地址为：</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地          址：</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          编：</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电          话：</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传          真：</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投标人开户行：</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账          号：</w:t>
      </w:r>
    </w:p>
    <w:p>
      <w:pPr>
        <w:pStyle w:val="12"/>
        <w:spacing w:beforeAutospacing="0" w:afterAutospacing="0" w:line="400" w:lineRule="exact"/>
        <w:ind w:left="420"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期：________年____月____日</w:t>
      </w: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p>
    <w:p>
      <w:pPr>
        <w:pStyle w:val="12"/>
        <w:spacing w:beforeAutospacing="0" w:afterAutospacing="0" w:line="400" w:lineRule="exact"/>
        <w:ind w:firstLine="24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spacing w:line="400" w:lineRule="exact"/>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ind w:firstLine="321"/>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九、小微企业声明函（货物）</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本公司（联合体）郑重声明，根据《政府采购促进中小企业发展管理办法》(财库[2020]46号)的规定，本公司（联合体）参加江苏响水经济开发区管理委员会组织的采购编号为</w:t>
      </w:r>
      <w:r>
        <w:rPr>
          <w:rFonts w:hint="eastAsia" w:asciiTheme="majorEastAsia" w:hAnsiTheme="majorEastAsia" w:eastAsiaTheme="majorEastAsia" w:cstheme="majorEastAsia"/>
          <w:color w:val="auto"/>
          <w:highlight w:val="none"/>
          <w:u w:val="single"/>
        </w:rPr>
        <w:t>***</w:t>
      </w:r>
      <w:r>
        <w:rPr>
          <w:rFonts w:hint="eastAsia" w:asciiTheme="majorEastAsia" w:hAnsiTheme="majorEastAsia" w:eastAsiaTheme="majorEastAsia" w:cstheme="majorEastAsia"/>
          <w:color w:val="auto"/>
          <w:highlight w:val="none"/>
        </w:rPr>
        <w:t>，</w:t>
      </w:r>
      <w:r>
        <w:rPr>
          <w:rFonts w:hint="eastAsia" w:asciiTheme="majorEastAsia" w:hAnsiTheme="majorEastAsia" w:eastAsiaTheme="majorEastAsia" w:cstheme="majorEastAsia"/>
          <w:color w:val="auto"/>
          <w:highlight w:val="none"/>
          <w:u w:val="single"/>
        </w:rPr>
        <w:t>（项目名称）</w:t>
      </w:r>
      <w:r>
        <w:rPr>
          <w:rFonts w:hint="eastAsia" w:asciiTheme="majorEastAsia" w:hAnsiTheme="majorEastAsia" w:eastAsiaTheme="majorEastAsia" w:cstheme="majorEastAsia"/>
          <w:color w:val="auto"/>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u w:val="single"/>
        </w:rPr>
        <w:t>（标的名称）</w:t>
      </w:r>
      <w:r>
        <w:rPr>
          <w:rFonts w:hint="eastAsia" w:asciiTheme="majorEastAsia" w:hAnsiTheme="majorEastAsia" w:eastAsiaTheme="majorEastAsia" w:cstheme="majorEastAsia"/>
          <w:i/>
          <w:color w:val="auto"/>
          <w:highlight w:val="none"/>
        </w:rPr>
        <w:t>，</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行业；制造商为</w:t>
      </w:r>
      <w:r>
        <w:rPr>
          <w:rFonts w:hint="eastAsia" w:asciiTheme="majorEastAsia" w:hAnsiTheme="majorEastAsia" w:eastAsiaTheme="majorEastAsia" w:cstheme="majorEastAsia"/>
          <w:color w:val="auto"/>
          <w:highlight w:val="none"/>
          <w:u w:val="single"/>
        </w:rPr>
        <w:t>（企业名称）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（小型企业、微型企业）；</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u w:val="single"/>
        </w:rPr>
        <w:t>（标的名称）</w:t>
      </w:r>
      <w:r>
        <w:rPr>
          <w:rFonts w:hint="eastAsia" w:asciiTheme="majorEastAsia" w:hAnsiTheme="majorEastAsia" w:eastAsiaTheme="majorEastAsia" w:cstheme="majorEastAsia"/>
          <w:i/>
          <w:color w:val="auto"/>
          <w:highlight w:val="none"/>
        </w:rPr>
        <w:t>，</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行业；制造商为</w:t>
      </w:r>
      <w:r>
        <w:rPr>
          <w:rFonts w:hint="eastAsia" w:asciiTheme="majorEastAsia" w:hAnsiTheme="majorEastAsia" w:eastAsiaTheme="majorEastAsia" w:cstheme="majorEastAsia"/>
          <w:color w:val="auto"/>
          <w:highlight w:val="none"/>
          <w:u w:val="single"/>
        </w:rPr>
        <w:t>（企业名称）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（小型企业、微型企业）；</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以上企业，不属于大企业的分支机构，不存在控股股东为大企业的情形，也不存在与大企业的负责人为同一人的情形。</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本企业对上述声明内容的真实性负责。如有虚假，将依法承担相应责任</w:t>
      </w:r>
    </w:p>
    <w:p>
      <w:pPr>
        <w:pStyle w:val="12"/>
        <w:spacing w:beforeAutospacing="0" w:afterAutospacing="0" w:line="400" w:lineRule="exact"/>
        <w:ind w:right="72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right="180" w:firstLine="360"/>
        <w:jc w:val="righ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企业名称（加盖CA电子公章）：</w:t>
      </w:r>
    </w:p>
    <w:p>
      <w:pPr>
        <w:pStyle w:val="12"/>
        <w:spacing w:beforeAutospacing="0" w:afterAutospacing="0" w:line="400" w:lineRule="exact"/>
        <w:ind w:right="480" w:firstLine="540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p>
    <w:p>
      <w:pPr>
        <w:pStyle w:val="12"/>
        <w:spacing w:beforeAutospacing="0" w:afterAutospacing="0" w:line="400" w:lineRule="exact"/>
        <w:ind w:firstLine="36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备注1：从业人员、营业收入、资产总额填报上一年度数据，无上一年度数据的新成立企业可不填报。</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备注2：供应商如不提供此声明函，价格将不做相应扣除（如项目全面面向中小企业，则资格审查不通过）。</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br w:type="page"/>
      </w:r>
      <w:r>
        <w:rPr>
          <w:rFonts w:hint="eastAsia" w:asciiTheme="majorEastAsia" w:hAnsiTheme="majorEastAsia" w:eastAsiaTheme="majorEastAsia" w:cstheme="majorEastAsia"/>
          <w:b/>
          <w:color w:val="auto"/>
          <w:sz w:val="32"/>
          <w:szCs w:val="32"/>
          <w:highlight w:val="none"/>
        </w:rPr>
        <w:t> 十、残疾人福利性单位声明函</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本单位郑重声明，根据《财政部民政部中国残疾人联合会关于促进残疾人就业政府采购政策的通知》（财库〔2017〕 141号）的规定，本单位为符合条件的残疾人福利性单位，且本单位参加______单位的采购文件编号为______的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项目采购活动提供本单位制造的货物，或者提供其他残疾人福利性单位制造的货物（不包括使用非残疾人福利性单位注册商标的货物）。</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本单位对上述声明的真实性负责。如有虚假，将依法承担相应责任。</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pPr>
        <w:pStyle w:val="12"/>
        <w:spacing w:beforeAutospacing="0" w:afterAutospacing="0" w:line="400" w:lineRule="exact"/>
        <w:ind w:firstLine="624"/>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tabs>
          <w:tab w:val="left" w:pos="4864"/>
        </w:tabs>
        <w:spacing w:beforeAutospacing="0" w:afterAutospacing="0" w:line="400" w:lineRule="exact"/>
        <w:ind w:right="1560" w:firstLine="624"/>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0"/>
          <w:szCs w:val="30"/>
          <w:highlight w:val="none"/>
        </w:rPr>
        <w:t xml:space="preserve">             </w:t>
      </w:r>
      <w:r>
        <w:rPr>
          <w:rFonts w:hint="eastAsia" w:asciiTheme="majorEastAsia" w:hAnsiTheme="majorEastAsia" w:eastAsiaTheme="majorEastAsia" w:cstheme="majorEastAsia"/>
          <w:color w:val="auto"/>
          <w:highlight w:val="none"/>
        </w:rPr>
        <w:t>          供应商全称（加盖CA电子公章）：</w:t>
      </w:r>
    </w:p>
    <w:p>
      <w:pPr>
        <w:pStyle w:val="12"/>
        <w:tabs>
          <w:tab w:val="left" w:pos="4864"/>
        </w:tabs>
        <w:spacing w:beforeAutospacing="0" w:afterAutospacing="0" w:line="400" w:lineRule="exact"/>
        <w:ind w:right="1560" w:firstLine="480"/>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日  期：</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numPr>
          <w:ilvl w:val="0"/>
          <w:numId w:val="10"/>
        </w:numPr>
        <w:spacing w:beforeAutospacing="0" w:afterAutospacing="0" w:line="40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投标分项报价表</w:t>
      </w:r>
    </w:p>
    <w:p>
      <w:pPr>
        <w:pStyle w:val="12"/>
        <w:spacing w:beforeAutospacing="0" w:afterAutospacing="0" w:line="400" w:lineRule="exact"/>
        <w:jc w:val="both"/>
        <w:rPr>
          <w:rFonts w:asciiTheme="majorEastAsia" w:hAnsiTheme="majorEastAsia" w:eastAsiaTheme="majorEastAsia" w:cstheme="majorEastAsia"/>
          <w:b/>
          <w:color w:val="auto"/>
          <w:sz w:val="32"/>
          <w:szCs w:val="32"/>
          <w:highlight w:val="none"/>
        </w:rPr>
      </w:pPr>
    </w:p>
    <w:tbl>
      <w:tblPr>
        <w:tblStyle w:val="1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w:t>
            </w:r>
          </w:p>
        </w:tc>
      </w:tr>
      <w:tr>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产品</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规格</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分项总价</w:t>
            </w:r>
          </w:p>
        </w:tc>
      </w:tr>
      <w:tr>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heme="majorEastAsia" w:hAnsiTheme="majorEastAsia" w:eastAsiaTheme="majorEastAsia" w:cstheme="majorEastAsia"/>
          <w:color w:val="auto"/>
          <w:sz w:val="21"/>
          <w:szCs w:val="21"/>
          <w:highlight w:val="none"/>
        </w:rPr>
        <w:t>“</w:t>
      </w:r>
      <w:r>
        <w:rPr>
          <w:rFonts w:hint="eastAsia" w:asciiTheme="majorEastAsia" w:hAnsiTheme="majorEastAsia" w:eastAsiaTheme="majorEastAsia" w:cstheme="majorEastAsia"/>
          <w:color w:val="auto"/>
          <w:highlight w:val="none"/>
        </w:rPr>
        <w:t>投标分项报价表</w:t>
      </w:r>
      <w:r>
        <w:rPr>
          <w:rFonts w:hint="eastAsia" w:asciiTheme="majorEastAsia" w:hAnsiTheme="majorEastAsia" w:eastAsiaTheme="majorEastAsia" w:cstheme="majorEastAsia"/>
          <w:color w:val="auto"/>
          <w:sz w:val="21"/>
          <w:szCs w:val="21"/>
          <w:highlight w:val="none"/>
        </w:rPr>
        <w:t>”</w:t>
      </w:r>
      <w:r>
        <w:rPr>
          <w:rFonts w:hint="eastAsia" w:asciiTheme="majorEastAsia" w:hAnsiTheme="majorEastAsia" w:eastAsiaTheme="majorEastAsia" w:cstheme="majorEastAsia"/>
          <w:color w:val="auto"/>
          <w:highlight w:val="none"/>
        </w:rPr>
        <w:t>中“投标总报价”数额应当与“开标一览表”中“投标总报价”数额一致。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spacing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十二、技术要求响应及偏离表</w:t>
      </w:r>
    </w:p>
    <w:tbl>
      <w:tblPr>
        <w:tblStyle w:val="13"/>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证明</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带★项</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非★项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pPr>
        <w:pStyle w:val="12"/>
        <w:spacing w:beforeAutospacing="0" w:afterAutospacing="0" w:line="400" w:lineRule="exact"/>
        <w:jc w:val="both"/>
        <w:rPr>
          <w:rFonts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注：1.行数不够，可自行添加。</w:t>
      </w:r>
    </w:p>
    <w:p>
      <w:pPr>
        <w:pStyle w:val="12"/>
        <w:spacing w:beforeAutospacing="0" w:afterAutospacing="0" w:line="400" w:lineRule="exact"/>
        <w:ind w:firstLine="482" w:firstLineChars="200"/>
        <w:jc w:val="both"/>
        <w:rPr>
          <w:rFonts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2.投标人须对招标文件提出的技术参数要求逐条作出响应，未填写的、完全逐条复制的作无效标处理。</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numPr>
          <w:ilvl w:val="0"/>
          <w:numId w:val="10"/>
        </w:numPr>
        <w:spacing w:beforeAutospacing="0" w:afterAutospacing="0" w:line="40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商务要求响应及偏离表</w:t>
      </w:r>
    </w:p>
    <w:p>
      <w:pPr>
        <w:pStyle w:val="12"/>
        <w:spacing w:beforeAutospacing="0" w:afterAutospacing="0" w:line="400" w:lineRule="exact"/>
        <w:jc w:val="both"/>
        <w:rPr>
          <w:rFonts w:asciiTheme="majorEastAsia" w:hAnsiTheme="majorEastAsia" w:eastAsiaTheme="majorEastAsia" w:cstheme="majorEastAsia"/>
          <w:b/>
          <w:color w:val="auto"/>
          <w:sz w:val="32"/>
          <w:szCs w:val="32"/>
          <w:highlight w:val="none"/>
        </w:rPr>
      </w:pPr>
    </w:p>
    <w:tbl>
      <w:tblPr>
        <w:tblStyle w:val="13"/>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bookmarkStart w:id="178" w:name="_Hlt26580838"/>
            <w:bookmarkStart w:id="179" w:name="_Hlt26955064"/>
            <w:bookmarkStart w:id="180" w:name="_Hlt26609391"/>
            <w:bookmarkStart w:id="181" w:name="_Hlt26955056"/>
            <w:bookmarkStart w:id="182" w:name="_Hlt26671372"/>
            <w:bookmarkStart w:id="183" w:name="_Hlt24879081"/>
            <w:bookmarkStart w:id="184" w:name="_Hlt26782999"/>
            <w:bookmarkStart w:id="185" w:name="_Hlt26671343"/>
            <w:r>
              <w:rPr>
                <w:rFonts w:hint="eastAsia" w:asciiTheme="majorEastAsia" w:hAnsiTheme="majorEastAsia" w:eastAsiaTheme="majorEastAsia" w:cstheme="majorEastAsia"/>
                <w:color w:val="auto"/>
                <w:highlight w:val="none"/>
              </w:rPr>
              <w:t>序号</w:t>
            </w:r>
          </w:p>
          <w:bookmarkEnd w:id="178"/>
          <w:bookmarkEnd w:id="179"/>
          <w:bookmarkEnd w:id="180"/>
          <w:bookmarkEnd w:id="181"/>
          <w:bookmarkEnd w:id="182"/>
          <w:bookmarkEnd w:id="183"/>
          <w:bookmarkEnd w:id="184"/>
          <w:bookmarkEnd w:id="185"/>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证明</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 行数不够，可自行添加。</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left="840"/>
        <w:jc w:val="center"/>
        <w:rPr>
          <w:rFonts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rPr>
        <w:t>十四、</w:t>
      </w:r>
      <w:r>
        <w:rPr>
          <w:rFonts w:hint="eastAsia" w:asciiTheme="majorEastAsia" w:hAnsiTheme="majorEastAsia" w:eastAsiaTheme="majorEastAsia" w:cstheme="majorEastAsia"/>
          <w:b/>
          <w:i/>
          <w:color w:val="auto"/>
          <w:sz w:val="32"/>
          <w:szCs w:val="32"/>
          <w:highlight w:val="none"/>
          <w:u w:val="single"/>
        </w:rPr>
        <w:t>开标一览表</w:t>
      </w:r>
    </w:p>
    <w:p>
      <w:pPr>
        <w:pStyle w:val="12"/>
        <w:spacing w:beforeAutospacing="0" w:afterAutospacing="0" w:line="400" w:lineRule="exact"/>
        <w:ind w:left="840"/>
        <w:jc w:val="center"/>
        <w:rPr>
          <w:rFonts w:asciiTheme="majorEastAsia" w:hAnsiTheme="majorEastAsia" w:eastAsiaTheme="majorEastAsia" w:cstheme="majorEastAsia"/>
          <w:color w:val="auto"/>
          <w:highlight w:val="none"/>
        </w:rPr>
      </w:pP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投标人全称（加盖CA电子签章）：</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imes New Roman" w:hAnsi="Times New Roman" w:eastAsia="宋体" w:cs="宋体"/>
          <w:color w:val="auto"/>
          <w:highlight w:val="none"/>
        </w:rPr>
        <w:t>招标编号</w:t>
      </w:r>
      <w:r>
        <w:rPr>
          <w:rFonts w:hint="eastAsia" w:asciiTheme="majorEastAsia" w:hAnsiTheme="majorEastAsia" w:eastAsiaTheme="majorEastAsia" w:cstheme="majorEastAsia"/>
          <w:color w:val="auto"/>
          <w:highlight w:val="none"/>
        </w:rPr>
        <w:t xml:space="preserve">：                     </w:t>
      </w:r>
    </w:p>
    <w:tbl>
      <w:tblPr>
        <w:tblStyle w:val="13"/>
        <w:tblW w:w="8413" w:type="dxa"/>
        <w:tblCellSpacing w:w="0" w:type="dxa"/>
        <w:tblInd w:w="118" w:type="dxa"/>
        <w:tblLayout w:type="fixed"/>
        <w:tblCellMar>
          <w:top w:w="0" w:type="dxa"/>
          <w:left w:w="108" w:type="dxa"/>
          <w:bottom w:w="0" w:type="dxa"/>
          <w:right w:w="108" w:type="dxa"/>
        </w:tblCellMar>
      </w:tblPr>
      <w:tblGrid>
        <w:gridCol w:w="2349"/>
        <w:gridCol w:w="6064"/>
      </w:tblGrid>
      <w:tr>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投标总报价:</w:t>
            </w:r>
          </w:p>
        </w:tc>
      </w:tr>
      <w:tr>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小写：       （人民币：元）</w:t>
            </w:r>
          </w:p>
        </w:tc>
      </w:tr>
      <w:tr>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2"/>
                <w:sz w:val="28"/>
                <w:szCs w:val="28"/>
                <w:highlight w:val="none"/>
              </w:rPr>
              <w:t>合同履行期限</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rPr>
                <w:rFonts w:asciiTheme="majorEastAsia" w:hAnsiTheme="majorEastAsia" w:eastAsiaTheme="majorEastAsia" w:cstheme="majorEastAsia"/>
                <w:color w:val="auto"/>
                <w:highlight w:val="none"/>
              </w:rPr>
            </w:pPr>
          </w:p>
        </w:tc>
      </w:tr>
      <w:tr>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jc w:val="center"/>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2"/>
                <w:sz w:val="28"/>
                <w:szCs w:val="28"/>
                <w:highlight w:val="none"/>
              </w:rPr>
              <w:t>免费质保期</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spacing w:beforeAutospacing="0" w:afterAutospacing="0" w:line="400" w:lineRule="exact"/>
              <w:rPr>
                <w:rFonts w:asciiTheme="majorEastAsia" w:hAnsiTheme="majorEastAsia" w:eastAsiaTheme="majorEastAsia" w:cstheme="majorEastAsia"/>
                <w:color w:val="auto"/>
                <w:highlight w:val="none"/>
              </w:rPr>
            </w:pPr>
          </w:p>
        </w:tc>
      </w:tr>
    </w:tbl>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pStyle w:val="12"/>
        <w:spacing w:beforeAutospacing="0" w:afterAutospacing="0" w:line="400" w:lineRule="exact"/>
        <w:ind w:firstLine="480"/>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pPr>
        <w:spacing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i/>
          <w:color w:val="auto"/>
          <w:sz w:val="32"/>
          <w:szCs w:val="32"/>
          <w:highlight w:val="none"/>
          <w:u w:val="single"/>
        </w:rPr>
        <w:br w:type="page"/>
      </w:r>
    </w:p>
    <w:p>
      <w:pPr>
        <w:widowControl/>
        <w:spacing w:line="400" w:lineRule="exact"/>
        <w:jc w:val="center"/>
        <w:rPr>
          <w:rFonts w:asciiTheme="majorEastAsia" w:hAnsiTheme="majorEastAsia" w:eastAsiaTheme="majorEastAsia" w:cstheme="majorEastAsia"/>
          <w:b/>
          <w:i/>
          <w:color w:val="auto"/>
          <w:kern w:val="0"/>
          <w:sz w:val="32"/>
          <w:szCs w:val="32"/>
          <w:highlight w:val="none"/>
        </w:rPr>
      </w:pPr>
    </w:p>
    <w:p>
      <w:pPr>
        <w:widowControl/>
        <w:spacing w:line="400" w:lineRule="exact"/>
        <w:jc w:val="center"/>
        <w:rPr>
          <w:rFonts w:asciiTheme="majorEastAsia" w:hAnsiTheme="majorEastAsia" w:eastAsiaTheme="majorEastAsia" w:cstheme="majorEastAsia"/>
          <w:b/>
          <w:i/>
          <w:color w:val="auto"/>
          <w:kern w:val="0"/>
          <w:sz w:val="32"/>
          <w:szCs w:val="32"/>
          <w:highlight w:val="none"/>
        </w:rPr>
      </w:pPr>
      <w:r>
        <w:rPr>
          <w:rFonts w:hint="eastAsia" w:asciiTheme="majorEastAsia" w:hAnsiTheme="majorEastAsia" w:eastAsiaTheme="majorEastAsia" w:cstheme="majorEastAsia"/>
          <w:b/>
          <w:i/>
          <w:color w:val="auto"/>
          <w:kern w:val="0"/>
          <w:sz w:val="32"/>
          <w:szCs w:val="32"/>
          <w:highlight w:val="none"/>
        </w:rPr>
        <w:t>十五、技术方案、服务承诺、培训承诺等</w:t>
      </w: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p>
    <w:p>
      <w:pPr>
        <w:spacing w:line="400" w:lineRule="exact"/>
        <w:rPr>
          <w:rFonts w:asciiTheme="majorEastAsia" w:hAnsiTheme="majorEastAsia" w:eastAsiaTheme="majorEastAsia" w:cstheme="majorEastAsia"/>
          <w:b/>
          <w:i/>
          <w:color w:val="auto"/>
          <w:kern w:val="0"/>
          <w:sz w:val="32"/>
          <w:szCs w:val="32"/>
          <w:highlight w:val="none"/>
        </w:rPr>
      </w:pPr>
      <w:r>
        <w:rPr>
          <w:rFonts w:hint="eastAsia" w:asciiTheme="majorEastAsia" w:hAnsiTheme="majorEastAsia" w:eastAsiaTheme="majorEastAsia" w:cstheme="majorEastAsia"/>
          <w:b/>
          <w:i/>
          <w:color w:val="auto"/>
          <w:kern w:val="0"/>
          <w:sz w:val="32"/>
          <w:szCs w:val="32"/>
          <w:highlight w:val="none"/>
        </w:rPr>
        <w:br w:type="page"/>
      </w:r>
    </w:p>
    <w:p>
      <w:pPr>
        <w:widowControl/>
        <w:spacing w:line="400" w:lineRule="exact"/>
        <w:jc w:val="center"/>
        <w:rPr>
          <w:rFonts w:asciiTheme="majorEastAsia" w:hAnsiTheme="majorEastAsia" w:eastAsiaTheme="majorEastAsia" w:cstheme="majorEastAsia"/>
          <w:b/>
          <w:i/>
          <w:color w:val="auto"/>
          <w:kern w:val="0"/>
          <w:sz w:val="32"/>
          <w:szCs w:val="32"/>
          <w:highlight w:val="none"/>
        </w:rPr>
      </w:pPr>
    </w:p>
    <w:p>
      <w:pPr>
        <w:widowControl/>
        <w:spacing w:line="400" w:lineRule="exact"/>
        <w:jc w:val="center"/>
        <w:rPr>
          <w:rFonts w:asciiTheme="majorEastAsia" w:hAnsiTheme="majorEastAsia" w:eastAsiaTheme="majorEastAsia" w:cstheme="majorEastAsia"/>
          <w:b/>
          <w:i/>
          <w:color w:val="auto"/>
          <w:kern w:val="0"/>
          <w:sz w:val="32"/>
          <w:szCs w:val="32"/>
          <w:highlight w:val="none"/>
        </w:rPr>
      </w:pPr>
      <w:r>
        <w:rPr>
          <w:rFonts w:hint="eastAsia" w:asciiTheme="majorEastAsia" w:hAnsiTheme="majorEastAsia" w:eastAsiaTheme="majorEastAsia" w:cstheme="majorEastAsia"/>
          <w:b/>
          <w:i/>
          <w:color w:val="auto"/>
          <w:kern w:val="0"/>
          <w:sz w:val="32"/>
          <w:szCs w:val="32"/>
          <w:highlight w:val="none"/>
        </w:rPr>
        <w:t>十六、盐城市政府采购事前信用承诺书</w:t>
      </w:r>
    </w:p>
    <w:p>
      <w:pPr>
        <w:widowControl/>
        <w:spacing w:line="400" w:lineRule="exact"/>
        <w:ind w:firstLine="64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32"/>
          <w:szCs w:val="32"/>
          <w:highlight w:val="none"/>
        </w:rPr>
        <w:t> </w:t>
      </w:r>
    </w:p>
    <w:p>
      <w:pPr>
        <w:widowControl/>
        <w:spacing w:line="400" w:lineRule="exact"/>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为营造我市公开、公平、公正、诚实守信的政府采购交易环境，树立诚信守法的投标人形象，本人代表本单位作出以下承诺：</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400" w:lineRule="exact"/>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（三）严格依照国家和省、市关于政府采购的法律、法规、规章、规范性文件，参加政府采购投标活动；积极履行社会责任，促进廉政建设；</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（四）严格遵守即时信息公示规定，及时维护和更新维护和更新盐城市政府采购网中与本单位相关的信息；</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（六）自觉接受政府、行业组织、社会公众、新闻舆论的监督；</w:t>
      </w:r>
    </w:p>
    <w:p>
      <w:pPr>
        <w:widowControl/>
        <w:spacing w:line="400" w:lineRule="exact"/>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（八）本人已认真阅读了上述承诺，并向本单位员工作了宣传教育。</w:t>
      </w:r>
    </w:p>
    <w:p>
      <w:pPr>
        <w:widowControl/>
        <w:spacing w:line="400" w:lineRule="exact"/>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法定代表人签名：</w:t>
      </w:r>
    </w:p>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单位名称（盖章）：</w:t>
      </w:r>
    </w:p>
    <w:p>
      <w:pPr>
        <w:widowControl/>
        <w:spacing w:line="400" w:lineRule="exac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年月日</w:t>
      </w:r>
    </w:p>
    <w:p>
      <w:pPr>
        <w:pStyle w:val="12"/>
        <w:spacing w:beforeAutospacing="0" w:afterAutospacing="0" w:line="400" w:lineRule="exact"/>
        <w:jc w:val="center"/>
        <w:rPr>
          <w:rFonts w:asciiTheme="majorEastAsia" w:hAnsiTheme="majorEastAsia" w:eastAsiaTheme="majorEastAsia" w:cstheme="majorEastAsia"/>
          <w:color w:val="auto"/>
          <w:highlight w:val="none"/>
        </w:rPr>
      </w:pPr>
    </w:p>
    <w:p>
      <w:pP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pPr>
        <w:pStyle w:val="12"/>
        <w:spacing w:beforeAutospacing="0" w:afterAutospacing="0" w:line="40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质疑函范本</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一、质疑供应商基本信息</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质疑供应商：</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联系人：</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授权代表：</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 </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二、质疑项目基本情况</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质疑项目的名称：</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质疑项目的编号：</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包号：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采购人名称：</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采购文件获取日期：</w:t>
      </w:r>
      <w:r>
        <w:rPr>
          <w:rFonts w:hint="eastAsia" w:asciiTheme="majorEastAsia" w:hAnsiTheme="majorEastAsia" w:eastAsiaTheme="majorEastAsia" w:cstheme="majorEastAsia"/>
          <w:color w:val="auto"/>
          <w:highlight w:val="none"/>
          <w:u w:val="single"/>
        </w:rPr>
        <w:t>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三、质疑事项具体内容</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质疑事项1：</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事实依据：</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法律依据：</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质疑事项2</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四、与质疑事项相关的质疑请求</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请求：</w:t>
      </w:r>
      <w:r>
        <w:rPr>
          <w:rFonts w:hint="eastAsia" w:asciiTheme="majorEastAsia" w:hAnsiTheme="majorEastAsia" w:eastAsiaTheme="majorEastAsia" w:cstheme="majorEastAsia"/>
          <w:color w:val="auto"/>
          <w:highlight w:val="none"/>
          <w:u w:val="single"/>
        </w:rPr>
        <w:t xml:space="preserve">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签字(签章)：                 公章：               日期：    </w:t>
      </w:r>
    </w:p>
    <w:p>
      <w:pPr>
        <w:pStyle w:val="12"/>
        <w:spacing w:beforeAutospacing="0" w:afterAutospacing="0" w:line="400" w:lineRule="exact"/>
        <w:jc w:val="both"/>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质疑函制作说明：</w:t>
      </w:r>
    </w:p>
    <w:p>
      <w:pPr>
        <w:pStyle w:val="12"/>
        <w:spacing w:beforeAutospacing="0" w:afterAutospacing="0" w:line="400" w:lineRule="exact"/>
        <w:ind w:firstLine="482"/>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1.供应商提出质疑时，应提交质疑函和必要的证明材料。</w:t>
      </w:r>
    </w:p>
    <w:p>
      <w:pPr>
        <w:pStyle w:val="12"/>
        <w:spacing w:beforeAutospacing="0" w:afterAutospacing="0" w:line="400" w:lineRule="exact"/>
        <w:ind w:firstLine="482"/>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12"/>
        <w:spacing w:beforeAutospacing="0" w:afterAutospacing="0" w:line="400" w:lineRule="exact"/>
        <w:ind w:firstLine="482"/>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3.质疑供应商若对项目的某一分包进行质疑，质疑函中应列明具体分包号。</w:t>
      </w:r>
    </w:p>
    <w:p>
      <w:pPr>
        <w:pStyle w:val="12"/>
        <w:spacing w:beforeAutospacing="0" w:afterAutospacing="0" w:line="400" w:lineRule="exact"/>
        <w:ind w:firstLine="482"/>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4.质疑函的质疑事项应具体、明确，并有必要的事实依据和法律依据。</w:t>
      </w:r>
    </w:p>
    <w:p>
      <w:pPr>
        <w:pStyle w:val="12"/>
        <w:spacing w:beforeAutospacing="0" w:afterAutospacing="0" w:line="400" w:lineRule="exact"/>
        <w:ind w:firstLine="482"/>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5.质疑函的质疑请求应与质疑事项相关。</w:t>
      </w:r>
    </w:p>
    <w:p>
      <w:pPr>
        <w:pStyle w:val="12"/>
        <w:widowControl/>
        <w:spacing w:beforeAutospacing="0" w:afterAutospacing="0" w:line="400" w:lineRule="exact"/>
        <w:ind w:firstLine="48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6.质疑供应商为自然人的，质疑函应由本人签字；质疑供应商为法人或者其他组织的，质疑函应由法定代表人、主要负责人，或者其授权代表签字或者盖章，并加盖公章。</w:t>
      </w:r>
    </w:p>
    <w:p>
      <w:pPr>
        <w:pStyle w:val="12"/>
        <w:spacing w:beforeAutospacing="0" w:afterAutospacing="0" w:line="400" w:lineRule="exact"/>
        <w:rPr>
          <w:rFonts w:asciiTheme="majorEastAsia" w:hAnsiTheme="majorEastAsia" w:eastAsiaTheme="majorEastAsia" w:cstheme="majorEastAsia"/>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altName w:val="Segoe Print"/>
    <w:panose1 w:val="00000000000000000000"/>
    <w:charset w:val="00"/>
    <w:family w:val="roman"/>
    <w:pitch w:val="default"/>
    <w:sig w:usb0="00000000" w:usb1="00000000" w:usb2="0A246029" w:usb3="00000000" w:csb0="600001FF" w:csb1="DFFF0000"/>
  </w:font>
  <w:font w:name="方正黑体_GBK">
    <w:altName w:val="微软雅黑"/>
    <w:panose1 w:val="02000000000000000000"/>
    <w:charset w:val="86"/>
    <w:family w:val="script"/>
    <w:pitch w:val="default"/>
    <w:sig w:usb0="00000000" w:usb1="00000000" w:usb2="00082016" w:usb3="00000000" w:csb0="00040001"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Songti SC Regular">
    <w:altName w:val="微软雅黑"/>
    <w:panose1 w:val="00000000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方正大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90</w:t>
    </w:r>
    <w:r>
      <w:rPr>
        <w:b/>
        <w:sz w:val="24"/>
        <w:szCs w:val="24"/>
      </w:rP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5F96F"/>
    <w:multiLevelType w:val="singleLevel"/>
    <w:tmpl w:val="9145F96F"/>
    <w:lvl w:ilvl="0" w:tentative="0">
      <w:start w:val="3"/>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pPr>
        <w:ind w:left="0" w:firstLine="0"/>
      </w:p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E759F4B"/>
    <w:multiLevelType w:val="singleLevel"/>
    <w:tmpl w:val="DE759F4B"/>
    <w:lvl w:ilvl="0" w:tentative="0">
      <w:start w:val="2"/>
      <w:numFmt w:val="decimal"/>
      <w:suff w:val="space"/>
      <w:lvlText w:val="%1."/>
      <w:lvlJc w:val="left"/>
      <w:pPr>
        <w:ind w:left="0" w:firstLine="0"/>
      </w:pPr>
    </w:lvl>
  </w:abstractNum>
  <w:abstractNum w:abstractNumId="4">
    <w:nsid w:val="DEABE1DB"/>
    <w:multiLevelType w:val="singleLevel"/>
    <w:tmpl w:val="DEABE1DB"/>
    <w:lvl w:ilvl="0" w:tentative="0">
      <w:start w:val="23"/>
      <w:numFmt w:val="decimal"/>
      <w:suff w:val="space"/>
      <w:lvlText w:val="%1."/>
      <w:lvlJc w:val="left"/>
      <w:pPr>
        <w:ind w:left="0" w:firstLine="0"/>
      </w:pPr>
    </w:lvl>
  </w:abstractNum>
  <w:abstractNum w:abstractNumId="5">
    <w:nsid w:val="FEE56CF9"/>
    <w:multiLevelType w:val="singleLevel"/>
    <w:tmpl w:val="FEE56CF9"/>
    <w:lvl w:ilvl="0" w:tentative="0">
      <w:start w:val="3"/>
      <w:numFmt w:val="decimal"/>
      <w:lvlText w:val="%1."/>
      <w:lvlJc w:val="left"/>
      <w:pPr>
        <w:tabs>
          <w:tab w:val="left" w:pos="312"/>
        </w:tabs>
      </w:pPr>
    </w:lvl>
  </w:abstractNum>
  <w:abstractNum w:abstractNumId="6">
    <w:nsid w:val="3357AFD2"/>
    <w:multiLevelType w:val="singleLevel"/>
    <w:tmpl w:val="3357AFD2"/>
    <w:lvl w:ilvl="0" w:tentative="0">
      <w:start w:val="1"/>
      <w:numFmt w:val="decimal"/>
      <w:suff w:val="nothing"/>
      <w:lvlText w:val="%1、"/>
      <w:lvlJc w:val="left"/>
    </w:lvl>
  </w:abstractNum>
  <w:abstractNum w:abstractNumId="7">
    <w:nsid w:val="397B2FF3"/>
    <w:multiLevelType w:val="singleLevel"/>
    <w:tmpl w:val="397B2FF3"/>
    <w:lvl w:ilvl="0" w:tentative="0">
      <w:start w:val="1"/>
      <w:numFmt w:val="bullet"/>
      <w:lvlText w:val=""/>
      <w:lvlJc w:val="left"/>
      <w:pPr>
        <w:ind w:left="420" w:hanging="420"/>
      </w:pPr>
      <w:rPr>
        <w:rFonts w:hint="default" w:ascii="Wingdings" w:hAnsi="Wingdings"/>
      </w:rPr>
    </w:lvl>
  </w:abstractNum>
  <w:abstractNum w:abstractNumId="8">
    <w:nsid w:val="61363454"/>
    <w:multiLevelType w:val="multilevel"/>
    <w:tmpl w:val="61363454"/>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pStyle w:val="3"/>
      <w:lvlText w:val="%1.%2.%3"/>
      <w:lvlJc w:val="left"/>
      <w:pPr>
        <w:ind w:left="720" w:hanging="720"/>
      </w:pPr>
    </w:lvl>
    <w:lvl w:ilvl="3" w:tentative="0">
      <w:start w:val="1"/>
      <w:numFmt w:val="decimal"/>
      <w:pStyle w:val="4"/>
      <w:lvlText w:val="%1.%2.%3.%4"/>
      <w:lvlJc w:val="left"/>
      <w:pPr>
        <w:ind w:left="864" w:hanging="864"/>
      </w:pPr>
    </w:lvl>
    <w:lvl w:ilvl="4" w:tentative="0">
      <w:start w:val="1"/>
      <w:numFmt w:val="decimal"/>
      <w:pStyle w:val="5"/>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9">
    <w:nsid w:val="692275DC"/>
    <w:multiLevelType w:val="singleLevel"/>
    <w:tmpl w:val="692275DC"/>
    <w:lvl w:ilvl="0" w:tentative="0">
      <w:start w:val="11"/>
      <w:numFmt w:val="chineseCounting"/>
      <w:suff w:val="nothing"/>
      <w:lvlText w:val="%1、"/>
      <w:lvlJc w:val="left"/>
      <w:rPr>
        <w:rFonts w:hint="eastAsia"/>
      </w:rPr>
    </w:lvl>
  </w:abstractNum>
  <w:num w:numId="1">
    <w:abstractNumId w:val="8"/>
  </w:num>
  <w:num w:numId="2">
    <w:abstractNumId w:val="5"/>
  </w:num>
  <w:num w:numId="3">
    <w:abstractNumId w:val="2"/>
  </w:num>
  <w:num w:numId="4">
    <w:abstractNumId w:val="3"/>
  </w:num>
  <w:num w:numId="5">
    <w:abstractNumId w:val="1"/>
  </w:num>
  <w:num w:numId="6">
    <w:abstractNumId w:val="4"/>
  </w:num>
  <w:num w:numId="7">
    <w:abstractNumId w:val="6"/>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lMmY0YmY5ZjEzMWI3ZDNiZjY4NWRiMzExZDUwZWMifQ=="/>
  </w:docVars>
  <w:rsids>
    <w:rsidRoot w:val="00172A27"/>
    <w:rsid w:val="00012453"/>
    <w:rsid w:val="00027397"/>
    <w:rsid w:val="000452E0"/>
    <w:rsid w:val="0008414E"/>
    <w:rsid w:val="000B6FA8"/>
    <w:rsid w:val="000B7C4D"/>
    <w:rsid w:val="000D6064"/>
    <w:rsid w:val="00106EC4"/>
    <w:rsid w:val="00111440"/>
    <w:rsid w:val="00112B63"/>
    <w:rsid w:val="00172A27"/>
    <w:rsid w:val="002805F5"/>
    <w:rsid w:val="002B0C85"/>
    <w:rsid w:val="002C137B"/>
    <w:rsid w:val="0034322B"/>
    <w:rsid w:val="00386D9C"/>
    <w:rsid w:val="003C54BE"/>
    <w:rsid w:val="004125B1"/>
    <w:rsid w:val="00427F98"/>
    <w:rsid w:val="004529E6"/>
    <w:rsid w:val="004E0F29"/>
    <w:rsid w:val="005257A0"/>
    <w:rsid w:val="00563A22"/>
    <w:rsid w:val="00755D43"/>
    <w:rsid w:val="00772E34"/>
    <w:rsid w:val="007E3A7B"/>
    <w:rsid w:val="00822248"/>
    <w:rsid w:val="00845343"/>
    <w:rsid w:val="008574DF"/>
    <w:rsid w:val="00927A3A"/>
    <w:rsid w:val="009620FE"/>
    <w:rsid w:val="00973C6A"/>
    <w:rsid w:val="009D4169"/>
    <w:rsid w:val="009E04AF"/>
    <w:rsid w:val="009F5B4F"/>
    <w:rsid w:val="00A75D0F"/>
    <w:rsid w:val="00A83AA1"/>
    <w:rsid w:val="00BD1A9C"/>
    <w:rsid w:val="00BF706B"/>
    <w:rsid w:val="00C90FDD"/>
    <w:rsid w:val="00CE1146"/>
    <w:rsid w:val="00CF47B8"/>
    <w:rsid w:val="00D00F3E"/>
    <w:rsid w:val="00D20B29"/>
    <w:rsid w:val="00D3382A"/>
    <w:rsid w:val="00D550E3"/>
    <w:rsid w:val="00D724D7"/>
    <w:rsid w:val="00ED0DA8"/>
    <w:rsid w:val="00EE23AC"/>
    <w:rsid w:val="00F04D35"/>
    <w:rsid w:val="00F05E1E"/>
    <w:rsid w:val="00F10BB8"/>
    <w:rsid w:val="00F65A6E"/>
    <w:rsid w:val="00FA4B2E"/>
    <w:rsid w:val="00FE0994"/>
    <w:rsid w:val="014036E0"/>
    <w:rsid w:val="015C3D17"/>
    <w:rsid w:val="01AE0C97"/>
    <w:rsid w:val="021B6523"/>
    <w:rsid w:val="02851591"/>
    <w:rsid w:val="02867E41"/>
    <w:rsid w:val="028B748A"/>
    <w:rsid w:val="02BD5381"/>
    <w:rsid w:val="02D505AD"/>
    <w:rsid w:val="02F0175E"/>
    <w:rsid w:val="034115E7"/>
    <w:rsid w:val="034E4AD1"/>
    <w:rsid w:val="037E0789"/>
    <w:rsid w:val="03F168C7"/>
    <w:rsid w:val="04211FE2"/>
    <w:rsid w:val="04A03924"/>
    <w:rsid w:val="04CF1FA6"/>
    <w:rsid w:val="056E5657"/>
    <w:rsid w:val="058663AA"/>
    <w:rsid w:val="062C42CE"/>
    <w:rsid w:val="068A6E34"/>
    <w:rsid w:val="07994E3B"/>
    <w:rsid w:val="07A02A3F"/>
    <w:rsid w:val="07A40F48"/>
    <w:rsid w:val="083420ED"/>
    <w:rsid w:val="0854758E"/>
    <w:rsid w:val="08992D34"/>
    <w:rsid w:val="09132265"/>
    <w:rsid w:val="095D46A1"/>
    <w:rsid w:val="09C672C6"/>
    <w:rsid w:val="0A7315F2"/>
    <w:rsid w:val="0ABC363A"/>
    <w:rsid w:val="0AD8294B"/>
    <w:rsid w:val="0B4B3B00"/>
    <w:rsid w:val="0B8A23C1"/>
    <w:rsid w:val="0BAE3813"/>
    <w:rsid w:val="0C6F7B97"/>
    <w:rsid w:val="0CC34A0D"/>
    <w:rsid w:val="0D4D2FC1"/>
    <w:rsid w:val="0DE68A75"/>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7D2B9A"/>
    <w:rsid w:val="14477BA7"/>
    <w:rsid w:val="15BF3E2F"/>
    <w:rsid w:val="169263C8"/>
    <w:rsid w:val="16A61788"/>
    <w:rsid w:val="16BA3E2C"/>
    <w:rsid w:val="16F413C5"/>
    <w:rsid w:val="17666D47"/>
    <w:rsid w:val="1792502D"/>
    <w:rsid w:val="18BC4109"/>
    <w:rsid w:val="192F5D4A"/>
    <w:rsid w:val="193260E4"/>
    <w:rsid w:val="19835197"/>
    <w:rsid w:val="1A4F2C83"/>
    <w:rsid w:val="1A6C512F"/>
    <w:rsid w:val="1A9133CF"/>
    <w:rsid w:val="1AD2708F"/>
    <w:rsid w:val="1B5F5046"/>
    <w:rsid w:val="1B9509DF"/>
    <w:rsid w:val="1BA002D8"/>
    <w:rsid w:val="1CAC4347"/>
    <w:rsid w:val="1D1C1092"/>
    <w:rsid w:val="1D605A5A"/>
    <w:rsid w:val="1D854966"/>
    <w:rsid w:val="1DFD1285"/>
    <w:rsid w:val="1E84312E"/>
    <w:rsid w:val="1EC70509"/>
    <w:rsid w:val="1F4A0271"/>
    <w:rsid w:val="1FC7762D"/>
    <w:rsid w:val="204922D2"/>
    <w:rsid w:val="205730E8"/>
    <w:rsid w:val="20733730"/>
    <w:rsid w:val="20A83FAF"/>
    <w:rsid w:val="212D5EEC"/>
    <w:rsid w:val="215025DE"/>
    <w:rsid w:val="21B7196D"/>
    <w:rsid w:val="21CC717D"/>
    <w:rsid w:val="21F4671D"/>
    <w:rsid w:val="22424AA4"/>
    <w:rsid w:val="225C364A"/>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BC700E0"/>
    <w:rsid w:val="2C03574A"/>
    <w:rsid w:val="2C117DB2"/>
    <w:rsid w:val="2C765E80"/>
    <w:rsid w:val="2C7B3B05"/>
    <w:rsid w:val="2CC277F5"/>
    <w:rsid w:val="2D67525C"/>
    <w:rsid w:val="2D784F24"/>
    <w:rsid w:val="2DE81100"/>
    <w:rsid w:val="2E5E7AF7"/>
    <w:rsid w:val="2E687E06"/>
    <w:rsid w:val="2E8702E5"/>
    <w:rsid w:val="2EB711FE"/>
    <w:rsid w:val="2ED51684"/>
    <w:rsid w:val="2EE73822"/>
    <w:rsid w:val="2F7266D0"/>
    <w:rsid w:val="2FAD4FD9"/>
    <w:rsid w:val="2FB346FB"/>
    <w:rsid w:val="2FD64187"/>
    <w:rsid w:val="2FFA5778"/>
    <w:rsid w:val="30495C84"/>
    <w:rsid w:val="30626EBE"/>
    <w:rsid w:val="30650005"/>
    <w:rsid w:val="310333AD"/>
    <w:rsid w:val="31522189"/>
    <w:rsid w:val="318A49A8"/>
    <w:rsid w:val="329E6CD8"/>
    <w:rsid w:val="32A304D9"/>
    <w:rsid w:val="33440753"/>
    <w:rsid w:val="33773E42"/>
    <w:rsid w:val="33A31D51"/>
    <w:rsid w:val="34E14EA2"/>
    <w:rsid w:val="34E346A0"/>
    <w:rsid w:val="359B1151"/>
    <w:rsid w:val="35AD49A2"/>
    <w:rsid w:val="36172BC3"/>
    <w:rsid w:val="36CC7C95"/>
    <w:rsid w:val="36CF07E3"/>
    <w:rsid w:val="36EB650A"/>
    <w:rsid w:val="378133A9"/>
    <w:rsid w:val="382D480E"/>
    <w:rsid w:val="383A233E"/>
    <w:rsid w:val="39101F1B"/>
    <w:rsid w:val="392D7EB3"/>
    <w:rsid w:val="39720FC7"/>
    <w:rsid w:val="39B60304"/>
    <w:rsid w:val="39CD52E9"/>
    <w:rsid w:val="3A64388F"/>
    <w:rsid w:val="3AB36B7A"/>
    <w:rsid w:val="3B0B043D"/>
    <w:rsid w:val="3BDF2457"/>
    <w:rsid w:val="3BFA0A1A"/>
    <w:rsid w:val="3C8E39AA"/>
    <w:rsid w:val="3CA53635"/>
    <w:rsid w:val="3D23372C"/>
    <w:rsid w:val="3D9646D4"/>
    <w:rsid w:val="3DF80C94"/>
    <w:rsid w:val="3E064F5A"/>
    <w:rsid w:val="3E161B6B"/>
    <w:rsid w:val="3E7F5998"/>
    <w:rsid w:val="3F0056DB"/>
    <w:rsid w:val="3F1A3023"/>
    <w:rsid w:val="3F243A9D"/>
    <w:rsid w:val="401D2E8B"/>
    <w:rsid w:val="40350295"/>
    <w:rsid w:val="406E1D8D"/>
    <w:rsid w:val="41EF5E4D"/>
    <w:rsid w:val="42053C57"/>
    <w:rsid w:val="42214BD9"/>
    <w:rsid w:val="42324DFA"/>
    <w:rsid w:val="42FA74B4"/>
    <w:rsid w:val="431353F3"/>
    <w:rsid w:val="43455446"/>
    <w:rsid w:val="43692E36"/>
    <w:rsid w:val="44CC50B5"/>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816722"/>
    <w:rsid w:val="4C5A2B74"/>
    <w:rsid w:val="4C7B3413"/>
    <w:rsid w:val="4C9573EC"/>
    <w:rsid w:val="4D0227B8"/>
    <w:rsid w:val="4D2D20D9"/>
    <w:rsid w:val="4D4B1038"/>
    <w:rsid w:val="4DA074F7"/>
    <w:rsid w:val="4DA33F07"/>
    <w:rsid w:val="4DDE52C0"/>
    <w:rsid w:val="4DFB00F6"/>
    <w:rsid w:val="505A3F73"/>
    <w:rsid w:val="508605D9"/>
    <w:rsid w:val="50A1397F"/>
    <w:rsid w:val="51C75DFE"/>
    <w:rsid w:val="52233BBC"/>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581771"/>
    <w:rsid w:val="59A82CA5"/>
    <w:rsid w:val="5A1804F3"/>
    <w:rsid w:val="5AD536B4"/>
    <w:rsid w:val="5AEA4CCC"/>
    <w:rsid w:val="5B031B11"/>
    <w:rsid w:val="5B96574B"/>
    <w:rsid w:val="5BB529D9"/>
    <w:rsid w:val="5C5A652B"/>
    <w:rsid w:val="5C754496"/>
    <w:rsid w:val="5D320FC0"/>
    <w:rsid w:val="5DE138D8"/>
    <w:rsid w:val="5E1921ED"/>
    <w:rsid w:val="5EDB106D"/>
    <w:rsid w:val="5EE035AA"/>
    <w:rsid w:val="5F7D5E8E"/>
    <w:rsid w:val="5F7F522A"/>
    <w:rsid w:val="601337BB"/>
    <w:rsid w:val="606A165C"/>
    <w:rsid w:val="61730705"/>
    <w:rsid w:val="62281F6A"/>
    <w:rsid w:val="622C715E"/>
    <w:rsid w:val="62A87E16"/>
    <w:rsid w:val="62CA561A"/>
    <w:rsid w:val="6313315F"/>
    <w:rsid w:val="632F68AE"/>
    <w:rsid w:val="63531AF3"/>
    <w:rsid w:val="63CD6C1F"/>
    <w:rsid w:val="643A2D32"/>
    <w:rsid w:val="64A56430"/>
    <w:rsid w:val="65055217"/>
    <w:rsid w:val="65BB2793"/>
    <w:rsid w:val="65FF1B98"/>
    <w:rsid w:val="664E27AE"/>
    <w:rsid w:val="664F5C5B"/>
    <w:rsid w:val="667027CF"/>
    <w:rsid w:val="6688694C"/>
    <w:rsid w:val="67112E9A"/>
    <w:rsid w:val="67A410D5"/>
    <w:rsid w:val="68245589"/>
    <w:rsid w:val="68777DD2"/>
    <w:rsid w:val="69201173"/>
    <w:rsid w:val="69983CE0"/>
    <w:rsid w:val="6A1C1694"/>
    <w:rsid w:val="6A751DB0"/>
    <w:rsid w:val="6AB95533"/>
    <w:rsid w:val="6B037E0E"/>
    <w:rsid w:val="6BDE41BB"/>
    <w:rsid w:val="6C450F18"/>
    <w:rsid w:val="6C4C208C"/>
    <w:rsid w:val="6C5462A8"/>
    <w:rsid w:val="6C917FD7"/>
    <w:rsid w:val="6D865F2E"/>
    <w:rsid w:val="6E1F5E9D"/>
    <w:rsid w:val="6E3A2CD6"/>
    <w:rsid w:val="70741DD0"/>
    <w:rsid w:val="71BB7860"/>
    <w:rsid w:val="72440385"/>
    <w:rsid w:val="72C806E0"/>
    <w:rsid w:val="73412411"/>
    <w:rsid w:val="73761484"/>
    <w:rsid w:val="743F3C99"/>
    <w:rsid w:val="74835482"/>
    <w:rsid w:val="74877DC7"/>
    <w:rsid w:val="755802CB"/>
    <w:rsid w:val="75890D8F"/>
    <w:rsid w:val="75B043EA"/>
    <w:rsid w:val="76D90F68"/>
    <w:rsid w:val="7706409E"/>
    <w:rsid w:val="77C1540B"/>
    <w:rsid w:val="77FC74D1"/>
    <w:rsid w:val="783E7320"/>
    <w:rsid w:val="78CB19C0"/>
    <w:rsid w:val="78F35EFE"/>
    <w:rsid w:val="78FF5669"/>
    <w:rsid w:val="7918780F"/>
    <w:rsid w:val="793275BA"/>
    <w:rsid w:val="79A724F1"/>
    <w:rsid w:val="7A4B7878"/>
    <w:rsid w:val="7A6D100D"/>
    <w:rsid w:val="7BC736D0"/>
    <w:rsid w:val="7C5F16F8"/>
    <w:rsid w:val="7C9D3E10"/>
    <w:rsid w:val="7CAF2E48"/>
    <w:rsid w:val="7CB122FF"/>
    <w:rsid w:val="7CFC55FB"/>
    <w:rsid w:val="7D796C4C"/>
    <w:rsid w:val="7DBA67DE"/>
    <w:rsid w:val="7DEE3421"/>
    <w:rsid w:val="7DF53ACA"/>
    <w:rsid w:val="7E5127EB"/>
    <w:rsid w:val="7E53398F"/>
    <w:rsid w:val="7F0E4C61"/>
    <w:rsid w:val="7F7F4C0B"/>
    <w:rsid w:val="DFABCF0D"/>
    <w:rsid w:val="F7F792C1"/>
    <w:rsid w:val="FDFF4F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qFormat="1" w:uiPriority="0" w:name="heading 2"/>
    <w:lsdException w:qFormat="1" w:uiPriority="0" w:semiHidden="0" w:name="heading 3"/>
    <w:lsdException w:qFormat="1" w:uiPriority="0" w:semiHidden="0" w:name="heading 4"/>
    <w:lsdException w:qFormat="1" w:uiPriority="0" w:semiHidden="0"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qFormat="1" w:uiPriority="0"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qFormat="1"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unhideWhenUsed/>
    <w:qFormat/>
    <w:uiPriority w:val="0"/>
    <w:pPr>
      <w:keepNext/>
      <w:keepLines/>
      <w:numPr>
        <w:ilvl w:val="2"/>
        <w:numId w:val="1"/>
      </w:numPr>
      <w:spacing w:before="240" w:after="240"/>
      <w:jc w:val="left"/>
      <w:outlineLvl w:val="2"/>
    </w:pPr>
    <w:rPr>
      <w:rFonts w:ascii="Times New Roman" w:hAnsi="Times New Roman" w:eastAsia="黑体" w:cstheme="majorBidi"/>
      <w:color w:val="000000" w:themeColor="text1"/>
      <w:sz w:val="30"/>
      <w14:textFill>
        <w14:solidFill>
          <w14:schemeClr w14:val="tx1"/>
        </w14:solidFill>
      </w14:textFill>
    </w:rPr>
  </w:style>
  <w:style w:type="paragraph" w:styleId="4">
    <w:name w:val="heading 4"/>
    <w:basedOn w:val="1"/>
    <w:unhideWhenUsed/>
    <w:qFormat/>
    <w:uiPriority w:val="0"/>
    <w:pPr>
      <w:keepNext/>
      <w:keepLines/>
      <w:numPr>
        <w:ilvl w:val="3"/>
        <w:numId w:val="1"/>
      </w:numPr>
      <w:spacing w:before="280" w:after="290" w:line="372" w:lineRule="auto"/>
      <w:outlineLvl w:val="3"/>
    </w:pPr>
    <w:rPr>
      <w:rFonts w:ascii="DejaVu Sans" w:hAnsi="DejaVu Sans" w:eastAsia="方正黑体_GBK"/>
      <w:b/>
      <w:sz w:val="28"/>
    </w:rPr>
  </w:style>
  <w:style w:type="paragraph" w:styleId="5">
    <w:name w:val="heading 5"/>
    <w:basedOn w:val="1"/>
    <w:unhideWhenUsed/>
    <w:qFormat/>
    <w:uiPriority w:val="0"/>
    <w:pPr>
      <w:keepNext/>
      <w:keepLines/>
      <w:numPr>
        <w:ilvl w:val="4"/>
        <w:numId w:val="1"/>
      </w:numPr>
      <w:spacing w:before="280" w:after="290" w:line="372" w:lineRule="auto"/>
      <w:outlineLvl w:val="4"/>
    </w:pPr>
    <w:rPr>
      <w:b/>
      <w:sz w:val="28"/>
    </w:rPr>
  </w:style>
  <w:style w:type="paragraph" w:styleId="6">
    <w:name w:val="heading 6"/>
    <w:basedOn w:val="1"/>
    <w:semiHidden/>
    <w:unhideWhenUsed/>
    <w:qFormat/>
    <w:uiPriority w:val="0"/>
    <w:pPr>
      <w:keepNext/>
      <w:keepLines/>
      <w:spacing w:before="240" w:after="64" w:line="317" w:lineRule="auto"/>
      <w:outlineLvl w:val="5"/>
    </w:pPr>
    <w:rPr>
      <w:rFonts w:ascii="Arial" w:hAnsi="Arial" w:eastAsia="黑体"/>
      <w:b/>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unhideWhenUsed/>
    <w:qFormat/>
    <w:uiPriority w:val="0"/>
    <w:pPr>
      <w:spacing w:after="120"/>
    </w:pPr>
    <w:rPr>
      <w:rFonts w:ascii="Calibri" w:hAnsi="Calibri"/>
      <w:szCs w:val="22"/>
    </w:rPr>
  </w:style>
  <w:style w:type="paragraph" w:styleId="9">
    <w:name w:val="Plain Text"/>
    <w:basedOn w:val="1"/>
    <w:unhideWhenUsed/>
    <w:qFormat/>
    <w:uiPriority w:val="0"/>
    <w:rPr>
      <w:rFonts w:ascii="宋体" w:hAnsi="Courier New" w:cs="Courier New"/>
      <w:szCs w:val="21"/>
    </w:rPr>
  </w:style>
  <w:style w:type="paragraph" w:styleId="10">
    <w:name w:val="footer"/>
    <w:basedOn w:val="1"/>
    <w:link w:val="18"/>
    <w:qFormat/>
    <w:uiPriority w:val="0"/>
    <w:pPr>
      <w:tabs>
        <w:tab w:val="center" w:pos="4153"/>
        <w:tab w:val="right" w:pos="8306"/>
      </w:tabs>
      <w:snapToGrid w:val="0"/>
      <w:jc w:val="left"/>
    </w:pPr>
    <w:rPr>
      <w:sz w:val="18"/>
      <w:szCs w:val="18"/>
    </w:rPr>
  </w:style>
  <w:style w:type="paragraph" w:styleId="11">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7">
    <w:name w:val="页眉 Char"/>
    <w:basedOn w:val="15"/>
    <w:link w:val="11"/>
    <w:qFormat/>
    <w:uiPriority w:val="0"/>
    <w:rPr>
      <w:rFonts w:asciiTheme="minorHAnsi" w:hAnsiTheme="minorHAnsi" w:eastAsiaTheme="minorEastAsia" w:cstheme="minorBidi"/>
      <w:kern w:val="2"/>
      <w:sz w:val="18"/>
      <w:szCs w:val="18"/>
    </w:rPr>
  </w:style>
  <w:style w:type="character" w:customStyle="1" w:styleId="18">
    <w:name w:val="页脚 Char"/>
    <w:basedOn w:val="15"/>
    <w:link w:val="10"/>
    <w:qFormat/>
    <w:uiPriority w:val="0"/>
    <w:rPr>
      <w:rFonts w:asciiTheme="minorHAnsi" w:hAnsiTheme="minorHAnsi" w:eastAsiaTheme="minorEastAsia" w:cstheme="minorBidi"/>
      <w:kern w:val="2"/>
      <w:sz w:val="18"/>
      <w:szCs w:val="18"/>
    </w:rPr>
  </w:style>
  <w:style w:type="paragraph" w:customStyle="1" w:styleId="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
    <w:name w:val="页脚1"/>
    <w:basedOn w:val="1"/>
    <w:unhideWhenUsed/>
    <w:qFormat/>
    <w:uiPriority w:val="99"/>
    <w:pPr>
      <w:tabs>
        <w:tab w:val="center" w:pos="4153"/>
        <w:tab w:val="right" w:pos="8306"/>
      </w:tabs>
      <w:jc w:val="left"/>
    </w:pPr>
    <w:rPr>
      <w:sz w:val="18"/>
      <w:szCs w:val="18"/>
    </w:rPr>
  </w:style>
  <w:style w:type="paragraph" w:customStyle="1" w:styleId="21">
    <w:name w:val="正文-技术"/>
    <w:basedOn w:val="1"/>
    <w:qFormat/>
    <w:uiPriority w:val="0"/>
    <w:pPr>
      <w:spacing w:line="360" w:lineRule="auto"/>
      <w:ind w:firstLine="420" w:firstLineChars="200"/>
    </w:pPr>
    <w:rPr>
      <w:rFonts w:ascii="Times New Roman" w:hAnsi="Times New Roman" w:eastAsia="宋体" w:cs="Times New Roman"/>
    </w:rPr>
  </w:style>
  <w:style w:type="paragraph" w:customStyle="1" w:styleId="22">
    <w:name w:val="【正文】"/>
    <w:basedOn w:val="1"/>
    <w:qFormat/>
    <w:uiPriority w:val="0"/>
    <w:pPr>
      <w:widowControl/>
      <w:ind w:firstLine="881"/>
    </w:pPr>
    <w:rPr>
      <w:rFonts w:ascii="Wingdings 2" w:hAnsi="Wingdings 2" w:eastAsia="Songti SC Regular" w:cs="黑体"/>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88</Pages>
  <Words>43134</Words>
  <Characters>46000</Characters>
  <Lines>353</Lines>
  <Paragraphs>99</Paragraphs>
  <TotalTime>16</TotalTime>
  <ScaleCrop>false</ScaleCrop>
  <LinksUpToDate>false</LinksUpToDate>
  <CharactersWithSpaces>47844</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2024-08-22T07:45:00Z</dcterms:created>
  <dc:creator>正式环境陈艳测试账号</dc:creator>
  <cp:lastModifiedBy>lenovo</cp:lastModifiedBy>
  <dcterms:modified xsi:type="dcterms:W3CDTF">2024-08-25T00:00:07Z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1C1BD42A94D84AF58DF8D1CAC20D70C5_13</vt:lpwstr>
  </property>
</Properties>
</file>