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1074"/>
        <w:jc w:val="center"/>
        <w:rPr>
          <w:rFonts w:hAnsi="宋体" w:cs="宋体"/>
          <w:b/>
          <w:bCs/>
          <w:color w:val="auto"/>
          <w:sz w:val="96"/>
          <w:szCs w:val="96"/>
          <w:highlight w:val="none"/>
        </w:rPr>
      </w:pPr>
      <w:r>
        <w:rPr>
          <w:rFonts w:hAnsi="宋体" w:cs="宋体"/>
          <w:b/>
          <w:bCs/>
          <w:color w:val="auto"/>
          <w:sz w:val="96"/>
          <w:szCs w:val="96"/>
          <w:highlight w:val="none"/>
        </w:rPr>
      </w:r>
      <w:r/>
    </w:p>
    <w:p>
      <w:pPr>
        <w:pStyle w:val="1074"/>
        <w:jc w:val="center"/>
        <w:rPr>
          <w:rFonts w:hAnsi="宋体" w:cs="宋体"/>
          <w:b/>
          <w:bCs/>
          <w:color w:val="auto"/>
          <w:sz w:val="96"/>
          <w:szCs w:val="96"/>
          <w:highlight w:val="none"/>
        </w:rPr>
      </w:pPr>
      <w:r>
        <w:rPr>
          <w:rFonts w:hint="eastAsia" w:hAnsi="宋体" w:cs="宋体"/>
          <w:b/>
          <w:color w:val="auto"/>
          <w:sz w:val="96"/>
          <w:szCs w:val="96"/>
          <w:highlight w:val="none"/>
        </w:rPr>
        <w:t xml:space="preserve">无锡市政府采购</w:t>
      </w:r>
      <w:r/>
    </w:p>
    <w:p>
      <w:pPr>
        <w:pStyle w:val="1064"/>
        <w:rPr>
          <w:rFonts w:ascii="宋体" w:hAnsi="宋体" w:eastAsia="宋体" w:cs="宋体"/>
          <w:color w:val="auto"/>
          <w:highlight w:val="none"/>
        </w:rPr>
      </w:pPr>
      <w:r>
        <w:rPr>
          <w:rFonts w:ascii="宋体" w:hAnsi="宋体" w:eastAsia="宋体" w:cs="宋体"/>
          <w:color w:val="auto"/>
          <w:highlight w:val="none"/>
        </w:rPr>
      </w:r>
      <w:r/>
    </w:p>
    <w:p>
      <w:pPr>
        <w:pStyle w:val="1074"/>
        <w:jc w:val="center"/>
        <w:rPr>
          <w:rFonts w:hAnsi="宋体" w:cs="宋体"/>
          <w:b/>
          <w:color w:val="auto"/>
          <w:sz w:val="72"/>
          <w:szCs w:val="72"/>
          <w:highlight w:val="none"/>
        </w:rPr>
      </w:pPr>
      <w:r>
        <w:rPr>
          <w:rFonts w:hint="eastAsia" w:hAnsi="宋体" w:cs="宋体"/>
          <w:b/>
          <w:color w:val="auto"/>
          <w:sz w:val="72"/>
          <w:szCs w:val="72"/>
          <w:highlight w:val="none"/>
        </w:rPr>
        <w:t xml:space="preserve">公开招标文件</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p>
    <w:p>
      <w:pPr>
        <w:jc w:val="left"/>
        <w:rPr>
          <w:rFonts w:ascii="宋体" w:hAnsi="宋体" w:eastAsia="宋体" w:cs="宋体"/>
          <w:bCs/>
          <w:color w:val="auto"/>
          <w:sz w:val="30"/>
          <w:highlight w:val="none"/>
        </w:rPr>
      </w:pPr>
      <w:r>
        <w:rPr>
          <w:rFonts w:ascii="宋体" w:hAnsi="宋体" w:eastAsia="宋体" w:cs="宋体"/>
          <w:bCs/>
          <w:color w:val="auto"/>
          <w:sz w:val="30"/>
          <w:highlight w:val="none"/>
        </w:rPr>
      </w:r>
      <w:r/>
    </w:p>
    <w:p>
      <w:pPr>
        <w:pStyle w:val="853"/>
        <w:rPr>
          <w:color w:val="auto"/>
          <w:sz w:val="30"/>
          <w:szCs w:val="30"/>
          <w:highlight w:val="none"/>
          <w:lang w:eastAsia="zh-CN"/>
        </w:rPr>
      </w:pPr>
      <w:r>
        <w:rPr>
          <w:color w:val="auto"/>
          <w:sz w:val="30"/>
          <w:szCs w:val="30"/>
          <w:highlight w:val="none"/>
          <w:lang w:eastAsia="zh-CN"/>
        </w:rPr>
      </w:r>
      <w:r/>
    </w:p>
    <w:p>
      <w:pPr>
        <w:jc w:val="left"/>
        <w:spacing w:line="360" w:lineRule="auto"/>
        <w:rPr>
          <w:rFonts w:ascii="宋体" w:hAnsi="宋体" w:eastAsia="宋体" w:cs="宋体"/>
          <w:b/>
          <w:bCs/>
          <w:color w:val="auto"/>
          <w:spacing w:val="108"/>
          <w:sz w:val="32"/>
          <w:szCs w:val="32"/>
          <w:highlight w:val="none"/>
        </w:rPr>
        <w:outlineLvl w:val="0"/>
      </w:pPr>
      <w:r>
        <w:rPr>
          <w:rFonts w:ascii="宋体" w:hAnsi="宋体" w:eastAsia="宋体" w:cs="宋体"/>
          <w:b/>
          <w:bCs/>
          <w:color w:val="auto"/>
          <w:spacing w:val="108"/>
          <w:sz w:val="32"/>
          <w:szCs w:val="32"/>
          <w:highlight w:val="none"/>
        </w:rPr>
      </w:r>
      <w:r/>
    </w:p>
    <w:p>
      <w:pPr>
        <w:jc w:val="left"/>
        <w:spacing w:line="360" w:lineRule="auto"/>
        <w:rPr>
          <w:rFonts w:ascii="宋体" w:hAnsi="宋体" w:eastAsia="宋体" w:cs="宋体"/>
          <w:b/>
          <w:bCs/>
          <w:color w:val="auto"/>
          <w:spacing w:val="108"/>
          <w:sz w:val="32"/>
          <w:szCs w:val="32"/>
          <w:highlight w:val="none"/>
        </w:rPr>
        <w:outlineLvl w:val="0"/>
      </w:pPr>
      <w:r>
        <w:rPr>
          <w:rFonts w:ascii="宋体" w:hAnsi="宋体" w:eastAsia="宋体" w:cs="宋体"/>
          <w:b/>
          <w:bCs/>
          <w:color w:val="auto"/>
          <w:spacing w:val="108"/>
          <w:sz w:val="32"/>
          <w:szCs w:val="32"/>
          <w:highlight w:val="none"/>
        </w:rPr>
      </w:r>
      <w:r/>
    </w:p>
    <w:p>
      <w:pPr>
        <w:ind w:firstLine="537"/>
        <w:jc w:val="left"/>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b/>
          <w:color w:val="auto"/>
          <w:sz w:val="32"/>
          <w:szCs w:val="32"/>
          <w:highlight w:val="none"/>
          <w:lang w:eastAsia="zh-CN"/>
        </w:rPr>
        <w:t xml:space="preserve">新能源</w:t>
      </w:r>
      <w:r>
        <w:rPr>
          <w:rFonts w:hint="eastAsia" w:ascii="宋体" w:hAnsi="宋体" w:eastAsia="宋体" w:cs="宋体"/>
          <w:b/>
          <w:color w:val="auto"/>
          <w:sz w:val="32"/>
          <w:szCs w:val="32"/>
          <w:highlight w:val="none"/>
        </w:rPr>
        <w:t xml:space="preserve">转运车采购项目</w:t>
      </w:r>
      <w:r/>
    </w:p>
    <w:p>
      <w:pPr>
        <w:ind w:firstLine="537"/>
        <w:jc w:val="left"/>
        <w:spacing w:line="360" w:lineRule="auto"/>
        <w:rPr>
          <w:rFonts w:ascii="宋体" w:hAnsi="宋体" w:eastAsia="宋体" w:cs="宋体"/>
          <w:b/>
          <w:bCs/>
          <w:color w:val="auto"/>
          <w:sz w:val="32"/>
          <w:szCs w:val="32"/>
          <w:highlight w:val="none"/>
        </w:rPr>
        <w:outlineLvl w:val="0"/>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号：JSZC-320200-JYJH-G2025-0003</w:t>
      </w:r>
      <w:r/>
    </w:p>
    <w:p>
      <w:pPr>
        <w:ind w:firstLine="537"/>
        <w:jc w:val="left"/>
        <w:spacing w:line="360" w:lineRule="auto"/>
        <w:rPr>
          <w:rFonts w:ascii="宋体" w:hAnsi="宋体" w:eastAsia="宋体" w:cs="宋体"/>
          <w:b/>
          <w:bCs/>
          <w:color w:val="auto"/>
          <w:sz w:val="30"/>
          <w:szCs w:val="30"/>
          <w:highlight w:val="none"/>
        </w:rPr>
        <w:outlineLvl w:val="0"/>
      </w:pPr>
      <w:r>
        <w:rPr>
          <w:rFonts w:hint="eastAsia" w:ascii="宋体" w:hAnsi="宋体" w:eastAsia="宋体" w:cs="宋体"/>
          <w:b/>
          <w:bCs/>
          <w:color w:val="auto"/>
          <w:spacing w:val="108"/>
          <w:sz w:val="32"/>
          <w:szCs w:val="32"/>
          <w:highlight w:val="none"/>
        </w:rPr>
        <w:t xml:space="preserve">采购单</w:t>
      </w:r>
      <w:r>
        <w:rPr>
          <w:rFonts w:hint="eastAsia" w:ascii="宋体" w:hAnsi="宋体" w:eastAsia="宋体" w:cs="宋体"/>
          <w:b/>
          <w:bCs/>
          <w:color w:val="auto"/>
          <w:sz w:val="32"/>
          <w:szCs w:val="32"/>
          <w:highlight w:val="none"/>
        </w:rPr>
        <w:t xml:space="preserve">位：</w:t>
      </w:r>
      <w:r>
        <w:rPr>
          <w:rFonts w:hint="eastAsia" w:ascii="宋体" w:hAnsi="宋体" w:eastAsia="宋体" w:cs="宋体"/>
          <w:b/>
          <w:bCs/>
          <w:color w:val="auto"/>
          <w:sz w:val="30"/>
          <w:szCs w:val="30"/>
          <w:highlight w:val="none"/>
        </w:rPr>
        <w:t xml:space="preserve">无锡市环境卫生管理服务中心</w:t>
      </w:r>
      <w:r/>
    </w:p>
    <w:p>
      <w:pPr>
        <w:ind w:firstLine="643"/>
        <w:jc w:val="left"/>
        <w:spacing w:line="360" w:lineRule="auto"/>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江苏建亨工程管理咨询有限公司</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jc w:val="center"/>
        <w:rPr>
          <w:rFonts w:ascii="宋体" w:hAnsi="宋体" w:eastAsia="宋体" w:cs="宋体"/>
          <w:b/>
          <w:color w:val="auto"/>
          <w:sz w:val="40"/>
          <w:szCs w:val="40"/>
          <w:highlight w:val="none"/>
        </w:rPr>
      </w:pPr>
      <w:r>
        <w:rPr>
          <w:rFonts w:ascii="宋体" w:hAnsi="宋体" w:eastAsia="宋体" w:cs="宋体"/>
          <w:b/>
          <w:color w:val="auto"/>
          <w:sz w:val="40"/>
          <w:szCs w:val="40"/>
          <w:highlight w:val="none"/>
        </w:rPr>
      </w:r>
      <w:r/>
    </w:p>
    <w:p>
      <w:pPr>
        <w:jc w:val="center"/>
        <w:rPr>
          <w:rFonts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二○二</w:t>
      </w:r>
      <w:r>
        <w:rPr>
          <w:rFonts w:hint="eastAsia" w:ascii="宋体" w:hAnsi="宋体" w:eastAsia="宋体" w:cs="宋体"/>
          <w:b/>
          <w:color w:val="auto"/>
          <w:sz w:val="40"/>
          <w:szCs w:val="40"/>
          <w:highlight w:val="none"/>
          <w:lang w:val="en-US" w:eastAsia="zh-CN"/>
        </w:rPr>
        <w:t xml:space="preserve">五</w:t>
      </w:r>
      <w:r>
        <w:rPr>
          <w:rFonts w:hint="eastAsia" w:ascii="宋体" w:hAnsi="宋体" w:eastAsia="宋体" w:cs="宋体"/>
          <w:b/>
          <w:color w:val="auto"/>
          <w:sz w:val="40"/>
          <w:szCs w:val="40"/>
          <w:highlight w:val="none"/>
        </w:rPr>
        <w:t xml:space="preserve">年</w:t>
      </w:r>
      <w:r>
        <w:rPr>
          <w:rFonts w:hint="eastAsia" w:ascii="宋体" w:hAnsi="宋体" w:eastAsia="宋体" w:cs="宋体"/>
          <w:b/>
          <w:color w:val="auto"/>
          <w:sz w:val="40"/>
          <w:szCs w:val="40"/>
          <w:highlight w:val="none"/>
          <w:lang w:eastAsia="zh-CN"/>
        </w:rPr>
        <w:t xml:space="preserve">七</w:t>
      </w:r>
      <w:r>
        <w:rPr>
          <w:rFonts w:hint="eastAsia" w:ascii="宋体" w:hAnsi="宋体" w:eastAsia="宋体" w:cs="宋体"/>
          <w:b/>
          <w:color w:val="auto"/>
          <w:sz w:val="40"/>
          <w:szCs w:val="40"/>
          <w:highlight w:val="none"/>
        </w:rPr>
        <w:t xml:space="preserve">月</w:t>
      </w:r>
      <w:r/>
    </w:p>
    <w:p>
      <w:pPr>
        <w:rPr>
          <w:rStyle w:val="1106"/>
          <w:rFonts w:ascii="宋体" w:hAnsi="宋体" w:eastAsia="宋体" w:cs="宋体"/>
          <w:color w:val="auto"/>
          <w:sz w:val="48"/>
          <w:szCs w:val="48"/>
          <w:highlight w:val="none"/>
        </w:rPr>
      </w:pPr>
      <w:r>
        <w:rPr>
          <w:rFonts w:ascii="宋体" w:hAnsi="宋体" w:eastAsia="宋体" w:cs="宋体"/>
          <w:color w:val="auto"/>
          <w:sz w:val="48"/>
          <w:szCs w:val="48"/>
          <w:highlight w:val="none"/>
        </w:rPr>
      </w:r>
      <w:r/>
    </w:p>
    <w:p>
      <w:pPr>
        <w:jc w:val="center"/>
        <w:rPr>
          <w:rStyle w:val="1106"/>
          <w:rFonts w:ascii="宋体" w:hAnsi="宋体" w:eastAsia="宋体" w:cs="宋体"/>
          <w:color w:val="auto"/>
          <w:sz w:val="48"/>
          <w:szCs w:val="48"/>
          <w:highlight w:val="none"/>
        </w:rPr>
      </w:pPr>
      <w:r>
        <w:rPr>
          <w:rFonts w:ascii="宋体" w:hAnsi="宋体" w:eastAsia="宋体" w:cs="宋体"/>
          <w:color w:val="auto"/>
          <w:sz w:val="48"/>
          <w:szCs w:val="48"/>
          <w:highlight w:val="none"/>
        </w:rPr>
      </w:r>
      <w:r/>
    </w:p>
    <w:p>
      <w:pPr>
        <w:jc w:val="center"/>
        <w:rPr>
          <w:rStyle w:val="1106"/>
          <w:rFonts w:ascii="宋体" w:hAnsi="宋体" w:eastAsia="宋体" w:cs="宋体"/>
          <w:color w:val="auto"/>
          <w:sz w:val="48"/>
          <w:szCs w:val="48"/>
          <w:highlight w:val="none"/>
        </w:rPr>
      </w:pPr>
      <w:r>
        <w:rPr>
          <w:rFonts w:ascii="宋体" w:hAnsi="宋体" w:eastAsia="宋体" w:cs="宋体"/>
          <w:color w:val="auto"/>
          <w:sz w:val="48"/>
          <w:szCs w:val="48"/>
          <w:highlight w:val="none"/>
        </w:rPr>
      </w:r>
      <w:r/>
    </w:p>
    <w:p>
      <w:pPr>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clear="all"/>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1064"/>
        <w:rPr>
          <w:rFonts w:ascii="宋体" w:hAnsi="宋体" w:eastAsia="宋体" w:cs="宋体"/>
          <w:color w:val="auto"/>
          <w:highlight w:val="none"/>
        </w:rPr>
      </w:pPr>
      <w:r>
        <w:rPr>
          <w:rFonts w:ascii="宋体" w:hAnsi="宋体" w:eastAsia="宋体" w:cs="宋体"/>
          <w:color w:val="auto"/>
          <w:highlight w:val="none"/>
        </w:rPr>
      </w:r>
      <w:r/>
    </w:p>
    <w:p>
      <w:pPr>
        <w:pStyle w:val="1087"/>
        <w:jc w:val="both"/>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一、投标邀请函............................................3</w:t>
      </w:r>
      <w:r/>
    </w:p>
    <w:p>
      <w:pPr>
        <w:pStyle w:val="1087"/>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87"/>
        <w:jc w:val="both"/>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二、供应商须知............................................</w:t>
      </w:r>
      <w:r>
        <w:rPr>
          <w:rFonts w:hint="eastAsia" w:ascii="宋体" w:hAnsi="宋体" w:eastAsia="宋体" w:cs="宋体"/>
          <w:bCs/>
          <w:color w:val="auto"/>
          <w:sz w:val="28"/>
          <w:szCs w:val="28"/>
          <w:highlight w:val="none"/>
          <w:lang w:val="en-US" w:eastAsia="zh-CN"/>
        </w:rPr>
        <w:t xml:space="preserve">7</w:t>
      </w:r>
      <w:r/>
    </w:p>
    <w:p>
      <w:pPr>
        <w:pStyle w:val="1087"/>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87"/>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三、项目要求和有关说明...................................</w:t>
      </w:r>
      <w:r>
        <w:rPr>
          <w:rFonts w:hint="eastAsia" w:ascii="宋体" w:hAnsi="宋体" w:eastAsia="宋体" w:cs="宋体"/>
          <w:bCs/>
          <w:color w:val="auto"/>
          <w:sz w:val="28"/>
          <w:szCs w:val="28"/>
          <w:highlight w:val="none"/>
          <w:lang w:val="en-US" w:eastAsia="zh-CN"/>
        </w:rPr>
        <w:t xml:space="preserve">20</w:t>
      </w:r>
      <w:r/>
    </w:p>
    <w:p>
      <w:pPr>
        <w:pStyle w:val="1087"/>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87"/>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四、合同书（格式）.......................................</w:t>
      </w:r>
      <w:r>
        <w:rPr>
          <w:rFonts w:hint="eastAsia" w:ascii="宋体" w:hAnsi="宋体" w:eastAsia="宋体" w:cs="宋体"/>
          <w:bCs/>
          <w:color w:val="auto"/>
          <w:sz w:val="28"/>
          <w:szCs w:val="28"/>
          <w:highlight w:val="none"/>
          <w:lang w:val="en-US" w:eastAsia="zh-CN"/>
        </w:rPr>
        <w:t xml:space="preserve">33</w:t>
      </w:r>
      <w:r/>
    </w:p>
    <w:p>
      <w:pPr>
        <w:pStyle w:val="1087"/>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87"/>
        <w:jc w:val="both"/>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五、合同条款.............................................3</w:t>
      </w:r>
      <w:r>
        <w:rPr>
          <w:rFonts w:hint="eastAsia" w:ascii="宋体" w:hAnsi="宋体" w:eastAsia="宋体" w:cs="宋体"/>
          <w:bCs/>
          <w:color w:val="auto"/>
          <w:sz w:val="28"/>
          <w:szCs w:val="28"/>
          <w:highlight w:val="none"/>
          <w:lang w:val="en-US" w:eastAsia="zh-CN"/>
        </w:rPr>
        <w:t xml:space="preserve">7</w:t>
      </w:r>
      <w:r/>
    </w:p>
    <w:p>
      <w:pPr>
        <w:pStyle w:val="1087"/>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1087"/>
        <w:jc w:val="both"/>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六、附件.................................................4</w:t>
      </w:r>
      <w:r>
        <w:rPr>
          <w:rFonts w:hint="eastAsia" w:ascii="宋体" w:hAnsi="宋体" w:eastAsia="宋体" w:cs="宋体"/>
          <w:bCs/>
          <w:color w:val="auto"/>
          <w:sz w:val="28"/>
          <w:szCs w:val="28"/>
          <w:highlight w:val="none"/>
          <w:lang w:val="en-US" w:eastAsia="zh-CN"/>
        </w:rPr>
        <w:t xml:space="preserve">4</w:t>
      </w:r>
      <w:r/>
    </w:p>
    <w:p>
      <w:pPr>
        <w:pStyle w:val="1087"/>
        <w:rPr>
          <w:rFonts w:ascii="宋体" w:hAnsi="宋体" w:eastAsia="宋体" w:cs="宋体"/>
          <w:bCs/>
          <w:color w:val="auto"/>
          <w:highlight w:val="none"/>
        </w:rPr>
      </w:pPr>
      <w:r>
        <w:rPr>
          <w:rFonts w:ascii="宋体" w:hAnsi="宋体" w:eastAsia="宋体" w:cs="宋体"/>
          <w:bCs/>
          <w:color w:val="auto"/>
          <w:highlight w:val="none"/>
        </w:rPr>
      </w:r>
      <w:r/>
    </w:p>
    <w:p>
      <w:pPr>
        <w:pStyle w:val="894"/>
        <w:rPr>
          <w:rStyle w:val="1112"/>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pStyle w:val="894"/>
        <w:rPr>
          <w:rStyle w:val="1112"/>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pStyle w:val="894"/>
        <w:rPr>
          <w:rStyle w:val="1112"/>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pStyle w:val="894"/>
        <w:rPr>
          <w:rStyle w:val="1112"/>
          <w:rFonts w:ascii="宋体" w:hAnsi="宋体" w:eastAsia="宋体" w:cs="宋体"/>
          <w:b/>
          <w:bCs/>
          <w:smallCaps/>
          <w:color w:val="auto"/>
          <w:sz w:val="24"/>
          <w:szCs w:val="24"/>
          <w:highlight w:val="none"/>
        </w:rPr>
      </w:pPr>
      <w:r>
        <w:rPr>
          <w:rFonts w:ascii="宋体" w:hAnsi="宋体" w:eastAsia="宋体" w:cs="宋体"/>
          <w:b/>
          <w:bCs/>
          <w:smallCaps/>
          <w:color w:val="auto"/>
          <w:sz w:val="24"/>
          <w:szCs w:val="24"/>
          <w:highlight w:val="none"/>
        </w:rPr>
      </w:r>
      <w:r/>
    </w:p>
    <w:p>
      <w:pP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numPr>
          <w:ilvl w:val="0"/>
          <w:numId w:val="2"/>
        </w:numPr>
        <w:jc w:val="cente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ind w:firstLine="480"/>
        <w:jc w:val="left"/>
        <w:spacing w:line="360" w:lineRule="auto"/>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受无锡市环境卫生管理服务中心委托，对</w:t>
      </w:r>
      <w:r>
        <w:rPr>
          <w:rFonts w:hint="eastAsia" w:ascii="宋体" w:hAnsi="宋体" w:eastAsia="宋体" w:cs="宋体"/>
          <w:bCs/>
          <w:color w:val="auto"/>
          <w:sz w:val="24"/>
          <w:szCs w:val="24"/>
          <w:highlight w:val="none"/>
          <w:lang w:eastAsia="zh-CN"/>
        </w:rPr>
        <w:t xml:space="preserve">新能源转运车采购项目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（一）招标项目信息</w:t>
      </w:r>
      <w:r/>
    </w:p>
    <w:p>
      <w:pPr>
        <w:ind w:left="0" w:firstLine="480"/>
        <w:jc w:val="left"/>
        <w:spacing w:line="360" w:lineRule="auto"/>
        <w:shd w:val="clear" w:color="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新能源转运车采购项目</w:t>
      </w:r>
      <w:r/>
    </w:p>
    <w:p>
      <w:pPr>
        <w:ind w:firstLine="480"/>
        <w:jc w:val="left"/>
        <w:spacing w:line="360" w:lineRule="auto"/>
        <w:shd w:val="clear" w:color="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2.项目编号：</w:t>
      </w:r>
      <w:r>
        <w:rPr>
          <w:rFonts w:hint="eastAsia" w:ascii="宋体" w:hAnsi="宋体" w:eastAsia="宋体" w:cs="宋体"/>
          <w:bCs/>
          <w:color w:val="auto"/>
          <w:sz w:val="24"/>
          <w:szCs w:val="24"/>
          <w:highlight w:val="none"/>
          <w:lang w:eastAsia="zh-CN"/>
        </w:rPr>
        <w:t xml:space="preserve">JSZC-320200-JYJH-G2025-0003</w:t>
      </w:r>
      <w:r/>
    </w:p>
    <w:p>
      <w:pPr>
        <w:ind w:firstLine="480"/>
        <w:jc w:val="left"/>
        <w:spacing w:line="360" w:lineRule="auto"/>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3.项目预算：</w:t>
      </w:r>
      <w:r>
        <w:rPr>
          <w:rFonts w:hint="eastAsia" w:ascii="宋体" w:hAnsi="宋体" w:eastAsia="宋体" w:cs="宋体"/>
          <w:bCs/>
          <w:color w:val="auto"/>
          <w:sz w:val="24"/>
          <w:szCs w:val="24"/>
          <w:highlight w:val="none"/>
          <w:lang w:val="en-US" w:eastAsia="zh-CN"/>
        </w:rPr>
        <w:t xml:space="preserve">2944</w:t>
      </w:r>
      <w:r>
        <w:rPr>
          <w:rFonts w:hint="eastAsia" w:ascii="宋体" w:hAnsi="宋体" w:eastAsia="宋体" w:cs="宋体"/>
          <w:bCs/>
          <w:color w:val="auto"/>
          <w:sz w:val="24"/>
          <w:szCs w:val="24"/>
          <w:highlight w:val="none"/>
        </w:rPr>
        <w:t xml:space="preserve">万元，投标最高限价为</w:t>
      </w:r>
      <w:r>
        <w:rPr>
          <w:rFonts w:hint="eastAsia" w:ascii="宋体" w:hAnsi="宋体" w:eastAsia="宋体" w:cs="宋体"/>
          <w:bCs/>
          <w:color w:val="auto"/>
          <w:sz w:val="24"/>
          <w:szCs w:val="24"/>
          <w:highlight w:val="none"/>
          <w:lang w:val="en-US" w:eastAsia="zh-CN"/>
        </w:rPr>
        <w:t xml:space="preserve">2944</w:t>
      </w:r>
      <w:r>
        <w:rPr>
          <w:rFonts w:hint="eastAsia" w:ascii="宋体" w:hAnsi="宋体" w:eastAsia="宋体" w:cs="宋体"/>
          <w:bCs/>
          <w:color w:val="auto"/>
          <w:sz w:val="24"/>
          <w:szCs w:val="24"/>
          <w:highlight w:val="none"/>
        </w:rPr>
        <w:t xml:space="preserve">万元，1</w:t>
      </w:r>
      <w:r>
        <w:rPr>
          <w:rFonts w:hint="eastAsia" w:ascii="宋体" w:hAnsi="宋体" w:eastAsia="宋体" w:cs="宋体"/>
          <w:bCs/>
          <w:color w:val="auto"/>
          <w:sz w:val="24"/>
          <w:szCs w:val="24"/>
          <w:highlight w:val="none"/>
          <w:lang w:val="en-US" w:eastAsia="zh-CN"/>
        </w:rPr>
        <w:t xml:space="preserve">28</w:t>
      </w:r>
      <w:r>
        <w:rPr>
          <w:rFonts w:hint="eastAsia" w:ascii="宋体" w:hAnsi="宋体" w:eastAsia="宋体" w:cs="宋体"/>
          <w:bCs/>
          <w:color w:val="auto"/>
          <w:sz w:val="24"/>
          <w:szCs w:val="24"/>
          <w:highlight w:val="none"/>
        </w:rPr>
        <w:t xml:space="preserve">万元/辆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投标报价不得超过最高限价，否则作无效响应文件处理。</w:t>
      </w:r>
      <w:r/>
    </w:p>
    <w:p>
      <w:pPr>
        <w:ind w:firstLine="480"/>
        <w:jc w:val="both"/>
        <w:spacing w:line="360" w:lineRule="auto"/>
        <w:shd w:val="clear" w:color="auto" w:fill="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rPr>
        <w:t xml:space="preserve">4.合同履约期限：</w:t>
      </w:r>
      <w:r>
        <w:rPr>
          <w:rFonts w:hint="eastAsia" w:ascii="宋体" w:hAnsi="宋体" w:eastAsia="宋体" w:cs="宋体"/>
          <w:bCs w:val="0"/>
          <w:color w:val="auto"/>
          <w:sz w:val="24"/>
          <w:szCs w:val="24"/>
          <w:highlight w:val="none"/>
          <w:lang w:val="zh-CN" w:eastAsia="zh-CN"/>
        </w:rPr>
        <w:t xml:space="preserve">合同签订生效后，60日历天内完成至少3辆车辆的生产及交货。90日历天内完成10辆车辆的生产及交货；其余车辆在收到采购人书面通知后</w:t>
      </w:r>
      <w:r>
        <w:rPr>
          <w:rFonts w:hint="eastAsia" w:ascii="宋体" w:hAnsi="宋体" w:eastAsia="宋体" w:cs="宋体"/>
          <w:bCs w:val="0"/>
          <w:color w:val="auto"/>
          <w:sz w:val="24"/>
          <w:szCs w:val="24"/>
          <w:highlight w:val="none"/>
          <w:lang w:val="en-US" w:eastAsia="zh-CN"/>
        </w:rPr>
        <w:t xml:space="preserve">60天内</w:t>
      </w:r>
      <w:r>
        <w:rPr>
          <w:rFonts w:hint="eastAsia" w:ascii="宋体" w:hAnsi="宋体" w:eastAsia="宋体" w:cs="宋体"/>
          <w:bCs w:val="0"/>
          <w:color w:val="auto"/>
          <w:sz w:val="24"/>
          <w:szCs w:val="24"/>
          <w:highlight w:val="none"/>
          <w:lang w:val="zh-CN" w:eastAsia="zh-CN"/>
        </w:rPr>
        <w:t xml:space="preserve">进行交付（</w:t>
      </w:r>
      <w:r>
        <w:rPr>
          <w:rFonts w:hint="eastAsia" w:ascii="宋体" w:hAnsi="宋体" w:eastAsia="宋体" w:cs="宋体"/>
          <w:bCs w:val="0"/>
          <w:color w:val="auto"/>
          <w:sz w:val="24"/>
          <w:szCs w:val="24"/>
          <w:highlight w:val="none"/>
          <w:lang w:val="en-US" w:eastAsia="zh-CN"/>
        </w:rPr>
        <w:t xml:space="preserve">采购人承诺书面通知的最晚时间为2025年12月1日</w:t>
      </w:r>
      <w:r>
        <w:rPr>
          <w:rFonts w:hint="eastAsia" w:ascii="宋体" w:hAnsi="宋体" w:eastAsia="宋体" w:cs="宋体"/>
          <w:bCs w:val="0"/>
          <w:color w:val="auto"/>
          <w:sz w:val="24"/>
          <w:szCs w:val="24"/>
          <w:highlight w:val="none"/>
          <w:lang w:val="zh-CN" w:eastAsia="zh-CN"/>
        </w:rPr>
        <w:t xml:space="preserve">）。交货时供应商已办理完毕无锡牌照，并购买至少1年保险</w:t>
      </w:r>
      <w:r>
        <w:rPr>
          <w:rFonts w:hint="eastAsia" w:ascii="宋体" w:hAnsi="宋体" w:eastAsia="宋体" w:cs="宋体"/>
          <w:bCs w:val="0"/>
          <w:color w:val="auto"/>
          <w:sz w:val="24"/>
          <w:szCs w:val="24"/>
          <w:highlight w:val="none"/>
          <w:lang w:val="zh-CN"/>
        </w:rPr>
        <w:t xml:space="preserve">。</w:t>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5.交货地点：梁溪区生活垃圾转运站项目现场。</w:t>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6.质保期：整车</w:t>
      </w:r>
      <w:r>
        <w:rPr>
          <w:rFonts w:hint="eastAsia" w:ascii="宋体" w:hAnsi="宋体" w:eastAsia="宋体" w:cs="宋体"/>
          <w:bCs/>
          <w:color w:val="auto"/>
          <w:sz w:val="24"/>
          <w:szCs w:val="24"/>
          <w:highlight w:val="none"/>
          <w:lang w:eastAsia="zh-CN"/>
        </w:rPr>
        <w:t xml:space="preserve">（除三电系统外）</w:t>
      </w:r>
      <w:r>
        <w:rPr>
          <w:rFonts w:hint="eastAsia" w:ascii="宋体" w:hAnsi="宋体" w:eastAsia="宋体" w:cs="宋体"/>
          <w:bCs/>
          <w:color w:val="auto"/>
          <w:sz w:val="24"/>
          <w:szCs w:val="24"/>
          <w:highlight w:val="none"/>
        </w:rPr>
        <w:t xml:space="preserve">质保不少于2年，三电系统质保不少于</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年。</w:t>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.采购方式：公开招标</w:t>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.本项目标的所属行业：工业（制造业）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9.本项目是否专门面向中小企业：否</w:t>
      </w:r>
      <w:r/>
    </w:p>
    <w:p>
      <w:pPr>
        <w:ind w:firstLine="480"/>
        <w:jc w:val="left"/>
        <w:spacing w:line="360" w:lineRule="auto"/>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10.本项目</w:t>
      </w:r>
      <w:r>
        <w:rPr>
          <w:rFonts w:hint="eastAsia" w:ascii="宋体" w:hAnsi="宋体" w:eastAsia="宋体" w:cs="宋体"/>
          <w:b w:val="0"/>
          <w:bCs/>
          <w:color w:val="auto"/>
          <w:sz w:val="24"/>
          <w:szCs w:val="24"/>
          <w:highlight w:val="none"/>
        </w:rPr>
        <w:t xml:space="preserve">不接受</w:t>
      </w:r>
      <w:r>
        <w:rPr>
          <w:rFonts w:hint="eastAsia" w:ascii="宋体" w:hAnsi="宋体" w:eastAsia="宋体" w:cs="宋体"/>
          <w:bCs/>
          <w:color w:val="auto"/>
          <w:sz w:val="24"/>
          <w:szCs w:val="24"/>
          <w:highlight w:val="none"/>
        </w:rPr>
        <w:t xml:space="preserve">进口产品投标。</w:t>
      </w:r>
      <w:r/>
    </w:p>
    <w:p>
      <w:pPr>
        <w:ind w:firstLine="480"/>
        <w:jc w:val="left"/>
        <w:spacing w:line="360" w:lineRule="auto"/>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11.本项目</w:t>
      </w:r>
      <w:r>
        <w:rPr>
          <w:rFonts w:hint="eastAsia" w:ascii="宋体" w:hAnsi="宋体" w:eastAsia="宋体" w:cs="宋体"/>
          <w:b w:val="0"/>
          <w:bCs/>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0"/>
        <w:jc w:val="left"/>
        <w:spacing w:line="360" w:lineRule="auto"/>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（二）供应商资格要求</w:t>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1.满足《中华人民共和国政府采购法》第二十二条规定；</w:t>
      </w:r>
      <w:r/>
    </w:p>
    <w:p>
      <w:pPr>
        <w:ind w:firstLine="480"/>
        <w:jc w:val="left"/>
        <w:spacing w:line="360" w:lineRule="auto"/>
        <w:shd w:val="clear" w:color="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"http://www.creditchina.gov.cn"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3.落实政府采购政策需满足的资格要求：无</w:t>
      </w:r>
      <w:r/>
    </w:p>
    <w:p>
      <w:pPr>
        <w:ind w:firstLine="480"/>
        <w:jc w:val="left"/>
        <w:spacing w:line="360" w:lineRule="auto"/>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4.本项目的特定资格要求：无</w:t>
      </w:r>
      <w:r/>
    </w:p>
    <w:p>
      <w:pPr>
        <w:ind w:firstLine="480"/>
        <w:jc w:val="left"/>
        <w:spacing w:line="360" w:lineRule="auto"/>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（三）供应商主体信息库注册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3.如供应商未按上述要求操作，由此所产生的损失及风险由供应商自行承担。</w:t>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bookmarkStart w:id="0" w:name="_Toc112006902"/>
      <w:r>
        <w:rPr>
          <w:rFonts w:hint="eastAsia" w:ascii="宋体" w:hAnsi="宋体" w:eastAsia="宋体" w:cs="宋体"/>
          <w:b w:val="0"/>
          <w:bCs/>
          <w:color w:val="auto"/>
          <w:sz w:val="24"/>
          <w:szCs w:val="24"/>
          <w:highlight w:val="none"/>
        </w:rPr>
        <w:t xml:space="preserve">（四）获取采购文件</w:t>
      </w:r>
      <w:bookmarkEnd w:id="0"/>
      <w:r/>
      <w:r/>
    </w:p>
    <w:p>
      <w:pPr>
        <w:ind w:firstLine="480"/>
        <w:jc w:val="left"/>
        <w:spacing w:line="360" w:lineRule="auto"/>
        <w:shd w:val="clear" w:color="auto"/>
        <w:widowControl/>
        <w:rPr>
          <w:rFonts w:hint="eastAsia" w:ascii="宋体" w:hAnsi="宋体" w:eastAsia="宋体" w:cs="宋体"/>
          <w:bCs/>
          <w:color w:val="auto"/>
          <w:sz w:val="24"/>
          <w:szCs w:val="24"/>
          <w:highlight w:val="none"/>
        </w:rPr>
      </w:pPr>
      <w:r/>
      <w:bookmarkStart w:id="1" w:name="_Toc112006903"/>
      <w:r>
        <w:rPr>
          <w:rFonts w:hint="eastAsia" w:ascii="宋体" w:hAnsi="宋体" w:eastAsia="宋体" w:cs="宋体"/>
          <w:bCs/>
          <w:color w:val="auto"/>
          <w:sz w:val="24"/>
          <w:szCs w:val="24"/>
          <w:highlight w:val="none"/>
        </w:rPr>
        <w:t xml:space="preserve">供应商可在财政部门指定媒体发布的公告附件中查看公开招标文件，如确定参加本次采购活动</w:t>
      </w:r>
      <w:r>
        <w:rPr>
          <w:rFonts w:hint="eastAsia" w:ascii="宋体" w:hAnsi="宋体" w:eastAsia="宋体" w:cs="宋体"/>
          <w:bCs/>
          <w:color w:val="auto"/>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jc w:val="left"/>
        <w:spacing w:line="360" w:lineRule="auto"/>
        <w:shd w:val="clear" w:color="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（五）公开答疑时间、地点</w:t>
      </w:r>
      <w:bookmarkEnd w:id="1"/>
      <w:r/>
      <w:r/>
    </w:p>
    <w:p>
      <w:pPr>
        <w:ind w:firstLine="720"/>
        <w:spacing w:line="360" w:lineRule="auto"/>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color w:val="auto"/>
          <w:highlight w:val="none"/>
        </w:rPr>
        <w:fldChar w:fldCharType="separate"/>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江苏建亨工程管理咨询有限公司</w:t>
      </w:r>
      <w:r>
        <w:rPr>
          <w:rFonts w:hint="eastAsia" w:ascii="宋体" w:hAnsi="宋体" w:eastAsia="宋体" w:cs="宋体"/>
          <w:color w:val="auto"/>
          <w:sz w:val="24"/>
          <w:szCs w:val="24"/>
          <w:highlight w:val="none"/>
        </w:rPr>
        <w:t xml:space="preserve">将以电话咨询、发邮件（</w:t>
      </w:r>
      <w:r>
        <w:rPr>
          <w:rFonts w:hint="eastAsia" w:ascii="宋体" w:hAnsi="宋体" w:eastAsia="宋体" w:cs="宋体"/>
          <w:color w:val="auto"/>
          <w:sz w:val="24"/>
          <w:szCs w:val="24"/>
          <w:highlight w:val="none"/>
          <w:lang w:eastAsia="zh-CN"/>
        </w:rPr>
        <w:t xml:space="preserve">492598435@qq.com</w:t>
      </w:r>
      <w:r>
        <w:rPr>
          <w:rFonts w:hint="eastAsia" w:ascii="宋体" w:hAnsi="宋体" w:eastAsia="宋体" w:cs="宋体"/>
          <w:color w:val="auto"/>
          <w:sz w:val="24"/>
          <w:szCs w:val="24"/>
          <w:highlight w:val="none"/>
        </w:rPr>
        <w:t xml:space="preserve">）等方式开展线上不见面答疑服务。截止至202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 xml:space="preserve">JSZC-320200-JYJH-G2025-0003</w:t>
      </w:r>
      <w:r>
        <w:rPr>
          <w:rFonts w:hint="eastAsia" w:ascii="宋体" w:hAnsi="宋体" w:eastAsia="宋体" w:cs="宋体"/>
          <w:color w:val="auto"/>
          <w:sz w:val="24"/>
          <w:szCs w:val="24"/>
          <w:highlight w:val="none"/>
        </w:rPr>
        <w:t xml:space="preserve">项目需澄清问题”，</w:t>
      </w:r>
      <w:r>
        <w:rPr>
          <w:color w:val="auto"/>
          <w:highlight w:val="none"/>
        </w:rPr>
        <w:fldChar w:fldCharType="begin"/>
      </w:r>
      <w:r>
        <w:rPr>
          <w:color w:val="auto"/>
          <w:highlight w:val="none"/>
        </w:rPr>
        <w:instrText xml:space="preserve"> HYPERLINK "mailto:并于答疑截止时间前邮箱（xszfcgzx@163.com）给项目联系人。若未在法定时间内提出澄清，由此造成的损失及风险由投标人自行承担。" </w:instrText>
      </w:r>
      <w:r>
        <w:rPr>
          <w:color w:val="auto"/>
          <w:highlight w:val="none"/>
        </w:rPr>
        <w:fldChar w:fldCharType="separate"/>
      </w:r>
      <w:r>
        <w:rPr>
          <w:rFonts w:hint="eastAsia" w:ascii="宋体" w:hAnsi="宋体" w:eastAsia="宋体" w:cs="宋体"/>
          <w:color w:val="auto"/>
          <w:sz w:val="24"/>
          <w:szCs w:val="24"/>
          <w:highlight w:val="none"/>
        </w:rPr>
        <w:t xml:space="preserve">并于答疑截止时间前发邮件（</w:t>
      </w:r>
      <w:r>
        <w:rPr>
          <w:rFonts w:hint="eastAsia" w:ascii="宋体" w:hAnsi="宋体" w:eastAsia="宋体" w:cs="宋体"/>
          <w:color w:val="auto"/>
          <w:sz w:val="24"/>
          <w:szCs w:val="24"/>
          <w:highlight w:val="none"/>
          <w:lang w:eastAsia="zh-CN"/>
        </w:rPr>
        <w:t xml:space="preserve">492598435@qq.com</w:t>
      </w:r>
      <w:r>
        <w:rPr>
          <w:rFonts w:hint="eastAsia" w:ascii="宋体" w:hAnsi="宋体" w:eastAsia="宋体" w:cs="宋体"/>
          <w:color w:val="auto"/>
          <w:sz w:val="24"/>
          <w:szCs w:val="24"/>
          <w:highlight w:val="none"/>
        </w:rPr>
        <w:t xml:space="preserve">）给项目联系人。若未在法定时间内提出澄清，由此造成的损失及风险由供应商自行承担。</w:t>
      </w:r>
      <w:r>
        <w:rPr>
          <w:rFonts w:hint="eastAsia" w:ascii="宋体" w:hAnsi="宋体" w:eastAsia="宋体" w:cs="宋体"/>
          <w:color w:val="auto"/>
          <w:sz w:val="24"/>
          <w:szCs w:val="24"/>
          <w:highlight w:val="none"/>
        </w:rPr>
        <w:fldChar w:fldCharType="end"/>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（六）现场踏勘:</w:t>
      </w:r>
      <w:r>
        <w:rPr>
          <w:rFonts w:hint="eastAsia" w:ascii="宋体" w:hAnsi="宋体" w:eastAsia="宋体" w:cs="宋体"/>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0"/>
        <w:jc w:val="left"/>
        <w:spacing w:line="360" w:lineRule="auto"/>
        <w:shd w:val="clear" w:color="auto" w:fill="auto"/>
        <w:widowControl/>
        <w:rPr>
          <w:rFonts w:hint="eastAsia" w:ascii="宋体" w:hAnsi="宋体" w:eastAsia="宋体" w:cs="宋体"/>
          <w:b w:val="0"/>
          <w:bCs w:val="0"/>
          <w:color w:val="auto"/>
          <w:sz w:val="24"/>
          <w:szCs w:val="24"/>
          <w:highlight w:val="none"/>
        </w:rPr>
      </w:pPr>
      <w:r/>
      <w:bookmarkStart w:id="2" w:name="_Toc112006904"/>
      <w:r>
        <w:rPr>
          <w:rFonts w:hint="eastAsia" w:ascii="宋体" w:hAnsi="宋体" w:eastAsia="宋体" w:cs="宋体"/>
          <w:b w:val="0"/>
          <w:bCs w:val="0"/>
          <w:color w:val="auto"/>
          <w:sz w:val="24"/>
          <w:szCs w:val="24"/>
          <w:highlight w:val="none"/>
        </w:rPr>
        <w:t xml:space="preserve">（七）投标及开标、定标时间、地点：</w:t>
      </w:r>
      <w:bookmarkEnd w:id="2"/>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投标截止时间（网上投标截止时间苏采云投标客户端投标）：202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日9:30，投标截止时间后的投标文件恕不接受。</w:t>
      </w:r>
      <w:r/>
    </w:p>
    <w:p>
      <w:pPr>
        <w:ind w:firstLine="480"/>
        <w:jc w:val="left"/>
        <w:spacing w:line="360" w:lineRule="auto"/>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开标时间：202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 9:30</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Cs w:val="0"/>
          <w:color w:val="auto"/>
          <w:sz w:val="24"/>
          <w:szCs w:val="24"/>
          <w:highlight w:val="none"/>
        </w:rPr>
        <w:t xml:space="preserve">江苏省政府采购（苏采云）平台</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spacing w:line="360" w:lineRule="auto"/>
        <w:shd w:val="clear" w:color="auto" w:fill="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定标地点：</w:t>
      </w:r>
      <w:bookmarkStart w:id="3" w:name="_Toc112006905"/>
      <w:r>
        <w:rPr>
          <w:rFonts w:hint="eastAsia" w:ascii="宋体" w:hAnsi="宋体" w:eastAsia="宋体" w:cs="宋体"/>
          <w:color w:val="auto"/>
          <w:sz w:val="24"/>
          <w:szCs w:val="24"/>
          <w:highlight w:val="none"/>
          <w:lang w:eastAsia="zh-CN"/>
        </w:rPr>
        <w:t xml:space="preserve">无锡市滨湖区经贸路8号三楼</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（八）投标文件份数：</w:t>
      </w:r>
      <w:bookmarkEnd w:id="3"/>
      <w:r>
        <w:rPr>
          <w:rFonts w:hint="eastAsia" w:ascii="宋体" w:hAnsi="宋体" w:eastAsia="宋体" w:cs="宋体"/>
          <w:color w:val="auto"/>
          <w:sz w:val="24"/>
          <w:szCs w:val="24"/>
          <w:highlight w:val="none"/>
        </w:rPr>
        <w:t xml:space="preserve">请按规定上传电子响应文件，不接收纸质投标文件。</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（九）投标有效期：开标之日起90天</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（十）采购方法</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val="0"/>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jc w:val="left"/>
        <w:spacing w:line="360" w:lineRule="auto"/>
        <w:shd w:val="clear" w:color="auto" w:fill="auto"/>
        <w:widowControl/>
        <w:rPr>
          <w:rFonts w:ascii="宋体" w:hAnsi="宋体" w:eastAsia="宋体" w:cs="宋体"/>
          <w:color w:val="auto"/>
          <w:sz w:val="24"/>
          <w:szCs w:val="24"/>
          <w:highlight w:val="none"/>
        </w:rPr>
      </w:pPr>
      <w:r/>
      <w:bookmarkStart w:id="4" w:name="_Toc112006909"/>
      <w:r>
        <w:rPr>
          <w:rFonts w:hint="eastAsia" w:ascii="宋体" w:hAnsi="宋体" w:eastAsia="宋体" w:cs="宋体"/>
          <w:color w:val="auto"/>
          <w:sz w:val="24"/>
          <w:szCs w:val="24"/>
          <w:highlight w:val="none"/>
        </w:rPr>
        <w:t xml:space="preserve">（十一）其他</w:t>
      </w:r>
      <w:bookmarkEnd w:id="4"/>
      <w:r/>
      <w:r/>
    </w:p>
    <w:p>
      <w:pPr>
        <w:ind w:firstLine="480"/>
        <w:jc w:val="left"/>
        <w:spacing w:line="360" w:lineRule="auto"/>
        <w:shd w:val="clear" w:color="auto" w:fill="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江苏建亨工程管理咨询有限公司</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无锡市滨湖区经贸路8号三楼</w:t>
      </w:r>
      <w:r/>
    </w:p>
    <w:p>
      <w:pPr>
        <w:ind w:firstLine="480"/>
        <w:jc w:val="left"/>
        <w:spacing w:line="360" w:lineRule="auto"/>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许晨、冯虎刚</w:t>
      </w:r>
      <w:r/>
    </w:p>
    <w:p>
      <w:pPr>
        <w:ind w:firstLine="480"/>
        <w:jc w:val="left"/>
        <w:spacing w:line="360" w:lineRule="auto"/>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13301521277</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采购人：无锡市环境卫生管理服务中心</w:t>
      </w:r>
      <w:r/>
    </w:p>
    <w:p>
      <w:pPr>
        <w:ind w:firstLine="480"/>
        <w:jc w:val="left"/>
        <w:spacing w:line="360" w:lineRule="auto"/>
        <w:shd w:val="clear" w:color="auto" w:fill="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张恩伟</w:t>
      </w:r>
      <w:r/>
    </w:p>
    <w:p>
      <w:pPr>
        <w:ind w:firstLine="480"/>
        <w:jc w:val="left"/>
        <w:spacing w:line="360" w:lineRule="auto"/>
        <w:shd w:val="clear" w:color="auto" w:fill="auto"/>
        <w:widowControl/>
        <w:rPr>
          <w:rFonts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85047620</w:t>
      </w: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bCs/>
          <w:color w:val="auto"/>
          <w:sz w:val="32"/>
          <w:szCs w:val="32"/>
          <w:highlight w:val="none"/>
        </w:rPr>
        <w:t xml:space="preserve">二、投标人须知</w:t>
      </w:r>
      <w:r/>
    </w:p>
    <w:p>
      <w:pPr>
        <w:ind w:firstLine="482"/>
        <w:spacing w:line="360" w:lineRule="auto"/>
        <w:rPr>
          <w:rFonts w:ascii="宋体" w:hAnsi="宋体" w:eastAsia="宋体" w:cs="宋体"/>
          <w:bCs/>
          <w:color w:val="auto"/>
          <w:sz w:val="24"/>
          <w:szCs w:val="24"/>
          <w:highlight w:val="none"/>
        </w:rPr>
      </w:pPr>
      <w:r/>
      <w:bookmarkStart w:id="5" w:name="_Toc112006911"/>
      <w:r>
        <w:rPr>
          <w:rFonts w:hint="eastAsia" w:ascii="宋体" w:hAnsi="宋体" w:eastAsia="宋体" w:cs="宋体"/>
          <w:b/>
          <w:color w:val="auto"/>
          <w:sz w:val="24"/>
          <w:szCs w:val="24"/>
          <w:highlight w:val="none"/>
        </w:rPr>
        <w:t xml:space="preserve">（一）遵循原则：</w:t>
      </w:r>
      <w:bookmarkEnd w:id="5"/>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ascii="宋体" w:hAnsi="宋体" w:eastAsia="宋体" w:cs="宋体"/>
          <w:b/>
          <w:color w:val="auto"/>
          <w:sz w:val="24"/>
          <w:szCs w:val="24"/>
          <w:highlight w:val="none"/>
        </w:rPr>
      </w:pPr>
      <w:r/>
      <w:bookmarkStart w:id="6" w:name="_Toc112006912"/>
      <w:r>
        <w:rPr>
          <w:rFonts w:hint="eastAsia" w:ascii="宋体" w:hAnsi="宋体" w:eastAsia="宋体" w:cs="宋体"/>
          <w:b/>
          <w:color w:val="auto"/>
          <w:sz w:val="24"/>
          <w:szCs w:val="24"/>
          <w:highlight w:val="none"/>
        </w:rPr>
        <w:t xml:space="preserve">（二）招标文件：</w:t>
      </w:r>
      <w:bookmarkEnd w:id="6"/>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1.招标文件包括本文件目录所列全部内容，供应商应仔细阅读，并在投标文件中充分响应招标文件的所有要求。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2.供应商可在财政部门指定媒体发布的公告附件中查看公开招标文件，如确定参加本次采购活动</w:t>
      </w:r>
      <w:r>
        <w:rPr>
          <w:rFonts w:hint="eastAsia" w:ascii="宋体" w:hAnsi="宋体" w:eastAsia="宋体" w:cs="宋体"/>
          <w:bCs/>
          <w:color w:val="auto"/>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3.供应商一旦参加本项目投标，即表明承诺接受了本招标文件中的所有条件和规定。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5.招标文件中的“法定代表人”是指供应商的营业执照或相关部门的登记证明文件中的“法定代表人”或“负责人”。</w:t>
      </w:r>
      <w:r/>
    </w:p>
    <w:p>
      <w:pPr>
        <w:ind w:firstLine="482"/>
        <w:spacing w:line="360" w:lineRule="auto"/>
        <w:rPr>
          <w:rFonts w:ascii="宋体" w:hAnsi="宋体" w:eastAsia="宋体" w:cs="宋体"/>
          <w:bCs/>
          <w:color w:val="auto"/>
          <w:sz w:val="24"/>
          <w:szCs w:val="24"/>
          <w:highlight w:val="none"/>
        </w:rPr>
      </w:pPr>
      <w:r/>
      <w:bookmarkStart w:id="7" w:name="_Toc112006913"/>
      <w:r>
        <w:rPr>
          <w:rFonts w:hint="eastAsia" w:ascii="宋体" w:hAnsi="宋体" w:eastAsia="宋体" w:cs="宋体"/>
          <w:b/>
          <w:color w:val="auto"/>
          <w:sz w:val="24"/>
          <w:szCs w:val="24"/>
          <w:highlight w:val="none"/>
        </w:rPr>
        <w:t xml:space="preserve">（三）招标文件的解释：</w:t>
      </w:r>
      <w:bookmarkEnd w:id="7"/>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w:t>
      </w:r>
      <w:r/>
    </w:p>
    <w:p>
      <w:pPr>
        <w:ind w:firstLine="482"/>
        <w:spacing w:line="360" w:lineRule="auto"/>
        <w:rPr>
          <w:rFonts w:ascii="宋体" w:hAnsi="宋体" w:eastAsia="宋体" w:cs="宋体"/>
          <w:bCs/>
          <w:color w:val="auto"/>
          <w:sz w:val="24"/>
          <w:szCs w:val="24"/>
          <w:highlight w:val="none"/>
        </w:rPr>
      </w:pPr>
      <w:r/>
      <w:bookmarkStart w:id="8" w:name="_Toc112006914"/>
      <w:r>
        <w:rPr>
          <w:rFonts w:hint="eastAsia" w:ascii="宋体" w:hAnsi="宋体" w:eastAsia="宋体" w:cs="宋体"/>
          <w:b/>
          <w:color w:val="auto"/>
          <w:sz w:val="24"/>
          <w:szCs w:val="24"/>
          <w:highlight w:val="none"/>
        </w:rPr>
        <w:t xml:space="preserve">（四）招标文件的补充或修正：</w:t>
      </w:r>
      <w:bookmarkEnd w:id="8"/>
      <w:r/>
      <w:r/>
    </w:p>
    <w:p>
      <w:pPr>
        <w:ind w:firstLine="480"/>
        <w:spacing w:line="360" w:lineRule="auto"/>
        <w:rPr>
          <w:rFonts w:ascii="宋体" w:hAnsi="宋体" w:eastAsia="宋体" w:cs="宋体"/>
          <w:bCs/>
          <w:color w:val="auto"/>
          <w:sz w:val="24"/>
          <w:szCs w:val="24"/>
          <w:highlight w:val="none"/>
        </w:rPr>
      </w:pPr>
      <w:r/>
      <w:bookmarkStart w:id="9" w:name="_Toc112006915"/>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（五）投标文件的组成：</w:t>
      </w:r>
      <w:bookmarkEnd w:id="9"/>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（3）供应商法定代表人授权委托书（法定代表人亲自参与投标的除外，格式见附件）；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（4）供应商法定代表人身份证扫描件（正、反面）；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（5）供应商法定代表人授权代表身份证扫描件（正、反面）（法定代表人亲自参加投标的除外）；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近三个月中任意一个月份（不含投标当月）的财务状况报告（资产负债表和利润表）或由会计师事务所出具的近两年中任意一个年度的审计报告和所附已审财务报告扫描件，新成立的公司（企业）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（7）供应商近三个月中任意一个月份（不含投标当月）的依法缴纳税收的相关材料（提供相关主管部门证明或银行代扣证明）扫描件，新成立的公司（企业）除外；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（8）供应商近三个月中任意一个月份（不含投标当月）的依法缴纳社会保障资金的相关材料（提供相关主管部门证明或银行代扣证明）扫描件，新成立的公司（企业）除外；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（9）承诺书（格式见附件）；</w:t>
      </w:r>
      <w:r/>
    </w:p>
    <w:p>
      <w:pPr>
        <w:ind w:firstLine="480"/>
        <w:spacing w:line="360" w:lineRule="auto"/>
        <w:rPr>
          <w:rFonts w:ascii="宋体" w:hAnsi="宋体" w:eastAsia="宋体" w:cs="宋体"/>
          <w:bCs/>
          <w:color w:val="auto"/>
          <w:sz w:val="24"/>
          <w:szCs w:val="24"/>
          <w:highlight w:val="none"/>
        </w:rPr>
      </w:pPr>
      <w:r/>
      <w:bookmarkStart w:id="10" w:name="_Hlk529436263"/>
      <w:r/>
      <w:bookmarkStart w:id="11" w:name="_Hlk23510977"/>
      <w:r>
        <w:rPr>
          <w:rFonts w:hint="eastAsia" w:ascii="宋体" w:hAnsi="宋体" w:eastAsia="宋体" w:cs="宋体"/>
          <w:bCs/>
          <w:color w:val="auto"/>
          <w:sz w:val="24"/>
          <w:szCs w:val="24"/>
          <w:highlight w:val="none"/>
        </w:rPr>
        <w:t xml:space="preserve">3.开标一览表</w:t>
      </w:r>
      <w:bookmarkEnd w:id="10"/>
      <w:r/>
      <w:bookmarkEnd w:id="11"/>
      <w:r>
        <w:rPr>
          <w:rFonts w:hint="eastAsia" w:ascii="宋体" w:hAnsi="宋体" w:eastAsia="宋体" w:cs="宋体"/>
          <w:bCs/>
          <w:color w:val="auto"/>
          <w:sz w:val="24"/>
          <w:szCs w:val="24"/>
          <w:highlight w:val="none"/>
        </w:rPr>
        <w:t xml:space="preserve">附录（格式见附件）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4.报价明细表（格式见附件）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5.服务保障承诺书（格式见附件）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6.投标偏离表（格式见附件）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7.投标供应商情况表（格式见附件）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8.提供第三章项目需求和有关要求需提供的相关证明材料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9.服务方案（如有格式自拟并自行添加）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10.评分标准中对应的其他所需证明材料（如有自行添加）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11.要求采购人提供的配合（如有格式自拟并自行添加）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 其他（供应商认为有必要提供的声明和文件，如有格式自拟并自行添加）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-7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ascii="宋体" w:hAnsi="宋体" w:eastAsia="宋体" w:cs="宋体"/>
          <w:bCs/>
          <w:color w:val="auto"/>
          <w:sz w:val="24"/>
          <w:szCs w:val="24"/>
          <w:highlight w:val="none"/>
        </w:rPr>
      </w:pPr>
      <w:r/>
      <w:bookmarkStart w:id="12" w:name="_Toc112006916"/>
      <w:r>
        <w:rPr>
          <w:rFonts w:hint="eastAsia" w:ascii="宋体" w:hAnsi="宋体" w:eastAsia="宋体" w:cs="宋体"/>
          <w:b/>
          <w:color w:val="auto"/>
          <w:sz w:val="24"/>
          <w:szCs w:val="24"/>
          <w:highlight w:val="none"/>
        </w:rPr>
        <w:t xml:space="preserve">（六）投标文件的要求：</w:t>
      </w:r>
      <w:bookmarkEnd w:id="12"/>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1.所有文件、往来函件均应使用简体中文（规格、型号辅助符号例外）。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供应商报价一律以人民币为投标结算货币，结算单位为“元”。</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4.投标文件格式部分，应由供应商按给定格式提供，不得更改。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5.供应商在制作电子投标文件时，请正确关联到对应页，在评审过程中，评审专家如因在相对应页面找不到该相关联的文件，由此产生的后果由供应商自行承担。</w:t>
      </w:r>
      <w:r/>
    </w:p>
    <w:p>
      <w:pPr>
        <w:pStyle w:val="894"/>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6.投标费用自理。</w:t>
      </w:r>
      <w:r/>
    </w:p>
    <w:p>
      <w:pPr>
        <w:pStyle w:val="894"/>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 xml:space="preserve">7.在评分标准中除了投标报价外，还须包含明标（</w:t>
      </w:r>
      <w:r>
        <w:rPr>
          <w:rFonts w:hint="eastAsia" w:ascii="宋体" w:hAnsi="宋体" w:cs="宋体"/>
          <w:b/>
          <w:color w:val="auto"/>
          <w:sz w:val="24"/>
          <w:szCs w:val="24"/>
          <w:highlight w:val="none"/>
        </w:rPr>
        <w:t xml:space="preserve">项目要求响应情况</w:t>
      </w:r>
      <w:r>
        <w:rPr>
          <w:rFonts w:hint="eastAsia" w:ascii="宋体" w:hAnsi="宋体" w:cs="Tahoma"/>
          <w:b/>
          <w:bCs/>
          <w:color w:val="auto"/>
          <w:sz w:val="24"/>
          <w:szCs w:val="24"/>
          <w:highlight w:val="none"/>
        </w:rPr>
        <w:t xml:space="preserve">、</w:t>
      </w:r>
      <w:r>
        <w:rPr>
          <w:rFonts w:hint="eastAsia" w:ascii="宋体" w:hAnsi="宋体" w:cs="宋体"/>
          <w:b/>
          <w:color w:val="auto"/>
          <w:sz w:val="24"/>
          <w:szCs w:val="24"/>
          <w:highlight w:val="none"/>
        </w:rPr>
        <w:t xml:space="preserve">供应商评价</w:t>
      </w:r>
      <w:r>
        <w:rPr>
          <w:rFonts w:hint="eastAsia" w:ascii="宋体" w:hAnsi="宋体" w:cs="Tahoma"/>
          <w:b/>
          <w:bCs/>
          <w:color w:val="auto"/>
          <w:sz w:val="24"/>
          <w:szCs w:val="24"/>
          <w:highlight w:val="none"/>
        </w:rPr>
        <w:t xml:space="preserve">）和暗标（</w:t>
      </w:r>
      <w:r>
        <w:rPr>
          <w:rFonts w:hint="eastAsia" w:ascii="宋体" w:hAnsi="宋体" w:cs="宋体"/>
          <w:b/>
          <w:bCs/>
          <w:color w:val="auto"/>
          <w:sz w:val="24"/>
          <w:szCs w:val="24"/>
          <w:highlight w:val="none"/>
        </w:rPr>
        <w:t xml:space="preserve">服务方案</w:t>
      </w:r>
      <w:r>
        <w:rPr>
          <w:rFonts w:hint="eastAsia" w:ascii="宋体" w:hAnsi="宋体" w:cs="Tahoma"/>
          <w:b/>
          <w:bCs/>
          <w:color w:val="auto"/>
          <w:sz w:val="24"/>
          <w:szCs w:val="24"/>
          <w:highlight w:val="none"/>
        </w:rPr>
        <w:t xml:space="preserve">）两大部分，其暗标编制要求如下：</w:t>
      </w:r>
      <w:r/>
    </w:p>
    <w:p>
      <w:pPr>
        <w:pStyle w:val="894"/>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 xml:space="preserve">（1）暗标编制应按采购文件规定的格式制作，要求版面整洁、字迹清楚、不得涂改、不得标注。</w:t>
      </w:r>
      <w:r/>
    </w:p>
    <w:p>
      <w:pPr>
        <w:pStyle w:val="894"/>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pStyle w:val="894"/>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 xml:space="preserve">(3)字体、段落、页码、页面布局的设置：</w:t>
      </w:r>
      <w:r/>
    </w:p>
    <w:p>
      <w:pPr>
        <w:pStyle w:val="894"/>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 xml:space="preserve">字体：一级标题为宋体黑色二号字，其余正文均采用宋体黑色小四号字体，不得出现手写。</w:t>
      </w:r>
      <w:r/>
    </w:p>
    <w:p>
      <w:pPr>
        <w:pStyle w:val="894"/>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 xml:space="preserve">段落：使用1.5倍行间距、字间距标准、每段段前空两格。</w:t>
      </w:r>
      <w:r/>
    </w:p>
    <w:p>
      <w:pPr>
        <w:pStyle w:val="894"/>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 xml:space="preserve">页码：页码应当连续居中，不得有空白页。不得设置页眉，页脚只准出现页码，采用黑色小5号阿拉伯数字格式，设在页脚对中位置。</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Tahoma"/>
          <w:b/>
          <w:bCs/>
          <w:color w:val="auto"/>
          <w:sz w:val="24"/>
          <w:szCs w:val="24"/>
          <w:highlight w:val="none"/>
        </w:rPr>
        <w:t xml:space="preserve">页面布局：纸张方向纵向、页面底色白色，分栏为一栏。</w:t>
      </w:r>
      <w:r/>
    </w:p>
    <w:p>
      <w:pPr>
        <w:ind w:firstLine="482"/>
        <w:spacing w:line="360" w:lineRule="auto"/>
        <w:rPr>
          <w:rFonts w:ascii="宋体" w:hAnsi="宋体" w:eastAsia="宋体" w:cs="宋体"/>
          <w:b/>
          <w:color w:val="auto"/>
          <w:sz w:val="24"/>
          <w:szCs w:val="24"/>
          <w:highlight w:val="none"/>
        </w:rPr>
      </w:pPr>
      <w:r/>
      <w:bookmarkStart w:id="13" w:name="_Toc112006917"/>
      <w:r/>
      <w:bookmarkStart w:id="14" w:name="_Toc112006918"/>
      <w:r>
        <w:rPr>
          <w:rFonts w:hint="eastAsia" w:ascii="宋体" w:hAnsi="宋体" w:eastAsia="宋体" w:cs="宋体"/>
          <w:b/>
          <w:color w:val="auto"/>
          <w:sz w:val="24"/>
          <w:szCs w:val="24"/>
          <w:highlight w:val="none"/>
        </w:rPr>
        <w:t xml:space="preserve">（七） 网上投标</w:t>
      </w:r>
      <w:bookmarkEnd w:id="13"/>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2.供应商应对CA数字证书妥善保管，如被他人盗用投标，后果自负。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3.供应商按招标文件规定的网上解密时间进行解密，如未按时解密后果自负。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4.供应商应当对招标文件提出的要求和条件作出实质性响应，并在电子投标系统逐条应答。</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6.供应商进行网上投标请参照《政府采购项目电子交易管理操作指南－供应商》。</w:t>
      </w:r>
      <w:r/>
    </w:p>
    <w:p>
      <w:pPr>
        <w:pStyle w:val="897"/>
        <w:ind w:firstLine="482"/>
        <w:spacing w:line="360" w:lineRule="auto"/>
        <w:rPr>
          <w:rFonts w:ascii="宋体" w:hAnsi="宋体" w:cs="宋体"/>
          <w:color w:val="auto"/>
          <w:highlight w:val="none"/>
        </w:rPr>
      </w:pPr>
      <w:r>
        <w:rPr>
          <w:rFonts w:hint="eastAsia" w:ascii="宋体" w:hAnsi="宋体" w:cs="宋体"/>
          <w:b/>
          <w:bCs/>
          <w:color w:val="auto"/>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4"/>
      <w:r/>
      <w:r/>
    </w:p>
    <w:p>
      <w:pPr>
        <w:ind w:firstLine="482"/>
        <w:spacing w:line="360" w:lineRule="auto"/>
        <w:rPr>
          <w:rFonts w:ascii="宋体" w:hAnsi="宋体" w:eastAsia="宋体" w:cs="宋体"/>
          <w:b/>
          <w:color w:val="auto"/>
          <w:sz w:val="24"/>
          <w:szCs w:val="24"/>
          <w:highlight w:val="none"/>
        </w:rPr>
      </w:pPr>
      <w:r/>
      <w:bookmarkStart w:id="15" w:name="_Toc112006919"/>
      <w:r>
        <w:rPr>
          <w:rFonts w:hint="eastAsia" w:ascii="宋体" w:hAnsi="宋体" w:eastAsia="宋体" w:cs="宋体"/>
          <w:b/>
          <w:color w:val="auto"/>
          <w:sz w:val="24"/>
          <w:szCs w:val="24"/>
          <w:highlight w:val="none"/>
        </w:rPr>
        <w:t xml:space="preserve">（八）无效投标文件的确认：</w:t>
      </w:r>
      <w:bookmarkEnd w:id="15"/>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供应商有下列情况之一者，投标文件无效：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1.电子投标文件未按规定期限投标的；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2.电子投标文件未按招标文件要求签章和签字的；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3.供应商未按招标文件要求解密电子投标文件的；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4.供应商的法定代表人授权代表，无法定代表人授权委托书的；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5.供应商的法定代表人或被授权代表，未准时参加开标会议的；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）、中国政府采购网（www.ccgp.gov.cn）列入失信被执行人、重大税收违法案件当事人名单、政府采购严重违法失信行为记录名单的；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8.投标文件未按招标文件规定的内容和要求填写的；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9.投标文件书写潦草、字迹模糊不清、无法辨认的；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10.投标文件中有招标文件未允许提供的选择性内容；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11.不同供应商委托同一单位或者个人办理投标事宜的；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12.不同供应商的单位负责人为同一人或者存在直接控股、管理关系的；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13.不同供应商的投标文件存在明显的相似性或一致性，特征显示由同一单位或者同一个人编制的；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16.供应商提交两个（含）以上不同的投标报价或项目（标段）投标总价超过本项目（标段）预算或最高限价的；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17.提供虚假材料的（包括工商营业执照、财务报表、资格证明文件等）；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18.投标文件含有供应商不能接受的附加条件的；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20.除单一来源采购项目外，为采购项目提供整体设计、规范编制或者项目管理、监理、检测等服务的；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21.未通过符合性审查的；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22.投标文件内容不全或不符合招标文件中规定的其他实质性要求的；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23.未按要求提供第三章项目要求和有关说明中须提供的相关证明材料的；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24.暗标未按招标文件要求编制的；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25.投标文件中存在负偏离的；</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26.法律法规和招标文件规定的其他无效情形。</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（九）开标、评标：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（2）对不同文字文本投标文件的解释发生异议的，以中文文本为准。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（3）供应商未参加开标的，视同认可开标结果。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A．资格性检查。采购人</w:t>
      </w:r>
      <w:r>
        <w:rPr>
          <w:rFonts w:hint="eastAsia" w:ascii="宋体" w:hAnsi="宋体" w:eastAsia="宋体" w:cs="宋体"/>
          <w:bCs/>
          <w:color w:val="auto"/>
          <w:sz w:val="24"/>
          <w:szCs w:val="24"/>
          <w:highlight w:val="none"/>
          <w:lang w:val="en-US" w:eastAsia="zh-CN"/>
        </w:rPr>
        <w:t xml:space="preserve">或其委托的代理机构</w:t>
      </w:r>
      <w:r>
        <w:rPr>
          <w:rFonts w:hint="eastAsia" w:ascii="宋体" w:hAnsi="宋体" w:eastAsia="宋体" w:cs="宋体"/>
          <w:bCs/>
          <w:color w:val="auto"/>
          <w:sz w:val="24"/>
          <w:szCs w:val="24"/>
          <w:highlight w:val="none"/>
        </w:rPr>
        <w:t xml:space="preserve">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tbl>
      <w:tblPr>
        <w:tblStyle w:val="848"/>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trHeight w:val="519"/>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trHeight w:val="870"/>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具有独立承担民事责任能力的供应商营业执照或相关部门的登记证明文件扫描件；</w:t>
            </w:r>
            <w:r/>
          </w:p>
        </w:tc>
      </w:tr>
      <w:tr>
        <w:trPr>
          <w:trHeight w:val="90"/>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供应商法定代表人授权委托书</w:t>
            </w:r>
            <w:r/>
          </w:p>
        </w:tc>
        <w:tc>
          <w:tcPr>
            <w:tcW w:w="5234" w:type="dxa"/>
            <w:vAlign w:val="center"/>
            <w:textDirection w:val="lrTb"/>
            <w:noWrap w:val="false"/>
          </w:tcPr>
          <w:p>
            <w:pPr>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trHeight w:val="644"/>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供应商法定代表人身份证扫描件</w:t>
            </w:r>
            <w:r/>
          </w:p>
        </w:tc>
        <w:tc>
          <w:tcPr>
            <w:tcW w:w="5234" w:type="dxa"/>
            <w:vAlign w:val="center"/>
            <w:textDirection w:val="lrTb"/>
            <w:noWrap w:val="false"/>
          </w:tcPr>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trHeight w:val="644"/>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供应商法定代表人授权代表身份证扫描件</w:t>
            </w:r>
            <w:r/>
          </w:p>
        </w:tc>
        <w:tc>
          <w:tcPr>
            <w:tcW w:w="5234" w:type="dxa"/>
            <w:vAlign w:val="center"/>
            <w:textDirection w:val="lrTb"/>
            <w:noWrap w:val="false"/>
          </w:tcPr>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trHeight w:val="1280"/>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供应商近三个月中任意一个月份（不含投标当月）的财务状况报告（资产负债表和利润表）或由会计师事务所出具的近两年中任意一个年度的审计报告和所附已审财务报告扫描件，新成立的公司（企业）除外</w:t>
            </w:r>
            <w:r/>
          </w:p>
        </w:tc>
      </w:tr>
      <w:tr>
        <w:trPr>
          <w:trHeight w:val="951"/>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234"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供应商近三个月中任意一个月份（不含投标当月）的依法缴纳税收的相关材料（提供相关主管部门证明或银行代扣证明）扫描件，新成立的公司（企业）除外</w:t>
            </w:r>
            <w:r/>
          </w:p>
        </w:tc>
      </w:tr>
      <w:tr>
        <w:trPr>
          <w:trHeight w:val="943"/>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34"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供应商近三个月中任意一个月份（不含投标当月）的依法缴纳社会保障资金的相关材料（提供相关主管部门证明或银行代扣证明）扫描件，新成立的公司（企业）除外</w:t>
            </w:r>
            <w:r/>
          </w:p>
        </w:tc>
      </w:tr>
      <w:tr>
        <w:trPr>
          <w:trHeight w:val="602"/>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trHeight w:val="747"/>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p>
        </w:tc>
      </w:tr>
      <w:tr>
        <w:trPr>
          <w:trHeight w:val="602"/>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1599"/>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由网上直接查询，无需提供证明材料。）</w:t>
            </w:r>
            <w:r/>
          </w:p>
        </w:tc>
        <w:tc>
          <w:tcPr>
            <w:tcW w:w="5234"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30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34" w:type="dxa"/>
            <w:vAlign w:val="center"/>
            <w:textDirection w:val="lrTb"/>
            <w:noWrap w:val="false"/>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jc w:val="center"/>
        <w:spacing w:line="440" w:lineRule="exact"/>
        <w:tabs>
          <w:tab w:val="left" w:pos="480" w:leader="none"/>
        </w:tabs>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特别提醒：资格审查不合格的投标供应商的投标文件不进入后续评审。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auto"/>
          <w:sz w:val="24"/>
          <w:szCs w:val="24"/>
          <w:highlight w:val="none"/>
        </w:rPr>
        <w:outlineLvl w:val="0"/>
      </w:pPr>
      <w:r/>
      <w:bookmarkStart w:id="16" w:name="_Toc116946315"/>
      <w:r>
        <w:rPr>
          <w:rFonts w:hint="eastAsia" w:ascii="宋体" w:hAnsi="宋体" w:eastAsia="宋体" w:cs="宋体"/>
          <w:b/>
          <w:color w:val="auto"/>
          <w:sz w:val="24"/>
          <w:szCs w:val="24"/>
          <w:highlight w:val="none"/>
        </w:rPr>
        <w:t xml:space="preserve">符合性审查表</w:t>
      </w:r>
      <w:bookmarkEnd w:id="16"/>
      <w:r/>
      <w:r/>
    </w:p>
    <w:tbl>
      <w:tblPr>
        <w:tblStyle w:val="848"/>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不存在供应商须知第八条中的情形</w:t>
            </w:r>
            <w:r/>
          </w:p>
        </w:tc>
      </w:tr>
    </w:tbl>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pStyle w:val="873"/>
        <w:ind w:left="0" w:right="0" w:firstLine="430"/>
        <w:jc w:val="both"/>
        <w:keepLines w:val="0"/>
        <w:keepNext w:val="0"/>
        <w:spacing w:before="0" w:beforeAutospacing="0" w:after="0" w:afterAutospacing="0" w:line="360" w:lineRule="atLeast"/>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（4）评审文员会启动异常低价投标（响应）审查：</w:t>
      </w:r>
      <w:r/>
    </w:p>
    <w:p>
      <w:pPr>
        <w:pStyle w:val="873"/>
        <w:ind w:left="0" w:right="0" w:firstLine="430"/>
        <w:jc w:val="both"/>
        <w:keepLines w:val="0"/>
        <w:keepNext w:val="0"/>
        <w:spacing w:before="0" w:beforeAutospacing="0" w:after="0" w:afterAutospacing="0" w:line="360" w:lineRule="atLeast"/>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（一）评审过程中出现下列情形之一的，评审委员会应当启动异常低价投标（响应）审查程序：</w:t>
      </w:r>
      <w:r/>
    </w:p>
    <w:p>
      <w:pPr>
        <w:pStyle w:val="873"/>
        <w:ind w:left="0" w:right="0" w:firstLine="430"/>
        <w:jc w:val="both"/>
        <w:keepLines w:val="0"/>
        <w:keepNext w:val="0"/>
        <w:spacing w:before="0" w:beforeAutospacing="0" w:after="0" w:afterAutospacing="0" w:line="360" w:lineRule="atLeast"/>
        <w:shd w:val="clear" w:color="auto" w:fill="ffffff"/>
        <w:widowControl/>
        <w:rPr>
          <w:rFonts w:hint="default"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．投标（响应）报价低于采购项目预算</w:t>
      </w:r>
      <w:r>
        <w:rPr>
          <w:rFonts w:hint="default" w:ascii="宋体" w:hAnsi="宋体" w:eastAsia="宋体" w:cs="宋体"/>
          <w:bCs/>
          <w:color w:val="auto"/>
          <w:sz w:val="24"/>
          <w:szCs w:val="24"/>
          <w:highlight w:val="none"/>
          <w:lang w:val="en-US" w:eastAsia="zh-CN" w:bidi="ar-SA"/>
        </w:rPr>
        <w:t xml:space="preserve">50%</w:t>
      </w:r>
      <w:r>
        <w:rPr>
          <w:rFonts w:hint="eastAsia" w:ascii="宋体" w:hAnsi="宋体" w:eastAsia="宋体" w:cs="宋体"/>
          <w:bCs/>
          <w:color w:val="auto"/>
          <w:sz w:val="24"/>
          <w:szCs w:val="24"/>
          <w:highlight w:val="none"/>
          <w:lang w:val="en-US" w:eastAsia="zh-CN" w:bidi="ar-SA"/>
        </w:rPr>
        <w:t xml:space="preserve">的，即投标（响应）报价</w:t>
      </w:r>
      <w:r>
        <w:rPr>
          <w:rFonts w:hint="default" w:ascii="宋体" w:hAnsi="宋体" w:eastAsia="宋体" w:cs="宋体"/>
          <w:bCs/>
          <w:color w:val="auto"/>
          <w:sz w:val="24"/>
          <w:szCs w:val="24"/>
          <w:highlight w:val="none"/>
          <w:lang w:val="en-US" w:eastAsia="zh-CN" w:bidi="ar-SA"/>
        </w:rPr>
        <w:t xml:space="preserve">&lt;</w:t>
      </w:r>
      <w:r>
        <w:rPr>
          <w:rFonts w:hint="eastAsia" w:ascii="宋体" w:hAnsi="宋体" w:eastAsia="宋体" w:cs="宋体"/>
          <w:bCs/>
          <w:color w:val="auto"/>
          <w:sz w:val="24"/>
          <w:szCs w:val="24"/>
          <w:highlight w:val="none"/>
          <w:lang w:val="en-US" w:eastAsia="zh-CN" w:bidi="ar-SA"/>
        </w:rPr>
        <w:t xml:space="preserve">采购项目预算×</w:t>
      </w:r>
      <w:r>
        <w:rPr>
          <w:rFonts w:hint="default" w:ascii="宋体" w:hAnsi="宋体" w:eastAsia="宋体" w:cs="宋体"/>
          <w:bCs/>
          <w:color w:val="auto"/>
          <w:sz w:val="24"/>
          <w:szCs w:val="24"/>
          <w:highlight w:val="none"/>
          <w:lang w:val="en-US" w:eastAsia="zh-CN" w:bidi="ar-SA"/>
        </w:rPr>
        <w:t xml:space="preserve">50%</w:t>
      </w:r>
      <w:r>
        <w:rPr>
          <w:rFonts w:hint="eastAsia" w:ascii="宋体" w:hAnsi="宋体" w:eastAsia="宋体" w:cs="宋体"/>
          <w:bCs/>
          <w:color w:val="auto"/>
          <w:sz w:val="24"/>
          <w:szCs w:val="24"/>
          <w:highlight w:val="none"/>
          <w:lang w:val="en-US" w:eastAsia="zh-CN" w:bidi="ar-SA"/>
        </w:rPr>
        <w:t xml:space="preserve">；</w:t>
      </w:r>
      <w:r/>
    </w:p>
    <w:p>
      <w:pPr>
        <w:pStyle w:val="873"/>
        <w:ind w:left="0" w:right="0" w:firstLine="430"/>
        <w:jc w:val="both"/>
        <w:keepLines w:val="0"/>
        <w:keepNext w:val="0"/>
        <w:spacing w:before="0" w:beforeAutospacing="0" w:after="0" w:afterAutospacing="0" w:line="360" w:lineRule="atLeast"/>
        <w:shd w:val="clear" w:color="auto" w:fill="ffffff"/>
        <w:widowControl/>
        <w:rPr>
          <w:rFonts w:hint="default"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．投标（响应）报价低于采购项目最高限价</w:t>
      </w:r>
      <w:r>
        <w:rPr>
          <w:rFonts w:hint="default" w:ascii="宋体" w:hAnsi="宋体" w:eastAsia="宋体" w:cs="宋体"/>
          <w:bCs/>
          <w:color w:val="auto"/>
          <w:sz w:val="24"/>
          <w:szCs w:val="24"/>
          <w:highlight w:val="none"/>
          <w:lang w:val="en-US" w:eastAsia="zh-CN" w:bidi="ar-SA"/>
        </w:rPr>
        <w:t xml:space="preserve">45%</w:t>
      </w:r>
      <w:r>
        <w:rPr>
          <w:rFonts w:hint="eastAsia" w:ascii="宋体" w:hAnsi="宋体" w:eastAsia="宋体" w:cs="宋体"/>
          <w:bCs/>
          <w:color w:val="auto"/>
          <w:sz w:val="24"/>
          <w:szCs w:val="24"/>
          <w:highlight w:val="none"/>
          <w:lang w:val="en-US" w:eastAsia="zh-CN" w:bidi="ar-SA"/>
        </w:rPr>
        <w:t xml:space="preserve">的，即投标（响应）报价&lt;采购项目最高限价×</w:t>
      </w:r>
      <w:r>
        <w:rPr>
          <w:rFonts w:hint="default" w:ascii="宋体" w:hAnsi="宋体" w:eastAsia="宋体" w:cs="宋体"/>
          <w:bCs/>
          <w:color w:val="auto"/>
          <w:sz w:val="24"/>
          <w:szCs w:val="24"/>
          <w:highlight w:val="none"/>
          <w:lang w:val="en-US" w:eastAsia="zh-CN" w:bidi="ar-SA"/>
        </w:rPr>
        <w:t xml:space="preserve">45%</w:t>
      </w:r>
      <w:r>
        <w:rPr>
          <w:rFonts w:hint="eastAsia" w:ascii="宋体" w:hAnsi="宋体" w:eastAsia="宋体" w:cs="宋体"/>
          <w:bCs/>
          <w:color w:val="auto"/>
          <w:sz w:val="24"/>
          <w:szCs w:val="24"/>
          <w:highlight w:val="none"/>
          <w:lang w:val="en-US" w:eastAsia="zh-CN" w:bidi="ar-SA"/>
        </w:rPr>
        <w:t xml:space="preserve">；</w:t>
      </w:r>
      <w:r/>
    </w:p>
    <w:p>
      <w:pPr>
        <w:pStyle w:val="873"/>
        <w:ind w:left="0" w:right="0" w:firstLine="430"/>
        <w:jc w:val="both"/>
        <w:keepLines w:val="0"/>
        <w:keepNext w:val="0"/>
        <w:spacing w:before="0" w:beforeAutospacing="0" w:after="0" w:afterAutospacing="0" w:line="360" w:lineRule="atLeast"/>
        <w:shd w:val="clear" w:color="auto" w:fill="ffffff"/>
        <w:widowControl/>
        <w:rPr>
          <w:rFonts w:hint="default"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bidi="ar-SA"/>
        </w:rPr>
        <w:t xml:space="preserve">评审委员会认定的供应商报价过低、有可能影响产品质量或者不能诚信履约的其他情形。</w:t>
      </w:r>
      <w:r/>
    </w:p>
    <w:p>
      <w:pPr>
        <w:pStyle w:val="873"/>
        <w:ind w:left="0" w:right="0" w:firstLine="430"/>
        <w:jc w:val="both"/>
        <w:keepLines w:val="0"/>
        <w:keepNext w:val="0"/>
        <w:spacing w:before="0" w:beforeAutospacing="0" w:after="0" w:afterAutospacing="0" w:line="360" w:lineRule="atLeast"/>
        <w:shd w:val="clear" w:color="auto" w:fill="ffffff"/>
        <w:widowControl/>
        <w:rPr>
          <w:rFonts w:hint="default"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供应商通过初审的，方可进入比较与评价程序，本项目采用综合评分法。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olor w:val="auto"/>
          <w:sz w:val="24"/>
          <w:szCs w:val="24"/>
          <w:highlight w:val="none"/>
        </w:rPr>
        <w:t xml:space="preserve">且按照评审因素的量化指标评审得分排名前三的投标人为中标候选人。</w:t>
      </w:r>
      <w:r>
        <w:rPr>
          <w:rFonts w:hint="eastAsia" w:ascii="宋体" w:hAnsi="宋体" w:eastAsia="宋体" w:cs="宋体"/>
          <w:bCs/>
          <w:color w:val="auto"/>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ascii="宋体" w:hAnsi="宋体" w:eastAsia="宋体" w:cs="宋体"/>
          <w:b/>
          <w:color w:val="auto"/>
          <w:sz w:val="24"/>
          <w:szCs w:val="24"/>
          <w:highlight w:val="none"/>
        </w:rPr>
      </w:pPr>
      <w:r/>
      <w:bookmarkStart w:id="17" w:name="_Toc112006920"/>
      <w:r/>
      <w:bookmarkStart w:id="18" w:name="_Toc112006921"/>
      <w:r>
        <w:rPr>
          <w:rFonts w:hint="eastAsia" w:ascii="宋体" w:hAnsi="宋体" w:eastAsia="宋体" w:cs="宋体"/>
          <w:b/>
          <w:color w:val="auto"/>
          <w:sz w:val="24"/>
          <w:szCs w:val="24"/>
          <w:highlight w:val="none"/>
        </w:rPr>
        <w:t xml:space="preserve">（十）定标：</w:t>
      </w:r>
      <w:bookmarkEnd w:id="17"/>
      <w:r/>
      <w:bookmarkEnd w:id="18"/>
      <w:r/>
      <w:r/>
    </w:p>
    <w:p>
      <w:pPr>
        <w:ind w:firstLine="480"/>
        <w:spacing w:line="360" w:lineRule="auto"/>
        <w:rPr>
          <w:rFonts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将在江苏政府采购网上发布中标公告。</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和评标委员会对未中标原因不作解释。</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（十一）废标的确认：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1．符合专业条件的供应商或者对招标文件作出实质性响应的供应商不足三家；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3．供应商的报价均超过采购预算，采购人不能支付的；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4．因重大变故，采购任务取消。</w:t>
      </w:r>
      <w:bookmarkEnd w:id="19"/>
      <w:r/>
      <w:r/>
    </w:p>
    <w:p>
      <w:pPr>
        <w:ind w:firstLine="482"/>
        <w:spacing w:line="360" w:lineRule="auto"/>
        <w:rPr>
          <w:rFonts w:ascii="宋体" w:hAnsi="宋体" w:eastAsia="宋体" w:cs="宋体"/>
          <w:b/>
          <w:color w:val="auto"/>
          <w:sz w:val="24"/>
          <w:szCs w:val="24"/>
          <w:highlight w:val="none"/>
        </w:rPr>
      </w:pPr>
      <w:r/>
      <w:bookmarkStart w:id="20" w:name="_Toc112006923"/>
      <w:r>
        <w:rPr>
          <w:rFonts w:hint="eastAsia" w:ascii="宋体" w:hAnsi="宋体" w:eastAsia="宋体" w:cs="宋体"/>
          <w:b/>
          <w:color w:val="auto"/>
          <w:sz w:val="24"/>
          <w:szCs w:val="24"/>
          <w:highlight w:val="none"/>
        </w:rPr>
        <w:t xml:space="preserve">（十二）中标无效的确认：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1.若有充分证据证明，中标人出现下列情况之一的，一经查实，将被取消中标资格：</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1.1提供虚假材料谋取中标的；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1.2采取不正当手段诋毁、排挤其他供应商的；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1.3与招标采购单位、其他供应商恶意串通的；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1.4向招标采购单位行贿或者提供其他不正当利益的；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1.6拒绝有关部门监督检查或者提供虚假情况的。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0"/>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2.有下列情形之一的，视为投标人串通投标，投标无效：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2.1不同投标人的投标文件由同一单位或者个人编制。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2.2不同投标人委托同一单位或者个人办理投标事宜。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 不同投标人的投标文件载明的项目管理成员或者联系人员为同一人。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2.4不同投标人的投标文件异常一致或者投标报价呈规律性差异。</w:t>
      </w:r>
      <w:r/>
    </w:p>
    <w:p>
      <w:pPr>
        <w:ind w:firstLine="482"/>
        <w:spacing w:line="360" w:lineRule="auto"/>
        <w:rPr>
          <w:rFonts w:ascii="宋体" w:hAnsi="宋体" w:eastAsia="宋体" w:cs="宋体"/>
          <w:b/>
          <w:color w:val="auto"/>
          <w:sz w:val="24"/>
          <w:szCs w:val="24"/>
          <w:highlight w:val="none"/>
        </w:rPr>
      </w:pPr>
      <w:r/>
      <w:bookmarkStart w:id="21" w:name="_Toc112006924"/>
      <w:r>
        <w:rPr>
          <w:rFonts w:hint="eastAsia" w:ascii="宋体" w:hAnsi="宋体" w:eastAsia="宋体" w:cs="宋体"/>
          <w:b/>
          <w:color w:val="auto"/>
          <w:sz w:val="24"/>
          <w:szCs w:val="24"/>
          <w:highlight w:val="none"/>
        </w:rPr>
        <w:t xml:space="preserve">（十三）签订、履行合同：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将根据具体情况提请政府采购管理部门作出相应处理。</w:t>
      </w:r>
      <w:bookmarkEnd w:id="21"/>
      <w:r/>
      <w:r/>
    </w:p>
    <w:p>
      <w:pPr>
        <w:ind w:firstLine="480"/>
        <w:spacing w:line="360" w:lineRule="auto"/>
        <w:rPr>
          <w:rFonts w:hint="eastAsia" w:ascii="宋体" w:hAnsi="宋体" w:eastAsia="宋体" w:cs="宋体"/>
          <w:bCs/>
          <w:strike/>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4、根据《中华人民共和国政府采购法实施条例》第四十九条规定：</w:t>
      </w:r>
      <w:r>
        <w:rPr>
          <w:rFonts w:hint="eastAsia" w:ascii="宋体" w:hAnsi="宋体" w:eastAsia="宋体" w:cs="宋体"/>
          <w:bCs/>
          <w:color w:val="auto"/>
          <w:sz w:val="24"/>
          <w:szCs w:val="24"/>
          <w:highlight w:val="none"/>
        </w:rPr>
        <w:t xml:space="preserve">中标或者成交供应商拒绝与采购人签订合同的，采购人按照评审报告推荐的中标或者成交候选人名单排序，确定下一候选人为中标或者成交供应商</w:t>
      </w:r>
      <w:r>
        <w:rPr>
          <w:rFonts w:hint="eastAsia" w:ascii="宋体" w:hAnsi="宋体" w:eastAsia="宋体" w:cs="宋体"/>
          <w:bCs/>
          <w:color w:val="auto"/>
          <w:sz w:val="24"/>
          <w:szCs w:val="24"/>
          <w:highlight w:val="none"/>
          <w:lang w:eastAsia="zh-CN"/>
        </w:rPr>
        <w:t xml:space="preserve">。</w:t>
      </w:r>
      <w:r/>
    </w:p>
    <w:p>
      <w:pPr>
        <w:ind w:firstLine="482"/>
        <w:spacing w:line="360" w:lineRule="auto"/>
        <w:rPr>
          <w:rFonts w:ascii="宋体" w:hAnsi="宋体" w:eastAsia="宋体" w:cs="宋体"/>
          <w:b/>
          <w:color w:val="auto"/>
          <w:sz w:val="24"/>
          <w:szCs w:val="24"/>
          <w:highlight w:val="none"/>
        </w:rPr>
      </w:pPr>
      <w:r/>
      <w:bookmarkStart w:id="22" w:name="_Toc112006925"/>
      <w:r>
        <w:rPr>
          <w:rFonts w:hint="eastAsia" w:ascii="宋体" w:hAnsi="宋体" w:eastAsia="宋体" w:cs="宋体"/>
          <w:b/>
          <w:color w:val="auto"/>
          <w:sz w:val="24"/>
          <w:szCs w:val="24"/>
          <w:highlight w:val="none"/>
        </w:rPr>
        <w:t xml:space="preserve">（十四）注意事项：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（十五）质疑处理</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zh-CN"/>
        </w:rPr>
        <w:t xml:space="preserve">条款的规定向采购人或</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提出质疑，上述应知其权益受到损害之日，是指：</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2.2对采购过程提出质疑的，为各采购程序环节结束之日；</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2.3对中标或者成交结果提出质疑的，为中标或者成交结果公告期限届满之日。</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、采购人将只对供应商第一次质疑作出答复。</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采购人、</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不接受未填写快递运单的快件）。</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联系人、联系方式、通信地址见招标文件第一章。</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 以下情形的质疑不予受理</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5.1 内容不符合《政府采购质疑和投诉办法》第十二条规定的质疑。</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5.2 超出《中华人民共和国政府采购法》规定期限的质疑。</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5.3 以传真、电子邮件等方式递交的非原件形式的质疑。</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有权依据政府采购的有关规定，报请政府采</w:t>
      </w:r>
      <w:r>
        <w:rPr>
          <w:rFonts w:hint="eastAsia" w:ascii="宋体" w:hAnsi="宋体" w:eastAsia="宋体" w:cs="宋体"/>
          <w:b w:val="0"/>
          <w:bCs/>
          <w:color w:val="auto"/>
          <w:sz w:val="24"/>
          <w:szCs w:val="24"/>
          <w:highlight w:val="none"/>
          <w:lang w:val="zh-CN"/>
        </w:rPr>
        <w:t xml:space="preserve">购监管部门对该供应商进行相应的行政处罚和记录该供应商的失信信息。</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（十六）中标服务费</w:t>
      </w:r>
      <w:bookmarkEnd w:id="22"/>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本项目招标代理费</w:t>
      </w:r>
      <w:r>
        <w:rPr>
          <w:rFonts w:hint="eastAsia" w:ascii="宋体" w:hAnsi="宋体" w:eastAsia="宋体" w:cs="宋体"/>
          <w:b w:val="0"/>
          <w:bCs/>
          <w:color w:val="auto"/>
          <w:sz w:val="24"/>
          <w:szCs w:val="24"/>
          <w:highlight w:val="none"/>
          <w:lang w:val="en-US" w:eastAsia="zh-CN"/>
        </w:rPr>
        <w:t xml:space="preserve">按梁溪区生活垃圾转运站全过程工程咨询服务协议的收费</w:t>
      </w:r>
      <w:r>
        <w:rPr>
          <w:rFonts w:hint="eastAsia" w:ascii="宋体" w:hAnsi="宋体" w:eastAsia="宋体" w:cs="宋体"/>
          <w:b w:val="0"/>
          <w:bCs/>
          <w:color w:val="auto"/>
          <w:sz w:val="24"/>
          <w:szCs w:val="24"/>
          <w:highlight w:val="none"/>
        </w:rPr>
        <w:t xml:space="preserve">计取。招标代理费由</w:t>
      </w:r>
      <w:r>
        <w:rPr>
          <w:rFonts w:hint="eastAsia" w:ascii="宋体" w:hAnsi="宋体" w:eastAsia="宋体" w:cs="宋体"/>
          <w:b w:val="0"/>
          <w:bCs/>
          <w:color w:val="auto"/>
          <w:sz w:val="24"/>
          <w:szCs w:val="24"/>
          <w:highlight w:val="none"/>
          <w:lang w:val="en-US" w:eastAsia="zh-CN"/>
        </w:rPr>
        <w:t xml:space="preserve">招标人</w:t>
      </w:r>
      <w:r>
        <w:rPr>
          <w:rFonts w:hint="eastAsia" w:ascii="宋体" w:hAnsi="宋体" w:eastAsia="宋体" w:cs="宋体"/>
          <w:b w:val="0"/>
          <w:bCs/>
          <w:color w:val="auto"/>
          <w:sz w:val="24"/>
          <w:szCs w:val="24"/>
          <w:highlight w:val="none"/>
        </w:rPr>
        <w:t xml:space="preserve">支付。</w:t>
      </w:r>
      <w:r/>
    </w:p>
    <w:p>
      <w:pPr>
        <w:ind w:firstLine="48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（十七）服务（包含与服务相关的货物）的追加</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jc w:val="center"/>
        <w:spacing w:line="360" w:lineRule="auto"/>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三、项目要求和有关说明</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一、采购标的需实现的功能或者目标，以及为落实政府采购政策需满足的要求：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1.采购标的需实现的功能或者目标：</w:t>
      </w:r>
      <w:r>
        <w:rPr>
          <w:rFonts w:hint="eastAsia" w:ascii="宋体" w:hAnsi="宋体" w:eastAsia="宋体" w:cs="宋体"/>
          <w:color w:val="auto"/>
          <w:sz w:val="24"/>
          <w:szCs w:val="24"/>
          <w:highlight w:val="none"/>
          <w:lang w:eastAsia="zh-CN"/>
        </w:rPr>
        <w:t xml:space="preserve">新能源转运车采购项目</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2.为落实政府采购政策需满足的要求：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二、本项目需执行的国家相关标准、行业标准、地方标准或者其他标准、规范：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《中华人民共和国政府采购法》、《中华人民共和国政府采购法实施条例》</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三、本项目需满足的质量、安全、技术规格、物理特性等要求：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1.质量标准：符合国际、国内相关标准和安全技术规范要求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2.本项目核心产品为：纯电动生活垃圾转运车。</w:t>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3490"/>
        <w:gridCol w:w="2131"/>
        <w:gridCol w:w="2131"/>
      </w:tblGrid>
      <w:tr>
        <w:trPr/>
        <w:tc>
          <w:tcPr>
            <w:tcW w:w="770"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p>
        </w:tc>
        <w:tc>
          <w:tcPr>
            <w:tcW w:w="3490"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2131"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2131"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tc>
          <w:tcPr>
            <w:tcW w:w="770" w:type="dxa"/>
            <w:textDirection w:val="lrTb"/>
            <w:noWrap w:val="false"/>
          </w:tcPr>
          <w:p>
            <w:pPr>
              <w:ind w:firstLine="24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490"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纯电动生活垃圾转运车</w:t>
            </w:r>
            <w:r/>
          </w:p>
        </w:tc>
        <w:tc>
          <w:tcPr>
            <w:tcW w:w="2131"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2131"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r>
    </w:tbl>
    <w:p>
      <w:pPr>
        <w:ind w:firstLine="482"/>
        <w:spacing w:line="360" w:lineRule="auto"/>
        <w:rPr>
          <w:rFonts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3.通用技术要求：</w:t>
      </w:r>
      <w:bookmarkStart w:id="23" w:name="_Toc464809055"/>
      <w:r/>
      <w:bookmarkStart w:id="24" w:name="_Toc263687765"/>
      <w:r/>
      <w:bookmarkStart w:id="25" w:name="_Toc180917568"/>
      <w:r/>
      <w:r/>
    </w:p>
    <w:p>
      <w:pPr>
        <w:ind w:firstLine="482"/>
        <w:spacing w:line="360" w:lineRule="auto"/>
        <w:rPr>
          <w:rFonts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3.1基本要求</w:t>
      </w:r>
      <w:bookmarkEnd w:id="23"/>
      <w:r/>
      <w:bookmarkEnd w:id="24"/>
      <w:r/>
      <w:bookmarkEnd w:id="25"/>
      <w:r/>
      <w:r/>
    </w:p>
    <w:p>
      <w:pPr>
        <w:pStyle w:val="1485"/>
        <w:numPr>
          <w:ilvl w:val="3"/>
          <w:numId w:val="0"/>
        </w:numPr>
        <w:ind w:firstLine="480"/>
        <w:jc w:val="left"/>
        <w:spacing w:line="360" w:lineRule="auto"/>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（1）投标车辆整车及其部件、子系统应符合中国法律、法规、标准和规范的要求。</w:t>
      </w:r>
      <w:r/>
    </w:p>
    <w:p>
      <w:pPr>
        <w:pStyle w:val="1485"/>
        <w:numPr>
          <w:ilvl w:val="3"/>
          <w:numId w:val="0"/>
        </w:numPr>
        <w:ind w:firstLine="480"/>
        <w:jc w:val="left"/>
        <w:spacing w:line="360" w:lineRule="auto"/>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（2）投标车辆整车及其部件和组件应是完整的、高效率的并具有相关功能的。</w:t>
      </w:r>
      <w:r/>
    </w:p>
    <w:p>
      <w:pPr>
        <w:pStyle w:val="1485"/>
        <w:numPr>
          <w:ilvl w:val="3"/>
          <w:numId w:val="0"/>
        </w:numPr>
        <w:ind w:firstLine="480"/>
        <w:jc w:val="left"/>
        <w:spacing w:line="360" w:lineRule="auto"/>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（3）投标人应保证其供货的车辆是采用了制造厂家成熟的、先进的设计方法和技术。</w:t>
      </w:r>
      <w:r/>
    </w:p>
    <w:p>
      <w:pPr>
        <w:pStyle w:val="1485"/>
        <w:numPr>
          <w:ilvl w:val="3"/>
          <w:numId w:val="0"/>
        </w:numPr>
        <w:ind w:firstLine="480"/>
        <w:jc w:val="left"/>
        <w:spacing w:line="360" w:lineRule="auto"/>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（4）投标车辆在无锡气候条件下能正常工作。</w:t>
      </w:r>
      <w:r/>
    </w:p>
    <w:p>
      <w:pPr>
        <w:pStyle w:val="1485"/>
        <w:numPr>
          <w:ilvl w:val="3"/>
          <w:numId w:val="0"/>
        </w:numPr>
        <w:ind w:firstLine="480"/>
        <w:jc w:val="left"/>
        <w:spacing w:line="360" w:lineRule="auto"/>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（5）工作时间安排：全年365天工作（除强台风等罕见气候条件外）。</w:t>
      </w:r>
      <w:r/>
    </w:p>
    <w:p>
      <w:pPr>
        <w:pStyle w:val="1485"/>
        <w:numPr>
          <w:ilvl w:val="3"/>
          <w:numId w:val="0"/>
        </w:numPr>
        <w:ind w:firstLine="480"/>
        <w:jc w:val="left"/>
        <w:spacing w:line="360" w:lineRule="auto"/>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（6）投标车辆适用于有高腐蚀性恶劣环境。</w:t>
      </w:r>
      <w:r/>
    </w:p>
    <w:p>
      <w:pPr>
        <w:pStyle w:val="1485"/>
        <w:numPr>
          <w:ilvl w:val="3"/>
          <w:numId w:val="0"/>
        </w:numPr>
        <w:ind w:firstLine="480"/>
        <w:jc w:val="both"/>
        <w:spacing w:line="360" w:lineRule="auto"/>
        <w:rPr>
          <w:rFonts w:hint="default" w:ascii="宋体" w:hAnsi="宋体" w:eastAsia="宋体" w:cs="宋体"/>
          <w:strike w:val="0"/>
          <w:color w:val="auto"/>
          <w:sz w:val="24"/>
          <w:highlight w:val="none"/>
          <w:lang w:val="en-US" w:eastAsia="zh-CN"/>
        </w:rPr>
      </w:pPr>
      <w:r>
        <w:rPr>
          <w:rFonts w:hint="eastAsia" w:ascii="宋体" w:hAnsi="宋体" w:eastAsia="宋体" w:cs="宋体"/>
          <w:strike w:val="0"/>
          <w:color w:val="auto"/>
          <w:sz w:val="24"/>
          <w:highlight w:val="none"/>
        </w:rPr>
        <w:t xml:space="preserve">（7）投标车辆应能与服务范围内垃圾收集和处理系统相匹配，并与</w:t>
      </w:r>
      <w:r>
        <w:rPr>
          <w:rFonts w:hint="eastAsia" w:ascii="宋体" w:hAnsi="宋体" w:eastAsia="宋体" w:cs="宋体"/>
          <w:strike w:val="0"/>
          <w:color w:val="auto"/>
          <w:sz w:val="24"/>
          <w:highlight w:val="none"/>
          <w:lang w:eastAsia="zh-CN"/>
        </w:rPr>
        <w:t xml:space="preserve">梁溪</w:t>
      </w:r>
      <w:r>
        <w:rPr>
          <w:rFonts w:hint="eastAsia" w:ascii="宋体" w:hAnsi="宋体" w:eastAsia="宋体" w:cs="宋体"/>
          <w:strike w:val="0"/>
          <w:color w:val="auto"/>
          <w:sz w:val="24"/>
          <w:highlight w:val="none"/>
        </w:rPr>
        <w:t xml:space="preserve">转运站压缩系统、垃圾集装箱等设施设备及建构筑物衔接良好</w:t>
      </w:r>
      <w:r>
        <w:rPr>
          <w:rFonts w:hint="eastAsia" w:ascii="宋体" w:hAnsi="宋体" w:eastAsia="宋体" w:cs="宋体"/>
          <w:strike w:val="0"/>
          <w:color w:val="auto"/>
          <w:sz w:val="24"/>
          <w:highlight w:val="none"/>
          <w:lang w:eastAsia="zh-CN"/>
        </w:rPr>
        <w:t xml:space="preserve">，满足无锡市区生活垃圾处置终端通行及卸料要求。</w:t>
      </w:r>
      <w:r>
        <w:rPr>
          <w:rFonts w:hint="eastAsia" w:ascii="宋体" w:hAnsi="宋体" w:eastAsia="宋体" w:cs="宋体"/>
          <w:strike w:val="0"/>
          <w:color w:val="auto"/>
          <w:sz w:val="24"/>
          <w:highlight w:val="none"/>
          <w:lang w:val="en-US" w:eastAsia="zh-CN"/>
        </w:rPr>
        <w:t xml:space="preserve">梁溪区生活垃圾转运站目前已安装完成28套双枪充电桩（具体参数详见附件五），充电设备不计算在本项目内。</w:t>
      </w:r>
      <w:r/>
    </w:p>
    <w:p>
      <w:pPr>
        <w:pStyle w:val="1485"/>
        <w:numPr>
          <w:ilvl w:val="3"/>
          <w:numId w:val="0"/>
        </w:numPr>
        <w:ind w:firstLine="480"/>
        <w:jc w:val="left"/>
        <w:spacing w:line="360" w:lineRule="auto"/>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（8）投标人在车辆制造、交货等过程中应接受监理单位的检查及监督。</w:t>
      </w:r>
      <w:r/>
    </w:p>
    <w:p>
      <w:pPr>
        <w:pStyle w:val="839"/>
        <w:ind w:firstLine="482"/>
        <w:spacing w:line="360" w:lineRule="auto"/>
        <w:rPr>
          <w:rFonts w:ascii="宋体" w:hAnsi="宋体" w:eastAsia="宋体" w:cs="宋体"/>
          <w:b/>
          <w:bCs/>
          <w:strike w:val="0"/>
          <w:color w:val="auto"/>
          <w:sz w:val="24"/>
          <w:szCs w:val="24"/>
          <w:highlight w:val="none"/>
        </w:rPr>
      </w:pPr>
      <w:r/>
      <w:bookmarkStart w:id="26" w:name="_Toc464809056"/>
      <w:r/>
      <w:bookmarkStart w:id="27" w:name="_Toc263687766"/>
      <w:r/>
      <w:bookmarkStart w:id="28" w:name="_Toc180917569"/>
      <w:r>
        <w:rPr>
          <w:rFonts w:hint="eastAsia" w:ascii="宋体" w:hAnsi="宋体" w:eastAsia="宋体" w:cs="宋体"/>
          <w:b/>
          <w:bCs/>
          <w:strike w:val="0"/>
          <w:color w:val="auto"/>
          <w:sz w:val="24"/>
          <w:szCs w:val="24"/>
          <w:highlight w:val="none"/>
        </w:rPr>
        <w:t xml:space="preserve">3.2车辆的保证</w:t>
      </w:r>
      <w:bookmarkEnd w:id="26"/>
      <w:r/>
      <w:bookmarkEnd w:id="27"/>
      <w:r/>
      <w:bookmarkEnd w:id="28"/>
      <w:r/>
      <w:r/>
    </w:p>
    <w:p>
      <w:pPr>
        <w:pStyle w:val="875"/>
        <w:ind w:firstLine="480"/>
        <w:spacing w:after="0" w:line="360" w:lineRule="auto"/>
        <w:rPr>
          <w:rFonts w:hint="eastAsia"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除另有规定外，投标人应保证所提供车辆的制作和材料是</w:t>
      </w:r>
      <w:r>
        <w:rPr>
          <w:rFonts w:hint="eastAsia" w:ascii="宋体" w:hAnsi="宋体" w:eastAsia="宋体"/>
          <w:strike w:val="0"/>
          <w:color w:val="auto"/>
          <w:sz w:val="24"/>
          <w:highlight w:val="none"/>
          <w:lang w:val="en-US" w:eastAsia="zh-CN"/>
        </w:rPr>
        <w:t xml:space="preserve">符合国家标准</w:t>
      </w:r>
      <w:r>
        <w:rPr>
          <w:rFonts w:hint="eastAsia" w:ascii="宋体" w:hAnsi="宋体" w:eastAsia="宋体"/>
          <w:strike w:val="0"/>
          <w:color w:val="auto"/>
          <w:sz w:val="24"/>
          <w:highlight w:val="none"/>
          <w:lang w:eastAsia="zh-CN"/>
        </w:rPr>
        <w:t xml:space="preserve">的。整车质保2年（其中动力电池、驱动电机和电控系统质保8年）。投标人应及时处理任一部件因材料用错或构造不合理而带来的事故，使其符合本规定的要求，其费用应当由投标人自负。另外因该事故发生而带来的其它部分的损坏亦应由投标人负责修补完善并承担费用。</w:t>
      </w:r>
      <w:r/>
    </w:p>
    <w:p>
      <w:pPr>
        <w:pStyle w:val="875"/>
        <w:ind w:firstLine="480"/>
        <w:spacing w:after="0"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招标人应对观察到的缺点，立即发出书面通知，假使投标人未及时响应，那么投标人应负所有涉及到的费用的责任。</w:t>
      </w:r>
      <w:r/>
    </w:p>
    <w:p>
      <w:pPr>
        <w:pStyle w:val="839"/>
        <w:ind w:firstLine="482"/>
        <w:spacing w:line="360" w:lineRule="auto"/>
        <w:rPr>
          <w:rFonts w:ascii="宋体" w:hAnsi="宋体" w:eastAsia="宋体" w:cs="宋体"/>
          <w:b/>
          <w:bCs/>
          <w:strike w:val="0"/>
          <w:color w:val="auto"/>
          <w:sz w:val="24"/>
          <w:szCs w:val="24"/>
          <w:highlight w:val="none"/>
        </w:rPr>
      </w:pPr>
      <w:r/>
      <w:bookmarkStart w:id="29" w:name="_Toc526483229"/>
      <w:r/>
      <w:bookmarkStart w:id="30" w:name="_Toc263687767"/>
      <w:r/>
      <w:bookmarkStart w:id="31" w:name="_Toc464809057"/>
      <w:r/>
      <w:bookmarkStart w:id="32" w:name="_Toc180917570"/>
      <w:r>
        <w:rPr>
          <w:rFonts w:hint="eastAsia" w:ascii="宋体" w:hAnsi="宋体" w:eastAsia="宋体" w:cs="宋体"/>
          <w:b/>
          <w:bCs/>
          <w:strike w:val="0"/>
          <w:color w:val="auto"/>
          <w:sz w:val="24"/>
          <w:szCs w:val="24"/>
          <w:highlight w:val="none"/>
        </w:rPr>
        <w:t xml:space="preserve">3.3专利</w:t>
      </w:r>
      <w:bookmarkEnd w:id="29"/>
      <w:r/>
      <w:bookmarkEnd w:id="30"/>
      <w:r/>
      <w:bookmarkEnd w:id="31"/>
      <w:r/>
      <w:bookmarkEnd w:id="32"/>
      <w:r/>
      <w:r/>
    </w:p>
    <w:p>
      <w:pPr>
        <w:pStyle w:val="87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投标人应当对本合同规定的车辆的一切专利费和执照费承担责任，并且负责保护招标人不受任何损害。</w:t>
      </w:r>
      <w:r/>
    </w:p>
    <w:p>
      <w:pPr>
        <w:pStyle w:val="875"/>
        <w:ind w:firstLine="480"/>
        <w:spacing w:line="360" w:lineRule="auto"/>
        <w:rPr>
          <w:rFonts w:ascii="宋体" w:hAnsi="宋体" w:eastAsia="宋体"/>
          <w:strike w:val="0"/>
          <w:color w:val="auto"/>
          <w:sz w:val="24"/>
          <w:highlight w:val="none"/>
          <w:lang w:eastAsia="zh-CN"/>
        </w:rPr>
      </w:pPr>
      <w:r>
        <w:rPr>
          <w:rFonts w:ascii="宋体" w:hAnsi="宋体" w:eastAsia="宋体"/>
          <w:strike w:val="0"/>
          <w:color w:val="auto"/>
          <w:sz w:val="24"/>
          <w:highlight w:val="none"/>
          <w:lang w:eastAsia="zh-CN"/>
        </w:rPr>
      </w:r>
      <w:r/>
    </w:p>
    <w:p>
      <w:pPr>
        <w:pStyle w:val="839"/>
        <w:ind w:firstLine="482"/>
        <w:spacing w:line="360" w:lineRule="auto"/>
        <w:rPr>
          <w:rFonts w:ascii="宋体" w:hAnsi="宋体" w:eastAsia="宋体" w:cs="宋体"/>
          <w:b/>
          <w:bCs/>
          <w:strike w:val="0"/>
          <w:color w:val="auto"/>
          <w:sz w:val="24"/>
          <w:szCs w:val="24"/>
          <w:highlight w:val="none"/>
        </w:rPr>
      </w:pPr>
      <w:r/>
      <w:bookmarkStart w:id="33" w:name="_Toc526483230"/>
      <w:r/>
      <w:bookmarkStart w:id="34" w:name="_Toc263687768"/>
      <w:r/>
      <w:bookmarkStart w:id="35" w:name="_Toc180917571"/>
      <w:r/>
      <w:bookmarkStart w:id="36" w:name="_Toc464809058"/>
      <w:r>
        <w:rPr>
          <w:rFonts w:hint="eastAsia" w:ascii="宋体" w:hAnsi="宋体" w:eastAsia="宋体" w:cs="宋体"/>
          <w:b/>
          <w:bCs/>
          <w:strike w:val="0"/>
          <w:color w:val="auto"/>
          <w:sz w:val="24"/>
          <w:szCs w:val="24"/>
          <w:highlight w:val="none"/>
        </w:rPr>
        <w:t xml:space="preserve">3.4设计使用期限</w:t>
      </w:r>
      <w:bookmarkEnd w:id="33"/>
      <w:r/>
      <w:bookmarkEnd w:id="34"/>
      <w:r/>
      <w:bookmarkEnd w:id="35"/>
      <w:r/>
      <w:bookmarkEnd w:id="36"/>
      <w:r/>
      <w:r/>
    </w:p>
    <w:p>
      <w:pPr>
        <w:pStyle w:val="87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设计的材料和车辆均应有长的使用期，并应适合于长期每天12小时的连续运转，保证车辆可靠、耐用。</w:t>
      </w:r>
      <w:r/>
    </w:p>
    <w:p>
      <w:pPr>
        <w:pStyle w:val="875"/>
        <w:ind w:firstLine="480"/>
        <w:spacing w:line="360" w:lineRule="auto"/>
        <w:rPr>
          <w:rFonts w:ascii="宋体" w:hAnsi="宋体" w:eastAsia="宋体"/>
          <w:strike/>
          <w:color w:val="auto"/>
          <w:sz w:val="24"/>
          <w:highlight w:val="none"/>
          <w:lang w:eastAsia="zh-CN"/>
        </w:rPr>
      </w:pPr>
      <w:r>
        <w:rPr>
          <w:rFonts w:hint="eastAsia" w:ascii="宋体" w:hAnsi="宋体" w:eastAsia="宋体"/>
          <w:strike w:val="0"/>
          <w:color w:val="auto"/>
          <w:sz w:val="24"/>
          <w:highlight w:val="none"/>
          <w:lang w:eastAsia="zh-CN"/>
        </w:rPr>
        <w:t xml:space="preserve">提供的车辆应易于维护和保养。除去易耗件等正常情况就需要很频繁地更换外，凡是须经受磨损的无论哪一种部件，从新的使用到予以更换，或需予以修理的，应有较长使用期。</w:t>
      </w:r>
      <w:r/>
    </w:p>
    <w:p>
      <w:pPr>
        <w:pStyle w:val="875"/>
        <w:ind w:firstLine="482"/>
        <w:rPr>
          <w:rFonts w:ascii="宋体" w:hAnsi="宋体" w:eastAsia="宋体" w:cs="宋体"/>
          <w:b/>
          <w:bCs/>
          <w:strike w:val="0"/>
          <w:color w:val="auto"/>
          <w:sz w:val="24"/>
          <w:szCs w:val="24"/>
          <w:highlight w:val="none"/>
        </w:rPr>
      </w:pPr>
      <w:r/>
      <w:bookmarkStart w:id="37" w:name="_Toc263687769"/>
      <w:r/>
      <w:bookmarkStart w:id="38" w:name="_Toc464809059"/>
      <w:r/>
      <w:bookmarkStart w:id="39" w:name="_Toc180917572"/>
      <w:r/>
      <w:bookmarkStart w:id="40" w:name="_Toc526483231"/>
      <w:r>
        <w:rPr>
          <w:rFonts w:hint="eastAsia" w:ascii="宋体" w:hAnsi="宋体" w:eastAsia="宋体" w:cs="宋体"/>
          <w:b/>
          <w:bCs/>
          <w:strike w:val="0"/>
          <w:color w:val="auto"/>
          <w:sz w:val="24"/>
          <w:szCs w:val="24"/>
          <w:highlight w:val="none"/>
        </w:rPr>
        <w:t xml:space="preserve">3.5材料</w:t>
      </w:r>
      <w:bookmarkEnd w:id="37"/>
      <w:r/>
      <w:bookmarkEnd w:id="38"/>
      <w:r/>
      <w:bookmarkEnd w:id="39"/>
      <w:r/>
      <w:bookmarkEnd w:id="40"/>
      <w:r/>
      <w:r/>
    </w:p>
    <w:p>
      <w:pPr>
        <w:pStyle w:val="87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工程中所使用的材料必须是最适合该工作的，并应是新的，无缺陷的，且应选择使用寿命长和维护要求低的材料。</w:t>
      </w:r>
      <w:r/>
    </w:p>
    <w:p>
      <w:pPr>
        <w:pStyle w:val="87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与垃圾、臭气和污水接触的车辆部件表面，应是抗腐蚀的。直接与垃圾接触的部件应具有对垃圾有完全的抗腐蚀与抗磨损能力。</w:t>
      </w:r>
      <w:r/>
    </w:p>
    <w:p>
      <w:pPr>
        <w:pStyle w:val="839"/>
        <w:ind w:firstLine="482"/>
        <w:spacing w:line="360" w:lineRule="auto"/>
        <w:rPr>
          <w:rFonts w:ascii="宋体" w:hAnsi="宋体" w:eastAsia="宋体" w:cs="宋体"/>
          <w:b/>
          <w:bCs/>
          <w:strike w:val="0"/>
          <w:color w:val="auto"/>
          <w:sz w:val="24"/>
          <w:szCs w:val="24"/>
          <w:highlight w:val="none"/>
        </w:rPr>
      </w:pPr>
      <w:r/>
      <w:bookmarkStart w:id="41" w:name="_Toc464809060"/>
      <w:r/>
      <w:bookmarkStart w:id="42" w:name="_Toc180917573"/>
      <w:r/>
      <w:bookmarkStart w:id="43" w:name="_Toc526483233"/>
      <w:r/>
      <w:bookmarkStart w:id="44" w:name="_Toc263687770"/>
      <w:r>
        <w:rPr>
          <w:rFonts w:hint="eastAsia" w:ascii="宋体" w:hAnsi="宋体" w:eastAsia="宋体" w:cs="宋体"/>
          <w:b/>
          <w:bCs/>
          <w:strike w:val="0"/>
          <w:color w:val="auto"/>
          <w:sz w:val="24"/>
          <w:szCs w:val="24"/>
          <w:highlight w:val="none"/>
        </w:rPr>
        <w:t xml:space="preserve">3.6浇铸与锻造</w:t>
      </w:r>
      <w:bookmarkEnd w:id="41"/>
      <w:r/>
      <w:bookmarkEnd w:id="42"/>
      <w:r/>
      <w:bookmarkEnd w:id="43"/>
      <w:r/>
      <w:bookmarkEnd w:id="44"/>
      <w:r/>
      <w:r/>
    </w:p>
    <w:p>
      <w:pPr>
        <w:pStyle w:val="87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所有的浇铸件与锻件都应是良好的洁净的没有孔隙、裂缝、瑕疵、砂眼或激冷硬块的金属。所有的机加工面都应是没有瑕疵的。浇铸件应是洁净的、准确的和轮廓鲜明的。所有的形状与尺寸的变化处理都应做成渐变的，带合适的圆角与里外有大的倒角。</w:t>
      </w:r>
      <w:r/>
    </w:p>
    <w:p>
      <w:pPr>
        <w:pStyle w:val="87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任何需要承受工作应力的地方，不能使用可锻铸铁。</w:t>
      </w:r>
      <w:r/>
    </w:p>
    <w:p>
      <w:pPr>
        <w:pStyle w:val="87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根据规定，所有的浇铸件都应仔细地嵌添和揩擦，直到它具有一个良好的平滑表面，用以接受最后一道油漆工序。</w:t>
      </w:r>
      <w:r/>
    </w:p>
    <w:p>
      <w:pPr>
        <w:pStyle w:val="87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用焊接来修补铸件的主要的缺陷时，应在焊接之后，消除应力。</w:t>
      </w:r>
      <w:r/>
    </w:p>
    <w:p>
      <w:pPr>
        <w:pStyle w:val="875"/>
        <w:ind w:firstLine="480"/>
        <w:spacing w:line="360" w:lineRule="auto"/>
        <w:rPr>
          <w:rFonts w:ascii="宋体" w:hAnsi="宋体" w:eastAsia="宋体"/>
          <w:strike w:val="0"/>
          <w:color w:val="auto"/>
          <w:sz w:val="24"/>
          <w:highlight w:val="none"/>
          <w:lang w:eastAsia="zh-CN"/>
        </w:rPr>
      </w:pPr>
      <w:r>
        <w:rPr>
          <w:rFonts w:hint="eastAsia" w:ascii="宋体" w:hAnsi="宋体" w:eastAsia="宋体"/>
          <w:strike w:val="0"/>
          <w:color w:val="auto"/>
          <w:sz w:val="24"/>
          <w:highlight w:val="none"/>
          <w:lang w:eastAsia="zh-CN"/>
        </w:rPr>
        <w:t xml:space="preserve">对任何含有不能被判明缺陷程度的铸件，以及确定焊接修补是否适当时，则必须对该铸件进行非破坏性的测试。</w:t>
      </w:r>
      <w:r/>
    </w:p>
    <w:p>
      <w:pPr>
        <w:pStyle w:val="839"/>
        <w:ind w:firstLine="482"/>
        <w:spacing w:line="360" w:lineRule="auto"/>
        <w:rPr>
          <w:rFonts w:ascii="宋体" w:hAnsi="宋体" w:eastAsia="宋体" w:cs="宋体"/>
          <w:b/>
          <w:bCs/>
          <w:strike w:val="0"/>
          <w:color w:val="auto"/>
          <w:sz w:val="24"/>
          <w:szCs w:val="24"/>
          <w:highlight w:val="none"/>
        </w:rPr>
      </w:pPr>
      <w:r/>
      <w:bookmarkStart w:id="45" w:name="_Toc526483234"/>
      <w:r/>
      <w:bookmarkStart w:id="46" w:name="_Toc263687771"/>
      <w:r/>
      <w:bookmarkStart w:id="47" w:name="_Toc180917574"/>
      <w:r/>
      <w:bookmarkStart w:id="48" w:name="_Toc464809061"/>
      <w:r>
        <w:rPr>
          <w:rFonts w:hint="eastAsia" w:ascii="宋体" w:hAnsi="宋体" w:eastAsia="宋体" w:cs="宋体"/>
          <w:b/>
          <w:bCs/>
          <w:strike w:val="0"/>
          <w:color w:val="auto"/>
          <w:sz w:val="24"/>
          <w:szCs w:val="24"/>
          <w:highlight w:val="none"/>
        </w:rPr>
        <w:t xml:space="preserve">3.7焊接</w:t>
      </w:r>
      <w:bookmarkEnd w:id="45"/>
      <w:r/>
      <w:bookmarkEnd w:id="46"/>
      <w:r/>
      <w:bookmarkEnd w:id="47"/>
      <w:r/>
      <w:bookmarkEnd w:id="48"/>
      <w:r/>
      <w:r/>
    </w:p>
    <w:p>
      <w:pPr>
        <w:pStyle w:val="875"/>
        <w:ind w:firstLine="480"/>
        <w:spacing w:line="360" w:lineRule="auto"/>
        <w:rPr>
          <w:rFonts w:hint="eastAsia" w:ascii="宋体" w:hAnsi="宋体" w:eastAsia="宋体" w:cs="宋体"/>
          <w:strike w:val="0"/>
          <w:color w:val="auto"/>
          <w:sz w:val="24"/>
          <w:highlight w:val="none"/>
          <w:lang w:eastAsia="zh-CN"/>
        </w:rPr>
      </w:pPr>
      <w:r/>
      <w:bookmarkStart w:id="49" w:name="_Toc464809062"/>
      <w:r/>
      <w:bookmarkStart w:id="50" w:name="_Toc263687772"/>
      <w:r/>
      <w:bookmarkStart w:id="51" w:name="_Toc180917575"/>
      <w:r>
        <w:rPr>
          <w:rFonts w:hint="eastAsia" w:ascii="宋体" w:hAnsi="宋体" w:eastAsia="宋体" w:cs="宋体"/>
          <w:strike w:val="0"/>
          <w:color w:val="auto"/>
          <w:sz w:val="24"/>
          <w:highlight w:val="none"/>
          <w:lang w:eastAsia="zh-CN"/>
        </w:rPr>
        <w:t xml:space="preserve">焊接工应取得相应的执业资格并持证上岗。</w:t>
      </w:r>
      <w:r/>
    </w:p>
    <w:p>
      <w:pPr>
        <w:pStyle w:val="87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投标人应具有相应的焊接能力，并保证焊接质量。</w:t>
      </w:r>
      <w:r/>
    </w:p>
    <w:p>
      <w:pPr>
        <w:pStyle w:val="87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焊接材料应符合转运车车辆设计要求和有关标准的规定。</w:t>
      </w:r>
      <w:r/>
    </w:p>
    <w:p>
      <w:pPr>
        <w:pStyle w:val="87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焊接质量的基本要求：</w:t>
      </w:r>
      <w:r/>
    </w:p>
    <w:p>
      <w:pPr>
        <w:pStyle w:val="87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（1）电气接触良好：焊点必须确保电气连接可靠，没有虚焊现象。</w:t>
      </w:r>
      <w:r/>
    </w:p>
    <w:p>
      <w:pPr>
        <w:pStyle w:val="87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（2）机械强度足够：焊点应具有足够的机械强度，能够承受外部力量而不易断裂。</w:t>
      </w:r>
      <w:r/>
    </w:p>
    <w:p>
      <w:pPr>
        <w:pStyle w:val="87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（3）外表美观：焊点外观应光滑、整齐，没有凹凸不平或波纹状现象。</w:t>
      </w:r>
      <w:r/>
    </w:p>
    <w:p>
      <w:pPr>
        <w:pStyle w:val="87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（4）无缺陷：焊缝表面不应有裂纹、气孔、夹渣等缺陷。</w:t>
      </w:r>
      <w:r/>
    </w:p>
    <w:p>
      <w:pPr>
        <w:pStyle w:val="87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（5）清洁：焊点表面应清洁，没有助焊剂的残留物。</w:t>
      </w:r>
      <w:r/>
    </w:p>
    <w:p>
      <w:pPr>
        <w:pStyle w:val="87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焊缝质量要求：</w:t>
      </w:r>
      <w:r/>
    </w:p>
    <w:p>
      <w:pPr>
        <w:pStyle w:val="87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（1）焊缝表面不得有裂纹、焊瘤、烧穿、弧坑等缺陷。</w:t>
      </w:r>
      <w:r/>
    </w:p>
    <w:p>
      <w:pPr>
        <w:pStyle w:val="87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（2）焊缝外形应均匀，焊道与焊道、焊道与基本金属之间过渡平滑，焊渣和飞溅物应清除干净。</w:t>
      </w:r>
      <w:r/>
    </w:p>
    <w:p>
      <w:pPr>
        <w:pStyle w:val="87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（3）一级、二级焊缝必须经探伤检验合格，确保焊接质量。</w:t>
      </w:r>
      <w:r/>
    </w:p>
    <w:p>
      <w:pPr>
        <w:pStyle w:val="875"/>
        <w:ind w:firstLine="480"/>
        <w:spacing w:line="360" w:lineRule="auto"/>
        <w:rPr>
          <w:rFonts w:hint="eastAsia" w:ascii="宋体" w:hAnsi="宋体" w:eastAsia="宋体" w:cs="宋体"/>
          <w:strike w:val="0"/>
          <w:color w:val="auto"/>
          <w:sz w:val="24"/>
          <w:highlight w:val="none"/>
          <w:lang w:eastAsia="zh-CN"/>
        </w:rPr>
      </w:pPr>
      <w:r>
        <w:rPr>
          <w:rFonts w:hint="eastAsia" w:ascii="宋体" w:hAnsi="宋体" w:eastAsia="宋体" w:cs="宋体"/>
          <w:strike w:val="0"/>
          <w:color w:val="auto"/>
          <w:sz w:val="24"/>
          <w:highlight w:val="none"/>
          <w:lang w:eastAsia="zh-CN"/>
        </w:rPr>
        <w:t xml:space="preserve">在进行机械加工之前，焊接件均应予以消除应力。</w:t>
      </w:r>
      <w:r/>
    </w:p>
    <w:p>
      <w:pPr>
        <w:pStyle w:val="839"/>
        <w:ind w:firstLine="482"/>
        <w:spacing w:line="360" w:lineRule="auto"/>
        <w:rPr>
          <w:rFonts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3.8液压系统</w:t>
      </w:r>
      <w:bookmarkEnd w:id="49"/>
      <w:r/>
      <w:bookmarkEnd w:id="50"/>
      <w:r/>
      <w:bookmarkEnd w:id="51"/>
      <w:r/>
      <w:r/>
    </w:p>
    <w:p>
      <w:pPr>
        <w:pStyle w:val="1485"/>
        <w:ind w:left="239" w:firstLine="480"/>
        <w:spacing w:line="360" w:lineRule="auto"/>
        <w:tabs>
          <w:tab w:val="clear" w:pos="960" w:leader="none"/>
        </w:tabs>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（1）液压管路应排列整齐、美观、夹持牢固。</w:t>
      </w:r>
      <w:r/>
    </w:p>
    <w:p>
      <w:pPr>
        <w:pStyle w:val="1485"/>
        <w:ind w:left="239" w:firstLine="480"/>
        <w:spacing w:line="360" w:lineRule="auto"/>
        <w:tabs>
          <w:tab w:val="clear" w:pos="960" w:leader="none"/>
        </w:tabs>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（2）液压系统不能出现渗漏。</w:t>
      </w:r>
      <w:r/>
    </w:p>
    <w:p>
      <w:pPr>
        <w:pStyle w:val="1485"/>
        <w:ind w:left="239" w:firstLine="480"/>
        <w:spacing w:line="360" w:lineRule="auto"/>
        <w:tabs>
          <w:tab w:val="clear" w:pos="960" w:leader="none"/>
        </w:tabs>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（3）液压系统应保证散热要求，油箱中的温度不得超过60℃。</w:t>
      </w:r>
      <w:r/>
    </w:p>
    <w:p>
      <w:pPr>
        <w:pStyle w:val="839"/>
        <w:ind w:firstLine="482"/>
        <w:spacing w:line="360" w:lineRule="auto"/>
        <w:rPr>
          <w:rFonts w:ascii="宋体" w:hAnsi="宋体" w:eastAsia="宋体" w:cs="宋体"/>
          <w:b/>
          <w:bCs/>
          <w:strike w:val="0"/>
          <w:color w:val="auto"/>
          <w:sz w:val="24"/>
          <w:szCs w:val="24"/>
          <w:highlight w:val="none"/>
        </w:rPr>
      </w:pPr>
      <w:r/>
      <w:bookmarkStart w:id="52" w:name="_Toc263687773"/>
      <w:r/>
      <w:bookmarkStart w:id="53" w:name="_Toc464809063"/>
      <w:r/>
      <w:bookmarkStart w:id="54" w:name="_Toc180917576"/>
      <w:r>
        <w:rPr>
          <w:rFonts w:hint="eastAsia" w:ascii="宋体" w:hAnsi="宋体" w:eastAsia="宋体" w:cs="宋体"/>
          <w:b/>
          <w:bCs/>
          <w:strike w:val="0"/>
          <w:color w:val="auto"/>
          <w:sz w:val="24"/>
          <w:szCs w:val="24"/>
          <w:highlight w:val="none"/>
        </w:rPr>
        <w:t xml:space="preserve">3.9电气、气路系统</w:t>
      </w:r>
      <w:bookmarkEnd w:id="52"/>
      <w:r/>
      <w:bookmarkEnd w:id="53"/>
      <w:r/>
      <w:bookmarkEnd w:id="54"/>
      <w:r/>
      <w:r/>
    </w:p>
    <w:p>
      <w:pPr>
        <w:pStyle w:val="1485"/>
        <w:ind w:left="0" w:firstLine="480"/>
        <w:spacing w:line="360" w:lineRule="auto"/>
        <w:tabs>
          <w:tab w:val="clear" w:pos="680" w:leader="none"/>
          <w:tab w:val="clear" w:pos="960" w:leader="none"/>
        </w:tabs>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电气、气路系统的管线布置应合理、整齐、美观、夹持牢固、不允许与运动部件发生摩擦和干涉现象。</w:t>
      </w:r>
      <w:bookmarkStart w:id="73" w:name="_GoBack"/>
      <w:r/>
      <w:bookmarkEnd w:id="73"/>
      <w:r/>
      <w:r/>
    </w:p>
    <w:p>
      <w:pPr>
        <w:pStyle w:val="839"/>
        <w:ind w:firstLine="482"/>
        <w:spacing w:line="360" w:lineRule="auto"/>
        <w:rPr>
          <w:rFonts w:ascii="宋体" w:hAnsi="宋体" w:eastAsia="宋体" w:cs="宋体"/>
          <w:b/>
          <w:bCs/>
          <w:strike w:val="0"/>
          <w:color w:val="auto"/>
          <w:sz w:val="24"/>
          <w:szCs w:val="24"/>
          <w:highlight w:val="none"/>
        </w:rPr>
      </w:pPr>
      <w:r/>
      <w:bookmarkStart w:id="55" w:name="_Toc464809064"/>
      <w:r/>
      <w:bookmarkStart w:id="56" w:name="_Toc180917577"/>
      <w:r/>
      <w:bookmarkStart w:id="57" w:name="_Toc263687774"/>
      <w:r>
        <w:rPr>
          <w:rFonts w:hint="eastAsia" w:ascii="宋体" w:hAnsi="宋体" w:eastAsia="宋体" w:cs="宋体"/>
          <w:b/>
          <w:bCs/>
          <w:strike w:val="0"/>
          <w:color w:val="auto"/>
          <w:sz w:val="24"/>
          <w:szCs w:val="24"/>
          <w:highlight w:val="none"/>
        </w:rPr>
        <w:t xml:space="preserve">3.10防腐与涂装</w:t>
      </w:r>
      <w:bookmarkEnd w:id="55"/>
      <w:r/>
      <w:bookmarkEnd w:id="56"/>
      <w:r/>
      <w:bookmarkEnd w:id="57"/>
      <w:r/>
      <w:r/>
    </w:p>
    <w:p>
      <w:pPr>
        <w:pStyle w:val="1485"/>
        <w:ind w:left="0" w:firstLine="480"/>
        <w:spacing w:line="360" w:lineRule="auto"/>
        <w:tabs>
          <w:tab w:val="clear" w:pos="680" w:leader="none"/>
          <w:tab w:val="clear" w:pos="960" w:leader="none"/>
        </w:tabs>
        <w:rPr>
          <w:rFonts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投标车辆的运行场所均处于高腐蚀性的作业环境中，投标车辆的涂装应采用高等级防腐措施和工艺。应保证在整个车辆的使用寿命周期内油漆无剥落、开裂、变色等（与垃圾直接接触摩擦部分除外），金属层应得到很好保护，无锈蚀现象。漆膜应光滑均匀平整，无流痕、鼓泡、起皱、裂纹、缺漆、脱落、麻点、漏底和明显刷痕。</w:t>
      </w:r>
      <w:r/>
    </w:p>
    <w:p>
      <w:pPr>
        <w:pStyle w:val="839"/>
        <w:ind w:firstLine="482"/>
        <w:spacing w:line="360" w:lineRule="auto"/>
        <w:rPr>
          <w:rFonts w:ascii="宋体" w:hAnsi="宋体" w:eastAsia="宋体" w:cs="宋体"/>
          <w:b/>
          <w:bCs/>
          <w:strike w:val="0"/>
          <w:color w:val="auto"/>
          <w:sz w:val="24"/>
          <w:szCs w:val="24"/>
          <w:highlight w:val="none"/>
        </w:rPr>
      </w:pPr>
      <w:r/>
      <w:bookmarkStart w:id="58" w:name="_Toc263687775"/>
      <w:r/>
      <w:bookmarkStart w:id="59" w:name="_Toc464809065"/>
      <w:r/>
      <w:bookmarkStart w:id="60" w:name="_Toc180917578"/>
      <w:r>
        <w:rPr>
          <w:rFonts w:hint="eastAsia" w:ascii="宋体" w:hAnsi="宋体" w:eastAsia="宋体" w:cs="宋体"/>
          <w:b/>
          <w:bCs/>
          <w:strike w:val="0"/>
          <w:color w:val="auto"/>
          <w:sz w:val="24"/>
          <w:szCs w:val="24"/>
          <w:highlight w:val="none"/>
        </w:rPr>
        <w:t xml:space="preserve">3.11现场考察</w:t>
      </w:r>
      <w:bookmarkEnd w:id="58"/>
      <w:r/>
      <w:bookmarkEnd w:id="59"/>
      <w:r/>
      <w:bookmarkEnd w:id="60"/>
      <w:r/>
      <w:r/>
    </w:p>
    <w:p>
      <w:pPr>
        <w:pStyle w:val="1485"/>
        <w:ind w:left="0" w:firstLine="480"/>
        <w:spacing w:line="360" w:lineRule="auto"/>
        <w:tabs>
          <w:tab w:val="clear" w:pos="680" w:leader="none"/>
          <w:tab w:val="clear" w:pos="960"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如招标人要求进行现场考察，中标人应予以配合及安排，考察包括但不限于下列内容：</w:t>
      </w:r>
      <w:r/>
    </w:p>
    <w:p>
      <w:pPr>
        <w:pStyle w:val="1485"/>
        <w:ind w:left="0" w:firstLine="480"/>
        <w:spacing w:line="360" w:lineRule="auto"/>
        <w:tabs>
          <w:tab w:val="clear" w:pos="680" w:leader="none"/>
          <w:tab w:val="clear" w:pos="960"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（1）工厂的制造条件</w:t>
      </w:r>
      <w:r/>
    </w:p>
    <w:p>
      <w:pPr>
        <w:pStyle w:val="1485"/>
        <w:ind w:left="0" w:firstLine="480"/>
        <w:spacing w:line="360" w:lineRule="auto"/>
        <w:tabs>
          <w:tab w:val="clear" w:pos="680" w:leader="none"/>
          <w:tab w:val="clear" w:pos="960"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（2）有与本合同要求供货相似的车辆实际运行的工程作业点</w:t>
      </w:r>
      <w:r/>
    </w:p>
    <w:p>
      <w:pPr>
        <w:pStyle w:val="1485"/>
        <w:ind w:left="0" w:firstLine="480"/>
        <w:spacing w:line="360" w:lineRule="auto"/>
        <w:tabs>
          <w:tab w:val="clear" w:pos="680" w:leader="none"/>
          <w:tab w:val="clear" w:pos="960"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（3）测试条件</w:t>
      </w:r>
      <w:r/>
    </w:p>
    <w:p>
      <w:pPr>
        <w:pStyle w:val="1485"/>
        <w:ind w:left="0" w:firstLine="480"/>
        <w:spacing w:line="360" w:lineRule="auto"/>
        <w:tabs>
          <w:tab w:val="clear" w:pos="680" w:leader="none"/>
          <w:tab w:val="clear" w:pos="960"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（4）应用于所供车辆的详细质量保证和质量控制过程</w:t>
      </w:r>
      <w:r/>
    </w:p>
    <w:p>
      <w:pPr>
        <w:pStyle w:val="1485"/>
        <w:ind w:left="0" w:firstLine="480"/>
        <w:spacing w:line="360" w:lineRule="auto"/>
        <w:tabs>
          <w:tab w:val="clear" w:pos="680" w:leader="none"/>
          <w:tab w:val="clear" w:pos="960" w:leader="none"/>
        </w:tabs>
        <w:rPr>
          <w:rFonts w:ascii="宋体" w:hAnsi="宋体" w:eastAsia="宋体" w:cs="宋体"/>
          <w:bCs/>
          <w:strike w:val="0"/>
          <w:color w:val="auto"/>
          <w:sz w:val="24"/>
          <w:highlight w:val="none"/>
        </w:rPr>
      </w:pPr>
      <w:r>
        <w:rPr>
          <w:rFonts w:hint="eastAsia" w:ascii="宋体" w:hAnsi="宋体" w:eastAsia="宋体" w:cs="宋体"/>
          <w:strike w:val="0"/>
          <w:color w:val="auto"/>
          <w:sz w:val="24"/>
          <w:highlight w:val="none"/>
        </w:rPr>
        <w:t xml:space="preserve">（5）所供车辆的维护服务技术与装备</w:t>
      </w:r>
      <w:r/>
    </w:p>
    <w:p>
      <w:pPr>
        <w:pStyle w:val="839"/>
        <w:ind w:firstLine="482"/>
        <w:spacing w:line="360" w:lineRule="auto"/>
        <w:rPr>
          <w:rFonts w:ascii="宋体" w:hAnsi="宋体" w:eastAsia="宋体" w:cs="宋体"/>
          <w:b/>
          <w:bCs/>
          <w:strike w:val="0"/>
          <w:color w:val="auto"/>
          <w:sz w:val="24"/>
          <w:szCs w:val="24"/>
          <w:highlight w:val="none"/>
        </w:rPr>
      </w:pPr>
      <w:r/>
      <w:bookmarkStart w:id="61" w:name="_Toc180917579"/>
      <w:r/>
      <w:bookmarkStart w:id="62" w:name="_Toc464809066"/>
      <w:r/>
      <w:bookmarkStart w:id="63" w:name="_Toc263687776"/>
      <w:r>
        <w:rPr>
          <w:rFonts w:hint="eastAsia" w:ascii="宋体" w:hAnsi="宋体" w:eastAsia="宋体" w:cs="宋体"/>
          <w:b/>
          <w:bCs/>
          <w:strike w:val="0"/>
          <w:color w:val="auto"/>
          <w:sz w:val="24"/>
          <w:szCs w:val="24"/>
          <w:highlight w:val="none"/>
        </w:rPr>
        <w:t xml:space="preserve">3.12检验与测试</w:t>
      </w:r>
      <w:bookmarkEnd w:id="61"/>
      <w:r/>
      <w:bookmarkEnd w:id="62"/>
      <w:r/>
      <w:bookmarkEnd w:id="63"/>
      <w:r/>
      <w:r/>
    </w:p>
    <w:p>
      <w:pPr>
        <w:pStyle w:val="1485"/>
        <w:ind w:left="0" w:firstLine="480"/>
        <w:spacing w:line="360" w:lineRule="auto"/>
        <w:tabs>
          <w:tab w:val="clear" w:pos="960" w:leader="none"/>
        </w:tabs>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所提供的车辆检验应符合采购文件有关技术规定，并提供相应的检测合格证明。中标人的检验部门在车辆制造过程中和完工后，应按采购文件中所要求的提出的标准和规范，对车辆进行各项具体的检验和试验，提供检验报告，并对检验报告的准确性负责，以便招标人进行监督。</w:t>
      </w:r>
      <w:r/>
    </w:p>
    <w:p>
      <w:pPr>
        <w:pStyle w:val="1485"/>
        <w:ind w:left="0" w:firstLine="480"/>
        <w:spacing w:line="360" w:lineRule="auto"/>
        <w:tabs>
          <w:tab w:val="clear" w:pos="960" w:leader="none"/>
        </w:tabs>
        <w:rPr>
          <w:rFonts w:ascii="宋体" w:hAnsi="宋体" w:eastAsia="宋体" w:cs="宋体"/>
          <w:b/>
          <w:bCs/>
          <w:strike w:val="0"/>
          <w:color w:val="auto"/>
          <w:sz w:val="24"/>
          <w:highlight w:val="none"/>
        </w:rPr>
      </w:pPr>
      <w:r>
        <w:rPr>
          <w:rFonts w:hint="eastAsia" w:ascii="宋体" w:hAnsi="宋体" w:eastAsia="宋体" w:cs="宋体"/>
          <w:strike w:val="0"/>
          <w:color w:val="auto"/>
          <w:sz w:val="24"/>
          <w:highlight w:val="none"/>
        </w:rPr>
        <w:t xml:space="preserve">招标人有权对产品进行发货前的检验，中标人应邀请招标人到制造厂检查制造工艺、原材料质量和产品质量。并参加产品出厂检验（但不作为验收），检查产品合格后才允许出厂，中标人应为招标人进行上述检查提供便利条件，并承担所需费用。</w:t>
      </w:r>
      <w:r/>
    </w:p>
    <w:p>
      <w:pPr>
        <w:pStyle w:val="838"/>
        <w:ind w:firstLine="482"/>
        <w:spacing w:line="360" w:lineRule="auto"/>
        <w:rPr>
          <w:rFonts w:ascii="宋体" w:hAnsi="宋体" w:eastAsia="宋体" w:cs="宋体"/>
          <w:b/>
          <w:bCs/>
          <w:strike w:val="0"/>
          <w:color w:val="auto"/>
          <w:sz w:val="24"/>
          <w:szCs w:val="24"/>
          <w:highlight w:val="none"/>
        </w:rPr>
      </w:pPr>
      <w:r/>
      <w:bookmarkStart w:id="64" w:name="_Toc180917580"/>
      <w:r/>
      <w:bookmarkStart w:id="65" w:name="_Toc464809067"/>
      <w:r>
        <w:rPr>
          <w:rFonts w:hint="eastAsia" w:ascii="宋体" w:hAnsi="宋体" w:eastAsia="宋体" w:cs="宋体"/>
          <w:b/>
          <w:bCs/>
          <w:strike w:val="0"/>
          <w:color w:val="auto"/>
          <w:sz w:val="24"/>
          <w:szCs w:val="24"/>
          <w:highlight w:val="none"/>
        </w:rPr>
        <w:t xml:space="preserve">4.专用技术要求</w:t>
      </w:r>
      <w:bookmarkEnd w:id="64"/>
      <w:r/>
      <w:bookmarkEnd w:id="65"/>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（1）数量：23辆。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（2）概述：本项目转运车为车厢可卸式垃圾车，主要功能为完成垃圾集装箱的装车、转运、垃圾的卸料和垃圾集装箱的复位及移置等功能。</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（3）系统组成</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转运车主要由底盘和上装（改装部分）等部分组成，上装主要由角件牵引机构（翻转架）及其液压系统和电器系统等组成。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（4）主要技术参数：</w:t>
      </w:r>
      <w:r/>
    </w:p>
    <w:tbl>
      <w:tblPr>
        <w:tblStyle w:val="1486"/>
        <w:tblW w:w="8547"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3036"/>
        <w:gridCol w:w="4737"/>
      </w:tblGrid>
      <w:tr>
        <w:trPr>
          <w:trHeight w:val="397"/>
        </w:trPr>
        <w:tc>
          <w:tcPr>
            <w:tcW w:w="774" w:type="dxa"/>
            <w:textDirection w:val="lrTb"/>
            <w:noWrap w:val="false"/>
          </w:tcPr>
          <w:p>
            <w:pPr>
              <w:ind w:firstLine="0"/>
              <w:jc w:val="center"/>
              <w:rPr>
                <w:rFonts w:hint="eastAsia" w:ascii="宋体" w:hAnsi="宋体" w:eastAsia="宋体" w:cs="宋体"/>
                <w:b/>
                <w:color w:val="auto"/>
                <w:sz w:val="24"/>
                <w:szCs w:val="24"/>
                <w:highlight w:val="none"/>
              </w:rPr>
            </w:pPr>
            <w:r/>
            <w:bookmarkStart w:id="66" w:name="_Hlk157883050"/>
            <w:r>
              <w:rPr>
                <w:rFonts w:hint="eastAsia" w:ascii="宋体" w:hAnsi="宋体" w:eastAsia="宋体" w:cs="宋体"/>
                <w:b/>
                <w:color w:val="auto"/>
                <w:sz w:val="24"/>
                <w:szCs w:val="24"/>
                <w:highlight w:val="none"/>
              </w:rPr>
              <w:t xml:space="preserve">序号</w:t>
            </w:r>
            <w:r/>
          </w:p>
        </w:tc>
        <w:tc>
          <w:tcPr>
            <w:tcW w:w="3036" w:type="dxa"/>
            <w:textDirection w:val="lrTb"/>
            <w:noWrap w:val="false"/>
          </w:tcPr>
          <w:p>
            <w:pPr>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 目</w:t>
            </w:r>
            <w:r/>
          </w:p>
        </w:tc>
        <w:tc>
          <w:tcPr>
            <w:tcW w:w="4737" w:type="dxa"/>
            <w:textDirection w:val="lrTb"/>
            <w:noWrap w:val="false"/>
          </w:tcPr>
          <w:p>
            <w:pPr>
              <w:ind w:firstLine="0"/>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要求</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▲驱动</w:t>
            </w:r>
            <w:r>
              <w:rPr>
                <w:rFonts w:hint="eastAsia" w:ascii="宋体" w:hAnsi="宋体" w:eastAsia="宋体" w:cs="宋体"/>
                <w:color w:val="auto"/>
                <w:sz w:val="24"/>
                <w:szCs w:val="24"/>
                <w:highlight w:val="none"/>
                <w:lang w:val="en-US" w:eastAsia="zh-CN"/>
              </w:rPr>
              <w:t xml:space="preserve">型</w:t>
            </w:r>
            <w:r>
              <w:rPr>
                <w:rFonts w:hint="eastAsia" w:ascii="宋体" w:hAnsi="宋体" w:eastAsia="宋体" w:cs="宋体"/>
                <w:color w:val="auto"/>
                <w:sz w:val="24"/>
                <w:szCs w:val="24"/>
                <w:highlight w:val="none"/>
              </w:rPr>
              <w:t xml:space="preserve">式</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▲总质量</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31000kg或32000kg</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▲整备质量</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≤18000kg</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▲额定载质量</w:t>
            </w:r>
            <w:r/>
          </w:p>
        </w:tc>
        <w:tc>
          <w:tcPr>
            <w:tcW w:w="4737"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000kg</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36"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▲最小转弯</w:t>
            </w:r>
            <w:r>
              <w:rPr>
                <w:rFonts w:hint="eastAsia" w:ascii="宋体" w:hAnsi="宋体" w:eastAsia="宋体" w:cs="宋体"/>
                <w:color w:val="auto"/>
                <w:sz w:val="24"/>
                <w:szCs w:val="24"/>
                <w:highlight w:val="none"/>
                <w:lang w:val="en-US" w:eastAsia="zh-CN"/>
              </w:rPr>
              <w:t xml:space="preserve">直径</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000mm</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▲最高车速</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≥70km/h</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★最大爬坡度</w:t>
            </w:r>
            <w:r/>
          </w:p>
        </w:tc>
        <w:tc>
          <w:tcPr>
            <w:tcW w:w="4737" w:type="dxa"/>
            <w:textDirection w:val="lrTb"/>
            <w:noWrap w:val="false"/>
          </w:tcPr>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 （承诺验收时能达到，提供书面承诺加盖投标人公章）</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▲整车长度</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≤10500mm </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▲整车宽度</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≤2550mm</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▲整车高度</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≤3600mm </w:t>
            </w:r>
            <w:r/>
          </w:p>
        </w:tc>
      </w:tr>
      <w:tr>
        <w:trPr>
          <w:trHeight w:val="549"/>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3036"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★轮胎规格</w:t>
            </w:r>
            <w:r/>
          </w:p>
        </w:tc>
        <w:tc>
          <w:tcPr>
            <w:tcW w:w="4737" w:type="dxa"/>
            <w:vAlign w:val="center"/>
            <w:textDirection w:val="lrTb"/>
            <w:noWrap w:val="false"/>
          </w:tcPr>
          <w:p>
            <w:pPr>
              <w:ind w:firstLine="0"/>
              <w:jc w:val="center"/>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子午线轮胎；</w:t>
            </w:r>
            <w:r>
              <w:rPr>
                <w:rFonts w:hint="eastAsia" w:ascii="宋体" w:hAnsi="宋体" w:eastAsia="宋体" w:cs="宋体"/>
                <w:color w:val="auto"/>
                <w:sz w:val="24"/>
                <w:szCs w:val="24"/>
                <w:highlight w:val="none"/>
              </w:rPr>
              <w:t xml:space="preserve">12R20或12R22.5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18PR（承诺验收时能达到，提供书面承诺加盖投标人公章）</w:t>
            </w:r>
            <w:r/>
          </w:p>
        </w:tc>
      </w:tr>
      <w:tr>
        <w:trPr>
          <w:trHeight w:val="528"/>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3036" w:type="dxa"/>
            <w:vAlign w:val="top"/>
            <w:textDirection w:val="lrTb"/>
            <w:noWrap w:val="false"/>
          </w:tcPr>
          <w:p>
            <w:pPr>
              <w:ind w:firstLine="0"/>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w:t>
            </w:r>
            <w:r/>
          </w:p>
        </w:tc>
        <w:tc>
          <w:tcPr>
            <w:tcW w:w="4737" w:type="dxa"/>
            <w:vAlign w:val="top"/>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电机采用永磁同步电机，</w:t>
            </w:r>
            <w:r>
              <w:rPr>
                <w:rFonts w:hint="eastAsia" w:ascii="宋体" w:hAnsi="宋体" w:eastAsia="宋体" w:cs="宋体"/>
                <w:color w:val="auto"/>
                <w:sz w:val="24"/>
                <w:szCs w:val="24"/>
                <w:highlight w:val="none"/>
              </w:rPr>
              <w:t xml:space="preserve">峰值功率≥360 KW</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动力</w:t>
            </w:r>
            <w:r>
              <w:rPr>
                <w:rFonts w:hint="eastAsia" w:ascii="宋体" w:hAnsi="宋体" w:eastAsia="宋体" w:cs="宋体"/>
                <w:color w:val="auto"/>
                <w:sz w:val="24"/>
                <w:szCs w:val="24"/>
                <w:highlight w:val="none"/>
              </w:rPr>
              <w:t xml:space="preserve">电池</w:t>
            </w:r>
            <w:r/>
          </w:p>
        </w:tc>
        <w:tc>
          <w:tcPr>
            <w:tcW w:w="4737" w:type="dxa"/>
            <w:textDirection w:val="lrTb"/>
            <w:noWrap w:val="false"/>
          </w:tcPr>
          <w:p>
            <w:pPr>
              <w:ind w:firstLine="0"/>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投标人或相关供应商不得通过后台远程控制对电池进行锁电。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提供书面承诺加盖投标人公章</w:t>
            </w:r>
            <w:r>
              <w:rPr>
                <w:rFonts w:hint="eastAsia" w:ascii="宋体" w:hAnsi="宋体" w:eastAsia="宋体" w:cs="宋体"/>
                <w:color w:val="auto"/>
                <w:sz w:val="24"/>
                <w:szCs w:val="24"/>
                <w:highlight w:val="none"/>
                <w:lang w:eastAsia="zh-CN"/>
              </w:rPr>
              <w:t xml:space="preserve">）</w:t>
            </w:r>
            <w:r/>
          </w:p>
        </w:tc>
      </w:tr>
      <w:tr>
        <w:trPr>
          <w:trHeight w:val="562"/>
        </w:trPr>
        <w:tc>
          <w:tcPr>
            <w:tcW w:w="774" w:type="dxa"/>
            <w:textDirection w:val="lrTb"/>
            <w:noWrap w:val="false"/>
          </w:tcPr>
          <w:p>
            <w:pPr>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 xml:space="preserve">4</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三电系统</w:t>
            </w:r>
            <w:r>
              <w:rPr>
                <w:rFonts w:hint="eastAsia" w:ascii="宋体" w:hAnsi="宋体" w:eastAsia="宋体" w:cs="宋体"/>
                <w:color w:val="auto"/>
                <w:sz w:val="24"/>
                <w:szCs w:val="24"/>
                <w:highlight w:val="none"/>
              </w:rPr>
              <w:t xml:space="preserve">质保年限</w:t>
            </w:r>
            <w:r/>
          </w:p>
        </w:tc>
        <w:tc>
          <w:tcPr>
            <w:tcW w:w="4737" w:type="dxa"/>
            <w:vAlign w:val="center"/>
            <w:textDirection w:val="lrTb"/>
            <w:noWrap w:val="false"/>
          </w:tcPr>
          <w:p>
            <w:pPr>
              <w:numPr>
                <w:ilvl w:val="255"/>
                <w:numId w:val="0"/>
              </w:num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提供书面承诺加盖投标人公章</w:t>
            </w:r>
            <w:r>
              <w:rPr>
                <w:rFonts w:hint="eastAsia" w:ascii="宋体" w:hAnsi="宋体" w:eastAsia="宋体" w:cs="宋体"/>
                <w:color w:val="auto"/>
                <w:sz w:val="24"/>
                <w:szCs w:val="24"/>
                <w:highlight w:val="none"/>
                <w:lang w:eastAsia="zh-CN"/>
              </w:rPr>
              <w:t xml:space="preserve">）</w:t>
            </w:r>
            <w:r/>
          </w:p>
        </w:tc>
      </w:tr>
      <w:tr>
        <w:trPr>
          <w:trHeight w:val="562"/>
        </w:trPr>
        <w:tc>
          <w:tcPr>
            <w:tcW w:w="774" w:type="dxa"/>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3036"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除三电系统外，整车质保</w:t>
            </w:r>
            <w:r/>
          </w:p>
        </w:tc>
        <w:tc>
          <w:tcPr>
            <w:tcW w:w="4737" w:type="dxa"/>
            <w:vAlign w:val="center"/>
            <w:textDirection w:val="lrTb"/>
            <w:noWrap w:val="false"/>
          </w:tcPr>
          <w:p>
            <w:pPr>
              <w:numPr>
                <w:ilvl w:val="255"/>
                <w:numId w:val="0"/>
              </w:num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提供书面承诺加盖投标人公章</w:t>
            </w:r>
            <w:r>
              <w:rPr>
                <w:rFonts w:hint="eastAsia" w:ascii="宋体" w:hAnsi="宋体" w:eastAsia="宋体" w:cs="宋体"/>
                <w:color w:val="auto"/>
                <w:sz w:val="24"/>
                <w:szCs w:val="24"/>
                <w:highlight w:val="none"/>
                <w:lang w:eastAsia="zh-CN"/>
              </w:rPr>
              <w:t xml:space="preserve">）</w:t>
            </w:r>
            <w:r/>
          </w:p>
        </w:tc>
      </w:tr>
      <w:tr>
        <w:trPr>
          <w:trHeight w:val="437"/>
        </w:trPr>
        <w:tc>
          <w:tcPr>
            <w:tcW w:w="774"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3036" w:type="dxa"/>
            <w:textDirection w:val="lrTb"/>
            <w:noWrap w:val="false"/>
          </w:tcPr>
          <w:p>
            <w:pPr>
              <w:ind w:firstLine="0"/>
              <w:jc w:val="left"/>
              <w:tabs>
                <w:tab w:val="left" w:pos="390" w:leader="none"/>
                <w:tab w:val="center" w:pos="151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动力</w:t>
            </w:r>
            <w:r>
              <w:rPr>
                <w:rFonts w:hint="eastAsia" w:ascii="宋体" w:hAnsi="宋体" w:eastAsia="宋体" w:cs="宋体"/>
                <w:color w:val="auto"/>
                <w:sz w:val="24"/>
                <w:szCs w:val="24"/>
                <w:highlight w:val="none"/>
              </w:rPr>
              <w:t xml:space="preserve">电池容量</w:t>
            </w:r>
            <w:r/>
          </w:p>
        </w:tc>
        <w:tc>
          <w:tcPr>
            <w:tcW w:w="4737"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≥350kWh</w:t>
            </w:r>
            <w:r/>
          </w:p>
        </w:tc>
      </w:tr>
      <w:tr>
        <w:trPr>
          <w:trHeight w:val="437"/>
        </w:trPr>
        <w:tc>
          <w:tcPr>
            <w:tcW w:w="774" w:type="dxa"/>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W w:w="3036" w:type="dxa"/>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上装部分</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上装主要由角件牵引机构（翻转架）及其液压系统和电器系统等组成</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上装</w:t>
            </w:r>
            <w:r>
              <w:rPr>
                <w:rFonts w:hint="eastAsia" w:ascii="宋体" w:hAnsi="宋体" w:eastAsia="宋体" w:cs="宋体"/>
                <w:color w:val="auto"/>
                <w:sz w:val="24"/>
                <w:szCs w:val="24"/>
                <w:highlight w:val="none"/>
              </w:rPr>
              <w:t xml:space="preserve">最大举升角</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w:t>
            </w:r>
            <w:r>
              <w:rPr>
                <w:rFonts w:hint="eastAsia" w:ascii="宋体" w:hAnsi="宋体" w:eastAsia="宋体" w:cs="宋体"/>
                <w:color w:val="auto"/>
                <w:sz w:val="24"/>
                <w:szCs w:val="24"/>
                <w:highlight w:val="none"/>
                <w:vertAlign w:val="superscript"/>
              </w:rPr>
              <w:t xml:space="preserve">o</w:t>
            </w:r>
            <w:r>
              <w:rPr>
                <w:rFonts w:hint="eastAsia" w:ascii="宋体" w:hAnsi="宋体" w:eastAsia="宋体" w:cs="宋体"/>
                <w:color w:val="auto"/>
                <w:sz w:val="24"/>
                <w:szCs w:val="24"/>
                <w:highlight w:val="none"/>
                <w:lang w:val="en-US" w:eastAsia="zh-CN"/>
              </w:rPr>
              <w:t xml:space="preserve">（承诺验收时能达到，提供书面承诺加盖投标人公章。交车验收时提供相应的检测报告）</w:t>
            </w:r>
            <w:r/>
          </w:p>
        </w:tc>
      </w:tr>
      <w:tr>
        <w:trPr>
          <w:trHeight w:val="750"/>
        </w:trPr>
        <w:tc>
          <w:tcPr>
            <w:tcW w:w="774" w:type="dxa"/>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上装</w:t>
            </w:r>
            <w:r>
              <w:rPr>
                <w:rFonts w:hint="eastAsia" w:ascii="宋体" w:hAnsi="宋体" w:eastAsia="宋体" w:cs="宋体"/>
                <w:color w:val="auto"/>
                <w:sz w:val="24"/>
                <w:szCs w:val="24"/>
                <w:highlight w:val="none"/>
              </w:rPr>
              <w:t xml:space="preserve">液压系统最大工作压力</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≥20MPa</w:t>
            </w:r>
            <w:r>
              <w:rPr>
                <w:rFonts w:hint="eastAsia" w:ascii="宋体" w:hAnsi="宋体" w:eastAsia="宋体" w:cs="宋体"/>
                <w:color w:val="auto"/>
                <w:sz w:val="24"/>
                <w:szCs w:val="24"/>
                <w:highlight w:val="none"/>
                <w:lang w:val="en-US" w:eastAsia="zh-CN"/>
              </w:rPr>
              <w:t xml:space="preserve">（承诺验收时能达到，提供书面承诺加盖投标人公章。交车验收时提供相应的检测报告）</w:t>
            </w:r>
            <w:r/>
          </w:p>
        </w:tc>
      </w:tr>
      <w:tr>
        <w:trPr>
          <w:trHeight w:val="825"/>
        </w:trPr>
        <w:tc>
          <w:tcPr>
            <w:tcW w:w="774" w:type="dxa"/>
            <w:textDirection w:val="lrTb"/>
            <w:noWrap w:val="false"/>
          </w:tcPr>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上装</w:t>
            </w:r>
            <w:r>
              <w:rPr>
                <w:rFonts w:hint="eastAsia" w:ascii="宋体" w:hAnsi="宋体" w:eastAsia="宋体" w:cs="宋体"/>
                <w:color w:val="auto"/>
                <w:sz w:val="24"/>
                <w:szCs w:val="24"/>
                <w:highlight w:val="none"/>
              </w:rPr>
              <w:t xml:space="preserve">额定工作拉载能力</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≥20t</w:t>
            </w:r>
            <w:r>
              <w:rPr>
                <w:rFonts w:hint="eastAsia" w:ascii="宋体" w:hAnsi="宋体" w:eastAsia="宋体" w:cs="宋体"/>
                <w:color w:val="auto"/>
                <w:sz w:val="24"/>
                <w:szCs w:val="24"/>
                <w:highlight w:val="none"/>
                <w:lang w:val="en-US" w:eastAsia="zh-CN"/>
              </w:rPr>
              <w:t xml:space="preserve">（承诺验收时能达到，提供书面承诺加盖投标人公章。交车验收时提供相应的检测报告）</w:t>
            </w:r>
            <w:r/>
          </w:p>
        </w:tc>
      </w:tr>
    </w:tbl>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备注：以上</w:t>
      </w:r>
      <w:r>
        <w:rPr>
          <w:rFonts w:hint="eastAsia" w:ascii="宋体" w:hAnsi="宋体" w:eastAsia="宋体" w:cs="宋体"/>
          <w:color w:val="auto"/>
          <w:sz w:val="24"/>
          <w:szCs w:val="24"/>
          <w:highlight w:val="none"/>
          <w:lang w:val="en-US" w:eastAsia="zh-CN"/>
        </w:rPr>
        <w:t xml:space="preserve">打</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条款</w:t>
      </w:r>
      <w:r>
        <w:rPr>
          <w:rFonts w:hint="eastAsia" w:ascii="宋体" w:hAnsi="宋体" w:eastAsia="宋体" w:cs="宋体"/>
          <w:color w:val="auto"/>
          <w:sz w:val="24"/>
          <w:szCs w:val="24"/>
          <w:highlight w:val="none"/>
          <w:lang w:val="en-US" w:eastAsia="zh-CN"/>
        </w:rPr>
        <w:t xml:space="preserve">为本项目的重要参数，投标人不得负偏离，</w:t>
      </w:r>
      <w:r>
        <w:rPr>
          <w:rFonts w:hint="eastAsia" w:ascii="宋体" w:hAnsi="宋体" w:eastAsia="宋体" w:cs="宋体"/>
          <w:color w:val="auto"/>
          <w:sz w:val="24"/>
          <w:szCs w:val="24"/>
          <w:highlight w:val="none"/>
          <w:lang w:val="zh-CN"/>
        </w:rPr>
        <w:t xml:space="preserve">投标供应商必须如实地在《投标偏离表》中逐条标明</w:t>
      </w:r>
      <w:r>
        <w:rPr>
          <w:rFonts w:hint="eastAsia" w:ascii="宋体" w:hAnsi="宋体" w:eastAsia="宋体" w:cs="宋体"/>
          <w:color w:val="auto"/>
          <w:sz w:val="24"/>
          <w:szCs w:val="24"/>
          <w:highlight w:val="none"/>
          <w:lang w:val="en-US" w:eastAsia="zh-CN"/>
        </w:rPr>
        <w:t xml:space="preserve">所投产品的详细参数</w:t>
      </w:r>
      <w:r>
        <w:rPr>
          <w:rFonts w:hint="eastAsia" w:ascii="宋体" w:hAnsi="宋体" w:eastAsia="宋体" w:cs="宋体"/>
          <w:color w:val="auto"/>
          <w:sz w:val="24"/>
          <w:szCs w:val="24"/>
          <w:highlight w:val="none"/>
          <w:lang w:val="zh-CN"/>
        </w:rPr>
        <w:t xml:space="preserve">，并对其真实性负责。</w:t>
      </w:r>
      <w:r>
        <w:rPr>
          <w:rFonts w:hint="eastAsia" w:ascii="宋体" w:hAnsi="宋体" w:eastAsia="宋体" w:cs="宋体"/>
          <w:color w:val="auto"/>
          <w:sz w:val="24"/>
          <w:szCs w:val="24"/>
          <w:highlight w:val="none"/>
          <w:lang w:val="en-US" w:eastAsia="zh-CN"/>
        </w:rPr>
        <w:t xml:space="preserve">投标人需提供工业和信息化部装备工业发展中心《道路机动车辆生产企业及产品信息查询系统》的截图页面（必须包含企业名称、中文品牌、车辆型号、车辆名称、批次等重要信息），改装车产品技术参数的完整截图（必须包含企业名称、中文品牌、车辆型号、车辆名称、底盘名称、底盘类别、底盘型号等）。</w:t>
      </w:r>
      <w:bookmarkEnd w:id="66"/>
      <w:r>
        <w:rPr>
          <w:rFonts w:hint="eastAsia" w:ascii="宋体" w:hAnsi="宋体" w:eastAsia="宋体" w:cs="宋体"/>
          <w:strike w:val="0"/>
          <w:color w:val="auto"/>
          <w:sz w:val="24"/>
          <w:szCs w:val="24"/>
          <w:highlight w:val="none"/>
          <w:lang w:val="en-US" w:eastAsia="zh-CN"/>
        </w:rPr>
        <w:t xml:space="preserve">中标单位在中标通知书发出后3天内</w:t>
      </w:r>
      <w:r>
        <w:rPr>
          <w:rFonts w:hint="eastAsia" w:ascii="宋体" w:hAnsi="宋体" w:eastAsia="宋体" w:cs="宋体"/>
          <w:strike w:val="0"/>
          <w:color w:val="auto"/>
          <w:sz w:val="24"/>
          <w:szCs w:val="24"/>
          <w:highlight w:val="none"/>
          <w:lang w:val="en-US" w:eastAsia="zh-CN"/>
        </w:rPr>
        <w:t xml:space="preserve">提供完整的电动车汽车定型检测报告（产品鉴定（整车定型）），检测报告需带有CMA或CNAS或ML标志。检测报告中的检查结果须与投标时提供的参数保持一致。</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以下要求为车辆使用功能，投标人需承诺验收时能达到，提供书面承诺加盖投标人公章：</w:t>
      </w:r>
      <w:r/>
    </w:p>
    <w:p>
      <w:pPr>
        <w:numPr>
          <w:ilvl w:val="0"/>
          <w:numId w:val="3"/>
        </w:num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上装角件牵引机构应包含以下功能：可将竖直摆放的垃圾集装箱搬移到车上呈水平运输状态；可将车上的垃圾集装箱从水平的运输状态竖立放至地面；能够为集装箱的卸料门的开闭提供动力，且完成垃圾卸料。</w:t>
      </w:r>
      <w:r/>
    </w:p>
    <w:p>
      <w:pPr>
        <w:numPr>
          <w:ilvl w:val="0"/>
          <w:numId w:val="3"/>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车辆要具有防翘头（卸料时）设计。</w:t>
      </w:r>
      <w:r>
        <w:rPr>
          <w:rFonts w:hint="eastAsia" w:ascii="宋体" w:hAnsi="宋体" w:eastAsia="宋体" w:cs="宋体"/>
          <w:color w:val="auto"/>
          <w:sz w:val="24"/>
          <w:szCs w:val="24"/>
          <w:highlight w:val="none"/>
          <w:lang w:val="zh-CN" w:eastAsia="zh-CN"/>
        </w:rPr>
        <w:t xml:space="preserve">上装</w:t>
      </w:r>
      <w:r>
        <w:rPr>
          <w:rFonts w:hint="eastAsia" w:ascii="宋体" w:hAnsi="宋体" w:eastAsia="宋体" w:cs="宋体"/>
          <w:color w:val="auto"/>
          <w:sz w:val="24"/>
          <w:szCs w:val="24"/>
          <w:highlight w:val="none"/>
          <w:lang w:val="zh-CN"/>
        </w:rPr>
        <w:t xml:space="preserve">作业机构运动应灵活、平稳可靠，维修保养应简单、方便</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上装</w:t>
      </w:r>
      <w:r>
        <w:rPr>
          <w:rFonts w:hint="eastAsia" w:ascii="宋体" w:hAnsi="宋体" w:eastAsia="宋体" w:cs="宋体"/>
          <w:color w:val="auto"/>
          <w:sz w:val="24"/>
          <w:szCs w:val="24"/>
          <w:highlight w:val="none"/>
          <w:lang w:val="zh-CN" w:eastAsia="zh-CN"/>
        </w:rPr>
        <w:t xml:space="preserve">应</w:t>
      </w:r>
      <w:r>
        <w:rPr>
          <w:rFonts w:hint="eastAsia" w:ascii="宋体" w:hAnsi="宋体" w:eastAsia="宋体" w:cs="宋体"/>
          <w:color w:val="auto"/>
          <w:sz w:val="24"/>
          <w:szCs w:val="24"/>
          <w:highlight w:val="none"/>
          <w:lang w:val="zh-CN"/>
        </w:rPr>
        <w:t xml:space="preserve">设置</w:t>
      </w:r>
      <w:r>
        <w:rPr>
          <w:rFonts w:hint="eastAsia" w:ascii="宋体" w:hAnsi="宋体" w:eastAsia="宋体" w:cs="宋体"/>
          <w:color w:val="auto"/>
          <w:sz w:val="24"/>
          <w:szCs w:val="24"/>
          <w:highlight w:val="none"/>
          <w:lang w:val="zh-CN" w:eastAsia="zh-CN"/>
        </w:rPr>
        <w:t xml:space="preserve">后支撑或</w:t>
      </w:r>
      <w:r>
        <w:rPr>
          <w:rFonts w:hint="eastAsia" w:ascii="宋体" w:hAnsi="宋体" w:eastAsia="宋体" w:cs="宋体"/>
          <w:color w:val="auto"/>
          <w:sz w:val="24"/>
          <w:szCs w:val="24"/>
          <w:highlight w:val="none"/>
          <w:lang w:val="zh-CN"/>
        </w:rPr>
        <w:t xml:space="preserve">后滚轮</w:t>
      </w:r>
      <w:r>
        <w:rPr>
          <w:rFonts w:hint="eastAsia" w:ascii="宋体" w:hAnsi="宋体" w:eastAsia="宋体" w:cs="宋体"/>
          <w:color w:val="auto"/>
          <w:sz w:val="24"/>
          <w:szCs w:val="24"/>
          <w:highlight w:val="none"/>
          <w:lang w:val="zh-CN" w:eastAsia="zh-CN"/>
        </w:rPr>
        <w:t xml:space="preserve">等安全防护机构，确保作业过程安全。</w:t>
      </w:r>
      <w:r/>
    </w:p>
    <w:p>
      <w:pPr>
        <w:numPr>
          <w:ilvl w:val="0"/>
          <w:numId w:val="3"/>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驾驶室内部应配备操控按钮，</w:t>
      </w:r>
      <w:r>
        <w:rPr>
          <w:rFonts w:hint="eastAsia" w:ascii="宋体" w:hAnsi="宋体" w:eastAsia="宋体" w:cs="宋体"/>
          <w:color w:val="auto"/>
          <w:sz w:val="24"/>
          <w:szCs w:val="24"/>
          <w:highlight w:val="none"/>
        </w:rPr>
        <w:t xml:space="preserve">所有的控制</w:t>
      </w:r>
      <w:r>
        <w:rPr>
          <w:rFonts w:hint="eastAsia" w:ascii="宋体" w:hAnsi="宋体" w:eastAsia="宋体" w:cs="宋体"/>
          <w:color w:val="auto"/>
          <w:sz w:val="24"/>
          <w:szCs w:val="24"/>
          <w:highlight w:val="none"/>
          <w:lang w:val="en-US" w:eastAsia="zh-CN"/>
        </w:rPr>
        <w:t xml:space="preserve">能</w:t>
      </w:r>
      <w:r>
        <w:rPr>
          <w:rFonts w:hint="eastAsia" w:ascii="宋体" w:hAnsi="宋体" w:eastAsia="宋体" w:cs="宋体"/>
          <w:color w:val="auto"/>
          <w:sz w:val="24"/>
          <w:szCs w:val="24"/>
          <w:highlight w:val="none"/>
        </w:rPr>
        <w:t xml:space="preserve">在驾驶室内操纵完成</w:t>
      </w:r>
      <w:r>
        <w:rPr>
          <w:rFonts w:hint="eastAsia" w:ascii="宋体" w:hAnsi="宋体" w:eastAsia="宋体" w:cs="宋体"/>
          <w:color w:val="auto"/>
          <w:sz w:val="24"/>
          <w:szCs w:val="24"/>
          <w:highlight w:val="none"/>
          <w:lang w:eastAsia="zh-CN"/>
        </w:rPr>
        <w:t xml:space="preserve">。另外，</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配有离车控制器，</w:t>
      </w:r>
      <w:r>
        <w:rPr>
          <w:rFonts w:hint="eastAsia" w:ascii="宋体" w:hAnsi="宋体" w:eastAsia="宋体" w:cs="宋体"/>
          <w:color w:val="auto"/>
          <w:sz w:val="24"/>
          <w:szCs w:val="24"/>
          <w:highlight w:val="none"/>
          <w:lang w:eastAsia="zh-CN"/>
        </w:rPr>
        <w:t xml:space="preserve">上装</w:t>
      </w:r>
      <w:r>
        <w:rPr>
          <w:rFonts w:hint="eastAsia" w:ascii="宋体" w:hAnsi="宋体" w:eastAsia="宋体" w:cs="宋体"/>
          <w:color w:val="auto"/>
          <w:sz w:val="24"/>
          <w:szCs w:val="24"/>
          <w:highlight w:val="none"/>
        </w:rPr>
        <w:t xml:space="preserve">专用机构操作可在驾驶室中或离车操作完成。</w:t>
      </w:r>
      <w:r/>
    </w:p>
    <w:p>
      <w:pPr>
        <w:numPr>
          <w:ilvl w:val="0"/>
          <w:numId w:val="3"/>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车辆具有作业监控系统，对上装作业过程进行监控，通过监控更好地辅助安全作业。可在驾驶室监视屏上观察装箱作业状态。</w:t>
      </w:r>
      <w:r/>
    </w:p>
    <w:p>
      <w:pPr>
        <w:numPr>
          <w:ilvl w:val="0"/>
          <w:numId w:val="3"/>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车辆</w:t>
      </w:r>
      <w:r>
        <w:rPr>
          <w:rFonts w:hint="eastAsia" w:ascii="宋体" w:hAnsi="宋体" w:eastAsia="宋体" w:cs="宋体"/>
          <w:color w:val="auto"/>
          <w:sz w:val="24"/>
          <w:szCs w:val="24"/>
          <w:highlight w:val="none"/>
        </w:rPr>
        <w:t xml:space="preserve">各油缸配置平衡阀或液压锁，保证作业过程中的可靠性和安全性。车辆在拉臂下降快到位时，液压系统需设置有缓冲控制回落，设备能平稳运行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液压系统需配备有防爆装置，即使在作业时发生液压管路破裂，液压油缸也能立即停住，不会突然下落造成事故。上装油路、水路、电路的管线应排列整齐美观，固定安全可靠；电缆和电线应采用套管保护。</w:t>
      </w:r>
      <w:r/>
    </w:p>
    <w:p>
      <w:pPr>
        <w:numPr>
          <w:ilvl w:val="0"/>
          <w:numId w:val="3"/>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车辆根据相关标准、法规要求，加装安全和防护装置（包括但不限于防止箱体侵入驾驶室装置、雷达、倒车影像系统和车辆主动安防系统等。其中车辆主动安防系统包括四路：驾驶室监控、司机行为分析监控（DSM)、后盲（辅助车辆倒车，提高安全性）、右盲（BSD，为车辆右转时提供盲区监控，提高安全性）</w:t>
      </w:r>
      <w:r>
        <w:rPr>
          <w:rFonts w:hint="eastAsia" w:ascii="宋体" w:hAnsi="宋体" w:eastAsia="宋体" w:cs="宋体"/>
          <w:color w:val="auto"/>
          <w:sz w:val="24"/>
          <w:szCs w:val="24"/>
          <w:highlight w:val="none"/>
          <w:lang w:eastAsia="zh-CN"/>
        </w:rPr>
        <w:t xml:space="preserve">。</w:t>
      </w:r>
      <w:r/>
    </w:p>
    <w:p>
      <w:pPr>
        <w:numPr>
          <w:ilvl w:val="0"/>
          <w:numId w:val="3"/>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车辆应安装定位系统，</w:t>
      </w:r>
      <w:r>
        <w:rPr>
          <w:rFonts w:hint="eastAsia" w:ascii="宋体" w:hAnsi="宋体" w:eastAsia="宋体" w:cs="宋体"/>
          <w:color w:val="auto"/>
          <w:sz w:val="24"/>
          <w:szCs w:val="24"/>
          <w:highlight w:val="none"/>
        </w:rPr>
        <w:t xml:space="preserve">记录、储存、显示车辆行驶速度、时间、里程等车辆行驶状态信息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此费用包含在投标报价内。</w:t>
      </w:r>
      <w:r>
        <w:rPr>
          <w:rFonts w:hint="eastAsia" w:ascii="宋体" w:hAnsi="宋体" w:eastAsia="宋体" w:cs="宋体"/>
          <w:color w:val="auto"/>
          <w:sz w:val="24"/>
          <w:szCs w:val="24"/>
          <w:highlight w:val="none"/>
          <w:lang w:val="en-US" w:eastAsia="zh-CN"/>
        </w:rPr>
        <w:t xml:space="preserve">由此产生的流量费等（2年）均包含在投标报价内。</w:t>
      </w:r>
      <w:r/>
    </w:p>
    <w:p>
      <w:pPr>
        <w:numPr>
          <w:ilvl w:val="0"/>
          <w:numId w:val="3"/>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整车配备智能监控系统，</w:t>
      </w:r>
      <w:r>
        <w:rPr>
          <w:rFonts w:hint="eastAsia" w:ascii="宋体" w:hAnsi="宋体" w:eastAsia="宋体" w:cs="宋体"/>
          <w:color w:val="auto"/>
          <w:sz w:val="24"/>
          <w:szCs w:val="24"/>
          <w:highlight w:val="none"/>
        </w:rPr>
        <w:t xml:space="preserve">利用车载监控终端采集整车运行数据并上传到监控平台，实现对车辆信息的监控、显示和数据存储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由此产生的流量费等（2年）均包含在投标报价内。</w:t>
      </w:r>
      <w:r/>
    </w:p>
    <w:p>
      <w:pPr>
        <w:numPr>
          <w:ilvl w:val="0"/>
          <w:numId w:val="3"/>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车辆</w:t>
      </w:r>
      <w:r>
        <w:rPr>
          <w:rFonts w:hint="eastAsia" w:ascii="宋体" w:hAnsi="宋体" w:eastAsia="宋体" w:cs="宋体"/>
          <w:color w:val="auto"/>
          <w:sz w:val="24"/>
          <w:szCs w:val="24"/>
          <w:highlight w:val="none"/>
        </w:rPr>
        <w:t xml:space="preserve">驾驶室密封性良好，视野宽敞</w:t>
      </w:r>
      <w:r>
        <w:rPr>
          <w:rFonts w:hint="eastAsia" w:ascii="宋体" w:hAnsi="宋体" w:eastAsia="宋体" w:cs="宋体"/>
          <w:color w:val="auto"/>
          <w:sz w:val="24"/>
          <w:szCs w:val="24"/>
          <w:highlight w:val="none"/>
          <w:lang w:eastAsia="zh-CN"/>
        </w:rPr>
        <w:t xml:space="preserve">，内部装饰包括但不限于达到以下要求：</w:t>
      </w:r>
      <w:r>
        <w:rPr>
          <w:rFonts w:hint="eastAsia" w:ascii="宋体" w:hAnsi="宋体" w:eastAsia="宋体" w:cs="宋体"/>
          <w:color w:val="auto"/>
          <w:sz w:val="24"/>
          <w:szCs w:val="24"/>
          <w:highlight w:val="none"/>
          <w:lang w:val="en-US" w:eastAsia="zh-CN"/>
        </w:rPr>
        <w:t xml:space="preserve">座椅</w:t>
      </w:r>
      <w:r>
        <w:rPr>
          <w:rFonts w:hint="eastAsia" w:ascii="宋体" w:hAnsi="宋体" w:eastAsia="宋体" w:cs="宋体"/>
          <w:color w:val="auto"/>
          <w:sz w:val="24"/>
          <w:szCs w:val="24"/>
          <w:highlight w:val="none"/>
          <w:lang w:eastAsia="zh-CN"/>
        </w:rPr>
        <w:t xml:space="preserve">气囊减震、可加热通风座椅（带扶手</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宋体"/>
          <w:strike w:val="0"/>
          <w:color w:val="auto"/>
          <w:sz w:val="24"/>
          <w:szCs w:val="24"/>
          <w:highlight w:val="none"/>
          <w:lang w:eastAsia="zh-CN"/>
        </w:rPr>
        <w:t xml:space="preserve">仿真皮座椅）</w:t>
      </w:r>
      <w:r>
        <w:rPr>
          <w:rFonts w:hint="eastAsia" w:ascii="宋体" w:hAnsi="宋体" w:eastAsia="宋体" w:cs="宋体"/>
          <w:color w:val="auto"/>
          <w:sz w:val="24"/>
          <w:szCs w:val="24"/>
          <w:highlight w:val="none"/>
          <w:lang w:eastAsia="zh-CN"/>
        </w:rPr>
        <w:t xml:space="preserve">、多功能方向盘、具有自动调节功能的冷暖空调等，</w:t>
      </w:r>
      <w:r>
        <w:rPr>
          <w:rFonts w:hint="eastAsia" w:ascii="宋体" w:hAnsi="宋体" w:eastAsia="宋体" w:cs="宋体"/>
          <w:color w:val="auto"/>
          <w:sz w:val="24"/>
          <w:szCs w:val="24"/>
          <w:highlight w:val="none"/>
          <w:lang w:val="zh-CN"/>
        </w:rPr>
        <w:t xml:space="preserve">配置不少于</w:t>
      </w:r>
      <w:r>
        <w:rPr>
          <w:rFonts w:hint="eastAsia" w:ascii="宋体" w:hAnsi="宋体" w:eastAsia="宋体" w:cs="宋体"/>
          <w:color w:val="auto"/>
          <w:sz w:val="24"/>
          <w:szCs w:val="24"/>
          <w:highlight w:val="none"/>
          <w:lang w:val="en-US" w:eastAsia="zh-CN"/>
        </w:rPr>
        <w:t xml:space="preserve">2个的USB连接口</w:t>
      </w:r>
      <w:r>
        <w:rPr>
          <w:rFonts w:hint="eastAsia" w:ascii="宋体" w:hAnsi="宋体" w:eastAsia="宋体" w:cs="宋体"/>
          <w:color w:val="auto"/>
          <w:sz w:val="24"/>
          <w:szCs w:val="24"/>
          <w:highlight w:val="none"/>
          <w:lang w:eastAsia="zh-CN"/>
        </w:rPr>
        <w:t xml:space="preserve">。</w:t>
      </w:r>
      <w:r/>
    </w:p>
    <w:p>
      <w:pPr>
        <w:numPr>
          <w:ilvl w:val="0"/>
          <w:numId w:val="3"/>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车辆需配备三把钥匙。</w:t>
      </w:r>
      <w:r>
        <w:rPr>
          <w:rFonts w:hint="eastAsia" w:ascii="宋体" w:hAnsi="宋体" w:eastAsia="宋体" w:cs="宋体"/>
          <w:color w:val="auto"/>
          <w:sz w:val="24"/>
          <w:szCs w:val="24"/>
          <w:highlight w:val="none"/>
          <w:lang w:val="en-US" w:eastAsia="zh-CN"/>
        </w:rPr>
        <w:t xml:space="preserve">电动玻璃升降窗。</w:t>
      </w:r>
      <w:r>
        <w:rPr>
          <w:rFonts w:hint="eastAsia" w:ascii="宋体" w:hAnsi="宋体" w:eastAsia="宋体" w:cs="宋体"/>
          <w:color w:val="auto"/>
          <w:sz w:val="24"/>
          <w:szCs w:val="24"/>
          <w:highlight w:val="none"/>
          <w:lang w:val="zh-CN"/>
        </w:rPr>
        <w:t xml:space="preserve">配备电喇叭+气喇叭，并有开关转换。外部后视镜应具有加热功能。</w:t>
      </w:r>
      <w:r/>
    </w:p>
    <w:p>
      <w:pPr>
        <w:numPr>
          <w:ilvl w:val="0"/>
          <w:numId w:val="3"/>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车辆必须具有防打滑轴间差速和防打滑轮间差速功能。必须具有坡道辅助系统和牵引力控制系统。</w:t>
      </w:r>
      <w:r/>
    </w:p>
    <w:p>
      <w:pPr>
        <w:numPr>
          <w:ilvl w:val="0"/>
          <w:numId w:val="3"/>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车辆要具有</w:t>
      </w:r>
      <w:r>
        <w:rPr>
          <w:rFonts w:hint="eastAsia" w:ascii="宋体" w:hAnsi="宋体" w:eastAsia="宋体" w:cs="宋体"/>
          <w:b w:val="0"/>
          <w:bCs w:val="0"/>
          <w:color w:val="auto"/>
          <w:sz w:val="24"/>
          <w:szCs w:val="24"/>
          <w:highlight w:val="none"/>
        </w:rPr>
        <w:t xml:space="preserve">故障自动断电保护机制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‌车辆应配有</w:t>
      </w:r>
      <w:r>
        <w:rPr>
          <w:rFonts w:hint="eastAsia" w:ascii="宋体" w:hAnsi="宋体" w:eastAsia="宋体" w:cs="宋体"/>
          <w:bCs/>
          <w:color w:val="auto"/>
          <w:sz w:val="24"/>
          <w:szCs w:val="24"/>
          <w:highlight w:val="none"/>
        </w:rPr>
        <w:t xml:space="preserve">防抱死制动系统（</w:t>
      </w:r>
      <w:r>
        <w:rPr>
          <w:rFonts w:hint="eastAsia" w:ascii="宋体" w:hAnsi="宋体" w:eastAsia="宋体" w:cs="宋体"/>
          <w:color w:val="auto"/>
          <w:sz w:val="24"/>
          <w:szCs w:val="24"/>
          <w:highlight w:val="none"/>
        </w:rPr>
        <w:t xml:space="preserve">ABS</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在紧急制动时，ABS能够迅速且自动地调整车轮的制动压力，防止轮胎完</w:t>
      </w:r>
      <w:r>
        <w:rPr>
          <w:rFonts w:hint="eastAsia" w:ascii="宋体" w:hAnsi="宋体" w:eastAsia="宋体" w:cs="宋体"/>
          <w:color w:val="auto"/>
          <w:sz w:val="24"/>
          <w:szCs w:val="24"/>
          <w:highlight w:val="none"/>
          <w:shd w:val="clear" w:color="auto" w:fill="ffffff"/>
        </w:rPr>
        <w:t xml:space="preserve">全锁死，确保车辆仍能保持必要的转向响应，从而保持车辆的稳定性和控制性。</w:t>
      </w:r>
      <w:r>
        <w:rPr>
          <w:rFonts w:hint="eastAsia" w:ascii="宋体" w:hAnsi="宋体" w:eastAsia="宋体" w:cs="宋体"/>
          <w:color w:val="auto"/>
          <w:sz w:val="24"/>
          <w:szCs w:val="24"/>
          <w:highlight w:val="none"/>
        </w:rPr>
        <w:t xml:space="preserve">底盘制动系统应采用前后独立的双回路气压制动。</w:t>
      </w:r>
      <w:r/>
    </w:p>
    <w:p>
      <w:pPr>
        <w:numPr>
          <w:ilvl w:val="0"/>
          <w:numId w:val="3"/>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车辆需配备蜂鸣器提示，车辆拉臂上装进行动作时发出声音报警，对作业区域人员提出警示。</w:t>
      </w:r>
      <w:r/>
    </w:p>
    <w:p>
      <w:pPr>
        <w:numPr>
          <w:ilvl w:val="0"/>
          <w:numId w:val="3"/>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产品交付时应有原车底盘随车工具和备胎、装置专用工具及维修包。</w:t>
      </w:r>
      <w:r/>
    </w:p>
    <w:p>
      <w:pPr>
        <w:numPr>
          <w:ilvl w:val="0"/>
          <w:numId w:val="3"/>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产品交付时应提交的技术文件含产品合格证、汽车底盘使用说明书、专用车辆操作手册和辅助设备的使用说明书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以及可供指导维护和保养的系统工作原理图、常见故障处理手册、工具清单以及备品备件清单等文件。备品备件清单中盖章承诺至少2年免费提供备品备件，并在2年后8年内按照成本价售卖备品备件给采购人。</w:t>
      </w:r>
      <w:r>
        <w:rPr>
          <w:rFonts w:hint="eastAsia" w:ascii="宋体" w:hAnsi="宋体" w:eastAsia="宋体" w:cs="宋体"/>
          <w:color w:val="auto"/>
          <w:sz w:val="24"/>
          <w:szCs w:val="24"/>
          <w:highlight w:val="none"/>
          <w:lang w:val="en-US" w:eastAsia="zh-CN"/>
        </w:rPr>
        <w:t xml:space="preserve">备品备件要求详见附件三。</w:t>
      </w:r>
      <w:r/>
    </w:p>
    <w:p>
      <w:pPr>
        <w:ind w:firstLine="480"/>
        <w:jc w:val="both"/>
        <w:spacing w:line="360" w:lineRule="auto"/>
        <w:shd w:val="clear" w:color="auto" w:fill="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2.交货期：</w:t>
      </w:r>
      <w:r>
        <w:rPr>
          <w:rFonts w:hint="eastAsia" w:ascii="宋体" w:hAnsi="宋体" w:eastAsia="宋体" w:cs="宋体"/>
          <w:bCs w:val="0"/>
          <w:color w:val="auto"/>
          <w:sz w:val="24"/>
          <w:szCs w:val="24"/>
          <w:highlight w:val="none"/>
          <w:lang w:val="zh-CN" w:eastAsia="zh-CN"/>
        </w:rPr>
        <w:t xml:space="preserve">合同签订生效后，60日历天内完成至少3辆车辆的生产及交货。90日历天内完成10辆车辆的生产及交货；其余车辆在收到采购人书面通知后</w:t>
      </w:r>
      <w:r>
        <w:rPr>
          <w:rFonts w:hint="eastAsia" w:ascii="宋体" w:hAnsi="宋体" w:eastAsia="宋体" w:cs="宋体"/>
          <w:bCs w:val="0"/>
          <w:color w:val="auto"/>
          <w:sz w:val="24"/>
          <w:szCs w:val="24"/>
          <w:highlight w:val="none"/>
          <w:lang w:val="en-US" w:eastAsia="zh-CN"/>
        </w:rPr>
        <w:t xml:space="preserve">60天内</w:t>
      </w:r>
      <w:r>
        <w:rPr>
          <w:rFonts w:hint="eastAsia" w:ascii="宋体" w:hAnsi="宋体" w:eastAsia="宋体" w:cs="宋体"/>
          <w:bCs w:val="0"/>
          <w:color w:val="auto"/>
          <w:sz w:val="24"/>
          <w:szCs w:val="24"/>
          <w:highlight w:val="none"/>
          <w:lang w:val="zh-CN" w:eastAsia="zh-CN"/>
        </w:rPr>
        <w:t xml:space="preserve">进行交付（</w:t>
      </w:r>
      <w:r>
        <w:rPr>
          <w:rFonts w:hint="eastAsia" w:ascii="宋体" w:hAnsi="宋体" w:eastAsia="宋体" w:cs="宋体"/>
          <w:bCs w:val="0"/>
          <w:color w:val="auto"/>
          <w:sz w:val="24"/>
          <w:szCs w:val="24"/>
          <w:highlight w:val="none"/>
          <w:lang w:val="en-US" w:eastAsia="zh-CN"/>
        </w:rPr>
        <w:t xml:space="preserve">采购人承诺书面通知的最晚时间为2025年12月1日</w:t>
      </w:r>
      <w:r>
        <w:rPr>
          <w:rFonts w:hint="eastAsia" w:ascii="宋体" w:hAnsi="宋体" w:eastAsia="宋体" w:cs="宋体"/>
          <w:bCs w:val="0"/>
          <w:color w:val="auto"/>
          <w:sz w:val="24"/>
          <w:szCs w:val="24"/>
          <w:highlight w:val="none"/>
          <w:lang w:val="zh-CN" w:eastAsia="zh-CN"/>
        </w:rPr>
        <w:t xml:space="preserve">）。交货时供应商已办理完毕无锡牌照，并购买至少1年保险</w:t>
      </w:r>
      <w:r>
        <w:rPr>
          <w:rFonts w:hint="eastAsia" w:ascii="宋体" w:hAnsi="宋体" w:eastAsia="宋体" w:cs="宋体"/>
          <w:bCs w:val="0"/>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3.交付地点：梁溪区生活垃圾转运站项目现场。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4.投标报价：报价包括以下费用：购车款、上牌费、第一年保险费（</w:t>
      </w:r>
      <w:r>
        <w:rPr>
          <w:rFonts w:hint="eastAsia" w:ascii="宋体" w:hAnsi="宋体" w:eastAsia="宋体" w:cs="宋体"/>
          <w:b w:val="0"/>
          <w:bCs w:val="0"/>
          <w:color w:val="auto"/>
          <w:sz w:val="24"/>
          <w:szCs w:val="24"/>
          <w:highlight w:val="none"/>
          <w:lang w:eastAsia="zh-CN"/>
        </w:rPr>
        <w:t xml:space="preserve">商业险中第三者责任险不得低于</w:t>
      </w:r>
      <w:r>
        <w:rPr>
          <w:rFonts w:hint="eastAsia" w:ascii="宋体" w:hAnsi="宋体" w:eastAsia="宋体" w:cs="宋体"/>
          <w:b w:val="0"/>
          <w:bCs w:val="0"/>
          <w:color w:val="auto"/>
          <w:sz w:val="24"/>
          <w:szCs w:val="24"/>
          <w:highlight w:val="none"/>
          <w:lang w:val="en-US" w:eastAsia="zh-CN"/>
        </w:rPr>
        <w:t xml:space="preserve">300万元，</w:t>
      </w:r>
      <w:r>
        <w:rPr>
          <w:rFonts w:hint="eastAsia" w:ascii="宋体" w:hAnsi="宋体" w:eastAsia="宋体" w:cs="宋体"/>
          <w:b w:val="0"/>
          <w:bCs w:val="0"/>
          <w:color w:val="auto"/>
          <w:sz w:val="24"/>
          <w:szCs w:val="24"/>
          <w:highlight w:val="none"/>
        </w:rPr>
        <w:t xml:space="preserve">商业险均包括不计免赔保费</w:t>
      </w:r>
      <w:r>
        <w:rPr>
          <w:rFonts w:hint="eastAsia" w:ascii="宋体" w:hAnsi="宋体" w:eastAsia="宋体" w:cs="宋体"/>
          <w:b w:val="0"/>
          <w:bCs w:val="0"/>
          <w:color w:val="auto"/>
          <w:sz w:val="24"/>
          <w:szCs w:val="24"/>
          <w:highlight w:val="none"/>
          <w:lang w:val="en-US" w:eastAsia="zh-CN"/>
        </w:rPr>
        <w:t xml:space="preserve">和车损险等</w:t>
      </w:r>
      <w:r>
        <w:rPr>
          <w:rFonts w:hint="eastAsia" w:ascii="宋体" w:hAnsi="宋体" w:eastAsia="宋体" w:cs="宋体"/>
          <w:color w:val="auto"/>
          <w:sz w:val="24"/>
          <w:szCs w:val="24"/>
          <w:highlight w:val="none"/>
          <w:lang w:val="en-US" w:eastAsia="zh-CN"/>
        </w:rPr>
        <w:t xml:space="preserve">）和车辆上路行驶的其他费用等。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五、本项目采购标的需满足的服务标准、期限、效率等要求：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1、质量标准：</w:t>
      </w:r>
      <w:r>
        <w:rPr>
          <w:rFonts w:hint="eastAsia" w:ascii="宋体" w:hAnsi="宋体" w:eastAsia="宋体" w:cs="宋体"/>
          <w:color w:val="auto"/>
          <w:sz w:val="24"/>
          <w:szCs w:val="24"/>
          <w:highlight w:val="none"/>
        </w:rPr>
        <w:t xml:space="preserve">符合国际、国内相关标准和安全技术规范要求</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2、质保期：整车质保不少于2年，三电系统质保不少于</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年。</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3、误期违约金：合同金额1%/天。</w:t>
      </w:r>
      <w:r>
        <w:rPr>
          <w:rFonts w:hint="eastAsia" w:ascii="宋体" w:hAnsi="宋体" w:eastAsia="宋体" w:cs="宋体"/>
          <w:bCs/>
          <w:color w:val="auto"/>
          <w:sz w:val="24"/>
          <w:szCs w:val="24"/>
          <w:highlight w:val="none"/>
          <w:lang w:val="en-US" w:eastAsia="zh-CN"/>
        </w:rPr>
        <w:t xml:space="preserve">上限为20%。如中标单位超过合同约定的交付时间20天后，招标人有权解除合同，并按照政府采购法对中标单位进行相应的处罚。（本项目车辆交付时间共3个，中标单位任一一批车辆交付时间延期超20天的，按本约定执行）</w:t>
      </w:r>
      <w:r/>
    </w:p>
    <w:p>
      <w:pPr>
        <w:pStyle w:val="853"/>
        <w:rPr>
          <w:color w:val="auto"/>
          <w:highlight w:val="none"/>
          <w:lang w:eastAsia="zh-CN"/>
        </w:rPr>
      </w:pPr>
      <w:r>
        <w:rPr>
          <w:color w:val="auto"/>
          <w:highlight w:val="none"/>
          <w:lang w:eastAsia="zh-CN"/>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六、本项目验收标准：</w:t>
      </w:r>
      <w:r/>
    </w:p>
    <w:p>
      <w:pPr>
        <w:ind w:firstLine="480"/>
        <w:spacing w:line="360" w:lineRule="auto"/>
        <w:rPr>
          <w:rFonts w:ascii="宋体" w:hAnsi="宋体" w:eastAsia="宋体" w:cs="宋体"/>
          <w:strike/>
          <w:color w:val="auto"/>
          <w:sz w:val="24"/>
          <w:szCs w:val="24"/>
          <w:highlight w:val="none"/>
        </w:rPr>
      </w:pPr>
      <w:r>
        <w:rPr>
          <w:rFonts w:hint="eastAsia" w:ascii="宋体" w:hAnsi="宋体" w:eastAsia="宋体" w:cs="宋体"/>
          <w:color w:val="auto"/>
          <w:sz w:val="24"/>
          <w:szCs w:val="24"/>
          <w:highlight w:val="none"/>
          <w:lang w:eastAsia="zh-CN"/>
        </w:rPr>
        <w:t xml:space="preserve">采购人、采购代理机构按照《江苏省政府采购履约验收管理办法》等文件要求，对照车辆的</w:t>
      </w:r>
      <w:r>
        <w:rPr>
          <w:rFonts w:hint="eastAsia" w:ascii="宋体" w:hAnsi="宋体" w:eastAsia="宋体" w:cs="宋体"/>
          <w:color w:val="auto"/>
          <w:sz w:val="24"/>
          <w:szCs w:val="24"/>
          <w:highlight w:val="none"/>
        </w:rPr>
        <w:t xml:space="preserve">型号、技术参数</w:t>
      </w:r>
      <w:r>
        <w:rPr>
          <w:rFonts w:hint="eastAsia" w:ascii="宋体" w:hAnsi="宋体" w:eastAsia="宋体" w:cs="宋体"/>
          <w:color w:val="auto"/>
          <w:sz w:val="24"/>
          <w:szCs w:val="24"/>
          <w:highlight w:val="none"/>
          <w:lang w:eastAsia="zh-CN"/>
        </w:rPr>
        <w:t xml:space="preserve">等，根据中标单位的</w:t>
      </w:r>
      <w:r>
        <w:rPr>
          <w:rFonts w:hint="eastAsia" w:ascii="宋体" w:hAnsi="宋体" w:eastAsia="宋体" w:cs="宋体"/>
          <w:color w:val="auto"/>
          <w:sz w:val="24"/>
          <w:szCs w:val="24"/>
          <w:highlight w:val="none"/>
        </w:rPr>
        <w:t xml:space="preserve">产品合格证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出厂清单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产品说明</w:t>
      </w:r>
      <w:r>
        <w:rPr>
          <w:rFonts w:hint="eastAsia" w:ascii="宋体" w:hAnsi="宋体" w:eastAsia="宋体" w:cs="宋体"/>
          <w:color w:val="auto"/>
          <w:sz w:val="24"/>
          <w:szCs w:val="24"/>
          <w:highlight w:val="none"/>
          <w:lang w:eastAsia="zh-CN"/>
        </w:rPr>
        <w:t xml:space="preserve">书和</w:t>
      </w:r>
      <w:r>
        <w:rPr>
          <w:rFonts w:hint="eastAsia" w:ascii="宋体" w:hAnsi="宋体" w:eastAsia="宋体" w:cs="宋体"/>
          <w:color w:val="auto"/>
          <w:sz w:val="24"/>
          <w:szCs w:val="24"/>
          <w:highlight w:val="none"/>
        </w:rPr>
        <w:t xml:space="preserve">技术文件</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进行现场验收，</w:t>
      </w:r>
      <w:r>
        <w:rPr>
          <w:rFonts w:hint="eastAsia" w:ascii="宋体" w:hAnsi="宋体" w:eastAsia="宋体" w:cs="宋体"/>
          <w:color w:val="auto"/>
          <w:sz w:val="24"/>
          <w:szCs w:val="24"/>
          <w:highlight w:val="none"/>
          <w:lang w:eastAsia="zh-CN"/>
        </w:rPr>
        <w:t xml:space="preserve">验收各方签署相关验收报告。对验收情况</w:t>
      </w:r>
      <w:r>
        <w:rPr>
          <w:rFonts w:hint="eastAsia" w:ascii="宋体" w:hAnsi="宋体" w:eastAsia="宋体" w:cs="宋体"/>
          <w:color w:val="auto"/>
          <w:sz w:val="24"/>
          <w:szCs w:val="24"/>
          <w:highlight w:val="none"/>
        </w:rPr>
        <w:t xml:space="preserve">如有异议，各方应当在验收后七天内以书面形式通知对方。</w:t>
      </w:r>
      <w:r/>
    </w:p>
    <w:p>
      <w:pPr>
        <w:numPr>
          <w:ilvl w:val="0"/>
          <w:numId w:val="4"/>
        </w:num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售后服务要求：</w:t>
      </w:r>
      <w:r/>
    </w:p>
    <w:p>
      <w:pPr>
        <w:numPr>
          <w:ilvl w:val="0"/>
          <w:numId w:val="0"/>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免费送货上门，免费提供相关技术指导、维护及培训服务</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 </w:t>
      </w:r>
      <w:r/>
    </w:p>
    <w:p>
      <w:pPr>
        <w:numPr>
          <w:ilvl w:val="0"/>
          <w:numId w:val="0"/>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售后服务以</w:t>
      </w:r>
      <w:r>
        <w:rPr>
          <w:rFonts w:hint="eastAsia" w:ascii="宋体" w:hAnsi="宋体" w:eastAsia="宋体" w:cs="宋体"/>
          <w:color w:val="auto"/>
          <w:sz w:val="24"/>
          <w:szCs w:val="24"/>
          <w:highlight w:val="none"/>
          <w:lang w:val="en-US" w:eastAsia="zh-CN"/>
        </w:rPr>
        <w:t xml:space="preserve">投标人</w:t>
      </w:r>
      <w:r>
        <w:rPr>
          <w:rFonts w:ascii="宋体" w:hAnsi="宋体" w:eastAsia="宋体" w:cs="宋体"/>
          <w:color w:val="auto"/>
          <w:sz w:val="24"/>
          <w:szCs w:val="24"/>
          <w:highlight w:val="none"/>
        </w:rPr>
        <w:t xml:space="preserve">的售后服务承诺书为标准；</w:t>
      </w:r>
      <w:r/>
    </w:p>
    <w:p>
      <w:pPr>
        <w:ind w:firstLine="480"/>
        <w:spacing w:line="360" w:lineRule="auto"/>
        <w:rPr>
          <w:rFonts w:hint="default"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3.定期上门保养、检查和调整：（1）车辆质保期内，供应商负责上门保养的工时费和材料费等所有费用；质保期后至车辆停止使用，供应商负责上门保养工时费，保养所需的材料由招标人负责。（2）需要注意的是，不同部位需对应不同质保期要求，如对三电系统的保养，应以三电系统质保期为准，除三电系统以外的保养，应以整车质保期为准。（3）如招标人采购供应商的保养材料，则供应商需按照成本价售卖，直至车辆停止使用。（4）车辆从交货至停止使用期间，每年至少一次上门检查和调整，相关费用均由供应商负责。（5）车辆轮胎不含在上门保养范围内。</w:t>
      </w:r>
      <w:r/>
    </w:p>
    <w:p>
      <w:pPr>
        <w:ind w:firstLine="480"/>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4.如遇政策调整，卖方应及时通知买方并做出调整，确保车辆符合现行标准并交付买方使用</w:t>
      </w:r>
      <w:r>
        <w:rPr>
          <w:rFonts w:hint="eastAsia" w:ascii="宋体" w:hAnsi="宋体" w:eastAsia="宋体" w:cs="宋体"/>
          <w:color w:val="auto"/>
          <w:sz w:val="24"/>
          <w:szCs w:val="24"/>
          <w:highlight w:val="none"/>
          <w:lang w:eastAsia="zh-CN"/>
        </w:rPr>
        <w:t xml:space="preserve">；</w:t>
      </w:r>
      <w:r/>
    </w:p>
    <w:p>
      <w:pPr>
        <w:pStyle w:val="875"/>
        <w:ind w:firstLine="48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.维修响应时间：供应商接到维修通知后 2 小时内响应答复，4 小时内</w:t>
      </w:r>
      <w:r>
        <w:rPr>
          <w:rFonts w:ascii="宋体" w:hAnsi="宋体" w:eastAsia="宋体" w:cs="宋体"/>
          <w:strike w:val="0"/>
          <w:color w:val="auto"/>
          <w:sz w:val="24"/>
          <w:szCs w:val="24"/>
          <w:highlight w:val="none"/>
        </w:rPr>
        <w:t xml:space="preserve">到达现场，一般故障 2 天内维修完毕。</w:t>
      </w:r>
      <w:r>
        <w:rPr>
          <w:rFonts w:hint="eastAsia" w:ascii="宋体" w:hAnsi="宋体" w:eastAsia="宋体" w:cs="宋体"/>
          <w:color w:val="auto"/>
          <w:sz w:val="24"/>
          <w:szCs w:val="24"/>
          <w:highlight w:val="none"/>
        </w:rPr>
        <w:t xml:space="preserve">供应商应负责提供终身免费维修服务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）车辆质保期内，供应商负责维修的工时费和材料费等所有费用；质保期后至车辆停止使用，供应商负责维修工时费，维修所需的材料由招标人负责。</w:t>
      </w:r>
      <w:r>
        <w:rPr>
          <w:rFonts w:hint="eastAsia" w:ascii="宋体" w:hAnsi="宋体" w:eastAsia="宋体" w:cs="宋体"/>
          <w:strike w:val="0"/>
          <w:color w:val="auto"/>
          <w:sz w:val="24"/>
          <w:szCs w:val="24"/>
          <w:highlight w:val="none"/>
          <w:lang w:val="en-US" w:eastAsia="zh-CN"/>
        </w:rPr>
        <w:t xml:space="preserve">（2）需要注意的是，不同部位需对应不同质保期要求，如对三电系统的维修，应以三电系统质保期为准，除三电系统以外的维修，应以整车质保期为准。（3）如招标人采购供应商的维修材料，则供应商需按照成本价售卖，直至车辆停止使用。（4）车辆轮胎不含在维修范围内。</w:t>
      </w:r>
      <w:r/>
    </w:p>
    <w:p>
      <w:pPr>
        <w:pStyle w:val="875"/>
        <w:ind w:firstLine="480"/>
        <w:spacing w:after="0" w:line="360" w:lineRule="auto"/>
        <w:rPr>
          <w:rFonts w:hint="eastAsia" w:ascii="宋体" w:hAnsi="宋体" w:eastAsia="等线"/>
          <w:color w:val="auto"/>
          <w:sz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供应商至少2年免费提供备品备件，并在2年后8年内按照成本价售卖备品备件给采购人</w:t>
      </w:r>
      <w:r>
        <w:rPr>
          <w:rFonts w:hint="eastAsia" w:ascii="宋体" w:hAnsi="宋体" w:eastAsia="宋体" w:cs="宋体"/>
          <w:color w:val="auto"/>
          <w:sz w:val="24"/>
          <w:szCs w:val="24"/>
          <w:highlight w:val="none"/>
          <w:lang w:eastAsia="zh-CN"/>
        </w:rPr>
        <w:t xml:space="preserve">。</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八、其他技术、服务要求：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1.性能保障：鉴于目前垃圾集装箱已经采购，投标人应与垃圾集装箱设备供应商充分沟通衔接，保证转运车与垃圾集装箱无缝衔接。</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2.供货方负责</w:t>
      </w:r>
      <w:r>
        <w:rPr>
          <w:rFonts w:hint="eastAsia" w:ascii="宋体" w:hAnsi="宋体" w:eastAsia="宋体" w:cs="宋体"/>
          <w:b w:val="0"/>
          <w:bCs w:val="0"/>
          <w:color w:val="auto"/>
          <w:sz w:val="24"/>
          <w:szCs w:val="24"/>
          <w:highlight w:val="none"/>
          <w:lang w:val="en-US" w:eastAsia="zh-CN"/>
        </w:rPr>
        <w:t xml:space="preserve">配合招标人办理</w:t>
      </w:r>
      <w:r>
        <w:rPr>
          <w:rFonts w:hint="eastAsia" w:ascii="宋体" w:hAnsi="宋体" w:eastAsia="宋体" w:cs="宋体"/>
          <w:b w:val="0"/>
          <w:bCs w:val="0"/>
          <w:color w:val="auto"/>
          <w:sz w:val="24"/>
          <w:szCs w:val="24"/>
          <w:highlight w:val="none"/>
        </w:rPr>
        <w:t xml:space="preserve">新购车辆上牌及第一年的交强险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商业险</w:t>
      </w:r>
      <w:r>
        <w:rPr>
          <w:rFonts w:hint="eastAsia" w:ascii="宋体" w:hAnsi="宋体" w:eastAsia="宋体" w:cs="宋体"/>
          <w:b w:val="0"/>
          <w:bCs w:val="0"/>
          <w:color w:val="auto"/>
          <w:sz w:val="24"/>
          <w:szCs w:val="24"/>
          <w:highlight w:val="none"/>
          <w:lang w:eastAsia="zh-CN"/>
        </w:rPr>
        <w:t xml:space="preserve">和车辆购置税（如有），</w:t>
      </w:r>
      <w:r>
        <w:rPr>
          <w:rFonts w:hint="eastAsia" w:ascii="宋体" w:hAnsi="宋体" w:eastAsia="宋体" w:cs="宋体"/>
          <w:b w:val="0"/>
          <w:bCs w:val="0"/>
          <w:color w:val="auto"/>
          <w:sz w:val="24"/>
          <w:szCs w:val="24"/>
          <w:highlight w:val="none"/>
          <w:lang w:val="en-US" w:eastAsia="zh-CN"/>
        </w:rPr>
        <w:t xml:space="preserve">由此产生的费用（上牌费、保险费和其他相关所有手续费等）由供货方承担</w:t>
      </w:r>
      <w:r>
        <w:rPr>
          <w:rFonts w:hint="eastAsia" w:ascii="宋体" w:hAnsi="宋体" w:eastAsia="宋体" w:cs="宋体"/>
          <w:b w:val="0"/>
          <w:bCs w:val="0"/>
          <w:color w:val="auto"/>
          <w:sz w:val="24"/>
          <w:szCs w:val="24"/>
          <w:highlight w:val="none"/>
          <w:lang w:eastAsia="zh-CN"/>
        </w:rPr>
        <w:t xml:space="preserve">。商业险中第三者责任险不得低于</w:t>
      </w:r>
      <w:r>
        <w:rPr>
          <w:rFonts w:hint="eastAsia" w:ascii="宋体" w:hAnsi="宋体" w:eastAsia="宋体" w:cs="宋体"/>
          <w:b w:val="0"/>
          <w:bCs w:val="0"/>
          <w:color w:val="auto"/>
          <w:sz w:val="24"/>
          <w:szCs w:val="24"/>
          <w:highlight w:val="none"/>
          <w:lang w:val="en-US" w:eastAsia="zh-CN"/>
        </w:rPr>
        <w:t xml:space="preserve">300万元，</w:t>
      </w:r>
      <w:r>
        <w:rPr>
          <w:rFonts w:hint="eastAsia" w:ascii="宋体" w:hAnsi="宋体" w:eastAsia="宋体" w:cs="宋体"/>
          <w:b w:val="0"/>
          <w:bCs w:val="0"/>
          <w:color w:val="auto"/>
          <w:sz w:val="24"/>
          <w:szCs w:val="24"/>
          <w:highlight w:val="none"/>
        </w:rPr>
        <w:t xml:space="preserve">商业险均包括不计免赔保费</w:t>
      </w:r>
      <w:r>
        <w:rPr>
          <w:rFonts w:hint="eastAsia" w:ascii="宋体" w:hAnsi="宋体" w:eastAsia="宋体" w:cs="宋体"/>
          <w:b w:val="0"/>
          <w:bCs w:val="0"/>
          <w:color w:val="auto"/>
          <w:sz w:val="24"/>
          <w:szCs w:val="24"/>
          <w:highlight w:val="none"/>
          <w:lang w:val="en-US" w:eastAsia="zh-CN"/>
        </w:rPr>
        <w:t xml:space="preserve">和车损险等</w:t>
      </w:r>
      <w:r>
        <w:rPr>
          <w:rFonts w:hint="eastAsia" w:ascii="宋体" w:hAnsi="宋体" w:eastAsia="宋体" w:cs="宋体"/>
          <w:b w:val="0"/>
          <w:bCs w:val="0"/>
          <w:strike w:val="0"/>
          <w:color w:val="auto"/>
          <w:sz w:val="24"/>
          <w:szCs w:val="24"/>
          <w:highlight w:val="none"/>
        </w:rPr>
        <w:t xml:space="preserve">。</w:t>
      </w:r>
      <w:r/>
    </w:p>
    <w:p>
      <w:pPr>
        <w:ind w:firstLine="480"/>
        <w:spacing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3.投标车辆符合环保标准，</w:t>
      </w:r>
      <w:r>
        <w:rPr>
          <w:rFonts w:hint="eastAsia" w:ascii="宋体" w:hAnsi="宋体" w:eastAsia="宋体" w:cs="宋体"/>
          <w:b w:val="0"/>
          <w:bCs w:val="0"/>
          <w:color w:val="auto"/>
          <w:sz w:val="24"/>
          <w:szCs w:val="24"/>
          <w:highlight w:val="none"/>
          <w:lang w:val="en-US" w:eastAsia="zh-CN"/>
        </w:rPr>
        <w:t xml:space="preserve">验收交车时</w:t>
      </w:r>
      <w:r>
        <w:rPr>
          <w:rFonts w:hint="eastAsia" w:ascii="宋体" w:hAnsi="宋体" w:eastAsia="宋体" w:cs="宋体"/>
          <w:b w:val="0"/>
          <w:bCs w:val="0"/>
          <w:color w:val="auto"/>
          <w:sz w:val="24"/>
          <w:szCs w:val="24"/>
          <w:highlight w:val="none"/>
        </w:rPr>
        <w:t xml:space="preserve">提供整车环保信息</w:t>
      </w:r>
      <w:r>
        <w:rPr>
          <w:rFonts w:hint="eastAsia" w:ascii="宋体" w:hAnsi="宋体" w:eastAsia="宋体" w:cs="宋体"/>
          <w:b w:val="0"/>
          <w:bCs w:val="0"/>
          <w:color w:val="auto"/>
          <w:sz w:val="24"/>
          <w:szCs w:val="24"/>
          <w:highlight w:val="none"/>
          <w:lang w:val="en-US" w:eastAsia="zh-CN"/>
        </w:rPr>
        <w:t xml:space="preserve">随车清单（车辆型号需在生态环境部机动车和非道路移动机械环保信息公开平台http://www.vecc.org.cn中查询有效）</w:t>
      </w:r>
      <w:r>
        <w:rPr>
          <w:rFonts w:hint="eastAsia" w:ascii="宋体" w:hAnsi="宋体" w:eastAsia="宋体" w:cs="宋体"/>
          <w:b w:val="0"/>
          <w:bCs w:val="0"/>
          <w:color w:val="auto"/>
          <w:sz w:val="24"/>
          <w:szCs w:val="24"/>
          <w:highlight w:val="none"/>
        </w:rPr>
        <w:t xml:space="preserve">。</w:t>
      </w:r>
      <w:r/>
    </w:p>
    <w:p>
      <w:pPr>
        <w:ind w:firstLine="480"/>
        <w:spacing w:line="360" w:lineRule="auto"/>
        <w:rPr>
          <w:rFonts w:hint="eastAsia" w:eastAsia="宋体"/>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付款方式：</w:t>
      </w:r>
      <w:r>
        <w:rPr>
          <w:rFonts w:hint="eastAsia" w:ascii="宋体" w:hAnsi="宋体" w:eastAsia="宋体" w:cs="宋体"/>
          <w:b w:val="0"/>
          <w:bCs w:val="0"/>
          <w:color w:val="auto"/>
          <w:sz w:val="24"/>
          <w:szCs w:val="24"/>
          <w:highlight w:val="none"/>
          <w:lang w:eastAsia="zh-CN"/>
        </w:rPr>
        <w:t xml:space="preserve">采购合同签订生效后，采购人完成财政审批流程获得款项后一个月内，采购人向中标方支付合同金额的30%作为预付款，</w:t>
      </w:r>
      <w:r>
        <w:rPr>
          <w:rFonts w:hint="eastAsia" w:ascii="宋体" w:hAnsi="宋体" w:eastAsia="宋体" w:cs="宋体"/>
          <w:b w:val="0"/>
          <w:bCs w:val="0"/>
          <w:color w:val="auto"/>
          <w:sz w:val="24"/>
          <w:szCs w:val="24"/>
          <w:highlight w:val="none"/>
          <w:lang w:val="en-US" w:eastAsia="zh-CN"/>
        </w:rPr>
        <w:t xml:space="preserve">中标方须同时提供同等金额的预付款保函</w:t>
      </w:r>
      <w:r>
        <w:rPr>
          <w:rFonts w:hint="eastAsia" w:ascii="宋体" w:hAnsi="宋体" w:eastAsia="宋体" w:cs="宋体"/>
          <w:b w:val="0"/>
          <w:bCs w:val="0"/>
          <w:color w:val="auto"/>
          <w:sz w:val="24"/>
          <w:szCs w:val="24"/>
          <w:highlight w:val="none"/>
          <w:lang w:eastAsia="zh-CN"/>
        </w:rPr>
        <w:t xml:space="preserve">；待全部货物到达采购人指定地点且经验收合格并培训结束后且采购人完成财政审批流程获得款项后一个月</w:t>
      </w:r>
      <w:r>
        <w:rPr>
          <w:rFonts w:hint="eastAsia" w:ascii="宋体" w:hAnsi="宋体" w:eastAsia="宋体" w:cs="宋体"/>
          <w:b w:val="0"/>
          <w:bCs w:val="0"/>
          <w:color w:val="auto"/>
          <w:sz w:val="24"/>
          <w:szCs w:val="24"/>
          <w:highlight w:val="none"/>
          <w:lang w:val="en-US" w:eastAsia="zh-CN"/>
        </w:rPr>
        <w:t xml:space="preserve">内付清全部余款。</w:t>
      </w:r>
      <w:r>
        <w:rPr>
          <w:rFonts w:hint="eastAsia" w:ascii="宋体" w:hAnsi="宋体" w:eastAsia="宋体" w:cs="宋体"/>
          <w:b w:val="0"/>
          <w:bCs w:val="0"/>
          <w:color w:val="auto"/>
          <w:sz w:val="24"/>
          <w:szCs w:val="24"/>
          <w:highlight w:val="none"/>
          <w:lang w:eastAsia="zh-CN"/>
        </w:rPr>
        <w:t xml:space="preserve">中标（成交）供应商</w:t>
      </w:r>
      <w:r>
        <w:rPr>
          <w:rFonts w:hint="eastAsia" w:ascii="宋体" w:hAnsi="宋体" w:eastAsia="宋体" w:cs="宋体"/>
          <w:b w:val="0"/>
          <w:bCs w:val="0"/>
          <w:color w:val="auto"/>
          <w:sz w:val="24"/>
          <w:szCs w:val="24"/>
          <w:highlight w:val="none"/>
          <w:lang w:val="en-US" w:eastAsia="zh-CN"/>
        </w:rPr>
        <w:t xml:space="preserve">在合同签订前</w:t>
      </w:r>
      <w:r>
        <w:rPr>
          <w:rFonts w:hint="eastAsia" w:ascii="宋体" w:hAnsi="宋体" w:eastAsia="宋体" w:cs="宋体"/>
          <w:b w:val="0"/>
          <w:bCs w:val="0"/>
          <w:color w:val="auto"/>
          <w:sz w:val="24"/>
          <w:szCs w:val="24"/>
          <w:highlight w:val="none"/>
          <w:lang w:eastAsia="zh-CN"/>
        </w:rPr>
        <w:t xml:space="preserve">以履约保函（保险）形式按</w:t>
      </w:r>
      <w:r>
        <w:rPr>
          <w:rFonts w:hint="eastAsia" w:ascii="宋体" w:hAnsi="宋体" w:eastAsia="宋体" w:cs="宋体"/>
          <w:b w:val="0"/>
          <w:bCs w:val="0"/>
          <w:color w:val="auto"/>
          <w:sz w:val="24"/>
          <w:szCs w:val="24"/>
          <w:highlight w:val="none"/>
          <w:lang w:val="en-US" w:eastAsia="zh-CN"/>
        </w:rPr>
        <w:t xml:space="preserve">中标</w:t>
      </w:r>
      <w:r>
        <w:rPr>
          <w:rFonts w:hint="eastAsia" w:ascii="宋体" w:hAnsi="宋体" w:eastAsia="宋体" w:cs="宋体"/>
          <w:b w:val="0"/>
          <w:bCs w:val="0"/>
          <w:color w:val="auto"/>
          <w:sz w:val="24"/>
          <w:szCs w:val="24"/>
          <w:highlight w:val="none"/>
          <w:lang w:eastAsia="zh-CN"/>
        </w:rPr>
        <w:t xml:space="preserve">价的</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%提供履约担保。中标（成交）供应商可采用电子履约保函（保险）形式,具体操作可登录江苏政府采购网的保险保函模块进行办理（</w:t>
      </w:r>
      <w:r>
        <w:rPr>
          <w:rFonts w:hint="eastAsia" w:ascii="宋体" w:hAnsi="宋体" w:eastAsia="宋体" w:cs="宋体"/>
          <w:b w:val="0"/>
          <w:bCs w:val="0"/>
          <w:color w:val="auto"/>
          <w:sz w:val="24"/>
          <w:szCs w:val="24"/>
          <w:highlight w:val="none"/>
          <w:lang w:val="en-US" w:eastAsia="zh-CN"/>
        </w:rPr>
        <w:t xml:space="preserve">履约保函有效期8年，即2026年至2033年）。</w:t>
      </w:r>
      <w:r/>
    </w:p>
    <w:p>
      <w:pPr>
        <w:ind w:firstLine="420"/>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附：政府采购政策（包括但不限于下列具体政策要求）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tabs>
          <w:tab w:val="left" w:pos="525"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4.本项目中如有被列入《网络关键设备和网络安全专用产品目录》的网络安全专用产品的，应当按照《信息安全技术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根据苏财办购〔2024〕1号相关要求，采购人应当严格按照《中华人民共和国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政府采购合同的双方当事人不得擅自变更合同，依照《中华人民共和国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spacing w:line="360" w:lineRule="auto"/>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四、合同书（格式）</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883"/>
        <w:jc w:val="center"/>
        <w:spacing w:line="360" w:lineRule="auto"/>
        <w:rPr>
          <w:rFonts w:ascii="宋体" w:hAnsi="宋体" w:eastAsia="宋体" w:cs="宋体"/>
          <w:b/>
          <w:bCs/>
          <w:color w:val="auto"/>
          <w:sz w:val="36"/>
          <w:szCs w:val="36"/>
          <w:highlight w:val="none"/>
        </w:rPr>
      </w:pPr>
      <w:r>
        <w:rPr>
          <w:rFonts w:hint="eastAsia" w:ascii="宋体" w:hAnsi="宋体" w:eastAsia="宋体" w:cs="宋体"/>
          <w:b/>
          <w:bCs/>
          <w:color w:val="auto"/>
          <w:sz w:val="44"/>
          <w:szCs w:val="44"/>
          <w:highlight w:val="none"/>
          <w:lang w:eastAsia="zh-CN"/>
        </w:rPr>
        <w:t xml:space="preserve">新能源</w:t>
      </w:r>
      <w:r>
        <w:rPr>
          <w:rFonts w:hint="eastAsia" w:ascii="宋体" w:hAnsi="宋体" w:eastAsia="宋体" w:cs="宋体"/>
          <w:b/>
          <w:bCs/>
          <w:color w:val="auto"/>
          <w:sz w:val="44"/>
          <w:szCs w:val="44"/>
          <w:highlight w:val="none"/>
        </w:rPr>
        <w:t xml:space="preserve">转运车采购项目</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1205"/>
        <w:jc w:val="center"/>
        <w:spacing w:line="360" w:lineRule="auto"/>
        <w:rPr>
          <w:rFonts w:ascii="宋体" w:hAnsi="宋体" w:eastAsia="宋体" w:cs="宋体"/>
          <w:b/>
          <w:bCs/>
          <w:color w:val="auto"/>
          <w:sz w:val="60"/>
          <w:szCs w:val="60"/>
          <w:highlight w:val="none"/>
        </w:rPr>
      </w:pPr>
      <w:r/>
      <w:bookmarkStart w:id="67" w:name="bookmark12"/>
      <w:r/>
      <w:bookmarkEnd w:id="67"/>
      <w:r>
        <w:rPr>
          <w:rFonts w:hint="eastAsia" w:ascii="宋体" w:hAnsi="宋体" w:eastAsia="宋体" w:cs="宋体"/>
          <w:b/>
          <w:bCs/>
          <w:color w:val="auto"/>
          <w:sz w:val="60"/>
          <w:szCs w:val="60"/>
          <w:highlight w:val="none"/>
        </w:rPr>
        <w:t xml:space="preserve">采购合同</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64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    方（采购人）：</w:t>
      </w:r>
      <w:r/>
    </w:p>
    <w:p>
      <w:pPr>
        <w:ind w:firstLine="64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乙    方（供应商）：</w:t>
      </w:r>
      <w:r/>
    </w:p>
    <w:p>
      <w:pPr>
        <w:ind w:firstLine="640"/>
        <w:spacing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640"/>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签订时间：202</w:t>
      </w:r>
      <w:r>
        <w:rPr>
          <w:rFonts w:hint="eastAsia" w:ascii="宋体" w:hAnsi="宋体" w:eastAsia="宋体" w:cs="宋体"/>
          <w:color w:val="auto"/>
          <w:sz w:val="32"/>
          <w:szCs w:val="32"/>
          <w:highlight w:val="none"/>
          <w:lang w:val="en-US" w:eastAsia="zh-CN"/>
        </w:rPr>
        <w:t xml:space="preserve">5</w:t>
      </w:r>
      <w:r>
        <w:rPr>
          <w:rFonts w:hint="eastAsia" w:ascii="宋体" w:hAnsi="宋体" w:eastAsia="宋体" w:cs="宋体"/>
          <w:color w:val="auto"/>
          <w:sz w:val="32"/>
          <w:szCs w:val="32"/>
          <w:highlight w:val="none"/>
        </w:rPr>
        <w:t xml:space="preserve">年   月   日</w:t>
      </w:r>
      <w:r/>
    </w:p>
    <w:p>
      <w:pPr>
        <w:ind w:firstLine="6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签订地点：</w:t>
      </w:r>
      <w:r/>
    </w:p>
    <w:p>
      <w:pPr>
        <w:pStyle w:val="853"/>
        <w:rPr>
          <w:color w:val="auto"/>
          <w:highlight w:val="none"/>
          <w:lang w:eastAsia="zh-CN"/>
        </w:rPr>
        <w:sectPr>
          <w:footerReference w:type="default" r:id="rId12"/>
          <w:footnotePr/>
          <w:endnotePr/>
          <w:type w:val="nextPage"/>
          <w:pgSz w:w="11907" w:h="16839" w:orient="portrait"/>
          <w:pgMar w:top="1406" w:right="1786" w:bottom="1406" w:left="1786" w:header="0" w:footer="1230" w:gutter="0"/>
          <w:cols w:num="1" w:sep="0" w:space="720" w:equalWidth="1"/>
          <w:docGrid w:linePitch="360"/>
        </w:sectPr>
      </w:pPr>
      <w:r>
        <w:rPr>
          <w:color w:val="auto"/>
          <w:highlight w:val="none"/>
          <w:lang w:eastAsia="zh-CN"/>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      同      书</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无锡市环境卫生管理服务中心</w:t>
      </w:r>
      <w:r>
        <w:rPr>
          <w:rFonts w:hint="eastAsia" w:ascii="宋体" w:hAnsi="宋体" w:eastAsia="宋体" w:cs="宋体"/>
          <w:color w:val="auto"/>
          <w:sz w:val="24"/>
          <w:szCs w:val="24"/>
          <w:highlight w:val="none"/>
        </w:rPr>
        <w:t xml:space="preserve"> (采购人)</w:t>
      </w:r>
      <w:r>
        <w:rPr>
          <w:rFonts w:hint="eastAsia" w:ascii="宋体" w:hAnsi="宋体" w:eastAsia="宋体" w:cs="宋体"/>
          <w:color w:val="auto"/>
          <w:sz w:val="24"/>
          <w:szCs w:val="24"/>
          <w:highlight w:val="none"/>
          <w:u w:val="single"/>
          <w:lang w:eastAsia="zh-CN"/>
        </w:rPr>
        <w:t xml:space="preserve">新能源转运车采购项目</w:t>
      </w:r>
      <w:r>
        <w:rPr>
          <w:rFonts w:hint="eastAsia" w:ascii="宋体" w:hAnsi="宋体" w:eastAsia="宋体" w:cs="宋体"/>
          <w:color w:val="auto"/>
          <w:sz w:val="24"/>
          <w:szCs w:val="24"/>
          <w:highlight w:val="none"/>
        </w:rPr>
        <w:t xml:space="preserve">(项目名称)中所需</w:t>
      </w:r>
      <w:r>
        <w:rPr>
          <w:rFonts w:hint="eastAsia" w:ascii="宋体" w:hAnsi="宋体" w:eastAsia="宋体" w:cs="宋体"/>
          <w:color w:val="auto"/>
          <w:sz w:val="24"/>
          <w:szCs w:val="24"/>
          <w:highlight w:val="none"/>
          <w:u w:val="single"/>
        </w:rPr>
        <w:t xml:space="preserve">纯电动生活垃圾转运车</w:t>
      </w:r>
      <w:r>
        <w:rPr>
          <w:rFonts w:hint="eastAsia" w:ascii="宋体" w:hAnsi="宋体" w:eastAsia="宋体" w:cs="宋体"/>
          <w:color w:val="auto"/>
          <w:sz w:val="24"/>
          <w:szCs w:val="24"/>
          <w:highlight w:val="none"/>
        </w:rPr>
        <w:t xml:space="preserve">(货物名称)经</w:t>
      </w:r>
      <w:r>
        <w:rPr>
          <w:rFonts w:hint="eastAsia" w:ascii="宋体" w:hAnsi="宋体" w:eastAsia="宋体" w:cs="宋体"/>
          <w:color w:val="auto"/>
          <w:sz w:val="24"/>
          <w:szCs w:val="24"/>
          <w:highlight w:val="none"/>
          <w:u w:val="single"/>
          <w:lang w:eastAsia="zh-CN"/>
        </w:rPr>
        <w:t xml:space="preserve">江苏建亨工程管理咨询有限公司</w:t>
      </w:r>
      <w:r>
        <w:rPr>
          <w:rFonts w:hint="eastAsia" w:ascii="宋体" w:hAnsi="宋体" w:eastAsia="宋体" w:cs="宋体"/>
          <w:color w:val="auto"/>
          <w:sz w:val="24"/>
          <w:szCs w:val="24"/>
          <w:highlight w:val="none"/>
        </w:rPr>
        <w:t xml:space="preserve">(采购代理机构)以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号招标文件在国内公开招标。 经评标委员会评定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(供应商)为中标人。买、卖双方同意按照下面的条款和条件，签署本合同。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下列文件构成本合同的组成部分，应该认为是一个整体，彼此相互解释，相互补充。为便于解释，组成合同的多个文件的优先支配地位的次序如下：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本合同书及合同一般条款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投标文件(含澄清文件)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d.招标文件(含招标文件补充通知)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2、货物基本情况</w:t>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2673"/>
        <w:gridCol w:w="1749"/>
        <w:gridCol w:w="1862"/>
        <w:gridCol w:w="1863"/>
      </w:tblGrid>
      <w:tr>
        <w:trPr/>
        <w:tc>
          <w:tcPr>
            <w:tcW w:w="1121"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73"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749"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数量（辆）</w:t>
            </w:r>
            <w:r/>
          </w:p>
        </w:tc>
        <w:tc>
          <w:tcPr>
            <w:tcW w:w="1862"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863"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tc>
          <w:tcPr>
            <w:tcW w:w="1121"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73"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纯电动生活垃圾转运车</w:t>
            </w:r>
            <w:r/>
          </w:p>
        </w:tc>
        <w:tc>
          <w:tcPr>
            <w:tcW w:w="1749" w:type="dxa"/>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186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863"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数量及总价以采购人最终需求为准，供应商不能因为采购人最终需求数量变动提出索赔。上述费用包含货物运输、装卸、安装调试及相关税费等全部费用，除此之外，采购人无需向供应商支付其他任何未经列明的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w:t>
      </w:r>
      <w:r/>
    </w:p>
    <w:p>
      <w:pPr>
        <w:ind w:firstLine="48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采购合同签订生效后，采购人完成财政审批流程获得款项后一个月内，采购人向中标方支付合同金额的30%作为预付款，</w:t>
      </w:r>
      <w:r>
        <w:rPr>
          <w:rFonts w:hint="eastAsia" w:ascii="宋体" w:hAnsi="宋体" w:eastAsia="宋体" w:cs="宋体"/>
          <w:b w:val="0"/>
          <w:bCs w:val="0"/>
          <w:color w:val="auto"/>
          <w:sz w:val="24"/>
          <w:szCs w:val="24"/>
          <w:highlight w:val="none"/>
          <w:lang w:val="en-US" w:eastAsia="zh-CN"/>
        </w:rPr>
        <w:t xml:space="preserve">中标方须同时提供同等金额的预付款保函</w:t>
      </w:r>
      <w:r>
        <w:rPr>
          <w:rFonts w:hint="eastAsia" w:ascii="宋体" w:hAnsi="宋体" w:eastAsia="宋体" w:cs="宋体"/>
          <w:b w:val="0"/>
          <w:bCs w:val="0"/>
          <w:color w:val="auto"/>
          <w:sz w:val="24"/>
          <w:szCs w:val="24"/>
          <w:highlight w:val="none"/>
          <w:lang w:eastAsia="zh-CN"/>
        </w:rPr>
        <w:t xml:space="preserve">；待全部货物到达采购人指定地点且经验收合格并培训结束后且采购人完成财政审批流程获得款项后一个月</w:t>
      </w:r>
      <w:r>
        <w:rPr>
          <w:rFonts w:hint="eastAsia" w:ascii="宋体" w:hAnsi="宋体" w:eastAsia="宋体" w:cs="宋体"/>
          <w:b w:val="0"/>
          <w:bCs w:val="0"/>
          <w:color w:val="auto"/>
          <w:sz w:val="24"/>
          <w:szCs w:val="24"/>
          <w:highlight w:val="none"/>
          <w:lang w:val="en-US" w:eastAsia="zh-CN"/>
        </w:rPr>
        <w:t xml:space="preserve">内付清全部余款。</w:t>
      </w:r>
      <w:r>
        <w:rPr>
          <w:rFonts w:hint="eastAsia" w:ascii="宋体" w:hAnsi="宋体" w:eastAsia="宋体" w:cs="宋体"/>
          <w:b w:val="0"/>
          <w:bCs w:val="0"/>
          <w:color w:val="auto"/>
          <w:sz w:val="24"/>
          <w:szCs w:val="24"/>
          <w:highlight w:val="none"/>
          <w:lang w:eastAsia="zh-CN"/>
        </w:rPr>
        <w:t xml:space="preserve">中标（成交）供应商</w:t>
      </w:r>
      <w:r>
        <w:rPr>
          <w:rFonts w:hint="eastAsia" w:ascii="宋体" w:hAnsi="宋体" w:eastAsia="宋体" w:cs="宋体"/>
          <w:b w:val="0"/>
          <w:bCs w:val="0"/>
          <w:color w:val="auto"/>
          <w:sz w:val="24"/>
          <w:szCs w:val="24"/>
          <w:highlight w:val="none"/>
          <w:lang w:val="en-US" w:eastAsia="zh-CN"/>
        </w:rPr>
        <w:t xml:space="preserve">在合同签订前</w:t>
      </w:r>
      <w:r>
        <w:rPr>
          <w:rFonts w:hint="eastAsia" w:ascii="宋体" w:hAnsi="宋体" w:eastAsia="宋体" w:cs="宋体"/>
          <w:b w:val="0"/>
          <w:bCs w:val="0"/>
          <w:color w:val="auto"/>
          <w:sz w:val="24"/>
          <w:szCs w:val="24"/>
          <w:highlight w:val="none"/>
          <w:lang w:eastAsia="zh-CN"/>
        </w:rPr>
        <w:t xml:space="preserve">以履约保函（保险）形式按</w:t>
      </w:r>
      <w:r>
        <w:rPr>
          <w:rFonts w:hint="eastAsia" w:ascii="宋体" w:hAnsi="宋体" w:eastAsia="宋体" w:cs="宋体"/>
          <w:b w:val="0"/>
          <w:bCs w:val="0"/>
          <w:color w:val="auto"/>
          <w:sz w:val="24"/>
          <w:szCs w:val="24"/>
          <w:highlight w:val="none"/>
          <w:lang w:val="en-US" w:eastAsia="zh-CN"/>
        </w:rPr>
        <w:t xml:space="preserve">中标</w:t>
      </w:r>
      <w:r>
        <w:rPr>
          <w:rFonts w:hint="eastAsia" w:ascii="宋体" w:hAnsi="宋体" w:eastAsia="宋体" w:cs="宋体"/>
          <w:b w:val="0"/>
          <w:bCs w:val="0"/>
          <w:color w:val="auto"/>
          <w:sz w:val="24"/>
          <w:szCs w:val="24"/>
          <w:highlight w:val="none"/>
          <w:lang w:eastAsia="zh-CN"/>
        </w:rPr>
        <w:t xml:space="preserve">价的</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%提供履约担保。中标（成交）供应商可采用电子履约保函（保险）形式,具体操作可登录江苏政府采购网的保险保函模块进行办理（</w:t>
      </w:r>
      <w:r>
        <w:rPr>
          <w:rFonts w:hint="eastAsia" w:ascii="宋体" w:hAnsi="宋体" w:eastAsia="宋体" w:cs="宋体"/>
          <w:b w:val="0"/>
          <w:bCs w:val="0"/>
          <w:color w:val="auto"/>
          <w:sz w:val="24"/>
          <w:szCs w:val="24"/>
          <w:highlight w:val="none"/>
          <w:lang w:val="en-US" w:eastAsia="zh-CN"/>
        </w:rPr>
        <w:t xml:space="preserve">履约保函有效期8年，即2026年至2033年）。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（2）如果供应商交付的标的物是分批交付完成的，采购人以最后交付标的物的安装调整、验收合格后支付。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（3）采购人向供应商支付货款前，供应商应向采购人开具符合要求的发票，未收到供应商开具的符合要求的发票，采购人可暂不付款且不承担任何法律责任，但供应商不得以此为由怠于履行合同义务；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（4）双方在此确认，若采购人因财政审批等原因未按约定时间付款的，则付款时间相应顺延，采购人无需就此承担任何法律责任；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（5）供应商收款账户信息发生变更的，应提前三个工作日书面通知采购人，否则由此造成的付款迟延、付款错误的责任由供应商承担。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4、技术及服务要求</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4.1 </w:t>
      </w:r>
      <w:r>
        <w:rPr>
          <w:rFonts w:hint="eastAsia" w:ascii="宋体" w:hAnsi="宋体" w:eastAsia="宋体" w:cs="宋体"/>
          <w:b w:val="0"/>
          <w:bCs w:val="0"/>
          <w:color w:val="auto"/>
          <w:sz w:val="24"/>
          <w:szCs w:val="24"/>
          <w:highlight w:val="none"/>
        </w:rPr>
        <w:t xml:space="preserve">供货方</w:t>
      </w:r>
      <w:r>
        <w:rPr>
          <w:rFonts w:hint="eastAsia" w:ascii="宋体" w:hAnsi="宋体" w:eastAsia="宋体" w:cs="宋体"/>
          <w:b w:val="0"/>
          <w:bCs w:val="0"/>
          <w:color w:val="auto"/>
          <w:sz w:val="24"/>
          <w:szCs w:val="24"/>
          <w:highlight w:val="none"/>
          <w:lang w:eastAsia="zh-CN"/>
        </w:rPr>
        <w:t xml:space="preserve">提供的产品，需满足招投标文件中技术要求，包括但不限于以下要求：</w:t>
      </w:r>
      <w:r/>
    </w:p>
    <w:tbl>
      <w:tblPr>
        <w:tblStyle w:val="1486"/>
        <w:tblW w:w="8547"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3036"/>
        <w:gridCol w:w="4737"/>
      </w:tblGrid>
      <w:tr>
        <w:trPr>
          <w:trHeight w:val="397"/>
        </w:trPr>
        <w:tc>
          <w:tcPr>
            <w:tcW w:w="774" w:type="dxa"/>
            <w:textDirection w:val="lrTb"/>
            <w:noWrap w:val="false"/>
          </w:tcPr>
          <w:p>
            <w:pPr>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3036" w:type="dxa"/>
            <w:textDirection w:val="lrTb"/>
            <w:noWrap w:val="false"/>
          </w:tcPr>
          <w:p>
            <w:pPr>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 目</w:t>
            </w:r>
            <w:r/>
          </w:p>
        </w:tc>
        <w:tc>
          <w:tcPr>
            <w:tcW w:w="4737" w:type="dxa"/>
            <w:textDirection w:val="lrTb"/>
            <w:noWrap w:val="false"/>
          </w:tcPr>
          <w:p>
            <w:pPr>
              <w:ind w:firstLine="0"/>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主要技术指标</w:t>
            </w:r>
            <w:r/>
          </w:p>
          <w:p>
            <w:pPr>
              <w:ind w:firstLine="0"/>
              <w:jc w:val="center"/>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（根据中标单位实车进行填写）</w:t>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▲驱动</w:t>
            </w:r>
            <w:r>
              <w:rPr>
                <w:rFonts w:hint="eastAsia" w:ascii="宋体" w:hAnsi="宋体" w:eastAsia="宋体" w:cs="宋体"/>
                <w:color w:val="auto"/>
                <w:sz w:val="24"/>
                <w:szCs w:val="24"/>
                <w:highlight w:val="none"/>
                <w:lang w:val="en-US" w:eastAsia="zh-CN"/>
              </w:rPr>
              <w:t xml:space="preserve">型</w:t>
            </w:r>
            <w:r>
              <w:rPr>
                <w:rFonts w:hint="eastAsia" w:ascii="宋体" w:hAnsi="宋体" w:eastAsia="宋体" w:cs="宋体"/>
                <w:color w:val="auto"/>
                <w:sz w:val="24"/>
                <w:szCs w:val="24"/>
                <w:highlight w:val="none"/>
              </w:rPr>
              <w:t xml:space="preserve">式</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▲总质量</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▲整备质量</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▲额定载质量</w:t>
            </w:r>
            <w:r/>
          </w:p>
        </w:tc>
        <w:tc>
          <w:tcPr>
            <w:tcW w:w="4737"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36"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▲最小转弯</w:t>
            </w:r>
            <w:r>
              <w:rPr>
                <w:rFonts w:hint="eastAsia" w:ascii="宋体" w:hAnsi="宋体" w:eastAsia="宋体" w:cs="宋体"/>
                <w:color w:val="auto"/>
                <w:sz w:val="24"/>
                <w:szCs w:val="24"/>
                <w:highlight w:val="none"/>
                <w:lang w:val="en-US" w:eastAsia="zh-CN"/>
              </w:rPr>
              <w:t xml:space="preserve">直径</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▲最高车速</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★最大爬坡度</w:t>
            </w:r>
            <w:r/>
          </w:p>
        </w:tc>
        <w:tc>
          <w:tcPr>
            <w:tcW w:w="4737" w:type="dxa"/>
            <w:textDirection w:val="lrTb"/>
            <w:noWrap w:val="false"/>
          </w:tcPr>
          <w:p>
            <w:pPr>
              <w:ind w:firstLine="0"/>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▲整车长度</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▲整车宽度</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▲整车高度</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9"/>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3036"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★轮胎规格</w:t>
            </w:r>
            <w:r/>
          </w:p>
        </w:tc>
        <w:tc>
          <w:tcPr>
            <w:tcW w:w="4737" w:type="dxa"/>
            <w:vAlign w:val="center"/>
            <w:textDirection w:val="lrTb"/>
            <w:noWrap w:val="false"/>
          </w:tcPr>
          <w:p>
            <w:pPr>
              <w:ind w:firstLine="0"/>
              <w:jc w:val="center"/>
              <w:spacing w:line="240" w:lineRule="atLeas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528"/>
        </w:trPr>
        <w:tc>
          <w:tcPr>
            <w:tcW w:w="774"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3036" w:type="dxa"/>
            <w:vAlign w:val="top"/>
            <w:textDirection w:val="lrTb"/>
            <w:noWrap w:val="false"/>
          </w:tcPr>
          <w:p>
            <w:pPr>
              <w:ind w:firstLine="0"/>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w:t>
            </w:r>
            <w:r/>
          </w:p>
        </w:tc>
        <w:tc>
          <w:tcPr>
            <w:tcW w:w="4737" w:type="dxa"/>
            <w:vAlign w:val="top"/>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动力</w:t>
            </w:r>
            <w:r>
              <w:rPr>
                <w:rFonts w:hint="eastAsia" w:ascii="宋体" w:hAnsi="宋体" w:eastAsia="宋体" w:cs="宋体"/>
                <w:color w:val="auto"/>
                <w:sz w:val="24"/>
                <w:szCs w:val="24"/>
                <w:highlight w:val="none"/>
              </w:rPr>
              <w:t xml:space="preserve">电池</w:t>
            </w:r>
            <w:r/>
          </w:p>
        </w:tc>
        <w:tc>
          <w:tcPr>
            <w:tcW w:w="4737" w:type="dxa"/>
            <w:textDirection w:val="lrTb"/>
            <w:noWrap w:val="false"/>
          </w:tcPr>
          <w:p>
            <w:pPr>
              <w:ind w:firstLine="0"/>
              <w:jc w:val="both"/>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562"/>
        </w:trPr>
        <w:tc>
          <w:tcPr>
            <w:tcW w:w="774" w:type="dxa"/>
            <w:textDirection w:val="lrTb"/>
            <w:noWrap w:val="false"/>
          </w:tcPr>
          <w:p>
            <w:pPr>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 xml:space="preserve">4</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三电系统</w:t>
            </w:r>
            <w:r>
              <w:rPr>
                <w:rFonts w:hint="eastAsia" w:ascii="宋体" w:hAnsi="宋体" w:eastAsia="宋体" w:cs="宋体"/>
                <w:color w:val="auto"/>
                <w:sz w:val="24"/>
                <w:szCs w:val="24"/>
                <w:highlight w:val="none"/>
              </w:rPr>
              <w:t xml:space="preserve">质保年限</w:t>
            </w:r>
            <w:r/>
          </w:p>
        </w:tc>
        <w:tc>
          <w:tcPr>
            <w:tcW w:w="4737" w:type="dxa"/>
            <w:vAlign w:val="center"/>
            <w:textDirection w:val="lrTb"/>
            <w:noWrap w:val="false"/>
          </w:tcPr>
          <w:p>
            <w:pPr>
              <w:numPr>
                <w:ilvl w:val="255"/>
                <w:numId w:val="0"/>
              </w:num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2"/>
        </w:trPr>
        <w:tc>
          <w:tcPr>
            <w:tcW w:w="774" w:type="dxa"/>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3036"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除三电系统外，整车质保</w:t>
            </w:r>
            <w:r/>
          </w:p>
        </w:tc>
        <w:tc>
          <w:tcPr>
            <w:tcW w:w="4737" w:type="dxa"/>
            <w:vAlign w:val="center"/>
            <w:textDirection w:val="lrTb"/>
            <w:noWrap w:val="false"/>
          </w:tcPr>
          <w:p>
            <w:pPr>
              <w:numPr>
                <w:ilvl w:val="255"/>
                <w:numId w:val="0"/>
              </w:num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3036" w:type="dxa"/>
            <w:textDirection w:val="lrTb"/>
            <w:noWrap w:val="false"/>
          </w:tcPr>
          <w:p>
            <w:pPr>
              <w:ind w:firstLine="0"/>
              <w:jc w:val="left"/>
              <w:tabs>
                <w:tab w:val="left" w:pos="390" w:leader="none"/>
                <w:tab w:val="center" w:pos="151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动力</w:t>
            </w:r>
            <w:r>
              <w:rPr>
                <w:rFonts w:hint="eastAsia" w:ascii="宋体" w:hAnsi="宋体" w:eastAsia="宋体" w:cs="宋体"/>
                <w:color w:val="auto"/>
                <w:sz w:val="24"/>
                <w:szCs w:val="24"/>
                <w:highlight w:val="none"/>
              </w:rPr>
              <w:t xml:space="preserve">电池容量</w:t>
            </w:r>
            <w:r/>
          </w:p>
        </w:tc>
        <w:tc>
          <w:tcPr>
            <w:tcW w:w="4737"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397"/>
        </w:trPr>
        <w:tc>
          <w:tcPr>
            <w:tcW w:w="774" w:type="dxa"/>
            <w:textDirection w:val="lrTb"/>
            <w:noWrap w:val="false"/>
          </w:tcPr>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W w:w="3036" w:type="dxa"/>
            <w:textDirection w:val="lrTb"/>
            <w:noWrap w:val="false"/>
          </w:tcPr>
          <w:p>
            <w:pPr>
              <w:ind w:firstLine="0"/>
              <w:jc w:val="center"/>
              <w:tabs>
                <w:tab w:val="left" w:pos="390" w:leader="none"/>
                <w:tab w:val="center" w:pos="151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上装部分</w:t>
            </w:r>
            <w:r/>
          </w:p>
        </w:tc>
        <w:tc>
          <w:tcPr>
            <w:tcW w:w="4737" w:type="dxa"/>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397"/>
        </w:trPr>
        <w:tc>
          <w:tcPr>
            <w:tcW w:w="774" w:type="dxa"/>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上装</w:t>
            </w:r>
            <w:r>
              <w:rPr>
                <w:rFonts w:hint="eastAsia" w:ascii="宋体" w:hAnsi="宋体" w:eastAsia="宋体" w:cs="宋体"/>
                <w:color w:val="auto"/>
                <w:sz w:val="24"/>
                <w:szCs w:val="24"/>
                <w:highlight w:val="none"/>
              </w:rPr>
              <w:t xml:space="preserve">最大举升角</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0"/>
        </w:trPr>
        <w:tc>
          <w:tcPr>
            <w:tcW w:w="774" w:type="dxa"/>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上装</w:t>
            </w:r>
            <w:r>
              <w:rPr>
                <w:rFonts w:hint="eastAsia" w:ascii="宋体" w:hAnsi="宋体" w:eastAsia="宋体" w:cs="宋体"/>
                <w:color w:val="auto"/>
                <w:sz w:val="24"/>
                <w:szCs w:val="24"/>
                <w:highlight w:val="none"/>
              </w:rPr>
              <w:t xml:space="preserve">液压系统最大工作压力</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25"/>
        </w:trPr>
        <w:tc>
          <w:tcPr>
            <w:tcW w:w="774" w:type="dxa"/>
            <w:textDirection w:val="lrTb"/>
            <w:noWrap w:val="false"/>
          </w:tcPr>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3036"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上装</w:t>
            </w:r>
            <w:r>
              <w:rPr>
                <w:rFonts w:hint="eastAsia" w:ascii="宋体" w:hAnsi="宋体" w:eastAsia="宋体" w:cs="宋体"/>
                <w:color w:val="auto"/>
                <w:sz w:val="24"/>
                <w:szCs w:val="24"/>
                <w:highlight w:val="none"/>
              </w:rPr>
              <w:t xml:space="preserve">额定工作拉载能力</w:t>
            </w:r>
            <w:r/>
          </w:p>
        </w:tc>
        <w:tc>
          <w:tcPr>
            <w:tcW w:w="4737" w:type="dxa"/>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firstLine="480"/>
        <w:spacing w:line="360" w:lineRule="auto"/>
        <w:rPr>
          <w:rFonts w:hint="eastAsia" w:ascii="宋体" w:hAnsi="宋体" w:eastAsia="宋体" w:cs="宋体"/>
          <w:b w:val="0"/>
          <w:bCs w:val="0"/>
          <w:strike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4.2</w:t>
      </w:r>
      <w:r>
        <w:rPr>
          <w:rFonts w:hint="eastAsia" w:ascii="宋体" w:hAnsi="宋体" w:eastAsia="宋体" w:cs="宋体"/>
          <w:b w:val="0"/>
          <w:bCs w:val="0"/>
          <w:color w:val="auto"/>
          <w:sz w:val="24"/>
          <w:szCs w:val="24"/>
          <w:highlight w:val="none"/>
        </w:rPr>
        <w:t xml:space="preserve">供货方负责</w:t>
      </w:r>
      <w:r>
        <w:rPr>
          <w:rFonts w:hint="eastAsia" w:ascii="宋体" w:hAnsi="宋体" w:eastAsia="宋体" w:cs="宋体"/>
          <w:b w:val="0"/>
          <w:bCs w:val="0"/>
          <w:color w:val="auto"/>
          <w:sz w:val="24"/>
          <w:szCs w:val="24"/>
          <w:highlight w:val="none"/>
          <w:lang w:val="en-US" w:eastAsia="zh-CN"/>
        </w:rPr>
        <w:t xml:space="preserve">配合招标人办理</w:t>
      </w:r>
      <w:r>
        <w:rPr>
          <w:rFonts w:hint="eastAsia" w:ascii="宋体" w:hAnsi="宋体" w:eastAsia="宋体" w:cs="宋体"/>
          <w:b w:val="0"/>
          <w:bCs w:val="0"/>
          <w:color w:val="auto"/>
          <w:sz w:val="24"/>
          <w:szCs w:val="24"/>
          <w:highlight w:val="none"/>
        </w:rPr>
        <w:t xml:space="preserve">新购车辆上牌及第一年的交强险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商业险</w:t>
      </w:r>
      <w:r>
        <w:rPr>
          <w:rFonts w:hint="eastAsia" w:ascii="宋体" w:hAnsi="宋体" w:eastAsia="宋体" w:cs="宋体"/>
          <w:b w:val="0"/>
          <w:bCs w:val="0"/>
          <w:color w:val="auto"/>
          <w:sz w:val="24"/>
          <w:szCs w:val="24"/>
          <w:highlight w:val="none"/>
          <w:lang w:eastAsia="zh-CN"/>
        </w:rPr>
        <w:t xml:space="preserve">和车辆购置税（如有），</w:t>
      </w:r>
      <w:r>
        <w:rPr>
          <w:rFonts w:hint="eastAsia" w:ascii="宋体" w:hAnsi="宋体" w:eastAsia="宋体" w:cs="宋体"/>
          <w:b w:val="0"/>
          <w:bCs w:val="0"/>
          <w:color w:val="auto"/>
          <w:sz w:val="24"/>
          <w:szCs w:val="24"/>
          <w:highlight w:val="none"/>
          <w:lang w:val="en-US" w:eastAsia="zh-CN"/>
        </w:rPr>
        <w:t xml:space="preserve">由此产生的费用（上牌费、保险费和其他相关所有手续费等）由供货方承担</w:t>
      </w:r>
      <w:r>
        <w:rPr>
          <w:rFonts w:hint="eastAsia" w:ascii="宋体" w:hAnsi="宋体" w:eastAsia="宋体" w:cs="宋体"/>
          <w:b w:val="0"/>
          <w:bCs w:val="0"/>
          <w:color w:val="auto"/>
          <w:sz w:val="24"/>
          <w:szCs w:val="24"/>
          <w:highlight w:val="none"/>
          <w:lang w:eastAsia="zh-CN"/>
        </w:rPr>
        <w:t xml:space="preserve">。商业险中第三者责任险不得低于</w:t>
      </w:r>
      <w:r>
        <w:rPr>
          <w:rFonts w:hint="eastAsia" w:ascii="宋体" w:hAnsi="宋体" w:eastAsia="宋体" w:cs="宋体"/>
          <w:b w:val="0"/>
          <w:bCs w:val="0"/>
          <w:color w:val="auto"/>
          <w:sz w:val="24"/>
          <w:szCs w:val="24"/>
          <w:highlight w:val="none"/>
          <w:lang w:val="en-US" w:eastAsia="zh-CN"/>
        </w:rPr>
        <w:t xml:space="preserve">300万元，</w:t>
      </w:r>
      <w:r>
        <w:rPr>
          <w:rFonts w:hint="eastAsia" w:ascii="宋体" w:hAnsi="宋体" w:eastAsia="宋体" w:cs="宋体"/>
          <w:b w:val="0"/>
          <w:bCs w:val="0"/>
          <w:color w:val="auto"/>
          <w:sz w:val="24"/>
          <w:szCs w:val="24"/>
          <w:highlight w:val="none"/>
        </w:rPr>
        <w:t xml:space="preserve">商业险均包括不计免赔保费</w:t>
      </w:r>
      <w:r>
        <w:rPr>
          <w:rFonts w:hint="eastAsia" w:ascii="宋体" w:hAnsi="宋体" w:eastAsia="宋体" w:cs="宋体"/>
          <w:b w:val="0"/>
          <w:bCs w:val="0"/>
          <w:color w:val="auto"/>
          <w:sz w:val="24"/>
          <w:szCs w:val="24"/>
          <w:highlight w:val="none"/>
          <w:lang w:val="en-US" w:eastAsia="zh-CN"/>
        </w:rPr>
        <w:t xml:space="preserve">和车损险等</w:t>
      </w:r>
      <w:r>
        <w:rPr>
          <w:rFonts w:hint="eastAsia" w:ascii="宋体" w:hAnsi="宋体" w:eastAsia="宋体" w:cs="宋体"/>
          <w:b w:val="0"/>
          <w:bCs w:val="0"/>
          <w:strike w:val="0"/>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质量保证：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质保期为：符合国家规范要求“三包”，整车质保期为【   】年，三电系统质保期为【   】年，质保期内如出现非人为造成的质量问题，须在规定时间内免费维修、保养、更换配件。供应商应提供质保函，注明质保期具体起止时间。</w:t>
      </w:r>
      <w:r/>
    </w:p>
    <w:p>
      <w:pPr>
        <w:pStyle w:val="875"/>
        <w:ind w:firstLine="480"/>
        <w:spacing w:after="0"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供应商接到维修通知后2小时内响应答复，4小时内</w:t>
      </w:r>
      <w:r>
        <w:rPr>
          <w:rFonts w:ascii="宋体" w:hAnsi="宋体" w:eastAsia="宋体" w:cs="宋体"/>
          <w:strike w:val="0"/>
          <w:color w:val="auto"/>
          <w:sz w:val="24"/>
          <w:szCs w:val="24"/>
          <w:highlight w:val="none"/>
        </w:rPr>
        <w:t xml:space="preserve">到达现场，一般故障2天内维修完毕</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供应商应负责提供终身免费维修服务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）车辆质保期内，供应商负责维修的工时费和材料费等所有费用；质保期后至车辆停止使用，供应商负责维修工时费，维修所需的材料由招标人负责。</w:t>
      </w:r>
      <w:r>
        <w:rPr>
          <w:rFonts w:hint="eastAsia" w:ascii="宋体" w:hAnsi="宋体" w:eastAsia="宋体" w:cs="宋体"/>
          <w:strike w:val="0"/>
          <w:color w:val="auto"/>
          <w:sz w:val="24"/>
          <w:szCs w:val="24"/>
          <w:highlight w:val="none"/>
          <w:lang w:val="en-US" w:eastAsia="zh-CN"/>
        </w:rPr>
        <w:t xml:space="preserve">（2）需要注意的是，不同部位需对应不同质保期要求，如对三电系统的维修，应以三电系统质保期为准，除三电系统以外的维修，应以整车质保期为准。（3）如招标人采购供应商的维修材料，则供应商需按照成本价售卖，直至车辆停止使用。（4）车辆轮胎不含在维修范围内。</w:t>
      </w:r>
      <w:r/>
    </w:p>
    <w:p>
      <w:pPr>
        <w:pStyle w:val="875"/>
        <w:ind w:firstLine="480"/>
        <w:spacing w:after="0" w:line="360" w:lineRule="auto"/>
        <w:rPr>
          <w:rFonts w:hint="eastAsia" w:ascii="宋体" w:hAnsi="宋体" w:eastAsia="等线"/>
          <w:color w:val="auto"/>
          <w:sz w:val="24"/>
          <w:highlight w:val="none"/>
          <w:lang w:eastAsia="zh-CN"/>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免费提供备品备件</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，并在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后8年内按照成本价售卖备品备件给采购人</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5、本合同货物的交货期及交货地点</w:t>
      </w:r>
      <w:r/>
    </w:p>
    <w:p>
      <w:pPr>
        <w:ind w:firstLine="480"/>
        <w:jc w:val="left"/>
        <w:spacing w:line="360" w:lineRule="auto"/>
        <w:shd w:val="clear" w:color="auto" w:fill="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交货期：</w:t>
      </w:r>
      <w:r>
        <w:rPr>
          <w:rFonts w:hint="eastAsia" w:ascii="宋体" w:hAnsi="宋体" w:eastAsia="宋体" w:cs="宋体"/>
          <w:bCs w:val="0"/>
          <w:color w:val="auto"/>
          <w:sz w:val="24"/>
          <w:szCs w:val="24"/>
          <w:highlight w:val="none"/>
          <w:lang w:val="zh-CN" w:eastAsia="zh-CN"/>
        </w:rPr>
        <w:t xml:space="preserve">合同签订生效后，60日历天内完成至少3辆车辆的生产及交货。90日历天内完成10辆车辆的生产及交货；其余车辆在收到采购人书面通知后</w:t>
      </w:r>
      <w:r>
        <w:rPr>
          <w:rFonts w:hint="eastAsia" w:ascii="宋体" w:hAnsi="宋体" w:eastAsia="宋体" w:cs="宋体"/>
          <w:bCs w:val="0"/>
          <w:color w:val="auto"/>
          <w:sz w:val="24"/>
          <w:szCs w:val="24"/>
          <w:highlight w:val="none"/>
          <w:lang w:val="en-US" w:eastAsia="zh-CN"/>
        </w:rPr>
        <w:t xml:space="preserve">60天内</w:t>
      </w:r>
      <w:r>
        <w:rPr>
          <w:rFonts w:hint="eastAsia" w:ascii="宋体" w:hAnsi="宋体" w:eastAsia="宋体" w:cs="宋体"/>
          <w:bCs w:val="0"/>
          <w:color w:val="auto"/>
          <w:sz w:val="24"/>
          <w:szCs w:val="24"/>
          <w:highlight w:val="none"/>
          <w:lang w:val="zh-CN" w:eastAsia="zh-CN"/>
        </w:rPr>
        <w:t xml:space="preserve">进行交付（</w:t>
      </w:r>
      <w:r>
        <w:rPr>
          <w:rFonts w:hint="eastAsia" w:ascii="宋体" w:hAnsi="宋体" w:eastAsia="宋体" w:cs="宋体"/>
          <w:bCs w:val="0"/>
          <w:color w:val="auto"/>
          <w:sz w:val="24"/>
          <w:szCs w:val="24"/>
          <w:highlight w:val="none"/>
          <w:lang w:val="en-US" w:eastAsia="zh-CN"/>
        </w:rPr>
        <w:t xml:space="preserve">采购人承诺书面通知的最晚时间为2025年12月1日之前</w:t>
      </w:r>
      <w:r>
        <w:rPr>
          <w:rFonts w:hint="eastAsia" w:ascii="宋体" w:hAnsi="宋体" w:eastAsia="宋体" w:cs="宋体"/>
          <w:bCs w:val="0"/>
          <w:color w:val="auto"/>
          <w:sz w:val="24"/>
          <w:szCs w:val="24"/>
          <w:highlight w:val="none"/>
          <w:lang w:val="zh-CN" w:eastAsia="zh-CN"/>
        </w:rPr>
        <w:t xml:space="preserve">）。</w:t>
      </w:r>
      <w:r>
        <w:rPr>
          <w:rFonts w:hint="eastAsia" w:ascii="宋体" w:hAnsi="宋体" w:eastAsia="宋体" w:cs="宋体"/>
          <w:bCs w:val="0"/>
          <w:color w:val="auto"/>
          <w:sz w:val="24"/>
          <w:szCs w:val="24"/>
          <w:highlight w:val="none"/>
          <w:lang w:eastAsia="zh-CN"/>
        </w:rPr>
        <w:t xml:space="preserve">交货时供应商已办理完毕无锡牌照，并购买至少1年保险</w:t>
      </w:r>
      <w:r>
        <w:rPr>
          <w:rFonts w:hint="eastAsia" w:ascii="宋体" w:hAnsi="宋体" w:eastAsia="宋体" w:cs="宋体"/>
          <w:bCs w:val="0"/>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交货地点：梁溪区生活垃圾转运站项目现场。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6、合同的生效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本合同经双方全权代表签署、加盖单位印章之日起生效。</w:t>
      </w:r>
      <w:r/>
    </w:p>
    <w:p>
      <w:pPr>
        <w:ind w:firstLine="480"/>
        <w:spacing w:line="360" w:lineRule="auto"/>
        <w:rPr>
          <w:rFonts w:ascii="宋体" w:hAnsi="宋体" w:eastAsia="宋体" w:cs="宋体"/>
          <w:color w:val="auto"/>
          <w:sz w:val="24"/>
          <w:szCs w:val="24"/>
          <w:highlight w:val="none"/>
        </w:rPr>
        <w:sectPr>
          <w:footerReference w:type="default" r:id="rId13"/>
          <w:footnotePr/>
          <w:endnotePr/>
          <w:type w:val="nextPage"/>
          <w:pgSz w:w="11907" w:h="16841" w:orient="portrait"/>
          <w:pgMar w:top="400" w:right="1425" w:bottom="1535" w:left="1430" w:header="0" w:footer="1358" w:gutter="0"/>
          <w:cols w:num="1" w:sep="0" w:space="720" w:equalWidth="1"/>
          <w:docGrid w:linePitch="360"/>
        </w:sectPr>
      </w:pPr>
      <w:r>
        <w:rPr>
          <w:rFonts w:ascii="宋体" w:hAnsi="宋体" w:eastAsia="宋体" w:cs="宋体"/>
          <w:color w:val="auto"/>
          <w:sz w:val="24"/>
          <w:szCs w:val="24"/>
          <w:highlight w:val="none"/>
        </w:rPr>
      </w:r>
      <w:r/>
    </w:p>
    <w:p>
      <w:pPr>
        <w:ind w:firstLine="482"/>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合同一般条款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定义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本合同中的下列术语应解释为：</w:t>
      </w:r>
      <w:r/>
    </w:p>
    <w:p>
      <w:pPr>
        <w:numPr>
          <w:ilvl w:val="1"/>
          <w:numId w:val="5"/>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“合同”系指买卖双方签署的、合同格式中载明的买卖双方所达成的协议， 包括所有的附件、附录和构成合同的其它文件。</w:t>
      </w:r>
      <w:r/>
    </w:p>
    <w:p>
      <w:pPr>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1.2“合同价”系指根据合同约定，供应商在完全履行合同义务后采购人应付给供</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应商的价格。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“货物”系指供应商根据合同约定须向采购人提供的一切设备、机械、仪表、备件、工具、手册等其它相关资料。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“服务”系指根据合同约定供应商承担与供货有关的辅助服务，如运输、保险</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及安装、调试、提供技术援助、培训和其他类似的服务。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“采购人”系指采购人或购买货物的单位。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“供应商”系指根据合同约定提供货物及相关服务的中标人。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“现场”系指合同约定货物将要运至和安装的地点。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“验收”系指合同双方依据强制性的国家技术质量规范和合同约定，确认合同项下 的货物符合合同规定的活动。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2．技术规范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提交货物的技术规范应与招标文件规定的技术规范和技术规范附件(如果有的话) 及其投标文件的技术规范偏差表(如果被采购人接受的话)相一致。若技术规范中无相应说明，则以国家有关部门最新颁布的相应标准及规范为准。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知识产权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供应商应保证采购人在使用该货物或其任何一部分时不受第三方提出的侵犯专利权、著作权、商标权和工业设计权等的起诉。如果任何第三方提出侵权指控，供应商须与第三方交涉并承担由此发生的一切责任、费用和经济赔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包装要求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除合同另有约定外,供应商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等责任均由供应商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每件包装箱内应附一份详细装箱单和质量合格证。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装运标志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供应商应在每一包装箱的四侧用不褪色的油漆以醒目的中文字样做出</w:t>
      </w:r>
      <w:r>
        <w:rPr>
          <w:rFonts w:hint="eastAsia" w:ascii="宋体" w:hAnsi="宋体" w:eastAsia="宋体" w:cs="宋体"/>
          <w:color w:val="auto"/>
          <w:sz w:val="24"/>
          <w:szCs w:val="24"/>
          <w:highlight w:val="none"/>
          <w:lang w:eastAsia="zh-CN"/>
        </w:rPr>
        <w:t xml:space="preserve">标识</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交货方式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现场交货：供应商负责办理运输和保险，将货物运抵现场。有关运输和保险的一切费用由供应商承担。所有货物运抵现场的日期为交货日期。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装运通知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在现场交货和工厂交货条件下的货物，在供应商已通知采购人货物已备妥待运输后 24 小时之内，供应商应将合同号、货名、数量、毛重、总体积(立方米)、运输工具名称及装运日期，以书面形式、电报传真、电话告知等形式通知采购人。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如因供应商延误将上述内容用书面形式、电报传真、电话告知等形式通知采购人，由此引起的一切后</w:t>
      </w:r>
      <w:r>
        <w:rPr>
          <w:rFonts w:hint="eastAsia" w:ascii="宋体" w:hAnsi="宋体" w:eastAsia="宋体" w:cs="宋体"/>
          <w:color w:val="auto"/>
          <w:sz w:val="24"/>
          <w:szCs w:val="24"/>
          <w:highlight w:val="none"/>
          <w:lang w:eastAsia="zh-CN"/>
        </w:rPr>
        <w:t xml:space="preserve">果和</w:t>
      </w:r>
      <w:r>
        <w:rPr>
          <w:rFonts w:hint="eastAsia" w:ascii="宋体" w:hAnsi="宋体" w:eastAsia="宋体" w:cs="宋体"/>
          <w:color w:val="auto"/>
          <w:sz w:val="24"/>
          <w:szCs w:val="24"/>
          <w:highlight w:val="none"/>
        </w:rPr>
        <w:t xml:space="preserve">损失应由供应商负责。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保险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如果货物是按现场交货方式或工厂交货方式报价的，由供应商办理保险，按照发票金额的 110％办理“一切险”，保险范围包括供应商承诺装运的货物。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付款条件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付款条件见合同书。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.技术资料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合同项下技术资料(除合同另有规定外)将以下列方式交付：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合同生效后10天之内，供应商应将每台设备和仪器的中文技术资料一套，如目录索引、图纸、操作手册、使用指南、维修指南和／或服务手册和示意图寄给采购人。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另外一套完整的上述资料应包装好随同每批货物一起发运。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如果采购人确认供应商提供的技术资料不完整或在运输过程中丢失，供应商将在收到买方通知后 3 天内将这些资料免费寄给采购人。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质量保证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供应商应保证货物是全新、未使用过的，并完全符合强制性的国家技术质量规范和合同规定的质量、规格、性能和技术规范等的要求。供应商应当保证其对本协议项下产品享有完整的所有权，并有权向采购人销售，若采购人因使用上述产品而遭受第三方索赔的，一切责任及损失由供应商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供应商应保证所提供的货物经正确安装、正常运转和保养，在其使用寿命期内应具有符合质量要求和产品说明书的性能。在货物质保期之内，供应商应对由于设计、工艺或材料的缺陷而发生的任何不足或故障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根据采购人按检验标准自己检验结果或委托有资质的相关质检机构的检验结果，或者在质保期内，如果货物的数量、质量或规格与合同不符，或证实货物是有缺陷的，包括潜在的缺陷或使用不符合要求的材料等，采购人应尽快以书面形式通知供应商。供应商在收到通知后最迟2天内应免费维修或更换有缺陷的货物或部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如果供应商在收到通知后2天内没有弥补缺陷，采购人可采取必要的补救措施，但由此引发的风险和费用将由供应商承担。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质保期：验收合格后质保期为【 】年，质保期内，供应商每季度应对产品进行追踪检查。如出现非人为原因造成的质量问题，须在规定时间内免费维修或更换。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w:t>
      </w:r>
      <w:r>
        <w:rPr>
          <w:rFonts w:ascii="宋体" w:hAnsi="宋体" w:eastAsia="宋体" w:cs="宋体"/>
          <w:color w:val="auto"/>
          <w:sz w:val="24"/>
          <w:szCs w:val="24"/>
          <w:highlight w:val="none"/>
        </w:rPr>
        <w:t xml:space="preserve">供应商接到维修通知后 2 小时内响应答复，4 小时内</w:t>
      </w:r>
      <w:r>
        <w:rPr>
          <w:rFonts w:ascii="宋体" w:hAnsi="宋体" w:eastAsia="宋体" w:cs="宋体"/>
          <w:strike w:val="0"/>
          <w:color w:val="auto"/>
          <w:sz w:val="24"/>
          <w:szCs w:val="24"/>
          <w:highlight w:val="none"/>
        </w:rPr>
        <w:t xml:space="preserve">到达现场，一般故障 2 天内维修完毕。</w:t>
      </w:r>
      <w:r>
        <w:rPr>
          <w:rFonts w:hint="eastAsia" w:ascii="宋体" w:hAnsi="宋体" w:eastAsia="宋体" w:cs="宋体"/>
          <w:color w:val="auto"/>
          <w:sz w:val="24"/>
          <w:szCs w:val="24"/>
          <w:highlight w:val="none"/>
        </w:rPr>
        <w:t xml:space="preserve">供应商应负责提供终身免费维修服务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）车辆质保期内，供应商负责维修的工时费和材料费等所有费用；质保期后至车辆停止使用，供应商负责维修工时费，维修所需的材料由招标人负责。</w:t>
      </w:r>
      <w:r>
        <w:rPr>
          <w:rFonts w:hint="eastAsia" w:ascii="宋体" w:hAnsi="宋体" w:eastAsia="宋体" w:cs="宋体"/>
          <w:strike w:val="0"/>
          <w:color w:val="auto"/>
          <w:sz w:val="24"/>
          <w:szCs w:val="24"/>
          <w:highlight w:val="none"/>
          <w:lang w:val="en-US" w:eastAsia="zh-CN"/>
        </w:rPr>
        <w:t xml:space="preserve">（2）需要注意的是，不同部位需对应不同质保期要求，如对三电系统的维修，应以三电系统质保期为准，除三电系统以外的维修，应以整车质保期为准。（3）如招标人采购供应商的维修材料，则供应商需按照成本价售卖，直至车辆停止使用。（4）车辆轮胎不含在维修范围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检验和验收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在交货前，供应商应对货物的质量、规格、性能、数量和重量等进行详细而全面的检验，并出具证明货物符合合同规定的文件。供应商检验的结果和细节应在文件中加以说明。该文件将作为申请付款单据的一部分，但有关质量、规格、性能、数量或重量的检验不应视为最终检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货物运抵现场后，采购人应在7日内组织验收，并制作验收备忘录，签署验收意见并报政府采购监督管理部门备案，验收标准以本合同相关技术需求以及采购人实际要求为准，若货物需经第三方专业机构检测验收的，则验收标准以相关专业机构确定的标准为准，货物验收合格前的相应风险由供应商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果任何被检验或测试的货物不能满足要求，采购人可以拒绝接受该货物，供应商应更换被拒绝的货物，或者免费进行必要的修改以满足要求；采购人对货物验收合格的（以采购人签署的书面验收合格文件为准），不视为减轻或免除供应商对货物质量所应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采购人有权利在货物制造过程中拟派人员监造, 供应商有义务为采购人监造人员行使该权利提供方便。</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12.5 制造厂对所供货物进行机械运转试验和性能试验时，必须提前通知采购人</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索赔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如果货物的质量、规格、数量、重量等与合同不符，或在第 11.5 条规定的质保期内证实货物是有缺陷的，包括潜在的缺陷或使用不符合要求的材料，采购人有权根据有资质的质检机构的检验结果解除合同并向供应商提出索赔。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在根据合同第 11 条和第 12 条规定的检验期和质保期内，如果供应商对采购人提出的索赔负有责任，供应商应按照采购人同意的下列一种或多种方式解决索赔事宜：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13.2.1 在法定的退货期内，供应商应按合同规定将货款全额退还给采购人，并承担由此发生的一切损失和费用，包括利息、银行手续费、运费、保险费、检验费、仓储费、装卸费以及为保护退回货物所需的其它必要费用。如已超过退货期，但供应商同意退货，可比照上述办法办理，或由双方协商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用符合规格、质量和性能要求的新零件、部件或货物来更换有缺陷的部分或修补缺陷部分，供应商应承担一切费用和风险并负担采购人所发生的一切直接费用。同时，供应商应按合同第 11 条规定，相应延长修补或更换件的质保期。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如果在采购人发出索赔通知后 7 天内，供应商未作答复，上述索赔应视为已被供应商接受。如供应商未能在采购人提出索赔通知后 7 天内或采购人同意的更长时间内，按照本合同第 13.2 条规定的任何一种方法解决索赔事宜，采购人将从合同款或从供应商开具的履约保证金保函中扣回索赔金额。如果这些金额不足以补偿索赔金额，采购人有权向供应商提出不足部分的补偿。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迟延交货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供应商应按照合同约定的时间交货和提供服务。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如果供应商无正当理由迟延交货，采购人有权提出违约损失赔偿或解除合同。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在履行合同过程中，如果供应商遇到不能按时交货和提供服务的情况，应及时以书面形式将不能按时交货的理由、</w:t>
      </w:r>
      <w:r>
        <w:rPr>
          <w:rFonts w:hint="eastAsia" w:ascii="宋体" w:hAnsi="宋体" w:eastAsia="宋体" w:cs="宋体"/>
          <w:color w:val="auto"/>
          <w:sz w:val="24"/>
          <w:szCs w:val="24"/>
          <w:highlight w:val="none"/>
          <w:lang w:eastAsia="zh-CN"/>
        </w:rPr>
        <w:t xml:space="preserve">逾期</w:t>
      </w:r>
      <w:r>
        <w:rPr>
          <w:rFonts w:hint="eastAsia" w:ascii="宋体" w:hAnsi="宋体" w:eastAsia="宋体" w:cs="宋体"/>
          <w:color w:val="auto"/>
          <w:sz w:val="24"/>
          <w:szCs w:val="24"/>
          <w:highlight w:val="none"/>
        </w:rPr>
        <w:t xml:space="preserve">延误时间通知采购人。采购人收到供应商通知后，认为其理由正当的，可酌情延长交货时间。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违约赔偿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除合同第 14.3 条和第 16 条规定外，如果供应商没有按照合同规定的时间交货和提供服务，采购人可要求供应商支付违约金。每迟延一天，应按照本合同价款总额的1%向采购人支付违约金，迟延达15日的，采购人可解除本合同，无需向供应商支付迟延履行部分合同价款，如相应价款已支付的，供应商应予以返还，除此之外，采购人还有权要求供应商支付本合同价款总额 20%的违约金，上述违约金不足以弥补采购人损失的，供应商应予以补足赔偿。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供应商交付的货物经采购人验收不合格的，供应商应在采购人指定限期内及时采取补足、退换等采购人认可的相应措施，供应商未在上述期限内采取相应措施或货物仍未经采购人验收合格的，采购人有权按照第 15.1 条的约定要求供应商承担违约责任。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不可抗力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如果双方中任何一方遭遇法律规定的不可抗力，致使合同履行受阻时，履行合同的期限应予延长，延长的期限应相当于不可抗力所影响的时间。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受事故影响的一方应在不可抗力的事故发生后尽</w:t>
      </w:r>
      <w:r>
        <w:rPr>
          <w:rFonts w:hint="eastAsia" w:ascii="宋体" w:hAnsi="宋体" w:eastAsia="宋体" w:cs="宋体"/>
          <w:color w:val="auto"/>
          <w:sz w:val="24"/>
          <w:szCs w:val="24"/>
          <w:highlight w:val="none"/>
          <w:lang w:eastAsia="zh-CN"/>
        </w:rPr>
        <w:t xml:space="preserve">快以</w:t>
      </w:r>
      <w:r>
        <w:rPr>
          <w:rFonts w:hint="eastAsia" w:ascii="宋体" w:hAnsi="宋体" w:eastAsia="宋体" w:cs="宋体"/>
          <w:color w:val="auto"/>
          <w:sz w:val="24"/>
          <w:szCs w:val="24"/>
          <w:highlight w:val="none"/>
        </w:rPr>
        <w:t xml:space="preserve">书面形式通知另一方，并在事故发生后14天内，将有关部门出具的证明文件送达另一方。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不可抗力使合同的某些内容有变更必要的，双方应通过协商在28日内达成进一步履行合同的协议，因不可抗力致使合同不能履行的，合同终止。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税费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与本合同有关的一切税费均适用中华人民共和国法律的相关规定。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争议解决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买卖双方应通过友好协商，解决在执行本合同中所发生的或与本合同有关的一切争端。如果协商不成的，任何一方均可</w:t>
      </w:r>
      <w:r>
        <w:rPr>
          <w:rFonts w:hint="eastAsia" w:ascii="宋体" w:hAnsi="宋体" w:eastAsia="宋体" w:cs="宋体"/>
          <w:color w:val="auto"/>
          <w:sz w:val="24"/>
          <w:szCs w:val="24"/>
          <w:highlight w:val="none"/>
          <w:lang w:eastAsia="zh-CN"/>
        </w:rPr>
        <w:t xml:space="preserve">向</w:t>
      </w:r>
      <w:r>
        <w:rPr>
          <w:rFonts w:hint="eastAsia" w:ascii="宋体" w:hAnsi="宋体" w:eastAsia="宋体" w:cs="宋体"/>
          <w:color w:val="auto"/>
          <w:sz w:val="24"/>
          <w:szCs w:val="24"/>
          <w:highlight w:val="none"/>
          <w:lang w:val="en-US" w:eastAsia="zh-CN"/>
        </w:rPr>
        <w:t xml:space="preserve">采购人住所地</w:t>
      </w:r>
      <w:r>
        <w:rPr>
          <w:rFonts w:hint="eastAsia" w:ascii="宋体" w:hAnsi="宋体" w:eastAsia="宋体" w:cs="宋体"/>
          <w:color w:val="auto"/>
          <w:sz w:val="24"/>
          <w:szCs w:val="24"/>
          <w:highlight w:val="none"/>
        </w:rPr>
        <w:t xml:space="preserve">有管辖权的人民法院提起诉讼。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违约解除合同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在供应商有如下违约行为的情况下，采购人经政府采购监督管理部门同意后，可向卖方发出书面通知，部分或全部终止合同。同时保留向供应商追诉的权利。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19.1.1 供应商未能在合同规定的限期或采购人同意延长的限期内，提供全部或部分货物的；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19.1.2 供应商未能履行合同规定的其它主要义务的；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19.1.3 采购人认为供应商在本合同履行过程中有腐败和欺诈行为的。</w:t>
      </w:r>
      <w:r/>
    </w:p>
    <w:p>
      <w:pPr>
        <w:ind w:firstLine="420"/>
        <w:spacing w:line="360" w:lineRule="auto"/>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"19.1.3.1" </w:instrText>
      </w:r>
      <w:r>
        <w:rPr>
          <w:color w:val="auto"/>
          <w:highlight w:val="none"/>
        </w:rPr>
        <w:fldChar w:fldCharType="separate"/>
      </w:r>
      <w:r>
        <w:rPr>
          <w:rFonts w:hint="eastAsia" w:ascii="宋体" w:hAnsi="宋体" w:eastAsia="宋体" w:cs="宋体"/>
          <w:color w:val="auto"/>
          <w:sz w:val="24"/>
          <w:szCs w:val="24"/>
          <w:highlight w:val="none"/>
        </w:rPr>
        <w:t xml:space="preserve">19.1.3.1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“腐败行为”和“欺诈行为”定义如下: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19.1.3.1.1“腐败行为”是指提供/给予/接受或索取任何有价值的东西来影响采购人在合同签订、履行过程中的行为。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19.1.3.1.2“欺诈行为”是指为了影响合同签订、履行，以谎报事实的方法，损害采购人的利益的行为。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在采购人根据上述第 19.1 条规定，全部或部分解除合同之后，应当遵循诚实信用原则，以政府采购监督管理部门同意的方式，购买与未交付的货物类似的货物或服务，卖方应承担采购人购买类似货物或服务而产生的额外支出。部分解除合同的，供应商应继续履行合同中未解除的部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 破产终止合同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如果供应商破产或无清偿能力时，采购人经报政府采购监督管理部门同意后，可在任何时候以书面形式通知供应商，提出终止合同而不给供应商补偿。该合同的终止将不损害或影响采购人已经采取或将要采取的任何行动或补救措施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转让和分包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政府采购合同不能转让。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经采购人和政府采购监督管理部门事先书面同意供应商可以将合同项下非主体、非关键性工作分包给他人完成。接受分包的人应当具备相应的资格条件，并不得再次分包。分包不能解除供应商履行本合同的责任和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合同修改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采购人和供应商都不得擅自变更本合同，但合同继续履行将损害国家和社会公共利益的除外。如必须对合同条款进行改动时， 由双方当事人提出书面的合同修改意见，并经政府采购监督管理部门同意后签署。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通知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本合同任何一方给另一方的通知，都应以书面形式发送，而另一方也应以书面形式确认并发送到对方明确的地址。</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除技术规范中另有规定外,计量单位均使用国家法定计量单位。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适用法律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本合同应按照中华人民共和国的法律进行解释。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 合同生效和其它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政府采购项目的采购合同内容的确定应以招标文件和投标文件为基础，不得违背其实质性内容。政府采购项目的采购合同自签订之日起七个工作日内，采购人应当将合同副本报同级政府采购监督管理部门备案。合同将在双方法定（授权）代表人签字、加盖公章之日起开始生效。</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26.2 本合同一式 6份，具有同等法律效力。采购人执 3 份，供应商执 2 份，见证方1份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具有同等法律效力</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需方（招标人）：（盖章）             供方（中标方）：（盖章）</w:t>
      </w:r>
      <w:r/>
    </w:p>
    <w:p>
      <w:pPr>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法定（授权）代表人：                 法定（授权）代表人：</w:t>
      </w:r>
      <w:r/>
    </w:p>
    <w:p>
      <w:pPr>
        <w:ind w:firstLine="1440"/>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年月日                          年月日</w:t>
      </w:r>
      <w:r/>
    </w:p>
    <w:p>
      <w:pPr>
        <w:ind w:firstLine="480"/>
        <w:spacing w:line="440" w:lineRule="exact"/>
        <w:rPr>
          <w:rFonts w:ascii="宋体" w:hAnsi="宋体" w:eastAsia="宋体" w:cs="宋体"/>
          <w:bCs/>
          <w:color w:val="auto"/>
          <w:sz w:val="24"/>
          <w:highlight w:val="none"/>
          <w:u w:val="single"/>
        </w:rPr>
      </w:pPr>
      <w:r>
        <w:rPr>
          <w:rFonts w:ascii="宋体" w:hAnsi="宋体" w:eastAsia="宋体" w:cs="宋体"/>
          <w:bCs/>
          <w:color w:val="auto"/>
          <w:sz w:val="24"/>
          <w:highlight w:val="none"/>
          <w:u w:val="single"/>
        </w:rPr>
      </w:r>
      <w:r/>
    </w:p>
    <w:p>
      <w:pPr>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见证方：（盖章）                      供方户名：</w:t>
      </w:r>
      <w:r/>
    </w:p>
    <w:p>
      <w:pPr>
        <w:ind w:firstLine="960"/>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供方开户银行：</w:t>
      </w:r>
      <w:r/>
    </w:p>
    <w:p>
      <w:pPr>
        <w:spacing w:line="44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年月日                                供方账号：</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tabs>
          <w:tab w:val="left" w:pos="525" w:leader="none"/>
          <w:tab w:val="left" w:pos="1050" w:leader="none"/>
        </w:tabs>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spacing w:line="360" w:lineRule="auto"/>
        <w:tabs>
          <w:tab w:val="left" w:pos="525" w:leader="none"/>
          <w:tab w:val="left" w:pos="1050" w:leader="none"/>
        </w:tabs>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spacing w:line="360" w:lineRule="auto"/>
        <w:tabs>
          <w:tab w:val="left" w:pos="525" w:leader="none"/>
          <w:tab w:val="left" w:pos="1050" w:leader="none"/>
        </w:tabs>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spacing w:line="360" w:lineRule="auto"/>
        <w:tabs>
          <w:tab w:val="left" w:pos="525" w:leader="none"/>
          <w:tab w:val="left" w:pos="1050" w:leader="none"/>
        </w:tabs>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spacing w:line="360" w:lineRule="auto"/>
        <w:tabs>
          <w:tab w:val="left" w:pos="525" w:leader="none"/>
          <w:tab w:val="left" w:pos="1050" w:leader="none"/>
        </w:tabs>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jc w:val="center"/>
        <w:spacing w:line="360" w:lineRule="auto"/>
        <w:tabs>
          <w:tab w:val="left" w:pos="525" w:leader="none"/>
          <w:tab w:val="left" w:pos="1050" w:leader="none"/>
        </w:tabs>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六、附件</w:t>
      </w:r>
      <w:r/>
    </w:p>
    <w:p>
      <w:pPr>
        <w:pStyle w:val="839"/>
        <w:spacing w:before="0" w:after="0"/>
        <w:rPr>
          <w:rFonts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附件一</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4"/>
          <w:szCs w:val="24"/>
          <w:highlight w:val="none"/>
        </w:rPr>
        <w:t xml:space="preserve">评分标准（100分）</w:t>
      </w:r>
      <w:r/>
    </w:p>
    <w:p>
      <w:pPr>
        <w:ind w:firstLine="480"/>
        <w:spacing w:line="360" w:lineRule="auto"/>
        <w:tabs>
          <w:tab w:val="left" w:pos="525" w:leader="none"/>
          <w:tab w:val="left" w:pos="1050"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olor w:val="auto"/>
          <w:sz w:val="24"/>
          <w:szCs w:val="24"/>
          <w:highlight w:val="none"/>
        </w:rPr>
        <w:t xml:space="preserve">且按照评审因素的量化指标评审得分排名前三的投标人为中标候选人。</w:t>
      </w:r>
      <w:r>
        <w:rPr>
          <w:rFonts w:hint="eastAsia" w:ascii="宋体" w:hAnsi="宋体" w:eastAsia="宋体" w:cs="宋体"/>
          <w:bCs/>
          <w:color w:val="auto"/>
          <w:sz w:val="24"/>
          <w:szCs w:val="24"/>
          <w:highlight w:val="none"/>
        </w:rPr>
        <w:t xml:space="preserve">未列入本评分标准的其他条件不作为评分内容。</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具体评分标准如下：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一、评分项目及分值</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（一）价格分                                                    30分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明标：</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rPr>
          <w:rFonts w:hint="eastAsia" w:ascii="宋体" w:hAnsi="宋体" w:eastAsia="宋体" w:cs="宋体"/>
          <w:b/>
          <w:bCs/>
          <w:color w:val="auto"/>
          <w:sz w:val="24"/>
          <w:szCs w:val="24"/>
          <w:highlight w:val="none"/>
        </w:rPr>
        <w:t xml:space="preserve">综合实力                                                  </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color w:val="auto"/>
          <w:sz w:val="24"/>
          <w:highlight w:val="none"/>
        </w:rPr>
        <w:t xml:space="preserve">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明</w:t>
      </w:r>
      <w:r>
        <w:rPr>
          <w:rFonts w:hint="eastAsia" w:ascii="宋体" w:hAnsi="宋体" w:eastAsia="宋体" w:cs="宋体"/>
          <w:b/>
          <w:color w:val="auto"/>
          <w:sz w:val="24"/>
          <w:highlight w:val="none"/>
        </w:rPr>
        <w:t xml:space="preserve">标：</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rPr>
          <w:rFonts w:hint="eastAsia" w:ascii="宋体" w:hAnsi="宋体" w:eastAsia="宋体" w:cs="宋体"/>
          <w:b/>
          <w:color w:val="auto"/>
          <w:sz w:val="24"/>
          <w:szCs w:val="24"/>
          <w:highlight w:val="none"/>
        </w:rPr>
        <w:t xml:space="preserve">项目技术方案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strike w:val="0"/>
          <w:color w:val="auto"/>
          <w:sz w:val="24"/>
          <w:szCs w:val="24"/>
          <w:highlight w:val="none"/>
        </w:rPr>
        <w:t xml:space="preserve"> </w:t>
      </w:r>
      <w:r>
        <w:rPr>
          <w:rFonts w:hint="eastAsia" w:ascii="宋体" w:hAnsi="宋体" w:eastAsia="宋体" w:cs="宋体"/>
          <w:b/>
          <w:strike w:val="0"/>
          <w:color w:val="auto"/>
          <w:sz w:val="24"/>
          <w:highlight w:val="none"/>
          <w:lang w:val="en-US" w:eastAsia="zh-CN"/>
        </w:rPr>
        <w:t xml:space="preserve">40</w:t>
      </w:r>
      <w:r>
        <w:rPr>
          <w:rFonts w:hint="eastAsia" w:ascii="宋体" w:hAnsi="宋体" w:eastAsia="宋体" w:cs="宋体"/>
          <w:b/>
          <w:color w:val="auto"/>
          <w:sz w:val="24"/>
          <w:highlight w:val="none"/>
        </w:rPr>
        <w:t xml:space="preserve">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暗</w:t>
      </w:r>
      <w:r>
        <w:rPr>
          <w:rFonts w:hint="eastAsia" w:ascii="宋体" w:hAnsi="宋体" w:eastAsia="宋体" w:cs="宋体"/>
          <w:b/>
          <w:color w:val="auto"/>
          <w:sz w:val="24"/>
          <w:highlight w:val="none"/>
        </w:rPr>
        <w:t xml:space="preserve">标：</w:t>
      </w:r>
      <w:r/>
    </w:p>
    <w:p>
      <w:pPr>
        <w:pStyle w:val="853"/>
        <w:contextualSpacing/>
        <w:spacing w:line="360" w:lineRule="auto"/>
        <w:rPr>
          <w:color w:val="auto"/>
          <w:highlight w:val="none"/>
          <w:lang w:eastAsia="zh-CN"/>
        </w:rPr>
      </w:pPr>
      <w:r>
        <w:rPr>
          <w:rFonts w:hint="eastAsia"/>
          <w:color w:val="auto"/>
          <w:highlight w:val="none"/>
          <w:lang w:eastAsia="zh-CN"/>
        </w:rPr>
        <w:t xml:space="preserve">    二、各项评分标准</w:t>
      </w:r>
      <w:r/>
    </w:p>
    <w:p>
      <w:pPr>
        <w:ind w:firstLine="482"/>
        <w:spacing w:line="360" w:lineRule="auto"/>
        <w:tabs>
          <w:tab w:val="left" w:pos="525" w:leader="none"/>
          <w:tab w:val="left" w:pos="1050" w:leader="none"/>
        </w:tabs>
        <w:rPr>
          <w:rFonts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1、价</w:t>
      </w:r>
      <w:r>
        <w:rPr>
          <w:rFonts w:hint="eastAsia" w:ascii="宋体" w:hAnsi="宋体" w:eastAsia="宋体" w:cs="宋体"/>
          <w:b/>
          <w:bCs/>
          <w:color w:val="auto"/>
          <w:sz w:val="28"/>
          <w:szCs w:val="28"/>
          <w:highlight w:val="none"/>
        </w:rPr>
        <w:t xml:space="preserve">格分（30分）</w:t>
      </w:r>
      <w:r/>
    </w:p>
    <w:p>
      <w:pPr>
        <w:ind w:firstLine="480"/>
        <w:spacing w:line="360" w:lineRule="auto"/>
        <w:tabs>
          <w:tab w:val="left" w:pos="945" w:leader="none"/>
          <w:tab w:val="left" w:pos="115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投标报价得分=(评标基准价／投标报价)×30。</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价格扣除：专门面向中小/小微企业的项目除外。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同一投标人，上述三项价格扣除优惠不得重复享受。</w:t>
      </w:r>
      <w:r/>
    </w:p>
    <w:p>
      <w:pPr>
        <w:ind w:left="1" w:firstLine="482"/>
        <w:spacing w:line="360" w:lineRule="auto"/>
        <w:tabs>
          <w:tab w:val="left" w:pos="840" w:leader="none"/>
          <w:tab w:val="left" w:pos="105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853"/>
        <w:contextualSpacing/>
        <w:ind w:firstLine="562"/>
        <w:spacing w:line="360" w:lineRule="auto"/>
        <w:rPr>
          <w:b/>
          <w:color w:val="auto"/>
          <w:sz w:val="28"/>
          <w:szCs w:val="28"/>
          <w:highlight w:val="none"/>
          <w:lang w:eastAsia="zh-CN"/>
        </w:rPr>
      </w:pPr>
      <w:r>
        <w:rPr>
          <w:rFonts w:hint="eastAsia"/>
          <w:b/>
          <w:color w:val="auto"/>
          <w:sz w:val="28"/>
          <w:szCs w:val="28"/>
          <w:highlight w:val="none"/>
          <w:lang w:eastAsia="zh-CN"/>
        </w:rPr>
        <w:t xml:space="preserve">2、综合实力（</w:t>
      </w:r>
      <w:r>
        <w:rPr>
          <w:rFonts w:hint="eastAsia"/>
          <w:b/>
          <w:color w:val="auto"/>
          <w:sz w:val="28"/>
          <w:szCs w:val="28"/>
          <w:highlight w:val="none"/>
          <w:lang w:val="en-US" w:eastAsia="zh-CN"/>
        </w:rPr>
        <w:t xml:space="preserve">30</w:t>
      </w:r>
      <w:r>
        <w:rPr>
          <w:rFonts w:hint="eastAsia"/>
          <w:b/>
          <w:color w:val="auto"/>
          <w:sz w:val="28"/>
          <w:szCs w:val="28"/>
          <w:highlight w:val="none"/>
          <w:lang w:eastAsia="zh-CN"/>
        </w:rPr>
        <w:t xml:space="preserve">分）</w:t>
      </w:r>
      <w:r/>
    </w:p>
    <w:p>
      <w:pPr>
        <w:ind w:firstLine="482"/>
        <w:spacing w:line="360" w:lineRule="auto"/>
        <w:rPr>
          <w:rFonts w:ascii="宋体" w:hAnsi="宋体" w:eastAsia="宋体" w:cs="宋体"/>
          <w:b/>
          <w:strike w:val="0"/>
          <w:color w:val="auto"/>
          <w:sz w:val="24"/>
          <w:szCs w:val="24"/>
          <w:highlight w:val="none"/>
        </w:rPr>
      </w:pPr>
      <w:r>
        <w:rPr>
          <w:rFonts w:hint="eastAsia" w:ascii="宋体" w:hAnsi="宋体" w:eastAsia="宋体" w:cs="宋体"/>
          <w:b/>
          <w:strike w:val="0"/>
          <w:color w:val="auto"/>
          <w:sz w:val="24"/>
          <w:szCs w:val="24"/>
          <w:highlight w:val="none"/>
        </w:rPr>
        <w:t xml:space="preserve">（1）技术指标情况（</w:t>
      </w:r>
      <w:r>
        <w:rPr>
          <w:rFonts w:hint="eastAsia" w:ascii="宋体" w:hAnsi="宋体" w:eastAsia="宋体" w:cs="宋体"/>
          <w:b/>
          <w:strike w:val="0"/>
          <w:color w:val="auto"/>
          <w:sz w:val="24"/>
          <w:szCs w:val="24"/>
          <w:highlight w:val="none"/>
          <w:lang w:val="en-US" w:eastAsia="zh-CN"/>
        </w:rPr>
        <w:t xml:space="preserve">9</w:t>
      </w:r>
      <w:r>
        <w:rPr>
          <w:rFonts w:hint="eastAsia" w:ascii="宋体" w:hAnsi="宋体" w:eastAsia="宋体" w:cs="宋体"/>
          <w:b/>
          <w:strike w:val="0"/>
          <w:color w:val="auto"/>
          <w:sz w:val="24"/>
          <w:szCs w:val="24"/>
          <w:highlight w:val="none"/>
        </w:rPr>
        <w:t xml:space="preserve">分）</w:t>
      </w:r>
      <w:r/>
    </w:p>
    <w:p>
      <w:pPr>
        <w:numPr>
          <w:ilvl w:val="0"/>
          <w:numId w:val="0"/>
        </w:numPr>
        <w:ind w:firstLine="482"/>
        <w:jc w:val="both"/>
        <w:spacing w:line="360" w:lineRule="auto"/>
        <w:rPr>
          <w:rFonts w:ascii="宋体" w:hAnsi="宋体" w:eastAsia="宋体" w:cs="宋体"/>
          <w:b/>
          <w:bCs/>
          <w:strike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rPr>
        <w:t xml:space="preserve">额定装载性能（5分）。根据所投车辆的额定载质量大小评价，额载≥15000kg的得5分，额载≥14500kg且额载＜15000kg的得4分,额载≥14000且额载＜14500kg的得2分，额载&lt;14000kg的不得分。</w:t>
      </w:r>
      <w:r>
        <w:rPr>
          <w:rFonts w:hint="eastAsia" w:ascii="宋体" w:hAnsi="宋体" w:eastAsia="宋体" w:cs="宋体"/>
          <w:b w:val="0"/>
          <w:bCs w:val="0"/>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注：投标人需在投标偏离表中详细列明其所投车辆的具体参数及工信部公告页证明截图（截图内必须包含车辆型号、生产厂家及额定装载性能参数），并对其真实性负责。</w:t>
      </w:r>
      <w:r>
        <w:rPr>
          <w:rFonts w:hint="eastAsia" w:ascii="宋体" w:hAnsi="宋体" w:eastAsia="宋体" w:cs="宋体"/>
          <w:b/>
          <w:bCs/>
          <w:color w:val="auto"/>
          <w:sz w:val="24"/>
          <w:szCs w:val="24"/>
          <w:highlight w:val="none"/>
          <w:lang w:val="en-US" w:eastAsia="zh-CN"/>
        </w:rPr>
        <w:t xml:space="preserve">中标单位在中标通知书发出后3天内</w:t>
      </w:r>
      <w:r>
        <w:rPr>
          <w:rFonts w:hint="eastAsia" w:ascii="宋体" w:hAnsi="宋体" w:eastAsia="宋体" w:cs="宋体"/>
          <w:b/>
          <w:bCs/>
          <w:color w:val="auto"/>
          <w:sz w:val="24"/>
          <w:szCs w:val="24"/>
          <w:highlight w:val="none"/>
          <w:lang w:val="en-US" w:eastAsia="zh-CN"/>
        </w:rPr>
        <w:t xml:space="preserve">提供《汽车整车产品定型（纯电动汽车）检测报告》（检测标准：电动汽车 定型试验规程 （GB/T18388-2005））</w:t>
      </w:r>
      <w:r>
        <w:rPr>
          <w:rFonts w:hint="eastAsia" w:ascii="宋体" w:hAnsi="宋体" w:eastAsia="宋体" w:cs="宋体"/>
          <w:b/>
          <w:bCs w:val="0"/>
          <w:color w:val="auto"/>
          <w:sz w:val="24"/>
          <w:szCs w:val="24"/>
          <w:highlight w:val="none"/>
          <w:lang w:val="en-US" w:eastAsia="zh-CN"/>
        </w:rPr>
        <w:t xml:space="preserve">，检测</w:t>
      </w:r>
      <w:r>
        <w:rPr>
          <w:rFonts w:hint="eastAsia" w:ascii="宋体" w:hAnsi="宋体" w:eastAsia="宋体" w:cs="宋体"/>
          <w:b/>
          <w:bCs w:val="0"/>
          <w:color w:val="auto"/>
          <w:sz w:val="24"/>
          <w:szCs w:val="24"/>
          <w:highlight w:val="none"/>
          <w:lang w:eastAsia="zh-CN"/>
        </w:rPr>
        <w:t xml:space="preserve">报告需带有</w:t>
      </w:r>
      <w:r>
        <w:rPr>
          <w:rFonts w:hint="eastAsia" w:ascii="宋体" w:hAnsi="宋体" w:eastAsia="宋体" w:cs="宋体"/>
          <w:b/>
          <w:color w:val="auto"/>
          <w:sz w:val="24"/>
          <w:szCs w:val="24"/>
          <w:highlight w:val="none"/>
          <w:lang w:val="en-US" w:eastAsia="zh-CN"/>
        </w:rPr>
        <w:t xml:space="preserve">CMA或CNAS或ML标志</w:t>
      </w:r>
      <w:r>
        <w:rPr>
          <w:rFonts w:hint="eastAsia" w:ascii="宋体" w:hAnsi="宋体" w:eastAsia="宋体" w:cs="宋体"/>
          <w:b/>
          <w:bCs w:val="0"/>
          <w:color w:val="auto"/>
          <w:sz w:val="24"/>
          <w:szCs w:val="24"/>
          <w:highlight w:val="none"/>
          <w:lang w:eastAsia="zh-CN"/>
        </w:rPr>
        <w:t xml:space="preserve">，需在报告中框出质量参数中整备质量检测结果和最大总质量检测结果。额定载质量</w:t>
      </w:r>
      <w:r>
        <w:rPr>
          <w:rFonts w:hint="eastAsia" w:ascii="宋体" w:hAnsi="宋体" w:eastAsia="宋体" w:cs="宋体"/>
          <w:b/>
          <w:bCs w:val="0"/>
          <w:color w:val="auto"/>
          <w:sz w:val="24"/>
          <w:szCs w:val="24"/>
          <w:highlight w:val="none"/>
          <w:lang w:val="en-US" w:eastAsia="zh-CN"/>
        </w:rPr>
        <w:t xml:space="preserve">=最大总质量—整备质量—65kg/人*人数（一般为两人，不同车型根据车辆公告中驾驶室准乘人数确定），未提供的本项不得分。</w:t>
      </w:r>
      <w:r/>
    </w:p>
    <w:p>
      <w:pPr>
        <w:numPr>
          <w:ilvl w:val="0"/>
          <w:numId w:val="0"/>
        </w:numPr>
        <w:ind w:firstLine="480"/>
        <w:spacing w:line="360" w:lineRule="auto"/>
        <w:rPr>
          <w:rFonts w:hint="eastAsia" w:ascii="宋体" w:hAnsi="宋体" w:eastAsia="宋体" w:cs="宋体"/>
          <w:b w:val="0"/>
          <w:bCs w:val="0"/>
          <w:strike w:val="0"/>
          <w:color w:val="auto"/>
          <w:sz w:val="24"/>
          <w:szCs w:val="24"/>
          <w:highlight w:val="none"/>
          <w:lang w:val="en-US" w:eastAsia="zh-CN" w:bidi="ar-SA"/>
        </w:rPr>
      </w:pPr>
      <w:r>
        <w:rPr>
          <w:rFonts w:hint="eastAsia" w:ascii="宋体" w:hAnsi="宋体" w:eastAsia="宋体" w:cs="宋体"/>
          <w:b w:val="0"/>
          <w:bCs w:val="0"/>
          <w:strike w:val="0"/>
          <w:color w:val="auto"/>
          <w:sz w:val="24"/>
          <w:szCs w:val="24"/>
          <w:highlight w:val="none"/>
          <w:lang w:val="en-US" w:eastAsia="zh-CN" w:bidi="ar-SA"/>
        </w:rPr>
        <w:t xml:space="preserve">2、车辆续驶里程≥250KM的，得2分，续驶里程≥200KM且续驶里程＜250KM的，得1分，其余不得分。</w:t>
      </w:r>
      <w:r>
        <w:rPr>
          <w:rFonts w:hint="eastAsia" w:ascii="宋体" w:hAnsi="宋体" w:eastAsia="宋体" w:cs="宋体"/>
          <w:b/>
          <w:bCs/>
          <w:color w:val="auto"/>
          <w:sz w:val="24"/>
          <w:szCs w:val="24"/>
          <w:highlight w:val="none"/>
          <w:lang w:val="en-US" w:eastAsia="zh-CN"/>
        </w:rPr>
        <w:t xml:space="preserve">投标人需在投标偏离表中详细列明其所投车辆的具体参数，并对其真实性负责。</w:t>
      </w:r>
      <w:r/>
    </w:p>
    <w:p>
      <w:pPr>
        <w:numPr>
          <w:ilvl w:val="0"/>
          <w:numId w:val="0"/>
        </w:numPr>
        <w:ind w:firstLine="482"/>
        <w:spacing w:line="360" w:lineRule="auto"/>
        <w:rPr>
          <w:rFonts w:hint="eastAsia" w:ascii="宋体" w:hAnsi="宋体" w:eastAsia="宋体" w:cs="宋体"/>
          <w:b/>
          <w:bCs w:val="0"/>
          <w:strike/>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中标单位在中标通知书发出后3天内</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val="0"/>
          <w:strike w:val="0"/>
          <w:color w:val="auto"/>
          <w:sz w:val="24"/>
          <w:szCs w:val="24"/>
          <w:highlight w:val="none"/>
          <w:lang w:eastAsia="zh-CN"/>
        </w:rPr>
        <w:t xml:space="preserve">《电动汽车能量消耗量和续驶里程检验报告》，报告需带有</w:t>
      </w:r>
      <w:r>
        <w:rPr>
          <w:rFonts w:hint="eastAsia" w:ascii="宋体" w:hAnsi="宋体" w:eastAsia="宋体" w:cs="宋体"/>
          <w:b/>
          <w:strike w:val="0"/>
          <w:color w:val="auto"/>
          <w:sz w:val="24"/>
          <w:szCs w:val="24"/>
          <w:highlight w:val="none"/>
          <w:lang w:val="en-US" w:eastAsia="zh-CN"/>
        </w:rPr>
        <w:t xml:space="preserve">CMA或CNAS或ML标志</w:t>
      </w:r>
      <w:r>
        <w:rPr>
          <w:rFonts w:hint="eastAsia" w:ascii="宋体" w:hAnsi="宋体" w:eastAsia="宋体" w:cs="宋体"/>
          <w:b/>
          <w:bCs w:val="0"/>
          <w:strike w:val="0"/>
          <w:color w:val="auto"/>
          <w:sz w:val="24"/>
          <w:szCs w:val="24"/>
          <w:highlight w:val="none"/>
          <w:lang w:eastAsia="zh-CN"/>
        </w:rPr>
        <w:t xml:space="preserve">，</w:t>
      </w:r>
      <w:r>
        <w:rPr>
          <w:rFonts w:hint="eastAsia" w:ascii="宋体" w:hAnsi="宋体" w:eastAsia="宋体" w:cs="宋体"/>
          <w:b/>
          <w:bCs w:val="0"/>
          <w:strike w:val="0"/>
          <w:color w:val="auto"/>
          <w:sz w:val="24"/>
          <w:szCs w:val="24"/>
          <w:highlight w:val="none"/>
          <w:lang w:val="en-US" w:eastAsia="zh-CN"/>
        </w:rPr>
        <w:t xml:space="preserve">未提供的本项不得分。</w:t>
      </w:r>
      <w:r/>
    </w:p>
    <w:p>
      <w:pPr>
        <w:pStyle w:val="853"/>
        <w:numPr>
          <w:ilvl w:val="0"/>
          <w:numId w:val="0"/>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w:t>
      </w:r>
      <w:r>
        <w:rPr>
          <w:rFonts w:hint="eastAsia" w:ascii="宋体" w:hAnsi="宋体" w:eastAsia="宋体" w:cs="宋体"/>
          <w:b w:val="0"/>
          <w:bCs/>
          <w:color w:val="auto"/>
          <w:sz w:val="24"/>
          <w:szCs w:val="24"/>
          <w:highlight w:val="none"/>
          <w:lang w:val="en-US" w:eastAsia="zh-CN" w:bidi="ar-SA"/>
        </w:rPr>
        <w:t xml:space="preserve">上装翻转架（立式拉臂架）</w:t>
      </w:r>
      <w:r>
        <w:rPr>
          <w:rFonts w:hint="eastAsia" w:cs="宋体"/>
          <w:b w:val="0"/>
          <w:bCs/>
          <w:color w:val="auto"/>
          <w:sz w:val="24"/>
          <w:szCs w:val="24"/>
          <w:highlight w:val="none"/>
          <w:lang w:val="en-US" w:eastAsia="zh-CN" w:bidi="ar-SA"/>
        </w:rPr>
        <w:t xml:space="preserve">强度（2分）：投标人提供书面承诺：中标后所供车辆</w:t>
      </w:r>
      <w:r>
        <w:rPr>
          <w:rFonts w:hint="eastAsia" w:ascii="宋体" w:hAnsi="宋体" w:eastAsia="宋体" w:cs="宋体"/>
          <w:b w:val="0"/>
          <w:bCs/>
          <w:color w:val="auto"/>
          <w:sz w:val="24"/>
          <w:szCs w:val="24"/>
          <w:highlight w:val="none"/>
          <w:lang w:val="en-US" w:eastAsia="zh-CN" w:bidi="ar-SA"/>
        </w:rPr>
        <w:t xml:space="preserve">上装翻转架（立式拉臂架）采用特高强度钢材，结构件主要受力部分屈服极限≥700Mpa的，得</w:t>
      </w:r>
      <w:r>
        <w:rPr>
          <w:rFonts w:hint="eastAsia"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分。</w:t>
      </w:r>
      <w:r/>
    </w:p>
    <w:p>
      <w:pPr>
        <w:pStyle w:val="853"/>
        <w:numPr>
          <w:ilvl w:val="0"/>
          <w:numId w:val="0"/>
        </w:numPr>
        <w:ind w:left="0" w:firstLine="482"/>
        <w:keepLines w:val="0"/>
        <w:keepNext w:val="0"/>
        <w:pageBreakBefore w:val="0"/>
        <w:spacing w:line="360" w:lineRule="auto"/>
        <w:widowControl w:val="off"/>
        <w:rPr>
          <w:rFonts w:hint="eastAsia" w:ascii="宋体" w:hAnsi="宋体" w:eastAsia="宋体" w:cs="宋体"/>
          <w:b/>
          <w:bCs w:val="0"/>
          <w:strike w:val="0"/>
          <w:color w:val="auto"/>
          <w:sz w:val="24"/>
          <w:szCs w:val="24"/>
          <w:highlight w:val="none"/>
          <w:lang w:val="en-US" w:eastAsia="zh-CN" w:bidi="ar-SA"/>
        </w:rPr>
      </w:pPr>
      <w:r>
        <w:rPr>
          <w:rFonts w:hint="eastAsia" w:ascii="宋体" w:hAnsi="宋体" w:eastAsia="宋体" w:cs="宋体"/>
          <w:b/>
          <w:bCs w:val="0"/>
          <w:strike w:val="0"/>
          <w:color w:val="auto"/>
          <w:sz w:val="24"/>
          <w:szCs w:val="24"/>
          <w:highlight w:val="none"/>
          <w:lang w:val="en-US" w:eastAsia="zh-CN" w:bidi="ar-SA"/>
        </w:rPr>
        <w:t xml:space="preserve">注：</w:t>
      </w:r>
      <w:r>
        <w:rPr>
          <w:rFonts w:hint="eastAsia" w:ascii="宋体" w:hAnsi="宋体" w:eastAsia="宋体" w:cs="宋体"/>
          <w:b/>
          <w:bCs/>
          <w:color w:val="auto"/>
          <w:sz w:val="24"/>
          <w:szCs w:val="24"/>
          <w:highlight w:val="none"/>
          <w:lang w:val="en-US" w:eastAsia="zh-CN"/>
        </w:rPr>
        <w:t xml:space="preserve">中标单位在中标通知书发出后3天内</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val="0"/>
          <w:strike w:val="0"/>
          <w:color w:val="auto"/>
          <w:sz w:val="24"/>
          <w:szCs w:val="24"/>
          <w:highlight w:val="none"/>
          <w:lang w:val="en-US" w:eastAsia="zh-CN" w:bidi="ar-SA"/>
        </w:rPr>
        <w:t xml:space="preserve">上装翻转架（立式拉臂架）材质强度证明材料，</w:t>
      </w:r>
      <w:r>
        <w:rPr>
          <w:rFonts w:hint="eastAsia" w:ascii="宋体" w:hAnsi="宋体" w:eastAsia="宋体" w:cs="宋体"/>
          <w:b/>
          <w:bCs w:val="0"/>
          <w:strike w:val="0"/>
          <w:color w:val="auto"/>
          <w:sz w:val="24"/>
          <w:szCs w:val="24"/>
          <w:highlight w:val="none"/>
          <w:lang w:eastAsia="zh-CN"/>
        </w:rPr>
        <w:t xml:space="preserve">报告需带有</w:t>
      </w:r>
      <w:r>
        <w:rPr>
          <w:rFonts w:hint="eastAsia" w:ascii="宋体" w:hAnsi="宋体" w:eastAsia="宋体" w:cs="宋体"/>
          <w:b/>
          <w:strike w:val="0"/>
          <w:color w:val="auto"/>
          <w:sz w:val="24"/>
          <w:szCs w:val="24"/>
          <w:highlight w:val="none"/>
          <w:lang w:val="en-US" w:eastAsia="zh-CN"/>
        </w:rPr>
        <w:t xml:space="preserve">CMA或CNAS或ML标志</w:t>
      </w:r>
      <w:r>
        <w:rPr>
          <w:rFonts w:hint="eastAsia" w:cs="宋体"/>
          <w:b/>
          <w:strike w:val="0"/>
          <w:color w:val="auto"/>
          <w:sz w:val="24"/>
          <w:szCs w:val="24"/>
          <w:highlight w:val="none"/>
          <w:lang w:val="en-US" w:eastAsia="zh-CN"/>
        </w:rPr>
        <w:t xml:space="preserve">，</w:t>
      </w:r>
      <w:r>
        <w:rPr>
          <w:rFonts w:hint="eastAsia" w:ascii="宋体" w:hAnsi="宋体" w:eastAsia="宋体" w:cs="宋体"/>
          <w:b/>
          <w:bCs w:val="0"/>
          <w:strike w:val="0"/>
          <w:color w:val="auto"/>
          <w:sz w:val="24"/>
          <w:szCs w:val="24"/>
          <w:highlight w:val="none"/>
          <w:lang w:val="en-US" w:eastAsia="zh-CN" w:bidi="ar-SA"/>
        </w:rPr>
        <w:t xml:space="preserve">未提供的本项不得分。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）企业</w:t>
      </w:r>
      <w:r>
        <w:rPr>
          <w:rFonts w:hint="eastAsia" w:ascii="宋体" w:hAnsi="宋体" w:eastAsia="宋体" w:cs="宋体"/>
          <w:b/>
          <w:color w:val="auto"/>
          <w:sz w:val="24"/>
          <w:szCs w:val="24"/>
          <w:highlight w:val="none"/>
          <w:lang w:val="en-US" w:eastAsia="zh-CN"/>
        </w:rPr>
        <w:t xml:space="preserve">综合实力</w:t>
      </w:r>
      <w:r>
        <w:rPr>
          <w:rFonts w:hint="eastAsia" w:ascii="宋体" w:hAnsi="宋体" w:eastAsia="宋体" w:cs="宋体"/>
          <w:b w:val="0"/>
          <w:bCs/>
          <w:color w:val="auto"/>
          <w:sz w:val="24"/>
          <w:szCs w:val="24"/>
          <w:highlight w:val="none"/>
          <w:lang w:val="en-US" w:eastAsia="zh-CN"/>
        </w:rPr>
        <w:t xml:space="preserve">（6分）</w:t>
      </w:r>
      <w:r/>
    </w:p>
    <w:p>
      <w:pPr>
        <w:ind w:firstLine="482"/>
        <w:spacing w:line="360" w:lineRule="auto"/>
        <w:rPr>
          <w:rFonts w:hint="default" w:eastAsia="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1、业绩（3分）：</w:t>
      </w:r>
      <w:r>
        <w:rPr>
          <w:rFonts w:hint="eastAsia" w:ascii="宋体" w:hAnsi="宋体" w:eastAsia="宋体" w:cs="宋体"/>
          <w:bCs/>
          <w:color w:val="auto"/>
          <w:sz w:val="24"/>
          <w:szCs w:val="24"/>
          <w:highlight w:val="none"/>
        </w:rPr>
        <w:t xml:space="preserve">根据投标人近3年（202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月1日至投标截止日）类似项目业绩每提供一个有效业绩得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分，最多得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分。扫描件上传至系统中并加盖公章，不提供或未按要求提供不得分。</w:t>
      </w:r>
      <w:r>
        <w:rPr>
          <w:rFonts w:hint="eastAsia" w:ascii="宋体" w:hAnsi="宋体" w:eastAsia="宋体" w:cs="宋体"/>
          <w:bCs/>
          <w:color w:val="auto"/>
          <w:sz w:val="24"/>
          <w:szCs w:val="24"/>
          <w:highlight w:val="none"/>
          <w:lang w:val="en-US" w:eastAsia="zh-CN"/>
        </w:rPr>
        <w:t xml:space="preserve">类似业绩是指与本项目相同或类同的项目。</w:t>
      </w:r>
      <w:r/>
    </w:p>
    <w:p>
      <w:pPr>
        <w:ind w:firstLine="482"/>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注：有效业绩需</w:t>
      </w:r>
      <w:r>
        <w:rPr>
          <w:rFonts w:hint="eastAsia" w:ascii="宋体" w:hAnsi="宋体" w:eastAsia="宋体" w:cs="宋体"/>
          <w:b/>
          <w:bCs w:val="0"/>
          <w:color w:val="auto"/>
          <w:sz w:val="24"/>
          <w:szCs w:val="24"/>
          <w:highlight w:val="none"/>
          <w:lang w:eastAsia="zh-CN"/>
        </w:rPr>
        <w:t xml:space="preserve">提供完整合同</w:t>
      </w:r>
      <w:r>
        <w:rPr>
          <w:rFonts w:hint="eastAsia" w:ascii="宋体" w:hAnsi="宋体" w:eastAsia="宋体" w:cs="宋体"/>
          <w:b/>
          <w:bCs w:val="0"/>
          <w:strike w:val="0"/>
          <w:color w:val="auto"/>
          <w:sz w:val="24"/>
          <w:szCs w:val="24"/>
          <w:highlight w:val="none"/>
          <w:lang w:eastAsia="zh-CN"/>
        </w:rPr>
        <w:t xml:space="preserve">、</w:t>
      </w:r>
      <w:r>
        <w:rPr>
          <w:rFonts w:hint="eastAsia" w:ascii="宋体" w:hAnsi="宋体" w:eastAsia="宋体" w:cs="宋体"/>
          <w:b/>
          <w:bCs w:val="0"/>
          <w:strike w:val="0"/>
          <w:color w:val="auto"/>
          <w:sz w:val="24"/>
          <w:szCs w:val="24"/>
          <w:highlight w:val="none"/>
          <w:lang w:val="en-US" w:eastAsia="zh-CN"/>
        </w:rPr>
        <w:t xml:space="preserve">对应的</w:t>
      </w:r>
      <w:r>
        <w:rPr>
          <w:rFonts w:hint="eastAsia" w:ascii="宋体" w:hAnsi="宋体" w:eastAsia="宋体" w:cs="宋体"/>
          <w:b/>
          <w:bCs w:val="0"/>
          <w:color w:val="auto"/>
          <w:sz w:val="24"/>
          <w:szCs w:val="24"/>
          <w:highlight w:val="none"/>
          <w:lang w:val="en-US" w:eastAsia="zh-CN"/>
        </w:rPr>
        <w:t xml:space="preserve">发票复印件，时间以合同签订之日起计算。</w:t>
      </w:r>
      <w:r/>
    </w:p>
    <w:p>
      <w:pPr>
        <w:ind w:firstLine="482"/>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2、体系认证证书（3分）：投标人具有有效期范围内的质量管理体系证书、环境管理体系证书、职业健康安全管理体系证书的，有一项得1分，本项最高得3分。</w:t>
      </w:r>
      <w:r/>
    </w:p>
    <w:p>
      <w:pPr>
        <w:numPr>
          <w:ilvl w:val="-1"/>
          <w:numId w:val="0"/>
        </w:numPr>
        <w:ind w:firstLine="482"/>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注：体系认证证书需提供证书扫描件及全国认证信息公共服务平台查询的截图。</w:t>
      </w:r>
      <w:r/>
    </w:p>
    <w:p>
      <w:pPr>
        <w:ind w:firstLine="482"/>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（3）其他（15分）</w:t>
      </w:r>
      <w:r/>
    </w:p>
    <w:p>
      <w:pPr>
        <w:pStyle w:val="853"/>
        <w:numPr>
          <w:ilvl w:val="0"/>
          <w:numId w:val="0"/>
        </w:numPr>
        <w:ind w:firstLine="480"/>
        <w:keepLines w:val="0"/>
        <w:keepNext w:val="0"/>
        <w:pageBreakBefore w:val="0"/>
        <w:spacing w:line="360" w:lineRule="auto"/>
        <w:widowControl w:val="off"/>
        <w:rPr>
          <w:rFonts w:hint="eastAsia" w:cs="宋体"/>
          <w:bCs/>
          <w:color w:val="auto"/>
          <w:sz w:val="24"/>
          <w:szCs w:val="24"/>
          <w:highlight w:val="none"/>
          <w:lang w:val="en-US" w:eastAsia="zh-CN" w:bidi="ar-SA"/>
        </w:rPr>
      </w:pPr>
      <w:r>
        <w:rPr>
          <w:rFonts w:hint="eastAsia" w:cs="宋体"/>
          <w:bCs/>
          <w:color w:val="auto"/>
          <w:sz w:val="24"/>
          <w:szCs w:val="24"/>
          <w:highlight w:val="none"/>
          <w:lang w:val="en-US" w:eastAsia="zh-CN" w:bidi="ar-SA"/>
        </w:rPr>
        <w:t xml:space="preserve">1、整车质保方面（4分）：整车（除三电系统外）质保在2年的基础上，承诺每增加一年的加1分，不超过4分。 </w:t>
      </w:r>
      <w:r/>
    </w:p>
    <w:p>
      <w:pPr>
        <w:pStyle w:val="853"/>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注：需</w:t>
      </w:r>
      <w:r>
        <w:rPr>
          <w:rFonts w:hint="eastAsia" w:cs="宋体"/>
          <w:bCs/>
          <w:color w:val="auto"/>
          <w:sz w:val="24"/>
          <w:szCs w:val="24"/>
          <w:highlight w:val="none"/>
          <w:lang w:val="en-US" w:eastAsia="zh-CN" w:bidi="ar-SA"/>
        </w:rPr>
        <w:t xml:space="preserve">提供投标单位盖章承诺函</w:t>
      </w:r>
      <w:r>
        <w:rPr>
          <w:rFonts w:hint="eastAsia" w:ascii="宋体" w:hAnsi="宋体" w:eastAsia="宋体" w:cs="宋体"/>
          <w:bCs/>
          <w:color w:val="auto"/>
          <w:sz w:val="24"/>
          <w:szCs w:val="24"/>
          <w:highlight w:val="none"/>
          <w:lang w:val="en-US" w:eastAsia="zh-CN" w:bidi="ar-SA"/>
        </w:rPr>
        <w:t xml:space="preserve">，</w:t>
      </w:r>
      <w:r>
        <w:rPr>
          <w:rFonts w:hint="eastAsia" w:cs="宋体"/>
          <w:bCs/>
          <w:color w:val="auto"/>
          <w:sz w:val="24"/>
          <w:szCs w:val="24"/>
          <w:highlight w:val="none"/>
          <w:lang w:val="en-US" w:eastAsia="zh-CN" w:bidi="ar-SA"/>
        </w:rPr>
        <w:t xml:space="preserve">承诺书格式自拟，</w:t>
      </w:r>
      <w:r>
        <w:rPr>
          <w:rFonts w:hint="eastAsia" w:ascii="宋体" w:hAnsi="宋体" w:eastAsia="宋体" w:cs="宋体"/>
          <w:bCs/>
          <w:color w:val="auto"/>
          <w:sz w:val="24"/>
          <w:szCs w:val="24"/>
          <w:highlight w:val="none"/>
          <w:lang w:val="en-US" w:eastAsia="zh-CN" w:bidi="ar-SA"/>
        </w:rPr>
        <w:t xml:space="preserve">未提供的本项不得分。</w:t>
      </w:r>
      <w:r/>
    </w:p>
    <w:p>
      <w:pPr>
        <w:pStyle w:val="853"/>
        <w:numPr>
          <w:ilvl w:val="0"/>
          <w:numId w:val="0"/>
        </w:num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bidi="ar-SA"/>
        </w:rPr>
      </w:pPr>
      <w:r>
        <w:rPr>
          <w:rFonts w:hint="eastAsia" w:cs="宋体"/>
          <w:bCs/>
          <w:color w:val="auto"/>
          <w:sz w:val="24"/>
          <w:szCs w:val="24"/>
          <w:highlight w:val="none"/>
          <w:lang w:val="en-US" w:eastAsia="zh-CN" w:bidi="ar-SA"/>
        </w:rPr>
        <w:t xml:space="preserve">2</w:t>
      </w:r>
      <w:r>
        <w:rPr>
          <w:rFonts w:hint="default" w:ascii="宋体" w:hAnsi="宋体" w:eastAsia="宋体" w:cs="宋体"/>
          <w:bCs/>
          <w:color w:val="auto"/>
          <w:sz w:val="24"/>
          <w:szCs w:val="24"/>
          <w:highlight w:val="none"/>
          <w:lang w:val="en-US" w:eastAsia="zh-CN" w:bidi="ar-SA"/>
        </w:rPr>
        <w:t xml:space="preserve">、备品备件方面（</w:t>
      </w:r>
      <w:r>
        <w:rPr>
          <w:rFonts w:hint="eastAsia" w:cs="宋体"/>
          <w:bCs/>
          <w:color w:val="auto"/>
          <w:sz w:val="24"/>
          <w:szCs w:val="24"/>
          <w:highlight w:val="none"/>
          <w:lang w:val="en-US" w:eastAsia="zh-CN" w:bidi="ar-SA"/>
        </w:rPr>
        <w:t xml:space="preserve">3</w:t>
      </w:r>
      <w:r>
        <w:rPr>
          <w:rFonts w:hint="default" w:ascii="宋体" w:hAnsi="宋体" w:eastAsia="宋体" w:cs="宋体"/>
          <w:bCs/>
          <w:color w:val="auto"/>
          <w:sz w:val="24"/>
          <w:szCs w:val="24"/>
          <w:highlight w:val="none"/>
          <w:lang w:val="en-US" w:eastAsia="zh-CN" w:bidi="ar-SA"/>
        </w:rPr>
        <w:t xml:space="preserve">分）：备品备件在满足2年免费提供的基础上，多免费提供一年加</w:t>
      </w:r>
      <w:r>
        <w:rPr>
          <w:rFonts w:hint="eastAsia" w:cs="宋体"/>
          <w:bCs/>
          <w:color w:val="auto"/>
          <w:sz w:val="24"/>
          <w:szCs w:val="24"/>
          <w:highlight w:val="none"/>
          <w:lang w:val="en-US" w:eastAsia="zh-CN" w:bidi="ar-SA"/>
        </w:rPr>
        <w:t xml:space="preserve">1</w:t>
      </w:r>
      <w:r>
        <w:rPr>
          <w:rFonts w:hint="default" w:ascii="宋体" w:hAnsi="宋体" w:eastAsia="宋体" w:cs="宋体"/>
          <w:bCs/>
          <w:color w:val="auto"/>
          <w:sz w:val="24"/>
          <w:szCs w:val="24"/>
          <w:highlight w:val="none"/>
          <w:lang w:val="en-US" w:eastAsia="zh-CN" w:bidi="ar-SA"/>
        </w:rPr>
        <w:t xml:space="preserve">分，不超过</w:t>
      </w:r>
      <w:r>
        <w:rPr>
          <w:rFonts w:hint="eastAsia" w:cs="宋体"/>
          <w:bCs/>
          <w:color w:val="auto"/>
          <w:sz w:val="24"/>
          <w:szCs w:val="24"/>
          <w:highlight w:val="none"/>
          <w:lang w:val="en-US" w:eastAsia="zh-CN" w:bidi="ar-SA"/>
        </w:rPr>
        <w:t xml:space="preserve">3</w:t>
      </w:r>
      <w:r>
        <w:rPr>
          <w:rFonts w:hint="default" w:ascii="宋体" w:hAnsi="宋体" w:eastAsia="宋体" w:cs="宋体"/>
          <w:bCs/>
          <w:color w:val="auto"/>
          <w:sz w:val="24"/>
          <w:szCs w:val="24"/>
          <w:highlight w:val="none"/>
          <w:lang w:val="en-US" w:eastAsia="zh-CN" w:bidi="ar-SA"/>
        </w:rPr>
        <w:t xml:space="preserve">分</w:t>
      </w:r>
      <w:r/>
    </w:p>
    <w:p>
      <w:pPr>
        <w:pStyle w:val="853"/>
        <w:numPr>
          <w:ilvl w:val="0"/>
          <w:numId w:val="0"/>
        </w:num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bidi="ar-SA"/>
        </w:rPr>
      </w:pPr>
      <w:r>
        <w:rPr>
          <w:rFonts w:hint="default" w:ascii="宋体" w:hAnsi="宋体" w:eastAsia="宋体" w:cs="宋体"/>
          <w:bCs/>
          <w:color w:val="auto"/>
          <w:sz w:val="24"/>
          <w:szCs w:val="24"/>
          <w:highlight w:val="none"/>
          <w:lang w:val="en-US" w:eastAsia="zh-CN" w:bidi="ar-SA"/>
        </w:rPr>
        <w:t xml:space="preserve">注：需</w:t>
      </w:r>
      <w:r>
        <w:rPr>
          <w:rFonts w:hint="eastAsia" w:cs="宋体"/>
          <w:bCs/>
          <w:color w:val="auto"/>
          <w:sz w:val="24"/>
          <w:szCs w:val="24"/>
          <w:highlight w:val="none"/>
          <w:lang w:val="en-US" w:eastAsia="zh-CN" w:bidi="ar-SA"/>
        </w:rPr>
        <w:t xml:space="preserve">列明备品备件清单，并</w:t>
      </w:r>
      <w:r>
        <w:rPr>
          <w:rFonts w:hint="default" w:ascii="宋体" w:hAnsi="宋体" w:eastAsia="宋体" w:cs="宋体"/>
          <w:bCs/>
          <w:color w:val="auto"/>
          <w:sz w:val="24"/>
          <w:szCs w:val="24"/>
          <w:highlight w:val="none"/>
          <w:lang w:val="en-US" w:eastAsia="zh-CN" w:bidi="ar-SA"/>
        </w:rPr>
        <w:t xml:space="preserve">提供投标单位盖章承诺函，承诺书格式自拟，未提供的本项不得分。</w:t>
      </w:r>
      <w:r/>
    </w:p>
    <w:p>
      <w:pPr>
        <w:pStyle w:val="853"/>
        <w:numPr>
          <w:ilvl w:val="0"/>
          <w:numId w:val="0"/>
        </w:numPr>
        <w:ind w:firstLine="480"/>
        <w:keepLines w:val="0"/>
        <w:keepNext w:val="0"/>
        <w:pageBreakBefore w:val="0"/>
        <w:spacing w:line="360" w:lineRule="auto"/>
        <w:widowControl w:val="off"/>
        <w:rPr>
          <w:rFonts w:hint="eastAsia" w:cs="宋体"/>
          <w:bCs/>
          <w:color w:val="auto"/>
          <w:sz w:val="24"/>
          <w:szCs w:val="24"/>
          <w:highlight w:val="none"/>
          <w:lang w:val="en-US" w:eastAsia="zh-CN"/>
        </w:rPr>
      </w:pPr>
      <w:r>
        <w:rPr>
          <w:rFonts w:hint="eastAsia"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bidi="ar-SA"/>
        </w:rPr>
        <w:t xml:space="preserve">、</w:t>
      </w:r>
      <w:r>
        <w:rPr>
          <w:rFonts w:hint="eastAsia" w:cs="宋体"/>
          <w:bCs/>
          <w:color w:val="auto"/>
          <w:sz w:val="24"/>
          <w:szCs w:val="24"/>
          <w:highlight w:val="none"/>
          <w:lang w:val="en-US" w:eastAsia="zh-CN"/>
        </w:rPr>
        <w:t xml:space="preserve">售后服务方面（8分）：</w:t>
      </w:r>
      <w:r/>
    </w:p>
    <w:p>
      <w:pPr>
        <w:pStyle w:val="853"/>
        <w:numPr>
          <w:ilvl w:val="0"/>
          <w:numId w:val="0"/>
        </w:numPr>
        <w:contextualSpacing/>
        <w:ind w:left="0" w:firstLine="480"/>
        <w:spacing w:line="360" w:lineRule="auto"/>
        <w:rPr>
          <w:rFonts w:hint="eastAsia" w:cs="宋体"/>
          <w:bCs/>
          <w:color w:val="auto"/>
          <w:sz w:val="24"/>
          <w:szCs w:val="24"/>
          <w:highlight w:val="none"/>
          <w:lang w:val="en-US" w:eastAsia="zh-CN"/>
        </w:rPr>
      </w:pPr>
      <w:r>
        <w:rPr>
          <w:rFonts w:hint="eastAsia" w:cs="宋体"/>
          <w:bCs/>
          <w:color w:val="auto"/>
          <w:sz w:val="24"/>
          <w:szCs w:val="24"/>
          <w:highlight w:val="none"/>
          <w:lang w:val="en-US" w:eastAsia="zh-CN"/>
        </w:rPr>
        <w:t xml:space="preserve">①投标人承诺中标后，在本地设置项目组，负责跟踪产品质量和运行情况的，得0.5分。</w:t>
      </w:r>
      <w:r/>
    </w:p>
    <w:p>
      <w:pPr>
        <w:pStyle w:val="853"/>
        <w:numPr>
          <w:ilvl w:val="0"/>
          <w:numId w:val="0"/>
        </w:numPr>
        <w:contextualSpacing/>
        <w:ind w:left="0" w:firstLine="480"/>
        <w:spacing w:line="360" w:lineRule="auto"/>
        <w:rPr>
          <w:rFonts w:hint="eastAsia" w:cs="宋体"/>
          <w:bCs/>
          <w:color w:val="auto"/>
          <w:sz w:val="24"/>
          <w:szCs w:val="24"/>
          <w:highlight w:val="none"/>
          <w:lang w:val="en-US" w:eastAsia="zh-CN"/>
        </w:rPr>
      </w:pPr>
      <w:r>
        <w:rPr>
          <w:rFonts w:hint="eastAsia" w:cs="宋体"/>
          <w:bCs/>
          <w:color w:val="auto"/>
          <w:sz w:val="24"/>
          <w:szCs w:val="24"/>
          <w:highlight w:val="none"/>
          <w:lang w:val="en-US" w:eastAsia="zh-CN"/>
        </w:rPr>
        <w:t xml:space="preserve">②投标人承诺中标后，项目组成员≥2人，得0.5分。</w:t>
      </w:r>
      <w:r/>
    </w:p>
    <w:p>
      <w:pPr>
        <w:pStyle w:val="853"/>
        <w:numPr>
          <w:ilvl w:val="0"/>
          <w:numId w:val="0"/>
        </w:numPr>
        <w:contextualSpacing/>
        <w:ind w:left="0" w:firstLine="480"/>
        <w:spacing w:line="360" w:lineRule="auto"/>
        <w:rPr>
          <w:rFonts w:hint="eastAsia" w:cs="宋体"/>
          <w:bCs/>
          <w:color w:val="auto"/>
          <w:sz w:val="24"/>
          <w:szCs w:val="24"/>
          <w:highlight w:val="none"/>
          <w:lang w:val="en-US" w:eastAsia="zh-CN"/>
        </w:rPr>
      </w:pPr>
      <w:r>
        <w:rPr>
          <w:rFonts w:hint="eastAsia" w:cs="宋体"/>
          <w:bCs/>
          <w:color w:val="auto"/>
          <w:sz w:val="24"/>
          <w:szCs w:val="24"/>
          <w:highlight w:val="none"/>
          <w:lang w:val="en-US" w:eastAsia="zh-CN"/>
        </w:rPr>
        <w:t xml:space="preserve">③投标人承诺中标后，在本地设立售后服务站的，得1分。</w:t>
      </w:r>
      <w:r/>
    </w:p>
    <w:p>
      <w:pPr>
        <w:pStyle w:val="853"/>
        <w:numPr>
          <w:ilvl w:val="0"/>
          <w:numId w:val="0"/>
        </w:numPr>
        <w:contextualSpacing/>
        <w:ind w:left="0" w:firstLine="480"/>
        <w:spacing w:line="360" w:lineRule="auto"/>
        <w:rPr>
          <w:rFonts w:hint="eastAsia" w:cs="宋体"/>
          <w:bCs/>
          <w:color w:val="auto"/>
          <w:sz w:val="24"/>
          <w:szCs w:val="24"/>
          <w:highlight w:val="none"/>
          <w:lang w:val="en-US" w:eastAsia="zh-CN"/>
        </w:rPr>
      </w:pPr>
      <w:r>
        <w:rPr>
          <w:rFonts w:hint="eastAsia" w:cs="宋体"/>
          <w:bCs/>
          <w:color w:val="auto"/>
          <w:sz w:val="24"/>
          <w:szCs w:val="24"/>
          <w:highlight w:val="none"/>
          <w:lang w:val="en-US" w:eastAsia="zh-CN"/>
        </w:rPr>
        <w:t xml:space="preserve">④投标人承诺中标后，提供1辆同款车型作为备用，应急使用的，得2分。</w:t>
      </w:r>
      <w:r/>
    </w:p>
    <w:p>
      <w:pPr>
        <w:pStyle w:val="853"/>
        <w:numPr>
          <w:ilvl w:val="0"/>
          <w:numId w:val="0"/>
        </w:numPr>
        <w:contextualSpacing/>
        <w:ind w:left="0" w:firstLine="480"/>
        <w:spacing w:line="360" w:lineRule="auto"/>
        <w:rPr>
          <w:rFonts w:hint="eastAsia" w:cs="宋体"/>
          <w:bCs/>
          <w:color w:val="auto"/>
          <w:sz w:val="24"/>
          <w:szCs w:val="24"/>
          <w:highlight w:val="none"/>
          <w:lang w:val="en-US" w:eastAsia="zh-CN"/>
        </w:rPr>
      </w:pPr>
      <w:r>
        <w:rPr>
          <w:rFonts w:hint="eastAsia" w:cs="宋体"/>
          <w:bCs/>
          <w:color w:val="auto"/>
          <w:sz w:val="24"/>
          <w:szCs w:val="24"/>
          <w:highlight w:val="none"/>
          <w:lang w:val="en-US" w:eastAsia="zh-CN"/>
        </w:rPr>
        <w:t xml:space="preserve">⑤投标人在每年（共8年）一次上门培训的基础上，承诺每年增加一次上门培训的，加0.5分，最多加1.5分。</w:t>
      </w:r>
      <w:r/>
    </w:p>
    <w:p>
      <w:pPr>
        <w:pStyle w:val="853"/>
        <w:numPr>
          <w:ilvl w:val="0"/>
          <w:numId w:val="0"/>
        </w:numPr>
        <w:contextualSpacing/>
        <w:ind w:left="0" w:firstLine="480"/>
        <w:spacing w:line="360" w:lineRule="auto"/>
        <w:rPr>
          <w:rFonts w:hint="eastAsia" w:cs="宋体"/>
          <w:bCs/>
          <w:color w:val="auto"/>
          <w:sz w:val="24"/>
          <w:szCs w:val="24"/>
          <w:highlight w:val="none"/>
          <w:lang w:val="en-US" w:eastAsia="zh-CN"/>
        </w:rPr>
      </w:pPr>
      <w:r>
        <w:rPr>
          <w:rFonts w:hint="eastAsia" w:cs="宋体"/>
          <w:bCs/>
          <w:color w:val="auto"/>
          <w:sz w:val="24"/>
          <w:szCs w:val="24"/>
          <w:highlight w:val="none"/>
          <w:lang w:val="en-US" w:eastAsia="zh-CN"/>
        </w:rPr>
        <w:t xml:space="preserve">⑥投标人在每年（共8年）一次上门车辆检查的基础上，承诺每年增加一次上门车辆检查服务的，加0.5分，最多加1.5分。</w:t>
      </w:r>
      <w:r/>
    </w:p>
    <w:p>
      <w:pPr>
        <w:pStyle w:val="853"/>
        <w:numPr>
          <w:ilvl w:val="0"/>
          <w:numId w:val="0"/>
        </w:numPr>
        <w:contextualSpacing/>
        <w:ind w:left="0" w:firstLine="480"/>
        <w:spacing w:line="360" w:lineRule="auto"/>
        <w:rPr>
          <w:rFonts w:hint="eastAsia"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⑦使用过程安全性方面。车辆</w:t>
      </w:r>
      <w:r>
        <w:rPr>
          <w:rFonts w:hint="eastAsia" w:ascii="宋体" w:hAnsi="宋体" w:eastAsia="宋体" w:cs="宋体"/>
          <w:bCs/>
          <w:strike w:val="0"/>
          <w:color w:val="auto"/>
          <w:sz w:val="24"/>
          <w:szCs w:val="24"/>
          <w:highlight w:val="none"/>
          <w:lang w:val="en-US" w:eastAsia="zh-CN"/>
        </w:rPr>
        <w:t xml:space="preserve">有</w:t>
      </w:r>
      <w:r>
        <w:rPr>
          <w:rFonts w:hint="eastAsia" w:ascii="宋体" w:hAnsi="宋体" w:eastAsia="宋体" w:cs="宋体"/>
          <w:bCs/>
          <w:strike w:val="0"/>
          <w:color w:val="auto"/>
          <w:sz w:val="24"/>
          <w:szCs w:val="24"/>
          <w:highlight w:val="none"/>
          <w:lang w:val="en-US" w:eastAsia="zh-CN"/>
        </w:rPr>
        <w:t xml:space="preserve">油</w:t>
      </w:r>
      <w:r>
        <w:rPr>
          <w:rFonts w:hint="eastAsia" w:ascii="宋体" w:hAnsi="宋体" w:eastAsia="宋体" w:cs="宋体"/>
          <w:bCs/>
          <w:color w:val="auto"/>
          <w:sz w:val="24"/>
          <w:szCs w:val="24"/>
          <w:highlight w:val="none"/>
          <w:lang w:val="en-US" w:eastAsia="zh-CN"/>
        </w:rPr>
        <w:t xml:space="preserve">门防误踩等安全措施的，有一项得0.5分，最高得</w:t>
      </w:r>
      <w:r>
        <w:rPr>
          <w:rFonts w:hint="eastAsia"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w:t>
      </w:r>
      <w:r/>
    </w:p>
    <w:p>
      <w:pPr>
        <w:pStyle w:val="853"/>
        <w:numPr>
          <w:ilvl w:val="0"/>
          <w:numId w:val="0"/>
        </w:numPr>
        <w:contextualSpacing/>
        <w:ind w:left="0" w:firstLine="482"/>
        <w:spacing w:line="360" w:lineRule="auto"/>
        <w:rPr>
          <w:rFonts w:hint="eastAsia" w:cs="宋体"/>
          <w:b/>
          <w:bCs w:val="0"/>
          <w:strike w:val="0"/>
          <w:color w:val="auto"/>
          <w:sz w:val="24"/>
          <w:szCs w:val="24"/>
          <w:highlight w:val="none"/>
          <w:lang w:val="en-US" w:eastAsia="zh-CN"/>
        </w:rPr>
      </w:pPr>
      <w:r>
        <w:rPr>
          <w:rFonts w:hint="eastAsia" w:cs="宋体"/>
          <w:b/>
          <w:bCs w:val="0"/>
          <w:color w:val="auto"/>
          <w:sz w:val="24"/>
          <w:szCs w:val="24"/>
          <w:highlight w:val="none"/>
          <w:lang w:val="en-US" w:eastAsia="zh-CN"/>
        </w:rPr>
        <w:t xml:space="preserve">注：上述七项由投标人提供盖章承诺件，专家审核后打分。</w:t>
      </w:r>
      <w:r/>
    </w:p>
    <w:p>
      <w:pPr>
        <w:pStyle w:val="853"/>
        <w:numPr>
          <w:ilvl w:val="0"/>
          <w:numId w:val="0"/>
        </w:numPr>
        <w:contextualSpacing/>
        <w:ind w:left="0" w:firstLine="562"/>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pStyle w:val="853"/>
        <w:numPr>
          <w:ilvl w:val="0"/>
          <w:numId w:val="0"/>
        </w:numPr>
        <w:contextualSpacing/>
        <w:ind w:left="0" w:firstLine="562"/>
        <w:spacing w:line="360" w:lineRule="auto"/>
        <w:rPr>
          <w:b/>
          <w:color w:val="auto"/>
          <w:sz w:val="28"/>
          <w:szCs w:val="28"/>
          <w:highlight w:val="none"/>
          <w:lang w:eastAsia="zh-CN"/>
        </w:rPr>
      </w:pPr>
      <w:r>
        <w:rPr>
          <w:rFonts w:hint="eastAsia"/>
          <w:b/>
          <w:color w:val="auto"/>
          <w:sz w:val="28"/>
          <w:szCs w:val="28"/>
          <w:highlight w:val="none"/>
          <w:lang w:eastAsia="zh-CN"/>
        </w:rPr>
        <w:t xml:space="preserve">3、项目技术方案 （</w:t>
      </w:r>
      <w:r>
        <w:rPr>
          <w:rFonts w:hint="eastAsia"/>
          <w:b/>
          <w:color w:val="auto"/>
          <w:sz w:val="28"/>
          <w:szCs w:val="28"/>
          <w:highlight w:val="none"/>
          <w:lang w:val="en-US" w:eastAsia="zh-CN"/>
        </w:rPr>
        <w:t xml:space="preserve">40分</w:t>
      </w:r>
      <w:r>
        <w:rPr>
          <w:rFonts w:hint="eastAsia"/>
          <w:b/>
          <w:color w:val="auto"/>
          <w:sz w:val="28"/>
          <w:szCs w:val="28"/>
          <w:highlight w:val="none"/>
          <w:lang w:eastAsia="zh-CN"/>
        </w:rPr>
        <w:t xml:space="preserve">）</w:t>
      </w:r>
      <w:r/>
    </w:p>
    <w:p>
      <w:pPr>
        <w:contextualSpacing/>
        <w:ind w:firstLine="480"/>
        <w:spacing w:line="360" w:lineRule="auto"/>
        <w:rPr>
          <w:rFonts w:hint="default" w:eastAsia="宋体"/>
          <w:color w:val="auto"/>
          <w:highlight w:val="none"/>
          <w:lang w:val="en-US" w:eastAsia="zh-CN"/>
        </w:rPr>
      </w:pPr>
      <w:r>
        <w:rPr>
          <w:rFonts w:hint="eastAsia" w:ascii="宋体" w:hAnsi="宋体" w:eastAsia="宋体"/>
          <w:color w:val="auto"/>
          <w:sz w:val="24"/>
          <w:szCs w:val="24"/>
          <w:highlight w:val="none"/>
        </w:rPr>
        <w:t xml:space="preserve">（1）对本项目关联的垃圾转运作业情况的了解程度</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4分</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，包括运距、转运站和垃圾电厂内行车路线和装、卸料口情况等。</w:t>
      </w: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4分。</w:t>
      </w:r>
      <w:r/>
    </w:p>
    <w:p>
      <w:pPr>
        <w:numPr>
          <w:ilvl w:val="0"/>
          <w:numId w:val="0"/>
        </w:numPr>
        <w:contextualSpacing/>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olor w:val="auto"/>
          <w:sz w:val="24"/>
          <w:szCs w:val="24"/>
          <w:highlight w:val="none"/>
          <w:lang w:val="en-US" w:eastAsia="zh-CN"/>
        </w:rPr>
        <w:t xml:space="preserve">产品设计方案</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分）：</w:t>
      </w:r>
      <w:r>
        <w:rPr>
          <w:rFonts w:hint="eastAsia" w:ascii="宋体" w:hAnsi="宋体" w:eastAsia="宋体"/>
          <w:color w:val="auto"/>
          <w:sz w:val="24"/>
          <w:szCs w:val="24"/>
          <w:highlight w:val="none"/>
          <w:lang w:val="en-US" w:eastAsia="zh-CN"/>
        </w:rPr>
        <w:t xml:space="preserve">包括设计思路、设计标准、设计团队成员配置及实际生产中的使用情况；</w:t>
      </w: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4分。</w:t>
      </w:r>
      <w:r/>
    </w:p>
    <w:p>
      <w:pPr>
        <w:contextualSpacing/>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（3）产品原材料的采购、检测、检验方案（</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分）</w:t>
      </w:r>
      <w:r>
        <w:rPr>
          <w:rFonts w:hint="eastAsia" w:ascii="宋体" w:hAnsi="宋体" w:eastAsia="宋体"/>
          <w:color w:val="auto"/>
          <w:sz w:val="24"/>
          <w:szCs w:val="24"/>
          <w:highlight w:val="none"/>
          <w:lang w:eastAsia="zh-CN"/>
        </w:rPr>
        <w:t xml:space="preserve">；</w:t>
      </w: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4分。</w:t>
      </w:r>
      <w:r/>
    </w:p>
    <w:p>
      <w:pPr>
        <w:contextualSpacing/>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）产品生产过程和质量把控方案（</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分）</w:t>
      </w:r>
      <w:r>
        <w:rPr>
          <w:rFonts w:hint="eastAsia" w:ascii="宋体" w:hAnsi="宋体" w:eastAsia="宋体"/>
          <w:color w:val="auto"/>
          <w:sz w:val="24"/>
          <w:szCs w:val="24"/>
          <w:highlight w:val="none"/>
          <w:lang w:eastAsia="zh-CN"/>
        </w:rPr>
        <w:t xml:space="preserve">；</w:t>
      </w: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4分。</w:t>
      </w:r>
      <w:r/>
    </w:p>
    <w:p>
      <w:pPr>
        <w:contextualSpacing/>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）成品检测、检验方案（</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分）</w:t>
      </w:r>
      <w:r>
        <w:rPr>
          <w:rFonts w:hint="eastAsia" w:ascii="宋体" w:hAnsi="宋体" w:eastAsia="宋体"/>
          <w:color w:val="auto"/>
          <w:sz w:val="24"/>
          <w:szCs w:val="24"/>
          <w:highlight w:val="none"/>
          <w:lang w:eastAsia="zh-CN"/>
        </w:rPr>
        <w:t xml:space="preserve">；</w:t>
      </w: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4分。</w:t>
      </w:r>
      <w:r/>
    </w:p>
    <w:p>
      <w:pPr>
        <w:contextualSpacing/>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）应急方案（4分）：</w:t>
      </w:r>
      <w:r/>
    </w:p>
    <w:p>
      <w:pPr>
        <w:contextualSpacing/>
        <w:ind w:firstLine="480"/>
        <w:spacing w:line="360" w:lineRule="auto"/>
        <w:rPr>
          <w:rFonts w:hint="eastAsia" w:ascii="宋体" w:hAnsi="宋体" w:eastAsia="宋体"/>
          <w:color w:val="auto"/>
          <w:sz w:val="24"/>
          <w:szCs w:val="24"/>
          <w:highlight w:val="none"/>
          <w:lang w:eastAsia="zh-CN"/>
        </w:rPr>
      </w:pPr>
      <w:r>
        <w:rPr>
          <w:rFonts w:hint="default" w:ascii="Calibri" w:hAnsi="Calibri" w:eastAsia="宋体" w:cs="Calibri"/>
          <w:color w:val="auto"/>
          <w:sz w:val="24"/>
          <w:szCs w:val="24"/>
          <w:highlight w:val="none"/>
        </w:rPr>
        <w:t xml:space="preserve">①</w:t>
      </w:r>
      <w:r>
        <w:rPr>
          <w:rFonts w:hint="eastAsia" w:ascii="宋体" w:hAnsi="宋体" w:eastAsia="宋体"/>
          <w:color w:val="auto"/>
          <w:sz w:val="24"/>
          <w:szCs w:val="24"/>
          <w:highlight w:val="none"/>
        </w:rPr>
        <w:t xml:space="preserve">研判产品运输和使用过程中可能存在的风险点</w:t>
      </w:r>
      <w:r>
        <w:rPr>
          <w:rFonts w:hint="eastAsia" w:ascii="宋体" w:hAnsi="宋体" w:eastAsia="宋体"/>
          <w:color w:val="auto"/>
          <w:sz w:val="24"/>
          <w:szCs w:val="24"/>
          <w:highlight w:val="none"/>
          <w:lang w:eastAsia="zh-CN"/>
        </w:rPr>
        <w:t xml:space="preserve">，</w:t>
      </w:r>
      <w:r/>
    </w:p>
    <w:p>
      <w:pPr>
        <w:contextualSpacing/>
        <w:ind w:firstLine="480"/>
        <w:spacing w:line="360" w:lineRule="auto"/>
        <w:rPr>
          <w:rFonts w:hint="eastAsia" w:ascii="Calibri" w:hAnsi="Calibri" w:eastAsia="宋体" w:cs="Calibri"/>
          <w:color w:val="auto"/>
          <w:sz w:val="24"/>
          <w:szCs w:val="24"/>
          <w:highlight w:val="none"/>
          <w:lang w:val="en-US" w:eastAsia="zh-CN"/>
        </w:rPr>
      </w:pPr>
      <w:r>
        <w:rPr>
          <w:rFonts w:hint="default" w:ascii="Calibri" w:hAnsi="Calibri" w:eastAsia="宋体" w:cs="Calibri"/>
          <w:color w:val="auto"/>
          <w:sz w:val="24"/>
          <w:szCs w:val="24"/>
          <w:highlight w:val="none"/>
        </w:rPr>
        <w:t xml:space="preserve">②</w:t>
      </w:r>
      <w:r>
        <w:rPr>
          <w:rFonts w:hint="eastAsia" w:ascii="Calibri" w:hAnsi="Calibri" w:eastAsia="宋体" w:cs="Calibri"/>
          <w:color w:val="auto"/>
          <w:sz w:val="24"/>
          <w:szCs w:val="24"/>
          <w:highlight w:val="none"/>
          <w:lang w:val="en-US" w:eastAsia="zh-CN"/>
        </w:rPr>
        <w:t xml:space="preserve">项目整体保障措施，</w:t>
      </w:r>
      <w:r/>
    </w:p>
    <w:p>
      <w:pPr>
        <w:contextualSpacing/>
        <w:ind w:firstLine="480"/>
        <w:spacing w:line="360" w:lineRule="auto"/>
        <w:rPr>
          <w:rFonts w:hint="eastAsia" w:ascii="Calibri" w:hAnsi="Calibri" w:eastAsia="宋体" w:cs="Calibri"/>
          <w:color w:val="auto"/>
          <w:sz w:val="24"/>
          <w:szCs w:val="24"/>
          <w:highlight w:val="none"/>
          <w:lang w:val="en-US" w:eastAsia="zh-CN"/>
        </w:rPr>
      </w:pPr>
      <w:r>
        <w:rPr>
          <w:rFonts w:hint="default" w:ascii="Calibri" w:hAnsi="Calibri" w:eastAsia="宋体" w:cs="Calibri"/>
          <w:color w:val="auto"/>
          <w:sz w:val="24"/>
          <w:szCs w:val="24"/>
          <w:highlight w:val="none"/>
          <w:lang w:val="en-US" w:eastAsia="zh-CN"/>
        </w:rPr>
        <w:t xml:space="preserve">③</w:t>
      </w:r>
      <w:r>
        <w:rPr>
          <w:rFonts w:hint="eastAsia" w:ascii="Calibri" w:hAnsi="Calibri" w:eastAsia="宋体" w:cs="Calibri"/>
          <w:color w:val="auto"/>
          <w:sz w:val="24"/>
          <w:szCs w:val="24"/>
          <w:highlight w:val="none"/>
          <w:lang w:val="en-US" w:eastAsia="zh-CN"/>
        </w:rPr>
        <w:t xml:space="preserve">应急组织体系及职责分工，</w:t>
      </w:r>
      <w:r/>
    </w:p>
    <w:p>
      <w:pPr>
        <w:contextualSpacing/>
        <w:ind w:firstLine="480"/>
        <w:spacing w:line="360" w:lineRule="auto"/>
        <w:rPr>
          <w:rFonts w:hint="eastAsia" w:ascii="宋体" w:hAnsi="宋体" w:eastAsia="宋体" w:cs="宋体"/>
          <w:color w:val="auto"/>
          <w:sz w:val="24"/>
          <w:szCs w:val="24"/>
          <w:highlight w:val="none"/>
          <w:lang w:val="en-US" w:eastAsia="zh-CN"/>
        </w:rPr>
      </w:pPr>
      <w:r>
        <w:rPr>
          <w:rFonts w:hint="default" w:ascii="Calibri" w:hAnsi="Calibri" w:eastAsia="宋体" w:cs="Calibri"/>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t xml:space="preserve">突发情况下应对措施；</w:t>
      </w:r>
      <w:r/>
    </w:p>
    <w:p>
      <w:pPr>
        <w:ind w:firstLine="480"/>
        <w:spacing w:line="360" w:lineRule="auto"/>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以上内容不存在瑕疵的该条得1分；以上内容存在1处瑕疵的该条得0.5分；以上内容存在2处瑕疵的该条得0.2分；未进行阐述或不满足采购需求或内容存在3处及以上瑕疵的该条得0分；本项最高得4分。</w:t>
      </w:r>
      <w:r/>
    </w:p>
    <w:p>
      <w:pPr>
        <w:contextualSpacing/>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lang w:eastAsia="zh-CN"/>
        </w:rPr>
        <w:t xml:space="preserve">）供货交车方案（</w:t>
      </w:r>
      <w:r>
        <w:rPr>
          <w:rFonts w:hint="eastAsia" w:ascii="宋体" w:hAnsi="宋体" w:eastAsia="宋体"/>
          <w:color w:val="auto"/>
          <w:sz w:val="24"/>
          <w:szCs w:val="24"/>
          <w:highlight w:val="none"/>
          <w:lang w:val="en-US" w:eastAsia="zh-CN"/>
        </w:rPr>
        <w:t xml:space="preserve">4分</w:t>
      </w:r>
      <w:r>
        <w:rPr>
          <w:rFonts w:hint="eastAsia" w:ascii="宋体" w:hAnsi="宋体" w:eastAsia="宋体"/>
          <w:color w:val="auto"/>
          <w:sz w:val="24"/>
          <w:szCs w:val="24"/>
          <w:highlight w:val="none"/>
          <w:lang w:eastAsia="zh-CN"/>
        </w:rPr>
        <w:t xml:space="preserve">）：根据招标要求和投标技术响应情况，对投标人提供的供货</w:t>
      </w:r>
      <w:r>
        <w:rPr>
          <w:rFonts w:hint="eastAsia" w:ascii="宋体" w:hAnsi="宋体" w:eastAsia="宋体"/>
          <w:color w:val="auto"/>
          <w:sz w:val="24"/>
          <w:szCs w:val="24"/>
          <w:highlight w:val="none"/>
          <w:lang w:val="en-US" w:eastAsia="zh-CN"/>
        </w:rPr>
        <w:t xml:space="preserve">交车</w:t>
      </w:r>
      <w:r>
        <w:rPr>
          <w:rFonts w:hint="eastAsia" w:ascii="宋体" w:hAnsi="宋体" w:eastAsia="宋体"/>
          <w:color w:val="auto"/>
          <w:sz w:val="24"/>
          <w:szCs w:val="24"/>
          <w:highlight w:val="none"/>
          <w:lang w:eastAsia="zh-CN"/>
        </w:rPr>
        <w:t xml:space="preserve">方案进行评价,其中包括:</w:t>
      </w:r>
      <w:r/>
    </w:p>
    <w:p>
      <w:pPr>
        <w:contextualSpacing/>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①车辆各类手续办理方案（对保险购买和使用、上牌流程的掌握情况等）</w:t>
      </w:r>
      <w:r/>
    </w:p>
    <w:p>
      <w:pPr>
        <w:contextualSpacing/>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②运输方案（运输方式、时间、计划安排、配备力量和保障措施等）</w:t>
      </w:r>
      <w:r/>
    </w:p>
    <w:p>
      <w:pPr>
        <w:contextualSpacing/>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③交车方案（包括全流程方案计划，包括如何对接、如何配合验收、如何签收等）</w:t>
      </w:r>
      <w:r/>
    </w:p>
    <w:p>
      <w:pPr>
        <w:contextualSpacing/>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④停放方案（包括提前协调场地、安排人员看护等）</w:t>
      </w:r>
      <w:r/>
    </w:p>
    <w:p>
      <w:pPr>
        <w:ind w:firstLine="480"/>
        <w:spacing w:line="360" w:lineRule="auto"/>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以上内容不存在瑕疵的该条得1分；以上内容存在1处瑕疵的该条得0.5分；以上内容存在2处瑕疵的该条得0.2分；未进行阐述或不满足采购需求或内容存在3处及以上瑕疵的该条得0分；本项最高得4分。</w:t>
      </w:r>
      <w:r/>
    </w:p>
    <w:p>
      <w:pPr>
        <w:numPr>
          <w:ilvl w:val="0"/>
          <w:numId w:val="6"/>
        </w:numPr>
        <w:contextualSpacing/>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产品使用培训指导方案（</w:t>
      </w:r>
      <w:r>
        <w:rPr>
          <w:rFonts w:hint="eastAsia" w:ascii="宋体" w:hAnsi="宋体" w:eastAsia="宋体"/>
          <w:color w:val="auto"/>
          <w:sz w:val="24"/>
          <w:szCs w:val="24"/>
          <w:highlight w:val="none"/>
          <w:lang w:val="en-US" w:eastAsia="zh-CN"/>
        </w:rPr>
        <w:t xml:space="preserve">4分</w:t>
      </w:r>
      <w:r>
        <w:rPr>
          <w:rFonts w:hint="eastAsia" w:ascii="宋体" w:hAnsi="宋体" w:eastAsia="宋体"/>
          <w:color w:val="auto"/>
          <w:sz w:val="24"/>
          <w:szCs w:val="24"/>
          <w:highlight w:val="none"/>
          <w:lang w:eastAsia="zh-CN"/>
        </w:rPr>
        <w:t xml:space="preserve">）：</w:t>
      </w: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4分。</w:t>
      </w:r>
      <w:r/>
    </w:p>
    <w:p>
      <w:pPr>
        <w:numPr>
          <w:ilvl w:val="0"/>
          <w:numId w:val="6"/>
        </w:numPr>
        <w:contextualSpacing/>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en-US" w:eastAsia="zh-CN"/>
        </w:rPr>
        <w:t xml:space="preserve">年度上门检查方案（4分）：</w:t>
      </w: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4分。</w:t>
      </w:r>
      <w:r/>
    </w:p>
    <w:p>
      <w:pPr>
        <w:numPr>
          <w:ilvl w:val="0"/>
          <w:numId w:val="6"/>
        </w:numPr>
        <w:contextualSpacing/>
        <w:ind w:left="0"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售后服务方案（4分）：</w:t>
      </w:r>
      <w:r/>
    </w:p>
    <w:p>
      <w:pPr>
        <w:contextualSpacing/>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①售后服务承诺（产品质量保证承诺、售后服务承诺、保修原则等）；</w:t>
      </w:r>
      <w:r/>
    </w:p>
    <w:p>
      <w:pPr>
        <w:contextualSpacing/>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②售后服务内容（现场服务措施、故障解决能力、售后服务回访等）；</w:t>
      </w:r>
      <w:r/>
    </w:p>
    <w:p>
      <w:pPr>
        <w:contextualSpacing/>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③应急服务方案（应急人员安排、应急响应时限、备品备件安排等）；</w:t>
      </w:r>
      <w:r/>
    </w:p>
    <w:p>
      <w:pPr>
        <w:contextualSpacing/>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④质保期外服务计划（服务内容及收费标准、</w:t>
      </w:r>
      <w:r>
        <w:rPr>
          <w:rFonts w:hint="eastAsia" w:ascii="宋体" w:hAnsi="宋体" w:eastAsia="宋体"/>
          <w:color w:val="auto"/>
          <w:sz w:val="24"/>
          <w:szCs w:val="24"/>
          <w:highlight w:val="none"/>
          <w:lang w:val="en-US" w:eastAsia="zh-CN"/>
        </w:rPr>
        <w:t xml:space="preserve">转运车辆</w:t>
      </w:r>
      <w:r>
        <w:rPr>
          <w:rFonts w:hint="eastAsia" w:ascii="宋体" w:hAnsi="宋体" w:eastAsia="宋体"/>
          <w:color w:val="auto"/>
          <w:sz w:val="24"/>
          <w:szCs w:val="24"/>
          <w:highlight w:val="none"/>
          <w:lang w:eastAsia="zh-CN"/>
        </w:rPr>
        <w:t xml:space="preserve">使用说明及保养措施等）</w:t>
      </w:r>
      <w:r/>
    </w:p>
    <w:p>
      <w:pPr>
        <w:numPr>
          <w:ilvl w:val="0"/>
          <w:numId w:val="0"/>
        </w:numPr>
        <w:contextualSpacing/>
        <w:ind w:left="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ind w:firstLine="480"/>
        <w:spacing w:line="360" w:lineRule="auto"/>
        <w:rPr>
          <w:rFonts w:hint="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bCs/>
          <w:color w:val="auto"/>
          <w:sz w:val="24"/>
          <w:szCs w:val="24"/>
          <w:highlight w:val="none"/>
          <w:lang w:val="en-US" w:eastAsia="zh-CN" w:bidi="ar-SA"/>
        </w:rPr>
        <w:t xml:space="preserve">投标供应商针对上述内容进行阐述，要求阐述内容合理、条理清晰、针对性强、切实可行有效。以上内容不存在瑕疵的该条得1分；以上内容存在1处瑕疵的该条得0.5分；以上内容存在2处瑕疵的该条得0.2分；未进行阐述或不满足采购需求或内容存在3处及以上瑕疵的该条得0分；本项最高得4分。</w:t>
      </w:r>
      <w:r/>
    </w:p>
    <w:p>
      <w:pPr>
        <w:ind w:firstLine="480"/>
        <w:spacing w:line="360" w:lineRule="auto"/>
        <w:rPr>
          <w:rFonts w:hint="eastAsia" w:ascii="Times New Roman" w:hAnsi="宋体" w:eastAsia="宋体" w:cs="Times New Roman"/>
          <w:b/>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b/>
          <w:bCs w:val="0"/>
          <w:color w:val="auto"/>
          <w:sz w:val="24"/>
          <w:szCs w:val="24"/>
          <w:highlight w:val="non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contextualSpacing/>
        <w:ind w:firstLine="48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rPr>
          <w:rFonts w:ascii="宋体" w:hAnsi="宋体" w:eastAsia="宋体" w:cs="宋体"/>
          <w:bCs/>
          <w:color w:val="auto"/>
          <w:sz w:val="32"/>
          <w:highlight w:val="none"/>
        </w:rPr>
      </w:pPr>
      <w:r>
        <w:rPr>
          <w:rFonts w:ascii="宋体" w:hAnsi="宋体" w:eastAsia="宋体" w:cs="宋体"/>
          <w:bCs/>
          <w:color w:val="auto"/>
          <w:sz w:val="32"/>
          <w:highlight w:val="none"/>
        </w:rPr>
      </w:r>
      <w:r/>
    </w:p>
    <w:p>
      <w:pPr>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rPr>
          <w:rFonts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rPr>
          <w:rFonts w:ascii="宋体" w:hAnsi="宋体" w:eastAsia="宋体" w:cs="宋体"/>
          <w:bCs/>
          <w:color w:val="auto"/>
          <w:sz w:val="28"/>
          <w:highlight w:val="none"/>
        </w:rPr>
      </w:pPr>
      <w:r>
        <w:rPr>
          <w:rFonts w:ascii="宋体" w:hAnsi="宋体" w:eastAsia="宋体" w:cs="宋体"/>
          <w:bCs/>
          <w:color w:val="auto"/>
          <w:sz w:val="28"/>
          <w:highlight w:val="none"/>
        </w:rPr>
      </w:r>
      <w:r/>
    </w:p>
    <w:p>
      <w:pPr>
        <w:pStyle w:val="856"/>
        <w:rPr>
          <w:rFonts w:ascii="宋体" w:hAnsi="宋体" w:eastAsia="宋体" w:cs="宋体"/>
          <w:bCs/>
          <w:color w:val="auto"/>
          <w:sz w:val="28"/>
          <w:highlight w:val="none"/>
        </w:rPr>
      </w:pPr>
      <w:r>
        <w:rPr>
          <w:rFonts w:ascii="宋体" w:hAnsi="宋体" w:eastAsia="宋体" w:cs="宋体"/>
          <w:bCs/>
          <w:color w:val="auto"/>
          <w:sz w:val="28"/>
          <w:highlight w:val="none"/>
        </w:rPr>
      </w:r>
      <w:r/>
    </w:p>
    <w:p>
      <w:pPr>
        <w:rPr>
          <w:rFonts w:ascii="宋体" w:hAnsi="宋体" w:eastAsia="宋体" w:cs="宋体"/>
          <w:bCs/>
          <w:color w:val="auto"/>
          <w:sz w:val="28"/>
          <w:highlight w:val="none"/>
        </w:rPr>
      </w:pPr>
      <w:r>
        <w:rPr>
          <w:rFonts w:ascii="宋体" w:hAnsi="宋体" w:eastAsia="宋体" w:cs="宋体"/>
          <w:bCs/>
          <w:color w:val="auto"/>
          <w:sz w:val="28"/>
          <w:highlight w:val="none"/>
        </w:rPr>
      </w:r>
      <w:r/>
    </w:p>
    <w:p>
      <w:pPr>
        <w:pStyle w:val="856"/>
        <w:ind w:left="0"/>
        <w:rPr>
          <w:rFonts w:ascii="宋体" w:hAnsi="宋体" w:eastAsia="宋体" w:cs="宋体"/>
          <w:bCs/>
          <w:color w:val="auto"/>
          <w:sz w:val="28"/>
          <w:highlight w:val="none"/>
        </w:rPr>
      </w:pPr>
      <w:r>
        <w:rPr>
          <w:rFonts w:ascii="宋体" w:hAnsi="宋体" w:eastAsia="宋体" w:cs="宋体"/>
          <w:bCs/>
          <w:color w:val="auto"/>
          <w:sz w:val="28"/>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left="3356" w:hanging="1960"/>
        <w:spacing w:line="360" w:lineRule="auto"/>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采购项目编号：</w:t>
      </w:r>
      <w:r>
        <w:rPr>
          <w:rFonts w:hint="eastAsia" w:ascii="宋体" w:hAnsi="宋体" w:eastAsia="宋体" w:cs="宋体"/>
          <w:color w:val="auto"/>
          <w:sz w:val="30"/>
          <w:szCs w:val="30"/>
          <w:highlight w:val="none"/>
          <w:lang w:eastAsia="zh-CN"/>
        </w:rPr>
        <w:t xml:space="preserve">JSZC-320200-JYJH-G2025-0003</w:t>
      </w:r>
      <w:r/>
    </w:p>
    <w:p>
      <w:pPr>
        <w:ind w:left="3356" w:hanging="1960"/>
        <w:spacing w:line="360" w:lineRule="auto"/>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bCs/>
          <w:color w:val="auto"/>
          <w:sz w:val="28"/>
          <w:szCs w:val="28"/>
          <w:highlight w:val="none"/>
          <w:lang w:eastAsia="zh-CN"/>
        </w:rPr>
        <w:t xml:space="preserve">新能源转运车采购项目</w:t>
      </w:r>
      <w:r/>
    </w:p>
    <w:p>
      <w:pPr>
        <w:ind w:left="3356" w:hanging="1960"/>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供</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应</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商：</w:t>
      </w:r>
      <w:r/>
    </w:p>
    <w:p>
      <w:pPr>
        <w:pStyle w:val="856"/>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856"/>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856"/>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jc w:val="cente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二○二</w:t>
      </w:r>
      <w:r>
        <w:rPr>
          <w:rFonts w:hint="eastAsia" w:ascii="宋体" w:hAnsi="宋体" w:eastAsia="宋体" w:cs="宋体"/>
          <w:bCs/>
          <w:color w:val="auto"/>
          <w:sz w:val="36"/>
          <w:szCs w:val="36"/>
          <w:highlight w:val="none"/>
          <w:lang w:val="en-US" w:eastAsia="zh-CN"/>
        </w:rPr>
        <w:t xml:space="preserve">五</w:t>
      </w:r>
      <w:r>
        <w:rPr>
          <w:rFonts w:hint="eastAsia" w:ascii="宋体" w:hAnsi="宋体" w:eastAsia="宋体" w:cs="宋体"/>
          <w:bCs/>
          <w:color w:val="auto"/>
          <w:sz w:val="36"/>
          <w:szCs w:val="36"/>
          <w:highlight w:val="none"/>
        </w:rPr>
        <w:t xml:space="preserve">年  月  日</w:t>
      </w:r>
      <w:r/>
    </w:p>
    <w:p>
      <w:pPr>
        <w:pStyle w:val="894"/>
        <w:ind w:firstLine="0"/>
        <w:rPr>
          <w:rFonts w:ascii="宋体" w:hAnsi="宋体" w:cs="宋体"/>
          <w:color w:val="auto"/>
          <w:highlight w:val="none"/>
        </w:rPr>
      </w:pPr>
      <w:r/>
      <w:bookmarkStart w:id="68" w:name="一．报价函（格式）"/>
      <w:r/>
      <w:bookmarkEnd w:id="68"/>
      <w:r/>
      <w:r/>
    </w:p>
    <w:p>
      <w:pPr>
        <w:pStyle w:val="894"/>
        <w:ind w:firstLine="0"/>
        <w:rPr>
          <w:rFonts w:ascii="宋体" w:hAnsi="宋体" w:cs="宋体"/>
          <w:color w:val="auto"/>
          <w:highlight w:val="none"/>
        </w:rPr>
      </w:pPr>
      <w:r>
        <w:rPr>
          <w:rFonts w:ascii="宋体" w:hAnsi="宋体" w:cs="宋体"/>
          <w:color w:val="auto"/>
          <w:highlight w:val="none"/>
        </w:rPr>
      </w:r>
      <w:r/>
    </w:p>
    <w:p>
      <w:pPr>
        <w:pStyle w:val="894"/>
        <w:ind w:firstLine="0"/>
        <w:rPr>
          <w:rFonts w:ascii="宋体" w:hAnsi="宋体" w:cs="宋体"/>
          <w:color w:val="auto"/>
          <w:highlight w:val="none"/>
        </w:rPr>
      </w:pPr>
      <w:r>
        <w:rPr>
          <w:rFonts w:ascii="宋体" w:hAnsi="宋体" w:cs="宋体"/>
          <w:color w:val="auto"/>
          <w:highlight w:val="none"/>
        </w:rPr>
      </w:r>
      <w:r/>
    </w:p>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lang w:eastAsia="zh-CN"/>
        </w:rPr>
        <w:t xml:space="preserve">JSZC-320200-JYJH-G2025-0003</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08"/>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采购代理机构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1064"/>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106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（二）（供应商）关于资格的声明函（格式）：</w:t>
      </w:r>
      <w:r/>
    </w:p>
    <w:p>
      <w:pPr>
        <w:ind w:firstLine="720"/>
        <w:spacing w:line="360" w:lineRule="auto"/>
        <w:rPr>
          <w:rFonts w:ascii="宋体" w:hAnsi="宋体" w:eastAsia="宋体" w:cs="宋体"/>
          <w:bCs/>
          <w:color w:val="auto"/>
          <w:sz w:val="36"/>
          <w:highlight w:val="none"/>
        </w:rPr>
      </w:pPr>
      <w:r>
        <w:rPr>
          <w:rFonts w:ascii="宋体" w:hAnsi="宋体" w:eastAsia="宋体" w:cs="宋体"/>
          <w:bCs/>
          <w:color w:val="auto"/>
          <w:sz w:val="36"/>
          <w:highlight w:val="none"/>
        </w:rPr>
      </w:r>
      <w:r/>
    </w:p>
    <w:p>
      <w:pPr>
        <w:ind w:firstLine="560"/>
        <w:jc w:val="center"/>
        <w:spacing w:line="360" w:lineRule="auto"/>
        <w:rPr>
          <w:rFonts w:ascii="宋体" w:hAnsi="宋体" w:eastAsia="宋体" w:cs="宋体"/>
          <w:bCs/>
          <w:color w:val="auto"/>
          <w:sz w:val="28"/>
          <w:szCs w:val="28"/>
          <w:highlight w:val="none"/>
        </w:rPr>
      </w:pPr>
      <w:r/>
      <w:bookmarkStart w:id="69" w:name="报价方关于资格的声明函（格式）"/>
      <w:r/>
      <w:bookmarkEnd w:id="69"/>
      <w:r>
        <w:rPr>
          <w:rFonts w:hint="eastAsia" w:ascii="宋体" w:hAnsi="宋体" w:eastAsia="宋体" w:cs="宋体"/>
          <w:bCs/>
          <w:color w:val="auto"/>
          <w:sz w:val="28"/>
          <w:szCs w:val="28"/>
          <w:highlight w:val="none"/>
        </w:rPr>
        <w:t xml:space="preserve">关于资格的声明函</w:t>
      </w:r>
      <w:r/>
    </w:p>
    <w:p>
      <w:pP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政府采购编号：</w:t>
      </w:r>
      <w:r>
        <w:rPr>
          <w:rFonts w:hint="eastAsia" w:ascii="宋体" w:hAnsi="宋体" w:eastAsia="宋体" w:cs="宋体"/>
          <w:bCs/>
          <w:color w:val="auto"/>
          <w:sz w:val="24"/>
          <w:szCs w:val="24"/>
          <w:highlight w:val="none"/>
          <w:lang w:eastAsia="zh-CN"/>
        </w:rPr>
        <w:t xml:space="preserve">JSZC-320200-JYJH-G2025-0003</w:t>
      </w:r>
      <w:r/>
    </w:p>
    <w:p>
      <w:pPr>
        <w:ind w:firstLine="480"/>
        <w:jc w:val="center"/>
        <w:spacing w:line="360" w:lineRule="auto"/>
        <w:tabs>
          <w:tab w:val="left" w:pos="63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w:t>
      </w:r>
      <w:r>
        <w:rPr>
          <w:rFonts w:hint="eastAsia" w:ascii="宋体" w:hAnsi="宋体" w:eastAsia="宋体" w:cs="宋体"/>
          <w:bCs/>
          <w:color w:val="auto"/>
          <w:sz w:val="24"/>
          <w:highlight w:val="none"/>
          <w:u w:val="single"/>
          <w:lang w:eastAsia="zh-CN"/>
        </w:rPr>
        <w:t xml:space="preserve">新能源转运车采购项目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我公司（单位）符合《中华人民共和国政府采购法》第二十二条的规定，在此郑重承诺具备以下条件：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（五）近三年内，在经营活动中没有重大违法记录；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（六）投标文件中所有关于投标资格的文件、证明、陈述均是真实的、准确的。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若有违背，我公司（单位）愿意承担由此而产生的一切后果。</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22"/>
          <w:szCs w:val="24"/>
          <w:highlight w:val="none"/>
        </w:rPr>
      </w:pPr>
      <w:r>
        <w:rPr>
          <w:rFonts w:hint="eastAsia" w:ascii="宋体" w:hAnsi="宋体" w:eastAsia="宋体" w:cs="宋体"/>
          <w:bCs/>
          <w:color w:val="auto"/>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24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24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（三）（供应商）法定代表人授权委托书（格式）：</w:t>
      </w:r>
      <w:r/>
    </w:p>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jc w:val="center"/>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ascii="宋体" w:hAnsi="宋体" w:eastAsia="宋体" w:cs="宋体"/>
          <w:bCs/>
          <w:color w:val="auto"/>
          <w:sz w:val="36"/>
          <w:highlight w:val="none"/>
        </w:rPr>
      </w:pPr>
      <w:r>
        <w:rPr>
          <w:rFonts w:ascii="宋体" w:hAnsi="宋体" w:eastAsia="宋体" w:cs="宋体"/>
          <w:bCs/>
          <w:color w:val="auto"/>
          <w:sz w:val="36"/>
          <w:highlight w:val="none"/>
        </w:rPr>
      </w:r>
      <w:r/>
    </w:p>
    <w:p>
      <w:pPr>
        <w:ind w:left="6300" w:hanging="630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JSZC-320200-JYJH-G2025-0003</w:t>
      </w:r>
      <w:r>
        <w:rPr>
          <w:rFonts w:hint="eastAsia" w:ascii="宋体" w:hAnsi="宋体" w:eastAsia="宋体" w:cs="宋体"/>
          <w:bCs/>
          <w:color w:val="auto"/>
          <w:sz w:val="24"/>
          <w:szCs w:val="24"/>
          <w:highlight w:val="none"/>
        </w:rPr>
        <w:t xml:space="preserve">                      日期：</w:t>
      </w:r>
      <w:r/>
    </w:p>
    <w:p>
      <w:pPr>
        <w:spacing w:line="6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江苏建亨工程管理咨询有限公司</w:t>
      </w:r>
      <w:r>
        <w:rPr>
          <w:rFonts w:hint="eastAsia" w:ascii="宋体" w:hAnsi="宋体" w:eastAsia="宋体" w:cs="宋体"/>
          <w:bCs/>
          <w:color w:val="auto"/>
          <w:sz w:val="24"/>
          <w:szCs w:val="24"/>
          <w:highlight w:val="none"/>
        </w:rPr>
        <w:t xml:space="preserve">：</w:t>
      </w:r>
      <w:r/>
    </w:p>
    <w:p>
      <w:pPr>
        <w:ind w:firstLine="480"/>
        <w:spacing w:line="6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系中华人民共和国合法公司（单位），特授权代表我公司（单位）全权办理针对本项目（</w:t>
      </w:r>
      <w:r>
        <w:rPr>
          <w:rFonts w:hint="eastAsia" w:ascii="宋体" w:hAnsi="宋体" w:eastAsia="宋体" w:cs="宋体"/>
          <w:bCs/>
          <w:color w:val="auto"/>
          <w:sz w:val="24"/>
          <w:highlight w:val="none"/>
          <w:u w:val="single"/>
          <w:lang w:eastAsia="zh-CN"/>
        </w:rPr>
        <w:t xml:space="preserve">新能源转运车采购项目</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324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324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供应商法定代表人身份证扫描件：</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w:t>
      </w:r>
      <w:r>
        <w:rPr>
          <w:rFonts w:hint="eastAsia" w:ascii="宋体" w:hAnsi="宋体" w:eastAsia="宋体" w:cs="宋体"/>
          <w:b/>
          <w:bCs/>
          <w:color w:val="auto"/>
          <w:sz w:val="24"/>
          <w:szCs w:val="24"/>
          <w:highlight w:val="none"/>
        </w:rPr>
        <w:t xml:space="preserve">人</w:t>
      </w:r>
      <w:r/>
    </w:p>
    <w:p>
      <w:pPr>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48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pStyle w:val="106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66"/>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64"/>
        <w:ind w:firstLine="480"/>
        <w:rPr>
          <w:rFonts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法定代表人授权代表身份证扫描件：（法定代表人亲自参与投标的除外）</w:t>
      </w:r>
      <w:r/>
    </w:p>
    <w:p>
      <w:pPr>
        <w:pStyle w:val="1066"/>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64"/>
        <w:rPr>
          <w:rFonts w:ascii="宋体" w:hAnsi="宋体" w:eastAsia="宋体" w:cs="宋体"/>
          <w:bCs w:val="0"/>
          <w:color w:val="auto"/>
          <w:sz w:val="24"/>
          <w:szCs w:val="24"/>
          <w:highlight w:val="none"/>
        </w:rPr>
      </w:pPr>
      <w:r>
        <w:rPr>
          <w:rFonts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6" o:spid="_x0000_s6"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7" o:spid="_x0000_s7"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06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6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6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6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6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6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6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6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6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64"/>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1066"/>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66"/>
        <w:ind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（四）承诺书（格式）：</w:t>
      </w:r>
      <w:r/>
    </w:p>
    <w:p>
      <w:pPr>
        <w:spacing w:line="360" w:lineRule="auto"/>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jc w:val="center"/>
        <w:spacing w:line="360" w:lineRule="auto"/>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1073"/>
        <w:ind w:left="1260"/>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名称）在此承诺：</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eastAsia="zh-CN"/>
        </w:rPr>
        <w:t xml:space="preserve">JSZC-320200-JYJH-G2025-0003</w:t>
      </w:r>
      <w:r>
        <w:rPr>
          <w:rFonts w:hint="eastAsia" w:ascii="宋体" w:hAnsi="宋体" w:eastAsia="宋体" w:cs="宋体"/>
          <w:bCs/>
          <w:color w:val="auto"/>
          <w:sz w:val="24"/>
          <w:szCs w:val="24"/>
          <w:highlight w:val="none"/>
        </w:rPr>
        <w:t xml:space="preserve">）所提供的货物符合招标文件要求；</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540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spacing w:line="480" w:lineRule="auto"/>
        <w:rPr>
          <w:rFonts w:ascii="宋体" w:hAnsi="宋体" w:eastAsia="宋体" w:cs="宋体"/>
          <w:color w:val="auto"/>
          <w:highlight w:val="none"/>
        </w:rPr>
        <w:sectPr>
          <w:headerReference w:type="default" r:id="rId9"/>
          <w:headerReference w:type="first" r:id="rId10"/>
          <w:footerReference w:type="default" r:id="rId14"/>
          <w:footerReference w:type="first" r:id="rId15"/>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auto"/>
          <w:sz w:val="24"/>
          <w:szCs w:val="24"/>
          <w:highlight w:val="none"/>
        </w:rPr>
        <w:t xml:space="preserve">法定代表人或法定代表人授权代表签字或盖章：</w:t>
      </w:r>
      <w:r/>
    </w:p>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82"/>
        <w:rPr>
          <w:rFonts w:ascii="宋体" w:hAnsi="宋体" w:eastAsia="宋体" w:cs="宋体"/>
          <w:b/>
          <w:color w:val="auto"/>
          <w:sz w:val="28"/>
          <w:szCs w:val="28"/>
          <w:highlight w:val="none"/>
        </w:rPr>
        <w:outlineLvl w:val="0"/>
      </w:pPr>
      <w:r>
        <w:rPr>
          <w:rFonts w:hint="eastAsia" w:ascii="宋体" w:hAnsi="宋体" w:eastAsia="宋体" w:cs="宋体"/>
          <w:b/>
          <w:color w:val="auto"/>
          <w:sz w:val="24"/>
          <w:szCs w:val="24"/>
          <w:highlight w:val="none"/>
        </w:rPr>
        <w:t xml:space="preserve">（五）开标一览表附录（格式）：</w:t>
      </w:r>
      <w:r/>
    </w:p>
    <w:p>
      <w:pP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jc w:val="center"/>
        <w:rPr>
          <w:rFonts w:ascii="宋体" w:hAnsi="宋体" w:eastAsia="宋体" w:cs="宋体"/>
          <w:bCs/>
          <w:color w:val="auto"/>
          <w:sz w:val="28"/>
          <w:szCs w:val="28"/>
          <w:highlight w:val="none"/>
        </w:rPr>
        <w:outlineLvl w:val="0"/>
      </w:pPr>
      <w:r>
        <w:rPr>
          <w:rFonts w:hint="eastAsia" w:ascii="宋体" w:hAnsi="宋体" w:eastAsia="宋体" w:cs="宋体"/>
          <w:b/>
          <w:color w:val="auto"/>
          <w:sz w:val="28"/>
          <w:szCs w:val="28"/>
          <w:highlight w:val="none"/>
        </w:rPr>
        <w:t xml:space="preserve">开标一览表</w:t>
      </w:r>
      <w:r/>
    </w:p>
    <w:p>
      <w:pPr>
        <w:pStyle w:val="856"/>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JSZC-320200-JYJH-G2025-0003</w:t>
      </w:r>
      <w:r/>
    </w:p>
    <w:p>
      <w:pPr>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分包号：采购包</w:t>
      </w:r>
      <w:r/>
    </w:p>
    <w:tbl>
      <w:tblPr>
        <w:tblStyle w:val="848"/>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投标货物名称</w:t>
            </w:r>
            <w:r/>
          </w:p>
        </w:tc>
        <w:tc>
          <w:tcPr>
            <w:tcW w:w="5524"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总价（小写）</w:t>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5524"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tcW w:w="5524"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6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numPr>
          <w:ilvl w:val="0"/>
          <w:numId w:val="7"/>
        </w:numPr>
        <w:ind w:firstLine="470"/>
        <w:spacing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评标时一律按苏采云系统自带的开标一览表中内容为准，开标一览表中必须盖章。</w:t>
      </w:r>
      <w:r/>
    </w:p>
    <w:p>
      <w:pPr>
        <w:pStyle w:val="856"/>
        <w:rPr>
          <w:rFonts w:ascii="宋体" w:hAnsi="宋体" w:eastAsia="宋体" w:cs="宋体"/>
          <w:bCs/>
          <w:color w:val="auto"/>
          <w:sz w:val="24"/>
          <w:highlight w:val="none"/>
        </w:rPr>
      </w:pPr>
      <w:r>
        <w:rPr>
          <w:rFonts w:ascii="宋体" w:hAnsi="宋体" w:eastAsia="宋体" w:cs="宋体"/>
          <w:bCs/>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853"/>
        <w:rPr>
          <w:bCs/>
          <w:color w:val="auto"/>
          <w:highlight w:val="none"/>
          <w:lang w:eastAsia="zh-CN"/>
        </w:rPr>
      </w:pPr>
      <w:r>
        <w:rPr>
          <w:bCs/>
          <w:color w:val="auto"/>
          <w:highlight w:val="none"/>
          <w:lang w:eastAsia="zh-CN"/>
        </w:rPr>
      </w:r>
      <w:r/>
    </w:p>
    <w:p>
      <w:pPr>
        <w:rPr>
          <w:rFonts w:ascii="黑体" w:eastAsia="黑体"/>
          <w:bCs/>
          <w:color w:val="auto"/>
          <w:sz w:val="28"/>
          <w:szCs w:val="28"/>
          <w:highlight w:val="none"/>
        </w:rPr>
      </w:pPr>
      <w:r>
        <w:rPr>
          <w:rFonts w:ascii="黑体" w:eastAsia="黑体"/>
          <w:bCs/>
          <w:color w:val="auto"/>
          <w:sz w:val="28"/>
          <w:szCs w:val="28"/>
          <w:highlight w:val="none"/>
        </w:rPr>
        <w:br w:type="page" w:clear="all"/>
      </w:r>
      <w:r/>
    </w:p>
    <w:p>
      <w:pPr>
        <w:ind w:firstLine="368"/>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t xml:space="preserve">开标一览表</w:t>
      </w:r>
      <w:r>
        <w:rPr>
          <w:rFonts w:hint="eastAsia" w:ascii="黑体" w:eastAsia="黑体"/>
          <w:bCs/>
          <w:color w:val="auto"/>
          <w:sz w:val="28"/>
          <w:szCs w:val="28"/>
          <w:highlight w:val="none"/>
        </w:rPr>
        <w:t xml:space="preserve">附录</w:t>
      </w:r>
      <w:r/>
    </w:p>
    <w:p>
      <w:pPr>
        <w:pStyle w:val="894"/>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sz w:val="24"/>
          <w:highlight w:val="none"/>
        </w:rPr>
        <w:t xml:space="preserve">投标供应商全称（加盖投标供应商公章）：  采购文件编号：</w:t>
      </w:r>
      <w:r/>
    </w:p>
    <w:tbl>
      <w:tblPr>
        <w:tblStyle w:val="8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tcPr>
          <w:p>
            <w:pPr>
              <w:pStyle w:val="1064"/>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投标报价（人民币）</w:t>
            </w:r>
            <w:r/>
          </w:p>
        </w:tc>
        <w:tc>
          <w:tcPr>
            <w:tcW w:w="6613" w:type="dxa"/>
            <w:vAlign w:val="center"/>
            <w:textDirection w:val="lrTb"/>
            <w:noWrap/>
          </w:tcPr>
          <w:p>
            <w:pPr>
              <w:pStyle w:val="1064"/>
              <w:spacing w:line="30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项目总报价：大写：</w:t>
            </w:r>
            <w:r/>
          </w:p>
          <w:p>
            <w:pPr>
              <w:pStyle w:val="1064"/>
              <w:ind w:firstLine="1440"/>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元</w:t>
            </w:r>
            <w:r/>
          </w:p>
        </w:tc>
      </w:tr>
      <w:tr>
        <w:trPr>
          <w:cantSplit/>
          <w:trHeight w:val="523"/>
        </w:trPr>
        <w:tc>
          <w:tcPr>
            <w:tcW w:w="2338" w:type="dxa"/>
            <w:vAlign w:val="center"/>
            <w:textDirection w:val="lrTb"/>
            <w:noWrap/>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合同履约期限</w:t>
            </w:r>
            <w:r/>
          </w:p>
        </w:tc>
        <w:tc>
          <w:tcPr>
            <w:tcW w:w="6613" w:type="dxa"/>
            <w:vAlign w:val="center"/>
            <w:textDirection w:val="lrTb"/>
            <w:noWrap/>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r>
        <w:trPr>
          <w:cantSplit/>
          <w:trHeight w:val="545"/>
        </w:trPr>
        <w:tc>
          <w:tcPr>
            <w:tcW w:w="2338" w:type="dxa"/>
            <w:vAlign w:val="center"/>
            <w:textDirection w:val="lrTb"/>
            <w:noWrap/>
          </w:tcPr>
          <w:p>
            <w:pPr>
              <w:jc w:val="center"/>
              <w:spacing w:line="300" w:lineRule="auto"/>
              <w:rPr>
                <w:rFonts w:ascii="宋体" w:hAnsi="宋体" w:cs="宋体"/>
                <w:color w:val="auto"/>
                <w:sz w:val="24"/>
                <w:szCs w:val="28"/>
                <w:highlight w:val="none"/>
              </w:rPr>
            </w:pPr>
            <w:r>
              <w:rPr>
                <w:rFonts w:hint="eastAsia" w:ascii="宋体" w:hAnsi="宋体" w:cs="宋体"/>
                <w:color w:val="auto"/>
                <w:sz w:val="24"/>
                <w:highlight w:val="none"/>
              </w:rPr>
              <w:t xml:space="preserve">误期违约金</w:t>
            </w:r>
            <w:r/>
          </w:p>
        </w:tc>
        <w:tc>
          <w:tcPr>
            <w:tcW w:w="6613" w:type="dxa"/>
            <w:vAlign w:val="center"/>
            <w:textDirection w:val="lrTb"/>
            <w:noWrap/>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r>
        <w:trPr>
          <w:cantSplit/>
          <w:trHeight w:val="553"/>
        </w:trPr>
        <w:tc>
          <w:tcPr>
            <w:tcW w:w="2338" w:type="dxa"/>
            <w:vAlign w:val="center"/>
            <w:textDirection w:val="lrTb"/>
            <w:noWrap/>
          </w:tcPr>
          <w:p>
            <w:pPr>
              <w:jc w:val="center"/>
              <w:spacing w:line="300" w:lineRule="auto"/>
              <w:rPr>
                <w:rFonts w:ascii="宋体" w:hAnsi="宋体" w:cs="宋体"/>
                <w:color w:val="auto"/>
                <w:sz w:val="24"/>
                <w:szCs w:val="28"/>
                <w:highlight w:val="none"/>
              </w:rPr>
            </w:pPr>
            <w:r>
              <w:rPr>
                <w:rFonts w:hint="eastAsia" w:ascii="宋体" w:hAnsi="宋体" w:cs="宋体"/>
                <w:color w:val="auto"/>
                <w:sz w:val="24"/>
                <w:highlight w:val="none"/>
              </w:rPr>
              <w:t xml:space="preserve">质量要求</w:t>
            </w:r>
            <w:r/>
          </w:p>
        </w:tc>
        <w:tc>
          <w:tcPr>
            <w:tcW w:w="6613" w:type="dxa"/>
            <w:vAlign w:val="center"/>
            <w:textDirection w:val="lrTb"/>
            <w:noWrap/>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r>
        <w:trPr>
          <w:cantSplit/>
          <w:trHeight w:val="555"/>
        </w:trPr>
        <w:tc>
          <w:tcPr>
            <w:tcW w:w="2338" w:type="dxa"/>
            <w:vAlign w:val="center"/>
            <w:textDirection w:val="lrTb"/>
            <w:noWrap/>
          </w:tcPr>
          <w:p>
            <w:pPr>
              <w:jc w:val="center"/>
              <w:spacing w:line="30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质保期</w:t>
            </w:r>
            <w:r/>
          </w:p>
        </w:tc>
        <w:tc>
          <w:tcPr>
            <w:tcW w:w="6613" w:type="dxa"/>
            <w:vAlign w:val="center"/>
            <w:textDirection w:val="lrTb"/>
            <w:noWrap/>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法定代表人或授权代表签字：                          日期：   年   月   日</w:t>
      </w:r>
      <w:r/>
    </w:p>
    <w:p>
      <w:pPr>
        <w:spacing w:line="360" w:lineRule="auto"/>
        <w:rPr>
          <w:rFonts w:ascii="宋体" w:hAnsi="宋体"/>
          <w:color w:val="auto"/>
          <w:sz w:val="24"/>
          <w:highlight w:val="none"/>
        </w:rPr>
      </w:pPr>
      <w:r>
        <w:rPr>
          <w:rFonts w:hint="eastAsia" w:ascii="宋体" w:hAnsi="宋体"/>
          <w:color w:val="auto"/>
          <w:sz w:val="24"/>
          <w:highlight w:val="none"/>
        </w:rPr>
        <w:t xml:space="preserve">填写说明：</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开标一览表（总价）及开标一览表附录中的内容应与响应函内容一致，否则评标时投标报价一律按开标一览表（总价）中内容为准，其余内容以开标一览表附录中内容为准，开标一览表附录中必须盖章或签字。</w:t>
      </w:r>
      <w:r/>
    </w:p>
    <w:p>
      <w:pPr>
        <w:pStyle w:val="853"/>
        <w:rPr>
          <w:bCs/>
          <w:color w:val="auto"/>
          <w:highlight w:val="none"/>
          <w:lang w:eastAsia="zh-CN"/>
        </w:rPr>
      </w:pPr>
      <w:r>
        <w:rPr>
          <w:bCs/>
          <w:color w:val="auto"/>
          <w:highlight w:val="none"/>
          <w:lang w:eastAsia="zh-CN"/>
        </w:rPr>
      </w:r>
      <w:r/>
    </w:p>
    <w:p>
      <w:pPr>
        <w:pStyle w:val="853"/>
        <w:rPr>
          <w:bCs/>
          <w:color w:val="auto"/>
          <w:highlight w:val="none"/>
          <w:lang w:eastAsia="zh-CN"/>
        </w:rPr>
      </w:pPr>
      <w:r>
        <w:rPr>
          <w:bCs/>
          <w:color w:val="auto"/>
          <w:highlight w:val="none"/>
          <w:lang w:eastAsia="zh-CN"/>
        </w:rPr>
      </w:r>
      <w:r/>
    </w:p>
    <w:p>
      <w:pPr>
        <w:pStyle w:val="853"/>
        <w:rPr>
          <w:bCs/>
          <w:color w:val="auto"/>
          <w:highlight w:val="none"/>
          <w:lang w:eastAsia="zh-CN"/>
        </w:rPr>
      </w:pPr>
      <w:r>
        <w:rPr>
          <w:bCs/>
          <w:color w:val="auto"/>
          <w:highlight w:val="none"/>
          <w:lang w:eastAsia="zh-CN"/>
        </w:rPr>
      </w:r>
      <w:r/>
    </w:p>
    <w:p>
      <w:pPr>
        <w:pStyle w:val="853"/>
        <w:rPr>
          <w:bCs/>
          <w:color w:val="auto"/>
          <w:highlight w:val="none"/>
          <w:lang w:eastAsia="zh-CN"/>
        </w:rPr>
      </w:pPr>
      <w:r>
        <w:rPr>
          <w:bCs/>
          <w:color w:val="auto"/>
          <w:highlight w:val="none"/>
          <w:lang w:eastAsia="zh-CN"/>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numPr>
          <w:ilvl w:val="0"/>
          <w:numId w:val="8"/>
        </w:numPr>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报价明细表（格式）：</w:t>
      </w:r>
      <w:r/>
    </w:p>
    <w:p>
      <w:pPr>
        <w:pStyle w:val="856"/>
        <w:ind w:left="0"/>
        <w:rPr>
          <w:rFonts w:ascii="宋体" w:hAnsi="宋体" w:eastAsia="宋体" w:cs="宋体"/>
          <w:color w:val="auto"/>
          <w:highlight w:val="none"/>
        </w:rPr>
      </w:pPr>
      <w:r>
        <w:rPr>
          <w:rFonts w:ascii="宋体" w:hAnsi="宋体" w:eastAsia="宋体" w:cs="宋体"/>
          <w:color w:val="auto"/>
          <w:highlight w:val="none"/>
        </w:rPr>
      </w:r>
      <w:r/>
    </w:p>
    <w:p>
      <w:pPr>
        <w:pStyle w:val="856"/>
        <w:jc w:val="center"/>
        <w:rPr>
          <w:rFonts w:ascii="宋体" w:hAnsi="宋体" w:eastAsia="宋体" w:cs="宋体"/>
          <w:b/>
          <w:color w:val="auto"/>
          <w:sz w:val="36"/>
          <w:highlight w:val="none"/>
        </w:rPr>
      </w:pPr>
      <w:r>
        <w:rPr>
          <w:rFonts w:hint="eastAsia" w:ascii="宋体" w:hAnsi="宋体" w:eastAsia="宋体" w:cs="宋体"/>
          <w:b/>
          <w:color w:val="auto"/>
          <w:sz w:val="36"/>
          <w:highlight w:val="none"/>
        </w:rPr>
        <w:t xml:space="preserve">报价明细表</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w:t>
      </w:r>
      <w:r/>
    </w:p>
    <w:tbl>
      <w:tblPr>
        <w:tblStyle w:val="848"/>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800"/>
        <w:gridCol w:w="1075"/>
        <w:gridCol w:w="1350"/>
        <w:gridCol w:w="687"/>
        <w:gridCol w:w="663"/>
        <w:gridCol w:w="600"/>
        <w:gridCol w:w="1160"/>
        <w:gridCol w:w="990"/>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序号</w:t>
            </w:r>
            <w:r/>
          </w:p>
        </w:tc>
        <w:tc>
          <w:tcPr>
            <w:tcMar>
              <w:left w:w="15" w:type="dxa"/>
              <w:top w:w="15" w:type="dxa"/>
              <w:right w:w="15" w:type="dxa"/>
              <w:bottom w:w="0" w:type="dxa"/>
            </w:tcMar>
            <w:tcW w:w="800"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标的名称</w:t>
            </w:r>
            <w:r/>
          </w:p>
        </w:tc>
        <w:tc>
          <w:tcPr>
            <w:tcMar>
              <w:left w:w="15" w:type="dxa"/>
              <w:top w:w="15" w:type="dxa"/>
              <w:right w:w="15" w:type="dxa"/>
              <w:bottom w:w="0" w:type="dxa"/>
            </w:tcMar>
            <w:tcW w:w="1075"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品牌型号</w:t>
            </w:r>
            <w:r/>
          </w:p>
        </w:tc>
        <w:tc>
          <w:tcPr>
            <w:tcMar>
              <w:left w:w="15" w:type="dxa"/>
              <w:top w:w="15" w:type="dxa"/>
              <w:right w:w="15" w:type="dxa"/>
              <w:bottom w:w="0" w:type="dxa"/>
            </w:tcMar>
            <w:tcW w:w="1350"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性能指标</w:t>
            </w:r>
            <w:r/>
          </w:p>
        </w:tc>
        <w:tc>
          <w:tcPr>
            <w:tcMar>
              <w:left w:w="15" w:type="dxa"/>
              <w:top w:w="15" w:type="dxa"/>
              <w:right w:w="15" w:type="dxa"/>
              <w:bottom w:w="0" w:type="dxa"/>
            </w:tcMar>
            <w:tcW w:w="687" w:type="dxa"/>
            <w:vAlign w:val="center"/>
            <w:textDirection w:val="lrTb"/>
            <w:noWrap w:val="false"/>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数量</w:t>
            </w:r>
            <w:r/>
          </w:p>
        </w:tc>
        <w:tc>
          <w:tcPr>
            <w:tcMar>
              <w:left w:w="15" w:type="dxa"/>
              <w:top w:w="15" w:type="dxa"/>
              <w:right w:w="15" w:type="dxa"/>
              <w:bottom w:w="0" w:type="dxa"/>
            </w:tcMar>
            <w:tcW w:w="663"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单位</w:t>
            </w:r>
            <w:r/>
          </w:p>
        </w:tc>
        <w:tc>
          <w:tcPr>
            <w:tcMar>
              <w:left w:w="15" w:type="dxa"/>
              <w:top w:w="15" w:type="dxa"/>
              <w:right w:w="15" w:type="dxa"/>
              <w:bottom w:w="0" w:type="dxa"/>
            </w:tcMar>
            <w:tcW w:w="600"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产地</w:t>
            </w:r>
            <w:r/>
          </w:p>
        </w:tc>
        <w:tc>
          <w:tcPr>
            <w:tcW w:w="1160" w:type="dxa"/>
            <w:vAlign w:val="center"/>
            <w:textDirection w:val="lrTb"/>
            <w:noWrap w:val="false"/>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整车质保期及三电质保期</w:t>
            </w:r>
            <w:r/>
          </w:p>
        </w:tc>
        <w:tc>
          <w:tcPr>
            <w:tcW w:w="990" w:type="dxa"/>
            <w:vAlign w:val="center"/>
            <w:textDirection w:val="lrTb"/>
            <w:noWrap w:val="false"/>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单报价（元）</w:t>
            </w:r>
            <w:r/>
          </w:p>
        </w:tc>
        <w:tc>
          <w:tcPr>
            <w:tcW w:w="1062" w:type="dxa"/>
            <w:vAlign w:val="center"/>
            <w:textDirection w:val="lrTb"/>
            <w:noWrap w:val="false"/>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分项总报价（元）</w:t>
            </w:r>
            <w:r/>
          </w:p>
        </w:tc>
      </w:tr>
      <w:tr>
        <w:trPr>
          <w:cantSplit/>
          <w:trHeight w:val="320"/>
        </w:trPr>
        <w:tc>
          <w:tcPr>
            <w:tcMar>
              <w:left w:w="15" w:type="dxa"/>
              <w:top w:w="15" w:type="dxa"/>
              <w:right w:w="15" w:type="dxa"/>
              <w:bottom w:w="0" w:type="dxa"/>
            </w:tcMar>
            <w:tcW w:w="613"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1</w:t>
            </w:r>
            <w:r/>
          </w:p>
        </w:tc>
        <w:tc>
          <w:tcPr>
            <w:tcMar>
              <w:left w:w="15" w:type="dxa"/>
              <w:top w:w="15" w:type="dxa"/>
              <w:right w:w="15" w:type="dxa"/>
              <w:bottom w:w="0" w:type="dxa"/>
            </w:tcMar>
            <w:tcW w:w="800" w:type="dxa"/>
            <w:vAlign w:val="center"/>
            <w:textDirection w:val="lrTb"/>
            <w:noWrap/>
          </w:tcPr>
          <w:p>
            <w:pPr>
              <w:jc w:val="center"/>
              <w:spacing w:before="5"/>
              <w:rPr>
                <w:rFonts w:ascii="宋体" w:hAnsi="宋体" w:eastAsia="宋体" w:cs="宋体"/>
                <w:color w:val="auto"/>
                <w:sz w:val="18"/>
                <w:highlight w:val="none"/>
              </w:rPr>
            </w:pPr>
            <w:r>
              <w:rPr>
                <w:rFonts w:hint="eastAsia" w:ascii="宋体" w:hAnsi="宋体" w:eastAsia="宋体" w:cs="宋体"/>
                <w:color w:val="auto"/>
                <w:sz w:val="18"/>
                <w:highlight w:val="none"/>
              </w:rPr>
              <w:t xml:space="preserve">纯电动生活垃圾转运车</w:t>
            </w:r>
            <w:r/>
          </w:p>
        </w:tc>
        <w:tc>
          <w:tcPr>
            <w:tcMar>
              <w:left w:w="15" w:type="dxa"/>
              <w:top w:w="15" w:type="dxa"/>
              <w:right w:w="15" w:type="dxa"/>
              <w:bottom w:w="0" w:type="dxa"/>
            </w:tcMar>
            <w:tcW w:w="1075" w:type="dxa"/>
            <w:vAlign w:val="center"/>
            <w:textDirection w:val="lrTb"/>
            <w:noWrap w:val="false"/>
          </w:tcPr>
          <w:p>
            <w:pPr>
              <w:pStyle w:val="1085"/>
              <w:tabs>
                <w:tab w:val="clear" w:pos="4153" w:leader="none"/>
                <w:tab w:val="clear" w:pos="8306" w:leader="none"/>
              </w:tabs>
              <w:rPr>
                <w:rFonts w:ascii="宋体" w:hAnsi="宋体" w:eastAsia="宋体" w:cs="宋体"/>
                <w:bCs/>
                <w:color w:val="auto"/>
                <w:highlight w:val="none"/>
              </w:rPr>
              <w:pBdr>
                <w:bottom w:val="none" w:color="000000" w:sz="0" w:space="0"/>
              </w:pBdr>
            </w:pPr>
            <w:r>
              <w:rPr>
                <w:rFonts w:ascii="宋体" w:hAnsi="宋体" w:eastAsia="宋体" w:cs="宋体"/>
                <w:bCs/>
                <w:color w:val="auto"/>
                <w:highlight w:val="none"/>
              </w:rPr>
            </w:r>
            <w:r/>
          </w:p>
        </w:tc>
        <w:tc>
          <w:tcPr>
            <w:tcMar>
              <w:left w:w="15" w:type="dxa"/>
              <w:top w:w="15" w:type="dxa"/>
              <w:right w:w="15" w:type="dxa"/>
              <w:bottom w:w="0" w:type="dxa"/>
            </w:tcMar>
            <w:tcW w:w="1350" w:type="dxa"/>
            <w:textDirection w:val="lrTb"/>
            <w:noWrap w:val="false"/>
          </w:tcPr>
          <w:p>
            <w:pPr>
              <w:jc w:val="center"/>
              <w:rPr>
                <w:rFonts w:ascii="宋体" w:hAnsi="宋体" w:eastAsia="宋体" w:cs="宋体"/>
                <w:bCs/>
                <w:color w:val="auto"/>
                <w:sz w:val="18"/>
                <w:highlight w:val="none"/>
              </w:rPr>
            </w:pPr>
            <w:r>
              <w:rPr>
                <w:rFonts w:ascii="宋体" w:hAnsi="宋体" w:eastAsia="宋体" w:cs="宋体"/>
                <w:bCs/>
                <w:color w:val="auto"/>
                <w:sz w:val="18"/>
                <w:highlight w:val="none"/>
              </w:rPr>
            </w:r>
            <w:r/>
          </w:p>
        </w:tc>
        <w:tc>
          <w:tcPr>
            <w:tcMar>
              <w:left w:w="15" w:type="dxa"/>
              <w:top w:w="15" w:type="dxa"/>
              <w:right w:w="15" w:type="dxa"/>
              <w:bottom w:w="0" w:type="dxa"/>
            </w:tcMar>
            <w:tcW w:w="687" w:type="dxa"/>
            <w:vAlign w:val="center"/>
            <w:textDirection w:val="lrTb"/>
            <w:noWrap w:val="false"/>
          </w:tcPr>
          <w:p>
            <w:pPr>
              <w:jc w:val="center"/>
              <w:rPr>
                <w:rFonts w:hint="default" w:ascii="宋体" w:hAnsi="宋体" w:eastAsia="宋体" w:cs="宋体"/>
                <w:bCs/>
                <w:color w:val="auto"/>
                <w:sz w:val="18"/>
                <w:highlight w:val="none"/>
                <w:lang w:val="en-US" w:eastAsia="zh-CN"/>
              </w:rPr>
            </w:pPr>
            <w:r>
              <w:rPr>
                <w:rFonts w:hint="eastAsia" w:ascii="宋体" w:hAnsi="宋体" w:eastAsia="宋体" w:cs="宋体"/>
                <w:bCs/>
                <w:color w:val="auto"/>
                <w:sz w:val="18"/>
                <w:highlight w:val="none"/>
                <w:lang w:val="en-US" w:eastAsia="zh-CN"/>
              </w:rPr>
              <w:t xml:space="preserve">23</w:t>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auto"/>
                <w:highlight w:val="none"/>
                <w:lang w:eastAsia="zh-CN"/>
              </w:rPr>
            </w:pPr>
            <w:r>
              <w:rPr>
                <w:rFonts w:hint="eastAsia" w:ascii="宋体" w:hAnsi="宋体" w:eastAsia="宋体" w:cs="宋体"/>
                <w:color w:val="auto"/>
                <w:highlight w:val="none"/>
                <w:lang w:val="en-US" w:eastAsia="zh-CN"/>
              </w:rPr>
              <w:t xml:space="preserve">辆</w:t>
            </w:r>
            <w:r/>
          </w:p>
        </w:tc>
        <w:tc>
          <w:tcPr>
            <w:tcMar>
              <w:left w:w="15" w:type="dxa"/>
              <w:top w:w="15" w:type="dxa"/>
              <w:right w:w="15" w:type="dxa"/>
              <w:bottom w:w="0" w:type="dxa"/>
            </w:tcMar>
            <w:tcW w:w="600" w:type="dxa"/>
            <w:vAlign w:val="center"/>
            <w:textDirection w:val="lrTb"/>
            <w:noWrap/>
          </w:tcPr>
          <w:p>
            <w:pPr>
              <w:jc w:val="center"/>
              <w:rPr>
                <w:rFonts w:ascii="宋体" w:hAnsi="宋体" w:eastAsia="宋体" w:cs="宋体"/>
                <w:b/>
                <w:bCs/>
                <w:color w:val="auto"/>
                <w:highlight w:val="none"/>
              </w:rPr>
            </w:pPr>
            <w:r>
              <w:rPr>
                <w:rFonts w:ascii="宋体" w:hAnsi="宋体" w:eastAsia="宋体" w:cs="宋体"/>
                <w:b/>
                <w:bCs/>
                <w:color w:val="auto"/>
                <w:highlight w:val="none"/>
              </w:rPr>
            </w:r>
            <w:r/>
          </w:p>
        </w:tc>
        <w:tc>
          <w:tcPr>
            <w:tcW w:w="1160" w:type="dxa"/>
            <w:vAlign w:val="center"/>
            <w:textDirection w:val="lrTb"/>
            <w:noWrap w:val="false"/>
          </w:tcPr>
          <w:p>
            <w:pPr>
              <w:jc w:val="center"/>
              <w:rPr>
                <w:rFonts w:ascii="宋体" w:hAnsi="宋体" w:eastAsia="宋体" w:cs="宋体"/>
                <w:b/>
                <w:bCs/>
                <w:color w:val="auto"/>
                <w:highlight w:val="none"/>
              </w:rPr>
            </w:pPr>
            <w:r>
              <w:rPr>
                <w:rFonts w:ascii="宋体" w:hAnsi="宋体" w:eastAsia="宋体" w:cs="宋体"/>
                <w:b/>
                <w:bCs/>
                <w:color w:val="auto"/>
                <w:highlight w:val="none"/>
              </w:rPr>
            </w:r>
            <w:r/>
          </w:p>
        </w:tc>
        <w:tc>
          <w:tcPr>
            <w:tcW w:w="990" w:type="dxa"/>
            <w:vAlign w:val="center"/>
            <w:textDirection w:val="lrTb"/>
            <w:noWrap w:val="false"/>
          </w:tcPr>
          <w:p>
            <w:pPr>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tc>
        <w:tc>
          <w:tcPr>
            <w:tcW w:w="1062" w:type="dxa"/>
            <w:vAlign w:val="center"/>
            <w:textDirection w:val="lrTb"/>
            <w:noWrap w:val="false"/>
          </w:tcPr>
          <w:p>
            <w:pPr>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tc>
      </w:tr>
      <w:tr>
        <w:trPr>
          <w:cantSplit/>
          <w:trHeight w:val="635"/>
        </w:trPr>
        <w:tc>
          <w:tcPr>
            <w:gridSpan w:val="3"/>
            <w:tcMar>
              <w:left w:w="15" w:type="dxa"/>
              <w:top w:w="15" w:type="dxa"/>
              <w:right w:w="15" w:type="dxa"/>
              <w:bottom w:w="0" w:type="dxa"/>
            </w:tcMar>
            <w:tcW w:w="2488" w:type="dxa"/>
            <w:vAlign w:val="center"/>
            <w:textDirection w:val="lrTb"/>
            <w:noWrap/>
          </w:tcPr>
          <w:p>
            <w:pPr>
              <w:pStyle w:val="1085"/>
              <w:tabs>
                <w:tab w:val="clear" w:pos="4153" w:leader="none"/>
                <w:tab w:val="clear" w:pos="8306" w:leader="none"/>
              </w:tabs>
              <w:rPr>
                <w:rFonts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合计（元）</w:t>
            </w:r>
            <w:r/>
          </w:p>
        </w:tc>
        <w:tc>
          <w:tcPr>
            <w:gridSpan w:val="7"/>
            <w:tcMar>
              <w:left w:w="15" w:type="dxa"/>
              <w:top w:w="15" w:type="dxa"/>
              <w:right w:w="15" w:type="dxa"/>
              <w:bottom w:w="0" w:type="dxa"/>
            </w:tcMar>
            <w:tcW w:w="6512"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r>
      <w:tr>
        <w:trPr>
          <w:cantSplit/>
          <w:trHeight w:val="635"/>
        </w:trPr>
        <w:tc>
          <w:tcPr>
            <w:gridSpan w:val="3"/>
            <w:tcMar>
              <w:left w:w="15" w:type="dxa"/>
              <w:top w:w="15" w:type="dxa"/>
              <w:right w:w="15" w:type="dxa"/>
              <w:bottom w:w="0" w:type="dxa"/>
            </w:tcMar>
            <w:tcW w:w="2488" w:type="dxa"/>
            <w:vAlign w:val="center"/>
            <w:textDirection w:val="lrTb"/>
            <w:noWrap/>
          </w:tcPr>
          <w:p>
            <w:pPr>
              <w:pStyle w:val="1085"/>
              <w:tabs>
                <w:tab w:val="clear" w:pos="4153" w:leader="none"/>
                <w:tab w:val="clear" w:pos="8306" w:leader="none"/>
              </w:tabs>
              <w:rPr>
                <w:rFonts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供货期</w:t>
            </w:r>
            <w:r/>
          </w:p>
        </w:tc>
        <w:tc>
          <w:tcPr>
            <w:gridSpan w:val="7"/>
            <w:tcMar>
              <w:left w:w="15" w:type="dxa"/>
              <w:top w:w="15" w:type="dxa"/>
              <w:right w:w="15" w:type="dxa"/>
              <w:bottom w:w="0" w:type="dxa"/>
            </w:tcMar>
            <w:tcW w:w="6512" w:type="dxa"/>
            <w:vAlign w:val="center"/>
            <w:textDirection w:val="lrTb"/>
            <w:noWrap w:val="false"/>
          </w:tcPr>
          <w:p>
            <w:pPr>
              <w:jc w:val="center"/>
              <w:rPr>
                <w:rFonts w:ascii="宋体" w:hAnsi="宋体" w:eastAsia="宋体" w:cs="宋体"/>
                <w:bCs/>
                <w:color w:val="auto"/>
                <w:sz w:val="24"/>
                <w:szCs w:val="24"/>
                <w:highlight w:val="none"/>
                <w:u w:val="single"/>
              </w:rPr>
            </w:pPr>
            <w:r>
              <w:rPr>
                <w:rFonts w:ascii="宋体" w:hAnsi="宋体" w:eastAsia="宋体" w:cs="宋体"/>
                <w:bCs/>
                <w:color w:val="auto"/>
                <w:sz w:val="24"/>
                <w:szCs w:val="24"/>
                <w:highlight w:val="none"/>
                <w:u w:val="single"/>
              </w:rPr>
            </w:r>
            <w:r/>
          </w:p>
        </w:tc>
      </w:tr>
      <w:tr>
        <w:trPr>
          <w:cantSplit/>
          <w:trHeight w:val="645"/>
        </w:trPr>
        <w:tc>
          <w:tcPr>
            <w:gridSpan w:val="3"/>
            <w:tcMar>
              <w:left w:w="15" w:type="dxa"/>
              <w:top w:w="15" w:type="dxa"/>
              <w:right w:w="15" w:type="dxa"/>
              <w:bottom w:w="0" w:type="dxa"/>
            </w:tcMar>
            <w:tcW w:w="2488" w:type="dxa"/>
            <w:vAlign w:val="center"/>
            <w:textDirection w:val="lrTb"/>
            <w:noWrap/>
          </w:tcPr>
          <w:p>
            <w:pPr>
              <w:pStyle w:val="1085"/>
              <w:tabs>
                <w:tab w:val="clear" w:pos="4153" w:leader="none"/>
                <w:tab w:val="clear" w:pos="8306" w:leader="none"/>
              </w:tabs>
              <w:rPr>
                <w:rFonts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项目整体免费质保期</w:t>
            </w:r>
            <w:r/>
          </w:p>
        </w:tc>
        <w:tc>
          <w:tcPr>
            <w:gridSpan w:val="7"/>
            <w:tcMar>
              <w:left w:w="15" w:type="dxa"/>
              <w:top w:w="15" w:type="dxa"/>
              <w:right w:w="15" w:type="dxa"/>
              <w:bottom w:w="0" w:type="dxa"/>
            </w:tcMar>
            <w:tcW w:w="6512" w:type="dxa"/>
            <w:vAlign w:val="center"/>
            <w:textDirection w:val="lrTb"/>
            <w:noWrap w:val="false"/>
          </w:tcPr>
          <w:p>
            <w:pPr>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tc>
      </w:tr>
    </w:tbl>
    <w:p>
      <w:pPr>
        <w:spacing w:line="2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rPr>
          <w:rFonts w:ascii="宋体" w:hAnsi="宋体" w:eastAsia="宋体" w:cs="宋体"/>
          <w:color w:val="auto"/>
          <w:highlight w:val="none"/>
        </w:rPr>
      </w:pPr>
      <w:r>
        <w:rPr>
          <w:rFonts w:hint="eastAsia" w:ascii="宋体" w:hAnsi="宋体" w:eastAsia="宋体" w:cs="宋体"/>
          <w:b/>
          <w:bCs/>
          <w:color w:val="auto"/>
          <w:sz w:val="24"/>
          <w:szCs w:val="24"/>
          <w:highlight w:val="none"/>
        </w:rPr>
        <w:t xml:space="preserve">上述报价表不限于此，结合第三章“项目要求和有关说明详细清单”自行编制。</w:t>
      </w:r>
      <w:r/>
    </w:p>
    <w:p>
      <w:pPr>
        <w:spacing w:line="400" w:lineRule="exact"/>
        <w:rPr>
          <w:rFonts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）投标供应商应当根据“项目技术要求和有关说明”的内容在上表中详细填写；</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）表格不够可自行延长，</w:t>
      </w:r>
      <w:r>
        <w:rPr>
          <w:rFonts w:hint="eastAsia" w:ascii="宋体" w:hAnsi="宋体" w:eastAsia="宋体" w:cs="宋体"/>
          <w:bCs/>
          <w:color w:val="auto"/>
          <w:sz w:val="24"/>
          <w:szCs w:val="24"/>
          <w:highlight w:val="none"/>
        </w:rPr>
        <w:t xml:space="preserve">但不得改变文本格式；</w:t>
      </w:r>
      <w:r/>
    </w:p>
    <w:p>
      <w:pPr>
        <w:ind w:right="153"/>
        <w:spacing w:after="120" w:line="420" w:lineRule="exact"/>
        <w:tabs>
          <w:tab w:val="left" w:pos="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（3）投标供应商对所报相关数据的真实性负责；</w:t>
      </w:r>
      <w:r/>
    </w:p>
    <w:p>
      <w:pPr>
        <w:ind w:right="-511"/>
        <w:spacing w:after="120" w:line="420" w:lineRule="exact"/>
        <w:tabs>
          <w:tab w:val="left" w:pos="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（4）该报价包括实施本项目所需的全部设备、辅助材料、人工费、服务费、运输费、税金、安装调试费及其他一切费用。如有漏项，均由中标人承担；以上报价为含税价</w:t>
      </w:r>
      <w:r/>
    </w:p>
    <w:p>
      <w:pPr>
        <w:pStyle w:val="898"/>
        <w:rPr>
          <w:rFonts w:ascii="宋体" w:hAnsi="宋体" w:cs="宋体"/>
          <w:color w:val="auto"/>
          <w:highlight w:val="none"/>
        </w:rPr>
      </w:pPr>
      <w:r>
        <w:rPr>
          <w:rFonts w:ascii="宋体" w:hAnsi="宋体" w:cs="宋体"/>
          <w:color w:val="auto"/>
          <w:highlight w:val="none"/>
        </w:rPr>
      </w:r>
      <w:r/>
    </w:p>
    <w:p>
      <w:pPr>
        <w:ind w:right="-511"/>
        <w:spacing w:after="120" w:line="420" w:lineRule="exact"/>
        <w:tabs>
          <w:tab w:val="left" w:pos="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right="-511"/>
        <w:spacing w:after="120" w:line="420" w:lineRule="exact"/>
        <w:tabs>
          <w:tab w:val="left" w:pos="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w:t>
      </w:r>
      <w:r/>
    </w:p>
    <w:p>
      <w:pPr>
        <w:pStyle w:val="1066"/>
        <w:ind w:firstLine="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（七） </w:t>
      </w:r>
      <w:r>
        <w:rPr>
          <w:rFonts w:hint="eastAsia" w:ascii="宋体" w:hAnsi="宋体" w:eastAsia="宋体" w:cs="宋体"/>
          <w:bCs/>
          <w:color w:val="auto"/>
          <w:sz w:val="24"/>
          <w:szCs w:val="32"/>
          <w:highlight w:val="none"/>
        </w:rPr>
        <w:t xml:space="preserve">服务保障承诺书（格式）：</w:t>
      </w:r>
      <w:r/>
    </w:p>
    <w:p>
      <w:pPr>
        <w:jc w:val="cente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jc w:val="left"/>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供应商名称）针对本次</w:t>
      </w:r>
      <w:r>
        <w:rPr>
          <w:rFonts w:hint="eastAsia" w:ascii="宋体" w:hAnsi="宋体" w:eastAsia="宋体" w:cs="宋体"/>
          <w:bCs/>
          <w:color w:val="auto"/>
          <w:sz w:val="24"/>
          <w:highlight w:val="none"/>
          <w:u w:val="single"/>
          <w:lang w:eastAsia="zh-CN"/>
        </w:rPr>
        <w:t xml:space="preserve">新能源转运车采购项目</w:t>
      </w:r>
      <w:r>
        <w:rPr>
          <w:rFonts w:hint="eastAsia" w:ascii="宋体" w:hAnsi="宋体" w:eastAsia="宋体" w:cs="宋体"/>
          <w:color w:val="auto"/>
          <w:sz w:val="24"/>
          <w:szCs w:val="24"/>
          <w:highlight w:val="none"/>
        </w:rPr>
        <w:t xml:space="preserve">在此承诺：</w:t>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372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3720"/>
        <w:spacing w:line="48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（盖章）：</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ascii="宋体" w:hAnsi="宋体" w:eastAsia="宋体" w:cs="宋体"/>
          <w:b/>
          <w:color w:val="auto"/>
          <w:szCs w:val="21"/>
          <w:highlight w:val="none"/>
        </w:rPr>
      </w:pPr>
      <w:r>
        <w:rPr>
          <w:rFonts w:ascii="宋体" w:hAnsi="宋体" w:eastAsia="宋体" w:cs="宋体"/>
          <w:b/>
          <w:color w:val="auto"/>
          <w:szCs w:val="21"/>
          <w:highlight w:val="none"/>
        </w:rPr>
      </w:r>
      <w:r/>
    </w:p>
    <w:p>
      <w:pPr>
        <w:ind w:firstLine="420"/>
        <w:spacing w:line="48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注：以上内容由投标单位根据采购要求自行完善。</w:t>
      </w:r>
      <w:r/>
    </w:p>
    <w:p>
      <w:pPr>
        <w:pStyle w:val="1066"/>
        <w:ind w:firstLine="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66"/>
        <w:ind w:firstLine="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20"/>
        <w:rPr>
          <w:rFonts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（八）投标偏离表（格式）：</w:t>
      </w:r>
      <w:r/>
    </w:p>
    <w:p>
      <w:pPr>
        <w:ind w:firstLine="490"/>
        <w:jc w:val="cente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firstLine="490"/>
        <w:jc w:val="cente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ind w:firstLine="490"/>
        <w:jc w:val="center"/>
        <w:rPr>
          <w:rFonts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投标偏离表</w:t>
      </w:r>
      <w:r/>
    </w:p>
    <w:p>
      <w:pPr>
        <w:jc w:val="center"/>
        <w:spacing w:line="400" w:lineRule="exact"/>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4"/>
          <w:szCs w:val="24"/>
          <w:highlight w:val="none"/>
        </w:rPr>
        <w:t xml:space="preserve">供应商名称（盖章）                      采购项目编号：</w:t>
      </w:r>
      <w:r>
        <w:rPr>
          <w:rFonts w:hint="eastAsia" w:ascii="宋体" w:hAnsi="宋体" w:eastAsia="宋体" w:cs="宋体"/>
          <w:color w:val="auto"/>
          <w:highlight w:val="none"/>
          <w:lang w:eastAsia="zh-CN"/>
        </w:rPr>
        <w:t xml:space="preserve">JSZC-320200-JYJH-G2025-0003</w:t>
      </w:r>
      <w:r/>
    </w:p>
    <w:tbl>
      <w:tblPr>
        <w:tblStyle w:val="848"/>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bl>
    <w:p>
      <w:pP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ascii="宋体" w:hAnsi="宋体" w:eastAsia="宋体" w:cs="宋体"/>
          <w:bCs/>
          <w:color w:val="auto"/>
          <w:sz w:val="30"/>
          <w:highlight w:val="none"/>
        </w:rPr>
      </w:pPr>
      <w:r>
        <w:rPr>
          <w:rFonts w:ascii="宋体" w:hAnsi="宋体" w:eastAsia="宋体" w:cs="宋体"/>
          <w:bCs/>
          <w:color w:val="auto"/>
          <w:sz w:val="30"/>
          <w:highlight w:val="none"/>
        </w:rPr>
      </w:r>
      <w:r/>
    </w:p>
    <w:p>
      <w:pPr>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w:t>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（1）本表不得删除；</w:t>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（2）如无任何服务偏离，请于本表 “偏离说明”中注明“无偏离”；</w:t>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（3）如有服务偏离项，请于本表中列明偏离内容，如需要可自行延长，其余无偏离内容不须赘述。</w:t>
      </w:r>
      <w:r/>
    </w:p>
    <w:p>
      <w:pPr>
        <w:ind w:firstLine="480"/>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898"/>
        <w:ind w:left="728" w:hanging="340"/>
        <w:jc w:val="both"/>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（5）表格不够可自行延长，但不得改变文本格式；</w:t>
      </w:r>
      <w:r/>
    </w:p>
    <w:p>
      <w:pPr>
        <w:rPr>
          <w:color w:val="auto"/>
          <w:highlight w:val="none"/>
        </w:rPr>
      </w:pPr>
      <w:r>
        <w:rPr>
          <w:color w:val="auto"/>
          <w:highlight w:val="none"/>
        </w:rPr>
      </w:r>
      <w:r/>
    </w:p>
    <w:p>
      <w:pPr>
        <w:numPr>
          <w:ilvl w:val="0"/>
          <w:numId w:val="9"/>
        </w:numPr>
        <w:jc w:val="left"/>
        <w:pageBreakBefore/>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投标供应商情况表（格式）</w:t>
      </w:r>
      <w:r/>
    </w:p>
    <w:p>
      <w:pPr>
        <w:pStyle w:val="895"/>
        <w:numPr>
          <w:ilvl w:val="1"/>
          <w:numId w:val="0"/>
        </w:numPr>
        <w:rPr>
          <w:color w:val="auto"/>
          <w:highlight w:val="none"/>
        </w:rPr>
      </w:pPr>
      <w:r>
        <w:rPr>
          <w:color w:val="auto"/>
          <w:highlight w:val="none"/>
        </w:rPr>
      </w:r>
      <w:r/>
    </w:p>
    <w:p>
      <w:pPr>
        <w:pStyle w:val="1039"/>
        <w:ind w:firstLine="0"/>
        <w:jc w:val="center"/>
        <w:rPr>
          <w:rFonts w:ascii="宋体" w:hAnsi="宋体" w:cs="宋体"/>
          <w:bCs/>
          <w:color w:val="auto"/>
          <w:szCs w:val="21"/>
          <w:highlight w:val="none"/>
        </w:rPr>
      </w:pPr>
      <w:r>
        <w:rPr>
          <w:rFonts w:hint="eastAsia" w:ascii="宋体" w:hAnsi="宋体" w:cs="宋体"/>
          <w:bCs/>
          <w:color w:val="auto"/>
          <w:szCs w:val="21"/>
          <w:highlight w:val="none"/>
        </w:rPr>
        <w:t xml:space="preserve">投标供应商情况表</w:t>
      </w:r>
      <w:r/>
    </w:p>
    <w:p>
      <w:pPr>
        <w:ind w:firstLine="420"/>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20"/>
        <w:jc w:val="center"/>
        <w:rPr>
          <w:rFonts w:ascii="宋体" w:hAnsi="宋体" w:eastAsia="宋体" w:cs="宋体"/>
          <w:color w:val="auto"/>
          <w:highlight w:val="none"/>
        </w:rPr>
      </w:pPr>
      <w:r>
        <w:rPr>
          <w:rFonts w:ascii="宋体" w:hAnsi="宋体" w:eastAsia="宋体" w:cs="宋体"/>
          <w:color w:val="auto"/>
          <w:highlight w:val="none"/>
        </w:rPr>
      </w:r>
      <w:r/>
    </w:p>
    <w:tbl>
      <w:tblPr>
        <w:tblStyle w:val="84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2023年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2023年 万元</w:t>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bl>
    <w:p>
      <w:pPr>
        <w:jc w:val="left"/>
        <w:rPr>
          <w:rFonts w:ascii="宋体" w:hAnsi="宋体" w:eastAsia="宋体" w:cs="宋体"/>
          <w:color w:val="auto"/>
          <w:highlight w:val="none"/>
        </w:rPr>
      </w:pPr>
      <w:r>
        <w:rPr>
          <w:rFonts w:ascii="宋体" w:hAnsi="宋体" w:eastAsia="宋体" w:cs="宋体"/>
          <w:color w:val="auto"/>
          <w:highlight w:val="none"/>
        </w:rPr>
      </w:r>
      <w:r/>
    </w:p>
    <w:p>
      <w:pPr>
        <w:pStyle w:val="1037"/>
        <w:spacing w:before="0" w:after="160"/>
        <w:rPr>
          <w:rFonts w:ascii="宋体" w:hAnsi="宋体" w:eastAsia="宋体" w:cs="宋体"/>
          <w:b w:val="0"/>
          <w:color w:val="auto"/>
          <w:sz w:val="24"/>
          <w:highlight w:val="none"/>
        </w:rPr>
      </w:pPr>
      <w:r/>
      <w:bookmarkStart w:id="70" w:name="_Toc112006946"/>
      <w:r>
        <w:rPr>
          <w:rFonts w:hint="eastAsia" w:ascii="宋体" w:hAnsi="宋体" w:eastAsia="宋体" w:cs="宋体"/>
          <w:b w:val="0"/>
          <w:color w:val="auto"/>
          <w:sz w:val="24"/>
          <w:highlight w:val="none"/>
        </w:rPr>
        <w:t xml:space="preserve">（十）（供应商）中小企业声明函（格式）</w:t>
      </w:r>
      <w:bookmarkEnd w:id="70"/>
      <w:r/>
      <w:r/>
    </w:p>
    <w:p>
      <w:pPr>
        <w:jc w:val="center"/>
        <w:spacing w:line="360" w:lineRule="auto"/>
        <w:rPr>
          <w:rFonts w:ascii="宋体" w:hAnsi="宋体" w:eastAsia="宋体" w:cs="宋体"/>
          <w:bCs/>
          <w:color w:val="auto"/>
          <w:sz w:val="32"/>
          <w:szCs w:val="32"/>
          <w:highlight w:val="none"/>
        </w:rPr>
      </w:pPr>
      <w:r/>
      <w:bookmarkStart w:id="71" w:name="_Toc112006947"/>
      <w:r>
        <w:rPr>
          <w:rFonts w:hint="eastAsia" w:ascii="宋体" w:hAnsi="宋体" w:eastAsia="宋体" w:cs="宋体"/>
          <w:color w:val="auto"/>
          <w:sz w:val="32"/>
          <w:szCs w:val="32"/>
          <w:highlight w:val="none"/>
        </w:rPr>
        <w:t xml:space="preserve">中小企业声明函（货物）</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号）的规定，本公司参加</w:t>
      </w:r>
      <w:r>
        <w:rPr>
          <w:rFonts w:hint="eastAsia" w:ascii="宋体" w:hAnsi="宋体" w:eastAsia="宋体" w:cs="宋体"/>
          <w:i/>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i/>
          <w:color w:val="auto"/>
          <w:sz w:val="24"/>
          <w:highlight w:val="none"/>
          <w:u w:val="single"/>
        </w:rPr>
        <w:t xml:space="preserve">（项目名称）</w:t>
      </w:r>
      <w:r>
        <w:rPr>
          <w:rFonts w:hint="eastAsia" w:ascii="宋体" w:hAnsi="宋体" w:eastAsia="宋体" w:cs="宋体"/>
          <w:color w:val="auto"/>
          <w:sz w:val="24"/>
          <w:highlight w:val="none"/>
        </w:rPr>
        <w:t xml:space="preserve">采购活动，提供的货物全部由符合政策要求的中小企业制造。企业的具体情况如下：</w:t>
      </w:r>
      <w:r/>
    </w:p>
    <w:p>
      <w:pPr>
        <w:numPr>
          <w:ilvl w:val="0"/>
          <w:numId w:val="10"/>
        </w:num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（标的名称）</w:t>
      </w:r>
      <w:r>
        <w:rPr>
          <w:rFonts w:hint="eastAsia" w:ascii="宋体" w:hAnsi="宋体" w:eastAsia="宋体" w:cs="宋体"/>
          <w:color w:val="auto"/>
          <w:sz w:val="24"/>
          <w:highlight w:val="none"/>
        </w:rPr>
        <w:t xml:space="preserve">，属于（采购文件中明确的所属行业）行业；制造商为</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（企业名称），从业人员人，营业收入为万元，资产总额为万元 ，属于（中型企业、小型企业、微型企业）；</w:t>
      </w:r>
      <w:r/>
    </w:p>
    <w:p>
      <w:pPr>
        <w:numPr>
          <w:ilvl w:val="0"/>
          <w:numId w:val="10"/>
        </w:num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（标的名称</w:t>
      </w:r>
      <w:r>
        <w:rPr>
          <w:rFonts w:hint="eastAsia" w:ascii="宋体" w:hAnsi="宋体" w:eastAsia="宋体" w:cs="宋体"/>
          <w:color w:val="auto"/>
          <w:sz w:val="24"/>
          <w:highlight w:val="none"/>
        </w:rPr>
        <w:t xml:space="preserve">），属于（采购文件中明确的所属行业）行业；制造商为</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（企业名称），从业人员人，营业收入为万元，资产总额为万元 ，属于（中型企业、小型企业、微型企业）；</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73"/>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以上企业，不属于大企业的分支机构，不存在控股股东为大企业的情形，也不存在与大企业的负责人为同一人的情形。</w:t>
      </w:r>
      <w:r/>
    </w:p>
    <w:p>
      <w:pPr>
        <w:pStyle w:val="873"/>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本企业对上述声明内容的真实性负责。如有虚假，将依法承担相应责任。</w:t>
      </w:r>
      <w:r/>
    </w:p>
    <w:p>
      <w:pPr>
        <w:pStyle w:val="873"/>
        <w:ind w:firstLine="388"/>
        <w:jc w:val="center"/>
        <w:spacing w:before="120" w:beforeAutospacing="0" w:after="120" w:afterAutospacing="0" w:line="360" w:lineRule="auto"/>
        <w:rPr>
          <w:rFonts w:eastAsia="宋体"/>
          <w:color w:val="auto"/>
          <w:highlight w:val="none"/>
        </w:rPr>
      </w:pPr>
      <w:r>
        <w:rPr>
          <w:rFonts w:hint="eastAsia" w:eastAsia="宋体"/>
          <w:color w:val="auto"/>
          <w:highlight w:val="none"/>
        </w:rPr>
        <w:t xml:space="preserve">                                                企业名称（盖章）：</w:t>
      </w:r>
      <w:r/>
    </w:p>
    <w:p>
      <w:pPr>
        <w:ind w:firstLine="4800"/>
        <w:jc w:val="center"/>
        <w:spacing w:before="120" w:after="12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备注：</w:t>
      </w:r>
      <w:r>
        <w:rPr>
          <w:rFonts w:hint="eastAsia" w:ascii="宋体" w:hAnsi="宋体" w:eastAsia="宋体" w:cs="宋体"/>
          <w:color w:val="auto"/>
          <w:sz w:val="24"/>
          <w:szCs w:val="24"/>
          <w:highlight w:val="none"/>
        </w:rPr>
        <w:t xml:space="preserve">（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（2）从业人员、营业收入、资产总额填报上一年度数据，无上一年度数据的新成立企业可不填报。</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（3）在货物采购项目中，供应商提供的货物既有中小企业制造货物，也有大型企业制造货物的，不享受本办法规定的中小企业扶持政策。</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r/>
    </w:p>
    <w:p>
      <w:pPr>
        <w:pStyle w:val="1037"/>
        <w:spacing w:before="160" w:after="160"/>
        <w:rPr>
          <w:rFonts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t xml:space="preserve">（十一）（供应商）残疾人福利性单位声明函（格式）：</w:t>
      </w:r>
      <w:bookmarkEnd w:id="71"/>
      <w:r/>
      <w:r/>
    </w:p>
    <w:p>
      <w:pPr>
        <w:spacing w:line="588" w:lineRule="exact"/>
        <w:rPr>
          <w:rFonts w:ascii="宋体" w:hAnsi="宋体" w:eastAsia="宋体" w:cs="宋体"/>
          <w:b/>
          <w:color w:val="auto"/>
          <w:spacing w:val="6"/>
          <w:sz w:val="30"/>
          <w:szCs w:val="30"/>
          <w:highlight w:val="none"/>
        </w:rPr>
      </w:pPr>
      <w:r>
        <w:rPr>
          <w:rFonts w:ascii="宋体" w:hAnsi="宋体" w:eastAsia="宋体" w:cs="宋体"/>
          <w:b/>
          <w:color w:val="auto"/>
          <w:spacing w:val="6"/>
          <w:sz w:val="30"/>
          <w:szCs w:val="30"/>
          <w:highlight w:val="none"/>
        </w:rPr>
      </w:r>
      <w:r/>
    </w:p>
    <w:p>
      <w:pPr>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hint="eastAsia" w:ascii="宋体" w:hAnsi="宋体" w:eastAsia="宋体" w:cs="宋体"/>
          <w:color w:val="auto"/>
          <w:highlight w:val="none"/>
        </w:rPr>
        <w:br w:type="page" w:clear="all"/>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（十二）服务方案（格式）</w:t>
      </w:r>
      <w:r/>
    </w:p>
    <w:p>
      <w:pPr>
        <w:ind w:firstLine="480"/>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供应商应按评分标准中的顺序编制完整的服务方案，以便评审。</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left="120"/>
        <w:spacing w:line="360" w:lineRule="auto"/>
        <w:rPr>
          <w:rFonts w:ascii="宋体" w:hAnsi="宋体" w:eastAsia="宋体" w:cs="宋体"/>
          <w:bCs/>
          <w:color w:val="auto"/>
          <w:highlight w:val="none"/>
        </w:rPr>
      </w:pPr>
      <w:r>
        <w:rPr>
          <w:rFonts w:hint="eastAsia" w:ascii="宋体" w:hAnsi="宋体" w:eastAsia="宋体" w:cs="宋体"/>
          <w:bCs/>
          <w:color w:val="auto"/>
          <w:sz w:val="24"/>
          <w:szCs w:val="24"/>
          <w:highlight w:val="none"/>
        </w:rPr>
        <w:t xml:space="preserve">供应商名称（盖章）：</w:t>
      </w:r>
      <w:r/>
    </w:p>
    <w:p>
      <w:pPr>
        <w:ind w:left="1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ascii="宋体" w:hAnsi="宋体" w:eastAsia="宋体" w:cs="宋体"/>
          <w:bCs/>
          <w:color w:val="auto"/>
          <w:sz w:val="24"/>
          <w:szCs w:val="24"/>
          <w:highlight w:val="none"/>
        </w:rPr>
        <w:sectPr>
          <w:headerReference w:type="default" r:id="rId11"/>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eastAsia="宋体" w:cs="宋体"/>
          <w:bCs/>
          <w:color w:val="auto"/>
          <w:sz w:val="24"/>
          <w:szCs w:val="24"/>
          <w:highlight w:val="none"/>
        </w:rPr>
      </w:r>
      <w:r/>
    </w:p>
    <w:p>
      <w:pPr>
        <w:pStyle w:val="1037"/>
        <w:spacing w:before="160" w:after="160"/>
        <w:rPr>
          <w:rFonts w:ascii="宋体" w:hAnsi="宋体" w:eastAsia="宋体" w:cs="宋体"/>
          <w:b w:val="0"/>
          <w:color w:val="auto"/>
          <w:sz w:val="24"/>
          <w:highlight w:val="none"/>
        </w:rPr>
      </w:pPr>
      <w:r/>
      <w:bookmarkStart w:id="72" w:name="_Toc112006949"/>
      <w:r>
        <w:rPr>
          <w:rFonts w:hint="eastAsia" w:ascii="宋体" w:hAnsi="宋体" w:eastAsia="宋体" w:cs="宋体"/>
          <w:b w:val="0"/>
          <w:color w:val="auto"/>
          <w:sz w:val="24"/>
          <w:highlight w:val="none"/>
        </w:rPr>
        <w:t xml:space="preserve">（十三）（供应商）其他材料</w:t>
      </w:r>
      <w:bookmarkEnd w:id="72"/>
      <w:r>
        <w:rPr>
          <w:rFonts w:hint="eastAsia" w:ascii="宋体" w:hAnsi="宋体" w:eastAsia="宋体" w:cs="宋体"/>
          <w:b w:val="0"/>
          <w:color w:val="auto"/>
          <w:sz w:val="24"/>
          <w:highlight w:val="none"/>
        </w:rPr>
        <w:t xml:space="preserve">：</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供应商认为有必要提供的声明和文件，如有自拟并自行添加</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4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w:t>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附件三、备品备件</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bl>
      <w:tblPr>
        <w:tblStyle w:val="848"/>
        <w:tblW w:w="852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33"/>
        <w:gridCol w:w="7387"/>
      </w:tblGrid>
      <w:tr>
        <w:trPr>
          <w:trHeight w:val="515"/>
        </w:trPr>
        <w:tc>
          <w:tcPr>
            <w:gridSpan w:val="2"/>
            <w:shd w:val="clear" w:color="auto" w:fill="auto"/>
            <w:tcBorders>
              <w:top w:val="single" w:color="auto" w:sz="4" w:space="0"/>
              <w:left w:val="single" w:color="auto" w:sz="4" w:space="0"/>
              <w:bottom w:val="single" w:color="auto" w:sz="4" w:space="0"/>
              <w:right w:val="single" w:color="auto" w:sz="4" w:space="0"/>
            </w:tcBorders>
            <w:tcW w:w="852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备品备件清单</w:t>
            </w:r>
            <w:r/>
          </w:p>
        </w:tc>
      </w:tr>
      <w:tr>
        <w:trPr>
          <w:trHeight w:val="379"/>
        </w:trPr>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传感器</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继电器</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密封圈</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接近开关</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保养黄油</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油封</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灯具（指示灯、声光报警灯、标志灯等）</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胶管</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胶垫</w:t>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自润滑轴承</w:t>
            </w:r>
            <w:r/>
          </w:p>
        </w:tc>
      </w:tr>
      <w:tr>
        <w:trPr>
          <w:trHeight w:val="1562"/>
        </w:trPr>
        <w:tc>
          <w:tcPr>
            <w:gridSpan w:val="2"/>
            <w:shd w:val="clear" w:color="auto" w:fill="auto"/>
            <w:tcBorders>
              <w:top w:val="single" w:color="000000" w:sz="4" w:space="0"/>
              <w:left w:val="single" w:color="000000" w:sz="4" w:space="0"/>
              <w:bottom w:val="single" w:color="000000" w:sz="4" w:space="0"/>
              <w:right w:val="single" w:color="000000" w:sz="4" w:space="0"/>
            </w:tcBorders>
            <w:tcW w:w="8520"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需提供包括但不限于以上内容的备品备件清单，具体数量根据实际车型需要确定。投标时投标单位列明备品备件清单，标明名称、数量和金额，备品备件清单总金额不少于2万元/辆。</w:t>
            </w:r>
            <w:r/>
          </w:p>
        </w:tc>
      </w:tr>
    </w:tbl>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附件四、梁溪集装箱</w:t>
      </w:r>
      <w:r/>
    </w:p>
    <w:p>
      <w:pPr>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r>
      <w:r/>
    </w:p>
    <w:p>
      <w:pPr>
        <w:rPr>
          <w:rFonts w:hint="default" w:ascii="宋体" w:hAnsi="宋体" w:eastAsia="宋体" w:cs="宋体"/>
          <w:color w:val="auto"/>
          <w:sz w:val="24"/>
          <w:szCs w:val="28"/>
          <w:highlight w:val="none"/>
          <w:lang w:val="en-US" w:eastAsia="zh-CN"/>
        </w:rPr>
      </w:pPr>
      <w:r>
        <w:rPr>
          <w:color w:val="auto"/>
          <w:highlight w:val="none"/>
        </w:rPr>
        <mc:AlternateContent>
          <mc:Choice Requires="wpg">
            <w:drawing>
              <wp:inline xmlns:wp="http://schemas.openxmlformats.org/drawingml/2006/wordprocessingDrawing" distT="0" distB="0" distL="0" distR="0">
                <wp:extent cx="4800600" cy="7562215"/>
                <wp:effectExtent l="0" t="0" r="0" b="6985"/>
                <wp:docPr id="9" name="图片 1" descr="新吴2406箱与车对接尺寸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新吴2406箱与车对接尺寸24"/>
                        <pic:cNvPicPr>
                          <a:picLocks noChangeAspect="1"/>
                        </pic:cNvPicPr>
                        <pic:nvPr/>
                      </pic:nvPicPr>
                      <pic:blipFill>
                        <a:blip r:embed="rId17"/>
                        <a:stretch/>
                      </pic:blipFill>
                      <pic:spPr bwMode="auto">
                        <a:xfrm>
                          <a:off x="0" y="0"/>
                          <a:ext cx="4800600" cy="7562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78.0pt;height:595.4pt;mso-wrap-distance-left:0.0pt;mso-wrap-distance-top:0.0pt;mso-wrap-distance-right:0.0pt;mso-wrap-distance-bottom:0.0pt;" stroked="f">
                <v:path textboxrect="0,0,0,0"/>
                <v:imagedata r:id="rId17" o:title=""/>
              </v:shape>
            </w:pict>
          </mc:Fallback>
        </mc:AlternateContent>
      </w:r>
      <w:r/>
    </w:p>
    <w:p>
      <w:pPr>
        <w:jc w:val="left"/>
        <w:widowControl/>
        <w:rPr>
          <w:rFonts w:hint="eastAsia" w:ascii="宋体" w:hAnsi="宋体" w:cs="宋体"/>
          <w:color w:val="auto"/>
          <w:sz w:val="28"/>
          <w:szCs w:val="24"/>
          <w:highlight w:val="none"/>
          <w:lang w:bidi="ar"/>
        </w:rPr>
      </w:pPr>
      <w:r>
        <w:rPr>
          <w:rFonts w:hint="eastAsia" w:ascii="宋体" w:hAnsi="宋体" w:cs="宋体"/>
          <w:color w:val="auto"/>
          <w:sz w:val="28"/>
          <w:szCs w:val="24"/>
          <w:highlight w:val="none"/>
          <w:lang w:bidi="ar"/>
        </w:rPr>
        <w:t xml:space="preserve">集装箱有效容积：24m³。</w:t>
      </w:r>
      <w:r/>
    </w:p>
    <w:p>
      <w:pPr>
        <w:jc w:val="left"/>
        <w:widowControl/>
        <w:rPr>
          <w:rFonts w:hint="eastAsia" w:ascii="宋体" w:hAnsi="宋体" w:cs="宋体"/>
          <w:color w:val="auto"/>
          <w:sz w:val="28"/>
          <w:szCs w:val="24"/>
          <w:highlight w:val="none"/>
          <w:lang w:bidi="ar"/>
        </w:rPr>
      </w:pPr>
      <w:r>
        <w:rPr>
          <w:rFonts w:hint="eastAsia" w:ascii="宋体" w:hAnsi="宋体" w:cs="宋体"/>
          <w:color w:val="auto"/>
          <w:sz w:val="28"/>
          <w:szCs w:val="24"/>
          <w:highlight w:val="none"/>
          <w:lang w:bidi="ar"/>
        </w:rPr>
        <w:t xml:space="preserve">集装箱自重：4000kg。</w:t>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附件五、梁溪垃圾转运站一体式直流充电桩用户手册（详见招标文件附件）</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Wingdings">
    <w:panose1 w:val="05000000000000000000"/>
  </w:font>
  <w:font w:name="华文楷体">
    <w:panose1 w:val="02010600040101010101"/>
  </w:font>
  <w:font w:name="Verdana">
    <w:panose1 w:val="020B0604030504040204"/>
  </w:font>
  <w:font w:name="仿宋_GB2312">
    <w:panose1 w:val="02010609060101010101"/>
  </w:font>
  <w:font w:name="华文中宋">
    <w:panose1 w:val="02010600040101010101"/>
  </w:font>
  <w:font w:name="黑体">
    <w:panose1 w:val="02010609060101010101"/>
  </w:font>
  <w:font w:name="Courier New">
    <w:panose1 w:val="02070309020205020404"/>
  </w:font>
  <w:font w:name="MicrosoftYaHei-Identity-H">
    <w:panose1 w:val="020B0503020204020204"/>
  </w:font>
  <w:font w:name="楷体_GB2312">
    <w:panose1 w:val="02010609060101010101"/>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仿宋">
    <w:panose1 w:val="02010609060101010101"/>
  </w:font>
  <w:font w:name="等线">
    <w:panose1 w:val="02010600030101010101"/>
  </w:font>
  <w:font w:name="等线 Light">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70"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0"/>
      <w:spacing w:line="170"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a:effectLst/>
                    </wps:spPr>
                    <wps:txbx>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rPr>
        <w:rFonts w:eastAsia="楷体_GB2312"/>
        <w:sz w:val="21"/>
      </w:rPr>
    </w:pPr>
    <w:r>
      <w:rPr>
        <w:rFonts w:eastAsia="楷体_GB2312"/>
        <w:sz w:val="21"/>
      </w:rPr>
    </w:r>
    <w:r/>
  </w:p>
  <w:p>
    <w:pPr>
      <w:pStyle w:val="1085"/>
      <w:jc w:val="both"/>
      <w:rPr>
        <w:rFonts w:hint="eastAsia" w:ascii="宋体" w:hAnsi="宋体" w:eastAsia="楷体_GB2312" w:cs="宋体"/>
        <w:sz w:val="15"/>
        <w:szCs w:val="15"/>
        <w:lang w:eastAsia="zh-CN"/>
      </w:rPr>
    </w:pPr>
    <w:r>
      <w:rPr>
        <w:rFonts w:hint="eastAsia" w:eastAsia="楷体_GB2312"/>
        <w:sz w:val="21"/>
        <w:lang w:eastAsia="zh-CN"/>
      </w:rPr>
      <w:t xml:space="preserve">JSZC-320200-JYJH-G2025-0003</w:t>
    </w:r>
    <w:r>
      <w:rPr>
        <w:rFonts w:hint="eastAsia" w:ascii="宋体" w:hAnsi="宋体" w:eastAsia="宋体" w:cs="宋体"/>
        <w:lang w:eastAsia="zh-CN"/>
      </w:rPr>
      <w:t xml:space="preserve">江苏建亨工程管理咨询有限公司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rPr>
        <w:rFonts w:hint="eastAsia" w:eastAsia="楷体_GB2312"/>
        <w:lang w:eastAsia="zh-CN"/>
      </w:rPr>
    </w:pPr>
    <w:r>
      <w:rPr>
        <w:rFonts w:hint="eastAsia" w:eastAsia="楷体_GB2312"/>
        <w:sz w:val="21"/>
        <w:lang w:eastAsia="zh-CN"/>
      </w:rPr>
      <w:t xml:space="preserve">JSZC-320200-JYJH-G2025-0003</w:t>
    </w:r>
    <w:r>
      <w:rPr>
        <w:rFonts w:hint="eastAsia" w:eastAsia="楷体_GB2312"/>
        <w:sz w:val="22"/>
        <w:szCs w:val="22"/>
        <w:lang w:eastAsia="zh-CN"/>
      </w:rPr>
      <w:t xml:space="preserve">江苏建亨工程管理咨询有限公司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left"/>
      <w:rPr>
        <w:rFonts w:hint="eastAsia" w:eastAsia="楷体_GB2312"/>
        <w:sz w:val="20"/>
        <w:lang w:eastAsia="zh-CN"/>
      </w:rPr>
    </w:pPr>
    <w:r>
      <w:rPr>
        <w:rFonts w:hint="eastAsia" w:eastAsia="楷体_GB2312"/>
        <w:sz w:val="22"/>
        <w:lang w:eastAsia="zh-CN"/>
      </w:rPr>
      <w:t xml:space="preserve">JSZC-320200-JYJH-G2025-0003</w:t>
    </w:r>
    <w:r>
      <w:rPr>
        <w:rFonts w:hint="eastAsia" w:eastAsia="楷体_GB2312"/>
        <w:sz w:val="22"/>
        <w:szCs w:val="21"/>
        <w:lang w:eastAsia="zh-CN"/>
      </w:rPr>
      <w:t xml:space="preserve">江苏建亨工程管理咨询有限公司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895"/>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8"/>
  </w:num>
  <w:num w:numId="5">
    <w:abstractNumId w:val="2"/>
  </w:num>
  <w:num w:numId="6">
    <w:abstractNumId w:val="0"/>
  </w:num>
  <w:num w:numId="7">
    <w:abstractNumId w:val="1"/>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7" w:default="1">
    <w:name w:val="Normal"/>
    <w:uiPriority w:val="0"/>
    <w:qFormat/>
    <w:pPr>
      <w:jc w:val="both"/>
      <w:widowControl w:val="off"/>
    </w:pPr>
    <w:rPr>
      <w:rFonts w:hint="default" w:ascii="等线" w:hAnsi="等线" w:eastAsia="等线" w:cs="Times New Roman"/>
      <w:sz w:val="21"/>
      <w:szCs w:val="22"/>
      <w:lang w:val="en-US" w:eastAsia="zh-CN" w:bidi="ar-SA"/>
    </w:rPr>
  </w:style>
  <w:style w:type="paragraph" w:styleId="838">
    <w:name w:val="Heading 1"/>
    <w:basedOn w:val="837"/>
    <w:next w:val="837"/>
    <w:uiPriority w:val="9"/>
    <w:qFormat/>
    <w:pPr>
      <w:keepLines/>
      <w:keepNext/>
      <w:spacing w:before="480" w:after="200"/>
      <w:outlineLvl w:val="0"/>
    </w:pPr>
    <w:rPr>
      <w:rFonts w:ascii="Arial" w:hAnsi="Arial" w:eastAsia="Arial" w:cs="Arial"/>
      <w:sz w:val="40"/>
      <w:szCs w:val="40"/>
    </w:rPr>
  </w:style>
  <w:style w:type="paragraph" w:styleId="839">
    <w:name w:val="Heading 2"/>
    <w:basedOn w:val="837"/>
    <w:next w:val="837"/>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37"/>
    <w:uiPriority w:val="9"/>
    <w:unhideWhenUsed/>
    <w:qFormat/>
    <w:pPr>
      <w:keepLines/>
      <w:keepNext/>
      <w:spacing w:before="320" w:after="200"/>
      <w:outlineLvl w:val="2"/>
    </w:pPr>
    <w:rPr>
      <w:rFonts w:ascii="Arial" w:hAnsi="Arial" w:eastAsia="Arial" w:cs="Arial"/>
      <w:sz w:val="30"/>
      <w:szCs w:val="30"/>
    </w:rPr>
  </w:style>
  <w:style w:type="paragraph" w:styleId="841">
    <w:name w:val="Heading 4"/>
    <w:basedOn w:val="837"/>
    <w:next w:val="837"/>
    <w:uiPriority w:val="9"/>
    <w:unhideWhenUsed/>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uiPriority w:val="9"/>
    <w:unhideWhenUsed/>
    <w:qFormat/>
    <w:pPr>
      <w:keepLines/>
      <w:keepNext/>
      <w:spacing w:before="320" w:after="200"/>
      <w:outlineLvl w:val="4"/>
    </w:pPr>
    <w:rPr>
      <w:rFonts w:ascii="Arial" w:hAnsi="Arial" w:eastAsia="Arial" w:cs="Arial"/>
      <w:b/>
      <w:bCs/>
      <w:sz w:val="24"/>
      <w:szCs w:val="24"/>
    </w:rPr>
  </w:style>
  <w:style w:type="paragraph" w:styleId="843">
    <w:name w:val="Heading 6"/>
    <w:basedOn w:val="837"/>
    <w:next w:val="837"/>
    <w:link w:val="899"/>
    <w:uiPriority w:val="9"/>
    <w:unhideWhenUsed/>
    <w:qFormat/>
    <w:pPr>
      <w:keepLines/>
      <w:keepNext/>
      <w:spacing w:before="320" w:after="200"/>
      <w:outlineLvl w:val="5"/>
    </w:pPr>
    <w:rPr>
      <w:rFonts w:ascii="Arial" w:hAnsi="Arial" w:eastAsia="Arial" w:cs="Arial"/>
      <w:b/>
      <w:bCs/>
      <w:sz w:val="22"/>
    </w:rPr>
  </w:style>
  <w:style w:type="paragraph" w:styleId="844">
    <w:name w:val="Heading 7"/>
    <w:basedOn w:val="837"/>
    <w:next w:val="837"/>
    <w:link w:val="900"/>
    <w:uiPriority w:val="9"/>
    <w:unhideWhenUsed/>
    <w:qFormat/>
    <w:pPr>
      <w:keepLines/>
      <w:keepNext/>
      <w:spacing w:before="320" w:after="200"/>
      <w:outlineLvl w:val="6"/>
    </w:pPr>
    <w:rPr>
      <w:rFonts w:ascii="Arial" w:hAnsi="Arial" w:eastAsia="Arial" w:cs="Arial"/>
      <w:b/>
      <w:bCs/>
      <w:i/>
      <w:iCs/>
      <w:sz w:val="22"/>
    </w:rPr>
  </w:style>
  <w:style w:type="paragraph" w:styleId="845">
    <w:name w:val="Heading 8"/>
    <w:basedOn w:val="837"/>
    <w:next w:val="837"/>
    <w:link w:val="901"/>
    <w:uiPriority w:val="9"/>
    <w:unhideWhenUsed/>
    <w:qFormat/>
    <w:pPr>
      <w:keepLines/>
      <w:keepNext/>
      <w:spacing w:before="320" w:after="200"/>
      <w:outlineLvl w:val="7"/>
    </w:pPr>
    <w:rPr>
      <w:rFonts w:ascii="Arial" w:hAnsi="Arial" w:eastAsia="Arial" w:cs="Arial"/>
      <w:i/>
      <w:iCs/>
      <w:sz w:val="22"/>
    </w:rPr>
  </w:style>
  <w:style w:type="paragraph" w:styleId="846">
    <w:name w:val="Heading 9"/>
    <w:basedOn w:val="837"/>
    <w:next w:val="837"/>
    <w:link w:val="902"/>
    <w:uiPriority w:val="9"/>
    <w:unhideWhenUsed/>
    <w:qFormat/>
    <w:pPr>
      <w:keepLines/>
      <w:keepNext/>
      <w:spacing w:before="320" w:after="200"/>
      <w:outlineLvl w:val="8"/>
    </w:pPr>
    <w:rPr>
      <w:rFonts w:ascii="Arial" w:hAnsi="Arial" w:eastAsia="Arial" w:cs="Arial"/>
      <w:i/>
      <w:iCs/>
      <w:szCs w:val="21"/>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toc 7"/>
    <w:basedOn w:val="837"/>
    <w:next w:val="837"/>
    <w:uiPriority w:val="39"/>
    <w:unhideWhenUsed/>
    <w:qFormat/>
    <w:pPr>
      <w:ind w:left="1701"/>
      <w:spacing w:after="57"/>
    </w:pPr>
  </w:style>
  <w:style w:type="paragraph" w:styleId="850">
    <w:name w:val="Caption"/>
    <w:basedOn w:val="837"/>
    <w:next w:val="8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1">
    <w:name w:val="annotation text"/>
    <w:basedOn w:val="837"/>
    <w:uiPriority w:val="0"/>
    <w:qFormat/>
    <w:pPr>
      <w:jc w:val="left"/>
      <w:spacing w:line="360" w:lineRule="auto"/>
    </w:pPr>
    <w:rPr>
      <w:rFonts w:ascii="Calibri" w:hAnsi="Calibri" w:eastAsia="微软雅黑"/>
      <w:szCs w:val="24"/>
      <w:lang w:val="zh-CN"/>
    </w:rPr>
  </w:style>
  <w:style w:type="paragraph" w:styleId="852">
    <w:name w:val="index 6"/>
    <w:basedOn w:val="837"/>
    <w:next w:val="837"/>
    <w:uiPriority w:val="0"/>
    <w:qFormat/>
    <w:pPr>
      <w:ind w:left="2100"/>
    </w:pPr>
    <w:rPr>
      <w:rFonts w:eastAsia="楷体_GB2312"/>
      <w:sz w:val="26"/>
    </w:rPr>
  </w:style>
  <w:style w:type="paragraph" w:styleId="853">
    <w:name w:val="Body Text"/>
    <w:basedOn w:val="837"/>
    <w:uiPriority w:val="0"/>
    <w:semiHidden/>
    <w:qFormat/>
    <w:rPr>
      <w:rFonts w:ascii="宋体" w:hAnsi="宋体" w:eastAsia="宋体" w:cs="宋体"/>
      <w:sz w:val="24"/>
      <w:szCs w:val="24"/>
      <w:lang w:eastAsia="en-US"/>
    </w:rPr>
  </w:style>
  <w:style w:type="paragraph" w:styleId="854">
    <w:name w:val="Body Text Indent"/>
    <w:basedOn w:val="837"/>
    <w:next w:val="855"/>
    <w:uiPriority w:val="0"/>
    <w:qFormat/>
    <w:pPr>
      <w:ind w:left="420"/>
      <w:spacing w:after="120"/>
    </w:pPr>
  </w:style>
  <w:style w:type="paragraph" w:styleId="855">
    <w:name w:val="envelope return"/>
    <w:basedOn w:val="837"/>
    <w:uiPriority w:val="0"/>
    <w:qFormat/>
    <w:rPr>
      <w:rFonts w:ascii="Arial" w:hAnsi="Arial"/>
    </w:rPr>
  </w:style>
  <w:style w:type="paragraph" w:styleId="856">
    <w:name w:val="index 4"/>
    <w:basedOn w:val="837"/>
    <w:next w:val="837"/>
    <w:uiPriority w:val="99"/>
    <w:qFormat/>
    <w:pPr>
      <w:ind w:left="600"/>
    </w:pPr>
    <w:rPr>
      <w:szCs w:val="24"/>
    </w:rPr>
  </w:style>
  <w:style w:type="paragraph" w:styleId="857">
    <w:name w:val="toc 5"/>
    <w:basedOn w:val="837"/>
    <w:next w:val="837"/>
    <w:uiPriority w:val="39"/>
    <w:unhideWhenUsed/>
    <w:qFormat/>
    <w:pPr>
      <w:ind w:left="1134"/>
      <w:spacing w:after="57"/>
    </w:pPr>
  </w:style>
  <w:style w:type="paragraph" w:styleId="858">
    <w:name w:val="toc 3"/>
    <w:basedOn w:val="837"/>
    <w:next w:val="837"/>
    <w:uiPriority w:val="39"/>
    <w:unhideWhenUsed/>
    <w:qFormat/>
    <w:pPr>
      <w:ind w:left="567"/>
      <w:spacing w:after="57"/>
    </w:pPr>
  </w:style>
  <w:style w:type="paragraph" w:styleId="859">
    <w:name w:val="Plain Text"/>
    <w:basedOn w:val="837"/>
    <w:uiPriority w:val="0"/>
    <w:qFormat/>
    <w:rPr>
      <w:rFonts w:ascii="宋体" w:hAnsi="Courier New" w:cs="Courier New"/>
      <w:szCs w:val="21"/>
    </w:rPr>
  </w:style>
  <w:style w:type="paragraph" w:styleId="860">
    <w:name w:val="toc 8"/>
    <w:basedOn w:val="837"/>
    <w:next w:val="837"/>
    <w:uiPriority w:val="39"/>
    <w:unhideWhenUsed/>
    <w:qFormat/>
    <w:pPr>
      <w:ind w:left="1984"/>
      <w:spacing w:after="57"/>
    </w:pPr>
  </w:style>
  <w:style w:type="paragraph" w:styleId="861">
    <w:name w:val="endnote text"/>
    <w:basedOn w:val="837"/>
    <w:link w:val="1034"/>
    <w:uiPriority w:val="99"/>
    <w:semiHidden/>
    <w:unhideWhenUsed/>
    <w:qFormat/>
    <w:rPr>
      <w:sz w:val="20"/>
    </w:rPr>
  </w:style>
  <w:style w:type="paragraph" w:styleId="862">
    <w:name w:val="Footer"/>
    <w:basedOn w:val="837"/>
    <w:next w:val="863"/>
    <w:link w:val="908"/>
    <w:uiPriority w:val="99"/>
    <w:unhideWhenUsed/>
    <w:qFormat/>
    <w:pPr>
      <w:tabs>
        <w:tab w:val="center" w:pos="7143" w:leader="none"/>
        <w:tab w:val="right" w:pos="14287" w:leader="none"/>
      </w:tabs>
    </w:pPr>
  </w:style>
  <w:style w:type="paragraph" w:styleId="863">
    <w:name w:val="Intense Quote"/>
    <w:basedOn w:val="837"/>
    <w:next w:val="837"/>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4">
    <w:name w:val="Header"/>
    <w:basedOn w:val="837"/>
    <w:uiPriority w:val="99"/>
    <w:unhideWhenUsed/>
    <w:qFormat/>
    <w:pPr>
      <w:tabs>
        <w:tab w:val="center" w:pos="7143" w:leader="none"/>
        <w:tab w:val="right" w:pos="14287" w:leader="none"/>
      </w:tabs>
    </w:pPr>
  </w:style>
  <w:style w:type="paragraph" w:styleId="865">
    <w:name w:val="toc 1"/>
    <w:basedOn w:val="837"/>
    <w:next w:val="837"/>
    <w:uiPriority w:val="39"/>
    <w:unhideWhenUsed/>
    <w:qFormat/>
    <w:pPr>
      <w:spacing w:after="57"/>
    </w:pPr>
  </w:style>
  <w:style w:type="paragraph" w:styleId="866">
    <w:name w:val="toc 4"/>
    <w:basedOn w:val="837"/>
    <w:next w:val="837"/>
    <w:uiPriority w:val="39"/>
    <w:unhideWhenUsed/>
    <w:qFormat/>
    <w:pPr>
      <w:ind w:left="850"/>
      <w:spacing w:after="57"/>
    </w:pPr>
  </w:style>
  <w:style w:type="paragraph" w:styleId="867">
    <w:name w:val="Subtitle"/>
    <w:basedOn w:val="837"/>
    <w:next w:val="837"/>
    <w:link w:val="904"/>
    <w:uiPriority w:val="11"/>
    <w:qFormat/>
    <w:pPr>
      <w:spacing w:before="200" w:after="200"/>
    </w:pPr>
    <w:rPr>
      <w:sz w:val="24"/>
      <w:szCs w:val="24"/>
    </w:rPr>
  </w:style>
  <w:style w:type="paragraph" w:styleId="868">
    <w:name w:val="footnote text"/>
    <w:basedOn w:val="837"/>
    <w:uiPriority w:val="99"/>
    <w:semiHidden/>
    <w:unhideWhenUsed/>
    <w:qFormat/>
    <w:pPr>
      <w:spacing w:after="40"/>
    </w:pPr>
    <w:rPr>
      <w:sz w:val="18"/>
    </w:rPr>
  </w:style>
  <w:style w:type="paragraph" w:styleId="869">
    <w:name w:val="toc 6"/>
    <w:basedOn w:val="837"/>
    <w:next w:val="837"/>
    <w:uiPriority w:val="39"/>
    <w:unhideWhenUsed/>
    <w:qFormat/>
    <w:pPr>
      <w:ind w:left="1417"/>
      <w:spacing w:after="57"/>
    </w:pPr>
  </w:style>
  <w:style w:type="paragraph" w:styleId="870">
    <w:name w:val="table of figures"/>
    <w:basedOn w:val="837"/>
    <w:next w:val="837"/>
    <w:uiPriority w:val="99"/>
    <w:unhideWhenUsed/>
    <w:qFormat/>
  </w:style>
  <w:style w:type="paragraph" w:styleId="871">
    <w:name w:val="toc 2"/>
    <w:basedOn w:val="837"/>
    <w:next w:val="837"/>
    <w:uiPriority w:val="39"/>
    <w:unhideWhenUsed/>
    <w:qFormat/>
    <w:pPr>
      <w:ind w:left="283"/>
      <w:spacing w:after="57"/>
    </w:pPr>
  </w:style>
  <w:style w:type="paragraph" w:styleId="872">
    <w:name w:val="toc 9"/>
    <w:basedOn w:val="837"/>
    <w:next w:val="837"/>
    <w:uiPriority w:val="39"/>
    <w:unhideWhenUsed/>
    <w:qFormat/>
    <w:pPr>
      <w:ind w:left="2268"/>
      <w:spacing w:after="57"/>
    </w:pPr>
  </w:style>
  <w:style w:type="paragraph" w:styleId="873">
    <w:name w:val="Normal (Web)"/>
    <w:basedOn w:val="837"/>
    <w:uiPriority w:val="99"/>
    <w:qFormat/>
    <w:pPr>
      <w:jc w:val="left"/>
      <w:spacing w:before="100" w:beforeAutospacing="1" w:after="100" w:afterAutospacing="1"/>
      <w:widowControl/>
    </w:pPr>
    <w:rPr>
      <w:rFonts w:ascii="宋体" w:hAnsi="宋体" w:cs="宋体"/>
      <w:sz w:val="24"/>
      <w:szCs w:val="24"/>
    </w:rPr>
  </w:style>
  <w:style w:type="paragraph" w:styleId="874">
    <w:name w:val="Title"/>
    <w:basedOn w:val="837"/>
    <w:next w:val="837"/>
    <w:uiPriority w:val="10"/>
    <w:qFormat/>
    <w:pPr>
      <w:contextualSpacing/>
      <w:spacing w:before="300" w:after="200"/>
    </w:pPr>
    <w:rPr>
      <w:sz w:val="48"/>
      <w:szCs w:val="48"/>
    </w:rPr>
  </w:style>
  <w:style w:type="paragraph" w:styleId="875">
    <w:name w:val="Body Text First Indent"/>
    <w:basedOn w:val="853"/>
    <w:uiPriority w:val="0"/>
    <w:unhideWhenUsed/>
    <w:qFormat/>
    <w:pPr>
      <w:ind w:firstLine="420"/>
      <w:spacing w:after="120"/>
    </w:pPr>
    <w:rPr>
      <w:rFonts w:ascii="等线" w:hAnsi="等线" w:eastAsia="等线"/>
      <w:sz w:val="21"/>
    </w:rPr>
  </w:style>
  <w:style w:type="paragraph" w:styleId="876">
    <w:name w:val="Body Text First Indent 2"/>
    <w:basedOn w:val="854"/>
    <w:next w:val="837"/>
    <w:uiPriority w:val="0"/>
    <w:qFormat/>
    <w:pPr>
      <w:ind w:firstLine="420"/>
    </w:pPr>
  </w:style>
  <w:style w:type="table" w:styleId="8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Strong"/>
    <w:basedOn w:val="847"/>
    <w:uiPriority w:val="22"/>
    <w:qFormat/>
    <w:rPr>
      <w:b/>
    </w:rPr>
  </w:style>
  <w:style w:type="character" w:styleId="879">
    <w:name w:val="endnote reference"/>
    <w:uiPriority w:val="99"/>
    <w:semiHidden/>
    <w:unhideWhenUsed/>
    <w:qFormat/>
    <w:rPr>
      <w:vertAlign w:val="superscript"/>
    </w:rPr>
  </w:style>
  <w:style w:type="character" w:styleId="880">
    <w:name w:val="Emphasis"/>
    <w:basedOn w:val="847"/>
    <w:uiPriority w:val="20"/>
    <w:qFormat/>
    <w:rPr>
      <w:b/>
      <w:bCs/>
    </w:rPr>
  </w:style>
  <w:style w:type="character" w:styleId="881">
    <w:name w:val="Hyperlink"/>
    <w:uiPriority w:val="99"/>
    <w:unhideWhenUsed/>
    <w:qFormat/>
    <w:rPr>
      <w:color w:val="0000ff" w:themeColor="hyperlink"/>
      <w:u w:val="single"/>
      <w14:textFill>
        <w14:solidFill>
          <w14:schemeClr w14:val="hlink"/>
        </w14:solidFill>
      </w14:textFill>
    </w:rPr>
  </w:style>
  <w:style w:type="character" w:styleId="882">
    <w:name w:val="annotation reference"/>
    <w:basedOn w:val="847"/>
    <w:uiPriority w:val="0"/>
    <w:qFormat/>
    <w:rPr>
      <w:sz w:val="21"/>
      <w:szCs w:val="21"/>
    </w:rPr>
  </w:style>
  <w:style w:type="character" w:styleId="883">
    <w:name w:val="footnote reference"/>
    <w:uiPriority w:val="99"/>
    <w:unhideWhenUsed/>
    <w:qFormat/>
    <w:rPr>
      <w:vertAlign w:val="superscript"/>
    </w:rPr>
  </w:style>
  <w:style w:type="character" w:styleId="884" w:customStyle="1">
    <w:name w:val="Heading 6 Char"/>
    <w:basedOn w:val="847"/>
    <w:uiPriority w:val="9"/>
    <w:qFormat/>
    <w:rPr>
      <w:rFonts w:ascii="Arial" w:hAnsi="Arial" w:eastAsia="Arial" w:cs="Arial"/>
      <w:b/>
      <w:bCs/>
      <w:sz w:val="22"/>
      <w:szCs w:val="22"/>
    </w:rPr>
  </w:style>
  <w:style w:type="character" w:styleId="885" w:customStyle="1">
    <w:name w:val="Heading 7 Char"/>
    <w:basedOn w:val="847"/>
    <w:uiPriority w:val="9"/>
    <w:qFormat/>
    <w:rPr>
      <w:rFonts w:ascii="Arial" w:hAnsi="Arial" w:eastAsia="Arial" w:cs="Arial"/>
      <w:b/>
      <w:bCs/>
      <w:i/>
      <w:iCs/>
      <w:sz w:val="22"/>
      <w:szCs w:val="22"/>
    </w:rPr>
  </w:style>
  <w:style w:type="character" w:styleId="886" w:customStyle="1">
    <w:name w:val="Heading 8 Char"/>
    <w:basedOn w:val="847"/>
    <w:uiPriority w:val="9"/>
    <w:qFormat/>
    <w:rPr>
      <w:rFonts w:ascii="Arial" w:hAnsi="Arial" w:eastAsia="Arial" w:cs="Arial"/>
      <w:i/>
      <w:iCs/>
      <w:sz w:val="22"/>
      <w:szCs w:val="22"/>
    </w:rPr>
  </w:style>
  <w:style w:type="character" w:styleId="887" w:customStyle="1">
    <w:name w:val="Heading 9 Char"/>
    <w:basedOn w:val="847"/>
    <w:uiPriority w:val="9"/>
    <w:qFormat/>
    <w:rPr>
      <w:rFonts w:ascii="Arial" w:hAnsi="Arial" w:eastAsia="Arial" w:cs="Arial"/>
      <w:i/>
      <w:iCs/>
      <w:sz w:val="21"/>
      <w:szCs w:val="21"/>
    </w:rPr>
  </w:style>
  <w:style w:type="character" w:styleId="888" w:customStyle="1">
    <w:name w:val="Subtitle Char"/>
    <w:basedOn w:val="847"/>
    <w:uiPriority w:val="11"/>
    <w:qFormat/>
    <w:rPr>
      <w:sz w:val="24"/>
      <w:szCs w:val="24"/>
    </w:rPr>
  </w:style>
  <w:style w:type="character" w:styleId="889" w:customStyle="1">
    <w:name w:val="Quote Char"/>
    <w:uiPriority w:val="29"/>
    <w:qFormat/>
    <w:rPr>
      <w:i/>
    </w:rPr>
  </w:style>
  <w:style w:type="character" w:styleId="890" w:customStyle="1">
    <w:name w:val="Intense Quote Char"/>
    <w:uiPriority w:val="30"/>
    <w:qFormat/>
    <w:rPr>
      <w:i/>
    </w:rPr>
  </w:style>
  <w:style w:type="character" w:styleId="891" w:customStyle="1">
    <w:name w:val="Caption Char"/>
    <w:uiPriority w:val="99"/>
    <w:qFormat/>
  </w:style>
  <w:style w:type="character" w:styleId="892" w:customStyle="1">
    <w:name w:val="Endnote Text Char"/>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paragraph" w:styleId="894" w:customStyle="1">
    <w:name w:val="列出段落1"/>
    <w:basedOn w:val="837"/>
    <w:uiPriority w:val="0"/>
    <w:qFormat/>
    <w:pPr>
      <w:ind w:firstLine="420"/>
    </w:pPr>
    <w:rPr>
      <w:rFonts w:ascii="Calibri" w:hAnsi="Calibri" w:eastAsia="宋体"/>
    </w:rPr>
  </w:style>
  <w:style w:type="paragraph" w:styleId="895" w:customStyle="1">
    <w:name w:val="02-标书-标题2"/>
    <w:uiPriority w:val="0"/>
    <w:qFormat/>
    <w:pPr>
      <w:numPr>
        <w:ilvl w:val="1"/>
        <w:numId w:val="1"/>
      </w:numPr>
      <w:spacing w:line="360" w:lineRule="auto"/>
      <w:outlineLvl w:val="1"/>
    </w:pPr>
    <w:rPr>
      <w:rFonts w:hint="default" w:ascii="黑体" w:hAnsi="宋体" w:eastAsia="黑体" w:cs="Calibri"/>
      <w:sz w:val="32"/>
      <w:szCs w:val="28"/>
      <w:lang w:val="en-US" w:eastAsia="zh-CN" w:bidi="ar-SA"/>
    </w:rPr>
  </w:style>
  <w:style w:type="paragraph" w:styleId="89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97" w:customStyle="1">
    <w:name w:val="TOC Heading1"/>
    <w:next w:val="837"/>
    <w:uiPriority w:val="0"/>
    <w:qFormat/>
    <w:rPr>
      <w:rFonts w:hint="default" w:ascii="Times New Roman" w:hAnsi="Times New Roman" w:eastAsia="宋体" w:cs="Times New Roman"/>
      <w:sz w:val="32"/>
      <w:lang w:val="en-US" w:eastAsia="zh-CN" w:bidi="ar-SA"/>
    </w:rPr>
  </w:style>
  <w:style w:type="paragraph" w:styleId="898" w:customStyle="1">
    <w:name w:val="标题 31"/>
    <w:basedOn w:val="837"/>
    <w:next w:val="837"/>
    <w:link w:val="104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899" w:customStyle="1">
    <w:name w:val="标题 6 Char"/>
    <w:link w:val="843"/>
    <w:uiPriority w:val="9"/>
    <w:qFormat/>
    <w:rPr>
      <w:rFonts w:ascii="Arial" w:hAnsi="Arial" w:eastAsia="Arial" w:cs="Arial"/>
      <w:b/>
      <w:bCs/>
      <w:sz w:val="22"/>
      <w:szCs w:val="22"/>
    </w:rPr>
  </w:style>
  <w:style w:type="character" w:styleId="900" w:customStyle="1">
    <w:name w:val="标题 7 Char"/>
    <w:link w:val="844"/>
    <w:uiPriority w:val="9"/>
    <w:qFormat/>
    <w:rPr>
      <w:rFonts w:ascii="Arial" w:hAnsi="Arial" w:eastAsia="Arial" w:cs="Arial"/>
      <w:b/>
      <w:bCs/>
      <w:i/>
      <w:iCs/>
      <w:sz w:val="22"/>
      <w:szCs w:val="22"/>
    </w:rPr>
  </w:style>
  <w:style w:type="character" w:styleId="901" w:customStyle="1">
    <w:name w:val="标题 8 Char"/>
    <w:link w:val="845"/>
    <w:uiPriority w:val="9"/>
    <w:qFormat/>
    <w:rPr>
      <w:rFonts w:ascii="Arial" w:hAnsi="Arial" w:eastAsia="Arial" w:cs="Arial"/>
      <w:i/>
      <w:iCs/>
      <w:sz w:val="22"/>
      <w:szCs w:val="22"/>
    </w:rPr>
  </w:style>
  <w:style w:type="character" w:styleId="902" w:customStyle="1">
    <w:name w:val="标题 9 Char"/>
    <w:link w:val="846"/>
    <w:uiPriority w:val="9"/>
    <w:qFormat/>
    <w:rPr>
      <w:rFonts w:ascii="Arial" w:hAnsi="Arial" w:eastAsia="Arial" w:cs="Arial"/>
      <w:i/>
      <w:iCs/>
      <w:sz w:val="21"/>
      <w:szCs w:val="21"/>
    </w:rPr>
  </w:style>
  <w:style w:type="paragraph" w:styleId="903">
    <w:name w:val="No Spacing"/>
    <w:uiPriority w:val="1"/>
    <w:qFormat/>
    <w:rPr>
      <w:rFonts w:hint="default" w:ascii="等线" w:hAnsi="等线" w:eastAsia="等线" w:cs="Times New Roman"/>
      <w:lang w:val="en-US" w:eastAsia="zh-CN" w:bidi="ar-SA"/>
    </w:rPr>
  </w:style>
  <w:style w:type="character" w:styleId="904" w:customStyle="1">
    <w:name w:val="副标题 Char"/>
    <w:link w:val="867"/>
    <w:uiPriority w:val="11"/>
    <w:qFormat/>
    <w:rPr>
      <w:sz w:val="24"/>
      <w:szCs w:val="24"/>
    </w:rPr>
  </w:style>
  <w:style w:type="paragraph" w:styleId="905">
    <w:name w:val="Quote"/>
    <w:basedOn w:val="837"/>
    <w:next w:val="837"/>
    <w:link w:val="906"/>
    <w:uiPriority w:val="29"/>
    <w:qFormat/>
    <w:pPr>
      <w:ind w:left="720" w:right="720"/>
    </w:pPr>
    <w:rPr>
      <w:i/>
    </w:rPr>
  </w:style>
  <w:style w:type="character" w:styleId="906" w:customStyle="1">
    <w:name w:val="引用 Char"/>
    <w:link w:val="905"/>
    <w:uiPriority w:val="29"/>
    <w:qFormat/>
    <w:rPr>
      <w:i/>
    </w:rPr>
  </w:style>
  <w:style w:type="character" w:styleId="907" w:customStyle="1">
    <w:name w:val="明显引用 Char"/>
    <w:link w:val="863"/>
    <w:uiPriority w:val="30"/>
    <w:qFormat/>
    <w:rPr>
      <w:i/>
    </w:rPr>
  </w:style>
  <w:style w:type="character" w:styleId="908" w:customStyle="1">
    <w:name w:val="页脚 Char1"/>
    <w:link w:val="862"/>
    <w:uiPriority w:val="99"/>
    <w:qFormat/>
  </w:style>
  <w:style w:type="table" w:styleId="9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4" w:customStyle="1">
    <w:name w:val="尾注文本 Char"/>
    <w:link w:val="861"/>
    <w:uiPriority w:val="99"/>
    <w:qFormat/>
    <w:rPr>
      <w:sz w:val="20"/>
    </w:rPr>
  </w:style>
  <w:style w:type="paragraph" w:styleId="1035" w:customStyle="1">
    <w:name w:val="TOC 标题1"/>
    <w:uiPriority w:val="39"/>
    <w:unhideWhenUsed/>
    <w:qFormat/>
    <w:rPr>
      <w:rFonts w:hint="default" w:ascii="等线" w:hAnsi="等线" w:eastAsia="等线" w:cs="Times New Roman"/>
      <w:lang w:val="en-US" w:eastAsia="zh-CN" w:bidi="ar-SA"/>
    </w:rPr>
  </w:style>
  <w:style w:type="paragraph" w:styleId="1036" w:customStyle="1">
    <w:name w:val="标题 11"/>
    <w:basedOn w:val="837"/>
    <w:next w:val="837"/>
    <w:link w:val="1048"/>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037" w:customStyle="1">
    <w:name w:val="标题 21"/>
    <w:basedOn w:val="837"/>
    <w:next w:val="837"/>
    <w:link w:val="1049"/>
    <w:uiPriority w:val="9"/>
    <w:qFormat/>
    <w:pPr>
      <w:keepLines/>
      <w:keepNext/>
      <w:spacing w:before="260" w:after="260" w:line="413" w:lineRule="auto"/>
      <w:outlineLvl w:val="1"/>
    </w:pPr>
    <w:rPr>
      <w:rFonts w:ascii="Arial" w:hAnsi="Arial" w:eastAsia="黑体"/>
      <w:b/>
      <w:bCs/>
      <w:sz w:val="32"/>
      <w:szCs w:val="32"/>
    </w:rPr>
  </w:style>
  <w:style w:type="paragraph" w:styleId="1038" w:customStyle="1">
    <w:name w:val="标题 41"/>
    <w:basedOn w:val="837"/>
    <w:next w:val="837"/>
    <w:link w:val="1050"/>
    <w:uiPriority w:val="0"/>
    <w:qFormat/>
    <w:pPr>
      <w:jc w:val="center"/>
      <w:keepLines/>
      <w:keepNext/>
      <w:spacing w:before="120" w:after="120" w:line="360" w:lineRule="auto"/>
      <w:widowControl/>
      <w:outlineLvl w:val="3"/>
    </w:pPr>
    <w:rPr>
      <w:rFonts w:ascii="Arial" w:hAnsi="Arial" w:eastAsia="黑体"/>
      <w:sz w:val="28"/>
      <w:szCs w:val="20"/>
    </w:rPr>
  </w:style>
  <w:style w:type="paragraph" w:styleId="1039" w:customStyle="1">
    <w:name w:val="正文缩进1"/>
    <w:basedOn w:val="837"/>
    <w:next w:val="837"/>
    <w:link w:val="1056"/>
    <w:uiPriority w:val="0"/>
    <w:qFormat/>
    <w:pPr>
      <w:ind w:firstLine="420"/>
    </w:pPr>
    <w:rPr>
      <w:rFonts w:ascii="Times New Roman" w:hAnsi="Times New Roman" w:eastAsia="宋体"/>
      <w:szCs w:val="20"/>
    </w:rPr>
  </w:style>
  <w:style w:type="paragraph" w:styleId="1040" w:customStyle="1">
    <w:name w:val="标题 51"/>
    <w:basedOn w:val="837"/>
    <w:next w:val="837"/>
    <w:link w:val="1051"/>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041" w:customStyle="1">
    <w:name w:val="标题 61"/>
    <w:basedOn w:val="837"/>
    <w:next w:val="837"/>
    <w:link w:val="1052"/>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042" w:customStyle="1">
    <w:name w:val="标题 71"/>
    <w:basedOn w:val="837"/>
    <w:next w:val="837"/>
    <w:link w:val="1053"/>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043" w:customStyle="1">
    <w:name w:val="标题 81"/>
    <w:basedOn w:val="837"/>
    <w:next w:val="837"/>
    <w:link w:val="105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044" w:customStyle="1">
    <w:name w:val="标题 91"/>
    <w:basedOn w:val="837"/>
    <w:next w:val="837"/>
    <w:link w:val="105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45" w:customStyle="1">
    <w:name w:val="默认段落字体1"/>
    <w:uiPriority w:val="1"/>
    <w:unhideWhenUsed/>
    <w:qFormat/>
  </w:style>
  <w:style w:type="table" w:styleId="1046" w:customStyle="1">
    <w:name w:val="普通表格1"/>
    <w:uiPriority w:val="99"/>
    <w:unhideWhenUsed/>
    <w:qFormat/>
    <w:tblPr>
      <w:tblCellMar>
        <w:left w:w="0" w:type="dxa"/>
        <w:top w:w="0" w:type="dxa"/>
        <w:right w:w="0" w:type="dxa"/>
        <w:bottom w:w="0" w:type="dxa"/>
      </w:tblCellMar>
    </w:tblPr>
  </w:style>
  <w:style w:type="character" w:styleId="1047" w:customStyle="1">
    <w:name w:val="标题 3 字符1"/>
    <w:link w:val="898"/>
    <w:uiPriority w:val="0"/>
    <w:qFormat/>
    <w:rPr>
      <w:rFonts w:ascii="Times New Roman" w:hAnsi="Times New Roman" w:eastAsia="宋体" w:cs="Times New Roman"/>
      <w:b/>
      <w:sz w:val="32"/>
      <w:szCs w:val="20"/>
    </w:rPr>
  </w:style>
  <w:style w:type="character" w:styleId="1048" w:customStyle="1">
    <w:name w:val="标题 1 字符1"/>
    <w:link w:val="1036"/>
    <w:uiPriority w:val="9"/>
    <w:qFormat/>
    <w:rPr>
      <w:rFonts w:ascii="黑体" w:hAnsi="Times New Roman" w:eastAsia="黑体" w:cs="Times New Roman"/>
      <w:sz w:val="52"/>
      <w:szCs w:val="20"/>
    </w:rPr>
  </w:style>
  <w:style w:type="character" w:styleId="1049" w:customStyle="1">
    <w:name w:val="标题 2 字符1"/>
    <w:link w:val="1037"/>
    <w:uiPriority w:val="9"/>
    <w:qFormat/>
    <w:rPr>
      <w:rFonts w:ascii="Arial" w:hAnsi="Arial" w:eastAsia="黑体" w:cs="Times New Roman"/>
      <w:b/>
      <w:bCs/>
      <w:sz w:val="32"/>
      <w:szCs w:val="32"/>
    </w:rPr>
  </w:style>
  <w:style w:type="character" w:styleId="1050" w:customStyle="1">
    <w:name w:val="标题 4 字符1"/>
    <w:link w:val="1038"/>
    <w:uiPriority w:val="0"/>
    <w:qFormat/>
    <w:rPr>
      <w:rFonts w:ascii="Arial" w:hAnsi="Arial" w:eastAsia="黑体" w:cs="Times New Roman"/>
      <w:sz w:val="28"/>
      <w:szCs w:val="20"/>
    </w:rPr>
  </w:style>
  <w:style w:type="character" w:styleId="1051" w:customStyle="1">
    <w:name w:val="标题 5 字符1"/>
    <w:link w:val="1040"/>
    <w:uiPriority w:val="9"/>
    <w:qFormat/>
    <w:rPr>
      <w:rFonts w:ascii="宋体" w:hAnsi="宋体" w:eastAsia="宋体" w:cs="Times New Roman"/>
      <w:b/>
      <w:sz w:val="24"/>
      <w:szCs w:val="20"/>
    </w:rPr>
  </w:style>
  <w:style w:type="character" w:styleId="1052" w:customStyle="1">
    <w:name w:val="标题 6 字符1"/>
    <w:link w:val="1041"/>
    <w:uiPriority w:val="9"/>
    <w:qFormat/>
    <w:rPr>
      <w:rFonts w:ascii="Arial" w:hAnsi="Arial" w:eastAsia="黑体" w:cs="Times New Roman"/>
      <w:b/>
      <w:bCs/>
      <w:sz w:val="24"/>
      <w:szCs w:val="24"/>
    </w:rPr>
  </w:style>
  <w:style w:type="character" w:styleId="1053" w:customStyle="1">
    <w:name w:val="标题 7 字符1"/>
    <w:link w:val="1042"/>
    <w:uiPriority w:val="9"/>
    <w:qFormat/>
    <w:rPr>
      <w:rFonts w:ascii="Times New Roman" w:hAnsi="Times New Roman" w:eastAsia="宋体" w:cs="Times New Roman"/>
      <w:b/>
      <w:bCs/>
      <w:sz w:val="24"/>
      <w:szCs w:val="24"/>
    </w:rPr>
  </w:style>
  <w:style w:type="character" w:styleId="1054" w:customStyle="1">
    <w:name w:val="标题 8 字符1"/>
    <w:link w:val="1043"/>
    <w:uiPriority w:val="9"/>
    <w:qFormat/>
    <w:rPr>
      <w:rFonts w:ascii="Arial" w:hAnsi="Arial" w:eastAsia="黑体" w:cs="Times New Roman"/>
      <w:sz w:val="24"/>
      <w:szCs w:val="24"/>
    </w:rPr>
  </w:style>
  <w:style w:type="character" w:styleId="1055" w:customStyle="1">
    <w:name w:val="标题 9 字符1"/>
    <w:link w:val="1044"/>
    <w:uiPriority w:val="0"/>
    <w:qFormat/>
    <w:rPr>
      <w:rFonts w:ascii="Arial" w:hAnsi="Arial" w:eastAsia="黑体" w:cs="Times New Roman"/>
      <w:szCs w:val="21"/>
    </w:rPr>
  </w:style>
  <w:style w:type="character" w:styleId="1056" w:customStyle="1">
    <w:name w:val="正文缩进 字符1"/>
    <w:link w:val="1039"/>
    <w:uiPriority w:val="0"/>
    <w:qFormat/>
    <w:rPr>
      <w:rFonts w:ascii="Times New Roman" w:hAnsi="Times New Roman" w:eastAsia="宋体" w:cs="Times New Roman"/>
      <w:szCs w:val="20"/>
    </w:rPr>
  </w:style>
  <w:style w:type="paragraph" w:styleId="1057" w:customStyle="1">
    <w:name w:val="题注1"/>
    <w:basedOn w:val="837"/>
    <w:next w:val="837"/>
    <w:uiPriority w:val="99"/>
    <w:qFormat/>
    <w:rPr>
      <w:rFonts w:ascii="Cambria" w:hAnsi="Cambria" w:eastAsia="黑体"/>
      <w:sz w:val="20"/>
      <w:szCs w:val="20"/>
    </w:rPr>
  </w:style>
  <w:style w:type="paragraph" w:styleId="1058" w:customStyle="1">
    <w:name w:val="文档结构图1"/>
    <w:basedOn w:val="837"/>
    <w:link w:val="1059"/>
    <w:uiPriority w:val="99"/>
    <w:qFormat/>
    <w:pPr>
      <w:shd w:val="clear" w:color="auto" w:fill="000080"/>
    </w:pPr>
    <w:rPr>
      <w:rFonts w:ascii="Times New Roman" w:hAnsi="Times New Roman" w:eastAsia="宋体"/>
      <w:szCs w:val="20"/>
    </w:rPr>
  </w:style>
  <w:style w:type="character" w:styleId="1059" w:customStyle="1">
    <w:name w:val="文档结构图 字符2"/>
    <w:link w:val="1058"/>
    <w:uiPriority w:val="99"/>
    <w:qFormat/>
    <w:rPr>
      <w:rFonts w:ascii="Times New Roman" w:hAnsi="Times New Roman" w:eastAsia="宋体" w:cs="Times New Roman"/>
      <w:szCs w:val="20"/>
      <w:shd w:val="clear" w:color="auto" w:fill="000080"/>
    </w:rPr>
  </w:style>
  <w:style w:type="paragraph" w:styleId="1060" w:customStyle="1">
    <w:name w:val="批注文字1"/>
    <w:basedOn w:val="837"/>
    <w:link w:val="1061"/>
    <w:uiPriority w:val="99"/>
    <w:qFormat/>
    <w:pPr>
      <w:jc w:val="left"/>
      <w:spacing w:line="360" w:lineRule="atLeast"/>
    </w:pPr>
    <w:rPr>
      <w:rFonts w:ascii="Times New Roman" w:hAnsi="Times New Roman" w:eastAsia="宋体"/>
      <w:sz w:val="24"/>
      <w:szCs w:val="20"/>
    </w:rPr>
  </w:style>
  <w:style w:type="character" w:styleId="1061" w:customStyle="1">
    <w:name w:val="批注文字 字符2"/>
    <w:link w:val="1060"/>
    <w:uiPriority w:val="99"/>
    <w:qFormat/>
    <w:rPr>
      <w:rFonts w:ascii="Times New Roman" w:hAnsi="Times New Roman" w:eastAsia="宋体" w:cs="Times New Roman"/>
      <w:sz w:val="24"/>
      <w:szCs w:val="20"/>
    </w:rPr>
  </w:style>
  <w:style w:type="paragraph" w:styleId="1062" w:customStyle="1">
    <w:name w:val="正文文本 31"/>
    <w:basedOn w:val="837"/>
    <w:link w:val="1063"/>
    <w:uiPriority w:val="0"/>
    <w:qFormat/>
    <w:rPr>
      <w:rFonts w:ascii="宋体" w:hAnsi="Times New Roman" w:eastAsia="宋体"/>
      <w:sz w:val="24"/>
      <w:szCs w:val="20"/>
    </w:rPr>
  </w:style>
  <w:style w:type="character" w:styleId="1063" w:customStyle="1">
    <w:name w:val="正文文本 3 字符"/>
    <w:link w:val="1062"/>
    <w:uiPriority w:val="0"/>
    <w:qFormat/>
    <w:rPr>
      <w:rFonts w:ascii="宋体" w:hAnsi="Times New Roman" w:eastAsia="宋体" w:cs="Times New Roman"/>
      <w:sz w:val="24"/>
      <w:szCs w:val="20"/>
    </w:rPr>
  </w:style>
  <w:style w:type="paragraph" w:styleId="1064" w:customStyle="1">
    <w:name w:val="正文文本1"/>
    <w:basedOn w:val="837"/>
    <w:next w:val="837"/>
    <w:link w:val="1067"/>
    <w:uiPriority w:val="0"/>
    <w:qFormat/>
    <w:rPr>
      <w:rFonts w:ascii="华文中宋" w:hAnsi="Times New Roman" w:eastAsia="华文中宋"/>
      <w:bCs/>
      <w:sz w:val="28"/>
      <w:szCs w:val="20"/>
    </w:rPr>
  </w:style>
  <w:style w:type="paragraph" w:styleId="1065" w:customStyle="1">
    <w:name w:val="列表1"/>
    <w:basedOn w:val="837"/>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066" w:customStyle="1">
    <w:name w:val="正文首行缩进1"/>
    <w:basedOn w:val="1064"/>
    <w:link w:val="1112"/>
    <w:uiPriority w:val="99"/>
    <w:unhideWhenUsed/>
    <w:qFormat/>
    <w:pPr>
      <w:ind w:firstLine="420"/>
      <w:spacing w:after="120"/>
    </w:pPr>
    <w:rPr>
      <w:rFonts w:ascii="等线" w:hAnsi="等线" w:eastAsia="等线"/>
      <w:bCs w:val="0"/>
      <w:sz w:val="21"/>
      <w:szCs w:val="22"/>
    </w:rPr>
  </w:style>
  <w:style w:type="character" w:styleId="1067" w:customStyle="1">
    <w:name w:val="正文文本 字符2"/>
    <w:link w:val="1064"/>
    <w:uiPriority w:val="0"/>
    <w:qFormat/>
    <w:rPr>
      <w:rFonts w:ascii="华文中宋" w:hAnsi="Times New Roman" w:eastAsia="华文中宋" w:cs="Times New Roman"/>
      <w:bCs/>
      <w:sz w:val="28"/>
      <w:szCs w:val="20"/>
    </w:rPr>
  </w:style>
  <w:style w:type="character" w:styleId="1068" w:customStyle="1">
    <w:name w:val="正文首行缩进 字符"/>
    <w:uiPriority w:val="99"/>
    <w:semiHidden/>
    <w:qFormat/>
    <w:rPr>
      <w:rFonts w:ascii="华文中宋" w:hAnsi="Times New Roman" w:eastAsia="华文中宋" w:cs="Times New Roman"/>
      <w:sz w:val="28"/>
      <w:szCs w:val="20"/>
    </w:rPr>
  </w:style>
  <w:style w:type="paragraph" w:styleId="1069" w:customStyle="1">
    <w:name w:val="正文文本缩进1"/>
    <w:basedOn w:val="837"/>
    <w:next w:val="1070"/>
    <w:link w:val="1071"/>
    <w:uiPriority w:val="0"/>
    <w:qFormat/>
    <w:pPr>
      <w:ind w:firstLine="540"/>
      <w:spacing w:line="360" w:lineRule="auto"/>
      <w:widowControl/>
    </w:pPr>
    <w:rPr>
      <w:rFonts w:ascii="宋体" w:hAnsi="MS Sans Serif" w:eastAsia="宋体"/>
      <w:spacing w:val="12"/>
      <w:sz w:val="24"/>
      <w:szCs w:val="20"/>
    </w:rPr>
  </w:style>
  <w:style w:type="paragraph" w:styleId="1070" w:customStyle="1">
    <w:name w:val="寄信人地址1"/>
    <w:basedOn w:val="837"/>
    <w:uiPriority w:val="0"/>
    <w:qFormat/>
    <w:rPr>
      <w:rFonts w:ascii="Arial" w:hAnsi="Arial" w:eastAsia="宋体"/>
      <w:szCs w:val="20"/>
    </w:rPr>
  </w:style>
  <w:style w:type="character" w:styleId="1071" w:customStyle="1">
    <w:name w:val="正文文本缩进 字符2"/>
    <w:link w:val="1069"/>
    <w:uiPriority w:val="0"/>
    <w:qFormat/>
    <w:rPr>
      <w:rFonts w:ascii="宋体" w:hAnsi="MS Sans Serif" w:eastAsia="宋体" w:cs="Times New Roman"/>
      <w:spacing w:val="12"/>
      <w:sz w:val="24"/>
      <w:szCs w:val="20"/>
    </w:rPr>
  </w:style>
  <w:style w:type="paragraph" w:styleId="1072" w:customStyle="1">
    <w:name w:val="文本块1"/>
    <w:basedOn w:val="837"/>
    <w:uiPriority w:val="99"/>
    <w:qFormat/>
    <w:pPr>
      <w:ind w:left="420" w:right="33"/>
      <w:jc w:val="left"/>
    </w:pPr>
    <w:rPr>
      <w:rFonts w:ascii="Times New Roman" w:hAnsi="Times New Roman" w:eastAsia="宋体"/>
      <w:sz w:val="24"/>
      <w:szCs w:val="20"/>
    </w:rPr>
  </w:style>
  <w:style w:type="paragraph" w:styleId="1073" w:customStyle="1">
    <w:name w:val="索引 41"/>
    <w:basedOn w:val="837"/>
    <w:next w:val="837"/>
    <w:uiPriority w:val="99"/>
    <w:qFormat/>
    <w:pPr>
      <w:ind w:left="600"/>
    </w:pPr>
    <w:rPr>
      <w:rFonts w:ascii="Times New Roman" w:hAnsi="Times New Roman" w:eastAsia="宋体"/>
      <w:szCs w:val="24"/>
    </w:rPr>
  </w:style>
  <w:style w:type="paragraph" w:styleId="1074" w:customStyle="1">
    <w:name w:val="纯文本1"/>
    <w:basedOn w:val="837"/>
    <w:next w:val="1075"/>
    <w:link w:val="1076"/>
    <w:uiPriority w:val="0"/>
    <w:qFormat/>
    <w:rPr>
      <w:rFonts w:ascii="宋体" w:hAnsi="Courier New" w:eastAsia="宋体"/>
      <w:szCs w:val="20"/>
    </w:rPr>
  </w:style>
  <w:style w:type="paragraph" w:styleId="1075" w:customStyle="1">
    <w:name w:val="目录 21"/>
    <w:basedOn w:val="837"/>
    <w:next w:val="837"/>
    <w:uiPriority w:val="39"/>
    <w:unhideWhenUsed/>
    <w:qFormat/>
    <w:pPr>
      <w:ind w:left="420"/>
    </w:pPr>
  </w:style>
  <w:style w:type="character" w:styleId="1076" w:customStyle="1">
    <w:name w:val="纯文本 字符2"/>
    <w:link w:val="1074"/>
    <w:uiPriority w:val="0"/>
    <w:qFormat/>
    <w:rPr>
      <w:rFonts w:ascii="宋体" w:hAnsi="Courier New" w:eastAsia="宋体" w:cs="Times New Roman"/>
      <w:szCs w:val="20"/>
    </w:rPr>
  </w:style>
  <w:style w:type="paragraph" w:styleId="1077" w:customStyle="1">
    <w:name w:val="日期1"/>
    <w:basedOn w:val="837"/>
    <w:next w:val="837"/>
    <w:link w:val="1078"/>
    <w:uiPriority w:val="99"/>
    <w:qFormat/>
    <w:rPr>
      <w:rFonts w:ascii="Times New Roman" w:hAnsi="Times New Roman" w:eastAsia="宋体"/>
      <w:sz w:val="24"/>
      <w:szCs w:val="20"/>
    </w:rPr>
  </w:style>
  <w:style w:type="character" w:styleId="1078" w:customStyle="1">
    <w:name w:val="日期 字符2"/>
    <w:link w:val="1077"/>
    <w:uiPriority w:val="99"/>
    <w:qFormat/>
    <w:rPr>
      <w:rFonts w:ascii="Times New Roman" w:hAnsi="Times New Roman" w:eastAsia="宋体" w:cs="Times New Roman"/>
      <w:sz w:val="24"/>
      <w:szCs w:val="20"/>
    </w:rPr>
  </w:style>
  <w:style w:type="paragraph" w:styleId="1079" w:customStyle="1">
    <w:name w:val="正文文本缩进 21"/>
    <w:basedOn w:val="837"/>
    <w:link w:val="1080"/>
    <w:uiPriority w:val="99"/>
    <w:qFormat/>
    <w:pPr>
      <w:ind w:left="420"/>
      <w:spacing w:after="120" w:line="480" w:lineRule="auto"/>
    </w:pPr>
    <w:rPr>
      <w:rFonts w:ascii="Times New Roman" w:hAnsi="Times New Roman" w:eastAsia="宋体"/>
      <w:szCs w:val="24"/>
    </w:rPr>
  </w:style>
  <w:style w:type="character" w:styleId="1080" w:customStyle="1">
    <w:name w:val="正文文本缩进 2 字符2"/>
    <w:link w:val="1079"/>
    <w:uiPriority w:val="99"/>
    <w:qFormat/>
    <w:rPr>
      <w:rFonts w:ascii="Times New Roman" w:hAnsi="Times New Roman" w:eastAsia="宋体" w:cs="Times New Roman"/>
      <w:szCs w:val="24"/>
    </w:rPr>
  </w:style>
  <w:style w:type="paragraph" w:styleId="1081" w:customStyle="1">
    <w:name w:val="批注框文本1"/>
    <w:basedOn w:val="837"/>
    <w:link w:val="1082"/>
    <w:uiPriority w:val="99"/>
    <w:qFormat/>
    <w:rPr>
      <w:rFonts w:ascii="Times New Roman" w:hAnsi="Times New Roman" w:eastAsia="宋体"/>
      <w:sz w:val="18"/>
      <w:szCs w:val="18"/>
    </w:rPr>
  </w:style>
  <w:style w:type="character" w:styleId="1082" w:customStyle="1">
    <w:name w:val="批注框文本 字符2"/>
    <w:link w:val="1081"/>
    <w:uiPriority w:val="99"/>
    <w:qFormat/>
    <w:rPr>
      <w:rFonts w:ascii="Times New Roman" w:hAnsi="Times New Roman" w:eastAsia="宋体" w:cs="Times New Roman"/>
      <w:sz w:val="18"/>
      <w:szCs w:val="18"/>
    </w:rPr>
  </w:style>
  <w:style w:type="paragraph" w:styleId="1083" w:customStyle="1">
    <w:name w:val="页脚1"/>
    <w:basedOn w:val="837"/>
    <w:next w:val="897"/>
    <w:link w:val="1084"/>
    <w:uiPriority w:val="99"/>
    <w:unhideWhenUsed/>
    <w:qFormat/>
    <w:pPr>
      <w:jc w:val="left"/>
      <w:tabs>
        <w:tab w:val="center" w:pos="4153" w:leader="none"/>
        <w:tab w:val="right" w:pos="8306" w:leader="none"/>
      </w:tabs>
    </w:pPr>
    <w:rPr>
      <w:sz w:val="18"/>
      <w:szCs w:val="18"/>
    </w:rPr>
  </w:style>
  <w:style w:type="character" w:styleId="1084" w:customStyle="1">
    <w:name w:val="页脚 字符"/>
    <w:link w:val="1083"/>
    <w:uiPriority w:val="0"/>
    <w:qFormat/>
    <w:rPr>
      <w:sz w:val="18"/>
      <w:szCs w:val="18"/>
    </w:rPr>
  </w:style>
  <w:style w:type="paragraph" w:styleId="1085" w:customStyle="1">
    <w:name w:val="页眉1"/>
    <w:basedOn w:val="837"/>
    <w:link w:val="108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86" w:customStyle="1">
    <w:name w:val="页眉 字符"/>
    <w:link w:val="1085"/>
    <w:uiPriority w:val="99"/>
    <w:qFormat/>
    <w:rPr>
      <w:sz w:val="18"/>
      <w:szCs w:val="18"/>
    </w:rPr>
  </w:style>
  <w:style w:type="paragraph" w:styleId="1087" w:customStyle="1">
    <w:name w:val="目录 11"/>
    <w:basedOn w:val="837"/>
    <w:next w:val="837"/>
    <w:uiPriority w:val="39"/>
    <w:qFormat/>
    <w:pPr>
      <w:jc w:val="center"/>
      <w:spacing w:before="120" w:after="120"/>
      <w:tabs>
        <w:tab w:val="right" w:pos="9170" w:leader="dot"/>
      </w:tabs>
    </w:pPr>
    <w:rPr>
      <w:rFonts w:eastAsia="文鼎小标宋简"/>
      <w:caps/>
      <w:sz w:val="32"/>
      <w:szCs w:val="32"/>
    </w:rPr>
  </w:style>
  <w:style w:type="paragraph" w:styleId="1088" w:customStyle="1">
    <w:name w:val="副标题1"/>
    <w:basedOn w:val="837"/>
    <w:next w:val="837"/>
    <w:link w:val="1089"/>
    <w:uiPriority w:val="0"/>
    <w:qFormat/>
    <w:pPr>
      <w:jc w:val="center"/>
      <w:spacing w:before="240" w:after="60" w:line="312" w:lineRule="auto"/>
      <w:outlineLvl w:val="1"/>
    </w:pPr>
    <w:rPr>
      <w:rFonts w:ascii="Cambria" w:hAnsi="Cambria" w:eastAsia="宋体"/>
      <w:b/>
      <w:bCs/>
      <w:sz w:val="32"/>
      <w:szCs w:val="32"/>
    </w:rPr>
  </w:style>
  <w:style w:type="character" w:styleId="1089" w:customStyle="1">
    <w:name w:val="副标题 字符"/>
    <w:link w:val="1088"/>
    <w:uiPriority w:val="0"/>
    <w:qFormat/>
    <w:rPr>
      <w:rFonts w:ascii="Cambria" w:hAnsi="Cambria" w:eastAsia="宋体" w:cs="Times New Roman"/>
      <w:b/>
      <w:bCs/>
      <w:sz w:val="32"/>
      <w:szCs w:val="32"/>
    </w:rPr>
  </w:style>
  <w:style w:type="paragraph" w:styleId="1090" w:customStyle="1">
    <w:name w:val="脚注文本1"/>
    <w:basedOn w:val="837"/>
    <w:link w:val="1091"/>
    <w:uiPriority w:val="0"/>
    <w:qFormat/>
    <w:pPr>
      <w:jc w:val="left"/>
      <w:spacing w:line="312" w:lineRule="atLeast"/>
    </w:pPr>
    <w:rPr>
      <w:rFonts w:ascii="Times New Roman" w:hAnsi="Times New Roman" w:eastAsia="宋体"/>
      <w:sz w:val="18"/>
      <w:szCs w:val="20"/>
    </w:rPr>
  </w:style>
  <w:style w:type="character" w:styleId="1091" w:customStyle="1">
    <w:name w:val="脚注文本 字符"/>
    <w:link w:val="1090"/>
    <w:uiPriority w:val="0"/>
    <w:qFormat/>
    <w:rPr>
      <w:rFonts w:ascii="Times New Roman" w:hAnsi="Times New Roman" w:eastAsia="宋体" w:cs="Times New Roman"/>
      <w:sz w:val="18"/>
      <w:szCs w:val="20"/>
    </w:rPr>
  </w:style>
  <w:style w:type="paragraph" w:styleId="1092" w:customStyle="1">
    <w:name w:val="正文文本缩进 31"/>
    <w:basedOn w:val="837"/>
    <w:link w:val="1093"/>
    <w:uiPriority w:val="99"/>
    <w:qFormat/>
    <w:pPr>
      <w:ind w:firstLine="540"/>
      <w:spacing w:line="360" w:lineRule="auto"/>
      <w:widowControl/>
    </w:pPr>
    <w:rPr>
      <w:rFonts w:ascii="宋体" w:hAnsi="MS Sans Serif" w:eastAsia="宋体"/>
      <w:color w:val="000000"/>
      <w:sz w:val="24"/>
      <w:szCs w:val="20"/>
    </w:rPr>
  </w:style>
  <w:style w:type="character" w:styleId="1093" w:customStyle="1">
    <w:name w:val="正文文本缩进 3 字符2"/>
    <w:link w:val="1092"/>
    <w:uiPriority w:val="99"/>
    <w:qFormat/>
    <w:rPr>
      <w:rFonts w:ascii="宋体" w:hAnsi="MS Sans Serif" w:eastAsia="宋体" w:cs="Times New Roman"/>
      <w:color w:val="000000"/>
      <w:sz w:val="24"/>
      <w:szCs w:val="20"/>
    </w:rPr>
  </w:style>
  <w:style w:type="paragraph" w:styleId="1094" w:customStyle="1">
    <w:name w:val="正文文本 21"/>
    <w:basedOn w:val="837"/>
    <w:link w:val="1095"/>
    <w:uiPriority w:val="0"/>
    <w:qFormat/>
    <w:pPr>
      <w:spacing w:line="360" w:lineRule="auto"/>
      <w:tabs>
        <w:tab w:val="left" w:pos="540" w:leader="none"/>
      </w:tabs>
    </w:pPr>
    <w:rPr>
      <w:rFonts w:ascii="宋体" w:eastAsia="宋体"/>
      <w:color w:val="000000"/>
      <w:sz w:val="28"/>
      <w:szCs w:val="20"/>
    </w:rPr>
  </w:style>
  <w:style w:type="character" w:styleId="1095" w:customStyle="1">
    <w:name w:val="正文文本 2 字符"/>
    <w:link w:val="1094"/>
    <w:uiPriority w:val="0"/>
    <w:qFormat/>
    <w:rPr>
      <w:rFonts w:ascii="宋体" w:eastAsia="宋体" w:cs="Times New Roman"/>
      <w:color w:val="000000"/>
      <w:sz w:val="28"/>
      <w:szCs w:val="20"/>
    </w:rPr>
  </w:style>
  <w:style w:type="paragraph" w:styleId="1096" w:customStyle="1">
    <w:name w:val="普通(网站)1"/>
    <w:basedOn w:val="837"/>
    <w:uiPriority w:val="99"/>
    <w:qFormat/>
    <w:pPr>
      <w:jc w:val="left"/>
      <w:spacing w:before="100" w:beforeAutospacing="1" w:after="100" w:afterAutospacing="1"/>
      <w:widowControl/>
    </w:pPr>
    <w:rPr>
      <w:rFonts w:ascii="宋体" w:hAnsi="宋体" w:eastAsia="宋体" w:cs="宋体"/>
      <w:sz w:val="24"/>
      <w:szCs w:val="24"/>
    </w:rPr>
  </w:style>
  <w:style w:type="paragraph" w:styleId="1097" w:customStyle="1">
    <w:name w:val="标题1"/>
    <w:basedOn w:val="837"/>
    <w:next w:val="837"/>
    <w:link w:val="1098"/>
    <w:uiPriority w:val="10"/>
    <w:qFormat/>
    <w:pPr>
      <w:jc w:val="center"/>
      <w:spacing w:before="240" w:after="60"/>
      <w:outlineLvl w:val="0"/>
    </w:pPr>
    <w:rPr>
      <w:rFonts w:ascii="Cambria" w:hAnsi="Cambria" w:eastAsia="宋体"/>
      <w:b/>
      <w:bCs/>
      <w:sz w:val="32"/>
      <w:szCs w:val="32"/>
    </w:rPr>
  </w:style>
  <w:style w:type="character" w:styleId="1098" w:customStyle="1">
    <w:name w:val="标题 字符"/>
    <w:link w:val="1097"/>
    <w:uiPriority w:val="10"/>
    <w:qFormat/>
    <w:rPr>
      <w:rFonts w:ascii="Cambria" w:hAnsi="Cambria" w:eastAsia="宋体" w:cs="Times New Roman"/>
      <w:b/>
      <w:bCs/>
      <w:sz w:val="32"/>
      <w:szCs w:val="32"/>
    </w:rPr>
  </w:style>
  <w:style w:type="paragraph" w:styleId="1099" w:customStyle="1">
    <w:name w:val="批注主题1"/>
    <w:basedOn w:val="1060"/>
    <w:next w:val="1060"/>
    <w:link w:val="1100"/>
    <w:uiPriority w:val="99"/>
    <w:qFormat/>
    <w:pPr>
      <w:spacing w:line="240" w:lineRule="auto"/>
    </w:pPr>
    <w:rPr>
      <w:b/>
      <w:bCs/>
      <w:sz w:val="21"/>
    </w:rPr>
  </w:style>
  <w:style w:type="character" w:styleId="1100" w:customStyle="1">
    <w:name w:val="批注主题 字符2"/>
    <w:link w:val="1099"/>
    <w:uiPriority w:val="99"/>
    <w:qFormat/>
    <w:rPr>
      <w:rFonts w:ascii="Times New Roman" w:hAnsi="Times New Roman" w:eastAsia="宋体" w:cs="Times New Roman"/>
      <w:b/>
      <w:bCs/>
      <w:szCs w:val="20"/>
    </w:rPr>
  </w:style>
  <w:style w:type="paragraph" w:styleId="1101" w:customStyle="1">
    <w:name w:val="正文首行缩进 21"/>
    <w:basedOn w:val="1069"/>
    <w:link w:val="1102"/>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102" w:customStyle="1">
    <w:name w:val="正文首行缩进 2 字符"/>
    <w:basedOn w:val="1071"/>
    <w:link w:val="1101"/>
    <w:uiPriority w:val="99"/>
    <w:semiHidden/>
    <w:qFormat/>
    <w:rPr>
      <w:rFonts w:ascii="宋体" w:hAnsi="MS Sans Serif" w:eastAsia="宋体" w:cs="Times New Roman"/>
      <w:spacing w:val="12"/>
      <w:sz w:val="24"/>
      <w:szCs w:val="20"/>
    </w:rPr>
  </w:style>
  <w:style w:type="table" w:styleId="1103" w:customStyle="1">
    <w:name w:val="网格型11"/>
    <w:basedOn w:val="1046"/>
    <w:uiPriority w:val="99"/>
    <w:unhideWhenUsed/>
    <w:qFormat/>
    <w:rPr>
      <w:rFonts w:ascii="Times New Roman" w:hAnsi="Times New Roman" w:eastAsia="宋体"/>
    </w:rPr>
    <w:tblPr>
      <w:tblCellMar>
        <w:left w:w="0" w:type="dxa"/>
        <w:top w:w="0" w:type="dxa"/>
        <w:right w:w="0" w:type="dxa"/>
        <w:bottom w:w="0" w:type="dxa"/>
      </w:tblCellMar>
    </w:tblPr>
  </w:style>
  <w:style w:type="character" w:styleId="1104" w:customStyle="1">
    <w:name w:val="要点1"/>
    <w:uiPriority w:val="0"/>
    <w:qFormat/>
    <w:rPr>
      <w:b/>
      <w:bCs/>
    </w:rPr>
  </w:style>
  <w:style w:type="character" w:styleId="1105" w:customStyle="1">
    <w:name w:val="页码1"/>
    <w:uiPriority w:val="0"/>
    <w:qFormat/>
  </w:style>
  <w:style w:type="character" w:styleId="1106" w:customStyle="1">
    <w:name w:val="已访问的超链接1"/>
    <w:uiPriority w:val="99"/>
    <w:qFormat/>
    <w:rPr>
      <w:color w:val="000000"/>
      <w:u w:val="none"/>
    </w:rPr>
  </w:style>
  <w:style w:type="character" w:styleId="1107" w:customStyle="1">
    <w:name w:val="强调1"/>
    <w:uiPriority w:val="0"/>
    <w:qFormat/>
  </w:style>
  <w:style w:type="character" w:styleId="1108" w:customStyle="1">
    <w:name w:val="HTML 打字机1"/>
    <w:uiPriority w:val="0"/>
    <w:qFormat/>
    <w:rPr>
      <w:rFonts w:ascii="宋体" w:hAnsi="宋体" w:eastAsia="宋体" w:cs="宋体"/>
      <w:sz w:val="24"/>
      <w:szCs w:val="24"/>
    </w:rPr>
  </w:style>
  <w:style w:type="character" w:styleId="1109" w:customStyle="1">
    <w:name w:val="超链接1"/>
    <w:uiPriority w:val="99"/>
    <w:qFormat/>
    <w:rPr>
      <w:color w:val="000000"/>
      <w:u w:val="none"/>
    </w:rPr>
  </w:style>
  <w:style w:type="character" w:styleId="1110" w:customStyle="1">
    <w:name w:val="HTML 代码1"/>
    <w:uiPriority w:val="0"/>
    <w:qFormat/>
    <w:rPr>
      <w:rFonts w:ascii="Courier New" w:hAnsi="Courier New"/>
      <w:sz w:val="20"/>
    </w:rPr>
  </w:style>
  <w:style w:type="character" w:styleId="1111" w:customStyle="1">
    <w:name w:val="批注引用1"/>
    <w:uiPriority w:val="99"/>
    <w:qFormat/>
    <w:rPr>
      <w:sz w:val="21"/>
      <w:szCs w:val="21"/>
    </w:rPr>
  </w:style>
  <w:style w:type="character" w:styleId="1112" w:customStyle="1">
    <w:name w:val="正文首行缩进 Char"/>
    <w:link w:val="1066"/>
    <w:uiPriority w:val="99"/>
    <w:semiHidden/>
    <w:qFormat/>
    <w:rPr>
      <w:rFonts w:ascii="Times New Roman" w:hAnsi="Times New Roman" w:eastAsia="华文中宋" w:cs="Times New Roman"/>
      <w:sz w:val="21"/>
      <w:szCs w:val="20"/>
    </w:rPr>
  </w:style>
  <w:style w:type="character" w:styleId="1113" w:customStyle="1">
    <w:name w:val="标题 1 字符"/>
    <w:uiPriority w:val="0"/>
    <w:qFormat/>
    <w:rPr>
      <w:b/>
      <w:bCs/>
      <w:sz w:val="44"/>
      <w:szCs w:val="44"/>
    </w:rPr>
  </w:style>
  <w:style w:type="character" w:styleId="1114" w:customStyle="1">
    <w:name w:val="标题 2 字符"/>
    <w:uiPriority w:val="0"/>
    <w:qFormat/>
    <w:rPr>
      <w:rFonts w:ascii="等线 Light" w:hAnsi="等线 Light" w:eastAsia="等线 Light" w:cs="Times New Roman"/>
      <w:b/>
      <w:bCs/>
      <w:sz w:val="32"/>
      <w:szCs w:val="32"/>
    </w:rPr>
  </w:style>
  <w:style w:type="character" w:styleId="1115" w:customStyle="1">
    <w:name w:val="标题 3 字符"/>
    <w:uiPriority w:val="0"/>
    <w:qFormat/>
    <w:rPr>
      <w:b/>
      <w:bCs/>
      <w:sz w:val="32"/>
      <w:szCs w:val="32"/>
    </w:rPr>
  </w:style>
  <w:style w:type="character" w:styleId="1116" w:customStyle="1">
    <w:name w:val="标题 4 字符"/>
    <w:uiPriority w:val="0"/>
    <w:qFormat/>
    <w:rPr>
      <w:rFonts w:ascii="等线 Light" w:hAnsi="等线 Light" w:eastAsia="等线 Light" w:cs="Times New Roman"/>
      <w:b/>
      <w:bCs/>
      <w:sz w:val="28"/>
      <w:szCs w:val="28"/>
    </w:rPr>
  </w:style>
  <w:style w:type="character" w:styleId="1117" w:customStyle="1">
    <w:name w:val="标题 5 字符"/>
    <w:uiPriority w:val="0"/>
    <w:qFormat/>
    <w:rPr>
      <w:b/>
      <w:bCs/>
      <w:sz w:val="28"/>
      <w:szCs w:val="28"/>
    </w:rPr>
  </w:style>
  <w:style w:type="character" w:styleId="1118" w:customStyle="1">
    <w:name w:val="标题 6 字符"/>
    <w:uiPriority w:val="0"/>
    <w:qFormat/>
    <w:rPr>
      <w:rFonts w:ascii="等线 Light" w:hAnsi="等线 Light" w:eastAsia="等线 Light" w:cs="Times New Roman"/>
      <w:b/>
      <w:bCs/>
      <w:sz w:val="24"/>
      <w:szCs w:val="24"/>
    </w:rPr>
  </w:style>
  <w:style w:type="character" w:styleId="1119" w:customStyle="1">
    <w:name w:val="标题 7 字符"/>
    <w:uiPriority w:val="0"/>
    <w:qFormat/>
    <w:rPr>
      <w:b/>
      <w:bCs/>
      <w:sz w:val="24"/>
      <w:szCs w:val="24"/>
    </w:rPr>
  </w:style>
  <w:style w:type="character" w:styleId="1120" w:customStyle="1">
    <w:name w:val="标题 8 字符"/>
    <w:uiPriority w:val="0"/>
    <w:qFormat/>
    <w:rPr>
      <w:rFonts w:ascii="等线 Light" w:hAnsi="等线 Light" w:eastAsia="等线 Light" w:cs="Times New Roman"/>
      <w:sz w:val="24"/>
      <w:szCs w:val="24"/>
    </w:rPr>
  </w:style>
  <w:style w:type="character" w:styleId="1121" w:customStyle="1">
    <w:name w:val="标题 9 字符"/>
    <w:uiPriority w:val="0"/>
    <w:qFormat/>
    <w:rPr>
      <w:rFonts w:ascii="等线 Light" w:hAnsi="等线 Light" w:eastAsia="等线 Light" w:cs="Times New Roman"/>
      <w:szCs w:val="21"/>
    </w:rPr>
  </w:style>
  <w:style w:type="paragraph" w:styleId="1122" w:customStyle="1">
    <w:name w:val="_Style 39"/>
    <w:basedOn w:val="837"/>
    <w:next w:val="1123"/>
    <w:uiPriority w:val="34"/>
    <w:qFormat/>
    <w:pPr>
      <w:ind w:firstLine="420"/>
    </w:pPr>
    <w:rPr>
      <w:rFonts w:ascii="Times New Roman" w:hAnsi="Times New Roman" w:eastAsia="宋体"/>
      <w:szCs w:val="24"/>
    </w:rPr>
  </w:style>
  <w:style w:type="paragraph" w:styleId="1123" w:customStyle="1">
    <w:name w:val="列出段落2"/>
    <w:basedOn w:val="837"/>
    <w:link w:val="1124"/>
    <w:uiPriority w:val="34"/>
    <w:qFormat/>
    <w:pPr>
      <w:ind w:firstLine="420"/>
    </w:pPr>
    <w:rPr>
      <w:szCs w:val="24"/>
    </w:rPr>
  </w:style>
  <w:style w:type="character" w:styleId="1124" w:customStyle="1">
    <w:name w:val="列表段落 字符"/>
    <w:link w:val="1123"/>
    <w:uiPriority w:val="34"/>
    <w:qFormat/>
    <w:rPr>
      <w:sz w:val="21"/>
      <w:szCs w:val="24"/>
    </w:rPr>
  </w:style>
  <w:style w:type="character" w:styleId="1125" w:customStyle="1">
    <w:name w:val="文档结构图 字符"/>
    <w:uiPriority w:val="0"/>
    <w:qFormat/>
    <w:rPr>
      <w:rFonts w:ascii="Microsoft YaHei UI" w:eastAsia="Microsoft YaHei UI"/>
      <w:sz w:val="18"/>
      <w:szCs w:val="18"/>
    </w:rPr>
  </w:style>
  <w:style w:type="character" w:styleId="1126" w:customStyle="1">
    <w:name w:val="批注文字 字符"/>
    <w:basedOn w:val="1045"/>
    <w:uiPriority w:val="0"/>
    <w:qFormat/>
  </w:style>
  <w:style w:type="character" w:styleId="1127" w:customStyle="1">
    <w:name w:val="正文文本 字符"/>
    <w:basedOn w:val="1045"/>
    <w:uiPriority w:val="0"/>
    <w:qFormat/>
  </w:style>
  <w:style w:type="character" w:styleId="1128" w:customStyle="1">
    <w:name w:val="正文文本缩进 字符"/>
    <w:basedOn w:val="1045"/>
    <w:uiPriority w:val="0"/>
    <w:qFormat/>
  </w:style>
  <w:style w:type="paragraph" w:styleId="112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30" w:customStyle="1">
    <w:name w:val="纯文本 字符"/>
    <w:uiPriority w:val="0"/>
    <w:qFormat/>
    <w:rPr>
      <w:rFonts w:ascii="等线" w:hAnsi="Courier New" w:cs="Courier New"/>
    </w:rPr>
  </w:style>
  <w:style w:type="character" w:styleId="1131" w:customStyle="1">
    <w:name w:val="日期 字符"/>
    <w:basedOn w:val="1045"/>
    <w:uiPriority w:val="0"/>
    <w:qFormat/>
  </w:style>
  <w:style w:type="character" w:styleId="1132" w:customStyle="1">
    <w:name w:val="正文文本缩进 2 字符"/>
    <w:basedOn w:val="1045"/>
    <w:uiPriority w:val="0"/>
    <w:qFormat/>
  </w:style>
  <w:style w:type="character" w:styleId="1133" w:customStyle="1">
    <w:name w:val="批注框文本 字符"/>
    <w:uiPriority w:val="0"/>
    <w:qFormat/>
    <w:rPr>
      <w:sz w:val="18"/>
      <w:szCs w:val="18"/>
    </w:rPr>
  </w:style>
  <w:style w:type="character" w:styleId="1134" w:customStyle="1">
    <w:name w:val="页脚 字符2"/>
    <w:uiPriority w:val="99"/>
    <w:qFormat/>
    <w:rPr>
      <w:sz w:val="18"/>
      <w:szCs w:val="18"/>
    </w:rPr>
  </w:style>
  <w:style w:type="character" w:styleId="1135" w:customStyle="1">
    <w:name w:val="页眉 字符2"/>
    <w:uiPriority w:val="99"/>
    <w:qFormat/>
    <w:rPr>
      <w:sz w:val="18"/>
      <w:szCs w:val="18"/>
    </w:rPr>
  </w:style>
  <w:style w:type="character" w:styleId="1136" w:customStyle="1">
    <w:name w:val="正文文本缩进 3 字符"/>
    <w:uiPriority w:val="0"/>
    <w:qFormat/>
    <w:rPr>
      <w:sz w:val="16"/>
      <w:szCs w:val="16"/>
    </w:rPr>
  </w:style>
  <w:style w:type="character" w:styleId="1137" w:customStyle="1">
    <w:name w:val="批注主题 字符"/>
    <w:uiPriority w:val="0"/>
    <w:qFormat/>
    <w:rPr>
      <w:b/>
      <w:bCs/>
    </w:rPr>
  </w:style>
  <w:style w:type="character" w:styleId="1138" w:customStyle="1">
    <w:name w:val="正文文本首行缩进 字符1"/>
    <w:uiPriority w:val="0"/>
    <w:qFormat/>
    <w:rPr>
      <w:sz w:val="21"/>
    </w:rPr>
  </w:style>
  <w:style w:type="character" w:styleId="1139" w:customStyle="1">
    <w:name w:val="正文文本首行缩进 2 字符"/>
    <w:uiPriority w:val="0"/>
    <w:qFormat/>
  </w:style>
  <w:style w:type="character" w:styleId="1140" w:customStyle="1">
    <w:name w:val="Comment Text Char1"/>
    <w:uiPriority w:val="0"/>
    <w:qFormat/>
    <w:rPr>
      <w:sz w:val="24"/>
      <w:lang w:bidi="ar-SA"/>
    </w:rPr>
  </w:style>
  <w:style w:type="character" w:styleId="1141" w:customStyle="1">
    <w:name w:val="Footnote Text Char"/>
    <w:uiPriority w:val="0"/>
    <w:qFormat/>
    <w:rPr>
      <w:rFonts w:eastAsia="宋体"/>
      <w:sz w:val="18"/>
      <w:lang w:val="en-US" w:eastAsia="zh-CN" w:bidi="ar-SA"/>
    </w:rPr>
  </w:style>
  <w:style w:type="character" w:styleId="1142" w:customStyle="1">
    <w:name w:val="font131"/>
    <w:uiPriority w:val="0"/>
    <w:qFormat/>
    <w:rPr>
      <w:rFonts w:ascii="Times New Roman" w:hAnsi="Times New Roman" w:cs="Times New Roman"/>
      <w:color w:val="000000"/>
      <w:sz w:val="20"/>
      <w:szCs w:val="20"/>
      <w:u w:val="none"/>
      <w:vertAlign w:val="superscript"/>
    </w:rPr>
  </w:style>
  <w:style w:type="character" w:styleId="1143" w:customStyle="1">
    <w:name w:val="Plain Text Char"/>
    <w:uiPriority w:val="0"/>
    <w:qFormat/>
    <w:rPr>
      <w:rFonts w:ascii="宋体" w:hAnsi="Courier New" w:eastAsia="宋体"/>
      <w:sz w:val="24"/>
      <w:lang w:bidi="ar-SA"/>
    </w:rPr>
  </w:style>
  <w:style w:type="character" w:styleId="1144" w:customStyle="1">
    <w:name w:val="正文文本 (5) Exact"/>
    <w:link w:val="1145"/>
    <w:uiPriority w:val="0"/>
    <w:qFormat/>
    <w:rPr>
      <w:rFonts w:ascii="仿宋" w:eastAsia="仿宋"/>
      <w:sz w:val="19"/>
      <w:szCs w:val="19"/>
      <w:shd w:val="clear" w:color="auto" w:fill="ffffff"/>
      <w:lang w:eastAsia="en-US"/>
    </w:rPr>
  </w:style>
  <w:style w:type="paragraph" w:styleId="1145" w:customStyle="1">
    <w:name w:val="正文文本 (5)"/>
    <w:basedOn w:val="837"/>
    <w:link w:val="1144"/>
    <w:uiPriority w:val="0"/>
    <w:qFormat/>
    <w:pPr>
      <w:jc w:val="left"/>
      <w:spacing w:line="240" w:lineRule="atLeast"/>
      <w:shd w:val="clear" w:color="auto" w:fill="ffffff"/>
    </w:pPr>
    <w:rPr>
      <w:rFonts w:ascii="仿宋" w:eastAsia="仿宋"/>
      <w:sz w:val="19"/>
      <w:szCs w:val="19"/>
      <w:lang w:eastAsia="en-US"/>
    </w:rPr>
  </w:style>
  <w:style w:type="character" w:styleId="1146" w:customStyle="1">
    <w:name w:val="页眉 Char"/>
    <w:uiPriority w:val="99"/>
    <w:qFormat/>
    <w:rPr>
      <w:sz w:val="18"/>
      <w:szCs w:val="18"/>
    </w:rPr>
  </w:style>
  <w:style w:type="character" w:styleId="1147" w:customStyle="1">
    <w:name w:val="标题 1 Char1"/>
    <w:uiPriority w:val="0"/>
    <w:qFormat/>
    <w:rPr>
      <w:rFonts w:ascii="Calibri" w:hAnsi="Calibri" w:eastAsia="宋体" w:cs="Arial"/>
      <w:b/>
      <w:sz w:val="44"/>
      <w:szCs w:val="20"/>
    </w:rPr>
  </w:style>
  <w:style w:type="character" w:styleId="1148" w:customStyle="1">
    <w:name w:val="明显强调1"/>
    <w:uiPriority w:val="0"/>
    <w:qFormat/>
    <w:rPr>
      <w:b/>
      <w:bCs/>
      <w:i/>
      <w:iCs/>
      <w:color w:val="4f81bd"/>
    </w:rPr>
  </w:style>
  <w:style w:type="character" w:styleId="1149" w:customStyle="1">
    <w:name w:val="纯文本 Char1"/>
    <w:uiPriority w:val="0"/>
    <w:qFormat/>
    <w:rPr>
      <w:rFonts w:ascii="宋体" w:hAnsi="Courier New"/>
      <w:sz w:val="21"/>
    </w:rPr>
  </w:style>
  <w:style w:type="character" w:styleId="1150" w:customStyle="1">
    <w:name w:val="yf00正文 字符"/>
    <w:link w:val="1151"/>
    <w:uiPriority w:val="0"/>
    <w:qFormat/>
    <w:rPr>
      <w:rFonts w:ascii="宋体" w:hAnsi="宋体"/>
      <w:sz w:val="24"/>
      <w:szCs w:val="21"/>
    </w:rPr>
  </w:style>
  <w:style w:type="paragraph" w:styleId="1151" w:customStyle="1">
    <w:name w:val="yf00正文"/>
    <w:basedOn w:val="837"/>
    <w:link w:val="1150"/>
    <w:uiPriority w:val="0"/>
    <w:qFormat/>
    <w:pPr>
      <w:ind w:firstLine="480"/>
      <w:spacing w:after="160" w:line="360" w:lineRule="auto"/>
    </w:pPr>
    <w:rPr>
      <w:rFonts w:ascii="宋体" w:hAnsi="宋体"/>
      <w:sz w:val="24"/>
      <w:szCs w:val="21"/>
    </w:rPr>
  </w:style>
  <w:style w:type="character" w:styleId="1152" w:customStyle="1">
    <w:name w:val="font101"/>
    <w:uiPriority w:val="0"/>
    <w:qFormat/>
    <w:rPr>
      <w:rFonts w:hint="eastAsia" w:ascii="宋体" w:hAnsi="宋体" w:eastAsia="宋体" w:cs="宋体"/>
      <w:color w:val="000000"/>
      <w:sz w:val="18"/>
      <w:szCs w:val="18"/>
      <w:u w:val="none"/>
    </w:rPr>
  </w:style>
  <w:style w:type="character" w:styleId="1153" w:customStyle="1">
    <w:name w:val="Header Char"/>
    <w:uiPriority w:val="0"/>
    <w:qFormat/>
    <w:rPr>
      <w:rFonts w:eastAsia="宋体"/>
      <w:sz w:val="18"/>
      <w:szCs w:val="18"/>
      <w:lang w:val="en-US" w:eastAsia="zh-CN" w:bidi="ar-SA"/>
    </w:rPr>
  </w:style>
  <w:style w:type="character" w:styleId="1154" w:customStyle="1">
    <w:name w:val="批注文字 Char Char"/>
    <w:uiPriority w:val="0"/>
    <w:qFormat/>
    <w:rPr>
      <w:rFonts w:ascii="宋体" w:hAnsi="Times New Roman" w:eastAsia="宋体" w:cs="Times New Roman"/>
      <w:sz w:val="28"/>
      <w:szCs w:val="20"/>
    </w:rPr>
  </w:style>
  <w:style w:type="character" w:styleId="1155" w:customStyle="1">
    <w:name w:val="fontstyle01"/>
    <w:uiPriority w:val="0"/>
    <w:qFormat/>
    <w:rPr>
      <w:rFonts w:ascii="MicrosoftYaHei-Identity-H" w:hAnsi="MicrosoftYaHei-Identity-H"/>
      <w:color w:val="231916"/>
      <w:sz w:val="22"/>
      <w:szCs w:val="22"/>
    </w:rPr>
  </w:style>
  <w:style w:type="character" w:styleId="1156" w:customStyle="1">
    <w:name w:val="font91"/>
    <w:uiPriority w:val="0"/>
    <w:qFormat/>
    <w:rPr>
      <w:rFonts w:hint="eastAsia" w:ascii="宋体" w:hAnsi="宋体" w:eastAsia="宋体" w:cs="宋体"/>
      <w:b/>
      <w:bCs/>
      <w:color w:val="000000"/>
      <w:sz w:val="24"/>
      <w:szCs w:val="24"/>
      <w:u w:val="none"/>
    </w:rPr>
  </w:style>
  <w:style w:type="character" w:styleId="1157" w:customStyle="1">
    <w:name w:val="font111"/>
    <w:uiPriority w:val="0"/>
    <w:qFormat/>
    <w:rPr>
      <w:rFonts w:hint="eastAsia" w:ascii="宋体" w:hAnsi="宋体" w:eastAsia="宋体" w:cs="宋体"/>
      <w:color w:val="000000"/>
      <w:sz w:val="20"/>
      <w:szCs w:val="20"/>
      <w:u w:val="none"/>
    </w:rPr>
  </w:style>
  <w:style w:type="character" w:styleId="1158" w:customStyle="1">
    <w:name w:val="tit12"/>
    <w:uiPriority w:val="0"/>
    <w:qFormat/>
    <w:rPr>
      <w:color w:val="db2200"/>
    </w:rPr>
  </w:style>
  <w:style w:type="character" w:styleId="1159" w:customStyle="1">
    <w:name w:val="批注文字 Char1"/>
    <w:uiPriority w:val="0"/>
    <w:qFormat/>
    <w:rPr>
      <w:rFonts w:ascii="Times New Roman" w:hAnsi="Times New Roman" w:eastAsia="宋体" w:cs="Times New Roman"/>
      <w:sz w:val="20"/>
      <w:szCs w:val="20"/>
    </w:rPr>
  </w:style>
  <w:style w:type="character" w:styleId="1160" w:customStyle="1">
    <w:name w:val="CITE"/>
    <w:uiPriority w:val="0"/>
    <w:qFormat/>
    <w:rPr>
      <w:i/>
    </w:rPr>
  </w:style>
  <w:style w:type="character" w:styleId="1161" w:customStyle="1">
    <w:name w:val="标题5 Char Char"/>
    <w:link w:val="1162"/>
    <w:uiPriority w:val="0"/>
    <w:qFormat/>
    <w:rPr>
      <w:rFonts w:ascii="Arial" w:hAnsi="Arial"/>
      <w:b/>
      <w:bCs/>
      <w:sz w:val="24"/>
      <w:szCs w:val="32"/>
    </w:rPr>
  </w:style>
  <w:style w:type="paragraph" w:styleId="1162" w:customStyle="1">
    <w:name w:val="标题5"/>
    <w:basedOn w:val="898"/>
    <w:link w:val="1161"/>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163" w:customStyle="1">
    <w:name w:val="Variable"/>
    <w:uiPriority w:val="0"/>
    <w:qFormat/>
    <w:rPr>
      <w:i/>
    </w:rPr>
  </w:style>
  <w:style w:type="character" w:styleId="1164" w:customStyle="1">
    <w:name w:val="超链接_0"/>
    <w:uiPriority w:val="99"/>
    <w:qFormat/>
    <w:rPr>
      <w:rFonts w:ascii="Calibri" w:hAnsi="Calibri" w:cs="Times New Roman"/>
      <w:color w:val="0000ff"/>
      <w:u w:val="single"/>
    </w:rPr>
  </w:style>
  <w:style w:type="character" w:styleId="1165" w:customStyle="1">
    <w:name w:val="15"/>
    <w:uiPriority w:val="0"/>
    <w:qFormat/>
    <w:rPr>
      <w:rFonts w:ascii="Arial" w:hAnsi="Arial" w:cs="Arial"/>
      <w:b/>
      <w:bCs/>
      <w:sz w:val="32"/>
      <w:szCs w:val="32"/>
    </w:rPr>
  </w:style>
  <w:style w:type="character" w:styleId="1166" w:customStyle="1">
    <w:name w:val="Char Char91"/>
    <w:uiPriority w:val="0"/>
    <w:qFormat/>
    <w:rPr>
      <w:rFonts w:eastAsia="宋体"/>
      <w:b/>
      <w:bCs/>
      <w:sz w:val="32"/>
      <w:szCs w:val="44"/>
      <w:lang w:val="en-US" w:eastAsia="zh-CN" w:bidi="ar-SA"/>
    </w:rPr>
  </w:style>
  <w:style w:type="character" w:styleId="1167" w:customStyle="1">
    <w:name w:val="正文缩进 字符"/>
    <w:uiPriority w:val="0"/>
    <w:qFormat/>
    <w:rPr>
      <w:szCs w:val="24"/>
    </w:rPr>
  </w:style>
  <w:style w:type="character" w:styleId="1168" w:customStyle="1">
    <w:name w:val="日期 Char1"/>
    <w:uiPriority w:val="0"/>
    <w:qFormat/>
    <w:rPr>
      <w:rFonts w:ascii="Times New Roman" w:hAnsi="Times New Roman" w:eastAsia="宋体" w:cs="Times New Roman"/>
      <w:szCs w:val="24"/>
    </w:rPr>
  </w:style>
  <w:style w:type="character" w:styleId="1169" w:customStyle="1">
    <w:name w:val="正文文本缩进 2 字符1"/>
    <w:uiPriority w:val="99"/>
    <w:semiHidden/>
    <w:qFormat/>
    <w:rPr>
      <w:sz w:val="21"/>
      <w:szCs w:val="24"/>
    </w:rPr>
  </w:style>
  <w:style w:type="character" w:styleId="1170" w:customStyle="1">
    <w:name w:val="正文文本首行缩进 2 字符1"/>
    <w:uiPriority w:val="99"/>
    <w:qFormat/>
    <w:rPr>
      <w:rFonts w:ascii="宋体" w:hAnsi="MS Sans Serif"/>
      <w:spacing w:val="12"/>
      <w:sz w:val="21"/>
    </w:rPr>
  </w:style>
  <w:style w:type="character" w:styleId="1171" w:customStyle="1">
    <w:name w:val="正文文本缩进 3 字符1"/>
    <w:uiPriority w:val="99"/>
    <w:semiHidden/>
    <w:qFormat/>
    <w:rPr>
      <w:sz w:val="16"/>
      <w:szCs w:val="16"/>
    </w:rPr>
  </w:style>
  <w:style w:type="character" w:styleId="1172" w:customStyle="1">
    <w:name w:val="more6"/>
    <w:uiPriority w:val="0"/>
    <w:qFormat/>
  </w:style>
  <w:style w:type="character" w:styleId="1173" w:customStyle="1">
    <w:name w:val="HTML Markup"/>
    <w:uiPriority w:val="0"/>
    <w:qFormat/>
    <w:rPr>
      <w:vanish/>
      <w:color w:val="ff0000"/>
    </w:rPr>
  </w:style>
  <w:style w:type="character" w:styleId="1174" w:customStyle="1">
    <w:name w:val="不明显参考1"/>
    <w:uiPriority w:val="0"/>
    <w:qFormat/>
    <w:rPr>
      <w:smallCaps/>
      <w:color w:val="c0504d"/>
      <w:u w:val="single"/>
    </w:rPr>
  </w:style>
  <w:style w:type="character" w:styleId="1175" w:customStyle="1">
    <w:name w:val="font151"/>
    <w:uiPriority w:val="0"/>
    <w:qFormat/>
    <w:rPr>
      <w:rFonts w:ascii="Wingdings 2" w:hAnsi="Wingdings 2" w:eastAsia="Wingdings 2" w:cs="Wingdings 2"/>
      <w:color w:val="000000"/>
      <w:sz w:val="20"/>
      <w:szCs w:val="20"/>
      <w:u w:val="none"/>
    </w:rPr>
  </w:style>
  <w:style w:type="character" w:styleId="1176" w:customStyle="1">
    <w:name w:val="样式 Char"/>
    <w:link w:val="1177"/>
    <w:uiPriority w:val="0"/>
    <w:qFormat/>
    <w:rPr>
      <w:rFonts w:ascii="宋体" w:hAnsi="宋体" w:cs="宋体"/>
      <w:sz w:val="24"/>
      <w:szCs w:val="24"/>
    </w:rPr>
  </w:style>
  <w:style w:type="paragraph" w:styleId="1177" w:customStyle="1">
    <w:name w:val="样式"/>
    <w:link w:val="1176"/>
    <w:uiPriority w:val="0"/>
    <w:qFormat/>
    <w:pPr>
      <w:widowControl w:val="off"/>
    </w:pPr>
    <w:rPr>
      <w:rFonts w:hint="default" w:ascii="宋体" w:hAnsi="宋体" w:eastAsia="等线" w:cs="宋体"/>
      <w:sz w:val="24"/>
      <w:szCs w:val="24"/>
      <w:lang w:val="en-US" w:eastAsia="zh-CN" w:bidi="ar-SA"/>
    </w:rPr>
  </w:style>
  <w:style w:type="character" w:styleId="1178" w:customStyle="1">
    <w:name w:val="明显引用 Char1"/>
    <w:uiPriority w:val="30"/>
    <w:qFormat/>
    <w:rPr>
      <w:rFonts w:ascii="Times New Roman" w:hAnsi="Times New Roman" w:eastAsia="宋体" w:cs="Times New Roman"/>
      <w:b/>
      <w:bCs/>
      <w:i/>
      <w:iCs/>
      <w:color w:val="4f81bd"/>
      <w:szCs w:val="24"/>
    </w:rPr>
  </w:style>
  <w:style w:type="character" w:styleId="1179" w:customStyle="1">
    <w:name w:val="Document Map Char"/>
    <w:uiPriority w:val="0"/>
    <w:qFormat/>
    <w:rPr>
      <w:rFonts w:eastAsia="宋体"/>
      <w:sz w:val="21"/>
      <w:szCs w:val="24"/>
      <w:lang w:val="en-US" w:eastAsia="zh-CN" w:bidi="ar-SA"/>
    </w:rPr>
  </w:style>
  <w:style w:type="character" w:styleId="1180" w:customStyle="1">
    <w:name w:val="副标题 Char1"/>
    <w:uiPriority w:val="0"/>
    <w:qFormat/>
    <w:rPr>
      <w:rFonts w:ascii="Cambria" w:hAnsi="Cambria" w:cs="Times New Roman"/>
      <w:b/>
      <w:bCs/>
      <w:sz w:val="32"/>
      <w:szCs w:val="32"/>
    </w:rPr>
  </w:style>
  <w:style w:type="character" w:styleId="1181" w:customStyle="1">
    <w:name w:val="正文文本首行缩进 字符"/>
    <w:uiPriority w:val="0"/>
    <w:qFormat/>
    <w:rPr>
      <w:rFonts w:ascii="华文中宋" w:eastAsia="华文中宋"/>
      <w:sz w:val="21"/>
    </w:rPr>
  </w:style>
  <w:style w:type="character" w:styleId="1182" w:customStyle="1">
    <w:name w:val="正文文本缩进 字符1"/>
    <w:uiPriority w:val="99"/>
    <w:semiHidden/>
    <w:qFormat/>
    <w:rPr>
      <w:sz w:val="21"/>
      <w:szCs w:val="24"/>
    </w:rPr>
  </w:style>
  <w:style w:type="character" w:styleId="1183" w:customStyle="1">
    <w:name w:val="CODE"/>
    <w:uiPriority w:val="0"/>
    <w:qFormat/>
    <w:rPr>
      <w:rFonts w:ascii="Courier New" w:hAnsi="Courier New"/>
      <w:sz w:val="20"/>
    </w:rPr>
  </w:style>
  <w:style w:type="character" w:styleId="1184" w:customStyle="1">
    <w:name w:val="正文文本缩进 Char1"/>
    <w:uiPriority w:val="0"/>
    <w:qFormat/>
    <w:rPr>
      <w:sz w:val="21"/>
      <w:szCs w:val="24"/>
    </w:rPr>
  </w:style>
  <w:style w:type="character" w:styleId="1185" w:customStyle="1">
    <w:name w:val="文档结构图 Char1"/>
    <w:uiPriority w:val="0"/>
    <w:qFormat/>
    <w:rPr>
      <w:rFonts w:ascii="宋体" w:hAnsi="Times New Roman" w:eastAsia="宋体" w:cs="Times New Roman"/>
      <w:sz w:val="18"/>
      <w:szCs w:val="18"/>
    </w:rPr>
  </w:style>
  <w:style w:type="character" w:styleId="1186" w:customStyle="1">
    <w:name w:val="明显参考1"/>
    <w:uiPriority w:val="0"/>
    <w:qFormat/>
    <w:rPr>
      <w:b/>
      <w:bCs/>
      <w:smallCaps/>
      <w:color w:val="c0504d"/>
      <w:spacing w:val="5"/>
      <w:u w:val="single"/>
    </w:rPr>
  </w:style>
  <w:style w:type="character" w:styleId="1187" w:customStyle="1">
    <w:name w:val="Body Text Indent 2 Char"/>
    <w:uiPriority w:val="0"/>
    <w:qFormat/>
    <w:rPr>
      <w:rFonts w:eastAsia="宋体"/>
      <w:sz w:val="21"/>
      <w:szCs w:val="24"/>
      <w:lang w:val="en-US" w:eastAsia="zh-CN" w:bidi="ar-SA"/>
    </w:rPr>
  </w:style>
  <w:style w:type="character" w:styleId="1188" w:customStyle="1">
    <w:name w:val="Comment Text Char"/>
    <w:uiPriority w:val="0"/>
    <w:qFormat/>
    <w:rPr>
      <w:rFonts w:cs="Times New Roman"/>
      <w:sz w:val="24"/>
      <w:szCs w:val="24"/>
    </w:rPr>
  </w:style>
  <w:style w:type="character" w:styleId="1189" w:customStyle="1">
    <w:name w:val="标题 Char1"/>
    <w:uiPriority w:val="10"/>
    <w:qFormat/>
    <w:rPr>
      <w:rFonts w:ascii="Cambria" w:hAnsi="Cambria" w:eastAsia="宋体" w:cs="Times New Roman"/>
      <w:b/>
      <w:bCs/>
      <w:sz w:val="32"/>
      <w:szCs w:val="32"/>
    </w:rPr>
  </w:style>
  <w:style w:type="character" w:styleId="1190" w:customStyle="1">
    <w:name w:val="批注框文本 字符1"/>
    <w:uiPriority w:val="99"/>
    <w:semiHidden/>
    <w:qFormat/>
    <w:rPr>
      <w:sz w:val="18"/>
      <w:szCs w:val="18"/>
    </w:rPr>
  </w:style>
  <w:style w:type="character" w:styleId="1191" w:customStyle="1">
    <w:name w:val="Footer Char"/>
    <w:uiPriority w:val="0"/>
    <w:qFormat/>
    <w:rPr>
      <w:rFonts w:eastAsia="宋体"/>
      <w:sz w:val="18"/>
      <w:szCs w:val="18"/>
      <w:lang w:val="en-US" w:eastAsia="zh-CN" w:bidi="ar-SA"/>
    </w:rPr>
  </w:style>
  <w:style w:type="character" w:styleId="1192" w:customStyle="1">
    <w:name w:val="正文文本 Char1"/>
    <w:uiPriority w:val="0"/>
    <w:qFormat/>
    <w:rPr>
      <w:sz w:val="21"/>
      <w:szCs w:val="22"/>
    </w:rPr>
  </w:style>
  <w:style w:type="character" w:styleId="1193" w:customStyle="1">
    <w:name w:val="font341"/>
    <w:uiPriority w:val="0"/>
    <w:qFormat/>
    <w:rPr>
      <w:rFonts w:ascii="Times New Roman" w:hAnsi="Times New Roman" w:cs="Times New Roman"/>
      <w:color w:val="000000"/>
      <w:sz w:val="20"/>
      <w:szCs w:val="20"/>
      <w:u w:val="none"/>
    </w:rPr>
  </w:style>
  <w:style w:type="character" w:styleId="1194" w:customStyle="1">
    <w:name w:val="Char Char21"/>
    <w:uiPriority w:val="0"/>
    <w:qFormat/>
    <w:rPr>
      <w:rFonts w:ascii="Arial" w:hAnsi="Arial" w:eastAsia="黑体" w:cs="Times New Roman"/>
      <w:b/>
      <w:bCs/>
      <w:sz w:val="32"/>
      <w:szCs w:val="32"/>
    </w:rPr>
  </w:style>
  <w:style w:type="character" w:styleId="1195" w:customStyle="1">
    <w:name w:val="Balloon Text Char"/>
    <w:uiPriority w:val="0"/>
    <w:qFormat/>
    <w:rPr>
      <w:sz w:val="18"/>
      <w:lang w:bidi="ar-SA"/>
    </w:rPr>
  </w:style>
  <w:style w:type="character" w:styleId="1196" w:customStyle="1">
    <w:name w:val="正文非缩进 Char1"/>
    <w:uiPriority w:val="0"/>
    <w:qFormat/>
  </w:style>
  <w:style w:type="character" w:styleId="1197" w:customStyle="1">
    <w:name w:val="标题 2 Char1"/>
    <w:uiPriority w:val="0"/>
    <w:qFormat/>
    <w:rPr>
      <w:rFonts w:ascii="Arial" w:hAnsi="Arial" w:eastAsia="黑体" w:cs="Calibri"/>
      <w:b/>
      <w:sz w:val="32"/>
      <w:szCs w:val="20"/>
    </w:rPr>
  </w:style>
  <w:style w:type="character" w:styleId="1198" w:customStyle="1">
    <w:name w:val="Heading 2 Char"/>
    <w:uiPriority w:val="0"/>
    <w:qFormat/>
    <w:rPr>
      <w:rFonts w:ascii="Arial" w:hAnsi="Arial" w:eastAsia="黑体"/>
      <w:b/>
      <w:bCs/>
      <w:sz w:val="32"/>
      <w:szCs w:val="32"/>
      <w:lang w:val="en-US" w:eastAsia="zh-CN" w:bidi="ar-SA"/>
    </w:rPr>
  </w:style>
  <w:style w:type="character" w:styleId="1199" w:customStyle="1">
    <w:name w:val="font141"/>
    <w:uiPriority w:val="0"/>
    <w:qFormat/>
    <w:rPr>
      <w:rFonts w:ascii="Times New Roman" w:hAnsi="Times New Roman" w:cs="Times New Roman"/>
      <w:color w:val="000000"/>
      <w:sz w:val="18"/>
      <w:szCs w:val="18"/>
      <w:u w:val="none"/>
    </w:rPr>
  </w:style>
  <w:style w:type="character" w:styleId="1200" w:customStyle="1">
    <w:name w:val="Char Char3"/>
    <w:uiPriority w:val="0"/>
    <w:qFormat/>
    <w:rPr>
      <w:rFonts w:ascii="黑体" w:hAnsi="宋体" w:eastAsia="黑体" w:cs="Arial"/>
      <w:b/>
      <w:bCs/>
      <w:sz w:val="24"/>
      <w:szCs w:val="24"/>
      <w:lang w:val="en-US" w:eastAsia="zh-CN" w:bidi="ar-SA"/>
    </w:rPr>
  </w:style>
  <w:style w:type="character" w:styleId="1201" w:customStyle="1">
    <w:name w:val="引用 字符"/>
    <w:link w:val="1202"/>
    <w:uiPriority w:val="0"/>
    <w:qFormat/>
    <w:rPr>
      <w:i/>
      <w:iCs/>
      <w:color w:val="000000"/>
    </w:rPr>
  </w:style>
  <w:style w:type="paragraph" w:styleId="1202" w:customStyle="1">
    <w:name w:val="引用1"/>
    <w:basedOn w:val="837"/>
    <w:next w:val="837"/>
    <w:link w:val="1201"/>
    <w:uiPriority w:val="0"/>
    <w:qFormat/>
    <w:rPr>
      <w:i/>
      <w:iCs/>
      <w:color w:val="000000"/>
    </w:rPr>
  </w:style>
  <w:style w:type="character" w:styleId="1203" w:customStyle="1">
    <w:name w:val="引用 字符1"/>
    <w:uiPriority w:val="29"/>
    <w:qFormat/>
    <w:rPr>
      <w:i/>
      <w:iCs/>
      <w:color w:val="404040"/>
    </w:rPr>
  </w:style>
  <w:style w:type="character" w:styleId="1204" w:customStyle="1">
    <w:name w:val="Date Char"/>
    <w:uiPriority w:val="0"/>
    <w:qFormat/>
    <w:rPr>
      <w:rFonts w:eastAsia="宋体"/>
      <w:sz w:val="21"/>
      <w:szCs w:val="24"/>
      <w:lang w:val="en-US" w:eastAsia="zh-CN" w:bidi="ar-SA"/>
    </w:rPr>
  </w:style>
  <w:style w:type="character" w:styleId="1205" w:customStyle="1">
    <w:name w:val="Char Char9"/>
    <w:uiPriority w:val="0"/>
    <w:qFormat/>
    <w:rPr>
      <w:rFonts w:eastAsia="宋体"/>
      <w:b/>
      <w:bCs/>
      <w:sz w:val="32"/>
      <w:szCs w:val="44"/>
      <w:lang w:val="en-US" w:eastAsia="zh-CN" w:bidi="ar-SA"/>
    </w:rPr>
  </w:style>
  <w:style w:type="character" w:styleId="1206" w:customStyle="1">
    <w:name w:val="font122"/>
    <w:uiPriority w:val="0"/>
    <w:qFormat/>
    <w:rPr>
      <w:rFonts w:hint="eastAsia" w:ascii="宋体" w:hAnsi="宋体" w:eastAsia="宋体" w:cs="宋体"/>
      <w:color w:val="000000"/>
      <w:sz w:val="20"/>
      <w:szCs w:val="20"/>
      <w:u w:val="none"/>
      <w:vertAlign w:val="superscript"/>
    </w:rPr>
  </w:style>
  <w:style w:type="character" w:styleId="1207" w:customStyle="1">
    <w:name w:val="页眉 字符1"/>
    <w:uiPriority w:val="99"/>
    <w:semiHidden/>
    <w:qFormat/>
    <w:rPr>
      <w:sz w:val="18"/>
      <w:szCs w:val="18"/>
    </w:rPr>
  </w:style>
  <w:style w:type="character" w:styleId="1208" w:customStyle="1">
    <w:name w:val="页脚 字符1"/>
    <w:uiPriority w:val="99"/>
    <w:semiHidden/>
    <w:qFormat/>
    <w:rPr>
      <w:sz w:val="18"/>
      <w:szCs w:val="18"/>
    </w:rPr>
  </w:style>
  <w:style w:type="character" w:styleId="1209" w:customStyle="1">
    <w:name w:val="Comment"/>
    <w:uiPriority w:val="0"/>
    <w:qFormat/>
    <w:rPr>
      <w:vanish/>
    </w:rPr>
  </w:style>
  <w:style w:type="character" w:styleId="1210" w:customStyle="1">
    <w:name w:val="font81"/>
    <w:uiPriority w:val="0"/>
    <w:qFormat/>
    <w:rPr>
      <w:rFonts w:hint="eastAsia" w:ascii="宋体" w:hAnsi="宋体" w:eastAsia="宋体" w:cs="宋体"/>
      <w:color w:val="000000"/>
      <w:sz w:val="22"/>
      <w:szCs w:val="22"/>
      <w:u w:val="single"/>
    </w:rPr>
  </w:style>
  <w:style w:type="character" w:styleId="1211" w:customStyle="1">
    <w:name w:val="明显引用 字符"/>
    <w:link w:val="1212"/>
    <w:uiPriority w:val="0"/>
    <w:qFormat/>
    <w:rPr>
      <w:b/>
      <w:bCs/>
      <w:i/>
      <w:iCs/>
      <w:color w:val="4f81bd"/>
    </w:rPr>
  </w:style>
  <w:style w:type="paragraph" w:styleId="1212" w:customStyle="1">
    <w:name w:val="明显引用1"/>
    <w:basedOn w:val="837"/>
    <w:next w:val="837"/>
    <w:link w:val="1211"/>
    <w:uiPriority w:val="0"/>
    <w:qFormat/>
    <w:pPr>
      <w:ind w:left="936" w:right="936"/>
      <w:spacing w:before="200" w:after="280"/>
      <w:pBdr>
        <w:bottom w:val="single" w:color="4F81BD" w:sz="4" w:space="4"/>
      </w:pBdr>
    </w:pPr>
    <w:rPr>
      <w:b/>
      <w:bCs/>
      <w:i/>
      <w:iCs/>
      <w:color w:val="4f81bd"/>
    </w:rPr>
  </w:style>
  <w:style w:type="character" w:styleId="1213" w:customStyle="1">
    <w:name w:val="明显引用 字符1"/>
    <w:uiPriority w:val="30"/>
    <w:qFormat/>
    <w:rPr>
      <w:i/>
      <w:iCs/>
      <w:color w:val="4472c4"/>
    </w:rPr>
  </w:style>
  <w:style w:type="character" w:styleId="1214" w:customStyle="1">
    <w:name w:val="Char Char181"/>
    <w:uiPriority w:val="0"/>
    <w:qFormat/>
    <w:rPr>
      <w:b/>
      <w:bCs/>
      <w:sz w:val="44"/>
      <w:szCs w:val="44"/>
    </w:rPr>
  </w:style>
  <w:style w:type="character" w:styleId="1215" w:customStyle="1">
    <w:name w:val="Definition"/>
    <w:uiPriority w:val="0"/>
    <w:qFormat/>
    <w:rPr>
      <w:i/>
    </w:rPr>
  </w:style>
  <w:style w:type="character" w:styleId="1216" w:customStyle="1">
    <w:name w:val="Char Char23"/>
    <w:uiPriority w:val="0"/>
    <w:qFormat/>
    <w:rPr>
      <w:rFonts w:eastAsia="宋体"/>
      <w:b/>
      <w:bCs/>
      <w:sz w:val="32"/>
      <w:szCs w:val="44"/>
      <w:lang w:val="en-US" w:eastAsia="zh-CN" w:bidi="ar-SA"/>
    </w:rPr>
  </w:style>
  <w:style w:type="character" w:styleId="1217" w:customStyle="1">
    <w:name w:val="Para head"/>
    <w:uiPriority w:val="0"/>
    <w:qFormat/>
    <w:rPr>
      <w:rFonts w:ascii="Arial" w:hAnsi="Arial" w:eastAsia="Times New Roman"/>
      <w:sz w:val="20"/>
    </w:rPr>
  </w:style>
  <w:style w:type="character" w:styleId="1218" w:customStyle="1">
    <w:name w:val="【正文】 Char"/>
    <w:link w:val="1219"/>
    <w:uiPriority w:val="0"/>
    <w:qFormat/>
    <w:rPr>
      <w:rFonts w:ascii="宋体" w:hAnsi="宋体" w:cs="宋体"/>
      <w:sz w:val="24"/>
      <w:szCs w:val="24"/>
      <w:lang w:val="zh-CN"/>
    </w:rPr>
  </w:style>
  <w:style w:type="paragraph" w:styleId="1219" w:customStyle="1">
    <w:name w:val="【正文】"/>
    <w:basedOn w:val="1094"/>
    <w:link w:val="1218"/>
    <w:uiPriority w:val="0"/>
    <w:qFormat/>
    <w:pPr>
      <w:ind w:firstLine="480"/>
      <w:tabs>
        <w:tab w:val="clear" w:pos="540" w:leader="none"/>
      </w:tabs>
    </w:pPr>
    <w:rPr>
      <w:rFonts w:hAnsi="宋体" w:eastAsia="等线" w:cs="宋体"/>
      <w:sz w:val="24"/>
      <w:szCs w:val="24"/>
      <w:lang w:val="zh-CN"/>
    </w:rPr>
  </w:style>
  <w:style w:type="character" w:styleId="1220" w:customStyle="1">
    <w:name w:val="Char Char6"/>
    <w:uiPriority w:val="0"/>
    <w:qFormat/>
    <w:rPr>
      <w:rFonts w:eastAsia="宋体"/>
      <w:b/>
      <w:bCs/>
      <w:sz w:val="32"/>
      <w:szCs w:val="44"/>
      <w:lang w:val="en-US" w:eastAsia="zh-CN" w:bidi="ar-SA"/>
    </w:rPr>
  </w:style>
  <w:style w:type="character" w:styleId="1221" w:customStyle="1">
    <w:name w:val="标题 Char2"/>
    <w:uiPriority w:val="0"/>
    <w:qFormat/>
    <w:rPr>
      <w:rFonts w:ascii="Cambria" w:hAnsi="Cambria" w:eastAsia="宋体" w:cs="Times New Roman"/>
      <w:b/>
      <w:bCs/>
      <w:sz w:val="32"/>
      <w:szCs w:val="32"/>
    </w:rPr>
  </w:style>
  <w:style w:type="character" w:styleId="1222" w:customStyle="1">
    <w:name w:val="Char Char22"/>
    <w:uiPriority w:val="0"/>
    <w:qFormat/>
    <w:rPr>
      <w:rFonts w:ascii="Times New Roman" w:hAnsi="Times New Roman" w:eastAsia="宋体" w:cs="Times New Roman"/>
      <w:b/>
      <w:bCs/>
      <w:sz w:val="32"/>
      <w:szCs w:val="44"/>
    </w:rPr>
  </w:style>
  <w:style w:type="character" w:styleId="1223" w:customStyle="1">
    <w:name w:val="样式3 字符"/>
    <w:link w:val="1224"/>
    <w:uiPriority w:val="0"/>
    <w:qFormat/>
    <w:rPr>
      <w:rFonts w:eastAsia="黑体"/>
      <w:b/>
      <w:bCs/>
      <w:sz w:val="32"/>
      <w:szCs w:val="44"/>
    </w:rPr>
  </w:style>
  <w:style w:type="paragraph" w:styleId="1224" w:customStyle="1">
    <w:name w:val="样式3"/>
    <w:basedOn w:val="1036"/>
    <w:link w:val="1223"/>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225" w:customStyle="1">
    <w:name w:val="font71"/>
    <w:uiPriority w:val="0"/>
    <w:qFormat/>
    <w:rPr>
      <w:rFonts w:hint="eastAsia" w:ascii="宋体" w:hAnsi="宋体" w:eastAsia="宋体" w:cs="宋体"/>
      <w:color w:val="000000"/>
      <w:sz w:val="18"/>
      <w:szCs w:val="18"/>
      <w:u w:val="none"/>
    </w:rPr>
  </w:style>
  <w:style w:type="character" w:styleId="1226" w:customStyle="1">
    <w:name w:val="批注框文本 Char1"/>
    <w:uiPriority w:val="0"/>
    <w:qFormat/>
    <w:rPr>
      <w:rFonts w:ascii="Times New Roman" w:hAnsi="Times New Roman" w:eastAsia="宋体" w:cs="Times New Roman"/>
      <w:sz w:val="18"/>
      <w:szCs w:val="18"/>
    </w:rPr>
  </w:style>
  <w:style w:type="character" w:styleId="1227" w:customStyle="1">
    <w:name w:val="font291"/>
    <w:uiPriority w:val="0"/>
    <w:qFormat/>
    <w:rPr>
      <w:rFonts w:hint="eastAsia" w:ascii="宋体" w:hAnsi="宋体" w:eastAsia="宋体" w:cs="宋体"/>
      <w:color w:val="000000"/>
      <w:sz w:val="20"/>
      <w:szCs w:val="20"/>
      <w:u w:val="none"/>
    </w:rPr>
  </w:style>
  <w:style w:type="character" w:styleId="1228" w:customStyle="1">
    <w:name w:val="Char Char18"/>
    <w:uiPriority w:val="0"/>
    <w:qFormat/>
    <w:rPr>
      <w:rFonts w:ascii="Times New Roman" w:hAnsi="Times New Roman" w:eastAsia="宋体" w:cs="Times New Roman"/>
      <w:b/>
      <w:bCs/>
      <w:sz w:val="28"/>
      <w:szCs w:val="28"/>
    </w:rPr>
  </w:style>
  <w:style w:type="character" w:styleId="1229" w:customStyle="1">
    <w:name w:val="表格正文样式 字符"/>
    <w:link w:val="1230"/>
    <w:uiPriority w:val="0"/>
    <w:qFormat/>
    <w:rPr>
      <w:rFonts w:ascii="宋体" w:hAnsi="宋体" w:cs="宋体"/>
      <w:color w:val="000000"/>
      <w:sz w:val="24"/>
      <w:szCs w:val="24"/>
    </w:rPr>
  </w:style>
  <w:style w:type="paragraph" w:styleId="1230" w:customStyle="1">
    <w:name w:val="表格正文样式"/>
    <w:basedOn w:val="837"/>
    <w:link w:val="1229"/>
    <w:uiPriority w:val="0"/>
    <w:qFormat/>
    <w:pPr>
      <w:widowControl/>
    </w:pPr>
    <w:rPr>
      <w:rFonts w:ascii="宋体" w:hAnsi="宋体" w:cs="宋体"/>
      <w:color w:val="000000"/>
      <w:sz w:val="24"/>
      <w:szCs w:val="24"/>
    </w:rPr>
  </w:style>
  <w:style w:type="character" w:styleId="1231" w:customStyle="1">
    <w:name w:val="font31"/>
    <w:basedOn w:val="847"/>
    <w:uiPriority w:val="0"/>
    <w:qFormat/>
    <w:rPr>
      <w:rFonts w:hint="eastAsia" w:ascii="宋体" w:hAnsi="宋体" w:eastAsia="宋体" w:cs="宋体"/>
      <w:color w:val="000000"/>
      <w:sz w:val="22"/>
      <w:szCs w:val="22"/>
      <w:u w:val="none"/>
    </w:rPr>
  </w:style>
  <w:style w:type="character" w:styleId="1232" w:customStyle="1">
    <w:name w:val="标题 字符1"/>
    <w:uiPriority w:val="10"/>
    <w:qFormat/>
    <w:rPr>
      <w:rFonts w:ascii="等线 Light" w:hAnsi="等线 Light" w:cs="Times New Roman"/>
      <w:b/>
      <w:bCs/>
      <w:sz w:val="32"/>
      <w:szCs w:val="32"/>
    </w:rPr>
  </w:style>
  <w:style w:type="character" w:styleId="1233" w:customStyle="1">
    <w:name w:val="正文文本 字符1"/>
    <w:uiPriority w:val="99"/>
    <w:semiHidden/>
    <w:qFormat/>
    <w:rPr>
      <w:sz w:val="21"/>
      <w:szCs w:val="24"/>
    </w:rPr>
  </w:style>
  <w:style w:type="character" w:styleId="1234" w:customStyle="1">
    <w:name w:val="标题 3 Char"/>
    <w:uiPriority w:val="9"/>
    <w:qFormat/>
    <w:rPr>
      <w:rFonts w:eastAsia="宋体"/>
      <w:b/>
      <w:sz w:val="32"/>
      <w:lang w:val="en-US" w:eastAsia="zh-CN" w:bidi="ar-SA"/>
    </w:rPr>
  </w:style>
  <w:style w:type="character" w:styleId="1235" w:customStyle="1">
    <w:name w:val="Heading 4 Char"/>
    <w:uiPriority w:val="0"/>
    <w:qFormat/>
    <w:rPr>
      <w:rFonts w:ascii="Arial" w:hAnsi="Arial" w:eastAsia="宋体"/>
      <w:b/>
      <w:bCs/>
      <w:sz w:val="21"/>
      <w:szCs w:val="28"/>
      <w:lang w:val="en-US" w:eastAsia="zh-CN" w:bidi="ar-SA"/>
    </w:rPr>
  </w:style>
  <w:style w:type="character" w:styleId="1236" w:customStyle="1">
    <w:name w:val="副标题 字符1"/>
    <w:uiPriority w:val="11"/>
    <w:qFormat/>
    <w:rPr>
      <w:rFonts w:ascii="等线 Light" w:hAnsi="等线 Light" w:cs="Times New Roman"/>
      <w:b/>
      <w:bCs/>
      <w:sz w:val="32"/>
      <w:szCs w:val="32"/>
    </w:rPr>
  </w:style>
  <w:style w:type="character" w:styleId="1237" w:customStyle="1">
    <w:name w:val="2 级标题 Char"/>
    <w:link w:val="1238"/>
    <w:uiPriority w:val="0"/>
    <w:qFormat/>
    <w:rPr>
      <w:bCs/>
      <w:sz w:val="24"/>
      <w:szCs w:val="32"/>
    </w:rPr>
  </w:style>
  <w:style w:type="paragraph" w:styleId="1238" w:customStyle="1">
    <w:name w:val="2 级标题"/>
    <w:basedOn w:val="1037"/>
    <w:link w:val="1237"/>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239" w:customStyle="1">
    <w:name w:val="font322"/>
    <w:uiPriority w:val="0"/>
    <w:qFormat/>
    <w:rPr>
      <w:rFonts w:hint="eastAsia" w:ascii="宋体" w:hAnsi="宋体" w:eastAsia="宋体" w:cs="宋体"/>
      <w:color w:val="000000"/>
      <w:sz w:val="20"/>
      <w:szCs w:val="20"/>
      <w:u w:val="none"/>
    </w:rPr>
  </w:style>
  <w:style w:type="character" w:styleId="1240" w:customStyle="1">
    <w:name w:val="Heading 1 Char"/>
    <w:uiPriority w:val="0"/>
    <w:qFormat/>
    <w:rPr>
      <w:rFonts w:eastAsia="宋体"/>
      <w:b/>
      <w:bCs/>
      <w:sz w:val="32"/>
      <w:szCs w:val="44"/>
      <w:lang w:val="en-US" w:eastAsia="zh-CN" w:bidi="ar-SA"/>
    </w:rPr>
  </w:style>
  <w:style w:type="character" w:styleId="1241" w:customStyle="1">
    <w:name w:val="Char Char4"/>
    <w:uiPriority w:val="0"/>
    <w:qFormat/>
    <w:rPr>
      <w:rFonts w:ascii="宋体" w:hAnsi="宋体" w:eastAsia="黑体" w:cs="Arial"/>
      <w:b/>
      <w:sz w:val="28"/>
      <w:szCs w:val="32"/>
      <w:lang w:val="en-US" w:eastAsia="zh-CN" w:bidi="ar-SA"/>
    </w:rPr>
  </w:style>
  <w:style w:type="character" w:styleId="1242" w:customStyle="1">
    <w:name w:val="Body Text Indent Char"/>
    <w:uiPriority w:val="0"/>
    <w:qFormat/>
    <w:rPr>
      <w:rFonts w:ascii="宋体" w:hAnsi="宋体" w:eastAsia="宋体"/>
      <w:sz w:val="21"/>
      <w:lang w:val="en-US" w:eastAsia="zh-CN" w:bidi="ar-SA"/>
    </w:rPr>
  </w:style>
  <w:style w:type="character" w:styleId="1243" w:customStyle="1">
    <w:name w:val="日期 字符1"/>
    <w:uiPriority w:val="99"/>
    <w:semiHidden/>
    <w:qFormat/>
    <w:rPr>
      <w:sz w:val="21"/>
      <w:szCs w:val="24"/>
    </w:rPr>
  </w:style>
  <w:style w:type="character" w:styleId="1244" w:customStyle="1">
    <w:name w:val="font361"/>
    <w:uiPriority w:val="0"/>
    <w:qFormat/>
    <w:rPr>
      <w:rFonts w:hint="eastAsia" w:ascii="宋体" w:hAnsi="宋体" w:eastAsia="宋体" w:cs="宋体"/>
      <w:b/>
      <w:color w:val="000000"/>
      <w:sz w:val="20"/>
      <w:szCs w:val="20"/>
      <w:u w:val="none"/>
    </w:rPr>
  </w:style>
  <w:style w:type="character" w:styleId="1245" w:customStyle="1">
    <w:name w:val="脚注文本 字符1"/>
    <w:uiPriority w:val="99"/>
    <w:qFormat/>
    <w:rPr>
      <w:sz w:val="18"/>
      <w:szCs w:val="18"/>
    </w:rPr>
  </w:style>
  <w:style w:type="character" w:styleId="1246" w:customStyle="1">
    <w:name w:val="textcontents"/>
    <w:uiPriority w:val="0"/>
    <w:qFormat/>
    <w:rPr>
      <w:rFonts w:cs="Times New Roman"/>
    </w:rPr>
  </w:style>
  <w:style w:type="character" w:styleId="1247" w:customStyle="1">
    <w:name w:val="纯文本 Char"/>
    <w:uiPriority w:val="99"/>
    <w:qFormat/>
    <w:rPr>
      <w:rFonts w:ascii="宋体" w:hAnsi="Courier New" w:eastAsia="宋体"/>
      <w:sz w:val="21"/>
      <w:lang w:val="en-US" w:eastAsia="zh-CN" w:bidi="ar-SA"/>
    </w:rPr>
  </w:style>
  <w:style w:type="character" w:styleId="1248" w:customStyle="1">
    <w:name w:val="引用 Char1"/>
    <w:uiPriority w:val="29"/>
    <w:qFormat/>
    <w:rPr>
      <w:rFonts w:ascii="Times New Roman" w:hAnsi="Times New Roman" w:eastAsia="宋体" w:cs="Times New Roman"/>
      <w:i/>
      <w:iCs/>
      <w:color w:val="000000"/>
      <w:szCs w:val="24"/>
    </w:rPr>
  </w:style>
  <w:style w:type="character" w:styleId="1249" w:customStyle="1">
    <w:name w:val="正文文本 3 字符1"/>
    <w:uiPriority w:val="99"/>
    <w:qFormat/>
    <w:rPr>
      <w:sz w:val="16"/>
      <w:szCs w:val="16"/>
    </w:rPr>
  </w:style>
  <w:style w:type="character" w:styleId="1250" w:customStyle="1">
    <w:name w:val="Char Char1"/>
    <w:uiPriority w:val="0"/>
    <w:qFormat/>
    <w:rPr>
      <w:rFonts w:ascii="黑体" w:hAnsi="Arial" w:eastAsia="黑体" w:cs="Arial"/>
      <w:b/>
      <w:bCs/>
      <w:sz w:val="32"/>
      <w:szCs w:val="32"/>
      <w:lang w:val="en-US" w:eastAsia="zh-CN" w:bidi="ar-SA"/>
    </w:rPr>
  </w:style>
  <w:style w:type="character" w:styleId="1251" w:customStyle="1">
    <w:name w:val="font381"/>
    <w:uiPriority w:val="0"/>
    <w:qFormat/>
    <w:rPr>
      <w:rFonts w:hint="eastAsia" w:ascii="宋体" w:hAnsi="宋体" w:eastAsia="宋体" w:cs="宋体"/>
      <w:color w:val="000000"/>
      <w:sz w:val="20"/>
      <w:szCs w:val="20"/>
      <w:u w:val="none"/>
    </w:rPr>
  </w:style>
  <w:style w:type="character" w:styleId="1252" w:customStyle="1">
    <w:name w:val="font61"/>
    <w:uiPriority w:val="0"/>
    <w:qFormat/>
    <w:rPr>
      <w:rFonts w:ascii="Times New Roman" w:hAnsi="Times New Roman" w:cs="Times New Roman"/>
      <w:color w:val="000000"/>
      <w:sz w:val="24"/>
      <w:szCs w:val="24"/>
      <w:u w:val="none"/>
    </w:rPr>
  </w:style>
  <w:style w:type="character" w:styleId="1253" w:customStyle="1">
    <w:name w:val="font01"/>
    <w:uiPriority w:val="0"/>
    <w:qFormat/>
    <w:rPr>
      <w:rFonts w:ascii="Times New Roman" w:hAnsi="Times New Roman" w:cs="Times New Roman"/>
      <w:color w:val="000000"/>
      <w:sz w:val="24"/>
      <w:szCs w:val="24"/>
      <w:u w:val="none"/>
    </w:rPr>
  </w:style>
  <w:style w:type="character" w:styleId="1254" w:customStyle="1">
    <w:name w:val="正文文本 2 字符1"/>
    <w:uiPriority w:val="99"/>
    <w:qFormat/>
    <w:rPr>
      <w:sz w:val="21"/>
    </w:rPr>
  </w:style>
  <w:style w:type="character" w:styleId="1255" w:customStyle="1">
    <w:name w:val="批注文字 字符1"/>
    <w:uiPriority w:val="99"/>
    <w:semiHidden/>
    <w:qFormat/>
    <w:rPr>
      <w:sz w:val="21"/>
      <w:szCs w:val="24"/>
    </w:rPr>
  </w:style>
  <w:style w:type="character" w:styleId="1256" w:customStyle="1">
    <w:name w:val="文档结构图 字符1"/>
    <w:uiPriority w:val="99"/>
    <w:semiHidden/>
    <w:qFormat/>
    <w:rPr>
      <w:rFonts w:ascii="Microsoft YaHei UI" w:eastAsia="Microsoft YaHei UI"/>
      <w:sz w:val="18"/>
      <w:szCs w:val="18"/>
    </w:rPr>
  </w:style>
  <w:style w:type="character" w:styleId="1257" w:customStyle="1">
    <w:name w:val="Heading 3 Char"/>
    <w:uiPriority w:val="0"/>
    <w:qFormat/>
    <w:rPr>
      <w:rFonts w:cs="Times New Roman"/>
      <w:b/>
      <w:bCs/>
      <w:sz w:val="32"/>
      <w:szCs w:val="32"/>
    </w:rPr>
  </w:style>
  <w:style w:type="character" w:styleId="1258" w:customStyle="1">
    <w:name w:val="Sample"/>
    <w:uiPriority w:val="0"/>
    <w:qFormat/>
    <w:rPr>
      <w:rFonts w:ascii="Courier New" w:hAnsi="Courier New"/>
    </w:rPr>
  </w:style>
  <w:style w:type="character" w:styleId="1259" w:customStyle="1">
    <w:name w:val="Char Char"/>
    <w:uiPriority w:val="0"/>
    <w:qFormat/>
    <w:rPr>
      <w:rFonts w:eastAsia="宋体"/>
      <w:b/>
      <w:sz w:val="21"/>
      <w:szCs w:val="24"/>
      <w:lang w:val="en-US" w:eastAsia="zh-CN" w:bidi="ar-SA"/>
    </w:rPr>
  </w:style>
  <w:style w:type="character" w:styleId="1260" w:customStyle="1">
    <w:name w:val="Heading 5 Char"/>
    <w:uiPriority w:val="0"/>
    <w:qFormat/>
    <w:rPr>
      <w:rFonts w:eastAsia="宋体"/>
      <w:b/>
      <w:bCs/>
      <w:sz w:val="28"/>
      <w:szCs w:val="28"/>
      <w:lang w:val="en-US" w:eastAsia="zh-CN" w:bidi="ar-SA"/>
    </w:rPr>
  </w:style>
  <w:style w:type="character" w:styleId="1261" w:customStyle="1">
    <w:name w:val="font21"/>
    <w:basedOn w:val="847"/>
    <w:uiPriority w:val="0"/>
    <w:qFormat/>
    <w:rPr>
      <w:rFonts w:hint="eastAsia" w:ascii="宋体" w:hAnsi="宋体" w:eastAsia="宋体" w:cs="宋体"/>
      <w:b/>
      <w:color w:val="000000"/>
      <w:sz w:val="24"/>
      <w:szCs w:val="24"/>
      <w:u w:val="none"/>
    </w:rPr>
  </w:style>
  <w:style w:type="character" w:styleId="1262" w:customStyle="1">
    <w:name w:val="Char Char19"/>
    <w:uiPriority w:val="0"/>
    <w:qFormat/>
    <w:rPr>
      <w:rFonts w:ascii="Arial" w:hAnsi="Arial" w:eastAsia="宋体" w:cs="Times New Roman"/>
      <w:b/>
      <w:bCs/>
      <w:szCs w:val="28"/>
    </w:rPr>
  </w:style>
  <w:style w:type="character" w:styleId="1263" w:customStyle="1">
    <w:name w:val="font41"/>
    <w:uiPriority w:val="0"/>
    <w:qFormat/>
    <w:rPr>
      <w:rFonts w:hint="eastAsia" w:ascii="宋体" w:hAnsi="宋体" w:eastAsia="宋体" w:cs="宋体"/>
      <w:color w:val="000000"/>
      <w:sz w:val="24"/>
      <w:szCs w:val="24"/>
      <w:u w:val="none"/>
    </w:rPr>
  </w:style>
  <w:style w:type="character" w:styleId="1264" w:customStyle="1">
    <w:name w:val="Typewriter"/>
    <w:uiPriority w:val="0"/>
    <w:qFormat/>
    <w:rPr>
      <w:rFonts w:ascii="Courier New" w:hAnsi="Courier New"/>
      <w:sz w:val="20"/>
    </w:rPr>
  </w:style>
  <w:style w:type="character" w:styleId="1265" w:customStyle="1">
    <w:name w:val="Comment Subject Char"/>
    <w:uiPriority w:val="0"/>
    <w:qFormat/>
    <w:rPr>
      <w:b/>
      <w:sz w:val="24"/>
      <w:lang w:bidi="ar-SA"/>
    </w:rPr>
  </w:style>
  <w:style w:type="character" w:styleId="1266" w:customStyle="1">
    <w:name w:val="纯文本 字符1"/>
    <w:uiPriority w:val="99"/>
    <w:semiHidden/>
    <w:qFormat/>
    <w:rPr>
      <w:rFonts w:ascii="等线" w:hAnsi="Courier New" w:eastAsia="等线" w:cs="Courier New"/>
      <w:sz w:val="21"/>
      <w:szCs w:val="24"/>
    </w:rPr>
  </w:style>
  <w:style w:type="character" w:styleId="1267" w:customStyle="1">
    <w:name w:val="标题4 Char Char"/>
    <w:link w:val="1268"/>
    <w:uiPriority w:val="0"/>
    <w:qFormat/>
    <w:rPr>
      <w:rFonts w:ascii="Arial" w:hAnsi="Arial"/>
      <w:b/>
      <w:bCs/>
      <w:sz w:val="24"/>
      <w:szCs w:val="32"/>
    </w:rPr>
  </w:style>
  <w:style w:type="paragraph" w:styleId="1268" w:customStyle="1">
    <w:name w:val="标题4"/>
    <w:basedOn w:val="1037"/>
    <w:next w:val="1073"/>
    <w:link w:val="1267"/>
    <w:uiPriority w:val="0"/>
    <w:qFormat/>
    <w:pPr>
      <w:jc w:val="center"/>
      <w:spacing w:before="60" w:after="60"/>
    </w:pPr>
    <w:rPr>
      <w:rFonts w:eastAsia="等线"/>
      <w:sz w:val="24"/>
    </w:rPr>
  </w:style>
  <w:style w:type="character" w:styleId="1269" w:customStyle="1">
    <w:name w:val="Heading 3 Char1"/>
    <w:uiPriority w:val="0"/>
    <w:qFormat/>
    <w:rPr>
      <w:rFonts w:eastAsia="宋体"/>
      <w:b/>
      <w:bCs/>
      <w:sz w:val="24"/>
      <w:szCs w:val="32"/>
      <w:lang w:val="en-US" w:eastAsia="zh-CN" w:bidi="ar-SA"/>
    </w:rPr>
  </w:style>
  <w:style w:type="character" w:styleId="127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71" w:customStyle="1">
    <w:name w:val="font51"/>
    <w:uiPriority w:val="0"/>
    <w:qFormat/>
    <w:rPr>
      <w:rFonts w:ascii="Calibri" w:hAnsi="Calibri" w:cs="Calibri"/>
      <w:color w:val="000000"/>
      <w:sz w:val="24"/>
      <w:szCs w:val="24"/>
      <w:u w:val="none"/>
    </w:rPr>
  </w:style>
  <w:style w:type="character" w:styleId="1272" w:customStyle="1">
    <w:name w:val="不明显强调1"/>
    <w:uiPriority w:val="0"/>
    <w:qFormat/>
    <w:rPr>
      <w:i/>
      <w:iCs/>
      <w:color w:val="808080"/>
    </w:rPr>
  </w:style>
  <w:style w:type="character" w:styleId="1273" w:customStyle="1">
    <w:name w:val="批注主题 Char1"/>
    <w:uiPriority w:val="0"/>
    <w:qFormat/>
    <w:rPr>
      <w:rFonts w:ascii="Times New Roman" w:hAnsi="Times New Roman" w:eastAsia="宋体" w:cs="Times New Roman"/>
      <w:b/>
      <w:bCs/>
      <w:sz w:val="20"/>
      <w:szCs w:val="20"/>
    </w:rPr>
  </w:style>
  <w:style w:type="character" w:styleId="1274" w:customStyle="1">
    <w:name w:val="Char Char24"/>
    <w:uiPriority w:val="0"/>
    <w:qFormat/>
    <w:rPr>
      <w:rFonts w:eastAsia="宋体"/>
      <w:b/>
      <w:bCs/>
      <w:sz w:val="32"/>
      <w:szCs w:val="44"/>
      <w:lang w:val="en-US" w:eastAsia="zh-CN" w:bidi="ar-SA"/>
    </w:rPr>
  </w:style>
  <w:style w:type="character" w:styleId="1275" w:customStyle="1">
    <w:name w:val="Char Char20"/>
    <w:uiPriority w:val="0"/>
    <w:qFormat/>
    <w:rPr>
      <w:rFonts w:ascii="Times New Roman" w:hAnsi="Times New Roman" w:eastAsia="宋体" w:cs="Times New Roman"/>
      <w:b/>
      <w:bCs/>
      <w:sz w:val="24"/>
      <w:szCs w:val="32"/>
    </w:rPr>
  </w:style>
  <w:style w:type="character" w:styleId="1276" w:customStyle="1">
    <w:name w:val="书籍标题1"/>
    <w:uiPriority w:val="0"/>
    <w:qFormat/>
    <w:rPr>
      <w:b/>
      <w:bCs/>
      <w:smallCaps/>
      <w:spacing w:val="5"/>
    </w:rPr>
  </w:style>
  <w:style w:type="character" w:styleId="1277" w:customStyle="1">
    <w:name w:val="Keyboard"/>
    <w:uiPriority w:val="0"/>
    <w:qFormat/>
    <w:rPr>
      <w:rFonts w:ascii="Courier New" w:hAnsi="Courier New"/>
      <w:b/>
      <w:sz w:val="20"/>
    </w:rPr>
  </w:style>
  <w:style w:type="character" w:styleId="1278" w:customStyle="1">
    <w:name w:val="批注主题 字符1"/>
    <w:uiPriority w:val="99"/>
    <w:semiHidden/>
    <w:qFormat/>
    <w:rPr>
      <w:b/>
      <w:bCs/>
      <w:sz w:val="21"/>
      <w:szCs w:val="24"/>
    </w:rPr>
  </w:style>
  <w:style w:type="character" w:styleId="1279" w:customStyle="1">
    <w:name w:val="页脚 Char"/>
    <w:uiPriority w:val="99"/>
    <w:qFormat/>
    <w:rPr>
      <w:sz w:val="18"/>
      <w:szCs w:val="18"/>
    </w:rPr>
  </w:style>
  <w:style w:type="character" w:styleId="1280" w:customStyle="1">
    <w:name w:val="Title Char"/>
    <w:uiPriority w:val="0"/>
    <w:qFormat/>
    <w:rPr>
      <w:rFonts w:ascii="Cambria" w:hAnsi="Cambria"/>
      <w:b/>
      <w:sz w:val="32"/>
      <w:lang w:bidi="ar-SA"/>
    </w:rPr>
  </w:style>
  <w:style w:type="paragraph" w:styleId="1281" w:customStyle="1">
    <w:name w:val="三级标题"/>
    <w:basedOn w:val="898"/>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282" w:customStyle="1">
    <w:name w:val="表格正文"/>
    <w:basedOn w:val="837"/>
    <w:uiPriority w:val="0"/>
    <w:qFormat/>
    <w:pPr>
      <w:ind w:firstLine="200"/>
      <w:spacing w:line="360" w:lineRule="auto"/>
    </w:pPr>
    <w:rPr>
      <w:rFonts w:ascii="宋体" w:hAnsi="Times New Roman" w:eastAsia="宋体"/>
      <w:sz w:val="24"/>
      <w:szCs w:val="20"/>
    </w:rPr>
  </w:style>
  <w:style w:type="paragraph" w:styleId="1283" w:customStyle="1">
    <w:name w:val="标题 H5"/>
    <w:basedOn w:val="837"/>
    <w:next w:val="837"/>
    <w:uiPriority w:val="0"/>
    <w:qFormat/>
    <w:pPr>
      <w:ind w:left="992"/>
      <w:jc w:val="left"/>
      <w:spacing w:before="120" w:after="120" w:line="360" w:lineRule="auto"/>
      <w:tabs>
        <w:tab w:val="left" w:pos="992" w:leader="none"/>
      </w:tabs>
      <w:outlineLvl w:val="4"/>
    </w:pPr>
    <w:rPr>
      <w:rFonts w:ascii="Times New Roman" w:hAnsi="Times New Roman" w:eastAsia="宋体"/>
      <w:b/>
      <w:szCs w:val="24"/>
    </w:rPr>
  </w:style>
  <w:style w:type="paragraph" w:styleId="1284" w:customStyle="1">
    <w:name w:val="段"/>
    <w:basedOn w:val="837"/>
    <w:next w:val="837"/>
    <w:uiPriority w:val="0"/>
    <w:qFormat/>
    <w:pPr>
      <w:ind w:firstLine="200"/>
      <w:spacing w:line="360" w:lineRule="auto"/>
      <w:widowControl/>
    </w:pPr>
    <w:rPr>
      <w:rFonts w:ascii="宋体" w:hAnsi="宋体" w:eastAsia="宋体" w:cs="宋体"/>
      <w:szCs w:val="21"/>
    </w:rPr>
  </w:style>
  <w:style w:type="paragraph" w:styleId="1285"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86" w:customStyle="1">
    <w:name w:val="标题 H4"/>
    <w:basedOn w:val="837"/>
    <w:next w:val="837"/>
    <w:uiPriority w:val="0"/>
    <w:qFormat/>
    <w:pPr>
      <w:jc w:val="left"/>
      <w:spacing w:before="120" w:after="120" w:line="360" w:lineRule="auto"/>
      <w:tabs>
        <w:tab w:val="left" w:pos="851" w:leader="none"/>
      </w:tabs>
      <w:outlineLvl w:val="3"/>
    </w:pPr>
    <w:rPr>
      <w:rFonts w:ascii="Times New Roman" w:hAnsi="Times New Roman" w:eastAsia="宋体"/>
      <w:b/>
      <w:sz w:val="24"/>
      <w:szCs w:val="24"/>
    </w:rPr>
  </w:style>
  <w:style w:type="paragraph" w:styleId="1287" w:customStyle="1">
    <w:name w:val="表格标题"/>
    <w:basedOn w:val="837"/>
    <w:next w:val="837"/>
    <w:uiPriority w:val="0"/>
    <w:qFormat/>
    <w:pPr>
      <w:jc w:val="left"/>
      <w:spacing w:after="160"/>
    </w:pPr>
    <w:rPr>
      <w:rFonts w:ascii="仿宋" w:hAnsi="仿宋" w:eastAsia="仿宋"/>
      <w:b/>
      <w:bCs/>
      <w:sz w:val="22"/>
      <w:szCs w:val="21"/>
    </w:rPr>
  </w:style>
  <w:style w:type="paragraph" w:styleId="1288" w:customStyle="1">
    <w:name w:val="xl46"/>
    <w:basedOn w:val="8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89"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90" w:customStyle="1">
    <w:name w:val="xl370"/>
    <w:basedOn w:val="8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1" w:customStyle="1">
    <w:name w:val="k 正文"/>
    <w:basedOn w:val="837"/>
    <w:uiPriority w:val="0"/>
    <w:qFormat/>
    <w:pPr>
      <w:ind w:firstLine="200"/>
      <w:spacing w:line="360" w:lineRule="auto"/>
    </w:pPr>
    <w:rPr>
      <w:rFonts w:ascii="Times New Roman" w:hAnsi="Times New Roman" w:eastAsia="宋体"/>
    </w:rPr>
  </w:style>
  <w:style w:type="paragraph" w:styleId="1292" w:customStyle="1">
    <w:name w:val="font17"/>
    <w:basedOn w:val="837"/>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93" w:customStyle="1">
    <w:name w:val="H1"/>
    <w:basedOn w:val="837"/>
    <w:next w:val="837"/>
    <w:uiPriority w:val="0"/>
    <w:qFormat/>
    <w:pPr>
      <w:jc w:val="left"/>
      <w:keepNext/>
      <w:spacing w:before="100" w:after="100"/>
      <w:outlineLvl w:val="1"/>
    </w:pPr>
    <w:rPr>
      <w:rFonts w:ascii="Times New Roman" w:hAnsi="Times New Roman" w:eastAsia="宋体"/>
      <w:b/>
      <w:sz w:val="48"/>
      <w:szCs w:val="20"/>
    </w:rPr>
  </w:style>
  <w:style w:type="paragraph" w:styleId="1294" w:customStyle="1">
    <w:name w:val="Char"/>
    <w:basedOn w:val="837"/>
    <w:uiPriority w:val="0"/>
    <w:qFormat/>
    <w:pPr>
      <w:jc w:val="left"/>
      <w:spacing w:after="160" w:line="240" w:lineRule="exact"/>
      <w:widowControl/>
    </w:pPr>
    <w:rPr>
      <w:rFonts w:ascii="Times New Roman" w:hAnsi="Times New Roman" w:eastAsia="宋体"/>
      <w:szCs w:val="24"/>
    </w:rPr>
  </w:style>
  <w:style w:type="paragraph" w:styleId="1295" w:customStyle="1">
    <w:name w:val="reader-word-layer"/>
    <w:basedOn w:val="837"/>
    <w:uiPriority w:val="0"/>
    <w:qFormat/>
    <w:pPr>
      <w:jc w:val="left"/>
      <w:spacing w:before="100" w:beforeAutospacing="1" w:after="100" w:afterAutospacing="1"/>
      <w:widowControl/>
    </w:pPr>
    <w:rPr>
      <w:rFonts w:ascii="宋体" w:hAnsi="宋体" w:eastAsia="宋体" w:cs="宋体"/>
      <w:sz w:val="24"/>
      <w:szCs w:val="24"/>
    </w:rPr>
  </w:style>
  <w:style w:type="paragraph" w:styleId="1296" w:customStyle="1">
    <w:name w:val="xl66"/>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97" w:customStyle="1">
    <w:name w:val="xl78"/>
    <w:basedOn w:val="83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98" w:customStyle="1">
    <w:name w:val="xl36"/>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99" w:customStyle="1">
    <w:name w:val="xl25"/>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300" w:customStyle="1">
    <w:name w:val="目录文字"/>
    <w:basedOn w:val="837"/>
    <w:uiPriority w:val="0"/>
    <w:qFormat/>
    <w:pPr>
      <w:jc w:val="left"/>
      <w:spacing w:line="480" w:lineRule="auto"/>
      <w:widowControl/>
    </w:pPr>
    <w:rPr>
      <w:rFonts w:ascii="宋体" w:hAnsi="宋体" w:eastAsia="宋体"/>
      <w:sz w:val="24"/>
      <w:szCs w:val="20"/>
    </w:rPr>
  </w:style>
  <w:style w:type="paragraph" w:styleId="1301" w:customStyle="1">
    <w:name w:val="列表段落2"/>
    <w:basedOn w:val="837"/>
    <w:uiPriority w:val="0"/>
    <w:qFormat/>
    <w:pPr>
      <w:ind w:firstLine="420"/>
    </w:pPr>
    <w:rPr>
      <w:rFonts w:ascii="Times New Roman" w:hAnsi="Times New Roman" w:eastAsia="宋体"/>
      <w:szCs w:val="21"/>
    </w:rPr>
  </w:style>
  <w:style w:type="paragraph" w:styleId="1302" w:customStyle="1">
    <w:name w:val="空半行"/>
    <w:basedOn w:val="837"/>
    <w:uiPriority w:val="0"/>
    <w:qFormat/>
    <w:pPr>
      <w:spacing w:line="120" w:lineRule="exact"/>
    </w:pPr>
    <w:rPr>
      <w:rFonts w:ascii="Times New Roman" w:hAnsi="Times New Roman" w:eastAsia="仿宋_GB2312"/>
      <w:color w:val="ffffff"/>
      <w:sz w:val="30"/>
      <w:szCs w:val="20"/>
    </w:rPr>
  </w:style>
  <w:style w:type="paragraph" w:styleId="1303" w:customStyle="1">
    <w:name w:val="xl42"/>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04" w:customStyle="1">
    <w:name w:val="xl45"/>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305" w:customStyle="1">
    <w:name w:val="内容文本"/>
    <w:basedOn w:val="1123"/>
    <w:uiPriority w:val="0"/>
    <w:qFormat/>
    <w:pPr>
      <w:contextualSpacing/>
      <w:ind w:firstLine="200"/>
      <w:jc w:val="left"/>
      <w:spacing w:line="360" w:lineRule="auto"/>
    </w:pPr>
    <w:rPr>
      <w:rFonts w:ascii="宋体" w:hAnsi="宋体" w:eastAsia="宋体"/>
      <w:sz w:val="24"/>
      <w:lang w:eastAsia="en-US" w:bidi="en-US"/>
    </w:rPr>
  </w:style>
  <w:style w:type="paragraph" w:styleId="1306" w:customStyle="1">
    <w:name w:val="font12"/>
    <w:basedOn w:val="837"/>
    <w:uiPriority w:val="0"/>
    <w:qFormat/>
    <w:pPr>
      <w:jc w:val="left"/>
      <w:spacing w:before="100" w:beforeAutospacing="1" w:after="100" w:afterAutospacing="1"/>
      <w:widowControl/>
    </w:pPr>
    <w:rPr>
      <w:rFonts w:ascii="宋体" w:hAnsi="宋体" w:eastAsia="宋体" w:cs="宋体"/>
      <w:b/>
      <w:bCs/>
      <w:sz w:val="22"/>
    </w:rPr>
  </w:style>
  <w:style w:type="paragraph" w:styleId="1307" w:customStyle="1">
    <w:name w:val="1"/>
    <w:basedOn w:val="837"/>
    <w:next w:val="837"/>
    <w:uiPriority w:val="0"/>
    <w:qFormat/>
    <w:rPr>
      <w:rFonts w:ascii="Times New Roman" w:hAnsi="Times New Roman" w:eastAsia="宋体"/>
      <w:szCs w:val="24"/>
    </w:rPr>
  </w:style>
  <w:style w:type="paragraph" w:styleId="1308" w:customStyle="1">
    <w:name w:val="_Style 1"/>
    <w:basedOn w:val="837"/>
    <w:uiPriority w:val="0"/>
    <w:qFormat/>
    <w:pPr>
      <w:ind w:firstLine="420"/>
    </w:pPr>
    <w:rPr>
      <w:rFonts w:ascii="Times New Roman" w:hAnsi="Times New Roman" w:eastAsia="宋体"/>
      <w:sz w:val="20"/>
      <w:szCs w:val="20"/>
    </w:rPr>
  </w:style>
  <w:style w:type="paragraph" w:styleId="1309" w:customStyle="1">
    <w:name w:val="xl67"/>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0" w:customStyle="1">
    <w:name w:val="xl39"/>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311" w:customStyle="1">
    <w:name w:val="xl102"/>
    <w:basedOn w:val="8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2" w:customStyle="1">
    <w:name w:val="font7"/>
    <w:basedOn w:val="837"/>
    <w:uiPriority w:val="0"/>
    <w:qFormat/>
    <w:pPr>
      <w:jc w:val="left"/>
      <w:spacing w:before="100" w:beforeAutospacing="1" w:after="100" w:afterAutospacing="1"/>
      <w:widowControl/>
    </w:pPr>
    <w:rPr>
      <w:rFonts w:ascii="宋体" w:hAnsi="宋体" w:eastAsia="宋体" w:cs="宋体"/>
      <w:sz w:val="16"/>
      <w:szCs w:val="16"/>
    </w:rPr>
  </w:style>
  <w:style w:type="paragraph" w:styleId="1313" w:customStyle="1">
    <w:name w:val="xl108"/>
    <w:basedOn w:val="83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4" w:customStyle="1">
    <w:name w:val="TOC 标题_0"/>
    <w:basedOn w:val="1315"/>
    <w:next w:val="1129"/>
    <w:uiPriority w:val="0"/>
    <w:qFormat/>
    <w:pPr>
      <w:outlineLvl w:val="9"/>
    </w:pPr>
    <w:rPr>
      <w:rFonts w:ascii="Calibri" w:hAnsi="Calibri"/>
    </w:rPr>
  </w:style>
  <w:style w:type="paragraph" w:styleId="1315" w:customStyle="1">
    <w:name w:val="标题 1_0"/>
    <w:basedOn w:val="1129"/>
    <w:next w:val="1129"/>
    <w:uiPriority w:val="0"/>
    <w:qFormat/>
    <w:pPr>
      <w:keepLines/>
      <w:keepNext/>
      <w:spacing w:before="340" w:after="330" w:line="576" w:lineRule="auto"/>
      <w:outlineLvl w:val="0"/>
    </w:pPr>
    <w:rPr>
      <w:b/>
      <w:bCs/>
      <w:sz w:val="44"/>
      <w:szCs w:val="44"/>
    </w:rPr>
  </w:style>
  <w:style w:type="paragraph" w:styleId="1316" w:customStyle="1">
    <w:name w:val="xl95"/>
    <w:basedOn w:val="83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317" w:customStyle="1">
    <w:name w:val="xl35"/>
    <w:basedOn w:val="8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318" w:customStyle="1">
    <w:name w:val="标题 3_0"/>
    <w:basedOn w:val="1129"/>
    <w:next w:val="1129"/>
    <w:uiPriority w:val="0"/>
    <w:qFormat/>
    <w:pPr>
      <w:keepLines/>
      <w:keepNext/>
      <w:spacing w:before="260" w:after="260" w:line="413" w:lineRule="auto"/>
      <w:outlineLvl w:val="2"/>
    </w:pPr>
    <w:rPr>
      <w:b/>
      <w:bCs/>
      <w:sz w:val="32"/>
      <w:szCs w:val="32"/>
    </w:rPr>
  </w:style>
  <w:style w:type="paragraph" w:styleId="1319" w:customStyle="1">
    <w:name w:val="xl37"/>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20" w:customStyle="1">
    <w:name w:val="xl23"/>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21" w:customStyle="1">
    <w:name w:val="Char Char6 Char Char Char Char"/>
    <w:basedOn w:val="837"/>
    <w:uiPriority w:val="0"/>
    <w:qFormat/>
    <w:pPr>
      <w:jc w:val="left"/>
      <w:spacing w:after="160" w:line="240" w:lineRule="exact"/>
      <w:widowControl/>
    </w:pPr>
    <w:rPr>
      <w:rFonts w:ascii="仿宋_GB2312" w:hAnsi="Times New Roman" w:eastAsia="仿宋_GB2312"/>
      <w:sz w:val="32"/>
      <w:szCs w:val="32"/>
    </w:rPr>
  </w:style>
  <w:style w:type="paragraph" w:styleId="132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23" w:customStyle="1">
    <w:name w:val="列出段落21"/>
    <w:basedOn w:val="837"/>
    <w:uiPriority w:val="34"/>
    <w:qFormat/>
    <w:pPr>
      <w:ind w:firstLine="420"/>
    </w:pPr>
    <w:rPr>
      <w:rFonts w:ascii="Times New Roman" w:hAnsi="Times New Roman" w:eastAsia="宋体"/>
      <w:szCs w:val="20"/>
    </w:rPr>
  </w:style>
  <w:style w:type="paragraph" w:styleId="1324" w:customStyle="1">
    <w:name w:val="xl70"/>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5" w:customStyle="1">
    <w:name w:val="msonormal"/>
    <w:basedOn w:val="837"/>
    <w:uiPriority w:val="0"/>
    <w:qFormat/>
    <w:pPr>
      <w:jc w:val="left"/>
      <w:spacing w:before="100" w:beforeAutospacing="1" w:after="100" w:afterAutospacing="1"/>
      <w:widowControl/>
    </w:pPr>
    <w:rPr>
      <w:rFonts w:ascii="宋体" w:hAnsi="宋体" w:eastAsia="宋体" w:cs="宋体"/>
      <w:sz w:val="24"/>
      <w:szCs w:val="24"/>
    </w:rPr>
  </w:style>
  <w:style w:type="paragraph" w:styleId="1326" w:customStyle="1">
    <w:name w:val="xl82"/>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27" w:customStyle="1">
    <w:name w:val="xl101"/>
    <w:basedOn w:val="83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28" w:customStyle="1">
    <w:name w:val="xl91"/>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9" w:customStyle="1">
    <w:name w:val="xl110"/>
    <w:basedOn w:val="83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0" w:customStyle="1">
    <w:name w:val="flNote"/>
    <w:basedOn w:val="837"/>
    <w:uiPriority w:val="0"/>
    <w:qFormat/>
    <w:pPr>
      <w:jc w:val="center"/>
      <w:spacing w:before="320" w:after="160" w:line="360" w:lineRule="atLeast"/>
    </w:pPr>
    <w:rPr>
      <w:rFonts w:ascii="Arial" w:hAnsi="Times New Roman" w:eastAsia="黑体"/>
      <w:sz w:val="30"/>
      <w:szCs w:val="20"/>
    </w:rPr>
  </w:style>
  <w:style w:type="paragraph" w:styleId="1331" w:customStyle="1">
    <w:name w:val="xl98"/>
    <w:basedOn w:val="83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2" w:customStyle="1">
    <w:name w:val="Char Char Char Char"/>
    <w:basedOn w:val="1058"/>
    <w:uiPriority w:val="0"/>
    <w:qFormat/>
    <w:pPr>
      <w:spacing w:line="360" w:lineRule="auto"/>
    </w:pPr>
    <w:rPr>
      <w:rFonts w:ascii="Tahoma" w:hAnsi="Tahoma"/>
      <w:sz w:val="24"/>
      <w:szCs w:val="24"/>
    </w:rPr>
  </w:style>
  <w:style w:type="paragraph" w:styleId="1333" w:customStyle="1">
    <w:name w:val="xl71"/>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4" w:customStyle="1">
    <w:name w:val="样式 (西文) 仿宋_GB2312 居中 行距: 1.5 倍行距"/>
    <w:basedOn w:val="837"/>
    <w:uiPriority w:val="0"/>
    <w:qFormat/>
    <w:pPr>
      <w:jc w:val="center"/>
      <w:spacing w:line="360" w:lineRule="auto"/>
    </w:pPr>
    <w:rPr>
      <w:rFonts w:ascii="宋体" w:hAnsi="宋体" w:eastAsia="宋体" w:cs="宋体"/>
      <w:szCs w:val="20"/>
    </w:rPr>
  </w:style>
  <w:style w:type="paragraph" w:styleId="1335" w:customStyle="1">
    <w:name w:val="xl80"/>
    <w:basedOn w:val="8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36" w:customStyle="1">
    <w:name w:val="H6"/>
    <w:basedOn w:val="837"/>
    <w:next w:val="837"/>
    <w:uiPriority w:val="0"/>
    <w:qFormat/>
    <w:pPr>
      <w:jc w:val="left"/>
      <w:keepNext/>
      <w:spacing w:before="100" w:after="100"/>
      <w:outlineLvl w:val="6"/>
    </w:pPr>
    <w:rPr>
      <w:rFonts w:ascii="Times New Roman" w:hAnsi="Times New Roman" w:eastAsia="宋体"/>
      <w:b/>
      <w:sz w:val="16"/>
      <w:szCs w:val="20"/>
    </w:rPr>
  </w:style>
  <w:style w:type="paragraph" w:styleId="1337" w:customStyle="1">
    <w:name w:val="菲页(卷)"/>
    <w:basedOn w:val="1036"/>
    <w:next w:val="1289"/>
    <w:uiPriority w:val="0"/>
    <w:qFormat/>
    <w:pPr>
      <w:ind w:left="1380" w:hanging="855"/>
      <w:tabs>
        <w:tab w:val="left" w:pos="1380" w:leader="none"/>
      </w:tabs>
      <w:outlineLvl w:val="1"/>
    </w:pPr>
  </w:style>
  <w:style w:type="paragraph" w:styleId="1338" w:customStyle="1">
    <w:name w:val="xl49"/>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39" w:customStyle="1">
    <w:name w:val="font18"/>
    <w:basedOn w:val="837"/>
    <w:uiPriority w:val="0"/>
    <w:qFormat/>
    <w:pPr>
      <w:jc w:val="left"/>
      <w:spacing w:before="100" w:beforeAutospacing="1" w:after="100" w:afterAutospacing="1"/>
      <w:widowControl/>
    </w:pPr>
    <w:rPr>
      <w:rFonts w:ascii="Times New Roman" w:hAnsi="Times New Roman" w:eastAsia="宋体"/>
      <w:sz w:val="22"/>
    </w:rPr>
  </w:style>
  <w:style w:type="paragraph" w:styleId="1340" w:customStyle="1">
    <w:name w:val="样式 小四 段前: 5 磅 段后: 5 磅 首行缩进:  2 字符"/>
    <w:basedOn w:val="837"/>
    <w:uiPriority w:val="0"/>
    <w:qFormat/>
    <w:pPr>
      <w:spacing w:line="360" w:lineRule="auto"/>
    </w:pPr>
    <w:rPr>
      <w:rFonts w:ascii="宋体" w:hAnsi="宋体" w:eastAsia="宋体"/>
      <w:szCs w:val="21"/>
    </w:rPr>
  </w:style>
  <w:style w:type="paragraph" w:styleId="1341" w:customStyle="1">
    <w:name w:val="xl81"/>
    <w:basedOn w:val="837"/>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342" w:customStyle="1">
    <w:name w:val="font10"/>
    <w:basedOn w:val="837"/>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343" w:customStyle="1">
    <w:name w:val="彩色列表1"/>
    <w:basedOn w:val="837"/>
    <w:uiPriority w:val="99"/>
    <w:qFormat/>
    <w:pPr>
      <w:ind w:firstLine="420"/>
    </w:pPr>
    <w:rPr>
      <w:rFonts w:ascii="Calibri" w:hAnsi="Calibri" w:eastAsia="宋体"/>
    </w:rPr>
  </w:style>
  <w:style w:type="paragraph" w:styleId="1344" w:customStyle="1">
    <w:name w:val="xl104"/>
    <w:basedOn w:val="83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45" w:customStyle="1">
    <w:name w:val="_Style 9"/>
    <w:basedOn w:val="837"/>
    <w:uiPriority w:val="0"/>
    <w:qFormat/>
    <w:pPr>
      <w:ind w:firstLine="420"/>
    </w:pPr>
    <w:rPr>
      <w:rFonts w:ascii="Calibri" w:hAnsi="Calibri" w:eastAsia="宋体"/>
      <w:szCs w:val="24"/>
    </w:rPr>
  </w:style>
  <w:style w:type="paragraph" w:styleId="1346">
    <w:name w:val="List Paragraph"/>
    <w:basedOn w:val="837"/>
    <w:uiPriority w:val="0"/>
    <w:qFormat/>
    <w:pPr>
      <w:ind w:firstLine="420"/>
    </w:pPr>
    <w:rPr>
      <w:rFonts w:ascii="Times New Roman" w:hAnsi="Times New Roman" w:eastAsia="宋体"/>
      <w:szCs w:val="21"/>
    </w:rPr>
  </w:style>
  <w:style w:type="paragraph" w:styleId="1347" w:customStyle="1">
    <w:name w:val="xl43"/>
    <w:basedOn w:val="8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348" w:customStyle="1">
    <w:name w:val="xl51"/>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49" w:customStyle="1">
    <w:name w:val="xl31"/>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50" w:customStyle="1">
    <w:name w:val="标题_0"/>
    <w:basedOn w:val="1351"/>
    <w:uiPriority w:val="0"/>
    <w:qFormat/>
    <w:pPr>
      <w:jc w:val="center"/>
      <w:spacing w:before="120" w:after="120" w:line="360" w:lineRule="auto"/>
      <w:outlineLvl w:val="0"/>
    </w:pPr>
    <w:rPr>
      <w:rFonts w:ascii="黑体" w:hAnsi="Arial" w:eastAsia="黑体"/>
      <w:b/>
      <w:bCs/>
      <w:sz w:val="32"/>
      <w:szCs w:val="32"/>
    </w:rPr>
  </w:style>
  <w:style w:type="paragraph" w:styleId="1351" w:customStyle="1">
    <w:name w:val="正文_1"/>
    <w:uiPriority w:val="0"/>
    <w:qFormat/>
    <w:rPr>
      <w:rFonts w:hint="default" w:ascii="Times New Roman" w:hAnsi="Times New Roman" w:eastAsia="宋体" w:cs="Times New Roman"/>
      <w:sz w:val="21"/>
      <w:szCs w:val="22"/>
      <w:lang w:val="en-US" w:eastAsia="zh-CN" w:bidi="ar-SA"/>
    </w:rPr>
  </w:style>
  <w:style w:type="paragraph" w:styleId="1352" w:customStyle="1">
    <w:name w:val="Address"/>
    <w:basedOn w:val="837"/>
    <w:next w:val="837"/>
    <w:uiPriority w:val="0"/>
    <w:qFormat/>
    <w:pPr>
      <w:jc w:val="left"/>
    </w:pPr>
    <w:rPr>
      <w:rFonts w:ascii="Times New Roman" w:hAnsi="Times New Roman" w:eastAsia="宋体"/>
      <w:i/>
      <w:sz w:val="24"/>
      <w:szCs w:val="20"/>
    </w:rPr>
  </w:style>
  <w:style w:type="paragraph" w:styleId="1353" w:customStyle="1">
    <w:name w:val="xl367"/>
    <w:basedOn w:val="837"/>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354" w:customStyle="1">
    <w:name w:val="Char11"/>
    <w:basedOn w:val="837"/>
    <w:uiPriority w:val="0"/>
    <w:qFormat/>
    <w:rPr>
      <w:rFonts w:ascii="Times New Roman" w:hAnsi="Times New Roman" w:eastAsia="宋体"/>
      <w:szCs w:val="24"/>
    </w:rPr>
  </w:style>
  <w:style w:type="paragraph" w:styleId="1355" w:customStyle="1">
    <w:name w:val="xl38"/>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356" w:customStyle="1">
    <w:name w:val="Definition List"/>
    <w:basedOn w:val="837"/>
    <w:next w:val="1357"/>
    <w:uiPriority w:val="0"/>
    <w:qFormat/>
    <w:pPr>
      <w:ind w:left="360"/>
      <w:jc w:val="left"/>
    </w:pPr>
    <w:rPr>
      <w:rFonts w:ascii="Times New Roman" w:hAnsi="Times New Roman" w:eastAsia="宋体"/>
      <w:sz w:val="24"/>
      <w:szCs w:val="20"/>
    </w:rPr>
  </w:style>
  <w:style w:type="paragraph" w:styleId="1357" w:customStyle="1">
    <w:name w:val="Definition Term"/>
    <w:basedOn w:val="837"/>
    <w:next w:val="1356"/>
    <w:uiPriority w:val="0"/>
    <w:qFormat/>
    <w:pPr>
      <w:jc w:val="left"/>
    </w:pPr>
    <w:rPr>
      <w:rFonts w:ascii="Times New Roman" w:hAnsi="Times New Roman" w:eastAsia="宋体"/>
      <w:sz w:val="24"/>
      <w:szCs w:val="20"/>
    </w:rPr>
  </w:style>
  <w:style w:type="paragraph" w:styleId="1358" w:customStyle="1">
    <w:name w:val="font16"/>
    <w:basedOn w:val="837"/>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359" w:customStyle="1">
    <w:name w:val="xl48"/>
    <w:basedOn w:val="8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6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xl96"/>
    <w:basedOn w:val="8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62" w:customStyle="1">
    <w:name w:val="Char Char Char Char1"/>
    <w:basedOn w:val="837"/>
    <w:uiPriority w:val="0"/>
    <w:qFormat/>
    <w:pPr>
      <w:jc w:val="left"/>
      <w:spacing w:after="160" w:line="240" w:lineRule="exact"/>
      <w:widowControl/>
    </w:pPr>
    <w:rPr>
      <w:rFonts w:ascii="Verdana" w:hAnsi="Verdana" w:eastAsia="宋体"/>
      <w:sz w:val="20"/>
      <w:szCs w:val="20"/>
      <w:lang w:eastAsia="en-US"/>
    </w:rPr>
  </w:style>
  <w:style w:type="paragraph" w:styleId="1363" w:customStyle="1">
    <w:name w:val="xl76"/>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4" w:customStyle="1">
    <w:name w:val="H5"/>
    <w:basedOn w:val="837"/>
    <w:next w:val="837"/>
    <w:uiPriority w:val="0"/>
    <w:qFormat/>
    <w:pPr>
      <w:jc w:val="left"/>
      <w:keepNext/>
      <w:spacing w:before="100" w:after="100"/>
      <w:outlineLvl w:val="5"/>
    </w:pPr>
    <w:rPr>
      <w:rFonts w:ascii="Times New Roman" w:hAnsi="Times New Roman" w:eastAsia="宋体"/>
      <w:b/>
      <w:sz w:val="20"/>
      <w:szCs w:val="20"/>
    </w:rPr>
  </w:style>
  <w:style w:type="paragraph" w:styleId="1365" w:customStyle="1">
    <w:name w:val="H4"/>
    <w:basedOn w:val="837"/>
    <w:next w:val="837"/>
    <w:uiPriority w:val="0"/>
    <w:qFormat/>
    <w:pPr>
      <w:jc w:val="left"/>
      <w:keepNext/>
      <w:spacing w:before="100" w:after="100"/>
      <w:outlineLvl w:val="4"/>
    </w:pPr>
    <w:rPr>
      <w:rFonts w:ascii="Times New Roman" w:hAnsi="Times New Roman" w:eastAsia="宋体"/>
      <w:b/>
      <w:sz w:val="24"/>
      <w:szCs w:val="20"/>
    </w:rPr>
  </w:style>
  <w:style w:type="paragraph" w:styleId="1366" w:customStyle="1">
    <w:name w:val="xl369"/>
    <w:basedOn w:val="8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7" w:customStyle="1">
    <w:name w:val="xl109"/>
    <w:basedOn w:val="8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68" w:customStyle="1">
    <w:name w:val="标题 4_0"/>
    <w:basedOn w:val="1129"/>
    <w:next w:val="1129"/>
    <w:uiPriority w:val="0"/>
    <w:qFormat/>
    <w:pPr>
      <w:keepLines/>
      <w:keepNext/>
      <w:spacing w:before="280" w:after="290" w:line="372" w:lineRule="auto"/>
      <w:outlineLvl w:val="3"/>
    </w:pPr>
    <w:rPr>
      <w:rFonts w:ascii="Cambria" w:hAnsi="Cambria"/>
      <w:b/>
      <w:bCs/>
      <w:sz w:val="28"/>
      <w:szCs w:val="28"/>
    </w:rPr>
  </w:style>
  <w:style w:type="paragraph" w:styleId="1369" w:customStyle="1">
    <w:name w:val="xl79"/>
    <w:basedOn w:val="8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70" w:customStyle="1">
    <w:name w:val="p0"/>
    <w:basedOn w:val="837"/>
    <w:uiPriority w:val="0"/>
    <w:qFormat/>
    <w:pPr>
      <w:widowControl/>
    </w:pPr>
    <w:rPr>
      <w:rFonts w:ascii="Calibri" w:hAnsi="Calibri" w:eastAsia="宋体" w:cs="宋体"/>
      <w:szCs w:val="21"/>
    </w:rPr>
  </w:style>
  <w:style w:type="paragraph" w:styleId="1371" w:customStyle="1">
    <w:name w:val="font0"/>
    <w:basedOn w:val="837"/>
    <w:uiPriority w:val="0"/>
    <w:qFormat/>
    <w:pPr>
      <w:jc w:val="left"/>
      <w:spacing w:before="100" w:beforeAutospacing="1" w:after="100" w:afterAutospacing="1"/>
      <w:widowControl/>
    </w:pPr>
    <w:rPr>
      <w:rFonts w:ascii="宋体" w:hAnsi="宋体" w:eastAsia="宋体" w:cs="宋体"/>
      <w:color w:val="000000"/>
      <w:sz w:val="22"/>
    </w:rPr>
  </w:style>
  <w:style w:type="paragraph" w:styleId="1372" w:customStyle="1">
    <w:name w:val="xl73"/>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3" w:customStyle="1">
    <w:name w:val="font14"/>
    <w:basedOn w:val="837"/>
    <w:uiPriority w:val="0"/>
    <w:qFormat/>
    <w:pPr>
      <w:jc w:val="left"/>
      <w:spacing w:before="100" w:beforeAutospacing="1" w:after="100" w:afterAutospacing="1"/>
      <w:widowControl/>
    </w:pPr>
    <w:rPr>
      <w:rFonts w:ascii="宋体" w:hAnsi="宋体" w:eastAsia="宋体" w:cs="宋体"/>
      <w:sz w:val="12"/>
      <w:szCs w:val="12"/>
    </w:rPr>
  </w:style>
  <w:style w:type="paragraph" w:styleId="1374" w:customStyle="1">
    <w:name w:val="项目编号3"/>
    <w:basedOn w:val="837"/>
    <w:next w:val="837"/>
    <w:uiPriority w:val="0"/>
    <w:qFormat/>
    <w:pPr>
      <w:ind w:firstLine="200"/>
      <w:jc w:val="left"/>
      <w:spacing w:line="360" w:lineRule="auto"/>
      <w:tabs>
        <w:tab w:val="left" w:pos="855" w:leader="none"/>
      </w:tabs>
    </w:pPr>
    <w:rPr>
      <w:rFonts w:ascii="宋体" w:hAnsi="Times New Roman" w:eastAsia="宋体"/>
      <w:sz w:val="24"/>
      <w:szCs w:val="24"/>
    </w:rPr>
  </w:style>
  <w:style w:type="paragraph" w:styleId="1375" w:customStyle="1">
    <w:name w:val="xl40"/>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76"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377" w:customStyle="1">
    <w:name w:val="菲页2"/>
    <w:basedOn w:val="898"/>
    <w:uiPriority w:val="0"/>
    <w:qFormat/>
    <w:pPr>
      <w:ind w:left="2265" w:hanging="900"/>
      <w:tabs>
        <w:tab w:val="left" w:pos="2265" w:leader="none"/>
      </w:tabs>
    </w:pPr>
    <w:rPr>
      <w:rFonts w:ascii="黑体" w:hAnsi="宋体" w:eastAsia="黑体"/>
      <w:b w:val="0"/>
      <w:sz w:val="44"/>
    </w:rPr>
  </w:style>
  <w:style w:type="paragraph" w:styleId="1378" w:customStyle="1">
    <w:name w:val="xl83"/>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79" w:customStyle="1">
    <w:name w:val="xl111"/>
    <w:basedOn w:val="83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80" w:customStyle="1">
    <w:name w:val="Char Char1 Char"/>
    <w:basedOn w:val="837"/>
    <w:uiPriority w:val="0"/>
    <w:qFormat/>
    <w:pPr>
      <w:jc w:val="left"/>
      <w:spacing w:after="160" w:line="240" w:lineRule="exact"/>
      <w:widowControl/>
    </w:pPr>
    <w:rPr>
      <w:rFonts w:ascii="仿宋_GB2312" w:hAnsi="Times New Roman" w:eastAsia="仿宋_GB2312"/>
      <w:sz w:val="32"/>
      <w:szCs w:val="32"/>
    </w:rPr>
  </w:style>
  <w:style w:type="paragraph" w:styleId="1381" w:customStyle="1">
    <w:name w:val="样式 标题 2 + Times New Roman 四号 非加粗 段前: 5 磅 段后: 0 磅 行距: 固定值 20..."/>
    <w:basedOn w:val="1037"/>
    <w:uiPriority w:val="0"/>
    <w:qFormat/>
    <w:pPr>
      <w:jc w:val="center"/>
      <w:spacing w:before="100" w:after="0" w:line="400" w:lineRule="exact"/>
    </w:pPr>
    <w:rPr>
      <w:rFonts w:ascii="Times New Roman" w:hAnsi="Times New Roman" w:cs="宋体"/>
      <w:b w:val="0"/>
      <w:bCs w:val="0"/>
      <w:sz w:val="28"/>
      <w:szCs w:val="20"/>
    </w:rPr>
  </w:style>
  <w:style w:type="paragraph" w:styleId="1382" w:customStyle="1">
    <w:name w:val="font13"/>
    <w:basedOn w:val="837"/>
    <w:uiPriority w:val="0"/>
    <w:qFormat/>
    <w:pPr>
      <w:jc w:val="left"/>
      <w:spacing w:before="100" w:beforeAutospacing="1" w:after="100" w:afterAutospacing="1"/>
      <w:widowControl/>
    </w:pPr>
    <w:rPr>
      <w:rFonts w:ascii="Times New Roman" w:hAnsi="Times New Roman" w:eastAsia="宋体"/>
      <w:b/>
      <w:bCs/>
      <w:sz w:val="22"/>
    </w:rPr>
  </w:style>
  <w:style w:type="paragraph" w:styleId="1383" w:customStyle="1">
    <w:name w:val="H3"/>
    <w:basedOn w:val="837"/>
    <w:next w:val="837"/>
    <w:uiPriority w:val="0"/>
    <w:qFormat/>
    <w:pPr>
      <w:jc w:val="left"/>
      <w:keepNext/>
      <w:spacing w:before="100" w:after="100"/>
      <w:outlineLvl w:val="3"/>
    </w:pPr>
    <w:rPr>
      <w:rFonts w:ascii="Times New Roman" w:hAnsi="Times New Roman" w:eastAsia="宋体"/>
      <w:b/>
      <w:sz w:val="28"/>
      <w:szCs w:val="20"/>
    </w:rPr>
  </w:style>
  <w:style w:type="paragraph" w:styleId="1384" w:customStyle="1">
    <w:name w:val="xl100"/>
    <w:basedOn w:val="83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85" w:customStyle="1">
    <w:name w:val="Char Char Char Char Char Char Char"/>
    <w:basedOn w:val="837"/>
    <w:uiPriority w:val="0"/>
    <w:qFormat/>
    <w:pPr>
      <w:jc w:val="left"/>
      <w:spacing w:after="160" w:line="240" w:lineRule="exact"/>
      <w:widowControl/>
    </w:pPr>
    <w:rPr>
      <w:rFonts w:ascii="Times New Roman" w:hAnsi="Times New Roman" w:eastAsia="宋体"/>
      <w:szCs w:val="24"/>
    </w:rPr>
  </w:style>
  <w:style w:type="paragraph" w:styleId="1386" w:customStyle="1">
    <w:name w:val="xl90"/>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87" w:customStyle="1">
    <w:name w:val="xl365"/>
    <w:basedOn w:val="83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88" w:customStyle="1">
    <w:name w:val="正文文本_0"/>
    <w:basedOn w:val="1129"/>
    <w:uiPriority w:val="0"/>
    <w:qFormat/>
    <w:pPr>
      <w:ind w:left="72" w:right="30"/>
      <w:jc w:val="center"/>
      <w:spacing w:after="60" w:line="360" w:lineRule="atLeast"/>
    </w:pPr>
    <w:rPr>
      <w:sz w:val="20"/>
      <w:szCs w:val="20"/>
    </w:rPr>
  </w:style>
  <w:style w:type="paragraph" w:styleId="1389" w:customStyle="1">
    <w:name w:val="font11"/>
    <w:basedOn w:val="837"/>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90" w:customStyle="1">
    <w:name w:val="修订1"/>
    <w:uiPriority w:val="0"/>
    <w:unhideWhenUsed/>
    <w:qFormat/>
    <w:rPr>
      <w:rFonts w:hint="default" w:ascii="Times New Roman" w:hAnsi="Times New Roman" w:eastAsia="宋体" w:cs="Times New Roman"/>
      <w:sz w:val="21"/>
      <w:lang w:val="en-US" w:eastAsia="zh-CN" w:bidi="ar-SA"/>
    </w:rPr>
  </w:style>
  <w:style w:type="paragraph" w:styleId="1391" w:customStyle="1">
    <w:name w:val="xl105"/>
    <w:basedOn w:val="8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92" w:customStyle="1">
    <w:name w:val="font6"/>
    <w:basedOn w:val="837"/>
    <w:uiPriority w:val="0"/>
    <w:qFormat/>
    <w:pPr>
      <w:jc w:val="left"/>
      <w:spacing w:before="100" w:beforeAutospacing="1" w:after="100" w:afterAutospacing="1"/>
      <w:widowControl/>
    </w:pPr>
    <w:rPr>
      <w:rFonts w:ascii="宋体" w:hAnsi="宋体" w:eastAsia="宋体" w:cs="宋体"/>
      <w:sz w:val="22"/>
    </w:rPr>
  </w:style>
  <w:style w:type="paragraph" w:styleId="1393" w:customStyle="1">
    <w:name w:val="xl87"/>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94" w:customStyle="1">
    <w:name w:val="默认段落字体 Para Char"/>
    <w:basedOn w:val="837"/>
    <w:uiPriority w:val="0"/>
    <w:qFormat/>
    <w:pPr>
      <w:ind w:firstLine="200"/>
      <w:spacing w:line="360" w:lineRule="auto"/>
    </w:pPr>
    <w:rPr>
      <w:rFonts w:ascii="宋体" w:hAnsi="宋体" w:eastAsia="宋体" w:cs="宋体"/>
      <w:sz w:val="24"/>
      <w:szCs w:val="24"/>
    </w:rPr>
  </w:style>
  <w:style w:type="paragraph" w:styleId="1395" w:customStyle="1">
    <w:name w:val="纯文本3"/>
    <w:basedOn w:val="837"/>
    <w:uiPriority w:val="0"/>
    <w:qFormat/>
    <w:rPr>
      <w:rFonts w:ascii="宋体" w:hAnsi="Courier New" w:eastAsia="楷体_GB2312"/>
      <w:sz w:val="26"/>
      <w:szCs w:val="20"/>
    </w:rPr>
  </w:style>
  <w:style w:type="paragraph" w:styleId="1396" w:customStyle="1">
    <w:name w:val="Char Char Char Char Char Char1 Char"/>
    <w:basedOn w:val="837"/>
    <w:uiPriority w:val="0"/>
    <w:qFormat/>
    <w:pPr>
      <w:jc w:val="left"/>
      <w:spacing w:after="160" w:line="240" w:lineRule="exact"/>
      <w:widowControl/>
    </w:pPr>
    <w:rPr>
      <w:rFonts w:ascii="Verdana" w:hAnsi="Verdana" w:eastAsia="宋体"/>
      <w:szCs w:val="20"/>
      <w:lang w:eastAsia="en-US"/>
    </w:rPr>
  </w:style>
  <w:style w:type="paragraph" w:styleId="1397" w:customStyle="1">
    <w:name w:val="xl50"/>
    <w:basedOn w:val="8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98" w:customStyle="1">
    <w:name w:val="xl85"/>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99" w:customStyle="1">
    <w:name w:val="样式 标题 3 + (中文) 黑体 小四 非加粗 段前: 7.8 磅 段后: 0 磅 行距: 固定值 20 磅"/>
    <w:basedOn w:val="898"/>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400" w:customStyle="1">
    <w:name w:val="xl94"/>
    <w:basedOn w:val="837"/>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401" w:customStyle="1">
    <w:name w:val="表格"/>
    <w:basedOn w:val="837"/>
    <w:uiPriority w:val="0"/>
    <w:qFormat/>
    <w:pPr>
      <w:jc w:val="center"/>
    </w:pPr>
    <w:rPr>
      <w:rFonts w:ascii="华文细黑" w:hAnsi="华文细黑" w:eastAsia="宋体"/>
      <w:szCs w:val="20"/>
    </w:rPr>
  </w:style>
  <w:style w:type="paragraph" w:styleId="1402" w:customStyle="1">
    <w:name w:val="默认段落字体 Para Char Char Char Char Char Char Char"/>
    <w:basedOn w:val="837"/>
    <w:uiPriority w:val="0"/>
    <w:qFormat/>
    <w:rPr>
      <w:rFonts w:ascii="Tahoma" w:hAnsi="Tahoma" w:eastAsia="宋体"/>
      <w:sz w:val="24"/>
      <w:szCs w:val="20"/>
    </w:rPr>
  </w:style>
  <w:style w:type="paragraph" w:styleId="1403" w:customStyle="1">
    <w:name w:val="xl27"/>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404" w:customStyle="1">
    <w:name w:val="xl92"/>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405" w:customStyle="1">
    <w:name w:val="Char Char2"/>
    <w:basedOn w:val="837"/>
    <w:uiPriority w:val="0"/>
    <w:qFormat/>
    <w:pPr>
      <w:spacing w:line="240" w:lineRule="exact"/>
    </w:pPr>
    <w:rPr>
      <w:rFonts w:ascii="Times New Roman" w:hAnsi="Times New Roman" w:eastAsia="宋体"/>
      <w:szCs w:val="24"/>
    </w:rPr>
  </w:style>
  <w:style w:type="paragraph" w:styleId="1406" w:customStyle="1">
    <w:name w:val="Blockquote"/>
    <w:basedOn w:val="837"/>
    <w:uiPriority w:val="0"/>
    <w:qFormat/>
    <w:pPr>
      <w:ind w:left="360" w:right="360"/>
      <w:jc w:val="left"/>
      <w:spacing w:before="100" w:after="100"/>
    </w:pPr>
    <w:rPr>
      <w:rFonts w:ascii="Calibri" w:hAnsi="Calibri" w:eastAsia="宋体"/>
      <w:sz w:val="24"/>
      <w:szCs w:val="20"/>
    </w:rPr>
  </w:style>
  <w:style w:type="paragraph" w:styleId="1407" w:customStyle="1">
    <w:name w:val="xl371"/>
    <w:basedOn w:val="8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08" w:customStyle="1">
    <w:name w:val="Table Paragraph"/>
    <w:basedOn w:val="837"/>
    <w:uiPriority w:val="0"/>
    <w:qFormat/>
    <w:pPr>
      <w:jc w:val="left"/>
    </w:pPr>
    <w:rPr>
      <w:rFonts w:ascii="PMingLiU" w:hAnsi="PMingLiU" w:eastAsia="PMingLiU" w:cs="PMingLiU"/>
      <w:sz w:val="22"/>
      <w:lang w:val="zh-CN" w:bidi="zh-CN"/>
    </w:rPr>
  </w:style>
  <w:style w:type="paragraph" w:styleId="1409" w:customStyle="1">
    <w:name w:val="xl69"/>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0" w:customStyle="1">
    <w:name w:val="xl97"/>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11" w:customStyle="1">
    <w:name w:val="xl106"/>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412" w:customStyle="1">
    <w:name w:val="font19"/>
    <w:basedOn w:val="837"/>
    <w:uiPriority w:val="0"/>
    <w:qFormat/>
    <w:pPr>
      <w:jc w:val="left"/>
      <w:spacing w:before="100" w:beforeAutospacing="1" w:after="100" w:afterAutospacing="1"/>
      <w:widowControl/>
    </w:pPr>
    <w:rPr>
      <w:rFonts w:ascii="Times New Roman" w:hAnsi="Times New Roman" w:eastAsia="宋体"/>
      <w:sz w:val="12"/>
      <w:szCs w:val="12"/>
    </w:rPr>
  </w:style>
  <w:style w:type="paragraph" w:styleId="1413" w:customStyle="1">
    <w:name w:val="xl89"/>
    <w:basedOn w:val="8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14" w:customStyle="1">
    <w:name w:val="_Style 37"/>
    <w:basedOn w:val="837"/>
    <w:next w:val="837"/>
    <w:uiPriority w:val="0"/>
    <w:qFormat/>
    <w:rPr>
      <w:rFonts w:ascii="Times New Roman" w:hAnsi="Times New Roman" w:eastAsia="宋体"/>
      <w:szCs w:val="24"/>
    </w:rPr>
  </w:style>
  <w:style w:type="paragraph" w:styleId="1415" w:customStyle="1">
    <w:name w:val="font15"/>
    <w:basedOn w:val="837"/>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416" w:customStyle="1">
    <w:name w:val="目录"/>
    <w:basedOn w:val="837"/>
    <w:uiPriority w:val="0"/>
    <w:qFormat/>
    <w:pPr>
      <w:jc w:val="center"/>
      <w:widowControl/>
    </w:pPr>
    <w:rPr>
      <w:rFonts w:ascii="宋体" w:hAnsi="Times New Roman" w:eastAsia="宋体"/>
      <w:b/>
      <w:sz w:val="36"/>
      <w:szCs w:val="20"/>
    </w:rPr>
  </w:style>
  <w:style w:type="paragraph" w:styleId="1417" w:customStyle="1">
    <w:name w:val="2-2ji"/>
    <w:basedOn w:val="1037"/>
    <w:uiPriority w:val="0"/>
    <w:qFormat/>
    <w:pPr>
      <w:jc w:val="center"/>
      <w:spacing w:before="0" w:after="0" w:line="360" w:lineRule="auto"/>
    </w:pPr>
    <w:rPr>
      <w:rFonts w:ascii="宋体" w:hAnsi="宋体" w:eastAsia="宋体"/>
      <w:sz w:val="36"/>
      <w:szCs w:val="24"/>
    </w:rPr>
  </w:style>
  <w:style w:type="paragraph" w:styleId="1418" w:customStyle="1">
    <w:name w:val="xl77"/>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419" w:customStyle="1">
    <w:name w:val="List Paragraph1"/>
    <w:basedOn w:val="837"/>
    <w:uiPriority w:val="0"/>
    <w:qFormat/>
    <w:pPr>
      <w:ind w:firstLine="420"/>
    </w:pPr>
    <w:rPr>
      <w:rFonts w:ascii="Times New Roman" w:hAnsi="Times New Roman" w:eastAsia="宋体"/>
      <w:szCs w:val="21"/>
    </w:rPr>
  </w:style>
  <w:style w:type="paragraph" w:styleId="1420" w:customStyle="1">
    <w:name w:val="TOC 标题2"/>
    <w:basedOn w:val="1036"/>
    <w:next w:val="837"/>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421" w:customStyle="1">
    <w:name w:val="xl103"/>
    <w:basedOn w:val="83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22" w:customStyle="1">
    <w:name w:val="font9"/>
    <w:basedOn w:val="837"/>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423" w:customStyle="1">
    <w:name w:val="xl366"/>
    <w:basedOn w:val="83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24" w:customStyle="1">
    <w:name w:val="样式 标题 1 + 黑体 三号 非加粗 居中 段前: 6 磅 段后: 6 磅 行距: 固定值 20 磅"/>
    <w:basedOn w:val="1036"/>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425" w:customStyle="1">
    <w:name w:val="xl107"/>
    <w:basedOn w:val="83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26" w:customStyle="1">
    <w:name w:val="xl368"/>
    <w:basedOn w:val="8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27" w:customStyle="1">
    <w:name w:val="xl68"/>
    <w:basedOn w:val="837"/>
    <w:uiPriority w:val="0"/>
    <w:qFormat/>
    <w:pPr>
      <w:jc w:val="center"/>
      <w:spacing w:before="100" w:beforeAutospacing="1" w:after="100" w:afterAutospacing="1"/>
      <w:widowControl/>
    </w:pPr>
    <w:rPr>
      <w:rFonts w:ascii="宋体" w:hAnsi="宋体" w:eastAsia="宋体" w:cs="宋体"/>
      <w:sz w:val="20"/>
      <w:szCs w:val="20"/>
    </w:rPr>
  </w:style>
  <w:style w:type="paragraph" w:styleId="1428" w:customStyle="1">
    <w:name w:val="样式1"/>
    <w:basedOn w:val="837"/>
    <w:uiPriority w:val="0"/>
    <w:qFormat/>
    <w:pPr>
      <w:spacing w:before="120" w:after="120" w:line="300" w:lineRule="auto"/>
    </w:pPr>
    <w:rPr>
      <w:rFonts w:ascii="宋体" w:hAnsi="宋体" w:eastAsia="宋体"/>
      <w:b/>
      <w:sz w:val="24"/>
      <w:szCs w:val="20"/>
    </w:rPr>
  </w:style>
  <w:style w:type="paragraph" w:styleId="1429" w:customStyle="1">
    <w:name w:val="xl88"/>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430" w:customStyle="1">
    <w:name w:val="xl84"/>
    <w:basedOn w:val="837"/>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43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432" w:customStyle="1">
    <w:name w:val="xl47"/>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3" w:customStyle="1">
    <w:name w:val="z-Bottom of Form"/>
    <w:next w:val="837"/>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34" w:customStyle="1">
    <w:name w:val="z-Top of Form"/>
    <w:next w:val="837"/>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435" w:customStyle="1">
    <w:name w:val="xl26"/>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36" w:customStyle="1">
    <w:name w:val="xl32"/>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37" w:customStyle="1">
    <w:name w:val="Char Char Char Char Char Char Char Char Char Char"/>
    <w:basedOn w:val="837"/>
    <w:uiPriority w:val="0"/>
    <w:qFormat/>
    <w:pPr>
      <w:ind w:left="432" w:hanging="432"/>
      <w:tabs>
        <w:tab w:val="left" w:pos="898" w:leader="none"/>
      </w:tabs>
    </w:pPr>
    <w:rPr>
      <w:rFonts w:ascii="Times New Roman" w:hAnsi="Times New Roman" w:eastAsia="宋体"/>
      <w:sz w:val="24"/>
      <w:szCs w:val="24"/>
    </w:rPr>
  </w:style>
  <w:style w:type="paragraph" w:styleId="1438" w:customStyle="1">
    <w:name w:val="xl41"/>
    <w:basedOn w:val="8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439" w:customStyle="1">
    <w:name w:val="xl29"/>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440" w:customStyle="1">
    <w:name w:val="菲页1"/>
    <w:basedOn w:val="1037"/>
    <w:uiPriority w:val="0"/>
    <w:qFormat/>
    <w:pPr>
      <w:jc w:val="center"/>
      <w:spacing w:before="312" w:after="312" w:line="360" w:lineRule="auto"/>
      <w:widowControl/>
    </w:pPr>
    <w:rPr>
      <w:rFonts w:ascii="黑体" w:hAnsi="宋体"/>
      <w:b w:val="0"/>
      <w:color w:val="000000"/>
      <w:sz w:val="52"/>
      <w:szCs w:val="20"/>
    </w:rPr>
  </w:style>
  <w:style w:type="paragraph" w:styleId="1441" w:customStyle="1">
    <w:name w:val="xl33"/>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42" w:customStyle="1">
    <w:name w:val="font8"/>
    <w:basedOn w:val="837"/>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443" w:customStyle="1">
    <w:name w:val="xl93"/>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444" w:customStyle="1">
    <w:name w:val="Char Char Char Char Char Char Char Char Char Char1"/>
    <w:basedOn w:val="837"/>
    <w:uiPriority w:val="0"/>
    <w:qFormat/>
    <w:pPr>
      <w:ind w:left="315" w:hanging="315"/>
      <w:tabs>
        <w:tab w:val="left" w:pos="315" w:leader="none"/>
      </w:tabs>
    </w:pPr>
    <w:rPr>
      <w:rFonts w:ascii="Times New Roman" w:hAnsi="Times New Roman" w:eastAsia="宋体"/>
      <w:sz w:val="24"/>
      <w:szCs w:val="24"/>
    </w:rPr>
  </w:style>
  <w:style w:type="paragraph" w:styleId="1445" w:customStyle="1">
    <w:name w:val="xl22"/>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446" w:customStyle="1">
    <w:name w:val="默认段落字体 Para Char Char Char"/>
    <w:basedOn w:val="837"/>
    <w:uiPriority w:val="0"/>
    <w:qFormat/>
    <w:rPr>
      <w:rFonts w:ascii="Times New Roman" w:hAnsi="Times New Roman" w:eastAsia="宋体"/>
      <w:szCs w:val="24"/>
    </w:rPr>
  </w:style>
  <w:style w:type="paragraph" w:styleId="1447"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8" w:customStyle="1">
    <w:name w:val="文档正文"/>
    <w:basedOn w:val="837"/>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449" w:customStyle="1">
    <w:name w:val="font5"/>
    <w:basedOn w:val="837"/>
    <w:uiPriority w:val="0"/>
    <w:qFormat/>
    <w:pPr>
      <w:jc w:val="left"/>
      <w:spacing w:before="100" w:beforeAutospacing="1" w:after="100" w:afterAutospacing="1"/>
      <w:widowControl/>
    </w:pPr>
    <w:rPr>
      <w:rFonts w:ascii="宋体" w:hAnsi="宋体" w:eastAsia="宋体" w:cs="宋体"/>
      <w:sz w:val="18"/>
      <w:szCs w:val="18"/>
    </w:rPr>
  </w:style>
  <w:style w:type="paragraph" w:styleId="1450" w:customStyle="1">
    <w:name w:val="xl44"/>
    <w:basedOn w:val="837"/>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451" w:customStyle="1">
    <w:name w:val="正文缩进_0"/>
    <w:basedOn w:val="1351"/>
    <w:uiPriority w:val="0"/>
    <w:qFormat/>
    <w:pPr>
      <w:ind w:firstLine="420"/>
      <w:jc w:val="both"/>
      <w:widowControl w:val="off"/>
    </w:pPr>
    <w:rPr>
      <w:u w:val="single"/>
    </w:rPr>
  </w:style>
  <w:style w:type="paragraph" w:styleId="1452" w:customStyle="1">
    <w:name w:val="xl364"/>
    <w:basedOn w:val="8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3" w:customStyle="1">
    <w:name w:val="Preformatted"/>
    <w:basedOn w:val="83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454" w:customStyle="1">
    <w:name w:val="xl112"/>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55" w:customStyle="1">
    <w:name w:val="H2"/>
    <w:basedOn w:val="837"/>
    <w:next w:val="837"/>
    <w:uiPriority w:val="0"/>
    <w:qFormat/>
    <w:pPr>
      <w:jc w:val="left"/>
      <w:keepNext/>
      <w:spacing w:before="100" w:after="100"/>
      <w:outlineLvl w:val="2"/>
    </w:pPr>
    <w:rPr>
      <w:rFonts w:ascii="Times New Roman" w:hAnsi="Times New Roman" w:eastAsia="宋体"/>
      <w:b/>
      <w:sz w:val="36"/>
      <w:szCs w:val="20"/>
    </w:rPr>
  </w:style>
  <w:style w:type="paragraph" w:styleId="1456" w:customStyle="1">
    <w:name w:val="xl74"/>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457" w:customStyle="1">
    <w:name w:val="xl86"/>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458" w:customStyle="1">
    <w:name w:val="xl72"/>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59" w:customStyle="1">
    <w:name w:val="xl24"/>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60" w:customStyle="1">
    <w:name w:val="xl75"/>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1" w:customStyle="1">
    <w:name w:val="xl362"/>
    <w:basedOn w:val="8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2" w:customStyle="1">
    <w:name w:val="xl30"/>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63" w:customStyle="1">
    <w:name w:val="xl34"/>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464" w:customStyle="1">
    <w:name w:val="xl99"/>
    <w:basedOn w:val="83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65" w:customStyle="1">
    <w:name w:val="xl363"/>
    <w:basedOn w:val="8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6" w:customStyle="1">
    <w:name w:val="Char1"/>
    <w:basedOn w:val="837"/>
    <w:uiPriority w:val="0"/>
    <w:qFormat/>
    <w:pPr>
      <w:jc w:val="left"/>
      <w:spacing w:after="160" w:line="240" w:lineRule="exact"/>
      <w:widowControl/>
    </w:pPr>
    <w:rPr>
      <w:rFonts w:ascii="Times New Roman" w:hAnsi="Times New Roman" w:eastAsia="宋体"/>
      <w:szCs w:val="24"/>
    </w:rPr>
  </w:style>
  <w:style w:type="paragraph" w:styleId="1467" w:customStyle="1">
    <w:name w:val="xl28"/>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468" w:customStyle="1">
    <w:name w:val="TOC 标题11"/>
    <w:basedOn w:val="837"/>
    <w:next w:val="837"/>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469" w:customStyle="1">
    <w:name w:val="标题 H3"/>
    <w:basedOn w:val="837"/>
    <w:next w:val="837"/>
    <w:uiPriority w:val="0"/>
    <w:qFormat/>
    <w:pPr>
      <w:jc w:val="left"/>
      <w:spacing w:before="120" w:after="120" w:line="360" w:lineRule="auto"/>
      <w:tabs>
        <w:tab w:val="left" w:pos="709" w:leader="none"/>
      </w:tabs>
      <w:outlineLvl w:val="2"/>
    </w:pPr>
    <w:rPr>
      <w:rFonts w:ascii="Times New Roman" w:hAnsi="Times New Roman" w:eastAsia="宋体"/>
      <w:b/>
      <w:sz w:val="24"/>
      <w:szCs w:val="24"/>
    </w:rPr>
  </w:style>
  <w:style w:type="paragraph" w:styleId="1470" w:customStyle="1">
    <w:name w:val="标题 H2"/>
    <w:basedOn w:val="837"/>
    <w:next w:val="837"/>
    <w:uiPriority w:val="0"/>
    <w:qFormat/>
    <w:pPr>
      <w:jc w:val="left"/>
      <w:spacing w:before="120" w:after="120" w:line="360" w:lineRule="auto"/>
      <w:tabs>
        <w:tab w:val="left" w:pos="567" w:leader="none"/>
      </w:tabs>
      <w:outlineLvl w:val="1"/>
    </w:pPr>
    <w:rPr>
      <w:rFonts w:ascii="Times New Roman" w:hAnsi="Times New Roman" w:eastAsia="黑体"/>
      <w:sz w:val="28"/>
      <w:szCs w:val="24"/>
    </w:rPr>
  </w:style>
  <w:style w:type="paragraph" w:styleId="1471" w:customStyle="1">
    <w:name w:val="_Style 16"/>
    <w:basedOn w:val="837"/>
    <w:next w:val="1123"/>
    <w:uiPriority w:val="99"/>
    <w:qFormat/>
    <w:pPr>
      <w:ind w:firstLine="420"/>
      <w:spacing w:line="360" w:lineRule="auto"/>
    </w:pPr>
    <w:rPr>
      <w:rFonts w:ascii="Calibri" w:hAnsi="Calibri" w:eastAsia="宋体"/>
      <w:sz w:val="24"/>
    </w:rPr>
  </w:style>
  <w:style w:type="table" w:styleId="1472" w:customStyle="1">
    <w:name w:val="网格型1"/>
    <w:basedOn w:val="1046"/>
    <w:uiPriority w:val="39"/>
    <w:qFormat/>
    <w:tblPr>
      <w:tblCellMar>
        <w:left w:w="0" w:type="dxa"/>
        <w:top w:w="0" w:type="dxa"/>
        <w:right w:w="0" w:type="dxa"/>
        <w:bottom w:w="0" w:type="dxa"/>
      </w:tblCellMar>
    </w:tblPr>
  </w:style>
  <w:style w:type="table" w:styleId="1473" w:customStyle="1">
    <w:name w:val="自定网格1"/>
    <w:basedOn w:val="1046"/>
    <w:uiPriority w:val="39"/>
    <w:qFormat/>
    <w:pPr>
      <w:jc w:val="both"/>
      <w:widowControl w:val="off"/>
    </w:pPr>
    <w:rPr>
      <w:rFonts w:ascii="Times New Roman" w:hAnsi="Times New Roman" w:eastAsia="宋体"/>
    </w:rPr>
    <w:tblPr>
      <w:tblCellMar>
        <w:left w:w="0" w:type="dxa"/>
        <w:top w:w="0" w:type="dxa"/>
        <w:right w:w="0" w:type="dxa"/>
        <w:bottom w:w="0" w:type="dxa"/>
      </w:tblCellMar>
    </w:tblPr>
  </w:style>
  <w:style w:type="table" w:styleId="1474" w:customStyle="1">
    <w:name w:val="网格型2"/>
    <w:basedOn w:val="1046"/>
    <w:uiPriority w:val="39"/>
    <w:qFormat/>
    <w:pPr>
      <w:jc w:val="both"/>
      <w:widowControl w:val="off"/>
    </w:pPr>
    <w:rPr>
      <w:rFonts w:ascii="Times New Roman" w:hAnsi="Times New Roman" w:eastAsia="宋体"/>
    </w:rPr>
    <w:tblPr>
      <w:tblCellMar>
        <w:left w:w="0" w:type="dxa"/>
        <w:top w:w="0" w:type="dxa"/>
        <w:right w:w="0" w:type="dxa"/>
        <w:bottom w:w="0" w:type="dxa"/>
      </w:tblCellMar>
    </w:tblPr>
  </w:style>
  <w:style w:type="character" w:styleId="1475" w:customStyle="1">
    <w:name w:val="NormalCharacter1"/>
    <w:uiPriority w:val="0"/>
    <w:qFormat/>
  </w:style>
  <w:style w:type="character" w:styleId="1476" w:customStyle="1">
    <w:name w:val="列出段落 Char"/>
    <w:uiPriority w:val="34"/>
    <w:qFormat/>
    <w:rPr>
      <w:sz w:val="21"/>
      <w:szCs w:val="24"/>
    </w:rPr>
  </w:style>
  <w:style w:type="table" w:styleId="1477" w:customStyle="1">
    <w:name w:val="网格型3"/>
    <w:basedOn w:val="1046"/>
    <w:uiPriority w:val="39"/>
    <w:qFormat/>
    <w:rPr>
      <w:rFonts w:ascii="Calibri" w:hAnsi="Calibri" w:eastAsia="宋体"/>
    </w:rPr>
    <w:tblPr>
      <w:tblCellMar>
        <w:left w:w="0" w:type="dxa"/>
        <w:top w:w="0" w:type="dxa"/>
        <w:right w:w="0" w:type="dxa"/>
        <w:bottom w:w="0" w:type="dxa"/>
      </w:tblCellMar>
    </w:tblPr>
  </w:style>
  <w:style w:type="table" w:styleId="1478" w:customStyle="1">
    <w:name w:val="网格型4"/>
    <w:basedOn w:val="1046"/>
    <w:uiPriority w:val="39"/>
    <w:qFormat/>
    <w:rPr>
      <w:rFonts w:ascii="Calibri" w:hAnsi="Calibri" w:eastAsia="宋体"/>
    </w:rPr>
    <w:tblPr>
      <w:tblCellMar>
        <w:left w:w="0" w:type="dxa"/>
        <w:top w:w="0" w:type="dxa"/>
        <w:right w:w="0" w:type="dxa"/>
        <w:bottom w:w="0" w:type="dxa"/>
      </w:tblCellMar>
    </w:tblPr>
  </w:style>
  <w:style w:type="table" w:styleId="1479" w:customStyle="1">
    <w:name w:val="网格型5"/>
    <w:basedOn w:val="1046"/>
    <w:uiPriority w:val="39"/>
    <w:qFormat/>
    <w:rPr>
      <w:rFonts w:ascii="Calibri" w:hAnsi="Calibri" w:eastAsia="宋体"/>
    </w:rPr>
    <w:tblPr>
      <w:tblCellMar>
        <w:left w:w="0" w:type="dxa"/>
        <w:top w:w="0" w:type="dxa"/>
        <w:right w:w="0" w:type="dxa"/>
        <w:bottom w:w="0" w:type="dxa"/>
      </w:tblCellMar>
    </w:tblPr>
  </w:style>
  <w:style w:type="table" w:styleId="1480" w:customStyle="1">
    <w:name w:val="网格型6"/>
    <w:basedOn w:val="1046"/>
    <w:uiPriority w:val="39"/>
    <w:qFormat/>
    <w:rPr>
      <w:rFonts w:ascii="Calibri" w:hAnsi="Calibri" w:eastAsia="宋体"/>
    </w:rPr>
    <w:tblPr>
      <w:tblCellMar>
        <w:left w:w="0" w:type="dxa"/>
        <w:top w:w="0" w:type="dxa"/>
        <w:right w:w="0" w:type="dxa"/>
        <w:bottom w:w="0" w:type="dxa"/>
      </w:tblCellMar>
    </w:tblPr>
  </w:style>
  <w:style w:type="paragraph" w:styleId="1481" w:customStyle="1">
    <w:name w:val="引文目录1"/>
    <w:basedOn w:val="837"/>
    <w:next w:val="837"/>
    <w:uiPriority w:val="0"/>
    <w:qFormat/>
    <w:pPr>
      <w:ind w:left="420"/>
    </w:pPr>
  </w:style>
  <w:style w:type="paragraph" w:styleId="1482" w:customStyle="1">
    <w:name w:val="Table Text"/>
    <w:basedOn w:val="837"/>
    <w:uiPriority w:val="0"/>
    <w:semiHidden/>
    <w:qFormat/>
    <w:rPr>
      <w:rFonts w:ascii="宋体" w:hAnsi="宋体" w:eastAsia="宋体" w:cs="宋体"/>
      <w:sz w:val="19"/>
      <w:szCs w:val="19"/>
      <w:lang w:eastAsia="en-US"/>
    </w:rPr>
  </w:style>
  <w:style w:type="table" w:styleId="1483" w:customStyle="1">
    <w:name w:val="Table Normal"/>
    <w:uiPriority w:val="0"/>
    <w:semiHidden/>
    <w:unhideWhenUsed/>
    <w:qFormat/>
    <w:tblPr>
      <w:tblCellMar>
        <w:left w:w="0" w:type="dxa"/>
        <w:top w:w="0" w:type="dxa"/>
        <w:right w:w="0" w:type="dxa"/>
        <w:bottom w:w="0" w:type="dxa"/>
      </w:tblCellMar>
    </w:tblPr>
  </w:style>
  <w:style w:type="paragraph" w:styleId="1484" w:customStyle="1">
    <w:name w:val="PlainText"/>
    <w:basedOn w:val="837"/>
    <w:uiPriority w:val="99"/>
    <w:qFormat/>
    <w:rPr>
      <w:rFonts w:ascii="宋体" w:hAnsi="Courier New"/>
    </w:rPr>
  </w:style>
  <w:style w:type="paragraph" w:styleId="1485" w:customStyle="1">
    <w:name w:val="A."/>
    <w:basedOn w:val="837"/>
    <w:uiPriority w:val="0"/>
    <w:qFormat/>
    <w:pPr>
      <w:ind w:left="693" w:hanging="453"/>
      <w:spacing w:line="360" w:lineRule="exact"/>
      <w:widowControl/>
      <w:tabs>
        <w:tab w:val="left" w:pos="680" w:leader="none"/>
        <w:tab w:val="left" w:pos="960" w:leader="none"/>
      </w:tabs>
    </w:pPr>
    <w:rPr>
      <w:rFonts w:ascii="Times New Roman" w:hAnsi="Times New Roman"/>
      <w:szCs w:val="24"/>
    </w:rPr>
  </w:style>
  <w:style w:type="table" w:styleId="1486" w:customStyle="1">
    <w:name w:val="表格主题1"/>
    <w:basedOn w:val="848"/>
    <w:uiPriority w:val="0"/>
    <w:qFormat/>
    <w:pPr>
      <w:jc w:val="both"/>
      <w:widowControl w:val="off"/>
    </w:pPr>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4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邱兆红</cp:lastModifiedBy>
  <cp:revision>22</cp:revision>
  <dcterms:created xsi:type="dcterms:W3CDTF">2023-06-12T02:47:00Z</dcterms:created>
  <dcterms:modified xsi:type="dcterms:W3CDTF">2025-07-28T07:06:30Z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9401342BEA204FAA984D1E260FCE97AB_13</vt:lpwstr>
  </property>
  <property fmtid="{D5CDD505-2E9C-101B-9397-08002B2CF9AE}" pid="4" name="KSOTemplateDocerSaveRecord">
    <vt:lpwstr>eyJoZGlkIjoiODBhOGFlZWNmODZiZGI2YmM4ZDViMTVkYmJkZGM5ZGUiLCJ1c2VySWQiOiIxOTkxODA1NjUifQ==</vt:lpwstr>
  </property>
</Properties>
</file>