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center"/>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pStyle w:val="654"/>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rPr>
          <w:rFonts w:hint="eastAsia" w:ascii="Arial" w:hAnsi="Arial" w:eastAsia="黑体"/>
          <w:b/>
          <w:bCs/>
          <w:sz w:val="84"/>
          <w:szCs w:val="24"/>
          <w:highlight w:val="none"/>
        </w:rPr>
      </w:r>
      <w:r/>
    </w:p>
    <w:p>
      <w:pPr>
        <w:pStyle w:val="654"/>
        <w:jc w:val="left"/>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pStyle w:val="654"/>
        <w:jc w:val="left"/>
        <w:spacing w:before="120" w:after="120" w:line="360" w:lineRule="auto"/>
        <w:rPr>
          <w:rFonts w:hint="eastAsia" w:ascii="Arial" w:hAnsi="宋体"/>
          <w:sz w:val="24"/>
          <w:szCs w:val="24"/>
          <w:highlight w:val="none"/>
        </w:rPr>
      </w:pPr>
      <w:r>
        <w:rPr>
          <w:rFonts w:hint="eastAsia" w:ascii="Arial" w:hAnsi="Arial"/>
          <w:b/>
          <w:bCs/>
          <w:sz w:val="32"/>
          <w:szCs w:val="24"/>
          <w:highlight w:val="none"/>
        </w:rPr>
        <w:t xml:space="preserve">项目名称：江苏省医保垂直大模型项目</w:t>
      </w:r>
      <w:r>
        <w:rPr>
          <w:rFonts w:hint="eastAsia" w:ascii="Arial" w:hAnsi="宋体"/>
          <w:sz w:val="24"/>
          <w:szCs w:val="24"/>
          <w:highlight w:val="none"/>
        </w:rPr>
      </w:r>
      <w:r/>
    </w:p>
    <w:p>
      <w:pPr>
        <w:pStyle w:val="654"/>
        <w:jc w:val="left"/>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项目编号：JSZC-320000-SCZX-C2025-0767</w:t>
      </w:r>
      <w:r>
        <w:rPr>
          <w:rFonts w:ascii="Arial" w:hAnsi="Arial"/>
          <w:b/>
          <w:bCs/>
          <w:sz w:val="32"/>
          <w:szCs w:val="24"/>
          <w:highlight w:val="none"/>
        </w:rPr>
        <w:t xml:space="preserve">            </w:t>
      </w:r>
      <w:r>
        <w:rPr>
          <w:rFonts w:ascii="Arial" w:hAnsi="Arial"/>
          <w:b/>
          <w:bCs/>
          <w:sz w:val="32"/>
          <w:szCs w:val="24"/>
          <w:highlight w:val="none"/>
        </w:rPr>
      </w:r>
      <w:r/>
    </w:p>
    <w:p>
      <w:pPr>
        <w:pStyle w:val="654"/>
        <w:ind w:firstLine="1470"/>
        <w:jc w:val="left"/>
        <w:spacing w:before="120" w:after="120" w:line="360" w:lineRule="auto"/>
        <w:rPr>
          <w:rFonts w:hint="eastAsia"/>
          <w:szCs w:val="21"/>
          <w:highlight w:val="none"/>
        </w:rPr>
      </w:pPr>
      <w:r>
        <w:rPr>
          <w:rFonts w:hint="eastAsia"/>
          <w:szCs w:val="21"/>
          <w:highlight w:val="none"/>
        </w:rPr>
      </w:r>
      <w:r/>
    </w:p>
    <w:p>
      <w:pPr>
        <w:pStyle w:val="654"/>
        <w:ind w:firstLine="1470"/>
        <w:jc w:val="left"/>
        <w:spacing w:before="120" w:after="120" w:line="360" w:lineRule="auto"/>
        <w:rPr>
          <w:rFonts w:hint="eastAsia"/>
          <w:b/>
          <w:sz w:val="30"/>
          <w:szCs w:val="30"/>
          <w:highlight w:val="none"/>
        </w:rPr>
      </w:pPr>
      <w:r>
        <w:rPr>
          <w:rFonts w:hint="eastAsia"/>
          <w:szCs w:val="21"/>
          <w:highlight w:val="none"/>
        </w:rPr>
        <w:t xml:space="preserve">        </w:t>
      </w:r>
      <w:r>
        <w:rPr>
          <w:rFonts w:hint="eastAsia"/>
          <w:b/>
          <w:sz w:val="30"/>
          <w:szCs w:val="30"/>
          <w:highlight w:val="none"/>
        </w:rPr>
        <w:t xml:space="preserve">     </w:t>
      </w:r>
      <w:r>
        <w:rPr>
          <w:rFonts w:hint="eastAsia"/>
          <w:b/>
          <w:sz w:val="30"/>
          <w:szCs w:val="30"/>
          <w:highlight w:val="none"/>
        </w:rPr>
      </w:r>
      <w:r/>
    </w:p>
    <w:p>
      <w:pPr>
        <w:pStyle w:val="65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4"/>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江苏省政府采购中心</w:t>
      </w:r>
      <w:r>
        <w:rPr>
          <w:rFonts w:hint="eastAsia" w:ascii="Arial" w:hAnsi="Arial"/>
          <w:b/>
          <w:bCs/>
          <w:sz w:val="32"/>
          <w:szCs w:val="24"/>
          <w:highlight w:val="none"/>
        </w:rPr>
      </w:r>
      <w:r/>
    </w:p>
    <w:p>
      <w:pPr>
        <w:pStyle w:val="654"/>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2025年12月</w:t>
      </w:r>
      <w:r>
        <w:rPr>
          <w:rFonts w:hint="eastAsia" w:ascii="Arial" w:hAnsi="Arial"/>
          <w:b/>
          <w:bCs/>
          <w:sz w:val="32"/>
          <w:szCs w:val="24"/>
          <w:highlight w:val="none"/>
        </w:rPr>
      </w:r>
      <w:r/>
    </w:p>
    <w:p>
      <w:pPr>
        <w:pStyle w:val="654"/>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654"/>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654"/>
        <w:jc w:val="center"/>
        <w:spacing w:line="480" w:lineRule="auto"/>
        <w:rPr>
          <w:rFonts w:hint="eastAsia" w:ascii="黑体" w:hAnsi="Arial" w:eastAsia="黑体"/>
          <w:b/>
          <w:sz w:val="44"/>
          <w:szCs w:val="21"/>
          <w:highlight w:val="none"/>
        </w:rPr>
        <w:outlineLvl w:val="0"/>
      </w:pPr>
      <w:r>
        <w:rPr>
          <w:szCs w:val="21"/>
          <w:highlight w:val="none"/>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Arial" w:eastAsia="黑体"/>
          <w:b/>
          <w:sz w:val="44"/>
          <w:szCs w:val="21"/>
          <w:highlight w:val="none"/>
        </w:rPr>
        <w:t xml:space="preserve">总  目  录</w:t>
      </w:r>
      <w:r>
        <w:rPr>
          <w:rFonts w:hint="eastAsia" w:ascii="黑体" w:hAnsi="Arial" w:eastAsia="黑体"/>
          <w:b/>
          <w:sz w:val="44"/>
          <w:szCs w:val="21"/>
          <w:highlight w:val="none"/>
        </w:rPr>
      </w:r>
      <w:r/>
    </w:p>
    <w:p>
      <w:pPr>
        <w:pStyle w:val="654"/>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654"/>
        <w:numPr>
          <w:ilvl w:val="0"/>
          <w:numId w:val="4"/>
        </w:numPr>
        <w:spacing w:line="480" w:lineRule="auto"/>
        <w:tabs>
          <w:tab w:val="left" w:pos="1440" w:leader="none"/>
        </w:tabs>
        <w:rPr>
          <w:rFonts w:hint="eastAsia" w:ascii="黑体" w:hAnsi="Showcard Gothic" w:eastAsia="黑体"/>
          <w:sz w:val="32"/>
          <w:szCs w:val="21"/>
          <w:highlight w:val="none"/>
        </w:rPr>
        <w:outlineLvl w:val="0"/>
      </w:pPr>
      <w:r>
        <w:rPr>
          <w:rFonts w:hint="eastAsia" w:ascii="黑体" w:hAnsi="宋体" w:eastAsia="黑体"/>
          <w:sz w:val="36"/>
          <w:szCs w:val="21"/>
          <w:highlight w:val="none"/>
        </w:rPr>
        <w:t xml:space="preserve">磋商邀请</w:t>
      </w:r>
      <w:r>
        <w:rPr>
          <w:rFonts w:hint="eastAsia" w:ascii="黑体" w:hAnsi="Showcard Gothic" w:eastAsia="黑体"/>
          <w:sz w:val="36"/>
          <w:szCs w:val="21"/>
          <w:highlight w:val="none"/>
        </w:rPr>
        <w:t xml:space="preserve">……………………………………3 </w:t>
      </w:r>
      <w:r>
        <w:rPr>
          <w:rFonts w:hint="eastAsia" w:ascii="黑体" w:hAnsi="Showcard Gothic" w:eastAsia="黑体"/>
          <w:sz w:val="32"/>
          <w:szCs w:val="21"/>
          <w:highlight w:val="none"/>
        </w:rPr>
      </w:r>
      <w:r/>
    </w:p>
    <w:p>
      <w:pPr>
        <w:pStyle w:val="654"/>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………………………………6  </w:t>
      </w:r>
      <w:r>
        <w:rPr>
          <w:rFonts w:hint="eastAsia" w:ascii="黑体" w:hAnsi="Showcard Gothic" w:eastAsia="黑体"/>
          <w:sz w:val="36"/>
          <w:szCs w:val="21"/>
          <w:highlight w:val="none"/>
        </w:rPr>
      </w:r>
      <w:r/>
    </w:p>
    <w:p>
      <w:pPr>
        <w:pStyle w:val="654"/>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合同文本</w:t>
      </w:r>
      <w:r>
        <w:rPr>
          <w:rFonts w:hint="eastAsia" w:ascii="黑体" w:hAnsi="Showcard Gothic" w:eastAsia="黑体"/>
          <w:sz w:val="36"/>
          <w:szCs w:val="21"/>
          <w:highlight w:val="none"/>
        </w:rPr>
        <w:t xml:space="preserve">……………………………………19</w:t>
      </w:r>
      <w:r>
        <w:rPr>
          <w:rFonts w:hint="eastAsia" w:ascii="黑体" w:hAnsi="Showcard Gothic" w:eastAsia="黑体"/>
          <w:sz w:val="36"/>
          <w:szCs w:val="21"/>
          <w:highlight w:val="none"/>
        </w:rPr>
      </w:r>
      <w:r/>
    </w:p>
    <w:p>
      <w:pPr>
        <w:pStyle w:val="654"/>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rPr>
          <w:rFonts w:hint="eastAsia" w:ascii="黑体" w:hAnsi="Showcard Gothic" w:eastAsia="黑体"/>
          <w:sz w:val="36"/>
          <w:szCs w:val="21"/>
          <w:highlight w:val="none"/>
        </w:rPr>
        <w:t xml:space="preserve">……………………………………30</w:t>
      </w:r>
      <w:r>
        <w:rPr>
          <w:rFonts w:hint="eastAsia" w:ascii="黑体" w:hAnsi="Showcard Gothic" w:eastAsia="黑体"/>
          <w:sz w:val="36"/>
          <w:szCs w:val="21"/>
          <w:highlight w:val="none"/>
        </w:rPr>
      </w:r>
      <w:r/>
    </w:p>
    <w:p>
      <w:pPr>
        <w:pStyle w:val="654"/>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rPr>
          <w:rFonts w:hint="eastAsia" w:ascii="黑体" w:hAnsi="Showcard Gothic" w:eastAsia="黑体"/>
          <w:sz w:val="36"/>
          <w:szCs w:val="21"/>
          <w:highlight w:val="none"/>
        </w:rPr>
        <w:t xml:space="preserve">………………………49</w:t>
      </w:r>
      <w:r>
        <w:rPr>
          <w:rFonts w:hint="eastAsia" w:ascii="黑体" w:hAnsi="Showcard Gothic" w:eastAsia="黑体"/>
          <w:sz w:val="36"/>
          <w:szCs w:val="21"/>
          <w:highlight w:val="none"/>
        </w:rPr>
      </w:r>
      <w:r/>
    </w:p>
    <w:p>
      <w:pPr>
        <w:pStyle w:val="654"/>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rPr>
          <w:rFonts w:hint="eastAsia" w:ascii="黑体" w:hAnsi="Showcard Gothic" w:eastAsia="黑体"/>
          <w:sz w:val="36"/>
          <w:szCs w:val="21"/>
          <w:highlight w:val="none"/>
        </w:rPr>
        <w:t xml:space="preserve">………………………………54</w:t>
      </w:r>
      <w:r>
        <w:rPr>
          <w:rFonts w:hint="eastAsia" w:ascii="黑体" w:hAnsi="Showcard Gothic" w:eastAsia="黑体"/>
          <w:sz w:val="36"/>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jc w:val="center"/>
        <w:keepNext/>
        <w:rPr>
          <w:rFonts w:hint="eastAsia" w:ascii="黑体" w:eastAsia="黑体"/>
          <w:bCs/>
          <w:sz w:val="44"/>
          <w:szCs w:val="44"/>
          <w:highlight w:val="none"/>
        </w:rPr>
        <w:outlineLvl w:val="0"/>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磋商邀请</w:t>
      </w:r>
      <w:r>
        <w:rPr>
          <w:rFonts w:hint="eastAsia" w:ascii="黑体" w:eastAsia="黑体"/>
          <w:bCs/>
          <w:sz w:val="44"/>
          <w:szCs w:val="44"/>
          <w:highlight w:val="none"/>
        </w:rPr>
      </w:r>
      <w:r/>
    </w:p>
    <w:p>
      <w:pPr>
        <w:pStyle w:val="654"/>
        <w:ind w:firstLine="480"/>
        <w:rPr>
          <w:rFonts w:ascii="宋体" w:hAnsi="宋体"/>
          <w:sz w:val="24"/>
          <w:szCs w:val="24"/>
          <w:highlight w:val="none"/>
        </w:rPr>
      </w:pPr>
      <w:r>
        <w:rPr>
          <w:rFonts w:hint="eastAsia" w:ascii="宋体" w:hAnsi="宋体"/>
          <w:sz w:val="24"/>
          <w:szCs w:val="24"/>
          <w:highlight w:val="none"/>
        </w:rPr>
        <w:t xml:space="preserve">受江苏省医疗保障局（机关）的委托，江苏省政府采购中心就</w:t>
      </w:r>
      <w:r>
        <w:rPr>
          <w:rFonts w:hint="eastAsia" w:ascii="宋体" w:hAnsi="宋体"/>
          <w:color w:val="000000"/>
          <w:sz w:val="24"/>
          <w:szCs w:val="24"/>
          <w:highlight w:val="none"/>
        </w:rPr>
        <w:t xml:space="preserve">江苏省医保垂直大模型项目</w:t>
      </w:r>
      <w:r>
        <w:rPr>
          <w:rFonts w:hint="eastAsia" w:ascii="宋体" w:hAnsi="宋体"/>
          <w:sz w:val="24"/>
          <w:szCs w:val="24"/>
          <w:highlight w:val="none"/>
        </w:rPr>
        <w:t xml:space="preserve">(JSZC-320000-SCZX-C2025-0767)项目进行竞争性磋商采购，欢迎符合条件的供应商参加磋商。</w:t>
      </w:r>
      <w:r>
        <w:rPr>
          <w:rFonts w:ascii="宋体" w:hAnsi="宋体"/>
          <w:sz w:val="24"/>
          <w:szCs w:val="24"/>
          <w:highlight w:val="none"/>
        </w:rPr>
      </w:r>
      <w:r/>
    </w:p>
    <w:p>
      <w:pPr>
        <w:pStyle w:val="654"/>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654"/>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江苏省医保垂直大模型项目 </w:t>
      </w:r>
      <w:r>
        <w:rPr>
          <w:rFonts w:hint="eastAsia" w:ascii="宋体" w:hAnsi="宋体"/>
          <w:sz w:val="24"/>
          <w:szCs w:val="24"/>
          <w:highlight w:val="none"/>
        </w:rPr>
        <w:t xml:space="preserve">竞争性磋商项目的潜在供应商可在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磋商文件，并于</w:t>
      </w:r>
      <w:r>
        <w:rPr>
          <w:rFonts w:ascii="宋体" w:hAnsi="宋体"/>
          <w:sz w:val="24"/>
          <w:szCs w:val="24"/>
          <w:highlight w:val="none"/>
          <w:u w:val="single"/>
        </w:rPr>
        <w:t xml:space="preserve">  </w:t>
      </w:r>
      <w:r>
        <w:rPr>
          <w:rFonts w:hint="eastAsia" w:ascii="宋体" w:hAnsi="宋体"/>
          <w:sz w:val="24"/>
          <w:szCs w:val="24"/>
          <w:highlight w:val="none"/>
          <w:u w:val="single"/>
        </w:rPr>
        <w:t xml:space="preserve">2025</w:t>
      </w:r>
      <w:r>
        <w:rPr>
          <w:rFonts w:ascii="宋体" w:hAnsi="宋体"/>
          <w:sz w:val="24"/>
          <w:szCs w:val="24"/>
          <w:highlight w:val="none"/>
          <w:u w:val="single"/>
        </w:rPr>
        <w:t xml:space="preserve">  </w:t>
      </w:r>
      <w:r>
        <w:rPr>
          <w:rFonts w:hint="eastAsia" w:ascii="宋体" w:hAnsi="宋体"/>
          <w:bCs/>
          <w:sz w:val="24"/>
          <w:szCs w:val="24"/>
          <w:highlight w:val="none"/>
          <w:u w:val="single"/>
        </w:rPr>
        <w:t xml:space="preserve">年 12 月 </w:t>
      </w:r>
      <w:r>
        <w:rPr>
          <w:rFonts w:hint="eastAsia" w:ascii="宋体" w:hAnsi="宋体"/>
          <w:bCs/>
          <w:sz w:val="24"/>
          <w:szCs w:val="24"/>
          <w:highlight w:val="none"/>
          <w:u w:val="single"/>
          <w:lang w:val="en-US" w:eastAsia="zh-CN"/>
        </w:rPr>
        <w:t xml:space="preserve">22</w:t>
      </w:r>
      <w:r>
        <w:rPr>
          <w:rFonts w:hint="eastAsia" w:ascii="宋体" w:hAnsi="宋体"/>
          <w:bCs/>
          <w:sz w:val="24"/>
          <w:szCs w:val="24"/>
          <w:highlight w:val="none"/>
          <w:u w:val="single"/>
        </w:rPr>
        <w:t xml:space="preserve"> 日 </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   点  </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single"/>
        </w:rPr>
        <w:t xml:space="preserve">  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rPr>
          <w:rFonts w:ascii="宋体" w:hAnsi="宋体"/>
          <w:sz w:val="24"/>
          <w:szCs w:val="24"/>
          <w:highlight w:val="none"/>
        </w:rPr>
      </w:r>
      <w:r/>
    </w:p>
    <w:p>
      <w:pPr>
        <w:pStyle w:val="654"/>
        <w:ind w:firstLine="498"/>
        <w:keepLines/>
        <w:keepNext/>
        <w:spacing w:before="156" w:after="156" w:line="360" w:lineRule="auto"/>
        <w:rPr>
          <w:b/>
          <w:bCs/>
          <w:sz w:val="32"/>
          <w:szCs w:val="32"/>
          <w:highlight w:val="none"/>
        </w:rPr>
        <w:outlineLvl w:val="2"/>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b/>
          <w:bCs/>
          <w:sz w:val="32"/>
          <w:szCs w:val="32"/>
          <w:highlight w:val="none"/>
        </w:rPr>
        <w:t xml:space="preserve">一、项目基本情况</w:t>
      </w:r>
      <w:bookmarkEnd w:id="6"/>
      <w:r/>
      <w:bookmarkEnd w:id="7"/>
      <w:r/>
      <w:bookmarkEnd w:id="8"/>
      <w:r/>
      <w:bookmarkEnd w:id="9"/>
      <w:r/>
      <w:bookmarkEnd w:id="10"/>
      <w:r>
        <w:rPr>
          <w:b/>
          <w:bCs/>
          <w:sz w:val="32"/>
          <w:szCs w:val="32"/>
          <w:highlight w:val="none"/>
        </w:rPr>
      </w:r>
      <w:r/>
    </w:p>
    <w:p>
      <w:pPr>
        <w:pStyle w:val="654"/>
        <w:ind w:firstLine="480"/>
        <w:rPr>
          <w:rFonts w:ascii="宋体" w:hAnsi="宋体"/>
          <w:sz w:val="24"/>
          <w:szCs w:val="24"/>
          <w:highlight w:val="none"/>
        </w:rPr>
      </w:pPr>
      <w:r>
        <w:rPr>
          <w:rFonts w:hint="eastAsia" w:ascii="宋体" w:hAnsi="宋体"/>
          <w:sz w:val="24"/>
          <w:szCs w:val="24"/>
          <w:highlight w:val="none"/>
        </w:rPr>
        <w:t xml:space="preserve">1.项目编号：JSZC-320000-SCZX-C2025-0767</w:t>
      </w:r>
      <w:r>
        <w:rPr>
          <w:rFonts w:ascii="宋体" w:hAnsi="宋体"/>
          <w:sz w:val="24"/>
          <w:szCs w:val="24"/>
          <w:highlight w:val="none"/>
        </w:rPr>
      </w:r>
      <w:r/>
    </w:p>
    <w:p>
      <w:pPr>
        <w:pStyle w:val="654"/>
        <w:ind w:firstLine="480"/>
        <w:rPr>
          <w:rFonts w:ascii="宋体" w:hAnsi="宋体"/>
          <w:sz w:val="24"/>
          <w:szCs w:val="24"/>
          <w:highlight w:val="none"/>
        </w:rPr>
      </w:pPr>
      <w:r>
        <w:rPr>
          <w:rFonts w:hint="eastAsia" w:ascii="宋体" w:hAnsi="宋体"/>
          <w:sz w:val="24"/>
          <w:szCs w:val="24"/>
          <w:highlight w:val="none"/>
        </w:rPr>
        <w:t xml:space="preserve">2.项目名称：</w:t>
      </w:r>
      <w:r>
        <w:rPr>
          <w:rFonts w:hint="eastAsia" w:ascii="宋体" w:hAnsi="宋体"/>
          <w:color w:val="000000"/>
          <w:sz w:val="24"/>
          <w:szCs w:val="24"/>
          <w:highlight w:val="none"/>
        </w:rPr>
        <w:t xml:space="preserve">江苏省医保垂直大模型项目</w:t>
      </w:r>
      <w:r>
        <w:rPr>
          <w:rFonts w:ascii="宋体" w:hAnsi="宋体"/>
          <w:sz w:val="24"/>
          <w:szCs w:val="24"/>
          <w:highlight w:val="none"/>
        </w:rPr>
      </w:r>
      <w:r/>
    </w:p>
    <w:p>
      <w:pPr>
        <w:pStyle w:val="654"/>
        <w:ind w:firstLine="480"/>
        <w:rPr>
          <w:rFonts w:ascii="宋体" w:hAnsi="宋体"/>
          <w:sz w:val="24"/>
          <w:szCs w:val="24"/>
          <w:highlight w:val="none"/>
        </w:rPr>
      </w:pPr>
      <w:r/>
      <w:bookmarkEnd w:id="11"/>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采购包号</w:t>
            </w:r>
            <w:r>
              <w:rPr>
                <w:rFonts w:hint="eastAsia" w:ascii="宋体" w:hAnsi="宋体"/>
                <w:szCs w:val="21"/>
                <w:highlight w:val="none"/>
              </w:rPr>
            </w:r>
            <w:r/>
          </w:p>
        </w:tc>
        <w:tc>
          <w:tcPr>
            <w:tcW w:w="2800"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预算</w:t>
            </w:r>
            <w:r>
              <w:rPr>
                <w:rFonts w:ascii="宋体" w:hAnsi="宋体"/>
                <w:szCs w:val="21"/>
                <w:highlight w:val="none"/>
              </w:rPr>
              <w:t xml:space="preserve">金额</w:t>
            </w:r>
            <w:r>
              <w:rPr>
                <w:rFonts w:hint="eastAsia" w:ascii="宋体" w:hAnsi="宋体"/>
                <w:szCs w:val="21"/>
                <w:highlight w:val="none"/>
              </w:rPr>
              <w:t xml:space="preserve">（人民币</w:t>
            </w:r>
            <w:r>
              <w:rPr>
                <w:rFonts w:ascii="宋体" w:hAnsi="宋体"/>
                <w:szCs w:val="21"/>
                <w:highlight w:val="none"/>
              </w:rPr>
              <w:t xml:space="preserve">：万元</w:t>
            </w:r>
            <w:r>
              <w:rPr>
                <w:rFonts w:hint="eastAsia" w:ascii="宋体" w:hAnsi="宋体"/>
                <w:szCs w:val="21"/>
                <w:highlight w:val="none"/>
              </w:rPr>
              <w:t xml:space="preserve">）</w:t>
            </w:r>
            <w:r>
              <w:rPr>
                <w:rFonts w:hint="eastAsia" w:ascii="宋体" w:hAnsi="宋体"/>
                <w:szCs w:val="21"/>
                <w:highlight w:val="none"/>
              </w:rPr>
            </w:r>
            <w:r/>
          </w:p>
        </w:tc>
      </w:tr>
      <w:tr>
        <w:trPr/>
        <w:tc>
          <w:tcPr>
            <w:tcW w:w="1148" w:type="dxa"/>
            <w:vAlign w:val="top"/>
            <w:textDirection w:val="lrTb"/>
            <w:noWrap w:val="false"/>
          </w:tcPr>
          <w:p>
            <w:pPr>
              <w:pStyle w:val="654"/>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2800" w:type="dxa"/>
            <w:vAlign w:val="top"/>
            <w:textDirection w:val="lrTb"/>
            <w:noWrap w:val="false"/>
          </w:tcPr>
          <w:p>
            <w:pPr>
              <w:pStyle w:val="654"/>
              <w:jc w:val="center"/>
              <w:rPr>
                <w:rFonts w:ascii="宋体" w:hAnsi="宋体"/>
                <w:szCs w:val="21"/>
                <w:highlight w:val="none"/>
              </w:rPr>
            </w:pPr>
            <w:r>
              <w:rPr>
                <w:rFonts w:hint="eastAsia" w:ascii="宋体" w:hAnsi="宋体"/>
                <w:color w:val="000000"/>
                <w:highlight w:val="none"/>
              </w:rPr>
              <w:t xml:space="preserve">256.8</w:t>
            </w:r>
            <w:r>
              <w:rPr>
                <w:rFonts w:ascii="宋体" w:hAnsi="宋体"/>
                <w:szCs w:val="21"/>
                <w:highlight w:val="none"/>
              </w:rPr>
            </w:r>
            <w:r/>
          </w:p>
        </w:tc>
      </w:tr>
    </w:tbl>
    <w:p>
      <w:pPr>
        <w:pStyle w:val="654"/>
        <w:ind w:firstLine="480"/>
        <w:rPr>
          <w:rFonts w:ascii="宋体" w:hAnsi="宋体"/>
          <w:sz w:val="24"/>
          <w:szCs w:val="24"/>
          <w:highlight w:val="none"/>
          <w:u w:val="single"/>
        </w:rPr>
      </w:pPr>
      <w:r>
        <w:rPr>
          <w:rFonts w:hint="eastAsia" w:ascii="宋体" w:hAnsi="宋体"/>
          <w:sz w:val="24"/>
          <w:szCs w:val="24"/>
          <w:highlight w:val="none"/>
        </w:rPr>
        <w:t xml:space="preserve">4.采购需求（简介）：本项目主要完成医保大模型底座及医保知识库建设、以及一个实现对各类医保业务智能体进行全生命周期管理的智能体管理平台。</w:t>
      </w:r>
      <w:r>
        <w:rPr>
          <w:rFonts w:hint="eastAsia" w:ascii="宋体" w:hAnsi="宋体" w:cs="宋体"/>
          <w:sz w:val="24"/>
          <w:szCs w:val="24"/>
          <w:highlight w:val="none"/>
        </w:rPr>
        <w:t xml:space="preserve">（详细内容见本磋商文件第四章）</w:t>
      </w:r>
      <w:r>
        <w:rPr>
          <w:rFonts w:ascii="宋体" w:hAnsi="宋体"/>
          <w:sz w:val="24"/>
          <w:szCs w:val="24"/>
          <w:highlight w:val="none"/>
          <w:u w:val="single"/>
        </w:rPr>
      </w:r>
      <w:r/>
    </w:p>
    <w:p>
      <w:pPr>
        <w:pStyle w:val="654"/>
        <w:ind w:firstLine="480"/>
        <w:rPr>
          <w:rFonts w:ascii="宋体" w:hAnsi="宋体"/>
          <w:sz w:val="24"/>
          <w:szCs w:val="24"/>
          <w:highlight w:val="none"/>
          <w:u w:val="single"/>
        </w:rPr>
      </w:pPr>
      <w:r>
        <w:rPr>
          <w:rFonts w:hint="eastAsia" w:ascii="宋体" w:hAnsi="宋体"/>
          <w:sz w:val="24"/>
          <w:szCs w:val="24"/>
          <w:highlight w:val="none"/>
        </w:rPr>
        <w:t xml:space="preserve">5.合同履行期限：</w:t>
      </w:r>
      <w:r>
        <w:rPr>
          <w:rFonts w:hint="eastAsia" w:ascii="宋体" w:hAnsi="宋体"/>
          <w:color w:val="000000"/>
          <w:sz w:val="24"/>
          <w:szCs w:val="24"/>
          <w:highlight w:val="none"/>
        </w:rPr>
        <w:t xml:space="preserve">自合同签订之日起6个月内完成全部功能开发上线。项目通过验收后，投标方须向招标方提供2年运维服务。</w:t>
      </w:r>
      <w:r>
        <w:rPr>
          <w:rFonts w:ascii="宋体" w:hAnsi="宋体"/>
          <w:sz w:val="24"/>
          <w:szCs w:val="24"/>
          <w:highlight w:val="none"/>
          <w:u w:val="single"/>
        </w:rPr>
      </w:r>
      <w:r/>
    </w:p>
    <w:p>
      <w:pPr>
        <w:pStyle w:val="654"/>
        <w:ind w:firstLine="498"/>
        <w:keepLines/>
        <w:keepNext/>
        <w:spacing w:before="156" w:after="156" w:line="360" w:lineRule="auto"/>
        <w:rPr>
          <w:b/>
          <w:bCs/>
          <w:sz w:val="32"/>
          <w:szCs w:val="32"/>
          <w:highlight w:val="none"/>
        </w:rPr>
        <w:outlineLvl w:val="2"/>
      </w:pPr>
      <w:r/>
      <w:bookmarkStart w:id="12" w:name="_Toc38985264"/>
      <w:r/>
      <w:bookmarkStart w:id="13" w:name="_Toc35393791"/>
      <w:r/>
      <w:bookmarkStart w:id="14" w:name="_Toc28359080"/>
      <w:r/>
      <w:bookmarkStart w:id="15" w:name="_Toc28359003"/>
      <w:r/>
      <w:bookmarkStart w:id="16" w:name="_Toc35393622"/>
      <w:r>
        <w:rPr>
          <w:rFonts w:hint="eastAsia"/>
          <w:b/>
          <w:bCs/>
          <w:sz w:val="32"/>
          <w:szCs w:val="32"/>
          <w:highlight w:val="none"/>
        </w:rPr>
        <w:t xml:space="preserve">二、申请人的资格要求：</w:t>
      </w:r>
      <w:bookmarkEnd w:id="12"/>
      <w:r/>
      <w:bookmarkEnd w:id="13"/>
      <w:r/>
      <w:bookmarkEnd w:id="14"/>
      <w:r/>
      <w:bookmarkEnd w:id="15"/>
      <w:r/>
      <w:bookmarkEnd w:id="16"/>
      <w:r>
        <w:rPr>
          <w:b/>
          <w:bCs/>
          <w:sz w:val="32"/>
          <w:szCs w:val="32"/>
          <w:highlight w:val="none"/>
        </w:rPr>
      </w:r>
      <w:r/>
    </w:p>
    <w:p>
      <w:pPr>
        <w:pStyle w:val="654"/>
        <w:ind w:firstLine="480"/>
        <w:rPr>
          <w:rFonts w:hint="eastAsia" w:ascii="宋体" w:hAnsi="宋体"/>
          <w:sz w:val="24"/>
          <w:szCs w:val="24"/>
          <w:highlight w:val="none"/>
        </w:rPr>
      </w:pPr>
      <w:r/>
      <w:bookmarkStart w:id="17" w:name="_Toc35393792"/>
      <w:r/>
      <w:bookmarkStart w:id="18" w:name="_Toc38985265"/>
      <w:r/>
      <w:bookmarkStart w:id="19" w:name="_Toc28359004"/>
      <w:r/>
      <w:bookmarkStart w:id="20" w:name="_Toc35393623"/>
      <w:r/>
      <w:bookmarkStart w:id="21" w:name="_Toc28359081"/>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654"/>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rFonts w:ascii="宋体" w:hAnsi="宋体"/>
          <w:sz w:val="24"/>
          <w:szCs w:val="24"/>
          <w:highlight w:val="none"/>
        </w:rPr>
      </w:r>
      <w:r/>
    </w:p>
    <w:p>
      <w:pPr>
        <w:pStyle w:val="654"/>
        <w:ind w:firstLine="480"/>
        <w:rPr>
          <w:rFonts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rPr>
          <w:rFonts w:ascii="宋体" w:hAnsi="宋体"/>
          <w:sz w:val="24"/>
          <w:szCs w:val="24"/>
          <w:highlight w:val="none"/>
        </w:rPr>
      </w:r>
      <w:r/>
    </w:p>
    <w:p>
      <w:pPr>
        <w:pStyle w:val="654"/>
        <w:ind w:firstLine="480"/>
        <w:rPr>
          <w:rFonts w:ascii="宋体" w:hAnsi="宋体"/>
          <w:sz w:val="24"/>
          <w:szCs w:val="24"/>
          <w:highlight w:val="none"/>
        </w:rPr>
      </w:pPr>
      <w:r>
        <w:rPr>
          <w:rFonts w:hint="eastAsia" w:ascii="宋体" w:hAnsi="宋体"/>
          <w:sz w:val="24"/>
          <w:szCs w:val="24"/>
          <w:highlight w:val="none"/>
        </w:rPr>
        <w:t xml:space="preserve">1.2上一年度的财务状况报告（成立不满一年无需提供）；</w:t>
      </w:r>
      <w:r>
        <w:rPr>
          <w:rFonts w:ascii="宋体" w:hAnsi="宋体"/>
          <w:sz w:val="24"/>
          <w:szCs w:val="24"/>
          <w:highlight w:val="none"/>
        </w:rPr>
      </w:r>
      <w:r/>
    </w:p>
    <w:p>
      <w:pPr>
        <w:pStyle w:val="654"/>
        <w:ind w:firstLine="480"/>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highlight w:val="none"/>
        </w:rPr>
      </w:r>
      <w:r/>
    </w:p>
    <w:p>
      <w:pPr>
        <w:pStyle w:val="654"/>
        <w:ind w:firstLine="480"/>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rPr>
          <w:rFonts w:ascii="宋体" w:hAnsi="宋体"/>
          <w:sz w:val="24"/>
          <w:szCs w:val="24"/>
          <w:highlight w:val="none"/>
        </w:rPr>
      </w:r>
      <w:r/>
    </w:p>
    <w:p>
      <w:pPr>
        <w:pStyle w:val="654"/>
        <w:ind w:firstLine="480"/>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rPr>
          <w:rFonts w:ascii="宋体" w:hAnsi="宋体"/>
          <w:sz w:val="24"/>
          <w:szCs w:val="24"/>
          <w:highlight w:val="none"/>
        </w:rPr>
      </w:r>
      <w:r/>
    </w:p>
    <w:p>
      <w:pPr>
        <w:pStyle w:val="654"/>
        <w:ind w:firstLine="480"/>
        <w:rPr>
          <w:rFonts w:hint="eastAsia" w:ascii="宋体" w:hAnsi="宋体"/>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highlight w:val="none"/>
        </w:rPr>
      </w:r>
      <w:r/>
    </w:p>
    <w:p>
      <w:pPr>
        <w:pStyle w:val="654"/>
        <w:ind w:firstLine="480"/>
        <w:rPr>
          <w:rFonts w:ascii="宋体" w:hAnsi="宋体" w:cs="宋体"/>
          <w:sz w:val="24"/>
          <w:szCs w:val="24"/>
          <w:highlight w:val="none"/>
        </w:rPr>
      </w:pPr>
      <w:r>
        <w:rPr>
          <w:rFonts w:hint="eastAsia" w:ascii="宋体" w:hAnsi="宋体"/>
          <w:sz w:val="24"/>
          <w:szCs w:val="24"/>
          <w:highlight w:val="none"/>
        </w:rPr>
        <w:t xml:space="preserve">3. 落实政府采购政策需满足的资格要求：无/本项目采购包****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sz w:val="24"/>
          <w:szCs w:val="24"/>
          <w:highlight w:val="none"/>
        </w:rPr>
        <w:t xml:space="preserve">）</w:t>
      </w:r>
      <w:r>
        <w:rPr>
          <w:rFonts w:ascii="宋体" w:hAnsi="宋体" w:cs="宋体"/>
          <w:sz w:val="24"/>
          <w:szCs w:val="24"/>
          <w:highlight w:val="none"/>
        </w:rPr>
      </w:r>
      <w:r/>
    </w:p>
    <w:p>
      <w:pPr>
        <w:pStyle w:val="65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4.联合体参与磋商</w:t>
      </w:r>
      <w:r>
        <w:rPr>
          <w:rFonts w:hint="eastAsia"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采购包号</w:t>
            </w:r>
            <w:r>
              <w:rPr>
                <w:rFonts w:hint="eastAsia" w:ascii="宋体" w:hAnsi="宋体"/>
                <w:szCs w:val="21"/>
                <w:highlight w:val="none"/>
              </w:rPr>
            </w:r>
            <w:r/>
          </w:p>
        </w:tc>
        <w:tc>
          <w:tcPr>
            <w:tcW w:w="2968" w:type="dxa"/>
            <w:vAlign w:val="top"/>
            <w:textDirection w:val="lrTb"/>
            <w:noWrap w:val="false"/>
          </w:tcPr>
          <w:p>
            <w:pPr>
              <w:pStyle w:val="654"/>
              <w:jc w:val="center"/>
              <w:rPr>
                <w:rFonts w:ascii="宋体" w:hAnsi="宋体"/>
                <w:szCs w:val="21"/>
                <w:highlight w:val="none"/>
              </w:rPr>
            </w:pPr>
            <w:r>
              <w:rPr>
                <w:rFonts w:hint="eastAsia" w:ascii="宋体" w:hAnsi="宋体"/>
                <w:szCs w:val="21"/>
                <w:highlight w:val="none"/>
              </w:rPr>
              <w:t xml:space="preserve">是否接受联合体参与磋商</w:t>
            </w:r>
            <w:r>
              <w:rPr>
                <w:rFonts w:ascii="宋体" w:hAnsi="宋体"/>
                <w:szCs w:val="21"/>
                <w:highlight w:val="none"/>
              </w:rPr>
            </w:r>
            <w:r/>
          </w:p>
          <w:p>
            <w:pPr>
              <w:pStyle w:val="654"/>
              <w:jc w:val="center"/>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是/否</w:t>
            </w:r>
            <w:r>
              <w:rPr>
                <w:rFonts w:ascii="宋体" w:hAnsi="宋体"/>
                <w:szCs w:val="21"/>
                <w:highlight w:val="none"/>
              </w:rPr>
              <w:t xml:space="preserve">）</w:t>
            </w:r>
            <w:r>
              <w:rPr>
                <w:rFonts w:hint="eastAsia" w:ascii="宋体" w:hAnsi="宋体"/>
                <w:szCs w:val="21"/>
                <w:highlight w:val="none"/>
              </w:rPr>
            </w:r>
            <w:r/>
          </w:p>
        </w:tc>
        <w:tc>
          <w:tcPr>
            <w:tcW w:w="2967"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该</w:t>
            </w:r>
            <w:r>
              <w:rPr>
                <w:rFonts w:ascii="宋体" w:hAnsi="宋体"/>
                <w:szCs w:val="21"/>
                <w:highlight w:val="none"/>
              </w:rPr>
              <w:t xml:space="preserve">采购包</w:t>
            </w:r>
            <w:r>
              <w:rPr>
                <w:rFonts w:hint="eastAsia" w:ascii="宋体" w:hAnsi="宋体"/>
                <w:szCs w:val="21"/>
                <w:highlight w:val="none"/>
              </w:rPr>
              <w:t xml:space="preserve">中</w:t>
            </w:r>
            <w:r>
              <w:rPr>
                <w:rFonts w:ascii="宋体" w:hAnsi="宋体"/>
                <w:szCs w:val="21"/>
                <w:highlight w:val="none"/>
              </w:rPr>
              <w:t xml:space="preserve">联合体成员数量</w:t>
            </w:r>
            <w:r>
              <w:rPr>
                <w:rFonts w:hint="eastAsia" w:ascii="宋体" w:hAnsi="宋体"/>
                <w:szCs w:val="21"/>
                <w:highlight w:val="none"/>
              </w:rPr>
              <w:t xml:space="preserve">上限</w:t>
            </w:r>
            <w:r>
              <w:rPr>
                <w:rFonts w:hint="eastAsia" w:ascii="宋体" w:hAnsi="宋体"/>
                <w:szCs w:val="21"/>
                <w:highlight w:val="none"/>
              </w:rPr>
            </w:r>
            <w:r/>
          </w:p>
        </w:tc>
      </w:tr>
      <w:tr>
        <w:trPr/>
        <w:tc>
          <w:tcPr>
            <w:tcW w:w="1148" w:type="dxa"/>
            <w:vAlign w:val="top"/>
            <w:textDirection w:val="lrTb"/>
            <w:noWrap w:val="false"/>
          </w:tcPr>
          <w:p>
            <w:pPr>
              <w:pStyle w:val="654"/>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2968" w:type="dxa"/>
            <w:vAlign w:val="top"/>
            <w:textDirection w:val="lrTb"/>
            <w:noWrap w:val="false"/>
          </w:tcPr>
          <w:p>
            <w:pPr>
              <w:pStyle w:val="654"/>
              <w:jc w:val="center"/>
              <w:rPr>
                <w:rFonts w:ascii="宋体" w:hAnsi="宋体"/>
                <w:szCs w:val="21"/>
                <w:highlight w:val="none"/>
              </w:rPr>
            </w:pPr>
            <w:r>
              <w:rPr>
                <w:rFonts w:hint="eastAsia" w:ascii="宋体" w:hAnsi="宋体"/>
                <w:szCs w:val="21"/>
                <w:highlight w:val="none"/>
              </w:rPr>
              <w:t xml:space="preserve">否</w:t>
            </w:r>
            <w:r>
              <w:rPr>
                <w:rFonts w:ascii="宋体" w:hAnsi="宋体"/>
                <w:szCs w:val="21"/>
                <w:highlight w:val="none"/>
              </w:rPr>
            </w:r>
            <w:r/>
          </w:p>
        </w:tc>
        <w:tc>
          <w:tcPr>
            <w:tcW w:w="2967" w:type="dxa"/>
            <w:vAlign w:val="top"/>
            <w:textDirection w:val="lrTb"/>
            <w:noWrap w:val="false"/>
          </w:tcPr>
          <w:p>
            <w:pPr>
              <w:pStyle w:val="654"/>
              <w:jc w:val="center"/>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r>
    </w:tbl>
    <w:p>
      <w:pPr>
        <w:pStyle w:val="654"/>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03"/>
      </w:tblGrid>
      <w:tr>
        <w:trPr/>
        <w:tc>
          <w:tcPr>
            <w:tcW w:w="1148"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采购包号</w:t>
            </w:r>
            <w:r>
              <w:rPr>
                <w:rFonts w:hint="eastAsia" w:ascii="宋体" w:hAnsi="宋体"/>
                <w:szCs w:val="21"/>
                <w:highlight w:val="none"/>
              </w:rPr>
            </w:r>
            <w:r/>
          </w:p>
        </w:tc>
        <w:tc>
          <w:tcPr>
            <w:tcW w:w="5903"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特定</w:t>
            </w:r>
            <w:r>
              <w:rPr>
                <w:rFonts w:ascii="宋体" w:hAnsi="宋体"/>
                <w:szCs w:val="21"/>
                <w:highlight w:val="none"/>
              </w:rPr>
              <w:t xml:space="preserve">资格要求</w:t>
            </w:r>
            <w:r>
              <w:rPr>
                <w:rFonts w:hint="eastAsia" w:ascii="宋体" w:hAnsi="宋体"/>
                <w:szCs w:val="21"/>
                <w:highlight w:val="none"/>
              </w:rPr>
            </w:r>
            <w:r/>
          </w:p>
        </w:tc>
      </w:tr>
      <w:tr>
        <w:trPr/>
        <w:tc>
          <w:tcPr>
            <w:tcW w:w="1148" w:type="dxa"/>
            <w:vAlign w:val="top"/>
            <w:textDirection w:val="lrTb"/>
            <w:noWrap w:val="false"/>
          </w:tcPr>
          <w:p>
            <w:pPr>
              <w:pStyle w:val="654"/>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5903"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r>
            <w:r/>
          </w:p>
        </w:tc>
      </w:tr>
    </w:tbl>
    <w:p>
      <w:pPr>
        <w:pStyle w:val="654"/>
        <w:ind w:firstLine="498"/>
        <w:keepLines/>
        <w:keepNext/>
        <w:spacing w:before="156" w:after="156" w:line="360" w:lineRule="auto"/>
        <w:rPr>
          <w:b/>
          <w:bCs/>
          <w:sz w:val="32"/>
          <w:szCs w:val="32"/>
          <w:highlight w:val="none"/>
        </w:rPr>
        <w:outlineLvl w:val="2"/>
      </w:pPr>
      <w:r>
        <w:rPr>
          <w:rFonts w:hint="eastAsia"/>
          <w:b/>
          <w:bCs/>
          <w:sz w:val="32"/>
          <w:szCs w:val="32"/>
          <w:highlight w:val="none"/>
        </w:rPr>
        <w:t xml:space="preserve">三、获取磋商文件</w:t>
      </w:r>
      <w:r>
        <w:rPr>
          <w:b/>
          <w:bCs/>
          <w:sz w:val="32"/>
          <w:szCs w:val="32"/>
          <w:highlight w:val="none"/>
        </w:rPr>
      </w:r>
      <w:r/>
    </w:p>
    <w:p>
      <w:pPr>
        <w:pStyle w:val="654"/>
        <w:ind w:firstLine="54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1.时间：自磋商文件公告发布之日起5个工作日。</w:t>
      </w:r>
      <w:r>
        <w:rPr>
          <w:rFonts w:hint="eastAsia" w:ascii="宋体" w:hAnsi="宋体" w:cs="宋体"/>
          <w:b/>
          <w:sz w:val="24"/>
          <w:szCs w:val="24"/>
          <w:highlight w:val="none"/>
        </w:rPr>
      </w:r>
      <w:r/>
    </w:p>
    <w:p>
      <w:pPr>
        <w:pStyle w:val="654"/>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2.方式：在“江苏政府采购网”自行免费下载磋商文件。</w:t>
      </w:r>
      <w:r>
        <w:rPr>
          <w:rFonts w:ascii="宋体" w:hAnsi="宋体" w:cs="宋体"/>
          <w:sz w:val="24"/>
          <w:szCs w:val="24"/>
          <w:highlight w:val="none"/>
          <w:u w:val="single"/>
        </w:rPr>
      </w:r>
      <w:r/>
    </w:p>
    <w:p>
      <w:pPr>
        <w:pStyle w:val="654"/>
        <w:ind w:firstLine="498"/>
        <w:keepLines/>
        <w:keepNext/>
        <w:spacing w:before="156" w:after="156" w:line="360" w:lineRule="auto"/>
        <w:rPr>
          <w:b/>
          <w:bCs/>
          <w:sz w:val="32"/>
          <w:szCs w:val="32"/>
          <w:highlight w:val="none"/>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b/>
          <w:bCs/>
          <w:sz w:val="32"/>
          <w:szCs w:val="32"/>
          <w:highlight w:val="none"/>
        </w:rPr>
        <w:t xml:space="preserve">四、提交</w:t>
      </w:r>
      <w:bookmarkEnd w:id="22"/>
      <w:r/>
      <w:bookmarkEnd w:id="23"/>
      <w:r>
        <w:rPr>
          <w:rFonts w:hint="eastAsia"/>
          <w:b/>
          <w:bCs/>
          <w:sz w:val="32"/>
          <w:szCs w:val="32"/>
          <w:highlight w:val="none"/>
        </w:rPr>
        <w:t xml:space="preserve">响应文件截止时间</w:t>
      </w:r>
      <w:bookmarkEnd w:id="24"/>
      <w:r/>
      <w:bookmarkEnd w:id="25"/>
      <w:r/>
      <w:bookmarkEnd w:id="26"/>
      <w:r>
        <w:rPr>
          <w:rFonts w:hint="eastAsia"/>
          <w:b/>
          <w:bCs/>
          <w:sz w:val="32"/>
          <w:szCs w:val="32"/>
          <w:highlight w:val="none"/>
        </w:rPr>
        <w:t xml:space="preserve">、开启时间及地点</w:t>
      </w:r>
      <w:r>
        <w:rPr>
          <w:b/>
          <w:bCs/>
          <w:sz w:val="32"/>
          <w:szCs w:val="32"/>
          <w:highlight w:val="none"/>
        </w:rPr>
      </w:r>
      <w:r/>
    </w:p>
    <w:p>
      <w:pPr>
        <w:pStyle w:val="654"/>
        <w:ind w:firstLine="480"/>
        <w:rPr>
          <w:rFonts w:ascii="宋体" w:hAnsi="宋体" w:cs="宋体"/>
          <w:sz w:val="24"/>
          <w:szCs w:val="24"/>
          <w:highlight w:val="none"/>
        </w:rPr>
      </w:pPr>
      <w:r>
        <w:rPr>
          <w:rFonts w:hint="eastAsia" w:ascii="宋体" w:hAnsi="宋体"/>
          <w:bCs/>
          <w:sz w:val="24"/>
          <w:szCs w:val="24"/>
          <w:highlight w:val="none"/>
          <w:u w:val="single"/>
        </w:rPr>
        <w:t xml:space="preserve">1.   2025 年</w:t>
      </w:r>
      <w:r>
        <w:rPr>
          <w:rFonts w:hint="eastAsia" w:ascii="宋体" w:hAnsi="宋体"/>
          <w:bCs/>
          <w:sz w:val="24"/>
          <w:szCs w:val="24"/>
          <w:highlight w:val="none"/>
          <w:u w:val="single"/>
          <w:lang w:val="en-US" w:eastAsia="zh-CN"/>
        </w:rPr>
        <w:t xml:space="preserve">12</w:t>
      </w:r>
      <w:r>
        <w:rPr>
          <w:rFonts w:hint="eastAsia" w:ascii="宋体" w:hAnsi="宋体"/>
          <w:bCs/>
          <w:sz w:val="24"/>
          <w:szCs w:val="24"/>
          <w:highlight w:val="none"/>
          <w:u w:val="single"/>
        </w:rPr>
        <w:t xml:space="preserve">  月 </w:t>
      </w:r>
      <w:r>
        <w:rPr>
          <w:rFonts w:hint="eastAsia" w:ascii="宋体" w:hAnsi="宋体"/>
          <w:bCs/>
          <w:sz w:val="24"/>
          <w:szCs w:val="24"/>
          <w:highlight w:val="none"/>
          <w:u w:val="single"/>
          <w:lang w:val="en-US" w:eastAsia="zh-CN"/>
        </w:rPr>
        <w:t xml:space="preserve">22</w:t>
      </w:r>
      <w:r>
        <w:rPr>
          <w:rFonts w:hint="eastAsia" w:ascii="宋体" w:hAnsi="宋体"/>
          <w:bCs/>
          <w:sz w:val="24"/>
          <w:szCs w:val="24"/>
          <w:highlight w:val="none"/>
          <w:u w:val="single"/>
        </w:rPr>
        <w:t xml:space="preserve"> 日 </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   点 </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single"/>
        </w:rPr>
        <w:t xml:space="preserve">   分</w:t>
      </w:r>
      <w:r>
        <w:rPr>
          <w:rFonts w:hint="eastAsia" w:ascii="宋体" w:hAnsi="宋体"/>
          <w:bCs/>
          <w:sz w:val="24"/>
          <w:szCs w:val="24"/>
          <w:highlight w:val="none"/>
        </w:rPr>
        <w:t xml:space="preserve">（北京时间）。</w:t>
      </w:r>
      <w:r>
        <w:rPr>
          <w:rFonts w:ascii="宋体" w:hAnsi="宋体" w:cs="宋体"/>
          <w:sz w:val="24"/>
          <w:szCs w:val="24"/>
          <w:highlight w:val="none"/>
        </w:rPr>
      </w:r>
      <w:r/>
    </w:p>
    <w:p>
      <w:pPr>
        <w:pStyle w:val="654"/>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rPr>
          <w:rFonts w:ascii="宋体" w:hAnsi="宋体"/>
          <w:sz w:val="24"/>
          <w:szCs w:val="24"/>
          <w:highlight w:val="none"/>
        </w:rPr>
      </w:r>
      <w:r/>
    </w:p>
    <w:p>
      <w:pPr>
        <w:pStyle w:val="654"/>
        <w:ind w:firstLine="498"/>
        <w:keepLines/>
        <w:keepNext/>
        <w:spacing w:before="156" w:after="156" w:line="360" w:lineRule="auto"/>
        <w:rPr>
          <w:b/>
          <w:bCs/>
          <w:sz w:val="32"/>
          <w:szCs w:val="32"/>
          <w:highlight w:val="none"/>
        </w:rPr>
        <w:outlineLvl w:val="2"/>
      </w:pPr>
      <w:r/>
      <w:bookmarkStart w:id="27" w:name="_Toc35393794"/>
      <w:r/>
      <w:bookmarkStart w:id="28" w:name="_Toc35393625"/>
      <w:r/>
      <w:bookmarkStart w:id="29" w:name="_Toc28359084"/>
      <w:r/>
      <w:bookmarkStart w:id="30" w:name="_Toc28359007"/>
      <w:r/>
      <w:bookmarkStart w:id="31" w:name="_Toc38985267"/>
      <w:r>
        <w:rPr>
          <w:rFonts w:hint="eastAsia"/>
          <w:b/>
          <w:bCs/>
          <w:sz w:val="32"/>
          <w:szCs w:val="32"/>
          <w:highlight w:val="none"/>
        </w:rPr>
        <w:t xml:space="preserve">五、公告期限</w:t>
      </w:r>
      <w:bookmarkEnd w:id="27"/>
      <w:r/>
      <w:bookmarkEnd w:id="28"/>
      <w:r/>
      <w:bookmarkEnd w:id="29"/>
      <w:r/>
      <w:bookmarkEnd w:id="30"/>
      <w:r/>
      <w:bookmarkEnd w:id="31"/>
      <w:r>
        <w:rPr>
          <w:b/>
          <w:bCs/>
          <w:sz w:val="32"/>
          <w:szCs w:val="32"/>
          <w:highlight w:val="none"/>
        </w:rPr>
      </w:r>
      <w:r/>
    </w:p>
    <w:p>
      <w:pPr>
        <w:pStyle w:val="654"/>
        <w:ind w:firstLine="480"/>
        <w:rPr>
          <w:rFonts w:hint="eastAsia" w:ascii="宋体" w:hAnsi="宋体"/>
          <w:bCs/>
          <w:color w:val="ff0000"/>
          <w:sz w:val="24"/>
          <w:szCs w:val="24"/>
          <w:highlight w:val="none"/>
          <w:u w:val="single"/>
        </w:rPr>
      </w:pPr>
      <w:r>
        <w:rPr>
          <w:rFonts w:hint="eastAsia" w:ascii="宋体" w:hAnsi="宋体" w:cs="宋体"/>
          <w:sz w:val="24"/>
          <w:szCs w:val="24"/>
          <w:highlight w:val="none"/>
        </w:rPr>
        <w:t xml:space="preserve">磋商公告期限为自本公告发布之日起3个工作日，磋商文件公告期限为自本公告发布之日起</w:t>
      </w:r>
      <w:r>
        <w:rPr>
          <w:rFonts w:ascii="宋体" w:hAnsi="宋体" w:cs="宋体"/>
          <w:sz w:val="24"/>
          <w:szCs w:val="24"/>
          <w:highlight w:val="none"/>
        </w:rPr>
        <w:t xml:space="preserve">5</w:t>
      </w:r>
      <w:r>
        <w:rPr>
          <w:rFonts w:hint="eastAsia" w:ascii="宋体" w:hAnsi="宋体" w:cs="宋体"/>
          <w:sz w:val="24"/>
          <w:szCs w:val="24"/>
          <w:highlight w:val="none"/>
        </w:rPr>
        <w:t xml:space="preserve">个工作日。</w:t>
      </w:r>
      <w:r>
        <w:rPr>
          <w:rFonts w:hint="eastAsia" w:ascii="宋体" w:hAnsi="宋体"/>
          <w:bCs/>
          <w:color w:val="ff0000"/>
          <w:sz w:val="24"/>
          <w:szCs w:val="24"/>
          <w:highlight w:val="none"/>
          <w:u w:val="single"/>
        </w:rPr>
      </w:r>
      <w:r/>
    </w:p>
    <w:p>
      <w:pPr>
        <w:pStyle w:val="654"/>
        <w:ind w:firstLine="498"/>
        <w:keepLines/>
        <w:keepNext/>
        <w:spacing w:before="156" w:after="156" w:line="360" w:lineRule="auto"/>
        <w:rPr>
          <w:b/>
          <w:bCs/>
          <w:sz w:val="32"/>
          <w:szCs w:val="32"/>
          <w:highlight w:val="none"/>
        </w:rPr>
        <w:outlineLvl w:val="2"/>
      </w:pPr>
      <w:r/>
      <w:bookmarkStart w:id="32" w:name="_Toc35393795"/>
      <w:r/>
      <w:bookmarkStart w:id="33" w:name="_Toc35393626"/>
      <w:r/>
      <w:bookmarkStart w:id="34" w:name="_Toc38985268"/>
      <w:r>
        <w:rPr>
          <w:rFonts w:hint="eastAsia"/>
          <w:b/>
          <w:bCs/>
          <w:sz w:val="32"/>
          <w:szCs w:val="32"/>
          <w:highlight w:val="none"/>
        </w:rPr>
        <w:t xml:space="preserve">六、其他补充事宜</w:t>
      </w:r>
      <w:bookmarkEnd w:id="32"/>
      <w:r/>
      <w:bookmarkEnd w:id="33"/>
      <w:r/>
      <w:bookmarkEnd w:id="34"/>
      <w:r>
        <w:rPr>
          <w:b/>
          <w:bCs/>
          <w:sz w:val="32"/>
          <w:szCs w:val="32"/>
          <w:highlight w:val="none"/>
        </w:rPr>
      </w:r>
      <w:r/>
    </w:p>
    <w:p>
      <w:pPr>
        <w:pStyle w:val="654"/>
        <w:ind w:firstLine="480"/>
        <w:rPr>
          <w:rFonts w:ascii="宋体" w:hAnsi="宋体" w:cs="宋体"/>
          <w:sz w:val="24"/>
          <w:szCs w:val="24"/>
          <w:highlight w:val="none"/>
        </w:rPr>
      </w:pPr>
      <w:r>
        <w:rPr>
          <w:rFonts w:hint="eastAsia" w:ascii="宋体" w:hAnsi="宋体" w:cs="宋体"/>
          <w:sz w:val="24"/>
          <w:szCs w:val="24"/>
          <w:highlight w:val="none"/>
        </w:rPr>
        <w:t xml:space="preserve">无</w:t>
      </w:r>
      <w:r>
        <w:rPr>
          <w:rFonts w:ascii="宋体" w:hAnsi="宋体" w:cs="宋体"/>
          <w:sz w:val="24"/>
          <w:szCs w:val="24"/>
          <w:highlight w:val="none"/>
        </w:rPr>
      </w:r>
      <w:r/>
    </w:p>
    <w:p>
      <w:pPr>
        <w:pStyle w:val="654"/>
        <w:ind w:firstLine="498"/>
        <w:keepLines/>
        <w:keepNext/>
        <w:spacing w:before="156" w:after="156" w:line="360" w:lineRule="auto"/>
        <w:rPr>
          <w:b/>
          <w:bCs/>
          <w:sz w:val="32"/>
          <w:szCs w:val="32"/>
          <w:highlight w:val="none"/>
        </w:rPr>
        <w:outlineLvl w:val="2"/>
      </w:pPr>
      <w:r/>
      <w:bookmarkStart w:id="35" w:name="_Toc38985269"/>
      <w:r/>
      <w:bookmarkStart w:id="36" w:name="_Toc35393796"/>
      <w:r/>
      <w:bookmarkStart w:id="37" w:name="_Toc28359008"/>
      <w:r/>
      <w:bookmarkStart w:id="38" w:name="_Toc35393627"/>
      <w:r/>
      <w:bookmarkStart w:id="39" w:name="_Toc28359085"/>
      <w:r>
        <w:rPr>
          <w:rFonts w:hint="eastAsia"/>
          <w:b/>
          <w:bCs/>
          <w:sz w:val="32"/>
          <w:szCs w:val="32"/>
          <w:highlight w:val="none"/>
        </w:rPr>
        <w:t xml:space="preserve">七、本次磋商联系方式</w:t>
      </w:r>
      <w:bookmarkEnd w:id="35"/>
      <w:r/>
      <w:bookmarkEnd w:id="36"/>
      <w:r/>
      <w:bookmarkEnd w:id="37"/>
      <w:r/>
      <w:bookmarkEnd w:id="38"/>
      <w:r/>
      <w:bookmarkEnd w:id="39"/>
      <w:r>
        <w:rPr>
          <w:b/>
          <w:bCs/>
          <w:sz w:val="32"/>
          <w:szCs w:val="32"/>
          <w:highlight w:val="none"/>
        </w:rPr>
      </w:r>
      <w:r/>
    </w:p>
    <w:p>
      <w:pPr>
        <w:pStyle w:val="654"/>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p>
    <w:p>
      <w:pPr>
        <w:pStyle w:val="654"/>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w:t>
      </w:r>
      <w:r>
        <w:rPr>
          <w:rFonts w:hint="eastAsia" w:ascii="宋体" w:hAnsi="宋体" w:cs="宋体"/>
          <w:color w:val="000000"/>
          <w:sz w:val="24"/>
          <w:szCs w:val="24"/>
          <w:highlight w:val="none"/>
          <w:u w:val="single"/>
        </w:rPr>
        <w:t xml:space="preserve">江苏省医疗保障局</w:t>
      </w:r>
      <w:r>
        <w:rPr>
          <w:rFonts w:hint="eastAsia" w:ascii="宋体" w:hAnsi="宋体"/>
          <w:sz w:val="24"/>
          <w:szCs w:val="24"/>
          <w:highlight w:val="none"/>
          <w:u w:val="single"/>
        </w:rPr>
        <w:t xml:space="preserve">　　</w:t>
      </w:r>
      <w:r>
        <w:rPr>
          <w:rFonts w:ascii="宋体" w:hAnsi="宋体"/>
          <w:sz w:val="24"/>
          <w:szCs w:val="24"/>
          <w:highlight w:val="none"/>
        </w:rPr>
      </w:r>
      <w:r/>
    </w:p>
    <w:p>
      <w:pPr>
        <w:pStyle w:val="654"/>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rPr>
          <w:rFonts w:hint="eastAsia" w:ascii="宋体" w:hAnsi="宋体" w:cs="宋体"/>
          <w:color w:val="000000"/>
          <w:sz w:val="24"/>
          <w:szCs w:val="24"/>
          <w:highlight w:val="none"/>
          <w:u w:val="single"/>
        </w:rPr>
        <w:t xml:space="preserve">南京市秦淮区建邺路168号</w:t>
      </w:r>
      <w:r>
        <w:rPr>
          <w:rFonts w:hint="eastAsia" w:ascii="宋体" w:hAnsi="宋体"/>
          <w:sz w:val="24"/>
          <w:szCs w:val="24"/>
          <w:highlight w:val="none"/>
          <w:u w:val="single"/>
        </w:rPr>
        <w:t xml:space="preserve">　</w:t>
      </w:r>
      <w:r>
        <w:rPr>
          <w:rFonts w:ascii="宋体" w:hAnsi="宋体"/>
          <w:sz w:val="24"/>
          <w:szCs w:val="24"/>
          <w:highlight w:val="none"/>
        </w:rPr>
      </w:r>
      <w:r/>
    </w:p>
    <w:p>
      <w:pPr>
        <w:pStyle w:val="654"/>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cs="宋体"/>
          <w:color w:val="000000"/>
          <w:sz w:val="24"/>
          <w:szCs w:val="24"/>
          <w:highlight w:val="none"/>
          <w:u w:val="single"/>
        </w:rPr>
        <w:t xml:space="preserve">赵杰</w:t>
      </w:r>
      <w:r>
        <w:rPr>
          <w:rFonts w:hint="eastAsia" w:ascii="宋体" w:hAnsi="宋体"/>
          <w:sz w:val="24"/>
          <w:szCs w:val="24"/>
          <w:highlight w:val="none"/>
          <w:u w:val="single"/>
        </w:rPr>
        <w:t xml:space="preserve"> </w:t>
      </w:r>
      <w:r>
        <w:rPr>
          <w:rFonts w:ascii="宋体" w:hAnsi="宋体"/>
          <w:sz w:val="24"/>
          <w:szCs w:val="24"/>
          <w:highlight w:val="none"/>
        </w:rPr>
      </w:r>
      <w:r/>
    </w:p>
    <w:p>
      <w:pPr>
        <w:pStyle w:val="654"/>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w:t>
      </w:r>
      <w:r>
        <w:rPr>
          <w:rFonts w:hint="eastAsia" w:ascii="宋体" w:hAnsi="宋体"/>
          <w:color w:val="000000"/>
          <w:sz w:val="24"/>
          <w:szCs w:val="24"/>
          <w:highlight w:val="none"/>
          <w:u w:val="single"/>
        </w:rPr>
        <w:t xml:space="preserve">025-83290288</w:t>
      </w:r>
      <w:r>
        <w:rPr>
          <w:rFonts w:hint="eastAsia" w:ascii="宋体" w:hAnsi="宋体"/>
          <w:sz w:val="24"/>
          <w:szCs w:val="24"/>
          <w:highlight w:val="none"/>
          <w:u w:val="single"/>
        </w:rPr>
        <w:t xml:space="preserve">　</w:t>
      </w:r>
      <w:bookmarkStart w:id="40" w:name="_Toc28359086"/>
      <w:r/>
      <w:bookmarkStart w:id="41" w:name="_Toc28359009"/>
      <w:r>
        <w:rPr>
          <w:rFonts w:ascii="宋体" w:hAnsi="宋体"/>
          <w:sz w:val="24"/>
          <w:szCs w:val="24"/>
          <w:highlight w:val="none"/>
          <w:u w:val="single"/>
        </w:rPr>
      </w:r>
      <w:r/>
    </w:p>
    <w:p>
      <w:pPr>
        <w:pStyle w:val="654"/>
        <w:ind w:left="1079" w:hanging="300"/>
        <w:jc w:val="left"/>
        <w:spacing w:line="360" w:lineRule="auto"/>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bookmarkEnd w:id="41"/>
      <w:r>
        <w:rPr>
          <w:rFonts w:ascii="宋体" w:hAnsi="宋体"/>
          <w:sz w:val="24"/>
          <w:szCs w:val="24"/>
          <w:highlight w:val="none"/>
        </w:rPr>
      </w:r>
      <w:r/>
    </w:p>
    <w:p>
      <w:pPr>
        <w:pStyle w:val="716"/>
        <w:ind w:firstLine="720"/>
        <w:jc w:val="both"/>
        <w:spacing w:before="0" w:beforeAutospacing="0" w:after="0" w:afterAutospacing="0" w:line="0" w:lineRule="atLeast"/>
        <w:widowControl w:val="off"/>
        <w:rPr>
          <w:highlight w:val="none"/>
        </w:rPr>
      </w:pPr>
      <w:r>
        <w:rPr>
          <w:rFonts w:hint="eastAsia"/>
          <w:color w:val="000000"/>
          <w:highlight w:val="none"/>
        </w:rPr>
        <w:t xml:space="preserve">地 址：</w:t>
      </w:r>
      <w:r>
        <w:rPr>
          <w:rFonts w:hint="eastAsia"/>
          <w:color w:val="000000"/>
          <w:highlight w:val="none"/>
          <w:u w:val="single"/>
        </w:rPr>
        <w:t xml:space="preserve">南京市汉中门大街145号省政务中心二期3楼南区</w:t>
      </w:r>
      <w:r>
        <w:rPr>
          <w:highlight w:val="none"/>
        </w:rPr>
      </w:r>
      <w:r/>
    </w:p>
    <w:p>
      <w:pPr>
        <w:pStyle w:val="716"/>
        <w:ind w:firstLine="720"/>
        <w:jc w:val="both"/>
        <w:spacing w:before="0" w:beforeAutospacing="0" w:after="0" w:afterAutospacing="0" w:line="0" w:lineRule="atLeast"/>
        <w:widowControl w:val="off"/>
        <w:rPr>
          <w:highlight w:val="none"/>
        </w:rPr>
      </w:pPr>
      <w:r>
        <w:rPr>
          <w:rFonts w:hint="eastAsia"/>
          <w:color w:val="000000"/>
          <w:highlight w:val="none"/>
        </w:rPr>
        <w:t xml:space="preserve">联系人：</w:t>
      </w:r>
      <w:r>
        <w:rPr>
          <w:rFonts w:hint="eastAsia"/>
          <w:color w:val="000000"/>
          <w:highlight w:val="none"/>
          <w:u w:val="single"/>
        </w:rPr>
        <w:t xml:space="preserve">  唐雪菲   郑荔           </w:t>
      </w:r>
      <w:r>
        <w:rPr>
          <w:highlight w:val="none"/>
        </w:rPr>
      </w:r>
      <w:r/>
    </w:p>
    <w:p>
      <w:pPr>
        <w:pStyle w:val="716"/>
        <w:ind w:firstLine="720"/>
        <w:jc w:val="both"/>
        <w:spacing w:before="0" w:beforeAutospacing="0" w:after="0" w:afterAutospacing="0" w:line="0" w:lineRule="atLeast"/>
        <w:widowControl w:val="off"/>
        <w:rPr>
          <w:highlight w:val="none"/>
        </w:rPr>
      </w:pPr>
      <w:r>
        <w:rPr>
          <w:rFonts w:hint="eastAsia"/>
          <w:color w:val="000000"/>
          <w:highlight w:val="none"/>
        </w:rPr>
        <w:t xml:space="preserve">联系方式：</w:t>
      </w:r>
      <w:bookmarkStart w:id="42" w:name="_Toc28359010"/>
      <w:r/>
      <w:bookmarkStart w:id="43" w:name="_Toc28359087"/>
      <w:r>
        <w:rPr>
          <w:rFonts w:hint="eastAsia"/>
          <w:color w:val="000000"/>
          <w:highlight w:val="none"/>
          <w:u w:val="single"/>
        </w:rPr>
        <w:t xml:space="preserve">02583668562 83668535           </w:t>
      </w:r>
      <w:bookmarkEnd w:id="42"/>
      <w:r/>
      <w:bookmarkEnd w:id="43"/>
      <w:r>
        <w:rPr>
          <w:highlight w:val="none"/>
        </w:rPr>
      </w:r>
      <w:r/>
    </w:p>
    <w:p>
      <w:pPr>
        <w:pStyle w:val="654"/>
        <w:ind w:firstLine="498"/>
        <w:keepLines/>
        <w:keepNext/>
        <w:spacing w:before="156" w:after="156" w:line="360" w:lineRule="auto"/>
        <w:rPr>
          <w:b/>
          <w:bCs/>
          <w:sz w:val="32"/>
          <w:szCs w:val="32"/>
          <w:highlight w:val="none"/>
        </w:rPr>
        <w:outlineLvl w:val="2"/>
      </w:pPr>
      <w:r>
        <w:rPr>
          <w:rFonts w:hint="eastAsia"/>
          <w:b/>
          <w:bCs/>
          <w:sz w:val="32"/>
          <w:szCs w:val="32"/>
          <w:highlight w:val="none"/>
        </w:rPr>
        <w:t xml:space="preserve">八、其他</w:t>
      </w:r>
      <w:r>
        <w:rPr>
          <w:b/>
          <w:bCs/>
          <w:sz w:val="32"/>
          <w:szCs w:val="32"/>
          <w:highlight w:val="none"/>
        </w:rPr>
      </w:r>
      <w:r/>
    </w:p>
    <w:p>
      <w:pPr>
        <w:pStyle w:val="654"/>
        <w:ind w:firstLine="480"/>
        <w:tabs>
          <w:tab w:val="left" w:pos="900" w:leader="none"/>
        </w:tabs>
        <w:rPr>
          <w:rFonts w:hint="eastAsia" w:ascii="宋体" w:hAnsi="宋体"/>
          <w:bCs/>
          <w:sz w:val="24"/>
          <w:szCs w:val="24"/>
          <w:highlight w:val="none"/>
        </w:rPr>
      </w:pP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bCs/>
          <w:sz w:val="24"/>
          <w:szCs w:val="24"/>
          <w:highlight w:val="none"/>
        </w:rPr>
        <w:t xml:space="preserve">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w:t>
      </w:r>
      <w:r>
        <w:rPr>
          <w:bCs/>
          <w:szCs w:val="21"/>
          <w:highlight w:val="none"/>
        </w:rPr>
        <w:t xml:space="preserve">http://www.ccgp-jiangsu.gov.cn/jiangsu/zlxz/ee/ee3a4bc5a3454aa2b0d9312230633ce9.html。</w:t>
      </w:r>
      <w:r>
        <w:rPr>
          <w:rFonts w:hint="eastAsia" w:ascii="宋体" w:hAnsi="宋体"/>
          <w:bCs/>
          <w:sz w:val="24"/>
          <w:szCs w:val="24"/>
          <w:highlight w:val="none"/>
        </w:rPr>
      </w:r>
      <w:r/>
    </w:p>
    <w:p>
      <w:pPr>
        <w:pStyle w:val="654"/>
        <w:ind w:firstLine="480"/>
        <w:tabs>
          <w:tab w:val="left" w:pos="900" w:leader="none"/>
        </w:tabs>
        <w:rPr>
          <w:rFonts w:ascii="宋体" w:hAnsi="宋体"/>
          <w:bCs/>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bCs/>
          <w:szCs w:val="21"/>
          <w:highlight w:val="none"/>
        </w:rPr>
        <w:t xml:space="preserve">www.jszwfw.gov.cn</w:t>
      </w:r>
      <w:r>
        <w:rPr>
          <w:rFonts w:hint="eastAsia" w:ascii="宋体" w:hAnsi="宋体"/>
          <w:bCs/>
          <w:sz w:val="24"/>
          <w:szCs w:val="24"/>
          <w:highlight w:val="none"/>
        </w:rPr>
        <w:t xml:space="preserve">），“一企来办”专栏下“政府采购”模块详细了解关于CA办理、标书制作、开标投标指引等事宜。</w:t>
      </w:r>
      <w:r>
        <w:rPr>
          <w:rFonts w:ascii="宋体" w:hAnsi="宋体"/>
          <w:bCs/>
          <w:sz w:val="24"/>
          <w:szCs w:val="24"/>
          <w:highlight w:val="none"/>
        </w:rPr>
      </w:r>
      <w:r/>
    </w:p>
    <w:p>
      <w:pPr>
        <w:pStyle w:val="654"/>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如果“江苏政府采购网”</w:t>
      </w:r>
      <w:r>
        <w:rPr>
          <w:bCs/>
          <w:szCs w:val="21"/>
          <w:highlight w:val="none"/>
        </w:rPr>
        <w:t xml:space="preserve">（www.ccgp-jiangsu.gov.cn）</w:t>
      </w:r>
      <w:r>
        <w:rPr>
          <w:rFonts w:hint="eastAsia"/>
          <w:bCs/>
          <w:sz w:val="24"/>
          <w:szCs w:val="24"/>
          <w:highlight w:val="none"/>
        </w:rPr>
        <w:t xml:space="preserve">信息</w:t>
      </w:r>
      <w:r>
        <w:rPr>
          <w:rFonts w:hint="eastAsia" w:ascii="宋体" w:hAnsi="宋体"/>
          <w:bCs/>
          <w:sz w:val="24"/>
          <w:szCs w:val="24"/>
          <w:highlight w:val="none"/>
        </w:rPr>
        <w:t xml:space="preserve">与“江苏政务服务网” </w:t>
      </w:r>
      <w:r>
        <w:rPr>
          <w:bCs/>
          <w:szCs w:val="21"/>
          <w:highlight w:val="none"/>
        </w:rPr>
        <w:t xml:space="preserve">（www.jszwfw.gov.cn）</w:t>
      </w:r>
      <w:r>
        <w:rPr>
          <w:rFonts w:hint="eastAsia" w:ascii="宋体" w:hAnsi="宋体"/>
          <w:bCs/>
          <w:sz w:val="24"/>
          <w:szCs w:val="24"/>
          <w:highlight w:val="none"/>
        </w:rPr>
        <w:t xml:space="preserve">，“一企来办”专栏下“政府采购”模块中信息不一致，以“江苏政府采购网”信息为准。</w:t>
      </w:r>
      <w:r>
        <w:rPr>
          <w:rFonts w:hint="eastAsia" w:ascii="宋体" w:hAnsi="宋体"/>
          <w:bCs/>
          <w:sz w:val="24"/>
          <w:szCs w:val="24"/>
          <w:highlight w:val="none"/>
        </w:rPr>
      </w:r>
      <w:r/>
    </w:p>
    <w:p>
      <w:pPr>
        <w:pStyle w:val="654"/>
        <w:ind w:firstLine="480"/>
        <w:tabs>
          <w:tab w:val="left" w:pos="90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 有关本次磋商的事项若存在变动或修改，敬请及时关注江苏省政府采购中心在“江苏政府采购网”发布的更正公告。</w:t>
      </w:r>
      <w:r>
        <w:rPr>
          <w:rFonts w:hint="eastAsia" w:ascii="宋体" w:hAnsi="宋体"/>
          <w:bCs/>
          <w:sz w:val="24"/>
          <w:szCs w:val="24"/>
          <w:highlight w:val="none"/>
        </w:rPr>
      </w:r>
      <w:r/>
    </w:p>
    <w:p>
      <w:pPr>
        <w:pStyle w:val="654"/>
        <w:ind w:firstLine="480"/>
        <w:tabs>
          <w:tab w:val="left" w:pos="900" w:leader="none"/>
        </w:tabs>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 本次磋商不收取磋商保证金。</w:t>
      </w:r>
      <w:r>
        <w:rPr>
          <w:rFonts w:hint="eastAsia" w:ascii="宋体" w:hAnsi="宋体"/>
          <w:bCs/>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ind w:right="840"/>
        <w:rPr>
          <w:rFonts w:hint="eastAsia" w:ascii="宋体" w:hAnsi="宋体"/>
          <w:sz w:val="24"/>
          <w:szCs w:val="24"/>
          <w:highlight w:val="none"/>
        </w:rPr>
      </w:pPr>
      <w:r>
        <w:rPr>
          <w:rFonts w:hint="eastAsia" w:ascii="宋体" w:hAnsi="宋体"/>
          <w:sz w:val="24"/>
          <w:szCs w:val="24"/>
          <w:highlight w:val="none"/>
        </w:rPr>
      </w:r>
      <w:r/>
    </w:p>
    <w:p>
      <w:pPr>
        <w:pStyle w:val="654"/>
        <w:jc w:val="center"/>
        <w:keepLines/>
        <w:keepNext/>
        <w:spacing w:before="260" w:after="260" w:line="416" w:lineRule="auto"/>
        <w:rPr>
          <w:rFonts w:hint="eastAsia" w:ascii="黑体" w:hAnsi="Arial" w:eastAsia="黑体" w:cs="Arial"/>
          <w:sz w:val="44"/>
          <w:szCs w:val="44"/>
          <w:highlight w:val="none"/>
        </w:rPr>
        <w:outlineLvl w:val="1"/>
      </w:pPr>
      <w:r/>
      <w:bookmarkStart w:id="44"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rPr>
          <w:rFonts w:hint="eastAsia" w:ascii="黑体" w:hAnsi="Arial" w:eastAsia="黑体" w:cs="Arial"/>
          <w:sz w:val="44"/>
          <w:szCs w:val="44"/>
          <w:highlight w:val="none"/>
        </w:rPr>
      </w:r>
      <w:r/>
    </w:p>
    <w:p>
      <w:pPr>
        <w:pStyle w:val="654"/>
        <w:ind w:firstLine="498"/>
        <w:keepLines/>
        <w:keepNext/>
        <w:spacing w:before="156" w:after="156" w:line="360" w:lineRule="auto"/>
        <w:rPr>
          <w:rFonts w:hint="eastAsia"/>
          <w:b/>
          <w:bCs/>
          <w:sz w:val="32"/>
          <w:szCs w:val="32"/>
          <w:highlight w:val="none"/>
        </w:rPr>
        <w:outlineLvl w:val="2"/>
      </w:pPr>
      <w:r/>
      <w:bookmarkStart w:id="45" w:name="_Toc513029203"/>
      <w:r/>
      <w:bookmarkStart w:id="46" w:name="_Toc20823275"/>
      <w:r/>
      <w:bookmarkStart w:id="47" w:name="_Toc16938519"/>
      <w:r/>
      <w:bookmarkStart w:id="48" w:name="_Toc120614214"/>
      <w:r>
        <w:rPr>
          <w:rFonts w:hint="eastAsia"/>
          <w:b/>
          <w:bCs/>
          <w:sz w:val="32"/>
          <w:szCs w:val="32"/>
          <w:highlight w:val="none"/>
        </w:rPr>
        <w:t xml:space="preserve">一、总则</w:t>
      </w:r>
      <w:bookmarkEnd w:id="45"/>
      <w:r/>
      <w:bookmarkEnd w:id="46"/>
      <w:r/>
      <w:bookmarkEnd w:id="47"/>
      <w:r/>
      <w:bookmarkEnd w:id="48"/>
      <w:r>
        <w:rPr>
          <w:rFonts w:hint="eastAsia"/>
          <w:b/>
          <w:bCs/>
          <w:sz w:val="32"/>
          <w:szCs w:val="32"/>
          <w:highlight w:val="none"/>
        </w:rPr>
      </w:r>
      <w:r/>
    </w:p>
    <w:p>
      <w:pPr>
        <w:pStyle w:val="654"/>
        <w:ind w:firstLine="420"/>
        <w:keepLines/>
        <w:keepNext/>
        <w:rPr>
          <w:rFonts w:hint="eastAsia" w:ascii="Arial" w:hAnsi="Arial" w:eastAsia="黑体" w:cs="Arial"/>
          <w:sz w:val="28"/>
          <w:szCs w:val="28"/>
          <w:highlight w:val="none"/>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Arial" w:hAnsi="Arial" w:eastAsia="黑体" w:cs="Arial"/>
          <w:sz w:val="28"/>
          <w:szCs w:val="28"/>
          <w:highlight w:val="none"/>
        </w:rPr>
        <w:t xml:space="preserve">1</w:t>
      </w:r>
      <w:bookmarkEnd w:id="50"/>
      <w:r>
        <w:rPr>
          <w:rFonts w:hint="eastAsia" w:ascii="Arial" w:hAnsi="Arial" w:eastAsia="黑体" w:cs="Arial"/>
          <w:sz w:val="28"/>
          <w:szCs w:val="28"/>
          <w:highlight w:val="none"/>
        </w:rPr>
        <w:t xml:space="preserve">、采购方式</w:t>
      </w:r>
      <w:bookmarkEnd w:id="51"/>
      <w:r/>
      <w:bookmarkEnd w:id="52"/>
      <w:r/>
      <w:bookmarkEnd w:id="53"/>
      <w:r>
        <w:rPr>
          <w:rFonts w:hint="eastAsia" w:ascii="Arial" w:hAnsi="Arial" w:eastAsia="黑体" w:cs="Arial"/>
          <w:sz w:val="28"/>
          <w:szCs w:val="28"/>
          <w:highlight w:val="none"/>
        </w:rPr>
      </w:r>
      <w:r/>
    </w:p>
    <w:p>
      <w:pPr>
        <w:pStyle w:val="65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rPr>
          <w:rFonts w:hint="eastAsia" w:ascii="宋体" w:hAnsi="宋体"/>
          <w:sz w:val="24"/>
          <w:szCs w:val="21"/>
          <w:highlight w:val="none"/>
        </w:rPr>
      </w:r>
      <w:r/>
    </w:p>
    <w:p>
      <w:pPr>
        <w:pStyle w:val="654"/>
        <w:ind w:firstLine="420"/>
        <w:keepLines/>
        <w:keepNext/>
        <w:rPr>
          <w:rFonts w:hint="eastAsia" w:ascii="Arial" w:hAnsi="Arial" w:eastAsia="黑体" w:cs="Arial"/>
          <w:sz w:val="28"/>
          <w:szCs w:val="28"/>
          <w:highlight w:val="none"/>
        </w:rPr>
        <w:outlineLvl w:val="3"/>
      </w:pPr>
      <w:r/>
      <w:bookmarkStart w:id="54" w:name="_Toc513029205"/>
      <w:r/>
      <w:bookmarkStart w:id="55" w:name="_Toc16938521"/>
      <w:r/>
      <w:bookmarkStart w:id="56" w:name="_Toc20823277"/>
      <w:r>
        <w:rPr>
          <w:rFonts w:hint="eastAsia" w:ascii="Arial" w:hAnsi="Arial" w:eastAsia="黑体" w:cs="Arial"/>
          <w:sz w:val="28"/>
          <w:szCs w:val="28"/>
          <w:highlight w:val="none"/>
        </w:rPr>
        <w:t xml:space="preserve">2、合格的</w:t>
      </w:r>
      <w:bookmarkEnd w:id="54"/>
      <w:r/>
      <w:bookmarkEnd w:id="55"/>
      <w:r/>
      <w:bookmarkEnd w:id="56"/>
      <w:r>
        <w:rPr>
          <w:rFonts w:hint="eastAsia" w:ascii="Arial" w:hAnsi="Arial" w:eastAsia="黑体" w:cs="Arial"/>
          <w:sz w:val="28"/>
          <w:szCs w:val="28"/>
          <w:highlight w:val="none"/>
        </w:rPr>
        <w:t xml:space="preserve">供应商</w:t>
      </w:r>
      <w:r>
        <w:rPr>
          <w:rFonts w:hint="eastAsia" w:ascii="Arial" w:hAnsi="Arial" w:eastAsia="黑体" w:cs="Arial"/>
          <w:sz w:val="28"/>
          <w:szCs w:val="28"/>
          <w:highlight w:val="none"/>
        </w:rPr>
      </w:r>
      <w:r/>
    </w:p>
    <w:p>
      <w:pPr>
        <w:pStyle w:val="65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2.1满足磋商公告中供应商资格要求的规定。</w:t>
      </w:r>
      <w:r>
        <w:rPr>
          <w:rFonts w:hint="eastAsia" w:ascii="宋体" w:hAnsi="宋体"/>
          <w:sz w:val="24"/>
          <w:szCs w:val="24"/>
          <w:highlight w:val="none"/>
        </w:rPr>
      </w:r>
      <w:r/>
    </w:p>
    <w:p>
      <w:pPr>
        <w:pStyle w:val="65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满足本磋商文件实质性要求的规定。</w:t>
      </w:r>
      <w:r>
        <w:rPr>
          <w:rFonts w:hint="eastAsia" w:ascii="宋体" w:hAnsi="宋体"/>
          <w:sz w:val="24"/>
          <w:szCs w:val="24"/>
          <w:highlight w:val="none"/>
        </w:rPr>
      </w:r>
      <w:r/>
    </w:p>
    <w:p>
      <w:pPr>
        <w:pStyle w:val="654"/>
        <w:ind w:firstLine="420"/>
        <w:keepLines/>
        <w:keepNext/>
        <w:rPr>
          <w:rFonts w:hint="eastAsia" w:ascii="Arial" w:hAnsi="Arial" w:eastAsia="黑体" w:cs="Arial"/>
          <w:sz w:val="28"/>
          <w:szCs w:val="28"/>
          <w:highlight w:val="none"/>
        </w:rPr>
        <w:outlineLvl w:val="3"/>
      </w:pPr>
      <w:r/>
      <w:bookmarkStart w:id="57" w:name="_Toc20823278"/>
      <w:r/>
      <w:bookmarkStart w:id="58" w:name="_Toc513029206"/>
      <w:r/>
      <w:bookmarkStart w:id="59" w:name="_Toc16938522"/>
      <w:r>
        <w:rPr>
          <w:rFonts w:hint="eastAsia" w:ascii="Arial" w:hAnsi="Arial" w:eastAsia="黑体" w:cs="Arial"/>
          <w:sz w:val="28"/>
          <w:szCs w:val="28"/>
          <w:highlight w:val="none"/>
        </w:rPr>
        <w:t xml:space="preserve">3、适用法律</w:t>
      </w:r>
      <w:bookmarkEnd w:id="57"/>
      <w:r/>
      <w:bookmarkEnd w:id="58"/>
      <w:r/>
      <w:bookmarkEnd w:id="59"/>
      <w:r>
        <w:rPr>
          <w:rFonts w:hint="eastAsia" w:ascii="Arial" w:hAnsi="Arial" w:eastAsia="黑体" w:cs="Arial"/>
          <w:sz w:val="28"/>
          <w:szCs w:val="28"/>
          <w:highlight w:val="none"/>
        </w:rPr>
      </w:r>
      <w:r/>
    </w:p>
    <w:p>
      <w:pPr>
        <w:pStyle w:val="654"/>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654"/>
        <w:ind w:firstLine="420"/>
        <w:keepLines/>
        <w:keepNext/>
        <w:rPr>
          <w:rFonts w:hint="eastAsia" w:ascii="Arial" w:hAnsi="Arial" w:eastAsia="黑体" w:cs="Arial"/>
          <w:sz w:val="28"/>
          <w:szCs w:val="28"/>
          <w:highlight w:val="none"/>
        </w:rPr>
        <w:outlineLvl w:val="3"/>
      </w:pPr>
      <w:r/>
      <w:bookmarkStart w:id="60" w:name="_Toc20823279"/>
      <w:r/>
      <w:bookmarkStart w:id="61" w:name="_Toc16938523"/>
      <w:r/>
      <w:bookmarkStart w:id="62" w:name="_Toc462564067"/>
      <w:r/>
      <w:bookmarkStart w:id="63" w:name="_Toc513029207"/>
      <w:r>
        <w:rPr>
          <w:rFonts w:hint="eastAsia" w:ascii="Arial" w:hAnsi="Arial" w:eastAsia="黑体" w:cs="Arial"/>
          <w:sz w:val="28"/>
          <w:szCs w:val="28"/>
          <w:highlight w:val="none"/>
        </w:rPr>
        <w:t xml:space="preserve">4、磋商费用</w:t>
      </w:r>
      <w:bookmarkEnd w:id="60"/>
      <w:r/>
      <w:bookmarkEnd w:id="61"/>
      <w:r/>
      <w:bookmarkEnd w:id="62"/>
      <w:r/>
      <w:bookmarkEnd w:id="63"/>
      <w:r>
        <w:rPr>
          <w:rFonts w:hint="eastAsia" w:ascii="Arial" w:hAnsi="Arial" w:eastAsia="黑体" w:cs="Arial"/>
          <w:sz w:val="28"/>
          <w:szCs w:val="28"/>
          <w:highlight w:val="none"/>
        </w:rPr>
      </w:r>
      <w:r/>
    </w:p>
    <w:p>
      <w:pPr>
        <w:pStyle w:val="65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highlight w:val="none"/>
        </w:rPr>
      </w:r>
      <w:r/>
    </w:p>
    <w:p>
      <w:pPr>
        <w:pStyle w:val="65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4.2本次磋商采购中心和采购人不收取标书工本费与成交服务费。</w:t>
      </w:r>
      <w:r>
        <w:rPr>
          <w:rFonts w:hint="eastAsia" w:ascii="宋体" w:hAnsi="宋体"/>
          <w:sz w:val="24"/>
          <w:szCs w:val="21"/>
          <w:highlight w:val="none"/>
        </w:rPr>
      </w:r>
      <w:r/>
    </w:p>
    <w:p>
      <w:pPr>
        <w:pStyle w:val="654"/>
        <w:ind w:firstLine="301"/>
        <w:keepLines/>
        <w:keepNext/>
        <w:spacing w:line="48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rPr>
          <w:rFonts w:hint="eastAsia" w:ascii="黑体" w:hAnsi="宋体" w:eastAsia="黑体" w:cs="Arial"/>
          <w:sz w:val="28"/>
          <w:szCs w:val="28"/>
          <w:highlight w:val="none"/>
        </w:rPr>
      </w:r>
      <w:r/>
    </w:p>
    <w:p>
      <w:pPr>
        <w:pStyle w:val="654"/>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rPr>
          <w:rFonts w:hint="eastAsia" w:ascii="宋体" w:hAnsi="宋体"/>
          <w:sz w:val="24"/>
          <w:szCs w:val="24"/>
          <w:highlight w:val="none"/>
        </w:rPr>
      </w:r>
      <w:r/>
    </w:p>
    <w:p>
      <w:pPr>
        <w:pStyle w:val="654"/>
        <w:ind w:firstLine="321"/>
        <w:keepLines/>
        <w:keepNext/>
        <w:spacing w:before="156" w:after="156" w:line="360" w:lineRule="auto"/>
        <w:rPr>
          <w:rFonts w:hint="eastAsia"/>
          <w:b/>
          <w:bCs/>
          <w:sz w:val="32"/>
          <w:szCs w:val="32"/>
          <w:highlight w:val="none"/>
        </w:rPr>
        <w:outlineLvl w:val="2"/>
      </w:pPr>
      <w:r/>
      <w:bookmarkStart w:id="64" w:name="_Toc120614215"/>
      <w:r/>
      <w:bookmarkStart w:id="65" w:name="_Toc513029209"/>
      <w:r/>
      <w:bookmarkStart w:id="66" w:name="_Toc20823281"/>
      <w:r/>
      <w:bookmarkStart w:id="67" w:name="_Toc16938525"/>
      <w:r>
        <w:rPr>
          <w:rFonts w:hint="eastAsia"/>
          <w:b/>
          <w:bCs/>
          <w:sz w:val="32"/>
          <w:szCs w:val="32"/>
          <w:highlight w:val="none"/>
        </w:rPr>
        <w:t xml:space="preserve">二、</w:t>
      </w:r>
      <w:bookmarkEnd w:id="64"/>
      <w:r/>
      <w:bookmarkEnd w:id="65"/>
      <w:r/>
      <w:bookmarkEnd w:id="66"/>
      <w:r/>
      <w:bookmarkEnd w:id="67"/>
      <w:r>
        <w:rPr>
          <w:rFonts w:hint="eastAsia"/>
          <w:b/>
          <w:bCs/>
          <w:sz w:val="32"/>
          <w:szCs w:val="32"/>
          <w:highlight w:val="none"/>
        </w:rPr>
        <w:t xml:space="preserve">磋商文件</w:t>
      </w:r>
      <w:r>
        <w:rPr>
          <w:rFonts w:hint="eastAsia"/>
          <w:b/>
          <w:bCs/>
          <w:sz w:val="32"/>
          <w:szCs w:val="32"/>
          <w:highlight w:val="none"/>
        </w:rPr>
      </w:r>
      <w:r/>
    </w:p>
    <w:p>
      <w:pPr>
        <w:pStyle w:val="654"/>
        <w:ind w:firstLine="420"/>
        <w:keepLines/>
        <w:keepNext/>
        <w:rPr>
          <w:rFonts w:hint="eastAsia" w:ascii="Arial" w:hAnsi="Arial" w:eastAsia="黑体" w:cs="Arial"/>
          <w:sz w:val="28"/>
          <w:szCs w:val="28"/>
          <w:highlight w:val="none"/>
        </w:rPr>
        <w:outlineLvl w:val="3"/>
      </w:pPr>
      <w:r/>
      <w:bookmarkStart w:id="68" w:name="_Toc20823282"/>
      <w:r/>
      <w:bookmarkStart w:id="69" w:name="_Toc16938526"/>
      <w:r/>
      <w:bookmarkStart w:id="70" w:name="_Toc513029210"/>
      <w:r>
        <w:rPr>
          <w:rFonts w:hint="eastAsia" w:ascii="Arial" w:hAnsi="Arial" w:eastAsia="黑体" w:cs="Arial"/>
          <w:sz w:val="28"/>
          <w:szCs w:val="28"/>
          <w:highlight w:val="none"/>
        </w:rPr>
        <w:t xml:space="preserve">6、磋商文件构成</w:t>
      </w:r>
      <w:bookmarkEnd w:id="68"/>
      <w:r/>
      <w:bookmarkEnd w:id="69"/>
      <w:r/>
      <w:bookmarkEnd w:id="70"/>
      <w:r>
        <w:rPr>
          <w:rFonts w:hint="eastAsia" w:ascii="Arial" w:hAnsi="Arial" w:eastAsia="黑体" w:cs="Arial"/>
          <w:sz w:val="28"/>
          <w:szCs w:val="28"/>
          <w:highlight w:val="none"/>
        </w:rPr>
      </w:r>
      <w:r/>
    </w:p>
    <w:p>
      <w:pPr>
        <w:pStyle w:val="65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rPr>
          <w:rFonts w:hint="eastAsia" w:ascii="宋体" w:hAnsi="宋体"/>
          <w:sz w:val="24"/>
          <w:szCs w:val="21"/>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rPr>
          <w:rFonts w:hint="eastAsia" w:ascii="宋体" w:hAnsi="宋体"/>
          <w:sz w:val="24"/>
          <w:szCs w:val="24"/>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（5）评审方法与评审标准</w:t>
      </w:r>
      <w:r>
        <w:rPr>
          <w:rFonts w:hint="eastAsia" w:ascii="宋体" w:hAnsi="宋体"/>
          <w:sz w:val="24"/>
          <w:szCs w:val="24"/>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（6）响应文件格式</w:t>
      </w:r>
      <w:r>
        <w:rPr>
          <w:rFonts w:hint="eastAsia" w:ascii="宋体" w:hAnsi="宋体"/>
          <w:sz w:val="24"/>
          <w:szCs w:val="24"/>
          <w:highlight w:val="none"/>
        </w:rPr>
      </w:r>
      <w:r/>
    </w:p>
    <w:p>
      <w:pPr>
        <w:pStyle w:val="65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请仔细检查磋商文件是否齐全，如有缺漏请立即与采购中心联系解决。</w:t>
      </w:r>
      <w:r>
        <w:rPr>
          <w:rFonts w:hint="eastAsia" w:ascii="宋体" w:hAnsi="宋体"/>
          <w:sz w:val="24"/>
          <w:szCs w:val="21"/>
          <w:highlight w:val="none"/>
        </w:rPr>
      </w:r>
      <w:r/>
    </w:p>
    <w:p>
      <w:pPr>
        <w:pStyle w:val="65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highlight w:val="none"/>
        </w:rPr>
      </w:r>
      <w:r/>
    </w:p>
    <w:p>
      <w:pPr>
        <w:pStyle w:val="654"/>
        <w:ind w:firstLine="560"/>
        <w:keepLines/>
        <w:keepNext/>
        <w:rPr>
          <w:rFonts w:hint="eastAsia" w:ascii="Arial" w:hAnsi="Arial" w:eastAsia="黑体" w:cs="Arial"/>
          <w:sz w:val="28"/>
          <w:szCs w:val="28"/>
          <w:highlight w:val="none"/>
        </w:rPr>
        <w:outlineLvl w:val="3"/>
      </w:pPr>
      <w:r/>
      <w:bookmarkStart w:id="71" w:name="_Toc16938528"/>
      <w:r/>
      <w:bookmarkStart w:id="72" w:name="_Toc513029212"/>
      <w:r/>
      <w:bookmarkStart w:id="73" w:name="_Toc20823284"/>
      <w:r/>
      <w:bookmarkStart w:id="74" w:name="_Toc462564071"/>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、磋商文件的澄清和修改</w:t>
      </w:r>
      <w:bookmarkEnd w:id="71"/>
      <w:r/>
      <w:bookmarkEnd w:id="72"/>
      <w:r/>
      <w:bookmarkEnd w:id="73"/>
      <w:r/>
      <w:bookmarkEnd w:id="74"/>
      <w:r>
        <w:rPr>
          <w:rFonts w:hint="eastAsia" w:ascii="Arial" w:hAnsi="Arial" w:eastAsia="黑体" w:cs="Arial"/>
          <w:sz w:val="28"/>
          <w:szCs w:val="28"/>
          <w:highlight w:val="none"/>
        </w:rPr>
      </w:r>
      <w:r/>
    </w:p>
    <w:p>
      <w:pPr>
        <w:pStyle w:val="654"/>
        <w:ind w:firstLine="480"/>
        <w:spacing w:line="500" w:lineRule="exact"/>
        <w:rPr>
          <w:rFonts w:hint="eastAsia" w:ascii="宋体" w:hAnsi="宋体"/>
          <w:sz w:val="24"/>
          <w:szCs w:val="21"/>
          <w:highlight w:val="none"/>
        </w:rPr>
      </w:pPr>
      <w:r>
        <w:rPr>
          <w:rFonts w:ascii="宋体" w:hAnsi="宋体"/>
          <w:bCs/>
          <w:sz w:val="24"/>
          <w:szCs w:val="21"/>
          <w:highlight w:val="none"/>
        </w:rPr>
        <w:t xml:space="preserve">7</w:t>
      </w:r>
      <w:r>
        <w:rPr>
          <w:rFonts w:hint="eastAsia" w:ascii="宋体" w:hAnsi="宋体"/>
          <w:bCs/>
          <w:sz w:val="24"/>
          <w:szCs w:val="21"/>
          <w:highlight w:val="none"/>
        </w:rPr>
        <w:t xml:space="preserve">.1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，采购中心可以对磋商文件进行澄清和修改,</w:t>
      </w:r>
      <w:r>
        <w:rPr>
          <w:rFonts w:hint="eastAsia"/>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更正公告内容将作为磋商文件的组成部分，并对供应商具有约束力。不足5日的，采购中心将顺延提交首次响应文件截止时间。</w:t>
      </w:r>
      <w:r>
        <w:rPr>
          <w:rFonts w:hint="eastAsia" w:ascii="宋体" w:hAnsi="宋体"/>
          <w:sz w:val="24"/>
          <w:szCs w:val="21"/>
          <w:highlight w:val="none"/>
        </w:rPr>
      </w:r>
      <w:r/>
    </w:p>
    <w:p>
      <w:pPr>
        <w:pStyle w:val="654"/>
        <w:ind w:firstLine="480"/>
        <w:spacing w:line="50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highlight w:val="none"/>
        </w:rPr>
      </w:r>
      <w:r/>
    </w:p>
    <w:p>
      <w:pPr>
        <w:pStyle w:val="654"/>
        <w:ind w:firstLine="482"/>
        <w:keepLines/>
        <w:keepNext/>
        <w:spacing w:before="156" w:after="156" w:line="360" w:lineRule="auto"/>
        <w:rPr>
          <w:rFonts w:hint="eastAsia"/>
          <w:b/>
          <w:bCs/>
          <w:sz w:val="32"/>
          <w:szCs w:val="32"/>
          <w:highlight w:val="none"/>
        </w:rPr>
        <w:outlineLvl w:val="2"/>
      </w:pPr>
      <w:r/>
      <w:bookmarkStart w:id="75" w:name="_Toc462564072"/>
      <w:r/>
      <w:bookmarkStart w:id="76" w:name="_Toc20823285"/>
      <w:r/>
      <w:bookmarkStart w:id="77" w:name="_Toc16938529"/>
      <w:r/>
      <w:bookmarkStart w:id="78" w:name="_Toc513029213"/>
      <w:r/>
      <w:bookmarkStart w:id="79" w:name="_Toc120614216"/>
      <w:r>
        <w:rPr>
          <w:rFonts w:hint="eastAsia"/>
          <w:b/>
          <w:bCs/>
          <w:sz w:val="32"/>
          <w:szCs w:val="32"/>
          <w:highlight w:val="none"/>
        </w:rPr>
        <w:t xml:space="preserve">三、响应文件的编制</w:t>
      </w:r>
      <w:bookmarkEnd w:id="75"/>
      <w:r/>
      <w:bookmarkEnd w:id="76"/>
      <w:r/>
      <w:bookmarkEnd w:id="77"/>
      <w:r/>
      <w:bookmarkEnd w:id="78"/>
      <w:r/>
      <w:bookmarkEnd w:id="79"/>
      <w:r>
        <w:rPr>
          <w:rFonts w:hint="eastAsia"/>
          <w:b/>
          <w:bCs/>
          <w:sz w:val="32"/>
          <w:szCs w:val="32"/>
          <w:highlight w:val="none"/>
        </w:rPr>
      </w:r>
      <w:r/>
    </w:p>
    <w:p>
      <w:pPr>
        <w:pStyle w:val="654"/>
        <w:ind w:firstLine="560"/>
        <w:keepLines/>
        <w:keepNext/>
        <w:rPr>
          <w:rFonts w:hint="eastAsia" w:ascii="Arial" w:hAnsi="Arial" w:eastAsia="黑体" w:cs="Arial"/>
          <w:b/>
          <w:sz w:val="28"/>
          <w:szCs w:val="28"/>
          <w:highlight w:val="none"/>
        </w:rPr>
        <w:outlineLvl w:val="3"/>
      </w:pPr>
      <w:r/>
      <w:bookmarkStart w:id="80" w:name="_Toc20823286"/>
      <w:r/>
      <w:bookmarkStart w:id="81" w:name="_Toc16938530"/>
      <w:r/>
      <w:bookmarkStart w:id="82" w:name="_Toc462564073"/>
      <w:r/>
      <w:bookmarkStart w:id="83" w:name="_Toc513029214"/>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、响应文件的语言及度量衡单位</w:t>
      </w:r>
      <w:bookmarkEnd w:id="80"/>
      <w:r/>
      <w:bookmarkEnd w:id="81"/>
      <w:r/>
      <w:bookmarkEnd w:id="82"/>
      <w:r/>
      <w:bookmarkEnd w:id="83"/>
      <w:r>
        <w:rPr>
          <w:rFonts w:hint="eastAsia" w:ascii="Arial" w:hAnsi="Arial" w:eastAsia="黑体" w:cs="Arial"/>
          <w:b/>
          <w:sz w:val="28"/>
          <w:szCs w:val="28"/>
          <w:highlight w:val="none"/>
        </w:rPr>
      </w:r>
      <w:r/>
    </w:p>
    <w:p>
      <w:pPr>
        <w:pStyle w:val="654"/>
        <w:ind w:firstLine="480"/>
        <w:spacing w:line="500" w:lineRule="exact"/>
        <w:rPr>
          <w:rFonts w:hint="eastAsia" w:ascii="宋体" w:hAnsi="宋体"/>
          <w:sz w:val="24"/>
          <w:szCs w:val="21"/>
          <w:highlight w:val="none"/>
        </w:rPr>
      </w:pP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供应商提交的响应文件以及供应商与采购中心就有关磋商的所有来往通知、函件和文件均应使用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480"/>
        <w:spacing w:line="500" w:lineRule="exact"/>
        <w:rPr>
          <w:rFonts w:hint="eastAsia" w:ascii="宋体" w:hAnsi="宋体"/>
          <w:sz w:val="24"/>
          <w:szCs w:val="21"/>
          <w:highlight w:val="none"/>
        </w:rPr>
      </w:pPr>
      <w:r>
        <w:rPr>
          <w:rFonts w:ascii="宋体" w:hAnsi="宋体"/>
          <w:bCs/>
          <w:sz w:val="24"/>
          <w:szCs w:val="21"/>
          <w:highlight w:val="none"/>
        </w:rPr>
        <w:t xml:space="preserve">8</w:t>
      </w:r>
      <w:r>
        <w:rPr>
          <w:rFonts w:hint="eastAsia" w:ascii="宋体" w:hAnsi="宋体"/>
          <w:bCs/>
          <w:sz w:val="24"/>
          <w:szCs w:val="21"/>
          <w:highlight w:val="none"/>
        </w:rPr>
        <w:t xml:space="preserve">.2</w:t>
      </w:r>
      <w:r>
        <w:rPr>
          <w:rFonts w:hint="eastAsia" w:ascii="宋体" w:hAnsi="宋体"/>
          <w:sz w:val="24"/>
          <w:szCs w:val="21"/>
          <w:highlight w:val="none"/>
        </w:rPr>
        <w:t xml:space="preserve"> 除技术性能另有规定外，响应文件所使用的度量衡单位，均须采用国家法定计量单位。</w:t>
      </w:r>
      <w:r>
        <w:rPr>
          <w:rFonts w:hint="eastAsia" w:ascii="宋体" w:hAnsi="宋体"/>
          <w:sz w:val="24"/>
          <w:szCs w:val="21"/>
          <w:highlight w:val="none"/>
        </w:rPr>
      </w:r>
      <w:r/>
    </w:p>
    <w:p>
      <w:pPr>
        <w:pStyle w:val="654"/>
        <w:ind w:firstLine="420"/>
        <w:keepLines/>
        <w:keepNext/>
        <w:rPr>
          <w:rFonts w:hint="eastAsia" w:ascii="Arial" w:hAnsi="Arial" w:eastAsia="黑体" w:cs="Arial"/>
          <w:sz w:val="28"/>
          <w:szCs w:val="28"/>
          <w:highlight w:val="none"/>
        </w:rPr>
        <w:outlineLvl w:val="3"/>
      </w:pPr>
      <w:r/>
      <w:bookmarkStart w:id="84" w:name="_Toc20823287"/>
      <w:r/>
      <w:bookmarkStart w:id="85" w:name="_Toc513029215"/>
      <w:r/>
      <w:bookmarkStart w:id="86" w:name="_Toc462564074"/>
      <w:r/>
      <w:bookmarkStart w:id="87" w:name="_Toc16938531"/>
      <w:r>
        <w:rPr>
          <w:rFonts w:ascii="Arial" w:hAnsi="Arial" w:eastAsia="黑体" w:cs="Arial"/>
          <w:sz w:val="28"/>
          <w:szCs w:val="28"/>
          <w:highlight w:val="none"/>
        </w:rPr>
        <w:t xml:space="preserve">9</w:t>
      </w:r>
      <w:r>
        <w:rPr>
          <w:rFonts w:hint="eastAsia" w:ascii="Arial" w:hAnsi="Arial" w:eastAsia="黑体" w:cs="Arial"/>
          <w:sz w:val="28"/>
          <w:szCs w:val="28"/>
          <w:highlight w:val="none"/>
        </w:rPr>
        <w:t xml:space="preserve">、响应文件构成</w:t>
      </w:r>
      <w:bookmarkEnd w:id="84"/>
      <w:r/>
      <w:bookmarkEnd w:id="85"/>
      <w:r/>
      <w:bookmarkEnd w:id="86"/>
      <w:r/>
      <w:bookmarkEnd w:id="87"/>
      <w:r>
        <w:rPr>
          <w:rFonts w:hint="eastAsia" w:ascii="Arial" w:hAnsi="Arial" w:eastAsia="黑体" w:cs="Arial"/>
          <w:sz w:val="28"/>
          <w:szCs w:val="28"/>
          <w:highlight w:val="none"/>
        </w:rPr>
      </w:r>
      <w:r/>
    </w:p>
    <w:p>
      <w:pPr>
        <w:pStyle w:val="654"/>
        <w:ind w:firstLine="480"/>
        <w:spacing w:line="440" w:lineRule="exact"/>
        <w:rPr>
          <w:rFonts w:hint="eastAsia"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供应商编写的响应文件应包括资格证明文件、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、分项报价表、技术要求响应及偏离表、商务要求响应及偏离表、其他证明文件、磋商响应函等部分。</w:t>
      </w:r>
      <w:r>
        <w:rPr>
          <w:rFonts w:hint="eastAsia" w:ascii="宋体" w:hAnsi="宋体"/>
          <w:sz w:val="24"/>
          <w:szCs w:val="21"/>
          <w:highlight w:val="none"/>
        </w:rPr>
      </w:r>
      <w:r/>
    </w:p>
    <w:p>
      <w:pPr>
        <w:pStyle w:val="654"/>
        <w:ind w:firstLine="480"/>
        <w:spacing w:line="440" w:lineRule="exact"/>
        <w:rPr>
          <w:rFonts w:hint="eastAsia"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.2 如标书制作工具中格式和内容与“江苏政府采购网”发布的磋商文件不一致，请以“江苏政府采购网”发布的磋商文件为准。</w:t>
      </w:r>
      <w:r>
        <w:rPr>
          <w:rFonts w:hint="eastAsia" w:ascii="宋体" w:hAnsi="宋体"/>
          <w:sz w:val="24"/>
          <w:szCs w:val="21"/>
          <w:highlight w:val="none"/>
        </w:rPr>
      </w:r>
      <w:r/>
    </w:p>
    <w:p>
      <w:pPr>
        <w:pStyle w:val="654"/>
        <w:ind w:firstLine="420"/>
        <w:keepLines/>
        <w:keepNext/>
        <w:rPr>
          <w:rFonts w:hint="eastAsia" w:ascii="Arial" w:hAnsi="Arial" w:eastAsia="黑体" w:cs="Arial"/>
          <w:sz w:val="28"/>
          <w:szCs w:val="28"/>
          <w:highlight w:val="none"/>
        </w:rPr>
        <w:outlineLvl w:val="3"/>
      </w:pPr>
      <w:r/>
      <w:bookmarkStart w:id="88" w:name="_Hlt26670360"/>
      <w:r/>
      <w:bookmarkEnd w:id="88"/>
      <w:r/>
      <w:bookmarkStart w:id="89" w:name="_Hlt26668975"/>
      <w:r/>
      <w:bookmarkEnd w:id="89"/>
      <w:r/>
      <w:bookmarkStart w:id="90" w:name="_Hlt26954838"/>
      <w:r/>
      <w:bookmarkEnd w:id="90"/>
      <w:r/>
      <w:bookmarkStart w:id="91" w:name="_Toc513029219"/>
      <w:r/>
      <w:bookmarkStart w:id="92" w:name="_Toc14577357"/>
      <w:r/>
      <w:bookmarkStart w:id="93" w:name="_Toc49090509"/>
      <w:r/>
      <w:bookmarkStart w:id="94" w:name="_Toc49090507"/>
      <w:r/>
      <w:bookmarkStart w:id="95" w:name="_Toc14577354"/>
      <w:r/>
      <w:bookmarkStart w:id="96" w:name="_Toc513029216"/>
      <w:r/>
      <w:bookmarkStart w:id="97" w:name="_Toc14577355"/>
      <w:r/>
      <w:bookmarkStart w:id="98" w:name="_Toc49090508"/>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、证明磋商响应标的符合磋商文件规定的文件</w:t>
      </w:r>
      <w:bookmarkEnd w:id="91"/>
      <w:r/>
      <w:bookmarkEnd w:id="92"/>
      <w:r/>
      <w:bookmarkEnd w:id="93"/>
      <w:r>
        <w:rPr>
          <w:rFonts w:hint="eastAsia" w:ascii="Arial" w:hAnsi="Arial" w:eastAsia="黑体" w:cs="Arial"/>
          <w:sz w:val="28"/>
          <w:szCs w:val="28"/>
          <w:highlight w:val="none"/>
        </w:rPr>
      </w:r>
      <w:r/>
    </w:p>
    <w:p>
      <w:pPr>
        <w:pStyle w:val="654"/>
        <w:spacing w:line="480" w:lineRule="exact"/>
        <w:rPr>
          <w:rFonts w:hint="eastAsia" w:ascii="宋体" w:hAnsi="宋体"/>
          <w:sz w:val="24"/>
          <w:szCs w:val="24"/>
          <w:highlight w:val="none"/>
        </w:rPr>
      </w:pPr>
      <w:r/>
      <w:bookmarkEnd w:id="94"/>
      <w:r/>
      <w:bookmarkEnd w:id="95"/>
      <w:r/>
      <w:bookmarkEnd w:id="96"/>
      <w:r>
        <w:rPr>
          <w:rFonts w:hint="eastAsia" w:ascii="宋体" w:hAnsi="宋体"/>
          <w:sz w:val="24"/>
          <w:szCs w:val="24"/>
          <w:highlight w:val="none"/>
        </w:rPr>
        <w:t xml:space="preserve">    1</w:t>
      </w:r>
      <w:r>
        <w:rPr>
          <w:rFonts w:ascii="宋体" w:hAnsi="宋体"/>
          <w:sz w:val="24"/>
          <w:szCs w:val="24"/>
          <w:highlight w:val="none"/>
        </w:rPr>
        <w:t xml:space="preserve">0</w:t>
      </w:r>
      <w:r>
        <w:rPr>
          <w:rFonts w:hint="eastAsia" w:ascii="宋体" w:hAnsi="宋体"/>
          <w:sz w:val="24"/>
          <w:szCs w:val="24"/>
          <w:highlight w:val="none"/>
        </w:rPr>
        <w:t xml:space="preserve">.1供应商应按照磋商文件要求提交证明文件，证明其及磋商响应标的符合磋商文件规定。</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.2磋商文件对证明文件无明确形式要求的，证明文件可以以文字资料、图纸和数据等形式提交。</w:t>
      </w:r>
      <w:r>
        <w:rPr>
          <w:rFonts w:hint="eastAsia" w:ascii="宋体" w:hAnsi="宋体"/>
          <w:sz w:val="24"/>
          <w:szCs w:val="24"/>
          <w:highlight w:val="none"/>
        </w:rPr>
      </w:r>
      <w:r/>
    </w:p>
    <w:p>
      <w:pPr>
        <w:pStyle w:val="654"/>
        <w:ind w:firstLine="420"/>
        <w:keepLines/>
        <w:keepNext/>
        <w:rPr>
          <w:rFonts w:hint="eastAsia" w:ascii="Arial" w:hAnsi="Arial" w:eastAsia="黑体" w:cs="Arial"/>
          <w:sz w:val="28"/>
          <w:szCs w:val="28"/>
          <w:highlight w:val="none"/>
        </w:rPr>
        <w:outlineLvl w:val="3"/>
      </w:pPr>
      <w:r/>
      <w:bookmarkEnd w:id="97"/>
      <w:r/>
      <w:bookmarkEnd w:id="98"/>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、分项报价表</w:t>
      </w:r>
      <w:r>
        <w:rPr>
          <w:rFonts w:hint="eastAsia" w:ascii="Arial" w:hAnsi="Arial" w:eastAsia="黑体" w:cs="Arial"/>
          <w:sz w:val="28"/>
          <w:szCs w:val="28"/>
          <w:highlight w:val="none"/>
        </w:rPr>
      </w:r>
      <w:r/>
    </w:p>
    <w:p>
      <w:pPr>
        <w:pStyle w:val="65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供应商应按照磋商文件规定格式填报分项报价表。</w:t>
      </w:r>
      <w:r>
        <w:rPr>
          <w:rFonts w:hint="eastAsia" w:ascii="宋体" w:hAnsi="宋体"/>
          <w:bCs/>
          <w:sz w:val="24"/>
          <w:szCs w:val="21"/>
          <w:highlight w:val="none"/>
        </w:rPr>
      </w:r>
      <w:r/>
    </w:p>
    <w:p>
      <w:pPr>
        <w:pStyle w:val="65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rPr>
          <w:rFonts w:hint="eastAsia" w:ascii="宋体" w:hAnsi="宋体"/>
          <w:bCs/>
          <w:sz w:val="24"/>
          <w:szCs w:val="21"/>
          <w:highlight w:val="none"/>
        </w:rPr>
      </w:r>
      <w:r/>
    </w:p>
    <w:p>
      <w:pPr>
        <w:pStyle w:val="654"/>
        <w:ind w:firstLine="420"/>
        <w:keepLines/>
        <w:keepNext/>
        <w:rPr>
          <w:rFonts w:hint="eastAsia" w:ascii="Arial" w:hAnsi="Arial" w:eastAsia="黑体" w:cs="Arial"/>
          <w:sz w:val="28"/>
          <w:szCs w:val="28"/>
          <w:highlight w:val="none"/>
        </w:rPr>
        <w:outlineLvl w:val="3"/>
      </w:pPr>
      <w:r/>
      <w:bookmarkStart w:id="99" w:name="_Hlt26670482"/>
      <w:r/>
      <w:bookmarkEnd w:id="99"/>
      <w:r/>
      <w:bookmarkStart w:id="100" w:name="_Hlt26954848"/>
      <w:r/>
      <w:bookmarkEnd w:id="100"/>
      <w:r/>
      <w:bookmarkStart w:id="101" w:name="_Hlt26954846"/>
      <w:r/>
      <w:bookmarkEnd w:id="101"/>
      <w:r/>
      <w:bookmarkStart w:id="102" w:name="_Hlt26954731"/>
      <w:r/>
      <w:bookmarkEnd w:id="102"/>
      <w:r/>
      <w:bookmarkStart w:id="103" w:name="_Hlt26670486"/>
      <w:r/>
      <w:bookmarkEnd w:id="103"/>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rPr>
          <w:rFonts w:hint="eastAsia" w:ascii="Arial" w:hAnsi="Arial" w:eastAsia="黑体" w:cs="Arial"/>
          <w:sz w:val="28"/>
          <w:szCs w:val="28"/>
          <w:highlight w:val="none"/>
        </w:rPr>
      </w:r>
      <w:r/>
    </w:p>
    <w:p>
      <w:pPr>
        <w:pStyle w:val="654"/>
        <w:ind w:firstLine="480"/>
        <w:spacing w:line="5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sz w:val="24"/>
          <w:szCs w:val="21"/>
          <w:highlight w:val="none"/>
          <w:lang w:val="zh-CN"/>
        </w:rPr>
        <w:t xml:space="preserve">供应商需对磋商文件中的技术要求与商务要求逐项作出响应或偏离，并说明原因。</w:t>
      </w:r>
      <w:r>
        <w:rPr>
          <w:rFonts w:hint="eastAsia" w:ascii="宋体" w:hAnsi="Arial" w:cs="宋体"/>
          <w:sz w:val="24"/>
          <w:szCs w:val="21"/>
          <w:highlight w:val="none"/>
          <w:lang w:val="zh-CN"/>
        </w:rPr>
      </w:r>
      <w:r/>
    </w:p>
    <w:p>
      <w:pPr>
        <w:pStyle w:val="654"/>
        <w:ind w:firstLine="480"/>
        <w:spacing w:line="5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.2供应商需按照磋商文件要求，在响应文件中提供与技术要求和商务要求相关的证明材料。</w:t>
      </w:r>
      <w:r>
        <w:rPr>
          <w:rFonts w:hint="eastAsia" w:ascii="宋体" w:hAnsi="Arial" w:cs="宋体"/>
          <w:sz w:val="24"/>
          <w:szCs w:val="21"/>
          <w:highlight w:val="none"/>
          <w:lang w:val="zh-CN"/>
        </w:rPr>
      </w:r>
      <w:r/>
    </w:p>
    <w:p>
      <w:pPr>
        <w:pStyle w:val="654"/>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、服务承诺、培训计划、人员安排及其他</w:t>
      </w:r>
      <w:r>
        <w:rPr>
          <w:rFonts w:hint="eastAsia" w:ascii="Arial" w:hAnsi="Arial" w:eastAsia="黑体" w:cs="Arial"/>
          <w:sz w:val="28"/>
          <w:szCs w:val="28"/>
          <w:highlight w:val="none"/>
        </w:rPr>
      </w:r>
      <w:r/>
    </w:p>
    <w:p>
      <w:pPr>
        <w:pStyle w:val="654"/>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13.1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13.2供应商需根据磋商文件要求提供培训计划。</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13.3供应商需根据磋商文件要求提供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rPr>
          <w:rFonts w:hint="eastAsia" w:ascii="宋体" w:hAnsi="宋体"/>
          <w:sz w:val="24"/>
          <w:szCs w:val="24"/>
          <w:highlight w:val="none"/>
        </w:rPr>
      </w:r>
      <w:r/>
    </w:p>
    <w:p>
      <w:pPr>
        <w:pStyle w:val="654"/>
        <w:ind w:firstLine="420"/>
        <w:keepLines/>
        <w:keepNext/>
        <w:rPr>
          <w:rFonts w:hint="eastAsia" w:ascii="Arial" w:hAnsi="Arial" w:eastAsia="黑体" w:cs="Arial"/>
          <w:sz w:val="28"/>
          <w:szCs w:val="28"/>
          <w:highlight w:val="none"/>
        </w:rPr>
        <w:outlineLvl w:val="3"/>
      </w:pPr>
      <w:r/>
      <w:bookmarkStart w:id="104" w:name="_Toc49090510"/>
      <w:r/>
      <w:bookmarkStart w:id="105" w:name="_Toc14577359"/>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4</w:t>
      </w:r>
      <w:r>
        <w:rPr>
          <w:rFonts w:hint="eastAsia" w:ascii="Arial" w:hAnsi="Arial" w:eastAsia="黑体" w:cs="Arial"/>
          <w:sz w:val="28"/>
          <w:szCs w:val="28"/>
          <w:highlight w:val="none"/>
        </w:rPr>
        <w:t xml:space="preserve">、磋商响应函</w:t>
      </w:r>
      <w:r>
        <w:rPr>
          <w:rFonts w:hint="eastAsia" w:ascii="Arial" w:hAnsi="Arial" w:eastAsia="黑体" w:cs="Arial"/>
          <w:sz w:val="28"/>
          <w:szCs w:val="28"/>
          <w:highlight w:val="none"/>
        </w:rPr>
      </w:r>
      <w:r/>
    </w:p>
    <w:p>
      <w:pPr>
        <w:pStyle w:val="65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hint="eastAsia" w:ascii="宋体" w:hAnsi="宋体"/>
          <w:sz w:val="24"/>
          <w:szCs w:val="21"/>
          <w:highlight w:val="none"/>
        </w:rPr>
        <w:t xml:space="preserve">供应商应按照磋商文件中提供的格式完整、正确填写磋商响应函。</w:t>
      </w:r>
      <w:r>
        <w:rPr>
          <w:rFonts w:hint="eastAsia" w:ascii="宋体" w:hAnsi="宋体"/>
          <w:sz w:val="24"/>
          <w:szCs w:val="21"/>
          <w:highlight w:val="none"/>
        </w:rPr>
      </w:r>
      <w:r/>
    </w:p>
    <w:p>
      <w:pPr>
        <w:pStyle w:val="654"/>
        <w:ind w:firstLine="420"/>
        <w:keepLines/>
        <w:keepNext/>
        <w:rPr>
          <w:rFonts w:hint="eastAsia" w:ascii="Arial" w:hAnsi="Arial" w:eastAsia="黑体" w:cs="Arial"/>
          <w:sz w:val="28"/>
          <w:szCs w:val="28"/>
          <w:highlight w:val="none"/>
        </w:rPr>
        <w:outlineLvl w:val="3"/>
      </w:pPr>
      <w:r/>
      <w:bookmarkEnd w:id="104"/>
      <w:r/>
      <w:bookmarkEnd w:id="105"/>
      <w:r/>
      <w:bookmarkStart w:id="106" w:name="_Toc14577360"/>
      <w:r/>
      <w:bookmarkStart w:id="107" w:name="_Toc4909051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、磋商有效期</w:t>
      </w:r>
      <w:bookmarkEnd w:id="106"/>
      <w:r/>
      <w:bookmarkEnd w:id="107"/>
      <w:r>
        <w:rPr>
          <w:rFonts w:hint="eastAsia" w:ascii="Arial" w:hAnsi="Arial" w:eastAsia="黑体" w:cs="Arial"/>
          <w:sz w:val="28"/>
          <w:szCs w:val="28"/>
          <w:highlight w:val="none"/>
        </w:rPr>
      </w:r>
      <w:r/>
    </w:p>
    <w:p>
      <w:pPr>
        <w:pStyle w:val="65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.1磋商有效期为采购中心规定的提交响应文件截止之日后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rPr>
          <w:rFonts w:hint="eastAsia" w:ascii="宋体" w:hAnsi="宋体"/>
          <w:bCs/>
          <w:sz w:val="24"/>
          <w:szCs w:val="21"/>
          <w:highlight w:val="none"/>
        </w:rPr>
      </w:r>
      <w:r/>
    </w:p>
    <w:p>
      <w:pPr>
        <w:pStyle w:val="654"/>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、磋商有效期的延长</w:t>
      </w:r>
      <w:r>
        <w:rPr>
          <w:rFonts w:hint="eastAsia" w:ascii="Arial" w:hAnsi="Arial" w:eastAsia="黑体" w:cs="Arial"/>
          <w:sz w:val="28"/>
          <w:szCs w:val="28"/>
          <w:highlight w:val="none"/>
        </w:rPr>
      </w:r>
      <w:r/>
    </w:p>
    <w:p>
      <w:pPr>
        <w:pStyle w:val="65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654"/>
        <w:ind w:firstLine="482"/>
        <w:keepLines/>
        <w:keepNext/>
        <w:spacing w:before="156" w:after="156" w:line="360" w:lineRule="auto"/>
        <w:rPr>
          <w:rFonts w:hint="eastAsia"/>
          <w:b/>
          <w:bCs/>
          <w:sz w:val="32"/>
          <w:szCs w:val="32"/>
          <w:highlight w:val="none"/>
        </w:rPr>
        <w:outlineLvl w:val="2"/>
      </w:pPr>
      <w:r/>
      <w:bookmarkStart w:id="108" w:name="_Hlt26954739"/>
      <w:r/>
      <w:bookmarkEnd w:id="108"/>
      <w:r/>
      <w:bookmarkStart w:id="109" w:name="_Hlt26954852"/>
      <w:r/>
      <w:bookmarkEnd w:id="109"/>
      <w:r/>
      <w:bookmarkStart w:id="110" w:name="_Toc16938540"/>
      <w:r/>
      <w:bookmarkStart w:id="111" w:name="_Toc20823296"/>
      <w:r/>
      <w:bookmarkStart w:id="112" w:name="_Toc120614217"/>
      <w:r/>
      <w:bookmarkStart w:id="113" w:name="_Toc513029224"/>
      <w:r>
        <w:rPr>
          <w:rFonts w:hint="eastAsia"/>
          <w:b/>
          <w:bCs/>
          <w:sz w:val="32"/>
          <w:szCs w:val="32"/>
          <w:highlight w:val="none"/>
        </w:rPr>
        <w:t xml:space="preserve">四、响应文件的递交</w:t>
      </w:r>
      <w:bookmarkEnd w:id="110"/>
      <w:r/>
      <w:bookmarkEnd w:id="111"/>
      <w:r/>
      <w:bookmarkEnd w:id="112"/>
      <w:r/>
      <w:bookmarkEnd w:id="113"/>
      <w:r>
        <w:rPr>
          <w:rFonts w:hint="eastAsia"/>
          <w:b/>
          <w:bCs/>
          <w:sz w:val="32"/>
          <w:szCs w:val="32"/>
          <w:highlight w:val="none"/>
        </w:rPr>
      </w:r>
      <w:r/>
    </w:p>
    <w:p>
      <w:pPr>
        <w:pStyle w:val="654"/>
        <w:ind w:firstLine="560"/>
        <w:keepLines/>
        <w:keepNext/>
        <w:rPr>
          <w:rFonts w:hint="eastAsia" w:ascii="黑体" w:hAnsi="Arial" w:eastAsia="黑体" w:cs="Arial"/>
          <w:sz w:val="28"/>
          <w:szCs w:val="28"/>
          <w:highlight w:val="none"/>
        </w:rPr>
        <w:outlineLvl w:val="3"/>
      </w:pPr>
      <w:r/>
      <w:bookmarkStart w:id="114" w:name="_Toc16938541"/>
      <w:r/>
      <w:bookmarkStart w:id="115" w:name="_Toc462564084"/>
      <w:r/>
      <w:bookmarkStart w:id="116" w:name="_Toc513029225"/>
      <w:r/>
      <w:bookmarkStart w:id="117" w:name="_Toc20823297"/>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4"/>
      <w:r/>
      <w:bookmarkEnd w:id="115"/>
      <w:r/>
      <w:bookmarkEnd w:id="116"/>
      <w:r/>
      <w:bookmarkEnd w:id="117"/>
      <w:r>
        <w:rPr>
          <w:rFonts w:hint="eastAsia" w:ascii="黑体" w:hAnsi="Arial" w:eastAsia="黑体" w:cs="Arial"/>
          <w:sz w:val="28"/>
          <w:szCs w:val="28"/>
          <w:highlight w:val="none"/>
        </w:rPr>
        <w:t xml:space="preserve">响应文件的递交</w:t>
      </w:r>
      <w:r>
        <w:rPr>
          <w:rFonts w:hint="eastAsia" w:ascii="黑体" w:hAnsi="Arial" w:eastAsia="黑体" w:cs="Arial"/>
          <w:sz w:val="28"/>
          <w:szCs w:val="28"/>
          <w:highlight w:val="none"/>
        </w:rPr>
      </w:r>
      <w:r/>
    </w:p>
    <w:p>
      <w:pPr>
        <w:pStyle w:val="654"/>
        <w:ind w:firstLine="600"/>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18" w:name="_Toc513029226"/>
      <w:r/>
      <w:bookmarkStart w:id="119" w:name="_Toc20823298"/>
      <w:r/>
      <w:bookmarkStart w:id="120" w:name="_Toc16938542"/>
      <w:r>
        <w:rPr>
          <w:rFonts w:ascii="宋体" w:hAnsi="宋体"/>
          <w:bCs/>
          <w:sz w:val="24"/>
          <w:szCs w:val="21"/>
          <w:highlight w:val="none"/>
        </w:rPr>
      </w:r>
      <w:r/>
    </w:p>
    <w:p>
      <w:pPr>
        <w:pStyle w:val="654"/>
        <w:ind w:firstLine="560"/>
        <w:keepLines/>
        <w:keepNext/>
        <w:spacing w:before="280" w:after="290" w:line="376" w:lineRule="auto"/>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18</w:t>
      </w:r>
      <w:r>
        <w:rPr>
          <w:rFonts w:hint="eastAsia" w:ascii="Arial" w:hAnsi="Arial" w:eastAsia="黑体" w:cs="Arial"/>
          <w:bCs/>
          <w:sz w:val="28"/>
          <w:szCs w:val="28"/>
          <w:highlight w:val="none"/>
        </w:rPr>
        <w:t xml:space="preserve">、提交响应文件截止时间</w:t>
      </w:r>
      <w:bookmarkEnd w:id="118"/>
      <w:r/>
      <w:bookmarkEnd w:id="119"/>
      <w:r/>
      <w:bookmarkEnd w:id="120"/>
      <w:r>
        <w:rPr>
          <w:rFonts w:hint="eastAsia" w:ascii="宋体" w:hAnsi="宋体" w:eastAsia="黑体" w:cs="Arial"/>
          <w:bCs/>
          <w:sz w:val="24"/>
          <w:szCs w:val="28"/>
          <w:highlight w:val="none"/>
        </w:rPr>
      </w:r>
      <w:r/>
    </w:p>
    <w:p>
      <w:pPr>
        <w:pStyle w:val="654"/>
        <w:ind w:firstLine="480"/>
        <w:spacing w:line="500" w:lineRule="exact"/>
        <w:rPr>
          <w:rFonts w:hint="eastAsia" w:ascii="宋体" w:hAnsi="宋体"/>
          <w:bCs/>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.1</w:t>
      </w:r>
      <w:r>
        <w:rPr>
          <w:rFonts w:hint="eastAsia" w:ascii="宋体" w:hAnsi="宋体"/>
          <w:bCs/>
          <w:sz w:val="24"/>
          <w:szCs w:val="21"/>
          <w:highlight w:val="none"/>
        </w:rPr>
        <w:t xml:space="preserve">供应商上传电子响应文件的时间不得迟于磋商公告中规定的提交响应文件截止时间。</w:t>
      </w:r>
      <w:r>
        <w:rPr>
          <w:rFonts w:hint="eastAsia" w:ascii="宋体" w:hAnsi="宋体"/>
          <w:bCs/>
          <w:sz w:val="24"/>
          <w:szCs w:val="21"/>
          <w:highlight w:val="none"/>
        </w:rPr>
      </w:r>
      <w:r/>
    </w:p>
    <w:p>
      <w:pPr>
        <w:pStyle w:val="65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highlight w:val="none"/>
        </w:rPr>
      </w:r>
      <w:r/>
    </w:p>
    <w:p>
      <w:pPr>
        <w:pStyle w:val="654"/>
        <w:ind w:firstLine="480"/>
        <w:spacing w:line="500" w:lineRule="exact"/>
        <w:rPr>
          <w:rFonts w:hint="eastAsia" w:ascii="宋体" w:hAnsi="宋体"/>
          <w:bCs/>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.2</w:t>
      </w:r>
      <w:r>
        <w:rPr>
          <w:rFonts w:hint="eastAsia" w:ascii="宋体" w:hAnsi="宋体"/>
          <w:bCs/>
          <w:sz w:val="24"/>
          <w:szCs w:val="21"/>
          <w:highlight w:val="none"/>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highlight w:val="none"/>
        </w:rPr>
      </w:r>
      <w:r/>
    </w:p>
    <w:p>
      <w:pPr>
        <w:pStyle w:val="654"/>
        <w:ind w:firstLine="420"/>
        <w:keepLines/>
        <w:keepNext/>
        <w:rPr>
          <w:rFonts w:hint="eastAsia" w:ascii="Arial" w:hAnsi="Arial" w:eastAsia="黑体" w:cs="Arial"/>
          <w:sz w:val="28"/>
          <w:szCs w:val="28"/>
          <w:highlight w:val="none"/>
        </w:rPr>
        <w:outlineLvl w:val="3"/>
      </w:pPr>
      <w:r/>
      <w:bookmarkStart w:id="121" w:name="_Toc16938543"/>
      <w:r/>
      <w:bookmarkStart w:id="122" w:name="_Toc20823299"/>
      <w:r/>
      <w:bookmarkStart w:id="123" w:name="_Toc513029227"/>
      <w:r>
        <w:rPr>
          <w:rFonts w:ascii="Arial" w:hAnsi="Arial" w:eastAsia="黑体" w:cs="Arial"/>
          <w:sz w:val="28"/>
          <w:szCs w:val="28"/>
          <w:highlight w:val="none"/>
        </w:rPr>
        <w:t xml:space="preserve">19</w:t>
      </w:r>
      <w:r>
        <w:rPr>
          <w:rFonts w:hint="eastAsia" w:ascii="Arial" w:hAnsi="Arial" w:eastAsia="黑体" w:cs="Arial"/>
          <w:sz w:val="28"/>
          <w:szCs w:val="28"/>
          <w:highlight w:val="none"/>
        </w:rPr>
        <w:t xml:space="preserve">、响应文件</w:t>
      </w:r>
      <w:bookmarkEnd w:id="121"/>
      <w:r/>
      <w:bookmarkEnd w:id="122"/>
      <w:r/>
      <w:bookmarkEnd w:id="123"/>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p>
    <w:p>
      <w:pPr>
        <w:pStyle w:val="654"/>
        <w:ind w:firstLine="480"/>
        <w:spacing w:line="500" w:lineRule="exact"/>
        <w:rPr>
          <w:rFonts w:hint="eastAsia" w:ascii="宋体" w:hAnsi="宋体"/>
          <w:bCs/>
          <w:sz w:val="24"/>
          <w:szCs w:val="21"/>
          <w:highlight w:val="none"/>
        </w:rPr>
      </w:pPr>
      <w:r>
        <w:rPr>
          <w:rFonts w:ascii="宋体" w:hAnsi="宋体"/>
          <w:bCs/>
          <w:sz w:val="24"/>
          <w:szCs w:val="21"/>
          <w:highlight w:val="none"/>
        </w:rPr>
        <w:t xml:space="preserve">19</w:t>
      </w:r>
      <w:r>
        <w:rPr>
          <w:rFonts w:hint="eastAsia" w:ascii="宋体" w:hAnsi="宋体"/>
          <w:bCs/>
          <w:sz w:val="24"/>
          <w:szCs w:val="21"/>
          <w:highlight w:val="none"/>
        </w:rPr>
        <w:t xml:space="preserve">.1 采购中心拒绝接收在其规定的提交响应文件截止时间后上传的任何电子响应文件。</w:t>
      </w:r>
      <w:r>
        <w:rPr>
          <w:rFonts w:hint="eastAsia" w:ascii="宋体" w:hAnsi="宋体"/>
          <w:bCs/>
          <w:sz w:val="24"/>
          <w:szCs w:val="21"/>
          <w:highlight w:val="none"/>
        </w:rPr>
      </w:r>
      <w:r/>
    </w:p>
    <w:p>
      <w:pPr>
        <w:pStyle w:val="654"/>
        <w:ind w:firstLine="420"/>
        <w:keepLines/>
        <w:keepNext/>
        <w:rPr>
          <w:rFonts w:hint="eastAsia" w:ascii="Arial" w:hAnsi="Arial" w:eastAsia="黑体" w:cs="Arial"/>
          <w:sz w:val="28"/>
          <w:szCs w:val="28"/>
          <w:highlight w:val="none"/>
        </w:rPr>
        <w:outlineLvl w:val="3"/>
      </w:pPr>
      <w:r/>
      <w:bookmarkStart w:id="124" w:name="_Toc16938544"/>
      <w:r/>
      <w:bookmarkStart w:id="125" w:name="_Toc20823300"/>
      <w:r/>
      <w:bookmarkStart w:id="126" w:name="_Toc51302922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、响应文件的撤回和修改</w:t>
      </w:r>
      <w:bookmarkEnd w:id="124"/>
      <w:r/>
      <w:bookmarkEnd w:id="125"/>
      <w:r/>
      <w:bookmarkEnd w:id="126"/>
      <w:r>
        <w:rPr>
          <w:rFonts w:hint="eastAsia" w:ascii="Arial" w:hAnsi="Arial" w:eastAsia="黑体" w:cs="Arial"/>
          <w:sz w:val="28"/>
          <w:szCs w:val="28"/>
          <w:highlight w:val="none"/>
        </w:rPr>
      </w:r>
      <w:r/>
    </w:p>
    <w:p>
      <w:pPr>
        <w:pStyle w:val="654"/>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20.1响应文件的撤回</w:t>
      </w:r>
      <w:r>
        <w:rPr>
          <w:rFonts w:hint="eastAsia" w:ascii="宋体" w:hAnsi="宋体"/>
          <w:sz w:val="24"/>
          <w:szCs w:val="21"/>
          <w:highlight w:val="none"/>
        </w:rPr>
      </w:r>
      <w:r/>
    </w:p>
    <w:p>
      <w:pPr>
        <w:pStyle w:val="654"/>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20.1.1 电子响应文件的撤回</w:t>
      </w:r>
      <w:r>
        <w:rPr>
          <w:rFonts w:hint="eastAsia" w:ascii="宋体" w:hAnsi="宋体"/>
          <w:sz w:val="24"/>
          <w:szCs w:val="21"/>
          <w:highlight w:val="none"/>
        </w:rPr>
      </w:r>
      <w:r/>
    </w:p>
    <w:p>
      <w:pPr>
        <w:pStyle w:val="654"/>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rPr>
          <w:rFonts w:hint="eastAsia" w:ascii="宋体" w:hAnsi="宋体"/>
          <w:sz w:val="24"/>
          <w:szCs w:val="21"/>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20.2响应文件的修改</w:t>
      </w:r>
      <w:r>
        <w:rPr>
          <w:rFonts w:hint="eastAsia" w:ascii="宋体" w:hAnsi="宋体"/>
          <w:sz w:val="24"/>
          <w:szCs w:val="24"/>
          <w:highlight w:val="none"/>
        </w:rPr>
      </w:r>
      <w:r/>
    </w:p>
    <w:p>
      <w:pPr>
        <w:pStyle w:val="654"/>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rPr>
          <w:rFonts w:hint="eastAsia" w:ascii="宋体" w:hAnsi="宋体"/>
          <w:sz w:val="24"/>
          <w:szCs w:val="21"/>
          <w:highlight w:val="none"/>
        </w:rPr>
      </w:r>
      <w:r/>
    </w:p>
    <w:p>
      <w:pPr>
        <w:pStyle w:val="65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20.3</w:t>
      </w:r>
      <w:r>
        <w:rPr>
          <w:rFonts w:hint="eastAsia" w:ascii="宋体" w:hAnsi="宋体"/>
          <w:bCs/>
          <w:sz w:val="24"/>
          <w:szCs w:val="21"/>
          <w:highlight w:val="none"/>
        </w:rPr>
        <w:t xml:space="preserve"> 在提交响应文件截止时间之后，供应商不得对其电子响应文件作任何修改。</w:t>
      </w:r>
      <w:r>
        <w:rPr>
          <w:rFonts w:hint="eastAsia" w:ascii="宋体" w:hAnsi="宋体"/>
          <w:bCs/>
          <w:sz w:val="24"/>
          <w:szCs w:val="21"/>
          <w:highlight w:val="none"/>
        </w:rPr>
      </w:r>
      <w:r/>
    </w:p>
    <w:p>
      <w:pPr>
        <w:pStyle w:val="65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20.4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rPr>
          <w:rFonts w:hint="eastAsia" w:ascii="宋体" w:hAnsi="宋体"/>
          <w:bCs/>
          <w:sz w:val="24"/>
          <w:szCs w:val="21"/>
          <w:highlight w:val="none"/>
        </w:rPr>
      </w:r>
      <w:r/>
    </w:p>
    <w:p>
      <w:pPr>
        <w:pStyle w:val="654"/>
        <w:ind w:firstLine="482"/>
        <w:keepLines/>
        <w:keepNext/>
        <w:spacing w:before="156" w:after="156" w:line="360" w:lineRule="auto"/>
        <w:rPr>
          <w:rFonts w:hint="eastAsia"/>
          <w:b/>
          <w:bCs/>
          <w:sz w:val="32"/>
          <w:szCs w:val="32"/>
          <w:highlight w:val="none"/>
        </w:rPr>
        <w:outlineLvl w:val="2"/>
      </w:pPr>
      <w:r/>
      <w:bookmarkStart w:id="127" w:name="_Toc513029229"/>
      <w:r/>
      <w:bookmarkStart w:id="128" w:name="_Toc16938545"/>
      <w:r/>
      <w:bookmarkStart w:id="129" w:name="_Toc20823301"/>
      <w:r/>
      <w:bookmarkStart w:id="130" w:name="_Toc120614218"/>
      <w:r>
        <w:rPr>
          <w:rFonts w:hint="eastAsia"/>
          <w:b/>
          <w:bCs/>
          <w:sz w:val="32"/>
          <w:szCs w:val="32"/>
          <w:highlight w:val="none"/>
        </w:rPr>
        <w:t xml:space="preserve">五、响应文件的解密与评审</w:t>
      </w:r>
      <w:bookmarkEnd w:id="127"/>
      <w:r/>
      <w:bookmarkEnd w:id="128"/>
      <w:r/>
      <w:bookmarkEnd w:id="129"/>
      <w:r/>
      <w:bookmarkEnd w:id="130"/>
      <w:r>
        <w:rPr>
          <w:rFonts w:hint="eastAsia"/>
          <w:b/>
          <w:bCs/>
          <w:sz w:val="32"/>
          <w:szCs w:val="32"/>
          <w:highlight w:val="none"/>
        </w:rPr>
      </w:r>
      <w:r/>
    </w:p>
    <w:p>
      <w:pPr>
        <w:pStyle w:val="654"/>
        <w:ind w:firstLine="420"/>
        <w:keepLines/>
        <w:keepNext/>
        <w:rPr>
          <w:rFonts w:hint="eastAsia" w:ascii="Arial" w:hAnsi="Arial" w:eastAsia="黑体" w:cs="Arial"/>
          <w:sz w:val="28"/>
          <w:szCs w:val="28"/>
          <w:highlight w:val="none"/>
        </w:rPr>
        <w:outlineLvl w:val="3"/>
      </w:pPr>
      <w:r/>
      <w:bookmarkStart w:id="131" w:name="_Toc16938546"/>
      <w:r/>
      <w:bookmarkStart w:id="132" w:name="_Toc20823302"/>
      <w:r/>
      <w:bookmarkStart w:id="133" w:name="_Toc51302923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w:t>
      </w:r>
      <w:bookmarkEnd w:id="131"/>
      <w:r/>
      <w:bookmarkEnd w:id="132"/>
      <w:r/>
      <w:bookmarkEnd w:id="133"/>
      <w:r>
        <w:rPr>
          <w:rFonts w:hint="eastAsia" w:ascii="Arial" w:hAnsi="Arial" w:eastAsia="黑体" w:cs="Arial"/>
          <w:sz w:val="28"/>
          <w:szCs w:val="28"/>
          <w:highlight w:val="none"/>
        </w:rPr>
        <w:t xml:space="preserve">响应文件解密</w:t>
      </w:r>
      <w:r>
        <w:rPr>
          <w:rFonts w:hint="eastAsia" w:ascii="Arial" w:hAnsi="Arial" w:eastAsia="黑体" w:cs="Arial"/>
          <w:sz w:val="28"/>
          <w:szCs w:val="28"/>
          <w:highlight w:val="none"/>
        </w:rPr>
      </w:r>
      <w:r/>
    </w:p>
    <w:p>
      <w:pPr>
        <w:pStyle w:val="654"/>
        <w:ind w:firstLine="360"/>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rPr>
          <w:rFonts w:hint="eastAsia"/>
          <w:szCs w:val="21"/>
          <w:highlight w:val="none"/>
        </w:rPr>
      </w:r>
      <w:r/>
    </w:p>
    <w:p>
      <w:pPr>
        <w:pStyle w:val="654"/>
        <w:ind w:firstLine="420"/>
        <w:keepLines/>
        <w:keepNext/>
        <w:rPr>
          <w:rFonts w:hint="eastAsia" w:ascii="Arial" w:hAnsi="Arial" w:eastAsia="黑体" w:cs="Arial"/>
          <w:sz w:val="28"/>
          <w:szCs w:val="28"/>
          <w:highlight w:val="none"/>
        </w:rPr>
        <w:outlineLvl w:val="3"/>
      </w:pPr>
      <w:r/>
      <w:bookmarkStart w:id="134" w:name="_Toc16938547"/>
      <w:r/>
      <w:bookmarkStart w:id="135" w:name="_Toc513029231"/>
      <w:r/>
      <w:bookmarkStart w:id="136"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、磋商小组</w:t>
      </w:r>
      <w:r>
        <w:rPr>
          <w:rFonts w:hint="eastAsia" w:ascii="Arial" w:hAnsi="Arial" w:eastAsia="黑体" w:cs="Arial"/>
          <w:sz w:val="28"/>
          <w:szCs w:val="28"/>
          <w:highlight w:val="none"/>
        </w:rPr>
      </w:r>
      <w:r/>
    </w:p>
    <w:p>
      <w:pPr>
        <w:pStyle w:val="654"/>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2</w:t>
      </w:r>
      <w:r>
        <w:rPr>
          <w:rFonts w:hint="eastAsia" w:ascii="宋体" w:hAnsi="宋体"/>
          <w:sz w:val="24"/>
          <w:szCs w:val="24"/>
          <w:highlight w:val="none"/>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highlight w:val="none"/>
        </w:rPr>
      </w:r>
      <w:r/>
    </w:p>
    <w:p>
      <w:pPr>
        <w:pStyle w:val="654"/>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2</w:t>
      </w:r>
      <w:r>
        <w:rPr>
          <w:rFonts w:hint="eastAsia" w:ascii="宋体" w:hAnsi="宋体"/>
          <w:sz w:val="24"/>
          <w:szCs w:val="24"/>
          <w:highlight w:val="none"/>
        </w:rPr>
        <w:t xml:space="preserve">.2磋商小组独立工作，负责评审所有响应文件并确定成交侯选人。</w:t>
      </w:r>
      <w:r>
        <w:rPr>
          <w:rFonts w:hint="eastAsia" w:ascii="宋体" w:hAnsi="宋体"/>
          <w:sz w:val="24"/>
          <w:szCs w:val="24"/>
          <w:highlight w:val="none"/>
        </w:rPr>
      </w:r>
      <w:r/>
    </w:p>
    <w:p>
      <w:pPr>
        <w:pStyle w:val="654"/>
        <w:ind w:firstLine="420"/>
        <w:keepLines/>
        <w:keepNex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3</w:t>
      </w:r>
      <w:r>
        <w:rPr>
          <w:rFonts w:hint="eastAsia" w:ascii="黑体" w:hAnsi="Arial" w:eastAsia="黑体" w:cs="Arial"/>
          <w:sz w:val="28"/>
          <w:szCs w:val="28"/>
          <w:highlight w:val="none"/>
        </w:rPr>
        <w:t xml:space="preserve">、评审过程的保密与公正</w:t>
      </w:r>
      <w:r>
        <w:rPr>
          <w:rFonts w:hint="eastAsia" w:ascii="黑体" w:hAnsi="Arial" w:eastAsia="黑体" w:cs="Arial"/>
          <w:sz w:val="28"/>
          <w:szCs w:val="28"/>
          <w:highlight w:val="none"/>
        </w:rPr>
      </w:r>
      <w:r/>
    </w:p>
    <w:p>
      <w:pPr>
        <w:pStyle w:val="654"/>
        <w:ind w:firstLine="480"/>
        <w:spacing w:line="500" w:lineRule="exact"/>
        <w:rPr>
          <w:rFonts w:hint="eastAsia" w:ascii="宋体" w:hAnsi="宋体"/>
          <w:bCs/>
          <w:sz w:val="24"/>
          <w:szCs w:val="21"/>
          <w:highlight w:val="none"/>
        </w:rPr>
      </w:pPr>
      <w:r/>
      <w:bookmarkEnd w:id="134"/>
      <w:r/>
      <w:bookmarkEnd w:id="135"/>
      <w:r/>
      <w:bookmarkEnd w:id="136"/>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在项目评审期间，采购中心将设专门人员与供应商联系。</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23</w:t>
      </w:r>
      <w:r>
        <w:rPr>
          <w:rFonts w:hint="eastAsia" w:ascii="宋体" w:hAnsi="宋体"/>
          <w:sz w:val="24"/>
          <w:szCs w:val="24"/>
          <w:highlight w:val="none"/>
        </w:rPr>
        <w:t xml:space="preserve">.4 采购中心和磋商小组不向未成交的供应商解释未成交原因，也不公布评审过程中的相关细节。</w:t>
      </w:r>
      <w:r>
        <w:rPr>
          <w:rFonts w:hint="eastAsia" w:ascii="宋体" w:hAnsi="宋体"/>
          <w:sz w:val="24"/>
          <w:szCs w:val="24"/>
          <w:highlight w:val="none"/>
        </w:rPr>
      </w:r>
      <w:r/>
    </w:p>
    <w:p>
      <w:pPr>
        <w:pStyle w:val="654"/>
        <w:ind w:firstLine="420"/>
        <w:keepLines/>
        <w:keepNext/>
        <w:rPr>
          <w:rFonts w:hint="eastAsia" w:ascii="Arial" w:hAnsi="Arial" w:eastAsia="黑体" w:cs="Arial"/>
          <w:sz w:val="28"/>
          <w:szCs w:val="28"/>
          <w:highlight w:val="none"/>
        </w:rPr>
        <w:outlineLvl w:val="3"/>
      </w:pPr>
      <w:r/>
      <w:bookmarkStart w:id="137" w:name="_Toc20823304"/>
      <w:r/>
      <w:bookmarkStart w:id="138" w:name="_Toc513029232"/>
      <w:r/>
      <w:bookmarkStart w:id="139"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4</w:t>
      </w:r>
      <w:r>
        <w:rPr>
          <w:rFonts w:hint="eastAsia" w:ascii="Arial" w:hAnsi="Arial" w:eastAsia="黑体" w:cs="Arial"/>
          <w:sz w:val="28"/>
          <w:szCs w:val="28"/>
          <w:highlight w:val="none"/>
        </w:rPr>
        <w:t xml:space="preserve">、评审过程中的的澄清</w:t>
      </w:r>
      <w:bookmarkEnd w:id="137"/>
      <w:r/>
      <w:bookmarkEnd w:id="138"/>
      <w:r/>
      <w:bookmarkEnd w:id="139"/>
      <w:r>
        <w:rPr>
          <w:rFonts w:hint="eastAsia" w:ascii="Arial" w:hAnsi="Arial" w:eastAsia="黑体" w:cs="Arial"/>
          <w:sz w:val="28"/>
          <w:szCs w:val="28"/>
          <w:highlight w:val="none"/>
        </w:rPr>
      </w:r>
      <w:r/>
    </w:p>
    <w:p>
      <w:pPr>
        <w:pStyle w:val="654"/>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highlight w:val="none"/>
        </w:rPr>
      </w:r>
      <w:r/>
    </w:p>
    <w:p>
      <w:pPr>
        <w:pStyle w:val="654"/>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rPr>
          <w:rFonts w:hint="eastAsia" w:ascii="宋体" w:hAnsi="宋体" w:cs="宋体"/>
          <w:sz w:val="24"/>
          <w:szCs w:val="24"/>
          <w:highlight w:val="none"/>
        </w:rPr>
      </w:r>
      <w:r/>
    </w:p>
    <w:p>
      <w:pPr>
        <w:pStyle w:val="654"/>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24.2需要供应商进行澄清、说明和更正的，磋商小组将通过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rPr>
          <w:rFonts w:hint="eastAsia" w:ascii="宋体" w:hAnsi="宋体" w:cs="宋体"/>
          <w:sz w:val="24"/>
          <w:szCs w:val="24"/>
          <w:highlight w:val="none"/>
        </w:rPr>
      </w:r>
      <w:r/>
    </w:p>
    <w:p>
      <w:pPr>
        <w:pStyle w:val="654"/>
        <w:spacing w:line="480" w:lineRule="exact"/>
        <w:rPr>
          <w:rFonts w:hint="eastAsia" w:ascii="宋体" w:hAnsi="宋体"/>
          <w:sz w:val="24"/>
          <w:szCs w:val="24"/>
          <w:highlight w:val="none"/>
        </w:rPr>
      </w:pPr>
      <w:r>
        <w:rPr>
          <w:rFonts w:hint="eastAsia" w:ascii="宋体" w:hAnsi="宋体"/>
          <w:sz w:val="24"/>
          <w:szCs w:val="24"/>
          <w:highlight w:val="none"/>
        </w:rPr>
        <w:t xml:space="preserve">    24.3 接到磋商小组澄清、说明和更正要求的供应商如未按规定做出澄清、说明和 更正，其风险由供应商自行承担。</w:t>
      </w:r>
      <w:r>
        <w:rPr>
          <w:rFonts w:hint="eastAsia" w:ascii="宋体" w:hAnsi="宋体"/>
          <w:sz w:val="24"/>
          <w:szCs w:val="24"/>
          <w:highlight w:val="none"/>
        </w:rPr>
      </w:r>
      <w:r/>
    </w:p>
    <w:p>
      <w:pPr>
        <w:pStyle w:val="654"/>
        <w:ind w:firstLine="420"/>
        <w:keepLines/>
        <w:keepNext/>
        <w:rPr>
          <w:rFonts w:hint="eastAsia" w:ascii="Arial" w:hAnsi="Arial" w:eastAsia="黑体" w:cs="Arial"/>
          <w:sz w:val="28"/>
          <w:szCs w:val="28"/>
          <w:highlight w:val="none"/>
        </w:rPr>
        <w:outlineLvl w:val="3"/>
      </w:pPr>
      <w:r/>
      <w:bookmarkStart w:id="140" w:name="_Toc513029233"/>
      <w:r/>
      <w:bookmarkStart w:id="141" w:name="_Toc16938549"/>
      <w:r/>
      <w:bookmarkStart w:id="142"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、对响应文件的审</w:t>
      </w:r>
      <w:bookmarkEnd w:id="140"/>
      <w:r/>
      <w:bookmarkEnd w:id="141"/>
      <w:r/>
      <w:bookmarkEnd w:id="142"/>
      <w:r>
        <w:rPr>
          <w:rFonts w:hint="eastAsia" w:ascii="Arial" w:hAnsi="Arial" w:eastAsia="黑体" w:cs="Arial"/>
          <w:sz w:val="28"/>
          <w:szCs w:val="28"/>
          <w:highlight w:val="none"/>
        </w:rPr>
        <w:t xml:space="preserve">查</w:t>
      </w:r>
      <w:r>
        <w:rPr>
          <w:rFonts w:hint="eastAsia" w:ascii="Arial" w:hAnsi="Arial" w:eastAsia="黑体" w:cs="Arial"/>
          <w:sz w:val="28"/>
          <w:szCs w:val="28"/>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25.1</w:t>
      </w:r>
      <w:r>
        <w:rPr>
          <w:rFonts w:hint="eastAsia" w:ascii="宋体" w:hAnsi="宋体"/>
          <w:bCs/>
          <w:sz w:val="24"/>
          <w:szCs w:val="21"/>
          <w:highlight w:val="none"/>
        </w:rPr>
        <w:t xml:space="preserve">响应文件审查分为资格审查和符合性审查。</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sz w:val="24"/>
          <w:szCs w:val="21"/>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25.2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25.3未实质性响应磋商文件的情形</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25.3.2供应商未按照磋商文件要求上传电子响应文件的。</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25.3.3供应商同一</w:t>
      </w:r>
      <w:r>
        <w:rPr>
          <w:rFonts w:ascii="宋体" w:hAnsi="宋体"/>
          <w:bCs/>
          <w:sz w:val="24"/>
          <w:szCs w:val="21"/>
          <w:highlight w:val="none"/>
        </w:rPr>
        <w:t xml:space="preserve">采购包</w:t>
      </w:r>
      <w:r>
        <w:rPr>
          <w:rFonts w:hint="eastAsia" w:ascii="宋体" w:hAnsi="宋体"/>
          <w:bCs/>
          <w:sz w:val="24"/>
          <w:szCs w:val="21"/>
          <w:highlight w:val="none"/>
        </w:rPr>
        <w:t xml:space="preserve">提交两个（含两个）以上不同的响应文件或者最后报价的。</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25.3.4供应商不具备磋商文件中规定资格要求的。</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25.3.5供应商的最后报价超过了采购预算。</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25.3.6不符合磋商文件中规定的实质性要求的</w:t>
      </w:r>
      <w:r>
        <w:rPr>
          <w:rFonts w:hint="eastAsia" w:ascii="宋体" w:hAnsi="宋体"/>
          <w:b/>
          <w:bCs/>
          <w:sz w:val="24"/>
          <w:szCs w:val="21"/>
          <w:highlight w:val="none"/>
        </w:rPr>
        <w:t xml:space="preserve">（本磋商文件中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25.3.8 响应文件含有采购人不能接受的附加条件的。</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w:t>
      </w:r>
      <w:r>
        <w:rPr>
          <w:rFonts w:ascii="宋体" w:hAnsi="宋体"/>
          <w:bCs/>
          <w:sz w:val="24"/>
          <w:szCs w:val="21"/>
          <w:highlight w:val="none"/>
        </w:rPr>
        <w:t xml:space="preserve">9</w:t>
      </w:r>
      <w:r>
        <w:rPr>
          <w:rFonts w:hint="eastAsia" w:ascii="宋体" w:hAnsi="宋体"/>
          <w:bCs/>
          <w:sz w:val="24"/>
          <w:szCs w:val="21"/>
          <w:highlight w:val="none"/>
        </w:rPr>
        <w:t xml:space="preserve">响应文件未按照磋商文件要求加盖CA电子公章的。</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25.4未实质性响应磋商文件的响应文件按无效响应处理。</w:t>
      </w:r>
      <w:r>
        <w:rPr>
          <w:rFonts w:hint="eastAsia" w:ascii="宋体" w:hAnsi="宋体"/>
          <w:bCs/>
          <w:sz w:val="24"/>
          <w:szCs w:val="21"/>
          <w:highlight w:val="none"/>
        </w:rPr>
      </w:r>
      <w:r/>
    </w:p>
    <w:p>
      <w:pPr>
        <w:pStyle w:val="654"/>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25.5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highlight w:val="none"/>
        </w:rPr>
      </w:r>
      <w:r/>
    </w:p>
    <w:p>
      <w:pPr>
        <w:pStyle w:val="654"/>
        <w:ind w:firstLine="480"/>
        <w:spacing w:line="460" w:lineRule="exact"/>
        <w:rPr>
          <w:rFonts w:hint="eastAsia" w:ascii="宋体" w:hAnsi="宋体"/>
          <w:sz w:val="24"/>
          <w:szCs w:val="21"/>
          <w:highlight w:val="none"/>
        </w:rPr>
      </w:pPr>
      <w:r/>
      <w:bookmarkStart w:id="143" w:name="_Toc16938550"/>
      <w:r/>
      <w:bookmarkStart w:id="144" w:name="_Toc513029234"/>
      <w:r/>
      <w:bookmarkStart w:id="145" w:name="_Toc20823306"/>
      <w:r>
        <w:rPr>
          <w:rFonts w:hint="eastAsia" w:ascii="宋体" w:hAnsi="宋体"/>
          <w:sz w:val="24"/>
          <w:szCs w:val="21"/>
          <w:highlight w:val="none"/>
        </w:rPr>
        <w:t xml:space="preserve">25.6供应商在项目评审全过程中应保持通讯畅通，并安排专人与采购中心及磋商小组联系。</w:t>
      </w:r>
      <w:r>
        <w:rPr>
          <w:rFonts w:hint="eastAsia" w:ascii="宋体" w:hAnsi="宋体"/>
          <w:sz w:val="24"/>
          <w:szCs w:val="21"/>
          <w:highlight w:val="none"/>
        </w:rPr>
      </w:r>
      <w:r/>
    </w:p>
    <w:p>
      <w:pPr>
        <w:pStyle w:val="654"/>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43"/>
      <w:r/>
      <w:bookmarkEnd w:id="144"/>
      <w:r/>
      <w:bookmarkEnd w:id="145"/>
      <w:r>
        <w:rPr>
          <w:rFonts w:hint="eastAsia" w:ascii="Arial" w:hAnsi="Arial" w:eastAsia="黑体" w:cs="Arial"/>
          <w:sz w:val="28"/>
          <w:szCs w:val="28"/>
          <w:highlight w:val="none"/>
        </w:rPr>
        <w:t xml:space="preserve">磋商程序及评审方法和评审标准</w:t>
      </w:r>
      <w:r>
        <w:rPr>
          <w:rFonts w:hint="eastAsia" w:ascii="Arial" w:hAnsi="Arial" w:eastAsia="黑体" w:cs="Arial"/>
          <w:sz w:val="28"/>
          <w:szCs w:val="28"/>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26.1磋商程序</w:t>
      </w:r>
      <w:r>
        <w:rPr>
          <w:rFonts w:hint="eastAsia" w:ascii="宋体" w:hAnsi="宋体"/>
          <w:sz w:val="24"/>
          <w:szCs w:val="24"/>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26.1.2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rPr>
          <w:rFonts w:hint="eastAsia" w:ascii="宋体" w:hAnsi="宋体"/>
          <w:sz w:val="24"/>
          <w:szCs w:val="24"/>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highlight w:val="none"/>
        </w:rPr>
      </w:r>
      <w:r/>
    </w:p>
    <w:p>
      <w:pPr>
        <w:pStyle w:val="654"/>
        <w:ind w:firstLine="48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highlight w:val="none"/>
        </w:rPr>
      </w:r>
      <w:r/>
    </w:p>
    <w:p>
      <w:pPr>
        <w:pStyle w:val="654"/>
        <w:ind w:firstLine="477"/>
        <w:spacing w:after="156" w:line="460" w:lineRule="exact"/>
        <w:tabs>
          <w:tab w:val="left" w:pos="900" w:leader="none"/>
        </w:tabs>
        <w:rPr>
          <w:rFonts w:hint="eastAsia" w:ascii="宋体" w:hAnsi="宋体" w:cs="宋体"/>
          <w:sz w:val="24"/>
          <w:szCs w:val="24"/>
          <w:highlight w:val="none"/>
        </w:rPr>
      </w:pPr>
      <w:r>
        <w:rPr>
          <w:rFonts w:hint="eastAsia" w:ascii="宋体" w:hAnsi="宋体"/>
          <w:sz w:val="24"/>
          <w:szCs w:val="24"/>
          <w:highlight w:val="none"/>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w:t>
      </w:r>
      <w:r>
        <w:rPr>
          <w:rFonts w:hint="eastAsia" w:ascii="宋体" w:hAnsi="宋体" w:cs="宋体"/>
          <w:sz w:val="24"/>
          <w:szCs w:val="24"/>
          <w:highlight w:val="none"/>
        </w:rPr>
        <w:t xml:space="preserve">根据磋商情况退出磋商，并在苏采云系统中提交“退出磋商函”并加盖CA电子公章。</w:t>
      </w:r>
      <w:r>
        <w:rPr>
          <w:rFonts w:hint="eastAsia" w:ascii="宋体" w:hAnsi="宋体" w:cs="宋体"/>
          <w:sz w:val="24"/>
          <w:szCs w:val="24"/>
          <w:highlight w:val="none"/>
        </w:rPr>
      </w:r>
      <w:r/>
    </w:p>
    <w:p>
      <w:pPr>
        <w:pStyle w:val="654"/>
        <w:ind w:firstLine="477"/>
        <w:spacing w:after="156"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26.1.4 异常低价响应审查</w:t>
      </w:r>
      <w:r>
        <w:rPr>
          <w:rFonts w:hint="eastAsia" w:ascii="宋体" w:hAnsi="宋体" w:cs="宋体"/>
          <w:sz w:val="24"/>
          <w:szCs w:val="24"/>
          <w:highlight w:val="none"/>
        </w:rPr>
      </w:r>
      <w:r/>
    </w:p>
    <w:p>
      <w:pPr>
        <w:pStyle w:val="654"/>
        <w:ind w:firstLine="477"/>
        <w:spacing w:after="156"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26.1.4.1 供应商最后报价出现下列情形之一的，磋商小组应当启动异常低价响应审查程序：</w:t>
      </w:r>
      <w:r>
        <w:rPr>
          <w:rFonts w:hint="eastAsia" w:ascii="宋体" w:hAnsi="宋体" w:cs="宋体"/>
          <w:sz w:val="24"/>
          <w:szCs w:val="24"/>
          <w:highlight w:val="none"/>
        </w:rPr>
      </w:r>
      <w:r/>
    </w:p>
    <w:p>
      <w:pPr>
        <w:pStyle w:val="654"/>
        <w:ind w:firstLine="477"/>
        <w:spacing w:after="156"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（1）供应商最后报价低于采购项目预算50%的，即最后报价＜采购项目预算×50%；</w:t>
      </w:r>
      <w:r>
        <w:rPr>
          <w:rFonts w:hint="eastAsia" w:ascii="宋体" w:hAnsi="宋体" w:cs="宋体"/>
          <w:sz w:val="24"/>
          <w:szCs w:val="24"/>
          <w:highlight w:val="none"/>
        </w:rPr>
      </w:r>
      <w:r/>
    </w:p>
    <w:p>
      <w:pPr>
        <w:pStyle w:val="654"/>
        <w:ind w:firstLine="477"/>
        <w:spacing w:after="156"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（2）响应报价低于采购项目最高限价45%的，即响应报价＜采购项目最高限价×45%；</w:t>
      </w:r>
      <w:r>
        <w:rPr>
          <w:rFonts w:hint="eastAsia" w:ascii="宋体" w:hAnsi="宋体" w:cs="宋体"/>
          <w:sz w:val="24"/>
          <w:szCs w:val="24"/>
          <w:highlight w:val="none"/>
        </w:rPr>
      </w:r>
      <w:r/>
    </w:p>
    <w:p>
      <w:pPr>
        <w:pStyle w:val="654"/>
        <w:ind w:firstLine="477"/>
        <w:spacing w:after="156"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（3）磋商小组认定的供应商最后报价过低、有可能影响产品质量或者不能诚信履约的其他情形。</w:t>
      </w:r>
      <w:r>
        <w:rPr>
          <w:rFonts w:hint="eastAsia" w:ascii="宋体" w:hAnsi="宋体" w:cs="宋体"/>
          <w:sz w:val="24"/>
          <w:szCs w:val="24"/>
          <w:highlight w:val="none"/>
        </w:rPr>
      </w:r>
      <w:r/>
    </w:p>
    <w:p>
      <w:pPr>
        <w:pStyle w:val="654"/>
        <w:ind w:firstLine="477"/>
        <w:spacing w:after="156"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s="宋体"/>
          <w:sz w:val="24"/>
          <w:szCs w:val="24"/>
          <w:highlight w:val="none"/>
        </w:rPr>
      </w:r>
      <w:r/>
    </w:p>
    <w:p>
      <w:pPr>
        <w:pStyle w:val="654"/>
        <w:ind w:firstLine="477"/>
        <w:spacing w:after="156" w:line="4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26.2 评审方法和评审标准</w:t>
      </w:r>
      <w:r>
        <w:rPr>
          <w:rFonts w:hint="eastAsia" w:ascii="宋体" w:hAnsi="宋体" w:cs="宋体"/>
          <w:sz w:val="24"/>
          <w:szCs w:val="24"/>
          <w:highlight w:val="none"/>
        </w:rPr>
      </w:r>
      <w:r/>
    </w:p>
    <w:p>
      <w:pPr>
        <w:pStyle w:val="654"/>
        <w:ind w:firstLine="477"/>
        <w:spacing w:after="156" w:line="4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sz w:val="24"/>
          <w:szCs w:val="24"/>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26.2.2评审标准</w:t>
      </w:r>
      <w:r>
        <w:rPr>
          <w:rFonts w:hint="eastAsia" w:ascii="宋体" w:hAnsi="宋体"/>
          <w:sz w:val="24"/>
          <w:szCs w:val="24"/>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见本磋商文件第五章规定。</w:t>
      </w:r>
      <w:r>
        <w:rPr>
          <w:rFonts w:hint="eastAsia" w:ascii="宋体" w:hAnsi="宋体"/>
          <w:sz w:val="24"/>
          <w:szCs w:val="24"/>
          <w:highlight w:val="none"/>
        </w:rPr>
      </w:r>
      <w:r/>
    </w:p>
    <w:p>
      <w:pPr>
        <w:pStyle w:val="654"/>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26.3采购活动终止的情况</w:t>
      </w:r>
      <w:r>
        <w:rPr>
          <w:rFonts w:hint="eastAsia" w:ascii="宋体" w:hAnsi="宋体"/>
          <w:sz w:val="24"/>
          <w:szCs w:val="24"/>
          <w:highlight w:val="none"/>
        </w:rPr>
      </w:r>
      <w:r/>
    </w:p>
    <w:p>
      <w:pPr>
        <w:pStyle w:val="654"/>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rPr>
          <w:rFonts w:hint="eastAsia" w:ascii="宋体" w:hAnsi="宋体"/>
          <w:sz w:val="24"/>
          <w:szCs w:val="24"/>
          <w:highlight w:val="none"/>
        </w:rPr>
      </w:r>
      <w:r/>
    </w:p>
    <w:p>
      <w:pPr>
        <w:pStyle w:val="654"/>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26.3.1因情况变化，不再符合规定的竞争性磋商采购方式适用情形的。</w:t>
      </w:r>
      <w:r>
        <w:rPr>
          <w:rFonts w:hint="eastAsia" w:ascii="宋体" w:hAnsi="宋体"/>
          <w:sz w:val="24"/>
          <w:szCs w:val="24"/>
          <w:highlight w:val="none"/>
        </w:rPr>
      </w:r>
      <w:r/>
    </w:p>
    <w:p>
      <w:pPr>
        <w:pStyle w:val="654"/>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26.3.2出现影响采购公正的违法、违规行为的。</w:t>
      </w:r>
      <w:r>
        <w:rPr>
          <w:rFonts w:hint="eastAsia" w:ascii="宋体" w:hAnsi="宋体"/>
          <w:sz w:val="24"/>
          <w:szCs w:val="24"/>
          <w:highlight w:val="none"/>
        </w:rPr>
      </w:r>
      <w:r/>
    </w:p>
    <w:p>
      <w:pPr>
        <w:pStyle w:val="654"/>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highlight w:val="none"/>
        </w:rPr>
      </w:r>
      <w:r/>
    </w:p>
    <w:p>
      <w:pPr>
        <w:pStyle w:val="654"/>
        <w:ind w:firstLine="360"/>
        <w:spacing w:after="156" w:line="4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26.3.4在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rPr>
          <w:rFonts w:hint="eastAsia" w:ascii="宋体" w:hAnsi="宋体" w:cs="宋体"/>
          <w:sz w:val="24"/>
          <w:szCs w:val="24"/>
          <w:highlight w:val="none"/>
        </w:rPr>
      </w:r>
      <w:r/>
    </w:p>
    <w:p>
      <w:pPr>
        <w:pStyle w:val="654"/>
        <w:ind w:firstLine="482"/>
        <w:keepLines/>
        <w:keepNext/>
        <w:spacing w:before="156" w:after="156" w:line="360" w:lineRule="auto"/>
        <w:rPr>
          <w:rFonts w:hint="eastAsia"/>
          <w:b/>
          <w:bCs/>
          <w:sz w:val="32"/>
          <w:szCs w:val="32"/>
          <w:highlight w:val="none"/>
        </w:rPr>
        <w:outlineLvl w:val="2"/>
      </w:pPr>
      <w:r/>
      <w:bookmarkStart w:id="146" w:name="_Toc513029235"/>
      <w:r/>
      <w:bookmarkStart w:id="147" w:name="_Toc20823307"/>
      <w:r/>
      <w:bookmarkStart w:id="148" w:name="_Toc16938551"/>
      <w:r/>
      <w:bookmarkStart w:id="149" w:name="_Toc120614219"/>
      <w:r>
        <w:rPr>
          <w:rFonts w:hint="eastAsia"/>
          <w:b/>
          <w:bCs/>
          <w:sz w:val="32"/>
          <w:szCs w:val="32"/>
          <w:highlight w:val="none"/>
        </w:rPr>
        <w:t xml:space="preserve">六、</w:t>
      </w:r>
      <w:bookmarkEnd w:id="146"/>
      <w:r/>
      <w:bookmarkEnd w:id="147"/>
      <w:r/>
      <w:bookmarkEnd w:id="148"/>
      <w:r/>
      <w:bookmarkEnd w:id="149"/>
      <w:r>
        <w:rPr>
          <w:rFonts w:hint="eastAsia"/>
          <w:b/>
          <w:bCs/>
          <w:sz w:val="32"/>
          <w:szCs w:val="32"/>
          <w:highlight w:val="none"/>
        </w:rPr>
        <w:t xml:space="preserve">成交</w:t>
      </w:r>
      <w:r>
        <w:rPr>
          <w:rFonts w:hint="eastAsia"/>
          <w:b/>
          <w:bCs/>
          <w:sz w:val="32"/>
          <w:szCs w:val="32"/>
          <w:highlight w:val="none"/>
        </w:rPr>
      </w:r>
      <w:r/>
    </w:p>
    <w:p>
      <w:pPr>
        <w:pStyle w:val="654"/>
        <w:ind w:firstLine="600"/>
        <w:keepLines/>
        <w:keepNext/>
        <w:rPr>
          <w:rFonts w:hint="eastAsia" w:ascii="黑体" w:hAnsi="宋体" w:eastAsia="黑体"/>
          <w:bCs/>
          <w:sz w:val="30"/>
          <w:szCs w:val="30"/>
          <w:highlight w:val="none"/>
        </w:rPr>
        <w:outlineLvl w:val="3"/>
      </w:pPr>
      <w:r/>
      <w:bookmarkStart w:id="150" w:name="_Toc513029238"/>
      <w:r/>
      <w:bookmarkStart w:id="151" w:name="_Toc16938554"/>
      <w:r/>
      <w:bookmarkStart w:id="152"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7</w:t>
      </w:r>
      <w:r>
        <w:rPr>
          <w:rFonts w:hint="eastAsia" w:ascii="黑体" w:hAnsi="宋体" w:eastAsia="黑体"/>
          <w:bCs/>
          <w:sz w:val="30"/>
          <w:szCs w:val="30"/>
          <w:highlight w:val="none"/>
        </w:rPr>
        <w:t xml:space="preserve">、</w:t>
      </w:r>
      <w:bookmarkEnd w:id="150"/>
      <w:r>
        <w:rPr>
          <w:rFonts w:hint="eastAsia" w:ascii="黑体" w:hAnsi="宋体" w:eastAsia="黑体"/>
          <w:bCs/>
          <w:sz w:val="30"/>
          <w:szCs w:val="30"/>
          <w:highlight w:val="none"/>
        </w:rPr>
        <w:t xml:space="preserve">确定</w:t>
      </w:r>
      <w:bookmarkEnd w:id="151"/>
      <w:r/>
      <w:bookmarkEnd w:id="152"/>
      <w:r>
        <w:rPr>
          <w:rFonts w:hint="eastAsia" w:ascii="黑体" w:hAnsi="宋体" w:eastAsia="黑体"/>
          <w:bCs/>
          <w:sz w:val="30"/>
          <w:szCs w:val="30"/>
          <w:highlight w:val="none"/>
        </w:rPr>
        <w:t xml:space="preserve">成交单位</w:t>
      </w:r>
      <w:r>
        <w:rPr>
          <w:rFonts w:hint="eastAsia" w:ascii="黑体" w:hAnsi="宋体" w:eastAsia="黑体"/>
          <w:bCs/>
          <w:sz w:val="30"/>
          <w:szCs w:val="30"/>
          <w:highlight w:val="none"/>
        </w:rPr>
      </w:r>
      <w:r/>
    </w:p>
    <w:p>
      <w:pPr>
        <w:pStyle w:val="654"/>
        <w:ind w:firstLine="477"/>
        <w:spacing w:after="156" w:line="56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27.1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27.3若有充分证据证明，成交供应商出现下列情况之一的，一经查实，将被取消成交资格：</w:t>
      </w:r>
      <w:r>
        <w:rPr>
          <w:rFonts w:hint="eastAsia" w:ascii="宋体" w:hAnsi="宋体"/>
          <w:bCs/>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27.3.1提供虚假材料谋取成交的。</w:t>
      </w:r>
      <w:r>
        <w:rPr>
          <w:rFonts w:hint="eastAsia" w:ascii="宋体" w:hAnsi="宋体"/>
          <w:bCs/>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27.3.2与评审专家、采购人、其他供应商或者采购中心工作人员恶意串通的。</w:t>
      </w:r>
      <w:r>
        <w:rPr>
          <w:rFonts w:hint="eastAsia" w:ascii="宋体" w:hAnsi="宋体"/>
          <w:bCs/>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27.3.3向评审专家、采购人或采购中心工作人员行贿或者提供其他不正当利益的。</w:t>
      </w:r>
      <w:r>
        <w:rPr>
          <w:rFonts w:hint="eastAsia" w:ascii="宋体" w:hAnsi="宋体"/>
          <w:bCs/>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27.3.4恶意竞争，最后报价明显低于其自身合理成本且又无法提供证明的。</w:t>
      </w:r>
      <w:r>
        <w:rPr>
          <w:rFonts w:hint="eastAsia" w:ascii="宋体" w:hAnsi="宋体"/>
          <w:bCs/>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27.3.5不满足本磋商文件规定的实质性要求，但在评审过程中又未被磋商小组发现的。</w:t>
      </w:r>
      <w:r>
        <w:rPr>
          <w:rFonts w:hint="eastAsia" w:ascii="宋体" w:hAnsi="宋体"/>
          <w:bCs/>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27.3.6成交后无正当理由拒不与采购人签订政府采购合同或者未按照磋商文件确定的事项签订政府采购合同的。</w:t>
      </w:r>
      <w:r>
        <w:rPr>
          <w:rFonts w:hint="eastAsia" w:ascii="宋体" w:hAnsi="宋体"/>
          <w:bCs/>
          <w:sz w:val="24"/>
          <w:szCs w:val="21"/>
          <w:highlight w:val="none"/>
        </w:rPr>
      </w:r>
      <w:r/>
    </w:p>
    <w:p>
      <w:pPr>
        <w:pStyle w:val="654"/>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27.3.7将政府采购合同转包的。</w:t>
      </w:r>
      <w:r>
        <w:rPr>
          <w:rFonts w:hint="eastAsia" w:ascii="宋体" w:hAnsi="宋体"/>
          <w:bCs/>
          <w:sz w:val="24"/>
          <w:szCs w:val="21"/>
          <w:highlight w:val="none"/>
        </w:rPr>
      </w:r>
      <w:r/>
    </w:p>
    <w:p>
      <w:pPr>
        <w:pStyle w:val="654"/>
        <w:ind w:firstLine="600"/>
        <w:keepLines/>
        <w:keepNext/>
        <w:rPr>
          <w:rFonts w:hint="eastAsia" w:ascii="黑体" w:hAnsi="宋体" w:eastAsia="黑体"/>
          <w:bCs/>
          <w:sz w:val="30"/>
          <w:szCs w:val="30"/>
          <w:highlight w:val="none"/>
        </w:rPr>
        <w:outlineLvl w:val="3"/>
      </w:pPr>
      <w:r/>
      <w:bookmarkStart w:id="153" w:name="_Toc200451960"/>
      <w:r>
        <w:rPr>
          <w:rFonts w:ascii="黑体" w:hAnsi="宋体" w:eastAsia="黑体"/>
          <w:bCs/>
          <w:sz w:val="30"/>
          <w:szCs w:val="30"/>
          <w:highlight w:val="none"/>
        </w:rPr>
        <w:t xml:space="preserve">28</w:t>
      </w:r>
      <w:r>
        <w:rPr>
          <w:rFonts w:hint="eastAsia" w:ascii="黑体" w:hAnsi="宋体" w:eastAsia="黑体"/>
          <w:bCs/>
          <w:sz w:val="30"/>
          <w:szCs w:val="30"/>
          <w:highlight w:val="none"/>
        </w:rPr>
        <w:t xml:space="preserve">、质疑处理</w:t>
      </w:r>
      <w:bookmarkEnd w:id="153"/>
      <w:r>
        <w:rPr>
          <w:rFonts w:hint="eastAsia" w:ascii="黑体" w:hAnsi="宋体" w:eastAsia="黑体"/>
          <w:bCs/>
          <w:sz w:val="30"/>
          <w:szCs w:val="30"/>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highlight w:val="none"/>
        </w:rPr>
      </w:r>
      <w:r/>
    </w:p>
    <w:p>
      <w:pPr>
        <w:pStyle w:val="654"/>
        <w:ind w:firstLine="480"/>
        <w:spacing w:line="480" w:lineRule="exact"/>
        <w:rPr>
          <w:rFonts w:hint="eastAsia" w:hAnsi="宋体" w:cs="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t xml:space="preserve">。</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28.</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t xml:space="preserve">。</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28.</w:t>
      </w:r>
      <w:r>
        <w:rPr>
          <w:rFonts w:hint="eastAsia" w:ascii="宋体" w:hAnsi="宋体"/>
          <w:sz w:val="24"/>
          <w:szCs w:val="24"/>
          <w:highlight w:val="none"/>
        </w:rPr>
        <w:t xml:space="preserve">2.3</w:t>
      </w:r>
      <w:r>
        <w:rPr>
          <w:rFonts w:hAnsi="宋体" w:cs="宋体"/>
          <w:sz w:val="24"/>
          <w:szCs w:val="24"/>
          <w:highlight w:val="none"/>
        </w:rPr>
        <w:t xml:space="preserve">对成交结果提出质疑的，为成交结果公告期限届满之日。</w:t>
      </w:r>
      <w:r>
        <w:rPr>
          <w:rFonts w:hint="eastAsia" w:hAnsi="宋体" w:cs="宋体"/>
          <w:sz w:val="24"/>
          <w:szCs w:val="24"/>
          <w:highlight w:val="none"/>
        </w:rPr>
      </w:r>
      <w:r/>
    </w:p>
    <w:p>
      <w:pPr>
        <w:pStyle w:val="654"/>
        <w:ind w:firstLine="480"/>
        <w:spacing w:line="48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rFonts w:hint="eastAsia" w:hAnsi="宋体" w:cs="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highlight w:val="none"/>
        </w:rPr>
      </w:r>
      <w:r/>
    </w:p>
    <w:p>
      <w:pPr>
        <w:pStyle w:val="654"/>
        <w:ind w:firstLine="480"/>
        <w:spacing w:line="48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评审方法与评审标准</w:t>
      </w:r>
      <w:r>
        <w:rPr>
          <w:rFonts w:ascii="宋体" w:hAnsi="宋体"/>
          <w:sz w:val="24"/>
          <w:szCs w:val="24"/>
          <w:highlight w:val="none"/>
        </w:rPr>
        <w:t xml:space="preserve">、合同文本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w:t>
      </w:r>
      <w:r>
        <w:rPr>
          <w:rFonts w:ascii="宋体" w:hAnsi="宋体"/>
          <w:sz w:val="24"/>
          <w:szCs w:val="24"/>
          <w:highlight w:val="none"/>
        </w:rPr>
        <w:t xml:space="preserve">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rFonts w:ascii="宋体" w:hAnsi="宋体"/>
          <w:b/>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采购人质疑接收人及联系方式见本磋商文件第一章。</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5.4 未参加磋商活动的供应商或在磋商活动中自身权益未受到损害的供应商所提出的质疑。</w:t>
      </w:r>
      <w:r>
        <w:rPr>
          <w:rFonts w:hint="eastAsia" w:ascii="宋体" w:hAnsi="宋体"/>
          <w:sz w:val="24"/>
          <w:szCs w:val="24"/>
          <w:highlight w:val="none"/>
        </w:rPr>
      </w:r>
      <w:r/>
    </w:p>
    <w:p>
      <w:pPr>
        <w:pStyle w:val="654"/>
        <w:ind w:firstLine="480"/>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5.5供应商组成联合体参加磋商，联合体中任何一方或多方未按要求签字、盖章、加盖公章的质疑。</w:t>
      </w:r>
      <w:r>
        <w:rPr>
          <w:rFonts w:hint="eastAsia" w:ascii="宋体" w:hAnsi="宋体"/>
          <w:sz w:val="24"/>
          <w:szCs w:val="24"/>
          <w:highlight w:val="none"/>
        </w:rPr>
      </w:r>
      <w:r/>
    </w:p>
    <w:p>
      <w:pPr>
        <w:pStyle w:val="654"/>
        <w:ind w:firstLine="468"/>
        <w:spacing w:line="480" w:lineRule="exact"/>
        <w:rPr>
          <w:rFonts w:hint="eastAsia"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654"/>
        <w:ind w:firstLine="600"/>
        <w:keepLines/>
        <w:keepNex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、成交通知书</w:t>
      </w:r>
      <w:r>
        <w:rPr>
          <w:rFonts w:hint="eastAsia" w:ascii="黑体" w:hAnsi="宋体" w:eastAsia="黑体"/>
          <w:bCs/>
          <w:sz w:val="30"/>
          <w:szCs w:val="30"/>
          <w:highlight w:val="none"/>
        </w:rPr>
      </w:r>
      <w:r/>
    </w:p>
    <w:p>
      <w:pPr>
        <w:pStyle w:val="654"/>
        <w:ind w:firstLine="600"/>
        <w:spacing w:line="480" w:lineRule="exact"/>
        <w:rPr>
          <w:rFonts w:hint="eastAsia" w:ascii="宋体" w:hAnsi="宋体"/>
          <w:sz w:val="24"/>
          <w:szCs w:val="24"/>
          <w:highlight w:val="none"/>
        </w:rPr>
      </w:pPr>
      <w:r>
        <w:rPr>
          <w:rFonts w:ascii="宋体" w:hAnsi="宋体"/>
          <w:sz w:val="24"/>
          <w:szCs w:val="24"/>
          <w:highlight w:val="none"/>
        </w:rPr>
        <w:t xml:space="preserve">29.1</w:t>
      </w:r>
      <w:r>
        <w:rPr>
          <w:rFonts w:hint="eastAsia" w:ascii="宋体" w:hAnsi="宋体"/>
          <w:sz w:val="24"/>
          <w:szCs w:val="24"/>
          <w:highlight w:val="none"/>
        </w:rPr>
        <w:t xml:space="preserve">成交结果确定后，采购中心将向成交供应商发出成交通知书。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rPr>
          <w:rFonts w:hint="eastAsia" w:ascii="宋体" w:hAnsi="宋体"/>
          <w:sz w:val="24"/>
          <w:szCs w:val="24"/>
          <w:highlight w:val="none"/>
        </w:rPr>
      </w:r>
      <w:r/>
    </w:p>
    <w:p>
      <w:pPr>
        <w:pStyle w:val="654"/>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highlight w:val="none"/>
        </w:rPr>
      </w:r>
      <w:r/>
    </w:p>
    <w:p>
      <w:pPr>
        <w:pStyle w:val="654"/>
        <w:keepLines/>
        <w:keepNext/>
        <w:spacing w:before="156" w:after="156" w:line="360" w:lineRule="auto"/>
        <w:rPr>
          <w:rFonts w:hint="eastAsia"/>
          <w:b/>
          <w:bCs/>
          <w:sz w:val="32"/>
          <w:szCs w:val="32"/>
          <w:highlight w:val="none"/>
        </w:rPr>
        <w:outlineLvl w:val="2"/>
      </w:pPr>
      <w:r/>
      <w:bookmarkStart w:id="154" w:name="_Toc120614220"/>
      <w:r/>
      <w:bookmarkStart w:id="155" w:name="_Toc20823308"/>
      <w:r/>
      <w:bookmarkStart w:id="156" w:name="_Toc513029236"/>
      <w:r/>
      <w:bookmarkStart w:id="157" w:name="_Toc16938552"/>
      <w:r>
        <w:rPr>
          <w:rFonts w:hint="eastAsia"/>
          <w:b/>
          <w:bCs/>
          <w:sz w:val="32"/>
          <w:szCs w:val="32"/>
          <w:highlight w:val="none"/>
        </w:rPr>
        <w:t xml:space="preserve">七、授予合同</w:t>
      </w:r>
      <w:bookmarkEnd w:id="154"/>
      <w:r>
        <w:rPr>
          <w:rFonts w:hint="eastAsia"/>
          <w:b/>
          <w:bCs/>
          <w:sz w:val="32"/>
          <w:szCs w:val="32"/>
          <w:highlight w:val="none"/>
        </w:rPr>
      </w:r>
      <w:r/>
    </w:p>
    <w:p>
      <w:pPr>
        <w:pStyle w:val="654"/>
        <w:ind w:firstLine="600"/>
        <w:keepLines/>
        <w:keepNext/>
        <w:rPr>
          <w:rFonts w:hint="eastAsia" w:ascii="黑体" w:hAnsi="宋体" w:eastAsia="黑体"/>
          <w:bCs/>
          <w:sz w:val="30"/>
          <w:szCs w:val="30"/>
          <w:highlight w:val="none"/>
        </w:rPr>
        <w:outlineLvl w:val="3"/>
      </w:pPr>
      <w:r/>
      <w:bookmarkEnd w:id="155"/>
      <w:r/>
      <w:bookmarkEnd w:id="156"/>
      <w:r/>
      <w:bookmarkEnd w:id="157"/>
      <w:r/>
      <w:bookmarkStart w:id="158" w:name="_Toc20823309"/>
      <w:r/>
      <w:bookmarkStart w:id="159" w:name="_Toc513029237"/>
      <w:r/>
      <w:bookmarkStart w:id="160" w:name="_Toc16938553"/>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 签订合同</w:t>
      </w:r>
      <w:r>
        <w:rPr>
          <w:rFonts w:hint="eastAsia" w:ascii="黑体" w:hAnsi="宋体" w:eastAsia="黑体"/>
          <w:bCs/>
          <w:sz w:val="30"/>
          <w:szCs w:val="30"/>
          <w:highlight w:val="none"/>
        </w:rPr>
      </w:r>
      <w:r/>
    </w:p>
    <w:p>
      <w:pPr>
        <w:pStyle w:val="654"/>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0</w:t>
      </w:r>
      <w:r>
        <w:rPr>
          <w:rFonts w:hint="eastAsia" w:ascii="宋体" w:hAnsi="宋体"/>
          <w:sz w:val="24"/>
          <w:szCs w:val="24"/>
          <w:highlight w:val="none"/>
        </w:rPr>
        <w:t xml:space="preserve">.l成交供应商应当在成交通知书发出之日起三十日内，按照磋商文件确定的事项与采购人签订政府采购合同。</w:t>
      </w:r>
      <w:r>
        <w:rPr>
          <w:rFonts w:hint="eastAsia" w:ascii="宋体" w:hAnsi="宋体"/>
          <w:sz w:val="24"/>
          <w:szCs w:val="24"/>
          <w:highlight w:val="none"/>
        </w:rPr>
      </w:r>
      <w:r/>
    </w:p>
    <w:p>
      <w:pPr>
        <w:pStyle w:val="654"/>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.2磋商文件、成交供应商的响应文件及磋商过程中有关澄清、承诺文件均应作为合同附件。</w:t>
      </w:r>
      <w:r>
        <w:rPr>
          <w:rFonts w:hint="eastAsia" w:ascii="宋体" w:hAnsi="宋体"/>
          <w:sz w:val="24"/>
          <w:szCs w:val="24"/>
          <w:highlight w:val="none"/>
        </w:rPr>
      </w:r>
      <w:r/>
    </w:p>
    <w:p>
      <w:pPr>
        <w:pStyle w:val="654"/>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r>
      <w:r/>
    </w:p>
    <w:p>
      <w:pPr>
        <w:pStyle w:val="654"/>
        <w:ind w:firstLine="600"/>
        <w:keepLines/>
        <w:keepNex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、标的物的追加</w:t>
      </w:r>
      <w:r>
        <w:rPr>
          <w:rFonts w:hint="eastAsia" w:ascii="黑体" w:hAnsi="宋体" w:eastAsia="黑体"/>
          <w:bCs/>
          <w:sz w:val="30"/>
          <w:szCs w:val="30"/>
          <w:highlight w:val="none"/>
        </w:rPr>
      </w:r>
      <w:r/>
    </w:p>
    <w:p>
      <w:pPr>
        <w:pStyle w:val="65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highlight w:val="none"/>
        </w:rPr>
      </w:r>
      <w:r/>
    </w:p>
    <w:p>
      <w:pPr>
        <w:pStyle w:val="654"/>
        <w:ind w:firstLine="600"/>
        <w:keepLines/>
        <w:keepNext/>
        <w:rPr>
          <w:rFonts w:ascii="黑体" w:hAnsi="宋体" w:eastAsia="黑体"/>
          <w:bCs/>
          <w:sz w:val="30"/>
          <w:szCs w:val="30"/>
          <w:highlight w:val="none"/>
        </w:rPr>
        <w:outlineLvl w:val="3"/>
      </w:pPr>
      <w:r/>
      <w:bookmarkEnd w:id="158"/>
      <w:r/>
      <w:bookmarkEnd w:id="159"/>
      <w:r/>
      <w:bookmarkEnd w:id="160"/>
      <w:r/>
      <w:bookmarkStart w:id="161" w:name="_Toc20823314"/>
      <w:r/>
      <w:bookmarkStart w:id="162" w:name="_Toc513029242"/>
      <w:r/>
      <w:bookmarkStart w:id="163" w:name="_Toc16938558"/>
      <w:r/>
      <w:bookmarkStart w:id="164" w:name="_Toc120614221"/>
      <w:r/>
      <w:bookmarkStart w:id="165" w:name="_Toc47975720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、政府采购履约资金扶持政策</w:t>
      </w:r>
      <w:r>
        <w:rPr>
          <w:rFonts w:ascii="黑体" w:hAnsi="宋体" w:eastAsia="黑体"/>
          <w:bCs/>
          <w:sz w:val="30"/>
          <w:szCs w:val="30"/>
          <w:highlight w:val="none"/>
        </w:rPr>
      </w:r>
      <w:r/>
    </w:p>
    <w:p>
      <w:pPr>
        <w:pStyle w:val="654"/>
        <w:ind w:firstLine="555"/>
        <w:spacing w:line="500" w:lineRule="exact"/>
        <w:rPr>
          <w:rFonts w:hint="eastAsia" w:ascii="宋体" w:hAnsi="宋体"/>
          <w:bCs/>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r>
        <w:rPr>
          <w:rFonts w:hint="eastAsia" w:ascii="宋体" w:hAnsi="宋体"/>
          <w:bCs/>
          <w:sz w:val="24"/>
          <w:szCs w:val="24"/>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ind w:firstLine="2640"/>
        <w:keepNext/>
        <w:rPr>
          <w:rFonts w:hint="eastAsia" w:ascii="黑体" w:eastAsia="黑体"/>
          <w:bCs/>
          <w:sz w:val="44"/>
          <w:szCs w:val="28"/>
          <w:highlight w:val="none"/>
        </w:rPr>
        <w:outlineLvl w:val="0"/>
      </w:pPr>
      <w:r>
        <w:rPr>
          <w:rFonts w:hint="eastAsia" w:ascii="黑体" w:eastAsia="黑体"/>
          <w:bCs/>
          <w:sz w:val="44"/>
          <w:szCs w:val="28"/>
          <w:highlight w:val="none"/>
        </w:rPr>
        <w:t xml:space="preserve">第三章  合同</w:t>
      </w:r>
      <w:bookmarkEnd w:id="161"/>
      <w:r/>
      <w:bookmarkEnd w:id="162"/>
      <w:r/>
      <w:bookmarkEnd w:id="163"/>
      <w:r/>
      <w:bookmarkEnd w:id="164"/>
      <w:r/>
      <w:bookmarkEnd w:id="165"/>
      <w:r>
        <w:rPr>
          <w:rFonts w:hint="eastAsia" w:ascii="黑体" w:eastAsia="黑体"/>
          <w:bCs/>
          <w:sz w:val="44"/>
          <w:szCs w:val="28"/>
          <w:highlight w:val="none"/>
        </w:rPr>
        <w:t xml:space="preserve">文本</w:t>
      </w:r>
      <w:r>
        <w:rPr>
          <w:rFonts w:hint="eastAsia" w:ascii="黑体" w:eastAsia="黑体"/>
          <w:bCs/>
          <w:sz w:val="44"/>
          <w:szCs w:val="28"/>
          <w:highlight w:val="none"/>
        </w:rPr>
      </w:r>
      <w:r/>
    </w:p>
    <w:p>
      <w:pPr>
        <w:pStyle w:val="654"/>
        <w:spacing w:line="400" w:lineRule="exact"/>
        <w:rPr>
          <w:rFonts w:ascii="宋体" w:hAnsi="宋体"/>
          <w:bCs/>
          <w:color w:val="000000"/>
          <w:sz w:val="24"/>
          <w:szCs w:val="24"/>
          <w:highlight w:val="none"/>
        </w:rPr>
      </w:pPr>
      <w:r/>
      <w:bookmarkStart w:id="166" w:name="_Toc16938559"/>
      <w:r/>
      <w:bookmarkStart w:id="167" w:name="_Toc20823315"/>
      <w:r/>
      <w:bookmarkStart w:id="168" w:name="_Toc513029243"/>
      <w:r>
        <w:rPr>
          <w:rFonts w:ascii="宋体" w:hAnsi="宋体"/>
          <w:bCs/>
          <w:color w:val="000000"/>
          <w:sz w:val="24"/>
          <w:szCs w:val="24"/>
          <w:highlight w:val="none"/>
        </w:rPr>
      </w:r>
      <w:r/>
    </w:p>
    <w:p>
      <w:pPr>
        <w:pStyle w:val="654"/>
        <w:jc w:val="center"/>
        <w:spacing w:before="156" w:after="156"/>
        <w:rPr>
          <w:rFonts w:ascii="宋体" w:hAnsi="宋体"/>
          <w:b/>
          <w:sz w:val="30"/>
          <w:szCs w:val="21"/>
          <w:highlight w:val="none"/>
        </w:rPr>
        <w:outlineLvl w:val="0"/>
      </w:pPr>
      <w:r>
        <w:rPr>
          <w:rFonts w:hint="eastAsia" w:ascii="宋体" w:hAnsi="宋体"/>
          <w:b/>
          <w:sz w:val="30"/>
          <w:szCs w:val="21"/>
          <w:highlight w:val="none"/>
        </w:rPr>
        <w:t xml:space="preserve">江苏省政府采购合同（合同编号）</w:t>
      </w:r>
      <w:r>
        <w:rPr>
          <w:rFonts w:ascii="宋体" w:hAnsi="宋体"/>
          <w:b/>
          <w:sz w:val="30"/>
          <w:szCs w:val="21"/>
          <w:highlight w:val="none"/>
        </w:rPr>
      </w:r>
      <w:r/>
    </w:p>
    <w:p>
      <w:pPr>
        <w:pStyle w:val="654"/>
        <w:jc w:val="center"/>
        <w:spacing w:before="156" w:after="156"/>
        <w:rPr>
          <w:rFonts w:hint="eastAsia" w:ascii="宋体" w:hAnsi="宋体"/>
          <w:b/>
          <w:bCs/>
          <w:sz w:val="30"/>
          <w:szCs w:val="20"/>
          <w:highlight w:val="none"/>
        </w:rPr>
        <w:outlineLvl w:val="0"/>
      </w:pPr>
      <w:r>
        <w:rPr>
          <w:rFonts w:hint="eastAsia" w:ascii="宋体" w:hAnsi="宋体"/>
          <w:b/>
          <w:sz w:val="30"/>
          <w:szCs w:val="21"/>
          <w:highlight w:val="none"/>
        </w:rPr>
        <w:t xml:space="preserve">（适用于服务类项目）</w:t>
      </w:r>
      <w:r>
        <w:rPr>
          <w:rFonts w:hint="eastAsia" w:ascii="宋体" w:hAnsi="宋体"/>
          <w:b/>
          <w:bCs/>
          <w:sz w:val="30"/>
          <w:szCs w:val="20"/>
          <w:highlight w:val="none"/>
        </w:rPr>
      </w:r>
      <w:r/>
    </w:p>
    <w:p>
      <w:pPr>
        <w:pStyle w:val="692"/>
        <w:ind w:firstLine="480"/>
        <w:spacing w:line="560" w:lineRule="exact"/>
        <w:rPr>
          <w:rFonts w:hint="eastAsia" w:hAnsi="宋体" w:cs="宋体"/>
          <w:sz w:val="24"/>
          <w:szCs w:val="24"/>
          <w:highlight w:val="none"/>
        </w:rPr>
      </w:pPr>
      <w:r>
        <w:rPr>
          <w:rFonts w:hint="eastAsia" w:hAnsi="宋体" w:cs="宋体"/>
          <w:sz w:val="24"/>
          <w:szCs w:val="24"/>
          <w:highlight w:val="none"/>
        </w:rPr>
        <w:t xml:space="preserve">项目名称：江苏省医保垂直大模型项目</w:t>
      </w:r>
      <w:r>
        <w:rPr>
          <w:rFonts w:hint="eastAsia" w:hAnsi="宋体" w:cs="宋体"/>
          <w:sz w:val="24"/>
          <w:szCs w:val="24"/>
          <w:highlight w:val="none"/>
        </w:rPr>
      </w:r>
      <w:r/>
    </w:p>
    <w:p>
      <w:pPr>
        <w:pStyle w:val="692"/>
        <w:ind w:firstLine="480"/>
        <w:spacing w:line="560" w:lineRule="exact"/>
        <w:rPr>
          <w:rFonts w:hint="eastAsia" w:hAnsi="宋体" w:cs="宋体"/>
          <w:sz w:val="24"/>
          <w:szCs w:val="24"/>
          <w:highlight w:val="none"/>
        </w:rPr>
      </w:pPr>
      <w:r>
        <w:rPr>
          <w:rFonts w:hint="eastAsia" w:hAnsi="宋体" w:cs="宋体"/>
          <w:sz w:val="24"/>
          <w:szCs w:val="24"/>
          <w:highlight w:val="none"/>
        </w:rPr>
        <w:t xml:space="preserve">项目编号：</w:t>
      </w:r>
      <w:r>
        <w:rPr>
          <w:rFonts w:hint="eastAsia" w:hAnsi="宋体" w:cs="宋体"/>
          <w:sz w:val="24"/>
          <w:szCs w:val="24"/>
          <w:highlight w:val="none"/>
        </w:rPr>
      </w:r>
      <w:r/>
    </w:p>
    <w:p>
      <w:pPr>
        <w:pStyle w:val="692"/>
        <w:ind w:firstLine="480"/>
        <w:spacing w:line="560" w:lineRule="exact"/>
        <w:rPr>
          <w:rFonts w:hint="eastAsia" w:hAnsi="宋体" w:cs="宋体"/>
          <w:sz w:val="24"/>
          <w:szCs w:val="24"/>
          <w:highlight w:val="none"/>
        </w:rPr>
      </w:pPr>
      <w:r>
        <w:rPr>
          <w:rFonts w:hint="eastAsia" w:hAnsi="宋体" w:cs="宋体"/>
          <w:sz w:val="24"/>
          <w:szCs w:val="24"/>
          <w:highlight w:val="none"/>
        </w:rPr>
        <w:t xml:space="preserve">甲方：（买方）江苏省医疗保障局</w:t>
      </w:r>
      <w:r>
        <w:rPr>
          <w:rFonts w:hint="eastAsia" w:hAnsi="宋体" w:cs="宋体"/>
          <w:sz w:val="24"/>
          <w:szCs w:val="24"/>
          <w:highlight w:val="none"/>
        </w:rPr>
      </w:r>
      <w:r/>
    </w:p>
    <w:p>
      <w:pPr>
        <w:pStyle w:val="692"/>
        <w:ind w:firstLine="480"/>
        <w:spacing w:line="560" w:lineRule="exact"/>
        <w:rPr>
          <w:rFonts w:hint="eastAsia" w:hAnsi="宋体" w:cs="宋体"/>
          <w:sz w:val="24"/>
          <w:szCs w:val="24"/>
          <w:highlight w:val="none"/>
        </w:rPr>
      </w:pPr>
      <w:r>
        <w:rPr>
          <w:rFonts w:hint="eastAsia" w:hAnsi="宋体" w:cs="宋体"/>
          <w:sz w:val="24"/>
          <w:szCs w:val="24"/>
          <w:highlight w:val="none"/>
        </w:rPr>
        <w:t xml:space="preserve">乙方：（卖方）</w:t>
      </w:r>
      <w:r>
        <w:rPr>
          <w:rFonts w:hint="eastAsia" w:hAnsi="宋体" w:cs="宋体"/>
          <w:sz w:val="24"/>
          <w:szCs w:val="24"/>
          <w:highlight w:val="none"/>
          <w:u w:val="single"/>
        </w:rPr>
        <w:t xml:space="preserve">                    </w:t>
      </w:r>
      <w:r>
        <w:rPr>
          <w:rFonts w:hint="eastAsia" w:hAnsi="宋体" w:cs="宋体"/>
          <w:sz w:val="24"/>
          <w:szCs w:val="24"/>
          <w:highlight w:val="none"/>
        </w:rPr>
      </w:r>
      <w:r/>
    </w:p>
    <w:p>
      <w:pPr>
        <w:pStyle w:val="692"/>
        <w:ind w:firstLine="552"/>
        <w:spacing w:line="560" w:lineRule="exact"/>
        <w:rPr>
          <w:rFonts w:hint="eastAsia" w:hAnsi="宋体" w:cs="宋体"/>
          <w:b/>
          <w:sz w:val="24"/>
          <w:szCs w:val="24"/>
          <w:highlight w:val="none"/>
        </w:rPr>
      </w:pPr>
      <w:r>
        <w:rPr>
          <w:rFonts w:hint="eastAsia" w:hAnsi="宋体" w:cs="宋体"/>
          <w:sz w:val="24"/>
          <w:szCs w:val="24"/>
          <w:highlight w:val="none"/>
        </w:rPr>
        <w:t xml:space="preserve">甲、乙双方根据江苏省政府采购中心</w:t>
      </w:r>
      <w:r>
        <w:rPr>
          <w:rFonts w:hint="eastAsia" w:hAnsi="宋体" w:cs="宋体"/>
          <w:sz w:val="24"/>
          <w:szCs w:val="24"/>
          <w:highlight w:val="none"/>
        </w:rPr>
        <w:t xml:space="preserve">江苏省医保垂直大模型项目公开招标的结果，签署本合同。</w:t>
      </w:r>
      <w:r>
        <w:rPr>
          <w:rFonts w:hint="eastAsia" w:hAnsi="宋体" w:cs="宋体"/>
          <w:b/>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一、合同内容</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1.1 标的名称：江苏省医保垂直大模型项目</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1.2 标的质量：按磋商文件第四章“采购需求”要求，若无特殊说明，则按国家有关部门最新颁布的标准及规范为准。</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 标的数量（规模）：1套</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1.4 服务期限：乙方应自合同签订之日起6个月内完成江苏省医保垂直大模型项目开发上线，乙方完成的项目建设内容经甲方验收合格且交付使用后，乙方应自项目验收合格之日起提供2年运维服务。</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1.5 履行地点：甲方指定</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1.6 服务内容及履行方式：甲方指定，并且乙方应按照招投标文件的要求提供服务，包括但不限于磋商文件第四章采购需求中第三条关于建设内容的要求，第五条关于技术方面的要求，以及第六条约定的其他要求等。</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二、合同金额</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2.1 本合同金额为人民币</w:t>
      </w:r>
      <w:r>
        <w:rPr>
          <w:rFonts w:hint="eastAsia" w:hAnsi="宋体" w:cs="宋体"/>
          <w:sz w:val="24"/>
          <w:szCs w:val="24"/>
          <w:highlight w:val="none"/>
          <w:u w:val="single"/>
        </w:rPr>
        <w:t xml:space="preserve">      </w:t>
      </w:r>
      <w:r>
        <w:rPr>
          <w:rFonts w:hint="eastAsia" w:hAnsi="宋体" w:cs="宋体"/>
          <w:sz w:val="24"/>
          <w:szCs w:val="24"/>
          <w:highlight w:val="none"/>
        </w:rPr>
        <w:t xml:space="preserve">元（含税），大写</w:t>
      </w:r>
      <w:r>
        <w:rPr>
          <w:rFonts w:hint="eastAsia" w:hAnsi="宋体" w:cs="宋体"/>
          <w:sz w:val="24"/>
          <w:szCs w:val="24"/>
          <w:highlight w:val="none"/>
          <w:u w:val="single"/>
        </w:rPr>
        <w:t xml:space="preserve">           </w:t>
      </w:r>
      <w:r>
        <w:rPr>
          <w:rFonts w:hint="eastAsia" w:hAnsi="宋体" w:cs="宋体"/>
          <w:sz w:val="24"/>
          <w:szCs w:val="24"/>
          <w:highlight w:val="none"/>
        </w:rPr>
        <w:t xml:space="preserve">圆（含税）。</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2.2 本合同金额包含乙方开展本项目所需的一切费用，乙方无权要求甲方支付任何其他费用。</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2.3 本合同执行期间总价款不变。</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三、技术资料</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3.1 乙方应按照招投标文件规定的时间及内容向甲方提供服务（包含与服务相关的货物）的有关技术资料。</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四、知识产权</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4.2 若涉及项目功能开发，建设完成后，乙方应保证将该项目功能所有权完整、无瑕疵转让给甲方，否则乙方应按合同总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4.3 乙方交付给甲方项目所涉及的知识产权内容均归属甲方所有，乙方不得自行使用、出卖给第三人或未经甲方同意允许第三人使用，否则乙方应承担全部责任，同时乙方应按合同总价款的30%向甲方支付违约金，如果因此造成甲方损失的，乙方应另行赔偿损失。</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4.4 本项目除第三方产品外所有工作文件、交付品文档、定制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五、产权担保</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5.1 乙方保证所交付的服务（包含与服务相关的货物）的所有权完全属于乙方且无任何抵押、查封等产权瑕疵。</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5.2 如果因乙方交付的服务权属有瑕疵导致合同中止履行或造成甲方损失的，乙方应支付相当于合同总价款30%的违约金，如果因此造成甲方损失的，乙方应另行赔偿实际损失。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5.3 如果因乙方交付的服务权属有瑕疵导致合同无法继续履行的，甲方有权解除合同并扣除履约保证金，同时乙方应按合同总价款30%向甲方支付违约金，如果因此造成甲方损失的，乙方应另行赔偿损失。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六、履约保证金</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6.1 本项目履约保证金为合同总价的5%，</w:t>
      </w:r>
      <w:bookmarkStart w:id="169" w:name="_Hlk200004316"/>
      <w:r>
        <w:rPr>
          <w:rFonts w:hint="eastAsia" w:hAnsi="宋体" w:cs="宋体"/>
          <w:sz w:val="24"/>
          <w:szCs w:val="24"/>
          <w:highlight w:val="none"/>
        </w:rPr>
        <w:t xml:space="preserve">乙方以电子履约保函（保险）的形式提交给甲方</w:t>
      </w:r>
      <w:bookmarkEnd w:id="169"/>
      <w:r>
        <w:rPr>
          <w:rFonts w:hint="eastAsia" w:hAnsi="宋体" w:cs="宋体"/>
          <w:sz w:val="24"/>
          <w:szCs w:val="24"/>
          <w:highlight w:val="none"/>
        </w:rPr>
        <w:t xml:space="preserve">，乙方未缴纳履约保证金的，甲方有权拒绝签订书面合同，并不承担任何法律责任。</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6.2 履约保证金的有效期为截至甲方书面验收合格之日止，甲方应在验收合格后7个工作日内且扣除乙方应支付的违约金或赔偿金等后将履约保证金无息退还给乙方。乙方因自身原因未能完全履行合同导致合同终止或解除的，履约保证金不予退回。</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6.3 如乙方未能履行合同约定的义务且拒绝支付违约金或赔偿金，甲方有权直接从履约保证金中扣除相应违约金或赔偿金。履约保证金不足以支付违约金或赔偿金的，乙方应另行支付，并应在甲方书面通知后5个工作日内重新补足履约保证金。</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6.4 履约保证金账号信息：</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名称：</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纳税人识别号：</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地址：</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电话：</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开户行：</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账号：</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七、合同转包或分包</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7.1 乙方不得将合同标的转包给他人履行。</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7.2 乙方不得将合同标的分包给他人履行。</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7.3 如果乙方未经甲方书面同意，将合同项下的权利义务全部或部分转让给第三方的，甲方有权解除合同并扣除履约保证金，乙方应向甲方支付合同总价款30%的解除合同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八、合同款项支付</w:t>
      </w:r>
      <w:r>
        <w:rPr>
          <w:rFonts w:hint="eastAsia" w:hAnsi="宋体" w:cs="宋体"/>
          <w:sz w:val="24"/>
          <w:szCs w:val="24"/>
          <w:highlight w:val="none"/>
        </w:rPr>
      </w:r>
      <w:r/>
    </w:p>
    <w:p>
      <w:pPr>
        <w:pStyle w:val="692"/>
        <w:ind w:firstLine="552"/>
        <w:spacing w:line="560" w:lineRule="exact"/>
        <w:rPr>
          <w:rFonts w:hint="eastAsia" w:hAnsi="宋体" w:cs="宋体"/>
          <w:bCs/>
          <w:sz w:val="24"/>
          <w:szCs w:val="24"/>
          <w:highlight w:val="none"/>
        </w:rPr>
      </w:pPr>
      <w:r>
        <w:rPr>
          <w:rFonts w:hint="eastAsia" w:hAnsi="宋体" w:cs="宋体"/>
          <w:bCs/>
          <w:sz w:val="24"/>
          <w:szCs w:val="24"/>
          <w:highlight w:val="none"/>
        </w:rPr>
        <w:t xml:space="preserve">8.1 甲方应于双方签订合同后向乙方支付至合同价款的50%。</w:t>
      </w:r>
      <w:r>
        <w:rPr>
          <w:rFonts w:hint="eastAsia" w:hAnsi="宋体" w:cs="宋体"/>
          <w:bCs/>
          <w:sz w:val="24"/>
          <w:szCs w:val="24"/>
          <w:highlight w:val="none"/>
        </w:rPr>
      </w:r>
      <w:r/>
    </w:p>
    <w:p>
      <w:pPr>
        <w:pStyle w:val="692"/>
        <w:ind w:firstLine="552"/>
        <w:spacing w:line="560" w:lineRule="exact"/>
        <w:rPr>
          <w:rFonts w:hint="eastAsia" w:hAnsi="宋体" w:cs="宋体"/>
          <w:bCs/>
          <w:sz w:val="24"/>
          <w:szCs w:val="24"/>
          <w:highlight w:val="none"/>
        </w:rPr>
      </w:pPr>
      <w:r>
        <w:rPr>
          <w:rFonts w:hint="eastAsia" w:hAnsi="宋体" w:cs="宋体"/>
          <w:bCs/>
          <w:sz w:val="24"/>
          <w:szCs w:val="24"/>
          <w:highlight w:val="none"/>
        </w:rPr>
        <w:t xml:space="preserve">8.2 项目验收合格并交付使用后，甲方应向乙方支付至合同价款的100%。</w:t>
      </w:r>
      <w:r>
        <w:rPr>
          <w:rFonts w:hint="eastAsia" w:hAnsi="宋体" w:cs="宋体"/>
          <w:bCs/>
          <w:sz w:val="24"/>
          <w:szCs w:val="24"/>
          <w:highlight w:val="none"/>
        </w:rPr>
      </w:r>
      <w:r/>
    </w:p>
    <w:p>
      <w:pPr>
        <w:pStyle w:val="692"/>
        <w:ind w:firstLine="552"/>
        <w:spacing w:line="560" w:lineRule="exact"/>
        <w:rPr>
          <w:rFonts w:hint="eastAsia" w:hAnsi="宋体" w:cs="宋体"/>
          <w:bCs/>
          <w:sz w:val="24"/>
          <w:szCs w:val="24"/>
          <w:highlight w:val="none"/>
        </w:rPr>
      </w:pPr>
      <w:r>
        <w:rPr>
          <w:rFonts w:hint="eastAsia" w:hAnsi="宋体" w:cs="宋体"/>
          <w:bCs/>
          <w:sz w:val="24"/>
          <w:szCs w:val="24"/>
          <w:highlight w:val="none"/>
        </w:rPr>
        <w:t xml:space="preserve">8.3每次付款前，乙方应提前向甲方开具等额增值税专用发票，甲方在收到乙方发票后1个月内支付相应款项，甲方未收到开票或乙方开具发票不合格的，甲方有权拒绝付款，并不承担任何逾期付款违约责任。</w:t>
      </w:r>
      <w:r>
        <w:rPr>
          <w:rFonts w:hint="eastAsia" w:hAnsi="宋体" w:cs="宋体"/>
          <w:bCs/>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九、税费</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9.1 本合同执行中产生的相关一切税费均由乙方负担。</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十、项目验收</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10.1 乙方在项目验收前应完成的准备工作：</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（1）乙方应确保本项目在验收前通过软件测评，未能提供软件测评报告的，甲方有权不予验收。</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（2）项目上线前，甲方将指定第三方软件测评机构进行软件测评，乙方应予以配合，并及时对测评中发现的问题进行整改。</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（3）如第一次软件测评未通过，需开展二次及以上次数软件测评，所需费用由乙方自行承担，因此导致项目延期验收的，乙方应按约承担延期责任。</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（4）项目上线前，乙方需按照甲方要求，由甲方指定的安全运营团队进行源代码安全扫描，并及时对发现的漏洞进行修复。</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5）项目上线后，乙方应按照甲方及其指定的总集服务团队统一安排，定期开展应急演练，应急演练需避免影响生产业务；应急演练前应制定详细、可操作的演练计划，应急演练中须详细记录演练过程信息，应急演练结束后应分析总结，完善应急预案。</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10.2 乙方完成江苏省医保垂直大模型项目开发上线且平稳运行1个月后向甲方提交验收申请，并</w:t>
      </w:r>
      <w:r>
        <w:rPr>
          <w:rFonts w:hint="eastAsia" w:hAnsi="宋体" w:cs="宋体"/>
          <w:bCs/>
          <w:sz w:val="24"/>
          <w:szCs w:val="24"/>
          <w:highlight w:val="none"/>
        </w:rPr>
        <w:t xml:space="preserve">向甲方提供完整的本项目验收材料（详见采购需求中的项目验收要求）。</w:t>
      </w:r>
      <w:r>
        <w:rPr>
          <w:rFonts w:hint="eastAsia" w:hAnsi="宋体" w:cs="宋体"/>
          <w:sz w:val="24"/>
          <w:szCs w:val="24"/>
          <w:highlight w:val="none"/>
        </w:rPr>
        <w:t xml:space="preserve">甲方在收到材料确认齐全后依法组织履约验收工作。</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10.3 乙方应按照甲方指定的验收时间、方式、程序等要求，配合完成验收工作。</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10.4 对于实际使用人和甲方分离的项目，甲方有权邀请实际使用人参与验收。</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10.5 如有必要，甲方有权邀请参加本项目的其他供应商或第三方专业机构及专家参与验收，相关意见将作为验收报告的参考资料。</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10.6 甲方成立验收小组，按照招投标文件、采购合同的约定对乙方的履约情况进行验收。验收时,甲方按照招投标文件、采购合同的约定对每一项技术、服务、安全标准的履约情况进行书面确认。</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10.7 甲方验收小组应于验收结束后3个工作日内出具书面验收报告，列明各项标准的验收情况及项目总体评价，由验收双方共同签署。甲方出具的书面验收报告未载明确认验收合格的，不视为验收合格，甲方要求整改的地方，乙方应及时整改。履约验收的各项资料存档备查。</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10.8 项目整体验收合格的，甲方根据招投标文件、采购合同的约定及时向乙方支付合同款项、退还履约保证金。</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10.9 乙方在履约过程中有政府采购法律法规规定的违法违规情形的，甲方将及时报告本级财政部门。</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10.10 除本合同约定外，招投标文件对项目的交付或验收有其他要求的，乙方应按照有关要求完成。</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十一、项目</w:t>
      </w:r>
      <w:r>
        <w:rPr>
          <w:rFonts w:hint="eastAsia" w:hAnsi="宋体" w:cs="宋体"/>
          <w:b/>
          <w:bCs/>
          <w:sz w:val="24"/>
          <w:szCs w:val="24"/>
          <w:highlight w:val="none"/>
        </w:rPr>
        <w:t xml:space="preserve">培训</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11.1 乙方应于项目验收合格后1个月内向甲方交付本项目相关内容的培训方案，包括但不限于培训计划、培训方式、培训对象、培训内容等。</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11.2 乙方应按照甲方要求提供现场培训和线上培训，提供培训使用的教材讲义、操作指南等相关材料，确保被培训人员全面了解和掌握本项目所涉及的基本原理、技术特性、操作使用、管理维护等内容。</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11.3 乙方对甲方人员进行培训产生的费用由乙方自行承担，包括但不限于材料费、食宿费、交通费、场地费等一切费用。</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11.4 如乙方未按本条约定向甲方人员提供培训服务的，甲方有权扣除履约保证金，并聘请第三方机构开展培训，由此产生的费用由乙方承担，同时乙方应按合同总价款30%向甲方支付违约金，如果因此造成甲方损失的，乙方应另行赔偿损失。</w:t>
      </w:r>
      <w:r>
        <w:rPr>
          <w:rFonts w:hint="eastAsia" w:hAnsi="宋体" w:cs="宋体"/>
          <w:sz w:val="24"/>
          <w:szCs w:val="24"/>
          <w:highlight w:val="none"/>
        </w:rPr>
      </w:r>
      <w:r/>
    </w:p>
    <w:p>
      <w:pPr>
        <w:pStyle w:val="692"/>
        <w:ind w:firstLine="552"/>
        <w:spacing w:line="540" w:lineRule="exact"/>
        <w:rPr>
          <w:rFonts w:hint="eastAsia" w:hAnsi="宋体" w:cs="宋体"/>
          <w:b/>
          <w:bCs/>
          <w:sz w:val="24"/>
          <w:szCs w:val="24"/>
          <w:highlight w:val="none"/>
        </w:rPr>
      </w:pPr>
      <w:r>
        <w:rPr>
          <w:rFonts w:hint="eastAsia" w:hAnsi="宋体" w:cs="宋体"/>
          <w:b/>
          <w:bCs/>
          <w:sz w:val="24"/>
          <w:szCs w:val="24"/>
          <w:highlight w:val="none"/>
        </w:rPr>
        <w:t xml:space="preserve">十二、售后服务</w:t>
      </w:r>
      <w:r>
        <w:rPr>
          <w:rFonts w:hint="eastAsia" w:hAnsi="宋体" w:cs="宋体"/>
          <w:b/>
          <w:bCs/>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12.1 乙方应自甲方验收项目合格之日起提供为期2年的运维服务。</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12.2 乙方应在进入运维服务前配备专职驻场运维服务团队负责本项目的运维工作，在首年安排3人驻场服务，次年安排2人，提供7*24小时技术支持和服务，且运维团队成员原则上均为建设期间团队成员，不得随意更换，如需更换至少提前1个月向甲方申请，甲方同意后方可更换。</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12.3 即使本项目运维服务期届满，乙方仍应提供相关有偿维护服务，运维服务内容和标准均与免费维保期内相同，且年维护费用不得超过本合同价款的10%。</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十三、违约责任</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13.1 如果乙方未能自合同签订之日起6个月内完成江苏省医保垂直大模型项目开发上线并且经甲方验收合格可以正常使用的，每迟延一日，乙方应支付合同总价款千分之五的违约金，迟延超过10日的，甲方有权解除合同并扣除履约保证金，乙方应返还甲方已支付的款项，并向甲方另行支付合同总价款30%的解除合同违约金，如果因此造成甲方损失的，乙方应另行赔偿损失。如果乙方未能完成验收前的准备工作或完成的服务经甲方验收不合格，乙方重新整改且提交甲方重新验收的时间也视为延期完成服务的时间，乙方应按照本条内容承担违约责任。</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13.2 如果因乙方原因，导致江苏省医保信息平台相关业务系统发生一级故障（详见磋商文件“售后服务要求”中“服务响应时间”），或系统运行故障暂停服务30分钟及以上时间，或引发重大社会舆情的严重网络安全事件，甲方有权解除合同并扣除履约保证金，同时乙方应向甲方支付合同总价款30%的解除合同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13.3合同履行期内，因乙方原因造成江苏省医保信息平台相关业务系统发生二级故障</w:t>
      </w:r>
      <w:bookmarkStart w:id="170" w:name="_Hlk200092197"/>
      <w:r>
        <w:rPr>
          <w:rFonts w:hint="eastAsia" w:hAnsi="宋体" w:cs="宋体"/>
          <w:sz w:val="24"/>
          <w:szCs w:val="24"/>
          <w:highlight w:val="none"/>
        </w:rPr>
        <w:t xml:space="preserve">（详见磋商文件“售后服务要求”中“服务响应时间”），</w:t>
      </w:r>
      <w:bookmarkEnd w:id="170"/>
      <w:r>
        <w:rPr>
          <w:rFonts w:hint="eastAsia" w:hAnsi="宋体" w:cs="宋体"/>
          <w:sz w:val="24"/>
          <w:szCs w:val="24"/>
          <w:highlight w:val="none"/>
        </w:rPr>
        <w:t xml:space="preserve">每发生一次乙方应向甲方赔偿5万元；发生三级故障</w:t>
      </w:r>
      <w:bookmarkStart w:id="171" w:name="_Hlk200092219"/>
      <w:r>
        <w:rPr>
          <w:rFonts w:hint="eastAsia" w:hAnsi="宋体" w:cs="宋体"/>
          <w:sz w:val="24"/>
          <w:szCs w:val="24"/>
          <w:highlight w:val="none"/>
        </w:rPr>
        <w:t xml:space="preserve">（详见磋商文件“售后服务要求”中“服务响应时间”）</w:t>
      </w:r>
      <w:bookmarkEnd w:id="171"/>
      <w:r>
        <w:rPr>
          <w:rFonts w:hint="eastAsia" w:hAnsi="宋体" w:cs="宋体"/>
          <w:sz w:val="24"/>
          <w:szCs w:val="24"/>
          <w:highlight w:val="none"/>
        </w:rPr>
        <w:t xml:space="preserve">，每发生一次乙方应向甲方赔偿3万元。</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bookmarkStart w:id="172" w:name="_Hlk200092233"/>
      <w:r>
        <w:rPr>
          <w:rFonts w:hint="eastAsia" w:hAnsi="宋体" w:cs="宋体"/>
          <w:sz w:val="24"/>
          <w:szCs w:val="24"/>
          <w:highlight w:val="none"/>
        </w:rPr>
        <w:t xml:space="preserve">如果乙方未按照磋商文件要求及时解除故障的或超出故障解决时间的</w:t>
      </w:r>
      <w:bookmarkEnd w:id="172"/>
      <w:r>
        <w:rPr>
          <w:rFonts w:hint="eastAsia" w:hAnsi="宋体" w:cs="宋体"/>
          <w:sz w:val="24"/>
          <w:szCs w:val="24"/>
          <w:highlight w:val="none"/>
        </w:rPr>
        <w:t xml:space="preserve">，每超过解决时间的20%，</w:t>
      </w:r>
      <w:bookmarkStart w:id="173" w:name="_Hlk200092277"/>
      <w:r>
        <w:rPr>
          <w:rFonts w:hint="eastAsia" w:hAnsi="宋体" w:cs="宋体"/>
          <w:sz w:val="24"/>
          <w:szCs w:val="24"/>
          <w:highlight w:val="none"/>
        </w:rPr>
        <w:t xml:space="preserve">乙方应向甲方增加支付上述对应赔偿金的10%，</w:t>
      </w:r>
      <w:bookmarkEnd w:id="173"/>
      <w:r>
        <w:rPr>
          <w:rFonts w:hint="eastAsia" w:hAnsi="宋体" w:cs="宋体"/>
          <w:sz w:val="24"/>
          <w:szCs w:val="24"/>
          <w:highlight w:val="none"/>
        </w:rPr>
        <w:t xml:space="preserve">最高不超过合同总价款的20%。如果乙方延期解决问题累计发生超过5次的，甲方有权解除合同并扣除履约保证金，同时，乙方应向甲方支付合同总价款30%的解除合同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13.4 如果乙方未足额提供项目组人员或未经甲方许可更换项目组人员，每发生一次，以防应支付合同总价款5%的违约金，如果乙方累计发生三次或在甲方发出书面整改通知之后10个工作日未完成整改的，甲方有权解除合同并扣除履约保证金，乙方应返还甲方已支付的款项，并向甲方支付合同总价款30%的解除合同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13.5 合同履行期限内，任何一方不得随意终止或解除合同。一方需要终止或解除合同的，应提前30天通知对方，并获得对方书面同意。如果一方未经另一方允许擅自终止或解除合同，违约方应向守约方支付合同总价款30%的解除合同违约金。如果乙方为违约方，甲方有权扣除履约保证金，乙方应返还甲方已支付的款项，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13.6 乙方在2年运维服务期内未及时提供运维服务的，每发生一次，乙方应支付合同总价款5%的违约金，并且甲方有权聘请第三方提供运维服务，所需费用应由乙方承担，如果因乙方未及时提供运维服务造成甲方损失，乙方还应另行赔偿甲方损失；乙方累计发生超过三次的，甲方有权解除合同，乙方应向甲方支付合同总价款30%的解除合同违约金，如果因此造成甲方损失的，乙方应另行赔偿实际损失。</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13.7 如甲方逾期付款的，每迟延一日，甲方应支付合同总价款万分之五的逾期付款违约金，但总额不得超过合同价款的5%。</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13.8 合同履行期内，除本合同约定外，乙方发生其他违反招投标文件、合同约定的情形的，每发生一次，乙方应支付合同总价款5%的违约金，如果因此造成甲方损失的，乙方应另行赔偿损失；乙方累计发生超过三次的，甲方有权解除合同并扣除履约保证金，乙方应向甲方支付合同总价款30%的解除合同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13.9 乙方在提供服务时，如果造成甲方财产、甲方人员人身财产损失的，由乙方负责赔偿。</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13.10 乙方在提供服务时，应对自身人员的安全负责，乙方人员发生的人身财产损失与甲方无关。</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13.11 如果因乙方原因（包括但不限于乙方提供的服务不当、乙方违约等）造成第三人人身财产损失的，乙方除按本合同约定向甲方支付违约赔偿金外，还应赔偿第三人因此造成的损失。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13.12 如乙方拒绝按照甲方要求开展验收前准备工作、拒绝按照甲方整改要求进行整改，以及乙方提交的项目经甲方两次验收仍不合格的，甲方有权解除合同并扣除履约保证金，乙方应返还甲方已支付的款项，并向甲方支付合同总价款30%的解除合同违约金，如果因此造成甲方损失的，乙方应另行赔偿损失。</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13.13 因一方违约产生的费用，包括但不限于律师费、差旅费、诉讼费、保全费、执行费、诉讼财产保全责任险费、执行费等，由败诉方全额承担。</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十四、保密责任</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14.1 双方确认本项目中所有内部资料、技术文档、开发源代码、系统部署资料、系统数据（包含原始数据和衍生数据）全部为甲方所有，全部列入保密范围，乙方不得未经甲方许可的情况下复制、加工、共享、应用和提供给第三方。</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14.2 乙方必须与甲方签订保密协议并严格遵守。乙方提供的全部项目实施和运维人员必须通过安全背景审查并签订保密承诺书，承诺内容需得到甲方认可，并与保密协议一并提交给甲方。</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14.3 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rPr>
          <w:rFonts w:hint="eastAsia" w:hAnsi="宋体" w:cs="宋体"/>
          <w:sz w:val="24"/>
          <w:szCs w:val="24"/>
          <w:highlight w:val="none"/>
        </w:rPr>
      </w:r>
      <w:r/>
    </w:p>
    <w:p>
      <w:pPr>
        <w:pStyle w:val="692"/>
        <w:ind w:firstLine="552"/>
        <w:spacing w:line="540" w:lineRule="exact"/>
        <w:rPr>
          <w:rFonts w:hint="eastAsia" w:hAnsi="宋体" w:cs="宋体"/>
          <w:sz w:val="24"/>
          <w:szCs w:val="24"/>
          <w:highlight w:val="none"/>
        </w:rPr>
      </w:pPr>
      <w:r>
        <w:rPr>
          <w:rFonts w:hint="eastAsia" w:hAnsi="宋体" w:cs="宋体"/>
          <w:sz w:val="24"/>
          <w:szCs w:val="24"/>
          <w:highlight w:val="none"/>
        </w:rPr>
        <w:t xml:space="preserve">14.4 本条约定的乙方保密责任，不因合同终止或解除而予以免除，在未经甲方书面免除乙方保密责任的情况下，乙方应当一直遵守本条款的保密责任。</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十五、不可抗力事件处理</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15.1 在合同有效期内，任何一方因不可抗力事件导致不能履行合同，则合同履行期可延长，其延长期与不可抗力影响期相同。</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15.2 不可抗力事件发生后，应立即通知对方，并寄送有关权威机构出具的证明。</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15.3 不可抗力事件延续120天以上，双方应通过友好协商，确定是否继续履行合同。</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十六、解决争议的方法</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16.1 双方在签订、履行合同中所发生的一切争议，应通过友好协商解决。如协商不成，由甲方住所地人民法院管辖。</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十七、合同生效及其它</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17.1 合同经双方法定代表人或授权委托代表人签字并加盖单位公章后生效。</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17.2 本合同未尽事宜，遵照中华人民共和国现行法律法规有关条文执行。</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17.3 本合同正本一式肆份，具有同等法律效力，甲方叁份，乙方一份。</w:t>
      </w:r>
      <w:r>
        <w:rPr>
          <w:rFonts w:hint="eastAsia" w:hAnsi="宋体" w:cs="宋体"/>
          <w:sz w:val="24"/>
          <w:szCs w:val="24"/>
          <w:highlight w:val="none"/>
        </w:rPr>
      </w:r>
      <w:r/>
    </w:p>
    <w:p>
      <w:pPr>
        <w:pStyle w:val="692"/>
        <w:spacing w:line="560" w:lineRule="exact"/>
        <w:rPr>
          <w:rFonts w:hint="eastAsia" w:hAnsi="宋体" w:cs="宋体"/>
          <w:sz w:val="24"/>
          <w:szCs w:val="24"/>
          <w:highlight w:val="none"/>
        </w:rPr>
      </w:pP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甲方：江苏省医疗保障局           乙方：</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地址：南京市秦淮区建邺路168号   地址：</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法定代表人或授权代表：           法定代表人或授权代表：</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联系电话：                       联系电话：</w:t>
      </w:r>
      <w:r>
        <w:rPr>
          <w:rFonts w:hint="eastAsia" w:hAnsi="宋体" w:cs="宋体"/>
          <w:sz w:val="24"/>
          <w:szCs w:val="24"/>
          <w:highlight w:val="none"/>
        </w:rPr>
      </w:r>
      <w:r/>
    </w:p>
    <w:p>
      <w:pPr>
        <w:pStyle w:val="692"/>
        <w:ind w:firstLine="552"/>
        <w:spacing w:line="560" w:lineRule="exact"/>
        <w:rPr>
          <w:rFonts w:hint="eastAsia" w:hAnsi="宋体" w:cs="宋体"/>
          <w:sz w:val="24"/>
          <w:szCs w:val="24"/>
          <w:highlight w:val="none"/>
        </w:rPr>
      </w:pPr>
      <w:r>
        <w:rPr>
          <w:rFonts w:hint="eastAsia" w:hAnsi="宋体" w:cs="宋体"/>
          <w:sz w:val="24"/>
          <w:szCs w:val="24"/>
          <w:highlight w:val="none"/>
        </w:rPr>
        <w:t xml:space="preserve">签订日期：      年    月   日</w:t>
      </w:r>
      <w:r>
        <w:rPr>
          <w:rFonts w:hint="eastAsia" w:hAnsi="宋体" w:cs="宋体"/>
          <w:sz w:val="24"/>
          <w:szCs w:val="24"/>
          <w:highlight w:val="none"/>
        </w:rPr>
      </w:r>
      <w:r/>
    </w:p>
    <w:p>
      <w:pPr>
        <w:pStyle w:val="692"/>
        <w:ind w:firstLine="552"/>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692"/>
        <w:ind w:firstLine="552"/>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654"/>
        <w:ind w:firstLine="480"/>
        <w:jc w:val="right"/>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pStyle w:val="654"/>
        <w:ind w:firstLine="480"/>
        <w:jc w:val="right"/>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pStyle w:val="654"/>
        <w:spacing w:line="400" w:lineRule="exact"/>
        <w:rPr>
          <w:rFonts w:hint="eastAsia" w:ascii="宋体" w:hAnsi="宋体" w:cs="宋体"/>
          <w:bCs/>
          <w:color w:val="ff0000"/>
          <w:sz w:val="24"/>
          <w:szCs w:val="24"/>
          <w:highlight w:val="none"/>
        </w:rPr>
      </w:pPr>
      <w:r>
        <w:rPr>
          <w:rFonts w:hint="eastAsia" w:ascii="宋体" w:hAnsi="宋体" w:cs="宋体"/>
          <w:bCs/>
          <w:color w:val="ff0000"/>
          <w:sz w:val="24"/>
          <w:szCs w:val="24"/>
          <w:highlight w:val="none"/>
        </w:rPr>
      </w:r>
      <w:r/>
    </w:p>
    <w:p>
      <w:pPr>
        <w:pStyle w:val="654"/>
        <w:spacing w:line="400" w:lineRule="exact"/>
        <w:rPr>
          <w:rFonts w:hint="eastAsia" w:ascii="宋体" w:hAnsi="宋体" w:cs="宋体"/>
          <w:bCs/>
          <w:color w:val="ff0000"/>
          <w:sz w:val="24"/>
          <w:szCs w:val="24"/>
          <w:highlight w:val="none"/>
        </w:rPr>
      </w:pPr>
      <w:r>
        <w:rPr>
          <w:rFonts w:hint="eastAsia" w:ascii="宋体" w:hAnsi="宋体" w:cs="宋体"/>
          <w:bCs/>
          <w:color w:val="ff0000"/>
          <w:sz w:val="24"/>
          <w:szCs w:val="24"/>
          <w:highlight w:val="none"/>
        </w:rPr>
      </w:r>
      <w:r/>
    </w:p>
    <w:p>
      <w:pPr>
        <w:pStyle w:val="654"/>
        <w:ind w:right="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654"/>
        <w:ind w:firstLine="1440"/>
        <w:jc w:val="center"/>
        <w:keepNext/>
        <w:rPr>
          <w:rFonts w:hint="eastAsia" w:ascii="黑体" w:eastAsia="黑体"/>
          <w:bCs/>
          <w:sz w:val="44"/>
          <w:szCs w:val="28"/>
          <w:highlight w:val="none"/>
        </w:rPr>
        <w:outlineLvl w:val="0"/>
      </w:pPr>
      <w:r/>
      <w:bookmarkEnd w:id="166"/>
      <w:r/>
      <w:bookmarkEnd w:id="167"/>
      <w:r/>
      <w:bookmarkEnd w:id="168"/>
      <w:r/>
      <w:bookmarkStart w:id="174" w:name="_Hlt16619369"/>
      <w:r/>
      <w:bookmarkEnd w:id="174"/>
      <w:r/>
      <w:bookmarkStart w:id="175" w:name="_Hlt16619350"/>
      <w:r/>
      <w:bookmarkStart w:id="176" w:name="_Toc120614244"/>
      <w:r/>
      <w:bookmarkStart w:id="177" w:name="_Toc20823346"/>
      <w:r/>
      <w:bookmarkStart w:id="178" w:name="_Toc16938590"/>
      <w:r/>
      <w:bookmarkStart w:id="179" w:name="_Toc479757211"/>
      <w:r/>
      <w:bookmarkStart w:id="180" w:name="_Toc462564139"/>
      <w:r>
        <w:rPr>
          <w:rFonts w:hint="eastAsia" w:ascii="宋体" w:hAnsi="宋体" w:cs="宋体"/>
          <w:bCs/>
          <w:sz w:val="24"/>
          <w:szCs w:val="24"/>
          <w:highlight w:val="none"/>
        </w:rPr>
        <w:br w:type="page" w:clear="all"/>
      </w:r>
      <w:r>
        <w:rPr>
          <w:rFonts w:hint="eastAsia" w:ascii="黑体" w:eastAsia="黑体"/>
          <w:bCs/>
          <w:sz w:val="44"/>
          <w:szCs w:val="28"/>
          <w:highlight w:val="none"/>
        </w:rPr>
        <w:t xml:space="preserve">第</w:t>
      </w:r>
      <w:bookmarkEnd w:id="175"/>
      <w:r>
        <w:rPr>
          <w:rFonts w:hint="eastAsia" w:ascii="黑体" w:eastAsia="黑体"/>
          <w:bCs/>
          <w:sz w:val="44"/>
          <w:szCs w:val="28"/>
          <w:highlight w:val="none"/>
        </w:rPr>
        <w:t xml:space="preserve">四章 采购需求</w:t>
      </w:r>
      <w:bookmarkEnd w:id="176"/>
      <w:r/>
      <w:bookmarkEnd w:id="177"/>
      <w:r/>
      <w:bookmarkEnd w:id="178"/>
      <w:r/>
      <w:bookmarkStart w:id="181" w:name="_Toc26554093"/>
      <w:r/>
      <w:bookmarkStart w:id="182" w:name="_Toc49090575"/>
      <w:r>
        <w:rPr>
          <w:rFonts w:hint="eastAsia" w:ascii="黑体" w:eastAsia="黑体"/>
          <w:bCs/>
          <w:sz w:val="44"/>
          <w:szCs w:val="28"/>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一</w:t>
      </w:r>
      <w:r>
        <w:rPr>
          <w:rFonts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rPr>
        <w:t xml:space="preserve">采购</w:t>
      </w:r>
      <w:r>
        <w:rPr>
          <w:rFonts w:ascii="宋体" w:hAnsi="宋体" w:cs="宋体"/>
          <w:bCs w:val="0"/>
          <w:color w:val="000000"/>
          <w:sz w:val="24"/>
          <w:szCs w:val="24"/>
          <w:highlight w:val="none"/>
        </w:rPr>
        <w:t xml:space="preserve">标的清单</w:t>
      </w:r>
      <w:r>
        <w:rPr>
          <w:rFonts w:ascii="宋体" w:hAnsi="宋体" w:cs="宋体"/>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rPr>
                <w:rFonts w:hint="eastAsia" w:ascii="宋体" w:hAnsi="宋体"/>
                <w:sz w:val="24"/>
                <w:szCs w:val="24"/>
                <w:highlight w:val="none"/>
              </w:rPr>
            </w:r>
            <w:r/>
          </w:p>
        </w:tc>
        <w:tc>
          <w:tcPr>
            <w:tcW w:w="545" w:type="dxa"/>
            <w:vAlign w:val="center"/>
            <w:textDirection w:val="lrTb"/>
            <w:noWrap w:val="false"/>
          </w:tcPr>
          <w:p>
            <w:pPr>
              <w:pStyle w:val="654"/>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3291" w:type="dxa"/>
            <w:vAlign w:val="center"/>
            <w:textDirection w:val="lrTb"/>
            <w:noWrap w:val="false"/>
          </w:tcPr>
          <w:p>
            <w:pPr>
              <w:pStyle w:val="654"/>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rFonts w:ascii="宋体" w:hAnsi="宋体"/>
                <w:sz w:val="24"/>
                <w:szCs w:val="24"/>
                <w:highlight w:val="none"/>
              </w:rPr>
            </w:r>
            <w:r/>
          </w:p>
        </w:tc>
        <w:tc>
          <w:tcPr>
            <w:tcW w:w="2852" w:type="dxa"/>
            <w:vAlign w:val="center"/>
            <w:textDirection w:val="lrTb"/>
            <w:noWrap w:val="false"/>
          </w:tcPr>
          <w:p>
            <w:pPr>
              <w:pStyle w:val="654"/>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ascii="宋体" w:hAnsi="宋体"/>
                <w:sz w:val="24"/>
                <w:szCs w:val="24"/>
                <w:highlight w:val="none"/>
              </w:rPr>
            </w:r>
            <w:r/>
          </w:p>
        </w:tc>
      </w:tr>
      <w:tr>
        <w:trPr>
          <w:cantSplit/>
          <w:trHeight w:val="291"/>
        </w:trPr>
        <w:tc>
          <w:tcPr>
            <w:tcW w:w="545" w:type="dxa"/>
            <w:vAlign w:val="top"/>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545" w:type="dxa"/>
            <w:vAlign w:val="center"/>
            <w:textDirection w:val="lrTb"/>
            <w:noWrap w:val="false"/>
          </w:tcPr>
          <w:p>
            <w:pPr>
              <w:pStyle w:val="654"/>
              <w:jc w:val="center"/>
              <w:spacing w:line="0" w:lineRule="atLeast"/>
              <w:rPr>
                <w:rFonts w:ascii="宋体" w:hAnsi="宋体"/>
                <w:sz w:val="24"/>
                <w:szCs w:val="24"/>
                <w:highlight w:val="none"/>
              </w:rPr>
            </w:pPr>
            <w:r>
              <w:rPr>
                <w:sz w:val="24"/>
                <w:szCs w:val="24"/>
                <w:highlight w:val="none"/>
              </w:rPr>
              <w:t xml:space="preserve">1</w:t>
            </w:r>
            <w:r>
              <w:rPr>
                <w:rFonts w:ascii="宋体" w:hAnsi="宋体"/>
                <w:sz w:val="24"/>
                <w:szCs w:val="24"/>
                <w:highlight w:val="none"/>
              </w:rPr>
            </w:r>
            <w:r/>
          </w:p>
        </w:tc>
        <w:tc>
          <w:tcPr>
            <w:tcW w:w="3291" w:type="dxa"/>
            <w:vAlign w:val="center"/>
            <w:textDirection w:val="lrTb"/>
            <w:noWrap w:val="false"/>
          </w:tcPr>
          <w:p>
            <w:pPr>
              <w:pStyle w:val="654"/>
              <w:jc w:val="left"/>
              <w:spacing w:line="0" w:lineRule="atLeast"/>
              <w:tabs>
                <w:tab w:val="left" w:pos="2020" w:leader="none"/>
              </w:tabs>
              <w:rPr>
                <w:rFonts w:ascii="宋体" w:hAnsi="宋体"/>
                <w:sz w:val="24"/>
                <w:szCs w:val="24"/>
                <w:highlight w:val="none"/>
              </w:rPr>
            </w:pPr>
            <w:r>
              <w:rPr>
                <w:rFonts w:hint="eastAsia"/>
                <w:sz w:val="24"/>
                <w:szCs w:val="24"/>
                <w:highlight w:val="none"/>
              </w:rPr>
              <w:t xml:space="preserve">江苏省医保垂直大模型项目</w:t>
            </w:r>
            <w:r>
              <w:rPr>
                <w:rFonts w:ascii="宋体" w:hAnsi="宋体"/>
                <w:sz w:val="24"/>
                <w:szCs w:val="24"/>
                <w:highlight w:val="none"/>
              </w:rPr>
            </w:r>
            <w:r/>
          </w:p>
        </w:tc>
        <w:tc>
          <w:tcPr>
            <w:tcW w:w="2852" w:type="dxa"/>
            <w:vAlign w:val="center"/>
            <w:textDirection w:val="lrTb"/>
            <w:noWrap w:val="false"/>
          </w:tcPr>
          <w:p>
            <w:pPr>
              <w:pStyle w:val="654"/>
              <w:jc w:val="center"/>
              <w:spacing w:line="0" w:lineRule="atLeast"/>
              <w:rPr>
                <w:rFonts w:ascii="宋体" w:hAnsi="宋体"/>
                <w:sz w:val="24"/>
                <w:szCs w:val="24"/>
                <w:highlight w:val="none"/>
              </w:rPr>
            </w:pPr>
            <w:r>
              <w:rPr>
                <w:sz w:val="24"/>
                <w:szCs w:val="24"/>
                <w:highlight w:val="none"/>
              </w:rPr>
              <w:t xml:space="preserve">软件与信息</w:t>
            </w:r>
            <w:r>
              <w:rPr>
                <w:rFonts w:hint="eastAsia"/>
                <w:sz w:val="24"/>
                <w:szCs w:val="24"/>
                <w:highlight w:val="none"/>
              </w:rPr>
              <w:t xml:space="preserve">技术</w:t>
            </w:r>
            <w:r>
              <w:rPr>
                <w:sz w:val="24"/>
                <w:szCs w:val="24"/>
                <w:highlight w:val="none"/>
              </w:rPr>
              <w:t xml:space="preserve">服务业</w:t>
            </w:r>
            <w:r>
              <w:rPr>
                <w:rFonts w:ascii="宋体" w:hAnsi="宋体"/>
                <w:sz w:val="24"/>
                <w:szCs w:val="24"/>
                <w:highlight w:val="none"/>
              </w:rPr>
            </w:r>
            <w:r/>
          </w:p>
        </w:tc>
      </w:tr>
    </w:tbl>
    <w:p>
      <w:pPr>
        <w:pStyle w:val="654"/>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654"/>
        <w:ind w:firstLine="480"/>
        <w:spacing w:line="360" w:lineRule="auto"/>
        <w:rPr>
          <w:rFonts w:ascii="宋体" w:hAnsi="宋体"/>
          <w:b/>
          <w:color w:val="000000"/>
          <w:sz w:val="24"/>
          <w:szCs w:val="24"/>
          <w:highlight w:val="none"/>
        </w:rPr>
      </w:pPr>
      <w:r>
        <w:rPr>
          <w:rFonts w:hint="eastAsia" w:ascii="宋体" w:hAnsi="宋体" w:cs="宋体"/>
          <w:color w:val="000000"/>
          <w:sz w:val="24"/>
          <w:szCs w:val="24"/>
          <w:highlight w:val="none"/>
        </w:rPr>
        <w:t xml:space="preserve">为贯彻落实国家医疗保障局《关于深化医疗保障制度改革的意见》及《“十四五”全民医疗保障规划》关于“构建智能监控体系”、“推动人工智能在基金监管、医药服务等领域深度应用”的部署要求，江苏省医保局积极响应国家政策导向，结合《江苏省“十四五”数字经济发展规划》等文件，建设人工智能+医保的基础支撑能力，为全省医保业务创新提供智能化引擎和方法论，助力医保业务提质增效。</w:t>
      </w:r>
      <w:r>
        <w:rPr>
          <w:rFonts w:ascii="宋体" w:hAnsi="宋体"/>
          <w:b/>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本项目主要完成医保大模型底座建设、医保知识库建设、智能体管理平台建设等内容。具体建设内容如下：</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（一）大模型底座建设</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已经具备医保专业知识和医保业务场景能力的医保基础大模型和开源的多模态大模型，完成大模型的训练微调和部署，以进一步面向业务场景定制和优化医保基础大模型，为全省医保业务创新提供智能化引擎。</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1.医保基础大模型</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医保基础大模型的参数规模要在320亿以上，训练语料规模在10万亿tokens以上，支持混合推理模式(快思考和慢思考的结合)，是基于通用大模型架构，融入医保政策法规、医疗诊疗规范、业务场景等专业知识和能力进行领域适配和后训练而成。它具备医保专业知识，医保通用能力和医保业务场景能力，能为全省医保业务创新提供智能化引擎。</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（1）知识范围</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覆盖医疗健康领域，包括但不限于临床诊疗规范、用药知识等；覆盖医保领域，包括但不限于医保政策、医保三目录规范、医保ICD编码等，确保在医保领域知识问答方面幻觉率低于通用大模型。</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（2）医保通用能力</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具备语言生成、医保专业术语理解、政策条款解析、医保知识推理、医保知识问答、安全合规等能力。具备医保报销规则、支付标准等复杂业务逻辑的推理能力。</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（3）业务场景能力</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覆盖但不限于基金监管、业务经办、数据分析等场景，确保在幻觉率低于通用大模型。基金监管业务能力包括按项目支付的费用审核、按病种支付（DRG/DIP）的病种分组审核。业务经办能力包括失能等级的评定、医保公文写作。数据分析能力指能根据自然语言描述的数据分析需求生成正确的SQL语句。</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2.多模态类大模型</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支持语音和图像的开源多模态大模型，包括视觉-语言类大模型、语音类大模型和OCR专业大模型，并纳入AI管理平台。能够同时处理和理解文本、图像、音频、视频等多种模态的数据，并在跨模态融合中展现出复杂认知与生成能力，需具备能力如下：</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（1）多模态理解能力</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跨模态语义对齐，通过对比学习（如CLIP模型）将不同模态映射到统一语义空间，实现图文/音视频的语义匹配。例如，输入图像和文本描述，模型可判断两者是否语义一致。支持复杂场景推理与问答，如OCR、视觉问答（VQA）、图表解析等任务。</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（2）多模态生成能力</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支持跨模态内容创作，如图文互转：根据图像生成描述，或基于文本生成图像。</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（二）大模型知识库建设</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为支撑医保垂直领域大模型的应用，本项目建设高质量的医保知识库，其知识范围覆盖但不限于医疗健康和医保领域，其中医疗知识水平达到执业医师水平。</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1.医疗健康领域数据集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（1）疾病诊疗知识库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提供1000种以上疾病的临床指南、临床路径、症状体征描述、检查检验标准等数据。</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（2）药品知识库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提供2万个以上的药品说明书信息，包括药品成分、适应症、用法用量、禁忌症、不良反应等。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（3）处方知识库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提供500种疾病以上，涉及1000种药品以上治疗方案，包括规范合理用药的相关法律法规、特殊人群用药、药物相互作用、严格管制与监控的特殊与重点药品、高警示药品原则与管理等内容。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（4）医疗器械产品知识库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收集整理全国医疗器械产品有效注册以及备案信息，包括医疗器械的产品名称、生产厂家、结构组成、适用范围等。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2.医保领域数据集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（1）医保政策库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整合包括国家、本省及所辖各设区市层面制定出台的医保法律法规规章、政策文件、规范规程等，内容应涵盖从参保登记、申请缴费、待遇享受、结算管理、费用支付、基金监管等全流程全环节。</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同时，收集、核理、汇总周边省份、沿海发达省份等相关医保政策。</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（2）医保编码标准知识库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包括但不限于医保管理服务业务库、国家医保信息业务编码标准库（包括22项编码标准数据）、全国各统筹地区指定的医保三目录、标准医保疾病诊断编码（如ICD10、ICD-9-CM-3手术操作编码）等数据。</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（3）支付方式知识库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包含DRG分组和DIP分组数据，如下：</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DRG分组数据包含国家1.0版本的618个DRG组、国家2.0版本的634个DRG组、江苏2.0版本的1013个DRG组，以及各设区市分组数据。</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DIP分组数据包含国家1.0版本核心病种11553组、综合病种2499组，国家2.0版本核心病种9520组，江苏2.0版本核心病种，以及各设区市分组数据。</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（4）招采改革知识库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包括药品追溯码规范标准、耗材UDI编码规范标准；江苏省药品、耗材挂网申报流程规则、价格预警规则、药品标化数据目录。</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同时，收集、核理、汇总周边省份、沿海发达省份、试点省份等招采改革相关知识。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（5）基金监管规则库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基金监管包含知识库和规则库，知识库包含15.6万条知识，规则库包含国家医保局发布的79类和江苏医保局发布的39类，同时包括欺诈骗保案例等相关数据。</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其中，智能审核规则库重点鉴权、完善长护险失能评估规则和慢病评估规则。</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长护险失能评估规则库，依据国家局下发的《长期护理失能等级等级评估标准（试行）》政策文件，结合相关医学指南，涵盖失能等级评定的多个标准，包含ICF失能评定标准、协和医院康复评定量表等，针对200项失能项对照分析归集汇总，形成40项评估规则，用于自动评估参保人的失能等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慢病评估规则库，基于国家慢性病管理政策以及ICD-10/ICD-11（国际疾病分类），整合各类慢性病的诊断标准及评估指标，覆盖145种慢性病，形成145项评估规则，用于自动判定患者是否符合慢病认定标准，并提供精准审核意见。</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（1）统计数据库及其他</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录保存全国、江苏省及周边沿海省份、各设区市的经济社会、人口发展、卫生健康、社保民政等各类综合性数据。对地区生产总值、人均可支配收入、人口数量、年龄结构、预期寿命、社保缴费基数、医疗机构数量、救助帮扶人口情况等数据进行归档，为决策提供数据支撑。</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同时为实现业务与财务数据协同管理，将业财银一体化知识库作为单独模块嵌入医保信息管理平台，提升医保业务与财务数据的整合效率和管理便捷性。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（2）各国医保知识库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收集相关发达国家、我国周边国家（地区）医保相关法规政策等。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（3）全球临床试验库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收集全球不少于46万临床试验数据，包括试验概述、试验目的、试验设计、受试者信息、试验分组、终点指标、相关研究者信息、试验结果等。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4.多源异构数据采集与接入</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提供灵活的数据接入接口，包括数据库接口、文件接口、API 接口等，确保数据采集的便捷性和兼容性。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支持从医保业务系统、医院信息系统（HIS）、电子健康档案系统、药品采购平台等多源异构系统采集数据。</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支持对不同类型的知识源数据进行处理，支持文本（PDF、DOC、DOCX等格式）、结构化数据、半结构化数据等多种数据类型的接入。</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具备数据增量采集和全量采集能力，可根据实际需求选择合适的采集方式。</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5.知识库数据清洗与治理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对采集到的数据进行去重、去噪、缺失值处理、异常值处理等清洗操作，提高数据质量。</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进行数据标准化处理，统一数据格式、编码规则、命名规范等，确保数据的一致性和可用性。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制定数据治理规则和流程，定期对数据进行质量评估和优化，持续提升数据质量。</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6.高质量标注数据集构建</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医保和医疗健康领域的特定任务，如实体识别、关系抽取、文本分类等，构建高质量的标注数据集。标注内容包括医疗实体（疾病、药品、症状等）、医保实体（政策条款、报销项目等）及其关系、业务类型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7.数据集管理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建立数据集版本管理机制，对数据集的创建、修改、更新等过程进行记录和管理，支持版本回溯和对比。</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定期对知识库进行更新和维护，确保知识库内容的准确性和及时性。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建立知识库数据分类分级标准体系（如隐私数据、公开数据、政策数据），依据数据安全管理制度，明确管控要求，保障数据安全。</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（三）智能体管理平台</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智能体管理平台作为应用场景落地的核心工具，其功能设计旨在对各应用场景智能体从构建、部署到运维的全生命周期管理。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1.模型管理与调度</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为满足不同场景对成本、性能和质量的需求，平台支持统一接入和管理多种大语言模型（包括公有云、开源或私有化部署的模型），并允许用户根据任务特点灵活调度最合适的模型。</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2.智能体开发与编排</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台提供低代码或可视化的开发环境，用户可以通过拖拽组件、配置参数的方式，定义智能体的角色、目标和工作流程，无需编写复杂代码即可快速构建应用。这包括对单智能体配置以及支持多智能体协同任务的工作流编排。</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3.知识库与记忆管理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台支持构建专属知识库，能够处理PDF、Word和HTML等多种格式的文档，并通过检索增强生成（RAG）技术，使智能体能够准确理解和回答基于企业内部知识的复杂问题。一些平台还具备长期记忆能力，能记录交互历史以优化后续决策。</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4.工具集成与执行能力</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智能体能够通过平台调用外部工具和API。平台原生支持或通过标准协议（如MCP）集成大量预置工具，并允许自定义连接器，使智能体可以执行诸如查询数据库、发送邮件、控制业务系统等实际操作。</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5.多租户与安全管理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平台提供严格的安全与治理功能，包括多租户数据隔离、精细化的权限访问控制、操作行为审计日志，以及内容安全过滤机制，确保智能体的使用符合合规要求。</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6.全生命周期运维监控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平台提供对已部署智能体的全生命周期监控管理能力，包括版本控制、性能监控（如响应延迟、任务成功率）和异常告警工具，保障智能体应用的稳定运行和持续优化。</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7.内置通用智能体模板</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智能体平台内置多个通用智能体模板，包括知识问答、数据分析和信息抽取等，帮助用户快速构建智能体。</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（1）知识问答智能体模板</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提供基于RAG（检索增强生成）的知识问答服务，通过实时检索知识库来增强模型回答的准确性和时效性。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（2）数据分析智能体模板</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提供基于大模型的智能数据分析工具，通过自然语言交互实现数据查询、可视化及深度分析，核心功能包括智能对话理解、自动SQL生成、多维度数据解读和可视化图表推荐。</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（3）信息抽取智能体模板</w:t>
      </w:r>
      <w:r>
        <w:rPr>
          <w:rFonts w:hint="eastAsia" w:ascii="宋体" w:hAnsi="宋体" w:cs="宋体"/>
          <w:color w:val="000000"/>
          <w:sz w:val="24"/>
          <w:szCs w:val="24"/>
          <w:highlight w:val="none"/>
        </w:rPr>
      </w:r>
      <w:r/>
    </w:p>
    <w:p>
      <w:pPr>
        <w:pStyle w:val="654"/>
        <w:ind w:firstLine="480"/>
        <w:spacing w:line="360" w:lineRule="auto"/>
        <w:rPr>
          <w:rFonts w:ascii="宋体" w:hAnsi="宋体"/>
          <w:b/>
          <w:color w:val="000000"/>
          <w:sz w:val="24"/>
          <w:szCs w:val="24"/>
          <w:highlight w:val="none"/>
        </w:rPr>
      </w:pPr>
      <w:r>
        <w:rPr>
          <w:rFonts w:hint="eastAsia" w:ascii="宋体" w:hAnsi="宋体" w:cs="宋体"/>
          <w:color w:val="000000"/>
          <w:sz w:val="24"/>
          <w:szCs w:val="24"/>
          <w:highlight w:val="none"/>
        </w:rPr>
        <w:t xml:space="preserve">基于大模型的信息抽取智能体能够从PDF、Word等多种格式的非结构化文档中自动识别并提取关键信息，将其转化为结构化数据，核心功能包括多格式文档解析、智能内容理解和灵活定制化抽取。</w:t>
      </w:r>
      <w:r>
        <w:rPr>
          <w:rFonts w:ascii="宋体" w:hAnsi="宋体"/>
          <w:b/>
          <w:color w:val="000000"/>
          <w:sz w:val="24"/>
          <w:szCs w:val="24"/>
          <w:highlight w:val="none"/>
        </w:rPr>
      </w:r>
      <w:r/>
    </w:p>
    <w:p>
      <w:pPr>
        <w:pStyle w:val="654"/>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二</w:t>
      </w:r>
      <w:r>
        <w:rPr>
          <w:rFonts w:ascii="宋体" w:hAnsi="宋体" w:cs="宋体"/>
          <w:bCs w:val="0"/>
          <w:color w:val="000000"/>
          <w:sz w:val="24"/>
          <w:szCs w:val="24"/>
          <w:highlight w:val="none"/>
        </w:rPr>
        <w:t xml:space="preserve">、技术要求</w:t>
      </w:r>
      <w:r>
        <w:rPr>
          <w:rFonts w:ascii="宋体" w:hAnsi="宋体" w:cs="宋体"/>
          <w:bCs w:val="0"/>
          <w:color w:val="000000"/>
          <w:sz w:val="24"/>
          <w:szCs w:val="24"/>
          <w:highlight w:val="none"/>
        </w:rPr>
      </w:r>
      <w:r/>
    </w:p>
    <w:p>
      <w:pPr>
        <w:pStyle w:val="654"/>
        <w:spacing w:line="0" w:lineRule="atLeast"/>
        <w:rPr>
          <w:rFonts w:hint="eastAsia" w:ascii="宋体" w:hAnsi="宋体"/>
          <w:i/>
          <w:sz w:val="24"/>
          <w:szCs w:val="24"/>
          <w:highlight w:val="none"/>
          <w:u w:val="single"/>
        </w:rPr>
      </w:pPr>
      <w:r>
        <w:rPr>
          <w:rFonts w:hint="eastAsia" w:ascii="宋体" w:hAnsi="宋体"/>
          <w:bCs/>
          <w:sz w:val="24"/>
          <w:szCs w:val="24"/>
          <w:highlight w:val="none"/>
        </w:rPr>
        <w:t xml:space="preserve">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rPr>
          <w:rFonts w:hint="eastAsia" w:ascii="宋体" w:hAnsi="宋体"/>
          <w:i/>
          <w:sz w:val="24"/>
          <w:szCs w:val="24"/>
          <w:highlight w:val="none"/>
          <w:u w:val="single"/>
        </w:rPr>
      </w:r>
      <w:r/>
    </w:p>
    <w:p>
      <w:pPr>
        <w:pStyle w:val="657"/>
        <w:ind w:firstLine="482"/>
        <w:spacing w:before="0" w:after="0" w:line="360" w:lineRule="auto"/>
        <w:rPr>
          <w:rFonts w:hint="eastAsia" w:ascii="宋体" w:hAnsi="宋体" w:cs="宋体"/>
          <w:bCs w:val="0"/>
          <w:color w:val="000000"/>
          <w:sz w:val="24"/>
          <w:szCs w:val="24"/>
          <w:highlight w:val="none"/>
        </w:rPr>
      </w:pPr>
      <w:r>
        <w:rPr>
          <w:rFonts w:ascii="宋体" w:hAnsi="宋体" w:cs="宋体"/>
          <w:bCs w:val="0"/>
          <w:color w:val="000000"/>
          <w:sz w:val="24"/>
          <w:szCs w:val="24"/>
          <w:highlight w:val="none"/>
        </w:rPr>
        <w:t xml:space="preserve">（一）需求分析要求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需根据本项目开展需求调研，全面深入了解江苏省医疗保障信息平台建设现状、医保业务当前面临的实际需求和发展趋势，调研与分析应将大模型等人工智能技术作为核心驱动因素，重点考察其在赋能医保经办与服务、监管与决策等核心业务环节的应用潜力与落地路径。需求分析报告包括但不限于对项目总体目标、实现途径的理解和认识，项目建设总体思路，分析建设重难点问题并提出相应的解决方案。</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（二）总体设计要求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投标人需根据招标需求提供本项目总体设计方案，总体设计需遵循国家医保信息平台整体建设要求及各项标准，并应将大模型、智能体等人工智能技术作为核心能力纳入技术架构。方案需体现对当前技术应用现状的理解，并具备前瞻性，能够适应多模态、自主决策等技术的未来发展趋势。设计需紧密结合江苏省医保信息平台建设现状，满足招标需求，符合国家相关标准。总体设计方案包括但不限于模型开发与训练、模型部署服务架构、医保数据资源架构、安全合规与隐私保护等内容。设计方案应专业、架构具体完善，与本项目高度契合。</w:t>
      </w:r>
      <w:r>
        <w:rPr>
          <w:rFonts w:hint="eastAsia" w:ascii="宋体" w:hAnsi="宋体" w:cs="宋体"/>
          <w:b/>
          <w:bCs/>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（三）功能设计要求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投标人需根据磋商文件采购需求第四章建设内容，围绕实际医保业务场景，聚焦提升系统性能和用户体验，提供以下功能设计方案，包括但不限于平台系统架构设计、技术路线、功能说明、性能匹配设计、界面设计等内容：</w:t>
      </w:r>
      <w:r>
        <w:rPr>
          <w:rFonts w:hint="eastAsia" w:ascii="宋体" w:hAnsi="宋体" w:cs="宋体"/>
          <w:b/>
          <w:bCs/>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1.提供大模型底座建设功能设计方案，</w:t>
      </w:r>
      <w:bookmarkStart w:id="183" w:name="_Hlk215565128"/>
      <w:r>
        <w:rPr>
          <w:rFonts w:hint="eastAsia" w:ascii="宋体" w:hAnsi="宋体" w:cs="宋体"/>
          <w:color w:val="000000"/>
          <w:sz w:val="24"/>
          <w:szCs w:val="24"/>
          <w:highlight w:val="none"/>
        </w:rPr>
        <w:t xml:space="preserve">针对建设内容章节中“大模型底座建设”部分涉及的功能进行细化设计，包括并不限于</w:t>
      </w:r>
      <w:bookmarkEnd w:id="183"/>
      <w:r>
        <w:rPr>
          <w:rFonts w:hint="eastAsia" w:ascii="宋体" w:hAnsi="宋体" w:cs="宋体"/>
          <w:color w:val="000000"/>
          <w:sz w:val="24"/>
          <w:szCs w:val="24"/>
          <w:highlight w:val="none"/>
        </w:rPr>
        <w:t xml:space="preserve">医保基础大模型（含知识范围、医保通用能力以及业务场景能力）、多模态类大模型（多模态理解能力和多模态生成能力）等2个子模块的功能设计方案。</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大模型知识库建设功能设计方案，针对建设内容章节中“大模型底座建设”部分涉及的功能进行细化设计，包括并不限于构建医疗健康领域数据集、医保领域数据集、其他知识库，以及对多源异构数据采集与接入、知识库数据清洗与治理、高质量标注数据集构建、数据集管理等子模块的功能设计方案。</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提供智能体管理平台功能设计方案，针对建设内容章节中“大模型底座建设”部分涉及的功能进行细化设计，包括并不限于模型管理与调度、智能体开发与编排、知识库与记忆管理、工具集成与执行能力、多租户与安全管理、全生命周期运维监控、内置通用智能体模板等7个子模块的功能设计方案。</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（四）性能指标要求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1.本项目应严格遵循国家医疗保障信息平台标准体系。</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2.本项目支持访问的总用户数大于1000 万人，并发数不低于200次/秒。</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3.本项目要求全年稳定连续运行，系统稳定性不小于99.999%。 </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4.本项目建设的软件系统或平台须全面适配国产化环境，包括但不限于国产主流操作系统（如统信UOS、麒麟等）、国产CPU（如鲲鹏、飞腾、龙芯、海光、兆芯、申威等）及国产数据库（如达梦、人大金仓、神通等），确保在指定国产软硬件平台上安全稳定运行、功能完全兼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大模型推理服务支持单卡10并发，首字响应200ms以内，平均每字25ms以内。</w:t>
      </w:r>
      <w:r>
        <w:rPr>
          <w:rFonts w:hint="eastAsia" w:ascii="宋体" w:hAnsi="宋体" w:cs="宋体"/>
          <w:color w:val="000000"/>
          <w:sz w:val="24"/>
          <w:szCs w:val="24"/>
          <w:highlight w:val="none"/>
        </w:rPr>
      </w:r>
      <w:r/>
    </w:p>
    <w:p>
      <w:pPr>
        <w:pStyle w:val="6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推理平台需支持和使用国产AI芯片平台，包括但不限于中科海光DCU、天数智芯智铠、华为昇腾等。</w:t>
      </w:r>
      <w:r>
        <w:rPr>
          <w:rFonts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highlight w:val="none"/>
        </w:rPr>
        <w:t xml:space="preserve"> </w:t>
      </w:r>
      <w:r>
        <w:rPr>
          <w:rFonts w:hint="eastAsia" w:ascii="宋体" w:hAnsi="宋体" w:cs="宋体"/>
          <w:color w:val="000000"/>
          <w:sz w:val="24"/>
          <w:szCs w:val="24"/>
          <w:highlight w:val="none"/>
        </w:rPr>
        <w:t xml:space="preserve">本项目所依托的基座大模型应严格遵循国家监管要求，保障模型在医疗保障领域应用中的合规性、数据安全性与服务稳定性，同时确保模型具备成熟的技术架构与风险防控能力。</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（五）安全设计要求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投标人须严格按照国家医疗保障局《医保信息系统安全开发规范》等医保信息平台建设标准规范要求，制定详细的安全设计方案，包括但不限于安全需求分析、在应用安全和数据安全方面采取的安全措施、应急处置等方面内容，保证项目能够安全、平稳、高效运行。</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2. 投标人须无条件承诺，在项目建设及运维全生命周期内，严格配合采购人（或其委托机构）依据国家密码管理规范及《数据安全法》等法律法规开展密码应用安全性评估与数据安全风险评估。投标人应提供全面技术支持和必要配合（含文档、权限开放、测试配合、整改落实等）。因投标人未履行配合义务导致评估延误或未达目标的，由其承担全部责任。（投标人需提供承诺函并加盖公章）</w:t>
      </w:r>
      <w:r>
        <w:rPr>
          <w:rFonts w:hint="eastAsia" w:ascii="宋体" w:hAnsi="宋体" w:cs="宋体"/>
          <w:i/>
          <w:iCs/>
          <w:color w:val="000000"/>
          <w:sz w:val="24"/>
          <w:szCs w:val="24"/>
          <w:highlight w:val="none"/>
          <w:u w:val="single"/>
        </w:rPr>
      </w:r>
      <w:r/>
    </w:p>
    <w:p>
      <w:pPr>
        <w:pStyle w:val="65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本项目建设需满足《信息安全技术网络安全等级保护基本要求》（GB/T22239-2019）文件（等保2.0）第三级安全要求。采购人对本项目组织实施三级等保测评时，投标人需按照采购人要求提供等保测评所需资料，并根据渗透测试的结果进行应用系统的修复及完善。（投标人需提供承诺函并加盖公章）</w:t>
      </w:r>
      <w:r>
        <w:rPr>
          <w:rFonts w:hint="eastAsia" w:ascii="宋体" w:hAnsi="宋体" w:cs="宋体"/>
          <w:i/>
          <w:iCs/>
          <w:color w:val="000000"/>
          <w:sz w:val="24"/>
          <w:szCs w:val="24"/>
          <w:highlight w:val="none"/>
          <w:u w:val="singl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4.项目上线前，需按照采购人要求，由采购人指定的安全运营团队进行源代码安全扫描，并及时对发现的漏洞进行修复。</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项目上线后，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（六）应急响应要求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（七）软件测评要求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bookmarkStart w:id="184" w:name="_Hlk178067035"/>
      <w:r>
        <w:rPr>
          <w:rFonts w:hint="eastAsia" w:ascii="宋体" w:hAnsi="宋体" w:cs="宋体"/>
          <w:color w:val="000000"/>
          <w:sz w:val="24"/>
          <w:szCs w:val="24"/>
          <w:highlight w:val="none"/>
        </w:rPr>
        <w:t xml:space="preserve">1.投标人应确保本项目通过软件测评，未能提供软件测评报告的，采购人有权不予验收。</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2.项目上线前，采购人将指定第三方软件测评机构进行软件测评，投标人应予以配合，并及时对测评中发现的问题进行整改。</w:t>
      </w:r>
      <w:r>
        <w:rPr>
          <w:rFonts w:hint="eastAsia" w:ascii="宋体" w:hAnsi="宋体" w:cs="宋体"/>
          <w:color w:val="000000"/>
          <w:sz w:val="24"/>
          <w:szCs w:val="24"/>
          <w:highlight w:val="none"/>
        </w:rPr>
      </w:r>
      <w:r/>
    </w:p>
    <w:p>
      <w:pPr>
        <w:pStyle w:val="654"/>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3.如第一次软件测评未通过，需开展二次及以上次数软件测评，所需费用由投标人自行承担。</w:t>
      </w:r>
      <w:bookmarkEnd w:id="184"/>
      <w:r>
        <w:rPr>
          <w:rFonts w:ascii="宋体" w:hAnsi="宋体" w:cs="宋体"/>
          <w:color w:val="000000"/>
          <w:sz w:val="24"/>
          <w:szCs w:val="24"/>
          <w:highlight w:val="none"/>
        </w:rPr>
      </w:r>
      <w:r/>
    </w:p>
    <w:p>
      <w:pPr>
        <w:pStyle w:val="654"/>
        <w:spacing w:line="0" w:lineRule="atLeast"/>
        <w:rPr>
          <w:rFonts w:hint="eastAsia" w:ascii="宋体" w:hAnsi="宋体"/>
          <w:b/>
          <w:bCs/>
          <w:sz w:val="24"/>
          <w:szCs w:val="24"/>
          <w:highlight w:val="none"/>
        </w:rPr>
      </w:pPr>
      <w:r>
        <w:rPr>
          <w:rFonts w:hint="eastAsia" w:ascii="宋体" w:hAnsi="宋体"/>
          <w:b/>
          <w:bCs/>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三</w:t>
      </w:r>
      <w:r>
        <w:rPr>
          <w:rFonts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rPr>
        <w:t xml:space="preserve">商务</w:t>
      </w:r>
      <w:r>
        <w:rPr>
          <w:rFonts w:ascii="宋体" w:hAnsi="宋体" w:cs="宋体"/>
          <w:bCs w:val="0"/>
          <w:color w:val="000000"/>
          <w:sz w:val="24"/>
          <w:szCs w:val="24"/>
          <w:highlight w:val="none"/>
        </w:rPr>
        <w:t xml:space="preserve">要求</w:t>
      </w:r>
      <w:r>
        <w:rPr>
          <w:rFonts w:ascii="宋体" w:hAnsi="宋体" w:cs="宋体"/>
          <w:bCs w:val="0"/>
          <w:color w:val="000000"/>
          <w:sz w:val="24"/>
          <w:szCs w:val="24"/>
          <w:highlight w:val="none"/>
        </w:rPr>
      </w:r>
      <w:r/>
    </w:p>
    <w:p>
      <w:pPr>
        <w:pStyle w:val="654"/>
        <w:spacing w:line="0" w:lineRule="atLeast"/>
        <w:rPr>
          <w:rFonts w:hint="eastAsia" w:ascii="宋体" w:hAnsi="宋体"/>
          <w:i/>
          <w:sz w:val="24"/>
          <w:szCs w:val="24"/>
          <w:highlight w:val="none"/>
          <w:u w:val="single"/>
        </w:rPr>
      </w:pPr>
      <w:r>
        <w:rPr>
          <w:rFonts w:hint="eastAsia" w:ascii="宋体" w:hAnsi="宋体"/>
          <w:bCs/>
          <w:sz w:val="24"/>
          <w:szCs w:val="24"/>
          <w:highlight w:val="none"/>
        </w:rPr>
        <w:t xml:space="preserve">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rPr>
          <w:rFonts w:hint="eastAsia" w:ascii="宋体" w:hAnsi="宋体"/>
          <w:i/>
          <w:sz w:val="24"/>
          <w:szCs w:val="24"/>
          <w:highlight w:val="none"/>
          <w:u w:val="singl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（一）服务期</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1.项目实施工期：合同签订之日起6个月内完成全部功能开发上线。</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2.项目服务期：2年（项目通过验收后起算）。</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（二）预算说明</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项目预算包含投标人开展本项目工作所需一切费用（投标人与其他系统对接费用包含在本次项目预算中，采购人协调解决其他系统承建单位免费配合提供对接技术支持）。</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（三）货款支付</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签订合同后支付合同总价50%；项目验收合格并交付使用后，支付至合同价款的100%。</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（四）履约保证金</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本项目履约保证金为合同总价的5%，中标人应在合同签订前以电子履约保函（保险）的形式提交给采购人，中标人未缴纳履约保证金的，采购人有权拒绝签订书面合同。 </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在项目验收合格并交付使用，且中标人无任何违约责任的情况下退还（不计息）。如中标人违反合同规定，采购人有权根据合同条款从履约保证金中扣除相应的违约金额。中标人因自身原因未能完全履行合同的，履约保证金不予退回。</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（五）投标货币</w:t>
      </w:r>
      <w:r>
        <w:rPr>
          <w:rFonts w:hint="eastAsia" w:ascii="宋体" w:hAnsi="宋体" w:cs="宋体"/>
          <w:bCs w:val="0"/>
          <w:color w:val="000000"/>
          <w:sz w:val="24"/>
          <w:szCs w:val="24"/>
          <w:highlight w:val="none"/>
        </w:rPr>
      </w:r>
      <w:r/>
    </w:p>
    <w:p>
      <w:pPr>
        <w:pStyle w:val="654"/>
        <w:spacing w:line="0" w:lineRule="atLeast"/>
        <w:rPr>
          <w:rFonts w:ascii="宋体" w:hAnsi="宋体"/>
          <w:color w:val="000000"/>
          <w:sz w:val="24"/>
          <w:szCs w:val="24"/>
          <w:highlight w:val="none"/>
        </w:rPr>
      </w:pPr>
      <w:r>
        <w:rPr>
          <w:rFonts w:hint="eastAsia" w:ascii="宋体" w:hAnsi="宋体" w:cs="宋体"/>
          <w:color w:val="000000"/>
          <w:sz w:val="24"/>
          <w:szCs w:val="24"/>
          <w:highlight w:val="none"/>
        </w:rPr>
        <w:t xml:space="preserve">人民币。</w:t>
      </w:r>
      <w:r>
        <w:rPr>
          <w:rFonts w:ascii="宋体" w:hAnsi="宋体"/>
          <w:color w:val="000000"/>
          <w:sz w:val="24"/>
          <w:szCs w:val="24"/>
          <w:highlight w:val="none"/>
        </w:rPr>
      </w:r>
      <w:r/>
    </w:p>
    <w:p>
      <w:pPr>
        <w:pStyle w:val="654"/>
        <w:spacing w:line="0" w:lineRule="atLeast"/>
        <w:rPr>
          <w:rFonts w:ascii="宋体" w:hAnsi="宋体"/>
          <w:color w:val="000000"/>
          <w:sz w:val="24"/>
          <w:szCs w:val="24"/>
          <w:highlight w:val="none"/>
        </w:rPr>
      </w:pPr>
      <w:r>
        <w:rPr>
          <w:rFonts w:ascii="宋体" w:hAnsi="宋体"/>
          <w:color w:val="000000"/>
          <w:sz w:val="24"/>
          <w:szCs w:val="24"/>
          <w:highlight w:val="none"/>
        </w:rPr>
      </w:r>
      <w:r/>
    </w:p>
    <w:p>
      <w:pPr>
        <w:pStyle w:val="65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四</w:t>
      </w:r>
      <w:r>
        <w:rPr>
          <w:rFonts w:ascii="宋体" w:hAnsi="宋体" w:cs="宋体"/>
          <w:bCs w:val="0"/>
          <w:color w:val="000000"/>
          <w:sz w:val="24"/>
          <w:szCs w:val="24"/>
          <w:highlight w:val="none"/>
        </w:rPr>
        <w:t xml:space="preserve">、其他要求</w:t>
      </w:r>
      <w:r>
        <w:rPr>
          <w:rFonts w:ascii="宋体" w:hAnsi="宋体" w:cs="宋体"/>
          <w:bCs w:val="0"/>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（一）项目管理要求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需提供项目管理方案，包括但不限于项目人员名单（投标人安排的项目人员必须固定，若有替换，必须与采购人协商，否则由投标人承担相关责任）及角色分工、项目管理标准、质量保证、实施计划、变更管理、风险管理等内容，以对整个项目实施过程及各环节起到科学有效的控制、监督和保障作用，确保项目实施的质量和效率。方案应</w:t>
      </w:r>
      <w:r>
        <w:rPr>
          <w:rFonts w:ascii="宋体" w:hAnsi="宋体" w:cs="宋体"/>
          <w:color w:val="000000"/>
          <w:sz w:val="24"/>
          <w:szCs w:val="24"/>
          <w:highlight w:val="none"/>
        </w:rPr>
        <w:t xml:space="preserve">结构清晰等内容完整、阐述到位、可行性强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bookmarkStart w:id="185" w:name="_Hlk180189659"/>
      <w:r>
        <w:rPr>
          <w:rFonts w:hint="eastAsia" w:ascii="宋体" w:hAnsi="宋体" w:cs="宋体"/>
          <w:color w:val="000000"/>
          <w:sz w:val="24"/>
          <w:szCs w:val="24"/>
          <w:highlight w:val="none"/>
        </w:rPr>
        <w:t xml:space="preserve">投标人需服从采购人及其指定的总集服务团队对项目团队的管理和考核，包括但不限于人员管理（驻场实施人员的入场/退场、请假/出差、临时支撑人员管理等）、</w:t>
      </w:r>
      <w:bookmarkEnd w:id="185"/>
      <w:r>
        <w:rPr>
          <w:rFonts w:hint="eastAsia" w:ascii="宋体" w:hAnsi="宋体" w:cs="宋体"/>
          <w:color w:val="000000"/>
          <w:sz w:val="24"/>
          <w:szCs w:val="24"/>
          <w:highlight w:val="none"/>
        </w:rPr>
        <w:t xml:space="preserve">项目全生命周期管理（含项目工单、需求、造价评估、计划、任务、测试用例、缺陷、版本、代码上传、代码扫描、持续集成、持续部署、第三方测试、验收、过程文档等活动）、开发终端安全接入管理等内容。</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（二）履约能力要求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应当投入充足的技术力量保证本项目顺利实施，项目实施团队成员人数不少于18人，其中项目经理（限1名）需具有软件开发项目管理专业能力和类似信息系统开发项目管理经验，具有系统集成项目管理工程师证书或类似证书，实施团队人员（不包括项目经理）整体需具备类似信息系统软件项目开发能力证书和开发经验。</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投标人需提供项目实施团队人员名单（包括签订的正式劳动合同和近三个月内任意一个月的社保缴费证明）及其资质证明材料扫描件或复印件并加盖公章。</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实施期间人员名单原则上不得调整，如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3.如项目实施团队成员不能有效完成采购人工作要求，自采购人提出更换要求之日起，中标人需在5个工作日内更换为符合要求的人员。</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4.投标人需提供以下服务能力证明材料：</w:t>
      </w:r>
      <w:r>
        <w:rPr>
          <w:rFonts w:hint="eastAsia" w:ascii="宋体" w:hAnsi="宋体" w:cs="宋体"/>
          <w:color w:val="000000"/>
          <w:sz w:val="24"/>
          <w:szCs w:val="24"/>
          <w:highlight w:val="none"/>
        </w:rPr>
      </w:r>
      <w:r/>
    </w:p>
    <w:p>
      <w:pPr>
        <w:pStyle w:val="654"/>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（1）企业资信：包括体系认证证书、服务资质证书、软件著作权证书：</w:t>
      </w:r>
      <w:r>
        <w:rPr>
          <w:rFonts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具备I</w:t>
      </w:r>
      <w:r>
        <w:rPr>
          <w:rFonts w:hint="eastAsia" w:ascii="宋体" w:hAnsi="宋体" w:cs="宋体"/>
          <w:color w:val="000000"/>
          <w:sz w:val="24"/>
          <w:szCs w:val="24"/>
          <w:highlight w:val="none"/>
        </w:rPr>
        <w:t xml:space="preserve">SO9001质量管理体系认证、 ISO/IEC 27001信息安全管理体系认证、ISO/IEC 20000信息技术服务管理体系认证证书、 ISO/IEC 27701 隐私信息管理体系证书，ISO/IEC 42001人工智能管理体系认证证书，需提供有效期内证书复印件证明；拥有的基座大模型获得国家互联网信息办公室的生成式人工智能服务备案；具备与本项目系统相关的软件著作权证书，证书软件名称包含“大模型”、“大数据仓库”、“数据质量管理”、“医学知识库”、“训练标注”、“大模型知识查询”、“医学术语标注”等关键词。</w:t>
      </w:r>
      <w:r>
        <w:rPr>
          <w:rFonts w:hint="eastAsia" w:ascii="宋体" w:hAnsi="宋体" w:cs="宋体"/>
          <w:color w:val="000000"/>
          <w:sz w:val="24"/>
          <w:szCs w:val="24"/>
          <w:highlight w:val="none"/>
        </w:rPr>
      </w:r>
      <w:r/>
    </w:p>
    <w:p>
      <w:pPr>
        <w:pStyle w:val="654"/>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（2）人员配备：包括项目人员组成、项目经理从业情况、人员证书：</w:t>
      </w:r>
      <w:r>
        <w:rPr>
          <w:rFonts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应合理组建本项目的实施团队，项目实施团队成员人数不少于18人，其中项目经理（限1名）需具有软件开发项目管理专业能力和类似信息系统开发项目管理经验，具有人社部门认证的高级信息系统项目管理师证书，工业和信息化部教育与考试中心认证的高级软件工程师证书、高级数据库管理工程师证书；实施团队人员（不包括项目经理）整体需具备具有中国科学院颁发的计算机专业技术职务任职资格证书，具有</w:t>
      </w:r>
      <w:r>
        <w:rPr>
          <w:rFonts w:hint="eastAsia" w:ascii="宋体" w:hAnsi="宋体" w:cs="宋体"/>
          <w:color w:val="000000"/>
          <w:sz w:val="24"/>
          <w:szCs w:val="24"/>
          <w:highlight w:val="none"/>
          <w:lang w:val="en-US" w:eastAsia="zh-CN"/>
        </w:rPr>
        <w:t xml:space="preserve">有效的</w:t>
      </w:r>
      <w:r>
        <w:rPr>
          <w:rFonts w:hint="eastAsia" w:ascii="宋体" w:hAnsi="宋体" w:cs="宋体"/>
          <w:color w:val="000000"/>
          <w:sz w:val="24"/>
          <w:szCs w:val="24"/>
          <w:highlight w:val="none"/>
        </w:rPr>
        <w:t xml:space="preserve">人工智能高级工程师证书、高级信息系统项目管理师证书、软件设计师证书、系统集成项目管理工程师证书、网络工程师证书。项目负责人和项目核心人员不得无故更换，如确需变更需征得采购人书面批准。</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（3）类似业绩：</w:t>
      </w:r>
      <w:r>
        <w:rPr>
          <w:rFonts w:ascii="宋体" w:hAnsi="宋体" w:cs="宋体"/>
          <w:color w:val="000000"/>
          <w:sz w:val="24"/>
          <w:szCs w:val="24"/>
          <w:highlight w:val="none"/>
        </w:rPr>
        <w:t xml:space="preserve">包括</w:t>
      </w:r>
      <w:bookmarkStart w:id="186" w:name="_Hlk215566883"/>
      <w:r>
        <w:rPr>
          <w:rFonts w:hint="eastAsia" w:ascii="宋体" w:hAnsi="宋体" w:cs="宋体"/>
          <w:color w:val="000000"/>
          <w:sz w:val="24"/>
          <w:szCs w:val="24"/>
          <w:highlight w:val="none"/>
        </w:rPr>
        <w:t xml:space="preserve">与本项目类似的信息系统开发项目案例，包括但不限于大模型能力落地、知识管理、知识图谱构建与应用等相关类型项目。</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bookmarkEnd w:id="186"/>
      <w:r>
        <w:rPr>
          <w:rFonts w:hint="eastAsia" w:ascii="宋体" w:hAnsi="宋体" w:cs="宋体"/>
          <w:bCs w:val="0"/>
          <w:color w:val="000000"/>
          <w:sz w:val="24"/>
          <w:szCs w:val="24"/>
          <w:highlight w:val="none"/>
        </w:rPr>
        <w:t xml:space="preserve">（三）项目培训要求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投标人需根据项目相关交付内容提供有针对性的培训方案，针对不同系统，保障每月不少于1次培训，包括但不限于培训计划、培训方式、培训对象（含省市医保部门等）、培训内容等内容。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2.投标人需按照采购人要求提供免费的现场培训和线上培训，确保被培训人员全面了解和掌握本项目所涉及的基本原理、技术特性、操作使用、管理维护等内容。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3.投标人为所有被培训人员提供培训使用的教材讲义、操作指南等相关材料。</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（四）项目文档要求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投标人应按要求向采购人提供完备的项目文档资料（纸质文件和电子资料各1套），以满足系统应用、管理及运行维护等需要。包括但不限于：</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1.项目管理类文档：《项目管理方案》《进度实施和任务分类》《质量管理计划》《项目进度报告》《需求变更文件》等。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2.系统应用设计类文档：《需求规格说明书》《概要设计说明书》《详细设计说明书》等。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3.测试类文档：《测试方案》《测试用例》《测试报告》等。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4.验收类文档：《验收方案》《验收报告》等。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5.培训类文档：《培训方案》《培训手册》《培训记录》等。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6.安全性类文档：《安全设计方案》《应急响应方案》等。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7.运维类文档：《运维周报》《故障处置报告》等。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采购人将指定总集服务团队或第三方监理团队进行文档资料的检查和审核，投标人应予以配合，并在要求期限内对文档资料中发现的问题进行整改。</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（五）项目验收要求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1.投标人需在投标文件中承诺，如果本项目未完成验收前，由于相关政策调整导致业务需求或技术标准发生变化，应按照最新政策完成本项目建设。（投标人需提供承诺函并加盖公章）</w:t>
      </w:r>
      <w:r>
        <w:rPr>
          <w:rFonts w:hint="eastAsia" w:ascii="宋体" w:hAnsi="宋体" w:cs="宋体"/>
          <w:i/>
          <w:iCs/>
          <w:color w:val="000000"/>
          <w:sz w:val="24"/>
          <w:szCs w:val="24"/>
          <w:highlight w:val="none"/>
          <w:u w:val="singl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2.投标人在项目上线平稳运行1个月后，向采购人提交验收申请，并提供以下验收材料，包括但不限于：项目实施方案、项目合同、项目招投标文件、项目建设相关文档、软件测评报告、安全测试报告等。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3.采购人同意验收后，投标人需按照采购人指定的验收时间、方式、程序等要求，配合完成验收工作。</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4.采购人出具的验收报告未明确认定验收合格的，不视为验收合格。采购人要求整改的地方，投标人应在采购人要求的期限内完成整改。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5.在项目开发过程中出现性能指标或功能上不符合标书和合同要求时，由投标人负责解决，采购人有权拒绝验收并保留依法依规追究投标人责任的权利。</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（六）售后服务要求</w:t>
      </w:r>
      <w:r>
        <w:rPr>
          <w:rFonts w:hint="eastAsia" w:ascii="宋体" w:hAnsi="宋体" w:cs="宋体"/>
          <w:bCs w:val="0"/>
          <w:color w:val="000000"/>
          <w:sz w:val="24"/>
          <w:szCs w:val="24"/>
          <w:highlight w:val="none"/>
        </w:rPr>
      </w:r>
      <w:r/>
    </w:p>
    <w:p>
      <w:pPr>
        <w:pStyle w:val="6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为保障项目的运行维护的稳定，投标人需详细阐述项目售后服务方案的具体内容，包括但不限于总体要求、运维内容（含人员安排等）、服务响应时间等。</w:t>
      </w:r>
      <w:r>
        <w:rPr>
          <w:rFonts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（1）项目通过验收之日起进入为期2年的运维服务期。</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（2）投标人在投标文件中应提供运维服务方案，包括但不限于运维内容、运维流程、运维方式、服务质量保障等内容。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应在进入2年运维服务期前安排专职驻场人员负责本项目的运维工作，首年安排3名，次年安排2名，提供7*24小时技术支持和服务。投标人必须保证运维人员原则上为建设期间团队成员，且不得随意更换，如需更换至少提前1个月向采购人申请，采购人同意后方可更换。</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（4）投标人需在投标文件中承诺在运维期结束后提供相关有偿维护服务，运维服务内容和标准均与维保期内相同，且年维护费用不得超过本项目中标金额的10%。（投标人需提供承诺函并加盖公章）。</w:t>
      </w:r>
      <w:r>
        <w:rPr>
          <w:rFonts w:hint="eastAsia" w:ascii="宋体" w:hAnsi="宋体" w:cs="宋体"/>
          <w:i/>
          <w:iCs/>
          <w:color w:val="000000"/>
          <w:sz w:val="24"/>
          <w:szCs w:val="24"/>
          <w:highlight w:val="none"/>
          <w:u w:val="singl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2.运维内容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（1）运维内容要求具体如下：</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人员配置要求：</w:t>
      </w:r>
      <w:r>
        <w:rPr>
          <w:rFonts w:hint="eastAsia" w:ascii="宋体" w:hAnsi="宋体" w:cs="宋体"/>
          <w:color w:val="000000"/>
          <w:sz w:val="24"/>
          <w:szCs w:val="24"/>
          <w:highlight w:val="none"/>
        </w:rPr>
      </w:r>
      <w:r/>
    </w:p>
    <w:tbl>
      <w:tblPr>
        <w:tblW w:w="489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874"/>
        <w:gridCol w:w="2689"/>
        <w:gridCol w:w="3828"/>
      </w:tblGrid>
      <w:tr>
        <w:trPr>
          <w:trHeight w:val="529"/>
        </w:trPr>
        <w:tc>
          <w:tcPr>
            <w:tcW w:w="567" w:type="dxa"/>
            <w:vAlign w:val="center"/>
            <w:textDirection w:val="lrTb"/>
            <w:noWrap w:val="false"/>
          </w:tcPr>
          <w:p>
            <w:pPr>
              <w:pStyle w:val="654"/>
              <w:jc w:val="center"/>
              <w:rPr>
                <w:rFonts w:eastAsia="方正黑体_GBK"/>
                <w:sz w:val="24"/>
                <w:szCs w:val="28"/>
                <w:highlight w:val="none"/>
              </w:rPr>
            </w:pPr>
            <w:r>
              <w:rPr>
                <w:rFonts w:eastAsia="方正黑体_GBK"/>
                <w:sz w:val="24"/>
                <w:szCs w:val="28"/>
                <w:highlight w:val="none"/>
              </w:rPr>
              <w:t xml:space="preserve">阶段</w:t>
            </w:r>
            <w:r>
              <w:rPr>
                <w:rFonts w:eastAsia="方正黑体_GBK"/>
                <w:sz w:val="24"/>
                <w:szCs w:val="28"/>
                <w:highlight w:val="none"/>
              </w:rPr>
            </w:r>
            <w:r/>
          </w:p>
        </w:tc>
        <w:tc>
          <w:tcPr>
            <w:tcW w:w="524" w:type="dxa"/>
            <w:vAlign w:val="center"/>
            <w:textDirection w:val="lrTb"/>
            <w:noWrap w:val="false"/>
          </w:tcPr>
          <w:p>
            <w:pPr>
              <w:pStyle w:val="654"/>
              <w:jc w:val="center"/>
              <w:rPr>
                <w:rFonts w:eastAsia="方正黑体_GBK"/>
                <w:sz w:val="24"/>
                <w:szCs w:val="28"/>
                <w:highlight w:val="none"/>
              </w:rPr>
            </w:pPr>
            <w:r>
              <w:rPr>
                <w:rFonts w:eastAsia="方正黑体_GBK"/>
                <w:sz w:val="24"/>
                <w:szCs w:val="28"/>
                <w:highlight w:val="none"/>
              </w:rPr>
              <w:t xml:space="preserve">驻场人数</w:t>
            </w:r>
            <w:r>
              <w:rPr>
                <w:rFonts w:eastAsia="方正黑体_GBK"/>
                <w:sz w:val="24"/>
                <w:szCs w:val="28"/>
                <w:highlight w:val="none"/>
              </w:rPr>
            </w:r>
            <w:r/>
          </w:p>
        </w:tc>
        <w:tc>
          <w:tcPr>
            <w:tcW w:w="1613" w:type="dxa"/>
            <w:vAlign w:val="center"/>
            <w:textDirection w:val="lrTb"/>
            <w:noWrap w:val="false"/>
          </w:tcPr>
          <w:p>
            <w:pPr>
              <w:pStyle w:val="654"/>
              <w:jc w:val="center"/>
              <w:rPr>
                <w:rFonts w:eastAsia="方正黑体_GBK"/>
                <w:sz w:val="24"/>
                <w:szCs w:val="28"/>
                <w:highlight w:val="none"/>
              </w:rPr>
            </w:pPr>
            <w:r>
              <w:rPr>
                <w:rFonts w:eastAsia="方正黑体_GBK"/>
                <w:sz w:val="24"/>
                <w:szCs w:val="28"/>
                <w:highlight w:val="none"/>
              </w:rPr>
              <w:t xml:space="preserve">岗位</w:t>
            </w:r>
            <w:r>
              <w:rPr>
                <w:rFonts w:eastAsia="方正黑体_GBK"/>
                <w:sz w:val="24"/>
                <w:szCs w:val="28"/>
                <w:highlight w:val="none"/>
              </w:rPr>
            </w:r>
            <w:r/>
          </w:p>
        </w:tc>
        <w:tc>
          <w:tcPr>
            <w:tcW w:w="2296" w:type="dxa"/>
            <w:vAlign w:val="center"/>
            <w:textDirection w:val="lrTb"/>
            <w:noWrap w:val="false"/>
          </w:tcPr>
          <w:p>
            <w:pPr>
              <w:pStyle w:val="654"/>
              <w:jc w:val="center"/>
              <w:rPr>
                <w:rFonts w:eastAsia="方正黑体_GBK"/>
                <w:sz w:val="24"/>
                <w:szCs w:val="28"/>
                <w:highlight w:val="none"/>
              </w:rPr>
            </w:pPr>
            <w:r>
              <w:rPr>
                <w:rFonts w:eastAsia="方正黑体_GBK"/>
                <w:sz w:val="24"/>
                <w:szCs w:val="28"/>
                <w:highlight w:val="none"/>
              </w:rPr>
              <w:t xml:space="preserve">工作职责</w:t>
            </w:r>
            <w:r>
              <w:rPr>
                <w:rFonts w:eastAsia="方正黑体_GBK"/>
                <w:sz w:val="24"/>
                <w:szCs w:val="28"/>
                <w:highlight w:val="none"/>
              </w:rPr>
            </w:r>
            <w:r/>
          </w:p>
        </w:tc>
      </w:tr>
      <w:tr>
        <w:trPr>
          <w:trHeight w:val="706"/>
        </w:trPr>
        <w:tc>
          <w:tcPr>
            <w:tcW w:w="567" w:type="dxa"/>
            <w:vAlign w:val="center"/>
            <w:vMerge w:val="restart"/>
            <w:textDirection w:val="lrTb"/>
            <w:noWrap w:val="false"/>
          </w:tcPr>
          <w:p>
            <w:pPr>
              <w:pStyle w:val="654"/>
              <w:jc w:val="center"/>
              <w:rPr>
                <w:rFonts w:eastAsia="方正仿宋_GBK"/>
                <w:sz w:val="24"/>
                <w:szCs w:val="28"/>
                <w:highlight w:val="none"/>
              </w:rPr>
            </w:pPr>
            <w:r>
              <w:rPr>
                <w:rFonts w:eastAsia="方正仿宋_GBK"/>
                <w:sz w:val="24"/>
                <w:szCs w:val="28"/>
                <w:highlight w:val="none"/>
              </w:rPr>
              <w:t xml:space="preserve">第一年</w:t>
            </w:r>
            <w:r>
              <w:rPr>
                <w:rFonts w:eastAsia="方正仿宋_GBK"/>
                <w:sz w:val="24"/>
                <w:szCs w:val="28"/>
                <w:highlight w:val="none"/>
              </w:rPr>
            </w:r>
            <w:r/>
          </w:p>
        </w:tc>
        <w:tc>
          <w:tcPr>
            <w:tcW w:w="524" w:type="dxa"/>
            <w:vAlign w:val="center"/>
            <w:vMerge w:val="restart"/>
            <w:textDirection w:val="lrTb"/>
            <w:noWrap w:val="false"/>
          </w:tcPr>
          <w:p>
            <w:pPr>
              <w:pStyle w:val="654"/>
              <w:rPr>
                <w:rFonts w:eastAsia="方正仿宋_GBK"/>
                <w:sz w:val="24"/>
                <w:szCs w:val="28"/>
                <w:highlight w:val="none"/>
              </w:rPr>
            </w:pPr>
            <w:r>
              <w:rPr>
                <w:rFonts w:eastAsia="方正仿宋_GBK"/>
                <w:sz w:val="24"/>
                <w:szCs w:val="28"/>
                <w:highlight w:val="none"/>
              </w:rPr>
              <w:t xml:space="preserve">3人</w:t>
            </w: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数据工程师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负责数据全生命周期处理</w:t>
            </w:r>
            <w:r>
              <w:rPr>
                <w:rFonts w:eastAsia="方正仿宋_GBK"/>
                <w:sz w:val="24"/>
                <w:szCs w:val="28"/>
                <w:highlight w:val="none"/>
              </w:rPr>
            </w:r>
            <w:r/>
          </w:p>
        </w:tc>
      </w:tr>
      <w:tr>
        <w:trPr>
          <w:trHeight w:val="689"/>
        </w:trPr>
        <w:tc>
          <w:tcPr>
            <w:tcW w:w="567" w:type="dxa"/>
            <w:vAlign w:val="center"/>
            <w:vMerge w:val="continue"/>
            <w:textDirection w:val="lrTb"/>
            <w:noWrap w:val="false"/>
          </w:tcPr>
          <w:p>
            <w:pPr>
              <w:pStyle w:val="654"/>
              <w:jc w:val="center"/>
              <w:rPr>
                <w:rFonts w:eastAsia="方正仿宋_GBK"/>
                <w:sz w:val="24"/>
                <w:szCs w:val="28"/>
                <w:highlight w:val="none"/>
              </w:rPr>
            </w:pPr>
            <w:r>
              <w:rPr>
                <w:rFonts w:eastAsia="方正仿宋_GBK"/>
                <w:sz w:val="24"/>
                <w:szCs w:val="28"/>
                <w:highlight w:val="none"/>
              </w:rPr>
            </w:r>
            <w:r/>
          </w:p>
        </w:tc>
        <w:tc>
          <w:tcPr>
            <w:tcW w:w="524" w:type="dxa"/>
            <w:vAlign w:val="center"/>
            <w:vMerge w:val="continue"/>
            <w:textDirection w:val="lrTb"/>
            <w:noWrap w:val="false"/>
          </w:tcPr>
          <w:p>
            <w:pPr>
              <w:pStyle w:val="654"/>
              <w:rPr>
                <w:rFonts w:eastAsia="方正仿宋_GBK"/>
                <w:sz w:val="24"/>
                <w:szCs w:val="28"/>
                <w:highlight w:val="none"/>
              </w:rPr>
            </w:pP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算法工程师/模型训练师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负责模型训练、调优与评测</w:t>
            </w:r>
            <w:r>
              <w:rPr>
                <w:rFonts w:eastAsia="方正仿宋_GBK"/>
                <w:sz w:val="24"/>
                <w:szCs w:val="28"/>
                <w:highlight w:val="none"/>
              </w:rPr>
            </w:r>
            <w:r/>
          </w:p>
        </w:tc>
      </w:tr>
      <w:tr>
        <w:trPr>
          <w:trHeight w:val="689"/>
        </w:trPr>
        <w:tc>
          <w:tcPr>
            <w:tcW w:w="567" w:type="dxa"/>
            <w:vAlign w:val="center"/>
            <w:vMerge w:val="continue"/>
            <w:textDirection w:val="lrTb"/>
            <w:noWrap w:val="false"/>
          </w:tcPr>
          <w:p>
            <w:pPr>
              <w:pStyle w:val="654"/>
              <w:jc w:val="center"/>
              <w:rPr>
                <w:rFonts w:eastAsia="方正仿宋_GBK"/>
                <w:sz w:val="24"/>
                <w:szCs w:val="28"/>
                <w:highlight w:val="none"/>
              </w:rPr>
            </w:pPr>
            <w:r>
              <w:rPr>
                <w:rFonts w:eastAsia="方正仿宋_GBK"/>
                <w:sz w:val="24"/>
                <w:szCs w:val="28"/>
                <w:highlight w:val="none"/>
              </w:rPr>
            </w:r>
            <w:r/>
          </w:p>
        </w:tc>
        <w:tc>
          <w:tcPr>
            <w:tcW w:w="524" w:type="dxa"/>
            <w:vAlign w:val="center"/>
            <w:vMerge w:val="continue"/>
            <w:textDirection w:val="lrTb"/>
            <w:noWrap w:val="false"/>
          </w:tcPr>
          <w:p>
            <w:pPr>
              <w:pStyle w:val="654"/>
              <w:rPr>
                <w:rFonts w:eastAsia="方正仿宋_GBK"/>
                <w:sz w:val="24"/>
                <w:szCs w:val="28"/>
                <w:highlight w:val="none"/>
              </w:rPr>
            </w:pP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软件开发工程师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负责应用定制化开发与集成</w:t>
            </w:r>
            <w:r>
              <w:rPr>
                <w:rFonts w:eastAsia="方正仿宋_GBK"/>
                <w:sz w:val="24"/>
                <w:szCs w:val="28"/>
                <w:highlight w:val="none"/>
              </w:rPr>
            </w:r>
            <w:r/>
          </w:p>
        </w:tc>
      </w:tr>
      <w:tr>
        <w:trPr>
          <w:trHeight w:val="862"/>
        </w:trPr>
        <w:tc>
          <w:tcPr>
            <w:tcW w:w="567" w:type="dxa"/>
            <w:vAlign w:val="center"/>
            <w:vMerge w:val="restart"/>
            <w:textDirection w:val="lrTb"/>
            <w:noWrap w:val="false"/>
          </w:tcPr>
          <w:p>
            <w:pPr>
              <w:pStyle w:val="654"/>
              <w:jc w:val="center"/>
              <w:rPr>
                <w:rFonts w:eastAsia="方正仿宋_GBK"/>
                <w:sz w:val="24"/>
                <w:szCs w:val="28"/>
                <w:highlight w:val="none"/>
              </w:rPr>
            </w:pPr>
            <w:r>
              <w:rPr>
                <w:rFonts w:eastAsia="方正仿宋_GBK"/>
                <w:sz w:val="24"/>
                <w:szCs w:val="28"/>
                <w:highlight w:val="none"/>
              </w:rPr>
              <w:t xml:space="preserve">第二年</w:t>
            </w:r>
            <w:r>
              <w:rPr>
                <w:rFonts w:eastAsia="方正仿宋_GBK"/>
                <w:sz w:val="24"/>
                <w:szCs w:val="28"/>
                <w:highlight w:val="none"/>
              </w:rPr>
            </w:r>
            <w:r/>
          </w:p>
        </w:tc>
        <w:tc>
          <w:tcPr>
            <w:tcW w:w="524" w:type="dxa"/>
            <w:vAlign w:val="center"/>
            <w:vMerge w:val="restart"/>
            <w:textDirection w:val="lrTb"/>
            <w:noWrap w:val="false"/>
          </w:tcPr>
          <w:p>
            <w:pPr>
              <w:pStyle w:val="654"/>
              <w:rPr>
                <w:rFonts w:eastAsia="方正仿宋_GBK"/>
                <w:sz w:val="24"/>
                <w:szCs w:val="28"/>
                <w:highlight w:val="none"/>
              </w:rPr>
            </w:pPr>
            <w:r>
              <w:rPr>
                <w:rFonts w:eastAsia="方正仿宋_GBK"/>
                <w:sz w:val="24"/>
                <w:szCs w:val="28"/>
                <w:highlight w:val="none"/>
              </w:rPr>
              <w:t xml:space="preserve">2人</w:t>
            </w: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算法工程师/模型训练师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负责模型持续优化与新场景拓展</w:t>
            </w:r>
            <w:r>
              <w:rPr>
                <w:rFonts w:eastAsia="方正仿宋_GBK"/>
                <w:sz w:val="24"/>
                <w:szCs w:val="28"/>
                <w:highlight w:val="none"/>
              </w:rPr>
            </w:r>
            <w:r/>
          </w:p>
        </w:tc>
      </w:tr>
      <w:tr>
        <w:trPr>
          <w:trHeight w:val="828"/>
        </w:trPr>
        <w:tc>
          <w:tcPr>
            <w:tcW w:w="567" w:type="dxa"/>
            <w:vAlign w:val="center"/>
            <w:vMerge w:val="continue"/>
            <w:textDirection w:val="lrTb"/>
            <w:noWrap w:val="false"/>
          </w:tcPr>
          <w:p>
            <w:pPr>
              <w:pStyle w:val="654"/>
              <w:jc w:val="center"/>
              <w:rPr>
                <w:rFonts w:eastAsia="方正仿宋_GBK"/>
                <w:sz w:val="24"/>
                <w:szCs w:val="28"/>
                <w:highlight w:val="none"/>
              </w:rPr>
            </w:pPr>
            <w:r>
              <w:rPr>
                <w:rFonts w:eastAsia="方正仿宋_GBK"/>
                <w:sz w:val="24"/>
                <w:szCs w:val="28"/>
                <w:highlight w:val="none"/>
              </w:rPr>
            </w:r>
            <w:r/>
          </w:p>
        </w:tc>
        <w:tc>
          <w:tcPr>
            <w:tcW w:w="524" w:type="dxa"/>
            <w:vAlign w:val="center"/>
            <w:vMerge w:val="continue"/>
            <w:textDirection w:val="lrTb"/>
            <w:noWrap w:val="false"/>
          </w:tcPr>
          <w:p>
            <w:pPr>
              <w:pStyle w:val="654"/>
              <w:rPr>
                <w:rFonts w:eastAsia="方正仿宋_GBK"/>
                <w:sz w:val="24"/>
                <w:szCs w:val="28"/>
                <w:highlight w:val="none"/>
              </w:rPr>
            </w:pP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软件开发工程师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负责应用迭代维护与知识库更新</w:t>
            </w:r>
            <w:r>
              <w:rPr>
                <w:rFonts w:eastAsia="方正仿宋_GBK"/>
                <w:sz w:val="24"/>
                <w:szCs w:val="28"/>
                <w:highlight w:val="none"/>
              </w:rPr>
            </w:r>
            <w:r/>
          </w:p>
        </w:tc>
      </w:tr>
    </w:tbl>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具体工作内容与要求</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①第一年主要完成基础建设与核心应用落地</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数据工程师的主要工作包括以下三部分内容：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第一，负责数据对接与探查：驻场深入业务部门，与省局各部门密切协作，梳理、对接并获取模型训练所需的各类结构化与非结构化数据源（如政策法规、诊疗目录、药品目录、病历、结算数据、监管规则等）。</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数据清洗与整理：对海量医保文本、数据进行清洗、去噪、去重、格式标准化，确保数据质量。构建和维护本项目的“高质量大模型医保知识库”，进行知识的提取、结构化整理和关联。对敏感个人信息进行严格的脱敏、匿名化处理，确保数据安全合规。第三，负责数据标注与质量控制：根据业务场景（如智能审核、诊疗决策支持、政策问答等）制定详细、统一的数据标注规则和标准；对训练和评测所需的高质量数据集进行精准标注；对标注结果进行抽样校验和质量控制，确保标注准确率。</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算法工程师/模型训练师的主要工作包括以下三部分内容：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领域模型训练与微调：基于清洗和标注后的高质量医保领域数据，对选定的基座大模型进行持续预训练和指令微调，打造专业化的“医保垂直领域大模型底座”。针对不同业务场景（如基金监管、DRG/DIP分组、辅助决策等），进行任务特定的微调，训练出多个精准的场景化模型。</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模型评估与优化：构建多维度的模型评估体系（包括通用能力、医保专业能力、安全合规性等）。持续对模型效果进行评测、迭代和优化，解决模型在实际应用中出现的“幻觉”、偏见、专业度不足等问题。</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第三，负责技术支撑：为应用开发工程师提供模型接口、性能数据和技术支持。</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软件开发工程师的主要工作包括以下三部分内容：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应用定制化开发：与业务人员沟通，将业务需求转化为具体的AI应用功能原型和产品需求文档（PRD）；基于训练好的场景化模型，进行应用层开发，包括前端界面、后端服务、模型API集成、业务逻辑实现等；优先推动1-2个核心场景（如智能客服问答或医保单据智能审核）的应用落地和试点运行。</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第二，负责平台对接与集成：将开发好的AI应用与医保局现有的业务系统进行深度集成，确保业务流程无缝衔接。</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第三，负责部署与运维支持：协助进行应用的部署、上线和初期的运维支持，快速响应和修复试运行阶段发现的问题。</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②第二年主要完成模型的深度优化与规模推广工作</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算法工程师/模型训练师的主要工作包括以下三部分内容：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第一，负责模型持续学习与迭代：基于第一年应用上线后产生的真实用户反馈和新的业务数据，对模型进行持续训练和优化，实现模型效果的自我进化。</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第二，负责新场景拓展：探索和验证大模型在更多复杂场景的应用可行性，并训练相应的新模型。</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第三，负责性能与成本优化：研究并实施模型压缩、量化、蒸馏等技术，在保证效果的前提下降低模型推理成本，提升响应速度。</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软件开发工程师的主要工作包括以下两部分内容：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第一，负责应用迭代与功能增强：根据采购人使用反馈和业务变化，对已上线的应用进行功能优化和版本迭代。</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第二，负责系统维护与知识库更新：负责AI应用和智能体的日常维护、监控和故障排除。协助采购人更新和维护大模型医保知识库的内容，确保知识的时效性和准确性。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3.服务响应时间</w:t>
      </w:r>
      <w:r>
        <w:rPr>
          <w:rFonts w:hint="eastAsia" w:ascii="宋体" w:hAnsi="宋体" w:cs="宋体"/>
          <w:color w:val="000000"/>
          <w:sz w:val="24"/>
          <w:szCs w:val="24"/>
          <w:highlight w:val="none"/>
        </w:rPr>
      </w:r>
      <w:r/>
    </w:p>
    <w:tbl>
      <w:tblPr>
        <w:tblW w:w="4459"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3106"/>
        <w:gridCol w:w="1943"/>
        <w:gridCol w:w="842"/>
        <w:gridCol w:w="963"/>
      </w:tblGrid>
      <w:tr>
        <w:trPr/>
        <w:tc>
          <w:tcPr>
            <w:tcW w:w="544"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故障等级</w:t>
            </w:r>
            <w:r>
              <w:rPr>
                <w:rFonts w:hint="eastAsia" w:ascii="宋体" w:hAnsi="宋体" w:cs="宋体"/>
                <w:color w:val="000000"/>
                <w:sz w:val="24"/>
                <w:szCs w:val="24"/>
                <w:highlight w:val="none"/>
              </w:rPr>
            </w:r>
            <w:r/>
          </w:p>
        </w:tc>
        <w:tc>
          <w:tcPr>
            <w:tcW w:w="2264"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现象描述</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时段</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响应</w:t>
            </w:r>
            <w:r>
              <w:rPr>
                <w:rFonts w:hint="eastAsia" w:ascii="宋体" w:hAnsi="宋体" w:cs="宋体"/>
                <w:color w:val="000000"/>
                <w:sz w:val="24"/>
                <w:szCs w:val="24"/>
                <w:highlight w:val="none"/>
              </w:rPr>
            </w:r>
            <w:r/>
          </w:p>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时间</w:t>
            </w:r>
            <w:r>
              <w:rPr>
                <w:rFonts w:hint="eastAsia" w:ascii="宋体" w:hAnsi="宋体" w:cs="宋体"/>
                <w:color w:val="000000"/>
                <w:sz w:val="24"/>
                <w:szCs w:val="24"/>
                <w:highlight w:val="none"/>
              </w:rPr>
            </w:r>
            <w:r/>
          </w:p>
        </w:tc>
        <w:tc>
          <w:tcPr>
            <w:tcW w:w="702"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故障解决时间</w:t>
            </w:r>
            <w:r>
              <w:rPr>
                <w:rFonts w:hint="eastAsia" w:ascii="宋体" w:hAnsi="宋体" w:cs="宋体"/>
                <w:color w:val="000000"/>
                <w:sz w:val="24"/>
                <w:szCs w:val="24"/>
                <w:highlight w:val="none"/>
              </w:rPr>
            </w:r>
            <w:r/>
          </w:p>
        </w:tc>
      </w:tr>
      <w:tr>
        <w:trPr>
          <w:trHeight w:val="429"/>
        </w:trPr>
        <w:tc>
          <w:tcPr>
            <w:tcW w:w="544" w:type="dxa"/>
            <w:vAlign w:val="center"/>
            <w:vMerge w:val="restart"/>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一级故障</w:t>
            </w:r>
            <w:r>
              <w:rPr>
                <w:rFonts w:hint="eastAsia" w:ascii="宋体" w:hAnsi="宋体" w:cs="宋体"/>
                <w:color w:val="000000"/>
                <w:sz w:val="24"/>
                <w:szCs w:val="24"/>
                <w:highlight w:val="none"/>
              </w:rPr>
            </w:r>
            <w:r/>
          </w:p>
        </w:tc>
        <w:tc>
          <w:tcPr>
            <w:tcW w:w="2264" w:type="dxa"/>
            <w:vAlign w:val="center"/>
            <w:vMerge w:val="restart"/>
            <w:textDirection w:val="lrTb"/>
            <w:noWrap w:val="false"/>
          </w:tcPr>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投标人所运维的项目</w:t>
            </w:r>
            <w:r>
              <w:rPr>
                <w:rFonts w:hint="eastAsia" w:ascii="宋体" w:hAnsi="宋体" w:cs="宋体"/>
                <w:color w:val="000000"/>
                <w:sz w:val="24"/>
                <w:szCs w:val="24"/>
                <w:highlight w:val="none"/>
              </w:rPr>
              <w:t xml:space="preserve">，出现以下问题：</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1.系统完全瘫痪，导致相关内部业务工作完全停滞。</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2.存在数据安全风险或高危安全漏洞，面临紧迫威胁。</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7:00-20:00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5分钟</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4小时</w:t>
            </w:r>
            <w:r>
              <w:rPr>
                <w:rFonts w:hint="eastAsia" w:ascii="宋体" w:hAnsi="宋体" w:cs="宋体"/>
                <w:color w:val="000000"/>
                <w:sz w:val="24"/>
                <w:szCs w:val="24"/>
                <w:highlight w:val="none"/>
              </w:rPr>
            </w:r>
            <w:r/>
          </w:p>
        </w:tc>
      </w:tr>
      <w:tr>
        <w:trPr/>
        <w:tc>
          <w:tcPr>
            <w:tcW w:w="544" w:type="dxa"/>
            <w:vAlign w:val="center"/>
            <w:vMerge w:val="continue"/>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4" w:type="dxa"/>
            <w:vAlign w:val="center"/>
            <w:vMerge w:val="continue"/>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20:00-次日7:00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10分钟</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4小时</w:t>
            </w:r>
            <w:r>
              <w:rPr>
                <w:rFonts w:hint="eastAsia" w:ascii="宋体" w:hAnsi="宋体" w:cs="宋体"/>
                <w:color w:val="000000"/>
                <w:sz w:val="24"/>
                <w:szCs w:val="24"/>
                <w:highlight w:val="none"/>
              </w:rPr>
            </w:r>
            <w:r/>
          </w:p>
        </w:tc>
      </w:tr>
      <w:tr>
        <w:trPr>
          <w:trHeight w:val="599"/>
        </w:trPr>
        <w:tc>
          <w:tcPr>
            <w:tcW w:w="544" w:type="dxa"/>
            <w:vAlign w:val="center"/>
            <w:vMerge w:val="restart"/>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二级故障</w:t>
            </w:r>
            <w:r>
              <w:rPr>
                <w:rFonts w:hint="eastAsia" w:ascii="宋体" w:hAnsi="宋体" w:cs="宋体"/>
                <w:color w:val="000000"/>
                <w:sz w:val="24"/>
                <w:szCs w:val="24"/>
                <w:highlight w:val="none"/>
              </w:rPr>
            </w:r>
            <w:r/>
          </w:p>
        </w:tc>
        <w:tc>
          <w:tcPr>
            <w:tcW w:w="2264" w:type="dxa"/>
            <w:vAlign w:val="center"/>
            <w:vMerge w:val="restart"/>
            <w:textDirection w:val="lrTb"/>
            <w:noWrap w:val="false"/>
          </w:tcPr>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投标人所运维的项目</w:t>
            </w:r>
            <w:r>
              <w:rPr>
                <w:rFonts w:hint="eastAsia" w:ascii="宋体" w:hAnsi="宋体" w:cs="宋体"/>
                <w:color w:val="000000"/>
                <w:sz w:val="24"/>
                <w:szCs w:val="24"/>
                <w:highlight w:val="none"/>
              </w:rPr>
              <w:t xml:space="preserve">，出现以下问题：</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1.系统主要功能失效，严重影响内部工作效率，但有备用方案。</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2.出现局部数据错误或性能严重下降，无法正常使用。</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7:00-20:00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5分钟</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r>
      <w:tr>
        <w:trPr/>
        <w:tc>
          <w:tcPr>
            <w:tcW w:w="544" w:type="dxa"/>
            <w:vAlign w:val="center"/>
            <w:vMerge w:val="continue"/>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4" w:type="dxa"/>
            <w:vAlign w:val="center"/>
            <w:vMerge w:val="continue"/>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20:00-次日7:00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10分钟</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r>
      <w:tr>
        <w:trPr>
          <w:trHeight w:val="449"/>
        </w:trPr>
        <w:tc>
          <w:tcPr>
            <w:tcW w:w="544" w:type="dxa"/>
            <w:vAlign w:val="center"/>
            <w:vMerge w:val="restart"/>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三级故障</w:t>
            </w:r>
            <w:r>
              <w:rPr>
                <w:rFonts w:hint="eastAsia" w:ascii="宋体" w:hAnsi="宋体" w:cs="宋体"/>
                <w:color w:val="000000"/>
                <w:sz w:val="24"/>
                <w:szCs w:val="24"/>
                <w:highlight w:val="none"/>
              </w:rPr>
            </w:r>
            <w:r/>
          </w:p>
        </w:tc>
        <w:tc>
          <w:tcPr>
            <w:tcW w:w="2264" w:type="dxa"/>
            <w:vAlign w:val="center"/>
            <w:vMerge w:val="restart"/>
            <w:textDirection w:val="lrTb"/>
            <w:noWrap w:val="false"/>
          </w:tcPr>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投标人所运维的项目，</w:t>
            </w:r>
            <w:r>
              <w:rPr>
                <w:rFonts w:hint="eastAsia" w:ascii="宋体" w:hAnsi="宋体" w:cs="宋体"/>
                <w:color w:val="000000"/>
                <w:sz w:val="24"/>
                <w:szCs w:val="24"/>
                <w:highlight w:val="none"/>
              </w:rPr>
              <w:t xml:space="preserve">出现以下问题：</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1.系统部分非核心功能异常，对工作效率有影响，但可替代。</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2.系统出现不影响主流程的偶发性错误或功能瑕疵。</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7:00-20:00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3个工作日</w:t>
            </w:r>
            <w:r>
              <w:rPr>
                <w:rFonts w:hint="eastAsia" w:ascii="宋体" w:hAnsi="宋体" w:cs="宋体"/>
                <w:color w:val="000000"/>
                <w:sz w:val="24"/>
                <w:szCs w:val="24"/>
                <w:highlight w:val="none"/>
              </w:rPr>
            </w:r>
            <w:r/>
          </w:p>
        </w:tc>
      </w:tr>
      <w:tr>
        <w:trPr/>
        <w:tc>
          <w:tcPr>
            <w:tcW w:w="544" w:type="dxa"/>
            <w:vAlign w:val="center"/>
            <w:vMerge w:val="continue"/>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4" w:type="dxa"/>
            <w:vAlign w:val="center"/>
            <w:vMerge w:val="continue"/>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20:00-次日7:00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3个工作日</w:t>
            </w:r>
            <w:r>
              <w:rPr>
                <w:rFonts w:hint="eastAsia" w:ascii="宋体" w:hAnsi="宋体" w:cs="宋体"/>
                <w:color w:val="000000"/>
                <w:sz w:val="24"/>
                <w:szCs w:val="24"/>
                <w:highlight w:val="none"/>
              </w:rPr>
            </w:r>
            <w:r/>
          </w:p>
        </w:tc>
      </w:tr>
      <w:tr>
        <w:trPr>
          <w:trHeight w:val="467"/>
        </w:trPr>
        <w:tc>
          <w:tcPr>
            <w:tcW w:w="544" w:type="dxa"/>
            <w:vAlign w:val="center"/>
            <w:vMerge w:val="restart"/>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四级故障</w:t>
            </w:r>
            <w:r>
              <w:rPr>
                <w:rFonts w:hint="eastAsia" w:ascii="宋体" w:hAnsi="宋体" w:cs="宋体"/>
                <w:color w:val="000000"/>
                <w:sz w:val="24"/>
                <w:szCs w:val="24"/>
                <w:highlight w:val="none"/>
              </w:rPr>
            </w:r>
            <w:r/>
          </w:p>
        </w:tc>
        <w:tc>
          <w:tcPr>
            <w:tcW w:w="2264" w:type="dxa"/>
            <w:vAlign w:val="center"/>
            <w:vMerge w:val="restart"/>
            <w:textDirection w:val="lrTb"/>
            <w:noWrap w:val="false"/>
          </w:tcPr>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投标人所运维的项目，</w:t>
            </w:r>
            <w:r>
              <w:rPr>
                <w:rFonts w:hint="eastAsia" w:ascii="宋体" w:hAnsi="宋体" w:cs="宋体"/>
                <w:color w:val="000000"/>
                <w:sz w:val="24"/>
                <w:szCs w:val="24"/>
                <w:highlight w:val="none"/>
              </w:rPr>
              <w:t xml:space="preserve">出现</w:t>
            </w:r>
            <w:r>
              <w:rPr>
                <w:rFonts w:ascii="宋体" w:hAnsi="宋体" w:cs="宋体"/>
                <w:color w:val="000000"/>
                <w:sz w:val="24"/>
                <w:szCs w:val="24"/>
                <w:highlight w:val="none"/>
              </w:rPr>
              <w:t xml:space="preserve">操作方式</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界面显示、使用体验等</w:t>
            </w:r>
            <w:r>
              <w:rPr>
                <w:rFonts w:hint="eastAsia" w:ascii="宋体" w:hAnsi="宋体" w:cs="宋体"/>
                <w:color w:val="000000"/>
                <w:sz w:val="24"/>
                <w:szCs w:val="24"/>
                <w:highlight w:val="none"/>
              </w:rPr>
              <w:t xml:space="preserve">方面的问题</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7:00-20:00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7个工作日</w:t>
            </w:r>
            <w:r>
              <w:rPr>
                <w:rFonts w:hint="eastAsia" w:ascii="宋体" w:hAnsi="宋体" w:cs="宋体"/>
                <w:color w:val="000000"/>
                <w:sz w:val="24"/>
                <w:szCs w:val="24"/>
                <w:highlight w:val="none"/>
              </w:rPr>
            </w:r>
            <w:r/>
          </w:p>
        </w:tc>
      </w:tr>
      <w:tr>
        <w:trPr/>
        <w:tc>
          <w:tcPr>
            <w:tcW w:w="544" w:type="dxa"/>
            <w:vAlign w:val="center"/>
            <w:vMerge w:val="continue"/>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4" w:type="dxa"/>
            <w:vAlign w:val="center"/>
            <w:vMerge w:val="continue"/>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20:00-次日7:00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7个工作日</w:t>
            </w:r>
            <w:r>
              <w:rPr>
                <w:rFonts w:hint="eastAsia" w:ascii="宋体" w:hAnsi="宋体" w:cs="宋体"/>
                <w:color w:val="000000"/>
                <w:sz w:val="24"/>
                <w:szCs w:val="24"/>
                <w:highlight w:val="none"/>
              </w:rPr>
            </w:r>
            <w:r/>
          </w:p>
        </w:tc>
      </w:tr>
    </w:tbl>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人员在解决故障时，要最大限度保护数据，将系统恢复到故障点前的业务状态，同时做好故障恢复文档记录。如果不能在30分钟内解决故障，要启动应急预案，并在故障解决后24小时内，提交故障处置报告，说明故障种类、故障原因、故障解决中使用的方法及故障损失等，并梳理形成详细运维服务文档，方便分析问题，保证工作交接延续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系统漏洞、运行监控和风险排查不到位、运维人员操作不当等供应商原因，引发系统故障或数据丢失、泄露，未在故障解决时限内完成处理或引发重大社会舆情的，将按照医保信息平台相关管理规定在考核评价中扣分，并承担相应违约责任。（详见合同文本第十一条违约责任条款）。</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（七）知识产权要求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i/>
          <w:iCs/>
          <w:color w:val="000000"/>
          <w:sz w:val="24"/>
          <w:szCs w:val="24"/>
          <w:highlight w:val="none"/>
          <w:u w:val="single"/>
        </w:rPr>
      </w:pPr>
      <w:r>
        <w:rPr>
          <w:rFonts w:ascii="宋体" w:hAnsi="宋体" w:cs="宋体"/>
          <w:i/>
          <w:iCs/>
          <w:color w:val="000000"/>
          <w:sz w:val="24"/>
          <w:szCs w:val="24"/>
          <w:highlight w:val="none"/>
          <w:u w:val="single"/>
        </w:rPr>
        <w:t xml:space="preserve">2. 针对本项目构建的医疗健康和医保领域及其他专用知识库与数据集，其全部知识产权（包括但不限于其结构设计、数据内容、关联关系及后续更新）自产生之日起即归采购人所有。投标人（及中标后的承建与维保方）在项目建设及后续维保服务期间，对知识库与数据集所作的任何补充、优化、更新，无论于何时产生，其知识产权均无条件归属于采购人。采购人拥有对该知识库与数据集的永久、无偿使用权和处置权。</w:t>
      </w:r>
      <w:r>
        <w:rPr>
          <w:rFonts w:hint="eastAsia" w:ascii="宋体" w:hAnsi="宋体" w:cs="宋体"/>
          <w:i/>
          <w:iCs/>
          <w:color w:val="000000"/>
          <w:sz w:val="24"/>
          <w:szCs w:val="24"/>
          <w:highlight w:val="none"/>
          <w:u w:val="single"/>
        </w:rPr>
      </w:r>
      <w:r/>
    </w:p>
    <w:p>
      <w:pPr>
        <w:pStyle w:val="654"/>
        <w:ind w:firstLine="480"/>
        <w:spacing w:line="580" w:lineRule="exact"/>
        <w:rPr>
          <w:rFonts w:hint="eastAsia" w:ascii="宋体" w:hAnsi="宋体" w:cs="宋体"/>
          <w:i/>
          <w:iCs/>
          <w:color w:val="000000"/>
          <w:sz w:val="24"/>
          <w:szCs w:val="24"/>
          <w:highlight w:val="none"/>
          <w:u w:val="single"/>
        </w:rPr>
      </w:pPr>
      <w:r>
        <w:rPr>
          <w:rFonts w:ascii="宋体" w:hAnsi="宋体" w:cs="宋体"/>
          <w:i/>
          <w:iCs/>
          <w:color w:val="000000"/>
          <w:sz w:val="24"/>
          <w:szCs w:val="24"/>
          <w:highlight w:val="none"/>
          <w:u w:val="single"/>
        </w:rPr>
        <w:t xml:space="preserve">3.投标人需在投标文件中承诺在本项目建设和运维期间的任何时候，只要采购人提出提交本项目的各种项目文档、源代码，投标人都要在5个工作日之内按采购人要求完整提交，提交的源代码应当可编译运行并与项目建设内容一致。采购人有权委托第三方使用本项目中涉及的资料（包括程序源代码、数据库、项目文档等）进行二次开发。（投标人需提供承诺函并加盖公章）</w:t>
      </w:r>
      <w:r>
        <w:rPr>
          <w:rFonts w:hint="eastAsia" w:ascii="宋体" w:hAnsi="宋体" w:cs="宋体"/>
          <w:i/>
          <w:iCs/>
          <w:color w:val="000000"/>
          <w:sz w:val="24"/>
          <w:szCs w:val="24"/>
          <w:highlight w:val="none"/>
          <w:u w:val="single"/>
        </w:rPr>
      </w:r>
      <w:r/>
    </w:p>
    <w:p>
      <w:pPr>
        <w:pStyle w:val="654"/>
        <w:ind w:firstLine="480"/>
        <w:spacing w:line="580" w:lineRule="exact"/>
        <w:rPr>
          <w:rFonts w:hint="eastAsia" w:ascii="宋体" w:hAnsi="宋体" w:cs="宋体"/>
          <w:i/>
          <w:iCs/>
          <w:color w:val="000000"/>
          <w:sz w:val="24"/>
          <w:szCs w:val="24"/>
          <w:highlight w:val="none"/>
          <w:u w:val="single"/>
        </w:rPr>
      </w:pPr>
      <w:r>
        <w:rPr>
          <w:rFonts w:ascii="宋体" w:hAnsi="宋体" w:cs="宋体"/>
          <w:i/>
          <w:iCs/>
          <w:color w:val="000000"/>
          <w:sz w:val="24"/>
          <w:szCs w:val="24"/>
          <w:highlight w:val="none"/>
          <w:u w:val="single"/>
        </w:rPr>
        <w:t xml:space="preserve">4.投标人需在投标文件中承诺提供给采购人使用的产品及服务或其中的任何一部分，免受第三方提出的侵犯其知识产权的索赔或诉讼。如有任何上述指控，投标人应独自承担可能发生的一切法律责任和费用。（投标人需提供承诺函并加盖公章）</w:t>
      </w:r>
      <w:r>
        <w:rPr>
          <w:rFonts w:hint="eastAsia" w:ascii="宋体" w:hAnsi="宋体" w:cs="宋体"/>
          <w:i/>
          <w:iCs/>
          <w:color w:val="000000"/>
          <w:sz w:val="24"/>
          <w:szCs w:val="24"/>
          <w:highlight w:val="none"/>
          <w:u w:val="single"/>
        </w:rPr>
        <w:t xml:space="preserve">。</w:t>
      </w:r>
      <w:r>
        <w:rPr>
          <w:rFonts w:hint="eastAsia" w:ascii="宋体" w:hAnsi="宋体" w:cs="宋体"/>
          <w:i/>
          <w:iCs/>
          <w:color w:val="000000"/>
          <w:sz w:val="24"/>
          <w:szCs w:val="24"/>
          <w:highlight w:val="none"/>
          <w:u w:val="singl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（八）保密要求</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投标人须对本项目技术文件、采购人提供的所有内部资料、技术文档、系统数据（包含原始数据和衍生数据）和信息予以保密。投标人必须与采购人签订保密协议和外包网络安全协议，并严格遵守。</w:t>
      </w:r>
      <w:r>
        <w:rPr>
          <w:rFonts w:hint="eastAsia" w:ascii="宋体" w:hAnsi="宋体" w:cs="宋体"/>
          <w:color w:val="000000"/>
          <w:sz w:val="24"/>
          <w:szCs w:val="24"/>
          <w:highlight w:val="none"/>
        </w:rPr>
      </w:r>
      <w:r/>
    </w:p>
    <w:p>
      <w:pPr>
        <w:pStyle w:val="654"/>
        <w:ind w:firstLine="480"/>
        <w:spacing w:line="0" w:lineRule="atLeast"/>
        <w:rPr>
          <w:rFonts w:hint="eastAsia" w:ascii="宋体" w:hAnsi="宋体"/>
          <w:b/>
          <w:sz w:val="24"/>
          <w:szCs w:val="24"/>
          <w:highlight w:val="none"/>
        </w:rPr>
      </w:pPr>
      <w:r>
        <w:rPr>
          <w:rFonts w:hint="eastAsia" w:ascii="宋体" w:hAnsi="宋体" w:cs="宋体"/>
          <w:color w:val="000000"/>
          <w:sz w:val="24"/>
          <w:szCs w:val="24"/>
          <w:highlight w:val="none"/>
        </w:rPr>
        <w:t xml:space="preserve">2. 投标人提供的项目实施团队和运维团队成员须签订保密承诺书，承诺内容需得到采购人认可，并与保密协议和外包网络安全协议一并提交给采购人</w:t>
      </w:r>
      <w:r>
        <w:rPr>
          <w:rFonts w:hint="eastAsia" w:ascii="宋体" w:hAnsi="宋体"/>
          <w:b/>
          <w:sz w:val="24"/>
          <w:szCs w:val="24"/>
          <w:highlight w:val="none"/>
        </w:rPr>
      </w:r>
      <w:r/>
    </w:p>
    <w:p>
      <w:pPr>
        <w:pStyle w:val="654"/>
        <w:spacing w:line="0" w:lineRule="atLeast"/>
        <w:rPr>
          <w:rFonts w:ascii="宋体" w:hAnsi="宋体"/>
          <w:sz w:val="24"/>
          <w:szCs w:val="24"/>
          <w:highlight w:val="none"/>
        </w:rPr>
      </w:pPr>
      <w:r>
        <w:rPr>
          <w:rFonts w:ascii="宋体" w:hAnsi="宋体"/>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（九）项目属性</w:t>
      </w:r>
      <w:r>
        <w:rPr>
          <w:rFonts w:ascii="宋体" w:hAnsi="宋体" w:cs="宋体"/>
          <w:bCs w:val="0"/>
          <w:color w:val="000000"/>
          <w:sz w:val="24"/>
          <w:szCs w:val="24"/>
          <w:highlight w:val="none"/>
        </w:rPr>
      </w:r>
      <w:r/>
    </w:p>
    <w:p>
      <w:pPr>
        <w:pStyle w:val="654"/>
        <w:ind w:firstLine="720"/>
        <w:spacing w:line="0" w:lineRule="atLeast"/>
        <w:rPr>
          <w:rFonts w:hint="eastAsia" w:ascii="宋体" w:hAnsi="宋体"/>
          <w:sz w:val="24"/>
          <w:szCs w:val="24"/>
          <w:highlight w:val="none"/>
        </w:rPr>
      </w:pPr>
      <w:r>
        <w:rPr>
          <w:rFonts w:hint="eastAsia" w:ascii="宋体" w:hAnsi="宋体"/>
          <w:sz w:val="24"/>
          <w:szCs w:val="24"/>
          <w:highlight w:val="none"/>
        </w:rPr>
        <w:t xml:space="preserve">服务类项目。</w:t>
      </w:r>
      <w:r>
        <w:rPr>
          <w:rFonts w:hint="eastAsia" w:ascii="宋体" w:hAnsi="宋体"/>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（十）进口</w:t>
      </w:r>
      <w:r>
        <w:rPr>
          <w:rFonts w:ascii="宋体" w:hAnsi="宋体" w:cs="宋体"/>
          <w:bCs w:val="0"/>
          <w:color w:val="000000"/>
          <w:sz w:val="24"/>
          <w:szCs w:val="24"/>
          <w:highlight w:val="none"/>
        </w:rPr>
        <w:t xml:space="preserve">产品</w:t>
      </w:r>
      <w:r>
        <w:rPr>
          <w:rFonts w:hint="eastAsia" w:ascii="宋体" w:hAnsi="宋体" w:cs="宋体"/>
          <w:bCs w:val="0"/>
          <w:color w:val="000000"/>
          <w:sz w:val="24"/>
          <w:szCs w:val="24"/>
          <w:highlight w:val="none"/>
        </w:rPr>
        <w:t xml:space="preserve">参与磋商</w:t>
      </w:r>
      <w:r>
        <w:rPr>
          <w:rFonts w:ascii="宋体" w:hAnsi="宋体" w:cs="宋体"/>
          <w:bCs w:val="0"/>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采购包号</w:t>
            </w:r>
            <w:r>
              <w:rPr>
                <w:rFonts w:hint="eastAsia" w:ascii="宋体" w:hAnsi="宋体"/>
                <w:szCs w:val="21"/>
                <w:highlight w:val="none"/>
              </w:rPr>
            </w:r>
            <w:r/>
          </w:p>
        </w:tc>
        <w:tc>
          <w:tcPr>
            <w:tcW w:w="3094" w:type="dxa"/>
            <w:vAlign w:val="top"/>
            <w:textDirection w:val="lrTb"/>
            <w:noWrap w:val="false"/>
          </w:tcPr>
          <w:p>
            <w:pPr>
              <w:pStyle w:val="654"/>
              <w:jc w:val="center"/>
              <w:rPr>
                <w:rFonts w:ascii="宋体" w:hAnsi="宋体"/>
                <w:szCs w:val="21"/>
                <w:highlight w:val="none"/>
              </w:rPr>
            </w:pPr>
            <w:r>
              <w:rPr>
                <w:rFonts w:hint="eastAsia" w:ascii="宋体" w:hAnsi="宋体"/>
                <w:szCs w:val="21"/>
                <w:highlight w:val="none"/>
              </w:rPr>
              <w:t xml:space="preserve">是否接受</w:t>
            </w:r>
            <w:r>
              <w:rPr>
                <w:rFonts w:ascii="宋体" w:hAnsi="宋体"/>
                <w:szCs w:val="21"/>
                <w:highlight w:val="none"/>
              </w:rPr>
              <w:t xml:space="preserve">进口产品</w:t>
            </w:r>
            <w:r>
              <w:rPr>
                <w:rFonts w:hint="eastAsia" w:ascii="宋体" w:hAnsi="宋体"/>
                <w:szCs w:val="21"/>
                <w:highlight w:val="none"/>
              </w:rPr>
              <w:t xml:space="preserve">参与磋商</w:t>
            </w:r>
            <w:r>
              <w:rPr>
                <w:rFonts w:ascii="宋体" w:hAnsi="宋体"/>
                <w:szCs w:val="21"/>
                <w:highlight w:val="none"/>
              </w:rPr>
            </w:r>
            <w:r/>
          </w:p>
          <w:p>
            <w:pPr>
              <w:pStyle w:val="654"/>
              <w:jc w:val="center"/>
              <w:rPr>
                <w:rFonts w:hint="eastAsia" w:ascii="宋体" w:hAnsi="宋体"/>
                <w:szCs w:val="21"/>
                <w:highlight w:val="none"/>
              </w:rPr>
            </w:pPr>
            <w:r>
              <w:rPr>
                <w:rFonts w:hint="eastAsia" w:ascii="宋体" w:hAnsi="宋体"/>
                <w:szCs w:val="21"/>
                <w:highlight w:val="none"/>
              </w:rPr>
              <w:t xml:space="preserve">（是/否）</w:t>
            </w:r>
            <w:r>
              <w:rPr>
                <w:rFonts w:hint="eastAsia" w:ascii="宋体" w:hAnsi="宋体"/>
                <w:szCs w:val="21"/>
                <w:highlight w:val="none"/>
              </w:rPr>
            </w:r>
            <w:r/>
          </w:p>
        </w:tc>
      </w:tr>
      <w:tr>
        <w:trPr/>
        <w:tc>
          <w:tcPr>
            <w:tcW w:w="1148" w:type="dxa"/>
            <w:vAlign w:val="top"/>
            <w:textDirection w:val="lrTb"/>
            <w:noWrap w:val="false"/>
          </w:tcPr>
          <w:p>
            <w:pPr>
              <w:pStyle w:val="654"/>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3094" w:type="dxa"/>
            <w:vAlign w:val="top"/>
            <w:textDirection w:val="lrTb"/>
            <w:noWrap w:val="false"/>
          </w:tcPr>
          <w:p>
            <w:pPr>
              <w:pStyle w:val="654"/>
              <w:jc w:val="center"/>
              <w:rPr>
                <w:rFonts w:hint="eastAsia" w:ascii="宋体" w:hAnsi="宋体"/>
                <w:szCs w:val="21"/>
                <w:highlight w:val="none"/>
              </w:rPr>
            </w:pPr>
            <w:r>
              <w:rPr>
                <w:rFonts w:hint="eastAsia" w:ascii="宋体" w:hAnsi="宋体"/>
                <w:szCs w:val="21"/>
                <w:highlight w:val="none"/>
              </w:rPr>
              <w:t xml:space="preserve">否</w:t>
            </w:r>
            <w:r>
              <w:rPr>
                <w:rFonts w:hint="eastAsia" w:ascii="宋体" w:hAnsi="宋体"/>
                <w:szCs w:val="21"/>
                <w:highlight w:val="none"/>
              </w:rPr>
            </w:r>
            <w:r/>
          </w:p>
        </w:tc>
      </w:tr>
    </w:tbl>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（十一）演示要求</w:t>
      </w:r>
      <w:r>
        <w:rPr>
          <w:rFonts w:hint="eastAsia" w:ascii="宋体" w:hAnsi="宋体" w:cs="宋体"/>
          <w:bCs w:val="0"/>
          <w:color w:val="000000"/>
          <w:sz w:val="24"/>
          <w:szCs w:val="24"/>
          <w:highlight w:val="none"/>
        </w:rPr>
      </w:r>
      <w:r/>
    </w:p>
    <w:p>
      <w:pPr>
        <w:pStyle w:val="654"/>
        <w:ind w:firstLine="480"/>
        <w:rPr>
          <w:rFonts w:hint="eastAsia"/>
          <w:sz w:val="24"/>
          <w:szCs w:val="24"/>
          <w:highlight w:val="none"/>
        </w:rPr>
      </w:pPr>
      <w:r>
        <w:rPr>
          <w:rFonts w:hint="eastAsia"/>
          <w:sz w:val="24"/>
          <w:szCs w:val="24"/>
          <w:highlight w:val="none"/>
        </w:rPr>
        <w:t xml:space="preserve">上传视频演示</w:t>
      </w:r>
      <w:r>
        <w:rPr>
          <w:rFonts w:hint="eastAsia"/>
          <w:sz w:val="24"/>
          <w:szCs w:val="24"/>
          <w:highlight w:val="none"/>
        </w:rPr>
      </w:r>
      <w:r/>
    </w:p>
    <w:p>
      <w:pPr>
        <w:pStyle w:val="654"/>
        <w:ind w:firstLine="480"/>
        <w:spacing w:line="0" w:lineRule="atLeast"/>
        <w:rPr>
          <w:rFonts w:hint="eastAsia" w:ascii="宋体" w:hAnsi="宋体"/>
          <w:sz w:val="24"/>
          <w:szCs w:val="21"/>
          <w:highlight w:val="none"/>
        </w:rPr>
      </w:pPr>
      <w:r>
        <w:rPr>
          <w:rFonts w:hint="eastAsia" w:ascii="宋体" w:hAnsi="宋体"/>
          <w:sz w:val="24"/>
          <w:szCs w:val="21"/>
          <w:highlight w:val="none"/>
        </w:rPr>
        <w:t xml:space="preserve">（1）供应商需按照磋商文件规定的演示内容制作演示视频文件，视频文件的格式为</w:t>
      </w:r>
      <w:r>
        <w:rPr>
          <w:rFonts w:ascii="宋体" w:hAnsi="宋体"/>
          <w:sz w:val="24"/>
          <w:szCs w:val="21"/>
          <w:highlight w:val="none"/>
        </w:rPr>
        <w:t xml:space="preserve">*</w:t>
      </w:r>
      <w:r>
        <w:rPr>
          <w:rFonts w:hint="eastAsia" w:ascii="宋体" w:hAnsi="宋体"/>
          <w:sz w:val="24"/>
          <w:szCs w:val="21"/>
          <w:highlight w:val="none"/>
        </w:rPr>
        <w:t xml:space="preserve">.mp4或*.avi，供应商须将视频文件分段压缩为*.zip文件上传（单个文件不得大于50M，所有文件总共不得大于300M）。文件上传方式见《操作手册》规定，上传的演示视频将作为响应文件的组成部分，视频时长总计不超过</w:t>
      </w:r>
      <w:r>
        <w:rPr>
          <w:rFonts w:hint="eastAsia" w:ascii="宋体" w:hAnsi="宋体"/>
          <w:sz w:val="24"/>
          <w:szCs w:val="21"/>
          <w:highlight w:val="none"/>
          <w:u w:val="single"/>
        </w:rPr>
        <w:t xml:space="preserve">15</w:t>
      </w:r>
      <w:r>
        <w:rPr>
          <w:rFonts w:hint="eastAsia" w:ascii="宋体" w:hAnsi="宋体"/>
          <w:sz w:val="24"/>
          <w:szCs w:val="21"/>
          <w:highlight w:val="none"/>
        </w:rPr>
        <w:t xml:space="preserve">分钟。</w:t>
      </w:r>
      <w:r>
        <w:rPr>
          <w:rFonts w:hint="eastAsia" w:ascii="宋体" w:hAnsi="宋体"/>
          <w:sz w:val="24"/>
          <w:szCs w:val="21"/>
          <w:highlight w:val="none"/>
        </w:rPr>
      </w:r>
      <w:r/>
    </w:p>
    <w:p>
      <w:pPr>
        <w:pStyle w:val="654"/>
        <w:ind w:firstLine="480"/>
        <w:spacing w:line="0" w:lineRule="atLeast"/>
        <w:rPr>
          <w:rFonts w:hint="eastAsia" w:ascii="宋体" w:hAnsi="宋体"/>
          <w:sz w:val="24"/>
          <w:szCs w:val="21"/>
          <w:highlight w:val="none"/>
        </w:rPr>
      </w:pPr>
      <w:r>
        <w:rPr>
          <w:rFonts w:hint="eastAsia" w:ascii="宋体" w:hAnsi="宋体"/>
          <w:sz w:val="24"/>
          <w:szCs w:val="21"/>
          <w:highlight w:val="none"/>
        </w:rPr>
        <w:t xml:space="preserve">（2）演示内容如下：</w:t>
      </w:r>
      <w:r>
        <w:rPr>
          <w:rFonts w:hint="eastAsia" w:ascii="宋体" w:hAnsi="宋体"/>
          <w:sz w:val="24"/>
          <w:szCs w:val="21"/>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投标人需提供真实系统或demo，PPT等其他形式的演示视频文件得分需乘以系数0.5后为演示的最终得分。演示内容如下：</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(1)需体现平台对知识文档的全操作支持，包括检索、新增、删除、移动及重命名。</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(2)需单独对知识库空间的 “可见权限” 与 “管理权限” 进行授权管理，且二者不可合并授权。</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(3)需体现平台的核心配置项，具体包括知识库 FAQ 库配置、API 接入协议设置、文本切片策略调整、检索策略配置、Embedding 模型选择及召回测试功能。</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(4)需体现平台支持文字、语音两种对话问答方式，且生成的回答内容需支持语音播放功能。</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(5)需体现平台可追溯回答内容的知识来源，点击溯源文档后，需通过黄色高亮标注溯源知识段落；同时需以 “新开浏览器选项卡” 的交互方式展示文档，且支持对溯源文档进行二次问答。</w:t>
      </w:r>
      <w:r>
        <w:rPr>
          <w:rFonts w:hint="eastAsia" w:ascii="宋体" w:hAnsi="宋体" w:cs="宋体"/>
          <w:color w:val="000000"/>
          <w:sz w:val="24"/>
          <w:szCs w:val="24"/>
          <w:highlight w:val="none"/>
        </w:rPr>
      </w:r>
      <w:r/>
    </w:p>
    <w:p>
      <w:pPr>
        <w:pStyle w:val="654"/>
        <w:spacing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五</w:t>
      </w:r>
      <w:r>
        <w:rPr>
          <w:rFonts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rPr>
        <w:t xml:space="preserve">方案</w:t>
      </w:r>
      <w:r>
        <w:rPr>
          <w:rFonts w:ascii="宋体" w:hAnsi="宋体" w:cs="宋体"/>
          <w:bCs w:val="0"/>
          <w:color w:val="000000"/>
          <w:sz w:val="24"/>
          <w:szCs w:val="24"/>
          <w:highlight w:val="none"/>
        </w:rPr>
        <w:t xml:space="preserve">要求</w:t>
      </w:r>
      <w:r>
        <w:rPr>
          <w:rFonts w:ascii="宋体" w:hAnsi="宋体" w:cs="宋体"/>
          <w:bCs w:val="0"/>
          <w:color w:val="000000"/>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（一）项目需求分析方案</w:t>
      </w:r>
      <w:r>
        <w:rPr>
          <w:rFonts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需根据本项目开展需求调研，编写需求分析方案，方案应全面深入了解江苏省医疗保障信息平台建设现状、医保业务当前面临的实际需求和发展趋势，调研与分析应将大模型等人工智能技术作为核心驱动因素，重点考察其在赋能医保经办与服务、监管与决策等核心业务环节的应用潜力与落地路径。需求分析报告包括但不限于对项目总体目标、实现途径的理解和认识，项目建设总体思路，分析建设重难点问题并提出相应的解决方案。</w:t>
      </w:r>
      <w:r>
        <w:rPr>
          <w:rFonts w:hint="eastAsia" w:ascii="宋体" w:hAnsi="宋体" w:cs="宋体"/>
          <w:color w:val="000000"/>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（二）总体设计方案</w:t>
      </w:r>
      <w:r>
        <w:rPr>
          <w:rFonts w:ascii="宋体" w:hAnsi="宋体" w:cs="宋体"/>
          <w:bCs w:val="0"/>
          <w:color w:val="000000"/>
          <w:sz w:val="24"/>
          <w:szCs w:val="24"/>
          <w:highlight w:val="none"/>
        </w:rPr>
      </w:r>
      <w:r/>
    </w:p>
    <w:p>
      <w:pPr>
        <w:pStyle w:val="654"/>
        <w:ind w:firstLine="480"/>
        <w:spacing w:line="360" w:lineRule="auto"/>
        <w:rPr>
          <w:highlight w:val="none"/>
        </w:rPr>
      </w:pPr>
      <w:r>
        <w:rPr>
          <w:rFonts w:hint="eastAsia" w:ascii="宋体" w:hAnsi="宋体" w:cs="宋体"/>
          <w:color w:val="000000"/>
          <w:sz w:val="24"/>
          <w:szCs w:val="24"/>
          <w:highlight w:val="none"/>
        </w:rPr>
        <w:t xml:space="preserve">投标人需根据招标需求提供本项目总体设计方案，总体设计需遵循国家医保信息平台整体建设要求及各项标准，并应将大模型、智能体等人工智能技术作为核心能力纳入技术架构。方案需体现对当前技术应用现状的理解，并具备前瞻性，能够适应多模态、自主决策等技术的未来发展趋势。设计需紧密结合江苏省医保信息平台建设现状，满足招标需求，符合国家相关标准。总体设计方案包括但不限于模型开发与训练、模型部署服务架构、医保数据资源架构、安全合规与隐私保护等内容。设计方案应专业、架构具体完善，与本项目高度契合。</w:t>
      </w:r>
      <w:r>
        <w:rPr>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（三）功能设计方案</w:t>
      </w:r>
      <w:r>
        <w:rPr>
          <w:rFonts w:ascii="宋体" w:hAnsi="宋体" w:cs="宋体"/>
          <w:bCs w:val="0"/>
          <w:color w:val="000000"/>
          <w:sz w:val="24"/>
          <w:szCs w:val="24"/>
          <w:highlight w:val="none"/>
        </w:rPr>
      </w:r>
      <w:r/>
    </w:p>
    <w:p>
      <w:pPr>
        <w:pStyle w:val="654"/>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投标人需根据磋商文件采购需求第四章建设内容，围绕实际医保业务场景，聚焦提升系统性能和用户体验，提供以下功能设计方案，包括但不限于平台系统架构设计、技术路线、功能说明、性能匹配设计、界面设计等内容：</w:t>
      </w:r>
      <w:r>
        <w:rPr>
          <w:rFonts w:hint="eastAsia" w:ascii="宋体" w:hAnsi="宋体" w:cs="宋体"/>
          <w:b/>
          <w:bCs/>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大模型底座建设功能设计方案，针对建设内容章节中“大模型底座建设”部分涉及的功能进行细化设计，包括并不限于医保基础大模型（含知识范围、医保通用能力以及业务场景能力）、多模态类大模型（多模态理解能力和多模态生成能力）等2个子模块的功能设计方案。</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大模型知识库建设功能设计方案，针对建设内容章节中“大模型底座建设”部分涉及的功能进行细化设计，包括并不限于构建医疗健康领域数据集、医保领域数据集、其他知识库，以及对多源异构数据采集与接入、知识库数据清洗与治理、高质量标注数据集构建、数据集管理等子模块的功能设计方案。</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提供智能体管理平台功能设计方案，针对建设内容章节中“大模型底座建设”部分涉及的功能进行细化设计，包括并不限于模型管理与调度、智能体开发与编排、知识库与记忆管理、工具集成与执行能力、多租户与安全管理、全生命周期运维监控、内置通用智能体模板等7个子模块的功能设计方案。</w:t>
      </w:r>
      <w:r>
        <w:rPr>
          <w:rFonts w:hint="eastAsia" w:ascii="宋体" w:hAnsi="宋体" w:cs="宋体"/>
          <w:color w:val="000000"/>
          <w:sz w:val="24"/>
          <w:szCs w:val="24"/>
          <w:highlight w:val="none"/>
        </w:rPr>
      </w:r>
      <w:r/>
    </w:p>
    <w:p>
      <w:pPr>
        <w:pStyle w:val="657"/>
        <w:ind w:firstLine="482"/>
        <w:spacing w:before="0"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（四）安全设计方案</w:t>
      </w:r>
      <w:r>
        <w:rPr>
          <w:rFonts w:hint="eastAsia"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投标人须严格按照国家医疗保障局《医保信息系统安全开发规范》等医保信息平台建设标准规范要求，制定详细的安全设计方案，包括但不限于安全需求分析、在应用安全和数据安全方面采取的安全措施、应急处置等方面内容，保证项目能够安全、平稳、高效运行。</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2. 投标人须无条件承诺，在项目建设及运维全生命周期内，严格配合采购人（或其委托机构）依据国家密码管理规范及《数据安全法》等法律法规开展密码应用安全性评估与数据安全风险评估。投标人应提供全面技术支持和必要配合（含文档、权限开放、测试配合、整改落实等）。因投标人未履行配合义务导致评估延误或未达目标的，由其承担全部责任。（投标人需提供承诺函并加盖公章）</w:t>
      </w:r>
      <w:r>
        <w:rPr>
          <w:rFonts w:hint="eastAsia" w:ascii="宋体" w:hAnsi="宋体" w:cs="宋体"/>
          <w:i/>
          <w:iCs/>
          <w:color w:val="000000"/>
          <w:sz w:val="24"/>
          <w:szCs w:val="24"/>
          <w:highlight w:val="none"/>
          <w:u w:val="single"/>
        </w:rPr>
      </w:r>
      <w:r/>
    </w:p>
    <w:p>
      <w:pPr>
        <w:pStyle w:val="65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本项目建设需满足《信息安全技术网络安全等级保护基本要求》（GB/T22239-2019）文件（等保2.0）第三级安全要求。采购人对本项目组织实施三级等保测评时，投标人需按照采购人要求提供等保测评所需资料，并根据渗透测试的结果进行应用系统的修复及完善。（投标人需提供承诺函并加盖公章）</w:t>
      </w:r>
      <w:r>
        <w:rPr>
          <w:rFonts w:hint="eastAsia" w:ascii="宋体" w:hAnsi="宋体" w:cs="宋体"/>
          <w:i/>
          <w:iCs/>
          <w:color w:val="000000"/>
          <w:sz w:val="24"/>
          <w:szCs w:val="24"/>
          <w:highlight w:val="none"/>
          <w:u w:val="singl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4.项目上线前，需按照采购人要求，由采购人指定的安全运营团队进行源代码安全扫描，并及时对发现的漏洞进行修复。</w:t>
      </w:r>
      <w:r>
        <w:rPr>
          <w:rFonts w:hint="eastAsia" w:ascii="宋体" w:hAnsi="宋体" w:cs="宋体"/>
          <w:color w:val="000000"/>
          <w:sz w:val="24"/>
          <w:szCs w:val="24"/>
          <w:highlight w:val="none"/>
        </w:rPr>
      </w:r>
      <w:r/>
    </w:p>
    <w:p>
      <w:pPr>
        <w:pStyle w:val="6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项目上线后，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rPr>
          <w:rFonts w:ascii="宋体" w:hAnsi="宋体" w:cs="宋体"/>
          <w:color w:val="000000"/>
          <w:sz w:val="24"/>
          <w:szCs w:val="24"/>
          <w:highlight w:val="none"/>
        </w:rPr>
      </w:r>
      <w:r/>
    </w:p>
    <w:p>
      <w:pPr>
        <w:pStyle w:val="657"/>
        <w:ind w:firstLine="482"/>
        <w:spacing w:before="0" w:after="0" w:line="360" w:lineRule="auto"/>
        <w:rPr>
          <w:rFonts w:ascii="宋体" w:hAnsi="宋体" w:cs="宋体"/>
          <w:color w:val="000000"/>
          <w:sz w:val="24"/>
          <w:szCs w:val="24"/>
          <w:highlight w:val="none"/>
        </w:rPr>
      </w:pPr>
      <w:r>
        <w:rPr>
          <w:rFonts w:hint="eastAsia" w:ascii="宋体" w:hAnsi="宋体" w:cs="宋体"/>
          <w:bCs w:val="0"/>
          <w:color w:val="000000"/>
          <w:sz w:val="24"/>
          <w:szCs w:val="24"/>
          <w:highlight w:val="none"/>
        </w:rPr>
        <w:t xml:space="preserve">（五）应急响应方案</w:t>
      </w:r>
      <w:r>
        <w:rPr>
          <w:rFonts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rPr>
          <w:rFonts w:hint="eastAsia" w:ascii="宋体" w:hAnsi="宋体" w:cs="宋体"/>
          <w:color w:val="000000"/>
          <w:sz w:val="24"/>
          <w:szCs w:val="24"/>
          <w:highlight w:val="none"/>
        </w:rPr>
      </w:r>
      <w:r/>
    </w:p>
    <w:p>
      <w:pPr>
        <w:pStyle w:val="654"/>
        <w:ind w:firstLine="480"/>
        <w:spacing w:line="360" w:lineRule="auto"/>
        <w:rPr>
          <w:rFonts w:hint="eastAsia"/>
          <w:highlight w:val="none"/>
        </w:rPr>
      </w:pPr>
      <w:r>
        <w:rPr>
          <w:rFonts w:hint="eastAsia" w:ascii="宋体" w:hAnsi="宋体" w:cs="宋体"/>
          <w:color w:val="000000"/>
          <w:sz w:val="24"/>
          <w:szCs w:val="24"/>
          <w:highlight w:val="none"/>
        </w:rPr>
        <w:t xml:space="preserve">2.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rPr>
          <w:rFonts w:hint="eastAsia"/>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（五）项目管理方案</w:t>
      </w:r>
      <w:r>
        <w:rPr>
          <w:rFonts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需提供项目管理方案，包括但不限于项目人员名单（投标人安排的项目人员必须固定，若有替换，必须与采购人协商，否则由投标人承担相关责任）及角色分工、项目管理标准、质量保证、实施计划、变更管理、风险管理等内容，以对整个项目实施过程及各环节起到科学有效的控制、监督和保障作用，确保项目实施的质量和效率。方案应</w:t>
      </w:r>
      <w:r>
        <w:rPr>
          <w:rFonts w:ascii="宋体" w:hAnsi="宋体" w:cs="宋体"/>
          <w:color w:val="000000"/>
          <w:sz w:val="24"/>
          <w:szCs w:val="24"/>
          <w:highlight w:val="none"/>
        </w:rPr>
        <w:t xml:space="preserve">结构清晰等内容完整、阐述到位、可行性强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需服从采购人及其指定的总集服务团队对项目团队的管理和考核，包括但不限于人员管理（驻场实施人员的入场/退场、请假/出差、临时支撑人员管理等）、项目全生命周期管理（含项目工单、需求、造价评估、计划、任务、测试用例、缺陷、版本、代码上传、代码扫描、持续集成、持续部署、第三方测试、验收、过程文档等活动）、开发终端安全接入管理等内容。</w:t>
      </w:r>
      <w:r>
        <w:rPr>
          <w:rFonts w:hint="eastAsia" w:ascii="宋体" w:hAnsi="宋体" w:cs="宋体"/>
          <w:color w:val="000000"/>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（六）项目培训方案</w:t>
      </w:r>
      <w:r>
        <w:rPr>
          <w:rFonts w:ascii="宋体" w:hAnsi="宋体" w:cs="宋体"/>
          <w:bCs w:val="0"/>
          <w:color w:val="000000"/>
          <w:sz w:val="24"/>
          <w:szCs w:val="24"/>
          <w:highlight w:val="none"/>
        </w:rPr>
      </w:r>
      <w:r/>
    </w:p>
    <w:p>
      <w:pPr>
        <w:pStyle w:val="6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为确保项目的顺利实施与后续高效运维，项目培训管理方案的设计与实施至关重要。投标人需详细阐述项目培训管理的具体要求，包括培训方案、培训内容、培训材料、培训计划等方面。</w:t>
      </w:r>
      <w:r>
        <w:rPr>
          <w:rFonts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1.投标人需根据项目相关交付内容提供有针对性的培训方案，针对不同系统，保障每月不少于1次培训，包括但不限于培训计划、培训方式、培训对象（含省市医保部门等）、培训内容等内容。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2.投标人需按照采购人要求提供免费的现场培训和线上培训，确保被培训人员全面了解和掌握本项目所涉及的基本原理、技术特性、操作使用、管理维护等内容。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3.投标人须无偿为投标人提供培训资料、讲稿的电子稿、培训用文字资料和讲义等相关用品，所有的资料必须是中文书写，同时允许采购人在单位内部使用。</w:t>
      </w:r>
      <w:r>
        <w:rPr>
          <w:rFonts w:hint="eastAsia" w:ascii="宋体" w:hAnsi="宋体" w:cs="宋体"/>
          <w:color w:val="000000"/>
          <w:sz w:val="24"/>
          <w:szCs w:val="24"/>
          <w:highlight w:val="none"/>
        </w:rPr>
      </w:r>
      <w:r/>
    </w:p>
    <w:p>
      <w:pPr>
        <w:pStyle w:val="657"/>
        <w:ind w:firstLine="482"/>
        <w:spacing w:before="0" w:after="0" w:line="360" w:lineRule="auto"/>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（七）售后服务方案</w:t>
      </w:r>
      <w:r>
        <w:rPr>
          <w:rFonts w:ascii="宋体" w:hAnsi="宋体" w:cs="宋体"/>
          <w:bCs w:val="0"/>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为保障项目的运行维护的稳定，投标人需详细阐述项目售后服务方案的具体内容，包括但不限于总体要求、运维内容（含人员安排等）、服务响应时间等。</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（1）项目通过验收之日起进入为期2年的运维服务期。</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（2）投标人在投标文件中应提供运维服务方案，包括但不限于运维内容、运维流程、运维方式、服务质量保障等内容。</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应在进入2年运维服务期前安排专职驻场人员负责本项目的运维工作，首年安排3名，次年安排2名，提供7*24小时技术支持和服务。投标人必须保证运维人员原则上为建设期间团队成员，且不得随意更换，如需更换至少提前1个月向采购人申请，采购人同意后方可更换。</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（4）投标人需在投标文件中承诺在运维期结束后提供相关有偿维护服务，运维服务内容和标准均与维保期内相同，且年维护费用不得超过本项目中标金额的10%。（投标人需提供承诺函并加盖公章）。</w:t>
      </w:r>
      <w:r>
        <w:rPr>
          <w:rFonts w:hint="eastAsia" w:ascii="宋体" w:hAnsi="宋体" w:cs="宋体"/>
          <w:i/>
          <w:iCs/>
          <w:color w:val="000000"/>
          <w:sz w:val="24"/>
          <w:szCs w:val="24"/>
          <w:highlight w:val="none"/>
          <w:u w:val="singl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2.运维内容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（1）运维内容要求具体如下：</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人员配置要求：</w:t>
      </w:r>
      <w:r>
        <w:rPr>
          <w:rFonts w:hint="eastAsia" w:ascii="宋体" w:hAnsi="宋体" w:cs="宋体"/>
          <w:color w:val="000000"/>
          <w:sz w:val="24"/>
          <w:szCs w:val="24"/>
          <w:highlight w:val="none"/>
        </w:rPr>
      </w:r>
      <w:r/>
    </w:p>
    <w:tbl>
      <w:tblPr>
        <w:tblW w:w="489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874"/>
        <w:gridCol w:w="2689"/>
        <w:gridCol w:w="3828"/>
      </w:tblGrid>
      <w:tr>
        <w:trPr>
          <w:trHeight w:val="529"/>
        </w:trPr>
        <w:tc>
          <w:tcPr>
            <w:tcW w:w="567" w:type="dxa"/>
            <w:vAlign w:val="center"/>
            <w:textDirection w:val="lrTb"/>
            <w:noWrap w:val="false"/>
          </w:tcPr>
          <w:p>
            <w:pPr>
              <w:pStyle w:val="654"/>
              <w:jc w:val="center"/>
              <w:rPr>
                <w:rFonts w:eastAsia="方正黑体_GBK"/>
                <w:sz w:val="24"/>
                <w:szCs w:val="28"/>
                <w:highlight w:val="none"/>
              </w:rPr>
            </w:pPr>
            <w:r>
              <w:rPr>
                <w:rFonts w:eastAsia="方正黑体_GBK"/>
                <w:sz w:val="24"/>
                <w:szCs w:val="28"/>
                <w:highlight w:val="none"/>
              </w:rPr>
              <w:t xml:space="preserve">阶段</w:t>
            </w:r>
            <w:r>
              <w:rPr>
                <w:rFonts w:eastAsia="方正黑体_GBK"/>
                <w:sz w:val="24"/>
                <w:szCs w:val="28"/>
                <w:highlight w:val="none"/>
              </w:rPr>
            </w:r>
            <w:r/>
          </w:p>
        </w:tc>
        <w:tc>
          <w:tcPr>
            <w:tcW w:w="524" w:type="dxa"/>
            <w:vAlign w:val="center"/>
            <w:textDirection w:val="lrTb"/>
            <w:noWrap w:val="false"/>
          </w:tcPr>
          <w:p>
            <w:pPr>
              <w:pStyle w:val="654"/>
              <w:jc w:val="center"/>
              <w:rPr>
                <w:rFonts w:eastAsia="方正黑体_GBK"/>
                <w:sz w:val="24"/>
                <w:szCs w:val="28"/>
                <w:highlight w:val="none"/>
              </w:rPr>
            </w:pPr>
            <w:r>
              <w:rPr>
                <w:rFonts w:eastAsia="方正黑体_GBK"/>
                <w:sz w:val="24"/>
                <w:szCs w:val="28"/>
                <w:highlight w:val="none"/>
              </w:rPr>
              <w:t xml:space="preserve">驻场人数</w:t>
            </w:r>
            <w:r>
              <w:rPr>
                <w:rFonts w:eastAsia="方正黑体_GBK"/>
                <w:sz w:val="24"/>
                <w:szCs w:val="28"/>
                <w:highlight w:val="none"/>
              </w:rPr>
            </w:r>
            <w:r/>
          </w:p>
        </w:tc>
        <w:tc>
          <w:tcPr>
            <w:tcW w:w="1613" w:type="dxa"/>
            <w:vAlign w:val="center"/>
            <w:textDirection w:val="lrTb"/>
            <w:noWrap w:val="false"/>
          </w:tcPr>
          <w:p>
            <w:pPr>
              <w:pStyle w:val="654"/>
              <w:jc w:val="center"/>
              <w:rPr>
                <w:rFonts w:eastAsia="方正黑体_GBK"/>
                <w:sz w:val="24"/>
                <w:szCs w:val="28"/>
                <w:highlight w:val="none"/>
              </w:rPr>
            </w:pPr>
            <w:r>
              <w:rPr>
                <w:rFonts w:eastAsia="方正黑体_GBK"/>
                <w:sz w:val="24"/>
                <w:szCs w:val="28"/>
                <w:highlight w:val="none"/>
              </w:rPr>
              <w:t xml:space="preserve">岗位</w:t>
            </w:r>
            <w:r>
              <w:rPr>
                <w:rFonts w:eastAsia="方正黑体_GBK"/>
                <w:sz w:val="24"/>
                <w:szCs w:val="28"/>
                <w:highlight w:val="none"/>
              </w:rPr>
            </w:r>
            <w:r/>
          </w:p>
        </w:tc>
        <w:tc>
          <w:tcPr>
            <w:tcW w:w="2296" w:type="dxa"/>
            <w:vAlign w:val="center"/>
            <w:textDirection w:val="lrTb"/>
            <w:noWrap w:val="false"/>
          </w:tcPr>
          <w:p>
            <w:pPr>
              <w:pStyle w:val="654"/>
              <w:jc w:val="center"/>
              <w:rPr>
                <w:rFonts w:eastAsia="方正黑体_GBK"/>
                <w:sz w:val="24"/>
                <w:szCs w:val="28"/>
                <w:highlight w:val="none"/>
              </w:rPr>
            </w:pPr>
            <w:r>
              <w:rPr>
                <w:rFonts w:eastAsia="方正黑体_GBK"/>
                <w:sz w:val="24"/>
                <w:szCs w:val="28"/>
                <w:highlight w:val="none"/>
              </w:rPr>
              <w:t xml:space="preserve">工作职责</w:t>
            </w:r>
            <w:r>
              <w:rPr>
                <w:rFonts w:eastAsia="方正黑体_GBK"/>
                <w:sz w:val="24"/>
                <w:szCs w:val="28"/>
                <w:highlight w:val="none"/>
              </w:rPr>
            </w:r>
            <w:r/>
          </w:p>
        </w:tc>
      </w:tr>
      <w:tr>
        <w:trPr>
          <w:trHeight w:val="706"/>
        </w:trPr>
        <w:tc>
          <w:tcPr>
            <w:tcW w:w="567" w:type="dxa"/>
            <w:vAlign w:val="center"/>
            <w:vMerge w:val="restart"/>
            <w:textDirection w:val="lrTb"/>
            <w:noWrap w:val="false"/>
          </w:tcPr>
          <w:p>
            <w:pPr>
              <w:pStyle w:val="654"/>
              <w:jc w:val="center"/>
              <w:rPr>
                <w:rFonts w:eastAsia="方正仿宋_GBK"/>
                <w:sz w:val="24"/>
                <w:szCs w:val="28"/>
                <w:highlight w:val="none"/>
              </w:rPr>
            </w:pPr>
            <w:r>
              <w:rPr>
                <w:rFonts w:eastAsia="方正仿宋_GBK"/>
                <w:sz w:val="24"/>
                <w:szCs w:val="28"/>
                <w:highlight w:val="none"/>
              </w:rPr>
              <w:t xml:space="preserve">第一年</w:t>
            </w:r>
            <w:r>
              <w:rPr>
                <w:rFonts w:eastAsia="方正仿宋_GBK"/>
                <w:sz w:val="24"/>
                <w:szCs w:val="28"/>
                <w:highlight w:val="none"/>
              </w:rPr>
            </w:r>
            <w:r/>
          </w:p>
        </w:tc>
        <w:tc>
          <w:tcPr>
            <w:tcW w:w="524" w:type="dxa"/>
            <w:vAlign w:val="center"/>
            <w:vMerge w:val="restart"/>
            <w:textDirection w:val="lrTb"/>
            <w:noWrap w:val="false"/>
          </w:tcPr>
          <w:p>
            <w:pPr>
              <w:pStyle w:val="654"/>
              <w:rPr>
                <w:rFonts w:eastAsia="方正仿宋_GBK"/>
                <w:sz w:val="24"/>
                <w:szCs w:val="28"/>
                <w:highlight w:val="none"/>
              </w:rPr>
            </w:pPr>
            <w:r>
              <w:rPr>
                <w:rFonts w:eastAsia="方正仿宋_GBK"/>
                <w:sz w:val="24"/>
                <w:szCs w:val="28"/>
                <w:highlight w:val="none"/>
              </w:rPr>
              <w:t xml:space="preserve">3人</w:t>
            </w: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数据工程师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负责数据全生命周期处理</w:t>
            </w:r>
            <w:r>
              <w:rPr>
                <w:rFonts w:eastAsia="方正仿宋_GBK"/>
                <w:sz w:val="24"/>
                <w:szCs w:val="28"/>
                <w:highlight w:val="none"/>
              </w:rPr>
            </w:r>
            <w:r/>
          </w:p>
        </w:tc>
      </w:tr>
      <w:tr>
        <w:trPr>
          <w:trHeight w:val="689"/>
        </w:trPr>
        <w:tc>
          <w:tcPr>
            <w:tcW w:w="567" w:type="dxa"/>
            <w:vAlign w:val="center"/>
            <w:vMerge w:val="continue"/>
            <w:textDirection w:val="lrTb"/>
            <w:noWrap w:val="false"/>
          </w:tcPr>
          <w:p>
            <w:pPr>
              <w:pStyle w:val="654"/>
              <w:jc w:val="center"/>
              <w:rPr>
                <w:rFonts w:eastAsia="方正仿宋_GBK"/>
                <w:sz w:val="24"/>
                <w:szCs w:val="28"/>
                <w:highlight w:val="none"/>
              </w:rPr>
            </w:pPr>
            <w:r>
              <w:rPr>
                <w:rFonts w:eastAsia="方正仿宋_GBK"/>
                <w:sz w:val="24"/>
                <w:szCs w:val="28"/>
                <w:highlight w:val="none"/>
              </w:rPr>
            </w:r>
            <w:r/>
          </w:p>
        </w:tc>
        <w:tc>
          <w:tcPr>
            <w:tcW w:w="524" w:type="dxa"/>
            <w:vAlign w:val="center"/>
            <w:vMerge w:val="continue"/>
            <w:textDirection w:val="lrTb"/>
            <w:noWrap w:val="false"/>
          </w:tcPr>
          <w:p>
            <w:pPr>
              <w:pStyle w:val="654"/>
              <w:rPr>
                <w:rFonts w:eastAsia="方正仿宋_GBK"/>
                <w:sz w:val="24"/>
                <w:szCs w:val="28"/>
                <w:highlight w:val="none"/>
              </w:rPr>
            </w:pP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算法工程师/模型训练师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负责模型训练、调优与评测</w:t>
            </w:r>
            <w:r>
              <w:rPr>
                <w:rFonts w:eastAsia="方正仿宋_GBK"/>
                <w:sz w:val="24"/>
                <w:szCs w:val="28"/>
                <w:highlight w:val="none"/>
              </w:rPr>
            </w:r>
            <w:r/>
          </w:p>
        </w:tc>
      </w:tr>
      <w:tr>
        <w:trPr>
          <w:trHeight w:val="689"/>
        </w:trPr>
        <w:tc>
          <w:tcPr>
            <w:tcW w:w="567" w:type="dxa"/>
            <w:vAlign w:val="center"/>
            <w:vMerge w:val="continue"/>
            <w:textDirection w:val="lrTb"/>
            <w:noWrap w:val="false"/>
          </w:tcPr>
          <w:p>
            <w:pPr>
              <w:pStyle w:val="654"/>
              <w:jc w:val="center"/>
              <w:rPr>
                <w:rFonts w:eastAsia="方正仿宋_GBK"/>
                <w:sz w:val="24"/>
                <w:szCs w:val="28"/>
                <w:highlight w:val="none"/>
              </w:rPr>
            </w:pPr>
            <w:r>
              <w:rPr>
                <w:rFonts w:eastAsia="方正仿宋_GBK"/>
                <w:sz w:val="24"/>
                <w:szCs w:val="28"/>
                <w:highlight w:val="none"/>
              </w:rPr>
            </w:r>
            <w:r/>
          </w:p>
        </w:tc>
        <w:tc>
          <w:tcPr>
            <w:tcW w:w="524" w:type="dxa"/>
            <w:vAlign w:val="center"/>
            <w:vMerge w:val="continue"/>
            <w:textDirection w:val="lrTb"/>
            <w:noWrap w:val="false"/>
          </w:tcPr>
          <w:p>
            <w:pPr>
              <w:pStyle w:val="654"/>
              <w:rPr>
                <w:rFonts w:eastAsia="方正仿宋_GBK"/>
                <w:sz w:val="24"/>
                <w:szCs w:val="28"/>
                <w:highlight w:val="none"/>
              </w:rPr>
            </w:pP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软件开发工程师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负责应用定制化开发与集成</w:t>
            </w:r>
            <w:r>
              <w:rPr>
                <w:rFonts w:eastAsia="方正仿宋_GBK"/>
                <w:sz w:val="24"/>
                <w:szCs w:val="28"/>
                <w:highlight w:val="none"/>
              </w:rPr>
            </w:r>
            <w:r/>
          </w:p>
        </w:tc>
      </w:tr>
      <w:tr>
        <w:trPr>
          <w:trHeight w:val="862"/>
        </w:trPr>
        <w:tc>
          <w:tcPr>
            <w:tcW w:w="567" w:type="dxa"/>
            <w:vAlign w:val="center"/>
            <w:vMerge w:val="restart"/>
            <w:textDirection w:val="lrTb"/>
            <w:noWrap w:val="false"/>
          </w:tcPr>
          <w:p>
            <w:pPr>
              <w:pStyle w:val="654"/>
              <w:jc w:val="center"/>
              <w:rPr>
                <w:rFonts w:eastAsia="方正仿宋_GBK"/>
                <w:sz w:val="24"/>
                <w:szCs w:val="28"/>
                <w:highlight w:val="none"/>
              </w:rPr>
            </w:pPr>
            <w:r>
              <w:rPr>
                <w:rFonts w:eastAsia="方正仿宋_GBK"/>
                <w:sz w:val="24"/>
                <w:szCs w:val="28"/>
                <w:highlight w:val="none"/>
              </w:rPr>
              <w:t xml:space="preserve">第二年</w:t>
            </w:r>
            <w:r>
              <w:rPr>
                <w:rFonts w:eastAsia="方正仿宋_GBK"/>
                <w:sz w:val="24"/>
                <w:szCs w:val="28"/>
                <w:highlight w:val="none"/>
              </w:rPr>
            </w:r>
            <w:r/>
          </w:p>
        </w:tc>
        <w:tc>
          <w:tcPr>
            <w:tcW w:w="524" w:type="dxa"/>
            <w:vAlign w:val="center"/>
            <w:vMerge w:val="restart"/>
            <w:textDirection w:val="lrTb"/>
            <w:noWrap w:val="false"/>
          </w:tcPr>
          <w:p>
            <w:pPr>
              <w:pStyle w:val="654"/>
              <w:rPr>
                <w:rFonts w:eastAsia="方正仿宋_GBK"/>
                <w:sz w:val="24"/>
                <w:szCs w:val="28"/>
                <w:highlight w:val="none"/>
              </w:rPr>
            </w:pPr>
            <w:r>
              <w:rPr>
                <w:rFonts w:eastAsia="方正仿宋_GBK"/>
                <w:sz w:val="24"/>
                <w:szCs w:val="28"/>
                <w:highlight w:val="none"/>
              </w:rPr>
              <w:t xml:space="preserve">2人</w:t>
            </w: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算法工程师/模型训练师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负责模型持续优化与新场景拓展</w:t>
            </w:r>
            <w:r>
              <w:rPr>
                <w:rFonts w:eastAsia="方正仿宋_GBK"/>
                <w:sz w:val="24"/>
                <w:szCs w:val="28"/>
                <w:highlight w:val="none"/>
              </w:rPr>
            </w:r>
            <w:r/>
          </w:p>
        </w:tc>
      </w:tr>
      <w:tr>
        <w:trPr>
          <w:trHeight w:val="828"/>
        </w:trPr>
        <w:tc>
          <w:tcPr>
            <w:tcW w:w="567" w:type="dxa"/>
            <w:vAlign w:val="center"/>
            <w:vMerge w:val="continue"/>
            <w:textDirection w:val="lrTb"/>
            <w:noWrap w:val="false"/>
          </w:tcPr>
          <w:p>
            <w:pPr>
              <w:pStyle w:val="654"/>
              <w:jc w:val="center"/>
              <w:rPr>
                <w:rFonts w:eastAsia="方正仿宋_GBK"/>
                <w:sz w:val="24"/>
                <w:szCs w:val="28"/>
                <w:highlight w:val="none"/>
              </w:rPr>
            </w:pPr>
            <w:r>
              <w:rPr>
                <w:rFonts w:eastAsia="方正仿宋_GBK"/>
                <w:sz w:val="24"/>
                <w:szCs w:val="28"/>
                <w:highlight w:val="none"/>
              </w:rPr>
            </w:r>
            <w:r/>
          </w:p>
        </w:tc>
        <w:tc>
          <w:tcPr>
            <w:tcW w:w="524" w:type="dxa"/>
            <w:vAlign w:val="center"/>
            <w:vMerge w:val="continue"/>
            <w:textDirection w:val="lrTb"/>
            <w:noWrap w:val="false"/>
          </w:tcPr>
          <w:p>
            <w:pPr>
              <w:pStyle w:val="654"/>
              <w:rPr>
                <w:rFonts w:eastAsia="方正仿宋_GBK"/>
                <w:sz w:val="24"/>
                <w:szCs w:val="28"/>
                <w:highlight w:val="none"/>
              </w:rPr>
            </w:pPr>
            <w:r>
              <w:rPr>
                <w:rFonts w:eastAsia="方正仿宋_GBK"/>
                <w:sz w:val="24"/>
                <w:szCs w:val="28"/>
                <w:highlight w:val="none"/>
              </w:rPr>
            </w:r>
            <w:r/>
          </w:p>
        </w:tc>
        <w:tc>
          <w:tcPr>
            <w:tcW w:w="1613"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软件开发工程师</w:t>
            </w:r>
            <w:r>
              <w:rPr>
                <w:rFonts w:eastAsia="方正仿宋_GBK"/>
                <w:sz w:val="24"/>
                <w:szCs w:val="28"/>
                <w:highlight w:val="none"/>
              </w:rPr>
            </w:r>
            <w:r/>
          </w:p>
          <w:p>
            <w:pPr>
              <w:pStyle w:val="654"/>
              <w:jc w:val="left"/>
              <w:rPr>
                <w:rFonts w:eastAsia="方正仿宋_GBK"/>
                <w:sz w:val="24"/>
                <w:szCs w:val="28"/>
                <w:highlight w:val="none"/>
              </w:rPr>
            </w:pPr>
            <w:r>
              <w:rPr>
                <w:rFonts w:eastAsia="方正仿宋_GBK"/>
                <w:sz w:val="24"/>
                <w:szCs w:val="28"/>
                <w:highlight w:val="none"/>
              </w:rPr>
              <w:t xml:space="preserve">（1人）</w:t>
            </w:r>
            <w:r>
              <w:rPr>
                <w:rFonts w:eastAsia="方正仿宋_GBK"/>
                <w:sz w:val="24"/>
                <w:szCs w:val="28"/>
                <w:highlight w:val="none"/>
              </w:rPr>
            </w:r>
            <w:r/>
          </w:p>
        </w:tc>
        <w:tc>
          <w:tcPr>
            <w:tcW w:w="2296" w:type="dxa"/>
            <w:vAlign w:val="center"/>
            <w:textDirection w:val="lrTb"/>
            <w:noWrap w:val="false"/>
          </w:tcPr>
          <w:p>
            <w:pPr>
              <w:pStyle w:val="654"/>
              <w:jc w:val="left"/>
              <w:rPr>
                <w:rFonts w:eastAsia="方正仿宋_GBK"/>
                <w:sz w:val="24"/>
                <w:szCs w:val="28"/>
                <w:highlight w:val="none"/>
              </w:rPr>
            </w:pPr>
            <w:r>
              <w:rPr>
                <w:rFonts w:eastAsia="方正仿宋_GBK"/>
                <w:sz w:val="24"/>
                <w:szCs w:val="28"/>
                <w:highlight w:val="none"/>
              </w:rPr>
              <w:t xml:space="preserve">负责应用迭代维护与知识库更新</w:t>
            </w:r>
            <w:r>
              <w:rPr>
                <w:rFonts w:eastAsia="方正仿宋_GBK"/>
                <w:sz w:val="24"/>
                <w:szCs w:val="28"/>
                <w:highlight w:val="none"/>
              </w:rPr>
            </w:r>
            <w:r/>
          </w:p>
        </w:tc>
      </w:tr>
    </w:tbl>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具体工作内容与要求</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①第一年主要完成基础建设与核心应用落地</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数据工程师的主要工作包括以下三部分内容：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第一，负责数据对接与探查：驻场深入业务部门，与省局各部门密切协作，梳理、对接并获取模型训练所需的各类结构化与非结构化数据源（如政策法规、诊疗目录、药品目录、病历、结算数据、监管规则等）。</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数据清洗与整理：对海量医保文本、数据进行清洗、去噪、去重、格式标准化，确保数据质量。构建和维护本项目的“高质量大模型医保知识库”，进行知识的提取、结构化整理和关联。对敏感个人信息进行严格的脱敏、匿名化处理，确保数据安全合规。第三，负责数据标注与质量控制：根据业务场景（如智能审核、诊疗决策支持、政策问答等）制定详细、统一的数据标注规则和标准；对训练和评测所需的高质量数据集进行精准标注；对标注结果进行抽样校验和质量控制，确保标注准确率。</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算法工程师/模型训练师的主要工作包括以下三部分内容：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领域模型训练与微调：基于清洗和标注后的高质量医保领域数据，对选定的基座大模型进行持续预训练和指令微调，打造专业化的“医保垂直领域大模型底座”。针对不同业务场景（如基金监管、DRG/DIP分组、辅助决策等），进行任务特定的微调，训练出多个精准的场景化模型。</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模型评估与优化：构建多维度的模型评估体系（包括通用能力、医保专业能力、安全合规性等）。持续对模型效果进行评测、迭代和优化，解决模型在实际应用中出现的“幻觉”、偏见、专业度不足等问题。</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第三，负责技术支撑：为应用开发工程师提供模型接口、性能数据和技术支持。</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软件开发工程师的主要工作包括以下三部分内容：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应用定制化开发：与业务人员沟通，将业务需求转化为具体的AI应用功能原型和产品需求文档（PRD）；基于训练好的场景化模型，进行应用层开发，包括前端界面、后端服务、模型API集成、业务逻辑实现等；优先推动1-2个核心场景（如智能客服问答或医保单据智能审核）的应用落地和试点运行。</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第二，负责平台对接与集成：将开发好的AI应用与医保局现有的业务系统进行深度集成，确保业务流程无缝衔接。</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第三，负责部署与运维支持：协助进行应用的部署、上线和初期的运维支持，快速响应和修复试运行阶段发现的问题。</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②第二年主要完成模型的深度优化与规模推广工作</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算法工程师/模型训练师的主要工作包括以下三部分内容：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第一，负责模型持续学习与迭代：基于第一年应用上线后产生的真实用户反馈和新的业务数据，对模型进行持续训练和优化，实现模型效果的自我进化。</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第二，负责新场景拓展：探索和验证大模型在更多复杂场景的应用可行性，并训练相应的新模型。</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第三，负责性能与成本优化：研究并实施模型压缩、量化、蒸馏等技术，在保证效果的前提下降低模型推理成本，提升响应速度。</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软件开发工程师的主要工作包括以下两部分内容：</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第一，负责应用迭代与功能增强：根据采购人使用反馈和业务变化，对已上线的应用进行功能优化和版本迭代。</w:t>
      </w:r>
      <w:r>
        <w:rPr>
          <w:rFonts w:hint="eastAsia" w:ascii="宋体" w:hAnsi="宋体" w:cs="宋体"/>
          <w:color w:val="000000"/>
          <w:sz w:val="24"/>
          <w:szCs w:val="24"/>
          <w:highlight w:val="none"/>
        </w:rPr>
      </w:r>
      <w:r/>
    </w:p>
    <w:p>
      <w:pPr>
        <w:pStyle w:val="654"/>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第二，负责系统维护与知识库更新：负责AI应用和智能体的日常维护、监控和故障排除。协助采购人更新和维护大模型医保知识库的内容，确保知识的时效性和准确性。</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3.服务响应时间</w:t>
      </w:r>
      <w:r>
        <w:rPr>
          <w:rFonts w:hint="eastAsia" w:ascii="宋体" w:hAnsi="宋体" w:cs="宋体"/>
          <w:color w:val="000000"/>
          <w:sz w:val="24"/>
          <w:szCs w:val="24"/>
          <w:highlight w:val="none"/>
        </w:rPr>
      </w:r>
      <w:r/>
    </w:p>
    <w:tbl>
      <w:tblPr>
        <w:tblW w:w="4459"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3106"/>
        <w:gridCol w:w="1943"/>
        <w:gridCol w:w="842"/>
        <w:gridCol w:w="963"/>
      </w:tblGrid>
      <w:tr>
        <w:trPr/>
        <w:tc>
          <w:tcPr>
            <w:tcW w:w="544"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故障等级</w:t>
            </w:r>
            <w:r>
              <w:rPr>
                <w:rFonts w:hint="eastAsia" w:ascii="宋体" w:hAnsi="宋体" w:cs="宋体"/>
                <w:color w:val="000000"/>
                <w:sz w:val="24"/>
                <w:szCs w:val="24"/>
                <w:highlight w:val="none"/>
              </w:rPr>
            </w:r>
            <w:r/>
          </w:p>
        </w:tc>
        <w:tc>
          <w:tcPr>
            <w:tcW w:w="2264"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现象描述</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时段</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响应</w:t>
            </w:r>
            <w:r>
              <w:rPr>
                <w:rFonts w:hint="eastAsia" w:ascii="宋体" w:hAnsi="宋体" w:cs="宋体"/>
                <w:color w:val="000000"/>
                <w:sz w:val="24"/>
                <w:szCs w:val="24"/>
                <w:highlight w:val="none"/>
              </w:rPr>
            </w:r>
            <w:r/>
          </w:p>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时间</w:t>
            </w:r>
            <w:r>
              <w:rPr>
                <w:rFonts w:hint="eastAsia" w:ascii="宋体" w:hAnsi="宋体" w:cs="宋体"/>
                <w:color w:val="000000"/>
                <w:sz w:val="24"/>
                <w:szCs w:val="24"/>
                <w:highlight w:val="none"/>
              </w:rPr>
            </w:r>
            <w:r/>
          </w:p>
        </w:tc>
        <w:tc>
          <w:tcPr>
            <w:tcW w:w="702"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故障解决时间</w:t>
            </w:r>
            <w:r>
              <w:rPr>
                <w:rFonts w:hint="eastAsia" w:ascii="宋体" w:hAnsi="宋体" w:cs="宋体"/>
                <w:color w:val="000000"/>
                <w:sz w:val="24"/>
                <w:szCs w:val="24"/>
                <w:highlight w:val="none"/>
              </w:rPr>
            </w:r>
            <w:r/>
          </w:p>
        </w:tc>
      </w:tr>
      <w:tr>
        <w:trPr>
          <w:trHeight w:val="429"/>
        </w:trPr>
        <w:tc>
          <w:tcPr>
            <w:tcW w:w="544" w:type="dxa"/>
            <w:vAlign w:val="center"/>
            <w:vMerge w:val="restart"/>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一级故障</w:t>
            </w:r>
            <w:r>
              <w:rPr>
                <w:rFonts w:hint="eastAsia" w:ascii="宋体" w:hAnsi="宋体" w:cs="宋体"/>
                <w:color w:val="000000"/>
                <w:sz w:val="24"/>
                <w:szCs w:val="24"/>
                <w:highlight w:val="none"/>
              </w:rPr>
            </w:r>
            <w:r/>
          </w:p>
        </w:tc>
        <w:tc>
          <w:tcPr>
            <w:tcW w:w="2264" w:type="dxa"/>
            <w:vAlign w:val="center"/>
            <w:vMerge w:val="restart"/>
            <w:textDirection w:val="lrTb"/>
            <w:noWrap w:val="false"/>
          </w:tcPr>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投标人所运维的项目</w:t>
            </w:r>
            <w:r>
              <w:rPr>
                <w:rFonts w:hint="eastAsia" w:ascii="宋体" w:hAnsi="宋体" w:cs="宋体"/>
                <w:color w:val="000000"/>
                <w:sz w:val="24"/>
                <w:szCs w:val="24"/>
                <w:highlight w:val="none"/>
              </w:rPr>
              <w:t xml:space="preserve">，出现以下问题：</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1.系统完全瘫痪，导致相关内部业务工作完全停滞。</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2.存在数据安全风险或高危安全漏洞，面临紧迫威胁。</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7:00-20:00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5分钟</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4小时</w:t>
            </w:r>
            <w:r>
              <w:rPr>
                <w:rFonts w:hint="eastAsia" w:ascii="宋体" w:hAnsi="宋体" w:cs="宋体"/>
                <w:color w:val="000000"/>
                <w:sz w:val="24"/>
                <w:szCs w:val="24"/>
                <w:highlight w:val="none"/>
              </w:rPr>
            </w:r>
            <w:r/>
          </w:p>
        </w:tc>
      </w:tr>
      <w:tr>
        <w:trPr/>
        <w:tc>
          <w:tcPr>
            <w:tcW w:w="544" w:type="dxa"/>
            <w:vAlign w:val="center"/>
            <w:vMerge w:val="continue"/>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4" w:type="dxa"/>
            <w:vAlign w:val="center"/>
            <w:vMerge w:val="continue"/>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20:00-次日7:00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10分钟</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4小时</w:t>
            </w:r>
            <w:r>
              <w:rPr>
                <w:rFonts w:hint="eastAsia" w:ascii="宋体" w:hAnsi="宋体" w:cs="宋体"/>
                <w:color w:val="000000"/>
                <w:sz w:val="24"/>
                <w:szCs w:val="24"/>
                <w:highlight w:val="none"/>
              </w:rPr>
            </w:r>
            <w:r/>
          </w:p>
        </w:tc>
      </w:tr>
      <w:tr>
        <w:trPr>
          <w:trHeight w:val="599"/>
        </w:trPr>
        <w:tc>
          <w:tcPr>
            <w:tcW w:w="544" w:type="dxa"/>
            <w:vAlign w:val="center"/>
            <w:vMerge w:val="restart"/>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二级故障</w:t>
            </w:r>
            <w:r>
              <w:rPr>
                <w:rFonts w:hint="eastAsia" w:ascii="宋体" w:hAnsi="宋体" w:cs="宋体"/>
                <w:color w:val="000000"/>
                <w:sz w:val="24"/>
                <w:szCs w:val="24"/>
                <w:highlight w:val="none"/>
              </w:rPr>
            </w:r>
            <w:r/>
          </w:p>
        </w:tc>
        <w:tc>
          <w:tcPr>
            <w:tcW w:w="2264" w:type="dxa"/>
            <w:vAlign w:val="center"/>
            <w:vMerge w:val="restart"/>
            <w:textDirection w:val="lrTb"/>
            <w:noWrap w:val="false"/>
          </w:tcPr>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投标人所运维的项目</w:t>
            </w:r>
            <w:r>
              <w:rPr>
                <w:rFonts w:hint="eastAsia" w:ascii="宋体" w:hAnsi="宋体" w:cs="宋体"/>
                <w:color w:val="000000"/>
                <w:sz w:val="24"/>
                <w:szCs w:val="24"/>
                <w:highlight w:val="none"/>
              </w:rPr>
              <w:t xml:space="preserve">，出现以下问题：</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1.系统主要功能失效，严重影响内部工作效率，但有备用方案。</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2.出现局部数据错误或性能严重下降，无法正常使用。</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7:00-20:00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5分钟</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r>
      <w:tr>
        <w:trPr/>
        <w:tc>
          <w:tcPr>
            <w:tcW w:w="544" w:type="dxa"/>
            <w:vAlign w:val="center"/>
            <w:vMerge w:val="continue"/>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4" w:type="dxa"/>
            <w:vAlign w:val="center"/>
            <w:vMerge w:val="continue"/>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20:00-次日7:00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10分钟</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r>
      <w:tr>
        <w:trPr>
          <w:trHeight w:val="449"/>
        </w:trPr>
        <w:tc>
          <w:tcPr>
            <w:tcW w:w="544" w:type="dxa"/>
            <w:vAlign w:val="center"/>
            <w:vMerge w:val="restart"/>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三级故障</w:t>
            </w:r>
            <w:r>
              <w:rPr>
                <w:rFonts w:hint="eastAsia" w:ascii="宋体" w:hAnsi="宋体" w:cs="宋体"/>
                <w:color w:val="000000"/>
                <w:sz w:val="24"/>
                <w:szCs w:val="24"/>
                <w:highlight w:val="none"/>
              </w:rPr>
            </w:r>
            <w:r/>
          </w:p>
        </w:tc>
        <w:tc>
          <w:tcPr>
            <w:tcW w:w="2264" w:type="dxa"/>
            <w:vAlign w:val="center"/>
            <w:vMerge w:val="restart"/>
            <w:textDirection w:val="lrTb"/>
            <w:noWrap w:val="false"/>
          </w:tcPr>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投标人所运维的项目，</w:t>
            </w:r>
            <w:r>
              <w:rPr>
                <w:rFonts w:hint="eastAsia" w:ascii="宋体" w:hAnsi="宋体" w:cs="宋体"/>
                <w:color w:val="000000"/>
                <w:sz w:val="24"/>
                <w:szCs w:val="24"/>
                <w:highlight w:val="none"/>
              </w:rPr>
              <w:t xml:space="preserve">出现以下问题：</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1.系统部分非核心功能异常，对工作效率有影响，但可替代。</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2.系统出现不影响主流程的偶发性错误或功能瑕疵。</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7:00-20:00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3个工作日</w:t>
            </w:r>
            <w:r>
              <w:rPr>
                <w:rFonts w:hint="eastAsia" w:ascii="宋体" w:hAnsi="宋体" w:cs="宋体"/>
                <w:color w:val="000000"/>
                <w:sz w:val="24"/>
                <w:szCs w:val="24"/>
                <w:highlight w:val="none"/>
              </w:rPr>
            </w:r>
            <w:r/>
          </w:p>
        </w:tc>
      </w:tr>
      <w:tr>
        <w:trPr/>
        <w:tc>
          <w:tcPr>
            <w:tcW w:w="544" w:type="dxa"/>
            <w:vAlign w:val="center"/>
            <w:vMerge w:val="continue"/>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4" w:type="dxa"/>
            <w:vAlign w:val="center"/>
            <w:vMerge w:val="continue"/>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20:00-次日7:00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3个工作日</w:t>
            </w:r>
            <w:r>
              <w:rPr>
                <w:rFonts w:hint="eastAsia" w:ascii="宋体" w:hAnsi="宋体" w:cs="宋体"/>
                <w:color w:val="000000"/>
                <w:sz w:val="24"/>
                <w:szCs w:val="24"/>
                <w:highlight w:val="none"/>
              </w:rPr>
            </w:r>
            <w:r/>
          </w:p>
        </w:tc>
      </w:tr>
      <w:tr>
        <w:trPr>
          <w:trHeight w:val="467"/>
        </w:trPr>
        <w:tc>
          <w:tcPr>
            <w:tcW w:w="544" w:type="dxa"/>
            <w:vAlign w:val="center"/>
            <w:vMerge w:val="restart"/>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四级故障</w:t>
            </w:r>
            <w:r>
              <w:rPr>
                <w:rFonts w:hint="eastAsia" w:ascii="宋体" w:hAnsi="宋体" w:cs="宋体"/>
                <w:color w:val="000000"/>
                <w:sz w:val="24"/>
                <w:szCs w:val="24"/>
                <w:highlight w:val="none"/>
              </w:rPr>
            </w:r>
            <w:r/>
          </w:p>
        </w:tc>
        <w:tc>
          <w:tcPr>
            <w:tcW w:w="2264" w:type="dxa"/>
            <w:vAlign w:val="center"/>
            <w:vMerge w:val="restart"/>
            <w:textDirection w:val="lrTb"/>
            <w:noWrap w:val="false"/>
          </w:tcPr>
          <w:p>
            <w:pPr>
              <w:pStyle w:val="654"/>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投标人所运维的项目，</w:t>
            </w:r>
            <w:r>
              <w:rPr>
                <w:rFonts w:hint="eastAsia" w:ascii="宋体" w:hAnsi="宋体" w:cs="宋体"/>
                <w:color w:val="000000"/>
                <w:sz w:val="24"/>
                <w:szCs w:val="24"/>
                <w:highlight w:val="none"/>
              </w:rPr>
              <w:t xml:space="preserve">出现</w:t>
            </w:r>
            <w:r>
              <w:rPr>
                <w:rFonts w:ascii="宋体" w:hAnsi="宋体" w:cs="宋体"/>
                <w:color w:val="000000"/>
                <w:sz w:val="24"/>
                <w:szCs w:val="24"/>
                <w:highlight w:val="none"/>
              </w:rPr>
              <w:t xml:space="preserve">操作方式</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界面显示、使用体验等</w:t>
            </w:r>
            <w:r>
              <w:rPr>
                <w:rFonts w:hint="eastAsia" w:ascii="宋体" w:hAnsi="宋体" w:cs="宋体"/>
                <w:color w:val="000000"/>
                <w:sz w:val="24"/>
                <w:szCs w:val="24"/>
                <w:highlight w:val="none"/>
              </w:rPr>
              <w:t xml:space="preserve">方面的问题</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7:00-20:00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7个工作日</w:t>
            </w:r>
            <w:r>
              <w:rPr>
                <w:rFonts w:hint="eastAsia" w:ascii="宋体" w:hAnsi="宋体" w:cs="宋体"/>
                <w:color w:val="000000"/>
                <w:sz w:val="24"/>
                <w:szCs w:val="24"/>
                <w:highlight w:val="none"/>
              </w:rPr>
            </w:r>
            <w:r/>
          </w:p>
        </w:tc>
      </w:tr>
      <w:tr>
        <w:trPr/>
        <w:tc>
          <w:tcPr>
            <w:tcW w:w="544" w:type="dxa"/>
            <w:vAlign w:val="center"/>
            <w:vMerge w:val="continue"/>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4" w:type="dxa"/>
            <w:vAlign w:val="center"/>
            <w:vMerge w:val="continue"/>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6" w:type="dxa"/>
            <w:vAlign w:val="center"/>
            <w:textDirection w:val="lrTb"/>
            <w:noWrap w:val="false"/>
          </w:tcPr>
          <w:p>
            <w:pPr>
              <w:pStyle w:val="654"/>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20:00-次日7:00</w:t>
            </w:r>
            <w:r>
              <w:rPr>
                <w:rFonts w:hint="eastAsia" w:ascii="宋体" w:hAnsi="宋体" w:cs="宋体"/>
                <w:color w:val="000000"/>
                <w:sz w:val="24"/>
                <w:szCs w:val="24"/>
                <w:highlight w:val="none"/>
              </w:rPr>
            </w:r>
            <w:r/>
          </w:p>
        </w:tc>
        <w:tc>
          <w:tcPr>
            <w:tcW w:w="614" w:type="dxa"/>
            <w:vAlign w:val="center"/>
            <w:textDirection w:val="lrTb"/>
            <w:noWrap w:val="false"/>
          </w:tcPr>
          <w:p>
            <w:pPr>
              <w:pStyle w:val="65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1个工作日</w:t>
            </w:r>
            <w:r>
              <w:rPr>
                <w:rFonts w:hint="eastAsia" w:ascii="宋体" w:hAnsi="宋体" w:cs="宋体"/>
                <w:color w:val="000000"/>
                <w:sz w:val="24"/>
                <w:szCs w:val="24"/>
                <w:highlight w:val="none"/>
              </w:rPr>
            </w:r>
            <w:r/>
          </w:p>
        </w:tc>
        <w:tc>
          <w:tcPr>
            <w:tcW w:w="702" w:type="dxa"/>
            <w:vAlign w:val="center"/>
            <w:textDirection w:val="lrTb"/>
            <w:noWrap w:val="false"/>
          </w:tcPr>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7个工作日</w:t>
            </w:r>
            <w:r>
              <w:rPr>
                <w:rFonts w:hint="eastAsia" w:ascii="宋体" w:hAnsi="宋体" w:cs="宋体"/>
                <w:color w:val="000000"/>
                <w:sz w:val="24"/>
                <w:szCs w:val="24"/>
                <w:highlight w:val="none"/>
              </w:rPr>
            </w:r>
            <w:r/>
          </w:p>
        </w:tc>
      </w:tr>
    </w:tbl>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人员在解决故障时，要最大限度保护数据，将系统恢复到故障点前的业务状态，同时做好故障恢复文档记录。如果不能在30分钟内解决故障，要启动应急预案，并在故障解决后24小时内，提交故障处置报告，说明故障种类、故障原因、故障解决中使用的方法及故障损失等，并梳理形成详细运维服务文档，方便分析问题，保证工作交接延续性。</w:t>
      </w:r>
      <w:r>
        <w:rPr>
          <w:rFonts w:hint="eastAsia" w:ascii="宋体" w:hAnsi="宋体" w:cs="宋体"/>
          <w:color w:val="000000"/>
          <w:sz w:val="24"/>
          <w:szCs w:val="24"/>
          <w:highlight w:val="none"/>
        </w:rPr>
      </w:r>
      <w:r/>
    </w:p>
    <w:p>
      <w:pPr>
        <w:pStyle w:val="654"/>
        <w:ind w:firstLine="480"/>
        <w:spacing w:line="360" w:lineRule="auto"/>
        <w:rPr>
          <w:rFonts w:hint="eastAsia" w:ascii="黑体" w:eastAsia="黑体"/>
          <w:bCs/>
          <w:sz w:val="44"/>
          <w:szCs w:val="28"/>
          <w:highlight w:val="none"/>
        </w:rPr>
      </w:pPr>
      <w:r>
        <w:rPr>
          <w:rFonts w:hint="eastAsia" w:ascii="宋体" w:hAnsi="宋体" w:cs="宋体"/>
          <w:color w:val="000000"/>
          <w:sz w:val="24"/>
          <w:szCs w:val="24"/>
          <w:highlight w:val="none"/>
        </w:rPr>
        <w:t xml:space="preserve">因系统漏洞、运行监控和风险排查不到位、运维人员操作不当等供应商原因，引发系统故障或数据丢失、泄露，未在故障解决时限内完成处理或引发重大社会舆情的，将按照医保信息平台相关管理规定在考核评价中扣分，并承担相应违约责任。（详见合同文本第十一条违约责任条款）。</w:t>
      </w:r>
      <w:r>
        <w:rPr>
          <w:rFonts w:hint="eastAsia" w:ascii="黑体" w:eastAsia="黑体"/>
          <w:bCs/>
          <w:sz w:val="44"/>
          <w:szCs w:val="28"/>
          <w:highlight w:val="none"/>
        </w:rPr>
      </w:r>
      <w:r/>
    </w:p>
    <w:p>
      <w:pPr>
        <w:pStyle w:val="65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65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65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65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654"/>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654"/>
        <w:tabs>
          <w:tab w:val="left" w:pos="6200" w:leader="none"/>
        </w:tabs>
        <w:rPr>
          <w:rFonts w:ascii="Arial" w:hAnsi="Arial" w:cs="Arial"/>
          <w:b/>
          <w:sz w:val="32"/>
          <w:szCs w:val="21"/>
          <w:highlight w:val="none"/>
        </w:rPr>
      </w:pPr>
      <w:r>
        <w:rPr>
          <w:rFonts w:ascii="Arial" w:hAnsi="Arial" w:cs="Arial"/>
          <w:b/>
          <w:sz w:val="32"/>
          <w:szCs w:val="21"/>
          <w:highlight w:val="none"/>
        </w:rPr>
      </w:r>
      <w:r/>
    </w:p>
    <w:p>
      <w:pPr>
        <w:pStyle w:val="654"/>
        <w:tabs>
          <w:tab w:val="left" w:pos="6200" w:leader="none"/>
        </w:tabs>
        <w:rPr>
          <w:rFonts w:ascii="Arial" w:hAnsi="Arial" w:cs="Arial"/>
          <w:b/>
          <w:sz w:val="32"/>
          <w:szCs w:val="21"/>
          <w:highlight w:val="none"/>
        </w:rPr>
      </w:pPr>
      <w:r>
        <w:rPr>
          <w:rFonts w:ascii="Arial" w:hAnsi="Arial" w:cs="Arial"/>
          <w:b/>
          <w:sz w:val="32"/>
          <w:szCs w:val="21"/>
          <w:highlight w:val="none"/>
        </w:rPr>
      </w:r>
      <w:r/>
    </w:p>
    <w:p>
      <w:pPr>
        <w:pStyle w:val="654"/>
        <w:tabs>
          <w:tab w:val="left" w:pos="6200" w:leader="none"/>
        </w:tabs>
        <w:rPr>
          <w:rFonts w:ascii="Arial" w:hAnsi="Arial" w:cs="Arial"/>
          <w:b/>
          <w:sz w:val="32"/>
          <w:szCs w:val="21"/>
          <w:highlight w:val="none"/>
        </w:rPr>
      </w:pPr>
      <w:r>
        <w:rPr>
          <w:rFonts w:ascii="Arial" w:hAnsi="Arial" w:cs="Arial"/>
          <w:b/>
          <w:sz w:val="32"/>
          <w:szCs w:val="21"/>
          <w:highlight w:val="none"/>
        </w:rPr>
      </w:r>
      <w:r/>
    </w:p>
    <w:p>
      <w:pPr>
        <w:pStyle w:val="654"/>
        <w:tabs>
          <w:tab w:val="left" w:pos="6200" w:leader="none"/>
        </w:tabs>
        <w:rPr>
          <w:rFonts w:ascii="Arial" w:hAnsi="Arial" w:cs="Arial"/>
          <w:b/>
          <w:sz w:val="32"/>
          <w:szCs w:val="21"/>
          <w:highlight w:val="none"/>
        </w:rPr>
      </w:pPr>
      <w:r>
        <w:rPr>
          <w:rFonts w:ascii="Arial" w:hAnsi="Arial" w:cs="Arial"/>
          <w:b/>
          <w:sz w:val="32"/>
          <w:szCs w:val="21"/>
          <w:highlight w:val="none"/>
        </w:rPr>
      </w:r>
      <w:r/>
    </w:p>
    <w:p>
      <w:pPr>
        <w:pStyle w:val="654"/>
        <w:tabs>
          <w:tab w:val="left" w:pos="6200" w:leader="none"/>
        </w:tabs>
        <w:rPr>
          <w:rFonts w:ascii="Arial" w:hAnsi="Arial" w:cs="Arial"/>
          <w:b/>
          <w:sz w:val="32"/>
          <w:szCs w:val="21"/>
          <w:highlight w:val="none"/>
        </w:rPr>
      </w:pPr>
      <w:r>
        <w:rPr>
          <w:rFonts w:ascii="Arial" w:hAnsi="Arial" w:cs="Arial"/>
          <w:b/>
          <w:sz w:val="32"/>
          <w:szCs w:val="21"/>
          <w:highlight w:val="none"/>
        </w:rPr>
      </w:r>
      <w:r/>
    </w:p>
    <w:p>
      <w:pPr>
        <w:pStyle w:val="654"/>
        <w:tabs>
          <w:tab w:val="left" w:pos="6200" w:leader="none"/>
        </w:tabs>
        <w:rPr>
          <w:rFonts w:ascii="Arial" w:hAnsi="Arial" w:cs="Arial"/>
          <w:b/>
          <w:sz w:val="32"/>
          <w:szCs w:val="21"/>
          <w:highlight w:val="none"/>
        </w:rPr>
      </w:pPr>
      <w:r>
        <w:rPr>
          <w:rFonts w:ascii="Arial" w:hAnsi="Arial" w:cs="Arial"/>
          <w:b/>
          <w:sz w:val="32"/>
          <w:szCs w:val="21"/>
          <w:highlight w:val="none"/>
        </w:rPr>
      </w:r>
      <w:r/>
    </w:p>
    <w:p>
      <w:pPr>
        <w:pStyle w:val="654"/>
        <w:tabs>
          <w:tab w:val="left" w:pos="6200" w:leader="none"/>
        </w:tabs>
        <w:rPr>
          <w:rFonts w:ascii="Arial" w:hAnsi="Arial" w:cs="Arial"/>
          <w:b/>
          <w:sz w:val="32"/>
          <w:szCs w:val="21"/>
          <w:highlight w:val="none"/>
        </w:rPr>
      </w:pPr>
      <w:r>
        <w:rPr>
          <w:rFonts w:ascii="Arial" w:hAnsi="Arial" w:cs="Arial"/>
          <w:b/>
          <w:sz w:val="32"/>
          <w:szCs w:val="21"/>
          <w:highlight w:val="none"/>
        </w:rPr>
      </w:r>
      <w:r/>
    </w:p>
    <w:p>
      <w:pPr>
        <w:pStyle w:val="654"/>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654"/>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654"/>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654"/>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654"/>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654"/>
        <w:jc w:val="center"/>
        <w:keepNext/>
        <w:rPr>
          <w:rFonts w:hint="eastAsia" w:ascii="黑体" w:eastAsia="黑体"/>
          <w:bCs/>
          <w:sz w:val="44"/>
          <w:szCs w:val="28"/>
          <w:highlight w:val="none"/>
        </w:rPr>
        <w:outlineLvl w:val="0"/>
      </w:pPr>
      <w:r/>
      <w:bookmarkStart w:id="187" w:name="_Toc120614281"/>
      <w:r>
        <w:rPr>
          <w:rFonts w:hint="eastAsia" w:ascii="黑体" w:eastAsia="黑体"/>
          <w:bCs/>
          <w:sz w:val="44"/>
          <w:szCs w:val="28"/>
          <w:highlight w:val="none"/>
        </w:rPr>
        <w:t xml:space="preserve">第五章  </w:t>
      </w:r>
      <w:r>
        <w:rPr>
          <w:rFonts w:hint="eastAsia" w:ascii="黑体" w:eastAsia="黑体"/>
          <w:b/>
          <w:bCs/>
          <w:sz w:val="44"/>
          <w:szCs w:val="28"/>
          <w:highlight w:val="none"/>
        </w:rPr>
        <w:t xml:space="preserve">评审方法与评审标准</w:t>
      </w:r>
      <w:r>
        <w:rPr>
          <w:rFonts w:hint="eastAsia" w:ascii="黑体" w:eastAsia="黑体"/>
          <w:bCs/>
          <w:sz w:val="44"/>
          <w:szCs w:val="28"/>
          <w:highlight w:val="none"/>
        </w:rPr>
      </w:r>
      <w:r/>
    </w:p>
    <w:p>
      <w:pPr>
        <w:pStyle w:val="654"/>
        <w:rPr>
          <w:rFonts w:hint="eastAsia"/>
          <w:szCs w:val="21"/>
          <w:highlight w:val="none"/>
        </w:rPr>
      </w:pPr>
      <w:r>
        <w:rPr>
          <w:rFonts w:hint="eastAsia"/>
          <w:szCs w:val="21"/>
          <w:highlight w:val="none"/>
        </w:rPr>
      </w:r>
      <w:r/>
    </w:p>
    <w:p>
      <w:pPr>
        <w:pStyle w:val="654"/>
        <w:ind w:firstLine="441"/>
        <w:jc w:val="left"/>
        <w:spacing w:before="120" w:after="120" w:line="360" w:lineRule="auto"/>
        <w:rPr>
          <w:rFonts w:hint="eastAsia" w:ascii="宋体" w:hAnsi="宋体"/>
          <w:b/>
          <w:sz w:val="24"/>
          <w:szCs w:val="24"/>
          <w:highlight w:val="none"/>
        </w:rPr>
      </w:pPr>
      <w:r>
        <w:rPr>
          <w:rFonts w:hint="eastAsia" w:ascii="宋体" w:hAnsi="宋体"/>
          <w:b/>
          <w:sz w:val="24"/>
          <w:szCs w:val="24"/>
          <w:highlight w:val="none"/>
        </w:rPr>
        <w:t xml:space="preserve">政府采购政策功能落实</w:t>
      </w:r>
      <w:r>
        <w:rPr>
          <w:rFonts w:hint="eastAsia" w:ascii="宋体" w:hAnsi="宋体"/>
          <w:b/>
          <w:sz w:val="24"/>
          <w:szCs w:val="24"/>
          <w:highlight w:val="none"/>
        </w:rPr>
      </w:r>
      <w:r/>
    </w:p>
    <w:p>
      <w:pPr>
        <w:pStyle w:val="654"/>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1、小微型企业价格扣除</w:t>
      </w:r>
      <w:r>
        <w:rPr>
          <w:rFonts w:hint="eastAsia" w:ascii="宋体" w:hAnsi="宋体"/>
          <w:sz w:val="24"/>
          <w:szCs w:val="24"/>
          <w:highlight w:val="none"/>
        </w:rPr>
      </w:r>
      <w:r/>
    </w:p>
    <w:p>
      <w:pPr>
        <w:pStyle w:val="654"/>
        <w:ind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（1）本项目对小型和微型企业产品/本项目对小型和微型企业提供的服务 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的扣除价格，用扣除后的价格参与评审。</w:t>
      </w:r>
      <w:r>
        <w:rPr>
          <w:rFonts w:hint="eastAsia" w:ascii="宋体" w:hAnsi="宋体"/>
          <w:sz w:val="24"/>
          <w:szCs w:val="24"/>
          <w:highlight w:val="none"/>
        </w:rPr>
      </w:r>
      <w:r/>
    </w:p>
    <w:p>
      <w:pPr>
        <w:pStyle w:val="654"/>
        <w:ind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（2）供应商需按照采购文件的要求提供相应的《中小微企业声明函》。</w:t>
      </w:r>
      <w:r>
        <w:rPr>
          <w:rFonts w:hint="eastAsia" w:ascii="宋体" w:hAnsi="宋体"/>
          <w:sz w:val="24"/>
          <w:szCs w:val="24"/>
          <w:highlight w:val="none"/>
        </w:rPr>
      </w:r>
      <w:r/>
    </w:p>
    <w:p>
      <w:pPr>
        <w:pStyle w:val="654"/>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2、残疾人福利单位价格扣除</w:t>
      </w:r>
      <w:r>
        <w:rPr>
          <w:rFonts w:hint="eastAsia" w:ascii="宋体" w:hAnsi="宋体"/>
          <w:sz w:val="24"/>
          <w:szCs w:val="24"/>
          <w:highlight w:val="none"/>
        </w:rPr>
      </w:r>
      <w:r/>
    </w:p>
    <w:p>
      <w:pPr>
        <w:pStyle w:val="654"/>
        <w:ind w:left="120"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的价格扣除，用扣除后的价格参与评审。</w:t>
      </w:r>
      <w:r>
        <w:rPr>
          <w:rFonts w:hint="eastAsia" w:ascii="宋体" w:hAnsi="宋体"/>
          <w:sz w:val="24"/>
          <w:szCs w:val="24"/>
          <w:highlight w:val="none"/>
        </w:rPr>
      </w:r>
      <w:r/>
    </w:p>
    <w:p>
      <w:pPr>
        <w:pStyle w:val="654"/>
        <w:ind w:left="120"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rPr>
          <w:rFonts w:hint="eastAsia" w:ascii="宋体" w:hAnsi="宋体"/>
          <w:sz w:val="24"/>
          <w:szCs w:val="24"/>
          <w:highlight w:val="none"/>
        </w:rPr>
      </w:r>
      <w:r/>
    </w:p>
    <w:p>
      <w:pPr>
        <w:pStyle w:val="654"/>
        <w:ind w:left="120"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rPr>
          <w:rFonts w:hint="eastAsia" w:ascii="宋体" w:hAnsi="宋体"/>
          <w:sz w:val="24"/>
          <w:szCs w:val="24"/>
          <w:highlight w:val="none"/>
        </w:rPr>
      </w:r>
      <w:r/>
    </w:p>
    <w:p>
      <w:pPr>
        <w:pStyle w:val="654"/>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3、监狱和戒毒企业价格扣除</w:t>
      </w:r>
      <w:r>
        <w:rPr>
          <w:rFonts w:hint="eastAsia" w:ascii="宋体" w:hAnsi="宋体"/>
          <w:sz w:val="24"/>
          <w:szCs w:val="24"/>
          <w:highlight w:val="none"/>
        </w:rPr>
      </w:r>
      <w:r/>
    </w:p>
    <w:p>
      <w:pPr>
        <w:pStyle w:val="654"/>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的价格扣除，用扣除后的价格参与评审。</w:t>
      </w:r>
      <w:r>
        <w:rPr>
          <w:rFonts w:hint="eastAsia" w:ascii="宋体" w:hAnsi="宋体"/>
          <w:sz w:val="24"/>
          <w:szCs w:val="24"/>
          <w:highlight w:val="none"/>
        </w:rPr>
      </w:r>
      <w:r/>
    </w:p>
    <w:p>
      <w:pPr>
        <w:pStyle w:val="654"/>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szCs w:val="24"/>
          <w:highlight w:val="none"/>
        </w:rPr>
        <w:t xml:space="preserve">供应商如不提供上述证明文件，价格将不做相应扣除</w:t>
      </w:r>
      <w:r>
        <w:rPr>
          <w:rFonts w:hint="eastAsia" w:ascii="宋体" w:hAnsi="宋体"/>
          <w:sz w:val="24"/>
          <w:szCs w:val="24"/>
          <w:highlight w:val="none"/>
        </w:rPr>
        <w:t xml:space="preserve">。</w:t>
      </w:r>
      <w:r>
        <w:rPr>
          <w:rFonts w:hint="eastAsia" w:ascii="宋体" w:hAnsi="宋体"/>
          <w:sz w:val="24"/>
          <w:szCs w:val="24"/>
          <w:highlight w:val="none"/>
        </w:rPr>
      </w:r>
      <w:r/>
    </w:p>
    <w:p>
      <w:pPr>
        <w:pStyle w:val="654"/>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w:t>
      </w:r>
      <w:r>
        <w:rPr>
          <w:rFonts w:hint="eastAsia" w:ascii="宋体" w:hAnsi="宋体"/>
          <w:sz w:val="24"/>
          <w:szCs w:val="24"/>
          <w:highlight w:val="none"/>
        </w:rPr>
        <w:t xml:space="preserve">〔</w:t>
      </w:r>
      <w:r>
        <w:rPr>
          <w:rFonts w:ascii="宋体" w:hAnsi="宋体"/>
          <w:sz w:val="24"/>
          <w:szCs w:val="24"/>
          <w:highlight w:val="none"/>
        </w:rPr>
        <w:t xml:space="preserve">2014</w:t>
      </w:r>
      <w:r>
        <w:rPr>
          <w:rFonts w:hint="eastAsia" w:ascii="宋体" w:hAnsi="宋体"/>
          <w:sz w:val="24"/>
          <w:szCs w:val="24"/>
          <w:highlight w:val="none"/>
        </w:rPr>
        <w:t xml:space="preserve">〕</w:t>
      </w:r>
      <w:r>
        <w:rPr>
          <w:rFonts w:ascii="宋体" w:hAnsi="宋体"/>
          <w:sz w:val="24"/>
          <w:szCs w:val="24"/>
          <w:highlight w:val="none"/>
        </w:rPr>
        <w:t xml:space="preserve">68号</w:t>
      </w:r>
      <w:r>
        <w:rPr>
          <w:rFonts w:hint="eastAsia" w:ascii="宋体" w:hAnsi="宋体"/>
          <w:sz w:val="24"/>
          <w:szCs w:val="24"/>
          <w:highlight w:val="none"/>
        </w:rPr>
        <w:t xml:space="preserve">）。</w:t>
      </w:r>
      <w:r>
        <w:rPr>
          <w:rFonts w:hint="eastAsia" w:ascii="宋体" w:hAnsi="宋体"/>
          <w:sz w:val="24"/>
          <w:szCs w:val="24"/>
          <w:highlight w:val="none"/>
        </w:rPr>
      </w:r>
      <w:r/>
    </w:p>
    <w:p>
      <w:pPr>
        <w:pStyle w:val="654"/>
        <w:ind w:firstLine="480"/>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rPr>
          <w:rFonts w:hint="eastAsia" w:ascii="宋体" w:hAnsi="宋体"/>
          <w:sz w:val="24"/>
          <w:szCs w:val="24"/>
          <w:highlight w:val="none"/>
        </w:rPr>
      </w:r>
      <w:r/>
    </w:p>
    <w:p>
      <w:pPr>
        <w:pStyle w:val="654"/>
        <w:ind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highlight w:val="none"/>
          <w:u w:val="single"/>
        </w:rPr>
        <w:t xml:space="preserve">4</w:t>
      </w:r>
      <w:r>
        <w:rPr>
          <w:rFonts w:hint="eastAsia" w:ascii="宋体" w:hAnsi="宋体"/>
          <w:sz w:val="24"/>
          <w:szCs w:val="24"/>
          <w:highlight w:val="none"/>
          <w:u w:val="single"/>
        </w:rPr>
        <w:t xml:space="preserve">%</w:t>
      </w:r>
      <w:r>
        <w:rPr>
          <w:rFonts w:hint="eastAsia" w:ascii="宋体" w:hAnsi="宋体"/>
          <w:sz w:val="24"/>
          <w:szCs w:val="24"/>
          <w:highlight w:val="none"/>
        </w:rPr>
        <w:t xml:space="preserve">的价格扣除，用扣除后的价格参与评审。</w:t>
      </w:r>
      <w:r>
        <w:rPr>
          <w:rFonts w:hint="eastAsia" w:ascii="宋体" w:hAnsi="宋体"/>
          <w:sz w:val="24"/>
          <w:szCs w:val="24"/>
          <w:highlight w:val="none"/>
        </w:rPr>
      </w:r>
      <w:r/>
    </w:p>
    <w:p>
      <w:pPr>
        <w:pStyle w:val="654"/>
        <w:ind w:firstLine="480"/>
        <w:jc w:val="left"/>
        <w:spacing w:before="120" w:after="120" w:line="400" w:lineRule="exact"/>
        <w:rPr>
          <w:rFonts w:ascii="宋体" w:hAnsi="宋体"/>
          <w:sz w:val="24"/>
          <w:szCs w:val="24"/>
          <w:highlight w:val="none"/>
        </w:rPr>
      </w:pPr>
      <w:r>
        <w:rPr>
          <w:rFonts w:hint="eastAsia" w:ascii="宋体" w:hAnsi="宋体"/>
          <w:sz w:val="24"/>
          <w:szCs w:val="24"/>
          <w:highlight w:val="none"/>
        </w:rPr>
        <w:t xml:space="preserve">6、联合体各方均为小型、微型企业（残疾人福利单位、监狱企业）的，联合体享受</w:t>
      </w:r>
      <w:r>
        <w:rPr>
          <w:rFonts w:hint="eastAsia" w:ascii="宋体" w:hAnsi="宋体"/>
          <w:sz w:val="24"/>
          <w:szCs w:val="24"/>
          <w:highlight w:val="none"/>
          <w:u w:val="single"/>
        </w:rPr>
        <w:t xml:space="preserve">10%</w:t>
      </w:r>
      <w:r>
        <w:rPr>
          <w:rFonts w:hint="eastAsia" w:ascii="宋体" w:hAnsi="宋体"/>
          <w:sz w:val="24"/>
          <w:szCs w:val="24"/>
          <w:highlight w:val="none"/>
        </w:rPr>
        <w:t xml:space="preserve">价格扣除，用扣除后的价格参与评审。</w:t>
      </w:r>
      <w:r>
        <w:rPr>
          <w:rFonts w:ascii="宋体" w:hAnsi="宋体"/>
          <w:sz w:val="24"/>
          <w:szCs w:val="24"/>
          <w:highlight w:val="none"/>
        </w:rPr>
      </w:r>
      <w:r/>
    </w:p>
    <w:p>
      <w:pPr>
        <w:pStyle w:val="654"/>
        <w:ind w:firstLine="480"/>
        <w:jc w:val="left"/>
        <w:spacing w:before="120" w:after="120" w:line="400" w:lineRule="exact"/>
        <w:rPr>
          <w:rFonts w:ascii="宋体" w:hAnsi="宋体"/>
          <w:sz w:val="24"/>
          <w:szCs w:val="24"/>
          <w:highlight w:val="none"/>
        </w:rPr>
      </w:pPr>
      <w:r>
        <w:rPr>
          <w:rFonts w:ascii="宋体" w:hAnsi="宋体"/>
          <w:sz w:val="24"/>
          <w:szCs w:val="24"/>
          <w:highlight w:val="none"/>
        </w:rPr>
      </w:r>
      <w:r/>
    </w:p>
    <w:p>
      <w:pPr>
        <w:pStyle w:val="654"/>
        <w:ind w:firstLine="482"/>
        <w:jc w:val="left"/>
        <w:spacing w:before="120" w:after="120" w:line="0" w:lineRule="atLeast"/>
        <w:rPr>
          <w:rFonts w:hint="eastAsia" w:ascii="宋体" w:hAnsi="宋体" w:cs="宋体"/>
          <w:b/>
          <w:sz w:val="24"/>
          <w:szCs w:val="24"/>
          <w:highlight w:val="none"/>
        </w:rPr>
      </w:pPr>
      <w:r>
        <w:rPr>
          <w:rFonts w:hint="eastAsia" w:ascii="宋体" w:hAnsi="宋体" w:cs="宋体"/>
          <w:b/>
          <w:sz w:val="24"/>
          <w:szCs w:val="24"/>
          <w:highlight w:val="none"/>
        </w:rPr>
      </w:r>
      <w:r/>
    </w:p>
    <w:p>
      <w:pPr>
        <w:pStyle w:val="654"/>
        <w:ind w:firstLine="482"/>
        <w:jc w:val="left"/>
        <w:spacing w:before="120" w:after="120" w:line="0" w:lineRule="atLeast"/>
        <w:rPr>
          <w:rFonts w:hint="eastAsia" w:ascii="宋体" w:hAnsi="宋体" w:cs="宋体"/>
          <w:b/>
          <w:sz w:val="24"/>
          <w:szCs w:val="24"/>
          <w:highlight w:val="none"/>
        </w:rPr>
      </w:pPr>
      <w:r>
        <w:rPr>
          <w:rFonts w:hint="eastAsia" w:ascii="宋体" w:hAnsi="宋体" w:cs="宋体"/>
          <w:b/>
          <w:sz w:val="24"/>
          <w:szCs w:val="24"/>
          <w:highlight w:val="none"/>
        </w:rPr>
      </w:r>
      <w:r/>
    </w:p>
    <w:p>
      <w:pPr>
        <w:pStyle w:val="654"/>
        <w:ind w:firstLine="482"/>
        <w:jc w:val="left"/>
        <w:spacing w:before="120" w:after="120" w:line="0" w:lineRule="atLeast"/>
        <w:rPr>
          <w:rFonts w:hint="eastAsia" w:ascii="宋体" w:hAnsi="宋体" w:cs="宋体"/>
          <w:b/>
          <w:sz w:val="24"/>
          <w:szCs w:val="24"/>
          <w:highlight w:val="none"/>
        </w:rPr>
      </w:pPr>
      <w:r>
        <w:rPr>
          <w:rFonts w:hint="eastAsia" w:ascii="宋体" w:hAnsi="宋体" w:cs="宋体"/>
          <w:b/>
          <w:sz w:val="24"/>
          <w:szCs w:val="24"/>
          <w:highlight w:val="none"/>
        </w:rPr>
      </w:r>
      <w:r/>
    </w:p>
    <w:p>
      <w:pPr>
        <w:pStyle w:val="654"/>
        <w:ind w:firstLine="482"/>
        <w:jc w:val="left"/>
        <w:spacing w:before="120" w:after="120"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评审方法与评审标准</w:t>
      </w:r>
      <w:r>
        <w:rPr>
          <w:rFonts w:hint="eastAsia" w:ascii="宋体" w:hAnsi="宋体" w:cs="宋体"/>
          <w:b/>
          <w:sz w:val="24"/>
          <w:szCs w:val="24"/>
          <w:highlight w:val="none"/>
        </w:rPr>
      </w:r>
      <w:r/>
    </w:p>
    <w:tbl>
      <w:tblPr>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3"/>
        <w:gridCol w:w="6364"/>
        <w:gridCol w:w="1010"/>
      </w:tblGrid>
      <w:tr>
        <w:trPr>
          <w:trHeight w:val="20"/>
        </w:trPr>
        <w:tc>
          <w:tcPr>
            <w:shd w:val="clear" w:color="auto" w:fill="ffffff"/>
            <w:tcW w:w="1523" w:type="dxa"/>
            <w:vAlign w:val="center"/>
            <w:textDirection w:val="lrTb"/>
            <w:noWrap w:val="false"/>
          </w:tcPr>
          <w:p>
            <w:pPr>
              <w:pStyle w:val="654"/>
              <w:jc w:val="left"/>
              <w:spacing w:line="3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评审项目</w:t>
            </w:r>
            <w:r>
              <w:rPr>
                <w:rFonts w:hint="eastAsia" w:ascii="宋体" w:hAnsi="宋体" w:cs="宋体"/>
                <w:b/>
                <w:bCs/>
                <w:sz w:val="24"/>
                <w:szCs w:val="24"/>
                <w:highlight w:val="none"/>
              </w:rPr>
            </w:r>
            <w:r/>
          </w:p>
        </w:tc>
        <w:tc>
          <w:tcPr>
            <w:shd w:val="clear" w:color="auto" w:fill="ffffff"/>
            <w:tcW w:w="6364" w:type="dxa"/>
            <w:vAlign w:val="center"/>
            <w:textDirection w:val="lrTb"/>
            <w:noWrap w:val="false"/>
          </w:tcPr>
          <w:p>
            <w:pPr>
              <w:pStyle w:val="654"/>
              <w:ind w:firstLine="482"/>
              <w:jc w:val="center"/>
              <w:spacing w:line="3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评审标准</w:t>
            </w:r>
            <w:r>
              <w:rPr>
                <w:rFonts w:hint="eastAsia" w:ascii="宋体" w:hAnsi="宋体" w:cs="宋体"/>
                <w:b/>
                <w:bCs/>
                <w:sz w:val="24"/>
                <w:szCs w:val="24"/>
                <w:highlight w:val="none"/>
              </w:rPr>
            </w:r>
            <w:r/>
          </w:p>
        </w:tc>
        <w:tc>
          <w:tcPr>
            <w:shd w:val="clear" w:color="auto" w:fill="ffffff"/>
            <w:tcW w:w="1010" w:type="dxa"/>
            <w:vAlign w:val="center"/>
            <w:textDirection w:val="lrTb"/>
            <w:noWrap w:val="false"/>
          </w:tcPr>
          <w:p>
            <w:pPr>
              <w:pStyle w:val="654"/>
              <w:jc w:val="center"/>
              <w:spacing w:line="3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分值</w:t>
            </w:r>
            <w:r>
              <w:rPr>
                <w:rFonts w:hint="eastAsia" w:ascii="宋体" w:hAnsi="宋体" w:cs="宋体"/>
                <w:b/>
                <w:bCs/>
                <w:sz w:val="24"/>
                <w:szCs w:val="24"/>
                <w:highlight w:val="none"/>
              </w:rPr>
            </w:r>
            <w:r/>
          </w:p>
        </w:tc>
      </w:tr>
      <w:tr>
        <w:trPr>
          <w:trHeight w:val="20"/>
        </w:trPr>
        <w:tc>
          <w:tcPr>
            <w:gridSpan w:val="3"/>
            <w:shd w:val="clear" w:color="auto" w:fill="ffffff"/>
            <w:tcW w:w="8897" w:type="dxa"/>
            <w:vAlign w:val="center"/>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b/>
                <w:bCs/>
                <w:sz w:val="24"/>
                <w:szCs w:val="24"/>
                <w:highlight w:val="none"/>
              </w:rPr>
              <w:t xml:space="preserve">一、价格：10分</w:t>
            </w:r>
            <w:r>
              <w:rPr>
                <w:rFonts w:hint="eastAsia" w:ascii="宋体" w:hAnsi="宋体" w:cs="宋体"/>
                <w:sz w:val="24"/>
                <w:szCs w:val="24"/>
                <w:highlight w:val="none"/>
              </w:rPr>
            </w:r>
            <w:r/>
          </w:p>
        </w:tc>
      </w:tr>
      <w:tr>
        <w:trPr>
          <w:trHeight w:val="20"/>
        </w:trPr>
        <w:tc>
          <w:tcPr>
            <w:tcW w:w="1523"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投标价格</w:t>
            </w:r>
            <w:r>
              <w:rPr>
                <w:rFonts w:hint="eastAsia" w:ascii="宋体" w:hAnsi="宋体" w:cs="宋体"/>
                <w:sz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以满足磋商文件要求且投标价格最低的投标报价为评标基准价。投标报价等于评标基准价的得满分10分；其他投标人的价格分统一按照下列公式计算：投标报价得分=（评标基准价/投标报价）×10。</w:t>
            </w:r>
            <w:r>
              <w:rPr>
                <w:rFonts w:hint="eastAsia" w:ascii="宋体" w:hAnsi="宋体" w:cs="宋体"/>
                <w:sz w:val="24"/>
                <w:highlight w:val="none"/>
              </w:rPr>
            </w:r>
            <w:r/>
          </w:p>
          <w:p>
            <w:pPr>
              <w:pStyle w:val="654"/>
              <w:spacing w:line="320" w:lineRule="exact"/>
              <w:rPr>
                <w:rFonts w:ascii="宋体" w:hAnsi="宋体" w:cs="宋体"/>
                <w:sz w:val="24"/>
                <w:highlight w:val="none"/>
              </w:rPr>
            </w:pPr>
            <w:r>
              <w:rPr>
                <w:rFonts w:hint="eastAsia" w:ascii="宋体" w:hAnsi="宋体" w:cs="宋体"/>
                <w:sz w:val="24"/>
                <w:highlight w:val="none"/>
              </w:rPr>
              <w:t xml:space="preserve">注：保留两位小数</w:t>
            </w:r>
            <w:r>
              <w:rPr>
                <w:rFonts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r>
      <w:tr>
        <w:trPr>
          <w:trHeight w:val="20"/>
        </w:trPr>
        <w:tc>
          <w:tcPr>
            <w:gridSpan w:val="3"/>
            <w:tcW w:w="8897" w:type="dxa"/>
            <w:vAlign w:val="center"/>
            <w:textDirection w:val="lrTb"/>
            <w:noWrap w:val="false"/>
          </w:tcPr>
          <w:p>
            <w:pPr>
              <w:pStyle w:val="654"/>
              <w:spacing w:line="3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二、服务能力：39分</w:t>
            </w:r>
            <w:r>
              <w:rPr>
                <w:rFonts w:hint="eastAsia" w:ascii="宋体" w:hAnsi="宋体" w:cs="宋体"/>
                <w:b/>
                <w:bCs/>
                <w:sz w:val="24"/>
                <w:szCs w:val="24"/>
                <w:highlight w:val="none"/>
              </w:rPr>
            </w:r>
            <w:r/>
          </w:p>
        </w:tc>
      </w:tr>
      <w:tr>
        <w:trPr>
          <w:cantSplit/>
          <w:trHeight w:val="20"/>
        </w:trPr>
        <w:tc>
          <w:tcPr>
            <w:tcW w:w="1523" w:type="dxa"/>
            <w:vAlign w:val="center"/>
            <w:vMerge w:val="restart"/>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2.1企业资信</w:t>
            </w: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2.1.1投标人通过ISO9001质量管理体系认证、 ISO/IEC 27001信息安全管理体系认证、ISO/IEC 20000信息技术服务管理体系认证证书、 ISO/IEC 27701 隐私信息管理体系证书，ISO/IEC 42001人工智能管理体系认证证书。每提供1个得1分，此项最高得5分。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（必须提供有效期内的相应认证资质证明复印件加盖公章，否则不计分。）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r>
      <w:tr>
        <w:trPr>
          <w:cantSplit/>
          <w:trHeight w:val="20"/>
        </w:trPr>
        <w:tc>
          <w:tcPr>
            <w:tcW w:w="1523" w:type="dxa"/>
            <w:vAlign w:val="center"/>
            <w:vMerge w:val="continue"/>
            <w:textDirection w:val="lrTb"/>
            <w:noWrap w:val="false"/>
          </w:tcPr>
          <w:p>
            <w:pPr>
              <w:pStyle w:val="654"/>
              <w:ind w:left="420" w:firstLine="480"/>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2.1.2投标人具备与本项目系统相关的软件著作权证书，证书软件名称包含“大模型”、“大数据仓库”、“数据质量管理”、“医学知识库”、“训练标注”、“大模型知识查询”、“医学术语标注”等关键词，每具备一个证书得0.5分，重复提供同一关键词软著最多得1分，此项最高得3分。</w:t>
            </w:r>
            <w:r>
              <w:rPr>
                <w:rFonts w:hint="eastAsia" w:ascii="宋体" w:hAnsi="宋体" w:cs="宋体"/>
                <w:sz w:val="24"/>
                <w:highlight w:val="none"/>
              </w:rPr>
            </w:r>
            <w:r/>
          </w:p>
          <w:p>
            <w:pPr>
              <w:pStyle w:val="654"/>
              <w:spacing w:line="320" w:lineRule="exact"/>
              <w:rPr>
                <w:highlight w:val="none"/>
              </w:rPr>
            </w:pPr>
            <w:r>
              <w:rPr>
                <w:rFonts w:hint="eastAsia" w:ascii="宋体" w:hAnsi="宋体" w:cs="宋体"/>
                <w:sz w:val="24"/>
                <w:highlight w:val="none"/>
              </w:rPr>
              <w:t xml:space="preserve">（必须提供软件著作权证书，复印件并加盖投标人公章，未提供不得分。）</w:t>
            </w:r>
            <w:r>
              <w:rPr>
                <w:highlight w:val="none"/>
              </w:rPr>
            </w:r>
            <w:r/>
          </w:p>
          <w:p>
            <w:pPr>
              <w:pStyle w:val="654"/>
              <w:spacing w:line="320" w:lineRule="exact"/>
              <w:rPr>
                <w:rFonts w:hint="eastAsia"/>
                <w:highlight w:val="none"/>
              </w:rPr>
            </w:pPr>
            <w:r>
              <w:rPr>
                <w:rFonts w:hint="eastAsia" w:ascii="宋体" w:hAnsi="宋体" w:cs="宋体"/>
                <w:sz w:val="24"/>
                <w:highlight w:val="none"/>
              </w:rPr>
              <w:t xml:space="preserve">如投标文件中提供的著作权名称表述与招标文件描述的关键字样不一致，而该投标文件中能证明投标人拥有的著作权具有相同或相似功能和效果的，视同符合要求。</w:t>
            </w:r>
            <w:r>
              <w:rPr>
                <w:rFonts w:hint="eastAsia"/>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r>
      <w:tr>
        <w:trPr>
          <w:cantSplit/>
          <w:trHeight w:val="20"/>
        </w:trPr>
        <w:tc>
          <w:tcPr>
            <w:tcW w:w="1523" w:type="dxa"/>
            <w:vAlign w:val="center"/>
            <w:vMerge w:val="continue"/>
            <w:textDirection w:val="lrTb"/>
            <w:noWrap w:val="false"/>
          </w:tcPr>
          <w:p>
            <w:pPr>
              <w:pStyle w:val="654"/>
              <w:ind w:left="420" w:firstLine="480"/>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2.1.3投标人拥有的基座大模型获得国家互联网信息办公室的生成式人工智能服务备案，得3分，不具备不得分；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（投标人必须提供相关证明文件或网页地址及截图作为证明材料，加盖公章，否则不得分。）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r>
      <w:tr>
        <w:trPr>
          <w:cantSplit/>
          <w:trHeight w:val="57"/>
        </w:trPr>
        <w:tc>
          <w:tcPr>
            <w:tcW w:w="1523" w:type="dxa"/>
            <w:vAlign w:val="center"/>
            <w:vMerge w:val="restart"/>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2.2人员配备</w:t>
            </w: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2.2.1投标人拟投入的项目经理（限 1 名）：</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1.具备不少于3年类似信息化项目管理经历的，得3分；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2.本项目拟配备的项目经理：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（1）具有人社部门</w:t>
            </w:r>
            <w:r>
              <w:rPr>
                <w:rFonts w:hint="eastAsia" w:ascii="宋体" w:hAnsi="宋体" w:cs="宋体"/>
                <w:sz w:val="24"/>
                <w:szCs w:val="24"/>
                <w:highlight w:val="none"/>
              </w:rPr>
              <w:t xml:space="preserve">认证的</w:t>
            </w:r>
            <w:r>
              <w:rPr>
                <w:rFonts w:hint="eastAsia" w:ascii="宋体" w:hAnsi="宋体" w:cs="宋体"/>
                <w:sz w:val="24"/>
                <w:highlight w:val="none"/>
              </w:rPr>
              <w:t xml:space="preserve">高级信息系统项目管理师证书；</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（2）具有工业和信息化部教育与考试中心认证的高级软件工程师；</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（3）具有工业和信息化部教育与考试中心认证的高级数据库管理工程师；</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每提供1个证书，得3分，此项最多得6分。</w:t>
            </w:r>
            <w:r>
              <w:rPr>
                <w:rFonts w:hint="eastAsia" w:ascii="宋体" w:hAnsi="宋体" w:cs="宋体"/>
                <w:sz w:val="24"/>
                <w:highlight w:val="none"/>
              </w:rPr>
            </w:r>
            <w:r/>
          </w:p>
          <w:p>
            <w:pPr>
              <w:pStyle w:val="654"/>
              <w:jc w:val="left"/>
              <w:spacing w:line="320" w:lineRule="exact"/>
              <w:rPr>
                <w:rFonts w:hint="eastAsia" w:ascii="宋体" w:hAnsi="宋体" w:cs="宋体"/>
                <w:sz w:val="24"/>
                <w:highlight w:val="none"/>
              </w:rPr>
            </w:pPr>
            <w:r>
              <w:rPr>
                <w:rFonts w:hint="eastAsia" w:ascii="宋体" w:hAnsi="宋体" w:cs="宋体"/>
                <w:sz w:val="24"/>
                <w:highlight w:val="none"/>
              </w:rPr>
              <w:t xml:space="preserve">（投标人必须提供与项目经理签订的正式劳动合同和投标人为其缴纳的近3个月任意一个月的社保缴费证明，以及相关证书或证明材料扫描件或复印件并加盖投标人公章，否则不得分；需提供项目经理参与信息化项目的相关证明材料扫描件或复印件并加盖投标人公章，证明材料需包括项目合同和项目委托单位提供的证明材料，否则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r>
      <w:tr>
        <w:trPr>
          <w:cantSplit/>
          <w:trHeight w:val="20"/>
        </w:trPr>
        <w:tc>
          <w:tcPr>
            <w:tcW w:w="1523" w:type="dxa"/>
            <w:vAlign w:val="center"/>
            <w:vMerge w:val="continue"/>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2.2.2投标人拟投入的实施团队人员（不包括项目经理）：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1.具有</w:t>
            </w:r>
            <w:r>
              <w:rPr>
                <w:rFonts w:hint="eastAsia" w:ascii="宋体" w:hAnsi="宋体" w:cs="宋体"/>
                <w:sz w:val="24"/>
                <w:highlight w:val="none"/>
                <w:lang w:val="en-US" w:eastAsia="zh-CN"/>
              </w:rPr>
              <w:t xml:space="preserve">有效的</w:t>
            </w:r>
            <w:r>
              <w:rPr>
                <w:rFonts w:hint="eastAsia" w:ascii="宋体" w:hAnsi="宋体" w:cs="宋体"/>
                <w:sz w:val="24"/>
                <w:highlight w:val="none"/>
              </w:rPr>
              <w:t xml:space="preserve">人工智能高级工程师证书；</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2.具有高级信息系统项目管理师证书；</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3.具有软件设计师证书；</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4.具有系统集成项目管理工程师证书；</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5.具有网络工程师证书；‌</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以上2-5项均需为人社部门认证的计算机技术与软件专业技术资格证书。</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以上证书每提供1人得2分，同1人有多个证书不可重复得分，不同人有相同证书可重复得分，同一证书最多得6分，此项最多得16分。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必须提供与上述人员签订的正式劳动合同和投标人为其缴纳的近3个月内任一自然月的社保缴费证明，否则不计分；以上持有证书人员必须提供相关证书或证明材料扫描件或复印件并加盖公章，否则不计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16</w:t>
            </w:r>
            <w:r>
              <w:rPr>
                <w:rFonts w:hint="eastAsia" w:ascii="宋体" w:hAnsi="宋体" w:cs="宋体"/>
                <w:sz w:val="24"/>
                <w:highlight w:val="none"/>
              </w:rPr>
            </w:r>
            <w:r/>
          </w:p>
        </w:tc>
      </w:tr>
      <w:tr>
        <w:trPr>
          <w:cantSplit/>
          <w:trHeight w:val="20"/>
        </w:trPr>
        <w:tc>
          <w:tcPr>
            <w:tcW w:w="1523" w:type="dxa"/>
            <w:vAlign w:val="center"/>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2.3类似业绩</w:t>
            </w: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投标人2022年1月1日起（以合同签约时间为准），投标人具有与本项目类似的信息系统开发项目案例，包括但不限于大模型能力落地、知识管理、知识图谱构建与应用等相关类型项目：</w:t>
            </w:r>
            <w:r>
              <w:rPr>
                <w:rFonts w:hint="eastAsia" w:ascii="宋体" w:hAnsi="宋体" w:cs="宋体"/>
                <w:sz w:val="24"/>
                <w:szCs w:val="24"/>
                <w:highlight w:val="none"/>
              </w:rPr>
            </w:r>
            <w:r/>
          </w:p>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每提供1个与项目类似的项目成功案例得3分，此项最高得3分。</w:t>
            </w:r>
            <w:r>
              <w:rPr>
                <w:rFonts w:hint="eastAsia" w:ascii="宋体" w:hAnsi="宋体" w:cs="宋体"/>
                <w:sz w:val="24"/>
                <w:szCs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szCs w:val="24"/>
                <w:highlight w:val="none"/>
              </w:rPr>
              <w:t xml:space="preserve">（必须提供合同及业主验收报告等有效证明材料扫描件或复印件并加盖公章，否则不得分。）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r>
      <w:tr>
        <w:trPr>
          <w:trHeight w:val="20"/>
        </w:trPr>
        <w:tc>
          <w:tcPr>
            <w:gridSpan w:val="3"/>
            <w:tcW w:w="8897" w:type="dxa"/>
            <w:vAlign w:val="center"/>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b/>
                <w:bCs/>
                <w:sz w:val="24"/>
                <w:szCs w:val="24"/>
                <w:highlight w:val="none"/>
              </w:rPr>
              <w:t xml:space="preserve">三、技术要求：41分</w:t>
            </w:r>
            <w:r>
              <w:rPr>
                <w:rFonts w:hint="eastAsia" w:ascii="宋体" w:hAnsi="宋体" w:cs="宋体"/>
                <w:sz w:val="24"/>
                <w:szCs w:val="24"/>
                <w:highlight w:val="none"/>
              </w:rPr>
            </w:r>
            <w:r/>
          </w:p>
        </w:tc>
      </w:tr>
      <w:tr>
        <w:trPr>
          <w:trHeight w:val="20"/>
        </w:trPr>
        <w:tc>
          <w:tcPr>
            <w:tcW w:w="1523"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3.1项目需求分析</w:t>
            </w:r>
            <w:r>
              <w:rPr>
                <w:rFonts w:hint="eastAsia" w:ascii="宋体" w:hAnsi="宋体" w:cs="宋体"/>
                <w:sz w:val="24"/>
                <w:highlight w:val="none"/>
              </w:rPr>
              <w:t xml:space="preserve">方案</w:t>
            </w:r>
            <w:r>
              <w:rPr>
                <w:rFonts w:hint="eastAsia" w:ascii="宋体" w:hAnsi="宋体" w:cs="宋体"/>
                <w:sz w:val="24"/>
                <w:highlight w:val="none"/>
              </w:rPr>
            </w:r>
            <w:r/>
          </w:p>
        </w:tc>
        <w:tc>
          <w:tcPr>
            <w:tcW w:w="6364" w:type="dxa"/>
            <w:vAlign w:val="top"/>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根据投标人提供的项目需求分析报告（包括但不限于对项目总体目标、实现途径的理解和认识，阐述项目建设总体思路，对建设重难点进行分析并提出相应的解决方案等内容）进行综合评分：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投标人提供的方案优于招标文件要求的得5分，符合招标文件要求的得3分，不符合或不提供不得分。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r>
      <w:tr>
        <w:trPr>
          <w:trHeight w:val="20"/>
        </w:trPr>
        <w:tc>
          <w:tcPr>
            <w:tcW w:w="1523"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3.2总体设计</w:t>
            </w:r>
            <w:r>
              <w:rPr>
                <w:rFonts w:hint="eastAsia" w:ascii="宋体" w:hAnsi="宋体" w:cs="宋体"/>
                <w:sz w:val="24"/>
                <w:highlight w:val="none"/>
              </w:rPr>
              <w:t xml:space="preserve">方案</w:t>
            </w:r>
            <w:r>
              <w:rPr>
                <w:rFonts w:hint="eastAsia" w:ascii="宋体" w:hAnsi="宋体" w:cs="宋体"/>
                <w:sz w:val="24"/>
                <w:highlight w:val="none"/>
              </w:rPr>
            </w:r>
            <w:r/>
          </w:p>
        </w:tc>
        <w:tc>
          <w:tcPr>
            <w:tcW w:w="6364" w:type="dxa"/>
            <w:vAlign w:val="top"/>
            <w:textDirection w:val="lrTb"/>
            <w:noWrap w:val="false"/>
          </w:tcPr>
          <w:p>
            <w:pPr>
              <w:pStyle w:val="654"/>
              <w:spacing w:line="320" w:lineRule="exact"/>
              <w:rPr>
                <w:rFonts w:ascii="宋体" w:hAnsi="宋体" w:cs="宋体"/>
                <w:sz w:val="24"/>
                <w:highlight w:val="none"/>
              </w:rPr>
            </w:pPr>
            <w:r>
              <w:rPr>
                <w:rFonts w:hint="eastAsia" w:ascii="宋体" w:hAnsi="宋体" w:cs="宋体"/>
                <w:sz w:val="24"/>
                <w:highlight w:val="none"/>
              </w:rPr>
              <w:t xml:space="preserve">根据投标人提供的项目总体设计方案（包括但不限于模型开发与训练、模型部署服务架构、医保数据资源架构、安全合规与隐私保护等内容）进行综合评分：</w:t>
            </w:r>
            <w:r>
              <w:rPr>
                <w:rFonts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投标人提供的方案优于招标文件要求的得5分，符合招标文件要求的得3分，不符合或不提供不得分。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r>
      <w:tr>
        <w:trPr>
          <w:trHeight w:val="20"/>
        </w:trPr>
        <w:tc>
          <w:tcPr>
            <w:tcW w:w="1523" w:type="dxa"/>
            <w:vAlign w:val="center"/>
            <w:vMerge w:val="restart"/>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3.3功能设计</w:t>
            </w:r>
            <w:r>
              <w:rPr>
                <w:rFonts w:hint="eastAsia" w:ascii="宋体" w:hAnsi="宋体" w:cs="宋体"/>
                <w:sz w:val="24"/>
                <w:highlight w:val="none"/>
              </w:rPr>
              <w:t xml:space="preserve">方案</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r>
            <w:r/>
          </w:p>
        </w:tc>
        <w:tc>
          <w:tcPr>
            <w:tcW w:w="6364" w:type="dxa"/>
            <w:vAlign w:val="top"/>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3.3.1根据投标人提供的“大模型底座建设”功能设计方案（包括但不限于平台系统架构设计、技术路线、功能说明、性能匹配设计、界面设计等内容）综合评分：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投标人提供的方案优于招标文件要求的得5分，符合招标文件要求的得3分，不符合或不提供不得分。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r>
      <w:tr>
        <w:trPr>
          <w:trHeight w:val="20"/>
        </w:trPr>
        <w:tc>
          <w:tcPr>
            <w:tcW w:w="1523" w:type="dxa"/>
            <w:vAlign w:val="center"/>
            <w:vMerge w:val="continue"/>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364" w:type="dxa"/>
            <w:vAlign w:val="top"/>
            <w:textDirection w:val="lrTb"/>
            <w:noWrap w:val="false"/>
          </w:tcPr>
          <w:p>
            <w:pPr>
              <w:pStyle w:val="654"/>
              <w:spacing w:line="320" w:lineRule="exact"/>
              <w:rPr>
                <w:rFonts w:ascii="宋体" w:hAnsi="宋体" w:cs="宋体"/>
                <w:sz w:val="24"/>
                <w:highlight w:val="none"/>
              </w:rPr>
            </w:pPr>
            <w:r>
              <w:rPr>
                <w:rFonts w:hint="eastAsia" w:ascii="宋体" w:hAnsi="宋体" w:cs="宋体"/>
                <w:sz w:val="24"/>
                <w:highlight w:val="none"/>
              </w:rPr>
              <w:t xml:space="preserve">3.3.2根据投标人提供的“大模型知识库建设”功能设计方案（包括但不限于系统架构设计、技术路线、功能说明、性能匹配设计等内容）综合评分：</w:t>
            </w:r>
            <w:r>
              <w:rPr>
                <w:rFonts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投标人提供的方案优于招标文件要求的得4分，符合招标文件要求的得2分，不符合或不提供不得分。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r>
      <w:tr>
        <w:trPr>
          <w:trHeight w:val="20"/>
        </w:trPr>
        <w:tc>
          <w:tcPr>
            <w:tcW w:w="1523" w:type="dxa"/>
            <w:vAlign w:val="center"/>
            <w:vMerge w:val="continue"/>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364" w:type="dxa"/>
            <w:vAlign w:val="top"/>
            <w:textDirection w:val="lrTb"/>
            <w:noWrap w:val="false"/>
          </w:tcPr>
          <w:p>
            <w:pPr>
              <w:pStyle w:val="654"/>
              <w:spacing w:line="320" w:lineRule="exact"/>
              <w:rPr>
                <w:rFonts w:ascii="宋体" w:hAnsi="宋体" w:cs="宋体"/>
                <w:sz w:val="24"/>
                <w:highlight w:val="none"/>
              </w:rPr>
            </w:pPr>
            <w:r>
              <w:rPr>
                <w:rFonts w:hint="eastAsia" w:ascii="宋体" w:hAnsi="宋体" w:cs="宋体"/>
                <w:sz w:val="24"/>
                <w:highlight w:val="none"/>
              </w:rPr>
              <w:t xml:space="preserve">3.3.3根据投标人提供的“智能体管理平台”功能设计方案（包括但不限于系统架构设计、技术路线、功能说明、性能匹配设计等内容）综合评分：</w:t>
            </w:r>
            <w:r>
              <w:rPr>
                <w:rFonts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投标人提供的方案优于招标文件要求的得4分，符合招标文件要求的得2分，不符合或不提供不得分。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r>
      <w:tr>
        <w:trPr>
          <w:trHeight w:val="20"/>
        </w:trPr>
        <w:tc>
          <w:tcPr>
            <w:tcW w:w="1523" w:type="dxa"/>
            <w:vAlign w:val="center"/>
            <w:textDirection w:val="lrTb"/>
            <w:noWrap w:val="false"/>
          </w:tcPr>
          <w:p>
            <w:pPr>
              <w:pStyle w:val="654"/>
              <w:spacing w:line="320" w:lineRule="exact"/>
              <w:rPr>
                <w:rFonts w:ascii="宋体" w:hAnsi="宋体" w:cs="宋体"/>
                <w:sz w:val="24"/>
                <w:highlight w:val="none"/>
              </w:rPr>
            </w:pPr>
            <w:r>
              <w:rPr>
                <w:rFonts w:hint="eastAsia" w:ascii="宋体" w:hAnsi="宋体" w:cs="宋体"/>
                <w:sz w:val="24"/>
                <w:highlight w:val="none"/>
              </w:rPr>
              <w:t xml:space="preserve">3.4安全设计</w:t>
            </w:r>
            <w:r>
              <w:rPr>
                <w:rFonts w:hint="eastAsia" w:ascii="宋体" w:hAnsi="宋体" w:cs="宋体"/>
                <w:sz w:val="24"/>
                <w:highlight w:val="none"/>
              </w:rPr>
              <w:t xml:space="preserve">方案</w:t>
            </w:r>
            <w:r>
              <w:rPr>
                <w:rFonts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根据投标人提供的安全设计方案（包括但不限于安全需求分析、应用安全、数据安全、应急处置等内容）综合评分：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投标人提供的方案优于招标文件要求的得4分，符合招标文件要求的得2分，不符合或不提供不得分。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r>
      <w:tr>
        <w:trPr>
          <w:trHeight w:val="20"/>
        </w:trPr>
        <w:tc>
          <w:tcPr>
            <w:tcW w:w="1523" w:type="dxa"/>
            <w:vAlign w:val="center"/>
            <w:textDirection w:val="lrTb"/>
            <w:noWrap w:val="false"/>
          </w:tcPr>
          <w:p>
            <w:pPr>
              <w:pStyle w:val="654"/>
              <w:spacing w:line="320" w:lineRule="exact"/>
              <w:rPr>
                <w:rFonts w:ascii="宋体" w:hAnsi="宋体" w:cs="宋体"/>
                <w:sz w:val="24"/>
                <w:szCs w:val="24"/>
                <w:highlight w:val="none"/>
              </w:rPr>
            </w:pPr>
            <w:r>
              <w:rPr>
                <w:rFonts w:hint="eastAsia" w:ascii="宋体" w:hAnsi="宋体" w:cs="宋体"/>
                <w:sz w:val="24"/>
                <w:szCs w:val="24"/>
                <w:highlight w:val="none"/>
              </w:rPr>
              <w:t xml:space="preserve">3.5应急响应</w:t>
            </w:r>
            <w:r>
              <w:rPr>
                <w:rFonts w:hint="eastAsia" w:ascii="宋体" w:hAnsi="宋体" w:cs="宋体"/>
                <w:sz w:val="24"/>
                <w:szCs w:val="24"/>
                <w:highlight w:val="none"/>
              </w:rPr>
              <w:t xml:space="preserve">方案</w:t>
            </w:r>
            <w:r>
              <w:rPr>
                <w:rFonts w:ascii="宋体" w:hAnsi="宋体" w:cs="宋体"/>
                <w:sz w:val="24"/>
                <w:szCs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r>
            <w:r/>
          </w:p>
        </w:tc>
        <w:tc>
          <w:tcPr>
            <w:tcW w:w="6364" w:type="dxa"/>
            <w:vAlign w:val="center"/>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根据投标人提供的应急响应方案（包括但不限于响应流程、响应措施、人员安排等内容）综合评分：</w:t>
            </w:r>
            <w:r>
              <w:rPr>
                <w:rFonts w:hint="eastAsia" w:ascii="宋体" w:hAnsi="宋体" w:cs="宋体"/>
                <w:sz w:val="24"/>
                <w:szCs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投标人提供的方案优于招标文件要求的得4分，符合招标文件要求的得2分，不符合或不提供不得分。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szCs w:val="24"/>
                <w:highlight w:val="none"/>
              </w:rPr>
              <w:t xml:space="preserve">4</w:t>
            </w:r>
            <w:r>
              <w:rPr>
                <w:rFonts w:hint="eastAsia" w:ascii="宋体" w:hAnsi="宋体" w:cs="宋体"/>
                <w:sz w:val="24"/>
                <w:highlight w:val="none"/>
              </w:rPr>
            </w:r>
            <w:r/>
          </w:p>
        </w:tc>
      </w:tr>
      <w:tr>
        <w:trPr>
          <w:trHeight w:val="20"/>
        </w:trPr>
        <w:tc>
          <w:tcPr>
            <w:tcW w:w="1523" w:type="dxa"/>
            <w:vAlign w:val="center"/>
            <w:textDirection w:val="lrTb"/>
            <w:noWrap w:val="false"/>
          </w:tcPr>
          <w:p>
            <w:pPr>
              <w:pStyle w:val="654"/>
              <w:spacing w:line="320" w:lineRule="exact"/>
              <w:rPr>
                <w:rFonts w:ascii="宋体" w:hAnsi="宋体" w:cs="宋体"/>
                <w:sz w:val="24"/>
                <w:highlight w:val="none"/>
              </w:rPr>
            </w:pPr>
            <w:r>
              <w:rPr>
                <w:rFonts w:hint="eastAsia" w:ascii="宋体" w:hAnsi="宋体" w:cs="宋体"/>
                <w:sz w:val="24"/>
                <w:highlight w:val="none"/>
              </w:rPr>
              <w:t xml:space="preserve">3.6项目管理</w:t>
            </w:r>
            <w:r>
              <w:rPr>
                <w:rFonts w:hint="eastAsia" w:ascii="宋体" w:hAnsi="宋体" w:cs="宋体"/>
                <w:sz w:val="24"/>
                <w:highlight w:val="none"/>
              </w:rPr>
              <w:t xml:space="preserve">方案</w:t>
            </w:r>
            <w:r>
              <w:rPr>
                <w:rFonts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根据投标人提供的本项目管理方案（包括但不限于项目人员角色分工、项目管理标准、质量保证、实施计划、变更管理、风险管理等内容）综合评分：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投标人提供的方案优于招标文件要求的得4分，符合招标文件要求的得2分，不符合或不提供不得分。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r>
      <w:tr>
        <w:trPr>
          <w:trHeight w:val="20"/>
        </w:trPr>
        <w:tc>
          <w:tcPr>
            <w:tcW w:w="1523" w:type="dxa"/>
            <w:vAlign w:val="center"/>
            <w:textDirection w:val="lrTb"/>
            <w:noWrap w:val="false"/>
          </w:tcPr>
          <w:p>
            <w:pPr>
              <w:pStyle w:val="654"/>
              <w:spacing w:line="320" w:lineRule="exact"/>
              <w:rPr>
                <w:rFonts w:ascii="宋体" w:hAnsi="宋体" w:cs="宋体"/>
                <w:sz w:val="24"/>
                <w:highlight w:val="none"/>
              </w:rPr>
            </w:pPr>
            <w:r>
              <w:rPr>
                <w:rFonts w:hint="eastAsia" w:ascii="宋体" w:hAnsi="宋体" w:cs="宋体"/>
                <w:sz w:val="24"/>
                <w:highlight w:val="none"/>
              </w:rPr>
              <w:t xml:space="preserve">3.7项目培训</w:t>
            </w:r>
            <w:r>
              <w:rPr>
                <w:rFonts w:hint="eastAsia" w:ascii="宋体" w:hAnsi="宋体" w:cs="宋体"/>
                <w:sz w:val="24"/>
                <w:highlight w:val="none"/>
              </w:rPr>
              <w:t xml:space="preserve">方案</w:t>
            </w:r>
            <w:r>
              <w:rPr>
                <w:rFonts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根据投标人提供的本项目培训方案（包括但不限于培训计划、培训方式、培训对象、培训内容等内容）综合评分：</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投标人提供的方案优于招标文件要求的得3分，符合招标文件要求的得1分，不符合或不提供不得分。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r>
      <w:tr>
        <w:trPr>
          <w:trHeight w:val="20"/>
        </w:trPr>
        <w:tc>
          <w:tcPr>
            <w:tcW w:w="1523" w:type="dxa"/>
            <w:vAlign w:val="center"/>
            <w:textDirection w:val="lrTb"/>
            <w:noWrap w:val="false"/>
          </w:tcPr>
          <w:p>
            <w:pPr>
              <w:pStyle w:val="654"/>
              <w:spacing w:line="320" w:lineRule="exact"/>
              <w:rPr>
                <w:rFonts w:ascii="宋体" w:hAnsi="宋体" w:cs="宋体"/>
                <w:sz w:val="24"/>
                <w:highlight w:val="none"/>
              </w:rPr>
            </w:pPr>
            <w:r>
              <w:rPr>
                <w:rFonts w:hint="eastAsia" w:ascii="宋体" w:hAnsi="宋体" w:cs="宋体"/>
                <w:sz w:val="24"/>
                <w:highlight w:val="none"/>
              </w:rPr>
              <w:t xml:space="preserve">3.8售后服务</w:t>
            </w:r>
            <w:r>
              <w:rPr>
                <w:rFonts w:hint="eastAsia" w:ascii="宋体" w:hAnsi="宋体" w:cs="宋体"/>
                <w:sz w:val="24"/>
                <w:highlight w:val="none"/>
              </w:rPr>
              <w:t xml:space="preserve">方案</w:t>
            </w:r>
            <w:r>
              <w:rPr>
                <w:rFonts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r>
            <w:r/>
          </w:p>
        </w:tc>
        <w:tc>
          <w:tcPr>
            <w:tcW w:w="6364" w:type="dxa"/>
            <w:vAlign w:val="center"/>
            <w:textDirection w:val="lrTb"/>
            <w:noWrap w:val="false"/>
          </w:tcPr>
          <w:p>
            <w:pPr>
              <w:pStyle w:val="654"/>
              <w:spacing w:line="320" w:lineRule="exact"/>
              <w:rPr>
                <w:rFonts w:ascii="宋体" w:hAnsi="宋体" w:cs="宋体"/>
                <w:sz w:val="24"/>
                <w:highlight w:val="none"/>
              </w:rPr>
            </w:pPr>
            <w:r>
              <w:rPr>
                <w:rFonts w:hint="eastAsia" w:ascii="宋体" w:hAnsi="宋体" w:cs="宋体"/>
                <w:sz w:val="24"/>
                <w:highlight w:val="none"/>
              </w:rPr>
              <w:t xml:space="preserve">根据投标人提供的本项目运维服务方案（包括但不限于运维内容、运维流程、运维方式、服务质量保障等内容）综合评分：</w:t>
            </w:r>
            <w:r>
              <w:rPr>
                <w:rFonts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投标人提供的方案优于招标文件要求的得3分，符合招标文件要求的得1分，不符合或不提供不得分。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r>
      <w:tr>
        <w:trPr>
          <w:trHeight w:val="20"/>
        </w:trPr>
        <w:tc>
          <w:tcPr>
            <w:gridSpan w:val="3"/>
            <w:tcW w:w="8897" w:type="dxa"/>
            <w:vAlign w:val="center"/>
            <w:textDirection w:val="lrTb"/>
            <w:noWrap w:val="false"/>
          </w:tcPr>
          <w:p>
            <w:pPr>
              <w:pStyle w:val="654"/>
              <w:jc w:val="left"/>
              <w:spacing w:line="320" w:lineRule="exact"/>
              <w:rPr>
                <w:rFonts w:hint="eastAsia" w:ascii="宋体" w:hAnsi="宋体" w:cs="宋体"/>
                <w:sz w:val="24"/>
                <w:szCs w:val="24"/>
                <w:highlight w:val="none"/>
              </w:rPr>
            </w:pPr>
            <w:r>
              <w:rPr>
                <w:rFonts w:hint="eastAsia" w:ascii="宋体" w:hAnsi="宋体" w:cs="宋体"/>
                <w:b/>
                <w:bCs/>
                <w:sz w:val="24"/>
                <w:szCs w:val="24"/>
                <w:highlight w:val="none"/>
              </w:rPr>
              <w:t xml:space="preserve">四、功能演示要求（10）</w:t>
            </w:r>
            <w:r>
              <w:rPr>
                <w:rFonts w:hint="eastAsia" w:ascii="宋体" w:hAnsi="宋体" w:cs="宋体"/>
                <w:sz w:val="24"/>
                <w:szCs w:val="24"/>
                <w:highlight w:val="none"/>
              </w:rPr>
            </w:r>
            <w:r/>
          </w:p>
        </w:tc>
      </w:tr>
      <w:tr>
        <w:trPr>
          <w:trHeight w:val="20"/>
        </w:trPr>
        <w:tc>
          <w:tcPr>
            <w:tcW w:w="1523" w:type="dxa"/>
            <w:vAlign w:val="center"/>
            <w:vMerge w:val="restart"/>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4.1视频演示</w:t>
            </w:r>
            <w:r>
              <w:rPr>
                <w:rFonts w:hint="eastAsia" w:ascii="宋体" w:hAnsi="宋体" w:cs="宋体"/>
                <w:sz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投标人需按照磋商文件规定的功能演示要求，提供真实系统或demo演示视频文件，PPT等其他形式的演示视频文件得分需乘以系数0.5后为演示的最终得分： </w:t>
            </w:r>
            <w:r>
              <w:rPr>
                <w:rFonts w:hint="eastAsia" w:ascii="宋体" w:hAnsi="宋体" w:cs="宋体"/>
                <w:sz w:val="24"/>
                <w:highlight w:val="none"/>
              </w:rPr>
            </w:r>
            <w:r/>
          </w:p>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1.需体现平台对知识文档的全操作支持，包括检索、新增、删除、移动及重命名等5个维度的操作。以上要求全部满足得 2分，任意操作不满足不得分。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r>
      <w:tr>
        <w:trPr>
          <w:trHeight w:val="20"/>
        </w:trPr>
        <w:tc>
          <w:tcPr>
            <w:tcW w:w="1523" w:type="dxa"/>
            <w:vAlign w:val="center"/>
            <w:vMerge w:val="continue"/>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2.需单独对知识库空间的 “可见权限” 与 “管理权限” 进行授权管理，且二者不可合并授权。以上要求均满足得 2分，不满足不得分。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r>
      <w:tr>
        <w:trPr>
          <w:trHeight w:val="20"/>
        </w:trPr>
        <w:tc>
          <w:tcPr>
            <w:tcW w:w="1523" w:type="dxa"/>
            <w:vAlign w:val="center"/>
            <w:vMerge w:val="continue"/>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3.需体现平台的核心配置项，具体包括知识库 FAQ 库配置、API 接入协议设置、文本切片策略调整、检索策略配置、Embedding 模型选择及召回测试功能。所有配置项均体现得 2 分，任意一项缺失不得分。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r>
      <w:tr>
        <w:trPr>
          <w:trHeight w:val="20"/>
        </w:trPr>
        <w:tc>
          <w:tcPr>
            <w:tcW w:w="1523" w:type="dxa"/>
            <w:vAlign w:val="center"/>
            <w:vMerge w:val="continue"/>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4.需体现平台支持文字、语音两种对话问答方式，且生成的回答内容需支持语音播放功能。两项要求均满足得2 分，任意一项不满足不得分。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r>
      <w:tr>
        <w:trPr>
          <w:trHeight w:val="20"/>
        </w:trPr>
        <w:tc>
          <w:tcPr>
            <w:tcW w:w="1523" w:type="dxa"/>
            <w:vAlign w:val="center"/>
            <w:vMerge w:val="continue"/>
            <w:textDirection w:val="lrTb"/>
            <w:noWrap w:val="false"/>
          </w:tcPr>
          <w:p>
            <w:pPr>
              <w:pStyle w:val="654"/>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364" w:type="dxa"/>
            <w:vAlign w:val="center"/>
            <w:textDirection w:val="lrTb"/>
            <w:noWrap w:val="false"/>
          </w:tcPr>
          <w:p>
            <w:pPr>
              <w:pStyle w:val="654"/>
              <w:spacing w:line="320" w:lineRule="exact"/>
              <w:rPr>
                <w:rFonts w:hint="eastAsia" w:ascii="宋体" w:hAnsi="宋体" w:cs="宋体"/>
                <w:sz w:val="24"/>
                <w:highlight w:val="none"/>
              </w:rPr>
            </w:pPr>
            <w:r>
              <w:rPr>
                <w:rFonts w:hint="eastAsia" w:ascii="宋体" w:hAnsi="宋体" w:cs="宋体"/>
                <w:sz w:val="24"/>
                <w:highlight w:val="none"/>
              </w:rPr>
              <w:t xml:space="preserve">5.需体现平台可追溯回答内容的知识来源，点击溯源文档后，需通过黄色高亮标注溯源知识段落；同时需以 “新开浏览器选项卡” 的交互方式展示文档，且支持对溯源文档进行二次问答。以上所有要求均满足得 2 分，任意一项不满足不得分。</w:t>
            </w:r>
            <w:r>
              <w:rPr>
                <w:rFonts w:hint="eastAsia" w:ascii="宋体" w:hAnsi="宋体" w:cs="宋体"/>
                <w:sz w:val="24"/>
                <w:highlight w:val="none"/>
              </w:rPr>
            </w:r>
            <w:r/>
          </w:p>
        </w:tc>
        <w:tc>
          <w:tcPr>
            <w:tcW w:w="1010" w:type="dxa"/>
            <w:vAlign w:val="center"/>
            <w:textDirection w:val="lrTb"/>
            <w:noWrap w:val="false"/>
          </w:tcPr>
          <w:p>
            <w:pPr>
              <w:pStyle w:val="654"/>
              <w:jc w:val="center"/>
              <w:spacing w:line="32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r>
      <w:tr>
        <w:trPr>
          <w:trHeight w:val="20"/>
        </w:trPr>
        <w:tc>
          <w:tcPr>
            <w:gridSpan w:val="3"/>
            <w:tcW w:w="8897" w:type="dxa"/>
            <w:vAlign w:val="center"/>
            <w:textDirection w:val="lrTb"/>
            <w:noWrap w:val="false"/>
          </w:tcPr>
          <w:p>
            <w:pPr>
              <w:pStyle w:val="654"/>
              <w:ind w:left="420"/>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合计：100分</w:t>
            </w:r>
            <w:r>
              <w:rPr>
                <w:rFonts w:hint="eastAsia" w:ascii="宋体" w:hAnsi="宋体" w:cs="宋体"/>
                <w:sz w:val="24"/>
                <w:szCs w:val="24"/>
                <w:highlight w:val="none"/>
              </w:rPr>
            </w:r>
            <w:r/>
          </w:p>
        </w:tc>
      </w:tr>
    </w:tbl>
    <w:p>
      <w:pPr>
        <w:pStyle w:val="654"/>
        <w:jc w:val="center"/>
        <w:keepNext/>
        <w:rPr>
          <w:rFonts w:ascii="黑体" w:eastAsia="黑体"/>
          <w:bCs/>
          <w:sz w:val="44"/>
          <w:szCs w:val="28"/>
          <w:highlight w:val="none"/>
        </w:rPr>
        <w:outlineLvl w:val="0"/>
      </w:pPr>
      <w:r>
        <w:rPr>
          <w:rFonts w:ascii="黑体" w:eastAsia="黑体"/>
          <w:bCs/>
          <w:sz w:val="44"/>
          <w:szCs w:val="28"/>
          <w:highlight w:val="none"/>
        </w:rPr>
      </w:r>
      <w:r/>
    </w:p>
    <w:p>
      <w:pPr>
        <w:pStyle w:val="654"/>
        <w:jc w:val="center"/>
        <w:keepNext/>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jc w:val="center"/>
        <w:keepNext/>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jc w:val="center"/>
        <w:keepNext/>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jc w:val="center"/>
        <w:keepNext/>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jc w:val="center"/>
        <w:keepNext/>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jc w:val="center"/>
        <w:keepNext/>
        <w:rPr>
          <w:rFonts w:hint="eastAsia" w:ascii="黑体" w:eastAsia="黑体"/>
          <w:bCs/>
          <w:sz w:val="44"/>
          <w:szCs w:val="28"/>
          <w:highlight w:val="none"/>
        </w:rPr>
        <w:outlineLvl w:val="0"/>
      </w:pPr>
      <w:r>
        <w:rPr>
          <w:rFonts w:hint="eastAsia" w:ascii="黑体" w:eastAsia="黑体"/>
          <w:bCs/>
          <w:sz w:val="44"/>
          <w:szCs w:val="28"/>
          <w:highlight w:val="none"/>
        </w:rPr>
      </w:r>
      <w:r/>
    </w:p>
    <w:p>
      <w:pPr>
        <w:pStyle w:val="654"/>
        <w:jc w:val="center"/>
        <w:keepNext/>
        <w:rPr>
          <w:rFonts w:hint="eastAsia" w:ascii="黑体" w:eastAsia="黑体"/>
          <w:bCs/>
          <w:sz w:val="44"/>
          <w:szCs w:val="28"/>
          <w:highlight w:val="none"/>
        </w:rPr>
        <w:outlineLvl w:val="0"/>
      </w:pPr>
      <w:r>
        <w:rPr>
          <w:rFonts w:hint="eastAsia" w:ascii="黑体" w:eastAsia="黑体"/>
          <w:bCs/>
          <w:sz w:val="44"/>
          <w:szCs w:val="28"/>
          <w:highlight w:val="none"/>
        </w:rPr>
        <w:t xml:space="preserve">第六章  </w:t>
      </w:r>
      <w:bookmarkEnd w:id="181"/>
      <w:r/>
      <w:bookmarkEnd w:id="182"/>
      <w:r/>
      <w:bookmarkEnd w:id="187"/>
      <w:r>
        <w:rPr>
          <w:rFonts w:hint="eastAsia" w:ascii="黑体" w:eastAsia="黑体"/>
          <w:bCs/>
          <w:sz w:val="44"/>
          <w:szCs w:val="28"/>
          <w:highlight w:val="none"/>
        </w:rPr>
        <w:t xml:space="preserve">响应文件格式 </w:t>
      </w:r>
      <w:r>
        <w:rPr>
          <w:rFonts w:hint="eastAsia" w:ascii="黑体" w:eastAsia="黑体"/>
          <w:bCs/>
          <w:sz w:val="44"/>
          <w:szCs w:val="28"/>
          <w:highlight w:val="none"/>
        </w:rPr>
      </w:r>
      <w:r/>
    </w:p>
    <w:p>
      <w:pPr>
        <w:pStyle w:val="654"/>
        <w:jc w:val="center"/>
        <w:rPr>
          <w:rFonts w:hint="eastAsia" w:ascii="宋体" w:hAnsi="宋体"/>
          <w:b/>
          <w:sz w:val="72"/>
          <w:szCs w:val="21"/>
          <w:highlight w:val="none"/>
        </w:rPr>
      </w:pPr>
      <w:r/>
      <w:bookmarkStart w:id="188" w:name="_Hlt26671244"/>
      <w:r/>
      <w:bookmarkEnd w:id="188"/>
      <w:r/>
      <w:bookmarkStart w:id="189" w:name="_Hlt26955039"/>
      <w:r/>
      <w:bookmarkEnd w:id="189"/>
      <w:r/>
      <w:bookmarkStart w:id="190" w:name="_Toc120614282"/>
      <w:r/>
      <w:bookmarkStart w:id="191" w:name="_Toc49090576"/>
      <w:r/>
      <w:bookmarkStart w:id="192" w:name="_Toc26554094"/>
      <w:r>
        <w:rPr>
          <w:rFonts w:hint="eastAsia" w:ascii="宋体" w:hAnsi="宋体"/>
          <w:b/>
          <w:sz w:val="72"/>
          <w:szCs w:val="21"/>
          <w:highlight w:val="none"/>
        </w:rPr>
      </w:r>
      <w:r/>
    </w:p>
    <w:p>
      <w:pPr>
        <w:pStyle w:val="654"/>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654"/>
        <w:jc w:val="center"/>
        <w:rPr>
          <w:rFonts w:hint="eastAsia" w:ascii="宋体" w:hAnsi="宋体"/>
          <w:b/>
          <w:sz w:val="72"/>
          <w:szCs w:val="21"/>
          <w:highlight w:val="none"/>
        </w:rPr>
      </w:pPr>
      <w:r>
        <w:rPr>
          <w:rFonts w:hint="eastAsia" w:ascii="宋体" w:hAnsi="宋体"/>
          <w:b/>
          <w:sz w:val="72"/>
          <w:szCs w:val="21"/>
          <w:highlight w:val="none"/>
        </w:rPr>
      </w:r>
      <w:r/>
    </w:p>
    <w:p>
      <w:pPr>
        <w:pStyle w:val="654"/>
        <w:jc w:val="center"/>
        <w:rPr>
          <w:rFonts w:hint="eastAsia" w:ascii="宋体" w:hAnsi="宋体"/>
          <w:b/>
          <w:sz w:val="72"/>
          <w:szCs w:val="21"/>
          <w:highlight w:val="none"/>
        </w:rPr>
      </w:pPr>
      <w:r>
        <w:rPr>
          <w:rFonts w:hint="eastAsia" w:ascii="宋体" w:hAnsi="宋体"/>
          <w:b/>
          <w:sz w:val="72"/>
          <w:szCs w:val="21"/>
          <w:highlight w:val="none"/>
        </w:rPr>
      </w:r>
      <w:r/>
    </w:p>
    <w:p>
      <w:pPr>
        <w:pStyle w:val="654"/>
        <w:jc w:val="center"/>
        <w:rPr>
          <w:rFonts w:hint="eastAsia" w:ascii="宋体" w:hAnsi="宋体"/>
          <w:b/>
          <w:sz w:val="36"/>
          <w:szCs w:val="21"/>
          <w:highlight w:val="none"/>
        </w:rPr>
      </w:pPr>
      <w:r>
        <w:rPr>
          <w:rFonts w:hint="eastAsia" w:ascii="宋体" w:hAnsi="宋体"/>
          <w:b/>
          <w:sz w:val="36"/>
          <w:szCs w:val="21"/>
          <w:highlight w:val="none"/>
        </w:rPr>
      </w:r>
      <w:r/>
    </w:p>
    <w:p>
      <w:pPr>
        <w:pStyle w:val="654"/>
        <w:jc w:val="center"/>
        <w:rPr>
          <w:rFonts w:hint="eastAsia" w:ascii="宋体" w:hAnsi="宋体"/>
          <w:b/>
          <w:sz w:val="36"/>
          <w:szCs w:val="21"/>
          <w:highlight w:val="none"/>
        </w:rPr>
      </w:pPr>
      <w:r>
        <w:rPr>
          <w:rFonts w:hint="eastAsia" w:ascii="宋体" w:hAnsi="宋体"/>
          <w:b/>
          <w:sz w:val="36"/>
          <w:szCs w:val="21"/>
          <w:highlight w:val="none"/>
        </w:rPr>
      </w:r>
      <w:r/>
    </w:p>
    <w:p>
      <w:pPr>
        <w:pStyle w:val="654"/>
        <w:jc w:val="center"/>
        <w:rPr>
          <w:rFonts w:hint="eastAsia" w:ascii="宋体" w:hAnsi="宋体"/>
          <w:b/>
          <w:sz w:val="36"/>
          <w:szCs w:val="21"/>
          <w:highlight w:val="none"/>
        </w:rPr>
      </w:pPr>
      <w:r>
        <w:rPr>
          <w:rFonts w:hint="eastAsia" w:ascii="宋体" w:hAnsi="宋体"/>
          <w:b/>
          <w:sz w:val="36"/>
          <w:szCs w:val="21"/>
          <w:highlight w:val="none"/>
        </w:rPr>
      </w:r>
      <w:r/>
    </w:p>
    <w:p>
      <w:pPr>
        <w:pStyle w:val="654"/>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654"/>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654"/>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rPr>
          <w:rFonts w:hint="eastAsia" w:ascii="宋体" w:hAnsi="宋体"/>
          <w:b/>
          <w:sz w:val="36"/>
          <w:szCs w:val="21"/>
          <w:highlight w:val="none"/>
          <w:u w:val="single"/>
        </w:rPr>
      </w:r>
      <w:r/>
    </w:p>
    <w:p>
      <w:pPr>
        <w:pStyle w:val="654"/>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654"/>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4"/>
        <w:spacing w:line="440" w:lineRule="exact"/>
        <w:rPr>
          <w:rFonts w:ascii="宋体" w:hAnsi="宋体"/>
          <w:szCs w:val="21"/>
          <w:highlight w:val="none"/>
        </w:rPr>
      </w:pPr>
      <w:r>
        <w:rPr>
          <w:rFonts w:ascii="宋体" w:hAnsi="宋体"/>
          <w:szCs w:val="21"/>
          <w:highlight w:val="none"/>
        </w:rPr>
      </w:r>
      <w:r/>
    </w:p>
    <w:p>
      <w:pPr>
        <w:pStyle w:val="654"/>
        <w:spacing w:line="440" w:lineRule="exact"/>
        <w:rPr>
          <w:rFonts w:ascii="宋体" w:hAnsi="宋体"/>
          <w:szCs w:val="21"/>
          <w:highlight w:val="none"/>
        </w:rPr>
      </w:pPr>
      <w:r>
        <w:rPr>
          <w:rFonts w:ascii="宋体" w:hAnsi="宋体"/>
          <w:szCs w:val="21"/>
          <w:highlight w:val="none"/>
        </w:rPr>
      </w:r>
      <w:r/>
    </w:p>
    <w:p>
      <w:pPr>
        <w:pStyle w:val="654"/>
        <w:spacing w:line="440" w:lineRule="exact"/>
        <w:rPr>
          <w:rFonts w:ascii="宋体" w:hAnsi="宋体"/>
          <w:szCs w:val="21"/>
          <w:highlight w:val="none"/>
        </w:rPr>
      </w:pPr>
      <w:r>
        <w:rPr>
          <w:rFonts w:ascii="宋体" w:hAnsi="宋体"/>
          <w:szCs w:val="21"/>
          <w:highlight w:val="none"/>
        </w:rPr>
      </w:r>
      <w:r/>
    </w:p>
    <w:p>
      <w:pPr>
        <w:pStyle w:val="654"/>
        <w:spacing w:line="440" w:lineRule="exact"/>
        <w:rPr>
          <w:rFonts w:ascii="宋体" w:hAnsi="宋体"/>
          <w:szCs w:val="21"/>
          <w:highlight w:val="none"/>
        </w:rPr>
      </w:pPr>
      <w:r>
        <w:rPr>
          <w:rFonts w:ascii="宋体" w:hAnsi="宋体"/>
          <w:szCs w:val="21"/>
          <w:highlight w:val="none"/>
        </w:rPr>
      </w:r>
      <w:r/>
    </w:p>
    <w:p>
      <w:pPr>
        <w:pStyle w:val="654"/>
        <w:spacing w:line="440" w:lineRule="exact"/>
        <w:rPr>
          <w:rFonts w:ascii="宋体" w:hAnsi="宋体"/>
          <w:szCs w:val="21"/>
          <w:highlight w:val="none"/>
        </w:rPr>
      </w:pPr>
      <w:r>
        <w:rPr>
          <w:rFonts w:ascii="宋体" w:hAnsi="宋体"/>
          <w:szCs w:val="21"/>
          <w:highlight w:val="none"/>
        </w:rPr>
      </w:r>
      <w:r/>
    </w:p>
    <w:p>
      <w:pPr>
        <w:pStyle w:val="654"/>
        <w:spacing w:line="440" w:lineRule="exact"/>
        <w:rPr>
          <w:rFonts w:ascii="宋体" w:hAnsi="宋体"/>
          <w:szCs w:val="21"/>
          <w:highlight w:val="none"/>
        </w:rPr>
      </w:pPr>
      <w:r>
        <w:rPr>
          <w:rFonts w:ascii="宋体" w:hAnsi="宋体"/>
          <w:szCs w:val="21"/>
          <w:highlight w:val="none"/>
        </w:rPr>
      </w:r>
      <w:r/>
    </w:p>
    <w:p>
      <w:pPr>
        <w:pStyle w:val="654"/>
        <w:spacing w:line="440" w:lineRule="exact"/>
        <w:rPr>
          <w:rFonts w:ascii="宋体" w:hAnsi="宋体"/>
          <w:szCs w:val="21"/>
          <w:highlight w:val="none"/>
        </w:rPr>
      </w:pPr>
      <w:r>
        <w:rPr>
          <w:rFonts w:ascii="宋体" w:hAnsi="宋体"/>
          <w:szCs w:val="21"/>
          <w:highlight w:val="none"/>
        </w:rPr>
      </w:r>
      <w:r/>
    </w:p>
    <w:p>
      <w:pPr>
        <w:pStyle w:val="654"/>
        <w:spacing w:line="440" w:lineRule="exact"/>
        <w:rPr>
          <w:rFonts w:hint="eastAsia" w:ascii="宋体" w:hAnsi="宋体"/>
          <w:szCs w:val="21"/>
          <w:highlight w:val="none"/>
        </w:rPr>
      </w:pPr>
      <w:r>
        <w:rPr>
          <w:rFonts w:hint="eastAsia" w:ascii="宋体" w:hAnsi="宋体"/>
          <w:szCs w:val="21"/>
          <w:highlight w:val="none"/>
        </w:rPr>
      </w:r>
      <w:r/>
    </w:p>
    <w:p>
      <w:pPr>
        <w:pStyle w:val="654"/>
        <w:ind w:firstLine="964"/>
        <w:rPr>
          <w:rFonts w:ascii="宋体" w:hAnsi="宋体"/>
          <w:b/>
          <w:bCs/>
          <w:sz w:val="32"/>
          <w:szCs w:val="32"/>
          <w:highlight w:val="none"/>
        </w:rPr>
      </w:pPr>
      <w:r>
        <w:rPr>
          <w:rFonts w:ascii="宋体" w:hAnsi="宋体"/>
          <w:b/>
          <w:bCs/>
          <w:sz w:val="32"/>
          <w:szCs w:val="32"/>
          <w:highlight w:val="none"/>
        </w:rPr>
      </w:r>
      <w:r/>
    </w:p>
    <w:p>
      <w:pPr>
        <w:pStyle w:val="654"/>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响应文件的组成</w:t>
      </w:r>
      <w:r>
        <w:rPr>
          <w:rFonts w:ascii="宋体" w:hAnsi="宋体"/>
          <w:b/>
          <w:bCs/>
          <w:sz w:val="32"/>
          <w:szCs w:val="32"/>
          <w:highlight w:val="none"/>
        </w:rPr>
      </w:r>
      <w:r/>
    </w:p>
    <w:p>
      <w:pPr>
        <w:pStyle w:val="654"/>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4"/>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rPr>
          <w:rFonts w:ascii="宋体" w:hAnsi="宋体"/>
          <w:b/>
          <w:sz w:val="24"/>
          <w:szCs w:val="21"/>
          <w:highlight w:val="none"/>
        </w:rPr>
      </w:r>
      <w:r/>
    </w:p>
    <w:p>
      <w:pPr>
        <w:pStyle w:val="654"/>
        <w:ind w:left="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分项报价表（格式见</w:t>
      </w:r>
      <w:r>
        <w:rPr>
          <w:rFonts w:ascii="宋体" w:hAnsi="宋体"/>
          <w:sz w:val="24"/>
          <w:szCs w:val="21"/>
          <w:highlight w:val="none"/>
        </w:rPr>
        <w:t xml:space="preserve">附件1</w:t>
      </w:r>
      <w:r>
        <w:rPr>
          <w:rFonts w:hint="eastAsia" w:ascii="宋体" w:hAnsi="宋体"/>
          <w:sz w:val="24"/>
          <w:szCs w:val="21"/>
          <w:highlight w:val="none"/>
        </w:rPr>
        <w:t xml:space="preserve">）</w:t>
      </w:r>
      <w:r>
        <w:rPr>
          <w:rFonts w:ascii="宋体" w:hAnsi="宋体"/>
          <w:sz w:val="24"/>
          <w:szCs w:val="21"/>
          <w:highlight w:val="none"/>
        </w:rPr>
      </w:r>
      <w:r/>
    </w:p>
    <w:p>
      <w:pPr>
        <w:pStyle w:val="654"/>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附件2</w:t>
      </w:r>
      <w:r>
        <w:rPr>
          <w:rFonts w:hint="eastAsia" w:ascii="宋体" w:hAnsi="宋体"/>
          <w:sz w:val="24"/>
          <w:szCs w:val="21"/>
          <w:highlight w:val="none"/>
        </w:rPr>
        <w:t xml:space="preserve">）</w:t>
      </w:r>
      <w:r>
        <w:rPr>
          <w:rFonts w:ascii="宋体" w:hAnsi="宋体"/>
          <w:sz w:val="24"/>
          <w:szCs w:val="21"/>
          <w:highlight w:val="none"/>
        </w:rPr>
      </w:r>
      <w:r/>
    </w:p>
    <w:p>
      <w:pPr>
        <w:pStyle w:val="654"/>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rPr>
          <w:rFonts w:ascii="宋体" w:hAnsi="宋体"/>
          <w:sz w:val="24"/>
          <w:szCs w:val="21"/>
          <w:highlight w:val="none"/>
        </w:rPr>
      </w:r>
      <w:r/>
    </w:p>
    <w:p>
      <w:pPr>
        <w:pStyle w:val="654"/>
        <w:ind w:firstLine="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.****（格式</w:t>
      </w:r>
      <w:r>
        <w:rPr>
          <w:rFonts w:ascii="宋体" w:hAnsi="宋体"/>
          <w:sz w:val="24"/>
          <w:szCs w:val="21"/>
          <w:highlight w:val="none"/>
        </w:rPr>
        <w:t xml:space="preserve">见附件</w:t>
      </w:r>
      <w:r>
        <w:rPr>
          <w:rFonts w:hint="eastAsia" w:ascii="宋体" w:hAnsi="宋体"/>
          <w:sz w:val="24"/>
          <w:szCs w:val="21"/>
          <w:highlight w:val="none"/>
        </w:rPr>
        <w:t xml:space="preserve">**）</w:t>
      </w:r>
      <w:r>
        <w:rPr>
          <w:rFonts w:ascii="宋体" w:hAnsi="宋体"/>
          <w:sz w:val="24"/>
          <w:szCs w:val="21"/>
          <w:highlight w:val="none"/>
        </w:rPr>
      </w:r>
      <w:r/>
    </w:p>
    <w:p>
      <w:pPr>
        <w:pStyle w:val="654"/>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rPr>
          <w:rFonts w:hint="eastAsia" w:ascii="宋体" w:hAnsi="宋体"/>
          <w:b/>
          <w:sz w:val="24"/>
          <w:szCs w:val="21"/>
          <w:highlight w:val="none"/>
        </w:rPr>
      </w:r>
      <w:r/>
    </w:p>
    <w:p>
      <w:pPr>
        <w:pStyle w:val="654"/>
        <w:ind w:left="480"/>
        <w:spacing w:line="400" w:lineRule="exact"/>
        <w:rPr>
          <w:rFonts w:hint="eastAsia"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rPr>
          <w:rFonts w:hint="eastAsia" w:ascii="宋体" w:hAnsi="宋体"/>
          <w:sz w:val="24"/>
          <w:szCs w:val="21"/>
          <w:highlight w:val="none"/>
        </w:rPr>
      </w:r>
      <w:r/>
    </w:p>
    <w:p>
      <w:pPr>
        <w:pStyle w:val="654"/>
        <w:ind w:left="480"/>
        <w:spacing w:line="4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w:t>
      </w:r>
      <w:r>
        <w:rPr>
          <w:rFonts w:hint="eastAsia" w:ascii="宋体" w:hAnsi="宋体"/>
          <w:sz w:val="24"/>
          <w:szCs w:val="21"/>
          <w:highlight w:val="none"/>
        </w:rPr>
        <w:t xml:space="preserve">上一年度的财务状况报告（供应商成立不满一年无需提供）</w:t>
      </w:r>
      <w:r>
        <w:rPr>
          <w:rFonts w:hint="eastAsia" w:ascii="宋体" w:hAnsi="宋体"/>
          <w:sz w:val="24"/>
          <w:szCs w:val="21"/>
          <w:highlight w:val="none"/>
        </w:rPr>
      </w:r>
      <w:r/>
    </w:p>
    <w:p>
      <w:pPr>
        <w:pStyle w:val="654"/>
        <w:ind w:left="480"/>
        <w:spacing w:line="400" w:lineRule="exact"/>
        <w:rPr>
          <w:rFonts w:ascii="宋体" w:hAnsi="宋体"/>
          <w:sz w:val="24"/>
          <w:szCs w:val="21"/>
          <w:highlight w:val="none"/>
        </w:rPr>
      </w:pPr>
      <w:r>
        <w:rPr>
          <w:rFonts w:hint="eastAsia" w:ascii="宋体" w:hAnsi="宋体"/>
          <w:sz w:val="24"/>
          <w:szCs w:val="21"/>
          <w:highlight w:val="none"/>
        </w:rPr>
        <w:t xml:space="preserve">3</w:t>
      </w:r>
      <w:r>
        <w:rPr>
          <w:rFonts w:ascii="宋体" w:hAnsi="宋体"/>
          <w:sz w:val="24"/>
          <w:szCs w:val="21"/>
          <w:highlight w:val="none"/>
        </w:rPr>
        <w:t xml:space="preserve">.</w:t>
      </w:r>
      <w:r>
        <w:rPr>
          <w:rFonts w:hint="eastAsia" w:ascii="宋体" w:hAnsi="宋体"/>
          <w:sz w:val="24"/>
          <w:szCs w:val="21"/>
          <w:highlight w:val="none"/>
        </w:rPr>
        <w:t xml:space="preserve">依法缴纳税收和社会保障资金的相关材料（提供提交响应文件截止时间前</w:t>
      </w:r>
      <w:r>
        <w:rPr>
          <w:rFonts w:ascii="宋体" w:hAnsi="宋体"/>
          <w:sz w:val="24"/>
          <w:szCs w:val="21"/>
          <w:highlight w:val="none"/>
        </w:rPr>
      </w:r>
      <w:r/>
    </w:p>
    <w:p>
      <w:pPr>
        <w:pStyle w:val="654"/>
        <w:spacing w:line="400" w:lineRule="exact"/>
        <w:rPr>
          <w:rFonts w:hint="eastAsia" w:ascii="宋体" w:hAnsi="宋体"/>
          <w:sz w:val="24"/>
          <w:szCs w:val="21"/>
          <w:highlight w:val="none"/>
        </w:rPr>
      </w:pPr>
      <w:r>
        <w:rPr>
          <w:rFonts w:hint="eastAsia" w:ascii="宋体" w:hAnsi="宋体"/>
          <w:sz w:val="24"/>
          <w:szCs w:val="21"/>
          <w:highlight w:val="none"/>
        </w:rPr>
        <w:t xml:space="preserve">一年内至少一个月依法缴纳税收及缴纳社会保障资金的证明材料。供应商依法享受缓缴、免缴税收、社会保障资金的提供证明材料。）</w:t>
      </w:r>
      <w:r>
        <w:rPr>
          <w:rFonts w:hint="eastAsia" w:ascii="宋体" w:hAnsi="宋体"/>
          <w:sz w:val="24"/>
          <w:szCs w:val="21"/>
          <w:highlight w:val="none"/>
        </w:rPr>
      </w:r>
      <w:r/>
    </w:p>
    <w:p>
      <w:pPr>
        <w:pStyle w:val="654"/>
        <w:ind w:left="480"/>
        <w:spacing w:line="400" w:lineRule="exact"/>
        <w:rPr>
          <w:rFonts w:ascii="宋体" w:hAnsi="宋体"/>
          <w:sz w:val="24"/>
          <w:szCs w:val="21"/>
          <w:highlight w:val="none"/>
        </w:rPr>
      </w:pPr>
      <w:r>
        <w:rPr>
          <w:rFonts w:hint="eastAsia" w:ascii="宋体" w:hAnsi="宋体"/>
          <w:sz w:val="24"/>
          <w:szCs w:val="21"/>
          <w:highlight w:val="none"/>
        </w:rPr>
        <w:t xml:space="preserve">4</w:t>
      </w:r>
      <w:r>
        <w:rPr>
          <w:rFonts w:ascii="宋体" w:hAnsi="宋体"/>
          <w:sz w:val="24"/>
          <w:szCs w:val="21"/>
          <w:highlight w:val="none"/>
        </w:rPr>
        <w:t xml:space="preserve">.</w:t>
      </w:r>
      <w:r>
        <w:rPr>
          <w:rFonts w:hint="eastAsia" w:ascii="宋体" w:hAnsi="宋体"/>
          <w:sz w:val="24"/>
          <w:szCs w:val="21"/>
          <w:highlight w:val="none"/>
        </w:rPr>
        <w:t xml:space="preserve">具备履行合同所必需的设备和专业技术能力的书面声明（格式见</w:t>
      </w:r>
      <w:r>
        <w:rPr>
          <w:rFonts w:ascii="宋体" w:hAnsi="宋体"/>
          <w:sz w:val="24"/>
          <w:szCs w:val="21"/>
          <w:highlight w:val="none"/>
        </w:rPr>
        <w:t xml:space="preserve">附件4</w:t>
      </w:r>
      <w:r>
        <w:rPr>
          <w:rFonts w:hint="eastAsia" w:ascii="宋体" w:hAnsi="宋体"/>
          <w:sz w:val="24"/>
          <w:szCs w:val="21"/>
          <w:highlight w:val="none"/>
        </w:rPr>
        <w:t xml:space="preserve">）</w:t>
      </w:r>
      <w:r>
        <w:rPr>
          <w:rFonts w:ascii="宋体" w:hAnsi="宋体"/>
          <w:sz w:val="24"/>
          <w:szCs w:val="21"/>
          <w:highlight w:val="none"/>
        </w:rPr>
      </w:r>
      <w:r/>
    </w:p>
    <w:p>
      <w:pPr>
        <w:pStyle w:val="654"/>
        <w:ind w:left="480"/>
        <w:spacing w:line="400" w:lineRule="exact"/>
        <w:rPr>
          <w:rFonts w:ascii="宋体" w:hAnsi="宋体"/>
          <w:sz w:val="24"/>
          <w:szCs w:val="21"/>
          <w:highlight w:val="none"/>
        </w:rPr>
      </w:pPr>
      <w:r>
        <w:rPr>
          <w:rFonts w:hint="eastAsia" w:ascii="宋体" w:hAnsi="宋体"/>
          <w:sz w:val="24"/>
          <w:szCs w:val="21"/>
          <w:highlight w:val="none"/>
        </w:rPr>
        <w:t xml:space="preserve">5.参加政府采购活动前 3 年内在经营活动中没有重大违法记录的书面声明</w:t>
      </w:r>
      <w:r>
        <w:rPr>
          <w:rFonts w:ascii="宋体" w:hAnsi="宋体"/>
          <w:sz w:val="24"/>
          <w:szCs w:val="21"/>
          <w:highlight w:val="none"/>
        </w:rPr>
      </w:r>
      <w:r/>
    </w:p>
    <w:p>
      <w:pPr>
        <w:pStyle w:val="654"/>
        <w:spacing w:line="400" w:lineRule="exact"/>
        <w:rPr>
          <w:rFonts w:hint="eastAsia" w:ascii="宋体" w:hAnsi="宋体"/>
          <w:sz w:val="24"/>
          <w:szCs w:val="21"/>
          <w:highlight w:val="none"/>
        </w:rPr>
      </w:pPr>
      <w:r>
        <w:rPr>
          <w:rFonts w:hint="eastAsia" w:ascii="宋体" w:hAnsi="宋体"/>
          <w:sz w:val="24"/>
          <w:szCs w:val="21"/>
          <w:highlight w:val="none"/>
        </w:rPr>
        <w:t xml:space="preserve">（格式见</w:t>
      </w:r>
      <w:r>
        <w:rPr>
          <w:rFonts w:ascii="宋体" w:hAnsi="宋体"/>
          <w:sz w:val="24"/>
          <w:szCs w:val="21"/>
          <w:highlight w:val="none"/>
        </w:rPr>
        <w:t xml:space="preserve">附件5</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480"/>
        <w:spacing w:line="400" w:lineRule="exact"/>
        <w:rPr>
          <w:rFonts w:ascii="宋体" w:hAnsi="宋体"/>
          <w:sz w:val="24"/>
          <w:szCs w:val="21"/>
          <w:highlight w:val="none"/>
        </w:rPr>
      </w:pPr>
      <w:r>
        <w:rPr>
          <w:rFonts w:hint="eastAsia" w:ascii="宋体" w:hAnsi="宋体"/>
          <w:sz w:val="24"/>
          <w:szCs w:val="21"/>
          <w:highlight w:val="none"/>
        </w:rPr>
        <w:t xml:space="preserve">6</w:t>
      </w:r>
      <w:r>
        <w:rPr>
          <w:rFonts w:ascii="宋体" w:hAnsi="宋体"/>
          <w:sz w:val="24"/>
          <w:szCs w:val="21"/>
          <w:highlight w:val="none"/>
        </w:rPr>
        <w:t xml:space="preserve">.</w:t>
      </w:r>
      <w:r>
        <w:rPr>
          <w:rFonts w:hint="eastAsia" w:ascii="宋体" w:hAnsi="宋体"/>
          <w:sz w:val="24"/>
          <w:szCs w:val="21"/>
          <w:highlight w:val="none"/>
        </w:rPr>
        <w:t xml:space="preserve">特定资格要求的证明文件（如果本项目对供应商</w:t>
      </w:r>
      <w:r>
        <w:rPr>
          <w:rFonts w:ascii="宋体" w:hAnsi="宋体"/>
          <w:sz w:val="24"/>
          <w:szCs w:val="21"/>
          <w:highlight w:val="none"/>
        </w:rPr>
        <w:t xml:space="preserve">做出特定资格要求的</w:t>
      </w:r>
      <w:r>
        <w:rPr>
          <w:rFonts w:hint="eastAsia" w:ascii="宋体" w:hAnsi="宋体"/>
          <w:sz w:val="24"/>
          <w:szCs w:val="21"/>
          <w:highlight w:val="none"/>
        </w:rPr>
        <w:t xml:space="preserve">，必须提供）</w:t>
      </w:r>
      <w:r>
        <w:rPr>
          <w:rFonts w:ascii="宋体" w:hAnsi="宋体"/>
          <w:sz w:val="24"/>
          <w:szCs w:val="21"/>
          <w:highlight w:val="none"/>
        </w:rPr>
      </w:r>
      <w:r/>
    </w:p>
    <w:p>
      <w:pPr>
        <w:pStyle w:val="654"/>
        <w:ind w:firstLine="480"/>
        <w:spacing w:line="400" w:lineRule="exact"/>
        <w:rPr>
          <w:rFonts w:ascii="宋体" w:hAnsi="宋体"/>
          <w:sz w:val="24"/>
          <w:szCs w:val="21"/>
          <w:highlight w:val="none"/>
        </w:rPr>
      </w:pPr>
      <w:r>
        <w:rPr>
          <w:rFonts w:hint="eastAsia" w:ascii="宋体" w:hAnsi="宋体"/>
          <w:sz w:val="24"/>
          <w:szCs w:val="21"/>
          <w:highlight w:val="none"/>
        </w:rPr>
        <w:t xml:space="preserve">7.</w:t>
      </w:r>
      <w:r>
        <w:rPr>
          <w:rFonts w:hint="eastAsia"/>
          <w:highlight w:val="none"/>
        </w:rPr>
        <w:t xml:space="preserve"> </w:t>
      </w:r>
      <w:r>
        <w:rPr>
          <w:rFonts w:hint="eastAsia" w:ascii="宋体" w:hAnsi="宋体"/>
          <w:sz w:val="24"/>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highlight w:val="none"/>
        </w:rPr>
      </w:r>
      <w:r/>
    </w:p>
    <w:p>
      <w:pPr>
        <w:pStyle w:val="654"/>
        <w:ind w:firstLine="480"/>
        <w:spacing w:line="400" w:lineRule="exact"/>
        <w:rPr>
          <w:rFonts w:hint="eastAsia"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法人授权书（格式见附件</w:t>
      </w:r>
      <w:r>
        <w:rPr>
          <w:rFonts w:ascii="宋体" w:hAnsi="宋体"/>
          <w:sz w:val="24"/>
          <w:szCs w:val="21"/>
          <w:highlight w:val="none"/>
        </w:rPr>
        <w:t xml:space="preserve">6</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480"/>
        <w:spacing w:line="400" w:lineRule="exact"/>
        <w:rPr>
          <w:rFonts w:hint="eastAsia"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响应函（格式见附件</w:t>
      </w:r>
      <w:r>
        <w:rPr>
          <w:rFonts w:ascii="宋体" w:hAnsi="宋体"/>
          <w:sz w:val="24"/>
          <w:szCs w:val="21"/>
          <w:highlight w:val="none"/>
        </w:rPr>
        <w:t xml:space="preserve">7</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480"/>
        <w:spacing w:line="400" w:lineRule="exact"/>
        <w:rPr>
          <w:rFonts w:hint="eastAsia" w:ascii="宋体" w:hAnsi="宋体"/>
          <w:sz w:val="24"/>
          <w:szCs w:val="21"/>
          <w:highlight w:val="none"/>
        </w:rPr>
      </w:pPr>
      <w:r>
        <w:rPr>
          <w:rFonts w:ascii="宋体" w:hAnsi="宋体"/>
          <w:sz w:val="24"/>
          <w:szCs w:val="21"/>
          <w:highlight w:val="none"/>
        </w:rPr>
        <w:t xml:space="preserve">10.</w:t>
      </w:r>
      <w:r>
        <w:rPr>
          <w:rFonts w:hint="eastAsia" w:ascii="宋体" w:hAnsi="宋体"/>
          <w:sz w:val="24"/>
          <w:szCs w:val="21"/>
          <w:highlight w:val="none"/>
        </w:rPr>
        <w:t xml:space="preserve">中小微企业声明函（如果本项目</w:t>
      </w:r>
      <w:r>
        <w:rPr>
          <w:rFonts w:ascii="宋体" w:hAnsi="宋体"/>
          <w:sz w:val="24"/>
          <w:szCs w:val="21"/>
          <w:highlight w:val="none"/>
        </w:rPr>
        <w:t xml:space="preserve">专门面向中小微型企业采购，则必须提供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附件8</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残疾人福利性单位声明函（如果本项目</w:t>
      </w:r>
      <w:r>
        <w:rPr>
          <w:rFonts w:ascii="宋体" w:hAnsi="宋体"/>
          <w:sz w:val="24"/>
          <w:szCs w:val="21"/>
          <w:highlight w:val="none"/>
        </w:rPr>
        <w:t xml:space="preserve">专门面向中小微型企业采购，</w:t>
      </w:r>
      <w:r>
        <w:rPr>
          <w:rFonts w:hint="eastAsia" w:ascii="宋体" w:hAnsi="宋体"/>
          <w:sz w:val="24"/>
          <w:szCs w:val="21"/>
          <w:highlight w:val="none"/>
        </w:rPr>
        <w:t xml:space="preserve">供应商为</w:t>
      </w:r>
      <w:r>
        <w:rPr>
          <w:rFonts w:ascii="宋体" w:hAnsi="宋体"/>
          <w:sz w:val="24"/>
          <w:szCs w:val="21"/>
          <w:highlight w:val="none"/>
        </w:rPr>
        <w:t xml:space="preserve">残疾人福利性单位并</w:t>
      </w:r>
      <w:r>
        <w:rPr>
          <w:rFonts w:hint="eastAsia" w:ascii="宋体" w:hAnsi="宋体"/>
          <w:sz w:val="24"/>
          <w:szCs w:val="21"/>
          <w:highlight w:val="none"/>
        </w:rPr>
        <w:t xml:space="preserve">提供本单位制造的货物，或者提供其他残疾人福利性单位制造的货物，</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2</w:t>
      </w:r>
      <w:r>
        <w:rPr>
          <w:rFonts w:hint="eastAsia" w:ascii="宋体" w:hAnsi="宋体"/>
          <w:sz w:val="24"/>
          <w:szCs w:val="21"/>
          <w:highlight w:val="none"/>
        </w:rPr>
        <w:t xml:space="preserve">.联合体协议（如果本项目接受联合体参与磋商</w:t>
      </w:r>
      <w:r>
        <w:rPr>
          <w:rFonts w:ascii="宋体" w:hAnsi="宋体"/>
          <w:sz w:val="24"/>
          <w:szCs w:val="21"/>
          <w:highlight w:val="none"/>
        </w:rPr>
        <w:t xml:space="preserve">，</w:t>
      </w:r>
      <w:r>
        <w:rPr>
          <w:rFonts w:hint="eastAsia" w:ascii="宋体" w:hAnsi="宋体"/>
          <w:sz w:val="24"/>
          <w:szCs w:val="21"/>
          <w:highlight w:val="none"/>
        </w:rPr>
        <w:t xml:space="preserve">供应商是联合体的，</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rPr>
          <w:rFonts w:ascii="宋体" w:hAnsi="宋体"/>
          <w:sz w:val="24"/>
          <w:szCs w:val="21"/>
          <w:highlight w:val="none"/>
        </w:rPr>
      </w:r>
      <w:r/>
    </w:p>
    <w:p>
      <w:pPr>
        <w:pStyle w:val="654"/>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总备注：上述“资格审查内容”中1-5条、8、9条供应商必须在响应文件</w:t>
      </w:r>
      <w:r>
        <w:rPr>
          <w:rFonts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sz w:val="24"/>
          <w:szCs w:val="24"/>
          <w:highlight w:val="none"/>
        </w:rPr>
        <w:t xml:space="preserve">中提供相关材料，否则作无效响应处理；6、10、11、12条如磋商文件要求必须提供相关材料而未提供的，作无效响应处理。</w:t>
      </w:r>
      <w:r>
        <w:rPr>
          <w:rFonts w:ascii="宋体" w:hAnsi="宋体"/>
          <w:sz w:val="24"/>
          <w:szCs w:val="24"/>
          <w:highlight w:val="none"/>
        </w:rPr>
      </w:r>
      <w:r/>
    </w:p>
    <w:p>
      <w:pPr>
        <w:pStyle w:val="654"/>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rPr>
          <w:rFonts w:hint="eastAsia" w:ascii="宋体" w:hAnsi="宋体"/>
          <w:b/>
          <w:sz w:val="24"/>
          <w:szCs w:val="21"/>
          <w:highlight w:val="none"/>
        </w:rPr>
      </w:r>
      <w:r/>
    </w:p>
    <w:p>
      <w:pPr>
        <w:pStyle w:val="654"/>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供应商必须</w:t>
      </w:r>
      <w:r>
        <w:rPr>
          <w:rFonts w:ascii="宋体" w:hAnsi="宋体"/>
          <w:sz w:val="24"/>
          <w:szCs w:val="21"/>
          <w:highlight w:val="none"/>
        </w:rPr>
        <w:t xml:space="preserve">对</w:t>
      </w:r>
      <w:r>
        <w:rPr>
          <w:rFonts w:hint="eastAsia" w:ascii="宋体" w:hAnsi="宋体"/>
          <w:sz w:val="24"/>
          <w:szCs w:val="21"/>
          <w:highlight w:val="none"/>
        </w:rPr>
        <w:t xml:space="preserve">磋商文件（含技术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w:t>
      </w:r>
      <w:r>
        <w:rPr>
          <w:rFonts w:hint="eastAsia" w:ascii="宋体" w:hAnsi="宋体"/>
          <w:sz w:val="24"/>
          <w:szCs w:val="21"/>
          <w:highlight w:val="none"/>
        </w:rPr>
        <w:t xml:space="preserve">磋商文件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，否则做无效响应处理。（格式见</w:t>
      </w:r>
      <w:r>
        <w:rPr>
          <w:rFonts w:ascii="宋体" w:hAnsi="宋体"/>
          <w:sz w:val="24"/>
          <w:szCs w:val="21"/>
          <w:highlight w:val="none"/>
        </w:rPr>
        <w:t xml:space="preserve">附件11</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rPr>
          <w:rFonts w:ascii="宋体" w:hAnsi="宋体"/>
          <w:b/>
          <w:sz w:val="24"/>
          <w:szCs w:val="21"/>
          <w:highlight w:val="none"/>
        </w:rPr>
      </w:r>
      <w:r/>
    </w:p>
    <w:p>
      <w:pPr>
        <w:pStyle w:val="654"/>
        <w:ind w:firstLine="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附件8</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480"/>
        <w:spacing w:line="400" w:lineRule="exact"/>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rPr>
          <w:rFonts w:hint="eastAsia" w:ascii="宋体" w:hAnsi="宋体"/>
          <w:sz w:val="24"/>
          <w:szCs w:val="21"/>
          <w:highlight w:val="none"/>
        </w:rPr>
      </w:r>
      <w:r/>
    </w:p>
    <w:p>
      <w:pPr>
        <w:pStyle w:val="654"/>
        <w:rPr>
          <w:rFonts w:ascii="宋体" w:hAnsi="宋体"/>
          <w:b/>
          <w:sz w:val="24"/>
          <w:szCs w:val="21"/>
          <w:highlight w:val="none"/>
        </w:rPr>
      </w:pPr>
      <w:r>
        <w:rPr>
          <w:rFonts w:ascii="宋体" w:hAnsi="宋体"/>
          <w:b/>
          <w:sz w:val="24"/>
          <w:szCs w:val="21"/>
          <w:highlight w:val="none"/>
        </w:rPr>
      </w:r>
      <w:r/>
    </w:p>
    <w:p>
      <w:pPr>
        <w:pStyle w:val="654"/>
        <w:ind w:left="480"/>
        <w:rPr>
          <w:rFonts w:ascii="宋体" w:hAnsi="宋体"/>
          <w:b/>
          <w:sz w:val="24"/>
          <w:szCs w:val="21"/>
          <w:highlight w:val="none"/>
        </w:rPr>
      </w:pPr>
      <w:r>
        <w:rPr>
          <w:rFonts w:ascii="宋体" w:hAnsi="宋体"/>
          <w:b/>
          <w:sz w:val="24"/>
          <w:szCs w:val="21"/>
          <w:highlight w:val="none"/>
        </w:rPr>
      </w:r>
      <w:r/>
    </w:p>
    <w:p>
      <w:pPr>
        <w:pStyle w:val="654"/>
        <w:ind w:left="480"/>
        <w:rPr>
          <w:rFonts w:ascii="宋体" w:hAnsi="宋体"/>
          <w:b/>
          <w:sz w:val="24"/>
          <w:szCs w:val="21"/>
          <w:highlight w:val="none"/>
        </w:rPr>
      </w:pPr>
      <w:r>
        <w:rPr>
          <w:rFonts w:hint="eastAsia" w:ascii="宋体" w:hAnsi="宋体"/>
          <w:b/>
          <w:sz w:val="24"/>
          <w:szCs w:val="21"/>
          <w:highlight w:val="none"/>
        </w:rPr>
        <w:t xml:space="preserve">附件1 分项报价表</w:t>
      </w:r>
      <w:r>
        <w:rPr>
          <w:rFonts w:hint="eastAsia" w:ascii="宋体" w:hAnsi="宋体"/>
          <w:b/>
          <w:sz w:val="24"/>
          <w:szCs w:val="24"/>
          <w:highlight w:val="none"/>
        </w:rPr>
        <w:t xml:space="preserve">（采购包号：**）</w:t>
      </w:r>
      <w:r>
        <w:rPr>
          <w:rFonts w:ascii="宋体" w:hAnsi="宋体"/>
          <w:b/>
          <w:sz w:val="24"/>
          <w:szCs w:val="21"/>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7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69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596"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811"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37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35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r>
      <w:tr>
        <w:trPr>
          <w:cantSplit/>
          <w:trHeight w:val="294"/>
        </w:trPr>
        <w:tc>
          <w:tcPr>
            <w:tcW w:w="948" w:type="dxa"/>
            <w:vAlign w:val="center"/>
            <w:vMerge w:val="continue"/>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分项服务名称</w:t>
            </w:r>
            <w:r>
              <w:rPr>
                <w:rFonts w:hint="eastAsia" w:ascii="宋体" w:hAnsi="宋体"/>
                <w:sz w:val="24"/>
                <w:szCs w:val="24"/>
                <w:highlight w:val="none"/>
              </w:rPr>
            </w:r>
            <w:r/>
          </w:p>
        </w:tc>
        <w:tc>
          <w:tcPr>
            <w:tcW w:w="169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rPr>
                <w:rFonts w:hint="eastAsia" w:ascii="宋体" w:hAnsi="宋体"/>
                <w:sz w:val="24"/>
                <w:szCs w:val="24"/>
                <w:highlight w:val="none"/>
              </w:rPr>
            </w:r>
            <w:r/>
          </w:p>
        </w:tc>
        <w:tc>
          <w:tcPr>
            <w:tcW w:w="1596"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交付期/服务期</w:t>
            </w:r>
            <w:r>
              <w:rPr>
                <w:rFonts w:hint="eastAsia" w:ascii="宋体" w:hAnsi="宋体"/>
                <w:sz w:val="24"/>
                <w:szCs w:val="24"/>
                <w:highlight w:val="none"/>
              </w:rPr>
            </w:r>
            <w:r/>
          </w:p>
        </w:tc>
        <w:tc>
          <w:tcPr>
            <w:tcW w:w="811"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37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p>
        </w:tc>
        <w:tc>
          <w:tcPr>
            <w:tcW w:w="135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7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9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96" w:type="dxa"/>
            <w:vAlign w:val="center"/>
            <w:textDirection w:val="lrTb"/>
            <w:noWrap w:val="false"/>
          </w:tcPr>
          <w:p>
            <w:pPr>
              <w:pStyle w:val="654"/>
              <w:jc w:val="center"/>
              <w:spacing w:line="0" w:lineRule="atLeast"/>
              <w:rPr>
                <w:rFonts w:ascii="宋体" w:hAnsi="宋体"/>
                <w:sz w:val="18"/>
                <w:szCs w:val="18"/>
                <w:highlight w:val="none"/>
              </w:rPr>
            </w:pPr>
            <w:r>
              <w:rPr>
                <w:rFonts w:hint="eastAsia" w:ascii="宋体" w:hAnsi="宋体"/>
                <w:sz w:val="18"/>
                <w:szCs w:val="18"/>
                <w:highlight w:val="none"/>
              </w:rPr>
              <w:t xml:space="preserve">合同签</w:t>
            </w:r>
            <w:r>
              <w:rPr>
                <w:rFonts w:ascii="宋体" w:hAnsi="宋体"/>
                <w:sz w:val="18"/>
                <w:szCs w:val="18"/>
                <w:highlight w:val="none"/>
              </w:rPr>
            </w:r>
            <w:r/>
          </w:p>
          <w:p>
            <w:pPr>
              <w:pStyle w:val="654"/>
              <w:jc w:val="center"/>
              <w:spacing w:line="0" w:lineRule="atLeast"/>
              <w:rPr>
                <w:rFonts w:hint="eastAsia" w:ascii="宋体" w:hAnsi="宋体"/>
                <w:sz w:val="24"/>
                <w:szCs w:val="24"/>
                <w:highlight w:val="none"/>
              </w:rPr>
            </w:pPr>
            <w:r>
              <w:rPr>
                <w:rFonts w:hint="eastAsia" w:ascii="宋体" w:hAnsi="宋体"/>
                <w:sz w:val="18"/>
                <w:szCs w:val="18"/>
                <w:highlight w:val="none"/>
              </w:rPr>
              <w:t xml:space="preserve">订后</w:t>
            </w:r>
            <w:r>
              <w:rPr>
                <w:rFonts w:hint="eastAsia" w:ascii="宋体" w:hAnsi="宋体"/>
                <w:sz w:val="18"/>
                <w:szCs w:val="18"/>
                <w:highlight w:val="none"/>
                <w:u w:val="single"/>
              </w:rPr>
              <w:t xml:space="preserve">  </w:t>
            </w:r>
            <w:r>
              <w:rPr>
                <w:rFonts w:hint="eastAsia" w:ascii="宋体" w:hAnsi="宋体"/>
                <w:sz w:val="18"/>
                <w:szCs w:val="18"/>
                <w:highlight w:val="none"/>
              </w:rPr>
              <w:t xml:space="preserve">日</w:t>
            </w:r>
            <w:r>
              <w:rPr>
                <w:rFonts w:hint="eastAsia" w:ascii="宋体" w:hAnsi="宋体"/>
                <w:sz w:val="24"/>
                <w:szCs w:val="24"/>
                <w:highlight w:val="none"/>
              </w:rPr>
            </w:r>
            <w:r/>
          </w:p>
        </w:tc>
        <w:tc>
          <w:tcPr>
            <w:tcW w:w="811"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7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5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7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9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96"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11"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7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5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7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9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96"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11"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7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5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654"/>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1274" w:type="dxa"/>
            <w:vAlign w:val="center"/>
            <w:textDirection w:val="lrTb"/>
            <w:noWrap w:val="false"/>
          </w:tcPr>
          <w:p>
            <w:pPr>
              <w:pStyle w:val="654"/>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1694"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96"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11"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7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58"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7695"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总报价（人民币：元）</w:t>
            </w:r>
            <w:r>
              <w:rPr>
                <w:rFonts w:hint="eastAsia" w:ascii="宋体" w:hAnsi="宋体"/>
                <w:sz w:val="24"/>
                <w:szCs w:val="24"/>
                <w:highlight w:val="none"/>
              </w:rPr>
            </w:r>
            <w:r/>
          </w:p>
        </w:tc>
        <w:tc>
          <w:tcPr>
            <w:tcW w:w="1358" w:type="dxa"/>
            <w:vAlign w:val="top"/>
            <w:textDirection w:val="lrTb"/>
            <w:noWrap w:val="false"/>
          </w:tcPr>
          <w:p>
            <w:pPr>
              <w:pStyle w:val="654"/>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54"/>
        <w:rPr>
          <w:rFonts w:ascii="宋体" w:hAnsi="宋体"/>
          <w:sz w:val="24"/>
          <w:szCs w:val="24"/>
          <w:highlight w:val="none"/>
        </w:rPr>
      </w:pPr>
      <w:r>
        <w:rPr>
          <w:rFonts w:hint="eastAsia" w:ascii="宋体" w:hAnsi="宋体"/>
          <w:sz w:val="24"/>
          <w:szCs w:val="24"/>
          <w:highlight w:val="none"/>
        </w:rPr>
        <w:t xml:space="preserve">备注： </w:t>
      </w:r>
      <w:r>
        <w:rPr>
          <w:rFonts w:ascii="宋体" w:hAnsi="宋体"/>
          <w:sz w:val="24"/>
          <w:szCs w:val="24"/>
          <w:highlight w:val="none"/>
        </w:rPr>
      </w:r>
      <w:r/>
    </w:p>
    <w:p>
      <w:pPr>
        <w:pStyle w:val="654"/>
        <w:spacing w:line="0" w:lineRule="atLeas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ascii="宋体" w:hAnsi="宋体"/>
          <w:sz w:val="24"/>
          <w:szCs w:val="24"/>
          <w:highlight w:val="none"/>
        </w:rPr>
      </w:r>
      <w:r/>
    </w:p>
    <w:p>
      <w:pPr>
        <w:pStyle w:val="654"/>
        <w:spacing w:line="400" w:lineRule="exact"/>
        <w:rPr>
          <w:rFonts w:hint="eastAsia" w:ascii="宋体" w:hAnsi="宋体"/>
          <w:sz w:val="24"/>
          <w:szCs w:val="21"/>
          <w:highlight w:val="none"/>
        </w:rPr>
      </w:pPr>
      <w:r>
        <w:rPr>
          <w:rFonts w:ascii="宋体" w:hAnsi="宋体"/>
          <w:sz w:val="24"/>
          <w:szCs w:val="24"/>
          <w:highlight w:val="none"/>
        </w:rPr>
        <w:t xml:space="preserve">2.</w:t>
      </w:r>
      <w:r>
        <w:rPr>
          <w:rFonts w:hint="eastAsia" w:ascii="宋体" w:hAnsi="宋体"/>
          <w:sz w:val="24"/>
          <w:szCs w:val="21"/>
          <w:highlight w:val="none"/>
        </w:rPr>
        <w:t xml:space="preserve">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rPr>
          <w:rFonts w:hint="eastAsia" w:ascii="宋体" w:hAnsi="宋体"/>
          <w:sz w:val="24"/>
          <w:szCs w:val="21"/>
          <w:highlight w:val="none"/>
        </w:rPr>
      </w:r>
      <w:r/>
    </w:p>
    <w:p>
      <w:pPr>
        <w:pStyle w:val="654"/>
        <w:spacing w:line="400" w:lineRule="exact"/>
        <w:rPr>
          <w:rFonts w:ascii="宋体" w:hAnsi="宋体"/>
          <w:color w:val="ff0000"/>
          <w:sz w:val="24"/>
          <w:szCs w:val="24"/>
          <w:highlight w:val="none"/>
        </w:rPr>
      </w:pPr>
      <w:r>
        <w:rPr>
          <w:rFonts w:ascii="宋体" w:hAnsi="宋体"/>
          <w:color w:val="ff0000"/>
          <w:sz w:val="24"/>
          <w:szCs w:val="24"/>
          <w:highlight w:val="none"/>
        </w:rPr>
      </w:r>
      <w:r/>
    </w:p>
    <w:p>
      <w:pPr>
        <w:pStyle w:val="654"/>
        <w:spacing w:line="400" w:lineRule="exact"/>
        <w:rPr>
          <w:rFonts w:hint="eastAsia" w:ascii="宋体" w:hAnsi="宋体"/>
          <w:color w:val="ff0000"/>
          <w:sz w:val="24"/>
          <w:szCs w:val="24"/>
          <w:highlight w:val="none"/>
        </w:rPr>
      </w:pPr>
      <w:r>
        <w:rPr>
          <w:rFonts w:hint="eastAsia" w:ascii="宋体" w:hAnsi="宋体"/>
          <w:color w:val="ff0000"/>
          <w:sz w:val="24"/>
          <w:szCs w:val="24"/>
          <w:highlight w:val="none"/>
        </w:rPr>
      </w:r>
      <w:r/>
    </w:p>
    <w:p>
      <w:pPr>
        <w:pStyle w:val="654"/>
        <w:spacing w:line="400" w:lineRule="exact"/>
        <w:rPr>
          <w:rFonts w:hint="eastAsia" w:ascii="宋体" w:hAnsi="宋体"/>
          <w:color w:val="ff0000"/>
          <w:sz w:val="24"/>
          <w:szCs w:val="24"/>
          <w:highlight w:val="none"/>
        </w:rPr>
      </w:pPr>
      <w:r>
        <w:rPr>
          <w:rFonts w:hint="eastAsia" w:ascii="宋体" w:hAnsi="宋体"/>
          <w:color w:val="ff0000"/>
          <w:sz w:val="24"/>
          <w:szCs w:val="24"/>
          <w:highlight w:val="none"/>
        </w:rPr>
      </w:r>
      <w:r/>
    </w:p>
    <w:p>
      <w:pPr>
        <w:pStyle w:val="654"/>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 </w:t>
      </w:r>
      <w:r>
        <w:rPr>
          <w:rFonts w:hint="eastAsia" w:ascii="宋体" w:hAnsi="宋体"/>
          <w:b/>
          <w:sz w:val="24"/>
          <w:szCs w:val="24"/>
          <w:highlight w:val="none"/>
        </w:rPr>
        <w:t xml:space="preserve">技术要求响应及偏离表（采购包号：**）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p>
        </w:tc>
        <w:tc>
          <w:tcPr>
            <w:tcW w:w="2128"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654"/>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654"/>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2</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cs="宋体"/>
          <w:sz w:val="24"/>
          <w:szCs w:val="24"/>
          <w:highlight w:val="none"/>
        </w:rPr>
        <w:t xml:space="preserve">1.供应商需对磋商文件技术要求中的非实质性要求（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）逐条做</w:t>
      </w:r>
      <w:r>
        <w:rPr>
          <w:rFonts w:ascii="宋体" w:hAnsi="宋体"/>
          <w:sz w:val="24"/>
          <w:szCs w:val="24"/>
          <w:highlight w:val="none"/>
        </w:rPr>
        <w:t xml:space="preserve">出明确响应</w:t>
      </w:r>
      <w:r>
        <w:rPr>
          <w:rFonts w:hint="eastAsia" w:ascii="宋体" w:hAnsi="宋体"/>
          <w:sz w:val="24"/>
          <w:szCs w:val="24"/>
          <w:highlight w:val="none"/>
        </w:rPr>
        <w:t xml:space="preserve">。</w:t>
      </w:r>
      <w:r>
        <w:rPr>
          <w:rFonts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sz w:val="24"/>
          <w:szCs w:val="24"/>
          <w:highlight w:val="none"/>
        </w:rPr>
        <w:t xml:space="preserve">2.如果磋商</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供应商需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654"/>
        <w:ind w:left="480"/>
        <w:rPr>
          <w:rFonts w:ascii="宋体" w:hAnsi="宋体"/>
          <w:b/>
          <w:i/>
          <w:color w:val="ff0000"/>
          <w:sz w:val="24"/>
          <w:szCs w:val="21"/>
          <w:highlight w:val="none"/>
          <w:u w:val="single"/>
        </w:rPr>
      </w:pPr>
      <w:r>
        <w:rPr>
          <w:rFonts w:ascii="宋体" w:hAnsi="宋体"/>
          <w:b/>
          <w:i/>
          <w:color w:val="ff0000"/>
          <w:sz w:val="24"/>
          <w:szCs w:val="21"/>
          <w:highlight w:val="none"/>
          <w:u w:val="single"/>
        </w:rPr>
      </w:r>
      <w:r/>
    </w:p>
    <w:p>
      <w:pPr>
        <w:pStyle w:val="654"/>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商务要求响应及偏离表（采购包号：**）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w:t>
            </w:r>
            <w:r>
              <w:rPr>
                <w:rFonts w:hint="eastAsia" w:ascii="宋体" w:hAnsi="宋体"/>
                <w:sz w:val="24"/>
                <w:szCs w:val="24"/>
                <w:highlight w:val="none"/>
              </w:rPr>
            </w:r>
            <w:r/>
          </w:p>
        </w:tc>
        <w:tc>
          <w:tcPr>
            <w:tcW w:w="3191"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p>
        </w:tc>
        <w:tc>
          <w:tcPr>
            <w:tcW w:w="2128"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654"/>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654"/>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cs="宋体"/>
          <w:sz w:val="24"/>
          <w:szCs w:val="24"/>
          <w:highlight w:val="none"/>
        </w:rPr>
        <w:t xml:space="preserve">1.供应商需对磋商文件商务要求中的非实质性要求（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sz w:val="24"/>
          <w:szCs w:val="24"/>
          <w:highlight w:val="none"/>
        </w:rPr>
        <w:t xml:space="preserve">2.如果磋商</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供应商需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654"/>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54"/>
        <w:ind w:left="480"/>
        <w:rPr>
          <w:rFonts w:ascii="宋体" w:hAnsi="宋体"/>
          <w:b/>
          <w:color w:val="000000"/>
          <w:sz w:val="24"/>
          <w:szCs w:val="21"/>
          <w:highlight w:val="none"/>
        </w:rPr>
      </w:pPr>
      <w:r>
        <w:rPr>
          <w:rFonts w:ascii="宋体" w:hAnsi="宋体"/>
          <w:b/>
          <w:color w:val="000000"/>
          <w:sz w:val="24"/>
          <w:szCs w:val="21"/>
          <w:highlight w:val="none"/>
        </w:rPr>
      </w:r>
      <w:r/>
    </w:p>
    <w:p>
      <w:pPr>
        <w:pStyle w:val="654"/>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54"/>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4</w:t>
      </w:r>
      <w:r>
        <w:rPr>
          <w:rFonts w:hint="eastAsia" w:ascii="宋体" w:hAnsi="宋体"/>
          <w:b/>
          <w:color w:val="000000"/>
          <w:sz w:val="24"/>
          <w:szCs w:val="21"/>
          <w:highlight w:val="none"/>
        </w:rPr>
        <w:t xml:space="preserve"> 具备履行合同所必需的设备和专业技术能力的书面声明</w:t>
      </w:r>
      <w:r>
        <w:rPr>
          <w:rFonts w:hint="eastAsia" w:ascii="宋体" w:hAnsi="宋体"/>
          <w:b/>
          <w:color w:val="000000"/>
          <w:sz w:val="24"/>
          <w:szCs w:val="21"/>
          <w:highlight w:val="none"/>
        </w:rPr>
      </w:r>
      <w:r/>
    </w:p>
    <w:p>
      <w:pPr>
        <w:pStyle w:val="65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5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54"/>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ascii="宋体" w:hAnsi="宋体"/>
          <w:bCs/>
          <w:color w:val="000000"/>
          <w:sz w:val="24"/>
          <w:szCs w:val="21"/>
          <w:highlight w:val="none"/>
        </w:rPr>
      </w:r>
      <w:r/>
    </w:p>
    <w:p>
      <w:pPr>
        <w:pStyle w:val="654"/>
        <w:ind w:firstLine="492"/>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654"/>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 </w:t>
      </w:r>
      <w:r>
        <w:rPr>
          <w:rFonts w:hint="eastAsia" w:ascii="宋体" w:hAnsi="宋体"/>
          <w:b/>
          <w:color w:val="000000"/>
          <w:sz w:val="24"/>
          <w:szCs w:val="21"/>
          <w:highlight w:val="none"/>
        </w:rPr>
        <w:t xml:space="preserve">参加政府采购活动前 3 年内在经营活动中没有重大违法记录的书面声明</w:t>
      </w:r>
      <w:r>
        <w:rPr>
          <w:rFonts w:hint="eastAsia" w:ascii="宋体" w:hAnsi="宋体"/>
          <w:b/>
          <w:color w:val="000000"/>
          <w:sz w:val="24"/>
          <w:szCs w:val="21"/>
          <w:highlight w:val="none"/>
        </w:rPr>
      </w:r>
      <w:r/>
    </w:p>
    <w:p>
      <w:pPr>
        <w:pStyle w:val="654"/>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65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4"/>
        <w:rPr>
          <w:rFonts w:hint="eastAsia" w:ascii="宋体" w:hAnsi="宋体"/>
          <w:b/>
          <w:color w:val="000000"/>
          <w:sz w:val="24"/>
          <w:szCs w:val="21"/>
          <w:highlight w:val="none"/>
        </w:rPr>
      </w:pPr>
      <w:r/>
      <w:bookmarkEnd w:id="190"/>
      <w:r/>
      <w:bookmarkEnd w:id="191"/>
      <w:r/>
      <w:bookmarkEnd w:id="192"/>
      <w:r/>
      <w:bookmarkStart w:id="193" w:name="_Toc120614284"/>
      <w:r>
        <w:rPr>
          <w:rFonts w:hint="eastAsia" w:ascii="宋体" w:hAnsi="宋体"/>
          <w:b/>
          <w:color w:val="000000"/>
          <w:sz w:val="24"/>
          <w:szCs w:val="21"/>
          <w:highlight w:val="none"/>
        </w:rPr>
      </w:r>
      <w:r/>
    </w:p>
    <w:p>
      <w:pPr>
        <w:pStyle w:val="654"/>
        <w:jc w:val="center"/>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 法人授权书</w:t>
      </w:r>
      <w:r>
        <w:rPr>
          <w:rFonts w:hint="eastAsia" w:ascii="宋体" w:hAnsi="宋体"/>
          <w:b/>
          <w:color w:val="000000"/>
          <w:sz w:val="24"/>
          <w:szCs w:val="21"/>
          <w:highlight w:val="none"/>
        </w:rPr>
      </w:r>
      <w:r/>
    </w:p>
    <w:p>
      <w:pPr>
        <w:pStyle w:val="654"/>
        <w:ind w:firstLine="480"/>
        <w:spacing w:line="0" w:lineRule="atLeast"/>
        <w:tabs>
          <w:tab w:val="left" w:pos="360" w:leader="none"/>
        </w:tabs>
        <w:rPr>
          <w:rFonts w:hint="eastAsia"/>
          <w:sz w:val="24"/>
          <w:szCs w:val="24"/>
          <w:highlight w:val="none"/>
        </w:rPr>
      </w:pPr>
      <w:r>
        <w:rPr>
          <w:rFonts w:hint="eastAsia"/>
          <w:sz w:val="24"/>
          <w:szCs w:val="24"/>
          <w:highlight w:val="none"/>
        </w:rPr>
        <w:t xml:space="preserve">本授权书声明：____________（供应商名称）授权________________（被授权人的姓名）为我方就JSZC-</w:t>
      </w:r>
      <w:r>
        <w:rPr>
          <w:sz w:val="24"/>
          <w:szCs w:val="24"/>
          <w:highlight w:val="none"/>
        </w:rPr>
        <w:t xml:space="preserve">320000-</w:t>
      </w:r>
      <w:r>
        <w:rPr>
          <w:sz w:val="24"/>
          <w:szCs w:val="24"/>
          <w:highlight w:val="none"/>
          <w:u w:val="single"/>
        </w:rPr>
        <w:t xml:space="preserve">***</w:t>
      </w:r>
      <w:r>
        <w:rPr>
          <w:rFonts w:hint="eastAsia"/>
          <w:sz w:val="24"/>
          <w:szCs w:val="24"/>
          <w:highlight w:val="none"/>
          <w:u w:val="single"/>
        </w:rPr>
        <w:t xml:space="preserve">*</w:t>
      </w:r>
      <w:r>
        <w:rPr>
          <w:rFonts w:hint="eastAsia"/>
          <w:sz w:val="24"/>
          <w:szCs w:val="24"/>
          <w:highlight w:val="none"/>
        </w:rPr>
        <w:t xml:space="preserve">号项目采购活动的合法代理人，以本单位名义全权处理一切与该项目采购有关的事务。</w:t>
      </w:r>
      <w:r>
        <w:rPr>
          <w:rFonts w:hint="eastAsia"/>
          <w:sz w:val="24"/>
          <w:szCs w:val="24"/>
          <w:highlight w:val="none"/>
        </w:rPr>
      </w:r>
      <w:r/>
    </w:p>
    <w:p>
      <w:pPr>
        <w:pStyle w:val="654"/>
        <w:ind w:firstLine="480"/>
        <w:spacing w:line="0" w:lineRule="atLeast"/>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rPr>
          <w:rFonts w:hint="eastAsia"/>
          <w:sz w:val="24"/>
          <w:szCs w:val="24"/>
          <w:highlight w:val="none"/>
        </w:rPr>
      </w:r>
      <w:r/>
    </w:p>
    <w:p>
      <w:pPr>
        <w:pStyle w:val="654"/>
        <w:spacing w:line="0" w:lineRule="atLeast"/>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rFonts w:hint="eastAsia"/>
          <w:sz w:val="24"/>
          <w:szCs w:val="24"/>
          <w:highlight w:val="none"/>
          <w:u w:val="single"/>
        </w:rPr>
      </w:r>
      <w:r/>
    </w:p>
    <w:p>
      <w:pPr>
        <w:pStyle w:val="654"/>
        <w:ind w:firstLine="480"/>
        <w:spacing w:line="0" w:lineRule="atLeast"/>
        <w:tabs>
          <w:tab w:val="left" w:pos="360" w:leader="none"/>
        </w:tabs>
        <w:rPr>
          <w:sz w:val="24"/>
          <w:szCs w:val="24"/>
          <w:highlight w:val="none"/>
          <w:u w:val="single"/>
        </w:rPr>
      </w:pPr>
      <w:r>
        <w:rPr>
          <w:rFonts w:hint="eastAsia"/>
          <w:sz w:val="24"/>
          <w:szCs w:val="24"/>
          <w:highlight w:val="none"/>
        </w:rPr>
        <w:t xml:space="preserve">被授权人联系电话：（手机）</w:t>
      </w:r>
      <w:r>
        <w:rPr>
          <w:rFonts w:hint="eastAsia"/>
          <w:sz w:val="24"/>
          <w:szCs w:val="24"/>
          <w:highlight w:val="none"/>
          <w:u w:val="single"/>
        </w:rPr>
        <w:t xml:space="preserve">                          </w:t>
      </w:r>
      <w:r>
        <w:rPr>
          <w:sz w:val="24"/>
          <w:szCs w:val="24"/>
          <w:highlight w:val="none"/>
          <w:u w:val="single"/>
        </w:rPr>
      </w:r>
      <w:r/>
    </w:p>
    <w:p>
      <w:pPr>
        <w:pStyle w:val="654"/>
        <w:ind w:firstLine="480"/>
        <w:spacing w:line="0" w:lineRule="atLeast"/>
        <w:tabs>
          <w:tab w:val="left" w:pos="360" w:leader="none"/>
        </w:tabs>
        <w:rPr>
          <w:color w:val="ff0000"/>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rPr>
          <w:color w:val="ff0000"/>
          <w:sz w:val="24"/>
          <w:szCs w:val="24"/>
          <w:highlight w:val="none"/>
          <w:u w:val="single"/>
        </w:rPr>
      </w:r>
      <w:r/>
    </w:p>
    <w:p>
      <w:pPr>
        <w:pStyle w:val="654"/>
        <w:ind w:firstLine="480"/>
        <w:spacing w:line="0" w:lineRule="atLeast"/>
        <w:tabs>
          <w:tab w:val="left" w:pos="360" w:leader="none"/>
        </w:tabs>
        <w:rPr>
          <w:rFonts w:hint="eastAsia"/>
          <w:sz w:val="24"/>
          <w:szCs w:val="24"/>
          <w:highlight w:val="none"/>
          <w:u w:val="singl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u w:val="single"/>
        </w:rPr>
      </w:r>
      <w:r/>
    </w:p>
    <w:p>
      <w:pPr>
        <w:pStyle w:val="654"/>
        <w:ind w:firstLine="480"/>
        <w:spacing w:line="0" w:lineRule="atLeast"/>
        <w:tabs>
          <w:tab w:val="left" w:pos="360" w:leader="none"/>
        </w:tabs>
        <w:rPr>
          <w:rFonts w:hint="eastAsia"/>
          <w:sz w:val="24"/>
          <w:szCs w:val="24"/>
          <w:highlight w:val="none"/>
          <w:u w:val="single"/>
        </w:rPr>
      </w:pPr>
      <w:r>
        <w:rPr>
          <w:rFonts w:hint="eastAsia"/>
          <w:sz w:val="24"/>
          <w:szCs w:val="24"/>
          <w:highlight w:val="none"/>
        </w:rPr>
        <w:t xml:space="preserve">单位地址：</w:t>
      </w:r>
      <w:r>
        <w:rPr>
          <w:rFonts w:hint="eastAsia"/>
          <w:sz w:val="24"/>
          <w:szCs w:val="24"/>
          <w:highlight w:val="none"/>
          <w:u w:val="single"/>
        </w:rPr>
        <w:t xml:space="preserve">                                         </w:t>
      </w:r>
      <w:r>
        <w:rPr>
          <w:rFonts w:hint="eastAsia"/>
          <w:sz w:val="24"/>
          <w:szCs w:val="24"/>
          <w:highlight w:val="none"/>
          <w:u w:val="single"/>
        </w:rPr>
      </w:r>
      <w:r/>
    </w:p>
    <w:p>
      <w:pPr>
        <w:pStyle w:val="654"/>
        <w:ind w:firstLine="480"/>
        <w:spacing w:line="0" w:lineRule="atLeast"/>
        <w:tabs>
          <w:tab w:val="left" w:pos="360" w:leader="none"/>
        </w:tabs>
        <w:rPr>
          <w:sz w:val="24"/>
          <w:szCs w:val="24"/>
          <w:highlight w:val="none"/>
          <w:u w:val="single"/>
        </w:rPr>
      </w:pPr>
      <w:r>
        <w:rPr>
          <w:rFonts w:hint="eastAsia"/>
          <w:sz w:val="24"/>
          <w:szCs w:val="24"/>
          <w:highlight w:val="none"/>
        </w:rPr>
        <w:t xml:space="preserve">日期：</w:t>
      </w:r>
      <w:bookmarkStart w:id="194" w:name="_Hlt26955070"/>
      <w:r/>
      <w:bookmarkEnd w:id="194"/>
      <w:r/>
      <w:bookmarkStart w:id="195" w:name="_Hlt26671380"/>
      <w:r/>
      <w:bookmarkEnd w:id="195"/>
      <w:r/>
      <w:bookmarkStart w:id="196" w:name="_格式3__银行出具的资信证明"/>
      <w:r/>
      <w:bookmarkEnd w:id="196"/>
      <w:r>
        <w:rPr>
          <w:rFonts w:hint="eastAsia"/>
          <w:sz w:val="24"/>
          <w:szCs w:val="24"/>
          <w:highlight w:val="none"/>
          <w:u w:val="single"/>
        </w:rPr>
        <w:t xml:space="preserve">                                         </w:t>
      </w:r>
      <w:r>
        <w:rPr>
          <w:sz w:val="24"/>
          <w:szCs w:val="24"/>
          <w:highlight w:val="none"/>
          <w:u w:val="single"/>
        </w:rPr>
      </w:r>
      <w:r/>
    </w:p>
    <w:p>
      <w:pPr>
        <w:pStyle w:val="654"/>
        <w:ind w:firstLine="360"/>
        <w:spacing w:line="0" w:lineRule="atLeast"/>
        <w:rPr>
          <w:rFonts w:ascii="宋体" w:hAnsi="宋体"/>
          <w:sz w:val="24"/>
          <w:szCs w:val="24"/>
          <w:highlight w:val="none"/>
        </w:rPr>
      </w:pPr>
      <w:r>
        <w:rPr>
          <w:rFonts w:ascii="宋体" w:hAnsi="宋体"/>
          <w:sz w:val="24"/>
          <w:szCs w:val="24"/>
          <w:highlight w:val="none"/>
        </w:rPr>
      </w:r>
      <w:r/>
    </w:p>
    <w:p>
      <w:pPr>
        <w:pStyle w:val="654"/>
        <w:ind w:firstLine="480"/>
        <w:tabs>
          <w:tab w:val="left" w:pos="360" w:leader="none"/>
        </w:tabs>
        <w:rPr>
          <w:sz w:val="24"/>
          <w:szCs w:val="24"/>
          <w:highlight w:val="none"/>
          <w:u w:val="single"/>
        </w:rPr>
      </w:pPr>
      <w:r>
        <w:rPr>
          <w:sz w:val="24"/>
          <w:szCs w:val="24"/>
          <w:highlight w:val="none"/>
          <w:u w:val="single"/>
        </w:rPr>
      </w:r>
      <w:r/>
    </w:p>
    <w:p>
      <w:pPr>
        <w:pStyle w:val="654"/>
        <w:ind w:firstLine="480"/>
        <w:tabs>
          <w:tab w:val="left" w:pos="360" w:leader="none"/>
        </w:tabs>
        <w:rPr>
          <w:rFonts w:hint="eastAsia"/>
          <w:sz w:val="24"/>
          <w:szCs w:val="24"/>
          <w:highlight w:val="none"/>
        </w:rPr>
      </w:pPr>
      <w:r>
        <w:rPr>
          <w:rFonts w:hint="eastAsia"/>
          <w:sz w:val="24"/>
          <w:szCs w:val="24"/>
          <w:highlight w:val="none"/>
        </w:rPr>
      </w:r>
      <w:r/>
    </w:p>
    <w:p>
      <w:pPr>
        <w:pStyle w:val="654"/>
        <w:ind w:firstLine="480"/>
        <w:tabs>
          <w:tab w:val="left" w:pos="360" w:leader="none"/>
        </w:tabs>
        <w:rPr>
          <w:rFonts w:hint="eastAsia"/>
          <w:sz w:val="24"/>
          <w:szCs w:val="24"/>
          <w:highlight w:val="none"/>
        </w:rPr>
      </w:pPr>
      <w:r>
        <w:rPr>
          <w:rFonts w:hint="eastAsia"/>
          <w:sz w:val="24"/>
          <w:szCs w:val="24"/>
          <w:highlight w:val="none"/>
        </w:rPr>
      </w:r>
      <w:r/>
    </w:p>
    <w:p>
      <w:pPr>
        <w:pStyle w:val="654"/>
        <w:ind w:firstLine="480"/>
        <w:tabs>
          <w:tab w:val="left" w:pos="360" w:leader="none"/>
        </w:tabs>
        <w:rPr>
          <w:rFonts w:hint="eastAsia"/>
          <w:sz w:val="24"/>
          <w:szCs w:val="24"/>
          <w:highlight w:val="none"/>
        </w:rPr>
      </w:pPr>
      <w:r>
        <w:rPr>
          <w:rFonts w:hint="eastAsia"/>
          <w:sz w:val="24"/>
          <w:szCs w:val="24"/>
          <w:highlight w:val="none"/>
        </w:rPr>
      </w:r>
      <w:r/>
    </w:p>
    <w:p>
      <w:pPr>
        <w:pStyle w:val="654"/>
        <w:ind w:firstLine="420"/>
        <w:rPr>
          <w:rFonts w:hint="eastAsia"/>
          <w:i/>
          <w:sz w:val="24"/>
          <w:szCs w:val="24"/>
          <w:highlight w:val="none"/>
          <w:u w:val="single"/>
        </w:rPr>
      </w:pPr>
      <w:r>
        <w:rPr>
          <w:rFonts w:hint="eastAsia"/>
          <w:i/>
          <w:sz w:val="24"/>
          <w:szCs w:val="24"/>
          <w:highlight w:val="none"/>
          <w:u w:val="singl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rPr>
          <w:rFonts w:hint="eastAsia"/>
          <w:szCs w:val="21"/>
          <w:highlight w:val="none"/>
        </w:rPr>
      </w:pPr>
      <w:r>
        <w:rPr>
          <w:rFonts w:hint="eastAsia"/>
          <w:szCs w:val="21"/>
          <w:highlight w:val="none"/>
        </w:rPr>
      </w:r>
      <w:r/>
    </w:p>
    <w:p>
      <w:pPr>
        <w:pStyle w:val="654"/>
        <w:jc w:val="center"/>
        <w:rPr>
          <w:rFonts w:ascii="黑体" w:hAnsi="黑体" w:eastAsia="黑体"/>
          <w:b/>
          <w:i/>
          <w:sz w:val="32"/>
          <w:szCs w:val="32"/>
          <w:highlight w:val="none"/>
          <w:u w:val="singl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磋商响应函</w:t>
      </w:r>
      <w:r>
        <w:rPr>
          <w:rFonts w:ascii="黑体" w:hAnsi="黑体" w:eastAsia="黑体"/>
          <w:b/>
          <w:i/>
          <w:sz w:val="32"/>
          <w:szCs w:val="32"/>
          <w:highlight w:val="none"/>
          <w:u w:val="single"/>
        </w:rPr>
      </w:r>
      <w:r/>
    </w:p>
    <w:p>
      <w:pPr>
        <w:pStyle w:val="654"/>
        <w:jc w:val="left"/>
        <w:spacing w:line="420" w:lineRule="exact"/>
        <w:rPr>
          <w:rFonts w:ascii="宋体" w:hAnsi="宋体"/>
          <w:sz w:val="24"/>
          <w:szCs w:val="21"/>
          <w:highlight w:val="none"/>
        </w:rPr>
      </w:pPr>
      <w:r>
        <w:rPr>
          <w:rFonts w:hint="eastAsia" w:ascii="宋体" w:hAnsi="宋体"/>
          <w:sz w:val="24"/>
          <w:szCs w:val="21"/>
          <w:highlight w:val="none"/>
        </w:rPr>
        <w:t xml:space="preserve">致：江苏省政府采购中心</w:t>
      </w:r>
      <w:r>
        <w:rPr>
          <w:rFonts w:ascii="宋体" w:hAnsi="宋体"/>
          <w:sz w:val="24"/>
          <w:szCs w:val="21"/>
          <w:highlight w:val="none"/>
        </w:rPr>
      </w:r>
      <w:r/>
    </w:p>
    <w:p>
      <w:pPr>
        <w:pStyle w:val="65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320000-</w:t>
      </w:r>
      <w:r>
        <w:rPr>
          <w:rFonts w:ascii="宋体" w:hAnsi="宋体"/>
          <w:sz w:val="24"/>
          <w:szCs w:val="21"/>
          <w:highlight w:val="none"/>
          <w:u w:val="single"/>
        </w:rPr>
        <w:t xml:space="preserve">****</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rPr>
          <w:rFonts w:hint="eastAsia" w:ascii="宋体" w:hAnsi="宋体"/>
          <w:sz w:val="24"/>
          <w:szCs w:val="21"/>
          <w:highlight w:val="none"/>
        </w:rPr>
      </w:r>
      <w:r/>
    </w:p>
    <w:p>
      <w:pPr>
        <w:pStyle w:val="65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rPr>
          <w:rFonts w:hint="eastAsia" w:ascii="宋体" w:hAnsi="宋体"/>
          <w:sz w:val="24"/>
          <w:szCs w:val="21"/>
          <w:highlight w:val="none"/>
        </w:rPr>
      </w:r>
      <w:r/>
    </w:p>
    <w:p>
      <w:pPr>
        <w:pStyle w:val="65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rPr>
          <w:rFonts w:hint="eastAsia" w:ascii="宋体" w:hAnsi="宋体"/>
          <w:sz w:val="24"/>
          <w:szCs w:val="21"/>
          <w:highlight w:val="none"/>
        </w:rPr>
      </w:r>
      <w:r/>
    </w:p>
    <w:p>
      <w:pPr>
        <w:pStyle w:val="65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65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rFonts w:hint="eastAsia" w:ascii="宋体" w:hAnsi="宋体"/>
          <w:sz w:val="24"/>
          <w:szCs w:val="21"/>
          <w:highlight w:val="none"/>
        </w:rPr>
      </w:r>
      <w:r/>
    </w:p>
    <w:p>
      <w:pPr>
        <w:pStyle w:val="65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rPr>
          <w:rFonts w:hint="eastAsia" w:ascii="宋体" w:hAnsi="宋体"/>
          <w:sz w:val="24"/>
          <w:szCs w:val="21"/>
          <w:highlight w:val="none"/>
        </w:rPr>
      </w:r>
      <w:r/>
    </w:p>
    <w:p>
      <w:pPr>
        <w:pStyle w:val="654"/>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sz w:val="24"/>
          <w:szCs w:val="21"/>
          <w:highlight w:val="none"/>
        </w:rPr>
      </w:r>
      <w:r/>
    </w:p>
    <w:p>
      <w:pPr>
        <w:pStyle w:val="654"/>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sz w:val="24"/>
          <w:szCs w:val="21"/>
          <w:highlight w:val="none"/>
        </w:rPr>
      </w:r>
      <w:r/>
    </w:p>
    <w:p>
      <w:pPr>
        <w:pStyle w:val="654"/>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rPr>
          <w:rFonts w:hint="eastAsia" w:ascii="宋体" w:hAnsi="宋体"/>
          <w:sz w:val="24"/>
          <w:szCs w:val="21"/>
          <w:highlight w:val="none"/>
        </w:rPr>
      </w:r>
      <w:r/>
    </w:p>
    <w:p>
      <w:pPr>
        <w:pStyle w:val="65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65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65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65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65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rPr>
          <w:rFonts w:hint="eastAsia" w:ascii="宋体" w:hAnsi="宋体"/>
          <w:sz w:val="24"/>
          <w:szCs w:val="21"/>
          <w:highlight w:val="none"/>
        </w:rPr>
      </w:r>
      <w:r/>
    </w:p>
    <w:p>
      <w:pPr>
        <w:pStyle w:val="65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rPr>
          <w:rFonts w:hint="eastAsia" w:ascii="宋体" w:hAnsi="宋体"/>
          <w:sz w:val="24"/>
          <w:szCs w:val="21"/>
          <w:highlight w:val="none"/>
        </w:rPr>
      </w:r>
      <w:r/>
    </w:p>
    <w:p>
      <w:pPr>
        <w:pStyle w:val="65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rPr>
          <w:rFonts w:hint="eastAsia" w:ascii="宋体" w:hAnsi="宋体"/>
          <w:sz w:val="24"/>
          <w:szCs w:val="21"/>
          <w:highlight w:val="none"/>
        </w:rPr>
      </w:r>
      <w:r/>
    </w:p>
    <w:p>
      <w:pPr>
        <w:pStyle w:val="654"/>
        <w:spacing w:line="560" w:lineRule="exact"/>
        <w:rPr>
          <w:rFonts w:hint="eastAsia" w:ascii="黑体" w:hAnsi="黑体" w:eastAsia="黑体"/>
          <w:b/>
          <w:color w:val="ff0000"/>
          <w:sz w:val="32"/>
          <w:szCs w:val="32"/>
          <w:highlight w:val="none"/>
        </w:rPr>
      </w:pPr>
      <w:r>
        <w:rPr>
          <w:rFonts w:hint="eastAsia" w:ascii="黑体" w:hAnsi="黑体" w:eastAsia="黑体"/>
          <w:b/>
          <w:color w:val="ff0000"/>
          <w:sz w:val="32"/>
          <w:szCs w:val="32"/>
          <w:highlight w:val="none"/>
        </w:rPr>
      </w:r>
      <w:r/>
    </w:p>
    <w:p>
      <w:pPr>
        <w:pStyle w:val="654"/>
        <w:spacing w:line="460" w:lineRule="exact"/>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rPr>
      </w:r>
      <w:r/>
    </w:p>
    <w:p>
      <w:pPr>
        <w:pStyle w:val="654"/>
        <w:spacing w:line="460" w:lineRule="exact"/>
        <w:rPr>
          <w:rFonts w:hint="eastAsia" w:ascii="宋体" w:hAnsi="宋体"/>
          <w:sz w:val="24"/>
          <w:szCs w:val="24"/>
          <w:highlight w:val="none"/>
        </w:rPr>
      </w:pPr>
      <w:r>
        <w:rPr>
          <w:rFonts w:hint="eastAsia" w:ascii="宋体" w:hAnsi="宋体"/>
          <w:sz w:val="24"/>
          <w:szCs w:val="24"/>
          <w:highlight w:val="none"/>
        </w:rPr>
      </w:r>
      <w:r/>
    </w:p>
    <w:p>
      <w:pPr>
        <w:pStyle w:val="654"/>
        <w:spacing w:line="460" w:lineRule="exact"/>
        <w:rPr>
          <w:rFonts w:hint="eastAsia" w:ascii="宋体" w:hAnsi="宋体"/>
          <w:sz w:val="24"/>
          <w:szCs w:val="24"/>
          <w:highlight w:val="none"/>
        </w:rPr>
      </w:pPr>
      <w:r>
        <w:rPr>
          <w:rFonts w:hint="eastAsia" w:ascii="宋体" w:hAnsi="宋体"/>
          <w:sz w:val="24"/>
          <w:szCs w:val="24"/>
          <w:highlight w:val="none"/>
        </w:rPr>
      </w:r>
      <w:r/>
    </w:p>
    <w:p>
      <w:pPr>
        <w:pStyle w:val="654"/>
        <w:spacing w:line="460" w:lineRule="exact"/>
        <w:rPr>
          <w:rFonts w:hint="eastAsia" w:ascii="宋体" w:hAnsi="宋体"/>
          <w:sz w:val="24"/>
          <w:szCs w:val="24"/>
          <w:highlight w:val="none"/>
        </w:rPr>
      </w:pPr>
      <w:r>
        <w:rPr>
          <w:rFonts w:hint="eastAsia" w:ascii="宋体" w:hAnsi="宋体"/>
          <w:sz w:val="24"/>
          <w:szCs w:val="24"/>
          <w:highlight w:val="none"/>
        </w:rPr>
      </w:r>
      <w:r/>
    </w:p>
    <w:p>
      <w:pPr>
        <w:pStyle w:val="654"/>
        <w:spacing w:line="460" w:lineRule="exact"/>
        <w:rPr>
          <w:rFonts w:hint="eastAsia" w:ascii="宋体" w:hAnsi="宋体"/>
          <w:sz w:val="24"/>
          <w:szCs w:val="24"/>
          <w:highlight w:val="none"/>
        </w:rPr>
      </w:pPr>
      <w:r>
        <w:rPr>
          <w:rFonts w:hint="eastAsia" w:ascii="宋体" w:hAnsi="宋体"/>
          <w:sz w:val="24"/>
          <w:szCs w:val="24"/>
          <w:highlight w:val="none"/>
        </w:rPr>
      </w:r>
      <w:r/>
    </w:p>
    <w:p>
      <w:pPr>
        <w:pStyle w:val="660"/>
        <w:numPr>
          <w:ilvl w:val="0"/>
          <w:numId w:val="0"/>
        </w:numPr>
        <w:rPr>
          <w:rFonts w:hint="eastAsia"/>
          <w:highlight w:val="none"/>
        </w:rPr>
      </w:pPr>
      <w:r>
        <w:rPr>
          <w:rFonts w:hint="eastAsia"/>
          <w:highlight w:val="none"/>
        </w:rPr>
      </w:r>
      <w:r/>
    </w:p>
    <w:p>
      <w:pPr>
        <w:pStyle w:val="654"/>
        <w:jc w:val="center"/>
        <w:rPr>
          <w:rFonts w:hint="eastAsia" w:ascii="黑体" w:hAnsi="黑体" w:eastAsia="黑体"/>
          <w:b/>
          <w:sz w:val="32"/>
          <w:szCs w:val="32"/>
          <w:highlight w:val="none"/>
        </w:rPr>
      </w:pPr>
      <w:r>
        <w:rPr>
          <w:rFonts w:hint="eastAsia" w:ascii="宋体" w:hAnsi="宋体"/>
          <w:b/>
          <w:sz w:val="24"/>
          <w:szCs w:val="21"/>
          <w:highlight w:val="none"/>
        </w:rPr>
        <w:t xml:space="preserve">附件</w:t>
      </w:r>
      <w:r>
        <w:rPr>
          <w:rFonts w:ascii="宋体" w:hAnsi="宋体"/>
          <w:b/>
          <w:sz w:val="24"/>
          <w:szCs w:val="21"/>
          <w:highlight w:val="none"/>
        </w:rPr>
        <w:t xml:space="preserve">8</w:t>
      </w:r>
      <w:r>
        <w:rPr>
          <w:rFonts w:hint="eastAsia" w:ascii="宋体" w:hAnsi="宋体"/>
          <w:b/>
          <w:sz w:val="24"/>
          <w:szCs w:val="21"/>
          <w:highlight w:val="none"/>
        </w:rPr>
        <w:t xml:space="preserve"> 中小微企业声明函（服务类</w:t>
      </w:r>
      <w:r>
        <w:rPr>
          <w:rFonts w:ascii="宋体" w:hAnsi="宋体"/>
          <w:b/>
          <w:sz w:val="24"/>
          <w:szCs w:val="21"/>
          <w:highlight w:val="none"/>
        </w:rPr>
        <w:t xml:space="preserve">项目</w:t>
      </w:r>
      <w:r>
        <w:rPr>
          <w:rFonts w:hint="eastAsia" w:ascii="宋体" w:hAnsi="宋体"/>
          <w:b/>
          <w:sz w:val="24"/>
          <w:szCs w:val="21"/>
          <w:highlight w:val="none"/>
        </w:rPr>
        <w:t xml:space="preserve">）（采购包号：**）</w:t>
      </w:r>
      <w:r>
        <w:rPr>
          <w:rFonts w:hint="eastAsia" w:ascii="黑体" w:hAnsi="黑体" w:eastAsia="黑体"/>
          <w:b/>
          <w:sz w:val="32"/>
          <w:szCs w:val="32"/>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1"/>
          <w:highlight w:val="none"/>
        </w:rPr>
        <w:t xml:space="preserve">JSZC-</w:t>
      </w:r>
      <w:r>
        <w:rPr>
          <w:rFonts w:ascii="宋体" w:hAnsi="宋体"/>
          <w:sz w:val="24"/>
          <w:szCs w:val="21"/>
          <w:highlight w:val="none"/>
        </w:rPr>
        <w:t xml:space="preserve">320000-</w:t>
      </w:r>
      <w:r>
        <w:rPr>
          <w:rFonts w:ascii="宋体" w:hAnsi="宋体"/>
          <w:sz w:val="24"/>
          <w:szCs w:val="21"/>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（项目名称）（采购包号：**）</w:t>
      </w:r>
      <w:r>
        <w:rPr>
          <w:rFonts w:hint="eastAsia" w:ascii="宋体" w:hAnsi="宋体"/>
          <w:sz w:val="24"/>
          <w:szCs w:val="24"/>
          <w:highlight w:val="none"/>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highlight w:val="none"/>
        </w:rPr>
      </w:r>
      <w:r/>
    </w:p>
    <w:p>
      <w:pPr>
        <w:pStyle w:val="654"/>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w:t>
      </w:r>
      <w:r>
        <w:rPr>
          <w:rFonts w:hint="eastAsia" w:ascii="宋体" w:hAnsi="宋体"/>
          <w:sz w:val="24"/>
          <w:szCs w:val="24"/>
          <w:highlight w:val="none"/>
          <w:u w:val="single"/>
        </w:rPr>
        <w:t xml:space="preserve">（供应商填写磋商文件中明确的所属行业）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654"/>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（供应商填写磋商文件中明确的所属行业）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65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654"/>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654"/>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p>
    <w:p>
      <w:pPr>
        <w:pStyle w:val="654"/>
        <w:ind w:right="480" w:firstLine="54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654"/>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pStyle w:val="65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rPr>
          <w:rFonts w:hint="eastAsia" w:ascii="宋体" w:hAnsi="宋体"/>
          <w:sz w:val="24"/>
          <w:szCs w:val="24"/>
          <w:highlight w:val="none"/>
        </w:rPr>
      </w:r>
      <w:r/>
    </w:p>
    <w:p>
      <w:pPr>
        <w:pStyle w:val="654"/>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rPr>
          <w:rFonts w:ascii="宋体" w:hAnsi="宋体"/>
          <w:sz w:val="24"/>
          <w:szCs w:val="24"/>
          <w:highlight w:val="none"/>
        </w:rPr>
      </w:r>
      <w:r/>
    </w:p>
    <w:p>
      <w:pPr>
        <w:pStyle w:val="654"/>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rPr>
          <w:rFonts w:ascii="宋体" w:hAnsi="宋体"/>
          <w:sz w:val="24"/>
          <w:szCs w:val="24"/>
          <w:highlight w:val="none"/>
        </w:rPr>
      </w:r>
      <w:r/>
    </w:p>
    <w:p>
      <w:pPr>
        <w:pStyle w:val="654"/>
        <w:spacing w:line="400" w:lineRule="exact"/>
        <w:rPr>
          <w:rFonts w:ascii="黑体" w:hAnsi="黑体" w:eastAsia="黑体"/>
          <w:b/>
          <w:sz w:val="32"/>
          <w:szCs w:val="32"/>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黑体" w:hAnsi="黑体" w:eastAsia="黑体"/>
          <w:b/>
          <w:sz w:val="32"/>
          <w:szCs w:val="32"/>
          <w:highlight w:val="none"/>
        </w:rPr>
      </w:r>
      <w:r/>
    </w:p>
    <w:p>
      <w:pPr>
        <w:pStyle w:val="654"/>
        <w:spacing w:line="400" w:lineRule="exact"/>
        <w:rPr>
          <w:rFonts w:ascii="黑体" w:hAnsi="黑体" w:eastAsia="黑体"/>
          <w:b/>
          <w:sz w:val="32"/>
          <w:szCs w:val="32"/>
          <w:highlight w:val="none"/>
        </w:rPr>
      </w:pPr>
      <w:r>
        <w:rPr>
          <w:rFonts w:ascii="黑体" w:hAnsi="黑体" w:eastAsia="黑体"/>
          <w:b/>
          <w:sz w:val="32"/>
          <w:szCs w:val="32"/>
          <w:highlight w:val="none"/>
        </w:rPr>
      </w:r>
      <w:r/>
    </w:p>
    <w:p>
      <w:pPr>
        <w:pStyle w:val="654"/>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54"/>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54"/>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54"/>
        <w:spacing w:line="588" w:lineRule="exact"/>
        <w:rPr>
          <w:rFonts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9</w:t>
      </w:r>
      <w:r>
        <w:rPr>
          <w:rFonts w:hint="eastAsia" w:ascii="宋体" w:hAnsi="宋体"/>
          <w:b/>
          <w:color w:val="000000"/>
          <w:sz w:val="24"/>
          <w:szCs w:val="24"/>
          <w:highlight w:val="none"/>
        </w:rPr>
        <w:t xml:space="preserve"> 残疾人福利性单位声明函</w:t>
      </w:r>
      <w:r>
        <w:rPr>
          <w:rFonts w:hint="eastAsia" w:ascii="宋体" w:hAnsi="宋体"/>
          <w:b/>
          <w:sz w:val="24"/>
          <w:szCs w:val="21"/>
          <w:highlight w:val="none"/>
        </w:rPr>
        <w:t xml:space="preserve">（服务类</w:t>
      </w:r>
      <w:r>
        <w:rPr>
          <w:rFonts w:ascii="宋体" w:hAnsi="宋体"/>
          <w:b/>
          <w:sz w:val="24"/>
          <w:szCs w:val="21"/>
          <w:highlight w:val="none"/>
        </w:rPr>
        <w:t xml:space="preserve">项目</w:t>
      </w:r>
      <w:r>
        <w:rPr>
          <w:rFonts w:hint="eastAsia" w:ascii="宋体" w:hAnsi="宋体"/>
          <w:b/>
          <w:sz w:val="24"/>
          <w:szCs w:val="21"/>
          <w:highlight w:val="none"/>
        </w:rPr>
        <w:t xml:space="preserve">）</w:t>
      </w:r>
      <w:r>
        <w:rPr>
          <w:rFonts w:hint="eastAsia" w:ascii="宋体" w:hAnsi="宋体"/>
          <w:b/>
          <w:color w:val="000000"/>
          <w:sz w:val="24"/>
          <w:szCs w:val="24"/>
          <w:highlight w:val="none"/>
        </w:rPr>
        <w:t xml:space="preserve">（采购包号：**）</w:t>
      </w:r>
      <w:r>
        <w:rPr>
          <w:rFonts w:ascii="宋体" w:hAnsi="宋体"/>
          <w:b/>
          <w:color w:val="000000"/>
          <w:sz w:val="24"/>
          <w:szCs w:val="24"/>
          <w:highlight w:val="none"/>
        </w:rPr>
      </w:r>
      <w:r/>
    </w:p>
    <w:p>
      <w:pPr>
        <w:pStyle w:val="654"/>
        <w:ind w:firstLine="480"/>
        <w:spacing w:line="0" w:lineRule="atLeast"/>
        <w:rPr>
          <w:rFonts w:hint="eastAsia"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宋体" w:hAnsi="宋体"/>
          <w:sz w:val="24"/>
          <w:szCs w:val="21"/>
          <w:highlight w:val="none"/>
        </w:rPr>
        <w:t xml:space="preserve">320000-</w:t>
      </w:r>
      <w:r>
        <w:rPr>
          <w:rFonts w:ascii="宋体" w:hAnsi="宋体"/>
          <w:sz w:val="24"/>
          <w:szCs w:val="21"/>
          <w:highlight w:val="none"/>
          <w:u w:val="single"/>
        </w:rPr>
        <w:t xml:space="preserve">****</w:t>
      </w:r>
      <w:r>
        <w:rPr>
          <w:rFonts w:hint="eastAsia" w:ascii="宋体" w:hAnsi="宋体"/>
          <w:sz w:val="24"/>
          <w:szCs w:val="21"/>
          <w:highlight w:val="none"/>
        </w:rPr>
        <w:t xml:space="preserve">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项目（采购包号：**）采购活动由本单位提供服务。</w:t>
      </w:r>
      <w:r>
        <w:rPr>
          <w:rFonts w:hint="eastAsia" w:ascii="宋体" w:hAnsi="宋体"/>
          <w:sz w:val="24"/>
          <w:szCs w:val="21"/>
          <w:highlight w:val="none"/>
        </w:rPr>
      </w:r>
      <w:r/>
    </w:p>
    <w:p>
      <w:pPr>
        <w:pStyle w:val="654"/>
        <w:ind w:firstLine="480"/>
        <w:spacing w:line="0" w:lineRule="atLeas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rPr>
          <w:rFonts w:ascii="宋体" w:hAnsi="宋体"/>
          <w:sz w:val="24"/>
          <w:szCs w:val="21"/>
          <w:highlight w:val="none"/>
        </w:rPr>
      </w:r>
      <w:r/>
    </w:p>
    <w:p>
      <w:pPr>
        <w:pStyle w:val="654"/>
        <w:ind w:firstLine="480"/>
        <w:spacing w:line="0" w:lineRule="atLeast"/>
        <w:rPr>
          <w:rFonts w:hint="eastAsia" w:ascii="宋体" w:hAnsi="宋体"/>
          <w:sz w:val="24"/>
          <w:szCs w:val="21"/>
          <w:highlight w:val="none"/>
        </w:rPr>
      </w:pPr>
      <w:r>
        <w:rPr>
          <w:rFonts w:hint="eastAsia" w:ascii="宋体" w:hAnsi="宋体"/>
          <w:sz w:val="24"/>
          <w:szCs w:val="21"/>
          <w:highlight w:val="none"/>
        </w:rPr>
      </w:r>
      <w:r/>
    </w:p>
    <w:p>
      <w:pPr>
        <w:pStyle w:val="654"/>
        <w:ind w:firstLine="480"/>
        <w:spacing w:line="0" w:lineRule="atLeast"/>
        <w:rPr>
          <w:rFonts w:ascii="宋体" w:hAnsi="宋体"/>
          <w:sz w:val="24"/>
          <w:szCs w:val="21"/>
          <w:highlight w:val="none"/>
        </w:rPr>
      </w:pPr>
      <w:r>
        <w:rPr>
          <w:rFonts w:hint="eastAsia" w:ascii="宋体" w:hAnsi="宋体"/>
          <w:sz w:val="24"/>
          <w:szCs w:val="21"/>
          <w:highlight w:val="none"/>
        </w:rPr>
        <w:t xml:space="preserve">备注：</w:t>
      </w:r>
      <w:r>
        <w:rPr>
          <w:rFonts w:ascii="宋体" w:hAnsi="宋体"/>
          <w:sz w:val="24"/>
          <w:szCs w:val="21"/>
          <w:highlight w:val="none"/>
        </w:rPr>
      </w:r>
      <w:r/>
    </w:p>
    <w:p>
      <w:pPr>
        <w:pStyle w:val="654"/>
        <w:ind w:firstLine="480"/>
        <w:spacing w:line="0" w:lineRule="atLeas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，供应商为残疾人福利性单位并提供服务的必须提供此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rPr>
          <w:rFonts w:ascii="宋体" w:hAnsi="宋体"/>
          <w:sz w:val="24"/>
          <w:szCs w:val="21"/>
          <w:highlight w:val="none"/>
        </w:rPr>
      </w:r>
      <w:r/>
    </w:p>
    <w:p>
      <w:pPr>
        <w:pStyle w:val="654"/>
        <w:ind w:firstLine="480"/>
        <w:spacing w:line="0" w:lineRule="atLeast"/>
        <w:rPr>
          <w:rFonts w:ascii="宋体" w:hAnsi="宋体"/>
          <w:sz w:val="24"/>
          <w:szCs w:val="21"/>
          <w:highlight w:val="none"/>
        </w:rPr>
      </w:pPr>
      <w:r>
        <w:rPr>
          <w:rFonts w:hint="eastAsia" w:ascii="宋体" w:hAnsi="宋体"/>
          <w:sz w:val="24"/>
          <w:szCs w:val="21"/>
          <w:highlight w:val="none"/>
        </w:rPr>
        <w:t xml:space="preserve">2. 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rPr>
          <w:rFonts w:ascii="宋体" w:hAnsi="宋体"/>
          <w:sz w:val="24"/>
          <w:szCs w:val="21"/>
          <w:highlight w:val="none"/>
        </w:rPr>
      </w:r>
      <w:r/>
    </w:p>
    <w:p>
      <w:pPr>
        <w:pStyle w:val="654"/>
        <w:ind w:firstLine="480"/>
        <w:spacing w:line="0" w:lineRule="atLeas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w:t>
      </w:r>
      <w:r>
        <w:rPr>
          <w:rFonts w:hint="eastAsia" w:ascii="宋体" w:hAnsi="宋体"/>
          <w:sz w:val="24"/>
          <w:highlight w:val="none"/>
        </w:rPr>
        <w:t xml:space="preserve">/成交</w:t>
      </w:r>
      <w:r>
        <w:rPr>
          <w:rFonts w:hint="eastAsia" w:ascii="宋体" w:hAnsi="宋体"/>
          <w:sz w:val="24"/>
          <w:szCs w:val="21"/>
          <w:highlight w:val="none"/>
        </w:rPr>
        <w:t xml:space="preserve">供应商为残疾人福利性单位的，此声明函将随中标</w:t>
      </w:r>
      <w:r>
        <w:rPr>
          <w:rFonts w:hint="eastAsia" w:ascii="宋体" w:hAnsi="宋体"/>
          <w:sz w:val="24"/>
          <w:highlight w:val="none"/>
        </w:rPr>
        <w:t xml:space="preserve">/成交</w:t>
      </w:r>
      <w:r>
        <w:rPr>
          <w:rFonts w:hint="eastAsia" w:ascii="宋体" w:hAnsi="宋体"/>
          <w:sz w:val="24"/>
          <w:szCs w:val="21"/>
          <w:highlight w:val="none"/>
        </w:rPr>
        <w:t xml:space="preserve">结果同时公告，接受社会监督）</w:t>
      </w:r>
      <w:r>
        <w:rPr>
          <w:rFonts w:hint="eastAsia" w:ascii="宋体" w:hAnsi="宋体"/>
          <w:sz w:val="24"/>
          <w:szCs w:val="21"/>
          <w:highlight w:val="none"/>
        </w:rPr>
      </w:r>
      <w:r/>
    </w:p>
    <w:p>
      <w:pPr>
        <w:pStyle w:val="654"/>
        <w:ind w:right="1559" w:firstLine="624"/>
        <w:jc w:val="center"/>
        <w:spacing w:line="0" w:lineRule="atLeast"/>
        <w:tabs>
          <w:tab w:val="left" w:pos="4860" w:leader="none"/>
        </w:tabs>
        <w:rPr>
          <w:rFonts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w:t>
      </w:r>
      <w:r>
        <w:rPr>
          <w:rFonts w:ascii="宋体" w:hAnsi="宋体"/>
          <w:sz w:val="24"/>
          <w:szCs w:val="21"/>
          <w:highlight w:val="none"/>
        </w:rPr>
      </w:r>
      <w:r/>
    </w:p>
    <w:p>
      <w:pPr>
        <w:pStyle w:val="654"/>
        <w:ind w:right="1559" w:firstLine="480"/>
        <w:jc w:val="center"/>
        <w:spacing w:line="0" w:lineRule="atLeast"/>
        <w:tabs>
          <w:tab w:val="left" w:pos="4860" w:leader="none"/>
        </w:tabs>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供应商全称（加盖CA电子公章）：</w:t>
      </w:r>
      <w:r>
        <w:rPr>
          <w:rFonts w:ascii="宋体" w:hAnsi="宋体"/>
          <w:sz w:val="24"/>
          <w:szCs w:val="21"/>
          <w:highlight w:val="none"/>
        </w:rPr>
      </w:r>
      <w:r/>
    </w:p>
    <w:p>
      <w:pPr>
        <w:pStyle w:val="654"/>
        <w:ind w:right="1559" w:firstLine="480"/>
        <w:jc w:val="center"/>
        <w:spacing w:line="0" w:lineRule="atLeast"/>
        <w:tabs>
          <w:tab w:val="left" w:pos="4860" w:leader="none"/>
        </w:tabs>
        <w:rPr>
          <w:rFonts w:hint="eastAsia" w:ascii="宋体" w:hAnsi="宋体"/>
          <w:sz w:val="24"/>
          <w:szCs w:val="21"/>
          <w:highlight w:val="none"/>
        </w:rPr>
      </w:pPr>
      <w:r>
        <w:rPr>
          <w:rFonts w:hint="eastAsia" w:ascii="宋体" w:hAnsi="宋体"/>
          <w:sz w:val="24"/>
          <w:szCs w:val="21"/>
          <w:highlight w:val="none"/>
        </w:rPr>
        <w:t xml:space="preserve">    日  期：</w:t>
      </w:r>
      <w:r>
        <w:rPr>
          <w:rFonts w:hint="eastAsia" w:ascii="宋体" w:hAnsi="宋体"/>
          <w:sz w:val="24"/>
          <w:szCs w:val="21"/>
          <w:highlight w:val="none"/>
        </w:rPr>
      </w:r>
      <w:r/>
    </w:p>
    <w:p>
      <w:pPr>
        <w:pStyle w:val="654"/>
        <w:spacing w:line="0" w:lineRule="atLeast"/>
        <w:rPr>
          <w:rFonts w:hint="eastAsia" w:ascii="宋体" w:hAnsi="宋体"/>
          <w:b/>
          <w:sz w:val="24"/>
          <w:szCs w:val="24"/>
          <w:highlight w:val="none"/>
        </w:rPr>
      </w:pPr>
      <w:r>
        <w:rPr>
          <w:rFonts w:hint="eastAsia" w:ascii="宋体" w:hAnsi="宋体"/>
          <w:b/>
          <w:sz w:val="24"/>
          <w:szCs w:val="24"/>
          <w:highlight w:val="none"/>
        </w:rPr>
      </w:r>
      <w:r/>
    </w:p>
    <w:p>
      <w:pPr>
        <w:pStyle w:val="654"/>
        <w:jc w:val="center"/>
        <w:spacing w:line="0" w:lineRule="atLeast"/>
        <w:rPr>
          <w:rFonts w:hint="eastAsia" w:ascii="宋体" w:hAnsi="宋体"/>
          <w:b/>
          <w:sz w:val="24"/>
          <w:szCs w:val="24"/>
          <w:highlight w:val="none"/>
        </w:rPr>
      </w:pPr>
      <w:r>
        <w:rPr>
          <w:rFonts w:hint="eastAsia" w:ascii="宋体" w:hAnsi="宋体"/>
          <w:b/>
          <w:sz w:val="24"/>
          <w:szCs w:val="24"/>
          <w:highlight w:val="none"/>
        </w:rPr>
      </w:r>
      <w:r/>
    </w:p>
    <w:p>
      <w:pPr>
        <w:pStyle w:val="654"/>
        <w:jc w:val="center"/>
        <w:spacing w:line="0" w:lineRule="atLeast"/>
        <w:rPr>
          <w:rFonts w:hint="eastAsia" w:ascii="宋体" w:hAnsi="宋体"/>
          <w:b/>
          <w:sz w:val="24"/>
          <w:szCs w:val="24"/>
          <w:highlight w:val="none"/>
        </w:rPr>
      </w:pPr>
      <w:r>
        <w:rPr>
          <w:rFonts w:hint="eastAsia" w:ascii="宋体" w:hAnsi="宋体"/>
          <w:b/>
          <w:sz w:val="24"/>
          <w:szCs w:val="24"/>
          <w:highlight w:val="none"/>
        </w:rPr>
      </w:r>
      <w:r/>
    </w:p>
    <w:p>
      <w:pPr>
        <w:pStyle w:val="654"/>
        <w:spacing w:line="0" w:lineRule="atLeast"/>
        <w:rPr>
          <w:rFonts w:ascii="宋体" w:hAnsi="宋体"/>
          <w:b/>
          <w:sz w:val="24"/>
          <w:szCs w:val="24"/>
          <w:highlight w:val="none"/>
        </w:rPr>
      </w:pPr>
      <w:r>
        <w:rPr>
          <w:rFonts w:hint="eastAsia" w:ascii="宋体" w:hAnsi="宋体"/>
          <w:b/>
          <w:sz w:val="24"/>
          <w:szCs w:val="24"/>
          <w:highlight w:val="none"/>
        </w:rPr>
        <w:t xml:space="preserve">附件1</w:t>
      </w:r>
      <w:r>
        <w:rPr>
          <w:rFonts w:ascii="宋体" w:hAnsi="宋体"/>
          <w:b/>
          <w:sz w:val="24"/>
          <w:szCs w:val="24"/>
          <w:highlight w:val="none"/>
        </w:rPr>
        <w:t xml:space="preserve">0</w:t>
      </w:r>
      <w:r>
        <w:rPr>
          <w:rFonts w:hint="eastAsia" w:ascii="宋体" w:hAnsi="宋体"/>
          <w:b/>
          <w:sz w:val="24"/>
          <w:szCs w:val="24"/>
          <w:highlight w:val="none"/>
        </w:rPr>
        <w:t xml:space="preserve"> 联合体协议（参考格式）（采购包号：**）</w:t>
      </w:r>
      <w:r>
        <w:rPr>
          <w:rFonts w:ascii="宋体" w:hAnsi="宋体"/>
          <w:b/>
          <w:sz w:val="24"/>
          <w:szCs w:val="24"/>
          <w:highlight w:val="none"/>
        </w:rPr>
      </w:r>
      <w:r/>
    </w:p>
    <w:p>
      <w:pPr>
        <w:pStyle w:val="654"/>
        <w:spacing w:line="0" w:lineRule="atLeas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rPr>
          <w:rFonts w:ascii="宋体" w:hAnsi="宋体"/>
          <w:sz w:val="24"/>
          <w:szCs w:val="21"/>
          <w:highlight w:val="none"/>
        </w:rPr>
      </w:r>
      <w:r/>
    </w:p>
    <w:p>
      <w:pPr>
        <w:pStyle w:val="654"/>
        <w:ind w:firstLine="645"/>
        <w:spacing w:line="0" w:lineRule="atLeas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项目（采购包号：**）的政府采购活动，我联合体指定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rPr>
          <w:rFonts w:ascii="宋体" w:hAnsi="宋体"/>
          <w:sz w:val="24"/>
          <w:szCs w:val="21"/>
          <w:highlight w:val="none"/>
        </w:rPr>
      </w:r>
      <w:r/>
    </w:p>
    <w:p>
      <w:pPr>
        <w:pStyle w:val="654"/>
        <w:ind w:firstLine="645"/>
        <w:spacing w:line="0" w:lineRule="atLeas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rPr>
          <w:rFonts w:ascii="宋体" w:hAnsi="宋体"/>
          <w:sz w:val="24"/>
          <w:szCs w:val="21"/>
          <w:highlight w:val="none"/>
        </w:rPr>
      </w:r>
      <w:r/>
    </w:p>
    <w:p>
      <w:pPr>
        <w:pStyle w:val="654"/>
        <w:ind w:firstLine="645"/>
        <w:spacing w:line="0" w:lineRule="atLeas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rPr>
          <w:rFonts w:hint="eastAsia" w:ascii="宋体" w:hAnsi="宋体"/>
          <w:sz w:val="24"/>
          <w:szCs w:val="21"/>
          <w:highlight w:val="none"/>
        </w:rPr>
      </w:r>
      <w:r/>
    </w:p>
    <w:p>
      <w:pPr>
        <w:pStyle w:val="654"/>
        <w:ind w:firstLine="645"/>
        <w:spacing w:line="0" w:lineRule="atLeast"/>
        <w:rPr>
          <w:rFonts w:hint="eastAsia" w:ascii="宋体" w:hAnsi="宋体"/>
          <w:sz w:val="24"/>
          <w:szCs w:val="21"/>
          <w:highlight w:val="none"/>
        </w:rPr>
      </w:pPr>
      <w:r>
        <w:rPr>
          <w:rFonts w:hint="eastAsia" w:ascii="宋体" w:hAnsi="宋体"/>
          <w:sz w:val="24"/>
          <w:szCs w:val="21"/>
          <w:highlight w:val="none"/>
        </w:rPr>
      </w:r>
      <w:r/>
    </w:p>
    <w:p>
      <w:pPr>
        <w:pStyle w:val="654"/>
        <w:ind w:firstLine="645"/>
        <w:spacing w:line="0" w:lineRule="atLeast"/>
        <w:rPr>
          <w:rFonts w:ascii="宋体" w:hAnsi="宋体"/>
          <w:sz w:val="24"/>
          <w:szCs w:val="21"/>
          <w:highlight w:val="none"/>
        </w:rPr>
      </w:pPr>
      <w:r>
        <w:rPr>
          <w:rFonts w:hint="eastAsia" w:ascii="宋体" w:hAnsi="宋体"/>
          <w:sz w:val="24"/>
          <w:szCs w:val="21"/>
          <w:highlight w:val="none"/>
        </w:rPr>
        <w:t xml:space="preserve">备注：本磋商文件中要求加盖CA</w:t>
      </w:r>
      <w:r>
        <w:rPr>
          <w:rFonts w:hint="eastAsia" w:ascii="宋体" w:hAnsi="宋体"/>
          <w:sz w:val="24"/>
          <w:szCs w:val="24"/>
          <w:highlight w:val="none"/>
        </w:rPr>
        <w:t xml:space="preserve">电子公章</w:t>
      </w:r>
      <w:r>
        <w:rPr>
          <w:rFonts w:hint="eastAsia" w:ascii="宋体" w:hAnsi="宋体"/>
          <w:sz w:val="24"/>
          <w:szCs w:val="21"/>
          <w:highlight w:val="none"/>
        </w:rPr>
        <w:t xml:space="preserve">的地方，仅需加盖牵头单位的</w:t>
      </w:r>
      <w:r>
        <w:rPr>
          <w:rFonts w:hint="eastAsia" w:ascii="宋体" w:hAnsi="宋体"/>
          <w:sz w:val="24"/>
          <w:szCs w:val="24"/>
          <w:highlight w:val="none"/>
        </w:rPr>
        <w:t xml:space="preserve">CA电子公章</w:t>
      </w:r>
      <w:r>
        <w:rPr>
          <w:rFonts w:hint="eastAsia" w:ascii="宋体" w:hAnsi="宋体"/>
          <w:sz w:val="24"/>
          <w:szCs w:val="21"/>
          <w:highlight w:val="none"/>
        </w:rPr>
        <w:t xml:space="preserve">。</w:t>
      </w:r>
      <w:r>
        <w:rPr>
          <w:rFonts w:ascii="宋体" w:hAnsi="宋体"/>
          <w:sz w:val="24"/>
          <w:szCs w:val="21"/>
          <w:highlight w:val="none"/>
        </w:rPr>
      </w:r>
      <w:r/>
    </w:p>
    <w:p>
      <w:pPr>
        <w:pStyle w:val="654"/>
        <w:ind w:firstLine="645"/>
        <w:spacing w:line="0" w:lineRule="atLeas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1"/>
          <w:highlight w:val="none"/>
        </w:rPr>
      </w:r>
      <w:r/>
    </w:p>
    <w:p>
      <w:pPr>
        <w:pStyle w:val="654"/>
        <w:ind w:firstLine="645"/>
        <w:jc w:val="right"/>
        <w:spacing w:line="0" w:lineRule="atLeas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rPr>
          <w:rFonts w:ascii="宋体" w:hAnsi="宋体"/>
          <w:sz w:val="24"/>
          <w:szCs w:val="21"/>
          <w:highlight w:val="none"/>
        </w:rPr>
      </w:r>
      <w:r/>
    </w:p>
    <w:p>
      <w:pPr>
        <w:pStyle w:val="654"/>
        <w:ind w:firstLine="645"/>
        <w:spacing w:line="0" w:lineRule="atLeas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   期：</w:t>
      </w:r>
      <w:r>
        <w:rPr>
          <w:rFonts w:ascii="宋体" w:hAnsi="宋体"/>
          <w:sz w:val="24"/>
          <w:szCs w:val="21"/>
          <w:highlight w:val="none"/>
        </w:rPr>
      </w:r>
      <w:r/>
    </w:p>
    <w:p>
      <w:pPr>
        <w:pStyle w:val="654"/>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pStyle w:val="654"/>
        <w:spacing w:line="560" w:lineRule="exact"/>
        <w:rPr>
          <w:rFonts w:hint="eastAsia" w:ascii="宋体" w:hAnsi="宋体"/>
          <w:sz w:val="24"/>
          <w:szCs w:val="21"/>
          <w:highlight w:val="none"/>
        </w:rPr>
      </w:pPr>
      <w:r>
        <w:rPr>
          <w:rFonts w:hint="eastAsia" w:ascii="宋体" w:hAnsi="宋体"/>
          <w:sz w:val="24"/>
          <w:szCs w:val="21"/>
          <w:highlight w:val="none"/>
        </w:rPr>
      </w:r>
      <w:r/>
    </w:p>
    <w:p>
      <w:pPr>
        <w:pStyle w:val="654"/>
        <w:spacing w:line="560" w:lineRule="exact"/>
        <w:rPr>
          <w:rFonts w:hint="eastAsia" w:ascii="宋体" w:hAnsi="宋体"/>
          <w:sz w:val="24"/>
          <w:szCs w:val="21"/>
          <w:highlight w:val="none"/>
        </w:rPr>
      </w:pPr>
      <w:r>
        <w:rPr>
          <w:rFonts w:hint="eastAsia" w:ascii="宋体" w:hAnsi="宋体"/>
          <w:sz w:val="24"/>
          <w:szCs w:val="21"/>
          <w:highlight w:val="none"/>
        </w:rPr>
      </w:r>
      <w:r/>
    </w:p>
    <w:p>
      <w:pPr>
        <w:pStyle w:val="654"/>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11</w:t>
      </w:r>
      <w:r>
        <w:rPr>
          <w:rFonts w:hint="eastAsia" w:ascii="宋体" w:hAnsi="宋体"/>
          <w:b/>
          <w:sz w:val="24"/>
          <w:szCs w:val="24"/>
          <w:highlight w:val="none"/>
        </w:rPr>
        <w:t xml:space="preserve">实质性要求响应及偏离表（采购包号：**）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609"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1"/>
                <w:highlight w:val="none"/>
              </w:rPr>
              <w:t xml:space="preserve">磋商文件（含技术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hint="eastAsia" w:ascii="宋体" w:hAnsi="宋体"/>
                <w:sz w:val="24"/>
                <w:szCs w:val="24"/>
                <w:highlight w:val="none"/>
              </w:rPr>
            </w:r>
            <w:r/>
          </w:p>
        </w:tc>
        <w:tc>
          <w:tcPr>
            <w:tcW w:w="3317"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p>
        </w:tc>
        <w:tc>
          <w:tcPr>
            <w:tcW w:w="1526" w:type="dxa"/>
            <w:vAlign w:val="center"/>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609"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3609"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pStyle w:val="654"/>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317"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65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654"/>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11-1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ascii="宋体" w:hAnsi="宋体"/>
          <w:sz w:val="24"/>
          <w:szCs w:val="24"/>
          <w:highlight w:val="none"/>
        </w:rPr>
      </w:r>
      <w:r/>
    </w:p>
    <w:p>
      <w:pPr>
        <w:pStyle w:val="654"/>
        <w:spacing w:line="400" w:lineRule="exact"/>
        <w:rPr>
          <w:rFonts w:ascii="宋体" w:hAnsi="宋体"/>
          <w:sz w:val="24"/>
          <w:szCs w:val="24"/>
          <w:highlight w:val="none"/>
        </w:rPr>
      </w:pPr>
      <w:r>
        <w:rPr>
          <w:rFonts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w:t>
      </w:r>
      <w:r>
        <w:rPr>
          <w:rFonts w:hint="eastAsia" w:ascii="宋体" w:hAnsi="宋体"/>
          <w:sz w:val="24"/>
          <w:szCs w:val="24"/>
          <w:highlight w:val="none"/>
        </w:rPr>
        <w:t xml:space="preserve">必须对</w:t>
      </w:r>
      <w:r>
        <w:rPr>
          <w:rFonts w:hint="eastAsia" w:ascii="宋体" w:hAnsi="宋体"/>
          <w:sz w:val="24"/>
          <w:szCs w:val="21"/>
          <w:highlight w:val="none"/>
        </w:rPr>
        <w:t xml:space="preserve">磋商文件（含技术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，否则做无效响应处理。</w:t>
      </w:r>
      <w:r>
        <w:rPr>
          <w:rFonts w:ascii="宋体" w:hAnsi="宋体"/>
          <w:sz w:val="24"/>
          <w:szCs w:val="24"/>
          <w:highlight w:val="none"/>
        </w:rPr>
      </w:r>
      <w:r/>
    </w:p>
    <w:p>
      <w:pPr>
        <w:pStyle w:val="654"/>
        <w:spacing w:line="400" w:lineRule="exact"/>
        <w:rPr>
          <w:rFonts w:ascii="宋体" w:hAnsi="宋体"/>
          <w:sz w:val="24"/>
          <w:szCs w:val="24"/>
          <w:highlight w:val="none"/>
        </w:rPr>
      </w:pPr>
      <w:r>
        <w:rPr>
          <w:rFonts w:hint="eastAsia" w:ascii="宋体" w:hAnsi="宋体"/>
          <w:sz w:val="24"/>
          <w:szCs w:val="24"/>
          <w:highlight w:val="none"/>
        </w:rPr>
        <w:t xml:space="preserve">2.如果</w:t>
      </w:r>
      <w:r>
        <w:rPr>
          <w:rFonts w:ascii="宋体" w:hAnsi="宋体"/>
          <w:sz w:val="24"/>
          <w:szCs w:val="24"/>
          <w:highlight w:val="none"/>
        </w:rPr>
        <w:t xml:space="preserve">磋商</w:t>
      </w:r>
      <w:r>
        <w:rPr>
          <w:rFonts w:hint="eastAsia" w:ascii="宋体" w:hAnsi="宋体"/>
          <w:sz w:val="24"/>
          <w:szCs w:val="24"/>
          <w:highlight w:val="none"/>
        </w:rPr>
        <w:t xml:space="preserve">文件</w:t>
      </w:r>
      <w:r>
        <w:rPr>
          <w:rFonts w:ascii="宋体" w:hAnsi="宋体"/>
          <w:sz w:val="24"/>
          <w:szCs w:val="24"/>
          <w:highlight w:val="none"/>
        </w:rPr>
        <w:t xml:space="preserve">要求提供</w:t>
      </w:r>
      <w:r>
        <w:rPr>
          <w:rFonts w:hint="eastAsia" w:ascii="宋体" w:hAnsi="宋体"/>
          <w:sz w:val="24"/>
          <w:szCs w:val="24"/>
          <w:highlight w:val="none"/>
        </w:rPr>
        <w:t xml:space="preserve">证明</w:t>
      </w:r>
      <w:r>
        <w:rPr>
          <w:rFonts w:ascii="宋体" w:hAnsi="宋体"/>
          <w:sz w:val="24"/>
          <w:szCs w:val="24"/>
          <w:highlight w:val="none"/>
        </w:rPr>
        <w:t xml:space="preserve">材料，供应商必须将</w:t>
      </w:r>
      <w:r>
        <w:rPr>
          <w:rFonts w:hint="eastAsia" w:ascii="宋体" w:hAnsi="宋体"/>
          <w:sz w:val="24"/>
          <w:szCs w:val="24"/>
          <w:highlight w:val="none"/>
        </w:rPr>
        <w:t xml:space="preserve">证明材料列于</w:t>
      </w:r>
      <w:r>
        <w:rPr>
          <w:rFonts w:ascii="宋体" w:hAnsi="宋体"/>
          <w:sz w:val="24"/>
          <w:szCs w:val="24"/>
          <w:highlight w:val="none"/>
        </w:rPr>
        <w:t xml:space="preserve">该表之下。</w:t>
      </w:r>
      <w:r>
        <w:rPr>
          <w:rFonts w:ascii="宋体" w:hAnsi="宋体"/>
          <w:sz w:val="24"/>
          <w:szCs w:val="24"/>
          <w:highlight w:val="none"/>
        </w:rPr>
      </w:r>
      <w:r/>
    </w:p>
    <w:p>
      <w:pPr>
        <w:pStyle w:val="654"/>
        <w:spacing w:line="400" w:lineRule="exact"/>
        <w:rPr>
          <w:rFonts w:hint="eastAsia" w:ascii="宋体" w:hAnsi="宋体"/>
          <w:sz w:val="24"/>
          <w:szCs w:val="24"/>
          <w:highlight w:val="none"/>
        </w:rPr>
      </w:pPr>
      <w:r>
        <w:rPr>
          <w:rFonts w:hint="eastAsia" w:ascii="宋体" w:hAnsi="宋体"/>
          <w:sz w:val="24"/>
          <w:szCs w:val="24"/>
          <w:highlight w:val="none"/>
        </w:rPr>
        <w:t xml:space="preserve">3.供应商未对实质性要求逐条作出明确响应的，或未按磋商文件要求提供证明材料的，该采购包作无效响应处理。</w:t>
      </w:r>
      <w:r>
        <w:rPr>
          <w:rFonts w:hint="eastAsia" w:ascii="宋体" w:hAnsi="宋体"/>
          <w:sz w:val="24"/>
          <w:szCs w:val="24"/>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654"/>
        <w:jc w:val="center"/>
        <w:rPr>
          <w:rFonts w:ascii="宋体" w:hAnsi="宋体" w:cs="仿宋"/>
          <w:b/>
          <w:bCs/>
          <w:sz w:val="32"/>
          <w:szCs w:val="32"/>
          <w:highlight w:val="none"/>
        </w:rPr>
      </w:pPr>
      <w:r/>
      <w:bookmarkEnd w:id="179"/>
      <w:r/>
      <w:bookmarkEnd w:id="180"/>
      <w:r/>
      <w:bookmarkEnd w:id="193"/>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654"/>
        <w:spacing w:before="312"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rFonts w:ascii="宋体" w:hAnsi="宋体" w:cs="仿宋"/>
          <w:bCs/>
          <w:sz w:val="24"/>
          <w:szCs w:val="24"/>
          <w:highlight w:val="non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p>
    <w:p>
      <w:pPr>
        <w:pStyle w:val="654"/>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65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p>
    <w:p>
      <w:pPr>
        <w:pStyle w:val="65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4"/>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p>
    <w:p>
      <w:pPr>
        <w:pStyle w:val="654"/>
        <w:rPr>
          <w:rFonts w:ascii="宋体" w:hAnsi="宋体"/>
          <w:sz w:val="24"/>
          <w:szCs w:val="24"/>
          <w:highlight w:val="none"/>
        </w:rPr>
      </w:pPr>
      <w:r>
        <w:rPr>
          <w:rFonts w:hint="eastAsia" w:ascii="宋体" w:hAnsi="宋体"/>
          <w:sz w:val="24"/>
          <w:szCs w:val="24"/>
          <w:highlight w:val="none"/>
        </w:rPr>
        <w:t xml:space="preserve">日期：    </w:t>
      </w:r>
      <w:r>
        <w:rPr>
          <w:rFonts w:ascii="宋体" w:hAnsi="宋体"/>
          <w:sz w:val="24"/>
          <w:szCs w:val="24"/>
          <w:highlight w:val="none"/>
        </w:rPr>
      </w:r>
      <w:r/>
    </w:p>
    <w:p>
      <w:pPr>
        <w:pStyle w:val="654"/>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p>
    <w:p>
      <w:pPr>
        <w:pStyle w:val="65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654"/>
        <w:ind w:firstLine="480"/>
        <w:jc w:val="left"/>
        <w:spacing w:line="400" w:lineRule="exact"/>
        <w:widowControl/>
        <w:rPr>
          <w:rFonts w:ascii="宋体" w:hAnsi="宋体"/>
          <w:sz w:val="24"/>
          <w:szCs w:val="24"/>
          <w:highlight w:val="none"/>
        </w:rPr>
      </w:pPr>
      <w:r>
        <w:rPr>
          <w:rFonts w:ascii="宋体" w:hAnsi="宋体"/>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right" w:pos="8306" w:leader="none"/>
      </w:tabs>
      <w:rPr>
        <w:rStyle w:val="726"/>
        <w:rFonts w:ascii="宋体" w:hAnsi="宋体"/>
      </w:rPr>
      <w:framePr w:wrap="around" w:vAnchor="text" w:hAnchor="margin" w:xAlign="center" w:y="1"/>
    </w:pPr>
    <w:r>
      <w:rPr>
        <w:rFonts w:ascii="宋体" w:hAnsi="宋体"/>
      </w:rPr>
      <w:fldChar w:fldCharType="begin"/>
    </w:r>
    <w:r>
      <w:rPr>
        <w:rStyle w:val="726"/>
        <w:rFonts w:ascii="宋体" w:hAnsi="宋体"/>
      </w:rPr>
      <w:instrText xml:space="preserve">PAGE  </w:instrText>
    </w:r>
    <w:r>
      <w:rPr>
        <w:rFonts w:ascii="宋体" w:hAnsi="宋体"/>
      </w:rPr>
      <w:fldChar w:fldCharType="separate"/>
    </w:r>
    <w:r>
      <w:rPr>
        <w:rStyle w:val="726"/>
        <w:rFonts w:ascii="宋体" w:hAnsi="宋体"/>
      </w:rPr>
      <w:t xml:space="preserve">23</w:t>
    </w:r>
    <w:r>
      <w:rPr>
        <w:rFonts w:ascii="宋体" w:hAnsi="宋体"/>
      </w:rPr>
      <w:fldChar w:fldCharType="end"/>
    </w:r>
    <w:r>
      <w:rPr>
        <w:rStyle w:val="726"/>
        <w:rFonts w:ascii="宋体" w:hAnsi="宋体"/>
      </w:rPr>
    </w:r>
    <w:r/>
  </w:p>
  <w:p>
    <w:pPr>
      <w:pStyle w:val="70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right" w:pos="8306" w:leader="none"/>
      </w:tabs>
      <w:rPr>
        <w:rStyle w:val="726"/>
      </w:rPr>
      <w:framePr w:wrap="around" w:vAnchor="text" w:hAnchor="margin" w:xAlign="center" w:y="1"/>
    </w:pPr>
    <w:r>
      <w:fldChar w:fldCharType="begin"/>
    </w:r>
    <w:r>
      <w:rPr>
        <w:rStyle w:val="726"/>
      </w:rPr>
      <w:instrText xml:space="preserve">PAGE  </w:instrText>
    </w:r>
    <w:r>
      <w:fldChar w:fldCharType="separate"/>
    </w:r>
    <w:r>
      <w:rPr>
        <w:rStyle w:val="726"/>
      </w:rPr>
      <w:t xml:space="preserve">1</w:t>
    </w:r>
    <w:r>
      <w:fldChar w:fldCharType="end"/>
    </w:r>
    <w:r>
      <w:rPr>
        <w:rStyle w:val="726"/>
      </w:rPr>
    </w:r>
    <w:r/>
  </w:p>
  <w:p>
    <w:pPr>
      <w:pStyle w:val="7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2"/>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9"/>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2"/>
      <w:lang w:val="en-US" w:eastAsia="zh-CN" w:bidi="ar-SA"/>
    </w:rPr>
  </w:style>
  <w:style w:type="paragraph" w:styleId="655">
    <w:name w:val="标题 1"/>
    <w:basedOn w:val="654"/>
    <w:next w:val="654"/>
    <w:link w:val="666"/>
    <w:qFormat/>
    <w:pPr>
      <w:jc w:val="center"/>
      <w:keepNext/>
      <w:outlineLvl w:val="0"/>
    </w:pPr>
    <w:rPr>
      <w:rFonts w:ascii="楷体_GB2312" w:hAnsi="Times New Roman" w:eastAsia="楷体_GB2312" w:cs="Times New Roman"/>
      <w:sz w:val="28"/>
      <w:szCs w:val="28"/>
    </w:rPr>
  </w:style>
  <w:style w:type="paragraph" w:styleId="656">
    <w:name w:val="标题 2"/>
    <w:basedOn w:val="654"/>
    <w:next w:val="668"/>
    <w:link w:val="667"/>
    <w:qFormat/>
    <w:pPr>
      <w:jc w:val="center"/>
      <w:keepLines/>
      <w:keepNext/>
      <w:spacing w:before="260" w:after="260" w:line="416" w:lineRule="auto"/>
      <w:outlineLvl w:val="1"/>
    </w:pPr>
    <w:rPr>
      <w:rFonts w:ascii="Arial" w:hAnsi="Arial" w:eastAsia="幼圆" w:cs="Arial"/>
      <w:b/>
      <w:bCs/>
      <w:sz w:val="44"/>
      <w:szCs w:val="44"/>
    </w:rPr>
  </w:style>
  <w:style w:type="paragraph" w:styleId="657">
    <w:name w:val="标题 3"/>
    <w:basedOn w:val="654"/>
    <w:next w:val="668"/>
    <w:link w:val="67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8">
    <w:name w:val="标题 4"/>
    <w:basedOn w:val="654"/>
    <w:next w:val="668"/>
    <w:link w:val="671"/>
    <w:qFormat/>
    <w:pPr>
      <w:keepLines/>
      <w:keepNext/>
      <w:spacing w:before="280" w:after="290" w:line="376" w:lineRule="auto"/>
      <w:outlineLvl w:val="3"/>
    </w:pPr>
    <w:rPr>
      <w:rFonts w:ascii="Arial" w:hAnsi="Arial" w:eastAsia="黑体" w:cs="Arial"/>
      <w:b/>
      <w:bCs/>
      <w:sz w:val="28"/>
      <w:szCs w:val="28"/>
    </w:rPr>
  </w:style>
  <w:style w:type="paragraph" w:styleId="659">
    <w:name w:val="标题 5"/>
    <w:basedOn w:val="654"/>
    <w:next w:val="668"/>
    <w:link w:val="672"/>
    <w:qFormat/>
    <w:pPr>
      <w:keepNext/>
      <w:outlineLvl w:val="4"/>
    </w:pPr>
    <w:rPr>
      <w:rFonts w:ascii="宋体" w:hAnsi="Times New Roman" w:eastAsia="宋体" w:cs="Times New Roman"/>
      <w:color w:val="000000"/>
      <w:sz w:val="28"/>
      <w:szCs w:val="28"/>
    </w:rPr>
  </w:style>
  <w:style w:type="paragraph" w:styleId="660">
    <w:name w:val="标题 6"/>
    <w:basedOn w:val="654"/>
    <w:next w:val="654"/>
    <w:link w:val="67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1">
    <w:name w:val="标题 7"/>
    <w:basedOn w:val="654"/>
    <w:next w:val="654"/>
    <w:link w:val="67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2">
    <w:name w:val="标题 8"/>
    <w:basedOn w:val="654"/>
    <w:next w:val="654"/>
    <w:link w:val="67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3">
    <w:name w:val="标题 9"/>
    <w:basedOn w:val="654"/>
    <w:next w:val="654"/>
    <w:link w:val="676"/>
    <w:qFormat/>
    <w:pPr>
      <w:numPr>
        <w:ilvl w:val="8"/>
        <w:numId w:val="1"/>
      </w:numPr>
      <w:keepLines/>
      <w:keepNext/>
      <w:spacing w:before="240" w:after="64" w:line="320" w:lineRule="auto"/>
      <w:outlineLvl w:val="8"/>
    </w:pPr>
    <w:rPr>
      <w:rFonts w:ascii="Arial" w:hAnsi="Arial" w:eastAsia="黑体" w:cs="Times New Roman"/>
      <w:szCs w:val="21"/>
    </w:rPr>
  </w:style>
  <w:style w:type="character" w:styleId="664">
    <w:name w:val="默认段落字体"/>
    <w:next w:val="664"/>
    <w:link w:val="654"/>
    <w:uiPriority w:val="1"/>
    <w:unhideWhenUsed/>
  </w:style>
  <w:style w:type="table" w:styleId="665">
    <w:name w:val="普通表格"/>
    <w:next w:val="665"/>
    <w:link w:val="654"/>
    <w:uiPriority w:val="99"/>
    <w:unhideWhenUsed/>
    <w:tblPr/>
  </w:style>
  <w:style w:type="character" w:styleId="666">
    <w:name w:val="标题 1 字符"/>
    <w:next w:val="666"/>
    <w:link w:val="655"/>
    <w:rPr>
      <w:rFonts w:ascii="楷体_GB2312" w:hAnsi="Times New Roman" w:eastAsia="楷体_GB2312" w:cs="Times New Roman"/>
      <w:sz w:val="28"/>
      <w:szCs w:val="28"/>
    </w:rPr>
  </w:style>
  <w:style w:type="character" w:styleId="667">
    <w:name w:val="标题 2 字符"/>
    <w:next w:val="667"/>
    <w:link w:val="656"/>
    <w:rPr>
      <w:rFonts w:ascii="Arial" w:hAnsi="Arial" w:eastAsia="幼圆" w:cs="Arial"/>
      <w:b/>
      <w:bCs/>
      <w:sz w:val="44"/>
      <w:szCs w:val="44"/>
    </w:rPr>
  </w:style>
  <w:style w:type="paragraph" w:styleId="668">
    <w:name w:val="正文缩进"/>
    <w:basedOn w:val="654"/>
    <w:next w:val="668"/>
    <w:link w:val="669"/>
    <w:pPr>
      <w:ind w:firstLine="420"/>
    </w:pPr>
    <w:rPr>
      <w:szCs w:val="21"/>
    </w:rPr>
  </w:style>
  <w:style w:type="character" w:styleId="669">
    <w:name w:val="正文缩进 字符"/>
    <w:next w:val="669"/>
    <w:link w:val="668"/>
    <w:rPr>
      <w:szCs w:val="21"/>
    </w:rPr>
  </w:style>
  <w:style w:type="character" w:styleId="670">
    <w:name w:val="标题 3 字符"/>
    <w:next w:val="670"/>
    <w:link w:val="657"/>
    <w:rPr>
      <w:rFonts w:ascii="Times New Roman" w:hAnsi="Times New Roman" w:eastAsia="宋体" w:cs="Times New Roman"/>
      <w:b/>
      <w:bCs/>
      <w:sz w:val="32"/>
      <w:szCs w:val="32"/>
    </w:rPr>
  </w:style>
  <w:style w:type="character" w:styleId="671">
    <w:name w:val="标题 4 字符"/>
    <w:next w:val="671"/>
    <w:link w:val="658"/>
    <w:rPr>
      <w:rFonts w:ascii="Arial" w:hAnsi="Arial" w:eastAsia="黑体" w:cs="Arial"/>
      <w:b/>
      <w:bCs/>
      <w:sz w:val="28"/>
      <w:szCs w:val="28"/>
    </w:rPr>
  </w:style>
  <w:style w:type="character" w:styleId="672">
    <w:name w:val="标题 5 字符"/>
    <w:next w:val="672"/>
    <w:link w:val="659"/>
    <w:rPr>
      <w:rFonts w:ascii="宋体" w:hAnsi="Times New Roman" w:eastAsia="宋体" w:cs="Times New Roman"/>
      <w:color w:val="000000"/>
      <w:sz w:val="28"/>
      <w:szCs w:val="28"/>
    </w:rPr>
  </w:style>
  <w:style w:type="character" w:styleId="673">
    <w:name w:val="标题 6 字符"/>
    <w:next w:val="673"/>
    <w:link w:val="660"/>
    <w:rPr>
      <w:rFonts w:ascii="Arial" w:hAnsi="Arial" w:eastAsia="黑体" w:cs="Times New Roman"/>
      <w:b/>
      <w:bCs/>
      <w:sz w:val="24"/>
      <w:szCs w:val="24"/>
    </w:rPr>
  </w:style>
  <w:style w:type="character" w:styleId="674">
    <w:name w:val="标题 7 字符"/>
    <w:next w:val="674"/>
    <w:link w:val="661"/>
    <w:rPr>
      <w:rFonts w:ascii="Times New Roman" w:hAnsi="Times New Roman" w:eastAsia="宋体" w:cs="Times New Roman"/>
      <w:b/>
      <w:bCs/>
      <w:sz w:val="24"/>
      <w:szCs w:val="24"/>
    </w:rPr>
  </w:style>
  <w:style w:type="character" w:styleId="675">
    <w:name w:val="标题 8 字符"/>
    <w:next w:val="675"/>
    <w:link w:val="662"/>
    <w:rPr>
      <w:rFonts w:ascii="Arial" w:hAnsi="Arial" w:eastAsia="黑体" w:cs="Times New Roman"/>
      <w:sz w:val="24"/>
      <w:szCs w:val="24"/>
    </w:rPr>
  </w:style>
  <w:style w:type="character" w:styleId="676">
    <w:name w:val="标题 9 字符"/>
    <w:next w:val="676"/>
    <w:link w:val="663"/>
    <w:rPr>
      <w:rFonts w:ascii="Arial" w:hAnsi="Arial" w:eastAsia="黑体" w:cs="Times New Roman"/>
      <w:szCs w:val="21"/>
    </w:rPr>
  </w:style>
  <w:style w:type="paragraph" w:styleId="677">
    <w:name w:val="列表 3"/>
    <w:basedOn w:val="654"/>
    <w:next w:val="677"/>
    <w:link w:val="654"/>
    <w:pPr>
      <w:ind w:left="100" w:hanging="200"/>
    </w:pPr>
    <w:rPr>
      <w:rFonts w:ascii="Times New Roman" w:hAnsi="Times New Roman" w:eastAsia="宋体" w:cs="Times New Roman"/>
      <w:szCs w:val="21"/>
    </w:rPr>
  </w:style>
  <w:style w:type="paragraph" w:styleId="678">
    <w:name w:val="目录 7"/>
    <w:basedOn w:val="654"/>
    <w:next w:val="654"/>
    <w:link w:val="654"/>
    <w:semiHidden/>
    <w:pPr>
      <w:ind w:left="1260"/>
      <w:jc w:val="left"/>
    </w:pPr>
    <w:rPr>
      <w:rFonts w:ascii="Times New Roman" w:hAnsi="Times New Roman" w:eastAsia="宋体" w:cs="Times New Roman"/>
      <w:szCs w:val="21"/>
    </w:rPr>
  </w:style>
  <w:style w:type="paragraph" w:styleId="679">
    <w:name w:val="文档结构图"/>
    <w:basedOn w:val="654"/>
    <w:next w:val="679"/>
    <w:link w:val="680"/>
    <w:semiHidden/>
    <w:pPr>
      <w:shd w:val="clear" w:color="auto" w:fill="000080"/>
    </w:pPr>
    <w:rPr>
      <w:rFonts w:ascii="Times New Roman" w:hAnsi="Times New Roman" w:eastAsia="宋体" w:cs="Times New Roman"/>
      <w:szCs w:val="21"/>
    </w:rPr>
  </w:style>
  <w:style w:type="character" w:styleId="680">
    <w:name w:val="文档结构图 字符"/>
    <w:next w:val="680"/>
    <w:link w:val="679"/>
    <w:semiHidden/>
    <w:rPr>
      <w:rFonts w:ascii="Times New Roman" w:hAnsi="Times New Roman" w:eastAsia="宋体" w:cs="Times New Roman"/>
      <w:szCs w:val="21"/>
      <w:shd w:val="clear" w:color="auto" w:fill="000080"/>
    </w:rPr>
  </w:style>
  <w:style w:type="paragraph" w:styleId="681">
    <w:name w:val="批注文字"/>
    <w:basedOn w:val="654"/>
    <w:next w:val="681"/>
    <w:link w:val="682"/>
    <w:unhideWhenUsed/>
    <w:pPr>
      <w:jc w:val="left"/>
    </w:pPr>
  </w:style>
  <w:style w:type="character" w:styleId="682">
    <w:name w:val="批注文字 字符"/>
    <w:next w:val="682"/>
    <w:link w:val="681"/>
    <w:uiPriority w:val="99"/>
    <w:semiHidden/>
  </w:style>
  <w:style w:type="paragraph" w:styleId="683">
    <w:name w:val="正文文本 3"/>
    <w:basedOn w:val="654"/>
    <w:next w:val="683"/>
    <w:link w:val="684"/>
    <w:rPr>
      <w:rFonts w:ascii="仿宋_GB2312" w:hAnsi="Arial" w:eastAsia="仿宋_GB2312" w:cs="Times New Roman"/>
      <w:sz w:val="32"/>
      <w:szCs w:val="32"/>
    </w:rPr>
  </w:style>
  <w:style w:type="character" w:styleId="684">
    <w:name w:val="正文文本 3 字符"/>
    <w:next w:val="684"/>
    <w:link w:val="683"/>
    <w:rPr>
      <w:rFonts w:ascii="仿宋_GB2312" w:hAnsi="Arial" w:eastAsia="仿宋_GB2312" w:cs="Times New Roman"/>
      <w:sz w:val="32"/>
      <w:szCs w:val="32"/>
    </w:rPr>
  </w:style>
  <w:style w:type="paragraph" w:styleId="685">
    <w:name w:val="正文文本"/>
    <w:basedOn w:val="654"/>
    <w:next w:val="685"/>
    <w:link w:val="686"/>
    <w:rPr>
      <w:rFonts w:ascii="楷体_GB2312" w:hAnsi="Arial" w:eastAsia="楷体_GB2312" w:cs="Times New Roman"/>
      <w:sz w:val="28"/>
      <w:szCs w:val="28"/>
    </w:rPr>
  </w:style>
  <w:style w:type="character" w:styleId="686">
    <w:name w:val="正文文本 字符"/>
    <w:next w:val="686"/>
    <w:link w:val="685"/>
    <w:rPr>
      <w:rFonts w:ascii="楷体_GB2312" w:hAnsi="Arial" w:eastAsia="楷体_GB2312" w:cs="Times New Roman"/>
      <w:sz w:val="28"/>
      <w:szCs w:val="28"/>
    </w:rPr>
  </w:style>
  <w:style w:type="paragraph" w:styleId="687">
    <w:name w:val="正文文本缩进"/>
    <w:basedOn w:val="654"/>
    <w:next w:val="687"/>
    <w:link w:val="688"/>
    <w:unhideWhenUsed/>
    <w:pPr>
      <w:ind w:left="420"/>
      <w:spacing w:after="120"/>
    </w:pPr>
  </w:style>
  <w:style w:type="character" w:styleId="688">
    <w:name w:val="正文文本缩进 字符"/>
    <w:next w:val="688"/>
    <w:link w:val="687"/>
    <w:uiPriority w:val="99"/>
    <w:semiHidden/>
  </w:style>
  <w:style w:type="paragraph" w:styleId="689">
    <w:name w:val="列表 2"/>
    <w:basedOn w:val="654"/>
    <w:next w:val="689"/>
    <w:link w:val="654"/>
    <w:pPr>
      <w:ind w:left="100" w:hanging="200"/>
    </w:pPr>
    <w:rPr>
      <w:rFonts w:ascii="Times New Roman" w:hAnsi="Times New Roman" w:eastAsia="宋体" w:cs="Times New Roman"/>
      <w:szCs w:val="21"/>
    </w:rPr>
  </w:style>
  <w:style w:type="paragraph" w:styleId="690">
    <w:name w:val="目录 5"/>
    <w:basedOn w:val="654"/>
    <w:next w:val="654"/>
    <w:link w:val="654"/>
    <w:semiHidden/>
    <w:pPr>
      <w:ind w:left="840"/>
      <w:jc w:val="left"/>
    </w:pPr>
    <w:rPr>
      <w:rFonts w:ascii="Times New Roman" w:hAnsi="Times New Roman" w:eastAsia="宋体" w:cs="Times New Roman"/>
      <w:szCs w:val="21"/>
    </w:rPr>
  </w:style>
  <w:style w:type="paragraph" w:styleId="691">
    <w:name w:val="目录 3"/>
    <w:basedOn w:val="654"/>
    <w:next w:val="654"/>
    <w:link w:val="654"/>
    <w:semiHidden/>
    <w:pPr>
      <w:ind w:left="420"/>
      <w:jc w:val="left"/>
    </w:pPr>
    <w:rPr>
      <w:rFonts w:ascii="Times New Roman" w:hAnsi="Times New Roman" w:eastAsia="宋体" w:cs="Times New Roman"/>
      <w:i/>
      <w:iCs/>
      <w:szCs w:val="24"/>
    </w:rPr>
  </w:style>
  <w:style w:type="paragraph" w:styleId="692">
    <w:name w:val="纯文本"/>
    <w:basedOn w:val="654"/>
    <w:next w:val="692"/>
    <w:link w:val="693"/>
    <w:qFormat/>
    <w:rPr>
      <w:rFonts w:ascii="宋体" w:hAnsi="Courier New" w:eastAsia="宋体" w:cs="Courier New"/>
      <w:szCs w:val="21"/>
    </w:rPr>
  </w:style>
  <w:style w:type="character" w:styleId="693">
    <w:name w:val="纯文本 字符"/>
    <w:next w:val="693"/>
    <w:link w:val="692"/>
    <w:qFormat/>
    <w:rPr>
      <w:rFonts w:ascii="宋体" w:hAnsi="Courier New" w:eastAsia="宋体" w:cs="Courier New"/>
      <w:szCs w:val="21"/>
    </w:rPr>
  </w:style>
  <w:style w:type="paragraph" w:styleId="694">
    <w:name w:val="目录 8"/>
    <w:basedOn w:val="654"/>
    <w:next w:val="654"/>
    <w:link w:val="654"/>
    <w:semiHidden/>
    <w:pPr>
      <w:ind w:left="1470"/>
      <w:jc w:val="left"/>
    </w:pPr>
    <w:rPr>
      <w:rFonts w:ascii="Times New Roman" w:hAnsi="Times New Roman" w:eastAsia="宋体" w:cs="Times New Roman"/>
      <w:szCs w:val="21"/>
    </w:rPr>
  </w:style>
  <w:style w:type="paragraph" w:styleId="695">
    <w:name w:val="日期"/>
    <w:basedOn w:val="654"/>
    <w:next w:val="654"/>
    <w:link w:val="696"/>
    <w:rPr>
      <w:rFonts w:ascii="Times New Roman" w:hAnsi="Times New Roman" w:eastAsia="宋体" w:cs="Times New Roman"/>
      <w:sz w:val="24"/>
      <w:szCs w:val="24"/>
    </w:rPr>
  </w:style>
  <w:style w:type="character" w:styleId="696">
    <w:name w:val="日期 字符"/>
    <w:next w:val="696"/>
    <w:link w:val="695"/>
    <w:rPr>
      <w:rFonts w:ascii="Times New Roman" w:hAnsi="Times New Roman" w:eastAsia="宋体" w:cs="Times New Roman"/>
      <w:sz w:val="24"/>
      <w:szCs w:val="24"/>
    </w:rPr>
  </w:style>
  <w:style w:type="paragraph" w:styleId="697">
    <w:name w:val="正文文本缩进 2"/>
    <w:basedOn w:val="654"/>
    <w:next w:val="697"/>
    <w:link w:val="698"/>
    <w:pPr>
      <w:ind w:left="630" w:firstLine="645"/>
    </w:pPr>
    <w:rPr>
      <w:rFonts w:ascii="Arial" w:hAnsi="Arial" w:eastAsia="仿宋_GB2312" w:cs="Arial"/>
      <w:sz w:val="32"/>
      <w:szCs w:val="32"/>
    </w:rPr>
  </w:style>
  <w:style w:type="character" w:styleId="698">
    <w:name w:val="正文文本缩进 2 字符"/>
    <w:next w:val="698"/>
    <w:link w:val="697"/>
    <w:rPr>
      <w:rFonts w:ascii="Arial" w:hAnsi="Arial" w:eastAsia="仿宋_GB2312" w:cs="Arial"/>
      <w:sz w:val="32"/>
      <w:szCs w:val="32"/>
    </w:rPr>
  </w:style>
  <w:style w:type="paragraph" w:styleId="699">
    <w:name w:val="批注框文本"/>
    <w:basedOn w:val="654"/>
    <w:next w:val="699"/>
    <w:link w:val="700"/>
    <w:semiHidden/>
    <w:rPr>
      <w:rFonts w:ascii="Times New Roman" w:hAnsi="Times New Roman" w:eastAsia="宋体" w:cs="Times New Roman"/>
      <w:sz w:val="18"/>
      <w:szCs w:val="18"/>
    </w:rPr>
  </w:style>
  <w:style w:type="character" w:styleId="700">
    <w:name w:val="批注框文本 字符"/>
    <w:next w:val="700"/>
    <w:link w:val="699"/>
    <w:semiHidden/>
    <w:rPr>
      <w:rFonts w:ascii="Times New Roman" w:hAnsi="Times New Roman" w:eastAsia="宋体" w:cs="Times New Roman"/>
      <w:sz w:val="18"/>
      <w:szCs w:val="18"/>
    </w:rPr>
  </w:style>
  <w:style w:type="paragraph" w:styleId="701">
    <w:name w:val="页脚"/>
    <w:basedOn w:val="654"/>
    <w:next w:val="701"/>
    <w:link w:val="70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02">
    <w:name w:val="页脚 字符"/>
    <w:next w:val="702"/>
    <w:link w:val="701"/>
    <w:uiPriority w:val="99"/>
    <w:rPr>
      <w:rFonts w:ascii="Times New Roman" w:hAnsi="Times New Roman" w:eastAsia="宋体" w:cs="Times New Roman"/>
      <w:sz w:val="18"/>
      <w:szCs w:val="18"/>
    </w:rPr>
  </w:style>
  <w:style w:type="paragraph" w:styleId="703">
    <w:name w:val="页眉"/>
    <w:basedOn w:val="654"/>
    <w:next w:val="703"/>
    <w:link w:val="70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4">
    <w:name w:val="页眉 字符"/>
    <w:next w:val="704"/>
    <w:link w:val="703"/>
    <w:rPr>
      <w:rFonts w:ascii="Times New Roman" w:hAnsi="Times New Roman" w:eastAsia="宋体" w:cs="Times New Roman"/>
      <w:sz w:val="18"/>
      <w:szCs w:val="18"/>
    </w:rPr>
  </w:style>
  <w:style w:type="paragraph" w:styleId="705">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6">
    <w:name w:val="目录 4"/>
    <w:basedOn w:val="654"/>
    <w:next w:val="654"/>
    <w:link w:val="654"/>
    <w:semiHidden/>
    <w:pPr>
      <w:ind w:left="630"/>
      <w:jc w:val="left"/>
    </w:pPr>
    <w:rPr>
      <w:rFonts w:ascii="Times New Roman" w:hAnsi="Times New Roman" w:eastAsia="宋体" w:cs="Times New Roman"/>
      <w:szCs w:val="21"/>
    </w:rPr>
  </w:style>
  <w:style w:type="paragraph" w:styleId="707">
    <w:name w:val="列表"/>
    <w:basedOn w:val="654"/>
    <w:next w:val="707"/>
    <w:link w:val="654"/>
    <w:pPr>
      <w:ind w:left="200" w:hanging="200"/>
    </w:pPr>
    <w:rPr>
      <w:rFonts w:ascii="Times New Roman" w:hAnsi="Times New Roman" w:eastAsia="宋体" w:cs="Times New Roman"/>
      <w:szCs w:val="21"/>
    </w:rPr>
  </w:style>
  <w:style w:type="paragraph" w:styleId="708">
    <w:name w:val="目录 6"/>
    <w:basedOn w:val="654"/>
    <w:next w:val="654"/>
    <w:link w:val="654"/>
    <w:semiHidden/>
    <w:pPr>
      <w:ind w:left="1050"/>
      <w:jc w:val="left"/>
    </w:pPr>
    <w:rPr>
      <w:rFonts w:ascii="Times New Roman" w:hAnsi="Times New Roman" w:eastAsia="宋体" w:cs="Times New Roman"/>
      <w:szCs w:val="21"/>
    </w:rPr>
  </w:style>
  <w:style w:type="paragraph" w:styleId="709">
    <w:name w:val="正文文本缩进 3"/>
    <w:basedOn w:val="654"/>
    <w:next w:val="709"/>
    <w:link w:val="710"/>
    <w:pPr>
      <w:ind w:left="645" w:firstLine="645"/>
    </w:pPr>
    <w:rPr>
      <w:rFonts w:ascii="Arial" w:hAnsi="Arial" w:eastAsia="仿宋_GB2312" w:cs="Arial"/>
      <w:color w:val="ffff00"/>
      <w:sz w:val="32"/>
      <w:szCs w:val="32"/>
    </w:rPr>
  </w:style>
  <w:style w:type="character" w:styleId="710">
    <w:name w:val="正文文本缩进 3 字符"/>
    <w:next w:val="710"/>
    <w:link w:val="709"/>
    <w:rPr>
      <w:rFonts w:ascii="Arial" w:hAnsi="Arial" w:eastAsia="仿宋_GB2312" w:cs="Arial"/>
      <w:color w:val="ffff00"/>
      <w:sz w:val="32"/>
      <w:szCs w:val="32"/>
    </w:rPr>
  </w:style>
  <w:style w:type="paragraph" w:styleId="711">
    <w:name w:val="图表目录"/>
    <w:basedOn w:val="654"/>
    <w:next w:val="654"/>
    <w:link w:val="654"/>
    <w:semiHidden/>
    <w:pPr>
      <w:ind w:left="840" w:hanging="420"/>
    </w:pPr>
    <w:rPr>
      <w:rFonts w:ascii="Times New Roman" w:hAnsi="Times New Roman" w:eastAsia="宋体" w:cs="Times New Roman"/>
      <w:szCs w:val="21"/>
    </w:rPr>
  </w:style>
  <w:style w:type="paragraph" w:styleId="712">
    <w:name w:val="目录 2"/>
    <w:basedOn w:val="654"/>
    <w:next w:val="654"/>
    <w:link w:val="654"/>
    <w:semiHidden/>
    <w:pPr>
      <w:ind w:left="210"/>
      <w:jc w:val="left"/>
    </w:pPr>
    <w:rPr>
      <w:rFonts w:ascii="Times New Roman" w:hAnsi="Times New Roman" w:eastAsia="宋体" w:cs="Times New Roman"/>
      <w:smallCaps/>
      <w:szCs w:val="24"/>
    </w:rPr>
  </w:style>
  <w:style w:type="paragraph" w:styleId="713">
    <w:name w:val="目录 9"/>
    <w:basedOn w:val="654"/>
    <w:next w:val="654"/>
    <w:link w:val="654"/>
    <w:semiHidden/>
    <w:pPr>
      <w:ind w:left="1680"/>
      <w:jc w:val="left"/>
    </w:pPr>
    <w:rPr>
      <w:rFonts w:ascii="Times New Roman" w:hAnsi="Times New Roman" w:eastAsia="宋体" w:cs="Times New Roman"/>
      <w:szCs w:val="21"/>
    </w:rPr>
  </w:style>
  <w:style w:type="paragraph" w:styleId="714">
    <w:name w:val="正文文本 2"/>
    <w:basedOn w:val="654"/>
    <w:next w:val="714"/>
    <w:link w:val="715"/>
    <w:pPr>
      <w:jc w:val="center"/>
      <w:widowControl/>
    </w:pPr>
    <w:rPr>
      <w:rFonts w:ascii="楷体_GB2312" w:hAnsi="Times New Roman" w:eastAsia="楷体_GB2312" w:cs="Times New Roman"/>
      <w:sz w:val="28"/>
      <w:szCs w:val="28"/>
    </w:rPr>
  </w:style>
  <w:style w:type="character" w:styleId="715">
    <w:name w:val="正文文本 2 字符"/>
    <w:next w:val="715"/>
    <w:link w:val="714"/>
    <w:rPr>
      <w:rFonts w:ascii="楷体_GB2312" w:hAnsi="Times New Roman" w:eastAsia="楷体_GB2312" w:cs="Times New Roman"/>
      <w:sz w:val="28"/>
      <w:szCs w:val="28"/>
    </w:rPr>
  </w:style>
  <w:style w:type="paragraph" w:styleId="716">
    <w:name w:val="普通(网站)"/>
    <w:basedOn w:val="654"/>
    <w:next w:val="716"/>
    <w:link w:val="654"/>
    <w:uiPriority w:val="99"/>
    <w:pPr>
      <w:jc w:val="left"/>
      <w:spacing w:before="100" w:beforeAutospacing="1" w:after="100" w:afterAutospacing="1"/>
      <w:widowControl/>
    </w:pPr>
    <w:rPr>
      <w:rFonts w:ascii="宋体" w:hAnsi="宋体" w:eastAsia="宋体" w:cs="宋体"/>
      <w:sz w:val="24"/>
      <w:szCs w:val="24"/>
    </w:rPr>
  </w:style>
  <w:style w:type="paragraph" w:styleId="717">
    <w:name w:val="索引 1"/>
    <w:basedOn w:val="654"/>
    <w:next w:val="654"/>
    <w:link w:val="654"/>
    <w:semiHidden/>
    <w:pPr>
      <w:spacing w:line="240" w:lineRule="atLeast"/>
    </w:pPr>
    <w:rPr>
      <w:rFonts w:ascii="Times New Roman" w:hAnsi="Times New Roman" w:eastAsia="宋体" w:cs="Times New Roman"/>
      <w:b/>
      <w:bCs/>
      <w:szCs w:val="21"/>
    </w:rPr>
  </w:style>
  <w:style w:type="paragraph" w:styleId="718">
    <w:name w:val="批注主题"/>
    <w:basedOn w:val="681"/>
    <w:next w:val="681"/>
    <w:link w:val="719"/>
    <w:semiHidden/>
    <w:rPr>
      <w:rFonts w:ascii="Times New Roman" w:hAnsi="Times New Roman" w:eastAsia="宋体" w:cs="Times New Roman"/>
      <w:b/>
      <w:bCs/>
      <w:szCs w:val="21"/>
    </w:rPr>
  </w:style>
  <w:style w:type="character" w:styleId="719">
    <w:name w:val="批注主题 字符"/>
    <w:next w:val="719"/>
    <w:link w:val="718"/>
    <w:semiHidden/>
    <w:rPr>
      <w:rFonts w:ascii="Times New Roman" w:hAnsi="Times New Roman" w:eastAsia="宋体" w:cs="Times New Roman"/>
      <w:b/>
      <w:bCs/>
      <w:szCs w:val="21"/>
    </w:rPr>
  </w:style>
  <w:style w:type="paragraph" w:styleId="720">
    <w:name w:val="正文首行缩进"/>
    <w:basedOn w:val="654"/>
    <w:next w:val="720"/>
    <w:link w:val="721"/>
    <w:pPr>
      <w:ind w:firstLine="200"/>
      <w:spacing w:line="360" w:lineRule="auto"/>
    </w:pPr>
    <w:rPr>
      <w:rFonts w:ascii="仿宋_GB2312" w:hAnsi="Times New Roman" w:eastAsia="仿宋_GB2312" w:cs="Times New Roman"/>
      <w:sz w:val="30"/>
      <w:szCs w:val="30"/>
    </w:rPr>
  </w:style>
  <w:style w:type="character" w:styleId="721">
    <w:name w:val="正文文本首行缩进 字符"/>
    <w:next w:val="721"/>
    <w:link w:val="720"/>
    <w:rPr>
      <w:rFonts w:ascii="仿宋_GB2312" w:hAnsi="Times New Roman" w:eastAsia="仿宋_GB2312" w:cs="Times New Roman"/>
      <w:sz w:val="30"/>
      <w:szCs w:val="30"/>
    </w:rPr>
  </w:style>
  <w:style w:type="paragraph" w:styleId="722">
    <w:name w:val="正文首行缩进 2"/>
    <w:basedOn w:val="687"/>
    <w:next w:val="722"/>
    <w:link w:val="723"/>
    <w:pPr>
      <w:ind w:left="0" w:firstLine="420"/>
      <w:spacing w:after="0" w:line="360" w:lineRule="auto"/>
    </w:pPr>
    <w:rPr>
      <w:rFonts w:ascii="宋体" w:hAnsi="宋体" w:eastAsia="宋体" w:cs="Times New Roman"/>
      <w:szCs w:val="20"/>
    </w:rPr>
  </w:style>
  <w:style w:type="character" w:styleId="723">
    <w:name w:val="正文文本首行缩进 2 字符"/>
    <w:next w:val="723"/>
    <w:link w:val="722"/>
    <w:rPr>
      <w:rFonts w:ascii="宋体" w:hAnsi="宋体" w:eastAsia="宋体" w:cs="Times New Roman"/>
      <w:szCs w:val="20"/>
    </w:rPr>
  </w:style>
  <w:style w:type="table" w:styleId="724">
    <w:name w:val="网格型"/>
    <w:basedOn w:val="665"/>
    <w:next w:val="724"/>
    <w:link w:val="654"/>
    <w:pPr>
      <w:jc w:val="both"/>
      <w:widowControl w:val="off"/>
    </w:pPr>
    <w:rPr>
      <w:rFonts w:ascii="Times New Roman" w:hAnsi="Times New Roman" w:eastAsia="宋体" w:cs="Times New Roman"/>
      <w:sz w:val="20"/>
      <w:szCs w:val="20"/>
    </w:rPr>
    <w:tblPr/>
  </w:style>
  <w:style w:type="character" w:styleId="725">
    <w:name w:val="要点"/>
    <w:next w:val="725"/>
    <w:link w:val="654"/>
    <w:qFormat/>
    <w:rPr>
      <w:b/>
      <w:bCs/>
    </w:rPr>
  </w:style>
  <w:style w:type="character" w:styleId="726">
    <w:name w:val="页码"/>
    <w:next w:val="726"/>
    <w:link w:val="654"/>
  </w:style>
  <w:style w:type="character" w:styleId="727">
    <w:name w:val="已访问的超链接"/>
    <w:next w:val="727"/>
    <w:link w:val="654"/>
    <w:rPr>
      <w:color w:val="800080"/>
      <w:u w:val="single"/>
    </w:rPr>
  </w:style>
  <w:style w:type="character" w:styleId="728">
    <w:name w:val="超链接"/>
    <w:next w:val="728"/>
    <w:link w:val="654"/>
    <w:rPr>
      <w:color w:val="0000ff"/>
      <w:u w:val="single"/>
    </w:rPr>
  </w:style>
  <w:style w:type="character" w:styleId="729">
    <w:name w:val="批注引用"/>
    <w:next w:val="729"/>
    <w:link w:val="654"/>
    <w:semiHidden/>
    <w:rPr>
      <w:sz w:val="21"/>
      <w:szCs w:val="21"/>
    </w:rPr>
  </w:style>
  <w:style w:type="character" w:styleId="730">
    <w:name w:val="font5 Char"/>
    <w:next w:val="730"/>
    <w:link w:val="654"/>
    <w:rPr>
      <w:rFonts w:ascii="宋体" w:hAnsi="宋体" w:eastAsia="宋体"/>
      <w:sz w:val="28"/>
      <w:szCs w:val="28"/>
      <w:lang w:val="en-US" w:eastAsia="zh-CN" w:bidi="ar-SA"/>
    </w:rPr>
  </w:style>
  <w:style w:type="character" w:styleId="731">
    <w:name w:val="二级目录 Char"/>
    <w:next w:val="731"/>
    <w:link w:val="732"/>
    <w:rPr>
      <w:b/>
      <w:sz w:val="30"/>
      <w:szCs w:val="28"/>
    </w:rPr>
  </w:style>
  <w:style w:type="paragraph" w:styleId="732">
    <w:name w:val="二级目录"/>
    <w:next w:val="654"/>
    <w:link w:val="731"/>
    <w:pPr>
      <w:numPr>
        <w:ilvl w:val="0"/>
        <w:numId w:val="2"/>
      </w:numPr>
      <w:tabs>
        <w:tab w:val="left" w:pos="907" w:leader="none"/>
        <w:tab w:val="left" w:pos="1145" w:leader="none"/>
      </w:tabs>
      <w:outlineLvl w:val="1"/>
    </w:pPr>
    <w:rPr>
      <w:b/>
      <w:sz w:val="30"/>
      <w:szCs w:val="28"/>
      <w:lang w:val="en-US" w:eastAsia="zh-CN" w:bidi="ar-SA"/>
    </w:rPr>
  </w:style>
  <w:style w:type="character" w:styleId="733">
    <w:name w:val="列出段落 Char,Bullet List Char,numbered Char,FooterText Char,List Paragraph1 Char,Paragraphe de liste1 Char"/>
    <w:next w:val="733"/>
    <w:link w:val="734"/>
    <w:rPr>
      <w:rFonts w:ascii="Calibri" w:hAnsi="Calibri"/>
      <w:sz w:val="24"/>
      <w:szCs w:val="24"/>
      <w:lang w:eastAsia="en-US" w:bidi="en-US"/>
    </w:rPr>
  </w:style>
  <w:style w:type="paragraph" w:styleId="734">
    <w:name w:val="列出段落1"/>
    <w:basedOn w:val="654"/>
    <w:next w:val="734"/>
    <w:link w:val="733"/>
    <w:qFormat/>
    <w:pPr>
      <w:contextualSpacing/>
      <w:ind w:left="720"/>
      <w:jc w:val="left"/>
      <w:widowControl/>
    </w:pPr>
    <w:rPr>
      <w:rFonts w:ascii="Calibri" w:hAnsi="Calibri"/>
      <w:sz w:val="24"/>
      <w:szCs w:val="24"/>
      <w:lang w:eastAsia="en-US" w:bidi="en-US"/>
    </w:rPr>
  </w:style>
  <w:style w:type="paragraph" w:styleId="735">
    <w:name w:val="Body Text(ch)"/>
    <w:basedOn w:val="654"/>
    <w:next w:val="685"/>
    <w:link w:val="654"/>
    <w:pPr>
      <w:spacing w:after="120"/>
    </w:pPr>
    <w:rPr>
      <w:rFonts w:ascii="宋体" w:hAnsi="Arial" w:eastAsia="宋体" w:cs="Times New Roman"/>
      <w:bCs/>
      <w:iCs/>
      <w:szCs w:val="24"/>
    </w:rPr>
  </w:style>
  <w:style w:type="paragraph" w:styleId="736">
    <w:name w:val="xl27"/>
    <w:basedOn w:val="654"/>
    <w:next w:val="736"/>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7">
    <w:name w:val="xl26"/>
    <w:basedOn w:val="654"/>
    <w:next w:val="737"/>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8">
    <w:name w:val="Char"/>
    <w:basedOn w:val="654"/>
    <w:next w:val="738"/>
    <w:link w:val="654"/>
    <w:pPr>
      <w:ind w:firstLine="200"/>
      <w:tabs>
        <w:tab w:val="left" w:pos="360" w:leader="none"/>
      </w:tabs>
    </w:pPr>
    <w:rPr>
      <w:rFonts w:ascii="Times New Roman" w:hAnsi="Times New Roman" w:eastAsia="宋体" w:cs="Times New Roman"/>
      <w:sz w:val="28"/>
      <w:szCs w:val="30"/>
    </w:rPr>
  </w:style>
  <w:style w:type="paragraph" w:styleId="739">
    <w:name w:val=" Char"/>
    <w:basedOn w:val="679"/>
    <w:next w:val="739"/>
    <w:link w:val="654"/>
    <w:rPr>
      <w:rFonts w:ascii="Tahoma" w:hAnsi="Tahoma"/>
      <w:sz w:val="24"/>
      <w:szCs w:val="24"/>
    </w:rPr>
  </w:style>
  <w:style w:type="paragraph" w:styleId="740">
    <w:name w:val="普通正文"/>
    <w:basedOn w:val="654"/>
    <w:next w:val="740"/>
    <w:link w:val="654"/>
    <w:pPr>
      <w:ind w:firstLine="480"/>
      <w:jc w:val="left"/>
      <w:spacing w:before="120" w:after="120" w:line="360" w:lineRule="auto"/>
    </w:pPr>
    <w:rPr>
      <w:rFonts w:ascii="Arial" w:hAnsi="Arial" w:eastAsia="宋体" w:cs="Times New Roman"/>
      <w:sz w:val="24"/>
      <w:szCs w:val="24"/>
    </w:rPr>
  </w:style>
  <w:style w:type="paragraph" w:styleId="741">
    <w:name w:val="table_lines"/>
    <w:basedOn w:val="654"/>
    <w:next w:val="741"/>
    <w:link w:val="654"/>
    <w:pPr>
      <w:jc w:val="left"/>
      <w:widowControl/>
    </w:pPr>
    <w:rPr>
      <w:rFonts w:ascii="Times New Roman" w:hAnsi="Times New Roman" w:eastAsia="宋体" w:cs="Times New Roman"/>
      <w:sz w:val="20"/>
      <w:szCs w:val="20"/>
      <w:lang w:val="de-DE" w:eastAsia="de-DE"/>
    </w:rPr>
  </w:style>
  <w:style w:type="paragraph" w:styleId="742">
    <w:name w:val="附录1"/>
    <w:next w:val="742"/>
    <w:link w:val="654"/>
    <w:pPr>
      <w:numPr>
        <w:ilvl w:val="0"/>
        <w:numId w:val="2"/>
      </w:numPr>
      <w:spacing w:before="240" w:line="600" w:lineRule="atLeast"/>
      <w:tabs>
        <w:tab w:val="left" w:pos="907" w:leader="none"/>
      </w:tabs>
    </w:pPr>
    <w:rPr>
      <w:b/>
      <w:i/>
      <w:sz w:val="28"/>
      <w:lang w:val="en-US" w:eastAsia="zh-CN" w:bidi="ar-SA"/>
    </w:rPr>
  </w:style>
  <w:style w:type="paragraph" w:styleId="743">
    <w:name w:val="font7"/>
    <w:basedOn w:val="654"/>
    <w:next w:val="743"/>
    <w:link w:val="654"/>
    <w:pPr>
      <w:jc w:val="left"/>
      <w:spacing w:before="100" w:beforeAutospacing="1" w:after="100" w:afterAutospacing="1"/>
      <w:widowControl/>
    </w:pPr>
    <w:rPr>
      <w:rFonts w:hint="eastAsia" w:ascii="宋体" w:hAnsi="宋体" w:eastAsia="宋体" w:cs="Times New Roman"/>
      <w:sz w:val="18"/>
      <w:szCs w:val="18"/>
    </w:rPr>
  </w:style>
  <w:style w:type="paragraph" w:styleId="744">
    <w:name w:val=" Char Char Char Char"/>
    <w:basedOn w:val="679"/>
    <w:next w:val="744"/>
    <w:link w:val="654"/>
    <w:pPr>
      <w:spacing w:line="360" w:lineRule="auto"/>
    </w:pPr>
    <w:rPr>
      <w:rFonts w:ascii="Tahoma" w:hAnsi="Tahoma"/>
      <w:sz w:val="24"/>
      <w:szCs w:val="24"/>
    </w:rPr>
  </w:style>
  <w:style w:type="paragraph" w:styleId="745">
    <w:name w:val="列表段落"/>
    <w:basedOn w:val="654"/>
    <w:next w:val="745"/>
    <w:link w:val="654"/>
    <w:qFormat/>
    <w:pPr>
      <w:contextualSpacing/>
      <w:ind w:left="720"/>
      <w:jc w:val="left"/>
      <w:widowControl/>
    </w:pPr>
    <w:rPr>
      <w:rFonts w:ascii="Calibri" w:hAnsi="Calibri" w:eastAsia="宋体" w:cs="Times New Roman"/>
      <w:sz w:val="24"/>
      <w:szCs w:val="24"/>
      <w:lang w:eastAsia="en-US" w:bidi="en-US"/>
    </w:rPr>
  </w:style>
  <w:style w:type="paragraph" w:styleId="746">
    <w:name w:val="4"/>
    <w:basedOn w:val="654"/>
    <w:next w:val="709"/>
    <w:link w:val="654"/>
    <w:pPr>
      <w:ind w:firstLine="420"/>
      <w:spacing w:line="360" w:lineRule="auto"/>
    </w:pPr>
    <w:rPr>
      <w:rFonts w:ascii="Times New Roman" w:hAnsi="Times New Roman" w:eastAsia="宋体" w:cs="Times New Roman"/>
      <w:color w:val="ff0000"/>
      <w:sz w:val="24"/>
      <w:szCs w:val="24"/>
    </w:rPr>
  </w:style>
  <w:style w:type="paragraph" w:styleId="747">
    <w:name w:val="普通 (Web)"/>
    <w:basedOn w:val="654"/>
    <w:next w:val="747"/>
    <w:link w:val="654"/>
    <w:pPr>
      <w:jc w:val="left"/>
      <w:spacing w:before="100" w:beforeAutospacing="1" w:after="100" w:afterAutospacing="1"/>
      <w:widowControl/>
    </w:pPr>
    <w:rPr>
      <w:rFonts w:ascii="宋体" w:hAnsi="宋体" w:eastAsia="宋体" w:cs="Times New Roman"/>
      <w:sz w:val="24"/>
      <w:szCs w:val="24"/>
    </w:rPr>
  </w:style>
  <w:style w:type="paragraph" w:styleId="748">
    <w:name w:val=" Char Char Char Char Char Char Char Char Char Char"/>
    <w:basedOn w:val="654"/>
    <w:next w:val="748"/>
    <w:link w:val="654"/>
    <w:pPr>
      <w:spacing w:line="360" w:lineRule="auto"/>
    </w:pPr>
    <w:rPr>
      <w:rFonts w:ascii="Times New Roman" w:hAnsi="Times New Roman" w:eastAsia="宋体" w:cs="Times New Roman"/>
      <w:sz w:val="24"/>
      <w:szCs w:val="20"/>
    </w:rPr>
  </w:style>
  <w:style w:type="paragraph" w:styleId="749">
    <w:name w:val="样式1"/>
    <w:basedOn w:val="654"/>
    <w:next w:val="749"/>
    <w:link w:val="654"/>
    <w:pPr>
      <w:numPr>
        <w:ilvl w:val="0"/>
        <w:numId w:val="3"/>
      </w:numPr>
      <w:tabs>
        <w:tab w:val="left" w:pos="709" w:leader="none"/>
      </w:tabs>
    </w:pPr>
    <w:rPr>
      <w:rFonts w:ascii="宋体" w:hAnsi="宋体" w:eastAsia="宋体" w:cs="Times New Roman"/>
      <w:szCs w:val="21"/>
    </w:rPr>
  </w:style>
  <w:style w:type="paragraph" w:styleId="750">
    <w:name w:val="font6"/>
    <w:basedOn w:val="654"/>
    <w:next w:val="750"/>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1">
    <w:name w:val="xl25"/>
    <w:basedOn w:val="654"/>
    <w:next w:val="751"/>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2">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3">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54">
    <w:name w:val="xl24"/>
    <w:basedOn w:val="654"/>
    <w:next w:val="754"/>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5">
    <w:name w:val="xl29"/>
    <w:basedOn w:val="654"/>
    <w:next w:val="755"/>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6">
    <w:name w:val="Char Char Char Char Char Char Char Char"/>
    <w:basedOn w:val="654"/>
    <w:next w:val="756"/>
    <w:link w:val="654"/>
    <w:pPr>
      <w:jc w:val="left"/>
      <w:spacing w:after="160" w:line="240" w:lineRule="exact"/>
      <w:widowControl/>
    </w:pPr>
    <w:rPr>
      <w:rFonts w:ascii="Verdana" w:hAnsi="Verdana" w:eastAsia="宋体" w:cs="Times New Roman"/>
      <w:sz w:val="20"/>
      <w:szCs w:val="20"/>
      <w:lang w:eastAsia="en-US"/>
    </w:rPr>
  </w:style>
  <w:style w:type="paragraph" w:styleId="757">
    <w:name w:val="xl28"/>
    <w:basedOn w:val="654"/>
    <w:next w:val="757"/>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58">
    <w:name w:val=" Char Char Char Char Char Char Char Char"/>
    <w:basedOn w:val="654"/>
    <w:next w:val="758"/>
    <w:link w:val="654"/>
    <w:pPr>
      <w:jc w:val="left"/>
      <w:spacing w:after="160" w:line="240" w:lineRule="exact"/>
      <w:widowControl/>
    </w:pPr>
    <w:rPr>
      <w:rFonts w:ascii="Verdana" w:hAnsi="Verdana" w:eastAsia="宋体" w:cs="Times New Roman"/>
      <w:sz w:val="20"/>
      <w:szCs w:val="20"/>
      <w:lang w:eastAsia="en-US"/>
    </w:rPr>
  </w:style>
  <w:style w:type="paragraph" w:styleId="759">
    <w:name w:val="xl30"/>
    <w:basedOn w:val="654"/>
    <w:next w:val="759"/>
    <w:link w:val="654"/>
    <w:pPr>
      <w:jc w:val="center"/>
      <w:spacing w:before="100" w:beforeAutospacing="1" w:after="100" w:afterAutospacing="1"/>
      <w:widowControl/>
    </w:pPr>
    <w:rPr>
      <w:rFonts w:ascii="宋体" w:hAnsi="宋体" w:eastAsia="宋体" w:cs="Times New Roman"/>
      <w:b/>
      <w:bCs/>
      <w:sz w:val="36"/>
      <w:szCs w:val="36"/>
    </w:rPr>
  </w:style>
  <w:style w:type="paragraph" w:styleId="760">
    <w:name w:val="Char Char Char Char"/>
    <w:basedOn w:val="679"/>
    <w:next w:val="760"/>
    <w:link w:val="654"/>
    <w:pPr>
      <w:spacing w:line="360" w:lineRule="auto"/>
    </w:pPr>
    <w:rPr>
      <w:rFonts w:ascii="Tahoma" w:hAnsi="Tahoma"/>
      <w:sz w:val="24"/>
      <w:szCs w:val="24"/>
    </w:rPr>
  </w:style>
  <w:style w:type="paragraph" w:styleId="761">
    <w:name w:val="table_1stline"/>
    <w:basedOn w:val="654"/>
    <w:next w:val="761"/>
    <w:link w:val="654"/>
    <w:pPr>
      <w:jc w:val="left"/>
      <w:spacing w:before="120"/>
      <w:widowControl/>
    </w:pPr>
    <w:rPr>
      <w:rFonts w:ascii="Times New Roman" w:hAnsi="Times New Roman" w:eastAsia="宋体" w:cs="Times New Roman"/>
      <w:bCs/>
      <w:sz w:val="20"/>
      <w:szCs w:val="20"/>
      <w:lang w:val="de-DE" w:eastAsia="de-DE"/>
    </w:rPr>
  </w:style>
  <w:style w:type="paragraph" w:styleId="762">
    <w:name w:val="font5"/>
    <w:basedOn w:val="654"/>
    <w:next w:val="762"/>
    <w:link w:val="654"/>
    <w:pPr>
      <w:jc w:val="left"/>
      <w:spacing w:before="100" w:beforeAutospacing="1" w:after="100" w:afterAutospacing="1"/>
      <w:widowControl/>
    </w:pPr>
    <w:rPr>
      <w:rFonts w:hint="eastAsia" w:ascii="宋体" w:hAnsi="宋体" w:eastAsia="宋体" w:cs="Times New Roman"/>
      <w:sz w:val="28"/>
      <w:szCs w:val="28"/>
    </w:rPr>
  </w:style>
  <w:style w:type="paragraph" w:styleId="763">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4">
    <w:name w:val="修订"/>
    <w:next w:val="764"/>
    <w:link w:val="654"/>
    <w:uiPriority w:val="99"/>
    <w:semiHidden/>
    <w:rPr>
      <w:sz w:val="21"/>
      <w:szCs w:val="21"/>
      <w:lang w:val="en-US" w:eastAsia="zh-CN" w:bidi="ar-SA"/>
    </w:rPr>
  </w:style>
  <w:style w:type="paragraph" w:styleId="765">
    <w:name w:val="无间隔"/>
    <w:next w:val="765"/>
    <w:link w:val="654"/>
    <w:uiPriority w:val="99"/>
    <w:qFormat/>
    <w:pPr>
      <w:jc w:val="both"/>
      <w:widowControl w:val="off"/>
    </w:pPr>
    <w:rPr>
      <w:sz w:val="21"/>
      <w:szCs w:val="21"/>
      <w:lang w:val="en-US" w:eastAsia="zh-CN" w:bidi="ar-SA"/>
    </w:rPr>
  </w:style>
  <w:style w:type="paragraph" w:styleId="766">
    <w:name w:val="AONormal"/>
    <w:next w:val="766"/>
    <w:link w:val="654"/>
    <w:qFormat/>
    <w:pPr>
      <w:ind w:firstLine="440"/>
      <w:spacing w:line="400" w:lineRule="exact"/>
    </w:pPr>
    <w:rPr>
      <w:rFonts w:ascii="华文楷体" w:hAnsi="华文楷体" w:eastAsia="华文楷体" w:cs="华文楷体"/>
      <w:sz w:val="22"/>
      <w:szCs w:val="21"/>
      <w:lang w:val="en-US" w:eastAsia="zh-CN" w:bidi="ar-SA"/>
    </w:rPr>
  </w:style>
  <w:style w:type="character" w:styleId="11129" w:default="1">
    <w:name w:val="Default Paragraph Font"/>
    <w:uiPriority w:val="1"/>
    <w:semiHidden/>
    <w:unhideWhenUsed/>
  </w:style>
  <w:style w:type="numbering" w:styleId="11130" w:default="1">
    <w:name w:val="No List"/>
    <w:uiPriority w:val="99"/>
    <w:semiHidden/>
    <w:unhideWhenUsed/>
  </w:style>
  <w:style w:type="table" w:styleId="11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2</cp:revision>
  <dcterms:created xsi:type="dcterms:W3CDTF">2023-03-27T07:28:00Z</dcterms:created>
  <dcterms:modified xsi:type="dcterms:W3CDTF">2025-12-11T03:15:36Z</dcterms:modified>
</cp:coreProperties>
</file>