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bookmarkStart w:id="748" w:name="_GoBack"/>
      <w:r/>
      <w:r/>
    </w:p>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332"/>
        <w:ind w:firstLine="1205"/>
        <w:rPr>
          <w:rFonts w:hAnsi="宋体"/>
          <w:b/>
          <w:bCs/>
          <w:color w:val="000000" w:themeColor="text1"/>
          <w:sz w:val="60"/>
          <w:szCs w:val="60"/>
          <w:highlight w:val="none"/>
        </w:rPr>
      </w:pPr>
      <w:r>
        <w:rPr>
          <w:rFonts w:hAnsi="宋体"/>
          <w:b/>
          <w:bCs/>
          <w:color w:val="000000" w:themeColor="text1"/>
          <w:sz w:val="60"/>
          <w:szCs w:val="60"/>
          <w:highlight w:val="none"/>
        </w:rPr>
      </w:r>
      <w:r/>
    </w:p>
    <w:p>
      <w:pPr>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1332"/>
        <w:ind w:firstLine="480"/>
        <w:rPr>
          <w:color w:val="000000" w:themeColor="text1"/>
          <w:highlight w:val="none"/>
        </w:rPr>
      </w:pPr>
      <w:r>
        <w:rPr>
          <w:color w:val="000000" w:themeColor="text1"/>
          <w:highlight w:val="none"/>
        </w:rPr>
      </w:r>
      <w:r/>
    </w:p>
    <w:p>
      <w:pPr>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bCs/>
          <w:color w:val="000000" w:themeColor="text1"/>
          <w:sz w:val="36"/>
          <w:szCs w:val="36"/>
          <w:highlight w:val="none"/>
        </w:rPr>
        <w:t xml:space="preserve">项</w:t>
      </w:r>
      <w:r>
        <w:rPr>
          <w:rFonts w:hint="eastAsia" w:ascii="Times New Roman" w:hAnsi="Times New Roman" w:eastAsia="宋体" w:cs="Times New Roman"/>
          <w:bCs/>
          <w:color w:val="000000" w:themeColor="text1"/>
          <w:sz w:val="36"/>
          <w:szCs w:val="36"/>
          <w:highlight w:val="none"/>
          <w:lang w:eastAsia="zh-CN"/>
        </w:rPr>
        <w:t xml:space="preserve">目名称：</w:t>
      </w:r>
      <w:r>
        <w:rPr>
          <w:rFonts w:hint="eastAsia" w:cs="Times New Roman"/>
          <w:bCs/>
          <w:color w:val="000000" w:themeColor="text1"/>
          <w:sz w:val="36"/>
          <w:szCs w:val="36"/>
          <w:highlight w:val="none"/>
          <w:lang w:eastAsia="zh-CN"/>
        </w:rPr>
        <w:t xml:space="preserve">2025年度溧阳市溧城街道补充耕地项目</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rFonts w:hint="eastAsia" w:ascii="Times New Roman" w:hAnsi="Times New Roman" w:eastAsia="宋体" w:cs="Times New Roman"/>
          <w:bCs/>
          <w:color w:val="000000" w:themeColor="text1"/>
          <w:sz w:val="36"/>
          <w:szCs w:val="36"/>
          <w:highlight w:val="none"/>
          <w:lang w:eastAsia="zh-CN"/>
        </w:rPr>
        <w:t xml:space="preserve">项目编号：</w:t>
      </w:r>
      <w:r>
        <w:rPr>
          <w:rFonts w:hint="eastAsia" w:cs="Times New Roman"/>
          <w:bCs/>
          <w:color w:val="000000" w:themeColor="text1"/>
          <w:sz w:val="36"/>
          <w:szCs w:val="36"/>
          <w:highlight w:val="none"/>
          <w:lang w:val="en-US" w:eastAsia="zh-CN"/>
        </w:rPr>
        <w:t xml:space="preserve">JSZC-320481-LCGL-C2026-0002</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溧阳市人民政府溧城街道办事处</w:t>
      </w:r>
      <w:r/>
    </w:p>
    <w:p>
      <w:pPr>
        <w:jc w:val="both"/>
        <w:keepLines w:val="0"/>
        <w:keepNext w:val="0"/>
        <w:pageBreakBefore w:val="0"/>
        <w:spacing w:line="360" w:lineRule="auto"/>
        <w:widowControl w:val="off"/>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color w:val="000000" w:themeColor="text1"/>
          <w:sz w:val="24"/>
          <w:highlight w:val="none"/>
        </w:rPr>
      </w:pPr>
      <w:r>
        <w:rPr>
          <w:b/>
          <w:bCs/>
          <w:color w:val="000000" w:themeColor="text1"/>
          <w:sz w:val="44"/>
          <w:highlight w:val="none"/>
        </w:rPr>
        <w:br w:type="page" w:clear="all"/>
      </w:r>
      <w:r/>
    </w:p>
    <w:p>
      <w:pPr>
        <w:pStyle w:val="1331"/>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104818924"/>
      <w:r/>
      <w:bookmarkStart w:id="1" w:name="_Toc28383"/>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bookmarkEnd w:id="1"/>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297"/>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_Toc1923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_Toc1923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_Toc14381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_Toc14381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_Toc12381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_Toc12381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_Toc31601 </w:instrText>
      </w:r>
      <w:r>
        <w:rPr>
          <w:rFonts w:ascii="Times New Roman" w:hAnsi="Times New Roman"/>
          <w:color w:val="000000" w:themeColor="text1"/>
          <w:highlight w:val="none"/>
        </w:rPr>
        <w:fldChar w:fldCharType="separate"/>
      </w:r>
      <w:r>
        <w:rPr>
          <w:rFonts w:hint="eastAsia"/>
          <w:color w:val="000000" w:themeColor="text1"/>
          <w:szCs w:val="36"/>
          <w:highlight w:val="none"/>
        </w:rPr>
        <w:t xml:space="preserve">第四章   </w:t>
      </w:r>
      <w:r>
        <w:rPr>
          <w:color w:val="000000" w:themeColor="text1"/>
          <w:szCs w:val="36"/>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_Toc31601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_Toc18619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_Toc18619 \h </w:instrText>
      </w:r>
      <w:r>
        <w:rPr>
          <w:color w:val="000000" w:themeColor="text1"/>
          <w:highlight w:val="none"/>
        </w:rPr>
        <w:fldChar w:fldCharType="separate"/>
      </w:r>
      <w:r>
        <w:rPr>
          <w:color w:val="000000" w:themeColor="text1"/>
          <w:highlight w:val="none"/>
        </w:rPr>
        <w:t xml:space="preserve">107</w:t>
      </w:r>
      <w:r>
        <w:rPr>
          <w:color w:val="000000" w:themeColor="text1"/>
          <w:highlight w:val="none"/>
        </w:rPr>
        <w:fldChar w:fldCharType="end"/>
      </w:r>
      <w:r>
        <w:rPr>
          <w:rFonts w:ascii="Times New Roman" w:hAnsi="Times New Roman"/>
          <w:color w:val="000000" w:themeColor="text1"/>
          <w:highlight w:val="none"/>
        </w:rPr>
        <w:fldChar w:fldCharType="end"/>
      </w:r>
      <w:r/>
    </w:p>
    <w:p>
      <w:pPr>
        <w:pStyle w:val="1297"/>
        <w:spacing w:line="360" w:lineRule="auto"/>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p>
    <w:p>
      <w:pPr>
        <w:jc w:val="left"/>
        <w:spacing w:line="360" w:lineRule="auto"/>
        <w:rPr>
          <w:b/>
          <w:color w:val="000000" w:themeColor="text1"/>
          <w:sz w:val="36"/>
          <w:szCs w:val="36"/>
          <w:highlight w:val="none"/>
        </w:rPr>
        <w:sectPr>
          <w:headerReference w:type="default" r:id="rId9"/>
          <w:headerReference w:type="first" r:id="rId10"/>
          <w:footerReference w:type="default" r:id="rId16"/>
          <w:footerReference w:type="even" r:id="rId17"/>
          <w:footerReference w:type="first" r:id="rId18"/>
          <w:footnotePr/>
          <w:endnotePr/>
          <w:type w:val="nextColumn"/>
          <w:pgSz w:w="11905" w:h="16840" w:orient="portrait"/>
          <w:pgMar w:top="1247" w:right="1871" w:bottom="1247" w:left="1871" w:header="850" w:footer="850"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bookmarkStart w:id="2" w:name="_Toc1923"/>
      <w:r>
        <w:rPr>
          <w:b/>
          <w:color w:val="000000" w:themeColor="text1"/>
          <w:sz w:val="36"/>
          <w:szCs w:val="36"/>
          <w:highlight w:val="none"/>
        </w:rPr>
        <w:t xml:space="preserve">第一章   采购邀请</w:t>
      </w:r>
      <w:bookmarkEnd w:id="2"/>
      <w:r/>
      <w:bookmarkStart w:id="3" w:name="_Toc35393621"/>
      <w:r/>
      <w:bookmarkStart w:id="4" w:name="_Toc28359002"/>
      <w:r/>
      <w:bookmarkStart w:id="5" w:name="_Toc28359079"/>
      <w:r/>
      <w:bookmarkStart w:id="6" w:name="_Toc35393790"/>
      <w:r/>
      <w:bookmarkStart w:id="7" w:name="_Hlk24379207"/>
      <w:r/>
      <w:r/>
    </w:p>
    <w:p>
      <w:pPr>
        <w:ind w:firstLine="480"/>
        <w:spacing w:line="360" w:lineRule="auto"/>
        <w:rPr>
          <w:color w:val="000000" w:themeColor="text1"/>
          <w:sz w:val="24"/>
          <w:highlight w:val="none"/>
        </w:rPr>
      </w:pPr>
      <w:r>
        <w:rPr>
          <w:color w:val="000000" w:themeColor="text1"/>
          <w:sz w:val="24"/>
          <w:highlight w:val="none"/>
        </w:rPr>
      </w:r>
      <w:r/>
    </w:p>
    <w:p>
      <w:pPr>
        <w:pStyle w:val="1247"/>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3"/>
      <w:r/>
      <w:bookmarkEnd w:id="4"/>
      <w:r/>
      <w:bookmarkEnd w:id="5"/>
      <w:r/>
      <w:bookmarkEnd w:id="6"/>
      <w:r/>
      <w:r/>
    </w:p>
    <w:p>
      <w:pPr>
        <w:ind w:firstLine="480"/>
        <w:spacing w:line="360" w:lineRule="auto"/>
        <w:rPr>
          <w:rFonts w:hint="default" w:ascii="Times New Roman" w:hAnsi="Times New Roman" w:eastAsia="宋体" w:cs="Times New Roman"/>
          <w:color w:val="000000" w:themeColor="text1"/>
          <w:sz w:val="24"/>
          <w:highlight w:val="none"/>
          <w:lang w:val="en-US"/>
        </w:rPr>
      </w:pPr>
      <w:r>
        <w:rPr>
          <w:color w:val="000000" w:themeColor="text1"/>
          <w:sz w:val="24"/>
          <w:highlight w:val="none"/>
        </w:rPr>
        <w:t xml:space="preserve">1.项目</w:t>
      </w:r>
      <w:r>
        <w:rPr>
          <w:rFonts w:ascii="Times New Roman" w:hAnsi="Times New Roman" w:eastAsia="宋体" w:cs="Times New Roman"/>
          <w:color w:val="000000" w:themeColor="text1"/>
          <w:sz w:val="24"/>
          <w:highlight w:val="none"/>
        </w:rPr>
        <w:t xml:space="preserve">编号：</w:t>
      </w:r>
      <w:r>
        <w:rPr>
          <w:rFonts w:hint="eastAsia" w:cs="Times New Roman"/>
          <w:color w:val="000000" w:themeColor="text1"/>
          <w:sz w:val="24"/>
          <w:highlight w:val="none"/>
          <w:lang w:val="en-US" w:eastAsia="zh-CN"/>
        </w:rPr>
        <w:t xml:space="preserve">JSZC-320481-LCGL-C2026-0002</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2025年度溧阳市溧城街道补充耕地项目</w:t>
      </w:r>
      <w:r/>
    </w:p>
    <w:p>
      <w:pPr>
        <w:ind w:firstLine="480"/>
        <w:spacing w:line="360" w:lineRule="auto"/>
        <w:rPr>
          <w:color w:val="000000" w:themeColor="text1"/>
          <w:sz w:val="24"/>
          <w:highlight w:val="none"/>
        </w:rPr>
      </w:pPr>
      <w:r>
        <w:rPr>
          <w:color w:val="000000" w:themeColor="text1"/>
          <w:sz w:val="24"/>
          <w:highlight w:val="none"/>
        </w:rPr>
        <w:t xml:space="preserve">3.采购方式：竞争性磋商</w:t>
      </w:r>
      <w:bookmarkEnd w:id="7"/>
      <w:r/>
      <w:r/>
    </w:p>
    <w:p>
      <w:pPr>
        <w:ind w:firstLine="480"/>
        <w:spacing w:line="360" w:lineRule="auto"/>
        <w:rPr>
          <w:color w:val="000000" w:themeColor="text1"/>
          <w:sz w:val="24"/>
          <w:highlight w:val="none"/>
        </w:rPr>
      </w:pPr>
      <w:r>
        <w:rPr>
          <w:color w:val="000000" w:themeColor="text1"/>
          <w:sz w:val="24"/>
          <w:highlight w:val="none"/>
        </w:rPr>
        <w:t xml:space="preserve">4.项目预算金</w:t>
      </w:r>
      <w:r>
        <w:rPr>
          <w:rFonts w:ascii="Times New Roman" w:hAnsi="Times New Roman" w:eastAsia="宋体" w:cs="Times New Roman"/>
          <w:color w:val="000000" w:themeColor="text1"/>
          <w:sz w:val="24"/>
          <w:highlight w:val="none"/>
        </w:rPr>
        <w:t xml:space="preserve">额：</w:t>
      </w:r>
      <w:r>
        <w:rPr>
          <w:rFonts w:hint="eastAsia" w:cs="Times New Roman"/>
          <w:color w:val="000000" w:themeColor="text1"/>
          <w:sz w:val="24"/>
          <w:highlight w:val="none"/>
          <w:lang w:val="en-US" w:eastAsia="zh-CN"/>
        </w:rPr>
        <w:t xml:space="preserve">137.5</w:t>
      </w:r>
      <w:r>
        <w:rPr>
          <w:rFonts w:hint="eastAsia" w:ascii="Times New Roman" w:hAnsi="Times New Roman" w:eastAsia="宋体" w:cs="Times New Roman"/>
          <w:color w:val="000000" w:themeColor="text1"/>
          <w:sz w:val="24"/>
          <w:highlight w:val="none"/>
          <w:lang w:eastAsia="zh-CN"/>
        </w:rPr>
        <w:t xml:space="preserve">万</w:t>
      </w:r>
      <w:r>
        <w:rPr>
          <w:rFonts w:ascii="Times New Roman" w:hAnsi="Times New Roman" w:eastAsia="宋体" w:cs="Times New Roman"/>
          <w:color w:val="000000" w:themeColor="text1"/>
          <w:sz w:val="24"/>
          <w:highlight w:val="none"/>
        </w:rPr>
        <w:t xml:space="preserve">元、</w:t>
      </w:r>
      <w:r>
        <w:rPr>
          <w:color w:val="000000" w:themeColor="text1"/>
          <w:sz w:val="24"/>
          <w:highlight w:val="none"/>
        </w:rPr>
        <w:t xml:space="preserve">项目最高限价：</w:t>
      </w:r>
      <w:r>
        <w:rPr>
          <w:rFonts w:hint="eastAsia"/>
          <w:color w:val="000000" w:themeColor="text1"/>
          <w:sz w:val="24"/>
          <w:highlight w:val="none"/>
          <w:lang w:val="en-US" w:eastAsia="zh-CN"/>
        </w:rPr>
        <w:t xml:space="preserve">124.76万</w:t>
      </w:r>
      <w:r>
        <w:rPr>
          <w:rFonts w:hint="eastAsia"/>
          <w:color w:val="000000" w:themeColor="text1"/>
          <w:sz w:val="24"/>
          <w:highlight w:val="none"/>
        </w:rPr>
        <w:t xml:space="preserve">元</w:t>
      </w:r>
      <w:r/>
    </w:p>
    <w:p>
      <w:pPr>
        <w:ind w:firstLine="480"/>
        <w:spacing w:line="360" w:lineRule="auto"/>
        <w:rPr>
          <w:rFonts w:hint="eastAsia"/>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图纸及</w:t>
      </w:r>
      <w:r>
        <w:rPr>
          <w:rFonts w:hint="eastAsia"/>
          <w:color w:val="000000" w:themeColor="text1"/>
          <w:sz w:val="24"/>
          <w:highlight w:val="none"/>
        </w:rPr>
        <w:t xml:space="preserve">工程量清单范围内所有工程</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6.合同履行期限</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90日历天</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pStyle w:val="1247"/>
        <w:jc w:val="left"/>
        <w:spacing w:before="0" w:line="360" w:lineRule="auto"/>
        <w:rPr>
          <w:rFonts w:ascii="Times New Roman" w:hAnsi="Times New Roman" w:eastAsia="宋体"/>
          <w:color w:val="000000" w:themeColor="text1"/>
          <w:sz w:val="24"/>
          <w:szCs w:val="24"/>
          <w:highlight w:val="none"/>
        </w:rPr>
      </w:pPr>
      <w:r/>
      <w:bookmarkStart w:id="8" w:name="_Toc28359003"/>
      <w:r/>
      <w:bookmarkStart w:id="9" w:name="_Toc35393622"/>
      <w:r/>
      <w:bookmarkStart w:id="10" w:name="_Toc35393791"/>
      <w:r/>
      <w:bookmarkStart w:id="11" w:name="_Toc28359080"/>
      <w:r>
        <w:rPr>
          <w:rFonts w:ascii="Times New Roman" w:hAnsi="Times New Roman" w:eastAsia="宋体"/>
          <w:color w:val="000000" w:themeColor="text1"/>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000000" w:themeColor="text1"/>
          <w:sz w:val="24"/>
          <w:highlight w:val="none"/>
        </w:rPr>
      </w:pPr>
      <w:r/>
      <w:bookmarkStart w:id="12" w:name="_Toc28359004"/>
      <w:r/>
      <w:bookmarkStart w:id="13" w:name="_Toc28359081"/>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val="en-US"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rFonts w:hint="eastAsia"/>
          <w:b/>
          <w:bCs/>
          <w:color w:val="auto"/>
          <w:sz w:val="24"/>
          <w:highlight w:val="none"/>
        </w:rPr>
        <w:t xml:space="preserve">本项目专门面向中小企业采购，即</w:t>
      </w:r>
      <w:r>
        <w:rPr>
          <w:rFonts w:hint="eastAsia"/>
          <w:b/>
          <w:bCs/>
          <w:color w:val="000000" w:themeColor="text1"/>
          <w:sz w:val="24"/>
          <w:highlight w:val="none"/>
        </w:rPr>
        <w:t xml:space="preserve">承担的工程全部由符合政策的中小企业承接。监狱企业和残疾人福利性单位视同小微企业</w:t>
      </w:r>
      <w:r>
        <w:rPr>
          <w:color w:val="000000" w:themeColor="text1"/>
          <w:sz w:val="24"/>
          <w:highlight w:val="none"/>
          <w:lang w:bidi="ar"/>
        </w:rPr>
        <w:t xml:space="preserve">。</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rFonts w:hint="eastAsia"/>
          <w:color w:val="000000" w:themeColor="text1"/>
          <w:sz w:val="24"/>
          <w:highlight w:val="none"/>
        </w:rPr>
        <w:t xml:space="preserve">否</w:t>
      </w:r>
      <w:r>
        <w:rPr>
          <w:color w:val="000000" w:themeColor="text1"/>
          <w:sz w:val="24"/>
          <w:highlight w:val="none"/>
        </w:rPr>
        <w:t xml:space="preserve">；</w:t>
      </w:r>
      <w:r/>
    </w:p>
    <w:p>
      <w:pPr>
        <w:pStyle w:val="1332"/>
        <w:ind w:firstLine="480"/>
        <w:rPr>
          <w:rFonts w:hint="eastAsia" w:ascii="Times New Roman" w:hAnsi="Times New Roman" w:eastAsia="宋体" w:cs="Times New Roman"/>
          <w:b/>
          <w:bCs/>
          <w:szCs w:val="24"/>
          <w:highlight w:val="none"/>
        </w:rPr>
      </w:pPr>
      <w:r>
        <w:rPr>
          <w:color w:val="000000" w:themeColor="text1"/>
          <w:sz w:val="24"/>
          <w:highlight w:val="none"/>
        </w:rPr>
        <w:t xml:space="preserve">3.3其他特定资格要求：</w:t>
      </w:r>
      <w:r>
        <w:rPr>
          <w:rFonts w:hint="eastAsia" w:ascii="Times New Roman" w:hAnsi="Times New Roman" w:eastAsia="宋体" w:cs="Times New Roman"/>
          <w:b/>
          <w:bCs/>
          <w:szCs w:val="24"/>
          <w:highlight w:val="none"/>
        </w:rPr>
        <w:t xml:space="preserve">（1）供应商具有有效期内的</w:t>
      </w:r>
      <w:r>
        <w:rPr>
          <w:rFonts w:hint="eastAsia" w:ascii="Times New Roman" w:hAnsi="Times New Roman" w:eastAsia="宋体" w:cs="Times New Roman"/>
          <w:b/>
          <w:bCs/>
          <w:szCs w:val="24"/>
          <w:highlight w:val="none"/>
          <w:lang w:eastAsia="zh-CN"/>
        </w:rPr>
        <w:t xml:space="preserve">水利水电工程施工总承包叁级（含）以上资质</w:t>
      </w:r>
      <w:r>
        <w:rPr>
          <w:rFonts w:hint="eastAsia" w:ascii="Times New Roman" w:hAnsi="Times New Roman" w:eastAsia="宋体" w:cs="Times New Roman"/>
          <w:b/>
          <w:bCs/>
          <w:szCs w:val="24"/>
          <w:highlight w:val="none"/>
        </w:rPr>
        <w:t xml:space="preserve">；</w:t>
      </w:r>
      <w:r/>
    </w:p>
    <w:p>
      <w:pPr>
        <w:pStyle w:val="1332"/>
        <w:ind w:firstLine="480"/>
        <w:rPr>
          <w:rFonts w:hint="eastAsia" w:ascii="Times New Roman" w:hAnsi="Times New Roman" w:eastAsia="宋体" w:cs="Times New Roman"/>
          <w:b/>
          <w:bCs/>
          <w:szCs w:val="24"/>
          <w:highlight w:val="none"/>
        </w:rPr>
      </w:pPr>
      <w:r>
        <w:rPr>
          <w:rFonts w:hint="eastAsia" w:ascii="Times New Roman" w:hAnsi="Times New Roman" w:eastAsia="宋体" w:cs="Times New Roman"/>
          <w:b/>
          <w:bCs/>
          <w:szCs w:val="24"/>
          <w:highlight w:val="none"/>
        </w:rPr>
        <w:t xml:space="preserve">（2）</w:t>
      </w:r>
      <w:r>
        <w:rPr>
          <w:rFonts w:hint="eastAsia" w:ascii="Times New Roman" w:hAnsi="Times New Roman" w:eastAsia="宋体" w:cs="Times New Roman"/>
          <w:b/>
          <w:bCs/>
          <w:szCs w:val="24"/>
          <w:highlight w:val="none"/>
          <w:lang w:val="en-US" w:eastAsia="zh-CN"/>
        </w:rPr>
        <w:t xml:space="preserve">拟派项目负责人</w:t>
      </w:r>
      <w:r>
        <w:rPr>
          <w:rFonts w:hint="eastAsia" w:ascii="Times New Roman" w:hAnsi="Times New Roman" w:eastAsia="宋体" w:cs="Times New Roman"/>
          <w:b/>
          <w:bCs/>
          <w:szCs w:val="24"/>
          <w:highlight w:val="none"/>
          <w:lang w:eastAsia="zh-CN"/>
        </w:rPr>
        <w:t xml:space="preserve">水利水电工程施工总承包投标人拟派的项目负责人需具有</w:t>
      </w:r>
      <w:r>
        <w:rPr>
          <w:rFonts w:hint="eastAsia" w:ascii="Times New Roman" w:hAnsi="Times New Roman" w:eastAsia="宋体" w:cs="Times New Roman"/>
          <w:b/>
          <w:bCs/>
          <w:szCs w:val="24"/>
          <w:highlight w:val="none"/>
          <w:lang w:val="en-US" w:eastAsia="zh-CN"/>
        </w:rPr>
        <w:t xml:space="preserve">有效期内的</w:t>
      </w:r>
      <w:r>
        <w:rPr>
          <w:rFonts w:hint="eastAsia" w:ascii="Times New Roman" w:hAnsi="Times New Roman" w:eastAsia="宋体" w:cs="Times New Roman"/>
          <w:b/>
          <w:bCs/>
          <w:szCs w:val="24"/>
          <w:highlight w:val="none"/>
          <w:lang w:eastAsia="zh-CN"/>
        </w:rPr>
        <w:t xml:space="preserve">水利水电工程贰级（含）以上注册建造师执业证书并具有</w:t>
      </w:r>
      <w:r>
        <w:rPr>
          <w:rFonts w:hint="eastAsia" w:ascii="Times New Roman" w:hAnsi="Times New Roman" w:eastAsia="宋体" w:cs="Times New Roman"/>
          <w:b/>
          <w:bCs/>
          <w:szCs w:val="24"/>
          <w:highlight w:val="none"/>
          <w:lang w:val="en-US" w:eastAsia="zh-CN"/>
        </w:rPr>
        <w:t xml:space="preserve">有效期内的</w:t>
      </w:r>
      <w:r>
        <w:rPr>
          <w:rFonts w:hint="eastAsia" w:ascii="Times New Roman" w:hAnsi="Times New Roman" w:eastAsia="宋体" w:cs="Times New Roman"/>
          <w:b/>
          <w:bCs/>
          <w:szCs w:val="24"/>
          <w:highlight w:val="none"/>
          <w:lang w:eastAsia="zh-CN"/>
        </w:rPr>
        <w:t xml:space="preserve">安全生产考核合格证书（B证）；</w:t>
      </w:r>
      <w:r/>
    </w:p>
    <w:p>
      <w:pPr>
        <w:pStyle w:val="1332"/>
        <w:ind w:firstLine="480"/>
        <w:rPr>
          <w:rFonts w:hint="eastAsia" w:ascii="Times New Roman" w:hAnsi="Times New Roman" w:eastAsia="宋体" w:cs="Times New Roman"/>
          <w:b/>
          <w:bCs/>
          <w:szCs w:val="24"/>
          <w:highlight w:val="none"/>
          <w:lang w:val="en-US" w:eastAsia="zh-CN"/>
        </w:rPr>
      </w:pPr>
      <w:r>
        <w:rPr>
          <w:rFonts w:hint="eastAsia" w:ascii="Times New Roman" w:hAnsi="Times New Roman" w:eastAsia="宋体" w:cs="Times New Roman"/>
          <w:b/>
          <w:bCs/>
          <w:szCs w:val="24"/>
          <w:highlight w:val="none"/>
        </w:rPr>
        <w:t xml:space="preserve">（3）供应商须</w:t>
      </w:r>
      <w:r>
        <w:rPr>
          <w:rFonts w:hint="eastAsia" w:ascii="Times New Roman" w:hAnsi="Times New Roman" w:eastAsia="宋体" w:cs="Times New Roman"/>
          <w:b/>
          <w:bCs/>
          <w:szCs w:val="24"/>
          <w:highlight w:val="none"/>
          <w:lang w:val="en-US" w:eastAsia="zh-CN"/>
        </w:rPr>
        <w:t xml:space="preserve">具有建设行政主管部门颁发的且在有效期内的安全生产许可证；</w:t>
      </w:r>
      <w:r/>
    </w:p>
    <w:p>
      <w:pPr>
        <w:pStyle w:val="1332"/>
        <w:ind w:firstLine="480"/>
        <w:rPr>
          <w:rFonts w:hint="eastAsia" w:ascii="Times New Roman" w:hAnsi="Times New Roman" w:eastAsia="宋体" w:cs="Times New Roman"/>
          <w:b/>
          <w:bCs/>
          <w:szCs w:val="24"/>
          <w:highlight w:val="none"/>
        </w:rPr>
      </w:pPr>
      <w:r>
        <w:rPr>
          <w:rFonts w:hint="eastAsia" w:ascii="Times New Roman" w:hAnsi="Times New Roman" w:eastAsia="宋体" w:cs="Times New Roman"/>
          <w:b/>
          <w:bCs/>
          <w:szCs w:val="24"/>
          <w:highlight w:val="none"/>
        </w:rPr>
        <w:t xml:space="preserve">（4）拟派项目负责人无在建工程，以“无在建承诺书”为准（格式自拟）</w:t>
      </w:r>
      <w:r>
        <w:rPr>
          <w:rFonts w:hint="default" w:ascii="Times New Roman" w:hAnsi="Times New Roman" w:eastAsia="宋体" w:cs="Times New Roman"/>
          <w:b/>
          <w:bCs/>
          <w:szCs w:val="24"/>
          <w:highlight w:val="none"/>
        </w:rPr>
        <w:t xml:space="preserve">。</w:t>
      </w:r>
      <w:bookmarkEnd w:id="12"/>
      <w:r/>
      <w:bookmarkEnd w:id="13"/>
      <w:r/>
      <w:r/>
    </w:p>
    <w:p>
      <w:pPr>
        <w:pStyle w:val="1247"/>
        <w:jc w:val="left"/>
        <w:spacing w:before="0" w:line="360" w:lineRule="auto"/>
        <w:widowControl/>
        <w:rPr>
          <w:rFonts w:hint="eastAsia" w:ascii="Times New Roman" w:hAnsi="Times New Roman" w:eastAsia="宋体"/>
          <w:color w:val="000000" w:themeColor="text1"/>
          <w:sz w:val="24"/>
          <w:szCs w:val="24"/>
          <w:highlight w:val="none"/>
        </w:rPr>
      </w:pPr>
      <w:r/>
      <w:bookmarkStart w:id="14" w:name="_Toc35393623"/>
      <w:r/>
      <w:bookmarkStart w:id="15" w:name="_Toc35393792"/>
      <w:r>
        <w:rPr>
          <w:rFonts w:ascii="Times New Roman" w:hAnsi="Times New Roman" w:eastAsia="宋体"/>
          <w:color w:val="000000" w:themeColor="text1"/>
          <w:sz w:val="24"/>
          <w:szCs w:val="24"/>
          <w:highlight w:val="none"/>
        </w:rPr>
        <w:t xml:space="preserve">三、获取</w:t>
      </w:r>
      <w:bookmarkEnd w:id="14"/>
      <w:r/>
      <w:bookmarkEnd w:id="15"/>
      <w:r>
        <w:rPr>
          <w:rFonts w:hint="eastAsia" w:ascii="Times New Roman" w:hAnsi="Times New Roman" w:eastAsia="宋体"/>
          <w:color w:val="000000" w:themeColor="text1"/>
          <w:sz w:val="24"/>
          <w:szCs w:val="24"/>
          <w:highlight w:val="none"/>
        </w:rPr>
        <w:t xml:space="preserve">竞争性磋商文件</w:t>
      </w:r>
      <w:r/>
    </w:p>
    <w:p>
      <w:pPr>
        <w:ind w:firstLine="480"/>
        <w:spacing w:line="360" w:lineRule="auto"/>
        <w:rPr>
          <w:color w:val="000000" w:themeColor="text1"/>
          <w:sz w:val="24"/>
          <w:highlight w:val="none"/>
        </w:rPr>
      </w:pPr>
      <w:r>
        <w:rPr>
          <w:color w:val="000000" w:themeColor="text1"/>
          <w:sz w:val="24"/>
          <w:highlight w:val="none"/>
          <w:lang w:bidi="ar"/>
        </w:rPr>
        <w:t xml:space="preserve">1.时间：</w:t>
      </w:r>
      <w:r>
        <w:rPr>
          <w:rFonts w:hint="default" w:ascii="Times New Roman" w:hAnsi="Times New Roman" w:eastAsia="宋体" w:cs="Times New Roman"/>
          <w:color w:val="000000"/>
          <w:sz w:val="24"/>
          <w:szCs w:val="24"/>
          <w:highlight w:val="none"/>
        </w:rPr>
        <w:t xml:space="preserve">公告发布之日起</w:t>
      </w:r>
      <w:r>
        <w:rPr>
          <w:rFonts w:hint="eastAsia"/>
          <w:color w:val="000000" w:themeColor="text1"/>
          <w:sz w:val="24"/>
          <w:highlight w:val="none"/>
          <w:lang w:val="en-US" w:eastAsia="zh-CN" w:bidi="ar"/>
        </w:rPr>
        <w:t xml:space="preserve">5个工作日</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完成注册并办理CA证书后登录“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 系统，在线自行下载本项目竞争性磋商文件</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pStyle w:val="1247"/>
        <w:jc w:val="left"/>
        <w:spacing w:before="0" w:line="360" w:lineRule="auto"/>
        <w:widowControl/>
        <w:rPr>
          <w:rFonts w:ascii="Times New Roman" w:hAnsi="Times New Roman" w:eastAsia="宋体"/>
          <w:color w:val="000000" w:themeColor="text1"/>
          <w:sz w:val="24"/>
          <w:szCs w:val="24"/>
          <w:highlight w:val="none"/>
        </w:rPr>
      </w:pPr>
      <w:r/>
      <w:bookmarkStart w:id="16" w:name="_Toc28359082"/>
      <w:r/>
      <w:bookmarkStart w:id="17" w:name="_Toc35393624"/>
      <w:r/>
      <w:bookmarkStart w:id="18" w:name="_Toc35393793"/>
      <w:r/>
      <w:bookmarkStart w:id="19" w:name="_Toc28359005"/>
      <w:r>
        <w:rPr>
          <w:rFonts w:ascii="Times New Roman" w:hAnsi="Times New Roman" w:eastAsia="宋体"/>
          <w:color w:val="000000" w:themeColor="text1"/>
          <w:sz w:val="24"/>
          <w:szCs w:val="24"/>
          <w:highlight w:val="none"/>
        </w:rPr>
        <w:t xml:space="preserve">四、</w:t>
      </w:r>
      <w:bookmarkEnd w:id="16"/>
      <w:r/>
      <w:bookmarkEnd w:id="17"/>
      <w:r/>
      <w:bookmarkEnd w:id="18"/>
      <w:r/>
      <w:bookmarkEnd w:id="19"/>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1</w:t>
      </w:r>
      <w:r>
        <w:rPr>
          <w:rFonts w:hint="eastAsia"/>
          <w:color w:val="000000" w:themeColor="text1"/>
          <w:sz w:val="24"/>
          <w:highlight w:val="none"/>
        </w:rPr>
        <w:t xml:space="preserve">月30</w:t>
      </w:r>
      <w:r>
        <w:rPr>
          <w:rFonts w:hint="eastAsia"/>
          <w:color w:val="000000" w:themeColor="text1"/>
          <w:sz w:val="24"/>
          <w:highlight w:val="none"/>
        </w:rPr>
        <w:t xml:space="preserve">日</w:t>
      </w:r>
      <w:r>
        <w:rPr>
          <w:rFonts w:hint="eastAsia"/>
          <w:color w:val="000000" w:themeColor="text1"/>
          <w:sz w:val="24"/>
          <w:highlight w:val="none"/>
          <w:lang w:val="en-US" w:eastAsia="zh-CN"/>
        </w:rPr>
        <w:t xml:space="preserve">09</w:t>
      </w:r>
      <w:r>
        <w:rPr>
          <w:rFonts w:hint="eastAsia"/>
          <w:color w:val="000000" w:themeColor="text1"/>
          <w:sz w:val="24"/>
          <w:highlight w:val="none"/>
        </w:rPr>
        <w:t xml:space="preserve">时</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本项目采用不见面交易方式，无需到现场提交，供应商登录“苏采云”供应商端，通过系统在线提交电子响应文件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1247"/>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1</w:t>
      </w:r>
      <w:r>
        <w:rPr>
          <w:rFonts w:hint="eastAsia"/>
          <w:color w:val="000000" w:themeColor="text1"/>
          <w:sz w:val="24"/>
          <w:highlight w:val="none"/>
          <w:lang w:bidi="ar"/>
        </w:rPr>
        <w:t xml:space="preserve">月</w:t>
      </w:r>
      <w:r>
        <w:rPr>
          <w:rFonts w:hint="eastAsia"/>
          <w:color w:val="000000" w:themeColor="text1"/>
          <w:sz w:val="24"/>
          <w:highlight w:val="none"/>
          <w:lang w:bidi="ar"/>
        </w:rPr>
        <w:t xml:space="preserve">30日</w:t>
      </w:r>
      <w:r>
        <w:rPr>
          <w:rFonts w:hint="eastAsia"/>
          <w:color w:val="000000" w:themeColor="text1"/>
          <w:sz w:val="24"/>
          <w:highlight w:val="none"/>
          <w:lang w:val="en-US" w:eastAsia="zh-CN" w:bidi="ar"/>
        </w:rPr>
        <w:t xml:space="preserve">09</w:t>
      </w:r>
      <w:r>
        <w:rPr>
          <w:rFonts w:hint="eastAsia"/>
          <w:color w:val="000000" w:themeColor="text1"/>
          <w:sz w:val="24"/>
          <w:highlight w:val="none"/>
          <w:lang w:bidi="ar"/>
        </w:rPr>
        <w:t xml:space="preserve">时</w:t>
      </w:r>
      <w:r>
        <w:rPr>
          <w:rFonts w:hint="eastAsia"/>
          <w:color w:val="000000" w:themeColor="text1"/>
          <w:sz w:val="24"/>
          <w:highlight w:val="none"/>
          <w:lang w:val="en-US" w:eastAsia="zh-CN" w:bidi="ar"/>
        </w:rPr>
        <w:t xml:space="preserve">3</w:t>
      </w:r>
      <w:r>
        <w:rPr>
          <w:rFonts w:hint="eastAsia"/>
          <w:color w:val="000000" w:themeColor="text1"/>
          <w:sz w:val="24"/>
          <w:highlight w:val="none"/>
          <w:lang w:bidi="ar"/>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端，通过系统在线解密电子响应文件</w:t>
      </w:r>
      <w:r>
        <w:rPr>
          <w:color w:val="000000" w:themeColor="text1"/>
          <w:sz w:val="24"/>
          <w:highlight w:val="none"/>
          <w:lang w:val="zh-TW" w:bidi="ar"/>
        </w:rPr>
        <w:t xml:space="preserve">。</w:t>
      </w:r>
      <w:r/>
    </w:p>
    <w:p>
      <w:pPr>
        <w:pStyle w:val="1247"/>
        <w:jc w:val="left"/>
        <w:spacing w:before="0" w:line="360" w:lineRule="auto"/>
        <w:rPr>
          <w:rFonts w:ascii="Times New Roman" w:hAnsi="Times New Roman" w:eastAsia="宋体"/>
          <w:color w:val="000000" w:themeColor="text1"/>
          <w:sz w:val="24"/>
          <w:szCs w:val="24"/>
          <w:highlight w:val="none"/>
        </w:rPr>
      </w:pPr>
      <w:r/>
      <w:bookmarkStart w:id="20" w:name="_Toc35393625"/>
      <w:r/>
      <w:bookmarkStart w:id="21" w:name="_Toc35393794"/>
      <w:r/>
      <w:bookmarkStart w:id="22" w:name="_Toc28359084"/>
      <w:r/>
      <w:bookmarkStart w:id="23" w:name="_Toc28359007"/>
      <w:r>
        <w:rPr>
          <w:rFonts w:ascii="Times New Roman" w:hAnsi="Times New Roman" w:eastAsia="宋体"/>
          <w:color w:val="000000" w:themeColor="text1"/>
          <w:sz w:val="24"/>
          <w:szCs w:val="24"/>
          <w:highlight w:val="none"/>
        </w:rPr>
        <w:t xml:space="preserve">六、公告期限</w:t>
      </w:r>
      <w:bookmarkEnd w:id="20"/>
      <w:r/>
      <w:bookmarkEnd w:id="21"/>
      <w:r/>
      <w:bookmarkEnd w:id="22"/>
      <w:r/>
      <w:bookmarkEnd w:id="23"/>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pStyle w:val="1247"/>
        <w:jc w:val="left"/>
        <w:spacing w:before="0" w:line="360" w:lineRule="auto"/>
        <w:rPr>
          <w:rFonts w:ascii="Times New Roman" w:hAnsi="Times New Roman" w:eastAsia="宋体"/>
          <w:color w:val="000000" w:themeColor="text1"/>
          <w:sz w:val="24"/>
          <w:szCs w:val="24"/>
          <w:highlight w:val="none"/>
        </w:rPr>
      </w:pPr>
      <w:r/>
      <w:bookmarkStart w:id="24" w:name="_Toc35393626"/>
      <w:r/>
      <w:bookmarkStart w:id="25" w:name="_Toc35393795"/>
      <w:r>
        <w:rPr>
          <w:rFonts w:ascii="Times New Roman" w:hAnsi="Times New Roman" w:eastAsia="宋体"/>
          <w:color w:val="000000" w:themeColor="text1"/>
          <w:sz w:val="24"/>
          <w:szCs w:val="24"/>
          <w:highlight w:val="none"/>
        </w:rPr>
        <w:t xml:space="preserve">七、其他补充事宜</w:t>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b/>
          <w:bCs/>
          <w:color w:val="000000" w:themeColor="text1"/>
          <w:sz w:val="24"/>
          <w:highlight w:val="none"/>
          <w:lang w:val="en-US" w:eastAsia="zh-CN"/>
        </w:rPr>
        <w:t xml:space="preserve">扶持</w:t>
      </w:r>
      <w:r>
        <w:rPr>
          <w:rFonts w:hint="eastAsia"/>
          <w:b/>
          <w:bCs/>
          <w:color w:val="000000" w:themeColor="text1"/>
          <w:sz w:val="24"/>
          <w:highlight w:val="none"/>
        </w:rPr>
        <w:t xml:space="preserve">中小企业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监狱企业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残疾人福利性单位</w:t>
      </w:r>
      <w:r>
        <w:rPr>
          <w:color w:val="000000" w:themeColor="text1"/>
          <w:sz w:val="24"/>
          <w:highlight w:val="none"/>
          <w:lang w:bidi="ar"/>
        </w:rPr>
        <w:t xml:space="preserve">。</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2.本项目采用不见面交易方式，请</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技术支持服务热线   0519-85588210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CA认证证书办理（可邮寄）联系电话   0519-85588120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2.1办理CA认证证书</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2.2注册</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登录常州市政府采购网“下载中心”-““苏采云”系统</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2.3控件、客户端下载</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2.4获取电子磋商文件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2.5编制电子响应文件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应使用电子响应文件制作客户端编制电子响应文件并进行线上响应，</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2.6提交电子响应文件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2.7电子开标</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2.8注意事项</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自行承担。</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3.关于常州市中小企业政府采购信用融资：</w:t>
      </w:r>
      <w:r/>
    </w:p>
    <w:p>
      <w:pPr>
        <w:ind w:firstLine="480"/>
        <w:jc w:val="left"/>
        <w:spacing w:line="360" w:lineRule="auto"/>
        <w:widowControl/>
        <w:rPr>
          <w:color w:val="000000" w:themeColor="text1"/>
          <w:sz w:val="24"/>
          <w:highlight w:val="none"/>
        </w:rPr>
      </w:pPr>
      <w:r>
        <w:rPr>
          <w:rFonts w:hint="eastAsia" w:ascii="Times New Roman"/>
          <w:color w:val="000000" w:themeColor="text1"/>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提供相应额度贷款的融资模式。申请条件及操作流程等事项详见该文件相关内容或者常州市政府采购网--政采融资平台栏目</w:t>
      </w:r>
      <w:r>
        <w:rPr>
          <w:rFonts w:hint="eastAsia"/>
          <w:color w:val="000000" w:themeColor="text1"/>
          <w:sz w:val="24"/>
          <w:highlight w:val="none"/>
          <w:lang w:val="zh-TW" w:bidi="ar"/>
        </w:rPr>
        <w:t xml:space="preserve">。</w:t>
      </w:r>
      <w:r/>
    </w:p>
    <w:p>
      <w:pPr>
        <w:pStyle w:val="1247"/>
        <w:jc w:val="left"/>
        <w:spacing w:before="0" w:line="360" w:lineRule="auto"/>
        <w:rPr>
          <w:rFonts w:ascii="Times New Roman" w:hAnsi="Times New Roman" w:eastAsia="宋体"/>
          <w:color w:val="000000" w:themeColor="text1"/>
          <w:sz w:val="24"/>
          <w:szCs w:val="24"/>
          <w:highlight w:val="none"/>
        </w:rPr>
      </w:pPr>
      <w:r/>
      <w:bookmarkStart w:id="26" w:name="_Toc35393627"/>
      <w:r/>
      <w:bookmarkStart w:id="27" w:name="_Toc28359085"/>
      <w:r/>
      <w:bookmarkStart w:id="28" w:name="_Toc28359008"/>
      <w:r/>
      <w:bookmarkStart w:id="29" w:name="_Toc35393796"/>
      <w:r>
        <w:rPr>
          <w:rFonts w:ascii="Times New Roman" w:hAnsi="Times New Roman" w:eastAsia="宋体"/>
          <w:color w:val="000000" w:themeColor="text1"/>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left="1079" w:hanging="300"/>
        <w:jc w:val="left"/>
        <w:spacing w:line="360" w:lineRule="auto"/>
        <w:rPr>
          <w:rFonts w:hint="eastAsia" w:eastAsia="宋体"/>
          <w:color w:val="000000" w:themeColor="text1"/>
          <w:sz w:val="24"/>
          <w:highlight w:val="none"/>
        </w:rPr>
      </w:pPr>
      <w:r/>
      <w:bookmarkStart w:id="30" w:name="_Toc28359009"/>
      <w:r/>
      <w:bookmarkStart w:id="31" w:name="_Toc28359086"/>
      <w:r>
        <w:rPr>
          <w:color w:val="000000" w:themeColor="text1"/>
          <w:sz w:val="24"/>
          <w:highlight w:val="none"/>
        </w:rPr>
        <w:t xml:space="preserve">名    称：</w:t>
      </w:r>
      <w:r>
        <w:rPr>
          <w:rFonts w:hint="eastAsia"/>
          <w:color w:val="000000" w:themeColor="text1"/>
          <w:sz w:val="24"/>
          <w:highlight w:val="none"/>
          <w:lang w:eastAsia="zh-CN"/>
        </w:rPr>
        <w:t xml:space="preserve">溧阳市人民政府溧城街道办事处</w:t>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江苏省常州市溧阳市溧城街道昆仑南路3号</w:t>
      </w:r>
      <w:r/>
    </w:p>
    <w:p>
      <w:pPr>
        <w:ind w:left="1076" w:hanging="297"/>
        <w:jc w:val="left"/>
        <w:spacing w:line="360" w:lineRule="auto"/>
        <w:rPr>
          <w:rFonts w:hint="default"/>
          <w:color w:val="000000" w:themeColor="text1"/>
          <w:sz w:val="24"/>
          <w:highlight w:val="none"/>
          <w:lang w:val="en-US"/>
        </w:rPr>
      </w:pPr>
      <w:r>
        <w:rPr>
          <w:color w:val="000000" w:themeColor="text1"/>
          <w:sz w:val="24"/>
          <w:highlight w:val="none"/>
        </w:rPr>
        <w:t xml:space="preserve">联系方式：</w:t>
      </w:r>
      <w:r>
        <w:rPr>
          <w:rFonts w:hint="eastAsia"/>
          <w:color w:val="000000" w:themeColor="text1"/>
          <w:sz w:val="24"/>
          <w:highlight w:val="none"/>
          <w:lang w:val="en-US" w:eastAsia="zh-CN"/>
        </w:rPr>
        <w:t xml:space="preserve">周先生    0519-87282267</w:t>
      </w:r>
      <w:r/>
    </w:p>
    <w:p>
      <w:pPr>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30"/>
      <w:r/>
      <w:bookmarkEnd w:id="31"/>
      <w:r/>
      <w:r/>
    </w:p>
    <w:p>
      <w:pPr>
        <w:ind w:left="1076" w:hanging="297"/>
        <w:jc w:val="left"/>
        <w:spacing w:line="360" w:lineRule="auto"/>
        <w:rPr>
          <w:color w:val="000000" w:themeColor="text1"/>
          <w:sz w:val="24"/>
          <w:highlight w:val="none"/>
        </w:rPr>
      </w:pPr>
      <w:r/>
      <w:bookmarkStart w:id="32" w:name="_Toc28359087"/>
      <w:r/>
      <w:bookmarkStart w:id="33" w:name="_Toc28359010"/>
      <w:r>
        <w:rPr>
          <w:color w:val="000000" w:themeColor="text1"/>
          <w:sz w:val="24"/>
          <w:highlight w:val="none"/>
        </w:rPr>
        <w:t xml:space="preserve">名    称：</w:t>
      </w:r>
      <w:r>
        <w:rPr>
          <w:rFonts w:hint="eastAsia" w:ascii="宋体" w:hAnsi="宋体"/>
          <w:color w:val="000000" w:themeColor="text1"/>
          <w:sz w:val="24"/>
          <w:highlight w:val="none"/>
        </w:rPr>
        <w:t xml:space="preserve">江苏立诚建设项目管理咨询有限公司</w:t>
      </w:r>
      <w:r/>
    </w:p>
    <w:p>
      <w:pPr>
        <w:ind w:left="1076" w:hanging="297"/>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ascii="宋体" w:hAnsi="宋体"/>
          <w:color w:val="000000" w:themeColor="text1"/>
          <w:sz w:val="24"/>
          <w:highlight w:val="none"/>
          <w:lang w:eastAsia="zh-CN"/>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lang w:val="en-US" w:eastAsia="zh-CN"/>
        </w:rPr>
        <w:t xml:space="preserve">丁女士  </w:t>
      </w:r>
      <w:r>
        <w:rPr>
          <w:rFonts w:hint="eastAsia" w:ascii="宋体" w:hAnsi="宋体"/>
          <w:color w:val="000000" w:themeColor="text1"/>
          <w:sz w:val="24"/>
          <w:highlight w:val="none"/>
        </w:rPr>
        <w:t xml:space="preserve">0519-87925608</w:t>
      </w:r>
      <w:r/>
    </w:p>
    <w:p>
      <w:pPr>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2"/>
      <w:r/>
      <w:bookmarkEnd w:id="33"/>
      <w:r/>
      <w:r/>
    </w:p>
    <w:p>
      <w:pPr>
        <w:pStyle w:val="1284"/>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lang w:eastAsia="zh-CN"/>
        </w:rPr>
        <w:t xml:space="preserve">丁</w:t>
      </w:r>
      <w:r>
        <w:rPr>
          <w:rFonts w:hAnsi="宋体"/>
          <w:color w:val="000000" w:themeColor="text1"/>
          <w:sz w:val="24"/>
          <w:highlight w:val="none"/>
        </w:rPr>
        <w:t xml:space="preserve">女士</w:t>
      </w:r>
      <w:r/>
    </w:p>
    <w:p>
      <w:pPr>
        <w:pStyle w:val="1284"/>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hAnsi="宋体"/>
          <w:color w:val="000000" w:themeColor="text1"/>
          <w:sz w:val="24"/>
          <w:highlight w:val="none"/>
        </w:rPr>
        <w:t xml:space="preserve">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bookmarkStart w:id="34" w:name="_Toc353825548"/>
      <w:r/>
      <w:bookmarkStart w:id="35" w:name="_Toc127161488"/>
      <w:r/>
      <w:bookmarkStart w:id="36" w:name="_Toc353873938"/>
      <w:r/>
      <w:bookmarkStart w:id="37" w:name="_Toc265228423"/>
      <w:r/>
      <w:bookmarkStart w:id="38" w:name="_Toc305158928"/>
      <w:r/>
      <w:bookmarkStart w:id="39" w:name="_Toc150774783"/>
      <w:r/>
      <w:bookmarkStart w:id="40" w:name="_Toc226965856"/>
      <w:r/>
      <w:bookmarkStart w:id="41" w:name="_Toc127151777"/>
      <w:r/>
      <w:bookmarkStart w:id="42" w:name="_Toc264969275"/>
      <w:r/>
      <w:bookmarkStart w:id="43" w:name="_Toc14381"/>
      <w:r/>
      <w:bookmarkStart w:id="44" w:name="_Toc305158854"/>
      <w:r/>
      <w:bookmarkStart w:id="45" w:name="_Toc512937850"/>
      <w:r/>
      <w:bookmarkStart w:id="46" w:name="_Toc195842950"/>
      <w:r>
        <w:rPr>
          <w:b/>
          <w:color w:val="000000" w:themeColor="text1"/>
          <w:sz w:val="36"/>
          <w:szCs w:val="36"/>
          <w:highlight w:val="none"/>
        </w:rPr>
        <w:br w:type="page" w:clear="all"/>
      </w:r>
      <w:r>
        <w:rPr>
          <w:b/>
          <w:color w:val="000000" w:themeColor="text1"/>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247"/>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7" w:name="_Toc151193617"/>
      <w:r/>
      <w:bookmarkStart w:id="48" w:name="_Toc520356144"/>
      <w:r/>
      <w:bookmarkStart w:id="49" w:name="_Toc164229360"/>
      <w:r/>
      <w:bookmarkStart w:id="50" w:name="_Toc164608633"/>
      <w:r/>
      <w:bookmarkStart w:id="51" w:name="_Toc164229214"/>
      <w:r/>
      <w:bookmarkStart w:id="52" w:name="_Toc150774619"/>
      <w:r/>
      <w:bookmarkStart w:id="53" w:name="_Toc226965709"/>
      <w:r/>
      <w:bookmarkStart w:id="54" w:name="_Toc151190146"/>
      <w:r/>
      <w:bookmarkStart w:id="55" w:name="_Toc127151720"/>
      <w:r/>
      <w:bookmarkStart w:id="56" w:name="_Toc127161433"/>
      <w:r/>
      <w:bookmarkStart w:id="57" w:name="_Toc151193833"/>
      <w:r/>
      <w:bookmarkStart w:id="58" w:name="_Toc226309763"/>
      <w:r/>
      <w:bookmarkStart w:id="59" w:name="_Toc164351613"/>
      <w:r/>
      <w:bookmarkStart w:id="60" w:name="_Toc164608788"/>
      <w:r/>
      <w:bookmarkStart w:id="61" w:name="_Toc226965792"/>
      <w:r/>
      <w:bookmarkStart w:id="62" w:name="_Toc150480757"/>
      <w:r/>
      <w:bookmarkStart w:id="63" w:name="_Toc151193907"/>
      <w:r/>
      <w:bookmarkStart w:id="64" w:name="_Toc127151519"/>
      <w:r/>
      <w:bookmarkStart w:id="65" w:name="_Toc151193761"/>
      <w:r/>
      <w:bookmarkStart w:id="66" w:name="_Toc150774724"/>
      <w:r/>
      <w:bookmarkStart w:id="67" w:name="_Toc150509270"/>
      <w:r/>
      <w:bookmarkStart w:id="68" w:name="_Toc151193689"/>
      <w:r/>
      <w:bookmarkStart w:id="69" w:name="_Toc142311021"/>
      <w:r/>
      <w:bookmarkStart w:id="70" w:name="_Toc149720812"/>
      <w:r/>
      <w:bookmarkStart w:id="71" w:name="_Toc195842884"/>
      <w:r/>
      <w:bookmarkStart w:id="72" w:name="_Toc226337215"/>
      <w:r>
        <w:rPr>
          <w:rFonts w:ascii="Times New Roman" w:hAnsi="Times New Roman" w:eastAsia="宋体"/>
          <w:color w:val="000000" w:themeColor="text1"/>
          <w:sz w:val="28"/>
          <w:highlight w:val="none"/>
        </w:rPr>
        <w:t xml:space="preserve">供应商须知资料表</w:t>
      </w:r>
      <w:r/>
    </w:p>
    <w:p>
      <w:pPr>
        <w:jc w:val="center"/>
        <w:rPr>
          <w:b/>
          <w:color w:val="000000" w:themeColor="text1"/>
          <w:sz w:val="28"/>
          <w:szCs w:val="28"/>
          <w:highlight w:val="none"/>
        </w:rPr>
      </w:pPr>
      <w:r>
        <w:rPr>
          <w:b/>
          <w:color w:val="000000" w:themeColor="text1"/>
          <w:sz w:val="28"/>
          <w:szCs w:val="28"/>
          <w:highlight w:val="none"/>
        </w:rPr>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1073"/>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253"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rFonts w:hint="eastAsia"/>
                <w:color w:val="000000" w:themeColor="text1"/>
                <w:sz w:val="24"/>
                <w:highlight w:val="none"/>
              </w:rPr>
              <w:t xml:space="preserve">工程</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trHeight w:val="567" w:hRule="exact"/>
        </w:trPr>
        <w:tc>
          <w:tcPr>
            <w:tcW w:w="988" w:type="dxa"/>
            <w:vAlign w:val="center"/>
            <w:vMerge w:val="continue"/>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701" w:type="dxa"/>
            <w:vAlign w:val="center"/>
            <w:textDirection w:val="lrTb"/>
            <w:noWrap w:val="false"/>
          </w:tcPr>
          <w:p>
            <w:pPr>
              <w:jc w:val="center"/>
              <w:rPr>
                <w:b/>
                <w:color w:val="000000" w:themeColor="text1"/>
                <w:sz w:val="24"/>
                <w:highlight w:val="none"/>
              </w:rPr>
            </w:pPr>
            <w:r>
              <w:rPr>
                <w:b/>
                <w:color w:val="000000" w:themeColor="text1"/>
                <w:sz w:val="24"/>
                <w:highlight w:val="none"/>
              </w:rPr>
              <w:t xml:space="preserve">标的所属行业</w:t>
            </w:r>
            <w:r/>
          </w:p>
        </w:tc>
        <w:tc>
          <w:tcPr>
            <w:tcW w:w="7253" w:type="dxa"/>
            <w:vAlign w:val="center"/>
            <w:textDirection w:val="lrTb"/>
            <w:noWrap w:val="false"/>
          </w:tcPr>
          <w:p>
            <w:pPr>
              <w:jc w:val="left"/>
              <w:rPr>
                <w:b/>
                <w:color w:val="000000" w:themeColor="text1"/>
                <w:sz w:val="24"/>
                <w:highlight w:val="none"/>
              </w:rPr>
            </w:pPr>
            <w:r>
              <w:rPr>
                <w:b/>
                <w:color w:val="000000" w:themeColor="text1"/>
                <w:sz w:val="24"/>
                <w:highlight w:val="none"/>
              </w:rPr>
              <w:t xml:space="preserve">本项目采购标的对应的中小企业划分标准所属行业：</w:t>
            </w:r>
            <w:r>
              <w:rPr>
                <w:rFonts w:hint="eastAsia"/>
                <w:b/>
                <w:color w:val="000000" w:themeColor="text1"/>
                <w:sz w:val="24"/>
                <w:highlight w:val="none"/>
              </w:rPr>
              <w:t xml:space="preserve"> 建筑业 </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报价的特殊规定：无</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253"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 不允许</w:t>
            </w:r>
            <w:r/>
          </w:p>
        </w:tc>
      </w:tr>
      <w:tr>
        <w:trPr>
          <w:trHeight w:val="56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trHeight w:val="165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ascii="宋体" w:hAnsi="宋体"/>
                <w:color w:val="000000" w:themeColor="text1"/>
                <w:sz w:val="24"/>
                <w:highlight w:val="none"/>
                <w:lang w:eastAsia="zh-CN"/>
              </w:rPr>
              <w:t xml:space="preserve">江苏省溧阳市古县街道奥体大道3001号贝桥嘉苑36幢101室2层-2</w:t>
            </w:r>
            <w:r>
              <w:rPr>
                <w:color w:val="000000" w:themeColor="text1"/>
                <w:sz w:val="24"/>
                <w:highlight w:val="none"/>
              </w:rPr>
              <w:t xml:space="preserve">。</w:t>
            </w:r>
            <w:r/>
          </w:p>
        </w:tc>
      </w:tr>
      <w:tr>
        <w:trPr>
          <w:trHeight w:val="1757" w:hRule="exact"/>
        </w:trPr>
        <w:tc>
          <w:tcPr>
            <w:tcW w:w="988" w:type="dxa"/>
            <w:vAlign w:val="center"/>
            <w:textDirection w:val="lrTb"/>
            <w:noWrap w:val="false"/>
          </w:tcPr>
          <w:p>
            <w:pPr>
              <w:pStyle w:val="1284"/>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701" w:type="dxa"/>
            <w:vAlign w:val="center"/>
            <w:textDirection w:val="lrTb"/>
            <w:noWrap w:val="false"/>
          </w:tcPr>
          <w:p>
            <w:pPr>
              <w:jc w:val="center"/>
              <w:rPr>
                <w:rFonts w:eastAsia="宋体"/>
                <w:color w:val="000000" w:themeColor="text1"/>
                <w:sz w:val="24"/>
                <w:highlight w:val="none"/>
              </w:rPr>
            </w:pPr>
            <w:r>
              <w:rPr>
                <w:color w:val="000000" w:themeColor="text1"/>
                <w:sz w:val="24"/>
                <w:highlight w:val="none"/>
              </w:rPr>
              <w:t xml:space="preserve">代理费</w:t>
            </w:r>
            <w:r>
              <w:rPr>
                <w:rFonts w:hint="eastAsia"/>
                <w:color w:val="000000" w:themeColor="text1"/>
                <w:sz w:val="24"/>
                <w:highlight w:val="none"/>
                <w:lang w:val="en-US" w:eastAsia="zh-CN"/>
              </w:rPr>
              <w:t xml:space="preserve">及造价咨询费</w:t>
            </w:r>
            <w:r/>
          </w:p>
        </w:tc>
        <w:tc>
          <w:tcPr>
            <w:tcW w:w="72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收费标准：代理服务费及造价咨询费按照《溧城街道办事处委托中介机构招标代理服务计费标准》收取。</w:t>
            </w:r>
            <w:r/>
          </w:p>
          <w:p>
            <w:pPr>
              <w:jc w:val="left"/>
              <w:rPr>
                <w:rFonts w:hint="default" w:ascii="Times New Roman" w:hAnsi="Times New Roman" w:eastAsia="宋体" w:cs="Times New Roman"/>
                <w:color w:val="000000" w:themeColor="text1"/>
                <w:sz w:val="24"/>
                <w:highlight w:val="none"/>
                <w:lang w:val="en-US"/>
              </w:rPr>
            </w:pPr>
            <w:r>
              <w:rPr>
                <w:rFonts w:ascii="SimSun" w:hAnsi="SimSun" w:eastAsia="SimSun" w:cs="SimSun"/>
                <w:color w:val="000000"/>
                <w:sz w:val="24"/>
              </w:rPr>
              <w:t xml:space="preserve">缴纳时间：领取成交通知书的同时。</w:t>
            </w:r>
            <w:r>
              <w:rPr>
                <w:rFonts w:hint="eastAsia" w:eastAsia="宋体"/>
                <w:color w:val="000000" w:themeColor="text1"/>
                <w:sz w:val="24"/>
                <w:highlight w:val="none"/>
                <w:lang w:val="en-US" w:eastAsia="zh-CN"/>
              </w:rPr>
            </w:r>
            <w:r/>
          </w:p>
          <w:p>
            <w:pPr>
              <w:jc w:val="left"/>
              <w:rPr>
                <w:color w:val="000000" w:themeColor="text1"/>
                <w:sz w:val="24"/>
                <w:highlight w:val="none"/>
              </w:rPr>
            </w:pPr>
            <w:r>
              <w:rPr>
                <w:color w:val="000000" w:themeColor="text1"/>
                <w:sz w:val="24"/>
                <w:highlight w:val="none"/>
              </w:rPr>
            </w:r>
            <w:r/>
          </w:p>
        </w:tc>
      </w:tr>
    </w:tbl>
    <w:p>
      <w:pPr>
        <w:jc w:val="both"/>
        <w:spacing w:line="360" w:lineRule="auto"/>
        <w:tabs>
          <w:tab w:val="left" w:pos="5580" w:leader="none"/>
        </w:tabs>
        <w:rPr>
          <w:color w:val="000000" w:themeColor="text1"/>
          <w:sz w:val="24"/>
          <w:highlight w:val="none"/>
        </w:rPr>
        <w:sectPr>
          <w:footerReference w:type="default" r:id="rId19"/>
          <w:footerReference w:type="first" r:id="rId20"/>
          <w:footnotePr/>
          <w:endnotePr/>
          <w:type w:val="nextPage"/>
          <w:pgSz w:w="11905" w:h="16840" w:orient="portrait"/>
          <w:pgMar w:top="1440" w:right="1304" w:bottom="1440" w:left="1304" w:header="850" w:footer="850" w:gutter="0"/>
          <w:pgNumType w:start="1"/>
          <w:cols w:num="1" w:sep="0" w:space="1701" w:equalWidth="1"/>
          <w:docGrid w:linePitch="360"/>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1247"/>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3" w:name="_Toc127151518"/>
      <w:r/>
      <w:bookmarkStart w:id="74" w:name="_Toc520356143"/>
      <w:r>
        <w:rPr>
          <w:rFonts w:ascii="Times New Roman" w:hAnsi="Times New Roman" w:eastAsia="宋体"/>
          <w:color w:val="000000" w:themeColor="text1"/>
          <w:sz w:val="28"/>
          <w:highlight w:val="none"/>
        </w:rPr>
        <w:tab/>
      </w:r>
      <w:bookmarkStart w:id="75" w:name="_Toc150509269"/>
      <w:r/>
      <w:bookmarkStart w:id="76" w:name="_Toc226965708"/>
      <w:r/>
      <w:bookmarkStart w:id="77" w:name="_Toc151193832"/>
      <w:r/>
      <w:bookmarkStart w:id="78" w:name="_Toc305158860"/>
      <w:r/>
      <w:bookmarkStart w:id="79" w:name="_Toc195842883"/>
      <w:r/>
      <w:bookmarkStart w:id="80" w:name="_Toc150774618"/>
      <w:r/>
      <w:bookmarkStart w:id="81" w:name="_Toc226309762"/>
      <w:r/>
      <w:bookmarkStart w:id="82" w:name="_Toc151193688"/>
      <w:r/>
      <w:bookmarkStart w:id="83" w:name="_Toc151193616"/>
      <w:r/>
      <w:bookmarkStart w:id="84" w:name="_Toc150480756"/>
      <w:r/>
      <w:bookmarkStart w:id="85" w:name="_Toc264969208"/>
      <w:r/>
      <w:bookmarkStart w:id="86" w:name="_Toc150774723"/>
      <w:r/>
      <w:bookmarkStart w:id="87" w:name="_Toc226337214"/>
      <w:r/>
      <w:bookmarkStart w:id="88" w:name="_Toc151190145"/>
      <w:r/>
      <w:bookmarkStart w:id="89" w:name="_Toc142311020"/>
      <w:r/>
      <w:bookmarkStart w:id="90" w:name="_Toc265228356"/>
      <w:r/>
      <w:bookmarkStart w:id="91" w:name="_Toc305158786"/>
      <w:r/>
      <w:bookmarkStart w:id="92" w:name="_Toc151193906"/>
      <w:r/>
      <w:bookmarkStart w:id="93" w:name="_Toc151193760"/>
      <w:r/>
      <w:bookmarkStart w:id="94" w:name="_Toc226965791"/>
      <w:r>
        <w:rPr>
          <w:rFonts w:ascii="Times New Roman" w:hAnsi="Times New Roman" w:eastAsia="宋体"/>
          <w:color w:val="000000" w:themeColor="text1"/>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5" w:name="_Toc264969209"/>
      <w:r/>
      <w:bookmarkStart w:id="96" w:name="_Toc305158861"/>
      <w:r/>
      <w:bookmarkStart w:id="97" w:name="_Toc305158787"/>
      <w:r/>
      <w:bookmarkStart w:id="98" w:name="_Toc265228357"/>
      <w:r>
        <w:rPr>
          <w:color w:val="000000" w:themeColor="text1"/>
          <w:sz w:val="24"/>
          <w:highlight w:val="none"/>
        </w:rPr>
        <w:t xml:space="preserve">采购人、采购代理机构、供应商</w:t>
      </w:r>
      <w:bookmarkEnd w:id="95"/>
      <w:r/>
      <w:bookmarkEnd w:id="96"/>
      <w:r/>
      <w:bookmarkEnd w:id="97"/>
      <w:r/>
      <w:bookmarkEnd w:id="98"/>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9" w:name="_Toc127161434"/>
      <w:r/>
      <w:bookmarkStart w:id="100" w:name="_Toc127151721"/>
      <w:r/>
      <w:bookmarkStart w:id="101" w:name="_Toc151193690"/>
      <w:r/>
      <w:bookmarkStart w:id="102" w:name="_Toc151193618"/>
      <w:r/>
      <w:bookmarkStart w:id="103" w:name="_Toc150480758"/>
      <w:r/>
      <w:bookmarkStart w:id="104" w:name="_Toc151193834"/>
      <w:r/>
      <w:bookmarkStart w:id="105" w:name="_Toc151193762"/>
      <w:r/>
      <w:bookmarkStart w:id="106" w:name="_Toc150774725"/>
      <w:r/>
      <w:bookmarkStart w:id="107" w:name="_Toc164608789"/>
      <w:r/>
      <w:bookmarkStart w:id="108" w:name="_Toc226337216"/>
      <w:r/>
      <w:bookmarkStart w:id="109" w:name="_Toc226965710"/>
      <w:r/>
      <w:bookmarkStart w:id="110" w:name="_Toc151193908"/>
      <w:r/>
      <w:bookmarkStart w:id="111" w:name="_Toc164608634"/>
      <w:r/>
      <w:bookmarkStart w:id="112" w:name="_Toc164351614"/>
      <w:r/>
      <w:bookmarkStart w:id="113" w:name="_Toc226965793"/>
      <w:r/>
      <w:bookmarkStart w:id="114" w:name="_Toc127151520"/>
      <w:r/>
      <w:bookmarkStart w:id="115" w:name="_Toc150774620"/>
      <w:r/>
      <w:bookmarkStart w:id="116" w:name="_Toc142311022"/>
      <w:r/>
      <w:bookmarkStart w:id="117" w:name="_Toc164229361"/>
      <w:r/>
      <w:bookmarkStart w:id="118" w:name="_Toc305158788"/>
      <w:r/>
      <w:bookmarkStart w:id="119" w:name="_Toc195842885"/>
      <w:r/>
      <w:bookmarkStart w:id="120" w:name="_Toc164229215"/>
      <w:r/>
      <w:bookmarkStart w:id="121" w:name="_Toc151190147"/>
      <w:r/>
      <w:bookmarkStart w:id="122" w:name="_Toc265228358"/>
      <w:r/>
      <w:bookmarkStart w:id="123" w:name="_Toc226309764"/>
      <w:r/>
      <w:bookmarkStart w:id="124" w:name="_Toc305158862"/>
      <w:r/>
      <w:bookmarkStart w:id="125" w:name="_Toc149720813"/>
      <w:r/>
      <w:bookmarkStart w:id="126" w:name="_Toc150509271"/>
      <w:r/>
      <w:bookmarkStart w:id="127" w:name="_Toc264969210"/>
      <w:r>
        <w:rPr>
          <w:color w:val="000000" w:themeColor="text1"/>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8" w:name="_Toc150480760"/>
      <w:r/>
      <w:bookmarkStart w:id="129" w:name="_Toc127151522"/>
      <w:r/>
      <w:bookmarkStart w:id="130" w:name="_Toc150509273"/>
      <w:r/>
      <w:bookmarkStart w:id="131" w:name="_Toc151193620"/>
      <w:r/>
      <w:bookmarkStart w:id="132" w:name="_Toc226965795"/>
      <w:r/>
      <w:bookmarkStart w:id="133" w:name="_Toc195842887"/>
      <w:r/>
      <w:bookmarkStart w:id="134" w:name="_Toc226309766"/>
      <w:r/>
      <w:bookmarkStart w:id="135" w:name="_Toc520356146"/>
      <w:r/>
      <w:bookmarkStart w:id="136" w:name="_Toc264969212"/>
      <w:r/>
      <w:bookmarkStart w:id="137" w:name="_Toc150774622"/>
      <w:r/>
      <w:bookmarkStart w:id="138" w:name="_Toc226337218"/>
      <w:r/>
      <w:bookmarkStart w:id="139" w:name="_Toc226965712"/>
      <w:r/>
      <w:bookmarkStart w:id="140" w:name="_Toc142311024"/>
      <w:r/>
      <w:bookmarkStart w:id="141" w:name="_Toc151193836"/>
      <w:r/>
      <w:bookmarkStart w:id="142" w:name="_Toc305158864"/>
      <w:r/>
      <w:bookmarkStart w:id="143" w:name="_Toc151193910"/>
      <w:r/>
      <w:bookmarkStart w:id="144" w:name="_Toc150774727"/>
      <w:r/>
      <w:bookmarkStart w:id="145" w:name="_Toc265228360"/>
      <w:r/>
      <w:bookmarkStart w:id="146" w:name="_Toc151193692"/>
      <w:r/>
      <w:bookmarkStart w:id="147" w:name="_Toc151190149"/>
      <w:r/>
      <w:bookmarkStart w:id="148" w:name="_Toc151193764"/>
      <w:r/>
      <w:bookmarkStart w:id="149" w:name="_Toc30515879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pStyle w:val="1332"/>
        <w:ind w:firstLine="480"/>
        <w:rPr>
          <w:color w:val="000000" w:themeColor="text1"/>
          <w:highlight w:val="none"/>
        </w:rPr>
      </w:pPr>
      <w:r>
        <w:rPr>
          <w:rFonts w:hint="eastAsia"/>
          <w:color w:val="000000" w:themeColor="text1"/>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vanish/>
          <w:color w:val="000000" w:themeColor="text1"/>
          <w:sz w:val="24"/>
          <w:highlight w:val="none"/>
        </w:rPr>
      </w:pPr>
      <w:r>
        <w:rPr>
          <w:color w:val="000000" w:themeColor="text1"/>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供应商提供的货物、工程或者服务符合下列情形的，享受中小企业扶持政策：在工程采购项目中，工程由中小企业承建，即工程施工单位为中小企业；</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本项目是否专门面向中小企业预留采购份额见第一章《采购邀请》。</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ind w:left="108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ind w:left="105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信息安全产品</w:t>
      </w:r>
      <w:r/>
    </w:p>
    <w:p>
      <w:pPr>
        <w:ind w:left="105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绿色数据中心政策 </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推广应用绿色建材</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优先使用低挥发性有机化合物产品</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50" w:name="_1.8_计量单位"/>
      <w:r/>
      <w:bookmarkEnd w:id="150"/>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51" w:name="_Toc520356147"/>
      <w:r/>
      <w:bookmarkStart w:id="152" w:name="_Toc150774728"/>
      <w:r/>
      <w:bookmarkStart w:id="153" w:name="_Toc305158865"/>
      <w:r/>
      <w:bookmarkStart w:id="154" w:name="_Toc151193693"/>
      <w:r/>
      <w:bookmarkStart w:id="155" w:name="_Toc164608637"/>
      <w:r/>
      <w:bookmarkStart w:id="156" w:name="_Toc150480761"/>
      <w:r/>
      <w:bookmarkStart w:id="157" w:name="_Toc127151523"/>
      <w:r/>
      <w:bookmarkStart w:id="158" w:name="_Toc150774623"/>
      <w:r/>
      <w:bookmarkStart w:id="159" w:name="_Toc226965713"/>
      <w:r/>
      <w:bookmarkStart w:id="160" w:name="_Toc127151724"/>
      <w:r/>
      <w:bookmarkStart w:id="161" w:name="_Toc164351617"/>
      <w:r/>
      <w:bookmarkStart w:id="162" w:name="_Toc151193837"/>
      <w:r/>
      <w:bookmarkStart w:id="163" w:name="_Toc142311025"/>
      <w:r/>
      <w:bookmarkStart w:id="164" w:name="_Toc151193621"/>
      <w:r/>
      <w:bookmarkStart w:id="165" w:name="_Toc150509274"/>
      <w:r/>
      <w:bookmarkStart w:id="166" w:name="_Toc151193911"/>
      <w:r/>
      <w:bookmarkStart w:id="167" w:name="_Toc164608792"/>
      <w:r/>
      <w:bookmarkStart w:id="168" w:name="_Toc226309767"/>
      <w:r/>
      <w:bookmarkStart w:id="169" w:name="_Toc265228361"/>
      <w:r/>
      <w:bookmarkStart w:id="170" w:name="_Toc151190150"/>
      <w:r/>
      <w:bookmarkStart w:id="171" w:name="_Toc164229218"/>
      <w:r/>
      <w:bookmarkStart w:id="172" w:name="_Toc226337219"/>
      <w:r/>
      <w:bookmarkStart w:id="173" w:name="_Toc195842888"/>
      <w:r/>
      <w:bookmarkStart w:id="174" w:name="_Toc151193765"/>
      <w:r/>
      <w:bookmarkStart w:id="175" w:name="_Toc226965796"/>
      <w:r/>
      <w:bookmarkStart w:id="176" w:name="_Toc149720816"/>
      <w:r/>
      <w:bookmarkStart w:id="177" w:name="_Toc264969213"/>
      <w:r/>
      <w:bookmarkStart w:id="178" w:name="_Toc164229364"/>
      <w:r/>
      <w:bookmarkStart w:id="179" w:name="_Toc305158791"/>
      <w:r/>
      <w:bookmarkStart w:id="180" w:name="_Toc127161437"/>
      <w:r>
        <w:rPr>
          <w:color w:val="000000" w:themeColor="text1"/>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第一章</w:t>
      </w:r>
      <w:r>
        <w:rPr>
          <w:color w:val="000000" w:themeColor="text1"/>
          <w:sz w:val="24"/>
          <w:highlight w:val="none"/>
        </w:rPr>
        <w:t xml:space="preserve">采购邀请</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第二章</w:t>
      </w:r>
      <w:r>
        <w:rPr>
          <w:color w:val="000000" w:themeColor="text1"/>
          <w:sz w:val="24"/>
          <w:highlight w:val="none"/>
        </w:rPr>
        <w:t xml:space="preserve">供应商须知</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第三章</w:t>
      </w: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第四章</w:t>
      </w:r>
      <w:r>
        <w:rPr>
          <w:color w:val="000000" w:themeColor="text1"/>
          <w:sz w:val="24"/>
          <w:highlight w:val="none"/>
        </w:rPr>
        <w:t xml:space="preserve">采购需求</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第五章</w:t>
      </w:r>
      <w:r>
        <w:rPr>
          <w:color w:val="000000" w:themeColor="text1"/>
          <w:sz w:val="24"/>
          <w:highlight w:val="none"/>
        </w:rPr>
        <w:t xml:space="preserve">合同草案条款</w:t>
      </w:r>
      <w:r/>
    </w:p>
    <w:p>
      <w:pPr>
        <w:numPr>
          <w:ilvl w:val="0"/>
          <w:numId w:val="0"/>
        </w:numPr>
        <w:ind w:left="1440" w:firstLine="5"/>
        <w:spacing w:line="360" w:lineRule="auto"/>
        <w:tabs>
          <w:tab w:val="left" w:pos="1980" w:leader="none"/>
          <w:tab w:val="left" w:pos="2520"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第六章</w:t>
      </w: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81" w:name="_Toc516367020"/>
      <w:r/>
      <w:bookmarkStart w:id="182" w:name="_Toc226965716"/>
      <w:r/>
      <w:bookmarkStart w:id="183" w:name="_Toc142311028"/>
      <w:r/>
      <w:bookmarkStart w:id="184" w:name="_Toc305158868"/>
      <w:r/>
      <w:bookmarkStart w:id="185" w:name="_Toc151193624"/>
      <w:r/>
      <w:bookmarkStart w:id="186" w:name="_Toc150774731"/>
      <w:r/>
      <w:bookmarkStart w:id="187" w:name="_Toc127151526"/>
      <w:r/>
      <w:bookmarkStart w:id="188" w:name="_Toc226309770"/>
      <w:r/>
      <w:bookmarkStart w:id="189" w:name="_Toc305158794"/>
      <w:r/>
      <w:bookmarkStart w:id="190" w:name="_Toc151193914"/>
      <w:r/>
      <w:bookmarkStart w:id="191" w:name="_Toc150480764"/>
      <w:r/>
      <w:bookmarkStart w:id="192" w:name="_Toc265228364"/>
      <w:r/>
      <w:bookmarkStart w:id="193" w:name="_Toc151193768"/>
      <w:r/>
      <w:bookmarkStart w:id="194" w:name="_Toc150509277"/>
      <w:r/>
      <w:bookmarkStart w:id="195" w:name="_Toc151193696"/>
      <w:r/>
      <w:bookmarkStart w:id="196" w:name="_Toc226965799"/>
      <w:r/>
      <w:bookmarkStart w:id="197" w:name="_Toc520356150"/>
      <w:r/>
      <w:bookmarkStart w:id="198" w:name="_Toc151190153"/>
      <w:r/>
      <w:bookmarkStart w:id="199" w:name="_Toc195842891"/>
      <w:r/>
      <w:bookmarkStart w:id="200" w:name="_Toc226337222"/>
      <w:r/>
      <w:bookmarkStart w:id="201" w:name="_Toc150774626"/>
      <w:r/>
      <w:bookmarkStart w:id="202" w:name="_Toc151193840"/>
      <w:r/>
      <w:bookmarkStart w:id="203" w:name="_Toc264969216"/>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81"/>
      <w:r>
        <w:rPr>
          <w:rFonts w:ascii="Times New Roman" w:hAnsi="Times New Roman" w:eastAsia="宋体"/>
          <w:color w:val="000000" w:themeColor="text1"/>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4" w:name="_Toc164351621"/>
      <w:r/>
      <w:bookmarkStart w:id="205" w:name="_Toc195842892"/>
      <w:r/>
      <w:bookmarkStart w:id="206" w:name="_Toc150480765"/>
      <w:r/>
      <w:bookmarkStart w:id="207" w:name="_Toc226965717"/>
      <w:r/>
      <w:bookmarkStart w:id="208" w:name="_Toc264969217"/>
      <w:r/>
      <w:bookmarkStart w:id="209" w:name="_Toc164608796"/>
      <w:r/>
      <w:bookmarkStart w:id="210" w:name="_Toc164229222"/>
      <w:r/>
      <w:bookmarkStart w:id="211" w:name="_Toc151193625"/>
      <w:r/>
      <w:bookmarkStart w:id="212" w:name="_Toc520356151"/>
      <w:r/>
      <w:bookmarkStart w:id="213" w:name="_Toc305158869"/>
      <w:r/>
      <w:bookmarkStart w:id="214" w:name="_Toc516367021"/>
      <w:r/>
      <w:bookmarkStart w:id="215" w:name="_Toc150509278"/>
      <w:r/>
      <w:bookmarkStart w:id="216" w:name="_Toc149720820"/>
      <w:r/>
      <w:bookmarkStart w:id="217" w:name="_Toc226965800"/>
      <w:r/>
      <w:bookmarkStart w:id="218" w:name="_Toc127151527"/>
      <w:r/>
      <w:bookmarkStart w:id="219" w:name="_Toc164229368"/>
      <w:r/>
      <w:bookmarkStart w:id="220" w:name="_Toc151190154"/>
      <w:r/>
      <w:bookmarkStart w:id="221" w:name="_Toc151193841"/>
      <w:r/>
      <w:bookmarkStart w:id="222" w:name="_Toc150774627"/>
      <w:r/>
      <w:bookmarkStart w:id="223" w:name="_Toc305158795"/>
      <w:r/>
      <w:bookmarkStart w:id="224" w:name="_Toc142311029"/>
      <w:r/>
      <w:bookmarkStart w:id="225" w:name="_Toc226309771"/>
      <w:r/>
      <w:bookmarkStart w:id="226" w:name="_Toc164608641"/>
      <w:r/>
      <w:bookmarkStart w:id="227" w:name="_Toc226337223"/>
      <w:r/>
      <w:bookmarkStart w:id="228" w:name="_Toc151193769"/>
      <w:r/>
      <w:bookmarkStart w:id="229" w:name="_Toc265228365"/>
      <w:r/>
      <w:bookmarkStart w:id="230" w:name="_Toc151193915"/>
      <w:r/>
      <w:bookmarkStart w:id="231" w:name="_Toc127151728"/>
      <w:r/>
      <w:bookmarkStart w:id="232" w:name="_Toc127161441"/>
      <w:r/>
      <w:bookmarkStart w:id="233" w:name="_Toc151193697"/>
      <w:r/>
      <w:bookmarkStart w:id="234" w:name="_Toc150774732"/>
      <w:r>
        <w:rPr>
          <w:color w:val="000000" w:themeColor="text1"/>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5" w:name="_Ref467306676"/>
      <w:r/>
      <w:bookmarkStart w:id="236" w:name="_Ref467306195"/>
      <w:r/>
      <w:bookmarkStart w:id="237" w:name="_Toc516367022"/>
      <w:r/>
      <w:bookmarkStart w:id="238" w:name="_Toc265228366"/>
      <w:r/>
      <w:bookmarkStart w:id="239" w:name="_Toc127161442"/>
      <w:r/>
      <w:bookmarkStart w:id="240" w:name="_Toc127151729"/>
      <w:r/>
      <w:bookmarkStart w:id="241" w:name="_Toc150480766"/>
      <w:r/>
      <w:bookmarkStart w:id="242" w:name="_Toc226337224"/>
      <w:r/>
      <w:bookmarkStart w:id="243" w:name="_Toc226965801"/>
      <w:r/>
      <w:bookmarkStart w:id="244" w:name="_Toc151193698"/>
      <w:r/>
      <w:bookmarkStart w:id="245" w:name="_Toc264969218"/>
      <w:r/>
      <w:bookmarkStart w:id="246" w:name="_Toc195842893"/>
      <w:r/>
      <w:bookmarkStart w:id="247" w:name="_Toc149720821"/>
      <w:r/>
      <w:bookmarkStart w:id="248" w:name="_Toc164608797"/>
      <w:r/>
      <w:bookmarkStart w:id="249" w:name="_Toc150509279"/>
      <w:r/>
      <w:bookmarkStart w:id="250" w:name="_Toc305158870"/>
      <w:r/>
      <w:bookmarkStart w:id="251" w:name="_Toc520356152"/>
      <w:r/>
      <w:bookmarkStart w:id="252" w:name="_Toc127151528"/>
      <w:r/>
      <w:bookmarkStart w:id="253" w:name="_Toc226965718"/>
      <w:r/>
      <w:bookmarkStart w:id="254" w:name="_Toc164229223"/>
      <w:r/>
      <w:bookmarkStart w:id="255" w:name="_Toc150774733"/>
      <w:r/>
      <w:bookmarkStart w:id="256" w:name="_Toc151193842"/>
      <w:r/>
      <w:bookmarkStart w:id="257" w:name="_Toc151193916"/>
      <w:r/>
      <w:bookmarkStart w:id="258" w:name="_Toc142311030"/>
      <w:r/>
      <w:bookmarkStart w:id="259" w:name="_Toc226309772"/>
      <w:r/>
      <w:bookmarkStart w:id="260" w:name="_Toc151193626"/>
      <w:r/>
      <w:bookmarkStart w:id="261" w:name="_Toc150774628"/>
      <w:r/>
      <w:bookmarkStart w:id="262" w:name="_Toc305158796"/>
      <w:r/>
      <w:bookmarkStart w:id="263" w:name="_Toc164229369"/>
      <w:r/>
      <w:bookmarkStart w:id="264" w:name="_Toc164351622"/>
      <w:r/>
      <w:bookmarkStart w:id="265" w:name="_Toc151193770"/>
      <w:r/>
      <w:bookmarkStart w:id="266" w:name="_Toc164608642"/>
      <w:r/>
      <w:bookmarkStart w:id="267" w:name="_Toc151190155"/>
      <w:r>
        <w:rPr>
          <w:color w:val="000000" w:themeColor="text1"/>
          <w:sz w:val="24"/>
          <w:highlight w:val="none"/>
        </w:rPr>
        <w:t xml:space="preserve">响应文件</w:t>
      </w:r>
      <w:bookmarkEnd w:id="235"/>
      <w:r/>
      <w:bookmarkEnd w:id="236"/>
      <w:r/>
      <w:bookmarkEnd w:id="237"/>
      <w:r>
        <w:rPr>
          <w:color w:val="000000" w:themeColor="text1"/>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8"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highlight w:val="none"/>
        </w:rPr>
      </w:pPr>
      <w:r>
        <w:rPr>
          <w:color w:val="000000" w:themeColor="text1"/>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9" w:name="_Toc151193700"/>
      <w:r/>
      <w:bookmarkStart w:id="270" w:name="_Toc150509281"/>
      <w:r/>
      <w:bookmarkStart w:id="271" w:name="_Toc127161444"/>
      <w:r/>
      <w:bookmarkStart w:id="272" w:name="_Toc150774735"/>
      <w:r/>
      <w:bookmarkStart w:id="273" w:name="_Toc151190157"/>
      <w:r/>
      <w:bookmarkStart w:id="274" w:name="_Toc127151530"/>
      <w:r/>
      <w:bookmarkStart w:id="275" w:name="_Toc520356155"/>
      <w:r/>
      <w:bookmarkStart w:id="276" w:name="_Toc195842895"/>
      <w:r/>
      <w:bookmarkStart w:id="277" w:name="_Toc164229371"/>
      <w:r/>
      <w:bookmarkStart w:id="278" w:name="_Toc164351624"/>
      <w:r/>
      <w:bookmarkStart w:id="279" w:name="_Toc142311032"/>
      <w:r/>
      <w:bookmarkStart w:id="280" w:name="_Toc151193772"/>
      <w:r/>
      <w:bookmarkStart w:id="281" w:name="_Toc151193844"/>
      <w:r/>
      <w:bookmarkStart w:id="282" w:name="_Toc164229225"/>
      <w:r/>
      <w:bookmarkStart w:id="283" w:name="_Toc164608644"/>
      <w:r/>
      <w:bookmarkStart w:id="284" w:name="_Toc151193628"/>
      <w:r/>
      <w:bookmarkStart w:id="285" w:name="_Toc150480768"/>
      <w:r/>
      <w:bookmarkStart w:id="286" w:name="_Toc149720823"/>
      <w:r/>
      <w:bookmarkStart w:id="287" w:name="_Toc150774630"/>
      <w:r/>
      <w:bookmarkStart w:id="288" w:name="_Toc127151731"/>
      <w:r/>
      <w:bookmarkStart w:id="289" w:name="_Toc151193918"/>
      <w:r/>
      <w:bookmarkStart w:id="290" w:name="_Toc164608799"/>
      <w:r>
        <w:rPr>
          <w:color w:val="000000" w:themeColor="text1"/>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91" w:name="_Toc127161447"/>
      <w:r/>
      <w:bookmarkStart w:id="292" w:name="_Toc164608802"/>
      <w:r/>
      <w:bookmarkStart w:id="293" w:name="_Toc149720826"/>
      <w:r/>
      <w:bookmarkStart w:id="294" w:name="_Toc164608647"/>
      <w:r/>
      <w:bookmarkStart w:id="295" w:name="_Toc195842898"/>
      <w:r/>
      <w:bookmarkStart w:id="296" w:name="_Toc226309777"/>
      <w:r/>
      <w:bookmarkStart w:id="297" w:name="_Toc164351627"/>
      <w:r/>
      <w:bookmarkStart w:id="298" w:name="_Toc127151533"/>
      <w:r/>
      <w:bookmarkStart w:id="299" w:name="_Toc151193631"/>
      <w:r/>
      <w:bookmarkStart w:id="300" w:name="_Toc150774633"/>
      <w:r/>
      <w:bookmarkStart w:id="301" w:name="_Toc265228371"/>
      <w:r/>
      <w:bookmarkStart w:id="302" w:name="_Toc226965723"/>
      <w:r/>
      <w:bookmarkStart w:id="303" w:name="_Toc151193703"/>
      <w:r/>
      <w:bookmarkStart w:id="304" w:name="_Toc264969223"/>
      <w:r/>
      <w:bookmarkStart w:id="305" w:name="_Toc164229374"/>
      <w:r/>
      <w:bookmarkStart w:id="306" w:name="_Toc164229228"/>
      <w:r/>
      <w:bookmarkStart w:id="307" w:name="_Toc520356158"/>
      <w:r/>
      <w:bookmarkStart w:id="308" w:name="_Toc226965806"/>
      <w:r/>
      <w:bookmarkStart w:id="309" w:name="_Toc305158875"/>
      <w:r/>
      <w:bookmarkStart w:id="310" w:name="_Toc226337229"/>
      <w:r/>
      <w:bookmarkStart w:id="311" w:name="_Toc151190160"/>
      <w:r/>
      <w:bookmarkStart w:id="312" w:name="_Toc142311035"/>
      <w:r/>
      <w:bookmarkStart w:id="313" w:name="_Toc305158801"/>
      <w:r/>
      <w:bookmarkStart w:id="314" w:name="_Toc127151734"/>
      <w:r/>
      <w:bookmarkStart w:id="315" w:name="_Toc150774738"/>
      <w:r/>
      <w:bookmarkStart w:id="316" w:name="_Toc151193921"/>
      <w:r/>
      <w:bookmarkStart w:id="317" w:name="_Toc151193775"/>
      <w:r/>
      <w:bookmarkStart w:id="318" w:name="_Toc151193847"/>
      <w:r/>
      <w:bookmarkStart w:id="319" w:name="_Toc150480771"/>
      <w:r/>
      <w:bookmarkStart w:id="320" w:name="_Toc150509284"/>
      <w:r>
        <w:rPr>
          <w:color w:val="000000" w:themeColor="text1"/>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21" w:name="_Toc226965807"/>
      <w:r/>
      <w:bookmarkStart w:id="322" w:name="_Toc151193848"/>
      <w:r/>
      <w:bookmarkStart w:id="323" w:name="_Toc150774634"/>
      <w:r/>
      <w:bookmarkStart w:id="324" w:name="_Toc151193632"/>
      <w:r/>
      <w:bookmarkStart w:id="325" w:name="_Toc151193776"/>
      <w:r/>
      <w:bookmarkStart w:id="326" w:name="_Toc520356159"/>
      <w:r/>
      <w:bookmarkStart w:id="327" w:name="_Toc264969224"/>
      <w:r/>
      <w:bookmarkStart w:id="328" w:name="_Toc151190161"/>
      <w:r/>
      <w:bookmarkStart w:id="329" w:name="_Toc265228372"/>
      <w:r/>
      <w:bookmarkStart w:id="330" w:name="_Toc226337230"/>
      <w:r/>
      <w:bookmarkStart w:id="331" w:name="_Toc226965724"/>
      <w:r/>
      <w:bookmarkStart w:id="332" w:name="_Toc150509285"/>
      <w:r/>
      <w:bookmarkStart w:id="333" w:name="_Toc305158876"/>
      <w:r/>
      <w:bookmarkStart w:id="334" w:name="_Toc195842899"/>
      <w:r/>
      <w:bookmarkStart w:id="335" w:name="_Toc150774739"/>
      <w:r/>
      <w:bookmarkStart w:id="336" w:name="_Toc142311036"/>
      <w:r/>
      <w:bookmarkStart w:id="337" w:name="_Toc151193922"/>
      <w:r/>
      <w:bookmarkStart w:id="338" w:name="_Toc305158802"/>
      <w:r/>
      <w:bookmarkStart w:id="339" w:name="_Toc226309778"/>
      <w:r/>
      <w:bookmarkStart w:id="340" w:name="_Toc127151534"/>
      <w:r/>
      <w:bookmarkStart w:id="341" w:name="_Toc151193704"/>
      <w:r/>
      <w:bookmarkStart w:id="342" w:name="_Toc150480772"/>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247"/>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43" w:name="_Toc164351629"/>
      <w:r/>
      <w:bookmarkStart w:id="344" w:name="_Toc164608649"/>
      <w:r/>
      <w:bookmarkStart w:id="345" w:name="_Toc150774740"/>
      <w:r/>
      <w:bookmarkStart w:id="346" w:name="_Toc151193633"/>
      <w:r/>
      <w:bookmarkStart w:id="347" w:name="_Toc164229376"/>
      <w:r/>
      <w:bookmarkStart w:id="348" w:name="_Toc164608804"/>
      <w:r/>
      <w:bookmarkStart w:id="349" w:name="_Toc150774635"/>
      <w:r/>
      <w:bookmarkStart w:id="350" w:name="_Toc151193777"/>
      <w:r/>
      <w:bookmarkStart w:id="351" w:name="_Toc226965808"/>
      <w:r/>
      <w:bookmarkStart w:id="352" w:name="_Toc127161449"/>
      <w:r/>
      <w:bookmarkStart w:id="353" w:name="_Toc151193705"/>
      <w:r/>
      <w:bookmarkStart w:id="354" w:name="_Toc127151736"/>
      <w:r/>
      <w:bookmarkStart w:id="355" w:name="_Toc264969225"/>
      <w:r/>
      <w:bookmarkStart w:id="356" w:name="_Toc226337231"/>
      <w:r/>
      <w:bookmarkStart w:id="357" w:name="_Toc226965725"/>
      <w:r/>
      <w:bookmarkStart w:id="358" w:name="_Toc151190162"/>
      <w:r/>
      <w:bookmarkStart w:id="359" w:name="_Toc195842900"/>
      <w:r/>
      <w:bookmarkStart w:id="360" w:name="_Toc226309779"/>
      <w:r/>
      <w:bookmarkStart w:id="361" w:name="_Toc151193849"/>
      <w:r/>
      <w:bookmarkStart w:id="362" w:name="_Toc520356160"/>
      <w:r/>
      <w:bookmarkStart w:id="363" w:name="_Toc150480773"/>
      <w:r/>
      <w:bookmarkStart w:id="364" w:name="_Toc164229230"/>
      <w:r/>
      <w:bookmarkStart w:id="365" w:name="_Toc265228373"/>
      <w:r/>
      <w:bookmarkStart w:id="366" w:name="_Toc305158803"/>
      <w:r/>
      <w:bookmarkStart w:id="367" w:name="_Toc142311037"/>
      <w:r/>
      <w:bookmarkStart w:id="368" w:name="_Toc149720828"/>
      <w:r/>
      <w:bookmarkStart w:id="369" w:name="_Toc151193923"/>
      <w:r/>
      <w:bookmarkStart w:id="370" w:name="_Toc305158877"/>
      <w:r/>
      <w:bookmarkStart w:id="371" w:name="_Toc150509286"/>
      <w:r/>
      <w:bookmarkStart w:id="372" w:name="_Toc127151535"/>
      <w:r>
        <w:rPr>
          <w:color w:val="000000" w:themeColor="text1"/>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。供应商根据竞争性磋商文件及</w:t>
      </w:r>
      <w:r>
        <w:rPr>
          <w:rFonts w:hint="eastAsia"/>
          <w:color w:val="000000" w:themeColor="text1"/>
          <w:sz w:val="24"/>
          <w:highlight w:val="none"/>
          <w:lang w:eastAsia="zh-CN"/>
        </w:rPr>
        <w:t xml:space="preserve">“苏采云”</w:t>
      </w:r>
      <w:r>
        <w:rPr>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73" w:name="_Toc150480774"/>
      <w:r/>
      <w:bookmarkStart w:id="374" w:name="_Toc127161450"/>
      <w:r/>
      <w:bookmarkStart w:id="375" w:name="_Toc150774741"/>
      <w:r/>
      <w:bookmarkStart w:id="376" w:name="_Toc195842901"/>
      <w:r/>
      <w:bookmarkStart w:id="377" w:name="_Toc127151737"/>
      <w:r/>
      <w:bookmarkStart w:id="378" w:name="_Toc151193850"/>
      <w:r/>
      <w:bookmarkStart w:id="379" w:name="_Toc151193634"/>
      <w:r/>
      <w:bookmarkStart w:id="380" w:name="_Toc127151536"/>
      <w:r/>
      <w:bookmarkStart w:id="381" w:name="_Toc164229231"/>
      <w:r/>
      <w:bookmarkStart w:id="382" w:name="_Toc264969226"/>
      <w:r/>
      <w:bookmarkStart w:id="383" w:name="_Toc164608805"/>
      <w:r/>
      <w:bookmarkStart w:id="384" w:name="_Toc265228374"/>
      <w:r/>
      <w:bookmarkStart w:id="385" w:name="_Toc164229377"/>
      <w:r/>
      <w:bookmarkStart w:id="386" w:name="_Toc226965726"/>
      <w:r/>
      <w:bookmarkStart w:id="387" w:name="_Toc305158878"/>
      <w:r/>
      <w:bookmarkStart w:id="388" w:name="_Toc305158804"/>
      <w:r/>
      <w:bookmarkStart w:id="389" w:name="_Toc226965809"/>
      <w:r/>
      <w:bookmarkStart w:id="390" w:name="_Toc226337232"/>
      <w:r/>
      <w:bookmarkStart w:id="391" w:name="_Toc520356161"/>
      <w:r/>
      <w:bookmarkStart w:id="392" w:name="_Toc164351630"/>
      <w:r/>
      <w:bookmarkStart w:id="393" w:name="_Toc151193924"/>
      <w:r/>
      <w:bookmarkStart w:id="394" w:name="_Toc164608650"/>
      <w:r/>
      <w:bookmarkStart w:id="395" w:name="_Toc149720829"/>
      <w:r/>
      <w:bookmarkStart w:id="396" w:name="_Toc151193706"/>
      <w:r/>
      <w:bookmarkStart w:id="397" w:name="_Toc226309780"/>
      <w:r/>
      <w:bookmarkStart w:id="398" w:name="_Toc151193778"/>
      <w:r/>
      <w:bookmarkStart w:id="399" w:name="_Toc150509287"/>
      <w:r/>
      <w:bookmarkStart w:id="400" w:name="_Toc151190163"/>
      <w:r/>
      <w:bookmarkStart w:id="401" w:name="_Toc150774636"/>
      <w:r/>
      <w:bookmarkStart w:id="402" w:name="_Toc142311038"/>
      <w:r>
        <w:rPr>
          <w:color w:val="000000" w:themeColor="text1"/>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03" w:name="_Toc265228375"/>
      <w:r/>
      <w:bookmarkStart w:id="404" w:name="_Toc127151738"/>
      <w:r/>
      <w:bookmarkStart w:id="405" w:name="_Toc226337233"/>
      <w:r/>
      <w:bookmarkStart w:id="406" w:name="_Toc150774742"/>
      <w:r/>
      <w:bookmarkStart w:id="407" w:name="_Toc305158879"/>
      <w:r/>
      <w:bookmarkStart w:id="408" w:name="_Toc264969227"/>
      <w:r/>
      <w:bookmarkStart w:id="409" w:name="_Toc164608651"/>
      <w:r/>
      <w:bookmarkStart w:id="410" w:name="_Toc226965727"/>
      <w:r/>
      <w:bookmarkStart w:id="411" w:name="_Toc150509288"/>
      <w:r/>
      <w:bookmarkStart w:id="412" w:name="_Toc226309781"/>
      <w:r/>
      <w:bookmarkStart w:id="413" w:name="_Toc151193707"/>
      <w:r/>
      <w:bookmarkStart w:id="414" w:name="_Toc164229232"/>
      <w:r/>
      <w:bookmarkStart w:id="415" w:name="_Toc149720830"/>
      <w:r/>
      <w:bookmarkStart w:id="416" w:name="_Toc151193851"/>
      <w:r/>
      <w:bookmarkStart w:id="417" w:name="_Toc127151537"/>
      <w:r/>
      <w:bookmarkStart w:id="418" w:name="_Toc305158805"/>
      <w:r/>
      <w:bookmarkStart w:id="419" w:name="_Toc150480775"/>
      <w:r/>
      <w:bookmarkStart w:id="420" w:name="_Toc151190164"/>
      <w:r/>
      <w:bookmarkStart w:id="421" w:name="_Toc164229378"/>
      <w:r/>
      <w:bookmarkStart w:id="422" w:name="_Toc150774637"/>
      <w:r/>
      <w:bookmarkStart w:id="423" w:name="_Toc127161451"/>
      <w:r/>
      <w:bookmarkStart w:id="424" w:name="_Toc164608806"/>
      <w:r/>
      <w:bookmarkStart w:id="425" w:name="_Toc151193635"/>
      <w:r/>
      <w:bookmarkStart w:id="426" w:name="_Toc226965810"/>
      <w:r/>
      <w:bookmarkStart w:id="427" w:name="_Toc520356162"/>
      <w:r/>
      <w:bookmarkStart w:id="428" w:name="_Toc142311039"/>
      <w:r/>
      <w:bookmarkStart w:id="429" w:name="_Toc151193925"/>
      <w:r/>
      <w:bookmarkStart w:id="430" w:name="_Toc151193779"/>
      <w:r/>
      <w:bookmarkStart w:id="431" w:name="_Toc164351631"/>
      <w:r/>
      <w:bookmarkStart w:id="432" w:name="_Toc195842902"/>
      <w:r>
        <w:rPr>
          <w:color w:val="000000" w:themeColor="text1"/>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1247"/>
        <w:spacing w:before="0" w:line="360" w:lineRule="auto"/>
        <w:rPr>
          <w:rFonts w:ascii="Times New Roman" w:hAnsi="Times New Roman" w:eastAsia="宋体"/>
          <w:color w:val="000000" w:themeColor="text1"/>
          <w:sz w:val="28"/>
          <w:highlight w:val="none"/>
        </w:rPr>
      </w:pPr>
      <w:r/>
      <w:bookmarkStart w:id="433" w:name="_Toc150774638"/>
      <w:r/>
      <w:bookmarkStart w:id="434" w:name="_Toc226965811"/>
      <w:r/>
      <w:bookmarkStart w:id="435" w:name="_Toc142311040"/>
      <w:r/>
      <w:bookmarkStart w:id="436" w:name="_Toc151193636"/>
      <w:r/>
      <w:bookmarkStart w:id="437" w:name="_Toc226309782"/>
      <w:r/>
      <w:bookmarkStart w:id="438" w:name="_Toc151193780"/>
      <w:r/>
      <w:bookmarkStart w:id="439" w:name="_Toc264969228"/>
      <w:r/>
      <w:bookmarkStart w:id="440" w:name="_Toc151190165"/>
      <w:r/>
      <w:bookmarkStart w:id="441" w:name="_Toc151193852"/>
      <w:r/>
      <w:bookmarkStart w:id="442" w:name="_Toc305158806"/>
      <w:r/>
      <w:bookmarkStart w:id="443" w:name="_Toc150509289"/>
      <w:r/>
      <w:bookmarkStart w:id="444" w:name="_Toc265228376"/>
      <w:r/>
      <w:bookmarkStart w:id="445" w:name="_Toc305158880"/>
      <w:r/>
      <w:bookmarkStart w:id="446" w:name="_Toc150774743"/>
      <w:r/>
      <w:bookmarkStart w:id="447" w:name="_Toc151193926"/>
      <w:r/>
      <w:bookmarkStart w:id="448" w:name="_Toc226965728"/>
      <w:r/>
      <w:bookmarkStart w:id="449" w:name="_Toc127151538"/>
      <w:r/>
      <w:bookmarkStart w:id="450" w:name="_Toc150480776"/>
      <w:r/>
      <w:bookmarkStart w:id="451" w:name="_Toc226337234"/>
      <w:r/>
      <w:bookmarkStart w:id="452" w:name="_Toc151193708"/>
      <w:r/>
      <w:bookmarkStart w:id="453" w:name="_Toc520356163"/>
      <w:r/>
      <w:bookmarkStart w:id="454" w:name="_Toc195842903"/>
      <w:r>
        <w:rPr>
          <w:rFonts w:ascii="Times New Roman" w:hAnsi="Times New Roman" w:eastAsia="宋体"/>
          <w:color w:val="000000" w:themeColor="text1"/>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bookmarkStart w:id="455" w:name="_Toc520356165"/>
      <w:r>
        <w:rPr>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lang w:eastAsia="zh-CN" w:bidi="ar"/>
        </w:rPr>
        <w:t xml:space="preserve">“苏采云”</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bookmarkEnd w:id="45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247"/>
        <w:spacing w:before="0" w:line="360" w:lineRule="auto"/>
        <w:rPr>
          <w:rFonts w:ascii="Times New Roman" w:hAnsi="Times New Roman" w:eastAsia="宋体"/>
          <w:color w:val="000000" w:themeColor="text1"/>
          <w:sz w:val="28"/>
          <w:highlight w:val="none"/>
        </w:rPr>
      </w:pPr>
      <w:r/>
      <w:bookmarkStart w:id="458" w:name="_Toc151193933"/>
      <w:r/>
      <w:bookmarkStart w:id="459" w:name="_Toc151193715"/>
      <w:r/>
      <w:bookmarkStart w:id="460" w:name="_Toc226309789"/>
      <w:r/>
      <w:bookmarkStart w:id="461" w:name="_Toc151193787"/>
      <w:r/>
      <w:bookmarkStart w:id="462" w:name="_Toc226337241"/>
      <w:r/>
      <w:bookmarkStart w:id="463" w:name="_Toc150774750"/>
      <w:r/>
      <w:bookmarkStart w:id="464" w:name="_Toc305158887"/>
      <w:r/>
      <w:bookmarkStart w:id="465" w:name="_Toc195842910"/>
      <w:r/>
      <w:bookmarkStart w:id="466" w:name="_Toc226965818"/>
      <w:r/>
      <w:bookmarkStart w:id="467" w:name="_Toc151193859"/>
      <w:r/>
      <w:bookmarkStart w:id="468" w:name="_Toc150774645"/>
      <w:r/>
      <w:bookmarkStart w:id="469" w:name="_Toc127151545"/>
      <w:r/>
      <w:bookmarkStart w:id="470" w:name="_Toc150509296"/>
      <w:r/>
      <w:bookmarkStart w:id="471" w:name="_Toc305158813"/>
      <w:r/>
      <w:bookmarkStart w:id="472" w:name="_Toc150480783"/>
      <w:r/>
      <w:bookmarkStart w:id="473" w:name="_Toc151190172"/>
      <w:r/>
      <w:bookmarkStart w:id="474" w:name="_Toc265228383"/>
      <w:r/>
      <w:bookmarkStart w:id="475" w:name="_Toc142311047"/>
      <w:r/>
      <w:bookmarkStart w:id="476" w:name="_Toc226965735"/>
      <w:r/>
      <w:bookmarkStart w:id="477" w:name="_Toc264969235"/>
      <w:r/>
      <w:bookmarkStart w:id="478" w:name="_Toc151193643"/>
      <w:r>
        <w:rPr>
          <w:rFonts w:ascii="Times New Roman" w:hAnsi="Times New Roman" w:eastAsia="宋体"/>
          <w:color w:val="000000" w:themeColor="text1"/>
          <w:sz w:val="28"/>
          <w:highlight w:val="none"/>
        </w:rPr>
        <w:t xml:space="preserve">六   </w:t>
      </w:r>
      <w:bookmarkEnd w:id="457"/>
      <w:r>
        <w:rPr>
          <w:rFonts w:ascii="Times New Roman" w:hAnsi="Times New Roman" w:eastAsia="宋体"/>
          <w:color w:val="000000" w:themeColor="text1"/>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79" w:name="_Toc150774647"/>
      <w:r/>
      <w:bookmarkStart w:id="480" w:name="_Toc265228385"/>
      <w:r/>
      <w:bookmarkStart w:id="481" w:name="_Toc164608816"/>
      <w:r/>
      <w:bookmarkStart w:id="482" w:name="_Toc164229388"/>
      <w:r/>
      <w:bookmarkStart w:id="483" w:name="_Toc264969237"/>
      <w:r/>
      <w:bookmarkStart w:id="484" w:name="_Toc151190174"/>
      <w:r/>
      <w:bookmarkStart w:id="485" w:name="_Toc149720840"/>
      <w:r/>
      <w:bookmarkStart w:id="486" w:name="_Toc150480785"/>
      <w:r/>
      <w:bookmarkStart w:id="487" w:name="_Toc195842912"/>
      <w:r/>
      <w:bookmarkStart w:id="488" w:name="_Toc164351641"/>
      <w:r/>
      <w:bookmarkStart w:id="489" w:name="_Toc305158815"/>
      <w:r/>
      <w:bookmarkStart w:id="490" w:name="_Toc127161461"/>
      <w:r/>
      <w:bookmarkStart w:id="491" w:name="_Toc151193645"/>
      <w:r/>
      <w:bookmarkStart w:id="492" w:name="_Toc164229242"/>
      <w:r/>
      <w:bookmarkStart w:id="493" w:name="_Toc151193935"/>
      <w:r/>
      <w:bookmarkStart w:id="494" w:name="_Toc151193717"/>
      <w:r/>
      <w:bookmarkStart w:id="495" w:name="_Toc305158889"/>
      <w:r/>
      <w:bookmarkStart w:id="496" w:name="_Toc150509298"/>
      <w:r/>
      <w:bookmarkStart w:id="497" w:name="_Toc127151547"/>
      <w:r/>
      <w:bookmarkStart w:id="498" w:name="_Toc226337243"/>
      <w:r/>
      <w:bookmarkStart w:id="499" w:name="_Toc150774752"/>
      <w:r/>
      <w:bookmarkStart w:id="500" w:name="_Toc142311049"/>
      <w:r/>
      <w:bookmarkStart w:id="501" w:name="_Toc151193861"/>
      <w:r/>
      <w:bookmarkStart w:id="502" w:name="_Toc226965737"/>
      <w:r/>
      <w:bookmarkStart w:id="503" w:name="_Toc164608661"/>
      <w:r/>
      <w:bookmarkStart w:id="504" w:name="_Toc151193789"/>
      <w:r/>
      <w:bookmarkStart w:id="505" w:name="_Toc226309791"/>
      <w:r/>
      <w:bookmarkStart w:id="506" w:name="_Toc127151748"/>
      <w:r/>
      <w:bookmarkStart w:id="507" w:name="_Toc226965820"/>
      <w:r>
        <w:rPr>
          <w:color w:val="000000" w:themeColor="text1"/>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08" w:name="_Toc305158891"/>
      <w:r/>
      <w:bookmarkStart w:id="509" w:name="_Toc305158817"/>
      <w:r/>
      <w:bookmarkStart w:id="510" w:name="_Toc164229390"/>
      <w:r/>
      <w:bookmarkStart w:id="511" w:name="_Toc151193791"/>
      <w:r/>
      <w:bookmarkStart w:id="512" w:name="_Toc151190176"/>
      <w:r/>
      <w:bookmarkStart w:id="513" w:name="_Toc164229244"/>
      <w:r/>
      <w:bookmarkStart w:id="514" w:name="_Toc150774649"/>
      <w:r/>
      <w:bookmarkStart w:id="515" w:name="_Toc164608663"/>
      <w:r/>
      <w:bookmarkStart w:id="516" w:name="_Toc226965739"/>
      <w:r/>
      <w:bookmarkStart w:id="517" w:name="_Toc265228387"/>
      <w:r/>
      <w:bookmarkStart w:id="518" w:name="_Toc195842914"/>
      <w:r/>
      <w:bookmarkStart w:id="519" w:name="_Toc127151750"/>
      <w:r/>
      <w:bookmarkStart w:id="520" w:name="_Toc142311051"/>
      <w:r/>
      <w:bookmarkStart w:id="521" w:name="_Toc226337245"/>
      <w:r/>
      <w:bookmarkStart w:id="522" w:name="_Toc127151549"/>
      <w:r/>
      <w:bookmarkStart w:id="523" w:name="_Toc151193863"/>
      <w:r/>
      <w:bookmarkStart w:id="524" w:name="_Toc150480787"/>
      <w:r/>
      <w:bookmarkStart w:id="525" w:name="_Toc150509300"/>
      <w:r/>
      <w:bookmarkStart w:id="526" w:name="_Toc164351643"/>
      <w:r/>
      <w:bookmarkStart w:id="527" w:name="_Toc149720842"/>
      <w:r/>
      <w:bookmarkStart w:id="528" w:name="_Toc264969239"/>
      <w:r/>
      <w:bookmarkStart w:id="529" w:name="_Toc151193647"/>
      <w:r/>
      <w:bookmarkStart w:id="530" w:name="_Toc151193719"/>
      <w:r/>
      <w:bookmarkStart w:id="531" w:name="_Toc150774754"/>
      <w:r/>
      <w:bookmarkStart w:id="532" w:name="_Toc151193937"/>
      <w:r/>
      <w:bookmarkStart w:id="533" w:name="_Toc226309793"/>
      <w:r/>
      <w:bookmarkStart w:id="534" w:name="_Toc226965822"/>
      <w:r/>
      <w:bookmarkStart w:id="535" w:name="_Toc164608818"/>
      <w:r/>
      <w:bookmarkStart w:id="536" w:name="_Toc127161463"/>
      <w:r/>
      <w:bookmarkStart w:id="537" w:name="_Ref467307090"/>
      <w:r/>
      <w:bookmarkStart w:id="538" w:name="_Ref467306425"/>
      <w:r/>
      <w:bookmarkStart w:id="539" w:name="_Toc520356176"/>
      <w:r>
        <w:rPr>
          <w:color w:val="000000" w:themeColor="text1"/>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themeColor="text1"/>
          <w:sz w:val="24"/>
          <w:highlight w:val="none"/>
        </w:rPr>
      </w:pPr>
      <w:r>
        <w:rPr>
          <w:color w:val="000000" w:themeColor="text1"/>
          <w:sz w:val="24"/>
          <w:highlight w:val="none"/>
        </w:rPr>
        <w:t xml:space="preserve">因情况变化，不再符合规定的竞争性磋商采购方式适用情形的；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40" w:name="_Toc150774755"/>
      <w:r/>
      <w:bookmarkStart w:id="541" w:name="_Toc164229391"/>
      <w:r/>
      <w:bookmarkStart w:id="542" w:name="_Toc127151550"/>
      <w:r/>
      <w:bookmarkStart w:id="543" w:name="_Toc164608819"/>
      <w:r/>
      <w:bookmarkStart w:id="544" w:name="_Toc226965823"/>
      <w:r/>
      <w:bookmarkStart w:id="545" w:name="_Toc151193864"/>
      <w:r/>
      <w:bookmarkStart w:id="546" w:name="_Ref467307204"/>
      <w:r/>
      <w:bookmarkStart w:id="547" w:name="_Toc265228388"/>
      <w:r/>
      <w:bookmarkStart w:id="548" w:name="_Toc151193648"/>
      <w:r/>
      <w:bookmarkStart w:id="549" w:name="_Toc226337246"/>
      <w:r/>
      <w:bookmarkStart w:id="550" w:name="_Toc142311052"/>
      <w:r/>
      <w:bookmarkStart w:id="551" w:name="_Ref467306978"/>
      <w:r/>
      <w:bookmarkStart w:id="552" w:name="_Ref467306377"/>
      <w:r/>
      <w:bookmarkStart w:id="553" w:name="_Toc151190177"/>
      <w:r/>
      <w:bookmarkStart w:id="554" w:name="_Toc151193720"/>
      <w:r/>
      <w:bookmarkStart w:id="555" w:name="_Toc149720843"/>
      <w:r/>
      <w:bookmarkStart w:id="556" w:name="_Toc195842915"/>
      <w:r/>
      <w:bookmarkStart w:id="557" w:name="_Toc164351644"/>
      <w:r/>
      <w:bookmarkStart w:id="558" w:name="_Toc151193792"/>
      <w:r/>
      <w:bookmarkStart w:id="559" w:name="_Toc150509301"/>
      <w:r/>
      <w:bookmarkStart w:id="560" w:name="_Toc264969240"/>
      <w:r/>
      <w:bookmarkStart w:id="561" w:name="_Toc164608664"/>
      <w:r/>
      <w:bookmarkStart w:id="562" w:name="_Toc127151751"/>
      <w:r/>
      <w:bookmarkStart w:id="563" w:name="_Toc226965740"/>
      <w:r/>
      <w:bookmarkStart w:id="564" w:name="_Toc305158892"/>
      <w:r/>
      <w:bookmarkStart w:id="565" w:name="_Toc151193938"/>
      <w:r/>
      <w:bookmarkStart w:id="566" w:name="_Toc520356175"/>
      <w:r/>
      <w:bookmarkStart w:id="567" w:name="_Toc226309794"/>
      <w:r/>
      <w:bookmarkStart w:id="568" w:name="_Toc150480788"/>
      <w:r/>
      <w:bookmarkStart w:id="569" w:name="_Toc164229245"/>
      <w:r/>
      <w:bookmarkStart w:id="570" w:name="_Toc127161464"/>
      <w:r/>
      <w:bookmarkStart w:id="571" w:name="_Ref467307062"/>
      <w:r/>
      <w:bookmarkStart w:id="572" w:name="_Toc150774650"/>
      <w:r/>
      <w:bookmarkStart w:id="573" w:name="_Toc305158818"/>
      <w:r>
        <w:rPr>
          <w:color w:val="000000" w:themeColor="text1"/>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325"/>
          <w:color w:val="000000" w:themeColor="text1"/>
          <w:highlight w:val="none"/>
        </w:rPr>
        <w:t xml:space="preserve">http://gk</w:t>
      </w:r>
      <w:bookmarkStart w:id="574" w:name="_Hlt100654014"/>
      <w:r>
        <w:rPr>
          <w:rStyle w:val="1325"/>
          <w:color w:val="000000" w:themeColor="text1"/>
          <w:highlight w:val="none"/>
        </w:rPr>
        <w:t xml:space="preserve">s</w:t>
      </w:r>
      <w:bookmarkEnd w:id="574"/>
      <w:r>
        <w:rPr>
          <w:rStyle w:val="1325"/>
          <w:color w:val="000000" w:themeColor="text1"/>
          <w:highlight w:val="none"/>
        </w:rPr>
        <w:t xml:space="preserve">.m</w:t>
      </w:r>
      <w:bookmarkStart w:id="575" w:name="_Hlt100653993"/>
      <w:r/>
      <w:bookmarkStart w:id="576" w:name="_Hlt100653994"/>
      <w:r>
        <w:rPr>
          <w:rStyle w:val="1325"/>
          <w:color w:val="000000" w:themeColor="text1"/>
          <w:highlight w:val="none"/>
        </w:rPr>
        <w:t xml:space="preserve">o</w:t>
      </w:r>
      <w:bookmarkEnd w:id="575"/>
      <w:r/>
      <w:bookmarkEnd w:id="576"/>
      <w:r/>
      <w:bookmarkStart w:id="577" w:name="_Hlt101169156"/>
      <w:r>
        <w:rPr>
          <w:rStyle w:val="1325"/>
          <w:color w:val="000000" w:themeColor="text1"/>
          <w:highlight w:val="none"/>
        </w:rPr>
        <w:t xml:space="preserve">f</w:t>
      </w:r>
      <w:bookmarkEnd w:id="577"/>
      <w:r>
        <w:rPr>
          <w:rStyle w:val="1325"/>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21"/>
          <w:footnotePr/>
          <w:endnotePr/>
          <w:type w:val="nextPage"/>
          <w:pgSz w:w="11905" w:h="16840" w:orient="portrait"/>
          <w:pgMar w:top="1440" w:right="1304" w:bottom="1440" w:left="1304" w:header="850" w:footer="850" w:gutter="0"/>
          <w:pgNumType w:start="1"/>
          <w:cols w:num="1" w:sep="0" w:space="1701" w:equalWidth="1"/>
          <w:docGrid w:linePitch="360"/>
        </w:sectPr>
      </w:pPr>
      <w:r/>
      <w:bookmarkStart w:id="578" w:name="_Toc142311056"/>
      <w:r/>
      <w:bookmarkStart w:id="579" w:name="_Toc305158896"/>
      <w:r/>
      <w:bookmarkStart w:id="580" w:name="_Toc353873934"/>
      <w:r/>
      <w:bookmarkStart w:id="581" w:name="_Toc305158822"/>
      <w:r/>
      <w:bookmarkStart w:id="582" w:name="_Toc150774759"/>
      <w:r/>
      <w:bookmarkStart w:id="583" w:name="_Toc226965827"/>
      <w:r/>
      <w:bookmarkStart w:id="584" w:name="_Toc265228392"/>
      <w:r/>
      <w:bookmarkStart w:id="585" w:name="_Toc226337250"/>
      <w:r/>
      <w:bookmarkStart w:id="586" w:name="_Toc150480792"/>
      <w:r/>
      <w:bookmarkStart w:id="587" w:name="_Toc264969244"/>
      <w:r/>
      <w:bookmarkStart w:id="588" w:name="_Toc127151554"/>
      <w:r/>
      <w:bookmarkStart w:id="589" w:name="_Toc353873664"/>
      <w:r/>
      <w:bookmarkStart w:id="590" w:name="_Toc353825544"/>
      <w:r/>
      <w:r/>
    </w:p>
    <w:p>
      <w:pPr>
        <w:jc w:val="center"/>
        <w:spacing w:line="360" w:lineRule="auto"/>
        <w:rPr>
          <w:b/>
          <w:color w:val="000000" w:themeColor="text1"/>
          <w:sz w:val="36"/>
          <w:szCs w:val="36"/>
          <w:highlight w:val="none"/>
        </w:rPr>
        <w:outlineLvl w:val="0"/>
      </w:pPr>
      <w:r/>
      <w:bookmarkStart w:id="591" w:name="_Toc12381"/>
      <w:r>
        <w:rPr>
          <w:b/>
          <w:color w:val="000000" w:themeColor="text1"/>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1"/>
      <w:r/>
      <w:bookmarkStart w:id="592" w:name="_Toc487900382"/>
      <w:r/>
      <w:r/>
    </w:p>
    <w:p>
      <w:pPr>
        <w:pStyle w:val="1247"/>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9"/>
        </w:numPr>
        <w:spacing w:line="360" w:lineRule="auto"/>
        <w:tabs>
          <w:tab w:val="left" w:pos="360" w:leader="none"/>
        </w:tabs>
        <w:rPr>
          <w:color w:val="000000" w:themeColor="text1"/>
          <w:sz w:val="24"/>
          <w:highlight w:val="none"/>
        </w:rPr>
        <w:outlineLvl w:val="1"/>
      </w:pPr>
      <w:r/>
      <w:bookmarkStart w:id="593" w:name="_Toc127151541"/>
      <w:r/>
      <w:bookmarkStart w:id="594" w:name="_Toc151193639"/>
      <w:r/>
      <w:bookmarkStart w:id="595" w:name="_Toc150480779"/>
      <w:r/>
      <w:bookmarkStart w:id="596" w:name="_Toc164608810"/>
      <w:r/>
      <w:bookmarkStart w:id="597" w:name="_Toc226965731"/>
      <w:r/>
      <w:bookmarkStart w:id="598" w:name="_Toc265228379"/>
      <w:r/>
      <w:bookmarkStart w:id="599" w:name="_Toc305158883"/>
      <w:r/>
      <w:bookmarkStart w:id="600" w:name="_Toc164229236"/>
      <w:r/>
      <w:bookmarkStart w:id="601" w:name="_Toc226965814"/>
      <w:r/>
      <w:bookmarkStart w:id="602" w:name="_Toc150509292"/>
      <w:r/>
      <w:bookmarkStart w:id="603" w:name="_Toc151193783"/>
      <w:r/>
      <w:bookmarkStart w:id="604" w:name="_Toc151193711"/>
      <w:r/>
      <w:bookmarkStart w:id="605" w:name="_Toc151190168"/>
      <w:r/>
      <w:bookmarkStart w:id="606" w:name="_Toc164608655"/>
      <w:r/>
      <w:bookmarkStart w:id="607" w:name="_Toc164351635"/>
      <w:r/>
      <w:bookmarkStart w:id="608" w:name="_Toc142311043"/>
      <w:r/>
      <w:bookmarkStart w:id="609" w:name="_Toc151193929"/>
      <w:r/>
      <w:bookmarkStart w:id="610" w:name="_Toc164229382"/>
      <w:r/>
      <w:bookmarkStart w:id="611" w:name="_Toc150774746"/>
      <w:r/>
      <w:bookmarkStart w:id="612" w:name="_Toc150774641"/>
      <w:r/>
      <w:bookmarkStart w:id="613" w:name="_Toc195842906"/>
      <w:r/>
      <w:bookmarkStart w:id="614" w:name="_Toc226337237"/>
      <w:r/>
      <w:bookmarkStart w:id="615" w:name="_Toc127161455"/>
      <w:r/>
      <w:bookmarkStart w:id="616" w:name="_Toc305158809"/>
      <w:r/>
      <w:bookmarkStart w:id="617" w:name="_Toc264969231"/>
      <w:r/>
      <w:bookmarkStart w:id="618" w:name="_Toc226309785"/>
      <w:r/>
      <w:bookmarkStart w:id="619" w:name="_Toc127151742"/>
      <w:r/>
      <w:bookmarkStart w:id="620" w:name="_Toc149720834"/>
      <w:r/>
      <w:bookmarkStart w:id="621" w:name="_Toc151193855"/>
      <w:r/>
      <w:bookmarkStart w:id="622" w:name="_Toc353825551"/>
      <w:r/>
      <w:bookmarkStart w:id="623" w:name="_Toc353873941"/>
      <w:r/>
      <w:bookmarkStart w:id="624" w:name="_Toc305158897"/>
      <w:r/>
      <w:bookmarkStart w:id="625" w:name="_Toc264969245"/>
      <w:r/>
      <w:bookmarkStart w:id="626" w:name="_Toc353873935"/>
      <w:r/>
      <w:bookmarkStart w:id="627" w:name="_Toc353825545"/>
      <w:r/>
      <w:bookmarkStart w:id="628" w:name="_Toc150480793"/>
      <w:r/>
      <w:bookmarkStart w:id="629" w:name="_Toc226337251"/>
      <w:r/>
      <w:bookmarkStart w:id="630" w:name="_Toc226965828"/>
      <w:r/>
      <w:bookmarkStart w:id="631" w:name="_Toc305158823"/>
      <w:r/>
      <w:bookmarkStart w:id="632" w:name="_Toc265228393"/>
      <w:r/>
      <w:bookmarkStart w:id="633" w:name="_Toc127151555"/>
      <w:r/>
      <w:bookmarkStart w:id="634" w:name="_Toc150774760"/>
      <w:r/>
      <w:bookmarkStart w:id="635" w:name="_Toc195842920"/>
      <w:r/>
      <w:bookmarkStart w:id="636" w:name="_Toc353873665"/>
      <w:r/>
      <w:bookmarkStart w:id="637" w:name="_Toc142311057"/>
      <w:r>
        <w:rPr>
          <w:color w:val="000000" w:themeColor="text1"/>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themeColor="text1"/>
          <w:sz w:val="24"/>
          <w:highlight w:val="none"/>
        </w:rPr>
        <w:t xml:space="preserve">资格性检查和符合性审查</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107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bookmarkStart w:id="638" w:name="_Hlt487972895"/>
            <w:r/>
            <w:bookmarkEnd w:id="638"/>
            <w:r>
              <w:rPr>
                <w:rFonts w:hint="eastAsia" w:ascii="宋体" w:hAnsi="宋体" w:eastAsia="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sz w:val="24"/>
                <w:highlight w:val="none"/>
              </w:rPr>
              <w:t xml:space="preserve">。</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具有良好的商业信誉和健全的财务会计制度；须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上一年度</w:t>
            </w:r>
            <w:r>
              <w:rPr>
                <w:rFonts w:hint="eastAsia" w:ascii="宋体" w:hAnsi="宋体" w:eastAsia="宋体" w:cs="宋体"/>
                <w:color w:val="000000"/>
                <w:sz w:val="24"/>
                <w:highlight w:val="none"/>
              </w:rPr>
              <w:t xml:space="preserve">的财务</w:t>
            </w:r>
            <w:r>
              <w:rPr>
                <w:rFonts w:hint="eastAsia" w:ascii="宋体" w:hAnsi="宋体" w:eastAsia="宋体" w:cs="宋体"/>
                <w:color w:val="000000"/>
                <w:sz w:val="24"/>
                <w:highlight w:val="none"/>
                <w:lang w:val="en-US" w:eastAsia="zh-CN"/>
              </w:rPr>
              <w:t xml:space="preserve">状况报告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内容至少须包含</w:t>
            </w:r>
            <w:r>
              <w:rPr>
                <w:rFonts w:hint="eastAsia" w:ascii="宋体" w:hAnsi="宋体" w:eastAsia="宋体" w:cs="宋体"/>
                <w:color w:val="000000"/>
                <w:sz w:val="24"/>
                <w:highlight w:val="none"/>
                <w:lang w:eastAsia="zh-CN"/>
              </w:rPr>
              <w:t xml:space="preserve">资产负债表和利润表；</w:t>
            </w:r>
            <w:r>
              <w:rPr>
                <w:rFonts w:hint="eastAsia" w:ascii="宋体" w:hAnsi="宋体" w:eastAsia="宋体" w:cs="宋体"/>
                <w:color w:val="000000"/>
                <w:sz w:val="24"/>
                <w:highlight w:val="none"/>
              </w:rPr>
              <w:t xml:space="preserve">成立时间至提交投标文件截止时间不足一年的</w:t>
            </w:r>
            <w:r>
              <w:rPr>
                <w:rFonts w:hint="eastAsia" w:ascii="宋体" w:hAnsi="宋体" w:eastAsia="宋体" w:cs="宋体"/>
                <w:color w:val="000000"/>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具有履行合同所必需的设备和专业技术能力；须提供</w:t>
            </w:r>
            <w:r>
              <w:rPr>
                <w:rFonts w:hint="eastAsia" w:ascii="宋体" w:hAnsi="宋体" w:eastAsia="宋体" w:cs="宋体"/>
                <w:color w:val="000000"/>
                <w:sz w:val="24"/>
                <w:highlight w:val="none"/>
              </w:rPr>
              <w:t xml:space="preserve">《供应商资格声明函》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lang w:val="en-US" w:eastAsia="zh-CN"/>
              </w:rPr>
              <w:t xml:space="preserve">。</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（4）有依法缴纳税收和社会保障资金的良好记录；须</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近期</w:t>
            </w:r>
            <w:r>
              <w:rPr>
                <w:rFonts w:hint="eastAsia" w:ascii="宋体" w:hAnsi="宋体" w:eastAsia="宋体" w:cs="宋体"/>
                <w:color w:val="000000"/>
                <w:sz w:val="24"/>
                <w:highlight w:val="none"/>
              </w:rPr>
              <w:t xml:space="preserve">依法缴纳税收</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社会保障资金的</w:t>
            </w:r>
            <w:r>
              <w:rPr>
                <w:rFonts w:hint="eastAsia" w:ascii="宋体" w:hAnsi="宋体" w:eastAsia="宋体" w:cs="宋体"/>
                <w:color w:val="000000"/>
                <w:sz w:val="24"/>
                <w:highlight w:val="none"/>
                <w:lang w:val="en-US" w:eastAsia="zh-CN"/>
              </w:rPr>
              <w:t xml:space="preserve">相关</w:t>
            </w: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lang w:val="en-US" w:eastAsia="zh-CN"/>
              </w:rPr>
              <w:t xml:space="preserve">相关材料应是：</w:t>
            </w:r>
            <w:r>
              <w:rPr>
                <w:rFonts w:hint="eastAsia" w:ascii="宋体" w:hAnsi="宋体" w:eastAsia="宋体" w:cs="宋体"/>
                <w:color w:val="000000"/>
                <w:sz w:val="24"/>
                <w:highlight w:val="none"/>
              </w:rPr>
              <w:t xml:space="preserve">相关主管部门</w:t>
            </w:r>
            <w:r>
              <w:rPr>
                <w:rFonts w:hint="eastAsia" w:ascii="宋体" w:hAnsi="宋体" w:eastAsia="宋体" w:cs="宋体"/>
                <w:color w:val="000000"/>
                <w:sz w:val="24"/>
                <w:highlight w:val="none"/>
                <w:lang w:val="en-US" w:eastAsia="zh-CN"/>
              </w:rPr>
              <w:t xml:space="preserve">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或银行代扣证明</w:t>
            </w:r>
            <w:r>
              <w:rPr>
                <w:rFonts w:hint="eastAsia" w:ascii="宋体" w:hAnsi="宋体" w:eastAsia="宋体" w:cs="宋体"/>
                <w:color w:val="000000"/>
                <w:sz w:val="24"/>
                <w:highlight w:val="none"/>
                <w:lang w:val="en-US" w:eastAsia="zh-CN"/>
              </w:rPr>
              <w:t xml:space="preserve">或缴纳流水明细</w:t>
            </w:r>
            <w:r>
              <w:rPr>
                <w:rFonts w:hint="eastAsia" w:ascii="宋体" w:hAnsi="宋体" w:eastAsia="宋体" w:cs="宋体"/>
                <w:color w:val="000000"/>
                <w:sz w:val="24"/>
                <w:highlight w:val="none"/>
              </w:rPr>
              <w:t xml:space="preserve">。投标人依法享受缓缴、免缴税收、社会保障资金的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相关主管部门出具的</w:t>
            </w: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lang w:val="en-US" w:eastAsia="zh-CN"/>
              </w:rPr>
              <w:t xml:space="preserve">材料</w:t>
            </w:r>
            <w:r>
              <w:rPr>
                <w:rFonts w:hint="eastAsia" w:ascii="宋体" w:hAnsi="宋体" w:eastAsia="宋体" w:cs="宋体"/>
                <w:color w:val="000000"/>
                <w:sz w:val="24"/>
                <w:highlight w:val="none"/>
              </w:rPr>
              <w:t xml:space="preserve">。</w:t>
            </w:r>
            <w:r/>
          </w:p>
          <w:p>
            <w:pPr>
              <w:spacing w:line="360" w:lineRule="auto"/>
              <w:tabs>
                <w:tab w:val="left" w:pos="10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)参加政府采购活动前三年内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在经营活动中没有重大违</w:t>
            </w:r>
            <w:r>
              <w:rPr>
                <w:rFonts w:hint="eastAsia" w:ascii="宋体" w:hAnsi="宋体" w:eastAsia="宋体" w:cs="宋体"/>
                <w:color w:val="000000"/>
                <w:sz w:val="24"/>
                <w:highlight w:val="none"/>
                <w:lang w:val="en-US" w:eastAsia="zh-CN"/>
              </w:rPr>
              <w:t xml:space="preserve">法记录；须提供</w:t>
            </w:r>
            <w:r>
              <w:rPr>
                <w:rFonts w:hint="eastAsia" w:ascii="宋体" w:hAnsi="宋体" w:eastAsia="宋体" w:cs="宋体"/>
                <w:color w:val="000000"/>
                <w:sz w:val="24"/>
                <w:highlight w:val="none"/>
              </w:rPr>
              <w:t xml:space="preserve">《供应商资格声明函》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投标截止时间以后、资格审查阶段采购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的实际查询</w:t>
            </w:r>
            <w:r>
              <w:rPr>
                <w:rFonts w:hint="eastAsia" w:ascii="宋体" w:hAnsi="宋体" w:eastAsia="宋体" w:cs="宋体"/>
                <w:color w:val="000000"/>
                <w:sz w:val="24"/>
                <w:highlight w:val="none"/>
                <w:lang w:val="en-US" w:eastAsia="zh-CN"/>
              </w:rPr>
              <w:t xml:space="preserve">结果</w:t>
            </w:r>
            <w:r>
              <w:rPr>
                <w:rFonts w:hint="eastAsia" w:ascii="宋体" w:hAnsi="宋体" w:eastAsia="宋体" w:cs="宋体"/>
                <w:color w:val="000000"/>
                <w:sz w:val="24"/>
                <w:highlight w:val="none"/>
              </w:rPr>
              <w:t xml:space="preserve">；</w:t>
            </w:r>
            <w:r/>
          </w:p>
          <w:p>
            <w:pPr>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查询结果网页打印页作为查询记录和证据，与其他</w:t>
            </w:r>
            <w:r>
              <w:rPr>
                <w:rFonts w:hint="eastAsia" w:ascii="宋体" w:hAnsi="宋体" w:eastAsia="宋体" w:cs="宋体"/>
                <w:color w:val="000000"/>
                <w:sz w:val="24"/>
                <w:highlight w:val="none"/>
                <w:lang w:val="en-US" w:eastAsia="zh-CN"/>
              </w:rPr>
              <w:t xml:space="preserve">资料</w:t>
            </w:r>
            <w:r>
              <w:rPr>
                <w:rFonts w:hint="eastAsia" w:ascii="宋体" w:hAnsi="宋体" w:eastAsia="宋体" w:cs="宋体"/>
                <w:color w:val="000000"/>
                <w:sz w:val="24"/>
                <w:highlight w:val="none"/>
              </w:rPr>
              <w:t xml:space="preserve">一并保存；</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无须供应商提供，由采购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highlight w:val="none"/>
                <w:lang w:val="en-US" w:eastAsia="zh-CN"/>
              </w:rPr>
            </w:pPr>
            <w:r>
              <w:rPr>
                <w:rFonts w:hint="eastAsia" w:ascii="宋体" w:hAnsi="宋体" w:eastAsia="宋体" w:cs="宋体"/>
                <w:color w:val="000000"/>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Times New Roman" w:hAnsi="Times New Roman" w:eastAsia="宋体" w:cs="Times New Roman"/>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须提供</w:t>
            </w: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不接受</w:t>
            </w:r>
            <w:r>
              <w:rPr>
                <w:rFonts w:hint="eastAsia" w:ascii="宋体" w:hAnsi="宋体" w:eastAsia="宋体" w:cs="宋体"/>
                <w:color w:val="000000"/>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不属于</w:t>
            </w:r>
            <w:r>
              <w:rPr>
                <w:rFonts w:hint="eastAsia" w:ascii="宋体" w:hAnsi="宋体" w:eastAsia="宋体" w:cs="宋体"/>
                <w:color w:val="000000"/>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p>
        </w:tc>
        <w:tc>
          <w:tcPr>
            <w:tcW w:w="4508" w:type="dxa"/>
            <w:vAlign w:val="center"/>
            <w:textDirection w:val="lrTb"/>
            <w:noWrap w:val="false"/>
          </w:tcPr>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（1）供应商具有有效期内的水利水电工程施工总承包叁级（含）以上资质；</w:t>
            </w:r>
            <w:r/>
          </w:p>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（2）拟派项目负责人水利水电工程施工总承包投标人拟派的项目负责人需具有有效期内的水利水电工程贰级（含）以上注册建造师执业证书并具有有效期内的安全生产考核合格证书（B证）；</w:t>
            </w:r>
            <w:r/>
          </w:p>
          <w:p>
            <w:pPr>
              <w:ind w:firstLine="480"/>
              <w:jc w:val="both"/>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（3）供应商须具有建设行政主管部门颁发的且在有效期内的安全生产许可证；</w:t>
            </w:r>
            <w:r/>
          </w:p>
          <w:p>
            <w:pPr>
              <w:spacing w:line="360" w:lineRule="auto"/>
              <w:tabs>
                <w:tab w:val="left" w:pos="1080" w:leader="none"/>
              </w:tabs>
              <w:rPr>
                <w:rFonts w:hint="default" w:ascii="宋体" w:hAnsi="宋体" w:eastAsia="宋体" w:cs="宋体"/>
                <w:color w:val="000000"/>
                <w:sz w:val="24"/>
                <w:highlight w:val="none"/>
                <w:lang w:val="en-US" w:eastAsia="zh-CN"/>
              </w:rPr>
            </w:pPr>
            <w:r>
              <w:rPr>
                <w:rFonts w:hint="eastAsia" w:ascii="Times New Roman" w:hAnsi="Times New Roman" w:eastAsia="宋体" w:cs="Times New Roman"/>
                <w:b/>
                <w:bCs/>
                <w:sz w:val="24"/>
                <w:szCs w:val="24"/>
                <w:highlight w:val="none"/>
                <w:lang w:val="en-US" w:eastAsia="zh-CN" w:bidi="ar-SA"/>
              </w:rPr>
              <w:t xml:space="preserve">（4）拟派项目负责人无在建工程，以“无在建承诺书”为准（格式自拟）</w:t>
            </w:r>
            <w:r>
              <w:rPr>
                <w:rFonts w:hint="default" w:ascii="Times New Roman" w:hAnsi="Times New Roman" w:eastAsia="宋体" w:cs="Times New Roman"/>
                <w:b/>
                <w:bCs/>
                <w:sz w:val="24"/>
                <w:szCs w:val="24"/>
                <w:highlight w:val="none"/>
                <w:lang w:val="en-US" w:eastAsia="zh-CN" w:bidi="ar-SA"/>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须提供相应证明材料。</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10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840"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179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6656"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超过磋商文件中规定的项目预算金额</w:t>
            </w:r>
            <w:r>
              <w:rPr>
                <w:rFonts w:hint="eastAsia"/>
                <w:color w:val="000000" w:themeColor="text1"/>
                <w:sz w:val="24"/>
                <w:highlight w:val="none"/>
                <w:lang w:eastAsia="zh-CN"/>
              </w:rPr>
              <w:t xml:space="preserve">、</w:t>
            </w:r>
            <w:r>
              <w:rPr>
                <w:color w:val="000000" w:themeColor="text1"/>
                <w:sz w:val="24"/>
                <w:highlight w:val="none"/>
              </w:rPr>
              <w:t xml:space="preserve">最高限价</w:t>
            </w:r>
            <w:r>
              <w:rPr>
                <w:rFonts w:hint="eastAsia"/>
                <w:color w:val="000000" w:themeColor="text1"/>
                <w:sz w:val="24"/>
                <w:highlight w:val="none"/>
                <w:lang w:val="en-US" w:eastAsia="zh-CN"/>
              </w:rPr>
              <w:t xml:space="preserve">及相应的</w:t>
            </w:r>
            <w:r>
              <w:rPr>
                <w:rFonts w:hint="eastAsia"/>
                <w:color w:val="000000" w:themeColor="text1"/>
                <w:sz w:val="24"/>
                <w:highlight w:val="none"/>
              </w:rPr>
              <w:t xml:space="preserve">控制单价</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1792" w:type="dxa"/>
            <w:vAlign w:val="center"/>
            <w:textDirection w:val="lrTb"/>
            <w:noWrap w:val="false"/>
          </w:tcPr>
          <w:p>
            <w:pPr>
              <w:jc w:val="left"/>
              <w:widowControl/>
              <w:rPr>
                <w:rFonts w:hint="eastAsia"/>
                <w:color w:val="000000" w:themeColor="text1"/>
                <w:sz w:val="24"/>
                <w:highlight w:val="none"/>
              </w:rPr>
            </w:pPr>
            <w:r>
              <w:rPr>
                <w:color w:val="000000" w:themeColor="text1"/>
                <w:sz w:val="24"/>
                <w:highlight w:val="none"/>
              </w:rPr>
              <w:t xml:space="preserve">★号条款响应</w:t>
            </w:r>
            <w:r>
              <w:rPr>
                <w:rFonts w:hint="eastAsia"/>
                <w:color w:val="000000" w:themeColor="text1"/>
                <w:sz w:val="24"/>
                <w:highlight w:val="none"/>
              </w:rPr>
              <w:t xml:space="preserve">（如有）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响应文件满足磋商文件第</w:t>
            </w:r>
            <w:r>
              <w:rPr>
                <w:rFonts w:hint="eastAsia"/>
                <w:color w:val="000000" w:themeColor="text1"/>
                <w:sz w:val="24"/>
                <w:highlight w:val="none"/>
              </w:rPr>
              <w:t xml:space="preserve">四</w:t>
            </w:r>
            <w:r>
              <w:rPr>
                <w:color w:val="000000" w:themeColor="text1"/>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000000" w:themeColor="text1"/>
                <w:sz w:val="24"/>
                <w:highlight w:val="none"/>
              </w:rPr>
            </w:pPr>
            <w:r>
              <w:rPr>
                <w:color w:val="000000" w:themeColor="text1"/>
                <w:sz w:val="24"/>
                <w:highlight w:val="none"/>
              </w:rPr>
              <w:t xml:space="preserve">报价合理性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供应商的报价明显低于其他通过符合性审查供应商的报价，</w:t>
            </w:r>
            <w:r>
              <w:rPr>
                <w:color w:val="000000" w:themeColor="text1"/>
                <w:sz w:val="24"/>
                <w:highlight w:val="none"/>
              </w:rPr>
              <w:t xml:space="preserve">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w:t>
            </w:r>
            <w:r>
              <w:rPr>
                <w:rFonts w:hint="eastAsia"/>
                <w:color w:val="000000" w:themeColor="text1"/>
                <w:sz w:val="24"/>
                <w:highlight w:val="none"/>
              </w:rPr>
              <w:t xml:space="preserve">，能够应磋商小组要求在规定时间内证明其报价合理性的</w:t>
            </w:r>
            <w:r>
              <w:rPr>
                <w:color w:val="000000" w:themeColor="text1"/>
                <w:sz w:val="24"/>
                <w:highlight w:val="none"/>
              </w:rPr>
              <w:t xml:space="preserve">；</w:t>
            </w:r>
            <w:r/>
          </w:p>
        </w:tc>
      </w:tr>
      <w:tr>
        <w:trPr>
          <w:jc w:val="center"/>
          <w:trHeight w:val="688"/>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1792"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工程量清单（</w:t>
            </w:r>
            <w:r>
              <w:rPr>
                <w:rFonts w:hint="eastAsia" w:ascii="Times New Roman" w:eastAsia="宋体"/>
                <w:b/>
                <w:bCs/>
                <w:color w:val="000000" w:themeColor="text1"/>
                <w:sz w:val="24"/>
                <w:highlight w:val="none"/>
                <w:lang w:val="en-US" w:eastAsia="zh-CN"/>
              </w:rPr>
              <w:t xml:space="preserve">分项报价表</w:t>
            </w:r>
            <w:r>
              <w:rPr>
                <w:rFonts w:hint="eastAsia"/>
                <w:b/>
                <w:bCs/>
                <w:color w:val="000000" w:themeColor="text1"/>
                <w:sz w:val="24"/>
                <w:highlight w:val="none"/>
                <w:lang w:val="en-US" w:eastAsia="zh-CN"/>
              </w:rPr>
              <w:t xml:space="preserve">）</w:t>
            </w:r>
            <w:r/>
          </w:p>
        </w:tc>
        <w:tc>
          <w:tcPr>
            <w:tcW w:w="6656"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提供了</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，且</w:t>
            </w:r>
            <w:r>
              <w:rPr>
                <w:rFonts w:hint="eastAsia"/>
                <w:b/>
                <w:bCs/>
                <w:color w:val="000000" w:themeColor="text1"/>
                <w:sz w:val="24"/>
                <w:highlight w:val="none"/>
              </w:rPr>
              <w:t xml:space="preserve">未擅自修改</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中的</w:t>
            </w:r>
            <w:r>
              <w:rPr>
                <w:rFonts w:hint="eastAsia"/>
                <w:b/>
                <w:bCs/>
                <w:color w:val="000000" w:themeColor="text1"/>
                <w:sz w:val="24"/>
                <w:highlight w:val="none"/>
              </w:rPr>
              <w:t xml:space="preserve">项目名称、计量单位、工程数量或运算定义等</w:t>
            </w:r>
            <w:r>
              <w:rPr>
                <w:rFonts w:hint="eastAsia" w:hAnsi="宋体"/>
                <w:b/>
                <w:bCs/>
                <w:color w:val="000000" w:themeColor="text1"/>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15</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不可竞争费</w:t>
            </w:r>
            <w:r/>
          </w:p>
        </w:tc>
        <w:tc>
          <w:tcPr>
            <w:tcW w:w="6656" w:type="dxa"/>
            <w:vAlign w:val="center"/>
            <w:textDirection w:val="lrTb"/>
            <w:noWrap w:val="false"/>
          </w:tcPr>
          <w:p>
            <w:pPr>
              <w:jc w:val="left"/>
              <w:widowControl/>
              <w:rPr>
                <w:rFonts w:hint="eastAsia"/>
                <w:b/>
                <w:bCs/>
                <w:color w:val="000000" w:themeColor="text1"/>
                <w:sz w:val="24"/>
                <w:highlight w:val="none"/>
              </w:rPr>
            </w:pPr>
            <w:r>
              <w:rPr>
                <w:rFonts w:hint="eastAsia"/>
                <w:b/>
                <w:bCs/>
                <w:color w:val="000000" w:themeColor="text1"/>
                <w:sz w:val="24"/>
                <w:highlight w:val="none"/>
              </w:rPr>
              <w:t xml:space="preserve">未擅自改动暂列金额或</w:t>
            </w:r>
            <w:r>
              <w:rPr>
                <w:rFonts w:hint="eastAsia" w:ascii="宋体" w:hAnsi="宋体"/>
                <w:b/>
                <w:bCs/>
                <w:color w:val="000000" w:themeColor="text1"/>
                <w:sz w:val="24"/>
                <w:highlight w:val="none"/>
              </w:rPr>
              <w:t xml:space="preserve">暂估价或</w:t>
            </w:r>
            <w:r>
              <w:rPr>
                <w:rFonts w:hint="eastAsia" w:ascii="宋体" w:hAnsi="宋体"/>
                <w:b/>
                <w:bCs/>
                <w:color w:val="000000" w:themeColor="text1"/>
                <w:sz w:val="24"/>
                <w:highlight w:val="none"/>
                <w:lang w:val="en-US" w:eastAsia="zh-CN"/>
              </w:rPr>
              <w:t xml:space="preserve">不可竞争费或</w:t>
            </w:r>
            <w:r>
              <w:rPr>
                <w:rFonts w:hint="eastAsia"/>
                <w:b/>
                <w:bCs/>
                <w:color w:val="000000" w:themeColor="text1"/>
                <w:sz w:val="24"/>
                <w:highlight w:val="none"/>
              </w:rPr>
              <w:t xml:space="preserve">其他不可竞争费率</w:t>
            </w:r>
            <w:r>
              <w:rPr>
                <w:rFonts w:hint="eastAsia" w:ascii="宋体" w:hAnsi="宋体"/>
                <w:b/>
                <w:bCs/>
                <w:color w:val="000000" w:themeColor="text1"/>
                <w:sz w:val="24"/>
                <w:highlight w:val="none"/>
              </w:rPr>
              <w:t xml:space="preserve">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16</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最终报价</w:t>
            </w:r>
            <w:r/>
          </w:p>
        </w:tc>
        <w:tc>
          <w:tcPr>
            <w:tcW w:w="6656" w:type="dxa"/>
            <w:vAlign w:val="center"/>
            <w:textDirection w:val="lrTb"/>
            <w:noWrap w:val="false"/>
          </w:tcPr>
          <w:p>
            <w:pPr>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17</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p>
    <w:p>
      <w:pPr>
        <w:numPr>
          <w:ilvl w:val="1"/>
          <w:numId w:val="9"/>
        </w:numPr>
        <w:ind w:left="107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rPr>
        <w:t xml:space="preserve">评标委员会启动异常低价</w:t>
      </w:r>
      <w:r>
        <w:rPr>
          <w:rFonts w:hint="eastAsia"/>
          <w:color w:val="000000" w:themeColor="text1"/>
          <w:sz w:val="24"/>
          <w:highlight w:val="none"/>
          <w:lang w:val="en-US" w:eastAsia="zh-CN"/>
        </w:rPr>
        <w:t xml:space="preserve">投标</w:t>
      </w:r>
      <w:r>
        <w:rPr>
          <w:rFonts w:hint="eastAsia"/>
          <w:color w:val="000000" w:themeColor="text1"/>
          <w:sz w:val="24"/>
          <w:highlight w:val="none"/>
        </w:rPr>
        <w:t xml:space="preserve">审查的情形和具体要求，包括：</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评审过程中出现下列情形之一的，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应当启动异常低价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审查程序：</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低于采购项目预算50% 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&lt;采购项目预算×50% </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低于采购项目最高限价 45% 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&lt;采购项目最高限价×45% </w:t>
      </w:r>
      <w:r/>
    </w:p>
    <w:p>
      <w:pPr>
        <w:numPr>
          <w:ilvl w:val="0"/>
          <w:numId w:val="0"/>
        </w:numPr>
        <w:ind w:left="357" w:firstLine="720"/>
        <w:spacing w:line="360" w:lineRule="auto"/>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认定的供应商报价过低、有可能影响</w:t>
      </w:r>
      <w:r>
        <w:rPr>
          <w:rFonts w:hint="eastAsia" w:ascii="宋体" w:hAnsi="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质量或者不能诚信履约的其他情形。</w:t>
      </w:r>
      <w:r/>
    </w:p>
    <w:p>
      <w:pPr>
        <w:numPr>
          <w:ilvl w:val="0"/>
          <w:numId w:val="0"/>
        </w:numPr>
        <w:ind w:left="0" w:firstLine="1024"/>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2.2.2</w:t>
      </w:r>
      <w:r>
        <w:rPr>
          <w:rFonts w:hint="eastAsia" w:ascii="宋体" w:hAnsi="宋体" w:eastAsia="宋体" w:cs="宋体"/>
          <w:color w:val="000000"/>
          <w:sz w:val="24"/>
          <w:highlight w:val="none"/>
        </w:rPr>
        <w:t xml:space="preserve">启动异常低价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审查后，</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价格作出解释，由</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结合同类</w:t>
      </w: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的价格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该行业当地薪资水平等情况，依据专业经验对供应商报价合理性进行判断。</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不提供书面说明、证明材料，或者提供的书面说明、证明材料不能证明其报价合理性的，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应当将其作为无效响应处理。审查相关情况应当在评审报告中进行记录。</w:t>
      </w:r>
      <w:r/>
    </w:p>
    <w:p>
      <w:pPr>
        <w:numPr>
          <w:ilvl w:val="0"/>
          <w:numId w:val="0"/>
        </w:numPr>
        <w:ind w:left="0" w:firstLine="1024"/>
        <w:keepLines w:val="0"/>
        <w:keepNext w:val="0"/>
        <w:pageBreakBefore w:val="0"/>
        <w:spacing w:line="360" w:lineRule="auto"/>
        <w:widowControl w:val="off"/>
        <w:tabs>
          <w:tab w:val="left" w:pos="1080" w:leader="none"/>
        </w:tabs>
        <w:rPr>
          <w:color w:val="000000" w:themeColor="text1"/>
          <w:sz w:val="24"/>
          <w:highlight w:val="none"/>
        </w:rPr>
      </w:pPr>
      <w:r>
        <w:rPr>
          <w:rFonts w:hint="eastAsia" w:ascii="宋体" w:hAnsi="宋体" w:eastAsia="宋体" w:cs="宋体"/>
          <w:color w:val="000000"/>
          <w:sz w:val="24"/>
          <w:highlight w:val="none"/>
          <w:lang w:val="en-US" w:eastAsia="zh-CN"/>
        </w:rPr>
        <w:t xml:space="preserve">2.2.3</w:t>
      </w:r>
      <w:r>
        <w:rPr>
          <w:rFonts w:hint="eastAsia" w:ascii="宋体" w:hAnsi="宋体" w:eastAsia="宋体" w:cs="宋体"/>
          <w:color w:val="000000"/>
          <w:sz w:val="24"/>
          <w:highlight w:val="none"/>
        </w:rPr>
        <w:t xml:space="preserve">出现</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规定的异常低价情形，</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的法律责任。</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highlight w:val="none"/>
        </w:rPr>
      </w:pPr>
      <w:r>
        <w:rPr>
          <w:rFonts w:hint="eastAsia"/>
          <w:color w:val="000000" w:themeColor="text1"/>
          <w:sz w:val="24"/>
          <w:highlight w:val="none"/>
          <w:lang w:val="en-US" w:eastAsia="zh-CN"/>
        </w:rPr>
        <w:t xml:space="preserve">2.6.1</w:t>
      </w: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9"/>
        </w:numPr>
        <w:ind w:left="1077" w:hanging="720"/>
        <w:spacing w:line="360" w:lineRule="auto"/>
        <w:tabs>
          <w:tab w:val="left" w:pos="1080" w:leader="none"/>
          <w:tab w:val="left" w:pos="1872" w:leader="none"/>
        </w:tabs>
        <w:rPr>
          <w:rFonts w:hint="eastAsia"/>
          <w:b/>
          <w:color w:val="000000" w:themeColor="text1"/>
          <w:sz w:val="24"/>
          <w:highlight w:val="none"/>
        </w:rPr>
      </w:pPr>
      <w:r>
        <w:rPr>
          <w:rFonts w:hint="eastAsia"/>
          <w:b/>
          <w:color w:val="000000" w:themeColor="text1"/>
          <w:sz w:val="24"/>
          <w:highlight w:val="none"/>
          <w:lang w:eastAsia="zh-CN"/>
        </w:rPr>
        <w:t xml:space="preserve">本项目采用</w:t>
      </w:r>
      <w:r>
        <w:rPr>
          <w:rFonts w:hint="eastAsia"/>
          <w:b/>
          <w:color w:val="000000" w:themeColor="text1"/>
          <w:sz w:val="24"/>
          <w:highlight w:val="none"/>
          <w:lang w:val="en-US" w:eastAsia="zh-CN"/>
        </w:rPr>
        <w:t xml:space="preserve">2次报价。</w:t>
      </w:r>
      <w:r>
        <w:rPr>
          <w:b/>
          <w:color w:val="000000" w:themeColor="text1"/>
          <w:sz w:val="24"/>
          <w:highlight w:val="none"/>
        </w:rPr>
        <w:t xml:space="preserve">磋商结束后，磋商小组将要求所有实质性响应的供应商在规定时间内</w:t>
      </w:r>
      <w:r>
        <w:rPr>
          <w:rFonts w:hint="eastAsia"/>
          <w:b/>
          <w:color w:val="000000" w:themeColor="text1"/>
          <w:sz w:val="24"/>
          <w:highlight w:val="none"/>
        </w:rPr>
        <w:t xml:space="preserve">通过</w:t>
      </w:r>
      <w:r>
        <w:rPr>
          <w:rFonts w:hint="eastAsia"/>
          <w:b/>
          <w:color w:val="000000" w:themeColor="text1"/>
          <w:sz w:val="24"/>
          <w:highlight w:val="none"/>
          <w:lang w:eastAsia="zh-CN"/>
        </w:rPr>
        <w:t xml:space="preserve">“苏采云”</w:t>
      </w:r>
      <w:r>
        <w:rPr>
          <w:rFonts w:hint="eastAsia"/>
          <w:b/>
          <w:color w:val="000000" w:themeColor="text1"/>
          <w:sz w:val="24"/>
          <w:highlight w:val="none"/>
        </w:rPr>
        <w:t xml:space="preserve">系统</w:t>
      </w:r>
      <w:r>
        <w:rPr>
          <w:b/>
          <w:color w:val="000000" w:themeColor="text1"/>
          <w:sz w:val="24"/>
          <w:highlight w:val="none"/>
        </w:rPr>
        <w:t xml:space="preserve">提交最</w:t>
      </w:r>
      <w:r>
        <w:rPr>
          <w:rFonts w:hint="eastAsia"/>
          <w:b/>
          <w:color w:val="000000" w:themeColor="text1"/>
          <w:sz w:val="24"/>
          <w:highlight w:val="none"/>
        </w:rPr>
        <w:t xml:space="preserve">终</w:t>
      </w:r>
      <w:r>
        <w:rPr>
          <w:b/>
          <w:color w:val="000000" w:themeColor="text1"/>
          <w:sz w:val="24"/>
          <w:highlight w:val="none"/>
        </w:rPr>
        <w:t xml:space="preserve">报价</w:t>
      </w:r>
      <w:r>
        <w:rPr>
          <w:rFonts w:hint="eastAsia"/>
          <w:b/>
          <w:color w:val="000000" w:themeColor="text1"/>
          <w:sz w:val="24"/>
          <w:highlight w:val="none"/>
        </w:rPr>
        <w:t xml:space="preserve">。最终报价不得高于首次报价。</w:t>
      </w:r>
      <w:r/>
    </w:p>
    <w:p>
      <w:pPr>
        <w:numPr>
          <w:ilvl w:val="1"/>
          <w:numId w:val="9"/>
        </w:numPr>
        <w:ind w:left="1077" w:hanging="720"/>
        <w:spacing w:line="360" w:lineRule="auto"/>
        <w:tabs>
          <w:tab w:val="left" w:pos="1080" w:leader="none"/>
          <w:tab w:val="left" w:pos="1872" w:leader="none"/>
        </w:tabs>
        <w:rPr>
          <w:b/>
          <w:color w:val="000000" w:themeColor="text1"/>
          <w:sz w:val="24"/>
          <w:highlight w:val="none"/>
        </w:rPr>
      </w:pPr>
      <w:r>
        <w:rPr>
          <w:rFonts w:hint="eastAsia"/>
          <w:b/>
          <w:color w:val="000000" w:themeColor="text1"/>
          <w:sz w:val="24"/>
          <w:highlight w:val="none"/>
        </w:rPr>
        <w:t xml:space="preserve">成交供应商的最终报价即为成交价。</w:t>
      </w:r>
      <w:r>
        <w:rPr>
          <w:rFonts w:hint="eastAsia" w:ascii="宋体" w:hAnsi="宋体"/>
          <w:b/>
          <w:color w:val="000000" w:themeColor="text1"/>
          <w:sz w:val="24"/>
          <w:highlight w:val="none"/>
        </w:rPr>
        <w:t xml:space="preserve">成交供应商在合同签订前，须提交最终报价的工程量清单，最终报价的单价按成交下浮率同步下浮。成交下浮率=【</w:t>
      </w:r>
      <w:r>
        <w:rPr>
          <w:rFonts w:hint="eastAsia" w:ascii="宋体" w:hAnsi="宋体"/>
          <w:b/>
          <w:color w:val="000000" w:themeColor="text1"/>
          <w:sz w:val="24"/>
          <w:highlight w:val="none"/>
          <w:lang w:val="en-US" w:eastAsia="zh-CN"/>
        </w:rPr>
        <w:t xml:space="preserve">标底价</w:t>
      </w:r>
      <w:r>
        <w:rPr>
          <w:rFonts w:hint="eastAsia" w:ascii="宋体" w:hAnsi="宋体"/>
          <w:b/>
          <w:color w:val="000000" w:themeColor="text1"/>
          <w:sz w:val="24"/>
          <w:highlight w:val="none"/>
        </w:rPr>
        <w:t xml:space="preserve">[扣除暂估价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]－成交价[扣除暂估价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val="en-US" w:eastAsia="zh-CN"/>
        </w:rPr>
        <w:t xml:space="preserve">标底价</w:t>
      </w:r>
      <w:r>
        <w:rPr>
          <w:rFonts w:hint="eastAsia" w:ascii="宋体" w:hAnsi="宋体"/>
          <w:b/>
          <w:color w:val="000000" w:themeColor="text1"/>
          <w:sz w:val="24"/>
          <w:highlight w:val="none"/>
        </w:rPr>
        <w:t xml:space="preserve">[扣除暂估价</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及暂列金额</w:t>
      </w:r>
      <w:r>
        <w:rPr>
          <w:rFonts w:hint="eastAsia"/>
          <w:b/>
          <w:color w:val="000000" w:themeColor="text1"/>
          <w:sz w:val="24"/>
          <w:highlight w:val="none"/>
        </w:rPr>
        <w:t xml:space="preserve">（含规费及税金）</w:t>
      </w:r>
      <w:r>
        <w:rPr>
          <w:rFonts w:hint="eastAsia" w:ascii="宋体" w:hAnsi="宋体"/>
          <w:b/>
          <w:color w:val="000000" w:themeColor="text1"/>
          <w:sz w:val="24"/>
          <w:highlight w:val="none"/>
        </w:rPr>
        <w:t xml:space="preserve">]</w:t>
      </w:r>
      <w:r>
        <w:rPr>
          <w:rFonts w:hint="eastAsia"/>
          <w:b/>
          <w:color w:val="000000" w:themeColor="text1"/>
          <w:sz w:val="24"/>
          <w:highlight w:val="none"/>
        </w:rPr>
        <w:t xml:space="preserve">。</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最终报价的算术修正及政策调整</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p>
    <w:p>
      <w:pPr>
        <w:numPr>
          <w:ilvl w:val="2"/>
          <w:numId w:val="9"/>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竞争性磋商文件对于报价修正是否另有规定：无，按下述3.2.2-3.2.5项规定修正。</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p>
    <w:p>
      <w:pPr>
        <w:numPr>
          <w:ilvl w:val="2"/>
          <w:numId w:val="9"/>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p>
    <w:p>
      <w:pPr>
        <w:numPr>
          <w:ilvl w:val="2"/>
          <w:numId w:val="9"/>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9"/>
        </w:numPr>
        <w:ind w:left="2035"/>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rPr>
        <w:t xml:space="preserve">/</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供应商对实质性变动不予确认的；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未按照磋商小组规定的时间、逾期提交最终报价的；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p>
    <w:p>
      <w:pPr>
        <w:numPr>
          <w:ilvl w:val="1"/>
          <w:numId w:val="9"/>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4.7</w:t>
      </w:r>
      <w:r>
        <w:rPr>
          <w:rFonts w:hint="eastAsia" w:cs="Times New Roman"/>
          <w:b w:val="0"/>
          <w:color w:val="000000" w:themeColor="text1"/>
          <w:sz w:val="24"/>
          <w:szCs w:val="24"/>
          <w:highlight w:val="none"/>
          <w:lang w:val="en-US" w:eastAsia="zh-CN" w:bidi="ar-SA"/>
        </w:rPr>
        <w:t xml:space="preserve">    </w:t>
      </w:r>
      <w:r>
        <w:rPr>
          <w:rFonts w:hint="eastAsia"/>
          <w:b/>
          <w:color w:val="000000" w:themeColor="text1"/>
          <w:sz w:val="24"/>
          <w:highlight w:val="none"/>
        </w:rPr>
        <w:t xml:space="preserve">最终报价高于首次报价的。</w:t>
      </w:r>
      <w:bookmarkEnd w:id="622"/>
      <w:r/>
      <w:bookmarkEnd w:id="623"/>
      <w:r/>
      <w:r/>
    </w:p>
    <w:p>
      <w:pPr>
        <w:pStyle w:val="1064"/>
        <w:rPr>
          <w:highlight w:val="none"/>
        </w:rPr>
      </w:pPr>
      <w:r>
        <w:rPr>
          <w:highlight w:val="none"/>
        </w:rPr>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639" w:name="_Toc226965819"/>
      <w:r/>
      <w:bookmarkStart w:id="640" w:name="_Toc164229241"/>
      <w:r/>
      <w:bookmarkStart w:id="641" w:name="_Toc226337242"/>
      <w:r/>
      <w:bookmarkStart w:id="642" w:name="_Toc151193860"/>
      <w:r/>
      <w:bookmarkStart w:id="643" w:name="_Ref467307010"/>
      <w:r/>
      <w:bookmarkStart w:id="644" w:name="_Toc305158814"/>
      <w:r/>
      <w:bookmarkStart w:id="645" w:name="_Toc150774751"/>
      <w:r/>
      <w:bookmarkStart w:id="646" w:name="_Toc164351640"/>
      <w:r/>
      <w:bookmarkStart w:id="647" w:name="_Toc150509297"/>
      <w:r/>
      <w:bookmarkStart w:id="648" w:name="_Toc195842911"/>
      <w:r/>
      <w:bookmarkStart w:id="649" w:name="_Toc164229387"/>
      <w:r/>
      <w:bookmarkStart w:id="650" w:name="_Toc265228384"/>
      <w:r/>
      <w:bookmarkStart w:id="651" w:name="_Toc127151747"/>
      <w:r/>
      <w:bookmarkStart w:id="652" w:name="_Toc142311048"/>
      <w:r/>
      <w:bookmarkStart w:id="653" w:name="_Toc264969236"/>
      <w:r/>
      <w:bookmarkStart w:id="654" w:name="_Toc150774646"/>
      <w:r/>
      <w:bookmarkStart w:id="655" w:name="_Toc151193644"/>
      <w:r/>
      <w:bookmarkStart w:id="656" w:name="_Toc149720839"/>
      <w:r/>
      <w:bookmarkStart w:id="657" w:name="_Toc151190173"/>
      <w:r/>
      <w:bookmarkStart w:id="658" w:name="_Toc127151546"/>
      <w:r/>
      <w:bookmarkStart w:id="659" w:name="_Toc226965736"/>
      <w:r/>
      <w:bookmarkStart w:id="660" w:name="_Toc127161460"/>
      <w:r/>
      <w:bookmarkStart w:id="661" w:name="_Toc151193716"/>
      <w:r/>
      <w:bookmarkStart w:id="662" w:name="_Toc151193934"/>
      <w:r/>
      <w:bookmarkStart w:id="663" w:name="_Toc164608660"/>
      <w:r/>
      <w:bookmarkStart w:id="664" w:name="_Toc164608815"/>
      <w:r/>
      <w:bookmarkStart w:id="665" w:name="_Toc520356170"/>
      <w:r/>
      <w:bookmarkStart w:id="666" w:name="_Toc305158888"/>
      <w:r/>
      <w:bookmarkStart w:id="667" w:name="_Toc226309790"/>
      <w:r/>
      <w:bookmarkStart w:id="668" w:name="_Toc151193788"/>
      <w:r/>
      <w:bookmarkStart w:id="669" w:name="_Toc150480784"/>
      <w:r>
        <w:rPr>
          <w:color w:val="000000" w:themeColor="text1"/>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9"/>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9"/>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p>
    <w:p>
      <w:pPr>
        <w:numPr>
          <w:ilvl w:val="1"/>
          <w:numId w:val="9"/>
        </w:numPr>
        <w:ind w:left="1077" w:hanging="720"/>
        <w:jc w:val="left"/>
        <w:spacing w:line="360" w:lineRule="auto"/>
        <w:widowControl/>
        <w:tabs>
          <w:tab w:val="left" w:pos="1080"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br w:type="page" w:clear="all"/>
      </w:r>
      <w:r/>
    </w:p>
    <w:p>
      <w:pPr>
        <w:pStyle w:val="1247"/>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p>
    <w:tbl>
      <w:tblPr>
        <w:tblStyle w:val="107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 xml:space="preserve">6</w:t>
            </w:r>
            <w:r>
              <w:rPr>
                <w:rFonts w:hint="eastAsia" w:ascii="宋体" w:hAnsi="宋体" w:cs="宋体"/>
                <w:sz w:val="24"/>
                <w:highlight w:val="none"/>
                <w:lang w:val="en-US" w:eastAsia="zh-CN"/>
              </w:rPr>
              <w:t xml:space="preserve">3</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
        </w:trPr>
        <w:tc>
          <w:tcPr>
            <w:tcW w:w="835"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462"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实施方案</w:t>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eastAsia="宋体" w:cs="宋体"/>
                <w:color w:val="000000" w:themeColor="text1"/>
                <w:sz w:val="24"/>
                <w:szCs w:val="24"/>
                <w:highlight w:val="none"/>
              </w:rPr>
              <w:t xml:space="preserve">施工工艺</w:t>
            </w:r>
            <w:r>
              <w:rPr>
                <w:rFonts w:hint="eastAsia" w:ascii="宋体" w:hAnsi="宋体" w:eastAsia="宋体" w:cs="宋体"/>
                <w:color w:val="000000" w:themeColor="text1"/>
                <w:sz w:val="24"/>
                <w:szCs w:val="24"/>
                <w:highlight w:val="none"/>
                <w:lang w:val="en-US" w:eastAsia="zh-CN"/>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②本项目施工</w:t>
            </w:r>
            <w:r>
              <w:rPr>
                <w:rFonts w:hint="eastAsia" w:ascii="宋体" w:hAnsi="宋体" w:eastAsia="宋体" w:cs="宋体"/>
                <w:color w:val="000000" w:themeColor="text1"/>
                <w:sz w:val="24"/>
                <w:szCs w:val="24"/>
                <w:highlight w:val="none"/>
                <w:lang w:val="en-US" w:eastAsia="zh-CN"/>
              </w:rPr>
              <w:t xml:space="preserve">重</w:t>
            </w:r>
            <w:r>
              <w:rPr>
                <w:rFonts w:hint="eastAsia" w:ascii="宋体" w:hAnsi="宋体" w:eastAsia="宋体" w:cs="宋体"/>
                <w:color w:val="000000" w:themeColor="text1"/>
                <w:sz w:val="24"/>
                <w:szCs w:val="24"/>
                <w:highlight w:val="none"/>
              </w:rPr>
              <w:t xml:space="preserve">难点</w:t>
            </w:r>
            <w:r>
              <w:rPr>
                <w:rFonts w:hint="eastAsia" w:ascii="宋体" w:hAnsi="宋体" w:eastAsia="宋体" w:cs="宋体"/>
                <w:color w:val="000000" w:themeColor="text1"/>
                <w:sz w:val="24"/>
                <w:szCs w:val="24"/>
                <w:highlight w:val="none"/>
                <w:lang w:val="en-US" w:eastAsia="zh-CN"/>
              </w:rPr>
              <w:t xml:space="preserve">及相应的</w:t>
            </w:r>
            <w:r>
              <w:rPr>
                <w:rFonts w:hint="eastAsia" w:ascii="宋体" w:hAnsi="宋体" w:eastAsia="宋体" w:cs="宋体"/>
                <w:color w:val="000000" w:themeColor="text1"/>
                <w:sz w:val="24"/>
                <w:szCs w:val="24"/>
                <w:highlight w:val="none"/>
              </w:rPr>
              <w:t xml:space="preserve">解决措施</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结合项目需求和实际情况，提供切实可行的资源配置计划，包括：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①主要材料检验、进场计划</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复检计划；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cs="宋体"/>
                <w:color w:val="000000" w:themeColor="text1"/>
                <w:sz w:val="24"/>
                <w:szCs w:val="24"/>
                <w:highlight w:val="none"/>
                <w:lang w:val="en-US" w:eastAsia="zh-CN"/>
              </w:rPr>
              <w:t xml:space="preserve">人员</w:t>
            </w:r>
            <w:r>
              <w:rPr>
                <w:rFonts w:hint="eastAsia" w:ascii="宋体" w:hAnsi="宋体" w:eastAsia="宋体" w:cs="宋体"/>
                <w:color w:val="000000" w:themeColor="text1"/>
                <w:sz w:val="24"/>
                <w:szCs w:val="24"/>
                <w:highlight w:val="none"/>
                <w:lang w:val="en-US" w:eastAsia="zh-CN"/>
              </w:rPr>
              <w:t xml:space="preserve">配置计划，包括：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①主要分部（分项）施工技术交底计划；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④施工的用工工种及用工数量计划，施工人员岗前培训计划；</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结合项目需求和实际情况，提供切实可行的进度计划，包括：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①施工总进度计划安排</w:t>
            </w:r>
            <w:r>
              <w:rPr>
                <w:rFonts w:hint="eastAsia" w:ascii="宋体" w:hAnsi="宋体" w:eastAsia="宋体" w:cs="宋体"/>
                <w:color w:val="000000" w:themeColor="text1"/>
                <w:sz w:val="24"/>
                <w:szCs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②施工进度计划安排的横道图或网络图</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结合项目需求和实际情况，提供切实可行的质量保证措施，包括：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③技术保障和资源保障措施；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④质量全过程检查制度及质量事故的处理规定。</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结合项目需求和实际情况，提供切实可行的安全保证措施，包括：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②安全生产管理制度和职工安全教育培训制度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安全管理组织机构以及分工、职责；</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④现场安全检查制度及安全事故的处理规定</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分，每缺少一项内容扣2分，扣完为止；每存在一处缺陷扣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①项目文明施工与环境管理目标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②项目文明施工与环境保护方面的资源配置</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未细化层次</w:t>
            </w:r>
            <w:r>
              <w:rPr>
                <w:rFonts w:hint="eastAsia" w:ascii="宋体" w:hAnsi="宋体" w:eastAsia="宋体" w:cs="宋体"/>
                <w:color w:val="000000" w:themeColor="text1"/>
                <w:sz w:val="24"/>
                <w:szCs w:val="24"/>
                <w:highlight w:val="none"/>
              </w:rPr>
              <w:t xml:space="preserve">的任意一种情形）的得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06"/>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lang w:val="en-US" w:eastAsia="zh-CN"/>
              </w:rPr>
              <w:t xml:space="preserve">结合项目需求和实际情况，提供切实可行的</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trike w:val="0"/>
                <w:color w:val="000000" w:themeColor="text1"/>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②突发事件的应急响应预案、处理措施。</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trike w:val="0"/>
                <w:color w:val="000000" w:themeColor="text1"/>
                <w:sz w:val="24"/>
                <w:szCs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trike w:val="0"/>
                <w:sz w:val="24"/>
                <w:szCs w:val="24"/>
                <w:highlight w:val="none"/>
              </w:rPr>
              <w:t xml:space="preserve">内容</w:t>
            </w:r>
            <w:r>
              <w:rPr>
                <w:rFonts w:hint="eastAsia" w:ascii="宋体" w:hAnsi="宋体" w:eastAsia="宋体" w:cs="宋体"/>
                <w:strike w:val="0"/>
                <w:sz w:val="24"/>
                <w:szCs w:val="24"/>
                <w:highlight w:val="none"/>
                <w:lang w:val="en-US" w:eastAsia="zh-CN"/>
              </w:rPr>
              <w:t xml:space="preserve">未细化层次</w:t>
            </w:r>
            <w:r>
              <w:rPr>
                <w:rFonts w:hint="eastAsia" w:ascii="宋体" w:hAnsi="宋体" w:eastAsia="宋体" w:cs="宋体"/>
                <w:strike w:val="0"/>
                <w:color w:val="000000" w:themeColor="text1"/>
                <w:sz w:val="24"/>
                <w:szCs w:val="24"/>
                <w:highlight w:val="none"/>
              </w:rPr>
              <w:t xml:space="preserve">的任意一种情形）的得</w:t>
            </w:r>
            <w:r>
              <w:rPr>
                <w:rFonts w:hint="eastAsia" w:ascii="宋体" w:hAnsi="宋体" w:eastAsia="宋体" w:cs="宋体"/>
                <w:strike w:val="0"/>
                <w:color w:val="000000" w:themeColor="text1"/>
                <w:sz w:val="24"/>
                <w:szCs w:val="24"/>
                <w:highlight w:val="none"/>
                <w:lang w:val="en-US" w:eastAsia="zh-CN"/>
              </w:rPr>
              <w:t xml:space="preserve">7</w:t>
            </w:r>
            <w:r>
              <w:rPr>
                <w:rFonts w:hint="eastAsia" w:ascii="宋体" w:hAnsi="宋体" w:eastAsia="宋体" w:cs="宋体"/>
                <w:strike w:val="0"/>
                <w:color w:val="000000" w:themeColor="text1"/>
                <w:sz w:val="24"/>
                <w:szCs w:val="24"/>
                <w:highlight w:val="none"/>
              </w:rPr>
              <w:t xml:space="preserve">分，每缺少一项内容扣</w:t>
            </w:r>
            <w:r>
              <w:rPr>
                <w:rFonts w:hint="eastAsia" w:ascii="宋体" w:hAnsi="宋体" w:eastAsia="宋体" w:cs="宋体"/>
                <w:strike w:val="0"/>
                <w:color w:val="000000" w:themeColor="text1"/>
                <w:sz w:val="24"/>
                <w:szCs w:val="24"/>
                <w:highlight w:val="none"/>
                <w:lang w:val="en-US" w:eastAsia="zh-CN"/>
              </w:rPr>
              <w:t xml:space="preserve">3.5</w:t>
            </w:r>
            <w:r>
              <w:rPr>
                <w:rFonts w:hint="eastAsia" w:ascii="宋体" w:hAnsi="宋体" w:eastAsia="宋体" w:cs="宋体"/>
                <w:strike w:val="0"/>
                <w:color w:val="000000" w:themeColor="text1"/>
                <w:sz w:val="24"/>
                <w:szCs w:val="24"/>
                <w:highlight w:val="none"/>
              </w:rPr>
              <w:t xml:space="preserve">分，扣完为止；每存在一处缺陷扣</w:t>
            </w:r>
            <w:r>
              <w:rPr>
                <w:rFonts w:hint="eastAsia" w:ascii="宋体" w:hAnsi="宋体" w:eastAsia="宋体" w:cs="宋体"/>
                <w:strike w:val="0"/>
                <w:color w:val="000000" w:themeColor="text1"/>
                <w:sz w:val="24"/>
                <w:szCs w:val="24"/>
                <w:highlight w:val="none"/>
                <w:lang w:val="en-US" w:eastAsia="zh-CN"/>
              </w:rPr>
              <w:t xml:space="preserve">0.5</w:t>
            </w:r>
            <w:r>
              <w:rPr>
                <w:rFonts w:hint="eastAsia" w:ascii="宋体" w:hAnsi="宋体" w:eastAsia="宋体" w:cs="宋体"/>
                <w:strike w:val="0"/>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sz w:val="24"/>
                <w:highlight w:val="none"/>
                <w:lang w:val="en-US"/>
              </w:rPr>
            </w:pPr>
            <w:r>
              <w:rPr>
                <w:rFonts w:hint="eastAsia" w:ascii="宋体" w:hAnsi="宋体" w:cs="宋体"/>
                <w:sz w:val="24"/>
                <w:highlight w:val="none"/>
                <w:lang w:val="en-US" w:eastAsia="zh-CN"/>
              </w:rPr>
              <w:t xml:space="preserve">27</w:t>
            </w:r>
            <w:r/>
          </w:p>
        </w:tc>
        <w:tc>
          <w:tcPr>
            <w:tcW w:w="397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642"/>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3.1</w:t>
            </w:r>
            <w:r/>
          </w:p>
        </w:tc>
        <w:tc>
          <w:tcPr>
            <w:shd w:val="clear" w:color="auto" w:fill="auto"/>
            <w:tcW w:w="1462"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供应商自202</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年1月1日以来</w:t>
            </w:r>
            <w:r>
              <w:rPr>
                <w:rFonts w:hint="eastAsia" w:ascii="宋体" w:hAnsi="宋体" w:eastAsia="宋体" w:cs="宋体"/>
                <w:sz w:val="24"/>
                <w:highlight w:val="none"/>
                <w:lang w:eastAsia="zh-CN"/>
              </w:rPr>
              <w:t xml:space="preserve">承担过类似工程业绩的</w:t>
            </w:r>
            <w:r>
              <w:rPr>
                <w:rFonts w:hint="eastAsia" w:ascii="宋体" w:hAnsi="宋体" w:eastAsia="宋体" w:cs="宋体"/>
                <w:sz w:val="24"/>
                <w:highlight w:val="none"/>
              </w:rPr>
              <w:t xml:space="preserve">，有1个得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分，本项最高</w:t>
            </w: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分。</w:t>
            </w:r>
            <w:r/>
          </w:p>
        </w:tc>
        <w:tc>
          <w:tcPr>
            <w:shd w:val="clear" w:color="auto" w:fill="auto"/>
            <w:tcW w:w="2440" w:type="dxa"/>
            <w:vAlign w:val="center"/>
            <w:textDirection w:val="lrTb"/>
            <w:noWrap w:val="false"/>
          </w:tcPr>
          <w:p>
            <w:pPr>
              <w:ind w:left="-38"/>
              <w:spacing w:line="360" w:lineRule="auto"/>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highlight w:val="none"/>
              </w:rPr>
              <w:t xml:space="preserve">须提供</w:t>
            </w:r>
            <w:r>
              <w:rPr>
                <w:rFonts w:hint="eastAsia" w:ascii="Times New Roman" w:hAnsi="Times New Roman" w:eastAsia="宋体" w:cs="Times New Roman"/>
                <w:b/>
                <w:bCs/>
                <w:sz w:val="24"/>
                <w:highlight w:val="none"/>
                <w:lang w:val="en-US" w:eastAsia="zh-CN"/>
              </w:rPr>
              <w:t xml:space="preserve">合同、部分合同价款发票</w:t>
            </w:r>
            <w:r>
              <w:rPr>
                <w:rFonts w:hint="eastAsia" w:ascii="Times New Roman" w:hAnsi="Times New Roman" w:eastAsia="宋体" w:cs="Times New Roman"/>
                <w:b/>
                <w:bCs/>
                <w:sz w:val="24"/>
                <w:highlight w:val="none"/>
              </w:rPr>
              <w:t xml:space="preserve">，不提供不得分；时间以</w:t>
            </w:r>
            <w:r>
              <w:rPr>
                <w:rFonts w:hint="eastAsia" w:ascii="Times New Roman" w:hAnsi="Times New Roman" w:eastAsia="宋体" w:cs="Times New Roman"/>
                <w:b/>
                <w:bCs/>
                <w:sz w:val="24"/>
                <w:highlight w:val="none"/>
                <w:lang w:val="en-US" w:eastAsia="zh-CN"/>
              </w:rPr>
              <w:t xml:space="preserve">合同签订</w:t>
            </w:r>
            <w:r>
              <w:rPr>
                <w:rFonts w:hint="eastAsia" w:ascii="Times New Roman" w:hAnsi="Times New Roman" w:eastAsia="宋体" w:cs="Times New Roman"/>
                <w:b/>
                <w:bCs/>
                <w:sz w:val="24"/>
                <w:highlight w:val="none"/>
              </w:rPr>
              <w:t xml:space="preserve">时间为准。</w:t>
            </w:r>
            <w:r/>
          </w:p>
        </w:tc>
      </w:tr>
      <w:tr>
        <w:trPr>
          <w:trHeight w:val="1578"/>
        </w:trPr>
        <w:tc>
          <w:tcPr>
            <w:shd w:val="clear" w:color="auto" w:fill="auto"/>
            <w:tcW w:w="835"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p>
        </w:tc>
        <w:tc>
          <w:tcPr>
            <w:shd w:val="clear" w:color="auto" w:fill="auto"/>
            <w:tcW w:w="1462" w:type="dxa"/>
            <w:vAlign w:val="center"/>
            <w:vMerge w:val="restart"/>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项目组成员</w:t>
            </w:r>
            <w:r/>
          </w:p>
        </w:tc>
        <w:tc>
          <w:tcPr>
            <w:shd w:val="clear" w:color="auto" w:fill="auto"/>
            <w:tcW w:w="913" w:type="dxa"/>
            <w:vAlign w:val="center"/>
            <w:textDirection w:val="lrTb"/>
            <w:noWrap w:val="false"/>
          </w:tcPr>
          <w:p>
            <w:pPr>
              <w:ind w:firstLine="28"/>
              <w:jc w:val="center"/>
              <w:spacing w:line="360" w:lineRule="auto"/>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6</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除项目负责人外，拟派人员中</w:t>
            </w:r>
            <w:r>
              <w:rPr>
                <w:rFonts w:hint="eastAsia" w:ascii="宋体" w:hAnsi="宋体" w:eastAsia="宋体" w:cs="宋体"/>
                <w:color w:val="000000"/>
                <w:sz w:val="24"/>
                <w:szCs w:val="24"/>
                <w:highlight w:val="none"/>
              </w:rPr>
              <w:t xml:space="preserve">具有工程类</w:t>
            </w:r>
            <w:r>
              <w:rPr>
                <w:rFonts w:hint="eastAsia" w:ascii="宋体" w:hAnsi="宋体" w:eastAsia="宋体" w:cs="宋体"/>
                <w:color w:val="000000"/>
                <w:sz w:val="24"/>
                <w:szCs w:val="24"/>
                <w:highlight w:val="none"/>
                <w:lang w:eastAsia="zh-CN"/>
              </w:rPr>
              <w:t xml:space="preserve">中级及以上职称证书的得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本项最高</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tc>
        <w:tc>
          <w:tcPr>
            <w:shd w:val="clear" w:color="auto" w:fill="auto"/>
            <w:tcW w:w="2440" w:type="dxa"/>
            <w:vAlign w:val="center"/>
            <w:vMerge w:val="restart"/>
            <w:textDirection w:val="lrTb"/>
            <w:noWrap w:val="false"/>
          </w:tcPr>
          <w:p>
            <w:pPr>
              <w:ind w:left="-38"/>
              <w:spacing w:line="360" w:lineRule="auto"/>
              <w:rPr>
                <w:rFonts w:ascii="Times New Roman" w:hAnsi="Times New Roman" w:eastAsia="宋体" w:cs="Times New Roman"/>
                <w:highlight w:val="none"/>
              </w:rPr>
            </w:pPr>
            <w:r>
              <w:rPr>
                <w:rFonts w:hint="eastAsia" w:ascii="Times New Roman" w:hAnsi="Times New Roman" w:eastAsia="宋体" w:cs="Times New Roman"/>
                <w:b/>
                <w:bCs/>
                <w:sz w:val="24"/>
                <w:highlight w:val="none"/>
              </w:rPr>
              <w:t xml:space="preserve">上述人员均须提供相应证书及供应商为其缴纳的近期社保证明；如为退休人员，须提供退休证明及返聘合同；不提供不得分。</w:t>
            </w:r>
            <w:r/>
          </w:p>
        </w:tc>
      </w:tr>
      <w:tr>
        <w:trPr>
          <w:trHeight w:val="1966"/>
        </w:trPr>
        <w:tc>
          <w:tcPr>
            <w:tcW w:w="835"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p>
        </w:tc>
        <w:tc>
          <w:tcPr>
            <w:tcW w:w="3978"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除项目负责人外，拟派人员中</w:t>
            </w:r>
            <w:r>
              <w:rPr>
                <w:rFonts w:hint="eastAsia" w:ascii="宋体" w:hAnsi="宋体" w:eastAsia="宋体" w:cs="宋体"/>
                <w:color w:val="000000"/>
                <w:sz w:val="24"/>
                <w:szCs w:val="24"/>
                <w:highlight w:val="none"/>
                <w:lang w:eastAsia="zh-CN"/>
              </w:rPr>
              <w:t xml:space="preserve">具有</w:t>
            </w:r>
            <w:r>
              <w:rPr>
                <w:rFonts w:hint="eastAsia" w:ascii="宋体" w:hAnsi="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lang w:val="en-US" w:eastAsia="zh-CN"/>
              </w:rPr>
              <w:t xml:space="preserve">二级及以上</w:t>
            </w:r>
            <w:r>
              <w:rPr>
                <w:rFonts w:hint="eastAsia" w:ascii="宋体" w:hAnsi="宋体" w:cs="宋体"/>
                <w:color w:val="000000"/>
                <w:sz w:val="24"/>
                <w:szCs w:val="24"/>
                <w:highlight w:val="none"/>
                <w:lang w:val="en-US" w:eastAsia="zh-CN"/>
              </w:rPr>
              <w:t xml:space="preserve">注册建造师</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本项最高</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tc>
        <w:tc>
          <w:tcPr>
            <w:tcW w:w="2440" w:type="dxa"/>
            <w:vAlign w:val="center"/>
            <w:vMerge w:val="continue"/>
            <w:textDirection w:val="lrTb"/>
            <w:noWrap w:val="false"/>
          </w:tcPr>
          <w:p>
            <w:pPr>
              <w:ind w:firstLine="200"/>
              <w:jc w:val="both"/>
              <w:spacing w:line="360" w:lineRule="auto"/>
              <w:rPr>
                <w:rFonts w:hint="default" w:ascii="宋体" w:hAnsi="Times New Roman" w:eastAsia="宋体" w:cs="Times New Roman"/>
                <w:sz w:val="24"/>
                <w:szCs w:val="22"/>
                <w:highlight w:val="none"/>
                <w:lang w:val="en-US" w:eastAsia="zh-CN" w:bidi="ar-SA"/>
              </w:rPr>
            </w:pPr>
            <w:r>
              <w:rPr>
                <w:rFonts w:hint="default" w:ascii="宋体" w:hAnsi="Times New Roman" w:eastAsia="宋体" w:cs="Times New Roman"/>
                <w:sz w:val="24"/>
                <w:szCs w:val="22"/>
                <w:highlight w:val="none"/>
                <w:lang w:val="en-US" w:eastAsia="zh-CN" w:bidi="ar-SA"/>
              </w:rPr>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spacing w:line="360" w:lineRule="auto"/>
        <w:rPr>
          <w:rFonts w:ascii="宋体" w:hAnsi="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1、证明材料由投标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自行提供，磋商小组根据投标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提供的相关证明材料进行评审，相关证明材料的全面性、有效性、完整性、真实性由投标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自行负责。</w:t>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2、以上所需资料均应真实、有效，如发现投标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涉嫌资料造假等，采购人将有权取消其成交资格，并保留进一步追究其法律责任的权利。</w:t>
      </w:r>
      <w:r/>
    </w:p>
    <w:p>
      <w:pPr>
        <w:ind w:firstLine="48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left"/>
        <w:widowControl/>
        <w:rPr>
          <w:b/>
          <w:color w:val="000000" w:themeColor="text1"/>
          <w:sz w:val="36"/>
          <w:szCs w:val="36"/>
          <w:highlight w:val="none"/>
        </w:rPr>
      </w:pPr>
      <w:r>
        <w:rPr>
          <w:b/>
          <w:color w:val="000000" w:themeColor="text1"/>
          <w:sz w:val="36"/>
          <w:szCs w:val="36"/>
          <w:highlight w:val="none"/>
        </w:rPr>
      </w:r>
      <w:r/>
    </w:p>
    <w:p>
      <w:pPr>
        <w:numPr>
          <w:ilvl w:val="0"/>
          <w:numId w:val="10"/>
        </w:num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r>
        <w:rPr>
          <w:b/>
          <w:color w:val="000000" w:themeColor="text1"/>
          <w:sz w:val="36"/>
          <w:szCs w:val="36"/>
          <w:highlight w:val="none"/>
        </w:rPr>
        <w:t xml:space="preserve">  </w:t>
      </w:r>
      <w:bookmarkStart w:id="670" w:name="_Toc31601"/>
      <w:r>
        <w:rPr>
          <w:b/>
          <w:color w:val="000000" w:themeColor="text1"/>
          <w:sz w:val="36"/>
          <w:szCs w:val="36"/>
          <w:highlight w:val="none"/>
        </w:rPr>
        <w:t xml:space="preserve">采购需求</w:t>
      </w:r>
      <w:bookmarkEnd w:id="670"/>
      <w:r/>
      <w:r/>
    </w:p>
    <w:p>
      <w:pPr>
        <w:numPr>
          <w:ilvl w:val="0"/>
          <w:numId w:val="11"/>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项目概况</w:t>
      </w:r>
      <w:r/>
    </w:p>
    <w:p>
      <w:pPr>
        <w:numPr>
          <w:ilvl w:val="0"/>
          <w:numId w:val="0"/>
        </w:numPr>
        <w:ind w:firstLine="560"/>
        <w:spacing w:line="360" w:lineRule="auto"/>
        <w:rPr>
          <w:rFonts w:hint="eastAsia" w:ascii="宋体" w:hAnsi="宋体" w:cs="宋体"/>
          <w:b w:val="0"/>
          <w:bCs/>
          <w:color w:val="000000" w:themeColor="text1"/>
          <w:sz w:val="24"/>
          <w:szCs w:val="24"/>
          <w:highlight w:val="none"/>
        </w:rPr>
        <w:outlineLvl w:val="0"/>
      </w:pPr>
      <w:r>
        <w:rPr>
          <w:rFonts w:hint="eastAsia" w:ascii="宋体" w:hAnsi="宋体" w:cs="宋体"/>
          <w:b w:val="0"/>
          <w:bCs/>
          <w:color w:val="000000" w:themeColor="text1"/>
          <w:sz w:val="24"/>
          <w:szCs w:val="24"/>
          <w:highlight w:val="none"/>
          <w:lang w:eastAsia="zh-CN"/>
        </w:rPr>
        <w:t xml:space="preserve">2025年度溧阳市溧城街道补充耕地项目。</w:t>
      </w:r>
      <w:r/>
    </w:p>
    <w:p>
      <w:pPr>
        <w:numPr>
          <w:ilvl w:val="0"/>
          <w:numId w:val="0"/>
        </w:numPr>
        <w:ind w:firstLine="560"/>
        <w:spacing w:line="360" w:lineRule="auto"/>
        <w:rPr>
          <w:rFonts w:hint="default" w:ascii="宋体" w:hAnsi="宋体" w:cs="宋体"/>
          <w:b w:val="0"/>
          <w:bCs/>
          <w:color w:val="000000" w:themeColor="text1"/>
          <w:sz w:val="24"/>
          <w:szCs w:val="24"/>
          <w:highlight w:val="none"/>
          <w:lang w:val="en-US"/>
        </w:rPr>
        <w:outlineLvl w:val="0"/>
      </w:pPr>
      <w:r>
        <w:rPr>
          <w:rFonts w:hint="eastAsia" w:ascii="宋体" w:hAnsi="宋体" w:cs="宋体"/>
          <w:b w:val="0"/>
          <w:bCs/>
          <w:color w:val="000000" w:themeColor="text1"/>
          <w:sz w:val="24"/>
          <w:szCs w:val="24"/>
          <w:highlight w:val="none"/>
          <w:lang w:val="en-US" w:eastAsia="zh-CN"/>
        </w:rPr>
        <w:t xml:space="preserve">具体内容详见工程量清单。</w:t>
      </w:r>
      <w:r/>
    </w:p>
    <w:p>
      <w:pPr>
        <w:numPr>
          <w:ilvl w:val="0"/>
          <w:numId w:val="11"/>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商务要求</w:t>
      </w:r>
      <w:r/>
    </w:p>
    <w:p>
      <w:pPr>
        <w:numPr>
          <w:ilvl w:val="0"/>
          <w:numId w:val="0"/>
        </w:numPr>
        <w:contextualSpacing/>
        <w:ind w:firstLine="562"/>
        <w:spacing w:line="360" w:lineRule="auto"/>
        <w:rPr>
          <w:rFonts w:hint="eastAsia" w:ascii="宋体" w:hAnsi="宋体" w:eastAsia="宋体" w:cs="宋体"/>
          <w:b w:val="0"/>
          <w:bCs w:val="0"/>
          <w:color w:val="000000" w:themeColor="text1"/>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bidi="ar-SA"/>
        </w:rPr>
        <w:t xml:space="preserve">1.交付的时间和地点</w:t>
      </w:r>
      <w:r/>
    </w:p>
    <w:p>
      <w:pPr>
        <w:numPr>
          <w:ilvl w:val="0"/>
          <w:numId w:val="0"/>
        </w:numPr>
        <w:contextualSpacing/>
        <w:ind w:firstLine="562"/>
        <w:spacing w:line="360" w:lineRule="auto"/>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交付时间：90日历天。</w:t>
      </w:r>
      <w:r/>
    </w:p>
    <w:p>
      <w:pPr>
        <w:numPr>
          <w:ilvl w:val="0"/>
          <w:numId w:val="0"/>
        </w:numPr>
        <w:contextualSpacing/>
        <w:ind w:firstLine="562"/>
        <w:spacing w:line="360" w:lineRule="auto"/>
        <w:rPr>
          <w:rFonts w:hint="eastAsia"/>
          <w:highlight w:val="none"/>
        </w:rPr>
      </w:pPr>
      <w:r>
        <w:rPr>
          <w:rFonts w:hint="eastAsia" w:ascii="宋体" w:hAnsi="宋体" w:cs="宋体"/>
          <w:b w:val="0"/>
          <w:bCs w:val="0"/>
          <w:color w:val="000000" w:themeColor="text1"/>
          <w:sz w:val="24"/>
          <w:szCs w:val="24"/>
          <w:highlight w:val="none"/>
          <w:lang w:val="en-US" w:eastAsia="zh-CN"/>
        </w:rPr>
        <w:t xml:space="preserve">交付地点：溧阳市</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rPr>
        <w:t xml:space="preserve">付款方式：</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1）合同签订一个月内支付合同价款的10%作为预付款；</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2）月进度款支付：由承包人申报，监理单位审核，跟踪审计单位核定，建设单位确认，支付金额为确认完成工程量金额的80%(（开工预付款在进度付款证书的累计金额达到合同价的10%之后开始扣回，按工程进度以固定比例（即后续每完成合同价的1%，扣回开工预付款的2%）分期从各月的进度付款证书中扣回)；</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3）竣工验收合格后，工程结算经审计后付至审定价的97％；</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4）审定价的3%为建设工程质量保证金，在2年质保期满后一次性付清（无息）；</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有涉及设计变更、工程量增加、现场签证在工程结算审核时一并调整支付。</w:t>
      </w:r>
      <w:r/>
    </w:p>
    <w:p>
      <w:pPr>
        <w:contextualSpacing/>
        <w:ind w:firstLine="480"/>
        <w:spacing w:line="360" w:lineRule="auto"/>
        <w:rPr>
          <w:rFonts w:hint="eastAsia" w:ascii="宋体" w:hAnsi="宋体" w:cs="宋体"/>
          <w:bCs/>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 </w:t>
      </w:r>
      <w:r>
        <w:rPr>
          <w:rFonts w:hint="eastAsia" w:ascii="Times New Roman" w:eastAsia="宋体"/>
          <w:color w:val="000000" w:themeColor="text1"/>
          <w:sz w:val="24"/>
          <w:highlight w:val="none"/>
          <w:lang w:val="en-US" w:eastAsia="zh-CN"/>
        </w:rPr>
        <w:t xml:space="preserve">质保</w:t>
      </w:r>
      <w:r>
        <w:rPr>
          <w:color w:val="000000" w:themeColor="text1"/>
          <w:sz w:val="24"/>
          <w:highlight w:val="none"/>
        </w:rPr>
        <w:t xml:space="preserve">期</w:t>
      </w:r>
      <w:r>
        <w:rPr>
          <w:rFonts w:hint="eastAsia" w:ascii="宋体" w:hAnsi="宋体" w:cs="宋体"/>
          <w:bCs/>
          <w:color w:val="000000" w:themeColor="text1"/>
          <w:sz w:val="24"/>
          <w:highlight w:val="none"/>
        </w:rPr>
        <w:t xml:space="preserve"> </w:t>
      </w:r>
      <w:r/>
    </w:p>
    <w:p>
      <w:pPr>
        <w:pStyle w:val="1332"/>
        <w:ind w:firstLine="480"/>
        <w:rPr>
          <w:rFonts w:hint="eastAsia"/>
          <w:color w:val="000000" w:themeColor="text1"/>
          <w:sz w:val="24"/>
          <w:highlight w:val="none"/>
        </w:rPr>
      </w:pPr>
      <w:r>
        <w:rPr>
          <w:rFonts w:hint="eastAsia" w:hAnsi="宋体"/>
          <w:color w:val="000000" w:themeColor="text1"/>
          <w:highlight w:val="none"/>
        </w:rPr>
        <w:t xml:space="preserve">本工程</w:t>
      </w:r>
      <w:r>
        <w:rPr>
          <w:rFonts w:hint="eastAsia" w:hAnsi="宋体"/>
          <w:color w:val="000000" w:themeColor="text1"/>
          <w:highlight w:val="none"/>
          <w:lang w:val="en-US" w:eastAsia="zh-CN"/>
        </w:rPr>
        <w:t xml:space="preserve">质保期为</w:t>
      </w:r>
      <w:r>
        <w:rPr>
          <w:rFonts w:hint="eastAsia" w:hAnsi="宋体"/>
          <w:b/>
          <w:bCs/>
          <w:color w:val="000000" w:themeColor="text1"/>
          <w:highlight w:val="none"/>
          <w:lang w:val="en-US" w:eastAsia="zh-CN"/>
        </w:rPr>
        <w:t xml:space="preserve">2年</w:t>
      </w:r>
      <w:r>
        <w:rPr>
          <w:rFonts w:hint="eastAsia" w:hAnsi="宋体"/>
          <w:color w:val="000000" w:themeColor="text1"/>
          <w:highlight w:val="none"/>
          <w:lang w:val="en-US" w:eastAsia="zh-CN"/>
        </w:rPr>
        <w:t xml:space="preserve">，质保期</w:t>
      </w:r>
      <w:r>
        <w:rPr>
          <w:rFonts w:hint="eastAsia" w:hAnsi="宋体"/>
          <w:color w:val="000000" w:themeColor="text1"/>
          <w:highlight w:val="none"/>
        </w:rPr>
        <w:t xml:space="preserve">自</w:t>
      </w:r>
      <w:r>
        <w:rPr>
          <w:rFonts w:hint="eastAsia" w:hAnsi="宋体"/>
          <w:color w:val="000000" w:themeColor="text1"/>
          <w:highlight w:val="none"/>
          <w:lang w:val="en-US" w:eastAsia="zh-CN"/>
        </w:rPr>
        <w:t xml:space="preserve">本工程竣工</w:t>
      </w:r>
      <w:r>
        <w:rPr>
          <w:rFonts w:hint="eastAsia" w:hAnsi="宋体"/>
          <w:color w:val="000000" w:themeColor="text1"/>
          <w:highlight w:val="none"/>
        </w:rPr>
        <w:t xml:space="preserve">验收合格之日起计算</w:t>
      </w:r>
      <w:r>
        <w:rPr>
          <w:rFonts w:hint="eastAsia" w:hAnsi="宋体"/>
          <w:color w:val="000000" w:themeColor="text1"/>
          <w:highlight w:val="none"/>
          <w:lang w:eastAsia="zh-CN"/>
        </w:rPr>
        <w:t xml:space="preserve">。</w:t>
      </w:r>
      <w:r/>
    </w:p>
    <w:p>
      <w:r>
        <w:t xml:space="preserve"> </w:t>
      </w:r>
      <w:r>
        <w:rPr>
          <w:b/>
          <w:bCs/>
          <w:sz w:val="24"/>
          <w:szCs w:val="32"/>
        </w:rPr>
        <w:t xml:space="preserve">    4.</w:t>
      </w:r>
      <w:r>
        <w:rPr>
          <w:b/>
          <w:bCs/>
          <w:sz w:val="24"/>
          <w:szCs w:val="32"/>
        </w:rPr>
        <w:t xml:space="preserve">本项目标底价为：137.495794万元；最高限价为：124.76万元；其中暂列金额为：10.184874万元。</w:t>
      </w:r>
      <w:r>
        <w:rPr>
          <w:b/>
          <w:bCs/>
          <w:sz w:val="24"/>
          <w:szCs w:val="32"/>
        </w:rPr>
      </w:r>
      <w:r/>
    </w:p>
    <w:p>
      <w:pPr>
        <w:pStyle w:val="1348"/>
        <w:numPr>
          <w:ilvl w:val="0"/>
          <w:numId w:val="0"/>
        </w:numPr>
        <w:contextualSpacing/>
        <w:spacing w:line="360" w:lineRule="auto"/>
        <w:rPr>
          <w:rFonts w:hint="default"/>
          <w:highlight w:val="none"/>
          <w:lang w:val="en-US" w:eastAsia="zh-CN"/>
        </w:rPr>
      </w:pPr>
      <w:r>
        <w:rPr>
          <w:rFonts w:hint="eastAsia" w:ascii="Times New Roman" w:hAnsi="Times New Roman"/>
          <w:b/>
          <w:color w:val="000000" w:themeColor="text1"/>
          <w:sz w:val="24"/>
          <w:szCs w:val="24"/>
          <w:highlight w:val="none"/>
          <w:lang w:val="en-US" w:eastAsia="zh-CN"/>
        </w:rPr>
        <w:t xml:space="preserve">三、</w:t>
      </w:r>
      <w:r>
        <w:rPr>
          <w:rFonts w:ascii="Times New Roman" w:hAnsi="Times New Roman"/>
          <w:b/>
          <w:color w:val="000000" w:themeColor="text1"/>
          <w:sz w:val="24"/>
          <w:szCs w:val="24"/>
          <w:highlight w:val="none"/>
        </w:rPr>
        <w:t xml:space="preserve">技术要求</w:t>
      </w:r>
      <w:r/>
    </w:p>
    <w:p>
      <w:pPr>
        <w:pStyle w:val="1332"/>
        <w:numPr>
          <w:ilvl w:val="0"/>
          <w:numId w:val="12"/>
        </w:numPr>
        <w:ind w:firstLine="480"/>
        <w:rPr>
          <w:color w:val="000000" w:themeColor="text1"/>
          <w:highlight w:val="none"/>
        </w:rPr>
      </w:pPr>
      <w:r>
        <w:rPr>
          <w:rFonts w:hint="eastAsia" w:hAnsi="宋体"/>
          <w:color w:val="000000" w:themeColor="text1"/>
          <w:highlight w:val="none"/>
        </w:rPr>
        <w:t xml:space="preserve">质量要求：合格。</w:t>
      </w:r>
      <w:r/>
    </w:p>
    <w:p>
      <w:pPr>
        <w:pStyle w:val="1332"/>
        <w:ind w:firstLine="480"/>
        <w:rPr>
          <w:rFonts w:hint="eastAsia" w:hAnsi="宋体"/>
          <w:b/>
          <w:bCs/>
          <w:color w:val="000000" w:themeColor="text1"/>
          <w:highlight w:val="none"/>
        </w:rPr>
      </w:pPr>
      <w:r>
        <w:rPr>
          <w:rFonts w:ascii="Segoe UI Symbol" w:hAnsi="Segoe UI Symbol" w:cs="Segoe UI Symbol"/>
          <w:b/>
          <w:bCs/>
          <w:color w:val="000000" w:themeColor="text1"/>
          <w:highlight w:val="none"/>
        </w:rPr>
        <w:t xml:space="preserve">★</w:t>
      </w:r>
      <w:r>
        <w:rPr>
          <w:rFonts w:hint="eastAsia" w:hAnsi="宋体"/>
          <w:b/>
          <w:bCs/>
          <w:color w:val="000000" w:themeColor="text1"/>
          <w:highlight w:val="none"/>
        </w:rPr>
        <w:t xml:space="preserve">2）</w:t>
      </w:r>
      <w:r>
        <w:rPr>
          <w:rFonts w:hint="eastAsia" w:hAnsi="宋体"/>
          <w:b/>
          <w:bCs/>
          <w:color w:val="000000" w:themeColor="text1"/>
          <w:highlight w:val="none"/>
          <w:lang w:eastAsia="zh-CN"/>
        </w:rPr>
        <w:t xml:space="preserve">供应商</w:t>
      </w:r>
      <w:r>
        <w:rPr>
          <w:rFonts w:hint="eastAsia" w:hAnsi="宋体"/>
          <w:b/>
          <w:bCs/>
          <w:color w:val="000000" w:themeColor="text1"/>
          <w:highlight w:val="none"/>
        </w:rPr>
        <w:t xml:space="preserve">必须为本项目配备专职安全生产管理人员一名，</w:t>
      </w:r>
      <w:r>
        <w:rPr>
          <w:rFonts w:hint="eastAsia" w:hAnsi="宋体"/>
          <w:b/>
          <w:bCs/>
          <w:color w:val="000000" w:themeColor="text1"/>
          <w:highlight w:val="none"/>
          <w:lang w:val="en-US" w:eastAsia="zh-CN"/>
        </w:rPr>
        <w:t xml:space="preserve">投标时须提供其</w:t>
      </w:r>
      <w:r>
        <w:rPr>
          <w:rFonts w:hint="eastAsia" w:hAnsi="宋体"/>
          <w:b/>
          <w:bCs/>
          <w:color w:val="000000" w:themeColor="text1"/>
          <w:highlight w:val="none"/>
        </w:rPr>
        <w:t xml:space="preserve">有效期内的安全生产知识考核合格证书</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C证</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否则作无效响应处理</w:t>
      </w:r>
      <w:r>
        <w:rPr>
          <w:rFonts w:hint="eastAsia" w:hAnsi="宋体"/>
          <w:b/>
          <w:bCs/>
          <w:color w:val="000000" w:themeColor="text1"/>
          <w:highlight w:val="none"/>
        </w:rPr>
        <w:t xml:space="preserve">。</w:t>
      </w:r>
      <w:r/>
    </w:p>
    <w:p>
      <w:pPr>
        <w:contextualSpacing/>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绿色建材要求</w:t>
      </w:r>
      <w:r/>
    </w:p>
    <w:p>
      <w:pPr>
        <w:pStyle w:val="1332"/>
        <w:ind w:firstLine="480"/>
        <w:rPr>
          <w:rFonts w:hint="eastAsia"/>
          <w:b/>
          <w:bCs/>
          <w:color w:val="000000" w:themeColor="text1"/>
          <w:highlight w:val="none"/>
        </w:rPr>
      </w:pPr>
      <w:r>
        <w:rPr>
          <w:rFonts w:hint="eastAsia" w:hAnsi="宋体" w:cs="宋体"/>
          <w:b/>
          <w:bCs/>
          <w:color w:val="000000" w:themeColor="text1"/>
          <w:szCs w:val="24"/>
          <w:highlight w:val="none"/>
        </w:rPr>
        <w:t xml:space="preserve">本</w:t>
      </w:r>
      <w:r>
        <w:rPr>
          <w:rFonts w:hint="eastAsia" w:hAnsi="宋体" w:cs="宋体"/>
          <w:b/>
          <w:bCs/>
          <w:color w:val="000000" w:themeColor="text1"/>
          <w:szCs w:val="24"/>
          <w:highlight w:val="none"/>
          <w:lang w:eastAsia="zh-CN"/>
        </w:rPr>
        <w:t xml:space="preserve">项目</w:t>
      </w:r>
      <w:r>
        <w:rPr>
          <w:rFonts w:hint="eastAsia" w:hAnsi="宋体" w:cs="宋体"/>
          <w:b/>
          <w:bCs/>
          <w:color w:val="000000" w:themeColor="text1"/>
          <w:szCs w:val="24"/>
          <w:highlight w:val="none"/>
        </w:rPr>
        <w:t xml:space="preserve">严格执行《绿色建筑和绿色建材政府采购需求标准》，涉及使用《绿色建筑和绿色建材政府采购需求标准》中的绿色建材的，成交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须全部使用符合要求的绿色建材，并在材料进场时提供</w:t>
      </w:r>
      <w:r>
        <w:rPr>
          <w:rFonts w:hint="eastAsia"/>
          <w:b/>
          <w:bCs/>
          <w:color w:val="000000" w:themeColor="text1"/>
          <w:highlight w:val="none"/>
        </w:rPr>
        <w:t xml:space="preserve">符合《绿色建筑和绿色建材政府采购需求标准》相关指标要求的绿色建材检测报告或绿色建材产品认证证书，否则采购人有权取消其成交资格。</w:t>
      </w:r>
      <w:r/>
    </w:p>
    <w:p>
      <w:pPr>
        <w:pStyle w:val="1332"/>
        <w:ind w:firstLine="480"/>
        <w:rPr>
          <w:rFonts w:hint="eastAsia"/>
          <w:b/>
          <w:bCs/>
          <w:color w:val="000000" w:themeColor="text1"/>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lang w:eastAsia="zh-CN"/>
        </w:rPr>
        <w:t xml:space="preserve">）</w:t>
      </w:r>
      <w:r>
        <w:rPr>
          <w:rFonts w:hint="eastAsia"/>
          <w:b/>
          <w:bCs/>
          <w:color w:val="000000" w:themeColor="text1"/>
          <w:highlight w:val="none"/>
        </w:rPr>
        <w:t xml:space="preserve">优先使用低挥发性有机化合物产品</w:t>
      </w:r>
      <w:r/>
    </w:p>
    <w:p>
      <w:pPr>
        <w:pStyle w:val="1332"/>
        <w:ind w:firstLine="480"/>
        <w:rPr>
          <w:color w:val="000000" w:themeColor="text1"/>
          <w:highlight w:val="none"/>
        </w:rPr>
      </w:pPr>
      <w:r>
        <w:rPr>
          <w:rFonts w:hint="eastAsia"/>
          <w:b/>
          <w:bCs/>
          <w:color w:val="000000" w:themeColor="text1"/>
          <w:highlight w:val="none"/>
        </w:rPr>
        <w:t xml:space="preserve">本项目落实挥发性有机化合物（VOCs）治理要求，若本项目中涉及涂料、胶黏剂、油墨、清洗剂等挥发性有机物产品的，属于强制性标准的，</w:t>
      </w:r>
      <w:r>
        <w:rPr>
          <w:rFonts w:hint="eastAsia" w:hAnsi="宋体" w:cs="宋体"/>
          <w:b/>
          <w:bCs/>
          <w:color w:val="000000" w:themeColor="text1"/>
          <w:szCs w:val="24"/>
          <w:highlight w:val="none"/>
        </w:rPr>
        <w:t xml:space="preserve">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w:t>
      </w:r>
      <w:r>
        <w:rPr>
          <w:rFonts w:hint="eastAsia"/>
          <w:b/>
          <w:bCs/>
          <w:color w:val="000000" w:themeColor="text1"/>
          <w:highlight w:val="none"/>
        </w:rPr>
        <w:t xml:space="preserve">国家和江苏省相关VOCs 含量限制标准的产品</w:t>
      </w:r>
      <w:r>
        <w:rPr>
          <w:rFonts w:hint="eastAsia"/>
          <w:b/>
          <w:bCs/>
          <w:color w:val="000000" w:themeColor="text1"/>
          <w:highlight w:val="none"/>
          <w:lang w:eastAsia="zh-CN"/>
        </w:rPr>
        <w:t xml:space="preserve">，</w:t>
      </w:r>
      <w:r>
        <w:rPr>
          <w:rFonts w:hint="eastAsia" w:hAnsi="宋体" w:cs="宋体"/>
          <w:b/>
          <w:bCs/>
          <w:color w:val="000000" w:themeColor="text1"/>
          <w:szCs w:val="24"/>
          <w:highlight w:val="none"/>
        </w:rPr>
        <w:t xml:space="preserve">并在材料进场时提供</w:t>
      </w:r>
      <w:r>
        <w:rPr>
          <w:rFonts w:hint="eastAsia"/>
          <w:b/>
          <w:bCs/>
          <w:color w:val="000000" w:themeColor="text1"/>
          <w:highlight w:val="none"/>
        </w:rPr>
        <w:t xml:space="preserve">符合要求的检测报告，否则采购人有权取消其成交资格。</w:t>
      </w:r>
      <w:r/>
    </w:p>
    <w:p>
      <w:pPr>
        <w:numPr>
          <w:ilvl w:val="0"/>
          <w:numId w:val="0"/>
        </w:numPr>
        <w:contextualSpacing/>
        <w:ind w:firstLine="420"/>
        <w:spacing w:line="360" w:lineRule="auto"/>
        <w:rPr>
          <w:rFonts w:hint="eastAsia" w:ascii="Times New Roman" w:hAnsi="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5）</w:t>
      </w: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w:t>
      </w:r>
      <w:r>
        <w:rPr>
          <w:rFonts w:hint="eastAsia" w:ascii="Times New Roman" w:hAnsi="Times New Roman"/>
          <w:b w:val="0"/>
          <w:bCs w:val="0"/>
          <w:color w:val="000000" w:themeColor="text1"/>
          <w:sz w:val="24"/>
          <w:szCs w:val="24"/>
          <w:highlight w:val="none"/>
        </w:rPr>
        <w:t xml:space="preserve">求</w:t>
      </w:r>
      <w:r>
        <w:rPr>
          <w:rFonts w:hint="eastAsia" w:ascii="Times New Roman" w:hAnsi="Times New Roman"/>
          <w:color w:val="000000" w:themeColor="text1"/>
          <w:sz w:val="24"/>
          <w:szCs w:val="24"/>
          <w:highlight w:val="none"/>
        </w:rPr>
        <w:t xml:space="preserve">，采购人应当面向中小企业预留采购份额，本项目面向中小企业预留份额100 %。</w:t>
      </w:r>
      <w:r/>
    </w:p>
    <w:p>
      <w:pPr>
        <w:numPr>
          <w:ilvl w:val="0"/>
          <w:numId w:val="0"/>
        </w:numPr>
        <w:contextualSpacing/>
        <w:ind w:firstLine="420"/>
        <w:spacing w:line="360" w:lineRule="auto"/>
        <w:rPr>
          <w:rFonts w:hint="eastAsia"/>
          <w:highlight w:val="none"/>
        </w:rPr>
      </w:pPr>
      <w:r>
        <w:rPr>
          <w:rFonts w:hint="eastAsia" w:ascii="Times New Roman" w:hAnsi="Times New Roman" w:eastAsia="宋体" w:cs="Times New Roman"/>
          <w:sz w:val="21"/>
          <w:szCs w:val="24"/>
          <w:highlight w:val="none"/>
          <w:lang w:val="en-US" w:eastAsia="zh-CN" w:bidi="ar-SA"/>
        </w:rPr>
        <w:t xml:space="preserve">6）</w:t>
      </w:r>
      <w:r>
        <w:rPr>
          <w:rFonts w:hint="eastAsia" w:ascii="Times New Roman" w:hAnsi="Times New Roman"/>
          <w:color w:val="000000" w:themeColor="text1"/>
          <w:sz w:val="24"/>
          <w:szCs w:val="24"/>
          <w:highlight w:val="none"/>
          <w:lang w:val="en-US" w:eastAsia="zh-CN"/>
        </w:rPr>
        <w:t xml:space="preserve">成交供应商须在成交后递交纸质版投标文件1份，纸质版最终报价清单1份（均须加盖公章）。</w:t>
      </w:r>
      <w:r/>
    </w:p>
    <w:p>
      <w:pPr>
        <w:numPr>
          <w:ilvl w:val="0"/>
          <w:numId w:val="0"/>
        </w:numPr>
        <w:contextualSpacing/>
        <w:jc w:val="left"/>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四、</w:t>
      </w:r>
      <w:r>
        <w:rPr>
          <w:rFonts w:hint="eastAsia" w:ascii="Times New Roman" w:hAnsi="Times New Roman" w:eastAsia="宋体" w:cs="Times New Roman"/>
          <w:b/>
          <w:bCs/>
          <w:color w:val="000000" w:themeColor="text1"/>
          <w:sz w:val="24"/>
          <w:szCs w:val="24"/>
          <w:highlight w:val="none"/>
          <w:lang w:val="en-US" w:eastAsia="zh-CN" w:bidi="ar-SA"/>
        </w:rPr>
        <w:t xml:space="preserve">其他要求</w:t>
      </w:r>
      <w:r/>
    </w:p>
    <w:p>
      <w:pPr>
        <w:pStyle w:val="1064"/>
        <w:numPr>
          <w:ilvl w:val="0"/>
          <w:numId w:val="0"/>
        </w:numPr>
        <w:ind w:firstLine="480"/>
        <w:keepLines/>
        <w:keepNext/>
        <w:pageBreakBefore w:val="0"/>
        <w:spacing w:before="0" w:after="0" w:line="360" w:lineRule="auto"/>
        <w:widowControl w:val="off"/>
        <w:rPr>
          <w:rFonts w:hint="eastAsia" w:ascii="宋体" w:hAnsi="宋体" w:eastAsia="宋体" w:cs="宋体"/>
          <w:sz w:val="24"/>
          <w:highlight w:val="none"/>
          <w:lang w:eastAsia="zh-CN"/>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w:t>
      </w:r>
      <w:r>
        <w:rPr>
          <w:rFonts w:hint="eastAsia" w:ascii="宋体" w:hAnsi="宋体" w:eastAsia="宋体" w:cs="宋体"/>
          <w:color w:val="000000" w:themeColor="text1"/>
          <w:sz w:val="24"/>
          <w:szCs w:val="24"/>
          <w:highlight w:val="none"/>
        </w:rPr>
        <w:t xml:space="preserve">施工工艺</w:t>
      </w:r>
      <w:r>
        <w:rPr>
          <w:rFonts w:hint="eastAsia" w:ascii="宋体" w:hAnsi="宋体" w:eastAsia="宋体" w:cs="宋体"/>
          <w:color w:val="000000" w:themeColor="text1"/>
          <w:sz w:val="24"/>
          <w:szCs w:val="24"/>
          <w:highlight w:val="none"/>
          <w:lang w:val="en-US" w:eastAsia="zh-CN"/>
        </w:rPr>
        <w:t xml:space="preserve">方案、资源配置计划、</w:t>
      </w:r>
      <w:r>
        <w:rPr>
          <w:rFonts w:hint="eastAsia" w:ascii="宋体" w:hAnsi="宋体" w:cs="宋体"/>
          <w:color w:val="000000" w:themeColor="text1"/>
          <w:sz w:val="24"/>
          <w:szCs w:val="24"/>
          <w:highlight w:val="none"/>
          <w:lang w:val="en-US" w:eastAsia="zh-CN"/>
        </w:rPr>
        <w:t xml:space="preserve">人员</w:t>
      </w:r>
      <w:r>
        <w:rPr>
          <w:rFonts w:hint="eastAsia" w:ascii="宋体" w:hAnsi="宋体" w:eastAsia="宋体" w:cs="宋体"/>
          <w:color w:val="000000" w:themeColor="text1"/>
          <w:sz w:val="24"/>
          <w:szCs w:val="24"/>
          <w:highlight w:val="none"/>
          <w:lang w:val="en-US" w:eastAsia="zh-CN"/>
        </w:rPr>
        <w:t xml:space="preserve">配置计划、进度计划、质量保证措施、环保文明措施、安全保证措施、</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供应商应提供以往承接过类似项目业绩的证明材料</w:t>
      </w:r>
      <w:r>
        <w:rPr>
          <w:rFonts w:hint="eastAsia" w:cs="Times New Roman"/>
          <w:b w:val="0"/>
          <w:bCs w:val="0"/>
          <w:color w:val="000000" w:themeColor="text1"/>
          <w:sz w:val="24"/>
          <w:szCs w:val="24"/>
          <w:highlight w:val="none"/>
          <w:lang w:val="en-US" w:eastAsia="zh-CN" w:bidi="ar-SA"/>
        </w:rPr>
        <w:t xml:space="preserve">。</w:t>
      </w:r>
      <w:r/>
    </w:p>
    <w:p>
      <w:pPr>
        <w:pStyle w:val="1064"/>
        <w:ind w:firstLine="480"/>
        <w:pageBreakBefore w:val="0"/>
        <w:spacing w:before="0" w:after="0"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供应商应提供自身具有的与本项目工作内容相关的人员证明材料。</w:t>
      </w:r>
      <w:r/>
    </w:p>
    <w:p>
      <w:pPr>
        <w:ind w:firstLine="482"/>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注：</w:t>
      </w:r>
      <w:r>
        <w:rPr>
          <w:rFonts w:hint="eastAsia" w:ascii="Times New Roman" w:hAnsi="Times New Roman" w:eastAsia="宋体" w:cs="Times New Roman"/>
          <w:b/>
          <w:bCs/>
          <w:color w:val="000000" w:themeColor="text1"/>
          <w:sz w:val="24"/>
          <w:szCs w:val="24"/>
          <w:highlight w:val="none"/>
          <w:lang w:val="en-US" w:eastAsia="zh-CN" w:bidi="ar-SA"/>
        </w:rPr>
        <w:t xml:space="preserve">上述内容无需在《偏离表》中标明是否偏离。</w:t>
      </w:r>
      <w:r/>
    </w:p>
    <w:p>
      <w:pPr>
        <w:ind w:firstLine="560"/>
        <w:jc w:val="left"/>
        <w:widowControl/>
        <w:rPr>
          <w:b/>
          <w:color w:val="000000" w:themeColor="text1"/>
          <w:sz w:val="36"/>
          <w:szCs w:val="36"/>
          <w:highlight w:val="none"/>
        </w:rPr>
      </w:pPr>
      <w:r>
        <w:rPr>
          <w:b/>
          <w:color w:val="000000" w:themeColor="text1"/>
          <w:sz w:val="36"/>
          <w:szCs w:val="36"/>
          <w:highlight w:val="none"/>
        </w:rPr>
        <w:t xml:space="preserve"> </w:t>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1064"/>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rPr>
          <w:highlight w:val="none"/>
        </w:rPr>
      </w:pPr>
      <w:r>
        <w:rPr>
          <w:highlight w:val="none"/>
        </w:rPr>
      </w:r>
      <w:r/>
    </w:p>
    <w:p>
      <w:pPr>
        <w:rPr>
          <w:highlight w:val="none"/>
        </w:rPr>
      </w:pPr>
      <w:r>
        <w:rPr>
          <w:highlight w:val="none"/>
        </w:rPr>
      </w:r>
      <w:r/>
    </w:p>
    <w:p>
      <w:pPr>
        <w:numPr>
          <w:ilvl w:val="0"/>
          <w:numId w:val="10"/>
        </w:numPr>
        <w:ind w:left="0" w:firstLine="0"/>
        <w:jc w:val="center"/>
        <w:rPr>
          <w:rFonts w:hint="eastAsia" w:ascii="宋体" w:hAnsi="宋体" w:eastAsia="宋体" w:cs="宋体"/>
          <w:b/>
          <w:bCs/>
          <w:sz w:val="36"/>
          <w:szCs w:val="44"/>
          <w:highlight w:val="none"/>
          <w:lang w:val="en-US" w:eastAsia="zh-CN"/>
        </w:rPr>
      </w:pPr>
      <w:r>
        <w:rPr>
          <w:rFonts w:hint="eastAsia" w:ascii="宋体" w:hAnsi="宋体" w:eastAsia="宋体" w:cs="宋体"/>
          <w:b/>
          <w:bCs/>
          <w:sz w:val="36"/>
          <w:szCs w:val="44"/>
          <w:highlight w:val="none"/>
          <w:lang w:val="en-US" w:eastAsia="zh-CN"/>
        </w:rPr>
        <w:t xml:space="preserve">  2025年度溧阳市溧城街道补充耕地项目</w:t>
      </w:r>
      <w:r/>
    </w:p>
    <w:p>
      <w:pPr>
        <w:numPr>
          <w:ilvl w:val="0"/>
          <w:numId w:val="0"/>
        </w:numPr>
        <w:ind w:firstLine="3975"/>
        <w:jc w:val="both"/>
        <w:rPr>
          <w:rFonts w:hint="eastAsia" w:ascii="宋体" w:hAnsi="宋体" w:eastAsia="宋体" w:cs="宋体"/>
          <w:b/>
          <w:bCs/>
          <w:sz w:val="36"/>
          <w:szCs w:val="44"/>
          <w:highlight w:val="none"/>
          <w:lang w:val="en-US" w:eastAsia="zh-CN"/>
        </w:rPr>
      </w:pPr>
      <w:r>
        <w:rPr>
          <w:rFonts w:hint="eastAsia" w:ascii="宋体" w:hAnsi="宋体" w:eastAsia="宋体" w:cs="宋体"/>
          <w:b/>
          <w:bCs/>
          <w:sz w:val="36"/>
          <w:szCs w:val="44"/>
          <w:highlight w:val="none"/>
          <w:lang w:val="en-US" w:eastAsia="zh-CN"/>
        </w:rPr>
        <w:t xml:space="preserve">政府采购合同</w:t>
      </w:r>
      <w:r/>
    </w:p>
    <w:p>
      <w:pPr>
        <w:jc w:val="center"/>
        <w:rPr>
          <w:rFonts w:hint="eastAsia"/>
          <w:b/>
          <w:bCs/>
          <w:sz w:val="28"/>
          <w:szCs w:val="36"/>
          <w:highlight w:val="none"/>
          <w:lang w:val="en-US" w:eastAsia="zh-CN"/>
        </w:rPr>
      </w:pPr>
      <w:r>
        <w:rPr>
          <w:rFonts w:hint="eastAsia"/>
          <w:b/>
          <w:bCs/>
          <w:sz w:val="28"/>
          <w:szCs w:val="36"/>
          <w:highlight w:val="none"/>
          <w:lang w:val="en-US" w:eastAsia="zh-CN"/>
        </w:rPr>
        <w:t xml:space="preserve">第一部分 合同协议书</w:t>
      </w:r>
      <w:r/>
    </w:p>
    <w:p>
      <w:pPr>
        <w:ind w:left="0" w:right="0" w:firstLine="480"/>
        <w:jc w:val="both"/>
        <w:keepLines w:val="0"/>
        <w:keepNext w:val="0"/>
        <w:pageBreakBefore w:val="0"/>
        <w:spacing w:line="444"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发包人：</w:t>
      </w:r>
      <w:r>
        <w:rPr>
          <w:rFonts w:hint="eastAsia" w:eastAsia="宋体"/>
          <w:bCs/>
          <w:color w:val="000000"/>
          <w:sz w:val="24"/>
          <w:szCs w:val="24"/>
          <w:highlight w:val="none"/>
          <w:lang w:eastAsia="zh-CN"/>
        </w:rPr>
        <w:t xml:space="preserve">溧阳市人民政府溧城街道办事处</w:t>
      </w:r>
      <w:r/>
    </w:p>
    <w:p>
      <w:pPr>
        <w:ind w:left="0" w:right="0" w:firstLine="480"/>
        <w:jc w:val="both"/>
        <w:keepLines w:val="0"/>
        <w:keepNext w:val="0"/>
        <w:pageBreakBefore w:val="0"/>
        <w:spacing w:line="444" w:lineRule="auto"/>
        <w:widowControl w:val="off"/>
        <w:rPr>
          <w:rFonts w:hint="eastAsia"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承包人：</w:t>
      </w:r>
      <w:r>
        <w:rPr>
          <w:rFonts w:hint="eastAsia" w:ascii="宋体" w:hAnsi="宋体" w:cs="宋体"/>
          <w:color w:val="000000"/>
          <w:sz w:val="24"/>
          <w:szCs w:val="24"/>
          <w:highlight w:val="none"/>
          <w:lang w:val="en-US" w:eastAsia="zh-CN"/>
        </w:rPr>
        <w:t xml:space="preserve">     </w:t>
      </w:r>
      <w:r/>
    </w:p>
    <w:p>
      <w:pPr>
        <w:ind w:left="0" w:right="0" w:firstLine="440"/>
        <w:jc w:val="both"/>
        <w:keepLines w:val="0"/>
        <w:keepNext w:val="0"/>
        <w:pageBreakBefore w:val="0"/>
        <w:spacing w:line="444"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合同签订时间：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月   日           合同签订地点：溧阳市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第一条工程概况</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1.1工程名称：</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1.2工程地点：</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1.3项目编号：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第二条工程承包范围及要求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2.1工程承包范围：</w:t>
      </w:r>
      <w:r>
        <w:rPr>
          <w:rFonts w:hint="eastAsia"/>
          <w:color w:val="000000"/>
          <w:sz w:val="24"/>
          <w:highlight w:val="none"/>
        </w:rPr>
        <w:t xml:space="preserve">图纸及工程量清单范围内所有工程</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444" w:lineRule="auto"/>
        <w:widowControl w:val="off"/>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2.2合同工期：</w:t>
      </w:r>
      <w:r>
        <w:rPr>
          <w:rFonts w:hint="eastAsia" w:ascii="宋体" w:hAnsi="宋体" w:cs="宋体"/>
          <w:color w:val="000000"/>
          <w:sz w:val="24"/>
          <w:highlight w:val="none"/>
          <w:lang w:val="en-US" w:eastAsia="zh-CN"/>
        </w:rPr>
        <w:t xml:space="preserve">90日历天</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2.3质量标准：合格。</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第三条合同文件构成</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本合同与下列文件一起构成合同文件：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（1）成交通知书；</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（2）竞争性磋商文件；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（3）技术标准与要求；</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（4）图纸（如有）；</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（6）其他合同文件。</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第四条签约合同价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4.1签约合同价：</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rPr>
          <w:rFonts w:hint="eastAsia" w:ascii="宋体" w:hAnsi="宋体" w:cs="宋体"/>
          <w:sz w:val="24"/>
          <w:szCs w:val="24"/>
          <w:highlight w:val="none"/>
          <w:lang w:val="en-US" w:eastAsia="zh-CN"/>
        </w:rPr>
        <w:t xml:space="preserve">        </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（1）材料和工程设备暂估价金额：</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（2）暂列金额：</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人民币（大写）：</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元)。</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第五条 发包人保证按照合同规定付款并承担合同规定的发包人的全部义务和责任。</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第六条 本协议书经双方法定代表人或其委托代理人签名并分别盖本单位公章、并按招标规定递交发包人满意的履约保函后生效。发包人现场管理机构在合同执行过程中行使项目法人职责。</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第七条 本合同一式 肆 份，双方各执贰份。</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发包人：（盖单位章） </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法定代表人：</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（姓名）</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（或委托代理人）（签名）</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地</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址：</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电</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话：</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传</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真：</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邮政编码：</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开户银行：</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账</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lang w:val="en-US" w:eastAsia="zh-CN"/>
        </w:rPr>
        <w:tab/>
      </w:r>
      <w:r/>
    </w:p>
    <w:p>
      <w:pPr>
        <w:ind w:right="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rPr>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承包人：</w:t>
      </w:r>
      <w:r>
        <w:rPr>
          <w:rFonts w:hint="eastAsia" w:ascii="宋体" w:hAnsi="宋体" w:cs="宋体"/>
          <w:color w:val="000000"/>
          <w:sz w:val="24"/>
          <w:highlight w:val="none"/>
          <w:lang w:val="en-US" w:eastAsia="zh-CN"/>
        </w:rPr>
        <w:t xml:space="preserve">（成交供应商）</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（盖单位章）</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法定代表人：</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（姓名）</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（或委托代理人） （签名）</w:t>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地</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址：</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电</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话：</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传</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真：</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邮政编码：</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开户银行：</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账</w:t>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 xml:space="preserve">号：</w:t>
      </w:r>
      <w:r>
        <w:rPr>
          <w:rFonts w:hint="eastAsia" w:ascii="宋体" w:hAnsi="宋体" w:eastAsia="宋体" w:cs="宋体"/>
          <w:color w:val="000000"/>
          <w:sz w:val="24"/>
          <w:highlight w:val="none"/>
          <w:lang w:val="en-US" w:eastAsia="zh-CN"/>
        </w:rPr>
        <w:tab/>
      </w:r>
      <w:r/>
    </w:p>
    <w:p>
      <w:pPr>
        <w:ind w:left="0" w:right="0" w:firstLine="480"/>
        <w:jc w:val="both"/>
        <w:keepLines w:val="0"/>
        <w:keepNext w:val="0"/>
        <w:pageBreakBefore w:val="0"/>
        <w:spacing w:line="444" w:lineRule="auto"/>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480"/>
        <w:jc w:val="both"/>
        <w:keepLines w:val="0"/>
        <w:keepNext w:val="0"/>
        <w:pageBreakBefore w:val="0"/>
        <w:spacing w:line="444"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erReference w:type="default" r:id="rId22"/>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color w:val="000000"/>
          <w:sz w:val="24"/>
          <w:highlight w:val="none"/>
        </w:rPr>
      </w:r>
      <w:r/>
    </w:p>
    <w:p>
      <w:pPr>
        <w:ind w:left="0" w:right="488"/>
        <w:jc w:val="center"/>
        <w:keepLines/>
        <w:keepNext/>
        <w:spacing w:before="260" w:beforeAutospacing="0" w:after="260" w:afterAutospacing="0" w:line="413" w:lineRule="auto"/>
        <w:widowControl w:val="off"/>
        <w:rPr>
          <w:rFonts w:ascii="Arial" w:hAnsi="Arial" w:eastAsia="黑体" w:cs="Times New Roman"/>
          <w:b/>
          <w:sz w:val="32"/>
          <w:szCs w:val="24"/>
          <w:highlight w:val="none"/>
          <w:lang w:val="en-US" w:eastAsia="zh-CN" w:bidi="ar-SA"/>
        </w:rPr>
        <w:outlineLvl w:val="1"/>
      </w:pPr>
      <w:r>
        <w:rPr>
          <w:rFonts w:hint="eastAsia" w:ascii="Arial" w:hAnsi="Arial" w:eastAsia="黑体" w:cs="Times New Roman"/>
          <w:b/>
          <w:sz w:val="32"/>
          <w:szCs w:val="24"/>
          <w:highlight w:val="none"/>
          <w:lang w:val="en-US" w:eastAsia="zh-CN" w:bidi="ar-SA"/>
        </w:rPr>
        <w:t xml:space="preserve">第二部分</w:t>
      </w:r>
      <w:r/>
    </w:p>
    <w:p>
      <w:pPr>
        <w:ind w:right="488" w:firstLine="2480"/>
        <w:jc w:val="both"/>
        <w:spacing w:before="255"/>
        <w:rPr>
          <w:rFonts w:hint="default" w:ascii="Calibri" w:hAnsi="Calibri" w:eastAsia="宋体" w:cs="Times New Roman"/>
          <w:b/>
          <w:sz w:val="52"/>
          <w:highlight w:val="none"/>
          <w:lang w:eastAsia="zh-CN"/>
        </w:rPr>
      </w:pPr>
      <w:r>
        <w:rPr>
          <w:rFonts w:hint="eastAsia" w:ascii="Calibri" w:hAnsi="Calibri" w:eastAsia="宋体" w:cs="Times New Roman"/>
          <w:b/>
          <w:sz w:val="52"/>
          <w:highlight w:val="none"/>
          <w:lang w:eastAsia="zh-CN"/>
        </w:rPr>
        <w:t xml:space="preserve">专用合同条款</w:t>
      </w:r>
      <w:r/>
    </w:p>
    <w:p>
      <w:pPr>
        <w:jc w:val="center"/>
        <w:rPr>
          <w:sz w:val="52"/>
          <w:highlight w:val="none"/>
          <w:lang w:eastAsia="zh-CN"/>
        </w:rPr>
        <w:sectPr>
          <w:headerReference w:type="default" r:id="rId11"/>
          <w:footerReference w:type="default" r:id="rId23"/>
          <w:footnotePr/>
          <w:endnotePr/>
          <w:type w:val="nextPage"/>
          <w:pgSz w:w="11906" w:h="16838" w:orient="portrait"/>
          <w:pgMar w:top="1440" w:right="1800" w:bottom="1440" w:left="1800" w:header="851" w:footer="992" w:gutter="0"/>
          <w:pgNumType w:start="18"/>
          <w:cols w:num="1" w:sep="0" w:space="425" w:equalWidth="1"/>
          <w:docGrid w:linePitch="360"/>
        </w:sectPr>
      </w:pPr>
      <w:r>
        <w:rPr>
          <w:sz w:val="52"/>
          <w:highlight w:val="none"/>
          <w:lang w:eastAsia="zh-CN"/>
        </w:rPr>
      </w:r>
      <w:r/>
    </w:p>
    <w:p>
      <w:pPr>
        <w:ind w:left="3950"/>
        <w:jc w:val="both"/>
        <w:keepLines/>
        <w:keepNext/>
        <w:spacing w:before="260" w:beforeAutospacing="0" w:after="260" w:afterAutospacing="0" w:line="392" w:lineRule="exact"/>
        <w:widowControl w:val="off"/>
        <w:tabs>
          <w:tab w:val="left" w:pos="4913" w:leader="none"/>
        </w:tabs>
        <w:rPr>
          <w:rFonts w:ascii="Calibri" w:hAnsi="Calibri" w:eastAsia="宋体" w:cs="Times New Roman"/>
          <w:b/>
          <w:sz w:val="32"/>
          <w:szCs w:val="24"/>
          <w:highlight w:val="none"/>
          <w:lang w:val="en-US" w:eastAsia="zh-CN" w:bidi="ar-SA"/>
        </w:rPr>
        <w:outlineLvl w:val="2"/>
      </w:pPr>
      <w:r>
        <w:rPr>
          <w:rFonts w:hint="eastAsia" w:ascii="Calibri" w:hAnsi="Calibri" w:eastAsia="宋体" w:cs="Times New Roman"/>
          <w:b/>
          <w:sz w:val="32"/>
          <w:szCs w:val="24"/>
          <w:highlight w:val="none"/>
          <w:lang w:val="en-US" w:eastAsia="zh-CN" w:bidi="ar-SA"/>
        </w:rPr>
        <w:t xml:space="preserve">前</w:t>
      </w:r>
      <w:r>
        <w:rPr>
          <w:rFonts w:hint="eastAsia" w:ascii="Calibri" w:hAnsi="Calibri" w:eastAsia="宋体" w:cs="Times New Roman"/>
          <w:b/>
          <w:sz w:val="32"/>
          <w:szCs w:val="24"/>
          <w:highlight w:val="none"/>
          <w:lang w:val="en-US" w:eastAsia="zh-CN" w:bidi="ar-SA"/>
        </w:rPr>
        <w:tab/>
      </w:r>
      <w:r>
        <w:rPr>
          <w:rFonts w:hint="eastAsia" w:ascii="Calibri" w:hAnsi="Calibri" w:eastAsia="宋体" w:cs="Times New Roman"/>
          <w:b/>
          <w:sz w:val="32"/>
          <w:szCs w:val="24"/>
          <w:highlight w:val="none"/>
          <w:lang w:val="en-US" w:eastAsia="zh-CN" w:bidi="ar-SA"/>
        </w:rPr>
        <w:t xml:space="preserve">言</w:t>
      </w:r>
      <w:r/>
    </w:p>
    <w:p>
      <w:pPr>
        <w:jc w:val="both"/>
        <w:spacing w:after="120" w:afterAutospacing="0"/>
        <w:widowControl w:val="off"/>
        <w:rPr>
          <w:rFonts w:ascii="Calibri" w:hAnsi="Calibri" w:eastAsia="宋体" w:cs="Times New Roman"/>
          <w:b/>
          <w:sz w:val="32"/>
          <w:szCs w:val="24"/>
          <w:highlight w:val="none"/>
          <w:lang w:val="en-US" w:eastAsia="zh-CN" w:bidi="ar-SA"/>
        </w:rPr>
      </w:pPr>
      <w:r>
        <w:rPr>
          <w:rFonts w:ascii="Calibri" w:hAnsi="Calibri" w:eastAsia="宋体" w:cs="Times New Roman"/>
          <w:b/>
          <w:sz w:val="32"/>
          <w:szCs w:val="24"/>
          <w:highlight w:val="none"/>
          <w:lang w:val="en-US" w:eastAsia="zh-CN" w:bidi="ar-SA"/>
        </w:rPr>
      </w:r>
      <w:r/>
    </w:p>
    <w:p>
      <w:pPr>
        <w:ind w:left="218" w:right="214" w:firstLine="419"/>
        <w:jc w:val="both"/>
        <w:spacing w:before="267" w:after="120" w:afterAutospacing="0" w:line="408"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专用合同条款中的各条款是补充和修改通用合同条款中条款号相同的条款或当需要时增加</w:t>
      </w:r>
      <w:r>
        <w:rPr>
          <w:rFonts w:hint="eastAsia" w:ascii="宋体" w:hAnsi="宋体" w:eastAsia="宋体" w:cs="宋体"/>
          <w:spacing w:val="-9"/>
          <w:sz w:val="24"/>
          <w:szCs w:val="24"/>
          <w:highlight w:val="none"/>
          <w:lang w:val="en-US" w:eastAsia="zh-CN" w:bidi="ar-SA"/>
        </w:rPr>
        <w:t xml:space="preserve">新</w:t>
      </w:r>
      <w:r>
        <w:rPr>
          <w:rFonts w:hint="eastAsia" w:ascii="宋体" w:hAnsi="宋体" w:eastAsia="宋体" w:cs="宋体"/>
          <w:color w:val="000000"/>
          <w:spacing w:val="-9"/>
          <w:sz w:val="24"/>
          <w:szCs w:val="24"/>
          <w:highlight w:val="none"/>
          <w:lang w:val="en-US" w:eastAsia="zh-CN" w:bidi="ar-SA"/>
        </w:rPr>
        <w:t xml:space="preserve">的条款，两者应对照阅读。一旦出现矛盾或不一致，则以专用合同条款为准，通用合同条款中</w:t>
      </w:r>
      <w:r>
        <w:rPr>
          <w:rFonts w:hint="eastAsia" w:ascii="宋体" w:hAnsi="宋体" w:eastAsia="宋体" w:cs="宋体"/>
          <w:color w:val="000000"/>
          <w:spacing w:val="-5"/>
          <w:sz w:val="24"/>
          <w:szCs w:val="24"/>
          <w:highlight w:val="none"/>
          <w:lang w:val="en-US" w:eastAsia="zh-CN" w:bidi="ar-SA"/>
        </w:rPr>
        <w:t xml:space="preserve">未补充和修改的部分仍有效。</w:t>
      </w:r>
      <w:r/>
    </w:p>
    <w:p>
      <w:pPr>
        <w:ind w:left="218"/>
        <w:jc w:val="both"/>
        <w:keepLines/>
        <w:keepNext/>
        <w:spacing w:before="140" w:beforeAutospacing="0" w:after="64" w:afterAutospacing="0" w:line="317" w:lineRule="auto"/>
        <w:widowControl w:val="off"/>
        <w:tabs>
          <w:tab w:val="left" w:pos="592"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词语涵义</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74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pacing w:val="-3"/>
          <w:sz w:val="24"/>
          <w:szCs w:val="24"/>
          <w:highlight w:val="none"/>
          <w:lang w:val="en-US" w:eastAsia="zh-CN" w:bidi="ar-SA"/>
        </w:rPr>
        <w:t xml:space="preserve">有关合同双方和监理人的词语</w:t>
      </w:r>
      <w:r/>
    </w:p>
    <w:p>
      <w:pPr>
        <w:jc w:val="both"/>
        <w:spacing w:before="10"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52"/>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（1）发包人：</w:t>
      </w:r>
      <w:r/>
    </w:p>
    <w:p>
      <w:pPr>
        <w:ind w:left="638"/>
        <w:jc w:val="both"/>
        <w:spacing w:before="177"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（2）监理人：通过委托确定。</w:t>
      </w:r>
      <w:r/>
    </w:p>
    <w:p>
      <w:pPr>
        <w:jc w:val="both"/>
        <w:spacing w:before="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spacing w:before="1" w:after="120" w:afterAutospacing="0"/>
        <w:widowControl w:val="off"/>
        <w:tabs>
          <w:tab w:val="left" w:pos="743"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pacing w:val="-3"/>
          <w:sz w:val="24"/>
          <w:szCs w:val="24"/>
          <w:highlight w:val="none"/>
          <w:lang w:val="en-US" w:eastAsia="zh-CN" w:bidi="ar-SA"/>
        </w:rPr>
        <w:t xml:space="preserve">有关工程和设备的词语</w:t>
      </w:r>
      <w:r/>
    </w:p>
    <w:p>
      <w:pPr>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20"/>
        <w:jc w:val="both"/>
        <w:keepLines/>
        <w:keepNext/>
        <w:spacing w:before="240" w:beforeAutospacing="0" w:after="64" w:afterAutospacing="0" w:line="317" w:lineRule="auto"/>
        <w:widowControl w:val="off"/>
        <w:tabs>
          <w:tab w:val="left" w:pos="592" w:leader="none"/>
          <w:tab w:val="left" w:pos="593"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 合同文件的优先顺序</w:t>
      </w:r>
      <w:r/>
    </w:p>
    <w:p>
      <w:pPr>
        <w:ind w:left="642"/>
        <w:jc w:val="both"/>
        <w:spacing w:before="16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（补充）</w:t>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40"/>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除合同另有规定，解释合同文件的优先顺序如下：</w:t>
      </w:r>
      <w:r/>
    </w:p>
    <w:p>
      <w:pPr>
        <w:jc w:val="both"/>
        <w:spacing w:before="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40"/>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pacing w:val="-3"/>
          <w:sz w:val="24"/>
          <w:szCs w:val="24"/>
          <w:highlight w:val="none"/>
          <w:lang w:val="en-US" w:eastAsia="zh-CN" w:bidi="ar-SA"/>
        </w:rPr>
        <w:t xml:space="preserve">）</w:t>
      </w:r>
      <w:r>
        <w:rPr>
          <w:rFonts w:hint="eastAsia" w:ascii="宋体" w:hAnsi="宋体" w:eastAsia="宋体" w:cs="宋体"/>
          <w:color w:val="000000"/>
          <w:spacing w:val="-2"/>
          <w:sz w:val="24"/>
          <w:szCs w:val="24"/>
          <w:highlight w:val="none"/>
          <w:lang w:val="en-US" w:eastAsia="zh-CN" w:bidi="ar-SA"/>
        </w:rPr>
        <w:t xml:space="preserve">协议书</w:t>
      </w:r>
      <w:r>
        <w:rPr>
          <w:rFonts w:hint="eastAsia" w:ascii="宋体" w:hAnsi="宋体" w:eastAsia="宋体" w:cs="宋体"/>
          <w:color w:val="000000"/>
          <w:spacing w:val="-3"/>
          <w:sz w:val="24"/>
          <w:szCs w:val="24"/>
          <w:highlight w:val="none"/>
          <w:lang w:val="en-US" w:eastAsia="zh-CN" w:bidi="ar-SA"/>
        </w:rPr>
        <w:t xml:space="preserve">（包括补充协议</w:t>
      </w:r>
      <w:r>
        <w:rPr>
          <w:rFonts w:hint="eastAsia" w:ascii="宋体" w:hAnsi="宋体" w:eastAsia="宋体" w:cs="宋体"/>
          <w:color w:val="000000"/>
          <w:spacing w:val="-106"/>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p>
    <w:p>
      <w:pPr>
        <w:ind w:left="640"/>
        <w:jc w:val="both"/>
        <w:spacing w:before="1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成交</w:t>
      </w:r>
      <w:r>
        <w:rPr>
          <w:rFonts w:hint="eastAsia" w:ascii="宋体" w:hAnsi="宋体" w:eastAsia="宋体" w:cs="宋体"/>
          <w:color w:val="000000"/>
          <w:sz w:val="24"/>
          <w:szCs w:val="24"/>
          <w:highlight w:val="none"/>
          <w:lang w:val="en-US" w:eastAsia="zh-CN" w:bidi="ar-SA"/>
        </w:rPr>
        <w:t xml:space="preserve">通知书；</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（3）投标报价书；</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（4）专用合同条款；</w:t>
      </w:r>
      <w:r/>
    </w:p>
    <w:p>
      <w:pPr>
        <w:ind w:left="640"/>
        <w:jc w:val="both"/>
        <w:spacing w:before="15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（5）通用合同条款；</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（6）技术条款；</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（7）图纸；</w:t>
      </w:r>
      <w:r/>
    </w:p>
    <w:p>
      <w:pPr>
        <w:ind w:left="638"/>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（8）已标价的工程量清单；</w:t>
      </w:r>
      <w:r/>
    </w:p>
    <w:p>
      <w:pPr>
        <w:ind w:left="623"/>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（9）经双方确认进入合同的其它文件；</w:t>
      </w:r>
      <w:r/>
    </w:p>
    <w:p>
      <w:pPr>
        <w:ind w:left="623"/>
        <w:jc w:val="both"/>
        <w:spacing w:before="160"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（10）投标文件。</w:t>
      </w:r>
      <w:r/>
    </w:p>
    <w:p>
      <w:pPr>
        <w:rPr>
          <w:rFonts w:hint="eastAsia" w:ascii="宋体" w:hAnsi="宋体" w:eastAsia="宋体" w:cs="宋体"/>
          <w:sz w:val="24"/>
          <w:szCs w:val="24"/>
          <w:highlight w:val="none"/>
        </w:rPr>
        <w:sectPr>
          <w:headerReference w:type="default" r:id="rId12"/>
          <w:footerReference w:type="default" r:id="rId24"/>
          <w:footnotePr/>
          <w:endnotePr/>
          <w:type w:val="nextPage"/>
          <w:pgSz w:w="11906" w:h="16838" w:orient="portrait"/>
          <w:pgMar w:top="1440" w:right="1800" w:bottom="1440" w:left="1800" w:header="851" w:footer="992" w:gutter="0"/>
          <w:pgNumType w:start="19"/>
          <w:cols w:num="1" w:sep="0" w:space="425" w:equalWidth="1"/>
          <w:docGrid w:linePitch="360"/>
        </w:sectPr>
      </w:pPr>
      <w:r>
        <w:rPr>
          <w:rFonts w:hint="eastAsia" w:ascii="宋体" w:hAnsi="宋体" w:eastAsia="宋体" w:cs="宋体"/>
          <w:sz w:val="24"/>
          <w:szCs w:val="24"/>
          <w:highlight w:val="none"/>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第一章 </w:t>
      </w:r>
      <w:r>
        <w:rPr>
          <w:rFonts w:hint="eastAsia" w:ascii="宋体" w:hAnsi="宋体" w:eastAsia="宋体" w:cs="宋体"/>
          <w:sz w:val="24"/>
          <w:szCs w:val="24"/>
          <w:highlight w:val="none"/>
          <w:lang w:val="en-US" w:eastAsia="zh-CN" w:bidi="ar-SA"/>
        </w:rPr>
        <w:t xml:space="preserve">发包人的一般义务和责任</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743"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 </w:t>
      </w:r>
      <w:r>
        <w:rPr>
          <w:rFonts w:hint="eastAsia" w:ascii="宋体" w:hAnsi="宋体" w:eastAsia="宋体" w:cs="宋体"/>
          <w:spacing w:val="-3"/>
          <w:sz w:val="24"/>
          <w:szCs w:val="24"/>
          <w:highlight w:val="none"/>
          <w:lang w:val="en-US" w:eastAsia="zh-CN" w:bidi="ar-SA"/>
        </w:rPr>
        <w:t xml:space="preserve">提供施工用地</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0"/>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发包人负责办理工地范围内的用地协调工作。</w:t>
      </w:r>
      <w:r/>
    </w:p>
    <w:p>
      <w:pPr>
        <w:jc w:val="both"/>
        <w:spacing w:before="1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 其它一般义务和责任</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2"/>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发包人或委托监理人负责与承包人之间的协调。</w:t>
      </w:r>
      <w:r/>
    </w:p>
    <w:p>
      <w:pPr>
        <w:jc w:val="both"/>
        <w:spacing w:before="5"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第二章承包人的一般义务和责任</w:t>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r>
      <w:r/>
    </w:p>
    <w:p>
      <w:pPr>
        <w:ind w:left="0" w:right="0" w:firstLine="480"/>
        <w:jc w:val="both"/>
        <w:keepLines w:val="0"/>
        <w:keepNext w:val="0"/>
        <w:pageBreakBefore w:val="0"/>
        <w:spacing w:afterAutospacing="0" w:line="471"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其它一般义务和责任</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第三章履约担保</w:t>
      </w:r>
      <w:r/>
    </w:p>
    <w:p>
      <w:pPr>
        <w:jc w:val="both"/>
        <w:spacing w:before="6"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numPr>
          <w:ilvl w:val="1"/>
          <w:numId w:val="0"/>
        </w:numPr>
        <w:ind w:left="118" w:right="217" w:firstLine="0"/>
        <w:jc w:val="both"/>
        <w:spacing w:before="1" w:line="408" w:lineRule="auto"/>
        <w:widowControl w:val="off"/>
        <w:tabs>
          <w:tab w:val="left" w:pos="745" w:leader="none"/>
          <w:tab w:val="left" w:pos="746" w:leader="none"/>
        </w:tabs>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a)合同签订前，承包人须向发包人缴纳合同价款(扣除暂列金额)的5%作为履约担保，在完工验收合格后，发包人将履约担保无息退回。</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ind w:left="0" w:firstLine="0"/>
        <w:jc w:val="center"/>
        <w:keepLines/>
        <w:keepNext/>
        <w:pageBreakBefore w:val="0"/>
        <w:spacing w:before="0" w:beforeAutospacing="0" w:after="0" w:afterAutospacing="0" w:line="317" w:lineRule="auto"/>
        <w:widowControl w:val="off"/>
        <w:tabs>
          <w:tab w:val="left" w:pos="592" w:leader="none"/>
          <w:tab w:val="left" w:pos="593"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第四章监理人和总监理工程师</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numPr>
          <w:ilvl w:val="1"/>
          <w:numId w:val="0"/>
        </w:numPr>
        <w:ind w:left="745" w:hanging="525"/>
        <w:jc w:val="both"/>
        <w:widowControl w:val="off"/>
        <w:tabs>
          <w:tab w:val="left" w:pos="743" w:leader="none"/>
          <w:tab w:val="left" w:pos="744"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w:t>
      </w:r>
      <w:r>
        <w:rPr>
          <w:rFonts w:hint="eastAsia" w:ascii="宋体" w:hAnsi="宋体" w:eastAsia="宋体" w:cs="宋体"/>
          <w:spacing w:val="-3"/>
          <w:sz w:val="24"/>
          <w:szCs w:val="24"/>
          <w:highlight w:val="none"/>
          <w:lang w:val="en-US" w:eastAsia="zh-CN" w:bidi="ar-SA"/>
        </w:rPr>
        <w:t xml:space="preserve">监理人的职责和权力</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0"/>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监理人在行使下列权力前，必须得到发包人的批准。</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52"/>
        <w:jc w:val="both"/>
        <w:spacing w:before="6"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监理人的职责权利按监理合同的有关规定执行。</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right="140" w:firstLine="422"/>
        <w:jc w:val="both"/>
        <w:spacing w:after="120" w:afterAutospacing="0" w:line="40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监理人认为出现了危及生命、工程或毗邻财产等安全的紧急事件时， </w:t>
      </w:r>
      <w:r>
        <w:rPr>
          <w:rFonts w:hint="eastAsia" w:ascii="宋体" w:hAnsi="宋体" w:eastAsia="宋体" w:cs="宋体"/>
          <w:spacing w:val="-7"/>
          <w:sz w:val="24"/>
          <w:szCs w:val="24"/>
          <w:highlight w:val="none"/>
          <w:lang w:val="en-US" w:eastAsia="zh-CN" w:bidi="ar-SA"/>
        </w:rPr>
        <w:t xml:space="preserve">在不免除合同规定的承包人责任的情况下，监理人可以指示承包人实施为消除或减少这种危险所</w:t>
      </w:r>
      <w:r>
        <w:rPr>
          <w:rFonts w:hint="eastAsia" w:ascii="宋体" w:hAnsi="宋体" w:eastAsia="宋体" w:cs="宋体"/>
          <w:spacing w:val="-6"/>
          <w:sz w:val="24"/>
          <w:szCs w:val="24"/>
          <w:highlight w:val="none"/>
          <w:lang w:val="en-US" w:eastAsia="zh-CN" w:bidi="ar-SA"/>
        </w:rPr>
        <w:t xml:space="preserve">必须进行的工作，即使没有发包人的事先批准，承包人也应立即遵照执行。</w:t>
      </w:r>
      <w:r/>
    </w:p>
    <w:p>
      <w:pPr>
        <w:ind w:left="218"/>
        <w:jc w:val="both"/>
        <w:keepLines/>
        <w:keepNext/>
        <w:spacing w:before="172" w:beforeAutospacing="0" w:after="64" w:afterAutospacing="0" w:line="317" w:lineRule="auto"/>
        <w:widowControl w:val="off"/>
        <w:tabs>
          <w:tab w:val="left" w:pos="697" w:leader="none"/>
          <w:tab w:val="left" w:pos="698"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7 承包人的人员</w:t>
      </w:r>
      <w:r/>
    </w:p>
    <w:p>
      <w:pPr>
        <w:jc w:val="both"/>
        <w:spacing w:before="10"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w:t>
      </w:r>
      <w:r>
        <w:rPr>
          <w:rFonts w:hint="eastAsia" w:ascii="宋体" w:hAnsi="宋体" w:eastAsia="宋体" w:cs="宋体"/>
          <w:sz w:val="24"/>
          <w:szCs w:val="24"/>
          <w:highlight w:val="none"/>
          <w:lang w:val="en-US" w:eastAsia="zh-CN" w:bidi="ar-SA"/>
        </w:rPr>
        <w:tab/>
      </w:r>
      <w:r>
        <w:rPr>
          <w:rFonts w:hint="eastAsia" w:ascii="宋体" w:hAnsi="宋体" w:eastAsia="宋体" w:cs="宋体"/>
          <w:spacing w:val="-3"/>
          <w:sz w:val="24"/>
          <w:szCs w:val="24"/>
          <w:highlight w:val="none"/>
          <w:lang w:val="en-US" w:eastAsia="zh-CN" w:bidi="ar-SA"/>
        </w:rPr>
        <w:t xml:space="preserve">承包人项目经理</w:t>
      </w:r>
      <w:r/>
    </w:p>
    <w:p>
      <w:pPr>
        <w:ind w:left="218" w:right="142" w:firstLine="419"/>
        <w:jc w:val="both"/>
        <w:spacing w:before="166" w:after="120" w:afterAutospacing="0" w:line="37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11"/>
          <w:sz w:val="24"/>
          <w:szCs w:val="24"/>
          <w:highlight w:val="none"/>
          <w:lang w:val="en-US" w:eastAsia="zh-CN" w:bidi="ar-SA"/>
        </w:rPr>
        <w:t xml:space="preserve">项目经理、项目副经理、技术负责人短期离开工地， </w:t>
      </w:r>
      <w:r>
        <w:rPr>
          <w:rFonts w:hint="eastAsia" w:ascii="宋体" w:hAnsi="宋体" w:eastAsia="宋体" w:cs="宋体"/>
          <w:spacing w:val="-3"/>
          <w:sz w:val="24"/>
          <w:szCs w:val="24"/>
          <w:highlight w:val="none"/>
          <w:lang w:val="en-US" w:eastAsia="zh-CN" w:bidi="ar-SA"/>
        </w:rPr>
        <w:t xml:space="preserve">应事先征得书面批准。3</w:t>
      </w:r>
      <w:r>
        <w:rPr>
          <w:rFonts w:hint="eastAsia" w:ascii="宋体" w:hAnsi="宋体" w:eastAsia="宋体" w:cs="宋体"/>
          <w:spacing w:val="-2"/>
          <w:sz w:val="24"/>
          <w:szCs w:val="24"/>
          <w:highlight w:val="none"/>
          <w:lang w:val="en-US" w:eastAsia="zh-CN" w:bidi="ar-SA"/>
        </w:rPr>
        <w:t xml:space="preserve">天以内</w:t>
      </w:r>
      <w:r>
        <w:rPr>
          <w:rFonts w:hint="eastAsia" w:ascii="宋体" w:hAnsi="宋体" w:eastAsia="宋体" w:cs="宋体"/>
          <w:spacing w:val="-3"/>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含</w:t>
      </w:r>
      <w:r>
        <w:rPr>
          <w:rFonts w:hint="eastAsia" w:ascii="宋体" w:hAnsi="宋体" w:eastAsia="宋体" w:cs="宋体"/>
          <w:spacing w:val="-3"/>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天</w:t>
      </w:r>
      <w:r>
        <w:rPr>
          <w:rFonts w:hint="eastAsia" w:ascii="宋体" w:hAnsi="宋体" w:eastAsia="宋体" w:cs="宋体"/>
          <w:spacing w:val="-3"/>
          <w:sz w:val="24"/>
          <w:szCs w:val="24"/>
          <w:highlight w:val="none"/>
          <w:lang w:val="en-US" w:eastAsia="zh-CN" w:bidi="ar-SA"/>
        </w:rPr>
        <w:t xml:space="preserve">）报监理人批准，报发包人核备，应委派代表代行其职，</w:t>
      </w:r>
      <w:r>
        <w:rPr>
          <w:rFonts w:hint="eastAsia" w:ascii="宋体" w:hAnsi="宋体" w:eastAsia="宋体" w:cs="宋体"/>
          <w:sz w:val="24"/>
          <w:szCs w:val="24"/>
          <w:highlight w:val="none"/>
          <w:lang w:val="en-US" w:eastAsia="zh-CN" w:bidi="ar-SA"/>
        </w:rPr>
        <w:t xml:space="preserve">3天以上报监理人转报发包人批准。一般情况下，每人每月离开工地不得超过8天。”</w:t>
      </w:r>
      <w:r/>
    </w:p>
    <w:p>
      <w:pPr>
        <w:jc w:val="both"/>
        <w:spacing w:before="3"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697" w:leader="none"/>
          <w:tab w:val="left" w:pos="698"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8 承包人员的管理</w:t>
      </w:r>
      <w:r/>
    </w:p>
    <w:p>
      <w:pPr>
        <w:ind w:left="0" w:right="0" w:firstLine="240"/>
        <w:jc w:val="both"/>
        <w:pageBreakBefore w:val="0"/>
        <w:spacing w:before="0" w:after="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8.1 承包人使用劳务，须签订劳务合同，不得拖欠其工资。以免发生不必要的劳务纠纷。</w:t>
      </w:r>
      <w:r/>
    </w:p>
    <w:p>
      <w:pPr>
        <w:ind w:left="0" w:right="0"/>
        <w:jc w:val="both"/>
        <w:pageBreakBefore w:val="0"/>
        <w:spacing w:before="0" w:after="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0"/>
        <w:jc w:val="both"/>
        <w:keepLines/>
        <w:keepNext/>
        <w:pageBreakBefore w:val="0"/>
        <w:spacing w:before="0" w:beforeAutospacing="0" w:after="0"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9 材料和工程设备的提供</w:t>
      </w:r>
      <w:r/>
    </w:p>
    <w:p>
      <w:pPr>
        <w:ind w:left="0" w:right="0"/>
        <w:jc w:val="both"/>
        <w:pageBreakBefore w:val="0"/>
        <w:spacing w:before="0" w:after="0" w:line="470"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9.1发包人提供的工程设备</w:t>
      </w:r>
      <w:r/>
    </w:p>
    <w:p>
      <w:pPr>
        <w:ind w:left="0" w:right="0"/>
        <w:jc w:val="both"/>
        <w:pageBreakBefore w:val="0"/>
        <w:spacing w:before="0" w:after="0" w:line="470"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9.2发包人指定供应来源的材料和工程设备</w:t>
      </w:r>
      <w:r/>
    </w:p>
    <w:p>
      <w:pPr>
        <w:ind w:left="0" w:right="0"/>
        <w:jc w:val="both"/>
        <w:keepLines/>
        <w:keepNext/>
        <w:pageBreakBefore w:val="0"/>
        <w:spacing w:before="0" w:beforeAutospacing="0" w:after="0"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10 承包人材料和设备的管理</w:t>
      </w:r>
      <w:r/>
    </w:p>
    <w:p>
      <w:pPr>
        <w:ind w:left="0" w:right="0" w:hanging="435"/>
        <w:jc w:val="both"/>
        <w:pageBreakBefore w:val="0"/>
        <w:spacing w:before="0" w:after="0" w:afterAutospacing="0" w:line="470" w:lineRule="auto"/>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10.1</w:t>
      </w:r>
      <w:r>
        <w:rPr>
          <w:rFonts w:hint="eastAsia" w:ascii="宋体" w:hAnsi="宋体" w:eastAsia="宋体" w:cs="宋体"/>
          <w:spacing w:val="-3"/>
          <w:sz w:val="24"/>
          <w:szCs w:val="24"/>
          <w:highlight w:val="none"/>
          <w:lang w:val="en-US" w:eastAsia="zh-CN" w:bidi="ar-SA"/>
        </w:rPr>
        <w:t xml:space="preserve">承包人租用的施工设备 </w:t>
      </w:r>
      <w:r/>
    </w:p>
    <w:p>
      <w:pPr>
        <w:ind w:left="218"/>
        <w:jc w:val="both"/>
        <w:keepLines/>
        <w:keepNext/>
        <w:spacing w:before="13"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12 交通运输</w:t>
      </w:r>
      <w:r/>
    </w:p>
    <w:p>
      <w:pPr>
        <w:ind w:left="218"/>
        <w:jc w:val="both"/>
        <w:spacing w:before="202"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12.1 </w:t>
      </w:r>
      <w:r>
        <w:rPr>
          <w:rFonts w:hint="eastAsia" w:ascii="宋体" w:hAnsi="宋体" w:eastAsia="宋体" w:cs="宋体"/>
          <w:spacing w:val="-3"/>
          <w:sz w:val="24"/>
          <w:szCs w:val="24"/>
          <w:highlight w:val="none"/>
          <w:lang w:val="en-US" w:eastAsia="zh-CN" w:bidi="ar-SA"/>
        </w:rPr>
        <w:t xml:space="preserve">场外公共交通</w:t>
      </w:r>
      <w:r/>
    </w:p>
    <w:p>
      <w:pPr>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before="16" w:after="120" w:afterAutospacing="0"/>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pacing w:val="-1"/>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1</w:t>
      </w:r>
      <w:r>
        <w:rPr>
          <w:rFonts w:hint="eastAsia" w:ascii="宋体" w:hAnsi="宋体" w:eastAsia="宋体" w:cs="宋体"/>
          <w:b/>
          <w:bCs/>
          <w:spacing w:val="-17"/>
          <w:sz w:val="24"/>
          <w:szCs w:val="24"/>
          <w:highlight w:val="none"/>
          <w:lang w:val="en-US" w:eastAsia="zh-CN" w:bidi="ar-SA"/>
        </w:rPr>
        <w:t xml:space="preserve">）</w:t>
      </w:r>
      <w:r>
        <w:rPr>
          <w:rFonts w:hint="eastAsia" w:ascii="宋体" w:hAnsi="宋体" w:eastAsia="宋体" w:cs="宋体"/>
          <w:b/>
          <w:bCs/>
          <w:spacing w:val="-8"/>
          <w:sz w:val="24"/>
          <w:szCs w:val="24"/>
          <w:highlight w:val="none"/>
          <w:lang w:val="en-US" w:eastAsia="zh-CN" w:bidi="ar-SA"/>
        </w:rPr>
        <w:t xml:space="preserve">承包人应加强车辆管理，严禁使用无证、报废车辆上路，严禁超载运输，遵</w:t>
      </w:r>
      <w:r>
        <w:rPr>
          <w:rFonts w:hint="eastAsia" w:ascii="宋体" w:hAnsi="宋体" w:eastAsia="宋体" w:cs="宋体"/>
          <w:b/>
          <w:bCs/>
          <w:sz w:val="24"/>
          <w:szCs w:val="24"/>
          <w:highlight w:val="none"/>
          <w:lang w:val="en-US" w:eastAsia="zh-CN" w:bidi="ar-SA"/>
        </w:rPr>
        <w:t xml:space="preserve">守当地交通规则，承担与此相关的责任和费用。</w:t>
      </w:r>
      <w:r/>
    </w:p>
    <w:p>
      <w:pPr>
        <w:ind w:right="142"/>
        <w:jc w:val="both"/>
        <w:spacing w:before="166" w:after="120" w:afterAutospacing="0" w:line="372"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承包人所用车辆载重应符合所经道路要求，严禁超载；对道路根据实际情况实施限载，凡因承包人载重车辆导致的道路损坏，由承包人负责修复，发包人有权根据交通部门提供的修复预算从承包的合同款项中优先扣除，直至修复验收后发还。</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13 进度计划</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 </w:t>
      </w:r>
      <w:r>
        <w:rPr>
          <w:rFonts w:hint="eastAsia" w:ascii="宋体" w:hAnsi="宋体" w:eastAsia="宋体" w:cs="宋体"/>
          <w:spacing w:val="-3"/>
          <w:sz w:val="24"/>
          <w:szCs w:val="24"/>
          <w:highlight w:val="none"/>
          <w:lang w:val="en-US" w:eastAsia="zh-CN" w:bidi="ar-SA"/>
        </w:rPr>
        <w:t xml:space="preserve">提交资金流估算表</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10"/>
        </w:numPr>
        <w:ind w:left="724" w:hanging="506"/>
        <w:jc w:val="center"/>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工程开工和完工</w:t>
      </w:r>
      <w:r/>
    </w:p>
    <w:p>
      <w:pPr>
        <w:jc w:val="both"/>
        <w:spacing w:before="7"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w:t>
      </w:r>
      <w:r>
        <w:rPr>
          <w:rFonts w:hint="eastAsia" w:ascii="宋体" w:hAnsi="宋体" w:eastAsia="宋体" w:cs="宋体"/>
          <w:sz w:val="24"/>
          <w:szCs w:val="24"/>
          <w:highlight w:val="none"/>
          <w:lang w:val="en-US" w:eastAsia="zh-CN" w:bidi="ar-SA"/>
        </w:rPr>
        <w:tab/>
      </w:r>
      <w:r>
        <w:rPr>
          <w:rFonts w:hint="eastAsia" w:ascii="宋体" w:hAnsi="宋体" w:eastAsia="宋体" w:cs="宋体"/>
          <w:spacing w:val="-2"/>
          <w:sz w:val="24"/>
          <w:szCs w:val="24"/>
          <w:highlight w:val="none"/>
          <w:lang w:val="en-US" w:eastAsia="zh-CN" w:bidi="ar-SA"/>
        </w:rPr>
        <w:t xml:space="preserve">开工通知</w:t>
      </w:r>
      <w:r/>
    </w:p>
    <w:p>
      <w:pPr>
        <w:ind w:left="640"/>
        <w:jc w:val="both"/>
        <w:spacing w:before="85"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监理人应在合同签订 </w:t>
      </w:r>
      <w:r>
        <w:rPr>
          <w:rFonts w:hint="eastAsia" w:ascii="宋体" w:hAnsi="宋体" w:eastAsia="宋体" w:cs="宋体"/>
          <w:sz w:val="24"/>
          <w:szCs w:val="24"/>
          <w:highlight w:val="none"/>
          <w:u w:val="single"/>
          <w:lang w:val="en-US" w:eastAsia="zh-CN" w:bidi="ar-SA"/>
        </w:rPr>
        <w:t xml:space="preserve">7 </w:t>
      </w:r>
      <w:r>
        <w:rPr>
          <w:rFonts w:hint="eastAsia" w:ascii="宋体" w:hAnsi="宋体" w:eastAsia="宋体" w:cs="宋体"/>
          <w:sz w:val="24"/>
          <w:szCs w:val="24"/>
          <w:highlight w:val="none"/>
          <w:lang w:val="en-US" w:eastAsia="zh-CN" w:bidi="ar-SA"/>
        </w:rPr>
        <w:t xml:space="preserve">日内发出开工通知。</w:t>
      </w:r>
      <w:r/>
    </w:p>
    <w:p>
      <w:pPr>
        <w:jc w:val="both"/>
        <w:spacing w:before="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before="1" w:after="120" w:afterAutospacing="0"/>
        <w:widowControl w:val="off"/>
        <w:tabs>
          <w:tab w:val="left" w:pos="849"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13.2</w:t>
      </w:r>
      <w:r>
        <w:rPr>
          <w:rFonts w:hint="eastAsia" w:ascii="宋体" w:hAnsi="宋体" w:eastAsia="宋体" w:cs="宋体"/>
          <w:sz w:val="24"/>
          <w:szCs w:val="24"/>
          <w:highlight w:val="none"/>
          <w:lang w:val="en-US" w:eastAsia="zh-CN" w:bidi="ar-SA"/>
        </w:rPr>
        <w:tab/>
      </w:r>
      <w:r>
        <w:rPr>
          <w:rFonts w:hint="eastAsia" w:ascii="宋体" w:hAnsi="宋体" w:eastAsia="宋体" w:cs="宋体"/>
          <w:spacing w:val="-2"/>
          <w:sz w:val="24"/>
          <w:szCs w:val="24"/>
          <w:highlight w:val="none"/>
          <w:lang w:val="en-US" w:eastAsia="zh-CN" w:bidi="ar-SA"/>
        </w:rPr>
        <w:t xml:space="preserve">完工日期</w:t>
      </w:r>
      <w:r/>
    </w:p>
    <w:p>
      <w:pPr>
        <w:jc w:val="both"/>
        <w:spacing w:before="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42"/>
        <w:jc w:val="both"/>
        <w:spacing w:after="33"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本合同全部工程、单位工程和分部工程的要求完工日期如下表：</w:t>
      </w:r>
      <w:r/>
    </w:p>
    <w:tbl>
      <w:tblPr>
        <w:tblStyle w:val="1073"/>
        <w:tblW w:w="8402"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5201"/>
        <w:gridCol w:w="2505"/>
      </w:tblGrid>
      <w:tr>
        <w:trPr>
          <w:trHeight w:val="453"/>
        </w:trPr>
        <w:tc>
          <w:tcPr>
            <w:tcW w:w="696" w:type="dxa"/>
            <w:vAlign w:val="center"/>
            <w:textDirection w:val="lrTb"/>
            <w:noWrap w:val="false"/>
          </w:tcPr>
          <w:p>
            <w:pPr>
              <w:ind w:left="117" w:right="108"/>
              <w:jc w:val="center"/>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5201" w:type="dxa"/>
            <w:vAlign w:val="center"/>
            <w:textDirection w:val="lrTb"/>
            <w:noWrap w:val="false"/>
          </w:tcPr>
          <w:p>
            <w:pPr>
              <w:ind w:left="1416" w:right="1407"/>
              <w:jc w:val="center"/>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项目及其说明</w:t>
            </w:r>
            <w:r/>
          </w:p>
        </w:tc>
        <w:tc>
          <w:tcPr>
            <w:tcW w:w="2505" w:type="dxa"/>
            <w:vAlign w:val="center"/>
            <w:textDirection w:val="lrTb"/>
            <w:noWrap w:val="false"/>
          </w:tcPr>
          <w:p>
            <w:pPr>
              <w:ind w:firstLine="720"/>
              <w:jc w:val="both"/>
              <w:spacing w:before="10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要求完工日期</w:t>
            </w:r>
            <w:r/>
          </w:p>
        </w:tc>
      </w:tr>
      <w:tr>
        <w:trPr>
          <w:trHeight w:val="470"/>
        </w:trPr>
        <w:tc>
          <w:tcPr>
            <w:tcW w:w="696"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bookmarkStart w:id="671" w:name="OLE_LINK57"/>
            <w:r>
              <w:rPr>
                <w:rFonts w:hint="eastAsia" w:ascii="宋体" w:hAnsi="宋体" w:eastAsia="宋体" w:cs="宋体"/>
                <w:sz w:val="24"/>
                <w:szCs w:val="24"/>
                <w:highlight w:val="none"/>
                <w:lang w:val="en-US" w:eastAsia="zh-CN" w:bidi="ar-SA"/>
              </w:rPr>
              <w:t xml:space="preserve">1</w:t>
            </w:r>
            <w:r/>
          </w:p>
        </w:tc>
        <w:tc>
          <w:tcPr>
            <w:tcW w:w="520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2025年度溧阳市溧城街道补充耕地项目</w:t>
            </w:r>
            <w:r/>
          </w:p>
        </w:tc>
        <w:tc>
          <w:tcPr>
            <w:tcW w:w="250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90</w:t>
            </w:r>
            <w:r>
              <w:rPr>
                <w:rFonts w:hint="eastAsia" w:ascii="宋体" w:hAnsi="宋体" w:eastAsia="宋体" w:cs="宋体"/>
                <w:sz w:val="24"/>
                <w:szCs w:val="24"/>
                <w:highlight w:val="none"/>
                <w:lang w:val="en-US" w:eastAsia="zh-CN" w:bidi="ar-SA"/>
              </w:rPr>
              <w:t xml:space="preserve">日历天</w:t>
            </w:r>
            <w:r/>
          </w:p>
        </w:tc>
      </w:tr>
    </w:tbl>
    <w:p>
      <w:pPr>
        <w:ind w:left="218"/>
        <w:jc w:val="both"/>
        <w:keepLines/>
        <w:keepNext/>
        <w:spacing w:before="15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14 工期延误</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w:t>
      </w:r>
      <w:r>
        <w:rPr>
          <w:rFonts w:hint="eastAsia" w:ascii="宋体" w:hAnsi="宋体" w:eastAsia="宋体" w:cs="宋体"/>
          <w:color w:val="000000"/>
          <w:spacing w:val="-3"/>
          <w:sz w:val="24"/>
          <w:szCs w:val="24"/>
          <w:highlight w:val="none"/>
          <w:lang w:val="en-US" w:eastAsia="zh-CN" w:bidi="ar-SA"/>
        </w:rPr>
        <w:t xml:space="preserve">承包人的工期延误</w:t>
      </w:r>
      <w:r/>
    </w:p>
    <w:p>
      <w:pPr>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638"/>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本合同承包人工期延误罚金如下表：</w:t>
      </w:r>
      <w:r/>
    </w:p>
    <w:p>
      <w:pPr>
        <w:jc w:val="center"/>
        <w:spacing w:before="166" w:after="3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逾期完工违约金表</w:t>
      </w:r>
      <w:r/>
    </w:p>
    <w:tbl>
      <w:tblPr>
        <w:tblStyle w:val="1073"/>
        <w:tblW w:w="8386"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2"/>
        <w:gridCol w:w="3541"/>
        <w:gridCol w:w="2515"/>
        <w:gridCol w:w="1608"/>
      </w:tblGrid>
      <w:tr>
        <w:trPr>
          <w:trHeight w:val="511"/>
        </w:trPr>
        <w:tc>
          <w:tcPr>
            <w:tcW w:w="722"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354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项目及其说明</w:t>
            </w:r>
            <w:r/>
          </w:p>
        </w:tc>
        <w:tc>
          <w:tcPr>
            <w:tcW w:w="2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要求完工日期</w:t>
            </w:r>
            <w:r/>
          </w:p>
        </w:tc>
        <w:tc>
          <w:tcPr>
            <w:tcW w:w="1608"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逾期完工违约金(元/天)</w:t>
            </w:r>
            <w:r/>
          </w:p>
        </w:tc>
      </w:tr>
      <w:tr>
        <w:trPr>
          <w:trHeight w:val="646"/>
        </w:trPr>
        <w:tc>
          <w:tcPr>
            <w:tcW w:w="722"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3541"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2025年度溧阳市溧城街道补充耕地项目</w:t>
            </w:r>
            <w:r/>
          </w:p>
        </w:tc>
        <w:tc>
          <w:tcPr>
            <w:tcW w:w="2515"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90</w:t>
            </w:r>
            <w:r>
              <w:rPr>
                <w:rFonts w:hint="eastAsia" w:ascii="宋体" w:hAnsi="宋体" w:eastAsia="宋体" w:cs="宋体"/>
                <w:sz w:val="24"/>
                <w:szCs w:val="24"/>
                <w:highlight w:val="none"/>
                <w:lang w:val="en-US" w:eastAsia="zh-CN" w:bidi="ar-SA"/>
              </w:rPr>
              <w:t xml:space="preserve">日历天</w:t>
            </w:r>
            <w:r/>
          </w:p>
        </w:tc>
        <w:tc>
          <w:tcPr>
            <w:tcW w:w="1608" w:type="dxa"/>
            <w:vAlign w:val="center"/>
            <w:textDirection w:val="lrTb"/>
            <w:noWrap w:val="false"/>
          </w:tcPr>
          <w:p>
            <w:pPr>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合同价的万分之二/天</w:t>
            </w:r>
            <w:bookmarkEnd w:id="671"/>
            <w:r/>
            <w:r/>
          </w:p>
        </w:tc>
      </w:tr>
    </w:tbl>
    <w:p>
      <w:pPr>
        <w:ind w:left="0" w:firstLine="228"/>
        <w:jc w:val="both"/>
        <w:keepLines/>
        <w:keepNext/>
        <w:spacing w:before="173"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15 工期提前</w:t>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工期提前，无奖励。</w:t>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r>
      <w:r/>
    </w:p>
    <w:p>
      <w:pPr>
        <w:ind w:left="218"/>
        <w:jc w:val="both"/>
        <w:keepLines/>
        <w:keepNext/>
        <w:spacing w:before="7"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16 质量检查的职责和权力</w:t>
      </w:r>
      <w:r/>
    </w:p>
    <w:p>
      <w:pPr>
        <w:ind w:left="218"/>
        <w:jc w:val="both"/>
        <w:spacing w:before="202"/>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16.1 承包人的质量管理</w:t>
      </w:r>
      <w:r/>
    </w:p>
    <w:p>
      <w:pPr>
        <w:jc w:val="both"/>
        <w:spacing w:before="11"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16.2 质量目标</w:t>
      </w:r>
      <w:r/>
    </w:p>
    <w:p>
      <w:pPr>
        <w:jc w:val="both"/>
        <w:spacing w:before="9"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638"/>
        <w:jc w:val="both"/>
        <w:spacing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本工程的质量目标为合格等级。</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17 材料和工程设备的检查和检验</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218"/>
        <w:jc w:val="both"/>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17.1材料和工程设备的检验和交货验收</w:t>
      </w:r>
      <w:r/>
    </w:p>
    <w:p>
      <w:pPr>
        <w:ind w:left="218"/>
        <w:jc w:val="both"/>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bookmarkStart w:id="672" w:name="_Toc171584081"/>
      <w:r/>
      <w:bookmarkStart w:id="673" w:name="_Toc185126323"/>
      <w:r/>
      <w:bookmarkStart w:id="674" w:name="_Toc176779487"/>
      <w:r/>
      <w:bookmarkStart w:id="675" w:name="_Toc55124793"/>
      <w:r>
        <w:rPr>
          <w:rFonts w:hint="eastAsia" w:ascii="宋体" w:hAnsi="宋体" w:eastAsia="宋体" w:cs="宋体"/>
          <w:sz w:val="24"/>
          <w:szCs w:val="24"/>
          <w:highlight w:val="none"/>
          <w:lang w:val="en-US" w:eastAsia="zh-CN" w:bidi="ar-SA"/>
        </w:rPr>
        <w:t xml:space="preserve">18 文明施工</w:t>
      </w:r>
      <w:bookmarkEnd w:id="672"/>
      <w:r/>
      <w:bookmarkEnd w:id="673"/>
      <w:r/>
      <w:bookmarkEnd w:id="674"/>
      <w:r/>
      <w:bookmarkEnd w:id="675"/>
      <w:r/>
      <w:r/>
    </w:p>
    <w:p>
      <w:pPr>
        <w:ind w:firstLine="240"/>
        <w:jc w:val="both"/>
        <w:spacing w:before="11" w:after="12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18.1 施工安全</w:t>
      </w:r>
      <w:r/>
    </w:p>
    <w:p>
      <w:pPr>
        <w:ind w:firstLine="240"/>
        <w:jc w:val="both"/>
        <w:spacing w:before="11" w:after="12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承包人在工地配备消防人员和设施，负责全工地的消防工作。</w:t>
      </w:r>
      <w:r/>
    </w:p>
    <w:p>
      <w:pPr>
        <w:jc w:val="both"/>
        <w:spacing w:before="12" w:after="120" w:afterAutospacing="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8"/>
        <w:jc w:val="both"/>
        <w:keepLines/>
        <w:keepNext/>
        <w:spacing w:before="1" w:beforeAutospacing="0" w:after="64" w:afterAutospacing="0" w:line="317" w:lineRule="auto"/>
        <w:widowControl w:val="off"/>
        <w:tabs>
          <w:tab w:val="left" w:pos="724" w:leader="none"/>
          <w:tab w:val="left" w:pos="725" w:leader="none"/>
        </w:tabs>
        <w:rPr>
          <w:rFonts w:hint="eastAsia" w:ascii="宋体" w:hAnsi="宋体" w:eastAsia="宋体" w:cs="宋体"/>
          <w:sz w:val="24"/>
          <w:szCs w:val="24"/>
          <w:highlight w:val="none"/>
          <w:lang w:val="en-US" w:eastAsia="zh-CN" w:bidi="ar-SA"/>
        </w:rPr>
        <w:outlineLvl w:val="7"/>
      </w:pPr>
      <w:r>
        <w:rPr>
          <w:rFonts w:hint="eastAsia" w:ascii="宋体" w:hAnsi="宋体" w:eastAsia="宋体" w:cs="宋体"/>
          <w:sz w:val="24"/>
          <w:szCs w:val="24"/>
          <w:highlight w:val="none"/>
          <w:lang w:val="en-US" w:eastAsia="zh-CN" w:bidi="ar-SA"/>
        </w:rPr>
        <w:t xml:space="preserve">19 预付款</w:t>
      </w:r>
      <w:r/>
    </w:p>
    <w:p>
      <w:pPr>
        <w:jc w:val="both"/>
        <w:spacing w:before="8" w:after="120" w:afterAutospacing="0"/>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left="0" w:right="0"/>
        <w:jc w:val="both"/>
        <w:keepLines w:val="0"/>
        <w:keepNext w:val="0"/>
        <w:pageBreakBefore w:val="0"/>
        <w:spacing w:line="408" w:lineRule="auto"/>
        <w:widowControl w:val="off"/>
        <w:tabs>
          <w:tab w:val="left" w:pos="849" w:leader="none"/>
          <w:tab w:val="left" w:pos="850"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19.1工程预付款</w:t>
      </w:r>
      <w:r/>
    </w:p>
    <w:p>
      <w:pPr>
        <w:ind w:left="220" w:right="6652"/>
        <w:jc w:val="both"/>
        <w:spacing w:before="166" w:line="408" w:lineRule="auto"/>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19.2工程的材料预付款</w:t>
      </w:r>
      <w:r/>
    </w:p>
    <w:p>
      <w:pPr>
        <w:ind w:left="218"/>
        <w:jc w:val="both"/>
        <w:keepLines/>
        <w:keepNext/>
        <w:spacing w:before="140" w:beforeAutospacing="0" w:after="64" w:afterAutospacing="0" w:line="360"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bookmarkStart w:id="676" w:name="OLE_LINK58"/>
      <w:r>
        <w:rPr>
          <w:rFonts w:hint="eastAsia" w:ascii="宋体" w:hAnsi="宋体" w:eastAsia="宋体" w:cs="宋体"/>
          <w:color w:val="000000"/>
          <w:sz w:val="24"/>
          <w:szCs w:val="24"/>
          <w:highlight w:val="none"/>
          <w:lang w:val="en-US" w:eastAsia="zh-CN" w:bidi="ar-SA"/>
        </w:rPr>
        <w:t xml:space="preserve">20 工程进度付款</w:t>
      </w:r>
      <w:bookmarkEnd w:id="676"/>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1）合同签订一个月内支付合同价款的10%作为预付款；</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2）月进度款支付：由承包人申报，监理单位审核，跟踪审计单位核定，建设单位确认，支付金额为确认完成工程量金额的80%(（开工预付款在进度付款证书的累计金额达到合同价的10%之后开始扣回，按工程进度以固定比例（即后续每完成合同价的1%，扣回开工预付款的2%）分期从各月的进度付款证书中扣回)；</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3）竣工验收合格后，工程结算经审计后付至审定价的97％；</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4）审定价的3%为建设工程质量保证金，在2年质保期满后一次性付清（无息）；</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t xml:space="preserve">有涉及设计变更、工程量增加、现场签证在工程结算审核时一并调整支付。</w:t>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b/>
          <w:bCs/>
          <w:spacing w:val="-8"/>
          <w:sz w:val="24"/>
          <w:szCs w:val="24"/>
          <w:highlight w:val="none"/>
          <w:lang w:val="en-US" w:eastAsia="zh-CN" w:bidi="ar-SA"/>
        </w:rPr>
        <w:outlineLvl w:val="7"/>
      </w:pPr>
      <w:r>
        <w:rPr>
          <w:rFonts w:hint="eastAsia" w:ascii="宋体" w:hAnsi="宋体" w:eastAsia="宋体" w:cs="宋体"/>
          <w:b/>
          <w:bCs/>
          <w:spacing w:val="-8"/>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21 保留金</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before="1"/>
        <w:widowControl w:val="off"/>
        <w:tabs>
          <w:tab w:val="left" w:pos="724" w:leader="none"/>
          <w:tab w:val="left" w:pos="725"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22 物价波动引起的价格调整</w:t>
      </w:r>
      <w:r/>
    </w:p>
    <w:p>
      <w:pPr>
        <w:ind w:left="638"/>
        <w:jc w:val="both"/>
        <w:spacing w:before="23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不调整，本工程不考虑物价波动等影响。</w:t>
      </w:r>
      <w:r/>
    </w:p>
    <w:p>
      <w:pPr>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spacing w:before="1"/>
        <w:widowControl w:val="off"/>
        <w:tabs>
          <w:tab w:val="left" w:pos="724" w:leader="none"/>
          <w:tab w:val="left" w:pos="725"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23 工程结算：</w:t>
      </w:r>
      <w:r/>
    </w:p>
    <w:p>
      <w:pPr>
        <w:ind w:right="212" w:firstLine="450"/>
        <w:jc w:val="both"/>
        <w:spacing w:after="120" w:afterAutospacing="0" w:line="386" w:lineRule="auto"/>
        <w:widowControl w:val="off"/>
        <w:rPr>
          <w:rFonts w:hint="eastAsia" w:ascii="宋体" w:hAnsi="宋体" w:eastAsia="宋体" w:cs="宋体"/>
          <w:b/>
          <w:bCs/>
          <w:spacing w:val="-8"/>
          <w:sz w:val="24"/>
          <w:szCs w:val="24"/>
          <w:highlight w:val="none"/>
          <w:lang w:val="en-US" w:eastAsia="zh-CN" w:bidi="ar-SA"/>
        </w:rPr>
      </w:pPr>
      <w:r>
        <w:rPr>
          <w:rFonts w:hint="eastAsia" w:ascii="宋体" w:hAnsi="宋体" w:eastAsia="宋体" w:cs="宋体"/>
          <w:b/>
          <w:bCs/>
          <w:spacing w:val="-8"/>
          <w:sz w:val="24"/>
          <w:szCs w:val="24"/>
          <w:highlight w:val="none"/>
          <w:lang w:val="en-US" w:eastAsia="zh-CN" w:bidi="ar-SA"/>
        </w:rPr>
        <w:t xml:space="preserve">本工程清单范围内工程合同价款采用固定单价合同方式确定，工程量按实（实际发生且经发包人认可）结算；最终结算价不得超过合同价。</w:t>
      </w:r>
      <w:r/>
    </w:p>
    <w:p>
      <w:pPr>
        <w:ind w:right="212" w:firstLine="450"/>
        <w:jc w:val="both"/>
        <w:spacing w:after="120" w:afterAutospacing="0" w:line="386" w:lineRule="auto"/>
        <w:widowControl w:val="off"/>
        <w:rPr>
          <w:rFonts w:hint="eastAsia" w:ascii="宋体" w:hAnsi="宋体" w:eastAsia="宋体" w:cs="宋体"/>
          <w:b/>
          <w:bCs/>
          <w:spacing w:val="-8"/>
          <w:sz w:val="24"/>
          <w:szCs w:val="24"/>
          <w:highlight w:val="none"/>
          <w:lang w:val="en-US" w:eastAsia="zh-CN" w:bidi="ar-SA"/>
        </w:rPr>
      </w:pPr>
      <w:r>
        <w:rPr>
          <w:rFonts w:hint="eastAsia" w:ascii="宋体" w:hAnsi="宋体" w:eastAsia="宋体" w:cs="宋体"/>
          <w:b/>
          <w:bCs/>
          <w:spacing w:val="-8"/>
          <w:sz w:val="24"/>
          <w:szCs w:val="24"/>
          <w:highlight w:val="none"/>
          <w:lang w:val="en-US" w:eastAsia="zh-CN" w:bidi="ar-SA"/>
        </w:rPr>
        <w:t xml:space="preserve">固定单价合同在工程决算时不作任何调整，包括所有政策性调整。其中，所有发生的措施费用以及施工过程中有关部门对施工现场的所有检测费用，投标单位自行承担，结算中不作任何调整。</w:t>
      </w:r>
      <w:r/>
    </w:p>
    <w:p>
      <w:pPr>
        <w:ind w:right="212" w:firstLine="468"/>
        <w:jc w:val="both"/>
        <w:spacing w:after="120" w:afterAutospacing="0" w:line="386" w:lineRule="auto"/>
        <w:widowControl w:val="off"/>
        <w:rPr>
          <w:rFonts w:hint="eastAsia" w:ascii="宋体" w:hAnsi="宋体" w:eastAsia="宋体" w:cs="宋体"/>
          <w:color w:val="000000"/>
          <w:spacing w:val="-5"/>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工程量清单是工程量清单计价的基础。是用于投标报价的估算工程量，不作为最终结算</w:t>
      </w:r>
      <w:r>
        <w:rPr>
          <w:rFonts w:hint="eastAsia" w:ascii="宋体" w:hAnsi="宋体" w:eastAsia="宋体" w:cs="宋体"/>
          <w:color w:val="000000"/>
          <w:spacing w:val="-8"/>
          <w:sz w:val="24"/>
          <w:szCs w:val="24"/>
          <w:highlight w:val="none"/>
          <w:lang w:val="en-US" w:eastAsia="zh-CN" w:bidi="ar-SA"/>
        </w:rPr>
        <w:t xml:space="preserve">工程量。最终结算工程量是承包人实际完成并符合技术标准和要求、计算规则等规定，根据施工</w:t>
      </w:r>
      <w:r>
        <w:rPr>
          <w:rFonts w:hint="eastAsia" w:ascii="宋体" w:hAnsi="宋体" w:eastAsia="宋体" w:cs="宋体"/>
          <w:color w:val="000000"/>
          <w:spacing w:val="-5"/>
          <w:sz w:val="24"/>
          <w:szCs w:val="24"/>
          <w:highlight w:val="none"/>
          <w:lang w:val="en-US" w:eastAsia="zh-CN" w:bidi="ar-SA"/>
        </w:rPr>
        <w:t xml:space="preserve">图纸计算、由监理人审核、发包人审定的有效工程量，最终结算以审计核算的工程量为准。</w:t>
      </w:r>
      <w:r/>
    </w:p>
    <w:p>
      <w:pPr>
        <w:ind w:left="218"/>
        <w:jc w:val="both"/>
        <w:keepLines/>
        <w:keepNext/>
        <w:spacing w:before="7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24 变更</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24.1 变更的范围和内容</w:t>
      </w:r>
      <w:r/>
    </w:p>
    <w:p>
      <w:pPr>
        <w:jc w:val="both"/>
        <w:spacing w:before="1"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right="212" w:firstLine="419"/>
        <w:jc w:val="both"/>
        <w:spacing w:after="120" w:afterAutospacing="0" w:line="36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pacing w:val="-3"/>
          <w:sz w:val="24"/>
          <w:szCs w:val="24"/>
          <w:highlight w:val="none"/>
          <w:lang w:val="en-US" w:eastAsia="zh-CN" w:bidi="ar-SA"/>
        </w:rPr>
        <w:t xml:space="preserve">1</w:t>
      </w:r>
      <w:r>
        <w:rPr>
          <w:rFonts w:hint="eastAsia" w:ascii="宋体" w:hAnsi="宋体" w:eastAsia="宋体" w:cs="宋体"/>
          <w:color w:val="000000"/>
          <w:spacing w:val="-8"/>
          <w:sz w:val="24"/>
          <w:szCs w:val="24"/>
          <w:highlight w:val="none"/>
          <w:lang w:val="en-US" w:eastAsia="zh-CN" w:bidi="ar-SA"/>
        </w:rPr>
        <w:t xml:space="preserve">、为保证项目规划设计的严肃性、招投标工作的约束性，</w:t>
      </w:r>
      <w:r>
        <w:rPr>
          <w:rFonts w:hint="eastAsia" w:ascii="宋体" w:hAnsi="宋体" w:cs="宋体"/>
          <w:color w:val="000000"/>
          <w:spacing w:val="-8"/>
          <w:sz w:val="24"/>
          <w:szCs w:val="24"/>
          <w:highlight w:val="none"/>
          <w:lang w:val="en-US" w:eastAsia="zh-CN" w:bidi="ar-SA"/>
        </w:rPr>
        <w:t xml:space="preserve">成交供应商</w:t>
      </w:r>
      <w:r>
        <w:rPr>
          <w:rFonts w:hint="eastAsia" w:ascii="宋体" w:hAnsi="宋体" w:eastAsia="宋体" w:cs="宋体"/>
          <w:color w:val="000000"/>
          <w:spacing w:val="-2"/>
          <w:sz w:val="24"/>
          <w:szCs w:val="24"/>
          <w:highlight w:val="none"/>
          <w:lang w:val="en-US" w:eastAsia="zh-CN" w:bidi="ar-SA"/>
        </w:rPr>
        <w:t xml:space="preserve">必须</w:t>
      </w:r>
      <w:r>
        <w:rPr>
          <w:rFonts w:hint="eastAsia" w:ascii="宋体" w:hAnsi="宋体" w:eastAsia="宋体" w:cs="宋体"/>
          <w:color w:val="000000"/>
          <w:spacing w:val="-5"/>
          <w:sz w:val="24"/>
          <w:szCs w:val="24"/>
          <w:highlight w:val="none"/>
          <w:lang w:val="en-US" w:eastAsia="zh-CN" w:bidi="ar-SA"/>
        </w:rPr>
        <w:t xml:space="preserve">严格按照设计图纸施工，不得任意更改项目建设的地点、内容、规格型号、结构形式。</w:t>
      </w:r>
      <w:r/>
    </w:p>
    <w:p>
      <w:pPr>
        <w:ind w:left="218" w:right="212" w:firstLine="419"/>
        <w:jc w:val="both"/>
        <w:spacing w:before="29" w:after="120" w:afterAutospacing="0" w:line="37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5"/>
          <w:sz w:val="24"/>
          <w:szCs w:val="24"/>
          <w:highlight w:val="none"/>
          <w:lang w:val="en-US" w:eastAsia="zh-CN" w:bidi="ar-SA"/>
        </w:rPr>
        <w:t xml:space="preserve">（1）项目建设因地形的限制，确需调整的，</w:t>
      </w:r>
      <w:r>
        <w:rPr>
          <w:rFonts w:hint="eastAsia" w:ascii="宋体" w:hAnsi="宋体" w:cs="宋体"/>
          <w:color w:val="000000"/>
          <w:spacing w:val="-6"/>
          <w:sz w:val="24"/>
          <w:szCs w:val="24"/>
          <w:highlight w:val="none"/>
          <w:lang w:val="en-US" w:eastAsia="zh-CN" w:bidi="ar-SA"/>
        </w:rPr>
        <w:t xml:space="preserve">成交供应商</w:t>
      </w:r>
      <w:r>
        <w:rPr>
          <w:rFonts w:hint="eastAsia" w:ascii="宋体" w:hAnsi="宋体" w:eastAsia="宋体" w:cs="宋体"/>
          <w:color w:val="000000"/>
          <w:spacing w:val="-3"/>
          <w:sz w:val="24"/>
          <w:szCs w:val="24"/>
          <w:highlight w:val="none"/>
          <w:lang w:val="en-US" w:eastAsia="zh-CN" w:bidi="ar-SA"/>
        </w:rPr>
        <w:t xml:space="preserve">向监理单</w:t>
      </w:r>
      <w:r>
        <w:rPr>
          <w:rFonts w:hint="eastAsia" w:ascii="宋体" w:hAnsi="宋体" w:eastAsia="宋体" w:cs="宋体"/>
          <w:color w:val="000000"/>
          <w:spacing w:val="-10"/>
          <w:sz w:val="24"/>
          <w:szCs w:val="24"/>
          <w:highlight w:val="none"/>
          <w:lang w:val="en-US" w:eastAsia="zh-CN" w:bidi="ar-SA"/>
        </w:rPr>
        <w:t xml:space="preserve">位、项目承担单位、项目规划设计单位汇报，由项目承担单位向市主管部门提出申请，经主管部</w:t>
      </w:r>
      <w:r>
        <w:rPr>
          <w:rFonts w:hint="eastAsia" w:ascii="宋体" w:hAnsi="宋体" w:eastAsia="宋体" w:cs="宋体"/>
          <w:color w:val="000000"/>
          <w:spacing w:val="-5"/>
          <w:sz w:val="24"/>
          <w:szCs w:val="24"/>
          <w:highlight w:val="none"/>
          <w:lang w:val="en-US" w:eastAsia="zh-CN" w:bidi="ar-SA"/>
        </w:rPr>
        <w:t xml:space="preserve">门现场考察同意后，制定详细的调整方案，上报审批。超过调整审批时限，主管部门不受理。</w:t>
      </w:r>
      <w:r/>
    </w:p>
    <w:p>
      <w:pPr>
        <w:ind w:left="638"/>
        <w:jc w:val="both"/>
        <w:spacing w:before="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（2）项目调整必须先申请，主管部门批复后再施工。</w:t>
      </w:r>
      <w:r/>
    </w:p>
    <w:p>
      <w:pPr>
        <w:ind w:left="218" w:right="215" w:firstLine="419"/>
        <w:jc w:val="both"/>
        <w:spacing w:before="55" w:after="120" w:afterAutospacing="0" w:line="36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、监理单位现场督查、主管部门现场巡查，发现以下问题的，进行处罚，通报项目承担单位。监理单位发现的问题，须报主管部门备案。</w:t>
      </w:r>
      <w:r/>
    </w:p>
    <w:p>
      <w:pPr>
        <w:ind w:left="638"/>
        <w:jc w:val="both"/>
        <w:spacing w:before="59"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（1）擅自调整、更改实施计划未报批的；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（2）未得到允许调整，先施工的；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（3）偷工减料，不按设计施工的，经发现不改正的；</w:t>
      </w:r>
      <w:r/>
    </w:p>
    <w:p>
      <w:pPr>
        <w:ind w:left="638"/>
        <w:jc w:val="both"/>
        <w:spacing w:before="150"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（4）不按时间节点施工，无故拖延工期的；</w:t>
      </w:r>
      <w:r/>
    </w:p>
    <w:p>
      <w:pPr>
        <w:ind w:left="638"/>
        <w:jc w:val="both"/>
        <w:spacing w:before="148"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（5）其他不符合农业综合开发要求的行为；</w:t>
      </w:r>
      <w:r/>
    </w:p>
    <w:p>
      <w:pPr>
        <w:ind w:left="218" w:right="212" w:firstLine="419"/>
        <w:jc w:val="both"/>
        <w:spacing w:before="164" w:after="120" w:afterAutospacing="0" w:line="38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处罚从履约担保中扣除，扣完为止。扣除的履约金在项目验收结束后，增做项目招投标中</w:t>
      </w:r>
      <w:r>
        <w:rPr>
          <w:rFonts w:hint="eastAsia" w:ascii="宋体" w:hAnsi="宋体" w:eastAsia="宋体" w:cs="宋体"/>
          <w:color w:val="000000"/>
          <w:spacing w:val="-5"/>
          <w:sz w:val="24"/>
          <w:szCs w:val="24"/>
          <w:highlight w:val="none"/>
          <w:lang w:val="en-US" w:eastAsia="zh-CN" w:bidi="ar-SA"/>
        </w:rPr>
        <w:t xml:space="preserve">同类型工程等额资金的工程量。</w:t>
      </w:r>
      <w:r/>
    </w:p>
    <w:p>
      <w:pPr>
        <w:ind w:left="218"/>
        <w:jc w:val="both"/>
        <w:keepLines/>
        <w:keepNext/>
        <w:spacing w:before="109"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25 工程风险</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widowControl w:val="off"/>
        <w:tabs>
          <w:tab w:val="left" w:pos="849" w:leader="none"/>
          <w:tab w:val="left" w:pos="85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25.1发包人的风险</w:t>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1"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26 工程保险和风险损失的补偿</w:t>
      </w:r>
      <w:r/>
    </w:p>
    <w:p>
      <w:pPr>
        <w:ind w:firstLine="235"/>
        <w:jc w:val="both"/>
        <w:spacing w:after="120" w:afterAutospacing="0" w:line="360" w:lineRule="auto"/>
        <w:widowControl w:val="off"/>
        <w:rPr>
          <w:rFonts w:hint="eastAsia" w:ascii="宋体" w:hAnsi="宋体" w:eastAsia="宋体" w:cs="宋体"/>
          <w:b/>
          <w:bCs/>
          <w:color w:val="000000"/>
          <w:spacing w:val="-3"/>
          <w:sz w:val="24"/>
          <w:szCs w:val="24"/>
          <w:highlight w:val="none"/>
          <w:lang w:val="en-US" w:eastAsia="zh-CN" w:bidi="ar-SA"/>
        </w:rPr>
      </w:pPr>
      <w:r>
        <w:rPr>
          <w:rFonts w:hint="eastAsia" w:ascii="宋体" w:hAnsi="宋体" w:eastAsia="宋体" w:cs="宋体"/>
          <w:b/>
          <w:bCs/>
          <w:color w:val="000000"/>
          <w:spacing w:val="-3"/>
          <w:sz w:val="24"/>
          <w:szCs w:val="24"/>
          <w:highlight w:val="none"/>
          <w:lang w:val="en-US" w:eastAsia="zh-CN" w:bidi="ar-SA"/>
        </w:rPr>
        <w:t xml:space="preserve">26.1应按国家有关规定，承包人必须为参加施工的有关人员投保和机械设备财产投保，费用自理。</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26.2对施工设备的保险，除根据国家规定外，应采取自愿保险的方针，由承包人自主确定投保与否，如投保，其保险费用应计入施工设备的运行费内，发包人不另行支付。</w:t>
      </w:r>
      <w:r/>
    </w:p>
    <w:p>
      <w:pPr>
        <w:jc w:val="both"/>
        <w:spacing w:before="6"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27 人身和财产的损失</w:t>
      </w:r>
      <w:r/>
    </w:p>
    <w:p>
      <w:pPr>
        <w:ind w:left="0" w:firstLine="240"/>
        <w:jc w:val="both"/>
        <w:keepLines/>
        <w:keepNext/>
        <w:spacing w:before="240"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 第三者责任险(包括发包人的财产)由承包人以承包人与发包人联名投保，投保条件与保险费率由承包人根据江苏省保险行业协会有关水利工程保险的相关规定自行考虑，包含在合同综合单价中，不单独列支。</w:t>
      </w:r>
      <w:r/>
    </w:p>
    <w:p>
      <w:pPr>
        <w:ind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工程一切险由承包人以承包人与发包人联名投保，工程一切险的费用为全部保费，由承包人按相关规定投保，发包人予以配合。投保条件与保险费率由承包人根据江苏省保险行业协会有关水利工程保险的相关规定自行考虑，包含在合同综合单价中，不单独列支。</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28 完工验收</w:t>
      </w:r>
      <w:r/>
    </w:p>
    <w:p>
      <w:pPr>
        <w:jc w:val="both"/>
        <w:spacing w:before="6"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28.1完工资料</w:t>
      </w:r>
      <w:r/>
    </w:p>
    <w:p>
      <w:pPr>
        <w:jc w:val="both"/>
        <w:spacing w:before="12" w:after="12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218"/>
        <w:jc w:val="both"/>
        <w:keepLines/>
        <w:keepNext/>
        <w:spacing w:before="240" w:beforeAutospacing="0" w:after="64" w:afterAutospacing="0" w:line="317" w:lineRule="auto"/>
        <w:widowControl w:val="off"/>
        <w:tabs>
          <w:tab w:val="left" w:pos="724" w:leader="none"/>
          <w:tab w:val="left" w:pos="725"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29 工程保修</w:t>
      </w:r>
      <w:r/>
    </w:p>
    <w:p>
      <w:pPr>
        <w:jc w:val="both"/>
        <w:spacing w:before="7" w:after="120" w:afterAutospacing="0"/>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left="218"/>
        <w:jc w:val="both"/>
        <w:spacing w:after="120" w:afterAutospacing="0"/>
        <w:widowControl w:val="off"/>
        <w:tabs>
          <w:tab w:val="left" w:pos="849"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29.1</w:t>
      </w:r>
      <w:r>
        <w:rPr>
          <w:rFonts w:hint="eastAsia" w:ascii="宋体" w:hAnsi="宋体" w:eastAsia="宋体" w:cs="宋体"/>
          <w:color w:val="000000"/>
          <w:spacing w:val="-2"/>
          <w:sz w:val="24"/>
          <w:szCs w:val="24"/>
          <w:highlight w:val="none"/>
          <w:lang w:val="en-US" w:eastAsia="zh-CN" w:bidi="ar-SA"/>
        </w:rPr>
        <w:t xml:space="preserve">保修期</w:t>
      </w:r>
      <w:r/>
    </w:p>
    <w:p>
      <w:pPr>
        <w:jc w:val="both"/>
        <w:spacing w:before="1" w:after="120" w:afterAutospacing="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ind w:left="638"/>
        <w:jc w:val="both"/>
        <w:spacing w:after="120" w:afterAutospacing="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本工程保修期为2年。</w:t>
      </w:r>
      <w:r/>
    </w:p>
    <w:p>
      <w:pPr>
        <w:ind w:left="218"/>
        <w:jc w:val="both"/>
        <w:keepLines/>
        <w:keepNext/>
        <w:spacing w:before="173" w:beforeAutospacing="0" w:after="64" w:afterAutospacing="0" w:line="317" w:lineRule="auto"/>
        <w:widowControl w:val="off"/>
        <w:tabs>
          <w:tab w:val="left" w:pos="724" w:leader="none"/>
        </w:tabs>
        <w:rPr>
          <w:rFonts w:hint="eastAsia" w:ascii="宋体" w:hAnsi="宋体" w:eastAsia="宋体" w:cs="宋体"/>
          <w:color w:val="000000"/>
          <w:sz w:val="24"/>
          <w:szCs w:val="24"/>
          <w:highlight w:val="none"/>
          <w:lang w:val="en-US" w:eastAsia="zh-CN" w:bidi="ar-SA"/>
        </w:rPr>
        <w:outlineLvl w:val="7"/>
      </w:pPr>
      <w:r>
        <w:rPr>
          <w:rFonts w:hint="eastAsia" w:ascii="宋体" w:hAnsi="宋体" w:eastAsia="宋体" w:cs="宋体"/>
          <w:color w:val="000000"/>
          <w:sz w:val="24"/>
          <w:szCs w:val="24"/>
          <w:highlight w:val="none"/>
          <w:lang w:val="en-US" w:eastAsia="zh-CN" w:bidi="ar-SA"/>
        </w:rPr>
        <w:t xml:space="preserve">30保密</w:t>
      </w:r>
      <w:r/>
    </w:p>
    <w:p>
      <w:pPr>
        <w:ind w:left="218" w:right="212" w:firstLine="424"/>
        <w:jc w:val="both"/>
        <w:spacing w:before="162" w:after="120" w:afterAutospacing="0" w:line="38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sz w:val="24"/>
          <w:szCs w:val="24"/>
          <w:highlight w:val="none"/>
          <w:lang w:val="en-US" w:eastAsia="zh-CN" w:bidi="ar-SA"/>
        </w:rPr>
        <w:t xml:space="preserve">双方还应对本合同内容及双方相互提供标有密级的文</w:t>
      </w:r>
      <w:r>
        <w:rPr>
          <w:rFonts w:hint="eastAsia" w:ascii="宋体" w:hAnsi="宋体" w:eastAsia="宋体" w:cs="宋体"/>
          <w:color w:val="000000"/>
          <w:spacing w:val="-3"/>
          <w:sz w:val="24"/>
          <w:szCs w:val="24"/>
          <w:highlight w:val="none"/>
          <w:lang w:val="en-US" w:eastAsia="zh-CN" w:bidi="ar-SA"/>
        </w:rPr>
        <w:t xml:space="preserve">件保密，违者应对泄密造成的后果承担责任。</w:t>
      </w:r>
      <w:r/>
    </w:p>
    <w:p>
      <w:pPr>
        <w:ind w:firstLine="243"/>
        <w:spacing w:line="360" w:lineRule="auto"/>
        <w:tabs>
          <w:tab w:val="left" w:pos="735"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31 补充条款：</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（1）要求文明施工、安全施工 ，一切安全责任由承包人承担。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（2）承包人应自行协调和解决好施工过程中的地方矛盾，并承担由此产生的费用。</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（3）承包人应根据设计方案、国家标准及施工规范要求的检验项目进行检验，对检验中发生材料质量问题的材料检验费用由承包人承担。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（4）施工中产生的土、石矿资源严禁外运，一经发现，将按镇区相关规定处理并每次罚款5万元，情况严重者，按上级部门相关规定追究刑事责任。同时发包人有权终止施工合同，没收承包人合同履约保证金。</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（5）种植土土源由承包人自行解决，种植土质量必须满足设计方案技术要求。如承包人擅自使用质量不达标的种植土，发包人将责令返工并有权作出处罚。由此造成的工期延误及费用由承包人承担。</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（6）工程量的签证均须得到发包人、监理、跟踪审计、第三方测量机构等部门的认可。</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（7）如果施工方拖欠农民工工资，经查确认为事实后，发包人将</w:t>
      </w:r>
      <w:r>
        <w:rPr>
          <w:rFonts w:hint="eastAsia" w:ascii="宋体" w:hAnsi="宋体" w:cs="宋体"/>
          <w:color w:val="000000"/>
          <w:sz w:val="24"/>
          <w:szCs w:val="24"/>
          <w:highlight w:val="none"/>
          <w:lang w:val="en-US" w:eastAsia="zh-CN" w:bidi="ar-SA"/>
        </w:rPr>
        <w:t xml:space="preserve">成交供应商</w:t>
      </w:r>
      <w:r>
        <w:rPr>
          <w:rFonts w:hint="eastAsia" w:ascii="宋体" w:hAnsi="宋体" w:eastAsia="宋体" w:cs="宋体"/>
          <w:color w:val="000000"/>
          <w:sz w:val="24"/>
          <w:szCs w:val="24"/>
          <w:highlight w:val="none"/>
          <w:lang w:val="en-US" w:eastAsia="zh-CN" w:bidi="ar-SA"/>
        </w:rPr>
        <w:t xml:space="preserve">拖欠农民工工资的金额直接支付给农民工手中，支付的金额发包人在工程款中扣除，并且发包人将对承包人按拖欠金额的50%进行处罚。</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承包人项目经理应在监理人签发进场通知后的7日内到职。项目经理不得易人，特殊情况下应提出书面申请并征得发包人同意后按规定向行政主管部门履行报备手续，且不得降低项目经理资质，项目副经理、技术负责人除特殊情况外不得更换。项目经理、项目副经理、技术负责人短期离开工地，应事先提出书面申请并征得同意后方可离开。3天以内（含3天）报监理人批准，报发包人核备，同时应委派代表代行其职，3天以上报监理人转报发包人批准。一般情况，每人每月在工期间不得少于22天。项目经理、项目副经理、技术负责人不得同时离开工地。</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更换项目经理罚款15万元。 </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更换技术负责人罚款12万元。 </w:t>
      </w:r>
      <w:r/>
    </w:p>
    <w:p>
      <w:pPr>
        <w:ind w:firstLine="240"/>
        <w:jc w:val="both"/>
        <w:spacing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更换安全员罚款10万元</w:t>
      </w:r>
      <w:r/>
    </w:p>
    <w:p>
      <w:pPr>
        <w:spacing w:line="360" w:lineRule="auto"/>
        <w:rPr>
          <w:rFonts w:hint="eastAsia" w:ascii="宋体" w:hAnsi="宋体" w:eastAsia="宋体" w:cs="宋体"/>
          <w:sz w:val="24"/>
          <w:szCs w:val="24"/>
          <w:highlight w:val="none"/>
          <w:lang w:eastAsia="zh-CN"/>
        </w:rPr>
        <w:sectPr>
          <w:headerReference w:type="default" r:id="rId13"/>
          <w:footerReference w:type="default" r:id="rId2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sz w:val="24"/>
          <w:szCs w:val="24"/>
          <w:highlight w:val="none"/>
          <w:lang w:val="en-US" w:eastAsia="zh-CN" w:bidi="ar-SA"/>
        </w:rPr>
        <w:t xml:space="preserve">（9）本工程的决算最终审定核减额超过送审价10%的，审计费用由施工单位全部承担，并由施工单位直接支付给审计单位。</w:t>
      </w:r>
      <w:r/>
    </w:p>
    <w:p>
      <w:pPr>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合同附件一：工程质量保修书</w:t>
      </w:r>
      <w:r/>
    </w:p>
    <w:p>
      <w:pPr>
        <w:rPr>
          <w:b/>
          <w:color w:val="000000"/>
          <w:sz w:val="36"/>
          <w:szCs w:val="36"/>
          <w:highlight w:val="none"/>
        </w:rPr>
      </w:pPr>
      <w:r>
        <w:rPr>
          <w:b/>
          <w:color w:val="000000"/>
          <w:sz w:val="36"/>
          <w:szCs w:val="36"/>
          <w:highlight w:val="none"/>
        </w:rPr>
      </w:r>
      <w:r/>
    </w:p>
    <w:p>
      <w:pPr>
        <w:jc w:val="center"/>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工程质量保修书</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r>
      <w:r/>
    </w:p>
    <w:p>
      <w:pPr>
        <w:pageBreakBefore w:val="0"/>
        <w:spacing w:line="440" w:lineRule="exact"/>
        <w:widowControl w:val="off"/>
        <w:rPr>
          <w:rFonts w:hint="eastAsia" w:ascii="宋体" w:hAnsi="宋体" w:cs="宋体"/>
          <w:color w:val="000000"/>
          <w:sz w:val="24"/>
          <w:highlight w:val="none"/>
          <w:u w:val="single"/>
        </w:rPr>
      </w:pPr>
      <w:r>
        <w:rPr>
          <w:rFonts w:hint="eastAsia" w:ascii="宋体" w:hAnsi="宋体"/>
          <w:color w:val="000000"/>
          <w:sz w:val="24"/>
          <w:highlight w:val="none"/>
          <w:lang w:eastAsia="zh-CN"/>
        </w:rPr>
        <w:t xml:space="preserve">发包人</w:t>
      </w:r>
      <w:r>
        <w:rPr>
          <w:rFonts w:ascii="宋体" w:hAnsi="宋体"/>
          <w:color w:val="000000"/>
          <w:sz w:val="24"/>
          <w:highlight w:val="none"/>
        </w:rPr>
        <w:t xml:space="preserve">（全称）：</w:t>
      </w:r>
      <w:r>
        <w:rPr>
          <w:rFonts w:hint="eastAsia" w:ascii="宋体" w:hAnsi="宋体" w:cs="宋体"/>
          <w:color w:val="000000"/>
          <w:sz w:val="24"/>
          <w:highlight w:val="none"/>
          <w:u w:val="single"/>
          <w:lang w:val="en-US" w:eastAsia="zh-CN"/>
        </w:rPr>
        <w:t xml:space="preserve">溧阳市人民政府溧城街道办事处</w:t>
      </w:r>
      <w:r/>
    </w:p>
    <w:p>
      <w:pPr>
        <w:pageBreakBefore w:val="0"/>
        <w:spacing w:line="440" w:lineRule="exact"/>
        <w:widowControl w:val="off"/>
        <w:rPr>
          <w:rFonts w:hint="eastAsia" w:ascii="宋体" w:hAnsi="宋体" w:cs="宋体"/>
          <w:color w:val="000000"/>
          <w:sz w:val="24"/>
          <w:highlight w:val="none"/>
          <w:u w:val="single"/>
        </w:rPr>
      </w:pPr>
      <w:r>
        <w:rPr>
          <w:rFonts w:hint="eastAsia" w:ascii="宋体" w:hAnsi="宋体"/>
          <w:color w:val="000000"/>
          <w:sz w:val="24"/>
          <w:highlight w:val="none"/>
          <w:lang w:eastAsia="zh-CN"/>
        </w:rPr>
        <w:t xml:space="preserve">承包人</w:t>
      </w:r>
      <w:r>
        <w:rPr>
          <w:rFonts w:ascii="宋体" w:hAnsi="宋体"/>
          <w:color w:val="000000"/>
          <w:sz w:val="24"/>
          <w:highlight w:val="none"/>
        </w:rPr>
        <w:t xml:space="preserve">（全称）：</w:t>
      </w:r>
      <w:r>
        <w:rPr>
          <w:rFonts w:hint="eastAsia" w:ascii="宋体" w:hAnsi="宋体" w:cs="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发包人和承包人根据《中华人民共和国建筑法》和《建设工程质量管理条例》，经协商一致就</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（工程全称）签订工程质量保修书。</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一、工程质量保修范围和内容</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u w:val="single"/>
          <w:lang w:val="en-US" w:eastAsia="zh-CN"/>
        </w:rPr>
        <w:t xml:space="preserve">按合同中实际承包内容</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二、质量保修期</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屋面防水工程、有防水要求的卫生间、房间和外墙面的防渗</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  5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装修工程为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电气管线、给排水管道、设备安装工程为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供热与供冷系统为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个采暖期、供冷期；</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住宅小区内的给排水设施、道路等配套工程为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p>
    <w:p>
      <w:pPr>
        <w:ind w:firstLine="480"/>
        <w:pageBreakBefore w:val="0"/>
        <w:spacing w:line="440" w:lineRule="exact"/>
        <w:widowControl w:val="off"/>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其他项目保修期限约定如下：</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本工程质量</w:t>
      </w:r>
      <w:r>
        <w:rPr>
          <w:rFonts w:hint="eastAsia" w:ascii="宋体" w:hAnsi="宋体"/>
          <w:color w:val="000000"/>
          <w:sz w:val="24"/>
          <w:highlight w:val="none"/>
          <w:u w:val="single"/>
          <w:lang w:eastAsia="zh-CN"/>
        </w:rPr>
        <w:t xml:space="preserve">保修期</w:t>
      </w:r>
      <w:r>
        <w:rPr>
          <w:rFonts w:hint="eastAsia" w:ascii="宋体" w:hAnsi="宋体"/>
          <w:color w:val="000000"/>
          <w:sz w:val="24"/>
          <w:highlight w:val="none"/>
          <w:u w:val="single"/>
        </w:rPr>
        <w:t xml:space="preserve">为 </w:t>
      </w:r>
      <w:r>
        <w:rPr>
          <w:rFonts w:hint="eastAsia" w:ascii="宋体" w:hAnsi="宋体"/>
          <w:color w:val="000000"/>
          <w:sz w:val="24"/>
          <w:highlight w:val="none"/>
          <w:u w:val="single"/>
          <w:lang w:val="en-US" w:eastAsia="zh-CN"/>
        </w:rPr>
        <w:t xml:space="preserve">2</w:t>
      </w:r>
      <w:r>
        <w:rPr>
          <w:rFonts w:hint="eastAsia" w:ascii="宋体" w:hAnsi="宋体"/>
          <w:color w:val="000000"/>
          <w:sz w:val="24"/>
          <w:highlight w:val="none"/>
          <w:u w:val="single"/>
        </w:rPr>
        <w:t xml:space="preserve"> 年                   </w:t>
      </w:r>
      <w:r>
        <w:rPr>
          <w:rFonts w:hint="eastAsia" w:ascii="宋体" w:hAnsi="宋体"/>
          <w:color w:val="000000"/>
          <w:sz w:val="24"/>
          <w:highlight w:val="none"/>
        </w:rPr>
        <w:t xml:space="preserve">。</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质量保修期自工程竣工验收合格之日起计算。</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三、缺陷责任期</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工程缺陷责任期为</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24</w:t>
      </w:r>
      <w:r>
        <w:rPr>
          <w:rFonts w:ascii="宋体" w:hAnsi="宋体"/>
          <w:color w:val="000000"/>
          <w:sz w:val="24"/>
          <w:highlight w:val="none"/>
          <w:u w:val="single"/>
        </w:rPr>
        <w:t xml:space="preserve">  </w:t>
      </w:r>
      <w:r>
        <w:rPr>
          <w:rFonts w:ascii="宋体" w:hAnsi="宋体"/>
          <w:color w:val="000000"/>
          <w:sz w:val="24"/>
          <w:highlight w:val="none"/>
        </w:rPr>
        <w:t xml:space="preserve">个月，缺陷责任期自工程</w:t>
      </w:r>
      <w:r>
        <w:rPr>
          <w:rFonts w:hint="eastAsia" w:ascii="宋体" w:hAnsi="宋体"/>
          <w:color w:val="000000"/>
          <w:sz w:val="24"/>
          <w:highlight w:val="none"/>
        </w:rPr>
        <w:t xml:space="preserve">通过竣工验收</w:t>
      </w:r>
      <w:r>
        <w:rPr>
          <w:rFonts w:ascii="宋体" w:hAnsi="宋体"/>
          <w:color w:val="000000"/>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缺陷责任期终止后，发包人应退还剩余的质量保证金。</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四、质量保修责任</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．质量保修完成后，由发包人组织验收。</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五、保修费用</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保修费用由造成质量缺陷的责任方承担。</w:t>
      </w:r>
      <w:r/>
    </w:p>
    <w:p>
      <w:pPr>
        <w:ind w:firstLine="480"/>
        <w:pageBreakBefore w:val="0"/>
        <w:spacing w:line="440" w:lineRule="exact"/>
        <w:widowControl w:val="off"/>
        <w:rPr>
          <w:rFonts w:ascii="宋体" w:hAnsi="宋体"/>
          <w:color w:val="000000"/>
          <w:sz w:val="24"/>
          <w:highlight w:val="none"/>
        </w:rPr>
      </w:pPr>
      <w:r>
        <w:rPr>
          <w:rFonts w:ascii="宋体" w:hAnsi="宋体"/>
          <w:color w:val="000000"/>
          <w:sz w:val="24"/>
          <w:highlight w:val="none"/>
        </w:rPr>
        <w:t xml:space="preserve">六、双方约定的其他工程质量保修事项：</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无</w:t>
      </w:r>
      <w:r>
        <w:rPr>
          <w:rFonts w:ascii="宋体" w:hAnsi="宋体"/>
          <w:color w:val="000000"/>
          <w:sz w:val="24"/>
          <w:highlight w:val="none"/>
          <w:u w:val="single"/>
        </w:rPr>
        <w:t xml:space="preserve"> </w:t>
      </w:r>
      <w:r>
        <w:rPr>
          <w:rFonts w:ascii="宋体" w:hAnsi="宋体"/>
          <w:color w:val="000000"/>
          <w:sz w:val="24"/>
          <w:highlight w:val="none"/>
        </w:rPr>
        <w:t xml:space="preserve">。</w:t>
      </w:r>
      <w:r/>
    </w:p>
    <w:p>
      <w:pPr>
        <w:ind w:firstLine="480"/>
        <w:pageBreakBefore w:val="0"/>
        <w:spacing w:line="440" w:lineRule="exact"/>
        <w:widowControl w:val="off"/>
        <w:rPr>
          <w:rFonts w:hint="eastAsia" w:ascii="宋体" w:hAnsi="宋体"/>
          <w:color w:val="000000"/>
          <w:sz w:val="24"/>
          <w:highlight w:val="none"/>
        </w:rPr>
      </w:pPr>
      <w:r>
        <w:rPr>
          <w:rFonts w:ascii="宋体" w:hAnsi="宋体"/>
          <w:color w:val="000000"/>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  包  人：                        承  包  人：                     </w:t>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（盖章）                            （盖章）</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                        法定代表人：            </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（签字或盖章）                      （签字或盖章）</w:t>
      </w:r>
      <w:r/>
    </w:p>
    <w:p>
      <w:pPr>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经  办  人：                        经  办  人：  </w:t>
      </w:r>
      <w:r/>
    </w:p>
    <w:p>
      <w:pPr>
        <w:pStyle w:val="1248"/>
        <w:rPr>
          <w:rFonts w:hint="eastAsia" w:ascii="宋体" w:hAnsi="宋体" w:cs="宋体"/>
          <w:color w:val="000000"/>
          <w:sz w:val="24"/>
          <w:highlight w:val="none"/>
        </w:rPr>
        <w:sectPr>
          <w:footerReference w:type="default" r:id="rId26"/>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cs="宋体"/>
          <w:color w:val="000000"/>
          <w:sz w:val="24"/>
          <w:highlight w:val="none"/>
        </w:rPr>
        <w:t xml:space="preserve">（签字）                            （签字）</w:t>
      </w:r>
      <w:r/>
    </w:p>
    <w:p>
      <w:pPr>
        <w:jc w:val="both"/>
        <w:spacing w:before="11" w:after="120" w:afterAutospacing="0"/>
        <w:widowControl w:val="off"/>
        <w:rPr>
          <w:rFonts w:ascii="Calibri" w:hAnsi="Calibri" w:eastAsia="宋体" w:cs="Times New Roman"/>
          <w:b/>
          <w:color w:val="000000"/>
          <w:sz w:val="28"/>
          <w:szCs w:val="28"/>
          <w:highlight w:val="none"/>
          <w:lang w:val="en-US" w:eastAsia="zh-CN" w:bidi="ar-SA"/>
        </w:rPr>
      </w:pPr>
      <w:r>
        <w:rPr>
          <w:rFonts w:hint="eastAsia" w:ascii="Calibri" w:hAnsi="Calibri" w:eastAsia="宋体" w:cs="Times New Roman"/>
          <w:b/>
          <w:color w:val="000000"/>
          <w:sz w:val="32"/>
          <w:szCs w:val="32"/>
          <w:highlight w:val="none"/>
          <w:lang w:val="en-US" w:eastAsia="zh-CN" w:bidi="ar-SA"/>
        </w:rPr>
        <w:t xml:space="preserve">廉 政 合 同</w:t>
      </w:r>
      <w:r/>
    </w:p>
    <w:p>
      <w:pPr>
        <w:ind w:left="2801"/>
        <w:spacing w:before="1"/>
        <w:rPr>
          <w:rFonts w:hint="default" w:ascii="Calibri" w:hAnsi="Calibri" w:eastAsia="宋体" w:cs="Times New Roman"/>
          <w:b/>
          <w:color w:val="000000"/>
          <w:sz w:val="32"/>
          <w:highlight w:val="none"/>
          <w:lang w:eastAsia="zh-CN"/>
        </w:rPr>
      </w:pPr>
      <w:r>
        <w:rPr>
          <w:rFonts w:hint="eastAsia" w:ascii="Calibri" w:hAnsi="Calibri" w:eastAsia="宋体" w:cs="Times New Roman"/>
          <w:b/>
          <w:color w:val="000000"/>
          <w:sz w:val="32"/>
          <w:highlight w:val="none"/>
          <w:lang w:eastAsia="zh-CN"/>
        </w:rPr>
        <w:t xml:space="preserve">（施工单位与建设单位）</w:t>
      </w:r>
      <w:r/>
    </w:p>
    <w:p>
      <w:pPr>
        <w:jc w:val="both"/>
        <w:spacing w:before="8" w:after="120" w:afterAutospacing="0"/>
        <w:widowControl w:val="off"/>
        <w:rPr>
          <w:rFonts w:ascii="Calibri" w:hAnsi="Calibri" w:eastAsia="宋体" w:cs="Times New Roman"/>
          <w:b/>
          <w:color w:val="000000"/>
          <w:sz w:val="28"/>
          <w:szCs w:val="24"/>
          <w:highlight w:val="none"/>
          <w:lang w:val="en-US" w:eastAsia="zh-CN" w:bidi="ar-SA"/>
        </w:rPr>
      </w:pPr>
      <w:r>
        <w:rPr>
          <w:rFonts w:ascii="Calibri" w:hAnsi="Calibri" w:eastAsia="宋体" w:cs="Times New Roman"/>
          <w:b/>
          <w:color w:val="000000"/>
          <w:sz w:val="28"/>
          <w:szCs w:val="24"/>
          <w:highlight w:val="none"/>
          <w:lang w:val="en-US" w:eastAsia="zh-CN" w:bidi="ar-SA"/>
        </w:rPr>
      </w:r>
      <w:r/>
    </w:p>
    <w:p>
      <w:pPr>
        <w:ind w:right="5174" w:firstLine="630"/>
        <w:jc w:val="both"/>
        <w:spacing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甲方：</w:t>
      </w:r>
      <w:r/>
    </w:p>
    <w:p>
      <w:pPr>
        <w:jc w:val="both"/>
        <w:spacing w:before="12" w:after="120" w:afterAutospacing="0"/>
        <w:widowControl w:val="off"/>
        <w:rPr>
          <w:rFonts w:ascii="Calibri" w:hAnsi="Calibri" w:eastAsia="宋体" w:cs="Times New Roman"/>
          <w:color w:val="000000"/>
          <w:sz w:val="11"/>
          <w:szCs w:val="24"/>
          <w:highlight w:val="none"/>
          <w:lang w:val="en-US" w:eastAsia="zh-CN" w:bidi="ar-SA"/>
        </w:rPr>
      </w:pPr>
      <w:r>
        <w:rPr>
          <w:rFonts w:ascii="Calibri" w:hAnsi="Calibri" w:eastAsia="宋体" w:cs="Times New Roman"/>
          <w:color w:val="000000"/>
          <w:sz w:val="11"/>
          <w:szCs w:val="24"/>
          <w:highlight w:val="none"/>
          <w:lang w:val="en-US" w:eastAsia="zh-CN" w:bidi="ar-SA"/>
        </w:rPr>
      </w:r>
      <w:r/>
    </w:p>
    <w:p>
      <w:pPr>
        <w:ind w:left="638"/>
        <w:jc w:val="both"/>
        <w:spacing w:before="37" w:after="120" w:afterAutospacing="0"/>
        <w:widowControl w:val="off"/>
        <w:tabs>
          <w:tab w:val="left" w:pos="2632" w:leader="none"/>
        </w:tabs>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1"/>
          <w:sz w:val="21"/>
          <w:szCs w:val="24"/>
          <w:highlight w:val="none"/>
          <w:lang w:val="en-US" w:eastAsia="zh-CN" w:bidi="ar-SA"/>
        </w:rPr>
        <w:t xml:space="preserve">乙方：</w:t>
      </w:r>
      <w:r>
        <w:rPr>
          <w:rFonts w:hint="eastAsia" w:ascii="Calibri" w:hAnsi="Calibri" w:eastAsia="宋体" w:cs="Times New Roman"/>
          <w:color w:val="000000"/>
          <w:spacing w:val="-1"/>
          <w:sz w:val="21"/>
          <w:szCs w:val="24"/>
          <w:highlight w:val="none"/>
          <w:u w:val="single"/>
          <w:lang w:val="en-US" w:eastAsia="zh-CN" w:bidi="ar-SA"/>
        </w:rPr>
        <w:t xml:space="preserve">（</w:t>
      </w:r>
      <w:r>
        <w:rPr>
          <w:rFonts w:hint="eastAsia" w:ascii="Calibri" w:hAnsi="Calibri" w:eastAsia="宋体" w:cs="Times New Roman"/>
          <w:color w:val="000000"/>
          <w:spacing w:val="-3"/>
          <w:sz w:val="21"/>
          <w:szCs w:val="24"/>
          <w:highlight w:val="none"/>
          <w:u w:val="single"/>
          <w:lang w:val="en-US" w:eastAsia="zh-CN" w:bidi="ar-SA"/>
        </w:rPr>
        <w:t xml:space="preserve">成交人</w:t>
      </w:r>
      <w:r>
        <w:rPr>
          <w:rFonts w:hint="eastAsia" w:ascii="Calibri" w:hAnsi="Calibri" w:eastAsia="宋体" w:cs="Times New Roman"/>
          <w:color w:val="000000"/>
          <w:sz w:val="21"/>
          <w:szCs w:val="24"/>
          <w:highlight w:val="none"/>
          <w:u w:val="single"/>
          <w:lang w:val="en-US" w:eastAsia="zh-CN" w:bidi="ar-SA"/>
        </w:rPr>
        <w:t xml:space="preserve">）</w:t>
      </w:r>
      <w:r>
        <w:rPr>
          <w:rFonts w:hint="eastAsia" w:ascii="Calibri" w:hAnsi="Calibri" w:eastAsia="宋体" w:cs="Times New Roman"/>
          <w:color w:val="000000"/>
          <w:sz w:val="21"/>
          <w:szCs w:val="24"/>
          <w:highlight w:val="none"/>
          <w:u w:val="single"/>
          <w:lang w:val="en-US" w:eastAsia="zh-CN" w:bidi="ar-SA"/>
        </w:rPr>
        <w:tab/>
      </w:r>
      <w:r/>
    </w:p>
    <w:p>
      <w:pPr>
        <w:jc w:val="both"/>
        <w:spacing w:after="120" w:afterAutospacing="0"/>
        <w:widowControl w:val="off"/>
        <w:rPr>
          <w:rFonts w:ascii="Calibri" w:hAnsi="Calibri" w:eastAsia="宋体" w:cs="Times New Roman"/>
          <w:color w:val="000000"/>
          <w:sz w:val="20"/>
          <w:szCs w:val="24"/>
          <w:highlight w:val="none"/>
          <w:lang w:val="en-US" w:eastAsia="zh-CN" w:bidi="ar-SA"/>
        </w:rPr>
      </w:pPr>
      <w:r>
        <w:rPr>
          <w:rFonts w:ascii="Calibri" w:hAnsi="Calibri" w:eastAsia="宋体" w:cs="Times New Roman"/>
          <w:color w:val="000000"/>
          <w:sz w:val="20"/>
          <w:szCs w:val="24"/>
          <w:highlight w:val="none"/>
          <w:lang w:val="en-US" w:eastAsia="zh-CN" w:bidi="ar-SA"/>
        </w:rPr>
      </w:r>
      <w:r/>
    </w:p>
    <w:p>
      <w:pPr>
        <w:jc w:val="both"/>
        <w:spacing w:before="10" w:after="120" w:afterAutospacing="0"/>
        <w:widowControl w:val="off"/>
        <w:rPr>
          <w:rFonts w:ascii="Calibri" w:hAnsi="Calibri" w:eastAsia="宋体" w:cs="Times New Roman"/>
          <w:color w:val="000000"/>
          <w:sz w:val="27"/>
          <w:szCs w:val="24"/>
          <w:highlight w:val="none"/>
          <w:lang w:val="en-US" w:eastAsia="zh-CN" w:bidi="ar-SA"/>
        </w:rPr>
      </w:pPr>
      <w:r>
        <w:rPr>
          <w:rFonts w:ascii="Calibri" w:hAnsi="Calibri" w:eastAsia="宋体" w:cs="Times New Roman"/>
          <w:color w:val="000000"/>
          <w:sz w:val="27"/>
          <w:szCs w:val="24"/>
          <w:highlight w:val="none"/>
          <w:lang w:val="en-US" w:eastAsia="zh-CN" w:bidi="ar-SA"/>
        </w:rPr>
      </w:r>
      <w:r/>
    </w:p>
    <w:p>
      <w:pPr>
        <w:ind w:left="218" w:right="166" w:firstLine="419"/>
        <w:jc w:val="both"/>
        <w:spacing w:before="3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为贯彻落实党中央、国务院《关于实行党风廉政建设责任制的规定》，进一步加强农业基</w:t>
      </w:r>
      <w:r>
        <w:rPr>
          <w:rFonts w:hint="eastAsia" w:ascii="Calibri" w:hAnsi="Calibri" w:eastAsia="宋体" w:cs="Times New Roman"/>
          <w:color w:val="000000"/>
          <w:spacing w:val="-12"/>
          <w:sz w:val="21"/>
          <w:szCs w:val="24"/>
          <w:highlight w:val="none"/>
          <w:lang w:val="en-US" w:eastAsia="zh-CN" w:bidi="ar-SA"/>
        </w:rPr>
        <w:t xml:space="preserve">本建设工程建设中的党风廉政建设，保证 </w:t>
      </w:r>
      <w:r>
        <w:rPr>
          <w:rFonts w:hint="eastAsia" w:ascii="Calibri" w:hAnsi="Calibri" w:eastAsia="宋体" w:cs="Times New Roman"/>
          <w:color w:val="000000"/>
          <w:spacing w:val="-12"/>
          <w:sz w:val="21"/>
          <w:szCs w:val="24"/>
          <w:highlight w:val="none"/>
          <w:u w:val="single"/>
          <w:lang w:val="en-US" w:eastAsia="zh-CN" w:bidi="ar-SA"/>
        </w:rPr>
        <w:t xml:space="preserve">             </w:t>
      </w:r>
      <w:r>
        <w:rPr>
          <w:rFonts w:hint="eastAsia" w:ascii="Calibri" w:hAnsi="Calibri" w:eastAsia="宋体" w:cs="Times New Roman"/>
          <w:color w:val="000000"/>
          <w:spacing w:val="-3"/>
          <w:sz w:val="21"/>
          <w:szCs w:val="24"/>
          <w:highlight w:val="none"/>
          <w:lang w:val="en-US" w:eastAsia="zh-CN" w:bidi="ar-SA"/>
        </w:rPr>
        <w:t xml:space="preserve">优质、</w:t>
      </w:r>
      <w:r>
        <w:rPr>
          <w:rFonts w:hint="eastAsia" w:ascii="Calibri" w:hAnsi="Calibri" w:eastAsia="宋体" w:cs="Times New Roman"/>
          <w:color w:val="000000"/>
          <w:sz w:val="21"/>
          <w:szCs w:val="24"/>
          <w:highlight w:val="none"/>
          <w:lang w:val="en-US" w:eastAsia="zh-CN" w:bidi="ar-SA"/>
        </w:rPr>
        <w:t xml:space="preserve">高效、有序地进行，</w:t>
      </w:r>
      <w:r>
        <w:rPr>
          <w:rFonts w:hint="eastAsia" w:ascii="Calibri" w:hAnsi="Calibri" w:eastAsia="宋体" w:cs="Times New Roman"/>
          <w:color w:val="00000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（以下简称“甲方”），与承担</w:t>
      </w:r>
      <w:r>
        <w:rPr>
          <w:rFonts w:hint="eastAsia" w:ascii="Calibri" w:hAnsi="Calibri" w:eastAsia="宋体" w:cs="Times New Roman"/>
          <w:color w:val="00000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建设施工工程合同的施工单位</w:t>
      </w:r>
      <w:r>
        <w:rPr>
          <w:rFonts w:hint="eastAsia" w:ascii="Calibri" w:hAnsi="Calibri" w:eastAsia="宋体" w:cs="Times New Roman"/>
          <w:color w:val="000000"/>
          <w:sz w:val="21"/>
          <w:szCs w:val="24"/>
          <w:highlight w:val="none"/>
          <w:u w:val="single"/>
          <w:lang w:val="en-US" w:eastAsia="zh-CN" w:bidi="ar-SA"/>
        </w:rPr>
        <w:t xml:space="preserve">（成交人）</w:t>
      </w:r>
      <w:r>
        <w:rPr>
          <w:rFonts w:hint="eastAsia" w:ascii="Calibri" w:hAnsi="Calibri" w:eastAsia="宋体" w:cs="Times New Roman"/>
          <w:color w:val="000000"/>
          <w:sz w:val="21"/>
          <w:szCs w:val="24"/>
          <w:highlight w:val="none"/>
          <w:u w:val="single"/>
          <w:lang w:val="en-US" w:eastAsia="zh-CN" w:bidi="ar-SA"/>
        </w:rPr>
        <w:tab/>
      </w:r>
      <w:r>
        <w:rPr>
          <w:rFonts w:hint="eastAsia" w:ascii="Calibri" w:hAnsi="Calibri" w:eastAsia="宋体" w:cs="Times New Roman"/>
          <w:color w:val="000000"/>
          <w:sz w:val="21"/>
          <w:szCs w:val="24"/>
          <w:highlight w:val="none"/>
          <w:lang w:val="en-US" w:eastAsia="zh-CN" w:bidi="ar-SA"/>
        </w:rPr>
        <w:t xml:space="preserve">（以下简称“乙 </w:t>
      </w:r>
      <w:r>
        <w:rPr>
          <w:rFonts w:hint="eastAsia" w:ascii="Calibri" w:hAnsi="Calibri" w:eastAsia="宋体" w:cs="Times New Roman"/>
          <w:color w:val="000000"/>
          <w:spacing w:val="-1"/>
          <w:sz w:val="21"/>
          <w:szCs w:val="24"/>
          <w:highlight w:val="none"/>
          <w:lang w:val="en-US" w:eastAsia="zh-CN" w:bidi="ar-SA"/>
        </w:rPr>
        <w:t xml:space="preserve">方”），</w:t>
      </w:r>
      <w:r>
        <w:rPr>
          <w:rFonts w:hint="eastAsia" w:ascii="Calibri" w:hAnsi="Calibri" w:eastAsia="宋体" w:cs="Times New Roman"/>
          <w:color w:val="000000"/>
          <w:spacing w:val="-3"/>
          <w:sz w:val="21"/>
          <w:szCs w:val="24"/>
          <w:highlight w:val="none"/>
          <w:lang w:val="en-US" w:eastAsia="zh-CN" w:bidi="ar-SA"/>
        </w:rPr>
        <w:t xml:space="preserve">经</w:t>
      </w:r>
      <w:r>
        <w:rPr>
          <w:rFonts w:hint="eastAsia" w:ascii="Calibri" w:hAnsi="Calibri" w:eastAsia="宋体" w:cs="Times New Roman"/>
          <w:color w:val="000000"/>
          <w:sz w:val="21"/>
          <w:szCs w:val="24"/>
          <w:highlight w:val="none"/>
          <w:lang w:val="en-US" w:eastAsia="zh-CN" w:bidi="ar-SA"/>
        </w:rPr>
        <w:t xml:space="preserve">双</w:t>
      </w:r>
      <w:r>
        <w:rPr>
          <w:rFonts w:hint="eastAsia" w:ascii="Calibri" w:hAnsi="Calibri" w:eastAsia="宋体" w:cs="Times New Roman"/>
          <w:color w:val="000000"/>
          <w:spacing w:val="-3"/>
          <w:sz w:val="21"/>
          <w:szCs w:val="24"/>
          <w:highlight w:val="none"/>
          <w:lang w:val="en-US" w:eastAsia="zh-CN" w:bidi="ar-SA"/>
        </w:rPr>
        <w:t xml:space="preserve">方</w:t>
      </w:r>
      <w:r>
        <w:rPr>
          <w:rFonts w:hint="eastAsia" w:ascii="Calibri" w:hAnsi="Calibri" w:eastAsia="宋体" w:cs="Times New Roman"/>
          <w:color w:val="000000"/>
          <w:sz w:val="21"/>
          <w:szCs w:val="24"/>
          <w:highlight w:val="none"/>
          <w:lang w:val="en-US" w:eastAsia="zh-CN" w:bidi="ar-SA"/>
        </w:rPr>
        <w:t xml:space="preserve">协</w:t>
      </w:r>
      <w:r>
        <w:rPr>
          <w:rFonts w:hint="eastAsia" w:ascii="Calibri" w:hAnsi="Calibri" w:eastAsia="宋体" w:cs="Times New Roman"/>
          <w:color w:val="000000"/>
          <w:spacing w:val="-3"/>
          <w:sz w:val="21"/>
          <w:szCs w:val="24"/>
          <w:highlight w:val="none"/>
          <w:lang w:val="en-US" w:eastAsia="zh-CN" w:bidi="ar-SA"/>
        </w:rPr>
        <w:t xml:space="preserve">商</w:t>
      </w:r>
      <w:r>
        <w:rPr>
          <w:rFonts w:hint="eastAsia" w:ascii="Calibri" w:hAnsi="Calibri" w:eastAsia="宋体" w:cs="Times New Roman"/>
          <w:color w:val="000000"/>
          <w:sz w:val="21"/>
          <w:szCs w:val="24"/>
          <w:highlight w:val="none"/>
          <w:lang w:val="en-US" w:eastAsia="zh-CN" w:bidi="ar-SA"/>
        </w:rPr>
        <w:t xml:space="preserve">一</w:t>
      </w:r>
      <w:r>
        <w:rPr>
          <w:rFonts w:hint="eastAsia" w:ascii="Calibri" w:hAnsi="Calibri" w:eastAsia="宋体" w:cs="Times New Roman"/>
          <w:color w:val="000000"/>
          <w:spacing w:val="-3"/>
          <w:sz w:val="21"/>
          <w:szCs w:val="24"/>
          <w:highlight w:val="none"/>
          <w:lang w:val="en-US" w:eastAsia="zh-CN" w:bidi="ar-SA"/>
        </w:rPr>
        <w:t xml:space="preserve">致</w:t>
      </w:r>
      <w:r>
        <w:rPr>
          <w:rFonts w:hint="eastAsia" w:ascii="Calibri" w:hAnsi="Calibri" w:eastAsia="宋体" w:cs="Times New Roman"/>
          <w:color w:val="000000"/>
          <w:sz w:val="21"/>
          <w:szCs w:val="24"/>
          <w:highlight w:val="none"/>
          <w:lang w:val="en-US" w:eastAsia="zh-CN" w:bidi="ar-SA"/>
        </w:rPr>
        <w:t xml:space="preserve">，自</w:t>
      </w:r>
      <w:r>
        <w:rPr>
          <w:rFonts w:hint="eastAsia" w:ascii="Calibri" w:hAnsi="Calibri" w:eastAsia="宋体" w:cs="Times New Roman"/>
          <w:color w:val="000000"/>
          <w:spacing w:val="-3"/>
          <w:sz w:val="21"/>
          <w:szCs w:val="24"/>
          <w:highlight w:val="none"/>
          <w:lang w:val="en-US" w:eastAsia="zh-CN" w:bidi="ar-SA"/>
        </w:rPr>
        <w:t xml:space="preserve">愿</w:t>
      </w:r>
      <w:r>
        <w:rPr>
          <w:rFonts w:hint="eastAsia" w:ascii="Calibri" w:hAnsi="Calibri" w:eastAsia="宋体" w:cs="Times New Roman"/>
          <w:color w:val="000000"/>
          <w:sz w:val="21"/>
          <w:szCs w:val="24"/>
          <w:highlight w:val="none"/>
          <w:lang w:val="en-US" w:eastAsia="zh-CN" w:bidi="ar-SA"/>
        </w:rPr>
        <w:t xml:space="preserve">签</w:t>
      </w:r>
      <w:r>
        <w:rPr>
          <w:rFonts w:hint="eastAsia" w:ascii="Calibri" w:hAnsi="Calibri" w:eastAsia="宋体" w:cs="Times New Roman"/>
          <w:color w:val="000000"/>
          <w:spacing w:val="-3"/>
          <w:sz w:val="21"/>
          <w:szCs w:val="24"/>
          <w:highlight w:val="none"/>
          <w:lang w:val="en-US" w:eastAsia="zh-CN" w:bidi="ar-SA"/>
        </w:rPr>
        <w:t xml:space="preserve">订</w:t>
      </w:r>
      <w:r>
        <w:rPr>
          <w:rFonts w:hint="eastAsia" w:ascii="Calibri" w:hAnsi="Calibri" w:eastAsia="宋体" w:cs="Times New Roman"/>
          <w:color w:val="000000"/>
          <w:sz w:val="21"/>
          <w:szCs w:val="24"/>
          <w:highlight w:val="none"/>
          <w:lang w:val="en-US" w:eastAsia="zh-CN" w:bidi="ar-SA"/>
        </w:rPr>
        <w:t xml:space="preserve">以</w:t>
      </w:r>
      <w:r>
        <w:rPr>
          <w:rFonts w:hint="eastAsia" w:ascii="Calibri" w:hAnsi="Calibri" w:eastAsia="宋体" w:cs="Times New Roman"/>
          <w:color w:val="000000"/>
          <w:spacing w:val="-3"/>
          <w:sz w:val="21"/>
          <w:szCs w:val="24"/>
          <w:highlight w:val="none"/>
          <w:lang w:val="en-US" w:eastAsia="zh-CN" w:bidi="ar-SA"/>
        </w:rPr>
        <w:t xml:space="preserve">下</w:t>
      </w:r>
      <w:r>
        <w:rPr>
          <w:rFonts w:hint="eastAsia" w:ascii="Calibri" w:hAnsi="Calibri" w:eastAsia="宋体" w:cs="Times New Roman"/>
          <w:color w:val="000000"/>
          <w:sz w:val="21"/>
          <w:szCs w:val="24"/>
          <w:highlight w:val="none"/>
          <w:lang w:val="en-US" w:eastAsia="zh-CN" w:bidi="ar-SA"/>
        </w:rPr>
        <w:t xml:space="preserve">廉</w:t>
      </w:r>
      <w:r>
        <w:rPr>
          <w:rFonts w:hint="eastAsia" w:ascii="Calibri" w:hAnsi="Calibri" w:eastAsia="宋体" w:cs="Times New Roman"/>
          <w:color w:val="000000"/>
          <w:spacing w:val="-3"/>
          <w:sz w:val="21"/>
          <w:szCs w:val="24"/>
          <w:highlight w:val="none"/>
          <w:lang w:val="en-US" w:eastAsia="zh-CN" w:bidi="ar-SA"/>
        </w:rPr>
        <w:t xml:space="preserve">政</w:t>
      </w:r>
      <w:r>
        <w:rPr>
          <w:rFonts w:hint="eastAsia" w:ascii="Calibri" w:hAnsi="Calibri" w:eastAsia="宋体" w:cs="Times New Roman"/>
          <w:color w:val="000000"/>
          <w:sz w:val="21"/>
          <w:szCs w:val="24"/>
          <w:highlight w:val="none"/>
          <w:lang w:val="en-US" w:eastAsia="zh-CN" w:bidi="ar-SA"/>
        </w:rPr>
        <w:t xml:space="preserve">合</w:t>
      </w:r>
      <w:r>
        <w:rPr>
          <w:rFonts w:hint="eastAsia" w:ascii="Calibri" w:hAnsi="Calibri" w:eastAsia="宋体" w:cs="Times New Roman"/>
          <w:color w:val="000000"/>
          <w:spacing w:val="-3"/>
          <w:sz w:val="21"/>
          <w:szCs w:val="24"/>
          <w:highlight w:val="none"/>
          <w:lang w:val="en-US" w:eastAsia="zh-CN" w:bidi="ar-SA"/>
        </w:rPr>
        <w:t xml:space="preserve">同</w:t>
      </w:r>
      <w:r>
        <w:rPr>
          <w:rFonts w:hint="eastAsia" w:ascii="Calibri" w:hAnsi="Calibri" w:eastAsia="宋体" w:cs="Times New Roman"/>
          <w:color w:val="000000"/>
          <w:sz w:val="21"/>
          <w:szCs w:val="24"/>
          <w:highlight w:val="none"/>
          <w:lang w:val="en-US" w:eastAsia="zh-CN" w:bidi="ar-SA"/>
        </w:rPr>
        <w:t xml:space="preserve">。</w:t>
      </w:r>
      <w:r/>
    </w:p>
    <w:p>
      <w:pPr>
        <w:ind w:left="254"/>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第一条：甲乙双方的权利和义务</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779"/>
        <w:jc w:val="both"/>
        <w:spacing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（一）严格遵守党和国家有关法规及党风廉政建设各项规定。</w:t>
      </w:r>
      <w:r/>
    </w:p>
    <w:p>
      <w:pPr>
        <w:jc w:val="both"/>
        <w:spacing w:before="9"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359" w:right="164" w:firstLine="419"/>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二</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10"/>
          <w:sz w:val="21"/>
          <w:szCs w:val="24"/>
          <w:highlight w:val="none"/>
          <w:lang w:val="en-US" w:eastAsia="zh-CN" w:bidi="ar-SA"/>
        </w:rPr>
        <w:t xml:space="preserve">严格执行</w:t>
      </w:r>
      <w:r>
        <w:rPr>
          <w:rFonts w:hint="eastAsia" w:ascii="Calibri" w:hAnsi="Calibri" w:eastAsia="宋体" w:cs="Times New Roman"/>
          <w:color w:val="000000"/>
          <w:spacing w:val="-10"/>
          <w:sz w:val="21"/>
          <w:szCs w:val="24"/>
          <w:highlight w:val="none"/>
          <w:u w:val="single"/>
          <w:lang w:val="en-US" w:eastAsia="zh-CN" w:bidi="ar-SA"/>
        </w:rPr>
        <w:t xml:space="preserve">                               </w:t>
      </w: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施工合同</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各项规定， 自觉按合同办事。</w:t>
      </w:r>
      <w:r/>
    </w:p>
    <w:p>
      <w:pPr>
        <w:ind w:left="359" w:right="269" w:firstLine="419"/>
        <w:jc w:val="both"/>
        <w:spacing w:before="45"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w:t>
      </w:r>
      <w:r>
        <w:rPr>
          <w:rFonts w:hint="eastAsia" w:ascii="Calibri" w:hAnsi="Calibri" w:eastAsia="宋体" w:cs="Times New Roman"/>
          <w:color w:val="000000"/>
          <w:spacing w:val="-15"/>
          <w:sz w:val="21"/>
          <w:szCs w:val="24"/>
          <w:highlight w:val="none"/>
          <w:lang w:val="en-US" w:eastAsia="zh-CN" w:bidi="ar-SA"/>
        </w:rPr>
        <w:t xml:space="preserve">）</w:t>
      </w:r>
      <w:r>
        <w:rPr>
          <w:rFonts w:hint="eastAsia" w:ascii="Calibri" w:hAnsi="Calibri" w:eastAsia="宋体" w:cs="Times New Roman"/>
          <w:color w:val="000000"/>
          <w:spacing w:val="-7"/>
          <w:sz w:val="21"/>
          <w:szCs w:val="24"/>
          <w:highlight w:val="none"/>
          <w:lang w:val="en-US" w:eastAsia="zh-CN" w:bidi="ar-SA"/>
        </w:rPr>
        <w:t xml:space="preserve">双方的业务活动坚持公开、公正、公平、诚信的原则</w:t>
      </w:r>
      <w:r>
        <w:rPr>
          <w:rFonts w:hint="eastAsia" w:ascii="Calibri" w:hAnsi="Calibri" w:eastAsia="宋体" w:cs="Times New Roman"/>
          <w:color w:val="000000"/>
          <w:spacing w:val="-3"/>
          <w:sz w:val="21"/>
          <w:szCs w:val="24"/>
          <w:highlight w:val="none"/>
          <w:lang w:val="en-US" w:eastAsia="zh-CN" w:bidi="ar-SA"/>
        </w:rPr>
        <w:t xml:space="preserve">（除法律认定的商业秘密和合同文件另有规定之外</w:t>
      </w: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，严禁损害国家和集体利益，违反工程建设管理规章制度。</w:t>
      </w:r>
      <w:r/>
    </w:p>
    <w:p>
      <w:pPr>
        <w:ind w:left="359" w:right="272" w:firstLine="419"/>
        <w:jc w:val="both"/>
        <w:spacing w:before="45"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四</w:t>
      </w:r>
      <w:r>
        <w:rPr>
          <w:rFonts w:hint="eastAsia" w:ascii="Calibri" w:hAnsi="Calibri" w:eastAsia="宋体" w:cs="Times New Roman"/>
          <w:color w:val="000000"/>
          <w:spacing w:val="-20"/>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建立健全党风廉政建设各项制度，开展党风廉政建设宣传教育，加强对本方工作人</w:t>
      </w:r>
      <w:r>
        <w:rPr>
          <w:rFonts w:hint="eastAsia" w:ascii="Calibri" w:hAnsi="Calibri" w:eastAsia="宋体" w:cs="Times New Roman"/>
          <w:color w:val="000000"/>
          <w:spacing w:val="-4"/>
          <w:sz w:val="21"/>
          <w:szCs w:val="24"/>
          <w:highlight w:val="none"/>
          <w:lang w:val="en-US" w:eastAsia="zh-CN" w:bidi="ar-SA"/>
        </w:rPr>
        <w:t xml:space="preserve">员的监督检查。</w:t>
      </w:r>
      <w:r/>
    </w:p>
    <w:p>
      <w:pPr>
        <w:ind w:left="218" w:right="280" w:firstLine="631"/>
        <w:jc w:val="both"/>
        <w:spacing w:before="45" w:after="120" w:afterAutospacing="0" w:line="410"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（五）发现对方在业务活动中有违反廉政规定的行为，有及时提醒和督促对方纠正的权利和义务，并严肃查处本方工作人员的违纪行为。</w:t>
      </w:r>
      <w:r/>
    </w:p>
    <w:p>
      <w:pPr>
        <w:ind w:left="218"/>
        <w:spacing w:before="43"/>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第二条：甲方在廉政建设方面的义务</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32"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（一）甲方及其工作人员不准在施工单位安插亲友及介绍销售不合规定的工程材料，不得指定需购物资设备的销售单位或部门；不得挤占、截留、挪用工程款或超进度拨付工程款。</w:t>
      </w:r>
      <w:r/>
    </w:p>
    <w:p>
      <w:pPr>
        <w:ind w:left="218" w:right="272" w:firstLine="525"/>
        <w:jc w:val="both"/>
        <w:spacing w:before="46" w:after="120" w:afterAutospacing="0" w:line="408" w:lineRule="auto"/>
        <w:widowControl w:val="off"/>
        <w:rPr>
          <w:rFonts w:hint="eastAsia" w:ascii="Calibri" w:hAnsi="Calibri" w:eastAsia="宋体" w:cs="Times New Roman"/>
          <w:color w:val="000000"/>
          <w:spacing w:val="-6"/>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甲方及其工作人员不准索要或接受乙方的礼金，有价证券、支付凭证、贵重物品等财物。</w:t>
      </w:r>
      <w:r/>
    </w:p>
    <w:p>
      <w:pPr>
        <w:ind w:left="218" w:right="232" w:firstLine="525"/>
        <w:jc w:val="both"/>
        <w:spacing w:after="120" w:afterAutospacing="0" w:line="408" w:lineRule="auto"/>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（三）甲方及其工作人员不准在乙方报销应由甲方或个人支付的费用。</w:t>
      </w:r>
      <w:r/>
    </w:p>
    <w:p>
      <w:pPr>
        <w:ind w:left="218" w:right="232" w:firstLine="525"/>
        <w:jc w:val="both"/>
        <w:spacing w:after="120" w:afterAutospacing="0" w:line="408" w:lineRule="auto"/>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（四）甲方工作人员不准参加乙方提供的宴请、娱乐活动；不准要求乙方提供交通工具、通讯工具、高档办公用品等。</w:t>
      </w:r>
      <w:r/>
    </w:p>
    <w:p>
      <w:pPr>
        <w:ind w:left="218" w:right="245" w:firstLine="525"/>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（五）甲方及其工作人员不准要求或者接受乙方为其住房装修、婚丧嫁娶、配偶、子女、亲友出国（境）旅游提供方便。</w:t>
      </w:r>
      <w:r/>
    </w:p>
    <w:p>
      <w:pPr>
        <w:ind w:left="218" w:right="280" w:firstLine="419"/>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（六）甲方及其工作人员不准要求乙方为其配偶、子女及有利害关系的人员安排工作或劳务；不准违反规定从事与乙方施工项目有关的材料设备供应、工程分包等经济活动。</w:t>
      </w:r>
      <w:r/>
    </w:p>
    <w:p>
      <w:pPr>
        <w:ind w:left="218"/>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第三条：乙方在廉政建设方面义务</w:t>
      </w:r>
      <w:r/>
    </w:p>
    <w:p>
      <w:pPr>
        <w:jc w:val="both"/>
        <w:spacing w:before="10"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45" w:firstLine="523"/>
        <w:jc w:val="both"/>
        <w:spacing w:after="120" w:afterAutospacing="0" w:line="410"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（一）乙方不准以任何形式向甲方及其工作人员馈赠礼金、礼品、有价证券、支付凭证、贵重物品等财物；</w:t>
      </w:r>
      <w:r/>
    </w:p>
    <w:p>
      <w:pPr>
        <w:ind w:left="777"/>
        <w:jc w:val="both"/>
        <w:spacing w:before="44"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（二）乙方不准以任何名义为甲方及其工作人员报销应由甲方或个人支付的费用。</w:t>
      </w:r>
      <w:r/>
    </w:p>
    <w:p>
      <w:pPr>
        <w:jc w:val="both"/>
        <w:spacing w:before="10"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218" w:right="275" w:firstLine="631"/>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（三）乙方不准以任何理由邀请甲方工作人员参加对承建的施工项目有影响的宴请、及娱乐活动；不准为其提供通讯工具、交通工具、高档办公用品等。</w:t>
      </w:r>
      <w:r/>
    </w:p>
    <w:p>
      <w:pPr>
        <w:ind w:left="218" w:right="269" w:firstLine="547"/>
        <w:jc w:val="both"/>
        <w:spacing w:before="46"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（四</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8"/>
          <w:sz w:val="21"/>
          <w:szCs w:val="24"/>
          <w:highlight w:val="none"/>
          <w:lang w:val="en-US" w:eastAsia="zh-CN" w:bidi="ar-SA"/>
        </w:rPr>
        <w:t xml:space="preserve">乙方不准为甲方工作人员住房装修、婚丧嫁娶、配偶、子女、亲友出国</w:t>
      </w:r>
      <w:r>
        <w:rPr>
          <w:rFonts w:hint="eastAsia" w:ascii="Calibri" w:hAnsi="Calibri" w:eastAsia="宋体" w:cs="Times New Roman"/>
          <w:color w:val="000000"/>
          <w:sz w:val="21"/>
          <w:szCs w:val="24"/>
          <w:highlight w:val="none"/>
          <w:lang w:val="en-US" w:eastAsia="zh-CN" w:bidi="ar-SA"/>
        </w:rPr>
        <w:t xml:space="preserve">（境</w:t>
      </w:r>
      <w:r>
        <w:rPr>
          <w:rFonts w:hint="eastAsia" w:ascii="Calibri" w:hAnsi="Calibri" w:eastAsia="宋体" w:cs="Times New Roman"/>
          <w:color w:val="000000"/>
          <w:spacing w:val="-10"/>
          <w:sz w:val="21"/>
          <w:szCs w:val="24"/>
          <w:highlight w:val="none"/>
          <w:lang w:val="en-US" w:eastAsia="zh-CN" w:bidi="ar-SA"/>
        </w:rPr>
        <w:t xml:space="preserve">）</w:t>
      </w:r>
      <w:r>
        <w:rPr>
          <w:rFonts w:hint="eastAsia" w:ascii="Calibri" w:hAnsi="Calibri" w:eastAsia="宋体" w:cs="Times New Roman"/>
          <w:color w:val="000000"/>
          <w:spacing w:val="-2"/>
          <w:sz w:val="21"/>
          <w:szCs w:val="24"/>
          <w:highlight w:val="none"/>
          <w:lang w:val="en-US" w:eastAsia="zh-CN" w:bidi="ar-SA"/>
        </w:rPr>
        <w:t xml:space="preserve">旅游</w:t>
      </w:r>
      <w:r>
        <w:rPr>
          <w:rFonts w:hint="eastAsia" w:ascii="Calibri" w:hAnsi="Calibri" w:eastAsia="宋体" w:cs="Times New Roman"/>
          <w:color w:val="000000"/>
          <w:spacing w:val="-3"/>
          <w:sz w:val="21"/>
          <w:szCs w:val="24"/>
          <w:highlight w:val="none"/>
          <w:lang w:val="en-US" w:eastAsia="zh-CN" w:bidi="ar-SA"/>
        </w:rPr>
        <w:t xml:space="preserve">提供方便；不准为甲方工作人员的配偶、子女及有利害关系的人员安排工作或劳务。</w:t>
      </w:r>
      <w:r/>
    </w:p>
    <w:p>
      <w:pPr>
        <w:ind w:left="743"/>
        <w:jc w:val="both"/>
        <w:spacing w:before="46" w:after="120" w:afterAutospacing="0"/>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（五）乙方不准违反规定将承建的施工项目分包或转包。</w:t>
      </w:r>
      <w:r/>
    </w:p>
    <w:p>
      <w:pPr>
        <w:jc w:val="both"/>
        <w:spacing w:before="10" w:after="120" w:afterAutospacing="0"/>
        <w:widowControl w:val="off"/>
        <w:rPr>
          <w:rFonts w:ascii="Calibri" w:hAnsi="Calibri" w:eastAsia="宋体" w:cs="Times New Roman"/>
          <w:color w:val="000000"/>
          <w:sz w:val="14"/>
          <w:szCs w:val="24"/>
          <w:highlight w:val="none"/>
          <w:lang w:val="en-US" w:eastAsia="zh-CN" w:bidi="ar-SA"/>
        </w:rPr>
      </w:pPr>
      <w:r>
        <w:rPr>
          <w:rFonts w:ascii="Calibri" w:hAnsi="Calibri" w:eastAsia="宋体" w:cs="Times New Roman"/>
          <w:color w:val="000000"/>
          <w:sz w:val="14"/>
          <w:szCs w:val="24"/>
          <w:highlight w:val="none"/>
          <w:lang w:val="en-US" w:eastAsia="zh-CN" w:bidi="ar-SA"/>
        </w:rPr>
      </w:r>
      <w:r/>
    </w:p>
    <w:p>
      <w:pPr>
        <w:ind w:left="218" w:right="269"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（六</w:t>
      </w:r>
      <w:r>
        <w:rPr>
          <w:rFonts w:hint="eastAsia" w:ascii="Calibri" w:hAnsi="Calibri" w:eastAsia="宋体" w:cs="Times New Roman"/>
          <w:color w:val="000000"/>
          <w:spacing w:val="-8"/>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乙方及其工作人员不准与该工程的监理单位串通，违反工程计量、资金支付、质量</w:t>
      </w:r>
      <w:r>
        <w:rPr>
          <w:rFonts w:hint="eastAsia" w:ascii="Calibri" w:hAnsi="Calibri" w:eastAsia="宋体" w:cs="Times New Roman"/>
          <w:color w:val="000000"/>
          <w:spacing w:val="-4"/>
          <w:sz w:val="21"/>
          <w:szCs w:val="24"/>
          <w:highlight w:val="none"/>
          <w:lang w:val="en-US" w:eastAsia="zh-CN" w:bidi="ar-SA"/>
        </w:rPr>
        <w:t xml:space="preserve">验评、竣工验收等有关规定和程序，损害甲方利益，影响工程质量、进度和安全。</w:t>
      </w:r>
      <w:r/>
    </w:p>
    <w:p>
      <w:pPr>
        <w:ind w:left="218"/>
        <w:spacing w:line="223" w:lineRule="exact"/>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第四条：违约责任</w:t>
      </w:r>
      <w:r/>
    </w:p>
    <w:p>
      <w:pPr>
        <w:ind w:left="218" w:right="270" w:firstLine="525"/>
        <w:jc w:val="both"/>
        <w:spacing w:before="136" w:after="120" w:afterAutospacing="0" w:line="355"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w:t>
      </w:r>
      <w:r>
        <w:rPr>
          <w:rFonts w:hint="eastAsia" w:ascii="Calibri" w:hAnsi="Calibri" w:eastAsia="宋体" w:cs="Times New Roman"/>
          <w:color w:val="000000"/>
          <w:spacing w:val="-3"/>
          <w:sz w:val="21"/>
          <w:szCs w:val="24"/>
          <w:highlight w:val="none"/>
          <w:lang w:val="en-US" w:eastAsia="zh-CN" w:bidi="ar-SA"/>
        </w:rPr>
        <w:t xml:space="preserve">一</w:t>
      </w:r>
      <w:r>
        <w:rPr>
          <w:rFonts w:hint="eastAsia" w:ascii="Calibri" w:hAnsi="Calibri" w:eastAsia="宋体" w:cs="Times New Roman"/>
          <w:color w:val="000000"/>
          <w:spacing w:val="-5"/>
          <w:sz w:val="21"/>
          <w:szCs w:val="24"/>
          <w:highlight w:val="none"/>
          <w:lang w:val="en-US" w:eastAsia="zh-CN" w:bidi="ar-SA"/>
        </w:rPr>
        <w:t xml:space="preserve">）</w:t>
      </w:r>
      <w:r>
        <w:rPr>
          <w:rFonts w:hint="eastAsia" w:ascii="Calibri" w:hAnsi="Calibri" w:eastAsia="宋体" w:cs="Times New Roman"/>
          <w:color w:val="000000"/>
          <w:spacing w:val="-6"/>
          <w:sz w:val="21"/>
          <w:szCs w:val="24"/>
          <w:highlight w:val="none"/>
          <w:lang w:val="en-US" w:eastAsia="zh-CN" w:bidi="ar-SA"/>
        </w:rPr>
        <w:t xml:space="preserve">甲方若违反本《廉政合同》有关规定的，对违法乱纪人员，由甲方主管部门依据有</w:t>
      </w:r>
      <w:r>
        <w:rPr>
          <w:rFonts w:hint="eastAsia" w:ascii="Calibri" w:hAnsi="Calibri" w:eastAsia="宋体" w:cs="Times New Roman"/>
          <w:color w:val="000000"/>
          <w:spacing w:val="-4"/>
          <w:sz w:val="21"/>
          <w:szCs w:val="24"/>
          <w:highlight w:val="none"/>
          <w:lang w:val="en-US" w:eastAsia="zh-CN" w:bidi="ar-SA"/>
        </w:rPr>
        <w:t xml:space="preserve">关规定查处，给乙方造成的损失，按有关规定予以赔偿。</w:t>
      </w:r>
      <w:r/>
    </w:p>
    <w:p>
      <w:pPr>
        <w:ind w:left="218" w:right="280" w:firstLine="419"/>
        <w:jc w:val="both"/>
        <w:spacing w:before="133"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（二）乙方若违反本《廉政合同》有关规定的，对违法乱纪人员，由乙方主管部门依据有关规定查处，给甲方造成的损失，按有关规定予以赔偿。</w:t>
      </w:r>
      <w:r/>
    </w:p>
    <w:p>
      <w:pPr>
        <w:ind w:left="218"/>
        <w:spacing w:before="46"/>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第五条：督查单位</w:t>
      </w:r>
      <w:r/>
    </w:p>
    <w:p>
      <w:pPr>
        <w:jc w:val="both"/>
        <w:spacing w:before="10"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272"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6"/>
          <w:sz w:val="21"/>
          <w:szCs w:val="24"/>
          <w:highlight w:val="none"/>
          <w:lang w:val="en-US" w:eastAsia="zh-CN" w:bidi="ar-SA"/>
        </w:rPr>
        <w:t xml:space="preserve">双方约定：自愿接受纪委、监察部门对合同执行情况的监督检查，接受提出本合同规定范</w:t>
      </w:r>
      <w:r>
        <w:rPr>
          <w:rFonts w:hint="eastAsia" w:ascii="Calibri" w:hAnsi="Calibri" w:eastAsia="宋体" w:cs="Times New Roman"/>
          <w:color w:val="000000"/>
          <w:spacing w:val="-4"/>
          <w:sz w:val="21"/>
          <w:szCs w:val="24"/>
          <w:highlight w:val="none"/>
          <w:lang w:val="en-US" w:eastAsia="zh-CN" w:bidi="ar-SA"/>
        </w:rPr>
        <w:t xml:space="preserve">围内的裁定意见。</w:t>
      </w:r>
      <w:r/>
    </w:p>
    <w:p>
      <w:pPr>
        <w:ind w:left="218"/>
        <w:spacing w:before="45"/>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第六条：检查方式</w:t>
      </w:r>
      <w:r/>
    </w:p>
    <w:p>
      <w:pPr>
        <w:jc w:val="both"/>
        <w:spacing w:before="9" w:after="120" w:afterAutospacing="0"/>
        <w:widowControl w:val="off"/>
        <w:rPr>
          <w:rFonts w:ascii="Calibri" w:hAnsi="Calibri" w:eastAsia="宋体" w:cs="Times New Roman"/>
          <w:b/>
          <w:color w:val="000000"/>
          <w:sz w:val="14"/>
          <w:szCs w:val="24"/>
          <w:highlight w:val="none"/>
          <w:lang w:val="en-US" w:eastAsia="zh-CN" w:bidi="ar-SA"/>
        </w:rPr>
      </w:pPr>
      <w:r>
        <w:rPr>
          <w:rFonts w:ascii="Calibri" w:hAnsi="Calibri" w:eastAsia="宋体" w:cs="Times New Roman"/>
          <w:b/>
          <w:color w:val="000000"/>
          <w:sz w:val="14"/>
          <w:szCs w:val="24"/>
          <w:highlight w:val="none"/>
          <w:lang w:val="en-US" w:eastAsia="zh-CN" w:bidi="ar-SA"/>
        </w:rPr>
      </w:r>
      <w:r/>
    </w:p>
    <w:p>
      <w:pPr>
        <w:ind w:left="218" w:right="164" w:firstLine="525"/>
        <w:jc w:val="both"/>
        <w:spacing w:after="120" w:afterAutospacing="0" w:line="408" w:lineRule="auto"/>
        <w:widowControl w:val="off"/>
        <w:rPr>
          <w:rFonts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pacing w:val="-10"/>
          <w:sz w:val="21"/>
          <w:szCs w:val="24"/>
          <w:highlight w:val="none"/>
          <w:lang w:val="en-US" w:eastAsia="zh-CN" w:bidi="ar-SA"/>
        </w:rPr>
        <w:t xml:space="preserve">本合同的履约情况由督查单位主持，甲乙双方共同派员参加，检查方式为座谈、问卷调查、查看资料或由各方约定的其他方式等。检查时间、次数、方式、检查结论和执行违约责任等由</w:t>
      </w:r>
      <w:r>
        <w:rPr>
          <w:rFonts w:hint="eastAsia" w:ascii="Calibri" w:hAnsi="Calibri" w:eastAsia="宋体" w:cs="Times New Roman"/>
          <w:color w:val="000000"/>
          <w:spacing w:val="-5"/>
          <w:sz w:val="21"/>
          <w:szCs w:val="24"/>
          <w:highlight w:val="none"/>
          <w:lang w:val="en-US" w:eastAsia="zh-CN" w:bidi="ar-SA"/>
        </w:rPr>
        <w:t xml:space="preserve">双方协商确定，如无法达成一致的，由督查单位依据事实裁定。</w:t>
      </w:r>
      <w:r/>
    </w:p>
    <w:p>
      <w:pPr>
        <w:ind w:left="218"/>
        <w:spacing w:before="45"/>
        <w:rPr>
          <w:rFonts w:hint="default" w:ascii="Calibri" w:hAnsi="Calibri" w:eastAsia="宋体" w:cs="Times New Roman"/>
          <w:b/>
          <w:color w:val="000000"/>
          <w:sz w:val="21"/>
          <w:highlight w:val="none"/>
          <w:lang w:eastAsia="zh-CN"/>
        </w:rPr>
      </w:pPr>
      <w:r>
        <w:rPr>
          <w:rFonts w:hint="eastAsia" w:ascii="Calibri" w:hAnsi="Calibri" w:eastAsia="宋体" w:cs="Times New Roman"/>
          <w:b/>
          <w:color w:val="000000"/>
          <w:sz w:val="21"/>
          <w:highlight w:val="none"/>
          <w:lang w:eastAsia="zh-CN"/>
        </w:rPr>
        <w:t xml:space="preserve">第七条：本合同有效期为工程开工之日起至该合同段工程项目竣工验收后止。</w:t>
      </w:r>
      <w:r/>
    </w:p>
    <w:p>
      <w:pPr>
        <w:rPr>
          <w:color w:val="000000"/>
          <w:sz w:val="21"/>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color w:val="000000"/>
          <w:sz w:val="21"/>
          <w:highlight w:val="none"/>
          <w:lang w:eastAsia="zh-CN"/>
        </w:rPr>
      </w:r>
      <w:r/>
    </w:p>
    <w:p>
      <w:pPr>
        <w:jc w:val="both"/>
        <w:spacing w:before="9" w:after="120" w:afterAutospacing="0"/>
        <w:widowControl w:val="off"/>
        <w:rPr>
          <w:rFonts w:ascii="Calibri" w:hAnsi="Calibri" w:eastAsia="宋体" w:cs="Times New Roman"/>
          <w:b/>
          <w:color w:val="000000"/>
          <w:sz w:val="9"/>
          <w:szCs w:val="24"/>
          <w:highlight w:val="none"/>
          <w:lang w:val="en-US" w:eastAsia="zh-CN" w:bidi="ar-SA"/>
        </w:rPr>
      </w:pPr>
      <w:r>
        <w:rPr>
          <w:rFonts w:ascii="Calibri" w:hAnsi="Calibri" w:eastAsia="宋体" w:cs="Times New Roman"/>
          <w:b/>
          <w:color w:val="000000"/>
          <w:sz w:val="9"/>
          <w:szCs w:val="24"/>
          <w:highlight w:val="none"/>
          <w:lang w:val="en-US" w:eastAsia="zh-CN" w:bidi="ar-SA"/>
        </w:rPr>
      </w:r>
      <w:r/>
    </w:p>
    <w:p>
      <w:pPr>
        <w:ind w:left="218"/>
        <w:spacing w:before="36"/>
        <w:rPr>
          <w:rFonts w:hint="default" w:ascii="Calibri" w:hAnsi="Calibri" w:eastAsia="宋体" w:cs="Times New Roman"/>
          <w:b/>
          <w:sz w:val="21"/>
          <w:highlight w:val="none"/>
          <w:lang w:eastAsia="zh-CN"/>
        </w:rPr>
      </w:pPr>
      <w:r>
        <w:rPr>
          <w:rFonts w:hint="eastAsia" w:ascii="Calibri" w:hAnsi="Calibri" w:eastAsia="宋体" w:cs="Times New Roman"/>
          <w:b/>
          <w:sz w:val="21"/>
          <w:highlight w:val="none"/>
          <w:lang w:eastAsia="zh-CN"/>
        </w:rPr>
        <w:t xml:space="preserve">第八条：本合同一式三份，甲、乙双方各执一份，送交督查部门一份。</w:t>
      </w:r>
      <w:r/>
    </w:p>
    <w:p>
      <w:pPr>
        <w:jc w:val="both"/>
        <w:spacing w:after="120" w:afterAutospacing="0"/>
        <w:widowControl w:val="off"/>
        <w:rPr>
          <w:rFonts w:ascii="Calibri" w:hAnsi="Calibri" w:eastAsia="宋体" w:cs="Times New Roman"/>
          <w:b/>
          <w:sz w:val="20"/>
          <w:szCs w:val="24"/>
          <w:highlight w:val="none"/>
          <w:lang w:val="en-US" w:eastAsia="zh-CN" w:bidi="ar-SA"/>
        </w:rPr>
      </w:pPr>
      <w:r>
        <w:rPr>
          <w:rFonts w:ascii="Calibri" w:hAnsi="Calibri" w:eastAsia="宋体" w:cs="Times New Roman"/>
          <w:b/>
          <w:sz w:val="20"/>
          <w:szCs w:val="24"/>
          <w:highlight w:val="none"/>
          <w:lang w:val="en-US" w:eastAsia="zh-CN" w:bidi="ar-SA"/>
        </w:rPr>
      </w:r>
      <w:r/>
    </w:p>
    <w:p>
      <w:pPr>
        <w:jc w:val="both"/>
        <w:spacing w:after="120" w:afterAutospacing="0"/>
        <w:widowControl w:val="off"/>
        <w:rPr>
          <w:rFonts w:ascii="Calibri" w:hAnsi="Calibri" w:eastAsia="宋体" w:cs="Times New Roman"/>
          <w:b/>
          <w:sz w:val="20"/>
          <w:szCs w:val="24"/>
          <w:highlight w:val="none"/>
          <w:lang w:val="en-US" w:eastAsia="zh-CN" w:bidi="ar-SA"/>
        </w:rPr>
      </w:pPr>
      <w:r>
        <w:rPr>
          <w:rFonts w:ascii="Calibri" w:hAnsi="Calibri" w:eastAsia="宋体" w:cs="Times New Roman"/>
          <w:b/>
          <w:sz w:val="20"/>
          <w:szCs w:val="24"/>
          <w:highlight w:val="none"/>
          <w:lang w:val="en-US" w:eastAsia="zh-CN" w:bidi="ar-SA"/>
        </w:rPr>
      </w:r>
      <w:r/>
    </w:p>
    <w:p>
      <w:pPr>
        <w:ind w:left="638"/>
        <w:jc w:val="both"/>
        <w:spacing w:before="137"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甲方单位：（盖章）</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right="5181"/>
        <w:jc w:val="both"/>
        <w:spacing w:after="120" w:afterAutospacing="0" w:line="408" w:lineRule="auto"/>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法定代表人（或受权代理人）签字： 单位地址：</w:t>
      </w:r>
      <w:r/>
    </w:p>
    <w:p>
      <w:pPr>
        <w:ind w:left="638"/>
        <w:jc w:val="both"/>
        <w:spacing w:before="45"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联系电话：</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jc w:val="both"/>
        <w:spacing w:after="120" w:afterAutospacing="0"/>
        <w:widowControl w:val="off"/>
        <w:tabs>
          <w:tab w:val="left" w:pos="1269" w:leader="none"/>
          <w:tab w:val="left" w:pos="2215" w:leader="none"/>
          <w:tab w:val="left" w:pos="2949" w:leader="none"/>
          <w:tab w:val="left" w:pos="3580" w:leader="none"/>
        </w:tabs>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日</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期：</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年</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月</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日</w:t>
      </w:r>
      <w:r/>
    </w:p>
    <w:p>
      <w:pPr>
        <w:jc w:val="both"/>
        <w:spacing w:after="120" w:afterAutospacing="0"/>
        <w:widowControl w:val="off"/>
        <w:rPr>
          <w:rFonts w:ascii="Calibri" w:hAnsi="Calibri" w:eastAsia="宋体" w:cs="Times New Roman"/>
          <w:sz w:val="20"/>
          <w:szCs w:val="24"/>
          <w:highlight w:val="none"/>
          <w:lang w:val="en-US" w:eastAsia="zh-CN" w:bidi="ar-SA"/>
        </w:rPr>
      </w:pPr>
      <w:r>
        <w:rPr>
          <w:rFonts w:ascii="Calibri" w:hAnsi="Calibri" w:eastAsia="宋体" w:cs="Times New Roman"/>
          <w:sz w:val="20"/>
          <w:szCs w:val="24"/>
          <w:highlight w:val="none"/>
          <w:lang w:val="en-US" w:eastAsia="zh-CN" w:bidi="ar-SA"/>
        </w:rPr>
      </w:r>
      <w:r/>
    </w:p>
    <w:p>
      <w:pPr>
        <w:jc w:val="both"/>
        <w:spacing w:after="120" w:afterAutospacing="0"/>
        <w:widowControl w:val="off"/>
        <w:rPr>
          <w:rFonts w:ascii="Calibri" w:hAnsi="Calibri" w:eastAsia="宋体" w:cs="Times New Roman"/>
          <w:sz w:val="20"/>
          <w:szCs w:val="24"/>
          <w:highlight w:val="none"/>
          <w:lang w:val="en-US" w:eastAsia="zh-CN" w:bidi="ar-SA"/>
        </w:rPr>
      </w:pPr>
      <w:r>
        <w:rPr>
          <w:rFonts w:ascii="Calibri" w:hAnsi="Calibri" w:eastAsia="宋体" w:cs="Times New Roman"/>
          <w:sz w:val="20"/>
          <w:szCs w:val="24"/>
          <w:highlight w:val="none"/>
          <w:lang w:val="en-US" w:eastAsia="zh-CN" w:bidi="ar-SA"/>
        </w:rPr>
      </w:r>
      <w:r/>
    </w:p>
    <w:p>
      <w:pPr>
        <w:ind w:left="640"/>
        <w:jc w:val="both"/>
        <w:spacing w:before="138"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乙方单位：（盖章）</w:t>
      </w:r>
      <w:r/>
    </w:p>
    <w:p>
      <w:pPr>
        <w:jc w:val="both"/>
        <w:spacing w:before="10"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right="5178" w:firstLine="2"/>
        <w:jc w:val="both"/>
        <w:spacing w:after="120" w:afterAutospacing="0" w:line="408" w:lineRule="auto"/>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法定代表人（或受权代理人）签字： 单位地址：</w:t>
      </w:r>
      <w:r/>
    </w:p>
    <w:p>
      <w:pPr>
        <w:ind w:left="638"/>
        <w:jc w:val="both"/>
        <w:spacing w:before="46" w:after="120" w:afterAutospacing="0"/>
        <w:widowControl w:val="off"/>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联系电话：</w:t>
      </w:r>
      <w:r/>
    </w:p>
    <w:p>
      <w:pPr>
        <w:jc w:val="both"/>
        <w:spacing w:before="9" w:after="120" w:afterAutospacing="0"/>
        <w:widowControl w:val="off"/>
        <w:rPr>
          <w:rFonts w:ascii="Calibri" w:hAnsi="Calibri" w:eastAsia="宋体" w:cs="Times New Roman"/>
          <w:sz w:val="14"/>
          <w:szCs w:val="24"/>
          <w:highlight w:val="none"/>
          <w:lang w:val="en-US" w:eastAsia="zh-CN" w:bidi="ar-SA"/>
        </w:rPr>
      </w:pPr>
      <w:r>
        <w:rPr>
          <w:rFonts w:ascii="Calibri" w:hAnsi="Calibri" w:eastAsia="宋体" w:cs="Times New Roman"/>
          <w:sz w:val="14"/>
          <w:szCs w:val="24"/>
          <w:highlight w:val="none"/>
          <w:lang w:val="en-US" w:eastAsia="zh-CN" w:bidi="ar-SA"/>
        </w:rPr>
      </w:r>
      <w:r/>
    </w:p>
    <w:p>
      <w:pPr>
        <w:ind w:left="638"/>
        <w:jc w:val="both"/>
        <w:spacing w:before="1" w:after="120" w:afterAutospacing="0"/>
        <w:widowControl w:val="off"/>
        <w:tabs>
          <w:tab w:val="left" w:pos="1269" w:leader="none"/>
          <w:tab w:val="left" w:pos="2215" w:leader="none"/>
          <w:tab w:val="left" w:pos="2740" w:leader="none"/>
          <w:tab w:val="left" w:pos="3264" w:leader="none"/>
        </w:tabs>
        <w:rPr>
          <w:rFonts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日</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期：</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年</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月</w:t>
      </w:r>
      <w:r>
        <w:rPr>
          <w:rFonts w:hint="eastAsia" w:ascii="Calibri" w:hAnsi="Calibri" w:eastAsia="宋体" w:cs="Times New Roman"/>
          <w:sz w:val="21"/>
          <w:szCs w:val="24"/>
          <w:highlight w:val="none"/>
          <w:lang w:val="en-US" w:eastAsia="zh-CN" w:bidi="ar-SA"/>
        </w:rPr>
        <w:tab/>
      </w:r>
      <w:r>
        <w:rPr>
          <w:rFonts w:hint="eastAsia" w:ascii="Calibri" w:hAnsi="Calibri" w:eastAsia="宋体" w:cs="Times New Roman"/>
          <w:sz w:val="21"/>
          <w:szCs w:val="24"/>
          <w:highlight w:val="none"/>
          <w:lang w:val="en-US" w:eastAsia="zh-CN" w:bidi="ar-SA"/>
        </w:rPr>
        <w:t xml:space="preserve">日</w:t>
      </w:r>
      <w:r/>
    </w:p>
    <w:p>
      <w:pPr>
        <w:rPr>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lang w:eastAsia="zh-CN"/>
        </w:rPr>
      </w:r>
      <w:r/>
    </w:p>
    <w:p>
      <w:pPr>
        <w:jc w:val="center"/>
        <w:spacing w:line="360" w:lineRule="auto"/>
        <w:rPr>
          <w:b/>
          <w:color w:val="000000" w:themeColor="text1"/>
          <w:sz w:val="36"/>
          <w:szCs w:val="36"/>
          <w:highlight w:val="none"/>
        </w:rPr>
        <w:outlineLvl w:val="0"/>
      </w:pPr>
      <w:r/>
      <w:bookmarkStart w:id="677" w:name="_Toc18619"/>
      <w:r>
        <w:rPr>
          <w:b/>
          <w:color w:val="000000" w:themeColor="text1"/>
          <w:sz w:val="36"/>
          <w:szCs w:val="36"/>
          <w:highlight w:val="none"/>
        </w:rPr>
        <w:t xml:space="preserve">第六章   响应文件格式</w:t>
      </w:r>
      <w:bookmarkEnd w:id="677"/>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1248"/>
        <w:rPr>
          <w:rFonts w:ascii="Times New Roman"/>
          <w:b w:val="0"/>
          <w:bCs/>
          <w:color w:val="000000" w:themeColor="text1"/>
          <w:highlight w:val="none"/>
          <w:u w:val="none"/>
        </w:rPr>
      </w:pPr>
      <w:r>
        <w:rPr>
          <w:rFonts w:ascii="Times New Roman"/>
          <w:b w:val="0"/>
          <w:color w:val="000000" w:themeColor="text1"/>
          <w:highlight w:val="none"/>
          <w:u w:val="none"/>
        </w:rPr>
        <w:t xml:space="preserve">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1267"/>
        <w:ind w:firstLine="480"/>
        <w:spacing w:line="460" w:lineRule="exact"/>
        <w:rPr>
          <w:color w:val="000000" w:themeColor="text1"/>
          <w:highlight w:val="none"/>
        </w:rPr>
      </w:pPr>
      <w:r>
        <w:rPr>
          <w:color w:val="000000" w:themeColor="text1"/>
          <w:highlight w:val="none"/>
        </w:rPr>
      </w:r>
      <w:r/>
    </w:p>
    <w:p>
      <w:pPr>
        <w:pStyle w:val="1267"/>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267"/>
        <w:ind w:firstLine="480"/>
        <w:spacing w:line="460" w:lineRule="exact"/>
        <w:rPr>
          <w:color w:val="000000" w:themeColor="text1"/>
          <w:highlight w:val="none"/>
        </w:rPr>
      </w:pPr>
      <w:r>
        <w:rPr>
          <w:color w:val="000000" w:themeColor="text1"/>
          <w:highlight w:val="none"/>
        </w:rPr>
      </w:r>
      <w:r/>
    </w:p>
    <w:p>
      <w:pPr>
        <w:pStyle w:val="1267"/>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1267"/>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p>
    <w:p>
      <w:pPr>
        <w:pStyle w:val="1267"/>
        <w:ind w:firstLine="480"/>
        <w:spacing w:line="460" w:lineRule="exact"/>
        <w:rPr>
          <w:color w:val="000000" w:themeColor="text1"/>
          <w:highlight w:val="none"/>
        </w:rPr>
      </w:pPr>
      <w:r>
        <w:rPr>
          <w:rFonts w:hint="eastAsia"/>
          <w:color w:val="000000" w:themeColor="text1"/>
          <w:highlight w:val="none"/>
        </w:rPr>
        <w:t xml:space="preserve">二、我单位具有良好的商业信誉（指供应商经营状况良好，无本资格声明第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三</w:t>
      </w:r>
      <w:r>
        <w:rPr>
          <w:rFonts w:hint="eastAsia"/>
          <w:color w:val="000000" w:themeColor="text1"/>
          <w:highlight w:val="none"/>
        </w:rPr>
        <w:t xml:space="preserve">、我单位依法进行纳税和社会保险申报并实际履行了义务。</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四</w:t>
      </w:r>
      <w:r>
        <w:rPr>
          <w:rFonts w:hint="eastAsia"/>
          <w:color w:val="000000" w:themeColor="text1"/>
          <w:highlight w:val="none"/>
        </w:rPr>
        <w:t xml:space="preserve">、我单位具有履行本项目采购合同所必需的设备和专业技术能力，并具有履行合同的良好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267"/>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五</w:t>
      </w:r>
      <w:r>
        <w:rPr>
          <w:rFonts w:hint="eastAsia"/>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、我单位具备法律、行政法规规定的其他条件。</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、与我单位存在“单位负责人为同一人或者存在直接控股、管理关系”的其他单位信息如下（如无此情形的，填写“无”）：</w:t>
      </w:r>
      <w:r/>
    </w:p>
    <w:p>
      <w:pPr>
        <w:pStyle w:val="1267"/>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八</w:t>
      </w:r>
      <w:r>
        <w:rPr>
          <w:rFonts w:hint="eastAsia"/>
          <w:color w:val="000000" w:themeColor="text1"/>
          <w:highlight w:val="none"/>
        </w:rPr>
        <w:t xml:space="preserve">、</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1267"/>
        <w:ind w:firstLine="480"/>
        <w:spacing w:line="460" w:lineRule="exact"/>
        <w:rPr>
          <w:color w:val="000000" w:themeColor="text1"/>
          <w:highlight w:val="none"/>
        </w:rPr>
      </w:pPr>
      <w:r>
        <w:rPr>
          <w:rFonts w:hint="eastAsia"/>
          <w:color w:val="000000" w:themeColor="text1"/>
          <w:highlight w:val="none"/>
          <w:lang w:val="en-US" w:eastAsia="zh-CN"/>
        </w:rPr>
        <w:t xml:space="preserve">九</w:t>
      </w:r>
      <w:r>
        <w:rPr>
          <w:rFonts w:hint="eastAsia"/>
          <w:color w:val="000000" w:themeColor="text1"/>
          <w:highlight w:val="none"/>
        </w:rPr>
        <w:t xml:space="preserve">、</w:t>
      </w:r>
      <w:r>
        <w:rPr>
          <w:color w:val="000000" w:themeColor="text1"/>
          <w:highlight w:val="none"/>
        </w:rPr>
        <w:t xml:space="preserve">我单位无以下不良信用记录情形：</w:t>
      </w:r>
      <w:r/>
    </w:p>
    <w:p>
      <w:pPr>
        <w:pStyle w:val="1267"/>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267"/>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267"/>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267"/>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267"/>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1267"/>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267"/>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中小企业声明函</w:t>
      </w:r>
      <w:r>
        <w:rPr>
          <w:rFonts w:hint="eastAsia"/>
          <w:color w:val="000000" w:themeColor="text1"/>
          <w:sz w:val="24"/>
          <w:szCs w:val="20"/>
          <w:highlight w:val="none"/>
        </w:rPr>
        <w:t xml:space="preserve">（实质性格式）</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jc w:val="center"/>
        <w:spacing w:line="360" w:lineRule="auto"/>
        <w:rPr>
          <w:b/>
          <w:bCs/>
          <w:color w:val="000000" w:themeColor="text1"/>
          <w:sz w:val="36"/>
          <w:szCs w:val="36"/>
          <w:highlight w:val="none"/>
        </w:rPr>
        <w:outlineLvl w:val="2"/>
      </w:pPr>
      <w:r>
        <w:rPr>
          <w:rFonts w:hint="eastAsia"/>
          <w:b/>
          <w:bCs/>
          <w:color w:val="000000" w:themeColor="text1"/>
          <w:sz w:val="36"/>
          <w:szCs w:val="36"/>
          <w:highlight w:val="none"/>
        </w:rPr>
        <w:t xml:space="preserve">中小企业声明函（工程）格式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采购活动，工程的施工单位全部为符合政策要求的中小企业。相关企业的具体情况如下：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107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jc w:val="left"/>
        <w:widowControl/>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1332"/>
        <w:ind w:firstLine="480"/>
        <w:rPr>
          <w:color w:val="000000" w:themeColor="text1"/>
          <w:highlight w:val="none"/>
        </w:rPr>
      </w:pPr>
      <w:r>
        <w:rPr>
          <w:color w:val="000000" w:themeColor="text1"/>
          <w:highlight w:val="none"/>
        </w:rPr>
      </w:r>
      <w:r/>
    </w:p>
    <w:p>
      <w:pPr>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spacing w:line="360" w:lineRule="auto"/>
        <w:rPr>
          <w:color w:val="000000" w:themeColor="text1"/>
          <w:sz w:val="24"/>
          <w:szCs w:val="20"/>
          <w:highlight w:val="none"/>
        </w:rPr>
        <w:outlineLvl w:val="2"/>
      </w:pPr>
      <w:r>
        <w:rPr>
          <w:b/>
          <w:color w:val="000000" w:themeColor="text1"/>
          <w:sz w:val="24"/>
          <w:highlight w:val="none"/>
        </w:rPr>
        <w:br w:type="page" w:clear="all"/>
      </w:r>
      <w:bookmarkStart w:id="678" w:name="_Toc150774762"/>
      <w:r/>
      <w:bookmarkStart w:id="679" w:name="_Toc226965747"/>
      <w:r/>
      <w:bookmarkStart w:id="680" w:name="_Toc264969247"/>
      <w:r/>
      <w:bookmarkStart w:id="681" w:name="_Toc480942350"/>
      <w:r/>
      <w:bookmarkStart w:id="682" w:name="_Toc305158825"/>
      <w:r/>
      <w:bookmarkStart w:id="683" w:name="_Toc265228395"/>
      <w:r/>
      <w:bookmarkStart w:id="684" w:name="_Toc195842922"/>
      <w:r/>
      <w:bookmarkStart w:id="685" w:name="_Toc127151557"/>
      <w:r/>
      <w:bookmarkStart w:id="686" w:name="_Toc226965830"/>
      <w:r/>
      <w:bookmarkStart w:id="687" w:name="_Toc226309801"/>
      <w:r/>
      <w:bookmarkStart w:id="688" w:name="_Toc305158899"/>
      <w:r/>
      <w:bookmarkStart w:id="689" w:name="_Toc520356218"/>
      <w:r/>
      <w:bookmarkStart w:id="690" w:name="_Ref467988705"/>
      <w:r/>
      <w:bookmarkStart w:id="691" w:name="_Toc226337253"/>
      <w:r/>
      <w:bookmarkStart w:id="692" w:name="_Toc150480795"/>
      <w:r/>
      <w:bookmarkStart w:id="693" w:name="_Toc142311059"/>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94" w:name="_Hlt520356243"/>
      <w:r/>
      <w:bookmarkEnd w:id="694"/>
      <w:r/>
      <w:bookmarkStart w:id="695" w:name="_Hlt520355938"/>
      <w:r/>
      <w:bookmarkEnd w:id="695"/>
      <w:r>
        <w:rPr>
          <w:color w:val="000000" w:themeColor="text1"/>
          <w:sz w:val="24"/>
          <w:highlight w:val="none"/>
        </w:rPr>
        <w:br w:type="page" w:clear="all"/>
      </w:r>
      <w:r/>
    </w:p>
    <w:p>
      <w:pPr>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1276"/>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10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pStyle w:val="1064"/>
        <w:rPr>
          <w:rFonts w:hint="eastAsia"/>
          <w:color w:val="000000" w:themeColor="text1"/>
          <w:sz w:val="24"/>
          <w:highlight w:val="none"/>
        </w:rPr>
      </w:pPr>
      <w:r>
        <w:rPr>
          <w:rFonts w:hint="eastAsia"/>
          <w:color w:val="000000" w:themeColor="text1"/>
          <w:sz w:val="24"/>
          <w:highlight w:val="none"/>
        </w:rPr>
      </w:r>
      <w:r/>
    </w:p>
    <w:p>
      <w:pPr>
        <w:rPr>
          <w:rFonts w:hint="eastAsia"/>
          <w:color w:val="000000" w:themeColor="text1"/>
          <w:sz w:val="24"/>
          <w:highlight w:val="none"/>
        </w:rPr>
      </w:pPr>
      <w:r>
        <w:rPr>
          <w:rFonts w:hint="eastAsia"/>
          <w:color w:val="000000" w:themeColor="text1"/>
          <w:sz w:val="24"/>
          <w:highlight w:val="none"/>
        </w:rPr>
      </w:r>
      <w:r/>
    </w:p>
    <w:p>
      <w:pPr>
        <w:pStyle w:val="1064"/>
        <w:rPr>
          <w:rFonts w:hint="eastAsia"/>
          <w:highlight w:val="none"/>
        </w:rPr>
      </w:pPr>
      <w:r>
        <w:rPr>
          <w:rFonts w:hint="eastAsia"/>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500"/>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jc w:val="center"/>
        <w:rPr>
          <w:b/>
          <w:color w:val="000000" w:themeColor="text1"/>
          <w:sz w:val="36"/>
          <w:szCs w:val="36"/>
          <w:highlight w:val="none"/>
        </w:rPr>
      </w:pPr>
      <w:r/>
      <w:bookmarkStart w:id="696" w:name="_Toc164608827"/>
      <w:r/>
      <w:bookmarkStart w:id="697" w:name="_Toc305158826"/>
      <w:r/>
      <w:bookmarkStart w:id="698" w:name="_Toc226309802"/>
      <w:r/>
      <w:bookmarkStart w:id="699" w:name="_Toc264969248"/>
      <w:r/>
      <w:bookmarkStart w:id="700" w:name="_Toc226965831"/>
      <w:r/>
      <w:bookmarkStart w:id="701" w:name="_Toc305158900"/>
      <w:r/>
      <w:bookmarkStart w:id="702" w:name="_Toc164608672"/>
      <w:r/>
      <w:bookmarkStart w:id="703" w:name="_Toc226337254"/>
      <w:r/>
      <w:bookmarkStart w:id="704" w:name="_Toc195842923"/>
      <w:r/>
      <w:bookmarkStart w:id="705" w:name="_Toc265228396"/>
      <w:r/>
      <w:bookmarkStart w:id="706" w:name="_Toc226965748"/>
      <w:r>
        <w:rPr>
          <w:rFonts w:hint="eastAsia"/>
          <w:b/>
          <w:color w:val="000000" w:themeColor="text1"/>
          <w:sz w:val="36"/>
          <w:szCs w:val="36"/>
          <w:highlight w:val="none"/>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1073"/>
        <w:tblW w:w="450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620"/>
        <w:gridCol w:w="2451"/>
        <w:gridCol w:w="3348"/>
        <w:gridCol w:w="1981"/>
      </w:tblGrid>
      <w:tr>
        <w:trPr>
          <w:jc w:val="center"/>
          <w:trHeight w:val="531"/>
        </w:trPr>
        <w:tc>
          <w:tcPr>
            <w:tcW w:w="619"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2446"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gridSpan w:val="2"/>
            <w:tcW w:w="5318"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p>
        </w:tc>
      </w:tr>
      <w:tr>
        <w:trPr>
          <w:jc w:val="center"/>
          <w:trHeight w:val="674"/>
        </w:trPr>
        <w:tc>
          <w:tcPr>
            <w:tcW w:w="619"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2446"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3341"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p>
        </w:tc>
        <w:tc>
          <w:tcPr>
            <w:tcW w:w="1977"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p>
        </w:tc>
      </w:tr>
      <w:tr>
        <w:trPr>
          <w:jc w:val="center"/>
          <w:trHeight w:val="976"/>
        </w:trPr>
        <w:tc>
          <w:tcPr>
            <w:tcW w:w="619"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2446"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3341"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977"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jc w:val="left"/>
        <w:rPr>
          <w:color w:val="000000" w:themeColor="text1"/>
          <w:sz w:val="24"/>
          <w:szCs w:val="20"/>
          <w:highlight w:val="none"/>
        </w:rPr>
      </w:pPr>
      <w:r>
        <w:rPr>
          <w:color w:val="000000" w:themeColor="text1"/>
          <w:sz w:val="24"/>
          <w:highlight w:val="none"/>
        </w:rPr>
        <w:t xml:space="preserve">注：</w:t>
      </w:r>
      <w:r>
        <w:rPr>
          <w:color w:val="000000" w:themeColor="text1"/>
          <w:sz w:val="24"/>
          <w:szCs w:val="20"/>
          <w:highlight w:val="none"/>
        </w:rPr>
        <w:t xml:space="preserve">报价应和《分项报价表》中的总价相一致。</w:t>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707" w:name="_Toc305158827"/>
      <w:r/>
      <w:bookmarkStart w:id="708" w:name="_Toc226965832"/>
      <w:r/>
      <w:bookmarkStart w:id="709" w:name="_Toc305158901"/>
      <w:r/>
      <w:bookmarkStart w:id="710" w:name="_Toc195842924"/>
      <w:r/>
      <w:bookmarkStart w:id="711" w:name="_Toc226965749"/>
      <w:r/>
      <w:bookmarkStart w:id="712" w:name="_Toc127151558"/>
      <w:r/>
      <w:bookmarkStart w:id="713" w:name="_Toc226309803"/>
      <w:r/>
      <w:bookmarkStart w:id="714" w:name="_Toc150480796"/>
      <w:r/>
      <w:bookmarkStart w:id="715" w:name="_Toc150774763"/>
      <w:r/>
      <w:bookmarkStart w:id="716" w:name="_Toc142311060"/>
      <w:r/>
      <w:bookmarkStart w:id="717" w:name="_Toc265228397"/>
      <w:r/>
      <w:bookmarkStart w:id="718" w:name="_Toc226337255"/>
      <w:r/>
      <w:bookmarkStart w:id="719" w:name="_Toc264969249"/>
      <w:r>
        <w:rPr>
          <w:color w:val="000000" w:themeColor="text1"/>
          <w:sz w:val="24"/>
          <w:szCs w:val="20"/>
          <w:highlight w:val="none"/>
        </w:rPr>
        <w:br w:type="page" w:clear="all"/>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8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color w:val="000000" w:themeColor="text1"/>
          <w:sz w:val="24"/>
          <w:szCs w:val="20"/>
          <w:highlight w:val="none"/>
        </w:rPr>
        <w:t xml:space="preserve">分项报价表</w:t>
      </w:r>
      <w:r/>
    </w:p>
    <w:p>
      <w:pPr>
        <w:jc w:val="center"/>
        <w:spacing w:line="360" w:lineRule="exact"/>
        <w:rPr>
          <w:color w:val="000000" w:themeColor="text1"/>
          <w:sz w:val="36"/>
          <w:szCs w:val="36"/>
          <w:highlight w:val="none"/>
        </w:rPr>
      </w:pPr>
      <w:r>
        <w:rPr>
          <w:color w:val="000000" w:themeColor="text1"/>
          <w:sz w:val="36"/>
          <w:szCs w:val="36"/>
          <w:highlight w:val="none"/>
        </w:rPr>
      </w:r>
      <w:r/>
    </w:p>
    <w:p>
      <w:pPr>
        <w:spacing w:line="360" w:lineRule="auto"/>
        <w:rPr>
          <w:rFonts w:hint="eastAsia"/>
          <w:color w:val="000000" w:themeColor="text1"/>
          <w:sz w:val="24"/>
          <w:szCs w:val="20"/>
          <w:highlight w:val="none"/>
        </w:rPr>
        <w:outlineLvl w:val="2"/>
      </w:pPr>
      <w:r/>
      <w:bookmarkStart w:id="720" w:name="_Toc226337258"/>
      <w:r/>
      <w:bookmarkStart w:id="721" w:name="_Toc226309806"/>
      <w:r/>
      <w:bookmarkStart w:id="722" w:name="_Toc195842927"/>
      <w:r/>
      <w:bookmarkStart w:id="723" w:name="_Toc142311062"/>
      <w:r/>
      <w:bookmarkStart w:id="724" w:name="_Toc226965835"/>
      <w:r/>
      <w:bookmarkStart w:id="725" w:name="_Toc150774765"/>
      <w:r/>
      <w:bookmarkStart w:id="726" w:name="_Toc305158830"/>
      <w:r/>
      <w:bookmarkStart w:id="727" w:name="_Toc127151562"/>
      <w:r/>
      <w:bookmarkStart w:id="728" w:name="_Toc150480798"/>
      <w:r/>
      <w:bookmarkStart w:id="729" w:name="_Toc305158904"/>
      <w:r/>
      <w:bookmarkStart w:id="730" w:name="_Toc226965752"/>
      <w:r/>
      <w:bookmarkStart w:id="731" w:name="_Toc265228400"/>
      <w:r/>
      <w:bookmarkStart w:id="732" w:name="_Toc264969252"/>
      <w:r/>
      <w:bookmarkStart w:id="733" w:name="_Toc305158829"/>
      <w:r/>
      <w:bookmarkStart w:id="734" w:name="_Toc305158903"/>
      <w:r/>
      <w:bookmarkStart w:id="735" w:name="_Toc226965751"/>
      <w:r/>
      <w:bookmarkStart w:id="736" w:name="_Toc226965834"/>
      <w:r/>
      <w:bookmarkStart w:id="737" w:name="_Toc127151561"/>
      <w:r/>
      <w:bookmarkStart w:id="738" w:name="_Toc265228399"/>
      <w:r/>
      <w:bookmarkStart w:id="739" w:name="_Toc150480797"/>
      <w:r/>
      <w:bookmarkStart w:id="740" w:name="_Toc226309805"/>
      <w:r/>
      <w:bookmarkStart w:id="741" w:name="_Toc264969251"/>
      <w:r/>
      <w:bookmarkStart w:id="742" w:name="_Toc226337257"/>
      <w:r/>
      <w:bookmarkStart w:id="743" w:name="_Toc150774764"/>
      <w:r/>
      <w:bookmarkStart w:id="744" w:name="_Toc142311061"/>
      <w:r/>
      <w:bookmarkStart w:id="745" w:name="_Toc195842926"/>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9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themeColor="text1"/>
          <w:sz w:val="24"/>
          <w:szCs w:val="20"/>
          <w:highlight w:val="none"/>
        </w:rPr>
        <w:t xml:space="preserve">（实质性格式）</w:t>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10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color w:val="000000" w:themeColor="text1"/>
          <w:sz w:val="24"/>
          <w:szCs w:val="20"/>
          <w:highlight w:val="none"/>
        </w:rPr>
        <w:t xml:space="preserve">采购需求偏离表（实质性格式）</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107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1332"/>
        <w:ind w:firstLine="480"/>
        <w:rPr>
          <w:rFonts w:hint="eastAsia"/>
          <w:color w:val="000000" w:themeColor="text1"/>
          <w:szCs w:val="20"/>
          <w:highlight w:val="none"/>
        </w:rPr>
      </w:pPr>
      <w:r>
        <w:rPr>
          <w:rFonts w:hint="eastAsia"/>
          <w:color w:val="000000" w:themeColor="text1"/>
          <w:szCs w:val="20"/>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11</w:t>
      </w:r>
      <w:r>
        <w:rPr>
          <w:rFonts w:hint="eastAsia"/>
          <w:color w:val="000000" w:themeColor="text1"/>
          <w:sz w:val="24"/>
          <w:szCs w:val="20"/>
          <w:highlight w:val="none"/>
        </w:rPr>
        <w:t xml:space="preserve">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1073"/>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rFonts w:hint="eastAsia"/>
          <w:color w:val="000000" w:themeColor="text1"/>
          <w:sz w:val="22"/>
          <w:highlight w:val="none"/>
        </w:rPr>
      </w:pPr>
      <w:r>
        <w:rPr>
          <w:color w:val="000000" w:themeColor="text1"/>
          <w:sz w:val="22"/>
          <w:highlight w:val="none"/>
        </w:rPr>
        <w:br w:type="page" w:clear="all"/>
      </w:r>
      <w:bookmarkStart w:id="746" w:name="_Toc288738839"/>
      <w:r/>
      <w:bookmarkStart w:id="747" w:name="_Toc288738397"/>
      <w:r/>
      <w:r/>
    </w:p>
    <w:p>
      <w:pPr>
        <w:rPr>
          <w:color w:val="000000" w:themeColor="text1"/>
          <w:sz w:val="24"/>
          <w:szCs w:val="20"/>
          <w:highlight w:val="none"/>
        </w:rPr>
      </w:pP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6"/>
      <w:r/>
      <w:bookmarkEnd w:id="747"/>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10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eastAsia="宋体"/>
          <w:color w:val="000000" w:themeColor="text1"/>
          <w:sz w:val="24"/>
          <w:szCs w:val="20"/>
          <w:highlight w:val="none"/>
        </w:rPr>
        <w:outlineLvl w:val="2"/>
      </w:pPr>
      <w:r>
        <w:rPr>
          <w:rFonts w:hint="eastAsia"/>
          <w:color w:val="000000" w:themeColor="text1"/>
          <w:sz w:val="24"/>
          <w:szCs w:val="20"/>
          <w:highlight w:val="none"/>
          <w:lang w:val="en-US" w:eastAsia="zh-CN"/>
        </w:rPr>
        <w:t xml:space="preserve">13  磋商文件要求或者供应商认为应当提交的其他资料</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bookmarkEnd w:id="748"/>
      <w:r/>
      <w:r/>
    </w:p>
    <w:sectPr>
      <w:headerReference w:type="even" r:id="rId14"/>
      <w:headerReference w:type="first" r:id="rId15"/>
      <w:footerReference w:type="default" r:id="rId27"/>
      <w:footerReference w:type="even" r:id="rId28"/>
      <w:footerReference w:type="first" r:id="rId29"/>
      <w:footnotePr/>
      <w:endnotePr/>
      <w:type w:val="nextPage"/>
      <w:pgSz w:w="11905" w:h="16840" w:orient="portrait"/>
      <w:pgMar w:top="1440" w:right="1304" w:bottom="1440" w:left="1304"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center" w:y="1"/>
    </w:pPr>
    <w:r>
      <w:fldChar w:fldCharType="begin"/>
    </w:r>
    <w:r>
      <w:rPr>
        <w:rStyle w:val="1318"/>
      </w:rPr>
      <w:instrText xml:space="preserve">PAGE  </w:instrText>
    </w:r>
    <w:r>
      <w:fldChar w:fldCharType="end"/>
    </w:r>
    <w:r/>
  </w:p>
  <w:p>
    <w:pPr>
      <w:pStyle w:val="129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宋体" w:hAnsi="Times New Roman" w:eastAsia="宋体" w:cs="Times New Roman"/>
                        <w:sz w:val="18"/>
                        <w:szCs w:val="20"/>
                        <w:lang w:val="en-US" w:eastAsia="zh-CN" w:bidi="ar-SA"/>
                      </w:rPr>
                    </w:pPr>
                    <w:r>
                      <w:rPr>
                        <w:rFonts w:hint="default" w:ascii="宋体" w:hAnsi="Times New Roman" w:eastAsia="宋体" w:cs="Times New Roman"/>
                        <w:sz w:val="18"/>
                        <w:szCs w:val="20"/>
                        <w:lang w:val="en-US" w:eastAsia="zh-CN" w:bidi="ar-SA"/>
                      </w:rPr>
                      <w:fldChar w:fldCharType="begin"/>
                    </w:r>
                    <w:r>
                      <w:rPr>
                        <w:rFonts w:hint="default" w:ascii="宋体" w:hAnsi="Times New Roman" w:eastAsia="宋体" w:cs="Times New Roman"/>
                        <w:sz w:val="18"/>
                        <w:szCs w:val="20"/>
                        <w:lang w:val="en-US" w:eastAsia="zh-CN" w:bidi="ar-SA"/>
                      </w:rPr>
                      <w:instrText xml:space="preserve"> PAGE  \* MERGEFORMAT </w:instrText>
                    </w:r>
                    <w:r>
                      <w:rPr>
                        <w:rFonts w:hint="default" w:ascii="宋体" w:hAnsi="Times New Roman" w:eastAsia="宋体" w:cs="Times New Roman"/>
                        <w:sz w:val="18"/>
                        <w:szCs w:val="20"/>
                        <w:lang w:val="en-US" w:eastAsia="zh-CN" w:bidi="ar-SA"/>
                      </w:rPr>
                      <w:fldChar w:fldCharType="separate"/>
                    </w:r>
                    <w:r>
                      <w:rPr>
                        <w:rFonts w:hint="default" w:ascii="宋体" w:hAnsi="Times New Roman" w:eastAsia="宋体" w:cs="Times New Roman"/>
                        <w:sz w:val="18"/>
                        <w:szCs w:val="20"/>
                        <w:lang w:val="en-US" w:eastAsia="zh-CN" w:bidi="ar-SA"/>
                      </w:rPr>
                      <w:t xml:space="preserve">18</w:t>
                    </w:r>
                    <w:r>
                      <w:rPr>
                        <w:rFonts w:hint="default" w:ascii="宋体" w:hAnsi="Times New Roman" w:eastAsia="宋体" w:cs="Times New Roman"/>
                        <w:sz w:val="18"/>
                        <w:szCs w:val="20"/>
                        <w:lang w:val="en-US" w:eastAsia="zh-CN" w:bidi="ar-S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0"/>
        <w:szCs w:val="24"/>
        <w:lang w:val="en-US" w:eastAsia="zh-CN" w:bidi="ar-SA"/>
      </w:rPr>
    </w:pPr>
    <w:r>
      <w:rPr>
        <w:rFonts w:ascii="Calibri" w:hAnsi="Calibri" w:eastAsia="宋体" w:cs="Times New Roman"/>
        <w:sz w:val="20"/>
        <w:szCs w:val="24"/>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318"/>
      </w:rPr>
      <w:framePr w:wrap="around" w:vAnchor="text" w:hAnchor="margin" w:xAlign="right" w:y="1"/>
    </w:pPr>
    <w:r>
      <w:rPr>
        <w:rStyle w:val="1318"/>
      </w:rPr>
      <w:fldChar w:fldCharType="begin"/>
    </w:r>
    <w:r>
      <w:rPr>
        <w:rStyle w:val="1318"/>
      </w:rPr>
      <w:instrText xml:space="preserve">PAGE  </w:instrText>
    </w:r>
    <w:r>
      <w:rPr>
        <w:rStyle w:val="1318"/>
      </w:rPr>
      <w:fldChar w:fldCharType="end"/>
    </w:r>
    <w:r/>
  </w:p>
  <w:p>
    <w:pPr>
      <w:pStyle w:val="1293"/>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120" w:afterAutospacing="0" w:line="14" w:lineRule="auto"/>
      <w:widowControl w:val="off"/>
      <w:rPr>
        <w:rFonts w:ascii="Calibri" w:hAnsi="Calibri" w:eastAsia="宋体" w:cs="Times New Roman"/>
        <w:sz w:val="2"/>
        <w:szCs w:val="24"/>
        <w:lang w:val="en-US" w:eastAsia="zh-CN" w:bidi="ar-SA"/>
      </w:rPr>
    </w:pPr>
    <w:r>
      <w:rPr>
        <w:rFonts w:ascii="Calibri" w:hAnsi="Calibri" w:eastAsia="宋体" w:cs="Times New Roman"/>
        <w:sz w:val="2"/>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40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9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6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5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5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9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9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00"/>
      <w:isLgl w:val="false"/>
      <w:suff w:val="nothing"/>
      <w:lvlText w:val="%1.%2.%3.%4.%5.%6　"/>
      <w:lvlJc w:val="left"/>
      <w:pPr>
        <w:ind w:left="-25" w:firstLine="0"/>
      </w:pPr>
      <w:rPr>
        <w:rFonts w:ascii="Times New Roman" w:hAnsi="Times New Roman" w:eastAsia="宋体"/>
        <w:b/>
        <w:i w:val="0"/>
        <w:sz w:val="28"/>
      </w:rPr>
    </w:lvl>
    <w:lvl w:ilvl="6">
      <w:start w:val="1"/>
      <w:numFmt w:val="lowerLetter"/>
      <w:pStyle w:val="141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7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lowerLetter"/>
      <w:pStyle w:val="143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461"/>
      <w:isLgl w:val="false"/>
      <w:suff w:val="tab"/>
      <w:lvlText w:val="%1"/>
      <w:lvlJc w:val="left"/>
      <w:pPr>
        <w:ind w:left="680" w:hanging="680"/>
      </w:pPr>
      <w:rPr>
        <w:rFonts w:hint="eastAsia" w:ascii="宋体" w:hAnsi="宋体" w:eastAsia="宋体"/>
      </w:rPr>
    </w:lvl>
    <w:lvl w:ilvl="1">
      <w:start w:val="1"/>
      <w:numFmt w:val="decimal"/>
      <w:pStyle w:val="1462"/>
      <w:isLgl w:val="false"/>
      <w:suff w:val="tab"/>
      <w:lvlText w:val="%1.%2"/>
      <w:lvlJc w:val="left"/>
      <w:pPr>
        <w:ind w:left="851" w:hanging="851"/>
      </w:pPr>
      <w:rPr>
        <w:rFonts w:hint="eastAsia" w:ascii="宋体" w:hAnsi="宋体" w:eastAsia="宋体"/>
        <w:color w:val="000000"/>
      </w:rPr>
    </w:lvl>
    <w:lvl w:ilvl="2">
      <w:start w:val="1"/>
      <w:numFmt w:val="decimal"/>
      <w:pStyle w:val="146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6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9"/>
  </w:num>
  <w:num w:numId="4">
    <w:abstractNumId w:val="2"/>
  </w:num>
  <w:num w:numId="5">
    <w:abstractNumId w:val="1"/>
  </w:num>
  <w:num w:numId="6">
    <w:abstractNumId w:val="6"/>
  </w:num>
  <w:num w:numId="7">
    <w:abstractNumId w:val="7"/>
  </w:num>
  <w:num w:numId="8">
    <w:abstractNumId w:val="11"/>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default="1">
    <w:name w:val="Normal"/>
    <w:next w:val="1064"/>
    <w:link w:val="15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name w:val="Heading 1"/>
    <w:basedOn w:val="1062"/>
    <w:next w:val="1062"/>
    <w:link w:val="1098"/>
    <w:uiPriority w:val="9"/>
    <w:qFormat/>
    <w:pPr>
      <w:keepLines/>
      <w:keepNext/>
      <w:spacing w:before="480" w:after="200"/>
      <w:outlineLvl w:val="0"/>
    </w:pPr>
    <w:rPr>
      <w:rFonts w:ascii="Arial" w:hAnsi="Arial" w:eastAsia="Arial" w:cs="Arial"/>
      <w:sz w:val="40"/>
      <w:szCs w:val="40"/>
    </w:rPr>
  </w:style>
  <w:style w:type="paragraph" w:styleId="1064">
    <w:name w:val="Heading 2"/>
    <w:basedOn w:val="1062"/>
    <w:next w:val="1062"/>
    <w:link w:val="1099"/>
    <w:uiPriority w:val="9"/>
    <w:unhideWhenUsed/>
    <w:qFormat/>
    <w:pPr>
      <w:keepLines/>
      <w:keepNext/>
      <w:spacing w:before="360" w:after="200"/>
      <w:outlineLvl w:val="1"/>
    </w:pPr>
    <w:rPr>
      <w:rFonts w:ascii="Arial" w:hAnsi="Arial" w:eastAsia="Arial" w:cs="Arial"/>
      <w:sz w:val="34"/>
    </w:rPr>
  </w:style>
  <w:style w:type="paragraph" w:styleId="1065">
    <w:name w:val="Heading 3"/>
    <w:basedOn w:val="1062"/>
    <w:next w:val="1062"/>
    <w:link w:val="1100"/>
    <w:uiPriority w:val="9"/>
    <w:unhideWhenUsed/>
    <w:qFormat/>
    <w:pPr>
      <w:keepLines/>
      <w:keepNext/>
      <w:spacing w:before="320" w:after="200"/>
      <w:outlineLvl w:val="2"/>
    </w:pPr>
    <w:rPr>
      <w:rFonts w:ascii="Arial" w:hAnsi="Arial" w:eastAsia="Arial" w:cs="Arial"/>
      <w:sz w:val="30"/>
      <w:szCs w:val="30"/>
    </w:rPr>
  </w:style>
  <w:style w:type="paragraph" w:styleId="1066">
    <w:name w:val="Heading 4"/>
    <w:basedOn w:val="1062"/>
    <w:next w:val="1062"/>
    <w:link w:val="1101"/>
    <w:uiPriority w:val="9"/>
    <w:unhideWhenUsed/>
    <w:qFormat/>
    <w:pPr>
      <w:keepLines/>
      <w:keepNext/>
      <w:spacing w:before="320" w:after="200"/>
      <w:outlineLvl w:val="3"/>
    </w:pPr>
    <w:rPr>
      <w:rFonts w:ascii="Arial" w:hAnsi="Arial" w:eastAsia="Arial" w:cs="Arial"/>
      <w:b/>
      <w:bCs/>
      <w:sz w:val="26"/>
      <w:szCs w:val="26"/>
    </w:rPr>
  </w:style>
  <w:style w:type="paragraph" w:styleId="1067">
    <w:name w:val="Heading 5"/>
    <w:basedOn w:val="1062"/>
    <w:next w:val="1062"/>
    <w:link w:val="1102"/>
    <w:uiPriority w:val="9"/>
    <w:unhideWhenUsed/>
    <w:qFormat/>
    <w:pPr>
      <w:keepLines/>
      <w:keepNext/>
      <w:spacing w:before="320" w:after="200"/>
      <w:outlineLvl w:val="4"/>
    </w:pPr>
    <w:rPr>
      <w:rFonts w:ascii="Arial" w:hAnsi="Arial" w:eastAsia="Arial" w:cs="Arial"/>
      <w:b/>
      <w:bCs/>
      <w:sz w:val="24"/>
      <w:szCs w:val="24"/>
    </w:rPr>
  </w:style>
  <w:style w:type="paragraph" w:styleId="1068">
    <w:name w:val="Heading 6"/>
    <w:basedOn w:val="1062"/>
    <w:next w:val="1062"/>
    <w:link w:val="1103"/>
    <w:uiPriority w:val="9"/>
    <w:unhideWhenUsed/>
    <w:qFormat/>
    <w:pPr>
      <w:keepLines/>
      <w:keepNext/>
      <w:spacing w:before="320" w:after="200"/>
      <w:outlineLvl w:val="5"/>
    </w:pPr>
    <w:rPr>
      <w:rFonts w:ascii="Arial" w:hAnsi="Arial" w:eastAsia="Arial" w:cs="Arial"/>
      <w:b/>
      <w:bCs/>
      <w:sz w:val="22"/>
      <w:szCs w:val="22"/>
    </w:rPr>
  </w:style>
  <w:style w:type="paragraph" w:styleId="1069">
    <w:name w:val="Heading 7"/>
    <w:basedOn w:val="1062"/>
    <w:next w:val="1062"/>
    <w:link w:val="1104"/>
    <w:uiPriority w:val="9"/>
    <w:unhideWhenUsed/>
    <w:qFormat/>
    <w:pPr>
      <w:keepLines/>
      <w:keepNext/>
      <w:spacing w:before="320" w:after="200"/>
      <w:outlineLvl w:val="6"/>
    </w:pPr>
    <w:rPr>
      <w:rFonts w:ascii="Arial" w:hAnsi="Arial" w:eastAsia="Arial" w:cs="Arial"/>
      <w:b/>
      <w:bCs/>
      <w:i/>
      <w:iCs/>
      <w:sz w:val="22"/>
      <w:szCs w:val="22"/>
    </w:rPr>
  </w:style>
  <w:style w:type="paragraph" w:styleId="1070">
    <w:name w:val="Heading 8"/>
    <w:basedOn w:val="1062"/>
    <w:next w:val="1062"/>
    <w:link w:val="1105"/>
    <w:uiPriority w:val="9"/>
    <w:unhideWhenUsed/>
    <w:qFormat/>
    <w:pPr>
      <w:keepLines/>
      <w:keepNext/>
      <w:spacing w:before="320" w:after="200"/>
      <w:outlineLvl w:val="7"/>
    </w:pPr>
    <w:rPr>
      <w:rFonts w:ascii="Arial" w:hAnsi="Arial" w:eastAsia="Arial" w:cs="Arial"/>
      <w:i/>
      <w:iCs/>
      <w:sz w:val="22"/>
      <w:szCs w:val="22"/>
    </w:rPr>
  </w:style>
  <w:style w:type="paragraph" w:styleId="1071">
    <w:name w:val="Heading 9"/>
    <w:basedOn w:val="1062"/>
    <w:next w:val="1062"/>
    <w:link w:val="1106"/>
    <w:uiPriority w:val="9"/>
    <w:unhideWhenUsed/>
    <w:qFormat/>
    <w:pPr>
      <w:keepLines/>
      <w:keepNext/>
      <w:spacing w:before="320" w:after="200"/>
      <w:outlineLvl w:val="8"/>
    </w:pPr>
    <w:rPr>
      <w:rFonts w:ascii="Arial" w:hAnsi="Arial" w:eastAsia="Arial" w:cs="Arial"/>
      <w:i/>
      <w:iCs/>
      <w:sz w:val="21"/>
      <w:szCs w:val="21"/>
    </w:rPr>
  </w:style>
  <w:style w:type="character" w:styleId="1072" w:default="1">
    <w:name w:val="Default Paragraph Font"/>
    <w:uiPriority w:val="1"/>
    <w:semiHidden/>
    <w:unhideWhenUsed/>
    <w:qFormat/>
  </w:style>
  <w:style w:type="table" w:styleId="1073" w:default="1">
    <w:name w:val="Normal Table"/>
    <w:uiPriority w:val="99"/>
    <w:semiHidden/>
    <w:unhideWhenUsed/>
    <w:qFormat/>
    <w:tblPr>
      <w:tblCellMar>
        <w:left w:w="108" w:type="dxa"/>
        <w:top w:w="0" w:type="dxa"/>
        <w:right w:w="108" w:type="dxa"/>
        <w:bottom w:w="0" w:type="dxa"/>
      </w:tblCellMar>
    </w:tblPr>
  </w:style>
  <w:style w:type="paragraph" w:styleId="1074">
    <w:name w:val="toc 7"/>
    <w:basedOn w:val="1062"/>
    <w:next w:val="1062"/>
    <w:uiPriority w:val="39"/>
    <w:unhideWhenUsed/>
    <w:qFormat/>
    <w:pPr>
      <w:ind w:left="1701" w:right="0" w:firstLine="0"/>
      <w:spacing w:after="57"/>
    </w:pPr>
  </w:style>
  <w:style w:type="paragraph" w:styleId="1075">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1076">
    <w:name w:val="Caption"/>
    <w:basedOn w:val="1062"/>
    <w:next w:val="1062"/>
    <w:uiPriority w:val="35"/>
    <w:semiHidden/>
    <w:unhideWhenUsed/>
    <w:qFormat/>
    <w:pPr>
      <w:spacing w:line="276" w:lineRule="auto"/>
    </w:pPr>
    <w:rPr>
      <w:b/>
      <w:bCs/>
      <w:color w:val="4f81bd" w:themeColor="accent1"/>
      <w:sz w:val="18"/>
      <w:szCs w:val="18"/>
    </w:rPr>
  </w:style>
  <w:style w:type="paragraph" w:styleId="1077">
    <w:name w:val="annotation text"/>
    <w:basedOn w:val="1062"/>
    <w:uiPriority w:val="99"/>
    <w:semiHidden/>
    <w:unhideWhenUsed/>
    <w:qFormat/>
    <w:pPr>
      <w:jc w:val="left"/>
    </w:pPr>
  </w:style>
  <w:style w:type="paragraph" w:styleId="1078">
    <w:name w:val="Body Text"/>
    <w:next w:val="1062"/>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1079">
    <w:name w:val="toc 5"/>
    <w:basedOn w:val="1062"/>
    <w:next w:val="1062"/>
    <w:uiPriority w:val="39"/>
    <w:unhideWhenUsed/>
    <w:qFormat/>
    <w:pPr>
      <w:ind w:left="1134" w:right="0" w:firstLine="0"/>
      <w:spacing w:after="57"/>
    </w:pPr>
  </w:style>
  <w:style w:type="paragraph" w:styleId="1080">
    <w:name w:val="toc 3"/>
    <w:basedOn w:val="1062"/>
    <w:next w:val="1062"/>
    <w:uiPriority w:val="39"/>
    <w:unhideWhenUsed/>
    <w:qFormat/>
    <w:pPr>
      <w:ind w:left="567" w:right="0" w:firstLine="0"/>
      <w:spacing w:after="57"/>
    </w:pPr>
  </w:style>
  <w:style w:type="paragraph" w:styleId="1081">
    <w:name w:val="toc 8"/>
    <w:basedOn w:val="1062"/>
    <w:next w:val="1062"/>
    <w:uiPriority w:val="39"/>
    <w:unhideWhenUsed/>
    <w:qFormat/>
    <w:pPr>
      <w:ind w:left="1984" w:right="0" w:firstLine="0"/>
      <w:spacing w:after="57"/>
    </w:pPr>
  </w:style>
  <w:style w:type="paragraph" w:styleId="1082">
    <w:name w:val="endnote text"/>
    <w:basedOn w:val="1062"/>
    <w:link w:val="1244"/>
    <w:uiPriority w:val="99"/>
    <w:semiHidden/>
    <w:unhideWhenUsed/>
    <w:qFormat/>
    <w:pPr>
      <w:spacing w:after="0" w:line="240" w:lineRule="auto"/>
    </w:pPr>
    <w:rPr>
      <w:sz w:val="20"/>
    </w:rPr>
  </w:style>
  <w:style w:type="paragraph" w:styleId="1083">
    <w:name w:val="Footer"/>
    <w:basedOn w:val="1062"/>
    <w:link w:val="1117"/>
    <w:uiPriority w:val="99"/>
    <w:unhideWhenUsed/>
    <w:qFormat/>
    <w:pPr>
      <w:spacing w:after="0" w:line="240" w:lineRule="auto"/>
      <w:tabs>
        <w:tab w:val="center" w:pos="7143" w:leader="none"/>
        <w:tab w:val="right" w:pos="14287" w:leader="none"/>
      </w:tabs>
    </w:pPr>
  </w:style>
  <w:style w:type="paragraph" w:styleId="1084">
    <w:name w:val="Header"/>
    <w:basedOn w:val="1062"/>
    <w:link w:val="1115"/>
    <w:uiPriority w:val="99"/>
    <w:unhideWhenUsed/>
    <w:qFormat/>
    <w:pPr>
      <w:spacing w:after="0" w:line="240" w:lineRule="auto"/>
      <w:tabs>
        <w:tab w:val="center" w:pos="7143" w:leader="none"/>
        <w:tab w:val="right" w:pos="14287" w:leader="none"/>
      </w:tabs>
    </w:pPr>
  </w:style>
  <w:style w:type="paragraph" w:styleId="1085">
    <w:name w:val="toc 1"/>
    <w:basedOn w:val="1062"/>
    <w:next w:val="1062"/>
    <w:uiPriority w:val="39"/>
    <w:unhideWhenUsed/>
    <w:qFormat/>
    <w:pPr>
      <w:ind w:left="0" w:right="0" w:firstLine="0"/>
      <w:spacing w:after="57"/>
    </w:pPr>
  </w:style>
  <w:style w:type="paragraph" w:styleId="1086">
    <w:name w:val="toc 4"/>
    <w:basedOn w:val="1062"/>
    <w:next w:val="1062"/>
    <w:uiPriority w:val="39"/>
    <w:unhideWhenUsed/>
    <w:qFormat/>
    <w:pPr>
      <w:ind w:left="850" w:right="0" w:firstLine="0"/>
      <w:spacing w:after="57"/>
    </w:pPr>
  </w:style>
  <w:style w:type="paragraph" w:styleId="1087">
    <w:name w:val="Subtitle"/>
    <w:basedOn w:val="1062"/>
    <w:next w:val="1062"/>
    <w:link w:val="1110"/>
    <w:uiPriority w:val="11"/>
    <w:qFormat/>
    <w:pPr>
      <w:spacing w:before="200" w:after="200"/>
    </w:pPr>
    <w:rPr>
      <w:sz w:val="24"/>
      <w:szCs w:val="24"/>
    </w:rPr>
  </w:style>
  <w:style w:type="paragraph" w:styleId="1088">
    <w:name w:val="footnote text"/>
    <w:basedOn w:val="1062"/>
    <w:link w:val="1243"/>
    <w:uiPriority w:val="99"/>
    <w:semiHidden/>
    <w:unhideWhenUsed/>
    <w:qFormat/>
    <w:pPr>
      <w:spacing w:after="40" w:line="240" w:lineRule="auto"/>
    </w:pPr>
    <w:rPr>
      <w:sz w:val="18"/>
    </w:rPr>
  </w:style>
  <w:style w:type="paragraph" w:styleId="1089">
    <w:name w:val="toc 6"/>
    <w:basedOn w:val="1062"/>
    <w:next w:val="1062"/>
    <w:uiPriority w:val="39"/>
    <w:unhideWhenUsed/>
    <w:qFormat/>
    <w:pPr>
      <w:ind w:left="1417" w:right="0" w:firstLine="0"/>
      <w:spacing w:after="57"/>
    </w:pPr>
  </w:style>
  <w:style w:type="paragraph" w:styleId="1090">
    <w:name w:val="table of figures"/>
    <w:basedOn w:val="1062"/>
    <w:next w:val="1062"/>
    <w:uiPriority w:val="99"/>
    <w:unhideWhenUsed/>
    <w:qFormat/>
    <w:pPr>
      <w:spacing w:after="0" w:afterAutospacing="0"/>
    </w:pPr>
  </w:style>
  <w:style w:type="paragraph" w:styleId="1091">
    <w:name w:val="toc 2"/>
    <w:basedOn w:val="1062"/>
    <w:next w:val="1062"/>
    <w:uiPriority w:val="39"/>
    <w:unhideWhenUsed/>
    <w:qFormat/>
    <w:pPr>
      <w:ind w:left="283" w:right="0" w:firstLine="0"/>
      <w:spacing w:after="57"/>
    </w:pPr>
  </w:style>
  <w:style w:type="paragraph" w:styleId="1092">
    <w:name w:val="toc 9"/>
    <w:basedOn w:val="1062"/>
    <w:next w:val="1062"/>
    <w:uiPriority w:val="39"/>
    <w:unhideWhenUsed/>
    <w:qFormat/>
    <w:pPr>
      <w:ind w:left="2268" w:right="0" w:firstLine="0"/>
      <w:spacing w:after="57"/>
    </w:pPr>
  </w:style>
  <w:style w:type="paragraph" w:styleId="1093">
    <w:name w:val="Title"/>
    <w:basedOn w:val="1062"/>
    <w:next w:val="1062"/>
    <w:link w:val="1109"/>
    <w:uiPriority w:val="10"/>
    <w:qFormat/>
    <w:pPr>
      <w:contextualSpacing/>
      <w:spacing w:before="300" w:after="200"/>
    </w:pPr>
    <w:rPr>
      <w:sz w:val="48"/>
      <w:szCs w:val="48"/>
    </w:rPr>
  </w:style>
  <w:style w:type="table" w:styleId="10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5">
    <w:name w:val="endnote reference"/>
    <w:uiPriority w:val="99"/>
    <w:semiHidden/>
    <w:unhideWhenUsed/>
    <w:qFormat/>
    <w:rPr>
      <w:vertAlign w:val="superscript"/>
    </w:rPr>
  </w:style>
  <w:style w:type="character" w:styleId="1096">
    <w:name w:val="Hyperlink"/>
    <w:uiPriority w:val="99"/>
    <w:unhideWhenUsed/>
    <w:qFormat/>
    <w:rPr>
      <w:color w:val="0000ff" w:themeColor="hyperlink"/>
      <w:u w:val="single"/>
    </w:rPr>
  </w:style>
  <w:style w:type="character" w:styleId="1097">
    <w:name w:val="footnote reference"/>
    <w:uiPriority w:val="99"/>
    <w:unhideWhenUsed/>
    <w:qFormat/>
    <w:rPr>
      <w:vertAlign w:val="superscript"/>
    </w:rPr>
  </w:style>
  <w:style w:type="character" w:styleId="1098" w:customStyle="1">
    <w:name w:val="Heading 1 Char"/>
    <w:link w:val="1063"/>
    <w:uiPriority w:val="9"/>
    <w:qFormat/>
    <w:rPr>
      <w:rFonts w:ascii="Arial" w:hAnsi="Arial" w:eastAsia="Arial" w:cs="Arial"/>
      <w:sz w:val="40"/>
      <w:szCs w:val="40"/>
    </w:rPr>
  </w:style>
  <w:style w:type="character" w:styleId="1099" w:customStyle="1">
    <w:name w:val="Heading 2 Char"/>
    <w:link w:val="1064"/>
    <w:uiPriority w:val="9"/>
    <w:qFormat/>
    <w:rPr>
      <w:rFonts w:ascii="Arial" w:hAnsi="Arial" w:eastAsia="Arial" w:cs="Arial"/>
      <w:sz w:val="34"/>
    </w:rPr>
  </w:style>
  <w:style w:type="character" w:styleId="1100" w:customStyle="1">
    <w:name w:val="Heading 3 Char"/>
    <w:link w:val="1065"/>
    <w:uiPriority w:val="9"/>
    <w:qFormat/>
    <w:rPr>
      <w:rFonts w:ascii="Arial" w:hAnsi="Arial" w:eastAsia="Arial" w:cs="Arial"/>
      <w:sz w:val="30"/>
      <w:szCs w:val="30"/>
    </w:rPr>
  </w:style>
  <w:style w:type="character" w:styleId="1101" w:customStyle="1">
    <w:name w:val="Heading 4 Char"/>
    <w:link w:val="1066"/>
    <w:uiPriority w:val="9"/>
    <w:qFormat/>
    <w:rPr>
      <w:rFonts w:ascii="Arial" w:hAnsi="Arial" w:eastAsia="Arial" w:cs="Arial"/>
      <w:b/>
      <w:bCs/>
      <w:sz w:val="26"/>
      <w:szCs w:val="26"/>
    </w:rPr>
  </w:style>
  <w:style w:type="character" w:styleId="1102" w:customStyle="1">
    <w:name w:val="Heading 5 Char"/>
    <w:link w:val="1067"/>
    <w:uiPriority w:val="9"/>
    <w:qFormat/>
    <w:rPr>
      <w:rFonts w:ascii="Arial" w:hAnsi="Arial" w:eastAsia="Arial" w:cs="Arial"/>
      <w:b/>
      <w:bCs/>
      <w:sz w:val="24"/>
      <w:szCs w:val="24"/>
    </w:rPr>
  </w:style>
  <w:style w:type="character" w:styleId="1103" w:customStyle="1">
    <w:name w:val="Heading 6 Char"/>
    <w:link w:val="1068"/>
    <w:uiPriority w:val="9"/>
    <w:qFormat/>
    <w:rPr>
      <w:rFonts w:ascii="Arial" w:hAnsi="Arial" w:eastAsia="Arial" w:cs="Arial"/>
      <w:b/>
      <w:bCs/>
      <w:sz w:val="22"/>
      <w:szCs w:val="22"/>
    </w:rPr>
  </w:style>
  <w:style w:type="character" w:styleId="1104" w:customStyle="1">
    <w:name w:val="Heading 7 Char"/>
    <w:link w:val="1069"/>
    <w:uiPriority w:val="9"/>
    <w:qFormat/>
    <w:rPr>
      <w:rFonts w:ascii="Arial" w:hAnsi="Arial" w:eastAsia="Arial" w:cs="Arial"/>
      <w:b/>
      <w:bCs/>
      <w:i/>
      <w:iCs/>
      <w:sz w:val="22"/>
      <w:szCs w:val="22"/>
    </w:rPr>
  </w:style>
  <w:style w:type="character" w:styleId="1105" w:customStyle="1">
    <w:name w:val="Heading 8 Char"/>
    <w:link w:val="1070"/>
    <w:uiPriority w:val="9"/>
    <w:qFormat/>
    <w:rPr>
      <w:rFonts w:ascii="Arial" w:hAnsi="Arial" w:eastAsia="Arial" w:cs="Arial"/>
      <w:i/>
      <w:iCs/>
      <w:sz w:val="22"/>
      <w:szCs w:val="22"/>
    </w:rPr>
  </w:style>
  <w:style w:type="character" w:styleId="1106" w:customStyle="1">
    <w:name w:val="Heading 9 Char"/>
    <w:link w:val="1071"/>
    <w:uiPriority w:val="9"/>
    <w:qFormat/>
    <w:rPr>
      <w:rFonts w:ascii="Arial" w:hAnsi="Arial" w:eastAsia="Arial" w:cs="Arial"/>
      <w:i/>
      <w:iCs/>
      <w:sz w:val="21"/>
      <w:szCs w:val="21"/>
    </w:rPr>
  </w:style>
  <w:style w:type="paragraph" w:styleId="1107">
    <w:name w:val="List Paragraph"/>
    <w:basedOn w:val="1062"/>
    <w:uiPriority w:val="34"/>
    <w:qFormat/>
    <w:pPr>
      <w:contextualSpacing/>
      <w:ind w:left="720"/>
    </w:p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character" w:styleId="1109" w:customStyle="1">
    <w:name w:val="Title Char"/>
    <w:link w:val="1093"/>
    <w:uiPriority w:val="10"/>
    <w:qFormat/>
    <w:rPr>
      <w:sz w:val="48"/>
      <w:szCs w:val="48"/>
    </w:rPr>
  </w:style>
  <w:style w:type="character" w:styleId="1110" w:customStyle="1">
    <w:name w:val="Subtitle Char"/>
    <w:link w:val="1087"/>
    <w:uiPriority w:val="11"/>
    <w:qFormat/>
    <w:rPr>
      <w:sz w:val="24"/>
      <w:szCs w:val="24"/>
    </w:rPr>
  </w:style>
  <w:style w:type="paragraph" w:styleId="1111">
    <w:name w:val="Quote"/>
    <w:basedOn w:val="1062"/>
    <w:next w:val="1062"/>
    <w:link w:val="1112"/>
    <w:uiPriority w:val="29"/>
    <w:qFormat/>
    <w:pPr>
      <w:ind w:left="720" w:right="720"/>
    </w:pPr>
    <w:rPr>
      <w:i/>
    </w:rPr>
  </w:style>
  <w:style w:type="character" w:styleId="1112" w:customStyle="1">
    <w:name w:val="Quote Char"/>
    <w:link w:val="1111"/>
    <w:uiPriority w:val="29"/>
    <w:qFormat/>
    <w:rPr>
      <w:i/>
    </w:rPr>
  </w:style>
  <w:style w:type="paragraph" w:styleId="1113">
    <w:name w:val="Intense Quote"/>
    <w:basedOn w:val="1062"/>
    <w:next w:val="1062"/>
    <w:link w:val="11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customStyle="1">
    <w:name w:val="Intense Quote Char"/>
    <w:link w:val="1113"/>
    <w:uiPriority w:val="30"/>
    <w:qFormat/>
    <w:rPr>
      <w:i/>
    </w:rPr>
  </w:style>
  <w:style w:type="character" w:styleId="1115" w:customStyle="1">
    <w:name w:val="Header Char"/>
    <w:link w:val="1084"/>
    <w:uiPriority w:val="99"/>
    <w:qFormat/>
  </w:style>
  <w:style w:type="character" w:styleId="1116" w:customStyle="1">
    <w:name w:val="Footer Char"/>
    <w:link w:val="1083"/>
    <w:uiPriority w:val="99"/>
    <w:qFormat/>
  </w:style>
  <w:style w:type="character" w:styleId="1117" w:customStyle="1">
    <w:name w:val="Caption Char"/>
    <w:link w:val="1083"/>
    <w:uiPriority w:val="99"/>
    <w:qFormat/>
  </w:style>
  <w:style w:type="table" w:styleId="11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2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2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2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3" w:customStyle="1">
    <w:name w:val="Footnote Text Char"/>
    <w:link w:val="1088"/>
    <w:uiPriority w:val="99"/>
    <w:qFormat/>
    <w:rPr>
      <w:sz w:val="18"/>
    </w:rPr>
  </w:style>
  <w:style w:type="character" w:styleId="1244" w:customStyle="1">
    <w:name w:val="Endnote Text Char"/>
    <w:link w:val="1082"/>
    <w:uiPriority w:val="99"/>
    <w:qFormat/>
    <w:rPr>
      <w:sz w:val="20"/>
    </w:rPr>
  </w:style>
  <w:style w:type="paragraph" w:styleId="1245" w:customStyle="1">
    <w:name w:val="TOC Heading"/>
    <w:uiPriority w:val="39"/>
    <w:unhideWhenUsed/>
    <w:qFormat/>
    <w:rPr>
      <w:rFonts w:hint="default" w:ascii="Times New Roman" w:hAnsi="Times New Roman" w:eastAsia="宋体" w:cs="Times New Roman"/>
    </w:rPr>
  </w:style>
  <w:style w:type="paragraph" w:styleId="1246" w:customStyle="1">
    <w:name w:val="标题 11"/>
    <w:basedOn w:val="1062"/>
    <w:next w:val="1062"/>
    <w:link w:val="1257"/>
    <w:uiPriority w:val="0"/>
    <w:qFormat/>
    <w:pPr>
      <w:jc w:val="center"/>
      <w:keepLines/>
      <w:keepNext/>
      <w:spacing w:before="240" w:after="120" w:line="300" w:lineRule="auto"/>
      <w:outlineLvl w:val="0"/>
    </w:pPr>
    <w:rPr>
      <w:rFonts w:ascii="宋体"/>
      <w:b/>
      <w:sz w:val="32"/>
      <w:szCs w:val="20"/>
    </w:rPr>
  </w:style>
  <w:style w:type="paragraph" w:styleId="1247" w:customStyle="1">
    <w:name w:val="标题 21"/>
    <w:basedOn w:val="1062"/>
    <w:next w:val="1062"/>
    <w:link w:val="1258"/>
    <w:uiPriority w:val="0"/>
    <w:qFormat/>
    <w:pPr>
      <w:jc w:val="center"/>
      <w:keepLines/>
      <w:keepNext/>
      <w:spacing w:before="120" w:line="300" w:lineRule="auto"/>
      <w:outlineLvl w:val="1"/>
    </w:pPr>
    <w:rPr>
      <w:rFonts w:ascii="Arial" w:hAnsi="Arial" w:eastAsia="黑体"/>
      <w:b/>
      <w:sz w:val="30"/>
      <w:szCs w:val="20"/>
    </w:rPr>
  </w:style>
  <w:style w:type="paragraph" w:styleId="1248" w:customStyle="1">
    <w:name w:val="标题 31"/>
    <w:basedOn w:val="1062"/>
    <w:next w:val="1062"/>
    <w:link w:val="1259"/>
    <w:uiPriority w:val="0"/>
    <w:qFormat/>
    <w:pPr>
      <w:jc w:val="left"/>
      <w:keepLines/>
      <w:keepNext/>
      <w:spacing w:before="360" w:after="120"/>
      <w:outlineLvl w:val="2"/>
    </w:pPr>
    <w:rPr>
      <w:rFonts w:ascii="宋体"/>
      <w:b/>
      <w:sz w:val="24"/>
      <w:szCs w:val="20"/>
      <w:u w:val="single"/>
    </w:rPr>
  </w:style>
  <w:style w:type="paragraph" w:styleId="1249" w:customStyle="1">
    <w:name w:val="标题 41"/>
    <w:basedOn w:val="1062"/>
    <w:next w:val="1062"/>
    <w:link w:val="1260"/>
    <w:uiPriority w:val="0"/>
    <w:qFormat/>
    <w:pPr>
      <w:keepLines/>
      <w:keepNext/>
      <w:spacing w:before="280" w:after="290" w:line="376" w:lineRule="atLeast"/>
      <w:outlineLvl w:val="3"/>
    </w:pPr>
    <w:rPr>
      <w:rFonts w:ascii="Arial" w:hAnsi="Arial" w:eastAsia="黑体"/>
      <w:b/>
      <w:sz w:val="28"/>
      <w:szCs w:val="20"/>
    </w:rPr>
  </w:style>
  <w:style w:type="paragraph" w:styleId="1250" w:customStyle="1">
    <w:name w:val="标题 51"/>
    <w:basedOn w:val="1062"/>
    <w:next w:val="1062"/>
    <w:link w:val="1261"/>
    <w:uiPriority w:val="0"/>
    <w:qFormat/>
    <w:pPr>
      <w:keepLines/>
      <w:keepNext/>
      <w:spacing w:before="280" w:after="290" w:line="376" w:lineRule="atLeast"/>
      <w:outlineLvl w:val="4"/>
    </w:pPr>
    <w:rPr>
      <w:b/>
      <w:sz w:val="28"/>
      <w:szCs w:val="20"/>
    </w:rPr>
  </w:style>
  <w:style w:type="paragraph" w:styleId="1251" w:customStyle="1">
    <w:name w:val="标题 61"/>
    <w:basedOn w:val="1062"/>
    <w:next w:val="1062"/>
    <w:link w:val="1262"/>
    <w:uiPriority w:val="0"/>
    <w:qFormat/>
    <w:pPr>
      <w:keepLines/>
      <w:keepNext/>
      <w:spacing w:before="240" w:after="64" w:line="320" w:lineRule="atLeast"/>
      <w:outlineLvl w:val="5"/>
    </w:pPr>
    <w:rPr>
      <w:rFonts w:ascii="Arial" w:hAnsi="Arial" w:eastAsia="黑体"/>
      <w:b/>
      <w:sz w:val="24"/>
      <w:szCs w:val="20"/>
    </w:rPr>
  </w:style>
  <w:style w:type="paragraph" w:styleId="1252" w:customStyle="1">
    <w:name w:val="标题 71"/>
    <w:basedOn w:val="1062"/>
    <w:next w:val="1062"/>
    <w:link w:val="1263"/>
    <w:uiPriority w:val="0"/>
    <w:qFormat/>
    <w:pPr>
      <w:keepLines/>
      <w:keepNext/>
      <w:spacing w:before="240" w:after="64" w:line="320" w:lineRule="atLeast"/>
      <w:outlineLvl w:val="6"/>
    </w:pPr>
    <w:rPr>
      <w:b/>
      <w:sz w:val="24"/>
      <w:szCs w:val="20"/>
    </w:rPr>
  </w:style>
  <w:style w:type="paragraph" w:styleId="1253" w:customStyle="1">
    <w:name w:val="标题 81"/>
    <w:basedOn w:val="1062"/>
    <w:next w:val="1062"/>
    <w:link w:val="1264"/>
    <w:uiPriority w:val="0"/>
    <w:qFormat/>
    <w:pPr>
      <w:keepLines/>
      <w:keepNext/>
      <w:spacing w:before="240" w:after="64" w:line="320" w:lineRule="atLeast"/>
      <w:outlineLvl w:val="7"/>
    </w:pPr>
    <w:rPr>
      <w:rFonts w:ascii="Arial" w:hAnsi="Arial" w:eastAsia="黑体"/>
      <w:sz w:val="24"/>
      <w:szCs w:val="20"/>
    </w:rPr>
  </w:style>
  <w:style w:type="paragraph" w:styleId="1254" w:customStyle="1">
    <w:name w:val="标题 91"/>
    <w:basedOn w:val="1062"/>
    <w:next w:val="1062"/>
    <w:link w:val="1265"/>
    <w:uiPriority w:val="0"/>
    <w:qFormat/>
    <w:pPr>
      <w:keepLines/>
      <w:keepNext/>
      <w:spacing w:before="240" w:after="64" w:line="320" w:lineRule="atLeast"/>
      <w:outlineLvl w:val="8"/>
    </w:pPr>
    <w:rPr>
      <w:rFonts w:ascii="Arial" w:hAnsi="Arial" w:eastAsia="黑体"/>
      <w:szCs w:val="20"/>
    </w:rPr>
  </w:style>
  <w:style w:type="character" w:styleId="1255" w:customStyle="1">
    <w:name w:val="默认段落字体1"/>
    <w:link w:val="1062"/>
    <w:uiPriority w:val="1"/>
    <w:unhideWhenUsed/>
    <w:qFormat/>
  </w:style>
  <w:style w:type="table" w:styleId="1256" w:customStyle="1">
    <w:name w:val="普通表格1"/>
    <w:uiPriority w:val="99"/>
    <w:unhideWhenUsed/>
    <w:qFormat/>
    <w:tblPr/>
  </w:style>
  <w:style w:type="character" w:styleId="1257" w:customStyle="1">
    <w:name w:val="标题 1 Char"/>
    <w:basedOn w:val="1255"/>
    <w:link w:val="1246"/>
    <w:uiPriority w:val="0"/>
    <w:qFormat/>
    <w:rPr>
      <w:rFonts w:ascii="宋体"/>
      <w:b/>
      <w:sz w:val="32"/>
    </w:rPr>
  </w:style>
  <w:style w:type="character" w:styleId="1258" w:customStyle="1">
    <w:name w:val="标题 2 Char1"/>
    <w:link w:val="1247"/>
    <w:uiPriority w:val="0"/>
    <w:qFormat/>
    <w:rPr>
      <w:rFonts w:ascii="Arial" w:hAnsi="Arial" w:eastAsia="黑体"/>
      <w:b/>
      <w:sz w:val="30"/>
      <w:lang w:val="en-US" w:eastAsia="zh-CN" w:bidi="ar-SA"/>
    </w:rPr>
  </w:style>
  <w:style w:type="character" w:styleId="1259" w:customStyle="1">
    <w:name w:val="标题 3 Char1"/>
    <w:link w:val="1248"/>
    <w:uiPriority w:val="0"/>
    <w:qFormat/>
    <w:rPr>
      <w:rFonts w:ascii="宋体" w:eastAsia="宋体"/>
      <w:b/>
      <w:sz w:val="24"/>
      <w:u w:val="single"/>
      <w:lang w:val="en-US" w:eastAsia="zh-CN" w:bidi="ar-SA"/>
    </w:rPr>
  </w:style>
  <w:style w:type="character" w:styleId="1260" w:customStyle="1">
    <w:name w:val="标题 4 Char"/>
    <w:basedOn w:val="1255"/>
    <w:link w:val="1249"/>
    <w:uiPriority w:val="0"/>
    <w:qFormat/>
    <w:rPr>
      <w:rFonts w:ascii="Arial" w:hAnsi="Arial" w:eastAsia="黑体"/>
      <w:b/>
      <w:sz w:val="28"/>
    </w:rPr>
  </w:style>
  <w:style w:type="character" w:styleId="1261" w:customStyle="1">
    <w:name w:val="标题 5 Char"/>
    <w:basedOn w:val="1255"/>
    <w:link w:val="1250"/>
    <w:uiPriority w:val="0"/>
    <w:qFormat/>
    <w:rPr>
      <w:b/>
      <w:sz w:val="28"/>
    </w:rPr>
  </w:style>
  <w:style w:type="character" w:styleId="1262" w:customStyle="1">
    <w:name w:val="标题 6 Char"/>
    <w:basedOn w:val="1255"/>
    <w:link w:val="1251"/>
    <w:uiPriority w:val="0"/>
    <w:qFormat/>
    <w:rPr>
      <w:rFonts w:ascii="Arial" w:hAnsi="Arial" w:eastAsia="黑体"/>
      <w:b/>
      <w:sz w:val="24"/>
    </w:rPr>
  </w:style>
  <w:style w:type="character" w:styleId="1263" w:customStyle="1">
    <w:name w:val="标题 7 Char"/>
    <w:basedOn w:val="1255"/>
    <w:link w:val="1252"/>
    <w:uiPriority w:val="0"/>
    <w:qFormat/>
    <w:rPr>
      <w:b/>
      <w:sz w:val="24"/>
    </w:rPr>
  </w:style>
  <w:style w:type="character" w:styleId="1264" w:customStyle="1">
    <w:name w:val="标题 8 Char"/>
    <w:basedOn w:val="1255"/>
    <w:link w:val="1253"/>
    <w:uiPriority w:val="0"/>
    <w:qFormat/>
    <w:rPr>
      <w:rFonts w:ascii="Arial" w:hAnsi="Arial" w:eastAsia="黑体"/>
      <w:sz w:val="24"/>
    </w:rPr>
  </w:style>
  <w:style w:type="character" w:styleId="1265" w:customStyle="1">
    <w:name w:val="标题 9 Char"/>
    <w:basedOn w:val="1255"/>
    <w:link w:val="1254"/>
    <w:uiPriority w:val="0"/>
    <w:qFormat/>
    <w:rPr>
      <w:rFonts w:ascii="Arial" w:hAnsi="Arial" w:eastAsia="黑体"/>
      <w:sz w:val="21"/>
    </w:rPr>
  </w:style>
  <w:style w:type="paragraph" w:styleId="1266" w:customStyle="1">
    <w:name w:val="目录 71"/>
    <w:basedOn w:val="1062"/>
    <w:next w:val="1062"/>
    <w:uiPriority w:val="0"/>
    <w:qFormat/>
    <w:pPr>
      <w:ind w:left="2520"/>
    </w:pPr>
  </w:style>
  <w:style w:type="paragraph" w:styleId="1267" w:customStyle="1">
    <w:name w:val="正文缩进11"/>
    <w:basedOn w:val="1062"/>
    <w:link w:val="1268"/>
    <w:uiPriority w:val="0"/>
    <w:qFormat/>
    <w:pPr>
      <w:ind w:firstLine="420"/>
      <w:jc w:val="left"/>
    </w:pPr>
    <w:rPr>
      <w:rFonts w:ascii="宋体"/>
      <w:sz w:val="24"/>
    </w:rPr>
  </w:style>
  <w:style w:type="character" w:styleId="1268" w:customStyle="1">
    <w:name w:val="正文缩进 Char1"/>
    <w:link w:val="1267"/>
    <w:uiPriority w:val="0"/>
    <w:qFormat/>
    <w:rPr>
      <w:rFonts w:ascii="宋体" w:eastAsia="宋体"/>
      <w:sz w:val="24"/>
      <w:szCs w:val="24"/>
      <w:lang w:val="en-US" w:eastAsia="zh-CN" w:bidi="ar-SA"/>
    </w:rPr>
  </w:style>
  <w:style w:type="paragraph" w:styleId="1269" w:customStyle="1">
    <w:name w:val="题注1"/>
    <w:basedOn w:val="1062"/>
    <w:next w:val="1062"/>
    <w:uiPriority w:val="0"/>
    <w:qFormat/>
    <w:pPr>
      <w:spacing w:line="480" w:lineRule="auto"/>
    </w:pPr>
    <w:rPr>
      <w:rFonts w:ascii="华文中宋" w:hAnsi="华文中宋" w:eastAsia="华文中宋"/>
      <w:sz w:val="36"/>
      <w:szCs w:val="20"/>
    </w:rPr>
  </w:style>
  <w:style w:type="paragraph" w:styleId="1270" w:customStyle="1">
    <w:name w:val="文档结构图1"/>
    <w:basedOn w:val="1062"/>
    <w:link w:val="1271"/>
    <w:uiPriority w:val="0"/>
    <w:qFormat/>
    <w:pPr>
      <w:shd w:val="clear" w:color="auto" w:fill="000080"/>
    </w:pPr>
  </w:style>
  <w:style w:type="character" w:styleId="1271" w:customStyle="1">
    <w:name w:val="文档结构图 Char"/>
    <w:basedOn w:val="1255"/>
    <w:link w:val="1270"/>
    <w:uiPriority w:val="0"/>
    <w:qFormat/>
    <w:rPr>
      <w:sz w:val="21"/>
      <w:szCs w:val="24"/>
      <w:shd w:val="clear" w:color="auto" w:fill="000080"/>
    </w:rPr>
  </w:style>
  <w:style w:type="paragraph" w:styleId="1272" w:customStyle="1">
    <w:name w:val="批注文字1"/>
    <w:basedOn w:val="1062"/>
    <w:link w:val="1273"/>
    <w:uiPriority w:val="99"/>
    <w:qFormat/>
    <w:pPr>
      <w:jc w:val="left"/>
    </w:pPr>
  </w:style>
  <w:style w:type="character" w:styleId="1273" w:customStyle="1">
    <w:name w:val="批注文字 Char1"/>
    <w:link w:val="1272"/>
    <w:uiPriority w:val="99"/>
    <w:qFormat/>
    <w:rPr>
      <w:sz w:val="21"/>
      <w:szCs w:val="24"/>
    </w:rPr>
  </w:style>
  <w:style w:type="paragraph" w:styleId="1274" w:customStyle="1">
    <w:name w:val="正文文本 31"/>
    <w:basedOn w:val="1062"/>
    <w:link w:val="1275"/>
    <w:uiPriority w:val="0"/>
    <w:qFormat/>
    <w:pPr>
      <w:spacing w:after="120"/>
    </w:pPr>
    <w:rPr>
      <w:sz w:val="16"/>
      <w:szCs w:val="16"/>
    </w:rPr>
  </w:style>
  <w:style w:type="character" w:styleId="1275" w:customStyle="1">
    <w:name w:val="正文文本 3 Char"/>
    <w:basedOn w:val="1255"/>
    <w:link w:val="1274"/>
    <w:uiPriority w:val="0"/>
    <w:qFormat/>
    <w:rPr>
      <w:sz w:val="16"/>
      <w:szCs w:val="16"/>
    </w:rPr>
  </w:style>
  <w:style w:type="paragraph" w:styleId="1276" w:customStyle="1">
    <w:name w:val="正文文本1"/>
    <w:basedOn w:val="1062"/>
    <w:link w:val="1277"/>
    <w:uiPriority w:val="0"/>
    <w:qFormat/>
    <w:pPr>
      <w:spacing w:before="120" w:line="22" w:lineRule="atLeast"/>
      <w:tabs>
        <w:tab w:val="left" w:pos="567" w:leader="none"/>
      </w:tabs>
    </w:pPr>
    <w:rPr>
      <w:rFonts w:ascii="宋体" w:hAnsi="宋体"/>
      <w:sz w:val="24"/>
    </w:rPr>
  </w:style>
  <w:style w:type="character" w:styleId="1277" w:customStyle="1">
    <w:name w:val="正文文本 Char"/>
    <w:basedOn w:val="1255"/>
    <w:link w:val="1276"/>
    <w:uiPriority w:val="0"/>
    <w:qFormat/>
    <w:rPr>
      <w:rFonts w:ascii="宋体" w:hAnsi="宋体"/>
      <w:sz w:val="24"/>
      <w:szCs w:val="24"/>
    </w:rPr>
  </w:style>
  <w:style w:type="paragraph" w:styleId="1278" w:customStyle="1">
    <w:name w:val="正文文本缩进11"/>
    <w:basedOn w:val="1062"/>
    <w:link w:val="1279"/>
    <w:uiPriority w:val="0"/>
    <w:qFormat/>
    <w:pPr>
      <w:ind w:firstLine="570"/>
      <w:spacing w:line="360" w:lineRule="auto"/>
    </w:pPr>
    <w:rPr>
      <w:sz w:val="24"/>
    </w:rPr>
  </w:style>
  <w:style w:type="character" w:styleId="1279" w:customStyle="1">
    <w:name w:val="正文文本缩进 Char2"/>
    <w:link w:val="1278"/>
    <w:uiPriority w:val="0"/>
    <w:qFormat/>
    <w:rPr>
      <w:rFonts w:eastAsia="宋体"/>
      <w:sz w:val="24"/>
      <w:szCs w:val="24"/>
      <w:lang w:val="en-US" w:eastAsia="zh-CN" w:bidi="ar-SA"/>
    </w:rPr>
  </w:style>
  <w:style w:type="paragraph" w:styleId="1280" w:customStyle="1">
    <w:name w:val="列表 21"/>
    <w:basedOn w:val="1062"/>
    <w:uiPriority w:val="0"/>
    <w:qFormat/>
    <w:pPr>
      <w:ind w:left="100" w:hanging="200"/>
    </w:pPr>
  </w:style>
  <w:style w:type="paragraph" w:styleId="1281" w:customStyle="1">
    <w:name w:val="文本块1"/>
    <w:basedOn w:val="1062"/>
    <w:uiPriority w:val="0"/>
    <w:qFormat/>
    <w:pPr>
      <w:ind w:left="480" w:right="-341" w:firstLine="513"/>
      <w:widowControl/>
    </w:pPr>
    <w:rPr>
      <w:sz w:val="24"/>
      <w:szCs w:val="20"/>
    </w:rPr>
  </w:style>
  <w:style w:type="paragraph" w:styleId="1282" w:customStyle="1">
    <w:name w:val="目录 51"/>
    <w:basedOn w:val="1062"/>
    <w:next w:val="1062"/>
    <w:uiPriority w:val="0"/>
    <w:qFormat/>
    <w:pPr>
      <w:ind w:left="1680"/>
    </w:pPr>
  </w:style>
  <w:style w:type="paragraph" w:styleId="1283" w:customStyle="1">
    <w:name w:val="目录 31"/>
    <w:basedOn w:val="1062"/>
    <w:next w:val="1062"/>
    <w:uiPriority w:val="39"/>
    <w:qFormat/>
    <w:pPr>
      <w:ind w:left="840"/>
    </w:pPr>
  </w:style>
  <w:style w:type="paragraph" w:styleId="1284" w:customStyle="1">
    <w:name w:val="纯文本1"/>
    <w:basedOn w:val="1062"/>
    <w:link w:val="1285"/>
    <w:uiPriority w:val="0"/>
    <w:qFormat/>
    <w:rPr>
      <w:rFonts w:hint="eastAsia" w:ascii="宋体" w:hAnsi="Courier New"/>
      <w:szCs w:val="20"/>
    </w:rPr>
  </w:style>
  <w:style w:type="character" w:styleId="1285" w:customStyle="1">
    <w:name w:val="纯文本 Char"/>
    <w:basedOn w:val="1255"/>
    <w:link w:val="1284"/>
    <w:uiPriority w:val="0"/>
    <w:qFormat/>
    <w:rPr>
      <w:rFonts w:hint="eastAsia" w:ascii="宋体" w:hAnsi="Courier New" w:eastAsia="宋体" w:cs="宋体"/>
      <w:sz w:val="21"/>
    </w:rPr>
  </w:style>
  <w:style w:type="paragraph" w:styleId="1286" w:customStyle="1">
    <w:name w:val="目录 81"/>
    <w:basedOn w:val="1062"/>
    <w:next w:val="1062"/>
    <w:uiPriority w:val="0"/>
    <w:qFormat/>
    <w:pPr>
      <w:ind w:left="2940"/>
    </w:pPr>
  </w:style>
  <w:style w:type="paragraph" w:styleId="1287" w:customStyle="1">
    <w:name w:val="日期1"/>
    <w:basedOn w:val="1062"/>
    <w:next w:val="1062"/>
    <w:link w:val="1288"/>
    <w:uiPriority w:val="0"/>
    <w:qFormat/>
    <w:pPr>
      <w:ind w:left="100"/>
    </w:pPr>
    <w:rPr>
      <w:rFonts w:ascii="仿宋_GB2312" w:hAnsi="宋体" w:eastAsia="仿宋_GB2312"/>
      <w:color w:val="000000"/>
      <w:sz w:val="24"/>
    </w:rPr>
  </w:style>
  <w:style w:type="character" w:styleId="1288" w:customStyle="1">
    <w:name w:val="日期 Char"/>
    <w:basedOn w:val="1255"/>
    <w:link w:val="1287"/>
    <w:uiPriority w:val="0"/>
    <w:qFormat/>
    <w:rPr>
      <w:rFonts w:ascii="仿宋_GB2312" w:hAnsi="宋体" w:eastAsia="仿宋_GB2312"/>
      <w:color w:val="000000"/>
      <w:sz w:val="24"/>
      <w:szCs w:val="24"/>
    </w:rPr>
  </w:style>
  <w:style w:type="paragraph" w:styleId="1289" w:customStyle="1">
    <w:name w:val="正文文本缩进 21"/>
    <w:basedOn w:val="1062"/>
    <w:link w:val="1290"/>
    <w:uiPriority w:val="0"/>
    <w:qFormat/>
    <w:pPr>
      <w:ind w:firstLine="480"/>
    </w:pPr>
    <w:rPr>
      <w:rFonts w:ascii="仿宋_GB2312" w:eastAsia="仿宋_GB2312"/>
      <w:sz w:val="24"/>
    </w:rPr>
  </w:style>
  <w:style w:type="character" w:styleId="1290" w:customStyle="1">
    <w:name w:val="正文文本缩进 2 Char"/>
    <w:basedOn w:val="1255"/>
    <w:link w:val="1289"/>
    <w:uiPriority w:val="0"/>
    <w:qFormat/>
    <w:rPr>
      <w:rFonts w:ascii="仿宋_GB2312" w:eastAsia="仿宋_GB2312"/>
      <w:sz w:val="24"/>
      <w:szCs w:val="24"/>
    </w:rPr>
  </w:style>
  <w:style w:type="paragraph" w:styleId="1291" w:customStyle="1">
    <w:name w:val="批注框文本1"/>
    <w:basedOn w:val="1062"/>
    <w:link w:val="1292"/>
    <w:uiPriority w:val="0"/>
    <w:qFormat/>
    <w:rPr>
      <w:sz w:val="18"/>
      <w:szCs w:val="18"/>
    </w:rPr>
  </w:style>
  <w:style w:type="character" w:styleId="1292" w:customStyle="1">
    <w:name w:val="批注框文本 Char"/>
    <w:basedOn w:val="1255"/>
    <w:link w:val="1291"/>
    <w:uiPriority w:val="0"/>
    <w:qFormat/>
    <w:rPr>
      <w:sz w:val="18"/>
      <w:szCs w:val="18"/>
    </w:rPr>
  </w:style>
  <w:style w:type="paragraph" w:styleId="1293" w:customStyle="1">
    <w:name w:val="页脚1"/>
    <w:basedOn w:val="1062"/>
    <w:link w:val="1294"/>
    <w:uiPriority w:val="99"/>
    <w:qFormat/>
    <w:pPr>
      <w:jc w:val="left"/>
      <w:tabs>
        <w:tab w:val="center" w:pos="4153" w:leader="none"/>
        <w:tab w:val="right" w:pos="8306" w:leader="none"/>
      </w:tabs>
    </w:pPr>
    <w:rPr>
      <w:rFonts w:ascii="宋体"/>
      <w:sz w:val="18"/>
      <w:szCs w:val="20"/>
    </w:rPr>
  </w:style>
  <w:style w:type="character" w:styleId="1294" w:customStyle="1">
    <w:name w:val="页脚 Char1"/>
    <w:link w:val="1293"/>
    <w:uiPriority w:val="99"/>
    <w:qFormat/>
    <w:rPr>
      <w:rFonts w:ascii="宋体" w:eastAsia="宋体"/>
      <w:sz w:val="18"/>
      <w:lang w:val="en-US" w:eastAsia="zh-CN" w:bidi="ar-SA"/>
    </w:rPr>
  </w:style>
  <w:style w:type="paragraph" w:styleId="1295" w:customStyle="1">
    <w:name w:val="页眉1"/>
    <w:basedOn w:val="1062"/>
    <w:link w:val="1296"/>
    <w:uiPriority w:val="0"/>
    <w:qFormat/>
    <w:pPr>
      <w:jc w:val="center"/>
      <w:tabs>
        <w:tab w:val="center" w:pos="4153" w:leader="none"/>
        <w:tab w:val="right" w:pos="8306" w:leader="none"/>
      </w:tabs>
      <w:pBdr>
        <w:bottom w:val="single" w:color="000000" w:sz="6" w:space="1"/>
      </w:pBdr>
    </w:pPr>
    <w:rPr>
      <w:sz w:val="18"/>
      <w:szCs w:val="18"/>
    </w:rPr>
  </w:style>
  <w:style w:type="character" w:styleId="1296" w:customStyle="1">
    <w:name w:val="页眉 Char1"/>
    <w:link w:val="1295"/>
    <w:uiPriority w:val="0"/>
    <w:qFormat/>
    <w:rPr>
      <w:rFonts w:eastAsia="宋体"/>
      <w:sz w:val="18"/>
      <w:szCs w:val="18"/>
      <w:lang w:val="en-US" w:eastAsia="zh-CN" w:bidi="ar-SA"/>
    </w:rPr>
  </w:style>
  <w:style w:type="paragraph" w:styleId="1297" w:customStyle="1">
    <w:name w:val="目录 11"/>
    <w:basedOn w:val="1062"/>
    <w:next w:val="1062"/>
    <w:uiPriority w:val="39"/>
    <w:qFormat/>
    <w:pPr>
      <w:spacing w:line="300" w:lineRule="auto"/>
      <w:tabs>
        <w:tab w:val="left" w:pos="1050" w:leader="none"/>
        <w:tab w:val="right" w:pos="8937" w:leader="dot"/>
      </w:tabs>
    </w:pPr>
    <w:rPr>
      <w:rFonts w:ascii="宋体" w:hAnsi="宋体"/>
      <w:b/>
      <w:sz w:val="24"/>
    </w:rPr>
  </w:style>
  <w:style w:type="paragraph" w:styleId="1298" w:customStyle="1">
    <w:name w:val="目录 41"/>
    <w:basedOn w:val="1062"/>
    <w:next w:val="1062"/>
    <w:uiPriority w:val="0"/>
    <w:qFormat/>
    <w:pPr>
      <w:ind w:left="1260"/>
    </w:pPr>
  </w:style>
  <w:style w:type="paragraph" w:styleId="1299" w:customStyle="1">
    <w:name w:val="目录 61"/>
    <w:basedOn w:val="1062"/>
    <w:next w:val="1062"/>
    <w:uiPriority w:val="0"/>
    <w:qFormat/>
    <w:pPr>
      <w:ind w:left="2100"/>
    </w:pPr>
  </w:style>
  <w:style w:type="paragraph" w:styleId="1300" w:customStyle="1">
    <w:name w:val="正文文本缩进 31"/>
    <w:basedOn w:val="1062"/>
    <w:link w:val="1301"/>
    <w:uiPriority w:val="0"/>
    <w:qFormat/>
    <w:pPr>
      <w:ind w:left="720" w:firstLine="480"/>
      <w:jc w:val="left"/>
      <w:spacing w:before="120" w:line="22" w:lineRule="atLeast"/>
    </w:pPr>
    <w:rPr>
      <w:rFonts w:ascii="宋体"/>
      <w:sz w:val="24"/>
      <w:szCs w:val="20"/>
    </w:rPr>
  </w:style>
  <w:style w:type="character" w:styleId="1301" w:customStyle="1">
    <w:name w:val="正文文本缩进 3 Char"/>
    <w:basedOn w:val="1255"/>
    <w:link w:val="1300"/>
    <w:uiPriority w:val="0"/>
    <w:qFormat/>
    <w:rPr>
      <w:rFonts w:ascii="宋体"/>
      <w:sz w:val="24"/>
    </w:rPr>
  </w:style>
  <w:style w:type="paragraph" w:styleId="1302" w:customStyle="1">
    <w:name w:val="目录 21"/>
    <w:basedOn w:val="1062"/>
    <w:next w:val="1062"/>
    <w:uiPriority w:val="39"/>
    <w:qFormat/>
    <w:pPr>
      <w:ind w:left="420"/>
      <w:spacing w:line="312" w:lineRule="auto"/>
      <w:tabs>
        <w:tab w:val="right" w:pos="8937" w:leader="dot"/>
      </w:tabs>
    </w:pPr>
  </w:style>
  <w:style w:type="paragraph" w:styleId="1303" w:customStyle="1">
    <w:name w:val="目录 91"/>
    <w:basedOn w:val="1062"/>
    <w:next w:val="1062"/>
    <w:uiPriority w:val="0"/>
    <w:qFormat/>
    <w:pPr>
      <w:ind w:left="3360"/>
    </w:pPr>
  </w:style>
  <w:style w:type="paragraph" w:styleId="1304" w:customStyle="1">
    <w:name w:val="HTML 预设格式1"/>
    <w:basedOn w:val="1062"/>
    <w:link w:val="13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05" w:customStyle="1">
    <w:name w:val="HTML 预设格式 Char"/>
    <w:basedOn w:val="1255"/>
    <w:link w:val="1304"/>
    <w:uiPriority w:val="0"/>
    <w:qFormat/>
    <w:rPr>
      <w:rFonts w:ascii="宋体" w:hAnsi="宋体" w:cs="宋体"/>
      <w:sz w:val="24"/>
      <w:szCs w:val="24"/>
    </w:rPr>
  </w:style>
  <w:style w:type="paragraph" w:styleId="1306" w:customStyle="1">
    <w:name w:val="普通(网站)1"/>
    <w:basedOn w:val="1062"/>
    <w:uiPriority w:val="99"/>
    <w:unhideWhenUsed/>
    <w:qFormat/>
    <w:pPr>
      <w:jc w:val="left"/>
      <w:spacing w:before="100" w:beforeAutospacing="1" w:after="100" w:afterAutospacing="1"/>
      <w:widowControl/>
    </w:pPr>
    <w:rPr>
      <w:rFonts w:ascii="宋体" w:hAnsi="宋体" w:cs="宋体"/>
      <w:sz w:val="24"/>
    </w:rPr>
  </w:style>
  <w:style w:type="paragraph" w:styleId="1307" w:customStyle="1">
    <w:name w:val="索引 11"/>
    <w:basedOn w:val="1062"/>
    <w:next w:val="1062"/>
    <w:uiPriority w:val="0"/>
    <w:qFormat/>
    <w:rPr>
      <w:szCs w:val="20"/>
    </w:rPr>
  </w:style>
  <w:style w:type="paragraph" w:styleId="1308" w:customStyle="1">
    <w:name w:val="标题1"/>
    <w:basedOn w:val="1062"/>
    <w:link w:val="1309"/>
    <w:uiPriority w:val="0"/>
    <w:qFormat/>
    <w:pPr>
      <w:jc w:val="center"/>
      <w:outlineLvl w:val="0"/>
    </w:pPr>
    <w:rPr>
      <w:b/>
      <w:sz w:val="32"/>
      <w:szCs w:val="20"/>
    </w:rPr>
  </w:style>
  <w:style w:type="character" w:styleId="1309" w:customStyle="1">
    <w:name w:val="标题 Char1"/>
    <w:link w:val="1308"/>
    <w:uiPriority w:val="0"/>
    <w:qFormat/>
    <w:rPr>
      <w:b/>
      <w:sz w:val="32"/>
    </w:rPr>
  </w:style>
  <w:style w:type="paragraph" w:styleId="1310" w:customStyle="1">
    <w:name w:val="批注主题1"/>
    <w:basedOn w:val="1272"/>
    <w:next w:val="1272"/>
    <w:link w:val="1311"/>
    <w:uiPriority w:val="0"/>
    <w:qFormat/>
    <w:rPr>
      <w:b/>
      <w:bCs/>
    </w:rPr>
  </w:style>
  <w:style w:type="character" w:styleId="1311" w:customStyle="1">
    <w:name w:val="批注主题 Char"/>
    <w:basedOn w:val="1312"/>
    <w:link w:val="1310"/>
    <w:uiPriority w:val="0"/>
    <w:qFormat/>
    <w:rPr>
      <w:rFonts w:ascii="Times New Roman" w:hAnsi="Times New Roman" w:eastAsia="宋体" w:cs="Times New Roman"/>
      <w:b/>
      <w:bCs/>
      <w:sz w:val="21"/>
      <w:szCs w:val="24"/>
      <w:lang w:val="en-US" w:eastAsia="zh-CN" w:bidi="ar-SA"/>
    </w:rPr>
  </w:style>
  <w:style w:type="character" w:styleId="1312" w:customStyle="1">
    <w:name w:val="批注文字 字符"/>
    <w:link w:val="1062"/>
    <w:uiPriority w:val="99"/>
    <w:qFormat/>
    <w:rPr>
      <w:rFonts w:ascii="Times New Roman" w:hAnsi="Times New Roman" w:eastAsia="宋体" w:cs="Times New Roman"/>
      <w:sz w:val="24"/>
      <w:lang w:val="en-US" w:eastAsia="zh-CN" w:bidi="ar-SA"/>
    </w:rPr>
  </w:style>
  <w:style w:type="paragraph" w:styleId="1313" w:customStyle="1">
    <w:name w:val="正文首行缩进 21"/>
    <w:basedOn w:val="1278"/>
    <w:link w:val="1314"/>
    <w:uiPriority w:val="0"/>
    <w:qFormat/>
    <w:pPr>
      <w:ind w:left="420" w:firstLine="420"/>
      <w:spacing w:after="120" w:line="480" w:lineRule="exact"/>
    </w:pPr>
    <w:rPr>
      <w:szCs w:val="20"/>
    </w:rPr>
  </w:style>
  <w:style w:type="character" w:styleId="1314" w:customStyle="1">
    <w:name w:val="正文首行缩进 2 Char"/>
    <w:basedOn w:val="1279"/>
    <w:link w:val="1313"/>
    <w:uiPriority w:val="0"/>
    <w:qFormat/>
    <w:rPr>
      <w:rFonts w:eastAsia="宋体"/>
      <w:sz w:val="24"/>
      <w:szCs w:val="24"/>
      <w:lang w:val="en-US" w:eastAsia="zh-CN" w:bidi="ar-SA"/>
    </w:rPr>
  </w:style>
  <w:style w:type="table" w:styleId="1315" w:customStyle="1">
    <w:name w:val="网格型1"/>
    <w:basedOn w:val="1256"/>
    <w:uiPriority w:val="39"/>
    <w:qFormat/>
    <w:tblPr/>
  </w:style>
  <w:style w:type="table" w:styleId="1316" w:customStyle="1">
    <w:name w:val="中等深浅网格 1 - 强调文字颜色 21"/>
    <w:basedOn w:val="1256"/>
    <w:uiPriority w:val="0"/>
    <w:qFormat/>
    <w:rPr>
      <w:sz w:val="21"/>
      <w:szCs w:val="24"/>
    </w:rPr>
    <w:tblPr/>
  </w:style>
  <w:style w:type="character" w:styleId="1317" w:customStyle="1">
    <w:name w:val="要点1"/>
    <w:link w:val="1062"/>
    <w:uiPriority w:val="0"/>
    <w:qFormat/>
    <w:rPr>
      <w:b/>
      <w:bCs/>
    </w:rPr>
  </w:style>
  <w:style w:type="character" w:styleId="1318" w:customStyle="1">
    <w:name w:val="页码1"/>
    <w:basedOn w:val="1255"/>
    <w:link w:val="1062"/>
    <w:uiPriority w:val="0"/>
    <w:qFormat/>
  </w:style>
  <w:style w:type="character" w:styleId="1319" w:customStyle="1">
    <w:name w:val="已访问的超链接1"/>
    <w:basedOn w:val="1255"/>
    <w:link w:val="1062"/>
    <w:uiPriority w:val="0"/>
    <w:qFormat/>
    <w:rPr>
      <w:color w:val="800080"/>
      <w:u w:val="none"/>
    </w:rPr>
  </w:style>
  <w:style w:type="character" w:styleId="1320" w:customStyle="1">
    <w:name w:val="强调1"/>
    <w:link w:val="1062"/>
    <w:uiPriority w:val="0"/>
    <w:qFormat/>
    <w:rPr>
      <w:color w:val="cc0033"/>
    </w:rPr>
  </w:style>
  <w:style w:type="character" w:styleId="1321" w:customStyle="1">
    <w:name w:val="HTML 定义1"/>
    <w:basedOn w:val="1255"/>
    <w:link w:val="1062"/>
    <w:uiPriority w:val="0"/>
    <w:qFormat/>
  </w:style>
  <w:style w:type="character" w:styleId="1322" w:customStyle="1">
    <w:name w:val="HTML 打字机1"/>
    <w:basedOn w:val="1255"/>
    <w:link w:val="1062"/>
    <w:uiPriority w:val="0"/>
    <w:qFormat/>
    <w:rPr>
      <w:rFonts w:ascii="monospace" w:hAnsi="monospace" w:eastAsia="monospace" w:cs="monospace"/>
      <w:sz w:val="20"/>
    </w:rPr>
  </w:style>
  <w:style w:type="character" w:styleId="1323" w:customStyle="1">
    <w:name w:val="HTML 缩写1"/>
    <w:basedOn w:val="1255"/>
    <w:link w:val="1062"/>
    <w:uiPriority w:val="0"/>
    <w:qFormat/>
  </w:style>
  <w:style w:type="character" w:styleId="1324" w:customStyle="1">
    <w:name w:val="HTML 变量1"/>
    <w:basedOn w:val="1255"/>
    <w:link w:val="1062"/>
    <w:uiPriority w:val="0"/>
    <w:qFormat/>
  </w:style>
  <w:style w:type="character" w:styleId="1325" w:customStyle="1">
    <w:name w:val="超链接1"/>
    <w:basedOn w:val="1255"/>
    <w:link w:val="1062"/>
    <w:uiPriority w:val="99"/>
    <w:qFormat/>
    <w:rPr>
      <w:color w:val="0000ff"/>
      <w:u w:val="none"/>
    </w:rPr>
  </w:style>
  <w:style w:type="character" w:styleId="1326" w:customStyle="1">
    <w:name w:val="HTML 代码1"/>
    <w:basedOn w:val="1255"/>
    <w:link w:val="1062"/>
    <w:uiPriority w:val="0"/>
    <w:qFormat/>
    <w:rPr>
      <w:rFonts w:ascii="monospace" w:hAnsi="monospace" w:eastAsia="monospace" w:cs="monospace"/>
      <w:sz w:val="20"/>
    </w:rPr>
  </w:style>
  <w:style w:type="character" w:styleId="1327" w:customStyle="1">
    <w:name w:val="批注引用1"/>
    <w:link w:val="1062"/>
    <w:uiPriority w:val="99"/>
    <w:qFormat/>
    <w:rPr>
      <w:sz w:val="21"/>
      <w:szCs w:val="21"/>
    </w:rPr>
  </w:style>
  <w:style w:type="character" w:styleId="1328" w:customStyle="1">
    <w:name w:val="HTML 引文1"/>
    <w:link w:val="1062"/>
    <w:uiPriority w:val="0"/>
    <w:qFormat/>
    <w:rPr>
      <w:i/>
      <w:iCs/>
    </w:rPr>
  </w:style>
  <w:style w:type="character" w:styleId="1329" w:customStyle="1">
    <w:name w:val="HTML 键盘1"/>
    <w:basedOn w:val="1255"/>
    <w:link w:val="1062"/>
    <w:uiPriority w:val="0"/>
    <w:qFormat/>
    <w:rPr>
      <w:rFonts w:ascii="monospace" w:hAnsi="monospace" w:eastAsia="monospace" w:cs="monospace"/>
      <w:sz w:val="20"/>
    </w:rPr>
  </w:style>
  <w:style w:type="character" w:styleId="1330" w:customStyle="1">
    <w:name w:val="HTML 样本1"/>
    <w:basedOn w:val="1255"/>
    <w:link w:val="1062"/>
    <w:uiPriority w:val="0"/>
    <w:qFormat/>
    <w:rPr>
      <w:rFonts w:ascii="monospace" w:hAnsi="monospace" w:eastAsia="monospace" w:cs="monospace"/>
    </w:rPr>
  </w:style>
  <w:style w:type="paragraph" w:styleId="133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32" w:customStyle="1">
    <w:name w:val="段"/>
    <w:next w:val="10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333" w:customStyle="1">
    <w:name w:val="c21"/>
    <w:link w:val="1062"/>
    <w:uiPriority w:val="0"/>
    <w:qFormat/>
    <w:rPr>
      <w:rFonts w:ascii="ˎ̥" w:hAnsi="ˎ̥"/>
      <w:color w:val="000000"/>
      <w:sz w:val="20"/>
      <w:szCs w:val="20"/>
      <w:u w:val="none"/>
    </w:rPr>
  </w:style>
  <w:style w:type="character" w:styleId="1334" w:customStyle="1">
    <w:name w:val="title4"/>
    <w:link w:val="1062"/>
    <w:uiPriority w:val="0"/>
    <w:qFormat/>
    <w:rPr>
      <w:b/>
      <w:bCs/>
      <w:color w:val="1d87b3"/>
      <w:sz w:val="15"/>
      <w:szCs w:val="15"/>
    </w:rPr>
  </w:style>
  <w:style w:type="character" w:styleId="1335" w:customStyle="1">
    <w:name w:val="标题 2 Char Char"/>
    <w:link w:val="1062"/>
    <w:uiPriority w:val="0"/>
    <w:qFormat/>
    <w:rPr>
      <w:rFonts w:ascii="Arial" w:hAnsi="Arial" w:eastAsia="黑体"/>
      <w:b/>
      <w:bCs/>
      <w:sz w:val="32"/>
      <w:szCs w:val="32"/>
      <w:lang w:val="en-US" w:eastAsia="zh-CN" w:bidi="ar-SA"/>
    </w:rPr>
  </w:style>
  <w:style w:type="character" w:styleId="1336" w:customStyle="1">
    <w:name w:val="black1"/>
    <w:link w:val="1062"/>
    <w:uiPriority w:val="0"/>
    <w:qFormat/>
    <w:rPr>
      <w:color w:val="000000"/>
    </w:rPr>
  </w:style>
  <w:style w:type="character" w:styleId="1337" w:customStyle="1">
    <w:name w:val="street-address"/>
    <w:basedOn w:val="1255"/>
    <w:link w:val="1062"/>
    <w:uiPriority w:val="0"/>
    <w:qFormat/>
  </w:style>
  <w:style w:type="character" w:styleId="1338" w:customStyle="1">
    <w:name w:val="locality"/>
    <w:basedOn w:val="1255"/>
    <w:link w:val="1062"/>
    <w:uiPriority w:val="0"/>
    <w:qFormat/>
  </w:style>
  <w:style w:type="character" w:styleId="1339" w:customStyle="1">
    <w:name w:val="正文文本缩进 Char1"/>
    <w:link w:val="1340"/>
    <w:uiPriority w:val="0"/>
    <w:qFormat/>
    <w:rPr>
      <w:rFonts w:ascii="宋体" w:hAnsi="宋体" w:eastAsia="宋体"/>
      <w:sz w:val="24"/>
      <w:szCs w:val="24"/>
      <w:lang w:bidi="ar-SA"/>
    </w:rPr>
  </w:style>
  <w:style w:type="paragraph" w:styleId="1340" w:customStyle="1">
    <w:name w:val="正文文本缩进1"/>
    <w:basedOn w:val="1062"/>
    <w:link w:val="1339"/>
    <w:uiPriority w:val="0"/>
    <w:qFormat/>
    <w:pPr>
      <w:ind w:firstLine="480"/>
      <w:spacing w:line="480" w:lineRule="exact"/>
    </w:pPr>
    <w:rPr>
      <w:rFonts w:ascii="宋体" w:hAnsi="宋体"/>
      <w:sz w:val="24"/>
    </w:rPr>
  </w:style>
  <w:style w:type="character" w:styleId="1341" w:customStyle="1">
    <w:name w:val="Char Char11"/>
    <w:link w:val="1062"/>
    <w:uiPriority w:val="0"/>
    <w:qFormat/>
    <w:rPr>
      <w:rFonts w:ascii="宋体" w:eastAsia="宋体"/>
      <w:b/>
      <w:sz w:val="24"/>
      <w:u w:val="single"/>
      <w:lang w:val="en-US" w:eastAsia="zh-CN" w:bidi="ar-SA"/>
    </w:rPr>
  </w:style>
  <w:style w:type="character" w:styleId="1342" w:customStyle="1">
    <w:name w:val="txt"/>
    <w:basedOn w:val="1255"/>
    <w:link w:val="1062"/>
    <w:uiPriority w:val="0"/>
    <w:qFormat/>
  </w:style>
  <w:style w:type="character" w:styleId="1343" w:customStyle="1">
    <w:name w:val="正文缩进 Char Char"/>
    <w:link w:val="1344"/>
    <w:uiPriority w:val="0"/>
    <w:qFormat/>
    <w:rPr>
      <w:rFonts w:ascii="宋体" w:eastAsia="宋体"/>
      <w:color w:val="000000"/>
      <w:sz w:val="28"/>
      <w:lang w:bidi="ar-SA"/>
    </w:rPr>
  </w:style>
  <w:style w:type="paragraph" w:styleId="1344" w:customStyle="1">
    <w:name w:val="正文缩进1"/>
    <w:basedOn w:val="1062"/>
    <w:link w:val="1343"/>
    <w:uiPriority w:val="0"/>
    <w:qFormat/>
    <w:pPr>
      <w:ind w:firstLine="567"/>
      <w:spacing w:line="480" w:lineRule="exact"/>
      <w:widowControl/>
    </w:pPr>
    <w:rPr>
      <w:rFonts w:ascii="宋体"/>
      <w:color w:val="000000"/>
      <w:sz w:val="28"/>
      <w:szCs w:val="20"/>
    </w:rPr>
  </w:style>
  <w:style w:type="character" w:styleId="1345" w:customStyle="1">
    <w:name w:val="普通文字1 Char1"/>
    <w:link w:val="1062"/>
    <w:uiPriority w:val="0"/>
    <w:qFormat/>
    <w:rPr>
      <w:rFonts w:ascii="宋体" w:hAnsi="Courier New" w:eastAsia="宋体"/>
      <w:sz w:val="21"/>
      <w:lang w:val="en-US" w:eastAsia="zh-CN" w:bidi="ar-SA"/>
    </w:rPr>
  </w:style>
  <w:style w:type="character" w:styleId="1346" w:customStyle="1">
    <w:name w:val="chanpin1"/>
    <w:link w:val="1062"/>
    <w:uiPriority w:val="0"/>
    <w:qFormat/>
    <w:rPr>
      <w:rFonts w:ascii="ˎ̥" w:hAnsi="ˎ̥"/>
      <w:color w:val="000000"/>
      <w:sz w:val="20"/>
      <w:szCs w:val="20"/>
      <w:u w:val="none"/>
    </w:rPr>
  </w:style>
  <w:style w:type="character" w:styleId="1347" w:customStyle="1">
    <w:name w:val="列出段落 Char1"/>
    <w:link w:val="1348"/>
    <w:uiPriority w:val="34"/>
    <w:qFormat/>
    <w:rPr>
      <w:rFonts w:ascii="Calibri" w:hAnsi="Calibri" w:eastAsia="宋体"/>
      <w:sz w:val="21"/>
      <w:szCs w:val="22"/>
      <w:lang w:val="en-US" w:eastAsia="zh-CN" w:bidi="ar-SA"/>
    </w:rPr>
  </w:style>
  <w:style w:type="paragraph" w:styleId="1348" w:customStyle="1">
    <w:name w:val="列出段落"/>
    <w:basedOn w:val="1062"/>
    <w:link w:val="1347"/>
    <w:uiPriority w:val="34"/>
    <w:qFormat/>
    <w:pPr>
      <w:ind w:firstLine="420"/>
    </w:pPr>
    <w:rPr>
      <w:rFonts w:ascii="Calibri" w:hAnsi="Calibri"/>
      <w:szCs w:val="22"/>
    </w:rPr>
  </w:style>
  <w:style w:type="character" w:styleId="1349" w:customStyle="1">
    <w:name w:val="标题 3 Char Char"/>
    <w:link w:val="1062"/>
    <w:uiPriority w:val="0"/>
    <w:qFormat/>
    <w:rPr>
      <w:rFonts w:eastAsia="宋体"/>
      <w:b/>
      <w:bCs/>
      <w:sz w:val="32"/>
      <w:szCs w:val="32"/>
      <w:lang w:val="en-US" w:eastAsia="zh-CN" w:bidi="ar-SA"/>
    </w:rPr>
  </w:style>
  <w:style w:type="character" w:styleId="1350" w:customStyle="1">
    <w:name w:val="段1 Char"/>
    <w:link w:val="1062"/>
    <w:uiPriority w:val="0"/>
    <w:qFormat/>
    <w:rPr>
      <w:rFonts w:ascii="宋体" w:eastAsia="宋体"/>
      <w:sz w:val="24"/>
      <w:lang w:val="en-US" w:eastAsia="zh-CN" w:bidi="ar-SA"/>
    </w:rPr>
  </w:style>
  <w:style w:type="character" w:styleId="1351" w:customStyle="1">
    <w:name w:val="chanpin拷贝"/>
    <w:basedOn w:val="1255"/>
    <w:link w:val="1062"/>
    <w:uiPriority w:val="0"/>
    <w:qFormat/>
  </w:style>
  <w:style w:type="character" w:styleId="1352" w:customStyle="1">
    <w:name w:val="纯文本 Char1"/>
    <w:link w:val="1062"/>
    <w:uiPriority w:val="0"/>
    <w:qFormat/>
    <w:rPr>
      <w:rFonts w:ascii="宋体" w:hAnsi="Courier New" w:eastAsia="宋体"/>
      <w:sz w:val="21"/>
      <w:lang w:val="en-US" w:eastAsia="zh-CN" w:bidi="ar-SA"/>
    </w:rPr>
  </w:style>
  <w:style w:type="character" w:styleId="1353" w:customStyle="1">
    <w:name w:val="apple-style-span"/>
    <w:link w:val="1062"/>
    <w:uiPriority w:val="0"/>
    <w:qFormat/>
    <w:rPr>
      <w:rFonts w:cs="Times New Roman"/>
    </w:rPr>
  </w:style>
  <w:style w:type="paragraph" w:styleId="1354" w:customStyle="1">
    <w:name w:val="二级条标题"/>
    <w:basedOn w:val="1355"/>
    <w:next w:val="10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55" w:customStyle="1">
    <w:name w:val="一级条标题"/>
    <w:basedOn w:val="1356"/>
    <w:next w:val="1062"/>
    <w:uiPriority w:val="0"/>
    <w:qFormat/>
    <w:pPr>
      <w:numPr>
        <w:ilvl w:val="1"/>
      </w:numPr>
      <w:ind w:left="0" w:hanging="840"/>
      <w:tabs>
        <w:tab w:val="left" w:pos="360" w:leader="none"/>
        <w:tab w:val="left" w:pos="840" w:leader="none"/>
      </w:tabs>
      <w:outlineLvl w:val="1"/>
    </w:pPr>
  </w:style>
  <w:style w:type="paragraph" w:styleId="1356" w:customStyle="1">
    <w:name w:val="章标题"/>
    <w:next w:val="106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57" w:customStyle="1">
    <w:name w:val="font7"/>
    <w:basedOn w:val="1062"/>
    <w:uiPriority w:val="0"/>
    <w:qFormat/>
    <w:pPr>
      <w:jc w:val="left"/>
      <w:spacing w:before="100" w:beforeAutospacing="1" w:after="100" w:afterAutospacing="1"/>
      <w:widowControl/>
    </w:pPr>
    <w:rPr>
      <w:rFonts w:eastAsia="Arial Unicode MS"/>
      <w:b/>
      <w:bCs/>
      <w:color w:val="000000"/>
      <w:sz w:val="20"/>
      <w:szCs w:val="20"/>
    </w:rPr>
  </w:style>
  <w:style w:type="paragraph" w:styleId="1358" w:customStyle="1">
    <w:name w:val="字元 字元"/>
    <w:basedOn w:val="1062"/>
    <w:uiPriority w:val="0"/>
    <w:qFormat/>
    <w:rPr>
      <w:rFonts w:ascii="Tahoma" w:hAnsi="Tahoma"/>
      <w:sz w:val="24"/>
      <w:szCs w:val="20"/>
    </w:rPr>
  </w:style>
  <w:style w:type="paragraph" w:styleId="1359" w:customStyle="1">
    <w:name w:val="Char3 Char Char Char"/>
    <w:basedOn w:val="1062"/>
    <w:uiPriority w:val="0"/>
    <w:qFormat/>
    <w:rPr>
      <w:rFonts w:ascii="Tahoma" w:hAnsi="Tahoma"/>
      <w:sz w:val="24"/>
      <w:szCs w:val="20"/>
    </w:rPr>
  </w:style>
  <w:style w:type="paragraph" w:styleId="1360" w:customStyle="1">
    <w:name w:val="font6"/>
    <w:basedOn w:val="1062"/>
    <w:uiPriority w:val="0"/>
    <w:qFormat/>
    <w:pPr>
      <w:jc w:val="left"/>
      <w:spacing w:before="100" w:beforeAutospacing="1" w:after="100" w:afterAutospacing="1"/>
      <w:widowControl/>
    </w:pPr>
    <w:rPr>
      <w:rFonts w:ascii="宋体" w:hAnsi="宋体" w:cs="宋体"/>
      <w:sz w:val="20"/>
      <w:szCs w:val="20"/>
    </w:rPr>
  </w:style>
  <w:style w:type="paragraph" w:styleId="1361" w:customStyle="1">
    <w:name w:val="项目编号2"/>
    <w:basedOn w:val="1362"/>
    <w:uiPriority w:val="0"/>
    <w:qFormat/>
    <w:pPr>
      <w:numPr>
        <w:numId w:val="2"/>
      </w:numPr>
    </w:pPr>
  </w:style>
  <w:style w:type="paragraph" w:styleId="1362" w:customStyle="1">
    <w:name w:val="项目编号1"/>
    <w:basedOn w:val="1062"/>
    <w:uiPriority w:val="0"/>
    <w:qFormat/>
    <w:pPr>
      <w:numPr>
        <w:ilvl w:val="0"/>
        <w:numId w:val="3"/>
      </w:numPr>
      <w:spacing w:before="100" w:beforeAutospacing="1" w:after="100" w:afterAutospacing="1" w:line="360" w:lineRule="auto"/>
    </w:pPr>
    <w:rPr>
      <w:sz w:val="24"/>
    </w:rPr>
  </w:style>
  <w:style w:type="paragraph" w:styleId="1363" w:customStyle="1">
    <w:name w:val="图中文字"/>
    <w:basedOn w:val="1062"/>
    <w:uiPriority w:val="0"/>
    <w:qFormat/>
    <w:pPr>
      <w:jc w:val="center"/>
      <w:spacing w:line="0" w:lineRule="atLeast"/>
    </w:pPr>
    <w:rPr>
      <w:sz w:val="24"/>
      <w:szCs w:val="20"/>
    </w:rPr>
  </w:style>
  <w:style w:type="paragraph" w:styleId="1364" w:customStyle="1">
    <w:name w:val="xl46"/>
    <w:basedOn w:val="10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5" w:customStyle="1">
    <w:name w:val="xl25"/>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6" w:customStyle="1">
    <w:name w:val="Char2"/>
    <w:basedOn w:val="1062"/>
    <w:uiPriority w:val="0"/>
    <w:qFormat/>
    <w:rPr>
      <w:rFonts w:ascii="Tahoma" w:hAnsi="Tahoma"/>
      <w:sz w:val="24"/>
      <w:szCs w:val="20"/>
    </w:rPr>
  </w:style>
  <w:style w:type="paragraph" w:styleId="1367" w:customStyle="1">
    <w:name w:val="xl35"/>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8" w:customStyle="1">
    <w:name w:val="xl40"/>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9" w:customStyle="1">
    <w:name w:val="xl52"/>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70" w:customStyle="1">
    <w:name w:val="xl4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71" w:customStyle="1">
    <w:name w:val="background1"/>
    <w:basedOn w:val="1062"/>
    <w:uiPriority w:val="0"/>
    <w:qFormat/>
    <w:pPr>
      <w:jc w:val="left"/>
      <w:spacing w:before="100" w:beforeAutospacing="1" w:after="100" w:afterAutospacing="1"/>
      <w:widowControl/>
    </w:pPr>
    <w:rPr>
      <w:rFonts w:ascii="宋体" w:hAnsi="宋体" w:cs="宋体"/>
      <w:sz w:val="24"/>
    </w:rPr>
  </w:style>
  <w:style w:type="paragraph" w:styleId="1372" w:customStyle="1">
    <w:name w:val="Char Char Char Char Char Char Char"/>
    <w:basedOn w:val="1062"/>
    <w:uiPriority w:val="0"/>
    <w:qFormat/>
    <w:pPr>
      <w:ind w:firstLine="200"/>
      <w:spacing w:line="360" w:lineRule="auto"/>
    </w:pPr>
    <w:rPr>
      <w:rFonts w:eastAsia="仿宋_GB2312"/>
      <w:sz w:val="24"/>
    </w:rPr>
  </w:style>
  <w:style w:type="paragraph" w:styleId="1373" w:customStyle="1">
    <w:name w:val="xl38"/>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74" w:customStyle="1">
    <w:name w:val="xl36"/>
    <w:basedOn w:val="10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5" w:customStyle="1">
    <w:name w:val="正文 + 宋体"/>
    <w:basedOn w:val="1062"/>
    <w:uiPriority w:val="0"/>
    <w:qFormat/>
    <w:pPr>
      <w:ind w:left="360" w:hanging="360"/>
      <w:jc w:val="left"/>
      <w:widowControl/>
    </w:pPr>
    <w:rPr>
      <w:rFonts w:ascii="宋体" w:hAnsi="宋体" w:cs="宋体"/>
      <w:b/>
      <w:bCs/>
      <w:color w:val="000000"/>
      <w:sz w:val="18"/>
      <w:szCs w:val="18"/>
    </w:rPr>
  </w:style>
  <w:style w:type="paragraph" w:styleId="1376" w:customStyle="1">
    <w:name w:val="正文列项_数字"/>
    <w:basedOn w:val="106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77" w:customStyle="1">
    <w:name w:val="xl39"/>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8" w:customStyle="1">
    <w:name w:val="xl37"/>
    <w:basedOn w:val="10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9" w:customStyle="1">
    <w:name w:val="xl32"/>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0" w:customStyle="1">
    <w:name w:val="font8"/>
    <w:basedOn w:val="1062"/>
    <w:uiPriority w:val="0"/>
    <w:qFormat/>
    <w:pPr>
      <w:jc w:val="left"/>
      <w:spacing w:before="100" w:beforeAutospacing="1" w:after="100" w:afterAutospacing="1"/>
      <w:widowControl/>
    </w:pPr>
    <w:rPr>
      <w:sz w:val="36"/>
      <w:szCs w:val="36"/>
    </w:rPr>
  </w:style>
  <w:style w:type="paragraph" w:styleId="1381" w:customStyle="1">
    <w:name w:val="Char"/>
    <w:basedOn w:val="1062"/>
    <w:uiPriority w:val="0"/>
    <w:qFormat/>
    <w:pPr>
      <w:tabs>
        <w:tab w:val="left" w:pos="360" w:leader="none"/>
      </w:tabs>
    </w:pPr>
    <w:rPr>
      <w:sz w:val="24"/>
    </w:rPr>
  </w:style>
  <w:style w:type="paragraph" w:styleId="1382" w:customStyle="1">
    <w:name w:val="Char Char Char Char Char Char Char Char Char Char Char Char Char Char Char Char"/>
    <w:basedOn w:val="1062"/>
    <w:uiPriority w:val="0"/>
    <w:qFormat/>
    <w:pPr>
      <w:jc w:val="center"/>
      <w:spacing w:after="160" w:line="240" w:lineRule="exact"/>
      <w:widowControl/>
    </w:pPr>
    <w:rPr>
      <w:rFonts w:ascii="宋体" w:hAnsi="宋体"/>
      <w:b/>
      <w:sz w:val="30"/>
      <w:szCs w:val="30"/>
      <w:lang w:eastAsia="en-US"/>
    </w:rPr>
  </w:style>
  <w:style w:type="paragraph" w:styleId="1383" w:customStyle="1">
    <w:name w:val="xl45"/>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4" w:customStyle="1">
    <w:name w:val="Char Char1 Char Char Char Char Char Char"/>
    <w:basedOn w:val="1062"/>
    <w:uiPriority w:val="0"/>
    <w:qFormat/>
    <w:pPr>
      <w:jc w:val="left"/>
      <w:spacing w:after="160" w:line="240" w:lineRule="exact"/>
      <w:widowControl/>
    </w:pPr>
    <w:rPr>
      <w:rFonts w:ascii="Verdana" w:hAnsi="Verdana" w:eastAsia="仿宋_GB2312"/>
      <w:sz w:val="24"/>
      <w:szCs w:val="20"/>
      <w:lang w:eastAsia="en-US"/>
    </w:rPr>
  </w:style>
  <w:style w:type="paragraph" w:styleId="1385" w:customStyle="1">
    <w:name w:val="Char Char1"/>
    <w:basedOn w:val="1270"/>
    <w:uiPriority w:val="0"/>
    <w:qFormat/>
    <w:rPr>
      <w:rFonts w:ascii="Tahoma" w:hAnsi="Tahoma"/>
      <w:sz w:val="24"/>
    </w:rPr>
  </w:style>
  <w:style w:type="paragraph" w:styleId="1386" w:customStyle="1">
    <w:name w:val="xl26"/>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87" w:customStyle="1">
    <w:name w:val="xl30"/>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8" w:customStyle="1">
    <w:name w:val="xl41"/>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9" w:customStyle="1">
    <w:name w:val="样式 宋体 五号 行距: 单倍行距"/>
    <w:basedOn w:val="1062"/>
    <w:uiPriority w:val="0"/>
    <w:qFormat/>
    <w:pPr>
      <w:jc w:val="left"/>
    </w:pPr>
    <w:rPr>
      <w:rFonts w:ascii="宋体" w:hAnsi="宋体"/>
      <w:szCs w:val="20"/>
    </w:rPr>
  </w:style>
  <w:style w:type="paragraph" w:styleId="1390" w:customStyle="1">
    <w:name w:val="Char1 Char Char Char1"/>
    <w:basedOn w:val="1062"/>
    <w:uiPriority w:val="0"/>
    <w:qFormat/>
    <w:rPr>
      <w:rFonts w:ascii="Tahoma" w:hAnsi="Tahoma" w:cs="仿宋_GB2312"/>
      <w:sz w:val="24"/>
      <w:szCs w:val="28"/>
    </w:rPr>
  </w:style>
  <w:style w:type="paragraph" w:styleId="1391" w:customStyle="1">
    <w:name w:val="四级条标题"/>
    <w:basedOn w:val="1392"/>
    <w:next w:val="1062"/>
    <w:uiPriority w:val="0"/>
    <w:qFormat/>
    <w:pPr>
      <w:numPr>
        <w:ilvl w:val="4"/>
      </w:numPr>
      <w:ind w:left="0" w:hanging="840"/>
      <w:tabs>
        <w:tab w:val="left" w:pos="360" w:leader="none"/>
        <w:tab w:val="left" w:pos="840" w:leader="none"/>
      </w:tabs>
      <w:outlineLvl w:val="4"/>
    </w:pPr>
  </w:style>
  <w:style w:type="paragraph" w:styleId="1392" w:customStyle="1">
    <w:name w:val="三级条标题"/>
    <w:basedOn w:val="1354"/>
    <w:next w:val="1062"/>
    <w:uiPriority w:val="0"/>
    <w:qFormat/>
    <w:pPr>
      <w:numPr>
        <w:ilvl w:val="3"/>
        <w:numId w:val="1"/>
      </w:numPr>
      <w:ind w:left="0" w:hanging="840"/>
      <w:outlineLvl w:val="3"/>
    </w:pPr>
  </w:style>
  <w:style w:type="paragraph" w:styleId="139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94" w:customStyle="1">
    <w:name w:val="样式 标题 2 + 宋体 五号 行距: 单倍行距"/>
    <w:basedOn w:val="1247"/>
    <w:uiPriority w:val="0"/>
    <w:qFormat/>
    <w:pPr>
      <w:numPr>
        <w:ilvl w:val="1"/>
        <w:numId w:val="4"/>
      </w:numPr>
      <w:jc w:val="left"/>
      <w:spacing w:before="260" w:after="260" w:line="240" w:lineRule="auto"/>
    </w:pPr>
    <w:rPr>
      <w:rFonts w:ascii="宋体" w:hAnsi="宋体" w:eastAsia="宋体"/>
      <w:bCs/>
      <w:sz w:val="21"/>
    </w:rPr>
  </w:style>
  <w:style w:type="paragraph" w:styleId="1395" w:customStyle="1">
    <w:name w:val="List Paragraph1"/>
    <w:basedOn w:val="1062"/>
    <w:uiPriority w:val="0"/>
    <w:qFormat/>
    <w:pPr>
      <w:ind w:firstLine="420"/>
    </w:pPr>
    <w:rPr>
      <w:rFonts w:ascii="Calibri" w:hAnsi="Calibri"/>
      <w:szCs w:val="22"/>
    </w:rPr>
  </w:style>
  <w:style w:type="paragraph" w:styleId="1396" w:customStyle="1">
    <w:name w:val="项目符号1"/>
    <w:basedOn w:val="1397"/>
    <w:uiPriority w:val="0"/>
    <w:qFormat/>
    <w:pPr>
      <w:ind w:left="-25" w:firstLine="0"/>
    </w:pPr>
  </w:style>
  <w:style w:type="paragraph" w:styleId="1397" w:customStyle="1">
    <w:name w:val="正文文本样式"/>
    <w:basedOn w:val="1062"/>
    <w:uiPriority w:val="0"/>
    <w:qFormat/>
    <w:pPr>
      <w:ind w:firstLine="482"/>
      <w:spacing w:line="360" w:lineRule="auto"/>
    </w:pPr>
    <w:rPr>
      <w:rFonts w:cs="宋体"/>
      <w:sz w:val="24"/>
      <w:szCs w:val="20"/>
    </w:rPr>
  </w:style>
  <w:style w:type="paragraph" w:styleId="1398" w:customStyle="1">
    <w:name w:val="xl27"/>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9" w:customStyle="1">
    <w:name w:val="font5"/>
    <w:basedOn w:val="1062"/>
    <w:uiPriority w:val="0"/>
    <w:qFormat/>
    <w:pPr>
      <w:jc w:val="left"/>
      <w:spacing w:before="100" w:beforeAutospacing="1" w:after="100" w:afterAutospacing="1"/>
      <w:widowControl/>
    </w:pPr>
    <w:rPr>
      <w:rFonts w:ascii="宋体" w:hAnsi="宋体" w:cs="宋体"/>
      <w:sz w:val="18"/>
      <w:szCs w:val="18"/>
    </w:rPr>
  </w:style>
  <w:style w:type="paragraph" w:styleId="1400" w:customStyle="1">
    <w:name w:val="五级条标题"/>
    <w:basedOn w:val="1391"/>
    <w:next w:val="1062"/>
    <w:uiPriority w:val="0"/>
    <w:qFormat/>
    <w:pPr>
      <w:numPr>
        <w:ilvl w:val="5"/>
      </w:numPr>
      <w:ind w:left="0" w:hanging="840"/>
      <w:outlineLvl w:val="5"/>
    </w:pPr>
  </w:style>
  <w:style w:type="paragraph" w:styleId="1401" w:customStyle="1">
    <w:name w:val="xl49"/>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02" w:customStyle="1">
    <w:name w:val="文档正文"/>
    <w:basedOn w:val="1062"/>
    <w:uiPriority w:val="0"/>
    <w:qFormat/>
    <w:pPr>
      <w:spacing w:before="120" w:after="120" w:line="180" w:lineRule="auto"/>
    </w:pPr>
    <w:rPr>
      <w:rFonts w:ascii="Arial" w:hAnsi="Arial"/>
      <w:szCs w:val="20"/>
    </w:rPr>
  </w:style>
  <w:style w:type="paragraph" w:styleId="1403" w:customStyle="1">
    <w:name w:val="xl3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4" w:customStyle="1">
    <w:name w:val="xl42"/>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05" w:customStyle="1">
    <w:name w:val="Char Char Char1 Char"/>
    <w:basedOn w:val="1062"/>
    <w:uiPriority w:val="0"/>
    <w:qFormat/>
    <w:rPr>
      <w:rFonts w:ascii="Tahoma" w:hAnsi="Tahoma"/>
      <w:sz w:val="24"/>
      <w:szCs w:val="20"/>
    </w:rPr>
  </w:style>
  <w:style w:type="paragraph" w:styleId="1406" w:customStyle="1">
    <w:name w:val="xl44"/>
    <w:basedOn w:val="10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07" w:customStyle="1">
    <w:name w:val="1名"/>
    <w:basedOn w:val="1062"/>
    <w:uiPriority w:val="0"/>
    <w:qFormat/>
    <w:pPr>
      <w:numPr>
        <w:ilvl w:val="0"/>
        <w:numId w:val="5"/>
      </w:numPr>
      <w:spacing w:before="120"/>
    </w:pPr>
    <w:rPr>
      <w:rFonts w:ascii="宋体"/>
      <w:sz w:val="28"/>
      <w:szCs w:val="20"/>
    </w:rPr>
  </w:style>
  <w:style w:type="paragraph" w:styleId="1408" w:customStyle="1">
    <w:name w:val="font9"/>
    <w:basedOn w:val="10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09" w:customStyle="1">
    <w:name w:val="Char Char Char1 Char1"/>
    <w:basedOn w:val="1062"/>
    <w:uiPriority w:val="0"/>
    <w:qFormat/>
    <w:rPr>
      <w:rFonts w:ascii="Tahoma" w:hAnsi="Tahoma"/>
      <w:sz w:val="24"/>
      <w:szCs w:val="20"/>
    </w:rPr>
  </w:style>
  <w:style w:type="paragraph" w:styleId="1410" w:customStyle="1">
    <w:name w:val="Char Char Char Char Char Char Char Char Char Char"/>
    <w:basedOn w:val="1062"/>
    <w:uiPriority w:val="0"/>
    <w:qFormat/>
  </w:style>
  <w:style w:type="paragraph" w:styleId="1411" w:customStyle="1">
    <w:name w:val="Char Char1 Char Char Char Char Char Char Char Char"/>
    <w:basedOn w:val="1062"/>
    <w:uiPriority w:val="0"/>
    <w:qFormat/>
    <w:pPr>
      <w:jc w:val="left"/>
      <w:spacing w:after="160" w:line="240" w:lineRule="exact"/>
      <w:widowControl/>
    </w:pPr>
    <w:rPr>
      <w:rFonts w:ascii="Verdana" w:hAnsi="Verdana"/>
      <w:sz w:val="20"/>
      <w:szCs w:val="20"/>
      <w:lang w:eastAsia="en-US"/>
    </w:rPr>
  </w:style>
  <w:style w:type="paragraph" w:styleId="1412" w:customStyle="1">
    <w:name w:val="Char1"/>
    <w:basedOn w:val="1062"/>
    <w:uiPriority w:val="0"/>
    <w:qFormat/>
    <w:pPr>
      <w:tabs>
        <w:tab w:val="left" w:pos="360" w:leader="none"/>
      </w:tabs>
    </w:pPr>
    <w:rPr>
      <w:sz w:val="24"/>
    </w:rPr>
  </w:style>
  <w:style w:type="paragraph" w:styleId="1413" w:customStyle="1">
    <w:name w:val="正文列项_字母"/>
    <w:basedOn w:val="106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14" w:customStyle="1">
    <w:name w:val="xl28"/>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5" w:customStyle="1">
    <w:name w:val="xl47"/>
    <w:basedOn w:val="10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6" w:customStyle="1">
    <w:name w:val="默认段落字体 Para Char Char Char Char"/>
    <w:basedOn w:val="1062"/>
    <w:uiPriority w:val="0"/>
    <w:qFormat/>
    <w:rPr>
      <w:rFonts w:ascii="Arial" w:hAnsi="Arial" w:cs="Arial"/>
      <w:szCs w:val="21"/>
    </w:rPr>
  </w:style>
  <w:style w:type="paragraph" w:styleId="1417" w:customStyle="1">
    <w:name w:val="xl48"/>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18" w:customStyle="1">
    <w:name w:val="xl31"/>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9" w:customStyle="1">
    <w:name w:val="xl53"/>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0" w:customStyle="1">
    <w:name w:val="Char Char Char"/>
    <w:basedOn w:val="1062"/>
    <w:uiPriority w:val="0"/>
    <w:qFormat/>
    <w:rPr>
      <w:rFonts w:ascii="Tahoma" w:hAnsi="Tahoma"/>
      <w:sz w:val="24"/>
      <w:szCs w:val="20"/>
    </w:rPr>
  </w:style>
  <w:style w:type="paragraph" w:styleId="1421" w:customStyle="1">
    <w:name w:val="xl50"/>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22" w:customStyle="1">
    <w:name w:val="缺省文本"/>
    <w:basedOn w:val="1062"/>
    <w:uiPriority w:val="0"/>
    <w:qFormat/>
    <w:pPr>
      <w:jc w:val="left"/>
    </w:pPr>
    <w:rPr>
      <w:sz w:val="24"/>
    </w:rPr>
  </w:style>
  <w:style w:type="paragraph" w:styleId="1423" w:customStyle="1">
    <w:name w:val="Char Char Char1"/>
    <w:basedOn w:val="1062"/>
    <w:uiPriority w:val="0"/>
    <w:qFormat/>
    <w:rPr>
      <w:rFonts w:ascii="Tahoma" w:hAnsi="Tahoma"/>
      <w:sz w:val="24"/>
      <w:szCs w:val="20"/>
    </w:rPr>
  </w:style>
  <w:style w:type="paragraph" w:styleId="1424" w:customStyle="1">
    <w:name w:val="Char Char Char Char Char Char Char1"/>
    <w:basedOn w:val="1062"/>
    <w:uiPriority w:val="0"/>
    <w:qFormat/>
    <w:pPr>
      <w:ind w:firstLine="200"/>
      <w:spacing w:line="360" w:lineRule="auto"/>
    </w:pPr>
    <w:rPr>
      <w:rFonts w:eastAsia="仿宋_GB2312"/>
      <w:sz w:val="24"/>
    </w:rPr>
  </w:style>
  <w:style w:type="paragraph" w:styleId="1425" w:customStyle="1">
    <w:name w:val="xl51"/>
    <w:basedOn w:val="10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6" w:customStyle="1">
    <w:name w:val="样式2"/>
    <w:basedOn w:val="1307"/>
    <w:uiPriority w:val="0"/>
    <w:qFormat/>
    <w:pPr>
      <w:jc w:val="center"/>
      <w:spacing w:line="360" w:lineRule="auto"/>
    </w:pPr>
    <w:rPr>
      <w:sz w:val="24"/>
    </w:rPr>
  </w:style>
  <w:style w:type="paragraph" w:styleId="1427" w:customStyle="1">
    <w:name w:val="xl24"/>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8" w:customStyle="1">
    <w:name w:val="xl29"/>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9" w:customStyle="1">
    <w:name w:val="正文 + 楷体_GB2312"/>
    <w:basedOn w:val="1062"/>
    <w:uiPriority w:val="0"/>
    <w:qFormat/>
    <w:pPr>
      <w:jc w:val="left"/>
      <w:widowControl/>
    </w:pPr>
    <w:rPr>
      <w:rFonts w:ascii="楷体_GB2312" w:eastAsia="楷体_GB2312" w:cs="Arial"/>
      <w:sz w:val="24"/>
    </w:rPr>
  </w:style>
  <w:style w:type="paragraph" w:styleId="1430" w:customStyle="1">
    <w:name w:val="xl34"/>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31" w:customStyle="1">
    <w:name w:val="1 Char Char Char Char"/>
    <w:basedOn w:val="1062"/>
    <w:uiPriority w:val="0"/>
    <w:qFormat/>
    <w:rPr>
      <w:rFonts w:ascii="Tahoma" w:hAnsi="Tahoma"/>
      <w:sz w:val="24"/>
      <w:szCs w:val="20"/>
    </w:rPr>
  </w:style>
  <w:style w:type="paragraph" w:styleId="1432" w:customStyle="1">
    <w:name w:val="列出段落1"/>
    <w:basedOn w:val="1062"/>
    <w:uiPriority w:val="0"/>
    <w:qFormat/>
    <w:pPr>
      <w:ind w:firstLine="420"/>
    </w:pPr>
    <w:rPr>
      <w:rFonts w:ascii="Calibri" w:hAnsi="Calibri"/>
      <w:szCs w:val="22"/>
    </w:rPr>
  </w:style>
  <w:style w:type="paragraph" w:styleId="1433" w:customStyle="1">
    <w:name w:val="default"/>
    <w:basedOn w:val="1062"/>
    <w:uiPriority w:val="0"/>
    <w:qFormat/>
    <w:pPr>
      <w:jc w:val="left"/>
      <w:spacing w:before="100" w:beforeAutospacing="1" w:after="100" w:afterAutospacing="1"/>
      <w:widowControl/>
    </w:pPr>
    <w:rPr>
      <w:rFonts w:ascii="宋体" w:hAnsi="宋体" w:cs="宋体"/>
      <w:sz w:val="24"/>
    </w:rPr>
  </w:style>
  <w:style w:type="paragraph" w:styleId="1434" w:customStyle="1">
    <w:name w:val="字元 字元1"/>
    <w:basedOn w:val="1062"/>
    <w:uiPriority w:val="0"/>
    <w:qFormat/>
    <w:rPr>
      <w:rFonts w:ascii="Tahoma" w:hAnsi="Tahoma"/>
      <w:sz w:val="24"/>
      <w:szCs w:val="20"/>
    </w:rPr>
  </w:style>
  <w:style w:type="paragraph" w:styleId="1435" w:customStyle="1">
    <w:name w:val="_Style 160"/>
    <w:uiPriority w:val="0"/>
    <w:qFormat/>
    <w:rPr>
      <w:rFonts w:hint="default" w:ascii="Times New Roman" w:hAnsi="Times New Roman" w:eastAsia="宋体" w:cs="Times New Roman"/>
      <w:sz w:val="21"/>
      <w:szCs w:val="24"/>
      <w:lang w:val="en-US" w:eastAsia="zh-CN" w:bidi="ar-SA"/>
    </w:rPr>
  </w:style>
  <w:style w:type="paragraph" w:styleId="1436" w:customStyle="1">
    <w:name w:val="项目编号3"/>
    <w:basedOn w:val="1397"/>
    <w:uiPriority w:val="0"/>
    <w:qFormat/>
    <w:pPr>
      <w:numPr>
        <w:ilvl w:val="0"/>
        <w:numId w:val="6"/>
      </w:numPr>
    </w:pPr>
  </w:style>
  <w:style w:type="paragraph" w:styleId="1437" w:customStyle="1">
    <w:name w:val="Char21"/>
    <w:basedOn w:val="1062"/>
    <w:uiPriority w:val="0"/>
    <w:qFormat/>
    <w:rPr>
      <w:rFonts w:ascii="Tahoma" w:hAnsi="Tahoma"/>
      <w:sz w:val="24"/>
      <w:szCs w:val="20"/>
    </w:rPr>
  </w:style>
  <w:style w:type="paragraph" w:styleId="1438" w:customStyle="1">
    <w:name w:val="表格文字"/>
    <w:basedOn w:val="1278"/>
    <w:uiPriority w:val="0"/>
    <w:qFormat/>
    <w:pPr>
      <w:ind w:firstLine="0"/>
      <w:spacing w:before="20" w:after="20" w:line="240" w:lineRule="auto"/>
    </w:pPr>
    <w:rPr>
      <w:rFonts w:ascii="Century Gothic" w:hAnsi="Century Gothic"/>
      <w:sz w:val="20"/>
      <w:szCs w:val="20"/>
    </w:rPr>
  </w:style>
  <w:style w:type="paragraph" w:styleId="1439" w:customStyle="1">
    <w:name w:val="Char Char Char Char Char Char Char Char Char Char1"/>
    <w:basedOn w:val="1062"/>
    <w:uiPriority w:val="0"/>
    <w:qFormat/>
    <w:rPr>
      <w:rFonts w:ascii="宋体" w:hAnsi="宋体" w:cs="Courier New"/>
      <w:sz w:val="32"/>
      <w:szCs w:val="32"/>
    </w:rPr>
  </w:style>
  <w:style w:type="paragraph" w:styleId="1440" w:customStyle="1">
    <w:name w:val="正文文本样式 加粗"/>
    <w:basedOn w:val="1397"/>
    <w:uiPriority w:val="0"/>
    <w:qFormat/>
    <w:rPr>
      <w:b/>
    </w:rPr>
  </w:style>
  <w:style w:type="paragraph" w:styleId="1441" w:customStyle="1">
    <w:name w:val="Char2 Char Char Char Char Char Char"/>
    <w:basedOn w:val="1062"/>
    <w:uiPriority w:val="0"/>
    <w:qFormat/>
    <w:pPr>
      <w:jc w:val="center"/>
      <w:spacing w:line="400" w:lineRule="exact"/>
      <w:widowControl/>
    </w:pPr>
  </w:style>
  <w:style w:type="paragraph" w:styleId="1442" w:customStyle="1">
    <w:name w:val="Char Char4"/>
    <w:basedOn w:val="1062"/>
    <w:uiPriority w:val="0"/>
    <w:qFormat/>
    <w:pPr>
      <w:jc w:val="center"/>
      <w:spacing w:line="400" w:lineRule="exact"/>
      <w:widowControl/>
    </w:pPr>
  </w:style>
  <w:style w:type="paragraph" w:styleId="1443" w:customStyle="1">
    <w:name w:val="Char3 Char Char Char1"/>
    <w:basedOn w:val="1062"/>
    <w:uiPriority w:val="0"/>
    <w:qFormat/>
    <w:rPr>
      <w:rFonts w:ascii="Tahoma" w:hAnsi="Tahoma"/>
      <w:sz w:val="24"/>
      <w:szCs w:val="20"/>
    </w:rPr>
  </w:style>
  <w:style w:type="paragraph" w:styleId="144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22222222222222"/>
    <w:basedOn w:val="1062"/>
    <w:uiPriority w:val="0"/>
    <w:qFormat/>
    <w:pPr>
      <w:ind w:firstLine="480"/>
      <w:jc w:val="left"/>
      <w:spacing w:line="360" w:lineRule="auto"/>
      <w:widowControl/>
    </w:pPr>
    <w:rPr>
      <w:color w:val="ff0000"/>
      <w:sz w:val="24"/>
      <w:szCs w:val="20"/>
    </w:rPr>
  </w:style>
  <w:style w:type="character" w:styleId="1446" w:customStyle="1">
    <w:name w:val="中等深浅网格 1 - 强调文字颜色 2 Char"/>
    <w:link w:val="1447"/>
    <w:uiPriority w:val="0"/>
    <w:qFormat/>
    <w:rPr>
      <w:sz w:val="21"/>
      <w:szCs w:val="24"/>
      <w:lang w:val="zh-CN" w:eastAsia="zh-CN" w:bidi="ar-SA"/>
    </w:rPr>
  </w:style>
  <w:style w:type="paragraph" w:styleId="1447" w:customStyle="1">
    <w:name w:val="1"/>
    <w:link w:val="1446"/>
    <w:uiPriority w:val="0"/>
    <w:qFormat/>
    <w:rPr>
      <w:rFonts w:hint="default" w:ascii="Times New Roman" w:hAnsi="Times New Roman" w:eastAsia="宋体" w:cs="Times New Roman"/>
      <w:sz w:val="21"/>
      <w:szCs w:val="24"/>
      <w:lang w:val="zh-CN" w:eastAsia="zh-CN" w:bidi="ar-SA"/>
    </w:rPr>
  </w:style>
  <w:style w:type="paragraph" w:styleId="1448" w:customStyle="1">
    <w:name w:val="图文"/>
    <w:basedOn w:val="1062"/>
    <w:uiPriority w:val="0"/>
    <w:qFormat/>
    <w:pPr>
      <w:spacing w:after="50" w:line="360" w:lineRule="auto"/>
    </w:pPr>
    <w:rPr>
      <w:sz w:val="24"/>
    </w:rPr>
  </w:style>
  <w:style w:type="paragraph" w:styleId="1449" w:customStyle="1">
    <w:name w:val="xl23"/>
    <w:basedOn w:val="1062"/>
    <w:uiPriority w:val="0"/>
    <w:qFormat/>
    <w:pPr>
      <w:spacing w:before="100" w:beforeAutospacing="1" w:after="100" w:afterAutospacing="1" w:line="360" w:lineRule="auto"/>
      <w:widowControl/>
    </w:pPr>
    <w:rPr>
      <w:sz w:val="24"/>
      <w:szCs w:val="20"/>
    </w:rPr>
  </w:style>
  <w:style w:type="paragraph" w:styleId="1450" w:customStyle="1">
    <w:name w:val="正文表格"/>
    <w:basedOn w:val="1062"/>
    <w:link w:val="1451"/>
    <w:uiPriority w:val="0"/>
    <w:qFormat/>
    <w:pPr>
      <w:jc w:val="left"/>
    </w:pPr>
    <w:rPr>
      <w:rFonts w:ascii="宋体" w:hAnsi="宋体"/>
      <w:color w:val="000000"/>
      <w:szCs w:val="21"/>
    </w:rPr>
  </w:style>
  <w:style w:type="character" w:styleId="1451" w:customStyle="1">
    <w:name w:val="正文表格 Char"/>
    <w:link w:val="1450"/>
    <w:uiPriority w:val="0"/>
    <w:qFormat/>
    <w:rPr>
      <w:rFonts w:ascii="宋体" w:hAnsi="宋体"/>
      <w:color w:val="000000"/>
      <w:sz w:val="21"/>
      <w:szCs w:val="21"/>
    </w:rPr>
  </w:style>
  <w:style w:type="paragraph" w:styleId="1452" w:customStyle="1">
    <w:name w:val="正文重点"/>
    <w:basedOn w:val="1062"/>
    <w:link w:val="1453"/>
    <w:uiPriority w:val="0"/>
    <w:qFormat/>
    <w:pPr>
      <w:ind w:firstLine="482"/>
      <w:jc w:val="left"/>
      <w:spacing w:line="360" w:lineRule="auto"/>
    </w:pPr>
    <w:rPr>
      <w:b/>
      <w:sz w:val="24"/>
      <w:szCs w:val="20"/>
    </w:rPr>
  </w:style>
  <w:style w:type="character" w:styleId="1453" w:customStyle="1">
    <w:name w:val="正文重点 Char"/>
    <w:link w:val="1452"/>
    <w:uiPriority w:val="0"/>
    <w:qFormat/>
    <w:rPr>
      <w:b/>
      <w:sz w:val="24"/>
    </w:rPr>
  </w:style>
  <w:style w:type="paragraph" w:styleId="1454" w:customStyle="1">
    <w:name w:val="标题1-附件"/>
    <w:basedOn w:val="1246"/>
    <w:uiPriority w:val="0"/>
    <w:qFormat/>
    <w:pPr>
      <w:jc w:val="left"/>
    </w:pPr>
    <w:rPr>
      <w:sz w:val="24"/>
      <w:szCs w:val="24"/>
    </w:rPr>
  </w:style>
  <w:style w:type="paragraph" w:styleId="1455" w:customStyle="1">
    <w:name w:val="正文小标题"/>
    <w:basedOn w:val="1062"/>
    <w:next w:val="1267"/>
    <w:link w:val="1456"/>
    <w:uiPriority w:val="0"/>
    <w:qFormat/>
    <w:pPr>
      <w:ind w:firstLine="482"/>
      <w:jc w:val="left"/>
      <w:spacing w:before="312" w:after="312"/>
    </w:pPr>
    <w:rPr>
      <w:rFonts w:ascii="宋体" w:hAnsi="宋体"/>
      <w:b/>
      <w:i/>
      <w:color w:val="ff0000"/>
      <w:sz w:val="24"/>
      <w:szCs w:val="20"/>
    </w:rPr>
  </w:style>
  <w:style w:type="character" w:styleId="1456" w:customStyle="1">
    <w:name w:val="正文小标题 Char"/>
    <w:link w:val="1455"/>
    <w:uiPriority w:val="0"/>
    <w:qFormat/>
    <w:rPr>
      <w:rFonts w:ascii="宋体" w:hAnsi="宋体"/>
      <w:b/>
      <w:i/>
      <w:color w:val="ff0000"/>
      <w:sz w:val="24"/>
    </w:rPr>
  </w:style>
  <w:style w:type="paragraph" w:styleId="1457" w:customStyle="1">
    <w:name w:val="正文大标题"/>
    <w:basedOn w:val="1455"/>
    <w:next w:val="1267"/>
    <w:link w:val="1458"/>
    <w:uiPriority w:val="0"/>
    <w:qFormat/>
    <w:pPr>
      <w:jc w:val="center"/>
    </w:pPr>
    <w:rPr>
      <w:i w:val="0"/>
      <w:color w:val="000000"/>
      <w:sz w:val="28"/>
      <w:szCs w:val="21"/>
    </w:rPr>
  </w:style>
  <w:style w:type="character" w:styleId="1458" w:customStyle="1">
    <w:name w:val="正文大标题 Char"/>
    <w:link w:val="1457"/>
    <w:uiPriority w:val="0"/>
    <w:qFormat/>
    <w:rPr>
      <w:rFonts w:ascii="宋体" w:hAnsi="宋体"/>
      <w:b/>
      <w:color w:val="000000"/>
      <w:sz w:val="28"/>
      <w:szCs w:val="21"/>
    </w:rPr>
  </w:style>
  <w:style w:type="paragraph" w:styleId="1459" w:customStyle="1">
    <w:name w:val="注释"/>
    <w:basedOn w:val="1062"/>
    <w:link w:val="1460"/>
    <w:uiPriority w:val="0"/>
    <w:qFormat/>
    <w:pPr>
      <w:ind w:left="420" w:hanging="420"/>
      <w:jc w:val="left"/>
    </w:pPr>
    <w:rPr>
      <w:rFonts w:ascii="宋体" w:hAnsi="宋体"/>
      <w:szCs w:val="21"/>
    </w:rPr>
  </w:style>
  <w:style w:type="character" w:styleId="1460" w:customStyle="1">
    <w:name w:val="注释 Char"/>
    <w:link w:val="1459"/>
    <w:uiPriority w:val="0"/>
    <w:qFormat/>
    <w:rPr>
      <w:rFonts w:ascii="宋体" w:hAnsi="宋体"/>
      <w:sz w:val="21"/>
      <w:szCs w:val="21"/>
    </w:rPr>
  </w:style>
  <w:style w:type="paragraph" w:styleId="1461" w:customStyle="1">
    <w:name w:val="正文须知-1级"/>
    <w:basedOn w:val="1062"/>
    <w:next w:val="1062"/>
    <w:uiPriority w:val="0"/>
    <w:qFormat/>
    <w:pPr>
      <w:numPr>
        <w:ilvl w:val="0"/>
        <w:numId w:val="7"/>
      </w:numPr>
      <w:spacing w:line="300" w:lineRule="auto"/>
    </w:pPr>
    <w:rPr>
      <w:rFonts w:ascii="宋体" w:hAnsi="Calibri"/>
      <w:sz w:val="24"/>
      <w:szCs w:val="21"/>
    </w:rPr>
  </w:style>
  <w:style w:type="paragraph" w:styleId="1462" w:customStyle="1">
    <w:name w:val="正文须知-2级"/>
    <w:basedOn w:val="1062"/>
    <w:uiPriority w:val="0"/>
    <w:qFormat/>
    <w:pPr>
      <w:numPr>
        <w:ilvl w:val="1"/>
        <w:numId w:val="7"/>
      </w:numPr>
      <w:spacing w:line="300" w:lineRule="auto"/>
    </w:pPr>
    <w:rPr>
      <w:rFonts w:ascii="宋体" w:hAnsi="Calibri"/>
      <w:sz w:val="24"/>
      <w:szCs w:val="21"/>
    </w:rPr>
  </w:style>
  <w:style w:type="paragraph" w:styleId="1463" w:customStyle="1">
    <w:name w:val="正文须知-3级"/>
    <w:basedOn w:val="1062"/>
    <w:uiPriority w:val="0"/>
    <w:qFormat/>
    <w:pPr>
      <w:numPr>
        <w:ilvl w:val="2"/>
        <w:numId w:val="7"/>
      </w:numPr>
      <w:ind w:hanging="355"/>
      <w:spacing w:line="300" w:lineRule="auto"/>
    </w:pPr>
    <w:rPr>
      <w:rFonts w:ascii="宋体" w:hAnsi="Calibri"/>
      <w:sz w:val="24"/>
      <w:szCs w:val="21"/>
    </w:rPr>
  </w:style>
  <w:style w:type="character" w:styleId="1464" w:customStyle="1">
    <w:name w:val="纯文本 字符"/>
    <w:link w:val="1062"/>
    <w:uiPriority w:val="99"/>
    <w:qFormat/>
    <w:rPr>
      <w:rFonts w:ascii="宋体" w:hAnsi="Courier New" w:eastAsia="宋体" w:cs="Times New Roman"/>
      <w:sz w:val="21"/>
      <w:szCs w:val="21"/>
      <w:lang w:val="en-US" w:eastAsia="zh-CN" w:bidi="ar-SA"/>
    </w:rPr>
  </w:style>
  <w:style w:type="paragraph" w:styleId="1465" w:customStyle="1">
    <w:name w:val="表格1"/>
    <w:basedOn w:val="1062"/>
    <w:uiPriority w:val="0"/>
    <w:qFormat/>
    <w:pPr>
      <w:ind w:firstLine="480"/>
      <w:jc w:val="center"/>
    </w:pPr>
    <w:rPr>
      <w:sz w:val="24"/>
      <w:szCs w:val="20"/>
    </w:rPr>
  </w:style>
  <w:style w:type="character" w:styleId="1466" w:customStyle="1">
    <w:name w:val="纯文本 字符1"/>
    <w:link w:val="1062"/>
    <w:uiPriority w:val="0"/>
    <w:qFormat/>
    <w:rPr>
      <w:rFonts w:ascii="宋体" w:hAnsi="Courier New"/>
    </w:rPr>
  </w:style>
  <w:style w:type="character" w:styleId="1467" w:customStyle="1">
    <w:name w:val="bjh-p"/>
    <w:link w:val="1062"/>
    <w:uiPriority w:val="0"/>
    <w:qFormat/>
  </w:style>
  <w:style w:type="paragraph" w:styleId="1468" w:customStyle="1">
    <w:name w:val="无标题条"/>
    <w:next w:val="1062"/>
    <w:uiPriority w:val="0"/>
    <w:qFormat/>
    <w:pPr>
      <w:jc w:val="both"/>
    </w:pPr>
    <w:rPr>
      <w:rFonts w:hint="default" w:ascii="Times New Roman" w:hAnsi="Times New Roman" w:eastAsia="宋体" w:cs="Times New Roman"/>
      <w:sz w:val="21"/>
      <w:lang w:val="en-US" w:eastAsia="zh-CN" w:bidi="ar-SA"/>
    </w:rPr>
  </w:style>
  <w:style w:type="character" w:styleId="1469" w:customStyle="1">
    <w:name w:val="正文格式 Char"/>
    <w:link w:val="1470"/>
    <w:uiPriority w:val="0"/>
    <w:qFormat/>
    <w:rPr>
      <w:rFonts w:ascii="宋体" w:hAnsi="宋体"/>
      <w:sz w:val="24"/>
      <w:szCs w:val="24"/>
      <w:lang w:val="en-GB"/>
    </w:rPr>
  </w:style>
  <w:style w:type="paragraph" w:styleId="1470" w:customStyle="1">
    <w:name w:val="正文格式"/>
    <w:basedOn w:val="1062"/>
    <w:link w:val="1469"/>
    <w:uiPriority w:val="0"/>
    <w:qFormat/>
    <w:pPr>
      <w:ind w:firstLine="480"/>
      <w:spacing w:line="360" w:lineRule="auto"/>
    </w:pPr>
    <w:rPr>
      <w:rFonts w:ascii="宋体" w:hAnsi="宋体"/>
      <w:sz w:val="24"/>
      <w:lang w:val="en-GB"/>
    </w:rPr>
  </w:style>
  <w:style w:type="character" w:styleId="1471" w:customStyle="1">
    <w:name w:val="标题 3 Char"/>
    <w:link w:val="1062"/>
    <w:uiPriority w:val="0"/>
    <w:qFormat/>
    <w:rPr>
      <w:rFonts w:ascii="宋体" w:eastAsia="宋体"/>
      <w:b/>
      <w:sz w:val="24"/>
      <w:u w:val="single"/>
      <w:lang w:val="en-US" w:eastAsia="zh-CN" w:bidi="ar-SA"/>
    </w:rPr>
  </w:style>
  <w:style w:type="character" w:styleId="1472" w:customStyle="1">
    <w:name w:val="正文缩进 Char"/>
    <w:link w:val="1062"/>
    <w:uiPriority w:val="0"/>
    <w:qFormat/>
    <w:rPr>
      <w:rFonts w:ascii="宋体" w:eastAsia="宋体"/>
      <w:sz w:val="24"/>
      <w:szCs w:val="24"/>
      <w:lang w:val="en-US" w:eastAsia="zh-CN" w:bidi="ar-SA"/>
    </w:rPr>
  </w:style>
  <w:style w:type="character" w:styleId="1473" w:customStyle="1">
    <w:name w:val="Char Char111"/>
    <w:link w:val="1062"/>
    <w:uiPriority w:val="0"/>
    <w:qFormat/>
    <w:rPr>
      <w:rFonts w:ascii="宋体" w:eastAsia="宋体"/>
      <w:b/>
      <w:sz w:val="24"/>
      <w:u w:val="single"/>
      <w:lang w:val="en-US" w:eastAsia="zh-CN" w:bidi="ar-SA"/>
    </w:rPr>
  </w:style>
  <w:style w:type="character" w:styleId="1474" w:customStyle="1">
    <w:name w:val="正文文本缩进 Char"/>
    <w:link w:val="1062"/>
    <w:uiPriority w:val="0"/>
    <w:qFormat/>
    <w:rPr>
      <w:rFonts w:eastAsia="宋体"/>
      <w:sz w:val="24"/>
      <w:szCs w:val="24"/>
      <w:lang w:val="en-US" w:eastAsia="zh-CN" w:bidi="ar-SA"/>
    </w:rPr>
  </w:style>
  <w:style w:type="character" w:styleId="1475" w:customStyle="1">
    <w:name w:val="列出段落 Char"/>
    <w:link w:val="1062"/>
    <w:uiPriority w:val="0"/>
    <w:qFormat/>
    <w:rPr>
      <w:rFonts w:ascii="Calibri" w:hAnsi="Calibri" w:eastAsia="宋体"/>
      <w:sz w:val="21"/>
      <w:szCs w:val="22"/>
      <w:lang w:val="en-US" w:eastAsia="zh-CN" w:bidi="ar-SA"/>
    </w:rPr>
  </w:style>
  <w:style w:type="character" w:styleId="1476" w:customStyle="1">
    <w:name w:val="页眉 Char"/>
    <w:link w:val="1062"/>
    <w:uiPriority w:val="0"/>
    <w:qFormat/>
    <w:rPr>
      <w:rFonts w:eastAsia="宋体"/>
      <w:sz w:val="18"/>
      <w:szCs w:val="18"/>
      <w:lang w:val="en-US" w:eastAsia="zh-CN" w:bidi="ar-SA"/>
    </w:rPr>
  </w:style>
  <w:style w:type="character" w:styleId="1477" w:customStyle="1">
    <w:name w:val="标题 2 Char"/>
    <w:link w:val="1062"/>
    <w:uiPriority w:val="0"/>
    <w:qFormat/>
    <w:rPr>
      <w:rFonts w:ascii="Arial" w:hAnsi="Arial" w:eastAsia="黑体"/>
      <w:b/>
      <w:sz w:val="30"/>
      <w:lang w:val="en-US" w:eastAsia="zh-CN" w:bidi="ar-SA"/>
    </w:rPr>
  </w:style>
  <w:style w:type="paragraph" w:styleId="1478" w:customStyle="1">
    <w:name w:val="字元 字元2"/>
    <w:basedOn w:val="1062"/>
    <w:uiPriority w:val="0"/>
    <w:qFormat/>
    <w:rPr>
      <w:rFonts w:ascii="Tahoma" w:hAnsi="Tahoma"/>
      <w:sz w:val="24"/>
      <w:szCs w:val="20"/>
    </w:rPr>
  </w:style>
  <w:style w:type="paragraph" w:styleId="1479" w:customStyle="1">
    <w:name w:val="Char3 Char Char Char2"/>
    <w:basedOn w:val="1062"/>
    <w:uiPriority w:val="0"/>
    <w:qFormat/>
    <w:rPr>
      <w:rFonts w:ascii="Tahoma" w:hAnsi="Tahoma"/>
      <w:sz w:val="24"/>
      <w:szCs w:val="20"/>
    </w:rPr>
  </w:style>
  <w:style w:type="paragraph" w:styleId="1480" w:customStyle="1">
    <w:name w:val="正文文本缩进2"/>
    <w:basedOn w:val="1062"/>
    <w:uiPriority w:val="0"/>
    <w:qFormat/>
    <w:pPr>
      <w:ind w:firstLine="480"/>
      <w:spacing w:line="480" w:lineRule="exact"/>
    </w:pPr>
    <w:rPr>
      <w:rFonts w:ascii="宋体" w:hAnsi="宋体"/>
      <w:sz w:val="24"/>
      <w:lang w:val="zh-CN" w:eastAsia="zh-CN"/>
    </w:rPr>
  </w:style>
  <w:style w:type="paragraph" w:styleId="1481" w:customStyle="1">
    <w:name w:val="Char3"/>
    <w:basedOn w:val="1062"/>
    <w:uiPriority w:val="0"/>
    <w:qFormat/>
    <w:pPr>
      <w:tabs>
        <w:tab w:val="left" w:pos="360" w:leader="none"/>
      </w:tabs>
    </w:pPr>
    <w:rPr>
      <w:sz w:val="24"/>
    </w:rPr>
  </w:style>
  <w:style w:type="paragraph" w:styleId="1482" w:customStyle="1">
    <w:name w:val="Char Char Char Char Char Char Char Char Char Char Char Char Char Char Char Char1"/>
    <w:basedOn w:val="1062"/>
    <w:uiPriority w:val="0"/>
    <w:qFormat/>
    <w:pPr>
      <w:jc w:val="center"/>
      <w:spacing w:after="160" w:line="240" w:lineRule="exact"/>
      <w:widowControl/>
    </w:pPr>
    <w:rPr>
      <w:rFonts w:ascii="宋体" w:hAnsi="宋体"/>
      <w:b/>
      <w:sz w:val="30"/>
      <w:szCs w:val="30"/>
      <w:lang w:eastAsia="en-US"/>
    </w:rPr>
  </w:style>
  <w:style w:type="paragraph" w:styleId="1483" w:customStyle="1">
    <w:name w:val="Char Char1 Char Char Char Char Char Char1"/>
    <w:basedOn w:val="1062"/>
    <w:uiPriority w:val="0"/>
    <w:qFormat/>
    <w:pPr>
      <w:jc w:val="left"/>
      <w:spacing w:after="160" w:line="240" w:lineRule="exact"/>
      <w:widowControl/>
    </w:pPr>
    <w:rPr>
      <w:rFonts w:ascii="Verdana" w:hAnsi="Verdana" w:eastAsia="仿宋_GB2312"/>
      <w:sz w:val="24"/>
      <w:szCs w:val="20"/>
      <w:lang w:eastAsia="en-US"/>
    </w:rPr>
  </w:style>
  <w:style w:type="paragraph" w:styleId="1484" w:customStyle="1">
    <w:name w:val="列出段落2"/>
    <w:basedOn w:val="1062"/>
    <w:uiPriority w:val="0"/>
    <w:qFormat/>
    <w:pPr>
      <w:ind w:firstLine="420"/>
    </w:pPr>
    <w:rPr>
      <w:rFonts w:ascii="Calibri" w:hAnsi="Calibri"/>
      <w:szCs w:val="22"/>
    </w:rPr>
  </w:style>
  <w:style w:type="paragraph" w:styleId="1485" w:customStyle="1">
    <w:name w:val="Char Char Char1 Char2"/>
    <w:basedOn w:val="1062"/>
    <w:uiPriority w:val="0"/>
    <w:qFormat/>
    <w:rPr>
      <w:rFonts w:ascii="Tahoma" w:hAnsi="Tahoma"/>
      <w:sz w:val="24"/>
      <w:szCs w:val="20"/>
    </w:rPr>
  </w:style>
  <w:style w:type="paragraph" w:styleId="1486" w:customStyle="1">
    <w:name w:val="Char Char Char2"/>
    <w:basedOn w:val="1062"/>
    <w:uiPriority w:val="0"/>
    <w:qFormat/>
    <w:rPr>
      <w:rFonts w:ascii="Tahoma" w:hAnsi="Tahoma"/>
      <w:sz w:val="24"/>
      <w:szCs w:val="20"/>
    </w:rPr>
  </w:style>
  <w:style w:type="paragraph" w:styleId="1487" w:customStyle="1">
    <w:name w:val="Char Char Char Char Char Char Char2"/>
    <w:basedOn w:val="1062"/>
    <w:uiPriority w:val="0"/>
    <w:qFormat/>
    <w:pPr>
      <w:ind w:firstLine="200"/>
      <w:spacing w:line="360" w:lineRule="auto"/>
    </w:pPr>
    <w:rPr>
      <w:rFonts w:eastAsia="仿宋_GB2312"/>
      <w:sz w:val="24"/>
    </w:rPr>
  </w:style>
  <w:style w:type="paragraph" w:styleId="1488" w:customStyle="1">
    <w:name w:val="正文缩进2"/>
    <w:basedOn w:val="1062"/>
    <w:uiPriority w:val="0"/>
    <w:qFormat/>
    <w:pPr>
      <w:ind w:firstLine="567"/>
      <w:spacing w:line="480" w:lineRule="exact"/>
      <w:widowControl/>
    </w:pPr>
    <w:rPr>
      <w:rFonts w:ascii="宋体"/>
      <w:color w:val="000000"/>
      <w:sz w:val="28"/>
      <w:szCs w:val="20"/>
      <w:lang w:val="zh-CN" w:eastAsia="zh-CN"/>
    </w:rPr>
  </w:style>
  <w:style w:type="paragraph" w:styleId="1489" w:customStyle="1">
    <w:name w:val="Revision"/>
    <w:uiPriority w:val="0"/>
    <w:qFormat/>
    <w:rPr>
      <w:rFonts w:hint="default" w:ascii="Times New Roman" w:hAnsi="Times New Roman" w:eastAsia="宋体" w:cs="Times New Roman"/>
      <w:sz w:val="21"/>
      <w:szCs w:val="24"/>
      <w:lang w:val="en-US" w:eastAsia="zh-CN" w:bidi="ar-SA"/>
    </w:rPr>
  </w:style>
  <w:style w:type="paragraph" w:styleId="1490" w:customStyle="1">
    <w:name w:val="Char22"/>
    <w:basedOn w:val="1062"/>
    <w:uiPriority w:val="0"/>
    <w:qFormat/>
    <w:rPr>
      <w:rFonts w:ascii="Tahoma" w:hAnsi="Tahoma"/>
      <w:sz w:val="24"/>
      <w:szCs w:val="20"/>
    </w:rPr>
  </w:style>
  <w:style w:type="paragraph" w:styleId="1491" w:customStyle="1">
    <w:name w:val="Char Char Char Char Char Char Char Char Char Char2"/>
    <w:basedOn w:val="1062"/>
    <w:uiPriority w:val="0"/>
    <w:qFormat/>
    <w:rPr>
      <w:rFonts w:ascii="宋体" w:hAnsi="宋体" w:cs="Courier New"/>
      <w:sz w:val="32"/>
      <w:szCs w:val="32"/>
    </w:rPr>
  </w:style>
  <w:style w:type="paragraph" w:styleId="1492" w:customStyle="1">
    <w:name w:val="Char2 Char Char Char Char Char Char1"/>
    <w:basedOn w:val="1062"/>
    <w:uiPriority w:val="0"/>
    <w:qFormat/>
    <w:pPr>
      <w:jc w:val="center"/>
      <w:spacing w:line="400" w:lineRule="exact"/>
      <w:widowControl/>
    </w:pPr>
  </w:style>
  <w:style w:type="character" w:styleId="1493" w:customStyle="1">
    <w:name w:val="页脚 Char"/>
    <w:link w:val="1062"/>
    <w:uiPriority w:val="99"/>
    <w:qFormat/>
    <w:rPr>
      <w:rFonts w:ascii="宋体" w:eastAsia="宋体"/>
      <w:sz w:val="18"/>
      <w:lang w:val="en-US" w:eastAsia="zh-CN" w:bidi="ar-SA"/>
    </w:rPr>
  </w:style>
  <w:style w:type="paragraph" w:styleId="1494" w:customStyle="1">
    <w:name w:val="Char Char41"/>
    <w:basedOn w:val="1062"/>
    <w:uiPriority w:val="0"/>
    <w:qFormat/>
    <w:pPr>
      <w:jc w:val="center"/>
      <w:spacing w:line="400" w:lineRule="exact"/>
      <w:widowControl/>
    </w:pPr>
  </w:style>
  <w:style w:type="character" w:styleId="1495" w:customStyle="1">
    <w:name w:val="批注文字 Char"/>
    <w:link w:val="1062"/>
    <w:uiPriority w:val="99"/>
    <w:qFormat/>
    <w:rPr>
      <w:sz w:val="21"/>
      <w:szCs w:val="24"/>
    </w:rPr>
  </w:style>
  <w:style w:type="character" w:styleId="1496" w:customStyle="1">
    <w:name w:val="标题 Char"/>
    <w:link w:val="1062"/>
    <w:uiPriority w:val="0"/>
    <w:qFormat/>
    <w:rPr>
      <w:b/>
      <w:sz w:val="32"/>
    </w:rPr>
  </w:style>
  <w:style w:type="paragraph" w:styleId="1497" w:customStyle="1">
    <w:name w:val="图例"/>
    <w:basedOn w:val="1062"/>
    <w:uiPriority w:val="0"/>
    <w:qFormat/>
    <w:pPr>
      <w:jc w:val="center"/>
      <w:spacing w:before="120" w:after="120" w:line="360" w:lineRule="auto"/>
    </w:pPr>
    <w:rPr>
      <w:rFonts w:eastAsia="仿宋_GB2312"/>
      <w:b/>
      <w:sz w:val="24"/>
      <w:szCs w:val="20"/>
    </w:rPr>
  </w:style>
  <w:style w:type="paragraph" w:styleId="1498" w:customStyle="1">
    <w:name w:val="Table Paragraph"/>
    <w:basedOn w:val="1062"/>
    <w:uiPriority w:val="1"/>
    <w:qFormat/>
    <w:pPr>
      <w:jc w:val="left"/>
    </w:pPr>
    <w:rPr>
      <w:rFonts w:ascii="宋体" w:hAnsi="宋体" w:cs="宋体"/>
      <w:sz w:val="22"/>
      <w:szCs w:val="22"/>
      <w:lang w:eastAsia="en-US"/>
    </w:rPr>
  </w:style>
  <w:style w:type="table" w:styleId="1499" w:customStyle="1">
    <w:name w:val="Table Normal"/>
    <w:uiPriority w:val="2"/>
    <w:semiHidden/>
    <w:qFormat/>
    <w:pPr>
      <w:widowControl w:val="off"/>
    </w:pPr>
    <w:rPr>
      <w:rFonts w:ascii="Calibri" w:hAnsi="Calibri"/>
      <w:sz w:val="22"/>
      <w:szCs w:val="22"/>
      <w:lang w:val="en-US" w:eastAsia="en-US" w:bidi="ar-SA"/>
    </w:rPr>
    <w:tblPr/>
  </w:style>
  <w:style w:type="paragraph" w:styleId="1500" w:customStyle="1">
    <w:name w:val="成文日期"/>
    <w:basedOn w:val="1062"/>
    <w:link w:val="1501"/>
    <w:uiPriority w:val="0"/>
    <w:qFormat/>
    <w:pPr>
      <w:ind w:right="400" w:firstLine="200"/>
      <w:jc w:val="right"/>
      <w:spacing w:line="570" w:lineRule="exact"/>
    </w:pPr>
    <w:rPr>
      <w:rFonts w:ascii="仿宋_GB2312" w:eastAsia="仿宋_GB2312"/>
      <w:sz w:val="32"/>
      <w:szCs w:val="20"/>
    </w:rPr>
  </w:style>
  <w:style w:type="character" w:styleId="1501" w:customStyle="1">
    <w:name w:val="成文日期 Char"/>
    <w:link w:val="1500"/>
    <w:uiPriority w:val="0"/>
    <w:qFormat/>
    <w:rPr>
      <w:rFonts w:ascii="仿宋_GB2312" w:eastAsia="仿宋_GB2312"/>
      <w:sz w:val="32"/>
    </w:rPr>
  </w:style>
  <w:style w:type="paragraph" w:styleId="1502" w:customStyle="1">
    <w:name w:val="Table Text"/>
    <w:basedOn w:val="1062"/>
    <w:uiPriority w:val="0"/>
    <w:semiHidden/>
    <w:qFormat/>
    <w:rPr>
      <w:rFonts w:ascii="宋体" w:hAnsi="宋体" w:eastAsia="宋体" w:cs="宋体"/>
      <w:sz w:val="20"/>
      <w:szCs w:val="20"/>
      <w:lang w:val="en-US" w:eastAsia="en-US" w:bidi="ar-SA"/>
    </w:rPr>
  </w:style>
  <w:style w:type="character" w:styleId="1503" w:customStyle="1">
    <w:name w:val="hour_pm"/>
    <w:basedOn w:val="1255"/>
    <w:link w:val="1062"/>
    <w:uiPriority w:val="0"/>
    <w:qFormat/>
  </w:style>
  <w:style w:type="character" w:styleId="1504" w:customStyle="1">
    <w:name w:val="glyphicon"/>
    <w:basedOn w:val="1255"/>
    <w:link w:val="1062"/>
    <w:uiPriority w:val="0"/>
    <w:qFormat/>
  </w:style>
  <w:style w:type="character" w:styleId="1505" w:customStyle="1">
    <w:name w:val="hover"/>
    <w:basedOn w:val="1255"/>
    <w:link w:val="1062"/>
    <w:uiPriority w:val="0"/>
    <w:qFormat/>
    <w:rPr>
      <w:shd w:val="clear" w:color="auto" w:fill="eeeeee"/>
    </w:rPr>
  </w:style>
  <w:style w:type="character" w:styleId="1506" w:customStyle="1">
    <w:name w:val="old"/>
    <w:basedOn w:val="1255"/>
    <w:link w:val="1062"/>
    <w:uiPriority w:val="0"/>
    <w:qFormat/>
    <w:rPr>
      <w:color w:val="999999"/>
    </w:rPr>
  </w:style>
  <w:style w:type="character" w:styleId="1507" w:customStyle="1">
    <w:name w:val="hour_am"/>
    <w:basedOn w:val="1255"/>
    <w:link w:val="1062"/>
    <w:uiPriority w:val="0"/>
    <w:qFormat/>
  </w:style>
  <w:style w:type="numbering" w:styleId="1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13</cp:revision>
  <dcterms:created xsi:type="dcterms:W3CDTF">2022-05-30T08:03:00Z</dcterms:created>
  <dcterms:modified xsi:type="dcterms:W3CDTF">2026-01-28T02:46:32Z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64FD40216DF0452BBF7930A7E6928621_12</vt:lpwstr>
  </property>
  <property fmtid="{D5CDD505-2E9C-101B-9397-08002B2CF9AE}" pid="4" name="KSOTemplateDocerSaveRecord">
    <vt:lpwstr>eyJoZGlkIjoiZjQ0MDU2NDdjYzEzODMwYmJkZDY1MmVkZTVmNGMzYjkiLCJ1c2VySWQiOiI1NDc3MzAxODIifQ==</vt:lpwstr>
  </property>
</Properties>
</file>