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JSZC-320581-SZJZ-G2025-0008</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2025</w:t>
      </w:r>
      <w:r>
        <w:rPr>
          <w:rFonts w:hint="eastAsia" w:ascii="Arial" w:hAnsi="Arial" w:eastAsia="宋体" w:cs="Times New Roman"/>
          <w:b/>
          <w:bCs/>
          <w:sz w:val="32"/>
          <w:szCs w:val="24"/>
        </w:rPr>
        <w:t xml:space="preserve">年度市级信息化建设和运维统筹服务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w:t>
      </w:r>
      <w:r>
        <w:rPr>
          <w:rFonts w:hint="eastAsia" w:ascii="Arial" w:hAnsi="Arial" w:eastAsia="宋体" w:cs="Times New Roman"/>
          <w:b/>
          <w:bCs/>
          <w:sz w:val="32"/>
          <w:szCs w:val="24"/>
        </w:rPr>
        <w:t xml:space="preserve">服务类</w:t>
      </w:r>
      <w:r>
        <w:rPr>
          <w:rFonts w:hint="eastAsia" w:ascii="Arial" w:hAnsi="Arial" w:eastAsia="宋体" w:cs="Times New Roman"/>
          <w:b/>
          <w:bCs/>
          <w:sz w:val="32"/>
          <w:szCs w:val="24"/>
        </w:rPr>
        <w:t xml:space="preserve">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苏州金正工程技术咨询服务有限公司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3</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7</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ascii="等线 Light" w:hAnsi="等线 Light" w:eastAsia="黑体" w:cs="Times New Roman"/>
          <w:b/>
          <w:bCs/>
          <w:sz w:val="32"/>
          <w:szCs w:val="32"/>
          <w:lang w:val="zh-CN"/>
        </w:rPr>
        <w:t xml:space="preserve">目录</w:t>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rPr>
          <w:rFonts w:ascii="Times New Roman" w:hAnsi="Times New Roman"/>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sz w:val="24"/>
          <w:szCs w:val="24"/>
          <w:lang w:val="zh-CN"/>
        </w:rPr>
        <w:fldChar w:fldCharType="separate"/>
      </w:r>
      <w:hyperlink w:tooltip="#_Toc192239068" w:anchor="_Toc192239068" w:history="1">
        <w:r>
          <w:rPr>
            <w:rStyle w:val="809"/>
            <w:rFonts w:hint="eastAsia" w:ascii="宋体" w:hAnsi="宋体"/>
          </w:rPr>
          <w:t xml:space="preserve">第一章</w:t>
        </w:r>
        <w:r>
          <w:rPr>
            <w:rStyle w:val="809"/>
            <w:rFonts w:ascii="宋体" w:hAnsi="宋体"/>
          </w:rPr>
          <w:t xml:space="preserve">  </w:t>
        </w:r>
        <w:r>
          <w:rPr>
            <w:rStyle w:val="809"/>
            <w:rFonts w:hint="eastAsia" w:ascii="宋体" w:hAnsi="宋体"/>
          </w:rPr>
          <w:t xml:space="preserve">投标邀请</w:t>
        </w:r>
        <w:r>
          <w:tab/>
        </w:r>
        <w:r>
          <w:fldChar w:fldCharType="begin"/>
        </w:r>
        <w:r>
          <w:instrText xml:space="preserve"> PAGEREF _Toc192239068 \h </w:instrText>
        </w:r>
        <w:r>
          <w:fldChar w:fldCharType="separate"/>
        </w:r>
        <w:r>
          <w:t xml:space="preserve">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69" w:anchor="_Toc192239069" w:history="1">
        <w:r>
          <w:rPr>
            <w:rStyle w:val="809"/>
            <w:rFonts w:hint="eastAsia" w:ascii="Times New Roman" w:hAnsi="Times New Roman"/>
          </w:rPr>
          <w:t xml:space="preserve">一、项目基本情况</w:t>
        </w:r>
        <w:r>
          <w:tab/>
        </w:r>
        <w:r>
          <w:fldChar w:fldCharType="begin"/>
        </w:r>
        <w:r>
          <w:instrText xml:space="preserve"> PAGEREF _Toc192239069 \h </w:instrText>
        </w:r>
        <w:r>
          <w:fldChar w:fldCharType="separate"/>
        </w:r>
        <w:r>
          <w:t xml:space="preserve">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0" w:anchor="_Toc192239070" w:history="1">
        <w:r>
          <w:rPr>
            <w:rStyle w:val="809"/>
            <w:rFonts w:hint="eastAsia" w:ascii="Times New Roman" w:hAnsi="Times New Roman"/>
          </w:rPr>
          <w:t xml:space="preserve">二、申请人的资格要求</w:t>
        </w:r>
        <w:r>
          <w:tab/>
        </w:r>
        <w:r>
          <w:fldChar w:fldCharType="begin"/>
        </w:r>
        <w:r>
          <w:instrText xml:space="preserve"> PAGEREF _Toc192239070 \h </w:instrText>
        </w:r>
        <w:r>
          <w:fldChar w:fldCharType="separate"/>
        </w:r>
        <w:r>
          <w:t xml:space="preserve">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1" w:anchor="_Toc192239071" w:history="1">
        <w:r>
          <w:rPr>
            <w:rStyle w:val="809"/>
            <w:rFonts w:hint="eastAsia" w:ascii="Times New Roman" w:hAnsi="Times New Roman"/>
          </w:rPr>
          <w:t xml:space="preserve">三、获取招标文件</w:t>
        </w:r>
        <w:r>
          <w:tab/>
        </w:r>
        <w:r>
          <w:fldChar w:fldCharType="begin"/>
        </w:r>
        <w:r>
          <w:instrText xml:space="preserve"> PAGEREF _Toc192239071 \h </w:instrText>
        </w:r>
        <w:r>
          <w:fldChar w:fldCharType="separate"/>
        </w:r>
        <w:r>
          <w:t xml:space="preserve">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2" w:anchor="_Toc192239072" w:history="1">
        <w:r>
          <w:rPr>
            <w:rStyle w:val="809"/>
            <w:rFonts w:hint="eastAsia" w:ascii="Times New Roman" w:hAnsi="Times New Roman"/>
          </w:rPr>
          <w:t xml:space="preserve">四、提交投标文件截止时间、开标时间和地点</w:t>
        </w:r>
        <w:r>
          <w:tab/>
        </w:r>
        <w:r>
          <w:fldChar w:fldCharType="begin"/>
        </w:r>
        <w:r>
          <w:instrText xml:space="preserve"> PAGEREF _Toc192239072 \h </w:instrText>
        </w:r>
        <w:r>
          <w:fldChar w:fldCharType="separate"/>
        </w:r>
        <w:r>
          <w:t xml:space="preserve">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3" w:anchor="_Toc192239073" w:history="1">
        <w:r>
          <w:rPr>
            <w:rStyle w:val="809"/>
            <w:rFonts w:hint="eastAsia" w:ascii="Times New Roman" w:hAnsi="Times New Roman"/>
          </w:rPr>
          <w:t xml:space="preserve">五、公告期限</w:t>
        </w:r>
        <w:r>
          <w:tab/>
        </w:r>
        <w:r>
          <w:fldChar w:fldCharType="begin"/>
        </w:r>
        <w:r>
          <w:instrText xml:space="preserve"> PAGEREF _Toc192239073 \h </w:instrText>
        </w:r>
        <w:r>
          <w:fldChar w:fldCharType="separate"/>
        </w:r>
        <w:r>
          <w:t xml:space="preserve">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4" w:anchor="_Toc192239074" w:history="1">
        <w:r>
          <w:rPr>
            <w:rStyle w:val="809"/>
            <w:rFonts w:hint="eastAsia" w:ascii="Times New Roman" w:hAnsi="Times New Roman"/>
          </w:rPr>
          <w:t xml:space="preserve">六、其他补充事宜</w:t>
        </w:r>
        <w:r>
          <w:tab/>
        </w:r>
        <w:r>
          <w:fldChar w:fldCharType="begin"/>
        </w:r>
        <w:r>
          <w:instrText xml:space="preserve"> PAGEREF _Toc192239074 \h </w:instrText>
        </w:r>
        <w:r>
          <w:fldChar w:fldCharType="separate"/>
        </w:r>
        <w:r>
          <w:t xml:space="preserve">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5" w:anchor="_Toc192239075" w:history="1">
        <w:r>
          <w:rPr>
            <w:rStyle w:val="809"/>
            <w:rFonts w:hint="eastAsia" w:ascii="Times New Roman" w:hAnsi="Times New Roman"/>
          </w:rPr>
          <w:t xml:space="preserve">七、本次招标联系方式</w:t>
        </w:r>
        <w:r>
          <w:tab/>
        </w:r>
        <w:r>
          <w:fldChar w:fldCharType="begin"/>
        </w:r>
        <w:r>
          <w:instrText xml:space="preserve"> PAGEREF _Toc192239075 \h </w:instrText>
        </w:r>
        <w:r>
          <w:fldChar w:fldCharType="separate"/>
        </w:r>
        <w:r>
          <w:t xml:space="preserve">6</w:t>
        </w:r>
        <w:r>
          <w:fldChar w:fldCharType="end"/>
        </w:r>
      </w:hyperlink>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hyperlink w:tooltip="#_Toc192239076" w:anchor="_Toc192239076" w:history="1">
        <w:r>
          <w:rPr>
            <w:rStyle w:val="809"/>
            <w:rFonts w:hint="eastAsia" w:ascii="宋体" w:hAnsi="宋体"/>
          </w:rPr>
          <w:t xml:space="preserve">第二章</w:t>
        </w:r>
        <w:r>
          <w:rPr>
            <w:rStyle w:val="809"/>
            <w:rFonts w:ascii="宋体" w:hAnsi="宋体"/>
          </w:rPr>
          <w:t xml:space="preserve">  </w:t>
        </w:r>
        <w:r>
          <w:rPr>
            <w:rStyle w:val="809"/>
            <w:rFonts w:hint="eastAsia" w:ascii="宋体" w:hAnsi="宋体"/>
          </w:rPr>
          <w:t xml:space="preserve">投标人须知</w:t>
        </w:r>
        <w:r>
          <w:tab/>
        </w:r>
        <w:r>
          <w:fldChar w:fldCharType="begin"/>
        </w:r>
        <w:r>
          <w:instrText xml:space="preserve"> PAGEREF _Toc192239076 \h </w:instrText>
        </w:r>
        <w:r>
          <w:fldChar w:fldCharType="separate"/>
        </w:r>
        <w:r>
          <w:t xml:space="preserve">7</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77" w:anchor="_Toc192239077" w:history="1">
        <w:r>
          <w:rPr>
            <w:rStyle w:val="809"/>
            <w:rFonts w:hint="eastAsia" w:ascii="Times New Roman" w:hAnsi="Times New Roman"/>
          </w:rPr>
          <w:t xml:space="preserve">一、总则</w:t>
        </w:r>
        <w:r>
          <w:tab/>
        </w:r>
        <w:r>
          <w:fldChar w:fldCharType="begin"/>
        </w:r>
        <w:r>
          <w:instrText xml:space="preserve"> PAGEREF _Toc192239077 \h </w:instrText>
        </w:r>
        <w:r>
          <w:fldChar w:fldCharType="separate"/>
        </w:r>
        <w:r>
          <w:t xml:space="preserve">7</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78" w:anchor="_Toc192239078" w:history="1">
        <w:r>
          <w:rPr>
            <w:rStyle w:val="809"/>
            <w:rFonts w:ascii="宋体" w:hAnsi="宋体" w:cs="Arial"/>
          </w:rPr>
          <w:t xml:space="preserve">1</w:t>
        </w:r>
        <w:r>
          <w:rPr>
            <w:rStyle w:val="809"/>
            <w:rFonts w:hint="eastAsia" w:ascii="宋体" w:hAnsi="宋体" w:cs="Arial"/>
          </w:rPr>
          <w:t xml:space="preserve">、采购方式及适用法律</w:t>
        </w:r>
        <w:r>
          <w:tab/>
        </w:r>
        <w:r>
          <w:fldChar w:fldCharType="begin"/>
        </w:r>
        <w:r>
          <w:instrText xml:space="preserve"> PAGEREF _Toc192239078 \h </w:instrText>
        </w:r>
        <w:r>
          <w:fldChar w:fldCharType="separate"/>
        </w:r>
        <w:r>
          <w:t xml:space="preserve">7</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79" w:anchor="_Toc192239079" w:history="1">
        <w:r>
          <w:rPr>
            <w:rStyle w:val="809"/>
            <w:rFonts w:ascii="宋体" w:hAnsi="宋体" w:cs="Arial"/>
          </w:rPr>
          <w:t xml:space="preserve">2</w:t>
        </w:r>
        <w:r>
          <w:rPr>
            <w:rStyle w:val="809"/>
            <w:rFonts w:hint="eastAsia" w:ascii="宋体" w:hAnsi="宋体" w:cs="Arial"/>
          </w:rPr>
          <w:t xml:space="preserve">、定义</w:t>
        </w:r>
        <w:bookmarkStart w:id="6" w:name="_GoBack"/>
        <w:bookmarkEnd w:id="6"/>
        <w:r>
          <w:tab/>
        </w:r>
        <w:r>
          <w:fldChar w:fldCharType="begin"/>
        </w:r>
        <w:r>
          <w:instrText xml:space="preserve"> PAGEREF _Toc192239079 \h </w:instrText>
        </w:r>
        <w:r>
          <w:fldChar w:fldCharType="separate"/>
        </w:r>
        <w:r>
          <w:t xml:space="preserve">7</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0" w:anchor="_Toc192239080" w:history="1">
        <w:r>
          <w:rPr>
            <w:rStyle w:val="809"/>
            <w:rFonts w:ascii="宋体" w:hAnsi="宋体" w:cs="Arial"/>
          </w:rPr>
          <w:t xml:space="preserve">3</w:t>
        </w:r>
        <w:r>
          <w:rPr>
            <w:rStyle w:val="809"/>
            <w:rFonts w:hint="eastAsia" w:ascii="宋体" w:hAnsi="宋体" w:cs="Arial"/>
          </w:rPr>
          <w:t xml:space="preserve">、合格的投标人</w:t>
        </w:r>
        <w:r>
          <w:tab/>
        </w:r>
        <w:r>
          <w:fldChar w:fldCharType="begin"/>
        </w:r>
        <w:r>
          <w:instrText xml:space="preserve"> PAGEREF _Toc192239080 \h </w:instrText>
        </w:r>
        <w:r>
          <w:fldChar w:fldCharType="separate"/>
        </w:r>
        <w:r>
          <w:t xml:space="preserve">7</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1" w:anchor="_Toc192239081" w:history="1">
        <w:r>
          <w:rPr>
            <w:rStyle w:val="809"/>
            <w:rFonts w:ascii="宋体" w:hAnsi="宋体" w:cs="Arial"/>
          </w:rPr>
          <w:t xml:space="preserve">4</w:t>
        </w:r>
        <w:r>
          <w:rPr>
            <w:rStyle w:val="809"/>
            <w:rFonts w:hint="eastAsia" w:ascii="宋体" w:hAnsi="宋体" w:cs="Arial"/>
          </w:rPr>
          <w:t xml:space="preserve">、投标费用</w:t>
        </w:r>
        <w:r>
          <w:tab/>
        </w:r>
        <w:r>
          <w:fldChar w:fldCharType="begin"/>
        </w:r>
        <w:r>
          <w:instrText xml:space="preserve"> PAGEREF _Toc192239081 \h </w:instrText>
        </w:r>
        <w:r>
          <w:fldChar w:fldCharType="separate"/>
        </w:r>
        <w:r>
          <w:t xml:space="preserve">7</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2" w:anchor="_Toc192239082" w:history="1">
        <w:r>
          <w:rPr>
            <w:rStyle w:val="809"/>
            <w:rFonts w:ascii="宋体" w:hAnsi="宋体" w:cs="Arial"/>
          </w:rPr>
          <w:t xml:space="preserve">5</w:t>
        </w:r>
        <w:r>
          <w:rPr>
            <w:rStyle w:val="809"/>
            <w:rFonts w:hint="eastAsia" w:ascii="宋体" w:hAnsi="宋体" w:cs="Arial"/>
          </w:rPr>
          <w:t xml:space="preserve">、招标文件的约束力</w:t>
        </w:r>
        <w:r>
          <w:tab/>
        </w:r>
        <w:r>
          <w:fldChar w:fldCharType="begin"/>
        </w:r>
        <w:r>
          <w:instrText xml:space="preserve"> PAGEREF _Toc192239082 \h </w:instrText>
        </w:r>
        <w:r>
          <w:fldChar w:fldCharType="separate"/>
        </w:r>
        <w:r>
          <w:t xml:space="preserve">7</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83" w:anchor="_Toc192239083" w:history="1">
        <w:r>
          <w:rPr>
            <w:rStyle w:val="809"/>
            <w:rFonts w:hint="eastAsia" w:ascii="Times New Roman" w:hAnsi="Times New Roman"/>
          </w:rPr>
          <w:t xml:space="preserve">二、招标文件</w:t>
        </w:r>
        <w:r>
          <w:tab/>
        </w:r>
        <w:r>
          <w:fldChar w:fldCharType="begin"/>
        </w:r>
        <w:r>
          <w:instrText xml:space="preserve"> PAGEREF _Toc192239083 \h </w:instrText>
        </w:r>
        <w:r>
          <w:fldChar w:fldCharType="separate"/>
        </w:r>
        <w:r>
          <w:t xml:space="preserve">8</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4" w:anchor="_Toc192239084" w:history="1">
        <w:r>
          <w:rPr>
            <w:rStyle w:val="809"/>
            <w:rFonts w:ascii="宋体" w:hAnsi="宋体" w:cs="Arial"/>
          </w:rPr>
          <w:t xml:space="preserve">6</w:t>
        </w:r>
        <w:r>
          <w:rPr>
            <w:rStyle w:val="809"/>
            <w:rFonts w:hint="eastAsia" w:ascii="宋体" w:hAnsi="宋体" w:cs="Arial"/>
          </w:rPr>
          <w:t xml:space="preserve">、招标文件构成</w:t>
        </w:r>
        <w:r>
          <w:tab/>
        </w:r>
        <w:r>
          <w:fldChar w:fldCharType="begin"/>
        </w:r>
        <w:r>
          <w:instrText xml:space="preserve"> PAGEREF _Toc192239084 \h </w:instrText>
        </w:r>
        <w:r>
          <w:fldChar w:fldCharType="separate"/>
        </w:r>
        <w:r>
          <w:t xml:space="preserve">8</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5" w:anchor="_Toc192239085" w:history="1">
        <w:r>
          <w:rPr>
            <w:rStyle w:val="809"/>
            <w:rFonts w:ascii="宋体" w:hAnsi="宋体" w:cs="Arial"/>
          </w:rPr>
          <w:t xml:space="preserve">7</w:t>
        </w:r>
        <w:r>
          <w:rPr>
            <w:rStyle w:val="809"/>
            <w:rFonts w:hint="eastAsia" w:ascii="宋体" w:hAnsi="宋体" w:cs="Arial"/>
          </w:rPr>
          <w:t xml:space="preserve">、招标文件的澄清、修改</w:t>
        </w:r>
        <w:r>
          <w:tab/>
        </w:r>
        <w:r>
          <w:fldChar w:fldCharType="begin"/>
        </w:r>
        <w:r>
          <w:instrText xml:space="preserve"> PAGEREF _Toc192239085 \h </w:instrText>
        </w:r>
        <w:r>
          <w:fldChar w:fldCharType="separate"/>
        </w:r>
        <w:r>
          <w:t xml:space="preserve">8</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86" w:anchor="_Toc192239086" w:history="1">
        <w:r>
          <w:rPr>
            <w:rStyle w:val="809"/>
            <w:rFonts w:hint="eastAsia" w:ascii="Times New Roman" w:hAnsi="Times New Roman"/>
          </w:rPr>
          <w:t xml:space="preserve">三、投标文件的编制</w:t>
        </w:r>
        <w:r>
          <w:tab/>
        </w:r>
        <w:r>
          <w:fldChar w:fldCharType="begin"/>
        </w:r>
        <w:r>
          <w:instrText xml:space="preserve"> PAGEREF _Toc192239086 \h </w:instrText>
        </w:r>
        <w:r>
          <w:fldChar w:fldCharType="separate"/>
        </w:r>
        <w:r>
          <w:t xml:space="preserve">8</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7" w:anchor="_Toc192239087" w:history="1">
        <w:r>
          <w:rPr>
            <w:rStyle w:val="809"/>
            <w:rFonts w:ascii="宋体" w:hAnsi="宋体" w:cs="Arial"/>
          </w:rPr>
          <w:t xml:space="preserve">8</w:t>
        </w:r>
        <w:r>
          <w:rPr>
            <w:rStyle w:val="809"/>
            <w:rFonts w:hint="eastAsia" w:ascii="宋体" w:hAnsi="宋体" w:cs="Arial"/>
          </w:rPr>
          <w:t xml:space="preserve">、投标文件的语言及度量衡单位</w:t>
        </w:r>
        <w:r>
          <w:tab/>
        </w:r>
        <w:r>
          <w:fldChar w:fldCharType="begin"/>
        </w:r>
        <w:r>
          <w:instrText xml:space="preserve"> PAGEREF _Toc192239087 \h </w:instrText>
        </w:r>
        <w:r>
          <w:fldChar w:fldCharType="separate"/>
        </w:r>
        <w:r>
          <w:t xml:space="preserve">8</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8" w:anchor="_Toc192239088" w:history="1">
        <w:r>
          <w:rPr>
            <w:rStyle w:val="809"/>
            <w:rFonts w:ascii="宋体" w:hAnsi="宋体" w:cs="Arial"/>
          </w:rPr>
          <w:t xml:space="preserve">9</w:t>
        </w:r>
        <w:r>
          <w:rPr>
            <w:rStyle w:val="809"/>
            <w:rFonts w:hint="eastAsia" w:ascii="宋体" w:hAnsi="宋体" w:cs="Arial"/>
          </w:rPr>
          <w:t xml:space="preserve">、投标文件构成</w:t>
        </w:r>
        <w:r>
          <w:tab/>
        </w:r>
        <w:r>
          <w:fldChar w:fldCharType="begin"/>
        </w:r>
        <w:r>
          <w:instrText xml:space="preserve"> PAGEREF _Toc192239088 \h </w:instrText>
        </w:r>
        <w:r>
          <w:fldChar w:fldCharType="separate"/>
        </w:r>
        <w:r>
          <w:t xml:space="preserve">8</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89" w:anchor="_Toc192239089" w:history="1">
        <w:r>
          <w:rPr>
            <w:rStyle w:val="809"/>
            <w:rFonts w:ascii="宋体" w:hAnsi="宋体" w:cs="Arial"/>
          </w:rPr>
          <w:t xml:space="preserve">10</w:t>
        </w:r>
        <w:r>
          <w:rPr>
            <w:rStyle w:val="809"/>
            <w:rFonts w:hint="eastAsia" w:ascii="宋体" w:hAnsi="宋体" w:cs="Arial"/>
          </w:rPr>
          <w:t xml:space="preserve">、证明投标人及投标标的符合招标文件规定的文件</w:t>
        </w:r>
        <w:r>
          <w:tab/>
        </w:r>
        <w:r>
          <w:fldChar w:fldCharType="begin"/>
        </w:r>
        <w:r>
          <w:instrText xml:space="preserve"> PAGEREF _Toc192239089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0" w:anchor="_Toc192239090" w:history="1">
        <w:r>
          <w:rPr>
            <w:rStyle w:val="809"/>
            <w:rFonts w:ascii="宋体" w:hAnsi="宋体" w:cs="Arial"/>
          </w:rPr>
          <w:t xml:space="preserve">11</w:t>
        </w:r>
        <w:r>
          <w:rPr>
            <w:rStyle w:val="809"/>
            <w:rFonts w:hint="eastAsia" w:ascii="宋体" w:hAnsi="宋体" w:cs="Arial"/>
          </w:rPr>
          <w:t xml:space="preserve">、投标函和开标一览表</w:t>
        </w:r>
        <w:r>
          <w:tab/>
        </w:r>
        <w:r>
          <w:fldChar w:fldCharType="begin"/>
        </w:r>
        <w:r>
          <w:instrText xml:space="preserve"> PAGEREF _Toc192239090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1" w:anchor="_Toc192239091" w:history="1">
        <w:r>
          <w:rPr>
            <w:rStyle w:val="809"/>
            <w:rFonts w:ascii="宋体" w:hAnsi="宋体" w:cs="Arial"/>
          </w:rPr>
          <w:t xml:space="preserve">12</w:t>
        </w:r>
        <w:r>
          <w:rPr>
            <w:rStyle w:val="809"/>
            <w:rFonts w:hint="eastAsia" w:ascii="宋体" w:hAnsi="宋体" w:cs="Arial"/>
          </w:rPr>
          <w:t xml:space="preserve">、报价明细表（如有）</w:t>
        </w:r>
        <w:r>
          <w:tab/>
        </w:r>
        <w:r>
          <w:fldChar w:fldCharType="begin"/>
        </w:r>
        <w:r>
          <w:instrText xml:space="preserve"> PAGEREF _Toc192239091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2" w:anchor="_Toc192239092" w:history="1">
        <w:r>
          <w:rPr>
            <w:rStyle w:val="809"/>
            <w:rFonts w:ascii="宋体" w:hAnsi="宋体" w:cs="Arial"/>
          </w:rPr>
          <w:t xml:space="preserve">13</w:t>
        </w:r>
        <w:r>
          <w:rPr>
            <w:rStyle w:val="809"/>
            <w:rFonts w:hint="eastAsia" w:ascii="宋体" w:hAnsi="宋体" w:cs="Arial"/>
          </w:rPr>
          <w:t xml:space="preserve">、技术、服务、商务要求响应及偏离表（如有）</w:t>
        </w:r>
        <w:r>
          <w:tab/>
        </w:r>
        <w:r>
          <w:fldChar w:fldCharType="begin"/>
        </w:r>
        <w:r>
          <w:instrText xml:space="preserve"> PAGEREF _Toc192239092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3" w:anchor="_Toc192239093" w:history="1">
        <w:r>
          <w:rPr>
            <w:rStyle w:val="809"/>
            <w:rFonts w:ascii="宋体" w:hAnsi="宋体" w:cs="Arial"/>
          </w:rPr>
          <w:t xml:space="preserve">14</w:t>
        </w:r>
        <w:r>
          <w:rPr>
            <w:rStyle w:val="809"/>
            <w:rFonts w:hint="eastAsia" w:ascii="宋体" w:hAnsi="宋体" w:cs="Arial"/>
          </w:rPr>
          <w:t xml:space="preserve">、项目服务方案、项目组人员一览表、业绩情况（如有）</w:t>
        </w:r>
        <w:r>
          <w:tab/>
        </w:r>
        <w:r>
          <w:fldChar w:fldCharType="begin"/>
        </w:r>
        <w:r>
          <w:instrText xml:space="preserve"> PAGEREF _Toc192239093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4" w:anchor="_Toc192239094" w:history="1">
        <w:r>
          <w:rPr>
            <w:rStyle w:val="809"/>
            <w:rFonts w:ascii="宋体" w:hAnsi="宋体" w:cs="Arial"/>
          </w:rPr>
          <w:t xml:space="preserve">15</w:t>
        </w:r>
        <w:r>
          <w:rPr>
            <w:rStyle w:val="809"/>
            <w:rFonts w:hint="eastAsia" w:ascii="宋体" w:hAnsi="宋体" w:cs="Arial"/>
          </w:rPr>
          <w:t xml:space="preserve">、其他</w:t>
        </w:r>
        <w:r>
          <w:tab/>
        </w:r>
        <w:r>
          <w:fldChar w:fldCharType="begin"/>
        </w:r>
        <w:r>
          <w:instrText xml:space="preserve"> PAGEREF _Toc192239094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5" w:anchor="_Toc192239095" w:history="1">
        <w:r>
          <w:rPr>
            <w:rStyle w:val="809"/>
            <w:rFonts w:ascii="宋体" w:hAnsi="宋体" w:cs="Arial"/>
          </w:rPr>
          <w:t xml:space="preserve">16</w:t>
        </w:r>
        <w:r>
          <w:rPr>
            <w:rStyle w:val="809"/>
            <w:rFonts w:hint="eastAsia" w:ascii="宋体" w:hAnsi="宋体" w:cs="Arial"/>
          </w:rPr>
          <w:t xml:space="preserve">、投标有效期</w:t>
        </w:r>
        <w:r>
          <w:tab/>
        </w:r>
        <w:r>
          <w:fldChar w:fldCharType="begin"/>
        </w:r>
        <w:r>
          <w:instrText xml:space="preserve"> PAGEREF _Toc192239095 \h </w:instrText>
        </w:r>
        <w:r>
          <w:fldChar w:fldCharType="separate"/>
        </w:r>
        <w:r>
          <w:t xml:space="preserve">9</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6" w:anchor="_Toc192239096" w:history="1">
        <w:r>
          <w:rPr>
            <w:rStyle w:val="809"/>
            <w:rFonts w:ascii="宋体" w:hAnsi="宋体" w:cs="Arial"/>
          </w:rPr>
          <w:t xml:space="preserve">17</w:t>
        </w:r>
        <w:r>
          <w:rPr>
            <w:rStyle w:val="809"/>
            <w:rFonts w:hint="eastAsia" w:ascii="宋体" w:hAnsi="宋体" w:cs="Arial"/>
          </w:rPr>
          <w:t xml:space="preserve">、投标有效期的延长</w:t>
        </w:r>
        <w:r>
          <w:tab/>
        </w:r>
        <w:r>
          <w:fldChar w:fldCharType="begin"/>
        </w:r>
        <w:r>
          <w:instrText xml:space="preserve"> PAGEREF _Toc192239096 \h </w:instrText>
        </w:r>
        <w:r>
          <w:fldChar w:fldCharType="separate"/>
        </w:r>
        <w:r>
          <w:t xml:space="preserve">10</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097" w:anchor="_Toc192239097" w:history="1">
        <w:r>
          <w:rPr>
            <w:rStyle w:val="809"/>
            <w:rFonts w:hint="eastAsia" w:ascii="Times New Roman" w:hAnsi="Times New Roman"/>
          </w:rPr>
          <w:t xml:space="preserve">四、投标文件的递交</w:t>
        </w:r>
        <w:r>
          <w:tab/>
        </w:r>
        <w:r>
          <w:fldChar w:fldCharType="begin"/>
        </w:r>
        <w:r>
          <w:instrText xml:space="preserve"> PAGEREF _Toc192239097 \h </w:instrText>
        </w:r>
        <w:r>
          <w:fldChar w:fldCharType="separate"/>
        </w:r>
        <w:r>
          <w:t xml:space="preserve">10</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8" w:anchor="_Toc192239098" w:history="1">
        <w:r>
          <w:rPr>
            <w:rStyle w:val="809"/>
            <w:rFonts w:ascii="宋体" w:hAnsi="宋体" w:cs="Arial"/>
          </w:rPr>
          <w:t xml:space="preserve">18</w:t>
        </w:r>
        <w:r>
          <w:rPr>
            <w:rStyle w:val="809"/>
            <w:rFonts w:hint="eastAsia" w:ascii="宋体" w:hAnsi="宋体" w:cs="Arial"/>
          </w:rPr>
          <w:t xml:space="preserve">、电子投标文件的递交</w:t>
        </w:r>
        <w:r>
          <w:tab/>
        </w:r>
        <w:r>
          <w:fldChar w:fldCharType="begin"/>
        </w:r>
        <w:r>
          <w:instrText xml:space="preserve"> PAGEREF _Toc192239098 \h </w:instrText>
        </w:r>
        <w:r>
          <w:fldChar w:fldCharType="separate"/>
        </w:r>
        <w:r>
          <w:t xml:space="preserve">10</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099" w:anchor="_Toc192239099" w:history="1">
        <w:r>
          <w:rPr>
            <w:rStyle w:val="809"/>
            <w:rFonts w:ascii="宋体" w:hAnsi="宋体" w:cs="Arial"/>
          </w:rPr>
          <w:t xml:space="preserve">19</w:t>
        </w:r>
        <w:r>
          <w:rPr>
            <w:rStyle w:val="809"/>
            <w:rFonts w:hint="eastAsia" w:ascii="宋体" w:hAnsi="宋体" w:cs="Arial"/>
          </w:rPr>
          <w:t xml:space="preserve">、投标截止日期</w:t>
        </w:r>
        <w:r>
          <w:tab/>
        </w:r>
        <w:r>
          <w:fldChar w:fldCharType="begin"/>
        </w:r>
        <w:r>
          <w:instrText xml:space="preserve"> PAGEREF _Toc192239099 \h </w:instrText>
        </w:r>
        <w:r>
          <w:fldChar w:fldCharType="separate"/>
        </w:r>
        <w:r>
          <w:t xml:space="preserve">10</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0" w:anchor="_Toc192239100" w:history="1">
        <w:r>
          <w:rPr>
            <w:rStyle w:val="809"/>
            <w:rFonts w:ascii="宋体" w:hAnsi="宋体" w:cs="Arial"/>
          </w:rPr>
          <w:t xml:space="preserve">20</w:t>
        </w:r>
        <w:r>
          <w:rPr>
            <w:rStyle w:val="809"/>
            <w:rFonts w:hint="eastAsia" w:ascii="宋体" w:hAnsi="宋体" w:cs="Arial"/>
          </w:rPr>
          <w:t xml:space="preserve">、投标文件的拒收</w:t>
        </w:r>
        <w:r>
          <w:tab/>
        </w:r>
        <w:r>
          <w:fldChar w:fldCharType="begin"/>
        </w:r>
        <w:r>
          <w:instrText xml:space="preserve"> PAGEREF _Toc192239100 \h </w:instrText>
        </w:r>
        <w:r>
          <w:fldChar w:fldCharType="separate"/>
        </w:r>
        <w:r>
          <w:t xml:space="preserve">10</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1" w:anchor="_Toc192239101" w:history="1">
        <w:r>
          <w:rPr>
            <w:rStyle w:val="809"/>
            <w:rFonts w:ascii="宋体" w:hAnsi="宋体" w:cs="Arial"/>
          </w:rPr>
          <w:t xml:space="preserve">21</w:t>
        </w:r>
        <w:r>
          <w:rPr>
            <w:rStyle w:val="809"/>
            <w:rFonts w:hint="eastAsia" w:ascii="宋体" w:hAnsi="宋体" w:cs="Arial"/>
          </w:rPr>
          <w:t xml:space="preserve">、投标文件的撤回和修改</w:t>
        </w:r>
        <w:r>
          <w:tab/>
        </w:r>
        <w:r>
          <w:fldChar w:fldCharType="begin"/>
        </w:r>
        <w:r>
          <w:instrText xml:space="preserve"> PAGEREF _Toc192239101 \h </w:instrText>
        </w:r>
        <w:r>
          <w:fldChar w:fldCharType="separate"/>
        </w:r>
        <w:r>
          <w:t xml:space="preserve">10</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02" w:anchor="_Toc192239102" w:history="1">
        <w:r>
          <w:rPr>
            <w:rStyle w:val="809"/>
            <w:rFonts w:hint="eastAsia" w:ascii="Times New Roman" w:hAnsi="Times New Roman"/>
          </w:rPr>
          <w:t xml:space="preserve">五、开标与评标</w:t>
        </w:r>
        <w:r>
          <w:tab/>
        </w:r>
        <w:r>
          <w:fldChar w:fldCharType="begin"/>
        </w:r>
        <w:r>
          <w:instrText xml:space="preserve"> PAGEREF _Toc192239102 \h </w:instrText>
        </w:r>
        <w:r>
          <w:fldChar w:fldCharType="separate"/>
        </w:r>
        <w:r>
          <w:t xml:space="preserve">11</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3" w:anchor="_Toc192239103" w:history="1">
        <w:r>
          <w:rPr>
            <w:rStyle w:val="809"/>
            <w:rFonts w:ascii="宋体" w:hAnsi="宋体" w:cs="Arial"/>
          </w:rPr>
          <w:t xml:space="preserve">22</w:t>
        </w:r>
        <w:r>
          <w:rPr>
            <w:rStyle w:val="809"/>
            <w:rFonts w:hint="eastAsia" w:ascii="宋体" w:hAnsi="宋体" w:cs="Arial"/>
          </w:rPr>
          <w:t xml:space="preserve">、开标</w:t>
        </w:r>
        <w:r>
          <w:tab/>
        </w:r>
        <w:r>
          <w:fldChar w:fldCharType="begin"/>
        </w:r>
        <w:r>
          <w:instrText xml:space="preserve"> PAGEREF _Toc192239103 \h </w:instrText>
        </w:r>
        <w:r>
          <w:fldChar w:fldCharType="separate"/>
        </w:r>
        <w:r>
          <w:t xml:space="preserve">11</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4" w:anchor="_Toc192239104" w:history="1">
        <w:r>
          <w:rPr>
            <w:rStyle w:val="809"/>
            <w:rFonts w:ascii="宋体" w:hAnsi="宋体" w:cs="Arial"/>
          </w:rPr>
          <w:t xml:space="preserve">23</w:t>
        </w:r>
        <w:r>
          <w:rPr>
            <w:rStyle w:val="809"/>
            <w:rFonts w:hint="eastAsia" w:ascii="宋体" w:hAnsi="宋体" w:cs="Arial"/>
          </w:rPr>
          <w:t xml:space="preserve">、评标委员会</w:t>
        </w:r>
        <w:r>
          <w:tab/>
        </w:r>
        <w:r>
          <w:fldChar w:fldCharType="begin"/>
        </w:r>
        <w:r>
          <w:instrText xml:space="preserve"> PAGEREF _Toc192239104 \h </w:instrText>
        </w:r>
        <w:r>
          <w:fldChar w:fldCharType="separate"/>
        </w:r>
        <w:r>
          <w:t xml:space="preserve">11</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5" w:anchor="_Toc192239105" w:history="1">
        <w:r>
          <w:rPr>
            <w:rStyle w:val="809"/>
            <w:rFonts w:ascii="宋体" w:hAnsi="宋体" w:cs="Arial"/>
          </w:rPr>
          <w:t xml:space="preserve">24</w:t>
        </w:r>
        <w:r>
          <w:rPr>
            <w:rStyle w:val="809"/>
            <w:rFonts w:hint="eastAsia" w:ascii="宋体" w:hAnsi="宋体" w:cs="Arial"/>
          </w:rPr>
          <w:t xml:space="preserve">．评标过程的保密与公正</w:t>
        </w:r>
        <w:r>
          <w:tab/>
        </w:r>
        <w:r>
          <w:fldChar w:fldCharType="begin"/>
        </w:r>
        <w:r>
          <w:instrText xml:space="preserve"> PAGEREF _Toc192239105 \h </w:instrText>
        </w:r>
        <w:r>
          <w:fldChar w:fldCharType="separate"/>
        </w:r>
        <w:r>
          <w:t xml:space="preserve">11</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6" w:anchor="_Toc192239106" w:history="1">
        <w:r>
          <w:rPr>
            <w:rStyle w:val="809"/>
            <w:rFonts w:ascii="宋体" w:hAnsi="宋体" w:cs="Arial"/>
          </w:rPr>
          <w:t xml:space="preserve">25</w:t>
        </w:r>
        <w:r>
          <w:rPr>
            <w:rStyle w:val="809"/>
            <w:rFonts w:hint="eastAsia" w:ascii="宋体" w:hAnsi="宋体" w:cs="Arial"/>
          </w:rPr>
          <w:t xml:space="preserve">．投标文件的澄清</w:t>
        </w:r>
        <w:r>
          <w:tab/>
        </w:r>
        <w:r>
          <w:fldChar w:fldCharType="begin"/>
        </w:r>
        <w:r>
          <w:instrText xml:space="preserve"> PAGEREF _Toc192239106 \h </w:instrText>
        </w:r>
        <w:r>
          <w:fldChar w:fldCharType="separate"/>
        </w:r>
        <w:r>
          <w:t xml:space="preserve">11</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7" w:anchor="_Toc192239107" w:history="1">
        <w:r>
          <w:rPr>
            <w:rStyle w:val="809"/>
            <w:rFonts w:ascii="宋体" w:hAnsi="宋体" w:cs="Arial"/>
          </w:rPr>
          <w:t xml:space="preserve">26</w:t>
        </w:r>
        <w:r>
          <w:rPr>
            <w:rStyle w:val="809"/>
            <w:rFonts w:hint="eastAsia" w:ascii="宋体" w:hAnsi="宋体" w:cs="Arial"/>
          </w:rPr>
          <w:t xml:space="preserve">、对投标文件的初审</w:t>
        </w:r>
        <w:r>
          <w:tab/>
        </w:r>
        <w:r>
          <w:fldChar w:fldCharType="begin"/>
        </w:r>
        <w:r>
          <w:instrText xml:space="preserve"> PAGEREF _Toc192239107 \h </w:instrText>
        </w:r>
        <w:r>
          <w:fldChar w:fldCharType="separate"/>
        </w:r>
        <w:r>
          <w:t xml:space="preserve">12</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08" w:anchor="_Toc192239108" w:history="1">
        <w:r>
          <w:rPr>
            <w:rStyle w:val="809"/>
            <w:rFonts w:ascii="宋体" w:hAnsi="宋体" w:cs="Arial"/>
          </w:rPr>
          <w:t xml:space="preserve">27</w:t>
        </w:r>
        <w:r>
          <w:rPr>
            <w:rStyle w:val="809"/>
            <w:rFonts w:hint="eastAsia" w:ascii="宋体" w:hAnsi="宋体" w:cs="Arial"/>
          </w:rPr>
          <w:t xml:space="preserve">、无效投标条款和废标条款</w:t>
        </w:r>
        <w:r>
          <w:tab/>
        </w:r>
        <w:r>
          <w:fldChar w:fldCharType="begin"/>
        </w:r>
        <w:r>
          <w:instrText xml:space="preserve"> PAGEREF _Toc192239108 \h </w:instrText>
        </w:r>
        <w:r>
          <w:fldChar w:fldCharType="separate"/>
        </w:r>
        <w:r>
          <w:t xml:space="preserve">13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09" w:anchor="_Toc192239109" w:history="1">
        <w:r>
          <w:rPr>
            <w:rStyle w:val="809"/>
            <w:rFonts w:hint="eastAsia" w:ascii="Times New Roman" w:hAnsi="Times New Roman"/>
          </w:rPr>
          <w:t xml:space="preserve">六、定标</w:t>
        </w:r>
        <w:r>
          <w:tab/>
        </w:r>
        <w:r>
          <w:fldChar w:fldCharType="begin"/>
        </w:r>
        <w:r>
          <w:instrText xml:space="preserve"> PAGEREF _Toc192239109 \h </w:instrText>
        </w:r>
        <w:r>
          <w:fldChar w:fldCharType="separate"/>
        </w:r>
        <w:r>
          <w:t xml:space="preserve">14</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0" w:anchor="_Toc192239110" w:history="1">
        <w:r>
          <w:rPr>
            <w:rStyle w:val="809"/>
            <w:rFonts w:ascii="宋体" w:hAnsi="宋体" w:cs="Arial"/>
          </w:rPr>
          <w:t xml:space="preserve">28</w:t>
        </w:r>
        <w:r>
          <w:rPr>
            <w:rStyle w:val="809"/>
            <w:rFonts w:hint="eastAsia" w:ascii="宋体" w:hAnsi="宋体" w:cs="Arial"/>
          </w:rPr>
          <w:t xml:space="preserve">、确定中标单位</w:t>
        </w:r>
        <w:r>
          <w:tab/>
        </w:r>
        <w:r>
          <w:fldChar w:fldCharType="begin"/>
        </w:r>
        <w:r>
          <w:instrText xml:space="preserve"> PAGEREF _Toc192239110 \h </w:instrText>
        </w:r>
        <w:r>
          <w:fldChar w:fldCharType="separate"/>
        </w:r>
        <w:r>
          <w:t xml:space="preserve">14</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1" w:anchor="_Toc192239111" w:history="1">
        <w:r>
          <w:rPr>
            <w:rStyle w:val="809"/>
            <w:rFonts w:ascii="宋体" w:hAnsi="宋体" w:cs="Arial"/>
          </w:rPr>
          <w:t xml:space="preserve">29</w:t>
        </w:r>
        <w:r>
          <w:rPr>
            <w:rStyle w:val="809"/>
            <w:rFonts w:hint="eastAsia" w:ascii="宋体" w:hAnsi="宋体" w:cs="Arial"/>
          </w:rPr>
          <w:t xml:space="preserve">、质疑处理</w:t>
        </w:r>
        <w:r>
          <w:tab/>
        </w:r>
        <w:r>
          <w:fldChar w:fldCharType="begin"/>
        </w:r>
        <w:r>
          <w:instrText xml:space="preserve"> PAGEREF _Toc192239111 \h </w:instrText>
        </w:r>
        <w:r>
          <w:fldChar w:fldCharType="separate"/>
        </w:r>
        <w:r>
          <w:t xml:space="preserve">15</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2" w:anchor="_Toc192239112" w:history="1">
        <w:r>
          <w:rPr>
            <w:rStyle w:val="809"/>
            <w:rFonts w:ascii="宋体" w:hAnsi="宋体" w:cs="Arial"/>
          </w:rPr>
          <w:t xml:space="preserve">30</w:t>
        </w:r>
        <w:r>
          <w:rPr>
            <w:rStyle w:val="809"/>
            <w:rFonts w:hint="eastAsia" w:ascii="宋体" w:hAnsi="宋体" w:cs="Arial"/>
          </w:rPr>
          <w:t xml:space="preserve">、中标通知书</w:t>
        </w:r>
        <w:r>
          <w:tab/>
        </w:r>
        <w:r>
          <w:fldChar w:fldCharType="begin"/>
        </w:r>
        <w:r>
          <w:instrText xml:space="preserve"> PAGEREF _Toc192239112 \h </w:instrText>
        </w:r>
        <w:r>
          <w:fldChar w:fldCharType="separate"/>
        </w:r>
        <w:r>
          <w:t xml:space="preserve">16</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13" w:anchor="_Toc192239113" w:history="1">
        <w:r>
          <w:rPr>
            <w:rStyle w:val="809"/>
            <w:rFonts w:hint="eastAsia" w:ascii="Times New Roman" w:hAnsi="Times New Roman"/>
          </w:rPr>
          <w:t xml:space="preserve">七、授予合同</w:t>
        </w:r>
        <w:r>
          <w:tab/>
        </w:r>
        <w:r>
          <w:fldChar w:fldCharType="begin"/>
        </w:r>
        <w:r>
          <w:instrText xml:space="preserve"> PAGEREF _Toc192239113 \h </w:instrText>
        </w:r>
        <w:r>
          <w:fldChar w:fldCharType="separate"/>
        </w:r>
        <w:r>
          <w:t xml:space="preserve">16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4" w:anchor="_Toc192239114" w:history="1">
        <w:r>
          <w:rPr>
            <w:rStyle w:val="809"/>
            <w:rFonts w:ascii="宋体" w:hAnsi="宋体" w:cs="Arial"/>
          </w:rPr>
          <w:t xml:space="preserve">31</w:t>
        </w:r>
        <w:r>
          <w:rPr>
            <w:rStyle w:val="809"/>
            <w:rFonts w:hint="eastAsia" w:ascii="宋体" w:hAnsi="宋体" w:cs="Arial"/>
          </w:rPr>
          <w:t xml:space="preserve">、签订合同</w:t>
        </w:r>
        <w:r>
          <w:tab/>
        </w:r>
        <w:r>
          <w:fldChar w:fldCharType="begin"/>
        </w:r>
        <w:r>
          <w:instrText xml:space="preserve"> PAGEREF _Toc192239114 \h </w:instrText>
        </w:r>
        <w:r>
          <w:fldChar w:fldCharType="separate"/>
        </w:r>
        <w:r>
          <w:t xml:space="preserve">16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5" w:anchor="_Toc192239115" w:history="1">
        <w:r>
          <w:rPr>
            <w:rStyle w:val="809"/>
            <w:rFonts w:ascii="宋体" w:hAnsi="宋体" w:cs="Arial"/>
          </w:rPr>
          <w:t xml:space="preserve">32</w:t>
        </w:r>
        <w:r>
          <w:rPr>
            <w:rStyle w:val="809"/>
            <w:rFonts w:hint="eastAsia" w:ascii="宋体" w:hAnsi="宋体" w:cs="Arial"/>
          </w:rPr>
          <w:t xml:space="preserve">、货物或服务的追加</w:t>
        </w:r>
        <w:r>
          <w:tab/>
        </w:r>
        <w:r>
          <w:fldChar w:fldCharType="begin"/>
        </w:r>
        <w:r>
          <w:instrText xml:space="preserve"> PAGEREF _Toc192239115 \h </w:instrText>
        </w:r>
        <w:r>
          <w:fldChar w:fldCharType="separate"/>
        </w:r>
        <w:r>
          <w:t xml:space="preserve">16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16" w:anchor="_Toc192239116" w:history="1">
        <w:r>
          <w:rPr>
            <w:rStyle w:val="809"/>
            <w:rFonts w:ascii="宋体" w:hAnsi="宋体" w:cs="Arial"/>
          </w:rPr>
          <w:t xml:space="preserve">33</w:t>
        </w:r>
        <w:r>
          <w:rPr>
            <w:rStyle w:val="809"/>
            <w:rFonts w:hint="eastAsia" w:ascii="宋体" w:hAnsi="宋体" w:cs="Arial"/>
          </w:rPr>
          <w:t xml:space="preserve">、政府采购信用融资政策</w:t>
        </w:r>
        <w:r>
          <w:tab/>
        </w:r>
        <w:r>
          <w:fldChar w:fldCharType="begin"/>
        </w:r>
        <w:r>
          <w:instrText xml:space="preserve"> PAGEREF _Toc192239116 \h </w:instrText>
        </w:r>
        <w:r>
          <w:fldChar w:fldCharType="separate"/>
        </w:r>
        <w:r>
          <w:t xml:space="preserve">16</w:t>
        </w:r>
        <w:r>
          <w:fldChar w:fldCharType="end"/>
        </w:r>
      </w:hyperlink>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hyperlink w:tooltip="#_Toc192239117" w:anchor="_Toc192239117" w:history="1">
        <w:r>
          <w:rPr>
            <w:rStyle w:val="809"/>
            <w:rFonts w:hint="eastAsia" w:ascii="宋体" w:hAnsi="宋体"/>
          </w:rPr>
          <w:t xml:space="preserve">第三章</w:t>
        </w:r>
        <w:r>
          <w:rPr>
            <w:rStyle w:val="809"/>
            <w:rFonts w:ascii="宋体" w:hAnsi="宋体"/>
          </w:rPr>
          <w:t xml:space="preserve">  </w:t>
        </w:r>
        <w:r>
          <w:rPr>
            <w:rStyle w:val="809"/>
            <w:rFonts w:hint="eastAsia" w:ascii="宋体" w:hAnsi="宋体"/>
          </w:rPr>
          <w:t xml:space="preserve">合同文本</w:t>
        </w:r>
        <w:r>
          <w:tab/>
        </w:r>
        <w:r>
          <w:fldChar w:fldCharType="begin"/>
        </w:r>
        <w:r>
          <w:instrText xml:space="preserve"> PAGEREF _Toc192239117 \h </w:instrText>
        </w:r>
        <w:r>
          <w:fldChar w:fldCharType="separate"/>
        </w:r>
        <w:r>
          <w:t xml:space="preserve">17</w:t>
        </w:r>
        <w:r>
          <w:fldChar w:fldCharType="end"/>
        </w:r>
      </w:hyperlink>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hyperlink w:tooltip="#_Toc192239118" w:anchor="_Toc192239118" w:history="1">
        <w:r>
          <w:rPr>
            <w:rStyle w:val="809"/>
            <w:rFonts w:hint="eastAsia" w:ascii="Times New Roman" w:hAnsi="宋体"/>
          </w:rPr>
          <w:t xml:space="preserve">第四章</w:t>
        </w:r>
        <w:r>
          <w:rPr>
            <w:rStyle w:val="809"/>
            <w:rFonts w:ascii="Times New Roman" w:hAnsi="宋体"/>
          </w:rPr>
          <w:t xml:space="preserve">  </w:t>
        </w:r>
        <w:r>
          <w:rPr>
            <w:rStyle w:val="809"/>
            <w:rFonts w:hint="eastAsia" w:ascii="Times New Roman" w:hAnsi="宋体"/>
          </w:rPr>
          <w:t xml:space="preserve">项目需求</w:t>
        </w:r>
        <w:r>
          <w:tab/>
        </w:r>
        <w:r>
          <w:fldChar w:fldCharType="begin"/>
        </w:r>
        <w:r>
          <w:instrText xml:space="preserve"> PAGEREF _Toc192239118 \h </w:instrText>
        </w:r>
        <w:r>
          <w:fldChar w:fldCharType="separate"/>
        </w:r>
        <w:r>
          <w:t xml:space="preserve">23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19" w:anchor="_Toc192239119" w:history="1">
        <w:r>
          <w:rPr>
            <w:rStyle w:val="809"/>
            <w:rFonts w:hint="eastAsia" w:ascii="Times New Roman" w:hAnsi="Times New Roman"/>
          </w:rPr>
          <w:t xml:space="preserve">一、项目说明：</w:t>
        </w:r>
        <w:r>
          <w:tab/>
        </w:r>
        <w:r>
          <w:fldChar w:fldCharType="begin"/>
        </w:r>
        <w:r>
          <w:instrText xml:space="preserve"> PAGEREF _Toc192239119 \h </w:instrText>
        </w:r>
        <w:r>
          <w:fldChar w:fldCharType="separate"/>
        </w:r>
        <w:r>
          <w:t xml:space="preserve">23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20" w:anchor="_Toc192239120" w:history="1">
        <w:r>
          <w:rPr>
            <w:rStyle w:val="809"/>
            <w:rFonts w:hint="eastAsia" w:ascii="Times New Roman" w:hAnsi="Times New Roman"/>
          </w:rPr>
          <w:t xml:space="preserve">二、项目服务要求：</w:t>
        </w:r>
        <w:r>
          <w:tab/>
        </w:r>
        <w:r>
          <w:fldChar w:fldCharType="begin"/>
        </w:r>
        <w:r>
          <w:instrText xml:space="preserve"> PAGEREF _Toc192239120 \h </w:instrText>
        </w:r>
        <w:r>
          <w:fldChar w:fldCharType="separate"/>
        </w:r>
        <w:r>
          <w:t xml:space="preserve">23</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21" w:anchor="_Toc192239121" w:history="1">
        <w:r>
          <w:rPr>
            <w:rStyle w:val="809"/>
            <w:rFonts w:hint="eastAsia" w:ascii="宋体" w:hAnsi="宋体" w:cs="楷体"/>
            <w:bCs/>
            <w:iCs/>
          </w:rPr>
          <w:t xml:space="preserve">（一）信息化集成实施服务</w:t>
        </w:r>
        <w:r>
          <w:tab/>
        </w:r>
        <w:r>
          <w:fldChar w:fldCharType="begin"/>
        </w:r>
        <w:r>
          <w:instrText xml:space="preserve"> PAGEREF _Toc192239121 \h </w:instrText>
        </w:r>
        <w:r>
          <w:fldChar w:fldCharType="separate"/>
        </w:r>
        <w:r>
          <w:t xml:space="preserve">23</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22" w:anchor="_Toc192239122" w:history="1">
        <w:r>
          <w:rPr>
            <w:rStyle w:val="809"/>
            <w:rFonts w:hint="eastAsia" w:ascii="宋体" w:hAnsi="宋体" w:cs="楷体"/>
            <w:bCs/>
          </w:rPr>
          <w:t xml:space="preserve">（二） 信息化运行维护支撑服务</w:t>
        </w:r>
        <w:r>
          <w:tab/>
        </w:r>
        <w:r>
          <w:fldChar w:fldCharType="begin"/>
        </w:r>
        <w:r>
          <w:instrText xml:space="preserve"> PAGEREF _Toc192239122 \h </w:instrText>
        </w:r>
        <w:r>
          <w:fldChar w:fldCharType="separate"/>
        </w:r>
        <w:r>
          <w:t xml:space="preserve">26</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23" w:anchor="_Toc192239123" w:history="1">
        <w:r>
          <w:rPr>
            <w:rStyle w:val="809"/>
            <w:rFonts w:hint="eastAsia" w:ascii="Times New Roman" w:hAnsi="Times New Roman"/>
          </w:rPr>
          <w:t xml:space="preserve">三、其他要求：</w:t>
        </w:r>
        <w:r>
          <w:tab/>
        </w:r>
        <w:r>
          <w:fldChar w:fldCharType="begin"/>
        </w:r>
        <w:r>
          <w:instrText xml:space="preserve"> PAGEREF _Toc192239123 \h </w:instrText>
        </w:r>
        <w:r>
          <w:fldChar w:fldCharType="separate"/>
        </w:r>
        <w:r>
          <w:t xml:space="preserve">173</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24" w:anchor="_Toc192239124" w:history="1">
        <w:r>
          <w:rPr>
            <w:rStyle w:val="809"/>
            <w:rFonts w:hint="eastAsia" w:ascii="宋体" w:hAnsi="宋体" w:cs="宋体"/>
          </w:rPr>
          <w:t xml:space="preserve">（一）人员要求</w:t>
        </w:r>
        <w:r>
          <w:tab/>
        </w:r>
        <w:r>
          <w:fldChar w:fldCharType="begin"/>
        </w:r>
        <w:r>
          <w:instrText xml:space="preserve"> PAGEREF _Toc192239124 \h </w:instrText>
        </w:r>
        <w:r>
          <w:fldChar w:fldCharType="separate"/>
        </w:r>
        <w:r>
          <w:t xml:space="preserve">173</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25" w:anchor="_Toc192239125" w:history="1">
        <w:r>
          <w:rPr>
            <w:rStyle w:val="809"/>
            <w:rFonts w:hint="eastAsia" w:ascii="宋体" w:hAnsi="宋体" w:cs="宋体"/>
            <w:i/>
          </w:rPr>
          <w:t xml:space="preserve">（二）保密要求</w:t>
        </w:r>
        <w:r>
          <w:tab/>
        </w:r>
        <w:r>
          <w:fldChar w:fldCharType="begin"/>
        </w:r>
        <w:r>
          <w:instrText xml:space="preserve"> PAGEREF _Toc192239125 \h </w:instrText>
        </w:r>
        <w:r>
          <w:fldChar w:fldCharType="separate"/>
        </w:r>
        <w:r>
          <w:t xml:space="preserve">173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26" w:anchor="_Toc192239126" w:history="1">
        <w:r>
          <w:rPr>
            <w:rStyle w:val="809"/>
            <w:rFonts w:hint="eastAsia" w:ascii="Times New Roman" w:hAnsi="Times New Roman"/>
          </w:rPr>
          <w:t xml:space="preserve">四、服务考核：</w:t>
        </w:r>
        <w:r>
          <w:tab/>
        </w:r>
        <w:r>
          <w:fldChar w:fldCharType="begin"/>
        </w:r>
        <w:r>
          <w:instrText xml:space="preserve"> PAGEREF _Toc192239126 \h </w:instrText>
        </w:r>
        <w:r>
          <w:fldChar w:fldCharType="separate"/>
        </w:r>
        <w:r>
          <w:t xml:space="preserve">173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27" w:anchor="_Toc192239127" w:history="1">
        <w:r>
          <w:rPr>
            <w:rStyle w:val="809"/>
            <w:rFonts w:hint="eastAsia" w:ascii="Times New Roman" w:hAnsi="Times New Roman"/>
          </w:rPr>
          <w:t xml:space="preserve">五、报价要求：</w:t>
        </w:r>
        <w:r>
          <w:tab/>
        </w:r>
        <w:r>
          <w:fldChar w:fldCharType="begin"/>
        </w:r>
        <w:r>
          <w:instrText xml:space="preserve"> PAGEREF _Toc192239127 \h </w:instrText>
        </w:r>
        <w:r>
          <w:fldChar w:fldCharType="separate"/>
        </w:r>
        <w:r>
          <w:t xml:space="preserve">175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28" w:anchor="_Toc192239128" w:history="1">
        <w:r>
          <w:rPr>
            <w:rStyle w:val="809"/>
            <w:rFonts w:hint="eastAsia" w:ascii="Times New Roman" w:hAnsi="Times New Roman"/>
          </w:rPr>
          <w:t xml:space="preserve">六、实质性要求：</w:t>
        </w:r>
        <w:r>
          <w:tab/>
        </w:r>
        <w:r>
          <w:fldChar w:fldCharType="begin"/>
        </w:r>
        <w:r>
          <w:instrText xml:space="preserve"> PAGEREF _Toc192239128 \h </w:instrText>
        </w:r>
        <w:r>
          <w:fldChar w:fldCharType="separate"/>
        </w:r>
        <w:r>
          <w:t xml:space="preserve">175</w:t>
        </w:r>
        <w:r>
          <w:fldChar w:fldCharType="end"/>
        </w:r>
      </w:hyperlink>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hyperlink w:tooltip="#_Toc192239129" w:anchor="_Toc192239129" w:history="1">
        <w:r>
          <w:rPr>
            <w:rStyle w:val="809"/>
            <w:rFonts w:hint="eastAsia" w:ascii="Times New Roman" w:hAnsi="宋体"/>
          </w:rPr>
          <w:t xml:space="preserve">第五章</w:t>
        </w:r>
        <w:r>
          <w:rPr>
            <w:rStyle w:val="809"/>
            <w:rFonts w:ascii="Times New Roman" w:hAnsi="宋体"/>
          </w:rPr>
          <w:t xml:space="preserve">  </w:t>
        </w:r>
        <w:r>
          <w:rPr>
            <w:rStyle w:val="809"/>
            <w:rFonts w:hint="eastAsia" w:ascii="Times New Roman" w:hAnsi="宋体"/>
          </w:rPr>
          <w:t xml:space="preserve">评标方法与评标标准</w:t>
        </w:r>
        <w:r>
          <w:tab/>
        </w:r>
        <w:r>
          <w:fldChar w:fldCharType="begin"/>
        </w:r>
        <w:r>
          <w:instrText xml:space="preserve"> PAGEREF _Toc192239129 \h </w:instrText>
        </w:r>
        <w:r>
          <w:fldChar w:fldCharType="separate"/>
        </w:r>
        <w:r>
          <w:t xml:space="preserve">176</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0" w:anchor="_Toc192239130" w:history="1">
        <w:r>
          <w:rPr>
            <w:rStyle w:val="809"/>
            <w:rFonts w:hint="eastAsia"/>
          </w:rPr>
          <w:t xml:space="preserve">一、评标方法：</w:t>
        </w:r>
        <w:r>
          <w:tab/>
        </w:r>
        <w:r>
          <w:fldChar w:fldCharType="begin"/>
        </w:r>
        <w:r>
          <w:instrText xml:space="preserve"> PAGEREF _Toc192239130 \h </w:instrText>
        </w:r>
        <w:r>
          <w:fldChar w:fldCharType="separate"/>
        </w:r>
        <w:r>
          <w:t xml:space="preserve">176</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1" w:anchor="_Toc192239131" w:history="1">
        <w:r>
          <w:rPr>
            <w:rStyle w:val="809"/>
            <w:rFonts w:hint="eastAsia"/>
          </w:rPr>
          <w:t xml:space="preserve">二、评标标准：</w:t>
        </w:r>
        <w:r>
          <w:tab/>
        </w:r>
        <w:r>
          <w:fldChar w:fldCharType="begin"/>
        </w:r>
        <w:r>
          <w:instrText xml:space="preserve"> PAGEREF _Toc192239131 \h </w:instrText>
        </w:r>
        <w:r>
          <w:fldChar w:fldCharType="separate"/>
        </w:r>
        <w:r>
          <w:t xml:space="preserve">176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32" w:anchor="_Toc192239132" w:history="1">
        <w:r>
          <w:rPr>
            <w:rStyle w:val="809"/>
            <w:rFonts w:ascii="Times New Roman" w:hAnsi="Times New Roman"/>
            <w:b/>
            <w:bCs/>
          </w:rPr>
          <w:t xml:space="preserve">1.</w:t>
        </w:r>
        <w:r>
          <w:rPr>
            <w:rStyle w:val="809"/>
            <w:rFonts w:hint="eastAsia" w:ascii="Times New Roman" w:hAnsi="Times New Roman"/>
            <w:b/>
            <w:bCs/>
          </w:rPr>
          <w:t xml:space="preserve">价格分</w:t>
        </w:r>
        <w:r>
          <w:rPr>
            <w:rStyle w:val="809"/>
            <w:rFonts w:ascii="Times New Roman" w:hAnsi="Times New Roman"/>
            <w:b/>
            <w:bCs/>
          </w:rPr>
          <w:t xml:space="preserve">10</w:t>
        </w:r>
        <w:r>
          <w:rPr>
            <w:rStyle w:val="809"/>
            <w:rFonts w:hint="eastAsia" w:ascii="Times New Roman" w:hAnsi="Times New Roman"/>
            <w:b/>
            <w:bCs/>
          </w:rPr>
          <w:t xml:space="preserve">分</w:t>
        </w:r>
        <w:r>
          <w:tab/>
        </w:r>
        <w:r>
          <w:fldChar w:fldCharType="begin"/>
        </w:r>
        <w:r>
          <w:instrText xml:space="preserve"> PAGEREF _Toc192239132 \h </w:instrText>
        </w:r>
        <w:r>
          <w:fldChar w:fldCharType="separate"/>
        </w:r>
        <w:r>
          <w:t xml:space="preserve">176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33" w:anchor="_Toc192239133" w:history="1">
        <w:r>
          <w:rPr>
            <w:rStyle w:val="809"/>
            <w:rFonts w:ascii="Times New Roman" w:hAnsi="Times New Roman"/>
            <w:b/>
            <w:bCs/>
          </w:rPr>
          <w:t xml:space="preserve">2.</w:t>
        </w:r>
        <w:r>
          <w:rPr>
            <w:rStyle w:val="809"/>
            <w:rFonts w:hint="eastAsia" w:ascii="Times New Roman" w:hAnsi="Times New Roman"/>
            <w:b/>
            <w:bCs/>
          </w:rPr>
          <w:t xml:space="preserve">服务方案</w:t>
        </w:r>
        <w:r>
          <w:rPr>
            <w:rStyle w:val="809"/>
            <w:rFonts w:ascii="Times New Roman" w:hAnsi="Times New Roman"/>
            <w:b/>
            <w:bCs/>
          </w:rPr>
          <w:t xml:space="preserve">60</w:t>
        </w:r>
        <w:r>
          <w:rPr>
            <w:rStyle w:val="809"/>
            <w:rFonts w:hint="eastAsia" w:ascii="Times New Roman" w:hAnsi="Times New Roman"/>
            <w:b/>
            <w:bCs/>
          </w:rPr>
          <w:t xml:space="preserve">分</w:t>
        </w:r>
        <w:r>
          <w:tab/>
        </w:r>
        <w:r>
          <w:fldChar w:fldCharType="begin"/>
        </w:r>
        <w:r>
          <w:instrText xml:space="preserve"> PAGEREF _Toc192239133 \h </w:instrText>
        </w:r>
        <w:r>
          <w:fldChar w:fldCharType="separate"/>
        </w:r>
        <w:r>
          <w:t xml:space="preserve">176</w:t>
        </w:r>
        <w:r>
          <w:fldChar w:fldCharType="end"/>
        </w:r>
      </w:hyperlink>
      <w:r/>
      <w:r/>
    </w:p>
    <w:p>
      <w:pPr>
        <w:pStyle w:val="769"/>
        <w:spacing w:line="400" w:lineRule="exact"/>
        <w:tabs>
          <w:tab w:val="right" w:pos="10456" w:leader="dot"/>
        </w:tabs>
        <w:rPr>
          <w:rFonts w:asciiTheme="minorHAnsi" w:hAnsiTheme="minorHAnsi" w:eastAsiaTheme="minorEastAsia" w:cstheme="minorBidi"/>
          <w:smallCaps w:val="0"/>
          <w:sz w:val="21"/>
        </w:rPr>
      </w:pPr>
      <w:r/>
      <w:hyperlink w:tooltip="#_Toc192239134" w:anchor="_Toc192239134" w:history="1">
        <w:r>
          <w:rPr>
            <w:rStyle w:val="809"/>
            <w:rFonts w:ascii="Times New Roman" w:hAnsi="Times New Roman"/>
            <w:b/>
            <w:bCs/>
          </w:rPr>
          <w:t xml:space="preserve">3.</w:t>
        </w:r>
        <w:r>
          <w:rPr>
            <w:rStyle w:val="809"/>
            <w:rFonts w:hint="eastAsia" w:ascii="Times New Roman" w:hAnsi="Times New Roman"/>
            <w:b/>
            <w:bCs/>
          </w:rPr>
          <w:t xml:space="preserve">人员与业绩等</w:t>
        </w:r>
        <w:r>
          <w:rPr>
            <w:rStyle w:val="809"/>
            <w:rFonts w:ascii="Times New Roman" w:hAnsi="Times New Roman"/>
            <w:b/>
            <w:bCs/>
          </w:rPr>
          <w:t xml:space="preserve">30</w:t>
        </w:r>
        <w:r>
          <w:rPr>
            <w:rStyle w:val="809"/>
            <w:rFonts w:hint="eastAsia" w:ascii="Times New Roman" w:hAnsi="Times New Roman"/>
            <w:b/>
            <w:bCs/>
          </w:rPr>
          <w:t xml:space="preserve">分</w:t>
        </w:r>
        <w:r>
          <w:tab/>
        </w:r>
        <w:r>
          <w:fldChar w:fldCharType="begin"/>
        </w:r>
        <w:r>
          <w:instrText xml:space="preserve"> PAGEREF _Toc192239134 \h </w:instrText>
        </w:r>
        <w:r>
          <w:fldChar w:fldCharType="separate"/>
        </w:r>
        <w:r>
          <w:t xml:space="preserve">178</w:t>
        </w:r>
        <w:r>
          <w:fldChar w:fldCharType="end"/>
        </w:r>
      </w:hyperlink>
      <w:r/>
      <w:r/>
    </w:p>
    <w:p>
      <w:pPr>
        <w:pStyle w:val="781"/>
        <w:spacing w:before="0" w:after="0" w:line="400" w:lineRule="exact"/>
        <w:tabs>
          <w:tab w:val="right" w:pos="10456" w:leader="dot"/>
        </w:tabs>
        <w:rPr>
          <w:rFonts w:asciiTheme="minorHAnsi" w:hAnsiTheme="minorHAnsi" w:eastAsiaTheme="minorEastAsia" w:cstheme="minorBidi"/>
          <w:b w:val="0"/>
          <w:bCs w:val="0"/>
          <w:caps w:val="0"/>
          <w:sz w:val="21"/>
          <w:u w:val="none"/>
        </w:rPr>
      </w:pPr>
      <w:r/>
      <w:hyperlink w:tooltip="#_Toc192239135" w:anchor="_Toc192239135" w:history="1">
        <w:r>
          <w:rPr>
            <w:rStyle w:val="809"/>
            <w:rFonts w:hint="eastAsia" w:ascii="宋体" w:hAnsi="宋体"/>
          </w:rPr>
          <w:t xml:space="preserve">第六章</w:t>
        </w:r>
        <w:r>
          <w:rPr>
            <w:rStyle w:val="809"/>
            <w:rFonts w:ascii="宋体" w:hAnsi="宋体"/>
          </w:rPr>
          <w:t xml:space="preserve">  </w:t>
        </w:r>
        <w:r>
          <w:rPr>
            <w:rStyle w:val="809"/>
            <w:rFonts w:hint="eastAsia" w:ascii="宋体" w:hAnsi="宋体"/>
          </w:rPr>
          <w:t xml:space="preserve">投标文件格式</w:t>
        </w:r>
        <w:r>
          <w:tab/>
        </w:r>
        <w:r>
          <w:fldChar w:fldCharType="begin"/>
        </w:r>
        <w:r>
          <w:instrText xml:space="preserve"> PAGEREF _Toc192239135 \h </w:instrText>
        </w:r>
        <w:r>
          <w:fldChar w:fldCharType="separate"/>
        </w:r>
        <w:r>
          <w:t xml:space="preserve">182</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6" w:anchor="_Toc192239136" w:history="1">
        <w:r>
          <w:rPr>
            <w:rStyle w:val="809"/>
            <w:rFonts w:hint="eastAsia" w:ascii="Times New Roman" w:hAnsi="Times New Roman"/>
          </w:rPr>
          <w:t xml:space="preserve">投标文件目录</w:t>
        </w:r>
        <w:r>
          <w:tab/>
        </w:r>
        <w:r>
          <w:fldChar w:fldCharType="begin"/>
        </w:r>
        <w:r>
          <w:instrText xml:space="preserve"> PAGEREF _Toc192239136 \h </w:instrText>
        </w:r>
        <w:r>
          <w:fldChar w:fldCharType="separate"/>
        </w:r>
        <w:r>
          <w:t xml:space="preserve">183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7" w:anchor="_Toc192239137" w:history="1">
        <w:r>
          <w:rPr>
            <w:rStyle w:val="809"/>
            <w:rFonts w:hint="eastAsia" w:ascii="宋体" w:hAnsi="宋体"/>
          </w:rPr>
          <w:t xml:space="preserve">附件</w:t>
        </w:r>
        <w:r>
          <w:rPr>
            <w:rStyle w:val="809"/>
            <w:rFonts w:ascii="宋体" w:hAnsi="宋体"/>
          </w:rPr>
          <w:t xml:space="preserve">1 </w:t>
        </w:r>
        <w:r>
          <w:rPr>
            <w:rStyle w:val="809"/>
            <w:rFonts w:hint="eastAsia" w:ascii="宋体" w:hAnsi="宋体"/>
          </w:rPr>
          <w:t xml:space="preserve">开标一览表</w:t>
        </w:r>
        <w:r>
          <w:tab/>
        </w:r>
        <w:r>
          <w:fldChar w:fldCharType="begin"/>
        </w:r>
        <w:r>
          <w:instrText xml:space="preserve"> PAGEREF _Toc192239137 \h </w:instrText>
        </w:r>
        <w:r>
          <w:fldChar w:fldCharType="separate"/>
        </w:r>
        <w:r>
          <w:t xml:space="preserve">184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8" w:anchor="_Toc192239138" w:history="1">
        <w:r>
          <w:rPr>
            <w:rStyle w:val="809"/>
            <w:rFonts w:hint="eastAsia" w:ascii="宋体" w:hAnsi="宋体"/>
          </w:rPr>
          <w:t xml:space="preserve">附件</w:t>
        </w:r>
        <w:r>
          <w:rPr>
            <w:rStyle w:val="809"/>
            <w:rFonts w:ascii="宋体" w:hAnsi="宋体"/>
          </w:rPr>
          <w:t xml:space="preserve">2 </w:t>
        </w:r>
        <w:r>
          <w:rPr>
            <w:rStyle w:val="809"/>
            <w:rFonts w:hint="eastAsia" w:ascii="宋体" w:hAnsi="宋体"/>
          </w:rPr>
          <w:t xml:space="preserve">具有良好的商业信誉和健全的财务会计制度的声明函</w:t>
        </w:r>
        <w:r>
          <w:tab/>
        </w:r>
        <w:r>
          <w:fldChar w:fldCharType="begin"/>
        </w:r>
        <w:r>
          <w:instrText xml:space="preserve"> PAGEREF _Toc192239138 \h </w:instrText>
        </w:r>
        <w:r>
          <w:fldChar w:fldCharType="separate"/>
        </w:r>
        <w:r>
          <w:t xml:space="preserve">185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39" w:anchor="_Toc192239139" w:history="1">
        <w:r>
          <w:rPr>
            <w:rStyle w:val="809"/>
            <w:rFonts w:hint="eastAsia" w:ascii="宋体" w:hAnsi="宋体"/>
          </w:rPr>
          <w:t xml:space="preserve">附件</w:t>
        </w:r>
        <w:r>
          <w:rPr>
            <w:rStyle w:val="809"/>
            <w:rFonts w:ascii="宋体" w:hAnsi="宋体"/>
          </w:rPr>
          <w:t xml:space="preserve">3 </w:t>
        </w:r>
        <w:r>
          <w:rPr>
            <w:rStyle w:val="809"/>
            <w:rFonts w:hint="eastAsia" w:ascii="宋体" w:hAnsi="宋体"/>
          </w:rPr>
          <w:t xml:space="preserve">具有履行合同所必需的设备和专业技术能力的声明函</w:t>
        </w:r>
        <w:r>
          <w:tab/>
        </w:r>
        <w:r>
          <w:fldChar w:fldCharType="begin"/>
        </w:r>
        <w:r>
          <w:instrText xml:space="preserve"> PAGEREF _Toc192239139 \h </w:instrText>
        </w:r>
        <w:r>
          <w:fldChar w:fldCharType="separate"/>
        </w:r>
        <w:r>
          <w:t xml:space="preserve">186</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0" w:anchor="_Toc192239140" w:history="1">
        <w:r>
          <w:rPr>
            <w:rStyle w:val="809"/>
            <w:rFonts w:hint="eastAsia" w:ascii="宋体" w:hAnsi="宋体"/>
          </w:rPr>
          <w:t xml:space="preserve">附件</w:t>
        </w:r>
        <w:r>
          <w:rPr>
            <w:rStyle w:val="809"/>
            <w:rFonts w:ascii="宋体" w:hAnsi="宋体"/>
          </w:rPr>
          <w:t xml:space="preserve">4 </w:t>
        </w:r>
        <w:r>
          <w:rPr>
            <w:rStyle w:val="809"/>
            <w:rFonts w:hint="eastAsia" w:ascii="宋体" w:hAnsi="宋体"/>
          </w:rPr>
          <w:t xml:space="preserve">承诺说明</w:t>
        </w:r>
        <w:r>
          <w:tab/>
        </w:r>
        <w:r>
          <w:fldChar w:fldCharType="begin"/>
        </w:r>
        <w:r>
          <w:instrText xml:space="preserve"> PAGEREF _Toc192239140 \h </w:instrText>
        </w:r>
        <w:r>
          <w:fldChar w:fldCharType="separate"/>
        </w:r>
        <w:r>
          <w:t xml:space="preserve">187</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1" w:anchor="_Toc192239141" w:history="1">
        <w:r>
          <w:rPr>
            <w:rStyle w:val="809"/>
            <w:rFonts w:hint="eastAsia" w:ascii="宋体" w:hAnsi="宋体"/>
          </w:rPr>
          <w:t xml:space="preserve">附件</w:t>
        </w:r>
        <w:r>
          <w:rPr>
            <w:rStyle w:val="809"/>
            <w:rFonts w:ascii="宋体" w:hAnsi="宋体"/>
          </w:rPr>
          <w:t xml:space="preserve">5 </w:t>
        </w:r>
        <w:r>
          <w:rPr>
            <w:rStyle w:val="809"/>
            <w:rFonts w:hint="eastAsia" w:ascii="宋体" w:hAnsi="宋体"/>
          </w:rPr>
          <w:t xml:space="preserve">中小企业声明函</w:t>
        </w:r>
        <w:r>
          <w:tab/>
        </w:r>
        <w:r>
          <w:fldChar w:fldCharType="begin"/>
        </w:r>
        <w:r>
          <w:instrText xml:space="preserve"> PAGEREF _Toc192239141 \h </w:instrText>
        </w:r>
        <w:r>
          <w:fldChar w:fldCharType="separate"/>
        </w:r>
        <w:r>
          <w:t xml:space="preserve">188</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2" w:anchor="_Toc192239142" w:history="1">
        <w:r>
          <w:rPr>
            <w:rStyle w:val="809"/>
            <w:rFonts w:hint="eastAsia" w:ascii="宋体" w:hAnsi="宋体"/>
          </w:rPr>
          <w:t xml:space="preserve">附件</w:t>
        </w:r>
        <w:r>
          <w:rPr>
            <w:rStyle w:val="809"/>
            <w:rFonts w:ascii="宋体" w:hAnsi="宋体"/>
          </w:rPr>
          <w:t xml:space="preserve">6 </w:t>
        </w:r>
        <w:r>
          <w:rPr>
            <w:rStyle w:val="809"/>
            <w:rFonts w:hint="eastAsia" w:ascii="宋体" w:hAnsi="宋体"/>
          </w:rPr>
          <w:t xml:space="preserve">残疾人福利性单位声明函</w:t>
        </w:r>
        <w:r>
          <w:tab/>
        </w:r>
        <w:r>
          <w:fldChar w:fldCharType="begin"/>
        </w:r>
        <w:r>
          <w:instrText xml:space="preserve"> PAGEREF _Toc192239142 \h </w:instrText>
        </w:r>
        <w:r>
          <w:fldChar w:fldCharType="separate"/>
        </w:r>
        <w:r>
          <w:t xml:space="preserve">189</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3" w:anchor="_Toc192239143" w:history="1">
        <w:r>
          <w:rPr>
            <w:rStyle w:val="809"/>
            <w:rFonts w:hint="eastAsia" w:ascii="宋体" w:hAnsi="宋体"/>
          </w:rPr>
          <w:t xml:space="preserve">附件</w:t>
        </w:r>
        <w:r>
          <w:rPr>
            <w:rStyle w:val="809"/>
            <w:rFonts w:ascii="宋体" w:hAnsi="宋体"/>
          </w:rPr>
          <w:t xml:space="preserve">7 </w:t>
        </w:r>
        <w:r>
          <w:rPr>
            <w:rStyle w:val="809"/>
            <w:rFonts w:hint="eastAsia" w:ascii="宋体" w:hAnsi="宋体"/>
          </w:rPr>
          <w:t xml:space="preserve">投标函</w:t>
        </w:r>
        <w:r>
          <w:tab/>
        </w:r>
        <w:r>
          <w:fldChar w:fldCharType="begin"/>
        </w:r>
        <w:r>
          <w:instrText xml:space="preserve"> PAGEREF _Toc192239143 \h </w:instrText>
        </w:r>
        <w:r>
          <w:fldChar w:fldCharType="separate"/>
        </w:r>
        <w:r>
          <w:t xml:space="preserve">190</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4" w:anchor="_Toc192239144" w:history="1">
        <w:r>
          <w:rPr>
            <w:rStyle w:val="809"/>
            <w:rFonts w:hint="eastAsia" w:ascii="宋体" w:hAnsi="宋体"/>
          </w:rPr>
          <w:t xml:space="preserve">附件</w:t>
        </w:r>
        <w:r>
          <w:rPr>
            <w:rStyle w:val="809"/>
            <w:rFonts w:ascii="宋体" w:hAnsi="宋体"/>
          </w:rPr>
          <w:t xml:space="preserve">8 </w:t>
        </w:r>
        <w:r>
          <w:rPr>
            <w:rStyle w:val="809"/>
            <w:rFonts w:hint="eastAsia" w:ascii="宋体" w:hAnsi="宋体"/>
          </w:rPr>
          <w:t xml:space="preserve">法人授权书</w:t>
        </w:r>
        <w:r>
          <w:tab/>
        </w:r>
        <w:r>
          <w:fldChar w:fldCharType="begin"/>
        </w:r>
        <w:r>
          <w:instrText xml:space="preserve"> PAGEREF _Toc192239144 \h </w:instrText>
        </w:r>
        <w:r>
          <w:fldChar w:fldCharType="separate"/>
        </w:r>
        <w:r>
          <w:t xml:space="preserve">191</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5" w:anchor="_Toc192239145" w:history="1">
        <w:r>
          <w:rPr>
            <w:rStyle w:val="809"/>
            <w:rFonts w:hint="eastAsia" w:ascii="宋体" w:hAnsi="宋体"/>
          </w:rPr>
          <w:t xml:space="preserve">附件</w:t>
        </w:r>
        <w:r>
          <w:rPr>
            <w:rStyle w:val="809"/>
            <w:rFonts w:ascii="宋体" w:hAnsi="宋体"/>
          </w:rPr>
          <w:t xml:space="preserve">9 </w:t>
        </w:r>
        <w:r>
          <w:rPr>
            <w:rStyle w:val="809"/>
            <w:rFonts w:hint="eastAsia" w:ascii="宋体" w:hAnsi="宋体"/>
          </w:rPr>
          <w:t xml:space="preserve">实质性要求响应表</w:t>
        </w:r>
        <w:r>
          <w:tab/>
        </w:r>
        <w:r>
          <w:fldChar w:fldCharType="begin"/>
        </w:r>
        <w:r>
          <w:instrText xml:space="preserve"> PAGEREF _Toc192239145 \h </w:instrText>
        </w:r>
        <w:r>
          <w:fldChar w:fldCharType="separate"/>
        </w:r>
        <w:r>
          <w:t xml:space="preserve">192</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6" w:anchor="_Toc192239146" w:history="1">
        <w:r>
          <w:rPr>
            <w:rStyle w:val="809"/>
            <w:rFonts w:hint="eastAsia" w:ascii="宋体" w:hAnsi="宋体"/>
          </w:rPr>
          <w:t xml:space="preserve">附件</w:t>
        </w:r>
        <w:r>
          <w:rPr>
            <w:rStyle w:val="809"/>
            <w:rFonts w:ascii="宋体" w:hAnsi="宋体"/>
          </w:rPr>
          <w:t xml:space="preserve">10 </w:t>
        </w:r>
        <w:r>
          <w:rPr>
            <w:rStyle w:val="809"/>
            <w:rFonts w:hint="eastAsia" w:ascii="宋体" w:hAnsi="宋体"/>
          </w:rPr>
          <w:t xml:space="preserve">服务要求响应及偏离表</w:t>
        </w:r>
        <w:r>
          <w:tab/>
        </w:r>
        <w:r>
          <w:fldChar w:fldCharType="begin"/>
        </w:r>
        <w:r>
          <w:instrText xml:space="preserve"> PAGEREF _Toc192239146 \h </w:instrText>
        </w:r>
        <w:r>
          <w:fldChar w:fldCharType="separate"/>
        </w:r>
        <w:r>
          <w:t xml:space="preserve">193</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7" w:anchor="_Toc192239147" w:history="1">
        <w:r>
          <w:rPr>
            <w:rStyle w:val="809"/>
            <w:rFonts w:hint="eastAsia" w:ascii="宋体" w:hAnsi="宋体"/>
          </w:rPr>
          <w:t xml:space="preserve">附件</w:t>
        </w:r>
        <w:r>
          <w:rPr>
            <w:rStyle w:val="809"/>
            <w:rFonts w:ascii="宋体" w:hAnsi="宋体"/>
          </w:rPr>
          <w:t xml:space="preserve">11 </w:t>
        </w:r>
        <w:r>
          <w:rPr>
            <w:rStyle w:val="809"/>
            <w:rFonts w:hint="eastAsia" w:ascii="宋体" w:hAnsi="宋体"/>
          </w:rPr>
          <w:t xml:space="preserve">商务要求响应及偏离表</w:t>
        </w:r>
        <w:r>
          <w:tab/>
        </w:r>
        <w:r>
          <w:fldChar w:fldCharType="begin"/>
        </w:r>
        <w:r>
          <w:instrText xml:space="preserve"> PAGEREF _Toc192239147 \h </w:instrText>
        </w:r>
        <w:r>
          <w:fldChar w:fldCharType="separate"/>
        </w:r>
        <w:r>
          <w:t xml:space="preserve">194</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8" w:anchor="_Toc192239148" w:history="1">
        <w:r>
          <w:rPr>
            <w:rStyle w:val="809"/>
            <w:rFonts w:hint="eastAsia" w:ascii="宋体" w:hAnsi="宋体"/>
          </w:rPr>
          <w:t xml:space="preserve">附件</w:t>
        </w:r>
        <w:r>
          <w:rPr>
            <w:rStyle w:val="809"/>
            <w:rFonts w:ascii="宋体" w:hAnsi="宋体"/>
          </w:rPr>
          <w:t xml:space="preserve">12 </w:t>
        </w:r>
        <w:r>
          <w:rPr>
            <w:rStyle w:val="809"/>
            <w:rFonts w:hint="eastAsia" w:ascii="宋体" w:hAnsi="宋体"/>
          </w:rPr>
          <w:t xml:space="preserve">业绩一览表</w:t>
        </w:r>
        <w:r>
          <w:tab/>
        </w:r>
        <w:r>
          <w:fldChar w:fldCharType="begin"/>
        </w:r>
        <w:r>
          <w:instrText xml:space="preserve"> PAGEREF _Toc192239148 \h </w:instrText>
        </w:r>
        <w:r>
          <w:fldChar w:fldCharType="separate"/>
        </w:r>
        <w:r>
          <w:t xml:space="preserve">195</w:t>
        </w:r>
        <w:r>
          <w:fldChar w:fldCharType="end"/>
        </w:r>
      </w:hyperlink>
      <w:r/>
      <w:r/>
    </w:p>
    <w:p>
      <w:pPr>
        <w:pStyle w:val="793"/>
        <w:spacing w:line="400" w:lineRule="exact"/>
        <w:tabs>
          <w:tab w:val="right" w:pos="10456" w:leader="dot"/>
        </w:tabs>
        <w:rPr>
          <w:rFonts w:asciiTheme="minorHAnsi" w:hAnsiTheme="minorHAnsi" w:eastAsiaTheme="minorEastAsia" w:cstheme="minorBidi"/>
          <w:b w:val="0"/>
          <w:bCs w:val="0"/>
          <w:smallCaps w:val="0"/>
          <w:sz w:val="21"/>
        </w:rPr>
      </w:pPr>
      <w:r/>
      <w:hyperlink w:tooltip="#_Toc192239149" w:anchor="_Toc192239149" w:history="1">
        <w:r>
          <w:rPr>
            <w:rStyle w:val="809"/>
            <w:rFonts w:hint="eastAsia" w:ascii="宋体" w:hAnsi="宋体"/>
          </w:rPr>
          <w:t xml:space="preserve">其他附件</w:t>
        </w:r>
        <w:r>
          <w:rPr>
            <w:rStyle w:val="809"/>
            <w:rFonts w:ascii="宋体" w:hAnsi="宋体"/>
          </w:rPr>
          <w:t xml:space="preserve">  </w:t>
        </w:r>
        <w:r>
          <w:rPr>
            <w:rStyle w:val="809"/>
            <w:rFonts w:hint="eastAsia" w:ascii="宋体" w:hAnsi="宋体"/>
          </w:rPr>
          <w:t xml:space="preserve">硬件主要设备清单</w:t>
        </w:r>
        <w:r>
          <w:tab/>
        </w:r>
        <w:r>
          <w:fldChar w:fldCharType="begin"/>
        </w:r>
        <w:r>
          <w:instrText xml:space="preserve"> PAGEREF _Toc192239149 \h </w:instrText>
        </w:r>
        <w:r>
          <w:fldChar w:fldCharType="separate"/>
        </w:r>
        <w:r>
          <w:t xml:space="preserve">196</w:t>
        </w:r>
        <w:r>
          <w:fldChar w:fldCharType="end"/>
        </w:r>
      </w:hyperlink>
      <w:r/>
      <w:r/>
    </w:p>
    <w:p>
      <w:pPr>
        <w:jc w:val="left"/>
        <w:spacing w:line="400" w:lineRule="exac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265"/>
      <w:r/>
      <w:bookmarkStart w:id="8" w:name="_Toc163508340"/>
      <w:r/>
      <w:bookmarkStart w:id="9" w:name="_Toc192239068"/>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2025年度市级信息化建设和运维统筹服务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3</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28</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09</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163508266"/>
      <w:r/>
      <w:bookmarkStart w:id="11" w:name="_Toc163508341"/>
      <w:r/>
      <w:bookmarkStart w:id="12" w:name="_Toc38985263"/>
      <w:r/>
      <w:bookmarkStart w:id="13" w:name="_Toc35393621"/>
      <w:r/>
      <w:bookmarkStart w:id="14" w:name="_Toc28359079"/>
      <w:r/>
      <w:bookmarkStart w:id="15" w:name="_Toc35393790"/>
      <w:r/>
      <w:bookmarkStart w:id="16" w:name="_Toc28359002"/>
      <w:r/>
      <w:bookmarkStart w:id="17" w:name="_Toc192239069"/>
      <w:r/>
      <w:bookmarkStart w:id="18" w:name="_Hlk24379207"/>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JSZC-320581-SZJZ-G2025-0008</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2025</w:t>
      </w:r>
      <w:r>
        <w:rPr>
          <w:rFonts w:ascii="Times New Roman" w:hAnsi="Times New Roman" w:eastAsia="宋体" w:cs="Times New Roman"/>
          <w:color w:val="000000"/>
          <w:sz w:val="24"/>
          <w:szCs w:val="24"/>
        </w:rPr>
        <w:t xml:space="preserve">年度市级信息化建设和运维统筹服务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90200000.00</w:t>
      </w:r>
      <w:r>
        <w:rPr>
          <w:rFonts w:ascii="Times New Roman" w:hAnsi="Times New Roman" w:eastAsia="宋体" w:cs="Times New Roman"/>
          <w:color w:val="000000"/>
          <w:sz w:val="24"/>
          <w:szCs w:val="24"/>
        </w:rPr>
        <w:t xml:space="preserve">元整</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常熟市数据局所需的</w:t>
      </w:r>
      <w:r>
        <w:rPr>
          <w:rFonts w:hint="eastAsia" w:ascii="Calibri" w:hAnsi="Calibri" w:eastAsia="宋体" w:cs="Times New Roman"/>
          <w:sz w:val="24"/>
          <w:szCs w:val="24"/>
        </w:rPr>
        <w:t xml:space="preserve">2025</w:t>
      </w:r>
      <w:r>
        <w:rPr>
          <w:rFonts w:hint="eastAsia" w:ascii="Calibri" w:hAnsi="Calibri" w:eastAsia="宋体" w:cs="Times New Roman"/>
          <w:sz w:val="24"/>
          <w:szCs w:val="24"/>
        </w:rPr>
        <w:t xml:space="preserve">年度市级信息化建设和运维统筹服务。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自合同生效之日起至</w:t>
      </w:r>
      <w:r>
        <w:rPr>
          <w:rFonts w:hint="eastAsia" w:ascii="Calibri" w:hAnsi="Calibri" w:eastAsia="宋体" w:cs="Times New Roman"/>
          <w:color w:val="000000"/>
          <w:sz w:val="24"/>
          <w:szCs w:val="24"/>
        </w:rPr>
        <w:t xml:space="preserve">202</w:t>
      </w:r>
      <w:r>
        <w:rPr>
          <w:rFonts w:ascii="Calibri" w:hAnsi="Calibri" w:eastAsia="宋体" w:cs="Times New Roman"/>
          <w:color w:val="000000"/>
          <w:sz w:val="24"/>
          <w:szCs w:val="24"/>
        </w:rPr>
        <w:t xml:space="preserve">6</w:t>
      </w:r>
      <w:r>
        <w:rPr>
          <w:rFonts w:hint="eastAsia"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4</w:t>
      </w:r>
      <w:r>
        <w:rPr>
          <w:rFonts w:hint="eastAsia" w:ascii="Calibri" w:hAnsi="Calibri" w:eastAsia="宋体" w:cs="Times New Roman"/>
          <w:color w:val="000000"/>
          <w:sz w:val="24"/>
          <w:szCs w:val="24"/>
        </w:rPr>
        <w:t xml:space="preserve">月</w:t>
      </w:r>
      <w:r>
        <w:rPr>
          <w:rFonts w:ascii="Calibri" w:hAnsi="Calibri" w:eastAsia="宋体" w:cs="Times New Roman"/>
          <w:color w:val="000000"/>
          <w:sz w:val="24"/>
          <w:szCs w:val="24"/>
        </w:rPr>
        <w:t xml:space="preserve">30</w:t>
      </w:r>
      <w:r>
        <w:rPr>
          <w:rFonts w:hint="eastAsia" w:ascii="Calibri" w:hAnsi="Calibri" w:eastAsia="宋体" w:cs="Times New Roman"/>
          <w:color w:val="000000"/>
          <w:sz w:val="24"/>
          <w:szCs w:val="24"/>
        </w:rPr>
        <w:t xml:space="preserve">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8985264"/>
      <w:r/>
      <w:bookmarkStart w:id="20" w:name="_Toc28359003"/>
      <w:r/>
      <w:bookmarkStart w:id="21" w:name="_Toc28359080"/>
      <w:r/>
      <w:bookmarkStart w:id="22" w:name="_Toc35393622"/>
      <w:r/>
      <w:bookmarkStart w:id="23" w:name="_Toc163508342"/>
      <w:r/>
      <w:bookmarkStart w:id="24" w:name="_Toc163508267"/>
      <w:r/>
      <w:bookmarkStart w:id="25" w:name="_Toc35393791"/>
      <w:r/>
      <w:bookmarkStart w:id="26" w:name="_Toc192239070"/>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38985265"/>
      <w:r/>
      <w:bookmarkStart w:id="28" w:name="_Toc28359004"/>
      <w:r/>
      <w:bookmarkStart w:id="29" w:name="_Toc35393792"/>
      <w:r/>
      <w:bookmarkStart w:id="30" w:name="_Toc28359081"/>
      <w:r/>
      <w:bookmarkStart w:id="31" w:name="_Toc35393623"/>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软件和信息技术服务业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192239071"/>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5393624"/>
      <w:r/>
      <w:bookmarkStart w:id="37" w:name="_Toc28359082"/>
      <w:r/>
      <w:bookmarkStart w:id="38" w:name="_Toc38985266"/>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并签章提交《投标供应商确认函》，提交《投标供应商确认函》日期视同为依法获取招标文件日期。供应商应予打印保留《投标供应商确认函》。</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）并导入政府采购客户端工具后方可进行电子投标文件的制作和提交（具体详见《苏采云系统供应商操作手册》，网址链接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40" w:name="_Toc163508344"/>
      <w:r/>
      <w:bookmarkStart w:id="41" w:name="_Toc163508269"/>
      <w:r/>
      <w:bookmarkStart w:id="42" w:name="_Toc192239072"/>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3</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28</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09</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Times New Roman" w:hAnsi="Times New Roman" w:eastAsia="宋体" w:cs="Times New Roman"/>
          <w:sz w:val="24"/>
          <w:szCs w:val="21"/>
          <w:u w:val="single"/>
        </w:rPr>
        <w:t xml:space="preserve">（北京</w:t>
      </w:r>
      <w:r>
        <w:rPr>
          <w:rFonts w:ascii="Times New Roman" w:hAnsi="Times New Roman" w:eastAsia="宋体" w:cs="Times New Roman"/>
          <w:sz w:val="24"/>
          <w:szCs w:val="21"/>
          <w:u w:val="single"/>
        </w:rPr>
        <w:t xml:space="preserve">时间</w:t>
      </w:r>
      <w:r>
        <w:rPr>
          <w:rFonts w:hint="eastAsia" w:ascii="Times New Roman" w:hAnsi="Times New Roman" w:eastAsia="宋体" w:cs="Times New Roman"/>
          <w:sz w:val="24"/>
          <w:szCs w:val="21"/>
          <w:u w:val="single"/>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35393794"/>
      <w:r/>
      <w:bookmarkStart w:id="44" w:name="_Toc35393625"/>
      <w:r/>
      <w:bookmarkStart w:id="45" w:name="_Toc38985267"/>
      <w:r/>
      <w:bookmarkStart w:id="46" w:name="_Toc28359084"/>
      <w:r/>
      <w:bookmarkStart w:id="47" w:name="_Toc28359007"/>
      <w:r/>
      <w:bookmarkStart w:id="48" w:name="_Toc163508345"/>
      <w:r/>
      <w:bookmarkStart w:id="49" w:name="_Toc163508270"/>
      <w:r/>
      <w:bookmarkStart w:id="50" w:name="_Toc192239073"/>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271"/>
      <w:r/>
      <w:bookmarkStart w:id="55" w:name="_Toc163508346"/>
      <w:r/>
      <w:bookmarkStart w:id="56" w:name="_Toc192239074"/>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w:t>
      </w:r>
      <w:r>
        <w:rPr>
          <w:rFonts w:hint="eastAsia" w:ascii="Times New Roman" w:hAnsi="Times New Roman" w:eastAsia="宋体" w:cs="Times New Roman"/>
          <w:sz w:val="24"/>
          <w:szCs w:val="24"/>
        </w:rPr>
        <w:t xml:space="preserve">http://jszfcg.jscz.gov.cn/jszc/login</w:t>
      </w:r>
      <w:r>
        <w:rPr>
          <w:rFonts w:hint="eastAsia" w:ascii="Times New Roman" w:hAnsi="Times New Roman" w:eastAsia="宋体" w:cs="Times New Roman"/>
          <w:sz w:val="24"/>
          <w:szCs w:val="24"/>
        </w:rPr>
        <w:t xml:space="preserve">）点击“新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28359085"/>
      <w:r/>
      <w:bookmarkStart w:id="59" w:name="_Toc38985269"/>
      <w:r/>
      <w:bookmarkStart w:id="60" w:name="_Toc28359008"/>
      <w:r/>
      <w:bookmarkStart w:id="61" w:name="_Toc35393796"/>
      <w:r/>
      <w:bookmarkStart w:id="62" w:name="_Toc35393627"/>
      <w:r/>
      <w:bookmarkStart w:id="63" w:name="_Toc163508347"/>
      <w:r/>
      <w:bookmarkStart w:id="64" w:name="_Toc163508272"/>
      <w:r/>
      <w:bookmarkStart w:id="65" w:name="_Toc192239075"/>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常熟市数据局</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常熟市香山北路</w:t>
      </w:r>
      <w:r>
        <w:rPr>
          <w:rFonts w:ascii="Calibri" w:hAnsi="Calibri" w:eastAsia="宋体" w:cs="Times New Roman"/>
          <w:sz w:val="24"/>
          <w:szCs w:val="24"/>
        </w:rPr>
        <w:t xml:space="preserve">9</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09"/>
      <w:r/>
      <w:bookmarkStart w:id="67" w:name="_Toc28359086"/>
      <w:r>
        <w:rPr>
          <w:rFonts w:hint="eastAsia" w:ascii="Times New Roman" w:hAnsi="Times New Roman" w:eastAsia="宋体" w:cs="Times New Roman"/>
          <w:sz w:val="24"/>
          <w:szCs w:val="24"/>
        </w:rPr>
        <w:t xml:space="preserve">0512-52897750</w:t>
      </w:r>
      <w:r>
        <w:rPr>
          <w:rFonts w:hint="eastAsia" w:ascii="Times New Roman" w:hAnsi="Times New Roman" w:eastAsia="宋体" w:cs="Times New Roman"/>
          <w:sz w:val="24"/>
          <w:szCs w:val="24"/>
        </w:rPr>
        <w:t xml:space="preserve">（丁超）</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（陶文斌、杨</w:t>
      </w:r>
      <w:r>
        <w:rPr>
          <w:rFonts w:ascii="Times New Roman" w:hAnsi="Times New Roman" w:eastAsia="宋体" w:cs="Times New Roman"/>
          <w:sz w:val="24"/>
          <w:szCs w:val="24"/>
        </w:rPr>
        <w:t xml:space="preserve">江瑜</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项目联系人：陶文斌、杨</w:t>
      </w:r>
      <w:r>
        <w:rPr>
          <w:rFonts w:ascii="Times New Roman" w:hAnsi="Times New Roman" w:eastAsia="宋体" w:cs="Times New Roman"/>
          <w:sz w:val="24"/>
          <w:szCs w:val="24"/>
        </w:rPr>
        <w:t xml:space="preserve">江瑜</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192239076"/>
      <w:r>
        <w:rPr>
          <w:rFonts w:hint="eastAsia" w:ascii="宋体" w:hAnsi="宋体" w:eastAsia="宋体" w:cs="Times New Roman"/>
          <w:b/>
          <w:color w:val="000000"/>
          <w:sz w:val="44"/>
          <w:szCs w:val="44"/>
        </w:rPr>
        <w:t xml:space="preserve">第二章  </w:t>
      </w:r>
      <w:bookmarkStart w:id="74" w:name="_Toc513029202"/>
      <w:r/>
      <w:bookmarkStart w:id="75" w:name="_Toc16938518"/>
      <w:r/>
      <w:bookmarkStart w:id="76" w:name="_Toc120614213"/>
      <w:r/>
      <w:bookmarkStart w:id="77" w:name="_Toc20823274"/>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120614214"/>
      <w:r/>
      <w:bookmarkStart w:id="79" w:name="_Toc163508274"/>
      <w:r/>
      <w:bookmarkStart w:id="80" w:name="_Toc16938519"/>
      <w:r/>
      <w:bookmarkStart w:id="81" w:name="_Toc20823275"/>
      <w:r/>
      <w:bookmarkStart w:id="82" w:name="_Toc513029203"/>
      <w:r/>
      <w:bookmarkStart w:id="83" w:name="_Toc163508349"/>
      <w:r/>
      <w:bookmarkStart w:id="84" w:name="_Toc192239077"/>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350"/>
      <w:r/>
      <w:bookmarkStart w:id="91" w:name="_Toc163508275"/>
      <w:r/>
      <w:bookmarkStart w:id="92" w:name="_Toc192239078"/>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192239079"/>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513029205"/>
      <w:r/>
      <w:bookmarkStart w:id="97" w:name="_Toc163508352"/>
      <w:r/>
      <w:bookmarkStart w:id="98" w:name="_Toc163508277"/>
      <w:r/>
      <w:bookmarkStart w:id="99" w:name="_Toc20823277"/>
      <w:r/>
      <w:bookmarkStart w:id="100" w:name="_Toc16938521"/>
      <w:r/>
      <w:bookmarkStart w:id="101" w:name="_Toc192239080"/>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满足招标公告中申请人的资格要求的规定，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462564067"/>
      <w:r/>
      <w:bookmarkStart w:id="103" w:name="_Toc20823279"/>
      <w:r/>
      <w:bookmarkStart w:id="104" w:name="_Toc513029207"/>
      <w:r/>
      <w:bookmarkStart w:id="105" w:name="_Toc163508278"/>
      <w:r/>
      <w:bookmarkStart w:id="106" w:name="_Toc16938523"/>
      <w:r/>
      <w:bookmarkStart w:id="107" w:name="_Toc163508353"/>
      <w:r/>
      <w:bookmarkStart w:id="108" w:name="_Toc192239081"/>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20000</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279"/>
      <w:r/>
      <w:bookmarkStart w:id="110" w:name="_Toc163508354"/>
      <w:r/>
      <w:bookmarkStart w:id="111" w:name="_Toc192239082"/>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20614215"/>
      <w:r/>
      <w:bookmarkStart w:id="113" w:name="_Toc513029209"/>
      <w:r/>
      <w:bookmarkStart w:id="114" w:name="_Toc163508355"/>
      <w:r/>
      <w:bookmarkStart w:id="115" w:name="_Toc20823281"/>
      <w:r/>
      <w:bookmarkStart w:id="116" w:name="_Toc16938525"/>
      <w:r/>
      <w:bookmarkStart w:id="117" w:name="_Toc163508280"/>
      <w:r/>
      <w:bookmarkStart w:id="118" w:name="_Toc192239083"/>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20823282"/>
      <w:r/>
      <w:bookmarkStart w:id="120" w:name="_Toc513029210"/>
      <w:r/>
      <w:bookmarkStart w:id="121" w:name="_Toc16938526"/>
      <w:r/>
      <w:bookmarkStart w:id="122" w:name="_Toc163508281"/>
      <w:r/>
      <w:bookmarkStart w:id="123" w:name="_Toc163508356"/>
      <w:r/>
      <w:bookmarkStart w:id="124" w:name="_Toc192239084"/>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282"/>
      <w:r/>
      <w:bookmarkStart w:id="126" w:name="_Toc163508357"/>
      <w:r/>
      <w:bookmarkStart w:id="127" w:name="_Toc192239085"/>
      <w:r/>
      <w:bookmarkStart w:id="128" w:name="_Toc20823283"/>
      <w:r/>
      <w:bookmarkStart w:id="129" w:name="_Toc462564070"/>
      <w:r/>
      <w:bookmarkStart w:id="130" w:name="_Toc16938527"/>
      <w:r/>
      <w:bookmarkStart w:id="131" w:name="_Toc513029211"/>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63508358"/>
      <w:r/>
      <w:bookmarkStart w:id="133" w:name="_Toc120614216"/>
      <w:r/>
      <w:bookmarkStart w:id="134" w:name="_Toc462564072"/>
      <w:r/>
      <w:bookmarkStart w:id="135" w:name="_Toc163508283"/>
      <w:r/>
      <w:bookmarkStart w:id="136" w:name="_Toc16938529"/>
      <w:r/>
      <w:bookmarkStart w:id="137" w:name="_Toc20823285"/>
      <w:r/>
      <w:bookmarkStart w:id="138" w:name="_Toc513029213"/>
      <w:r/>
      <w:bookmarkStart w:id="139" w:name="_Toc192239086"/>
      <w:r/>
      <w:bookmarkEnd w:id="128"/>
      <w:r/>
      <w:bookmarkEnd w:id="129"/>
      <w:r/>
      <w:bookmarkEnd w:id="130"/>
      <w:r/>
      <w:bookmarkEnd w:id="131"/>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938530"/>
      <w:r/>
      <w:bookmarkStart w:id="141" w:name="_Toc462564073"/>
      <w:r/>
      <w:bookmarkStart w:id="142" w:name="_Toc513029214"/>
      <w:r/>
      <w:bookmarkStart w:id="143" w:name="_Toc163508359"/>
      <w:r/>
      <w:bookmarkStart w:id="144" w:name="_Toc20823286"/>
      <w:r/>
      <w:bookmarkStart w:id="145" w:name="_Toc163508284"/>
      <w:r/>
      <w:bookmarkStart w:id="146" w:name="_Toc192239087"/>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462564074"/>
      <w:r/>
      <w:bookmarkStart w:id="148" w:name="_Toc163508360"/>
      <w:r/>
      <w:bookmarkStart w:id="149" w:name="_Toc513029215"/>
      <w:r/>
      <w:bookmarkStart w:id="150" w:name="_Toc16938531"/>
      <w:r/>
      <w:bookmarkStart w:id="151" w:name="_Toc163508285"/>
      <w:r/>
      <w:bookmarkStart w:id="152" w:name="_Toc20823287"/>
      <w:r/>
      <w:bookmarkStart w:id="153" w:name="_Toc192239088"/>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954838"/>
      <w:r/>
      <w:bookmarkStart w:id="155" w:name="_Hlt26668975"/>
      <w:r/>
      <w:bookmarkStart w:id="156" w:name="_Hlt26670360"/>
      <w:r/>
      <w:bookmarkStart w:id="157" w:name="_Toc163508286"/>
      <w:r/>
      <w:bookmarkStart w:id="158" w:name="_Toc513029219"/>
      <w:r/>
      <w:bookmarkStart w:id="159" w:name="_Toc163508361"/>
      <w:r/>
      <w:bookmarkStart w:id="160" w:name="_Toc49090509"/>
      <w:r/>
      <w:bookmarkStart w:id="161" w:name="_Toc14577357"/>
      <w:r/>
      <w:bookmarkStart w:id="162" w:name="_Toc192239089"/>
      <w:r/>
      <w:bookmarkStart w:id="163" w:name="_Toc49090507"/>
      <w:r/>
      <w:bookmarkStart w:id="164" w:name="_Toc513029216"/>
      <w:r/>
      <w:bookmarkStart w:id="165" w:name="_Toc14577354"/>
      <w:r/>
      <w:bookmarkStart w:id="166" w:name="_Toc49090508"/>
      <w:r/>
      <w:bookmarkStart w:id="167" w:name="_Toc14577355"/>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287"/>
      <w:r/>
      <w:bookmarkStart w:id="169" w:name="_Toc163508362"/>
      <w:r/>
      <w:bookmarkStart w:id="170" w:name="_Toc192239090"/>
      <w:r/>
      <w:bookmarkEnd w:id="166"/>
      <w:r/>
      <w:bookmarkEnd w:id="167"/>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192239091"/>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954848"/>
      <w:r/>
      <w:bookmarkStart w:id="175" w:name="_Hlt26670482"/>
      <w:r/>
      <w:bookmarkStart w:id="176" w:name="_Hlt26670486"/>
      <w:r/>
      <w:bookmarkStart w:id="177" w:name="_Hlt26954731"/>
      <w:r/>
      <w:bookmarkStart w:id="178" w:name="_Hlt26954846"/>
      <w:r/>
      <w:bookmarkStart w:id="179" w:name="_Toc163508289"/>
      <w:r/>
      <w:bookmarkStart w:id="180" w:name="_Toc163508364"/>
      <w:r/>
      <w:bookmarkStart w:id="181" w:name="_Toc192239092"/>
      <w:r/>
      <w:bookmarkStart w:id="182" w:name="_Hlk155763835"/>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2"/>
      <w:r/>
      <w:r/>
    </w:p>
    <w:p>
      <w:pPr>
        <w:ind w:firstLine="420"/>
        <w:rPr>
          <w:rFonts w:ascii="宋体" w:hAnsi="宋体" w:eastAsia="宋体" w:cs="Arial"/>
          <w:color w:val="000000"/>
          <w:sz w:val="28"/>
          <w:szCs w:val="28"/>
        </w:rPr>
        <w:outlineLvl w:val="2"/>
      </w:pPr>
      <w:r/>
      <w:bookmarkStart w:id="183" w:name="_Toc163508365"/>
      <w:r/>
      <w:bookmarkStart w:id="184" w:name="_Toc163508290"/>
      <w:r/>
      <w:bookmarkStart w:id="185" w:name="_Toc192239093"/>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291"/>
      <w:r/>
      <w:bookmarkStart w:id="189" w:name="_Toc163508366"/>
      <w:r/>
      <w:bookmarkStart w:id="190" w:name="_Toc192239094"/>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63508292"/>
      <w:r/>
      <w:bookmarkStart w:id="192" w:name="_Toc49090511"/>
      <w:r/>
      <w:bookmarkStart w:id="193" w:name="_Toc163508367"/>
      <w:r/>
      <w:bookmarkStart w:id="194" w:name="_Toc14577360"/>
      <w:r/>
      <w:bookmarkStart w:id="195" w:name="_Toc192239095"/>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w:t>
      </w:r>
      <w:r>
        <w:rPr>
          <w:rFonts w:hint="eastAsia" w:ascii="宋体" w:hAnsi="宋体" w:eastAsia="宋体" w:cs="Times New Roman"/>
          <w:bCs/>
          <w:color w:val="000000"/>
          <w:sz w:val="24"/>
          <w:szCs w:val="21"/>
        </w:rPr>
        <w:t xml:space="preserve">实质性响应招标文件而予以拒绝。</w:t>
      </w:r>
      <w:r/>
    </w:p>
    <w:p>
      <w:pPr>
        <w:ind w:firstLine="420"/>
        <w:rPr>
          <w:rFonts w:ascii="宋体" w:hAnsi="宋体" w:eastAsia="宋体" w:cs="Arial"/>
          <w:color w:val="000000"/>
          <w:sz w:val="28"/>
          <w:szCs w:val="28"/>
        </w:rPr>
        <w:outlineLvl w:val="2"/>
      </w:pPr>
      <w:r/>
      <w:bookmarkStart w:id="196" w:name="_Toc163508293"/>
      <w:r/>
      <w:bookmarkStart w:id="197" w:name="_Toc163508368"/>
      <w:r/>
      <w:bookmarkStart w:id="198" w:name="_Toc192239096"/>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20823296"/>
      <w:r/>
      <w:bookmarkStart w:id="202" w:name="_Toc16938540"/>
      <w:r/>
      <w:bookmarkStart w:id="203" w:name="_Toc163508294"/>
      <w:r/>
      <w:bookmarkStart w:id="204" w:name="_Toc513029224"/>
      <w:r/>
      <w:bookmarkStart w:id="205" w:name="_Toc120614217"/>
      <w:r/>
      <w:bookmarkStart w:id="206" w:name="_Toc163508369"/>
      <w:r/>
      <w:bookmarkStart w:id="207" w:name="_Toc192239097"/>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462564084"/>
      <w:r/>
      <w:bookmarkStart w:id="209" w:name="_Toc16938541"/>
      <w:r/>
      <w:bookmarkStart w:id="210" w:name="_Toc513029225"/>
      <w:r/>
      <w:bookmarkStart w:id="211" w:name="_Toc20823297"/>
      <w:r/>
      <w:bookmarkStart w:id="212" w:name="_Toc163508370"/>
      <w:r/>
      <w:bookmarkStart w:id="213" w:name="_Toc163508295"/>
      <w:r/>
      <w:bookmarkStart w:id="214" w:name="_Toc192239098"/>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16938542"/>
      <w:r/>
      <w:bookmarkStart w:id="216" w:name="_Toc20823298"/>
      <w:r/>
      <w:bookmarkStart w:id="217" w:name="_Toc513029226"/>
      <w:r/>
      <w:r/>
    </w:p>
    <w:p>
      <w:pPr>
        <w:ind w:firstLine="420"/>
        <w:rPr>
          <w:rFonts w:ascii="宋体" w:hAnsi="宋体" w:eastAsia="宋体" w:cs="Arial"/>
          <w:color w:val="000000"/>
          <w:sz w:val="28"/>
          <w:szCs w:val="28"/>
        </w:rPr>
        <w:outlineLvl w:val="2"/>
      </w:pPr>
      <w:r/>
      <w:bookmarkStart w:id="218" w:name="_Toc163508371"/>
      <w:r/>
      <w:bookmarkStart w:id="219" w:name="_Toc163508296"/>
      <w:r/>
      <w:bookmarkStart w:id="220" w:name="_Toc192239099"/>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16938543"/>
      <w:r/>
      <w:bookmarkStart w:id="222" w:name="_Toc513029227"/>
      <w:r/>
      <w:bookmarkStart w:id="223" w:name="_Toc20823299"/>
      <w:r/>
      <w:bookmarkStart w:id="224" w:name="_Toc163508372"/>
      <w:r/>
      <w:bookmarkStart w:id="225" w:name="_Toc163508297"/>
      <w:r/>
      <w:bookmarkStart w:id="226" w:name="_Toc192239100"/>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163508298"/>
      <w:r/>
      <w:bookmarkStart w:id="228" w:name="_Toc163508373"/>
      <w:r/>
      <w:bookmarkStart w:id="229" w:name="_Toc513029228"/>
      <w:r/>
      <w:bookmarkStart w:id="230" w:name="_Toc20823300"/>
      <w:r/>
      <w:bookmarkStart w:id="231" w:name="_Toc16938544"/>
      <w:r/>
      <w:bookmarkStart w:id="232" w:name="_Toc192239101"/>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63508374"/>
      <w:r/>
      <w:bookmarkStart w:id="234" w:name="_Toc16938545"/>
      <w:r/>
      <w:bookmarkStart w:id="235" w:name="_Toc163508299"/>
      <w:r/>
      <w:bookmarkStart w:id="236" w:name="_Toc20823301"/>
      <w:r/>
      <w:bookmarkStart w:id="237" w:name="_Toc513029229"/>
      <w:r/>
      <w:bookmarkStart w:id="238" w:name="_Toc120614218"/>
      <w:r/>
      <w:bookmarkStart w:id="239" w:name="_Toc192239102"/>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3508375"/>
      <w:r/>
      <w:bookmarkStart w:id="241" w:name="_Toc513029230"/>
      <w:r/>
      <w:bookmarkStart w:id="242" w:name="_Toc20823302"/>
      <w:r/>
      <w:bookmarkStart w:id="243" w:name="_Toc16938546"/>
      <w:r/>
      <w:bookmarkStart w:id="244" w:name="_Toc163508300"/>
      <w:r/>
      <w:bookmarkStart w:id="245" w:name="_Toc192239103"/>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192239104"/>
      <w:r/>
      <w:bookmarkStart w:id="249" w:name="_Toc513029231"/>
      <w:r/>
      <w:bookmarkStart w:id="250" w:name="_Toc20823303"/>
      <w:r/>
      <w:bookmarkStart w:id="251" w:name="_Toc16938547"/>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48"/>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19223910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3508303"/>
      <w:r/>
      <w:bookmarkStart w:id="256" w:name="_Toc20823304"/>
      <w:r/>
      <w:bookmarkStart w:id="257" w:name="_Toc163508378"/>
      <w:r/>
      <w:bookmarkStart w:id="258" w:name="_Toc16938548"/>
      <w:r/>
      <w:bookmarkStart w:id="259" w:name="_Toc513029232"/>
      <w:r/>
      <w:bookmarkStart w:id="260" w:name="_Toc19223910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20823305"/>
      <w:r/>
      <w:bookmarkStart w:id="262" w:name="_Toc16938549"/>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04"/>
      <w:r/>
      <w:bookmarkStart w:id="265" w:name="_Toc163508379"/>
      <w:r/>
      <w:bookmarkStart w:id="266" w:name="_Toc19223910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w:t>
      </w:r>
      <w:r>
        <w:rPr>
          <w:rFonts w:hint="eastAsia" w:ascii="宋体" w:hAnsi="宋体" w:eastAsia="宋体" w:cs="Times New Roman"/>
          <w:color w:val="000000"/>
          <w:sz w:val="24"/>
          <w:szCs w:val="24"/>
        </w:rPr>
        <w:t xml:space="preserve">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513029234"/>
      <w:r/>
      <w:bookmarkStart w:id="268" w:name="_Toc16938550"/>
      <w:r/>
      <w:bookmarkStart w:id="269"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05"/>
      <w:r/>
      <w:bookmarkStart w:id="271" w:name="_Toc163508380"/>
      <w:r/>
      <w:bookmarkStart w:id="272" w:name="_Toc19223910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20823307"/>
      <w:r/>
      <w:bookmarkStart w:id="274" w:name="_Toc513029235"/>
      <w:r/>
      <w:bookmarkStart w:id="275"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.2.1符合专业条件的供应商或者对招标文件作实质响应的供应商不足三家的。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63508306"/>
      <w:r/>
      <w:bookmarkStart w:id="277" w:name="_Toc120614219"/>
      <w:r/>
      <w:bookmarkStart w:id="278" w:name="_Toc163508381"/>
      <w:r/>
      <w:bookmarkStart w:id="279" w:name="_Toc192239109"/>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20823310"/>
      <w:r/>
      <w:bookmarkStart w:id="282" w:name="_Toc16938554"/>
      <w:r/>
      <w:bookmarkStart w:id="283" w:name="_Toc163508307"/>
      <w:r/>
      <w:bookmarkStart w:id="284" w:name="_Toc163508382"/>
      <w:r/>
      <w:bookmarkStart w:id="285" w:name="_Toc192239110"/>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4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spacing w:line="440" w:lineRule="exact"/>
        <w:rPr>
          <w:rFonts w:ascii="宋体" w:hAnsi="宋体" w:eastAsia="宋体" w:cs="Arial"/>
          <w:color w:val="000000"/>
          <w:sz w:val="28"/>
          <w:szCs w:val="28"/>
        </w:rPr>
        <w:outlineLvl w:val="2"/>
      </w:pPr>
      <w:r/>
      <w:bookmarkStart w:id="287" w:name="_Toc163508383"/>
      <w:r/>
      <w:bookmarkStart w:id="288" w:name="_Toc163508308"/>
      <w:r/>
      <w:bookmarkStart w:id="289" w:name="_Toc192239111"/>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必要的证明材料与质疑函一起递交，否则不予受理。</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4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4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4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4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spacing w:line="440" w:lineRule="exact"/>
        <w:rPr>
          <w:rFonts w:ascii="宋体" w:hAnsi="宋体" w:eastAsia="宋体" w:cs="Arial"/>
          <w:color w:val="000000"/>
          <w:sz w:val="28"/>
          <w:szCs w:val="28"/>
        </w:rPr>
        <w:outlineLvl w:val="2"/>
      </w:pPr>
      <w:r/>
      <w:bookmarkStart w:id="291" w:name="_Toc163508309"/>
      <w:r/>
      <w:bookmarkStart w:id="292" w:name="_Toc163508384"/>
      <w:r/>
      <w:bookmarkStart w:id="293" w:name="_Toc19223911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4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40" w:lineRule="exact"/>
        <w:rPr>
          <w:rFonts w:ascii="Times New Roman" w:hAnsi="Times New Roman" w:eastAsia="宋体" w:cs="Times New Roman"/>
          <w:b/>
          <w:bCs/>
          <w:color w:val="000000"/>
          <w:sz w:val="28"/>
          <w:szCs w:val="28"/>
        </w:rPr>
        <w:outlineLvl w:val="1"/>
      </w:pPr>
      <w:r/>
      <w:bookmarkStart w:id="294" w:name="_Toc163508385"/>
      <w:r/>
      <w:bookmarkStart w:id="295" w:name="_Toc120614220"/>
      <w:r/>
      <w:bookmarkStart w:id="296" w:name="_Toc163508310"/>
      <w:r/>
      <w:bookmarkStart w:id="297" w:name="_Toc192239113"/>
      <w:r/>
      <w:bookmarkStart w:id="298" w:name="_Toc513029236"/>
      <w:r/>
      <w:bookmarkStart w:id="299" w:name="_Toc20823308"/>
      <w:r/>
      <w:bookmarkStart w:id="300" w:name="_Toc16938552"/>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297"/>
      <w:r/>
      <w:r/>
    </w:p>
    <w:p>
      <w:pPr>
        <w:ind w:firstLine="420"/>
        <w:spacing w:line="440" w:lineRule="exact"/>
        <w:rPr>
          <w:rFonts w:ascii="宋体" w:hAnsi="宋体" w:eastAsia="宋体" w:cs="Arial"/>
          <w:color w:val="000000"/>
          <w:sz w:val="28"/>
          <w:szCs w:val="28"/>
        </w:rPr>
        <w:outlineLvl w:val="2"/>
      </w:pPr>
      <w:r/>
      <w:bookmarkStart w:id="301" w:name="_Toc163508311"/>
      <w:r/>
      <w:bookmarkStart w:id="302" w:name="_Toc163508386"/>
      <w:r/>
      <w:bookmarkStart w:id="303" w:name="_Toc192239114"/>
      <w:r/>
      <w:bookmarkStart w:id="304" w:name="_Toc513029237"/>
      <w:r/>
      <w:bookmarkStart w:id="305" w:name="_Toc16938553"/>
      <w:r/>
      <w:bookmarkStart w:id="306" w:name="_Toc20823309"/>
      <w:r/>
      <w:bookmarkEnd w:id="298"/>
      <w:r/>
      <w:bookmarkEnd w:id="299"/>
      <w:r/>
      <w:bookmarkEnd w:id="30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3"/>
      <w:r/>
      <w:r/>
    </w:p>
    <w:p>
      <w:pPr>
        <w:ind w:firstLine="600"/>
        <w:spacing w:line="44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4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w:t>
      </w:r>
      <w:r/>
    </w:p>
    <w:p>
      <w:pPr>
        <w:ind w:firstLine="420"/>
        <w:spacing w:line="440" w:lineRule="exact"/>
        <w:rPr>
          <w:rFonts w:ascii="宋体" w:hAnsi="宋体" w:eastAsia="宋体" w:cs="Arial"/>
          <w:color w:val="000000"/>
          <w:sz w:val="28"/>
          <w:szCs w:val="28"/>
        </w:rPr>
        <w:outlineLvl w:val="2"/>
      </w:pPr>
      <w:r/>
      <w:bookmarkStart w:id="307" w:name="_Toc163508387"/>
      <w:r/>
      <w:bookmarkStart w:id="308" w:name="_Toc163508312"/>
      <w:r/>
      <w:bookmarkStart w:id="309" w:name="_Toc19223911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spacing w:line="440" w:lineRule="exact"/>
        <w:rPr>
          <w:rFonts w:ascii="宋体" w:hAnsi="宋体" w:eastAsia="宋体" w:cs="Arial"/>
          <w:color w:val="000000"/>
          <w:sz w:val="28"/>
          <w:szCs w:val="28"/>
        </w:rPr>
        <w:outlineLvl w:val="2"/>
      </w:pPr>
      <w:r/>
      <w:bookmarkStart w:id="310" w:name="_Toc163508388"/>
      <w:r/>
      <w:bookmarkStart w:id="311" w:name="_Toc163508313"/>
      <w:r/>
      <w:bookmarkStart w:id="312" w:name="_Toc192239116"/>
      <w:r/>
      <w:bookmarkStart w:id="313" w:name="_Toc479757207"/>
      <w:r/>
      <w:bookmarkStart w:id="314" w:name="_Toc120614221"/>
      <w:r/>
      <w:bookmarkStart w:id="315" w:name="_Toc513029242"/>
      <w:r/>
      <w:bookmarkStart w:id="316" w:name="_Toc20823314"/>
      <w:r/>
      <w:bookmarkStart w:id="317" w:name="_Toc16938558"/>
      <w:r/>
      <w:bookmarkEnd w:id="304"/>
      <w:r/>
      <w:bookmarkEnd w:id="305"/>
      <w:r/>
      <w:bookmarkEnd w:id="3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2"/>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bookmarkStart w:id="318" w:name="_Toc163508314"/>
      <w:r/>
      <w:bookmarkStart w:id="319" w:name="_Toc163508389"/>
      <w:r/>
      <w:bookmarkStart w:id="320" w:name="_Toc192239117"/>
      <w:r/>
      <w:r/>
    </w:p>
    <w:p>
      <w:pPr>
        <w:jc w:val="left"/>
        <w:widowControl/>
        <w:rPr>
          <w:rFonts w:ascii="宋体" w:hAnsi="宋体" w:eastAsia="宋体" w:cs="Times New Roman"/>
          <w:color w:val="000000"/>
          <w:sz w:val="24"/>
          <w:szCs w:val="24"/>
        </w:rPr>
      </w:pPr>
      <w:r>
        <w:rPr>
          <w:rFonts w:ascii="宋体" w:hAnsi="宋体" w:eastAsia="宋体" w:cs="Times New Roman"/>
          <w:color w:val="000000"/>
          <w:sz w:val="24"/>
          <w:szCs w:val="24"/>
        </w:rPr>
        <w:br w:type="page" w:clear="all"/>
      </w:r>
      <w:r/>
    </w:p>
    <w:p>
      <w:pPr>
        <w:jc w:val="center"/>
        <w:keepNext/>
        <w:spacing w:line="440" w:lineRule="exact"/>
        <w:tabs>
          <w:tab w:val="left" w:pos="200" w:leader="none"/>
        </w:tabs>
        <w:rPr>
          <w:rFonts w:ascii="Times New Roman" w:hAnsi="宋体" w:eastAsia="宋体" w:cs="Times New Roman"/>
          <w:b/>
          <w:sz w:val="36"/>
          <w:szCs w:val="20"/>
        </w:rPr>
        <w:outlineLvl w:val="0"/>
      </w:pPr>
      <w:r>
        <w:rPr>
          <w:rFonts w:hint="eastAsia" w:ascii="Times New Roman" w:hAnsi="宋体" w:eastAsia="宋体" w:cs="Times New Roman"/>
          <w:b/>
          <w:sz w:val="36"/>
          <w:szCs w:val="20"/>
        </w:rPr>
        <w:t xml:space="preserve">第三章</w:t>
      </w:r>
      <w:r>
        <w:rPr>
          <w:rFonts w:hint="eastAsia" w:ascii="Times New Roman" w:hAnsi="宋体" w:eastAsia="宋体" w:cs="Times New Roman"/>
          <w:b/>
          <w:sz w:val="36"/>
          <w:szCs w:val="20"/>
        </w:rPr>
        <w:t xml:space="preserve">  </w:t>
      </w:r>
      <w:r>
        <w:rPr>
          <w:rFonts w:hint="eastAsia" w:ascii="Times New Roman" w:hAnsi="宋体" w:eastAsia="宋体" w:cs="Times New Roman"/>
          <w:b/>
          <w:sz w:val="36"/>
          <w:szCs w:val="20"/>
        </w:rPr>
        <w:t xml:space="preserve">合同</w:t>
      </w:r>
      <w:bookmarkEnd w:id="313"/>
      <w:r/>
      <w:bookmarkEnd w:id="314"/>
      <w:r/>
      <w:bookmarkEnd w:id="315"/>
      <w:r/>
      <w:bookmarkEnd w:id="316"/>
      <w:r/>
      <w:bookmarkEnd w:id="317"/>
      <w:r>
        <w:rPr>
          <w:rFonts w:hint="eastAsia" w:ascii="Times New Roman" w:hAnsi="宋体" w:eastAsia="宋体" w:cs="Times New Roman"/>
          <w:b/>
          <w:sz w:val="36"/>
          <w:szCs w:val="20"/>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rPr>
          <w:rFonts w:hint="eastAsia" w:ascii="宋体" w:hAnsi="宋体" w:eastAsia="宋体" w:cs="宋体"/>
          <w:bCs/>
          <w:color w:val="000000"/>
          <w:sz w:val="36"/>
          <w:szCs w:val="36"/>
        </w:rPr>
        <w:t xml:space="preserve">常熟市政府采购服务合同</w:t>
      </w:r>
      <w:r/>
    </w:p>
    <w:p>
      <w:pPr>
        <w:ind w:left="7228" w:right="480"/>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ind w:left="7228" w:right="480"/>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2025年度市级信息化建设和运维统筹服务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JSZC-320581-SZJZ-G2025-0001</w:t>
      </w:r>
      <w:r>
        <w:rPr>
          <w:rFonts w:hint="eastAsia" w:ascii="宋体" w:hAnsi="宋体" w:eastAsia="宋体" w:cs="宋体"/>
          <w:bCs/>
          <w:color w:val="000000"/>
          <w:sz w:val="24"/>
          <w:szCs w:val="24"/>
        </w:rPr>
        <w:t xml:space="preserve">）政府采购结果签订本合同。</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w:t>
      </w:r>
      <w:r>
        <w:rPr>
          <w:rFonts w:hint="eastAsia" w:ascii="Calibri" w:hAnsi="Calibri" w:eastAsia="宋体" w:cs="Times New Roman"/>
          <w:sz w:val="24"/>
          <w:szCs w:val="24"/>
        </w:rPr>
        <w:t xml:space="preserve">常熟市数据局</w:t>
      </w:r>
      <w:r>
        <w:rPr>
          <w:rFonts w:hint="eastAsia" w:ascii="宋体" w:hAnsi="宋体" w:eastAsia="宋体" w:cs="宋体"/>
          <w:bCs/>
          <w:color w:val="000000"/>
          <w:sz w:val="24"/>
          <w:szCs w:val="24"/>
        </w:rPr>
        <w:t xml:space="preserve">。</w:t>
      </w:r>
      <w:r/>
    </w:p>
    <w:p>
      <w:pPr>
        <w:ind w:right="-27" w:firstLine="50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2025年度市级信息化建设和运维统筹服务</w:t>
      </w:r>
      <w:r>
        <w:rPr>
          <w:rFonts w:hint="eastAsia" w:ascii="宋体" w:hAnsi="宋体" w:eastAsia="宋体" w:cs="宋体"/>
          <w:bCs/>
          <w:color w:val="000000"/>
          <w:sz w:val="24"/>
          <w:szCs w:val="24"/>
        </w:rPr>
        <w:t xml:space="preserve">及相关工作。</w:t>
      </w:r>
      <w:r/>
    </w:p>
    <w:p>
      <w:pPr>
        <w:ind w:right="-27" w:firstLine="50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8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①中标通知书；</w:t>
      </w:r>
      <w:r/>
    </w:p>
    <w:p>
      <w:pPr>
        <w:ind w:right="-27" w:firstLine="480"/>
        <w:spacing w:line="48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②招标文件（以下统称“采购文件”）；</w:t>
      </w:r>
      <w:r/>
    </w:p>
    <w:p>
      <w:pPr>
        <w:ind w:right="-27" w:firstLine="480"/>
        <w:spacing w:line="48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w:t>
      </w:r>
      <w:r/>
    </w:p>
    <w:p>
      <w:pPr>
        <w:ind w:right="-27" w:firstLine="480"/>
        <w:spacing w:line="48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8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⑤双方签署的补充协议（如有）。</w:t>
      </w:r>
      <w:r/>
    </w:p>
    <w:p>
      <w:pPr>
        <w:ind w:right="-27" w:firstLine="480"/>
        <w:spacing w:line="480" w:lineRule="exact"/>
        <w:tabs>
          <w:tab w:val="left" w:pos="0" w:leader="none"/>
        </w:tabs>
        <w:rPr>
          <w:rFonts w:ascii="宋体" w:hAnsi="宋体" w:eastAsia="宋体" w:cs="Times New Roman"/>
          <w:color w:val="000000"/>
          <w:sz w:val="24"/>
          <w:szCs w:val="24"/>
        </w:rPr>
      </w:pPr>
      <w:r/>
      <w:bookmarkStart w:id="321"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8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1"/>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8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服务费用总金额为人民币</w:t>
      </w:r>
      <w:r>
        <w:rPr>
          <w:rFonts w:hint="eastAsia" w:ascii="宋体" w:hAnsi="宋体" w:eastAsia="宋体" w:cs="宋体"/>
          <w:bCs/>
          <w:color w:val="000000"/>
          <w:sz w:val="24"/>
          <w:szCs w:val="24"/>
          <w:u w:val="single"/>
        </w:rPr>
        <w:tab/>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元整（大写：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Times New Roman"/>
          <w:color w:val="000000"/>
          <w:sz w:val="24"/>
          <w:szCs w:val="24"/>
        </w:rPr>
        <w:t xml:space="preserve">本合同为固定总价合同</w:t>
      </w:r>
      <w:r>
        <w:rPr>
          <w:rFonts w:hint="eastAsia" w:ascii="宋体" w:hAnsi="宋体" w:eastAsia="宋体" w:cs="宋体"/>
          <w:bCs/>
          <w:color w:val="000000"/>
          <w:sz w:val="24"/>
          <w:szCs w:val="24"/>
        </w:rPr>
        <w:t xml:space="preserve">。</w:t>
      </w:r>
      <w:r/>
    </w:p>
    <w:p>
      <w:pPr>
        <w:ind w:right="-27" w:firstLine="482"/>
        <w:spacing w:line="48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 本项目合同款支付货币：（√）数字人民币，（√）传统实物人民币</w:t>
      </w:r>
      <w:r>
        <w:rPr>
          <w:rFonts w:hint="eastAsia" w:ascii="宋体" w:hAnsi="宋体" w:eastAsia="宋体" w:cs="宋体"/>
          <w:bCs/>
          <w:color w:val="000000"/>
          <w:sz w:val="24"/>
          <w:szCs w:val="24"/>
        </w:rPr>
        <w:t xml:space="preserve">。</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5.2 </w:t>
      </w:r>
      <w:r>
        <w:rPr>
          <w:rFonts w:hint="eastAsia" w:ascii="宋体" w:hAnsi="宋体" w:eastAsia="宋体" w:cs="宋体"/>
          <w:bCs/>
          <w:color w:val="000000"/>
          <w:sz w:val="24"/>
          <w:szCs w:val="24"/>
        </w:rPr>
        <w:t xml:space="preserve">合同签订生效后两个月内，甲方向</w:t>
      </w:r>
      <w:r>
        <w:rPr>
          <w:rFonts w:ascii="宋体" w:hAnsi="宋体" w:eastAsia="宋体" w:cs="宋体"/>
          <w:bCs/>
          <w:color w:val="000000"/>
          <w:sz w:val="24"/>
          <w:szCs w:val="24"/>
        </w:rPr>
        <w:t xml:space="preserve">乙方</w:t>
      </w:r>
      <w:r>
        <w:rPr>
          <w:rFonts w:hint="eastAsia" w:ascii="宋体" w:hAnsi="宋体" w:eastAsia="宋体" w:cs="宋体"/>
          <w:bCs/>
          <w:color w:val="000000"/>
          <w:sz w:val="24"/>
          <w:szCs w:val="24"/>
        </w:rPr>
        <w:t xml:space="preserve">支付预付款。</w:t>
      </w:r>
      <w:r/>
    </w:p>
    <w:p>
      <w:pPr>
        <w:ind w:right="-27" w:firstLine="72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5.2.1 </w:t>
      </w:r>
      <w:r>
        <w:rPr>
          <w:rFonts w:hint="eastAsia" w:ascii="宋体" w:hAnsi="宋体" w:eastAsia="宋体" w:cs="宋体"/>
          <w:bCs/>
          <w:color w:val="000000"/>
          <w:sz w:val="24"/>
          <w:szCs w:val="24"/>
        </w:rPr>
        <w:t xml:space="preserve">若中标价格不低于8350万元，预付款为5011.6万元。</w:t>
      </w:r>
      <w:r/>
    </w:p>
    <w:p>
      <w:pPr>
        <w:ind w:right="-27" w:firstLine="72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5</w:t>
      </w:r>
      <w:r>
        <w:rPr>
          <w:rFonts w:ascii="宋体" w:hAnsi="宋体" w:eastAsia="宋体" w:cs="宋体"/>
          <w:bCs/>
          <w:color w:val="000000"/>
          <w:sz w:val="24"/>
          <w:szCs w:val="24"/>
        </w:rPr>
        <w:t xml:space="preserve">.2.2 </w:t>
      </w:r>
      <w:r>
        <w:rPr>
          <w:rFonts w:hint="eastAsia" w:ascii="宋体" w:hAnsi="宋体" w:eastAsia="宋体" w:cs="宋体"/>
          <w:bCs/>
          <w:color w:val="000000"/>
          <w:sz w:val="24"/>
          <w:szCs w:val="24"/>
        </w:rPr>
        <w:t xml:space="preserve">若中标价格低于8350万元，预付款为合同金额的60%。</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5.3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服务周期完成之后，经</w:t>
      </w: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rPr>
        <w:t xml:space="preserve">验收合格</w:t>
      </w:r>
      <w:r>
        <w:rPr>
          <w:rFonts w:hint="eastAsia" w:ascii="宋体" w:hAnsi="宋体" w:eastAsia="宋体" w:cs="宋体"/>
          <w:bCs/>
          <w:color w:val="000000"/>
          <w:sz w:val="24"/>
          <w:szCs w:val="24"/>
        </w:rPr>
        <w:t xml:space="preserve">后两个月内，根据</w:t>
      </w: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rPr>
        <w:t xml:space="preserve">考核得分，</w:t>
      </w: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rPr>
        <w:t xml:space="preserve">向乙方</w:t>
      </w:r>
      <w:r>
        <w:rPr>
          <w:rFonts w:hint="eastAsia" w:ascii="宋体" w:hAnsi="宋体" w:eastAsia="宋体" w:cs="宋体"/>
          <w:bCs/>
          <w:color w:val="000000"/>
          <w:sz w:val="24"/>
          <w:szCs w:val="24"/>
        </w:rPr>
        <w:t xml:space="preserve">支付尾款。</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5.4</w:t>
      </w:r>
      <w:r>
        <w:rPr>
          <w:rFonts w:hint="eastAsia" w:ascii="宋体" w:hAnsi="宋体" w:eastAsia="宋体" w:cs="宋体"/>
          <w:bCs/>
          <w:color w:val="000000"/>
          <w:sz w:val="24"/>
          <w:szCs w:val="24"/>
        </w:rPr>
        <w:t xml:space="preserve"> 尾款=合同剩余金额-考核扣款。</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w:t>
      </w:r>
      <w:r>
        <w:rPr>
          <w:rFonts w:hint="eastAsia" w:ascii="宋体" w:hAnsi="宋体" w:eastAsia="宋体" w:cs="宋体"/>
          <w:b/>
          <w:bCs/>
          <w:color w:val="000000"/>
          <w:sz w:val="24"/>
          <w:szCs w:val="24"/>
        </w:rPr>
        <w:t xml:space="preserve">验收</w:t>
      </w:r>
      <w:r>
        <w:rPr>
          <w:rFonts w:ascii="宋体" w:hAnsi="宋体" w:eastAsia="宋体" w:cs="宋体"/>
          <w:b/>
          <w:bCs/>
          <w:color w:val="000000"/>
          <w:sz w:val="24"/>
          <w:szCs w:val="24"/>
        </w:rPr>
        <w:t xml:space="preserve">及</w:t>
      </w:r>
      <w:r>
        <w:rPr>
          <w:rFonts w:hint="eastAsia" w:ascii="宋体" w:hAnsi="宋体" w:eastAsia="宋体" w:cs="宋体"/>
          <w:b/>
          <w:bCs/>
          <w:color w:val="000000"/>
          <w:sz w:val="24"/>
          <w:szCs w:val="24"/>
        </w:rPr>
        <w:t xml:space="preserve">考核办法</w:t>
      </w:r>
      <w:r/>
    </w:p>
    <w:p>
      <w:pPr>
        <w:ind w:right="-27" w:firstLine="480"/>
        <w:spacing w:line="480" w:lineRule="exact"/>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w:t>
      </w:r>
      <w:r>
        <w:rPr>
          <w:rFonts w:hint="eastAsia" w:ascii="宋体" w:hAnsi="宋体" w:eastAsia="宋体" w:cs="Courier New"/>
          <w:sz w:val="24"/>
          <w:szCs w:val="24"/>
        </w:rPr>
        <w:t xml:space="preserve">验收</w:t>
      </w:r>
      <w:r>
        <w:rPr>
          <w:rFonts w:hint="eastAsia" w:ascii="宋体" w:hAnsi="宋体" w:eastAsia="宋体" w:cs="Courier New"/>
          <w:sz w:val="24"/>
          <w:szCs w:val="24"/>
        </w:rPr>
        <w:t xml:space="preserve">工作。</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Courier New"/>
          <w:sz w:val="24"/>
          <w:szCs w:val="24"/>
        </w:rPr>
        <w:t xml:space="preserve">考核</w:t>
      </w:r>
      <w:r>
        <w:rPr>
          <w:rFonts w:ascii="宋体" w:hAnsi="宋体" w:eastAsia="宋体" w:cs="Courier New"/>
          <w:sz w:val="24"/>
          <w:szCs w:val="24"/>
        </w:rPr>
        <w:t xml:space="preserve">办法详见</w:t>
      </w:r>
      <w:r>
        <w:rPr>
          <w:rFonts w:hint="eastAsia" w:ascii="宋体" w:hAnsi="宋体" w:eastAsia="宋体" w:cs="Courier New"/>
          <w:sz w:val="24"/>
          <w:szCs w:val="24"/>
        </w:rPr>
        <w:t xml:space="preserve">招标文件中的“服务考核”</w:t>
      </w:r>
      <w:r>
        <w:rPr>
          <w:rFonts w:ascii="宋体" w:hAnsi="宋体" w:eastAsia="宋体" w:cs="Courier New"/>
          <w:sz w:val="24"/>
          <w:szCs w:val="24"/>
        </w:rPr>
        <w:t xml:space="preserve">。</w:t>
      </w:r>
      <w:r/>
    </w:p>
    <w:p>
      <w:pPr>
        <w:ind w:right="-27" w:firstLine="482"/>
        <w:spacing w:line="48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乙方有权按照合同获得合同价款；乙方有权根据服务内容的需要，请求甲方在合理范围内予以配合。</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乙方应当及时响应甲方的服务需求，在甲方提出派员到场服务时，应当与甲方确定到场时间。甲方紧急服务需求时，乙方驻场</w:t>
      </w:r>
      <w:r>
        <w:rPr>
          <w:rFonts w:ascii="宋体" w:hAnsi="宋体" w:eastAsia="宋体" w:cs="宋体"/>
          <w:bCs/>
          <w:color w:val="000000"/>
          <w:sz w:val="24"/>
          <w:szCs w:val="24"/>
        </w:rPr>
        <w:t xml:space="preserve">或根据甲方需求</w:t>
      </w:r>
      <w:r>
        <w:rPr>
          <w:rFonts w:hint="eastAsia" w:ascii="宋体" w:hAnsi="宋体" w:eastAsia="宋体" w:cs="宋体"/>
          <w:bCs/>
          <w:color w:val="000000"/>
          <w:sz w:val="24"/>
          <w:szCs w:val="24"/>
        </w:rPr>
        <w:t xml:space="preserve">在</w:t>
      </w:r>
      <w:r>
        <w:rPr>
          <w:rFonts w:ascii="宋体" w:hAnsi="宋体" w:eastAsia="宋体" w:cs="宋体"/>
          <w:bCs/>
          <w:color w:val="000000"/>
          <w:sz w:val="24"/>
          <w:szCs w:val="24"/>
        </w:rPr>
        <w:t xml:space="preserve">规定时间内</w:t>
      </w:r>
      <w:r>
        <w:rPr>
          <w:rFonts w:hint="eastAsia" w:ascii="宋体" w:hAnsi="宋体" w:eastAsia="宋体" w:cs="宋体"/>
          <w:bCs/>
          <w:color w:val="000000"/>
          <w:sz w:val="24"/>
          <w:szCs w:val="24"/>
        </w:rPr>
        <w:t xml:space="preserve">派员到场。</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⑨乙方（及其服务人员）应对本合同内容、合同履行中所了解到的甲方的所有数据信息、文件资料等承担严格的保密义务，并签署保密协议，具体见《保密协议》。</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1有下列情形之一的，每发现一次乙方应当向甲方支付合同约定合同价款金额</w:t>
      </w:r>
      <w:r>
        <w:rPr>
          <w:rFonts w:ascii="宋体" w:hAnsi="宋体" w:eastAsia="宋体" w:cs="宋体"/>
          <w:bCs/>
          <w:color w:val="000000"/>
          <w:sz w:val="24"/>
          <w:szCs w:val="24"/>
          <w:u w:val="single"/>
        </w:rPr>
        <w:t xml:space="preserve">1</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0</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乙方人员不能响应甲方紧急服务需求的；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9.1.6 根据第七条乙方义务，乙方未按本合同规定提供相关服务或未能履行本合同规定的其他义务的。</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hint="eastAsia" w:ascii="宋体" w:hAnsi="宋体" w:eastAsia="宋体" w:cs="宋体"/>
          <w:bCs/>
          <w:color w:val="000000"/>
          <w:sz w:val="24"/>
          <w:szCs w:val="24"/>
          <w:u w:val="single"/>
        </w:rPr>
        <w:t xml:space="preserve">100</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8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出现下列情形之一的，甲方有权解除本合同，并按9.2款的约定要求乙方赔偿损失并支付违约金：</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w:t>
      </w:r>
      <w:r>
        <w:rPr>
          <w:rFonts w:ascii="宋体" w:hAnsi="宋体" w:eastAsia="宋体" w:cs="宋体"/>
          <w:bCs/>
          <w:color w:val="000000"/>
          <w:sz w:val="24"/>
          <w:szCs w:val="24"/>
        </w:rPr>
        <w:t xml:space="preserve">6</w:t>
      </w:r>
      <w:r>
        <w:rPr>
          <w:rFonts w:hint="eastAsia" w:ascii="宋体" w:hAnsi="宋体" w:eastAsia="宋体" w:cs="宋体"/>
          <w:bCs/>
          <w:color w:val="000000"/>
          <w:sz w:val="24"/>
          <w:szCs w:val="24"/>
        </w:rPr>
        <w:t xml:space="preserve">乙方一年内因生产安全事故受到行政处罚达到三次的，或者因为乙方发生生产安全事故、环境损害事故，给甲方造成重大不良影响的或导致甲方受到行政处罚的；</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10.7乙方将合同项下的权利义务部分或全部转让给第三方；</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10.8乙方不得将其合同项下的权利义务部分或全部转让给第三方。乙方发生9.2款所列违约行为达到二次及以上的。</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不可抗力，是指不能预见、不能避免并不能克服的客观情况，如战争、动乱、洪水、地震、风暴、政府政令等。</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8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8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不收取履约保证金</w:t>
      </w:r>
      <w:r>
        <w:rPr>
          <w:rFonts w:hint="eastAsia" w:ascii="宋体" w:hAnsi="宋体" w:eastAsia="宋体" w:cs="宋体"/>
          <w:bCs/>
          <w:color w:val="000000"/>
          <w:sz w:val="24"/>
          <w:szCs w:val="24"/>
        </w:rPr>
        <w:t xml:space="preserve">。</w:t>
      </w:r>
      <w:r/>
    </w:p>
    <w:p>
      <w:pPr>
        <w:ind w:right="-27" w:firstLine="540"/>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6.2如因乙方违约导致双方发生诉讼的，甲方由此产生的诉讼费用、保全担保费用、律师费用、差旅费用、公证费、鉴定费等，均由乙方承担。</w:t>
      </w:r>
      <w:r/>
    </w:p>
    <w:p>
      <w:pPr>
        <w:ind w:right="-27" w:firstLine="54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16.3 如因乙方违约导致甲方被第三方追究相关责任的，甲方有权就全部责任和损失向乙方追偿。</w:t>
      </w:r>
      <w:r/>
    </w:p>
    <w:p>
      <w:pPr>
        <w:ind w:right="-27" w:firstLine="540"/>
        <w:spacing w:line="48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任何一方改变前述联系信息的，应在发生变更后的3天内书面方式（信函或电子邮件）告知对方并做好通知到达对方前可能存在的邮件的接收工作。如未通知的，视为没有变更。</w:t>
      </w:r>
      <w:r/>
    </w:p>
    <w:p>
      <w:pPr>
        <w:ind w:right="-27" w:firstLine="482"/>
        <w:spacing w:line="48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8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合同在双方加盖公章且</w:t>
      </w:r>
      <w:r>
        <w:rPr>
          <w:rFonts w:hint="eastAsia" w:ascii="宋体" w:hAnsi="宋体" w:eastAsia="宋体" w:cs="Times New Roman"/>
          <w:b/>
          <w:color w:val="000000"/>
          <w:sz w:val="24"/>
          <w:szCs w:val="24"/>
        </w:rPr>
        <w:t xml:space="preserve">双方法定代表人签字后生效</w:t>
      </w:r>
      <w:r/>
    </w:p>
    <w:p>
      <w:pPr>
        <w:ind w:right="-27" w:firstLine="480"/>
        <w:spacing w:line="48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8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8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法定代表人（签字）：</w:t>
      </w:r>
      <w:r/>
    </w:p>
    <w:p>
      <w:pPr>
        <w:ind w:right="-27" w:firstLine="1320"/>
        <w:spacing w:line="48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年   月   日                        年   月   日</w:t>
      </w:r>
      <w:r/>
    </w:p>
    <w:p>
      <w:pPr>
        <w:ind w:right="-27" w:firstLine="13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r/>
      <w:r/>
    </w:p>
    <w:p>
      <w:pPr>
        <w:jc w:val="left"/>
        <w:widowControl/>
        <w:rPr>
          <w:rFonts w:ascii="宋体" w:hAnsi="宋体" w:eastAsia="宋体" w:cs="Times New Roman"/>
          <w:b/>
          <w:color w:val="000000"/>
          <w:sz w:val="44"/>
          <w:szCs w:val="44"/>
        </w:rPr>
      </w:pPr>
      <w:r>
        <w:rPr>
          <w:rFonts w:ascii="宋体" w:hAnsi="宋体" w:eastAsia="宋体" w:cs="Times New Roman"/>
          <w:b/>
          <w:color w:val="000000"/>
          <w:sz w:val="44"/>
          <w:szCs w:val="44"/>
        </w:rPr>
      </w:r>
      <w:r/>
    </w:p>
    <w:p>
      <w:pPr>
        <w:jc w:val="left"/>
        <w:widowControl/>
        <w:rPr>
          <w:rFonts w:ascii="Times New Roman" w:hAnsi="宋体" w:eastAsia="宋体" w:cs="Times New Roman"/>
          <w:b/>
          <w:sz w:val="36"/>
          <w:szCs w:val="20"/>
        </w:rPr>
      </w:pPr>
      <w:r/>
      <w:bookmarkStart w:id="322" w:name="_Hlt16619369"/>
      <w:r/>
      <w:bookmarkStart w:id="323" w:name="_Toc158691774"/>
      <w:r/>
      <w:bookmarkStart w:id="324" w:name="_Toc315868058"/>
      <w:r/>
      <w:bookmarkStart w:id="325" w:name="_Toc315875321"/>
      <w:r/>
      <w:bookmarkStart w:id="326" w:name="_Toc161043262"/>
      <w:r/>
      <w:bookmarkStart w:id="327" w:name="_Hlk162620263"/>
      <w:r/>
      <w:bookmarkStart w:id="328" w:name="_Toc26554093"/>
      <w:r/>
      <w:bookmarkStart w:id="329" w:name="_Toc120614281"/>
      <w:r/>
      <w:bookmarkStart w:id="330" w:name="_Toc49090575"/>
      <w:r/>
      <w:bookmarkStart w:id="331" w:name="_Toc462564139"/>
      <w:r/>
      <w:bookmarkStart w:id="332" w:name="_Toc479757211"/>
      <w:r/>
      <w:bookmarkEnd w:id="322"/>
      <w:r>
        <w:rPr>
          <w:rFonts w:ascii="Times New Roman" w:hAnsi="宋体" w:eastAsia="宋体" w:cs="Times New Roman"/>
          <w:b/>
          <w:sz w:val="36"/>
          <w:szCs w:val="20"/>
        </w:rPr>
        <w:br w:type="page" w:clear="all"/>
      </w:r>
      <w:r/>
    </w:p>
    <w:p>
      <w:pPr>
        <w:jc w:val="center"/>
        <w:keepNext/>
        <w:spacing w:line="440" w:lineRule="exact"/>
        <w:tabs>
          <w:tab w:val="left" w:pos="200" w:leader="none"/>
        </w:tabs>
        <w:rPr>
          <w:rFonts w:ascii="Times New Roman" w:hAnsi="宋体" w:eastAsia="宋体" w:cs="Times New Roman"/>
          <w:b/>
          <w:sz w:val="36"/>
          <w:szCs w:val="20"/>
        </w:rPr>
        <w:outlineLvl w:val="0"/>
      </w:pPr>
      <w:r/>
      <w:bookmarkStart w:id="333" w:name="_Toc192239118"/>
      <w:r>
        <w:rPr>
          <w:rFonts w:ascii="Times New Roman" w:hAnsi="宋体" w:eastAsia="宋体" w:cs="Times New Roman"/>
          <w:b/>
          <w:sz w:val="36"/>
          <w:szCs w:val="20"/>
        </w:rPr>
        <w:t xml:space="preserve">第</w:t>
      </w:r>
      <w:r>
        <w:rPr>
          <w:rFonts w:hint="eastAsia" w:ascii="Times New Roman" w:hAnsi="宋体" w:eastAsia="宋体" w:cs="Times New Roman"/>
          <w:b/>
          <w:sz w:val="36"/>
          <w:szCs w:val="20"/>
        </w:rPr>
        <w:t xml:space="preserve">四</w:t>
      </w:r>
      <w:r>
        <w:rPr>
          <w:rFonts w:ascii="Times New Roman" w:hAnsi="宋体" w:eastAsia="宋体" w:cs="Times New Roman"/>
          <w:b/>
          <w:sz w:val="36"/>
          <w:szCs w:val="20"/>
        </w:rPr>
        <w:t xml:space="preserve">章</w:t>
      </w:r>
      <w:r>
        <w:rPr>
          <w:rFonts w:ascii="Times New Roman" w:hAnsi="宋体" w:eastAsia="宋体" w:cs="Times New Roman"/>
          <w:b/>
          <w:sz w:val="36"/>
          <w:szCs w:val="20"/>
        </w:rPr>
        <w:t xml:space="preserve">  </w:t>
      </w:r>
      <w:r>
        <w:rPr>
          <w:rFonts w:ascii="Times New Roman" w:hAnsi="宋体" w:eastAsia="宋体" w:cs="Times New Roman"/>
          <w:b/>
          <w:sz w:val="36"/>
          <w:szCs w:val="20"/>
        </w:rPr>
        <w:t xml:space="preserve">项目需求</w:t>
      </w:r>
      <w:bookmarkEnd w:id="323"/>
      <w:r/>
      <w:bookmarkEnd w:id="324"/>
      <w:r/>
      <w:bookmarkEnd w:id="325"/>
      <w:r/>
      <w:bookmarkEnd w:id="326"/>
      <w:r/>
      <w:bookmarkEnd w:id="333"/>
      <w:r/>
      <w:r/>
    </w:p>
    <w:p>
      <w:pPr>
        <w:spacing w:line="440" w:lineRule="exact"/>
        <w:rPr>
          <w:rFonts w:ascii="Times New Roman" w:hAnsi="Times New Roman" w:eastAsia="宋体" w:cs="Times New Roman"/>
          <w:b/>
          <w:bCs/>
          <w:sz w:val="28"/>
          <w:szCs w:val="20"/>
        </w:rPr>
        <w:outlineLvl w:val="1"/>
      </w:pPr>
      <w:r/>
      <w:bookmarkStart w:id="334" w:name="_Toc192239119"/>
      <w:r/>
      <w:bookmarkStart w:id="335" w:name="_Toc158691775"/>
      <w:r/>
      <w:bookmarkStart w:id="336" w:name="_Toc511680876"/>
      <w:r/>
      <w:bookmarkStart w:id="337" w:name="_Toc315868059"/>
      <w:r/>
      <w:bookmarkStart w:id="338" w:name="_Toc315875322"/>
      <w:r/>
      <w:bookmarkStart w:id="339" w:name="_Toc315868060"/>
      <w:r/>
      <w:bookmarkStart w:id="340" w:name="_Toc315875323"/>
      <w:r/>
      <w:bookmarkStart w:id="341" w:name="_Toc158691776"/>
      <w:r>
        <w:rPr>
          <w:rFonts w:hint="eastAsia" w:ascii="Times New Roman" w:hAnsi="Times New Roman" w:eastAsia="宋体" w:cs="Times New Roman"/>
          <w:b/>
          <w:bCs/>
          <w:sz w:val="28"/>
          <w:szCs w:val="20"/>
        </w:rPr>
        <w:t xml:space="preserve">一、项目说明：</w:t>
      </w:r>
      <w:bookmarkEnd w:id="334"/>
      <w:r/>
      <w:r/>
    </w:p>
    <w:p>
      <w:pPr>
        <w:ind w:firstLine="480"/>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rPr>
          <w:rFonts w:hint="eastAsia" w:ascii="Times New Roman" w:hAnsi="Times New Roman" w:eastAsia="宋体" w:cs="Times New Roman"/>
          <w:bCs/>
          <w:sz w:val="24"/>
          <w:szCs w:val="24"/>
        </w:rPr>
        <w:t xml:space="preserve">、项目简介：为全面推动我市数字化建设，强化统筹思维，推动政府数字化转型、政务系统集约建设、资源合理利用，开展我市</w:t>
      </w:r>
      <w:r>
        <w:rPr>
          <w:rFonts w:hint="eastAsia" w:ascii="Times New Roman" w:hAnsi="Times New Roman" w:eastAsia="宋体" w:cs="Times New Roman"/>
          <w:bCs/>
          <w:sz w:val="24"/>
          <w:szCs w:val="24"/>
        </w:rPr>
        <w:t xml:space="preserve">2025</w:t>
      </w:r>
      <w:r>
        <w:rPr>
          <w:rFonts w:hint="eastAsia" w:ascii="Times New Roman" w:hAnsi="Times New Roman" w:eastAsia="宋体" w:cs="Times New Roman"/>
          <w:bCs/>
          <w:sz w:val="24"/>
          <w:szCs w:val="24"/>
        </w:rPr>
        <w:t xml:space="preserve">年度市级信息化建设和运维统筹服务项目采购。项目主要内容包含：对市级各部门提出</w:t>
      </w:r>
      <w:r>
        <w:rPr>
          <w:rFonts w:hint="eastAsia" w:ascii="Times New Roman" w:hAnsi="Times New Roman" w:eastAsia="宋体" w:cs="Times New Roman"/>
          <w:bCs/>
          <w:sz w:val="24"/>
          <w:szCs w:val="24"/>
        </w:rPr>
        <w:t xml:space="preserve">2025</w:t>
      </w:r>
      <w:r>
        <w:rPr>
          <w:rFonts w:hint="eastAsia" w:ascii="Times New Roman" w:hAnsi="Times New Roman" w:eastAsia="宋体" w:cs="Times New Roman"/>
          <w:bCs/>
          <w:sz w:val="24"/>
          <w:szCs w:val="24"/>
        </w:rPr>
        <w:t xml:space="preserve">年度信息化需求提供统筹集成实施服务，以及涉及全市</w:t>
      </w:r>
      <w:r>
        <w:rPr>
          <w:rFonts w:hint="eastAsia" w:ascii="Times New Roman" w:hAnsi="Times New Roman" w:eastAsia="宋体" w:cs="Times New Roman"/>
          <w:bCs/>
          <w:sz w:val="24"/>
          <w:szCs w:val="24"/>
        </w:rPr>
        <w:t xml:space="preserve">37</w:t>
      </w:r>
      <w:r>
        <w:rPr>
          <w:rFonts w:hint="eastAsia" w:ascii="Times New Roman" w:hAnsi="Times New Roman" w:eastAsia="宋体" w:cs="Times New Roman"/>
          <w:bCs/>
          <w:sz w:val="24"/>
          <w:szCs w:val="24"/>
        </w:rPr>
        <w:t xml:space="preserve">个部门（使用单位）提出的信息化有关的系统、硬件、线路、云资源等方面的信息化运行维护支撑</w:t>
      </w:r>
      <w:r>
        <w:rPr>
          <w:rFonts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w:t>
      </w:r>
      <w:r>
        <w:rPr>
          <w:rFonts w:ascii="Times New Roman" w:hAnsi="Times New Roman" w:eastAsia="宋体" w:cs="Times New Roman"/>
          <w:sz w:val="24"/>
          <w:szCs w:val="24"/>
        </w:rPr>
        <w:t xml:space="preserve">为充分了解项目现场实际情况，</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认为需要对项目现场进行踏勘的，可与采购人联系或咨询。</w:t>
      </w:r>
      <w:r>
        <w:rPr>
          <w:rFonts w:hint="eastAsia" w:ascii="宋体" w:hAnsi="宋体" w:eastAsia="宋体" w:cs="Times New Roman"/>
          <w:sz w:val="24"/>
          <w:szCs w:val="24"/>
        </w:rPr>
        <w:t xml:space="preserve">现场踏勘联系人：丁超，联系电话：</w:t>
      </w:r>
      <w:r>
        <w:rPr>
          <w:rFonts w:ascii="Times New Roman" w:hAnsi="Times New Roman" w:eastAsia="宋体" w:cs="Times New Roman"/>
          <w:sz w:val="24"/>
          <w:szCs w:val="24"/>
        </w:rPr>
        <w:t xml:space="preserve">0512-</w:t>
      </w:r>
      <w:r>
        <w:rPr>
          <w:rFonts w:hint="eastAsia" w:ascii="Times New Roman" w:hAnsi="Times New Roman" w:eastAsia="宋体" w:cs="Times New Roman"/>
          <w:sz w:val="24"/>
          <w:szCs w:val="24"/>
        </w:rPr>
        <w:t xml:space="preserve">52897750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采购人不负担因</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对项目现场情况考虑不周而产生的其他任何费用，咨询或踏勘时涉及到费用的，由</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自行承担。</w:t>
      </w:r>
      <w:r/>
    </w:p>
    <w:p>
      <w:pPr>
        <w:ind w:firstLine="480"/>
        <w:spacing w:line="440" w:lineRule="exact"/>
        <w:rPr>
          <w:rFonts w:ascii="Times New Roman" w:hAnsi="宋体" w:eastAsia="宋体" w:cs="Times New Roman"/>
          <w:sz w:val="24"/>
          <w:szCs w:val="21"/>
        </w:rPr>
      </w:pPr>
      <w:r>
        <w:rPr>
          <w:rFonts w:ascii="Times New Roman" w:hAnsi="Times New Roman" w:eastAsia="宋体" w:cs="Times New Roman"/>
          <w:bCs/>
          <w:sz w:val="24"/>
          <w:szCs w:val="24"/>
        </w:rPr>
        <w:t xml:space="preserve">3</w:t>
      </w:r>
      <w:r>
        <w:rPr>
          <w:rFonts w:ascii="Times New Roman" w:hAnsi="Times New Roman" w:eastAsia="宋体" w:cs="Times New Roman"/>
          <w:bCs/>
          <w:sz w:val="24"/>
          <w:szCs w:val="24"/>
        </w:rPr>
        <w:t xml:space="preserve">、项目地点：</w:t>
      </w:r>
      <w:r>
        <w:rPr>
          <w:rFonts w:hint="eastAsia" w:ascii="Times New Roman" w:hAnsi="Times New Roman" w:eastAsia="宋体" w:cs="Times New Roman"/>
          <w:bCs/>
          <w:sz w:val="24"/>
          <w:szCs w:val="24"/>
        </w:rPr>
        <w:t xml:space="preserve">常熟市</w:t>
      </w:r>
      <w:r>
        <w:rPr>
          <w:rFonts w:ascii="Times New Roman" w:hAnsi="Times New Roman" w:eastAsia="宋体" w:cs="Times New Roman"/>
          <w:bCs/>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4</w:t>
      </w:r>
      <w:r>
        <w:rPr>
          <w:rFonts w:ascii="Times New Roman" w:hAnsi="Times New Roman" w:eastAsia="宋体" w:cs="Times New Roman"/>
          <w:bCs/>
          <w:sz w:val="24"/>
          <w:szCs w:val="24"/>
        </w:rPr>
        <w:t xml:space="preserve">、服务期限：</w:t>
      </w:r>
      <w:r>
        <w:rPr>
          <w:rFonts w:hint="eastAsia" w:ascii="Calibri" w:hAnsi="Calibri" w:eastAsia="宋体" w:cs="Times New Roman"/>
          <w:color w:val="000000"/>
          <w:sz w:val="24"/>
          <w:szCs w:val="24"/>
        </w:rPr>
        <w:t xml:space="preserve">自合同生效之日起</w:t>
      </w:r>
      <w:r>
        <w:rPr>
          <w:rFonts w:hint="eastAsia" w:ascii="Times New Roman" w:hAnsi="Times New Roman" w:eastAsia="宋体" w:cs="Times New Roman"/>
          <w:sz w:val="24"/>
          <w:szCs w:val="24"/>
        </w:rPr>
        <w:t xml:space="preserve">至</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、付款方式：</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 </w:t>
      </w:r>
      <w:r>
        <w:rPr>
          <w:rFonts w:ascii="Times New Roman" w:hAnsi="Times New Roman" w:eastAsia="宋体" w:cs="Times New Roman"/>
          <w:i/>
          <w:sz w:val="24"/>
          <w:szCs w:val="24"/>
          <w:u w:val="single"/>
        </w:rPr>
        <w:t xml:space="preserve">本项目合同款支付货币：（</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）数字人民币，（</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）传统实物人民币</w:t>
      </w:r>
      <w:r>
        <w:rPr>
          <w:rFonts w:hint="eastAsia" w:ascii="Times New Roman" w:hAnsi="Times New Roman" w:eastAsia="宋体" w:cs="Times New Roman"/>
          <w:i/>
          <w:sz w:val="24"/>
          <w:szCs w:val="24"/>
          <w:u w:val="single"/>
        </w:rPr>
        <w:t xml:space="preserve">。</w:t>
      </w:r>
      <w:bookmarkStart w:id="342" w:name="_Hlk160633761"/>
      <w:r/>
      <w:bookmarkEnd w:id="342"/>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 </w:t>
      </w:r>
      <w:r>
        <w:rPr>
          <w:rFonts w:hint="eastAsia" w:ascii="Times New Roman" w:hAnsi="Times New Roman" w:eastAsia="宋体" w:cs="Times New Roman"/>
          <w:i/>
          <w:sz w:val="24"/>
          <w:szCs w:val="24"/>
          <w:u w:val="single"/>
        </w:rPr>
        <w:t xml:space="preserve">合同签订生效后两个月内，采购人向中标人支付预付款。</w:t>
      </w:r>
      <w:r/>
    </w:p>
    <w:p>
      <w:pPr>
        <w:ind w:firstLine="840"/>
        <w:jc w:val="left"/>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5.2.1 </w:t>
      </w:r>
      <w:r>
        <w:rPr>
          <w:rFonts w:hint="eastAsia" w:ascii="Times New Roman" w:hAnsi="Times New Roman" w:eastAsia="宋体" w:cs="Times New Roman"/>
          <w:i/>
          <w:sz w:val="24"/>
          <w:szCs w:val="24"/>
          <w:u w:val="single"/>
        </w:rPr>
        <w:t xml:space="preserve">若中标价格不低于</w:t>
      </w:r>
      <w:r>
        <w:rPr>
          <w:rFonts w:hint="eastAsia" w:ascii="Times New Roman" w:hAnsi="Times New Roman" w:eastAsia="宋体" w:cs="Times New Roman"/>
          <w:i/>
          <w:sz w:val="24"/>
          <w:szCs w:val="24"/>
          <w:u w:val="single"/>
        </w:rPr>
        <w:t xml:space="preserve">8350</w:t>
      </w:r>
      <w:r>
        <w:rPr>
          <w:rFonts w:hint="eastAsia" w:ascii="Times New Roman" w:hAnsi="Times New Roman" w:eastAsia="宋体" w:cs="Times New Roman"/>
          <w:i/>
          <w:sz w:val="24"/>
          <w:szCs w:val="24"/>
          <w:u w:val="single"/>
        </w:rPr>
        <w:t xml:space="preserve">万元，预付款为</w:t>
      </w:r>
      <w:r>
        <w:rPr>
          <w:rFonts w:hint="eastAsia" w:ascii="Times New Roman" w:hAnsi="Times New Roman" w:eastAsia="宋体" w:cs="Times New Roman"/>
          <w:i/>
          <w:sz w:val="24"/>
          <w:szCs w:val="24"/>
          <w:u w:val="single"/>
        </w:rPr>
        <w:t xml:space="preserve">5011.6</w:t>
      </w:r>
      <w:r>
        <w:rPr>
          <w:rFonts w:hint="eastAsia" w:ascii="Times New Roman" w:hAnsi="Times New Roman" w:eastAsia="宋体" w:cs="Times New Roman"/>
          <w:i/>
          <w:sz w:val="24"/>
          <w:szCs w:val="24"/>
          <w:u w:val="single"/>
        </w:rPr>
        <w:t xml:space="preserve">万元。</w:t>
      </w:r>
      <w:r/>
    </w:p>
    <w:p>
      <w:pPr>
        <w:ind w:firstLine="840"/>
        <w:jc w:val="left"/>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.2.2 </w:t>
      </w:r>
      <w:r>
        <w:rPr>
          <w:rFonts w:hint="eastAsia" w:ascii="Times New Roman" w:hAnsi="Times New Roman" w:eastAsia="宋体" w:cs="Times New Roman"/>
          <w:i/>
          <w:sz w:val="24"/>
          <w:szCs w:val="24"/>
          <w:u w:val="single"/>
        </w:rPr>
        <w:t xml:space="preserve">若中标价格低于</w:t>
      </w:r>
      <w:r>
        <w:rPr>
          <w:rFonts w:hint="eastAsia" w:ascii="Times New Roman" w:hAnsi="Times New Roman" w:eastAsia="宋体" w:cs="Times New Roman"/>
          <w:i/>
          <w:sz w:val="24"/>
          <w:szCs w:val="24"/>
          <w:u w:val="single"/>
        </w:rPr>
        <w:t xml:space="preserve">8350</w:t>
      </w:r>
      <w:r>
        <w:rPr>
          <w:rFonts w:hint="eastAsia" w:ascii="Times New Roman" w:hAnsi="Times New Roman" w:eastAsia="宋体" w:cs="Times New Roman"/>
          <w:i/>
          <w:sz w:val="24"/>
          <w:szCs w:val="24"/>
          <w:u w:val="single"/>
        </w:rPr>
        <w:t xml:space="preserve">万元，预付款为合同金额的</w:t>
      </w:r>
      <w:r>
        <w:rPr>
          <w:rFonts w:hint="eastAsia" w:ascii="Times New Roman" w:hAnsi="Times New Roman" w:eastAsia="宋体" w:cs="Times New Roman"/>
          <w:i/>
          <w:sz w:val="24"/>
          <w:szCs w:val="24"/>
          <w:u w:val="single"/>
        </w:rPr>
        <w:t xml:space="preserve">60%</w:t>
      </w:r>
      <w:r>
        <w:rPr>
          <w:rFonts w:hint="eastAsia" w:ascii="Times New Roman" w:hAnsi="Times New Roman" w:eastAsia="宋体" w:cs="Times New Roman"/>
          <w:i/>
          <w:sz w:val="24"/>
          <w:szCs w:val="24"/>
          <w:u w:val="single"/>
        </w:rPr>
        <w:t xml:space="preserve">。</w:t>
      </w:r>
      <w:r/>
    </w:p>
    <w:p>
      <w:pPr>
        <w:ind w:firstLine="600"/>
        <w:jc w:val="left"/>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5.3</w:t>
      </w:r>
      <w:r>
        <w:rPr>
          <w:rFonts w:hint="eastAsia"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服务周期完成之后，经</w:t>
      </w:r>
      <w:r>
        <w:rPr>
          <w:rFonts w:hint="eastAsia" w:ascii="Times New Roman" w:hAnsi="Times New Roman" w:eastAsia="宋体" w:cs="Times New Roman"/>
          <w:i/>
          <w:sz w:val="24"/>
          <w:szCs w:val="24"/>
          <w:u w:val="single"/>
        </w:rPr>
        <w:t xml:space="preserve">验收合格</w:t>
      </w:r>
      <w:r>
        <w:rPr>
          <w:rFonts w:hint="eastAsia" w:ascii="Times New Roman" w:hAnsi="Times New Roman" w:eastAsia="宋体" w:cs="Times New Roman"/>
          <w:i/>
          <w:sz w:val="24"/>
          <w:szCs w:val="24"/>
          <w:u w:val="single"/>
        </w:rPr>
        <w:t xml:space="preserve">后两个月内，根据中标人考核得分，采购人向中标人支付尾款。</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5.4</w:t>
      </w:r>
      <w:r>
        <w:rPr>
          <w:rFonts w:hint="eastAsia"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尾款</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合同剩余金额</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考核扣款。</w:t>
      </w:r>
      <w:r/>
    </w:p>
    <w:p>
      <w:pPr>
        <w:ind w:firstLine="600"/>
        <w:jc w:val="left"/>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5.5</w:t>
      </w:r>
      <w:r>
        <w:rPr>
          <w:rFonts w:hint="eastAsia"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本项目服务期考核办法详见本项目招标文件“服务考核”。</w:t>
      </w:r>
      <w:r/>
    </w:p>
    <w:p>
      <w:pPr>
        <w:spacing w:line="440" w:lineRule="exact"/>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注：（</w:t>
      </w:r>
      <w:r>
        <w:rPr>
          <w:rFonts w:hint="eastAsia" w:ascii="Times New Roman" w:hAnsi="Times New Roman" w:eastAsia="宋体" w:cs="Times New Roman"/>
          <w:i/>
          <w:iCs/>
          <w:sz w:val="24"/>
          <w:szCs w:val="24"/>
          <w:u w:val="single"/>
        </w:rPr>
        <w:t xml:space="preserve">1</w:t>
      </w:r>
      <w:r>
        <w:rPr>
          <w:rFonts w:hint="eastAsia" w:ascii="Times New Roman" w:hAnsi="Times New Roman" w:eastAsia="宋体" w:cs="Times New Roman"/>
          <w:i/>
          <w:iCs/>
          <w:sz w:val="24"/>
          <w:szCs w:val="24"/>
          <w:u w:val="single"/>
        </w:rPr>
        <w:t xml:space="preserve">）以上每次付款前，中标人均应提供符合采购人要求的同等金额的合法有效发票。否则，采购人有权顺延付款时间，且不承担任何违约或赔偿责任。</w:t>
      </w:r>
      <w:r/>
    </w:p>
    <w:p>
      <w:pPr>
        <w:ind w:firstLine="480"/>
        <w:spacing w:line="440" w:lineRule="exact"/>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 xml:space="preserve">（</w:t>
      </w:r>
      <w:r>
        <w:rPr>
          <w:rFonts w:hint="eastAsia" w:ascii="Times New Roman" w:hAnsi="Times New Roman" w:eastAsia="宋体" w:cs="Times New Roman"/>
          <w:i/>
          <w:iCs/>
          <w:sz w:val="24"/>
          <w:szCs w:val="24"/>
          <w:u w:val="single"/>
        </w:rPr>
        <w:t xml:space="preserve">2</w:t>
      </w:r>
      <w:r>
        <w:rPr>
          <w:rFonts w:hint="eastAsia" w:ascii="Times New Roman" w:hAnsi="Times New Roman" w:eastAsia="宋体" w:cs="Times New Roman"/>
          <w:i/>
          <w:iCs/>
          <w:sz w:val="24"/>
          <w:szCs w:val="24"/>
          <w:u w:val="single"/>
        </w:rPr>
        <w:t xml:space="preserve">）不满足上述付款方式的将作无效投标处理。</w:t>
      </w:r>
      <w:r/>
    </w:p>
    <w:p>
      <w:pPr>
        <w:ind w:firstLine="480"/>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line="440" w:lineRule="exact"/>
        <w:rPr>
          <w:rFonts w:ascii="Times New Roman" w:hAnsi="Times New Roman" w:eastAsia="宋体" w:cs="Times New Roman"/>
          <w:b/>
          <w:bCs/>
          <w:sz w:val="28"/>
          <w:szCs w:val="28"/>
        </w:rPr>
        <w:outlineLvl w:val="1"/>
      </w:pPr>
      <w:r/>
      <w:bookmarkStart w:id="343" w:name="_Toc192239120"/>
      <w:r>
        <w:rPr>
          <w:rFonts w:ascii="Times New Roman" w:hAnsi="Times New Roman" w:eastAsia="宋体" w:cs="Times New Roman"/>
          <w:b/>
          <w:bCs/>
          <w:sz w:val="28"/>
          <w:szCs w:val="28"/>
        </w:rPr>
        <w:t xml:space="preserve">二、项目服务要求：</w:t>
      </w:r>
      <w:bookmarkEnd w:id="343"/>
      <w:r/>
      <w:r/>
    </w:p>
    <w:p>
      <w:pPr>
        <w:ind w:firstLine="560"/>
        <w:spacing w:line="440" w:lineRule="exact"/>
        <w:rPr>
          <w:rFonts w:ascii="宋体" w:hAnsi="宋体" w:eastAsia="宋体" w:cs="Times New Roman"/>
          <w:bCs/>
          <w:iCs/>
          <w:sz w:val="28"/>
          <w:szCs w:val="28"/>
        </w:rPr>
        <w:outlineLvl w:val="2"/>
      </w:pPr>
      <w:r/>
      <w:bookmarkStart w:id="344" w:name="_Toc192239121"/>
      <w:r/>
      <w:bookmarkStart w:id="345" w:name="_Hlk159327512"/>
      <w:r>
        <w:rPr>
          <w:rFonts w:hint="eastAsia" w:ascii="宋体" w:hAnsi="宋体" w:eastAsia="宋体" w:cs="楷体"/>
          <w:bCs/>
          <w:iCs/>
          <w:sz w:val="28"/>
          <w:szCs w:val="28"/>
        </w:rPr>
        <w:t xml:space="preserve">（一）</w:t>
      </w:r>
      <w:bookmarkStart w:id="346" w:name="_Hlk191559100"/>
      <w:r>
        <w:rPr>
          <w:rFonts w:hint="eastAsia" w:ascii="宋体" w:hAnsi="宋体" w:eastAsia="宋体" w:cs="楷体"/>
          <w:bCs/>
          <w:iCs/>
          <w:sz w:val="28"/>
          <w:szCs w:val="28"/>
        </w:rPr>
        <w:t xml:space="preserve">信息化</w:t>
      </w:r>
      <w:bookmarkEnd w:id="346"/>
      <w:r>
        <w:rPr>
          <w:rFonts w:hint="eastAsia" w:ascii="宋体" w:hAnsi="宋体" w:eastAsia="宋体" w:cs="楷体"/>
          <w:bCs/>
          <w:iCs/>
          <w:sz w:val="28"/>
          <w:szCs w:val="28"/>
        </w:rPr>
        <w:t xml:space="preserve">集成实施服务</w:t>
      </w:r>
      <w:bookmarkEnd w:id="344"/>
      <w:r/>
      <w:r/>
    </w:p>
    <w:p>
      <w:pPr>
        <w:ind w:firstLine="480"/>
        <w:spacing w:line="440" w:lineRule="exact"/>
        <w:rPr>
          <w:rFonts w:ascii="宋体" w:hAnsi="Calibri" w:eastAsia="宋体" w:cs="Times New Roman"/>
          <w:bCs/>
          <w:iCs/>
          <w:sz w:val="24"/>
          <w:szCs w:val="20"/>
        </w:rPr>
      </w:pPr>
      <w:r>
        <w:rPr>
          <w:rFonts w:hint="eastAsia" w:ascii="宋体" w:hAnsi="Calibri" w:eastAsia="宋体" w:cs="Times New Roman"/>
          <w:bCs/>
          <w:iCs/>
          <w:sz w:val="24"/>
          <w:szCs w:val="20"/>
        </w:rPr>
        <w:t xml:space="preserve">围绕数字常熟建设，落实我市信息化工作任务，以“三大全生命周期体系”、“城市服务总入口提升”、“小巧灵场景培育”等场景为工作方向，结合数字化改革迫切必要，为全市部门提出的相关信息化建设需求提供集成实施服务，满足相关部门履行管理和服务职能。主要包含但不限于以下实施服务内容：</w:t>
      </w:r>
      <w:r/>
    </w:p>
    <w:p>
      <w:pPr>
        <w:ind w:left="420"/>
        <w:spacing w:line="440" w:lineRule="exact"/>
        <w:rPr>
          <w:rFonts w:ascii="宋体" w:hAnsi="宋体" w:eastAsia="宋体" w:cs="宋体"/>
          <w:b/>
          <w:bCs/>
          <w:iCs/>
          <w:sz w:val="24"/>
          <w:szCs w:val="24"/>
        </w:rPr>
        <w:outlineLvl w:val="3"/>
      </w:pPr>
      <w:r>
        <w:rPr>
          <w:rFonts w:hint="eastAsia" w:ascii="宋体" w:hAnsi="宋体" w:eastAsia="宋体" w:cs="宋体"/>
          <w:b/>
          <w:bCs/>
          <w:iCs/>
          <w:sz w:val="24"/>
          <w:szCs w:val="24"/>
        </w:rPr>
        <w:t xml:space="preserve">1.三大全生命周期体系集成实施服务</w:t>
      </w:r>
      <w:r/>
    </w:p>
    <w:p>
      <w:pPr>
        <w:ind w:firstLine="480"/>
        <w:spacing w:line="440" w:lineRule="exact"/>
        <w:rPr>
          <w:rFonts w:ascii="Times New Roman" w:hAnsi="Times New Roman" w:eastAsia="宋体" w:cs="Times New Roman"/>
          <w:iCs/>
          <w:sz w:val="24"/>
          <w:szCs w:val="24"/>
        </w:rPr>
      </w:pPr>
      <w:r>
        <w:rPr>
          <w:rFonts w:hint="eastAsia" w:ascii="宋体" w:hAnsi="宋体" w:eastAsia="宋体" w:cs="宋体"/>
          <w:iCs/>
          <w:sz w:val="24"/>
          <w:szCs w:val="24"/>
        </w:rPr>
        <w:t xml:space="preserve">强化我市三大全生命周期体系建设，对市场主体、实有人口、既有建筑的“三位一体”平台进行</w:t>
      </w:r>
      <w:r>
        <w:rPr>
          <w:rFonts w:hint="eastAsia" w:ascii="宋体" w:hAnsi="宋体" w:eastAsia="宋体" w:cs="宋体"/>
          <w:iCs/>
          <w:sz w:val="24"/>
          <w:szCs w:val="24"/>
        </w:rPr>
        <w:t xml:space="preserve">优化完善，推动“人”“房”“企”数据融合互通，围绕三位一体平台开展应用场景开展实施，</w:t>
      </w:r>
      <w:r>
        <w:rPr>
          <w:rFonts w:ascii="Times New Roman" w:hAnsi="Times New Roman" w:eastAsia="宋体" w:cs="Times New Roman"/>
          <w:iCs/>
          <w:sz w:val="24"/>
          <w:szCs w:val="24"/>
        </w:rPr>
        <w:t xml:space="preserve">让政府治理更高效、更精准、更透明</w:t>
      </w:r>
      <w:r>
        <w:rPr>
          <w:rFonts w:hint="eastAsia" w:ascii="Times New Roman" w:hAnsi="Times New Roman" w:eastAsia="宋体" w:cs="Times New Roman"/>
          <w:iCs/>
          <w:sz w:val="24"/>
          <w:szCs w:val="24"/>
        </w:rPr>
        <w:t xml:space="preserve">。</w:t>
      </w:r>
      <w:r/>
    </w:p>
    <w:p>
      <w:pPr>
        <w:ind w:firstLine="480"/>
        <w:spacing w:line="440" w:lineRule="exact"/>
        <w:rPr>
          <w:rFonts w:ascii="宋体" w:hAnsi="宋体" w:eastAsia="宋体" w:cs="宋体"/>
          <w:iCs/>
          <w:sz w:val="24"/>
          <w:szCs w:val="24"/>
          <w:lang w:val="zh-CN"/>
        </w:rPr>
      </w:pPr>
      <w:r>
        <w:rPr>
          <w:rFonts w:hint="eastAsia" w:ascii="Times New Roman" w:hAnsi="Times New Roman" w:eastAsia="宋体" w:cs="Times New Roman"/>
          <w:iCs/>
          <w:sz w:val="24"/>
          <w:szCs w:val="24"/>
        </w:rPr>
        <w:t xml:space="preserve">1.1</w:t>
      </w:r>
      <w:r>
        <w:rPr>
          <w:rFonts w:hint="eastAsia" w:ascii="宋体" w:hAnsi="宋体" w:eastAsia="宋体" w:cs="宋体"/>
          <w:iCs/>
          <w:sz w:val="24"/>
          <w:szCs w:val="24"/>
        </w:rPr>
        <w:t xml:space="preserve">市场主体全生命周期体系：在我市</w:t>
      </w:r>
      <w:r>
        <w:rPr>
          <w:rFonts w:hint="eastAsia" w:ascii="宋体" w:hAnsi="宋体" w:eastAsia="宋体" w:cs="宋体"/>
          <w:iCs/>
          <w:sz w:val="24"/>
          <w:szCs w:val="24"/>
          <w:lang w:val="zh-CN"/>
        </w:rPr>
        <w:t xml:space="preserve">市场主体全生命周期管理服务平台的</w:t>
      </w:r>
      <w:r>
        <w:rPr>
          <w:rFonts w:hint="eastAsia" w:ascii="宋体" w:hAnsi="宋体" w:eastAsia="宋体" w:cs="宋体"/>
          <w:iCs/>
          <w:sz w:val="24"/>
          <w:szCs w:val="24"/>
        </w:rPr>
        <w:t xml:space="preserve">基础上，围绕市场主体的管理和服务，进一步开展统筹实施</w:t>
      </w:r>
      <w:r>
        <w:rPr>
          <w:rFonts w:hint="eastAsia" w:ascii="宋体" w:hAnsi="宋体" w:eastAsia="宋体" w:cs="宋体"/>
          <w:iCs/>
          <w:sz w:val="24"/>
          <w:szCs w:val="24"/>
          <w:lang w:val="zh-CN"/>
        </w:rPr>
        <w:t xml:space="preserve">，</w:t>
      </w:r>
      <w:r>
        <w:rPr>
          <w:rFonts w:hint="eastAsia" w:ascii="宋体" w:hAnsi="宋体" w:eastAsia="宋体" w:cs="宋体"/>
          <w:iCs/>
          <w:sz w:val="24"/>
          <w:szCs w:val="24"/>
        </w:rPr>
        <w:t xml:space="preserve">充分</w:t>
      </w:r>
      <w:r>
        <w:rPr>
          <w:rFonts w:hint="eastAsia" w:ascii="宋体" w:hAnsi="宋体" w:eastAsia="宋体" w:cs="宋体"/>
          <w:iCs/>
          <w:sz w:val="24"/>
          <w:szCs w:val="24"/>
          <w:lang w:val="zh-CN"/>
        </w:rPr>
        <w:t xml:space="preserve">发挥数字政府引领作用，提高对企业的动态感知能力，为政府精细化治理、精准化服务提供更强支撑。</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通过完善升级涵盖前期项目招商、中期协同推进、后期管理服务三大阶段的从</w:t>
      </w:r>
      <w:r>
        <w:rPr>
          <w:rFonts w:hint="eastAsia" w:ascii="宋体" w:hAnsi="宋体" w:eastAsia="宋体" w:cs="宋体"/>
          <w:iCs/>
          <w:sz w:val="24"/>
          <w:szCs w:val="24"/>
        </w:rPr>
        <w:t xml:space="preserve">产业项目到市场主体运营管理的全生命周期管理服务体系，实现系统集成、业务整合、流程重塑、信息共享，打破各部门间业务独立、各管一段、“数据孤岛”的现象。围绕产业项目高效协同和企业服务精准化两大目标，将全市所有产业项目纳入管理，覆盖项目前期招商、项目中期推进、项目后期服务三大阶段，联动项目招商、评价会审、策划立项、规划设计、用地审批、施工许可、开工建设、竣工验收、项目投产并持续跟踪管理项目投产后资源消耗、产出贡献、安全环保等企业运营监管评价全过程，构建高效协作、精准服务、全程可控的项目“全流程”管理服务体系架构。</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围绕产业项目业务流程对系统优化完善，升级迭代系统框架，不断丰富企业数据维度，集成系统的分析预警功能。</w:t>
      </w:r>
      <w:r>
        <w:rPr>
          <w:rFonts w:hint="eastAsia" w:ascii="宋体" w:hAnsi="宋体" w:eastAsia="宋体" w:cs="宋体"/>
          <w:iCs/>
          <w:sz w:val="24"/>
          <w:szCs w:val="24"/>
          <w:lang w:val="zh-CN"/>
        </w:rPr>
        <w:t xml:space="preserve">进一步优化产业项目招商流程，提升产业招商信息化、数字化能力。</w:t>
      </w:r>
      <w:r>
        <w:rPr>
          <w:rFonts w:hint="eastAsia" w:ascii="宋体" w:hAnsi="宋体" w:eastAsia="宋体" w:cs="宋体"/>
          <w:iCs/>
          <w:sz w:val="24"/>
          <w:szCs w:val="24"/>
        </w:rPr>
        <w:t xml:space="preserve">围绕政府投资、国企投资等项目，深化电脑端的全流程管理，展现项目整体建设进度、投入的等情况并开展各类分析，同时基于手机端开展相关的管理和分析。针对项目的中期推进，按照管理需要增加各类报表和数据填报，接入对应的手机端数据采集功能，</w:t>
      </w:r>
      <w:r>
        <w:rPr>
          <w:rFonts w:hint="eastAsia" w:ascii="宋体" w:hAnsi="宋体" w:eastAsia="宋体" w:cs="宋体"/>
          <w:iCs/>
          <w:sz w:val="24"/>
          <w:szCs w:val="24"/>
          <w:lang w:val="zh-CN"/>
        </w:rPr>
        <w:t xml:space="preserve">加大对产业项目建设的数字化监督管理力度，确保工程进度和质量</w:t>
      </w:r>
      <w:r>
        <w:rPr>
          <w:rFonts w:hint="eastAsia" w:ascii="宋体" w:hAnsi="宋体" w:eastAsia="宋体" w:cs="宋体"/>
          <w:iCs/>
          <w:sz w:val="24"/>
          <w:szCs w:val="24"/>
        </w:rPr>
        <w:t xml:space="preserve">。继续围绕项目竣工管理进行深度集成，完善竣工流程跟踪、数据分析。在现有“一企一档”的基础上加大数据挖掘分析力度，厘清存量和增量企业数据，深化企业管理运营大数据库整合，丰富数据接入维度，开展数据组合分析，构建智能、精准、动态的标签体系，绘制各类专题画像（如用工分析）等。</w:t>
      </w:r>
      <w:r>
        <w:rPr>
          <w:rFonts w:hint="eastAsia" w:ascii="宋体" w:hAnsi="宋体" w:eastAsia="宋体" w:cs="宋体"/>
          <w:iCs/>
          <w:sz w:val="24"/>
          <w:szCs w:val="24"/>
          <w:lang w:val="zh-CN"/>
        </w:rPr>
        <w:t xml:space="preserve">同时</w:t>
      </w:r>
      <w:r>
        <w:rPr>
          <w:rFonts w:hint="eastAsia" w:ascii="宋体" w:hAnsi="宋体" w:eastAsia="宋体" w:cs="宋体"/>
          <w:iCs/>
          <w:sz w:val="24"/>
          <w:szCs w:val="24"/>
        </w:rPr>
        <w:t xml:space="preserve">拓展各</w:t>
      </w:r>
      <w:r>
        <w:rPr>
          <w:rFonts w:hint="eastAsia" w:ascii="宋体" w:hAnsi="宋体" w:eastAsia="宋体" w:cs="宋体"/>
          <w:iCs/>
          <w:sz w:val="24"/>
          <w:szCs w:val="24"/>
          <w:lang w:val="zh-CN"/>
        </w:rPr>
        <w:t xml:space="preserve">委办局业务</w:t>
      </w:r>
      <w:r>
        <w:rPr>
          <w:rFonts w:hint="eastAsia" w:ascii="宋体" w:hAnsi="宋体" w:eastAsia="宋体" w:cs="宋体"/>
          <w:iCs/>
          <w:sz w:val="24"/>
          <w:szCs w:val="24"/>
        </w:rPr>
        <w:t xml:space="preserve">场景的应用集成</w:t>
      </w:r>
      <w:r>
        <w:rPr>
          <w:rFonts w:hint="eastAsia" w:ascii="宋体" w:hAnsi="宋体" w:eastAsia="宋体" w:cs="宋体"/>
          <w:iCs/>
          <w:sz w:val="24"/>
          <w:szCs w:val="24"/>
          <w:lang w:val="zh-CN"/>
        </w:rPr>
        <w:t xml:space="preserve">，提升部门间的协同效率，</w:t>
      </w:r>
      <w:r>
        <w:rPr>
          <w:rFonts w:hint="eastAsia" w:ascii="宋体" w:hAnsi="宋体" w:eastAsia="宋体" w:cs="宋体"/>
          <w:iCs/>
          <w:sz w:val="24"/>
          <w:szCs w:val="24"/>
        </w:rPr>
        <w:t xml:space="preserve">接入、整合“查检通”“常相伴”等部门已经搭建或筹备酝酿的与市场主体相关的功能业务，</w:t>
      </w:r>
      <w:r>
        <w:rPr>
          <w:rFonts w:hint="eastAsia" w:ascii="宋体" w:hAnsi="宋体" w:eastAsia="宋体" w:cs="宋体"/>
          <w:iCs/>
          <w:sz w:val="24"/>
          <w:szCs w:val="24"/>
          <w:lang w:val="zh-CN"/>
        </w:rPr>
        <w:t xml:space="preserve">为市场主体提供更加高效、便捷的服务。</w:t>
      </w:r>
      <w:r>
        <w:rPr>
          <w:rFonts w:hint="eastAsia" w:ascii="宋体" w:hAnsi="宋体" w:eastAsia="宋体" w:cs="宋体"/>
          <w:iCs/>
          <w:sz w:val="24"/>
          <w:szCs w:val="24"/>
        </w:rPr>
        <w:t xml:space="preserve">最后，开展各</w:t>
      </w:r>
      <w:r>
        <w:rPr>
          <w:rFonts w:hint="eastAsia" w:ascii="宋体" w:hAnsi="宋体" w:eastAsia="宋体" w:cs="宋体"/>
          <w:iCs/>
          <w:sz w:val="24"/>
          <w:szCs w:val="24"/>
          <w:lang w:val="zh-CN"/>
        </w:rPr>
        <w:t xml:space="preserve">委办局</w:t>
      </w:r>
      <w:r>
        <w:rPr>
          <w:rFonts w:hint="eastAsia" w:ascii="宋体" w:hAnsi="宋体" w:eastAsia="宋体" w:cs="宋体"/>
          <w:iCs/>
          <w:sz w:val="24"/>
          <w:szCs w:val="24"/>
        </w:rPr>
        <w:t xml:space="preserve">智能辅助分析场景的接入工作，并充分利用平台层级高、维度宽、数据量大等优势，强化数据间的分析运用，围绕项目审批、管理、监管、执法、信用全链条，开展与企业管理服务相关的专题场景集成实施。</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深化企业端服务功能，完善</w:t>
      </w:r>
      <w:r>
        <w:rPr>
          <w:rFonts w:hint="eastAsia" w:ascii="宋体" w:hAnsi="宋体" w:eastAsia="宋体" w:cs="宋体"/>
          <w:iCs/>
          <w:sz w:val="24"/>
          <w:szCs w:val="24"/>
          <w:lang w:val="zh-CN"/>
        </w:rPr>
        <w:t xml:space="preserve">“虞企通”</w:t>
      </w:r>
      <w:r>
        <w:rPr>
          <w:rFonts w:hint="eastAsia" w:ascii="宋体" w:hAnsi="宋体" w:eastAsia="宋体" w:cs="宋体"/>
          <w:iCs/>
          <w:sz w:val="24"/>
          <w:szCs w:val="24"/>
        </w:rPr>
        <w:t xml:space="preserve">平台</w:t>
      </w:r>
      <w:r>
        <w:rPr>
          <w:rFonts w:hint="eastAsia" w:ascii="宋体" w:hAnsi="宋体" w:eastAsia="宋体" w:cs="宋体"/>
          <w:iCs/>
          <w:sz w:val="24"/>
          <w:szCs w:val="24"/>
          <w:lang w:val="zh-CN"/>
        </w:rPr>
        <w:t xml:space="preserve">，</w:t>
      </w:r>
      <w:r>
        <w:rPr>
          <w:rFonts w:hint="eastAsia" w:ascii="宋体" w:hAnsi="宋体" w:eastAsia="宋体" w:cs="宋体"/>
          <w:iCs/>
          <w:sz w:val="24"/>
          <w:szCs w:val="24"/>
        </w:rPr>
        <w:t xml:space="preserve">开展</w:t>
      </w:r>
      <w:r>
        <w:rPr>
          <w:rFonts w:hint="eastAsia" w:ascii="宋体" w:hAnsi="宋体" w:eastAsia="宋体" w:cs="宋体"/>
          <w:iCs/>
          <w:sz w:val="24"/>
          <w:szCs w:val="24"/>
          <w:lang w:val="zh-CN"/>
        </w:rPr>
        <w:t xml:space="preserve">各级惠企政策</w:t>
      </w:r>
      <w:r>
        <w:rPr>
          <w:rFonts w:hint="eastAsia" w:ascii="宋体" w:hAnsi="宋体" w:eastAsia="宋体" w:cs="宋体"/>
          <w:iCs/>
          <w:sz w:val="24"/>
          <w:szCs w:val="24"/>
        </w:rPr>
        <w:t xml:space="preserve">调研、业务解构、集成接入，提供在线政策咨询办理服务</w:t>
      </w:r>
      <w:r>
        <w:rPr>
          <w:rFonts w:hint="eastAsia" w:ascii="宋体" w:hAnsi="宋体" w:eastAsia="宋体" w:cs="宋体"/>
          <w:iCs/>
          <w:sz w:val="24"/>
          <w:szCs w:val="24"/>
          <w:lang w:val="zh-CN"/>
        </w:rPr>
        <w:t xml:space="preserve">，</w:t>
      </w:r>
      <w:r>
        <w:rPr>
          <w:rFonts w:hint="eastAsia" w:ascii="宋体" w:hAnsi="宋体" w:eastAsia="宋体" w:cs="宋体"/>
          <w:iCs/>
          <w:sz w:val="24"/>
          <w:szCs w:val="24"/>
        </w:rPr>
        <w:t xml:space="preserve">优化</w:t>
      </w:r>
      <w:r>
        <w:rPr>
          <w:rFonts w:hint="eastAsia" w:ascii="宋体" w:hAnsi="宋体" w:eastAsia="宋体" w:cs="宋体"/>
          <w:iCs/>
          <w:sz w:val="24"/>
          <w:szCs w:val="24"/>
          <w:lang w:val="zh-CN"/>
        </w:rPr>
        <w:t xml:space="preserve">企业诉求</w:t>
      </w:r>
      <w:r>
        <w:rPr>
          <w:rFonts w:hint="eastAsia" w:ascii="宋体" w:hAnsi="宋体" w:eastAsia="宋体" w:cs="宋体"/>
          <w:iCs/>
          <w:sz w:val="24"/>
          <w:szCs w:val="24"/>
        </w:rPr>
        <w:t xml:space="preserve">处置流程</w:t>
      </w:r>
      <w:r>
        <w:rPr>
          <w:rFonts w:hint="eastAsia" w:ascii="宋体" w:hAnsi="宋体" w:eastAsia="宋体" w:cs="宋体"/>
          <w:iCs/>
          <w:sz w:val="24"/>
          <w:szCs w:val="24"/>
          <w:lang w:val="zh-CN"/>
        </w:rPr>
        <w:t xml:space="preserve">，</w:t>
      </w:r>
      <w:r>
        <w:rPr>
          <w:rFonts w:hint="eastAsia" w:ascii="宋体" w:hAnsi="宋体" w:eastAsia="宋体" w:cs="宋体"/>
          <w:iCs/>
          <w:sz w:val="24"/>
          <w:szCs w:val="24"/>
        </w:rPr>
        <w:t xml:space="preserve">接入各个局办的各类特色服务应用，实现</w:t>
      </w:r>
      <w:r>
        <w:rPr>
          <w:rFonts w:hint="eastAsia" w:ascii="宋体" w:hAnsi="宋体" w:eastAsia="宋体" w:cs="宋体"/>
          <w:iCs/>
          <w:sz w:val="24"/>
          <w:szCs w:val="24"/>
          <w:lang w:val="zh-CN"/>
        </w:rPr>
        <w:t xml:space="preserve">惠企政策、诉求咨询、政务办事、企检服务、企业活动的</w:t>
      </w:r>
      <w:r>
        <w:rPr>
          <w:rFonts w:hint="eastAsia" w:ascii="宋体" w:hAnsi="宋体" w:eastAsia="宋体" w:cs="宋体"/>
          <w:iCs/>
          <w:sz w:val="24"/>
          <w:szCs w:val="24"/>
        </w:rPr>
        <w:t xml:space="preserve">在线直达</w:t>
      </w:r>
      <w:r>
        <w:rPr>
          <w:rFonts w:hint="eastAsia" w:ascii="宋体" w:hAnsi="宋体" w:eastAsia="宋体" w:cs="宋体"/>
          <w:iCs/>
          <w:sz w:val="24"/>
          <w:szCs w:val="24"/>
          <w:lang w:val="zh-CN"/>
        </w:rPr>
        <w:t xml:space="preserve">，提升服务企业效能。</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1.2自然人全生命周期体系：依托公安局已建的“自然人全生命周期管理服务平台”，目标是多元数据收集更加广泛、实有人口底数更加精准、异常人群识别更加高效、潜在隐患消除更加快速。继续以我市人口精细化管理为导向，对主体框架进行优化升级，并开展各类功能系统、模块的整体集成，收集海量涉人数据，进行分类整理和标准化处理，精准掌握全市实有人口底数，并通过大数据模型分</w:t>
      </w:r>
      <w:r>
        <w:rPr>
          <w:rFonts w:hint="eastAsia" w:ascii="宋体" w:hAnsi="宋体" w:eastAsia="宋体" w:cs="宋体"/>
          <w:iCs/>
          <w:sz w:val="24"/>
          <w:szCs w:val="24"/>
        </w:rPr>
        <w:t xml:space="preserve">析人口的增长趋势、年龄结构变化、性别比例等，开展数据深度研判，推动信息采集更便捷、查询统计更快捷，帮助政府部门了解人口发展的动态，为制定人口政策、规划资源配置提供科学依据。掌握流动人口底数信息，实现人、房、隐患业务周期全流程监管，配套完善相关行业标准，引导人口合理有序流动，汇聚人口数据更精准、管理实有数据更智能、抓取人口</w:t>
      </w:r>
      <w:r>
        <w:rPr>
          <w:rFonts w:hint="eastAsia" w:ascii="宋体" w:hAnsi="宋体" w:eastAsia="宋体" w:cs="宋体"/>
          <w:iCs/>
          <w:sz w:val="24"/>
          <w:szCs w:val="24"/>
        </w:rPr>
        <w:t xml:space="preserve">底数动态化、建立沟通机制常态化，助力社会综合治理、部门业务管理更科学、更高效。利用AI智能分析手段，挖掘数据资源，构建实用可行的数据分析模型，对其中异常人群的行为数据进行实时监测和分析，及时感知预警发现潜在的人员流动、聚集风险、异常行为和潜在的安全隐患，如违法犯罪行为、公共卫生事件等，提前采取预警和防范措施，有效维护社会安全，保障社会的安全稳定。适配重点群体的各类管理和服务场景，在丰富人口数据库底册基础上集成不同分类的“一人一档”服务档案，匹配推送政策、培训及就业等信息，实现线下服务与数字化智能匹配相结合。</w:t>
      </w:r>
      <w:r/>
    </w:p>
    <w:p>
      <w:pPr>
        <w:ind w:firstLine="480"/>
        <w:spacing w:line="440" w:lineRule="exact"/>
        <w:rPr>
          <w:rFonts w:ascii="宋体" w:hAnsi="宋体" w:eastAsia="宋体" w:cs="宋体"/>
          <w:iCs/>
          <w:sz w:val="24"/>
          <w:szCs w:val="24"/>
        </w:rPr>
      </w:pPr>
      <w:r>
        <w:rPr>
          <w:rFonts w:hint="eastAsia" w:ascii="Times New Roman" w:hAnsi="Times New Roman" w:eastAsia="宋体" w:cs="Times New Roman"/>
          <w:iCs/>
          <w:sz w:val="24"/>
          <w:szCs w:val="24"/>
        </w:rPr>
        <w:t xml:space="preserve">1.3</w:t>
      </w:r>
      <w:r>
        <w:rPr>
          <w:rFonts w:hint="eastAsia" w:ascii="宋体" w:hAnsi="宋体" w:eastAsia="宋体" w:cs="宋体"/>
          <w:iCs/>
          <w:sz w:val="24"/>
          <w:szCs w:val="24"/>
        </w:rPr>
        <w:t xml:space="preserve">既有建筑全生命周期体系：依托住建局建设的房屋管理系统，整合资规、公安、征收等单位与房屋相关的数据资源，持续开展“地、楼、房”与“人、房、企”关联库融合。以时</w:t>
      </w:r>
      <w:r>
        <w:rPr>
          <w:rFonts w:hint="eastAsia" w:ascii="宋体" w:hAnsi="宋体" w:eastAsia="宋体" w:cs="宋体"/>
          <w:iCs/>
          <w:sz w:val="24"/>
          <w:szCs w:val="24"/>
        </w:rPr>
        <w:t xml:space="preserve">空底板为基础，以地块院落、建筑楼宇、房屋空间、道路及城市部件等空间实体作为关键载体，对接和复用已有国土空间基础信息平台、天地图等多源数据成果，建立多维度数据治理规则及数据关联融合数据模型。通过数字门牌核心纽带，将全市的地理空间底板与市场主体、自然人、既有建筑三大主体的数据进行融合关联和动态更新。完善数据更新监测，保障数据更新的实时性、准确性和可持续性，拆分颗粒度更细化的融合查询分析，以及移动端等相关展示。围绕时空底板，开展各类产业园、商圈、规划选址等场景的建模分析，以三维可视化场景实现对城市发展的精准感知。</w:t>
      </w:r>
      <w:r/>
    </w:p>
    <w:p>
      <w:pPr>
        <w:ind w:firstLine="482"/>
        <w:spacing w:line="440" w:lineRule="exact"/>
        <w:rPr>
          <w:rFonts w:ascii="宋体" w:hAnsi="宋体" w:eastAsia="宋体" w:cs="宋体"/>
          <w:b/>
          <w:bCs/>
          <w:iCs/>
          <w:sz w:val="24"/>
          <w:szCs w:val="24"/>
        </w:rPr>
        <w:outlineLvl w:val="3"/>
      </w:pPr>
      <w:r>
        <w:rPr>
          <w:rFonts w:hint="eastAsia" w:ascii="宋体" w:hAnsi="宋体" w:eastAsia="宋体" w:cs="宋体"/>
          <w:b/>
          <w:bCs/>
          <w:iCs/>
          <w:sz w:val="24"/>
          <w:szCs w:val="24"/>
        </w:rPr>
        <w:t xml:space="preserve">2.城市服务总入口集成实施服务</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对“看常熟”城市服务总入口APP中市民服务、企业服务等功能模块不断充实完善，开展与市各部门高频应用场景的对接，集成定制特色功能模块，接入各类掌上查询功能，不断推动面向自然人、法人等对象的普惠服务的做深做实，提升市民群众及企业的获得感和满意度，进一步赋能城市经济和社会发展。</w:t>
      </w:r>
      <w:r/>
    </w:p>
    <w:p>
      <w:pPr>
        <w:ind w:firstLine="482"/>
        <w:spacing w:line="440" w:lineRule="exact"/>
        <w:rPr>
          <w:rFonts w:ascii="宋体" w:hAnsi="宋体" w:eastAsia="宋体" w:cs="宋体"/>
          <w:b/>
          <w:bCs/>
          <w:iCs/>
          <w:sz w:val="24"/>
          <w:szCs w:val="24"/>
        </w:rPr>
        <w:outlineLvl w:val="3"/>
      </w:pPr>
      <w:r>
        <w:rPr>
          <w:rFonts w:hint="eastAsia" w:ascii="宋体" w:hAnsi="宋体" w:eastAsia="宋体" w:cs="宋体"/>
          <w:b/>
          <w:bCs/>
          <w:iCs/>
          <w:sz w:val="24"/>
          <w:szCs w:val="24"/>
        </w:rPr>
        <w:t xml:space="preserve">3.数字化改革集成实施服务</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开展数字化改革小巧灵场景集成实施，小巧灵场景是指“切口小”“方法巧”“效果灵”的数字化应用场景。围绕民生需求、政务服务、经济发展、城市治理等方面提供市级基础性服务。</w:t>
      </w:r>
      <w:r/>
    </w:p>
    <w:p>
      <w:pPr>
        <w:ind w:firstLine="480"/>
        <w:spacing w:line="440" w:lineRule="exact"/>
        <w:rPr>
          <w:rFonts w:ascii="Arial" w:hAnsi="宋体" w:eastAsia="宋体" w:cs="宋体"/>
          <w:iCs/>
          <w:sz w:val="24"/>
          <w:szCs w:val="24"/>
        </w:rPr>
      </w:pPr>
      <w:r>
        <w:rPr>
          <w:rFonts w:hint="eastAsia" w:ascii="Arial" w:hAnsi="宋体" w:eastAsia="宋体" w:cs="宋体"/>
          <w:iCs/>
          <w:sz w:val="24"/>
          <w:szCs w:val="24"/>
        </w:rPr>
        <w:t xml:space="preserve">民生需求：</w:t>
      </w:r>
      <w:r>
        <w:rPr>
          <w:rFonts w:ascii="宋体" w:hAnsi="宋体" w:eastAsia="宋体" w:cs="宋体"/>
          <w:iCs/>
          <w:sz w:val="24"/>
          <w:szCs w:val="24"/>
        </w:rPr>
        <w:t xml:space="preserve">深入推动就业、社保、健康、卫生、医疗、 救助、养老、助残、托育等</w:t>
      </w:r>
      <w:r>
        <w:rPr>
          <w:rFonts w:hint="eastAsia" w:ascii="宋体" w:hAnsi="宋体" w:eastAsia="宋体" w:cs="宋体"/>
          <w:iCs/>
          <w:sz w:val="24"/>
          <w:szCs w:val="24"/>
        </w:rPr>
        <w:t xml:space="preserve">民生需求领域的信息化需求落地，</w:t>
      </w:r>
      <w:r>
        <w:rPr>
          <w:rFonts w:ascii="宋体" w:hAnsi="宋体" w:eastAsia="宋体" w:cs="宋体"/>
          <w:iCs/>
          <w:sz w:val="24"/>
          <w:szCs w:val="24"/>
        </w:rPr>
        <w:t xml:space="preserve">实现便捷化、普惠化和智能化</w:t>
      </w:r>
      <w:r>
        <w:rPr>
          <w:rFonts w:hint="eastAsia" w:ascii="宋体" w:hAnsi="宋体" w:eastAsia="宋体" w:cs="宋体"/>
          <w:iCs/>
          <w:sz w:val="24"/>
          <w:szCs w:val="24"/>
        </w:rPr>
        <w:t xml:space="preserve">作用</w:t>
      </w:r>
      <w:r>
        <w:rPr>
          <w:rFonts w:ascii="宋体" w:hAnsi="宋体" w:eastAsia="宋体" w:cs="宋体"/>
          <w:iCs/>
          <w:sz w:val="24"/>
          <w:szCs w:val="24"/>
        </w:rPr>
        <w:t xml:space="preserve">，基于数据要素</w:t>
      </w:r>
      <w:r>
        <w:rPr>
          <w:rFonts w:hint="eastAsia" w:ascii="宋体" w:hAnsi="宋体" w:eastAsia="宋体" w:cs="宋体"/>
          <w:iCs/>
          <w:sz w:val="24"/>
          <w:szCs w:val="24"/>
        </w:rPr>
        <w:t xml:space="preserve">创新</w:t>
      </w:r>
      <w:r>
        <w:rPr>
          <w:rFonts w:ascii="宋体" w:hAnsi="宋体" w:eastAsia="宋体" w:cs="宋体"/>
          <w:iCs/>
          <w:sz w:val="24"/>
          <w:szCs w:val="24"/>
        </w:rPr>
        <w:t xml:space="preserve">公共</w:t>
      </w:r>
      <w:r>
        <w:rPr>
          <w:rFonts w:ascii="Arial" w:hAnsi="宋体" w:eastAsia="宋体" w:cs="宋体"/>
          <w:iCs/>
          <w:sz w:val="24"/>
          <w:szCs w:val="24"/>
        </w:rPr>
        <w:t xml:space="preserve">服务应用</w:t>
      </w:r>
      <w:r>
        <w:rPr>
          <w:rFonts w:hint="eastAsia" w:ascii="Arial" w:hAnsi="宋体" w:eastAsia="宋体" w:cs="宋体"/>
          <w:iCs/>
          <w:sz w:val="24"/>
          <w:szCs w:val="24"/>
        </w:rPr>
        <w:t xml:space="preserve">和产品</w:t>
      </w:r>
      <w:r>
        <w:rPr>
          <w:rFonts w:ascii="Arial" w:hAnsi="宋体" w:eastAsia="宋体" w:cs="宋体"/>
          <w:iCs/>
          <w:sz w:val="24"/>
          <w:szCs w:val="24"/>
        </w:rPr>
        <w:t xml:space="preserve">，</w:t>
      </w:r>
      <w:r>
        <w:rPr>
          <w:rFonts w:hint="eastAsia" w:ascii="Arial" w:hAnsi="宋体" w:eastAsia="宋体" w:cs="宋体"/>
          <w:iCs/>
          <w:sz w:val="24"/>
          <w:szCs w:val="24"/>
        </w:rPr>
        <w:t xml:space="preserve">逐步</w:t>
      </w:r>
      <w:r>
        <w:rPr>
          <w:rFonts w:ascii="Arial" w:hAnsi="宋体" w:eastAsia="宋体" w:cs="宋体"/>
          <w:iCs/>
          <w:sz w:val="24"/>
          <w:szCs w:val="24"/>
        </w:rPr>
        <w:t xml:space="preserve">满足人民群众对高质量服务的迫切需求</w:t>
      </w:r>
      <w:r>
        <w:rPr>
          <w:rFonts w:hint="eastAsia" w:ascii="Arial" w:hAnsi="宋体" w:eastAsia="宋体" w:cs="宋体"/>
          <w:iCs/>
          <w:sz w:val="24"/>
          <w:szCs w:val="24"/>
        </w:rPr>
        <w:t xml:space="preserve">。</w:t>
      </w:r>
      <w:r/>
    </w:p>
    <w:p>
      <w:pPr>
        <w:ind w:firstLine="480"/>
        <w:spacing w:line="440" w:lineRule="exact"/>
        <w:rPr>
          <w:rFonts w:ascii="Arial" w:hAnsi="宋体" w:eastAsia="宋体" w:cs="宋体"/>
          <w:iCs/>
          <w:sz w:val="24"/>
          <w:szCs w:val="24"/>
        </w:rPr>
      </w:pPr>
      <w:r>
        <w:rPr>
          <w:rFonts w:hint="eastAsia" w:ascii="Arial" w:hAnsi="宋体" w:eastAsia="宋体" w:cs="宋体"/>
          <w:iCs/>
          <w:sz w:val="24"/>
          <w:szCs w:val="24"/>
        </w:rPr>
        <w:t xml:space="preserve">政务服务：随着数字技术的快速发展和群众对政务服务期望的不断提高，现有的政务服务平台逐渐暴露出一些问题。为了更好地满足企业和群众日益增长的政务服务需求，全面落实国家、省、市关于数字政府建设的要求，集成化的开展“一网通办”政务服务平台的升级改造，对智慧政务后台管理</w:t>
      </w:r>
      <w:r>
        <w:rPr>
          <w:rFonts w:hint="eastAsia" w:ascii="Arial" w:hAnsi="宋体" w:eastAsia="宋体" w:cs="宋体"/>
          <w:iCs/>
          <w:sz w:val="24"/>
          <w:szCs w:val="24"/>
        </w:rPr>
        <w:t xml:space="preserve">平台、旗舰店、小程序、自助机等多</w:t>
      </w:r>
      <w:r>
        <w:rPr>
          <w:rFonts w:hint="eastAsia" w:ascii="Arial" w:hAnsi="宋体" w:eastAsia="宋体" w:cs="宋体"/>
          <w:iCs/>
          <w:sz w:val="24"/>
          <w:szCs w:val="24"/>
        </w:rPr>
        <w:t xml:space="preserve">端进行全面优化升级，完善功能模块、优化页面布局与服务分类，提升用户操作便捷性和体验感。利用人工智能和自然语言处理技术迭代升级“智能客服”服务，分步实现智能导办、智能填报、智能审批等功能，创新构建“边聊边办”服务模式，让政务服务更加贴近民生、惠及民众。通过系统功能的优化升级，深度融合前沿技术，创新服务模式，打破政务服务的部门壁垒和信息孤岛，实现政务服务跨部门、跨层级的深度协同与数据的高效共享，打造一体化政务服务体系，让各类政务服务事项办理更加顺畅、高效，进一步提升政务服务的质量和效率，推动政府服务数字化转型。</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经济发展：</w:t>
      </w:r>
      <w:r>
        <w:rPr>
          <w:rFonts w:ascii="宋体" w:hAnsi="宋体" w:eastAsia="宋体" w:cs="宋体"/>
          <w:iCs/>
          <w:sz w:val="24"/>
          <w:szCs w:val="24"/>
        </w:rPr>
        <w:t xml:space="preserve">推动数字经济与实体经济深度融合，打造</w:t>
      </w:r>
      <w:r>
        <w:rPr>
          <w:rFonts w:hint="eastAsia" w:ascii="宋体" w:hAnsi="宋体" w:eastAsia="宋体" w:cs="宋体"/>
          <w:iCs/>
          <w:sz w:val="24"/>
          <w:szCs w:val="24"/>
        </w:rPr>
        <w:t xml:space="preserve">具有我市特色的</w:t>
      </w:r>
      <w:r>
        <w:rPr>
          <w:rFonts w:ascii="宋体" w:hAnsi="宋体" w:eastAsia="宋体" w:cs="宋体"/>
          <w:iCs/>
          <w:sz w:val="24"/>
          <w:szCs w:val="24"/>
        </w:rPr>
        <w:t xml:space="preserve">高效、便捷电商</w:t>
      </w:r>
      <w:r>
        <w:rPr>
          <w:rFonts w:hint="eastAsia" w:ascii="宋体" w:hAnsi="宋体" w:eastAsia="宋体" w:cs="宋体"/>
          <w:iCs/>
          <w:sz w:val="24"/>
          <w:szCs w:val="24"/>
        </w:rPr>
        <w:t xml:space="preserve">管理服务</w:t>
      </w:r>
      <w:r>
        <w:rPr>
          <w:rFonts w:ascii="宋体" w:hAnsi="宋体" w:eastAsia="宋体" w:cs="宋体"/>
          <w:iCs/>
          <w:sz w:val="24"/>
          <w:szCs w:val="24"/>
        </w:rPr>
        <w:t xml:space="preserve">体系。运用大数据</w:t>
      </w:r>
      <w:r>
        <w:rPr>
          <w:rFonts w:hint="eastAsia" w:ascii="宋体" w:hAnsi="宋体" w:eastAsia="宋体" w:cs="宋体"/>
          <w:iCs/>
          <w:sz w:val="24"/>
          <w:szCs w:val="24"/>
        </w:rPr>
        <w:t xml:space="preserve">和人工智能</w:t>
      </w:r>
      <w:r>
        <w:rPr>
          <w:rFonts w:ascii="宋体" w:hAnsi="宋体" w:eastAsia="宋体" w:cs="宋体"/>
          <w:iCs/>
          <w:sz w:val="24"/>
          <w:szCs w:val="24"/>
        </w:rPr>
        <w:t xml:space="preserve">等手段，融合利用多维数据，完善对企业</w:t>
      </w:r>
      <w:r>
        <w:rPr>
          <w:rFonts w:hint="eastAsia" w:ascii="宋体" w:hAnsi="宋体" w:eastAsia="宋体" w:cs="宋体"/>
          <w:iCs/>
          <w:sz w:val="24"/>
          <w:szCs w:val="24"/>
        </w:rPr>
        <w:t xml:space="preserve">和个体</w:t>
      </w:r>
      <w:r>
        <w:rPr>
          <w:rFonts w:ascii="宋体" w:hAnsi="宋体" w:eastAsia="宋体" w:cs="宋体"/>
          <w:iCs/>
          <w:sz w:val="24"/>
          <w:szCs w:val="24"/>
        </w:rPr>
        <w:t xml:space="preserve">的画像和评级</w:t>
      </w:r>
      <w:r>
        <w:rPr>
          <w:rFonts w:hint="eastAsia" w:ascii="宋体" w:hAnsi="宋体" w:eastAsia="宋体" w:cs="宋体"/>
          <w:iCs/>
          <w:sz w:val="24"/>
          <w:szCs w:val="24"/>
        </w:rPr>
        <w:t xml:space="preserve">，</w:t>
      </w:r>
      <w:r>
        <w:rPr>
          <w:rFonts w:ascii="宋体" w:hAnsi="宋体" w:eastAsia="宋体" w:cs="宋体"/>
          <w:iCs/>
          <w:sz w:val="24"/>
          <w:szCs w:val="24"/>
        </w:rPr>
        <w:t xml:space="preserve">提高风</w:t>
      </w:r>
      <w:r>
        <w:rPr>
          <w:rFonts w:hint="eastAsia" w:ascii="宋体" w:hAnsi="宋体" w:eastAsia="宋体" w:cs="宋体"/>
          <w:iCs/>
          <w:sz w:val="24"/>
          <w:szCs w:val="24"/>
        </w:rPr>
        <w:t xml:space="preserve">险防控能力，探索创新业务模式，集成各类定制化、普惠化的金融产品和服务。</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城市治理：围绕我市“一网统管”工作要求，开展城市治理数据的共享与融和应用，推动城市人、地、事、物、情、组织等多维度数据融合，利用在线数据和智能方法，通过数据赋能和多维协同，帮助综合态势全面感知、事件趋势自动研判、区域资源统筹调度和处置行动人机协同，挖掘城市问题的根因并在源头上解决问题。在公共卫生、交通管理、应急管理、生态环境、基层治理、文化旅游等领域开展场景分析，实现对应领域或我市综合性态势的实时感知、风险智能研判、及时协同处置，提升我市城市治理水平。</w:t>
      </w:r>
      <w:r/>
    </w:p>
    <w:p>
      <w:pPr>
        <w:ind w:left="420"/>
        <w:spacing w:line="440" w:lineRule="exact"/>
        <w:rPr>
          <w:rFonts w:ascii="宋体" w:hAnsi="宋体" w:eastAsia="宋体" w:cs="宋体"/>
          <w:b/>
          <w:bCs/>
          <w:iCs/>
          <w:sz w:val="24"/>
          <w:szCs w:val="24"/>
        </w:rPr>
        <w:outlineLvl w:val="3"/>
      </w:pPr>
      <w:r>
        <w:rPr>
          <w:rFonts w:hint="eastAsia" w:ascii="宋体" w:hAnsi="宋体" w:eastAsia="宋体" w:cs="宋体"/>
          <w:b/>
          <w:bCs/>
          <w:iCs/>
          <w:sz w:val="24"/>
          <w:szCs w:val="24"/>
        </w:rPr>
        <w:t xml:space="preserve">4.其他服务要求：</w:t>
      </w:r>
      <w:r/>
    </w:p>
    <w:p>
      <w:pPr>
        <w:ind w:firstLine="480"/>
        <w:spacing w:line="440" w:lineRule="exact"/>
        <w:rPr>
          <w:rFonts w:ascii="宋体" w:hAnsi="宋体" w:eastAsia="宋体" w:cs="宋体"/>
          <w:iCs/>
          <w:sz w:val="24"/>
          <w:szCs w:val="24"/>
        </w:rPr>
      </w:pPr>
      <w:r>
        <w:rPr>
          <w:rFonts w:hint="eastAsia" w:ascii="宋体" w:hAnsi="宋体" w:eastAsia="宋体" w:cs="宋体"/>
          <w:iCs/>
          <w:sz w:val="24"/>
          <w:szCs w:val="24"/>
        </w:rPr>
        <w:t xml:space="preserve">4.1实施步骤：中标人须根据采购人要求，结合我市信息化年度工作安排，合理调配好技术人员，分阶段分步开展集成实施服务等保障工作。</w:t>
      </w:r>
      <w:r/>
    </w:p>
    <w:p>
      <w:pPr>
        <w:ind w:firstLine="480"/>
        <w:spacing w:line="440" w:lineRule="exact"/>
        <w:rPr>
          <w:rFonts w:ascii="宋体" w:hAnsi="Calibri" w:eastAsia="宋体" w:cs="Times New Roman"/>
          <w:iCs/>
          <w:sz w:val="28"/>
          <w:szCs w:val="20"/>
        </w:rPr>
      </w:pPr>
      <w:r>
        <w:rPr>
          <w:rFonts w:hint="eastAsia" w:ascii="宋体" w:hAnsi="宋体" w:eastAsia="宋体" w:cs="宋体"/>
          <w:iCs/>
          <w:sz w:val="24"/>
          <w:szCs w:val="24"/>
        </w:rPr>
        <w:t xml:space="preserve">4.2实施形式：本项服务</w:t>
      </w:r>
      <w:r>
        <w:rPr>
          <w:rFonts w:hint="eastAsia" w:ascii="宋体" w:hAnsi="Calibri" w:eastAsia="宋体" w:cs="Times New Roman"/>
          <w:bCs/>
          <w:iCs/>
          <w:sz w:val="24"/>
          <w:szCs w:val="20"/>
        </w:rPr>
        <w:t xml:space="preserve">内容</w:t>
      </w:r>
      <w:r>
        <w:rPr>
          <w:rFonts w:hint="eastAsia" w:ascii="宋体" w:hAnsi="宋体" w:eastAsia="宋体" w:cs="宋体"/>
          <w:iCs/>
          <w:sz w:val="24"/>
          <w:szCs w:val="24"/>
        </w:rPr>
        <w:t xml:space="preserve">会将不同类型的需求内容拆分或合并成多个需求确认单，需求确认单中会明确实施、服务、期限、维保等相关要求。采购方将需求确认单提交至中标人后，中标人根据需求确认单响应要求，在项目服务期内提供并完成对应的系统集成实施服务。</w:t>
      </w:r>
      <w:r/>
    </w:p>
    <w:p>
      <w:pPr>
        <w:ind w:firstLine="480"/>
        <w:spacing w:line="440" w:lineRule="exact"/>
        <w:rPr>
          <w:rFonts w:ascii="宋体" w:hAnsi="宋体" w:eastAsia="宋体" w:cs="宋体"/>
          <w:iCs/>
          <w:sz w:val="24"/>
          <w:szCs w:val="24"/>
          <w:highlight w:val="yellow"/>
        </w:rPr>
      </w:pPr>
      <w:r>
        <w:rPr>
          <w:rFonts w:hint="eastAsia" w:ascii="宋体" w:hAnsi="宋体" w:eastAsia="宋体" w:cs="宋体"/>
          <w:iCs/>
          <w:sz w:val="24"/>
          <w:szCs w:val="24"/>
        </w:rPr>
        <w:t xml:space="preserve">4.3以上需求经第三方评估公司评估，集成实施对应的工作量将不低于1280万。如根据上级或我市工作要求，对其他重点系统进行功能升级、优化、调整，采购方可根据实际情况对具体需求进行细化、调整、新增或置换，中标人仍须响应采购人提出的调整后的需求，提供相应的</w:t>
      </w:r>
      <w:r>
        <w:rPr>
          <w:rFonts w:hint="eastAsia" w:ascii="Arial" w:hAnsi="宋体" w:eastAsia="宋体" w:cs="宋体"/>
          <w:iCs/>
          <w:sz w:val="24"/>
          <w:szCs w:val="24"/>
        </w:rPr>
        <w:t xml:space="preserve">集成实施服务保障</w:t>
      </w:r>
      <w:r>
        <w:rPr>
          <w:rFonts w:hint="eastAsia" w:ascii="宋体" w:hAnsi="宋体" w:eastAsia="宋体" w:cs="宋体"/>
          <w:iCs/>
          <w:sz w:val="24"/>
          <w:szCs w:val="24"/>
        </w:rPr>
        <w:t xml:space="preserve">，以满足系统适应工作需要。</w:t>
      </w:r>
      <w:r/>
    </w:p>
    <w:p>
      <w:pPr>
        <w:ind w:firstLine="480"/>
        <w:spacing w:line="440" w:lineRule="exact"/>
        <w:rPr>
          <w:rFonts w:ascii="Arial" w:hAnsi="Arial" w:eastAsia="宋体" w:cs="Times New Roman"/>
          <w:iCs/>
          <w:szCs w:val="20"/>
        </w:rPr>
      </w:pPr>
      <w:r>
        <w:rPr>
          <w:rFonts w:hint="eastAsia" w:ascii="宋体" w:hAnsi="宋体" w:eastAsia="宋体" w:cs="宋体"/>
          <w:iCs/>
          <w:sz w:val="24"/>
          <w:szCs w:val="24"/>
        </w:rPr>
        <w:t xml:space="preserve">4.4如中标人未在本次合同服务期内完成采购人提出的</w:t>
      </w:r>
      <w:r>
        <w:rPr>
          <w:rFonts w:hint="eastAsia" w:ascii="Arial" w:hAnsi="宋体" w:eastAsia="宋体" w:cs="宋体"/>
          <w:iCs/>
          <w:sz w:val="24"/>
          <w:szCs w:val="24"/>
        </w:rPr>
        <w:t xml:space="preserve">集成实施服务需求</w:t>
      </w:r>
      <w:r>
        <w:rPr>
          <w:rFonts w:hint="eastAsia" w:ascii="宋体" w:hAnsi="宋体" w:eastAsia="宋体" w:cs="宋体"/>
          <w:iCs/>
          <w:sz w:val="24"/>
          <w:szCs w:val="24"/>
        </w:rPr>
        <w:t xml:space="preserve">，采购人有权要求中标人继续履行服务，直至完成交付。</w:t>
      </w:r>
      <w:r/>
    </w:p>
    <w:p>
      <w:pPr>
        <w:spacing w:line="440" w:lineRule="exact"/>
        <w:rPr>
          <w:rFonts w:ascii="宋体" w:hAnsi="宋体" w:eastAsia="宋体" w:cs="宋体"/>
          <w:sz w:val="24"/>
          <w:szCs w:val="24"/>
        </w:rPr>
      </w:pPr>
      <w:r>
        <w:rPr>
          <w:rFonts w:ascii="宋体" w:hAnsi="宋体" w:eastAsia="宋体" w:cs="宋体"/>
          <w:sz w:val="24"/>
          <w:szCs w:val="24"/>
        </w:rPr>
      </w:r>
      <w:r/>
    </w:p>
    <w:p>
      <w:pPr>
        <w:numPr>
          <w:ilvl w:val="0"/>
          <w:numId w:val="5"/>
        </w:numPr>
        <w:spacing w:line="440" w:lineRule="exact"/>
        <w:rPr>
          <w:rFonts w:ascii="宋体" w:hAnsi="宋体" w:eastAsia="宋体" w:cs="楷体"/>
          <w:bCs/>
          <w:sz w:val="28"/>
          <w:szCs w:val="28"/>
        </w:rPr>
        <w:outlineLvl w:val="2"/>
      </w:pPr>
      <w:r/>
      <w:bookmarkStart w:id="347" w:name="_Toc192239122"/>
      <w:r>
        <w:rPr>
          <w:rFonts w:hint="eastAsia" w:ascii="宋体" w:hAnsi="宋体" w:eastAsia="宋体" w:cs="楷体"/>
          <w:bCs/>
          <w:sz w:val="28"/>
          <w:szCs w:val="28"/>
        </w:rPr>
        <w:t xml:space="preserve">信息化运行维护支撑服务</w:t>
      </w:r>
      <w:bookmarkEnd w:id="347"/>
      <w:r/>
      <w:r/>
    </w:p>
    <w:p>
      <w:pPr>
        <w:ind w:firstLine="480"/>
        <w:spacing w:line="440" w:lineRule="exact"/>
        <w:rPr>
          <w:rFonts w:ascii="宋体" w:hAnsi="宋体" w:eastAsia="宋体" w:cs="宋体"/>
          <w:i/>
          <w:color w:val="000000"/>
          <w:sz w:val="24"/>
          <w:szCs w:val="24"/>
          <w:u w:val="single"/>
          <w:shd w:val="clear" w:color="auto" w:fill="ffffff"/>
        </w:rPr>
      </w:pPr>
      <w:r>
        <w:rPr>
          <w:rFonts w:hint="eastAsia" w:ascii="宋体" w:hAnsi="宋体" w:eastAsia="宋体" w:cs="宋体"/>
          <w:i/>
          <w:color w:val="000000"/>
          <w:sz w:val="24"/>
          <w:szCs w:val="24"/>
          <w:u w:val="single"/>
        </w:rPr>
        <w:t xml:space="preserve">近年来，在数字政府建设推进过程中，各部门搭建了不同的信息化系统、采购了配套的硬件设备，并且各自在开展了相关的运行维护服务。为充分摸清各部门信息化运行维护的相关情况，需要中标人</w:t>
      </w:r>
      <w:r>
        <w:rPr>
          <w:rFonts w:hint="eastAsia" w:ascii="宋体" w:hAnsi="宋体" w:eastAsia="宋体" w:cs="宋体"/>
          <w:i/>
          <w:color w:val="000000"/>
          <w:sz w:val="24"/>
          <w:szCs w:val="24"/>
          <w:u w:val="single"/>
        </w:rPr>
        <w:t xml:space="preserve">组建专业的团队、提供专业的服务，一方面满足各部门提出的信息化运维需求，确保平台、系统等平稳运行。另一方面需要对全市信息化运维</w:t>
      </w:r>
      <w:r>
        <w:rPr>
          <w:rFonts w:hint="eastAsia" w:ascii="宋体" w:hAnsi="宋体" w:eastAsia="宋体" w:cs="宋体"/>
          <w:i/>
          <w:color w:val="000000"/>
          <w:sz w:val="24"/>
          <w:szCs w:val="24"/>
          <w:u w:val="single"/>
          <w:shd w:val="clear" w:color="auto" w:fill="ffffff"/>
        </w:rPr>
        <w:t xml:space="preserve">现状进行整体分析，充分理解并掌握此次涉及的全市运维项目需求情况，包括项目需求的分类、数量、规模、使用情况、存在的问题等，同时制定切合实际的运维服务方案，在运维过程中对采购单位和使用单位负责，并及时向采购单位和使用单位提交运维报告，对运维工作提出合理的优化建议。</w:t>
      </w:r>
      <w:r/>
    </w:p>
    <w:p>
      <w:pPr>
        <w:ind w:firstLine="480"/>
        <w:spacing w:line="440" w:lineRule="exact"/>
        <w:rPr>
          <w:rFonts w:ascii="Arial" w:hAnsi="宋体" w:eastAsia="宋体" w:cs="宋体"/>
          <w:i/>
          <w:color w:val="000000"/>
          <w:sz w:val="24"/>
          <w:szCs w:val="24"/>
          <w:u w:val="single"/>
          <w:shd w:val="clear" w:color="auto" w:fill="ffffff"/>
        </w:rPr>
        <w:outlineLvl w:val="3"/>
      </w:pPr>
      <w:r>
        <w:rPr>
          <w:rFonts w:ascii="宋体" w:hAnsi="宋体" w:eastAsia="宋体" w:cs="宋体"/>
          <w:i/>
          <w:color w:val="000000"/>
          <w:sz w:val="24"/>
          <w:szCs w:val="24"/>
          <w:u w:val="single"/>
          <w:shd w:val="clear" w:color="auto" w:fill="ffffff"/>
        </w:rPr>
        <w:t xml:space="preserve">1.本</w:t>
      </w:r>
      <w:r>
        <w:rPr>
          <w:rFonts w:hint="eastAsia" w:ascii="Arial" w:hAnsi="宋体" w:eastAsia="宋体" w:cs="宋体"/>
          <w:i/>
          <w:color w:val="000000"/>
          <w:sz w:val="24"/>
          <w:szCs w:val="24"/>
          <w:u w:val="single"/>
          <w:shd w:val="clear" w:color="auto" w:fill="ffffff"/>
        </w:rPr>
        <w:t xml:space="preserve">次需求主要分为以下类型：</w:t>
      </w:r>
      <w:r/>
    </w:p>
    <w:tbl>
      <w:tblPr>
        <w:tblStyle w:val="926"/>
        <w:tblW w:w="48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3"/>
        <w:gridCol w:w="2222"/>
        <w:gridCol w:w="4382"/>
        <w:gridCol w:w="3108"/>
      </w:tblGrid>
      <w:tr>
        <w:trPr/>
        <w:tc>
          <w:tcPr>
            <w:tcW w:w="241" w:type="pct"/>
            <w:vAlign w:val="center"/>
            <w:textDirection w:val="lrTb"/>
            <w:noWrap w:val="false"/>
          </w:tcPr>
          <w:p>
            <w:pPr>
              <w:jc w:val="center"/>
              <w:spacing w:line="440" w:lineRule="exact"/>
              <w:rPr>
                <w:b/>
                <w:bCs/>
                <w:i/>
                <w:color w:val="000000"/>
                <w:sz w:val="24"/>
                <w:szCs w:val="24"/>
                <w:u w:val="single"/>
                <w:shd w:val="clear" w:color="auto" w:fill="ffffff"/>
              </w:rPr>
            </w:pPr>
            <w:r>
              <w:rPr>
                <w:rFonts w:hint="eastAsia" w:ascii="Arial" w:hAnsi="宋体" w:cs="宋体"/>
                <w:b/>
                <w:bCs/>
                <w:i/>
                <w:color w:val="000000"/>
                <w:sz w:val="24"/>
                <w:szCs w:val="24"/>
                <w:u w:val="single"/>
                <w:shd w:val="clear" w:color="auto" w:fill="ffffff"/>
              </w:rPr>
              <w:t xml:space="preserve">序号</w:t>
            </w:r>
            <w:r/>
          </w:p>
        </w:tc>
        <w:tc>
          <w:tcPr>
            <w:tcW w:w="1088" w:type="pct"/>
            <w:vAlign w:val="center"/>
            <w:textDirection w:val="lrTb"/>
            <w:noWrap w:val="false"/>
          </w:tcPr>
          <w:p>
            <w:pPr>
              <w:jc w:val="center"/>
              <w:spacing w:line="440" w:lineRule="exact"/>
              <w:rPr>
                <w:b/>
                <w:bCs/>
                <w:i/>
                <w:color w:val="000000"/>
                <w:sz w:val="24"/>
                <w:szCs w:val="24"/>
                <w:u w:val="single"/>
                <w:shd w:val="clear" w:color="auto" w:fill="ffffff"/>
              </w:rPr>
            </w:pPr>
            <w:r>
              <w:rPr>
                <w:rFonts w:hint="eastAsia" w:ascii="Arial" w:hAnsi="宋体" w:cs="宋体"/>
                <w:b/>
                <w:bCs/>
                <w:i/>
                <w:color w:val="000000"/>
                <w:sz w:val="24"/>
                <w:szCs w:val="24"/>
                <w:u w:val="single"/>
                <w:shd w:val="clear" w:color="auto" w:fill="ffffff"/>
              </w:rPr>
              <w:t xml:space="preserve">类型</w:t>
            </w:r>
            <w:r/>
          </w:p>
        </w:tc>
        <w:tc>
          <w:tcPr>
            <w:tcW w:w="2147" w:type="pct"/>
            <w:vAlign w:val="center"/>
            <w:textDirection w:val="lrTb"/>
            <w:noWrap w:val="false"/>
          </w:tcPr>
          <w:p>
            <w:pPr>
              <w:jc w:val="center"/>
              <w:spacing w:line="440" w:lineRule="exact"/>
              <w:rPr>
                <w:b/>
                <w:bCs/>
                <w:i/>
                <w:color w:val="000000"/>
                <w:sz w:val="24"/>
                <w:szCs w:val="24"/>
                <w:u w:val="single"/>
                <w:shd w:val="clear" w:color="auto" w:fill="ffffff"/>
              </w:rPr>
            </w:pPr>
            <w:r>
              <w:rPr>
                <w:rFonts w:hint="eastAsia" w:ascii="Arial" w:hAnsi="宋体" w:cs="宋体"/>
                <w:b/>
                <w:bCs/>
                <w:i/>
                <w:color w:val="000000"/>
                <w:sz w:val="24"/>
                <w:szCs w:val="24"/>
                <w:u w:val="single"/>
                <w:shd w:val="clear" w:color="auto" w:fill="ffffff"/>
              </w:rPr>
              <w:t xml:space="preserve">内容简介</w:t>
            </w:r>
            <w:r/>
          </w:p>
        </w:tc>
        <w:tc>
          <w:tcPr>
            <w:tcW w:w="1523" w:type="pct"/>
            <w:vAlign w:val="center"/>
            <w:textDirection w:val="lrTb"/>
            <w:noWrap w:val="false"/>
          </w:tcPr>
          <w:p>
            <w:pPr>
              <w:jc w:val="center"/>
              <w:spacing w:line="440" w:lineRule="exact"/>
              <w:rPr>
                <w:b/>
                <w:bCs/>
                <w:i/>
                <w:color w:val="000000"/>
                <w:sz w:val="24"/>
                <w:szCs w:val="24"/>
                <w:u w:val="single"/>
                <w:shd w:val="clear" w:color="auto" w:fill="ffffff"/>
              </w:rPr>
            </w:pPr>
            <w:r>
              <w:rPr>
                <w:rFonts w:hint="eastAsia" w:ascii="Arial" w:hAnsi="宋体" w:cs="宋体"/>
                <w:b/>
                <w:bCs/>
                <w:i/>
                <w:color w:val="000000"/>
                <w:sz w:val="24"/>
                <w:szCs w:val="24"/>
                <w:u w:val="single"/>
                <w:shd w:val="clear" w:color="auto" w:fill="ffffff"/>
              </w:rPr>
              <w:t xml:space="preserve">备注</w:t>
            </w:r>
            <w:r/>
          </w:p>
        </w:tc>
      </w:tr>
      <w:tr>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1</w:t>
            </w:r>
            <w:r/>
          </w:p>
        </w:tc>
        <w:tc>
          <w:tcPr>
            <w:tcW w:w="1088" w:type="pct"/>
            <w:vAlign w:val="center"/>
            <w:textDirection w:val="lrTb"/>
            <w:noWrap w:val="false"/>
          </w:tcPr>
          <w:p>
            <w:pPr>
              <w:jc w:val="center"/>
              <w:spacing w:line="440" w:lineRule="exact"/>
              <w:rPr>
                <w:i/>
                <w:color w:val="000000"/>
                <w:sz w:val="24"/>
                <w:szCs w:val="24"/>
                <w:u w:val="single"/>
                <w:shd w:val="clear" w:color="auto" w:fill="ffffff"/>
              </w:rPr>
            </w:pPr>
            <w:r/>
            <w:bookmarkStart w:id="348" w:name="_Hlk191559348"/>
            <w:r>
              <w:rPr>
                <w:rFonts w:hint="eastAsia" w:ascii="宋体" w:hAnsi="宋体" w:cs="宋体"/>
                <w:i/>
                <w:color w:val="000000"/>
                <w:sz w:val="24"/>
                <w:szCs w:val="24"/>
                <w:u w:val="single"/>
                <w:shd w:val="clear" w:color="auto" w:fill="ffffff"/>
              </w:rPr>
              <w:t xml:space="preserve">软件信息系统运维服务</w:t>
            </w:r>
            <w:bookmarkEnd w:id="348"/>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对全市各部门信息化系统进行整体维护</w:t>
            </w:r>
            <w:r/>
          </w:p>
        </w:tc>
        <w:tc>
          <w:tcPr>
            <w:tcW w:w="1523"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保障系统正常运行，按需提供驻场服务</w:t>
            </w:r>
            <w:r/>
          </w:p>
        </w:tc>
      </w:tr>
      <w:tr>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2</w:t>
            </w:r>
            <w:r/>
          </w:p>
        </w:tc>
        <w:tc>
          <w:tcPr>
            <w:tcW w:w="1088" w:type="pct"/>
            <w:vAlign w:val="center"/>
            <w:textDirection w:val="lrTb"/>
            <w:noWrap w:val="false"/>
          </w:tcPr>
          <w:p>
            <w:pPr>
              <w:jc w:val="cente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硬件设备或系统运维服务</w:t>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对全市各部门涉及的硬件或硬件系统进行整体维护</w:t>
            </w:r>
            <w:r/>
          </w:p>
        </w:tc>
        <w:tc>
          <w:tcPr>
            <w:tcW w:w="1523"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保障硬件或硬件系统正常运行，按需购买设备续保服务</w:t>
            </w:r>
            <w:r/>
          </w:p>
        </w:tc>
      </w:tr>
      <w:tr>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3</w:t>
            </w:r>
            <w:r/>
          </w:p>
        </w:tc>
        <w:tc>
          <w:tcPr>
            <w:tcW w:w="1088" w:type="pct"/>
            <w:vAlign w:val="center"/>
            <w:textDirection w:val="lrTb"/>
            <w:noWrap w:val="false"/>
          </w:tcPr>
          <w:p>
            <w:pPr>
              <w:jc w:val="center"/>
              <w:spacing w:line="440" w:lineRule="exact"/>
              <w:rPr>
                <w:i/>
                <w:color w:val="000000"/>
                <w:sz w:val="24"/>
                <w:szCs w:val="24"/>
                <w:u w:val="single"/>
                <w:shd w:val="clear" w:color="auto" w:fill="ffffff"/>
              </w:rPr>
            </w:pPr>
            <w:r>
              <w:rPr>
                <w:rFonts w:hint="eastAsia" w:ascii="宋体" w:hAnsi="宋体" w:cs="宋体"/>
                <w:i/>
                <w:sz w:val="24"/>
                <w:szCs w:val="24"/>
                <w:u w:val="single"/>
              </w:rPr>
              <w:t xml:space="preserve">信息安全服务</w:t>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满足部门提出的针对具体系统或整个单位的信息安全服务要求</w:t>
            </w:r>
            <w:r/>
          </w:p>
        </w:tc>
        <w:tc>
          <w:tcPr>
            <w:tcW w:w="1523"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按需提供驻场服务</w:t>
            </w:r>
            <w:r/>
          </w:p>
        </w:tc>
      </w:tr>
      <w:tr>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4</w:t>
            </w:r>
            <w:r/>
          </w:p>
        </w:tc>
        <w:tc>
          <w:tcPr>
            <w:tcW w:w="1088" w:type="pct"/>
            <w:vAlign w:val="center"/>
            <w:textDirection w:val="lrTb"/>
            <w:noWrap w:val="false"/>
          </w:tcPr>
          <w:p>
            <w:pPr>
              <w:jc w:val="center"/>
              <w:spacing w:line="440" w:lineRule="exact"/>
              <w:rPr>
                <w:i/>
                <w:color w:val="000000"/>
                <w:sz w:val="24"/>
                <w:szCs w:val="24"/>
                <w:u w:val="single"/>
                <w:shd w:val="clear" w:color="auto" w:fill="ffffff"/>
              </w:rPr>
            </w:pPr>
            <w:r>
              <w:rPr>
                <w:rFonts w:hint="eastAsia" w:ascii="宋体" w:hAnsi="宋体" w:cs="宋体"/>
                <w:i/>
                <w:sz w:val="24"/>
                <w:szCs w:val="24"/>
                <w:u w:val="single"/>
              </w:rPr>
              <w:t xml:space="preserve">云网链路等服务</w:t>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提供政务云、链路、机柜租赁、短信等服务</w:t>
            </w:r>
            <w:r/>
          </w:p>
        </w:tc>
        <w:tc>
          <w:tcPr>
            <w:tcW w:w="1523"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保障正常使用</w:t>
            </w:r>
            <w:r/>
          </w:p>
        </w:tc>
      </w:tr>
      <w:tr>
        <w:trPr>
          <w:trHeight w:val="374"/>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5</w:t>
            </w:r>
            <w:r/>
          </w:p>
        </w:tc>
        <w:tc>
          <w:tcPr>
            <w:tcW w:w="1088" w:type="pct"/>
            <w:vAlign w:val="center"/>
            <w:textDirection w:val="lrTb"/>
            <w:noWrap w:val="false"/>
          </w:tcPr>
          <w:p>
            <w:pPr>
              <w:jc w:val="center"/>
              <w:spacing w:line="440" w:lineRule="exact"/>
              <w:rPr>
                <w:i/>
                <w:sz w:val="24"/>
                <w:szCs w:val="24"/>
                <w:u w:val="single"/>
              </w:rPr>
            </w:pPr>
            <w:r>
              <w:rPr>
                <w:rFonts w:hint="eastAsia" w:ascii="宋体" w:hAnsi="宋体" w:cs="宋体"/>
                <w:i/>
                <w:sz w:val="24"/>
                <w:szCs w:val="24"/>
                <w:u w:val="single"/>
              </w:rPr>
              <w:t xml:space="preserve">等保密评服务</w:t>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根据行业标准对系统开展等级保护测评和商用密码评估测评</w:t>
            </w:r>
            <w:r/>
          </w:p>
        </w:tc>
        <w:tc>
          <w:tcPr>
            <w:tcW w:w="1523"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提供标准化的报告</w:t>
            </w:r>
            <w:r/>
          </w:p>
        </w:tc>
      </w:tr>
      <w:tr>
        <w:trPr/>
        <w:tc>
          <w:tcPr>
            <w:tcW w:w="241" w:type="pct"/>
            <w:vAlign w:val="center"/>
            <w:textDirection w:val="lrTb"/>
            <w:noWrap w:val="false"/>
          </w:tcPr>
          <w:p>
            <w:pPr>
              <w:jc w:val="center"/>
              <w:spacing w:line="440" w:lineRule="exact"/>
              <w:rPr>
                <w:i/>
                <w:color w:val="000000"/>
                <w:sz w:val="24"/>
                <w:szCs w:val="24"/>
                <w:u w:val="single"/>
                <w:shd w:val="clear" w:color="auto" w:fill="ffffff"/>
              </w:rPr>
            </w:pPr>
            <w:r>
              <w:rPr>
                <w:rFonts w:ascii="宋体" w:hAnsi="宋体" w:cs="宋体"/>
                <w:i/>
                <w:color w:val="000000"/>
                <w:sz w:val="24"/>
                <w:szCs w:val="24"/>
                <w:u w:val="single"/>
                <w:shd w:val="clear" w:color="auto" w:fill="ffffff"/>
              </w:rPr>
              <w:t xml:space="preserve">6</w:t>
            </w:r>
            <w:r/>
          </w:p>
        </w:tc>
        <w:tc>
          <w:tcPr>
            <w:tcW w:w="1088" w:type="pct"/>
            <w:vAlign w:val="center"/>
            <w:textDirection w:val="lrTb"/>
            <w:noWrap w:val="false"/>
          </w:tcPr>
          <w:p>
            <w:pPr>
              <w:jc w:val="cente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其他运行维护服务</w:t>
            </w:r>
            <w:r/>
          </w:p>
        </w:tc>
        <w:tc>
          <w:tcPr>
            <w:tcW w:w="2147" w:type="pct"/>
            <w:vAlign w:val="center"/>
            <w:textDirection w:val="lrTb"/>
            <w:noWrap w:val="false"/>
          </w:tcPr>
          <w:p>
            <w:pPr>
              <w:spacing w:line="440" w:lineRule="exact"/>
              <w:rPr>
                <w:i/>
                <w:color w:val="000000"/>
                <w:sz w:val="24"/>
                <w:szCs w:val="24"/>
                <w:u w:val="single"/>
                <w:shd w:val="clear" w:color="auto" w:fill="ffffff"/>
              </w:rPr>
            </w:pPr>
            <w:r>
              <w:rPr>
                <w:rFonts w:hint="eastAsia" w:ascii="宋体" w:hAnsi="宋体" w:cs="宋体"/>
                <w:i/>
                <w:color w:val="000000"/>
                <w:sz w:val="24"/>
                <w:szCs w:val="24"/>
                <w:u w:val="single"/>
                <w:shd w:val="clear" w:color="auto" w:fill="ffffff"/>
              </w:rPr>
              <w:t xml:space="preserve">其他定制化、专业化运维服务</w:t>
            </w:r>
            <w:r/>
          </w:p>
        </w:tc>
        <w:tc>
          <w:tcPr>
            <w:tcW w:w="1523" w:type="pct"/>
            <w:vAlign w:val="center"/>
            <w:textDirection w:val="lrTb"/>
            <w:noWrap w:val="false"/>
          </w:tcPr>
          <w:p>
            <w:pPr>
              <w:spacing w:line="440" w:lineRule="exact"/>
              <w:rPr>
                <w:i/>
                <w:color w:val="000000"/>
                <w:sz w:val="24"/>
                <w:szCs w:val="24"/>
                <w:u w:val="single"/>
                <w:shd w:val="clear" w:color="auto" w:fill="ffffff"/>
              </w:rPr>
            </w:pPr>
            <w:r>
              <w:rPr>
                <w:i/>
                <w:color w:val="000000"/>
                <w:sz w:val="24"/>
                <w:szCs w:val="24"/>
                <w:u w:val="single"/>
                <w:shd w:val="clear" w:color="auto" w:fill="ffffff"/>
              </w:rPr>
            </w:r>
            <w:r/>
          </w:p>
        </w:tc>
      </w:tr>
    </w:tbl>
    <w:p>
      <w:pPr>
        <w:spacing w:line="440" w:lineRule="exact"/>
        <w:rPr>
          <w:rFonts w:ascii="Arial" w:hAnsi="宋体" w:eastAsia="宋体" w:cs="宋体"/>
          <w:color w:val="000000"/>
          <w:sz w:val="24"/>
          <w:szCs w:val="24"/>
          <w:shd w:val="clear" w:color="auto" w:fill="ffffff"/>
        </w:rPr>
      </w:pPr>
      <w:r>
        <w:rPr>
          <w:rFonts w:ascii="Arial" w:hAnsi="宋体" w:eastAsia="宋体" w:cs="宋体"/>
          <w:color w:val="000000"/>
          <w:sz w:val="24"/>
          <w:szCs w:val="24"/>
          <w:shd w:val="clear" w:color="auto" w:fill="ffffff"/>
        </w:rPr>
      </w:r>
      <w:bookmarkEnd w:id="345"/>
      <w:r/>
      <w:r/>
    </w:p>
    <w:p>
      <w:pPr>
        <w:ind w:firstLine="480"/>
        <w:spacing w:line="440" w:lineRule="exact"/>
        <w:rPr>
          <w:rFonts w:ascii="宋体" w:hAnsi="宋体" w:eastAsia="宋体" w:cs="宋体"/>
          <w:color w:val="000000"/>
          <w:sz w:val="24"/>
          <w:szCs w:val="24"/>
          <w:shd w:val="clear" w:color="auto" w:fill="ffffff"/>
        </w:rPr>
        <w:outlineLvl w:val="3"/>
      </w:pPr>
      <w:r>
        <w:rPr>
          <w:rFonts w:hint="eastAsia" w:ascii="宋体" w:hAnsi="宋体" w:eastAsia="宋体" w:cs="宋体"/>
          <w:color w:val="000000"/>
          <w:sz w:val="24"/>
          <w:szCs w:val="24"/>
          <w:shd w:val="clear" w:color="auto" w:fill="ffffff"/>
        </w:rPr>
        <w:t xml:space="preserve">2.补充运维服务要求如下：</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（服务实施过程中如遇到信息系统关停、整合、调整、迁移、升级等情况，对应与之相关的服务内容可能会作相应调整，以使用单位实际需求为准）</w:t>
      </w:r>
      <w:r/>
    </w:p>
    <w:p>
      <w:pPr>
        <w:spacing w:line="44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（1）</w:t>
      </w:r>
      <w:bookmarkStart w:id="349" w:name="_Hlk191564238"/>
      <w:r>
        <w:rPr>
          <w:rFonts w:hint="eastAsia" w:ascii="宋体" w:hAnsi="宋体" w:eastAsia="宋体" w:cs="宋体"/>
          <w:b/>
          <w:bCs/>
          <w:sz w:val="24"/>
          <w:szCs w:val="24"/>
        </w:rPr>
        <w:t xml:space="preserve">软件信息系统运维服务</w:t>
      </w:r>
      <w:bookmarkEnd w:id="349"/>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为确保系统正常运行，日常巡检频次原则上不低于1次/月，具体频次视系统重要程度以及使用单位需求按需调整。巡检内容不限于软件功能、服务器、网络、数据、接口等方面。</w:t>
      </w:r>
      <w:r/>
    </w:p>
    <w:p>
      <w:pPr>
        <w:ind w:firstLine="482"/>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需求1：商贸领域安全生产管理系统运维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附件备份，数据库备份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遇到BUG时修复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需求2：原产地智慧审证辅助系统运维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协助数据共享接口服务。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提供对安全扫描、渗透测试等方式检查出的问题进行修复，常规问题2小时内解决。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数据采集的更新服务，规则优化服务，协助安全管理服务。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需求3：智慧教育云平台之基础平台运维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1.数据导入校对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基于用户管理系统提供用户及组织机构基础数据完整性、准确性校对服务。在日常运维过程中及时对新增用户入学、转学、升学等信息变动以及学校、机构调整信息进行导入和校对。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2.各类报表统计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根据实际需求，人工抽取并汇总平台各功能模块的相关数据，完成平台运行月报、季报的撰写。</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提供7*24小时技术支撑服务：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般故障：非业务高峰期，平台服务不能正常使用，以及其它故障需在2个小时内响应；严重故障：业务高峰期，平台服务在部分不能使用的故障需在1个小时内响应；紧急故障：业务高峰期，平台服务完全中断超过20分钟的故障需在30分钟内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定期进行平台敏感信息、暗链、黑链等的安全检测。提供对安全扫描、渗透测试等方式检查出的问题进行修复，确保立刻响应，半小时内处理。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1.线上客户服务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提供7*14小时（8:00~22:00）线上客服服务，针对使用平台过程中遇到的问题提供多种渠道的咨询、投诉、建议服务。同时具备专业客服团队，提供规范的、全流程的客服，保证服务质量。</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提供数据库和资源文件周期性备份、备份文件归档和巡检服务。数据库文件备份频率为每天1次，每天全量备份，保留最近7天以上备份文件。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需求4：教师招考线上报名系统运维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相关数据优化和备份（4次）。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相关漏洞修改和程序优化（3，11月）。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安全扫描、渗透（5月，11月）。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需求5：义务教育学校办学绩效绿色评价系统运维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相关数据优化和整理（12次）。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相关漏洞修改和程序优化（4，12月）。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安全扫描、渗透（5月，11月）。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需求6：教育督导信息管理平台运维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相关数据优化和整理（3次）。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相关漏洞修改和程序优化。</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安全扫描、渗透（5月，11月）。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需求7：学前教育综合管理平台运维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相关数据优化和整理（15次）。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相关漏洞修改和程序优化（1，4，7，11月）。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安全扫描、渗透（5月，11月）。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需求8：学前教育和义务教育阶段招生入学平台运维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维保期间内无次数。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每年如有调整报名内容做相应的调整。</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需求9：中招网上志愿填报系统运维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4次以上数据服务。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1．维护并测试中招网上志愿填报系统软件，及时解决使用者遇到的问题，保障系统软件在招生期间的正常运转。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2．负责系统的数据备份、录入、调整、排版和调试工作，保障系统在招生期间的正常运转。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3．提供专业技术人员技术保障，确保招生系统正常运转。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4．协助招生办完成网上志愿填报的相关工作。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5．针对突发事件，对服务器和系统进行重新部署、调试及恢复数据。</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需求10：市级教研大数据分析系统运维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提供数据处理、统计服务1次。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 7*24 小时不间断技术支持服务，接到报修的半小时内做出响应，2小时形成处理方案，8小时内修复完毕。</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针对安全扫描、渗透测试等方式检查出的问题，即刻做出响应形成解决方案，并在4小时内完成修复。</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需求11：人工智能教育应用平台运维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数据更新发布服务1次，维护平台各类角色授权、更新服务1次。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 7*24 小时不间断技术支持服务，接到报修的半小时内做出响应，2小时形成处理方案，8小时内修复完毕。</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针对安全扫描、渗透测试等方式检查出的问题，即刻做出响应形成解决方案，并在4小时内完成修复。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需求12：网格化联动指挥平台运维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按要求做好数据标准化、共享工作（按数据局、部门需要）；提供网格调整及网格图册发布工作（涉及全市14个镇街道1500+三级网格及微网格）；协助中心做好数据统计（日常后台数据导出约2次/1周，重要时间节点如提供巡视数据材料需在1天内提供，次数不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修复由系统或功能本身存在BUG导致业务无法正常进行等问题，紧急问题1天内修复，常规问题3天内修复，问题处理率100%。</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提供对安全扫描、渗透测试等方式检查出的问题进行修复等服务，5天内处理完成，处理率100%。</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按需扩展平台功能，提供不超50人/日工作量的技术实施服务。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需求13：房屋征收管理信息系统运维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按需对系统数据进行加工处理统计，次数不固定。</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修复时间：工作日4小时内，非工作日24小时内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问题响应：随时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修复时间：工作日2小时内，非工作日12小时内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提供数据报表设计咨询和指导，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部分新功能咨询和指导，按需进行功能调整和实施</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需求14：公共信用信息平台运维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提供数据库运维保障</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数据库工作：查看数据库日志，查看跟踪文件，检查是否有错误信息，数据库备份策略及备份文件检查等，性能管理；进行数据库性能管理，包括分析、优化及建议工作。</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数据库业务工作：进行日常数据库配置，进行应用程序工具构建和配置网络环境，管理数据库的用户、组、对象、索引、视图，解决客户端中间层和服务器的链接问题，控制和监控用户对数据库的存取访问，查看数据库日志，查看跟踪文件，检查是否有错误信息，维护数据库的安全性，防止数据泄露和非法访问。</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数据库故障应急处理：制定数据库应急保障计划。</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软件管理运行维护</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预防性维护服务：对服务器系统进行定期巡检，监控服务器系统的运行状况，发现异常及时处理。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代码bug改善服务：软件运行过程中出现的代码bug，功能故障的改善及解决。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优化性维护服务：对服务器操作系统补丁升级，配置修改，设备组件维护。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协助配合等保测评工作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配合等级保护二级：协助第三方公司进行等保二级测评工作，做好等保测评过程中的问题整改督促工作。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协助指标材料编写和审查：配合等保测评公司，保证项目的设计符合安全等级规范，协助报送材料编制整理，审查等保测评公司出具的测评报告报告和等保备案扫描件。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平台网站运行保障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网站内容运营：协助信用管理部门进行网站栏目内容的维护更新。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平台系统运行监控：系统巡检、存储巡检、系统监控、告警处理等。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系统应急处理：提供应用系统的安全以及故障应急处理服务，包括应急故障定位、分析、解决。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需求15：人防战备信息平台运维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不定期不定次业务数据整理增补和修改、地图数据整理以及服务发布。</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及时响应，1个工作日内修复。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及时配合安全扫描单位进行升级补丁、修复漏洞等操作。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需求16：数字民建管理平台运维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30次数据服务。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立即响应，根据异常问题指定解决方案。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立即响应，根据异常问题指定解决方案。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针对应用系统的使用情况，进行优化；同时定期进行业务培训。</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需求17：审计整改管理平台运维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数据备份：定期做好系统数据备份，并对备份数据进行妥善保管。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功能改进：根据要求对平台现有功能进行改进(特指在不改变原有软件架 构基础上的功能改进)。涉及到改变软件架构基础的功能改进另行协商处理。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缺陷修复：指平台运行过程中产生的功能异常，兼容性问题，性能缺陷等修复工作。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技术解答：通过电话、邮件等方式提供平台技术问题解答。</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需求18：涉农项目管理系统运维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需求19：村庄人居环境整治平台运维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需求20：“智慧三农”综合执法系统运维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需求21：智慧三农平台农产品质量监管平台运维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需求22：农村土地承包经营权确权登记颁证管理平台运维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需求23：农药管理平台使用及运维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需求24：犬（猫）免疫管理系统运维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需求25：智慧禁渔线上群管小程序运维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修复时间≤72小时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需求26：安居超市平台系统运维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维保期间内无次数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需求27：新市民服务管理平台运维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维保期间内无次数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立即响应，1小时提供解决方案，1个工作日内解决问题。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需求28：新市民积分管理系统运维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提供对系统数据进行加工、处理、统计等服务/每周。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修复由系统或功能本身存在BUG导致业务无法正常进行等问题；响应时间1-2h，修复时间6-8h。</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提供对安全扫描、渗透测试等方式检查出的问题进行修复等服务；响应时间1-2h，修复时间6-8h。</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需求29：编制实名制信息管理系统运维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1.现运行系统功能和数据结构范围内的日常维护及优化升级。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2.在现有数据上报接口功能范围内，提供苏州编办、省编办、中编办核查系统数据接口技术支持。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3.提供操作系统、程序软件的补丁升级。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4.提供平台的移机、服务器的迁移、软件系统的灾难性恢复。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5.根据要求梳理相关文档。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6.核查数据月报工作配合。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7.由于中编办核查系统的程序版本不定期更新，及省编办数据月报要求的不定期调整，导致实名</w:t>
      </w:r>
      <w:r>
        <w:rPr>
          <w:rFonts w:hint="eastAsia" w:ascii="宋体" w:hAnsi="宋体" w:eastAsia="宋体" w:cs="宋体"/>
          <w:sz w:val="24"/>
          <w:szCs w:val="24"/>
        </w:rPr>
        <w:t xml:space="preserve">制系统的核查数据月报接口需要同步更新。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正常情况下5*8的技术支持（电话、远程技术支持）。突发事件情况下7*24的紧急技术支持（电话、远程技术支持），在电话和远程无法解决的情况下，提供24小时内上门服务。遇到灾难性宕机后，系统恢复服务的时间在24小时以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正常情况下5*8的技术支持（电话、远程技术支持）。突发事件情况下7*24的紧急技术支持（电话、远程技术支持），在电话和远程无法解决的情况下，提供24小时内上门服务。遇到灾难性宕机后，系统恢复服务的时间在24小时以内。</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需求30：医保微信公共服务平台运维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无</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响应时间：1小时；修复时间4小时。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提供对安全扫描、渗透测试等方式检查出的问题进行修复等服务，响应时间：1小时；修复时间24小时。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需求31：医疗保障基础支撑平台运维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系统数据进行加工、处理、统计约1000次/年。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响应时间：1小时；修复时间4小时。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提供对安全扫描、渗透测试等方式检查出的问题进行修复等服务，响应时间：1小时；修复时间24小时。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针对应用系统的使用情况，进行业务模板优化调整；同时按需进行业务培训；对接第三方公司，进行数据对接；配合省回流调整，回流数据处理。</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需求32：医疗保障信息平台运维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系统数据进行加工、处理、统计约2000次/年。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响应时间：10分钟；一般故障修复时间4小时，严重故障修复时间12小时。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提供对安全扫描、渗透测试等方式检查出的问题进行修复等服务，响应时间：1小时；修复时间24小时。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需求33：医保OA系统运维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响应时间：30分钟；修复时间：一般问题30分钟，复杂问题48小时。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提供对安全扫描、渗透测试等方式检查出的问题进行修复等服务，响应时间：30小时；修复时间：一般问题30分钟，复杂问题48小时。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需求34：数据回流同步软件（DSG）运维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小时维护服务响应，及时处理同步链路中增表、减表、调整、修复、重建等工作。协助业务人员比对本地和省厅表数据是否一致，协助对回流表字段进行增加、修改等服务。配合统计数据、增删索引、修改账户、空间告警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1.由单独表数据不一致导致同步异常的情况，10分钟内进行响应并反馈，1小时内重新修复该表并恢复同步链路。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2.由软件版本导致的同步异常的情况，10分钟内进行响应并反馈，2小时内重新部署新版本并恢复同步链路。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3.由苏州市本级端产生故障导致同步异常的情况，1小时内进行响应并反馈，1周内重新初始化并恢复同步链路。</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1.对于数据库修复补丁、升级版本，服务器系统打补丁的情况，做到10分钟内响应并反馈，1小时内升级同步软件版本并恢复链路。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2.对于服务器重装系统，更换存储等情况，做到1小时内响应并反馈。1天内修复结算主表通道链路，2天内修复剩余业务表同步通道链路。</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需求35：政府投资项目管理系统运维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不限次数的数据服务。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1.对使用系统的单位经办人提供上门指导和培训。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2.上门修改或修复数据。</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需求36：苏采云本地运维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结合用户需求，进行苏采云平台数据统计以及查询处理。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立即响应，2小时内提供解决方案，工作日当天解决问题。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系统扫描、渗透测试等由省厅统一开展，具体响应要求由省厅统一管理。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远程运维保障，运维问题回复。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2.现场开评标保障需求响应，前往现场保障。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3.新业务推广汇报，现场演示。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4.提供系统培训工作。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需求37：智慧财政综合业务系统运维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省一体化平台数据回流服务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1.日常运维服务，对系统内基础资料进行维护，年度系统初始化等。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2.数据处理服务，对软件数据进行处理、分析，提供审计要求的业务、账务数据、抽取分析等服务支持。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3.财政UKEY制作和服务，为市镇两级财政用户提供UKEY制作和服务工作，包括制作、更换、注销、解锁、使用培训等。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4.能力提升服务，不定期培训、文档资料共享、常见问题FAQ。</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50" w:name="_Hlk191566635"/>
      <w:r>
        <w:rPr>
          <w:rFonts w:hint="eastAsia" w:ascii="宋体" w:hAnsi="宋体" w:eastAsia="宋体" w:cs="宋体"/>
          <w:b/>
          <w:bCs/>
          <w:sz w:val="24"/>
          <w:szCs w:val="24"/>
        </w:rPr>
        <w:t xml:space="preserve">需求38：工业及统计大数据平台运维</w:t>
      </w:r>
      <w:bookmarkEnd w:id="350"/>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1.配合常熟15个乡镇板块完善工业用地的更新。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2.配合常熟15个乡镇板块完善工业用地承租企业的更新。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3.配合常熟工信完成工业企业各指标数据的采集更新，如能耗、排放、消防、安全生产等数据更新。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4.配合常熟15个乡镇板块完成工业企业各指标数据核实修正。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5.配合常熟工信完成工业企业年度评价。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6.配合常熟工信完成工业企业年度评价分析报告。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7.不定期对系统数据进行备份。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以上数据服务不计次数。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立即响应，4小时内解决问题。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需求39：工业及统计大数据平台与数字政府门户对接维护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立即响应，4小时内解决问题。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需求40：智慧应急平台运维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报修后必须于4小时内响应，并提供远程诊断。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报修后如通过远程诊断无法解决的，必须于24小时内响应，进行上门服务，直至故障、异常解决。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修复时间2个工作日内完成，并提供修复报告。</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需求41：危险化学品监测预警系统运维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根据需要不定期对数据进行加工、处理等服务。（根据实际需求提供频次）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报修后必须于4小时内响应，并提供远程诊断。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报修后如通过远程诊断无法解决的，必须于24小时内响应，进行上门服务，直至故障、异常解决。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修复时间2个工作日内完成，并提供修复报告</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需求42：互联网广告监测监管系统运维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1.每月提供7-10条违法线索。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2.每月提供广告监测数据报告。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3.每月提供要求上报的各种日常监测数据。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制定应急响应计划，以应对系统故障、数据丢失等突发事件。定期进行风险评估，制定相应的风险控制措施。24小时响应，72小时修复。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制定应急响应计划，以应对系统故障、数据丢失等突发事件。定期进行风险评估，制定相应的风险控制措施。24小时响应，72小时修复。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需求43：食品监管系统运维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1.系统相关业务报表数据人工统计，约12次/年。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支持服务响应时间：7*24 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影响系统业务BUG即时修复，不影响系统业务BUG3个工作日内修复。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支持服务响应时间：7*24 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问题在1个工作日内修复，并在修复后提交修复报告。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系统业务问题咨询解答。</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现场服务支持，随叫随到。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原有数据进行备份导出等服务。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需求44：云餐饮后台管理系统运维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1.系统相关业务报表数据人工统计，约10次/年。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2.数字证书更新安装。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支持服务响应时间：7*24 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影响系统业务BUG即时修复，不影响系统业务BUG3个工作日内修复。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支持服务响应时间：7*24 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问题在1个工作日内修复，并在修复后提交修复报告。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系统业务问题咨询解答。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现场服务支持，随叫随到。</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需求45：电梯应急救援96333指挥系统运维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立即响应，2小时提供解决方案，3个工作日内解决问题。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需求46：智慧315无理由退货平台运维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需求47：“数字市监”信息化系统运维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数据库性能指标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性能分析：对数据库各项性能进行分析，如：查询性能、事务处理、锁争用、资源使用以及数据库日志文件分析。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数据库资源运维。针对各类业务数据按需提供各类纠错，数据处理，数据校验，业务回退等业务数据运维服务。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数据统计支撑。针对各类业务数据按需提供各类统计汇总等业务，年累计统计数据服务不超过60次。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数据监测报告。每月一次提供领导要求上报的名种日常监测数据（登录情况、异常情况、工作量统计、业务操作日志、错误日志等）。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.3</w:t>
      </w:r>
      <w:r>
        <w:rPr>
          <w:rFonts w:hint="eastAsia" w:ascii="宋体" w:hAnsi="宋体" w:eastAsia="宋体" w:cs="宋体"/>
          <w:sz w:val="24"/>
          <w:szCs w:val="24"/>
        </w:rPr>
        <w:t xml:space="preserve">数据资源接口维护。每月一次向第三方提供或接受第三方数据资源的接口进行定期运维、查询统计、性能调优等，确保接口传输稳定（苏州数仓及其他部门数据清洗提取、维护等）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苏州局数仓对接数据清洗，数字法人系统定期提取苏州局数仓数据并进行清洗服务（每月一次，含以下数据内容）。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全量主体基本信息提取数仓数据，推送数字法人系统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主体注销信息提取数仓数据，推送数字法人系统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主体吊销信息提取数仓数据，推送数字法人系统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主体变更记录提取数仓数据，推送数字法人系统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主体开业记录提取数仓数据，推送数字法人系统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非市场主体信息提取数仓数据，推送数字法人系统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股东信息提取数仓数据，推送数字法人系统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三会人员信息提取数仓数据，推送数字法人系统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年报信息提取数仓数据，推送数字法人系统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食品经营许可证信息提取数仓数据，推送数字法人系统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食品生产许可证信息提取数仓数据，推送数字法人系统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压力管道提取数仓数据，推送数字法人系统并推送市大数据平台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锅炉提取数仓数据，推送数字法人系统并推送市大数据平台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电梯提取数仓数据，推送数字法人系统并推送市大数据平台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游乐设施提取数仓数据，推送数字法人系统并推送市大数据平台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场（厂）内机动车信息提取数仓数据，推送数字法人系统并推送市大数据平台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起重机械提取数仓数据，推送数字法人系统并推送市大数据平台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客运索道提取数仓数据，推送数字法人系统并推送市大数据平台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压力容器提取数仓数据，推送数字法人系统并推送市大数据平台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知识产权信息提取数仓数据，推送数字法人系统并推送市大数据平台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商标信息提取数仓数据，推送数字法人系统并推送市大数据平台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数仓平台字典库提取数仓数据，推送数字法人系统等等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第三方数据爬取服务结果的清洗（每月一次）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针对第三方数据提取的服务并对结果数据进行清洗加工导入数字法人系统，具体对接的项目有：</w:t>
      </w:r>
      <w:r>
        <w:rPr>
          <w:rFonts w:hint="eastAsia" w:ascii="宋体" w:hAnsi="宋体" w:eastAsia="宋体" w:cs="宋体"/>
          <w:sz w:val="24"/>
          <w:szCs w:val="24"/>
        </w:rPr>
        <w:t xml:space="preserve">双随机检查信息、个体户评分结果、个体户监管记录、药品登记证信息、个体户分型信息、综合监管记录共享等。</w:t>
      </w:r>
      <w:r/>
    </w:p>
    <w:p>
      <w:pPr>
        <w:ind w:left="480"/>
        <w:spacing w:line="440" w:lineRule="exact"/>
        <w:rPr>
          <w:rFonts w:ascii="宋体" w:hAnsi="宋体" w:eastAsia="宋体" w:cs="宋体"/>
          <w:sz w:val="24"/>
          <w:szCs w:val="24"/>
        </w:rPr>
      </w:pPr>
      <w:r>
        <w:rPr>
          <w:rFonts w:hint="eastAsia" w:ascii="宋体" w:hAnsi="宋体" w:eastAsia="宋体" w:cs="宋体"/>
          <w:sz w:val="24"/>
          <w:szCs w:val="24"/>
        </w:rPr>
        <w:t xml:space="preserve">2.6数据导出备份。根据客户要求可提供数据备份到客户指定的路径。（每月一次）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系统层面异常处理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每月针对日常巡检发现的系统层面的异常进行处理，如：检查系统日志、高负载排查、内存泄漏排查、磁盘空间不足、服务无法启动、文件系统问题（磁盘不足等）。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应用层面异常处理（修复由系统或功能本身存在BUG导致业务无法正常进行等问题）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.1</w:t>
      </w:r>
      <w:r>
        <w:rPr>
          <w:rFonts w:hint="eastAsia" w:ascii="宋体" w:hAnsi="宋体" w:eastAsia="宋体" w:cs="宋体"/>
          <w:sz w:val="24"/>
          <w:szCs w:val="24"/>
        </w:rPr>
        <w:t xml:space="preserve">日常软件运维。系统运行过程中，针对运行过程中出现的各类问题进行日常运维，包括系统功能日常维护，数据问题排查，业务功能沟通等基础日常运维服务。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系统出现故障处理。故障不影响采购方系统正常使用的情况下，在1个工作日内，提供电话和EMAIL支持并解决。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第三方漏扫结果处理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漏洞修复。提供对安全扫描、渗透测试等方式检查出的问题进行修复等服务，对于高危等影响系统安全的漏洞立即响应，并于2小时提供解决方案，2个工作日内解决问题。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对于系统安全扫码出现的中危漏洞即时响应并应在4小时内提供解决方案，3个工作日内解决问题。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.3</w:t>
      </w:r>
      <w:r>
        <w:rPr>
          <w:rFonts w:hint="eastAsia" w:ascii="宋体" w:hAnsi="宋体" w:eastAsia="宋体" w:cs="宋体"/>
          <w:sz w:val="24"/>
          <w:szCs w:val="24"/>
        </w:rPr>
        <w:t xml:space="preserve">对于系统安全扫描出现的低危漏洞根据要求做出处理。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日常巡检漏扫处理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对于日常巡检发现的漏洞，对漏洞进行分级分类管理，对于高、中危等影响系统安全的漏洞立即响应，并于4小时提供解决方案，3个工作日内解决问题。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系统业务问题咨询解答24小时在线服务支持。若有现场问题咨询随叫随到。</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需求48：公文系统运维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提供技术支持与咨询服务，根据用户需求调整表单、业务流程、人员角色权限等的配置：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1.负责维护组织人员信息和权限角色，确保数据的准确性和时效性，满足组织架构变动的更新需求。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2.提供定制化的数据配置服务，包括根据业务需求调研、表单设计和工作流程配置与测试，优化</w:t>
      </w:r>
      <w:r>
        <w:rPr>
          <w:rFonts w:hint="eastAsia" w:ascii="宋体" w:hAnsi="宋体" w:eastAsia="宋体" w:cs="宋体"/>
          <w:sz w:val="24"/>
          <w:szCs w:val="24"/>
        </w:rPr>
        <w:t xml:space="preserve">业务处理效率和用户体验。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3.通过持续监控数据使用情况和性能指标，主动识别并解决潜在的数据一致性问题，保障数据服务的稳定性和可靠性。</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提供7*24小时电话服务，最终修复服务响应时间为4小时，在24小时内派专业技术人员到达现场进行修复服务。故障原因在48小时内无法排除的，5个工作日内提交解决软件系统故障的方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提供7*24小时电话服务，最终修复服务响应时间为4小时，在24小时内派专业技术人员到达现场进行修复服务。故障原因在48小时内无法排除的，5个工作日内提交解决软件系统故障的方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left="480"/>
        <w:spacing w:line="440" w:lineRule="exact"/>
        <w:rPr>
          <w:rFonts w:ascii="宋体" w:hAnsi="宋体" w:eastAsia="宋体" w:cs="宋体"/>
          <w:sz w:val="24"/>
          <w:szCs w:val="24"/>
        </w:rPr>
      </w:pPr>
      <w:r>
        <w:rPr>
          <w:rFonts w:hint="eastAsia" w:ascii="宋体" w:hAnsi="宋体" w:eastAsia="宋体" w:cs="宋体"/>
          <w:sz w:val="24"/>
          <w:szCs w:val="24"/>
        </w:rPr>
        <w:t xml:space="preserve">1.公文系统：</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确保软件系统之间的交互顺畅，包括设计、实施、测试和维护API接口;</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根据需求和安全要求对现有功能进行改进和更新，以提高性能、增强功能、修复缺陷和提升用户体验。包括代码重构、算法优化、界面改进、安全加固和兼容性增强。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3.提供平台功能推广和用户指导，涉及运行保障服务单位，为用户提供全面的平台操作指导。包括创建易于理解的用户手册、视频教程和FAQ文档，以帮助用户快速掌握平台的使用技巧。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二、通讯录管理系统与同意资源管理平台深化对接：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1.部门管理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2.通讯录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3.通讯录查询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4.用户登录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5.数据校验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6.用户信息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7.白名单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8.数据同步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三、历年原通讯管理软件数据清洗、查询模块：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1.数据清洗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2.储存加密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3.日志放篡改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4.查询系统服务后台API</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5.查询系统前端WEB</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需求49：信息采编系统运维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1.提供对系统数据进行加工、处理、统计等服务。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2.数据分析与报告，数据可视化展示。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3.数据备份和恢复服务，确保数据安全性。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4.数据迁移与集成，系统间的数据流转。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服务频次：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1.根据客户需求，按月、季度或项目周期提供。</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1.处理由于系统或功能本身存在BUG导致的业务中断等问题。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2.针对业务无法正常进行的紧急修复问题，提供高优先级响应。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3.系统日志分析，定位问题根源，及时修复。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响应与修复时间：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1.高优先级问题响应时间：1小时内。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2.修复时间：依据问题复杂度，通常不超过24小时。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1.提供对软件系统的功能、性能等进行修复服务。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2.包括操作系统、应用程序、数据库等组件的修复。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3.修复后进行回归测试，确保系统稳定。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响应与修复时间：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1.问题处理响应时间：1小时内。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2.修复时间：根据问题的复杂程度决定，一般不超过48小时。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技术咨询与培训服务：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1.提供技术培训，帮助客户掌握系统的使用、管理与维护。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2.提供技术咨询服务，解答客户在运维过程中遇到的问题。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51" w:name="_Hlk191627441"/>
      <w:r>
        <w:rPr>
          <w:rFonts w:hint="eastAsia" w:ascii="宋体" w:hAnsi="宋体" w:eastAsia="宋体" w:cs="宋体"/>
          <w:b/>
          <w:bCs/>
          <w:sz w:val="24"/>
          <w:szCs w:val="24"/>
        </w:rPr>
        <w:t xml:space="preserve">需求50：城市管理、违法建设治理平台运维（城市管理工作平台一期）</w:t>
      </w:r>
      <w:r/>
    </w:p>
    <w:p>
      <w:pPr>
        <w:spacing w:line="440" w:lineRule="exact"/>
        <w:rPr>
          <w:rFonts w:ascii="宋体" w:hAnsi="宋体" w:eastAsia="宋体" w:cs="宋体"/>
          <w:sz w:val="24"/>
          <w:szCs w:val="24"/>
        </w:rPr>
      </w:pPr>
      <w:r/>
      <w:bookmarkStart w:id="352" w:name="_Hlk191627661"/>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1.简易程序数据推送到省司法局系统1次/季度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2.普通程序案件误操作数据处理，约30次/年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3.违法建设数据推送苏州市违建平台约，20次/年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4.系统相关业务报表数据人工统计，约20次/年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5.数字证书更新安装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支持服务响应时间：7*24小时，影响系统业务BUG即时修复，不影响系统业务BUG3个工作日内修复。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支持服务响应时间：7*24小时，问题在1个工作日内修复，并在修复后提交修复报告。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系统业务问题咨询解答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客户现场服务支持，随叫随到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第三方数据对接出现故障后运维处理</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3.1</w:t>
      </w:r>
      <w:r>
        <w:rPr>
          <w:rFonts w:hint="eastAsia" w:ascii="宋体" w:hAnsi="宋体" w:eastAsia="宋体" w:cs="宋体"/>
          <w:sz w:val="24"/>
          <w:szCs w:val="24"/>
        </w:rPr>
        <w:t xml:space="preserve">江南爱停车平台</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3.2</w:t>
      </w:r>
      <w:r>
        <w:rPr>
          <w:rFonts w:hint="eastAsia" w:ascii="宋体" w:hAnsi="宋体" w:eastAsia="宋体" w:cs="宋体"/>
          <w:sz w:val="24"/>
          <w:szCs w:val="24"/>
        </w:rPr>
        <w:t xml:space="preserve">永安行自行车、助力车平台</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3.3</w:t>
      </w:r>
      <w:r>
        <w:rPr>
          <w:rFonts w:hint="eastAsia" w:ascii="宋体" w:hAnsi="宋体" w:eastAsia="宋体" w:cs="宋体"/>
          <w:sz w:val="24"/>
          <w:szCs w:val="24"/>
        </w:rPr>
        <w:t xml:space="preserve">苏州市违建平台</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3.4</w:t>
      </w:r>
      <w:r>
        <w:rPr>
          <w:rFonts w:hint="eastAsia" w:ascii="宋体" w:hAnsi="宋体" w:eastAsia="宋体" w:cs="宋体"/>
          <w:sz w:val="24"/>
          <w:szCs w:val="24"/>
        </w:rPr>
        <w:t xml:space="preserve">苏州案件系统</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3.5</w:t>
      </w:r>
      <w:r>
        <w:rPr>
          <w:rFonts w:hint="eastAsia" w:ascii="宋体" w:hAnsi="宋体" w:eastAsia="宋体" w:cs="宋体"/>
          <w:sz w:val="24"/>
          <w:szCs w:val="24"/>
        </w:rPr>
        <w:t xml:space="preserve">省住建厅执法平台</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3.6</w:t>
      </w:r>
      <w:r>
        <w:rPr>
          <w:rFonts w:hint="eastAsia" w:ascii="宋体" w:hAnsi="宋体" w:eastAsia="宋体" w:cs="宋体"/>
          <w:sz w:val="24"/>
          <w:szCs w:val="24"/>
        </w:rPr>
        <w:t xml:space="preserve">常熟渣土车智慧管理系统</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3.7</w:t>
      </w:r>
      <w:r>
        <w:rPr>
          <w:rFonts w:hint="eastAsia" w:ascii="宋体" w:hAnsi="宋体" w:eastAsia="宋体" w:cs="宋体"/>
          <w:sz w:val="24"/>
          <w:szCs w:val="24"/>
        </w:rPr>
        <w:t xml:space="preserve">常熟环卫系统</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3.8</w:t>
      </w:r>
      <w:r>
        <w:rPr>
          <w:rFonts w:hint="eastAsia" w:ascii="宋体" w:hAnsi="宋体" w:eastAsia="宋体" w:cs="宋体"/>
          <w:sz w:val="24"/>
          <w:szCs w:val="24"/>
        </w:rPr>
        <w:t xml:space="preserve">常熟财政非税平台</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3.9</w:t>
      </w:r>
      <w:r>
        <w:rPr>
          <w:rFonts w:hint="eastAsia" w:ascii="宋体" w:hAnsi="宋体" w:eastAsia="宋体" w:cs="宋体"/>
          <w:sz w:val="24"/>
          <w:szCs w:val="24"/>
        </w:rPr>
        <w:t xml:space="preserve">常熟数字政府统一门户</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3.10</w:t>
      </w:r>
      <w:r>
        <w:rPr>
          <w:rFonts w:hint="eastAsia" w:ascii="宋体" w:hAnsi="宋体" w:eastAsia="宋体" w:cs="宋体"/>
          <w:sz w:val="24"/>
          <w:szCs w:val="24"/>
        </w:rPr>
        <w:t xml:space="preserve">常熟大数据中心数据共享对接</w:t>
      </w:r>
      <w:r/>
    </w:p>
    <w:p>
      <w:pPr>
        <w:spacing w:line="440" w:lineRule="exact"/>
        <w:rPr>
          <w:rFonts w:ascii="宋体" w:hAnsi="宋体" w:eastAsia="宋体" w:cs="宋体"/>
          <w:b/>
          <w:bCs/>
          <w:sz w:val="24"/>
          <w:szCs w:val="24"/>
        </w:rPr>
      </w:pPr>
      <w:r>
        <w:rPr>
          <w:rFonts w:ascii="宋体" w:hAnsi="宋体" w:eastAsia="宋体" w:cs="宋体"/>
          <w:b/>
          <w:bCs/>
          <w:sz w:val="24"/>
          <w:szCs w:val="24"/>
        </w:rPr>
      </w:r>
      <w:bookmarkEnd w:id="351"/>
      <w:r/>
      <w:bookmarkEnd w:id="352"/>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需求51：城市管理、违法建设治理平台运维（城市管理工作平台二期）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ind w:firstLine="480"/>
        <w:spacing w:line="440" w:lineRule="exact"/>
        <w:rPr>
          <w:rFonts w:ascii="宋体" w:hAnsi="宋体" w:eastAsia="宋体" w:cs="宋体"/>
          <w:sz w:val="24"/>
          <w:szCs w:val="24"/>
        </w:rPr>
      </w:pPr>
      <w:r/>
      <w:bookmarkStart w:id="353" w:name="_Hlk191627804"/>
      <w:r>
        <w:rPr>
          <w:rFonts w:hint="eastAsia" w:ascii="宋体" w:hAnsi="宋体" w:eastAsia="宋体" w:cs="宋体"/>
          <w:sz w:val="24"/>
          <w:szCs w:val="24"/>
        </w:rPr>
        <w:t xml:space="preserve">合并在上述需求 50 中。</w:t>
      </w:r>
      <w:bookmarkEnd w:id="353"/>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需求52：城市管理、违法建设治理平台运维（违法建设治理平台）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合并在上述需求 50 中。</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54" w:name="_Hlk191627493"/>
      <w:r>
        <w:rPr>
          <w:rFonts w:hint="eastAsia" w:ascii="宋体" w:hAnsi="宋体" w:eastAsia="宋体" w:cs="宋体"/>
          <w:b/>
          <w:bCs/>
          <w:sz w:val="24"/>
          <w:szCs w:val="24"/>
        </w:rPr>
        <w:t xml:space="preserve">需求53：城市管理、违法建设治理平台运维（数字政府数字底座对接）</w:t>
      </w:r>
      <w:r/>
    </w:p>
    <w:p>
      <w:pPr>
        <w:spacing w:line="440" w:lineRule="exact"/>
        <w:rPr>
          <w:rFonts w:ascii="宋体" w:hAnsi="宋体" w:eastAsia="宋体" w:cs="宋体"/>
          <w:sz w:val="24"/>
          <w:szCs w:val="24"/>
        </w:rPr>
      </w:pPr>
      <w:r/>
      <w:bookmarkStart w:id="355" w:name="_Hlk191627864"/>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用户信息同步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单点登录</w:t>
      </w:r>
      <w:bookmarkEnd w:id="355"/>
      <w:r/>
      <w:r/>
    </w:p>
    <w:p>
      <w:pPr>
        <w:spacing w:line="440" w:lineRule="exact"/>
        <w:rPr>
          <w:rFonts w:ascii="宋体" w:hAnsi="宋体" w:eastAsia="宋体" w:cs="宋体"/>
          <w:b/>
          <w:bCs/>
          <w:sz w:val="24"/>
          <w:szCs w:val="24"/>
        </w:rPr>
      </w:pPr>
      <w:r>
        <w:rPr>
          <w:rFonts w:ascii="宋体" w:hAnsi="宋体" w:eastAsia="宋体" w:cs="宋体"/>
          <w:b/>
          <w:bCs/>
          <w:sz w:val="24"/>
          <w:szCs w:val="24"/>
        </w:rPr>
      </w:r>
      <w:bookmarkEnd w:id="354"/>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需求54：城市管理、违法建设治理平台运维（城市管理工作平台新增模块）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问题上报功能升级：</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上报问题</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审核问题（指挥中心、街道办、环卫处、环卫所）</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执法队员处置问题</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1.4</w:t>
      </w:r>
      <w:r>
        <w:rPr>
          <w:rFonts w:hint="eastAsia" w:ascii="宋体" w:hAnsi="宋体" w:eastAsia="宋体" w:cs="宋体"/>
          <w:sz w:val="24"/>
          <w:szCs w:val="24"/>
        </w:rPr>
        <w:t xml:space="preserve">结案（指挥中心、环卫处）</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1.5</w:t>
      </w:r>
      <w:r>
        <w:rPr>
          <w:rFonts w:hint="eastAsia" w:ascii="宋体" w:hAnsi="宋体" w:eastAsia="宋体" w:cs="宋体"/>
          <w:sz w:val="24"/>
          <w:szCs w:val="24"/>
        </w:rPr>
        <w:t xml:space="preserve">日常检查时段考核扣分</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1.6</w:t>
      </w:r>
      <w:r>
        <w:rPr>
          <w:rFonts w:hint="eastAsia" w:ascii="宋体" w:hAnsi="宋体" w:eastAsia="宋体" w:cs="宋体"/>
          <w:sz w:val="24"/>
          <w:szCs w:val="24"/>
        </w:rPr>
        <w:t xml:space="preserve">重点检查时段考核扣分</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1.7</w:t>
      </w:r>
      <w:r>
        <w:rPr>
          <w:rFonts w:hint="eastAsia" w:ascii="宋体" w:hAnsi="宋体" w:eastAsia="宋体" w:cs="宋体"/>
          <w:sz w:val="24"/>
          <w:szCs w:val="24"/>
        </w:rPr>
        <w:t xml:space="preserve">问题上报统计报表</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1.8</w:t>
      </w:r>
      <w:r>
        <w:rPr>
          <w:rFonts w:hint="eastAsia" w:ascii="宋体" w:hAnsi="宋体" w:eastAsia="宋体" w:cs="宋体"/>
          <w:sz w:val="24"/>
          <w:szCs w:val="24"/>
        </w:rPr>
        <w:t xml:space="preserve">秀美虞城统计报表</w:t>
      </w:r>
      <w:r/>
    </w:p>
    <w:p>
      <w:pPr>
        <w:ind w:left="420"/>
        <w:spacing w:line="440" w:lineRule="exact"/>
        <w:rPr>
          <w:rFonts w:ascii="宋体" w:hAnsi="宋体" w:eastAsia="宋体" w:cs="宋体"/>
          <w:sz w:val="24"/>
          <w:szCs w:val="24"/>
        </w:rPr>
      </w:pPr>
      <w:r>
        <w:rPr>
          <w:rFonts w:ascii="宋体" w:hAnsi="宋体" w:eastAsia="宋体" w:cs="宋体"/>
          <w:sz w:val="24"/>
          <w:szCs w:val="24"/>
        </w:rPr>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垃圾分类巡查功能升级：</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巡查员上报问题</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2.2</w:t>
      </w:r>
      <w:r>
        <w:rPr>
          <w:rFonts w:hint="eastAsia" w:ascii="宋体" w:hAnsi="宋体" w:eastAsia="宋体" w:cs="宋体"/>
          <w:sz w:val="24"/>
          <w:szCs w:val="24"/>
        </w:rPr>
        <w:t xml:space="preserve">垃分办派发问题工单</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3板块负责人接收工单</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4小区物业处置问题并上报反馈</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5板块负责人处置审核</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6垃分办结案</w:t>
      </w:r>
      <w:r/>
    </w:p>
    <w:p>
      <w:pPr>
        <w:ind w:left="420"/>
        <w:spacing w:line="440" w:lineRule="exact"/>
        <w:rPr>
          <w:rFonts w:ascii="宋体" w:hAnsi="宋体" w:eastAsia="宋体" w:cs="宋体"/>
          <w:sz w:val="24"/>
          <w:szCs w:val="24"/>
        </w:rPr>
      </w:pPr>
      <w:r>
        <w:rPr>
          <w:rFonts w:ascii="宋体" w:hAnsi="宋体" w:eastAsia="宋体" w:cs="宋体"/>
          <w:sz w:val="24"/>
          <w:szCs w:val="24"/>
        </w:rPr>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根据省局执法文书范本升级执法文书</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1案源登记</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2案源登记审核</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3行政处罚审批信息完善</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4行政处罚审批审核（承办机构、法制部门、机关领导）</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5文号统一（全流程）</w:t>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6全流程修改适配新文书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7文书模板更换（全流程包括：案件线索登记核查表、案件移送单、案件移送函、案件交办单、指定管辖通知书、立案审批表、回避决定书、征询意见函、案件处理协助函、调查（询问）通知书、调查（询问）笔录、证人证言笔录、授权</w:t>
      </w:r>
      <w:r>
        <w:rPr>
          <w:rFonts w:hint="eastAsia" w:ascii="宋体" w:hAnsi="宋体" w:eastAsia="宋体" w:cs="宋体"/>
          <w:sz w:val="24"/>
          <w:szCs w:val="24"/>
        </w:rPr>
        <w:t xml:space="preserve">委托书、限期提供材料通知书、当事人送达地址确认书、现场检查（勘验）笔录、责令改正（停止）违法行为通知书、责令暂时停止施工通知书、责令改正（停止）违法行为情况复查记录、复工通知书、抽样取证告知书、抽样取证记录、实施行政强制措施决定书、案件调查终结报告、案件处理审批表、重大行政处罚法制审核意见书、行政处罚事先告知书、当事人放弃陈述申辩意见书、陈述申辩笔录、行政处罚听证公告、行政处罚听证笔录、行政处罚听证意见书、当场处罚决定书、行政处罚决定书、不予行政处罚决定书、行政强制执行决定书、行政处罚结案审批表、送达回证）</w:t>
      </w:r>
      <w:r/>
    </w:p>
    <w:p>
      <w:pPr>
        <w:ind w:left="420"/>
        <w:spacing w:line="440" w:lineRule="exact"/>
        <w:rPr>
          <w:rFonts w:ascii="宋体" w:hAnsi="宋体" w:eastAsia="宋体" w:cs="宋体"/>
          <w:sz w:val="24"/>
          <w:szCs w:val="24"/>
        </w:rPr>
      </w:pPr>
      <w:r>
        <w:rPr>
          <w:rFonts w:ascii="宋体" w:hAnsi="宋体" w:eastAsia="宋体" w:cs="宋体"/>
          <w:sz w:val="24"/>
          <w:szCs w:val="24"/>
        </w:rPr>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简易程序升级：</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1增加案件执法人</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2增加绿化类处罚</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3增加绿化类处罚决定书生成及打印</w:t>
      </w:r>
      <w:r/>
    </w:p>
    <w:p>
      <w:pPr>
        <w:ind w:left="420"/>
        <w:spacing w:line="440" w:lineRule="exact"/>
        <w:rPr>
          <w:rFonts w:ascii="宋体" w:hAnsi="宋体" w:eastAsia="宋体" w:cs="宋体"/>
          <w:sz w:val="24"/>
          <w:szCs w:val="24"/>
        </w:rPr>
      </w:pPr>
      <w:r>
        <w:rPr>
          <w:rFonts w:ascii="宋体" w:hAnsi="宋体" w:eastAsia="宋体" w:cs="宋体"/>
          <w:sz w:val="24"/>
          <w:szCs w:val="24"/>
        </w:rPr>
      </w:r>
      <w:r/>
    </w:p>
    <w:p>
      <w:pPr>
        <w:ind w:left="42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新增非税线上缴款：</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1电子缴款书（直缴）开具</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2生成缴款码</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3电子缴款书作废</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4查询缴款情况</w:t>
      </w:r>
      <w:r/>
    </w:p>
    <w:p>
      <w:pPr>
        <w:ind w:left="42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5查询电子票据信息</w:t>
      </w:r>
      <w:r/>
    </w:p>
    <w:p>
      <w:pPr>
        <w:ind w:left="420"/>
        <w:spacing w:line="440" w:lineRule="exact"/>
        <w:rPr>
          <w:rFonts w:ascii="宋体" w:hAnsi="宋体" w:eastAsia="宋体" w:cs="宋体"/>
          <w:b/>
          <w:bCs/>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6订单统计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需求55：环卫综合管理信息系统运维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提供对系统运行存在异议的数据进行比对、分析，对日常使用数据进行处理、统计。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严重影响系统运行和业务使用的问题优先处理，2个小时内给出解决方案，4个小时内处理完成。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一般或轻微的系统不影响业务使用的问题，4个小时内给出解决方案，48小时内处理完成。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高级和中级问题接收到通知即刻响应并配合处理修复，预估4小时内处理完成。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1.数据库维护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数据库系统维护服务由五部分构成：监控服务、数据备份、安全管理、性能调整、故障排除。</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1.1 </w:t>
      </w:r>
      <w:r>
        <w:rPr>
          <w:rFonts w:hint="eastAsia" w:ascii="宋体" w:hAnsi="宋体" w:eastAsia="宋体" w:cs="宋体"/>
          <w:sz w:val="24"/>
          <w:szCs w:val="24"/>
        </w:rPr>
        <w:t xml:space="preserve">24小时监测服务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可进行紧急情况监测的服务包括：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（1）网络连接监控；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（2）数据库应用是否正常运行；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（3）数据完整性。</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1.2 </w:t>
      </w:r>
      <w:r>
        <w:rPr>
          <w:rFonts w:hint="eastAsia" w:ascii="宋体" w:hAnsi="宋体" w:eastAsia="宋体" w:cs="宋体"/>
          <w:sz w:val="24"/>
          <w:szCs w:val="24"/>
        </w:rPr>
        <w:t xml:space="preserve">数据库备份和恢复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（2）数据库的备份；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（3）数据库的恢复。</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1.3 </w:t>
      </w:r>
      <w:r>
        <w:rPr>
          <w:rFonts w:hint="eastAsia" w:ascii="宋体" w:hAnsi="宋体" w:eastAsia="宋体" w:cs="宋体"/>
          <w:sz w:val="24"/>
          <w:szCs w:val="24"/>
        </w:rPr>
        <w:t xml:space="preserve">安全管理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（1）数据库系统漏洞的修补；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（2）服务漏洞的修补；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（3）系统访问管理；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（4）服务访问管理。</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1.4 </w:t>
      </w:r>
      <w:r>
        <w:rPr>
          <w:rFonts w:hint="eastAsia" w:ascii="宋体" w:hAnsi="宋体" w:eastAsia="宋体" w:cs="宋体"/>
          <w:sz w:val="24"/>
          <w:szCs w:val="24"/>
        </w:rPr>
        <w:t xml:space="preserve">检查结果处理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（1）例检记录：每次检查完成后，均作标准的检查报告。包括检查发现的问题、系统现状评价、改进建议；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（2）于例检发现的问题，若属于负责维护的软件系统，均做及时的解决。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（3）对于每次维护，都作规范的维护记录。包括故障原因、实施工程师、解决办法、实施过程、维护结果。服务记录应于每次服务完成后，均将作为系统资料保存。</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1.5 </w:t>
      </w:r>
      <w:r>
        <w:rPr>
          <w:rFonts w:hint="eastAsia" w:ascii="宋体" w:hAnsi="宋体" w:eastAsia="宋体" w:cs="宋体"/>
          <w:sz w:val="24"/>
          <w:szCs w:val="24"/>
        </w:rPr>
        <w:t xml:space="preserve">系统运行维护服务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当应用系统出现软件改进、模块更换、故障确认、系统错误等问题时，5小时内将派工程师寻找</w:t>
      </w:r>
      <w:r>
        <w:rPr>
          <w:rFonts w:hint="eastAsia" w:ascii="宋体" w:hAnsi="宋体" w:eastAsia="宋体" w:cs="宋体"/>
          <w:sz w:val="24"/>
          <w:szCs w:val="24"/>
        </w:rPr>
        <w:t xml:space="preserve">解决方案。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需求56：科技创新创业服务云平台运维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根据使用单位要求，生成各类统计数据及数据报表，每年次数不超过50次。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现有功能定期优化，新增功能实施。</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需求57：产业知识服务平台运维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保障知识服务平台检索数据、信息抓取数据的及时更新，年更新量不少于10000条。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对于系统功能异常或程序设计缺陷等导致业务无法运行的，立即响应，第一时间处理解决。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提供系统修复，包括日常安全扫描、渗透测试、网络安全演练等发现的问题，立即相应，第一时间处理解决。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需求58：“昆承英才”创新创业领军人才申报管理系统运维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生成各类统计数据及数据报表，每年次数不少于20次。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立即响应，2小时提供解决方案，在遇到紧急情况时，技术人员24小时内到达现场。</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立即响应，2小时提供解决方案，在遇到紧急情况时，技术人员24小时内到达现场。</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56" w:name="_Hlk191628460"/>
      <w:r>
        <w:rPr>
          <w:rFonts w:hint="eastAsia" w:ascii="宋体" w:hAnsi="宋体" w:eastAsia="宋体" w:cs="宋体"/>
          <w:b/>
          <w:bCs/>
          <w:sz w:val="24"/>
          <w:szCs w:val="24"/>
        </w:rPr>
        <w:t xml:space="preserve">需求59：存量房交易资金托管系统运维（一期）</w:t>
      </w:r>
      <w:r/>
    </w:p>
    <w:p>
      <w:pPr>
        <w:spacing w:line="440" w:lineRule="exact"/>
        <w:rPr>
          <w:rFonts w:ascii="宋体" w:hAnsi="宋体" w:eastAsia="宋体" w:cs="宋体"/>
          <w:sz w:val="24"/>
          <w:szCs w:val="24"/>
        </w:rPr>
      </w:pPr>
      <w:r/>
      <w:bookmarkStart w:id="357" w:name="_Hlk191628683"/>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spacing w:line="440" w:lineRule="exact"/>
        <w:rPr>
          <w:rFonts w:ascii="宋体" w:hAnsi="宋体" w:eastAsia="宋体" w:cs="宋体"/>
          <w:sz w:val="24"/>
          <w:szCs w:val="24"/>
        </w:rPr>
      </w:pPr>
      <w:r/>
      <w:bookmarkStart w:id="358" w:name="_Hlk191628618"/>
      <w:r>
        <w:rPr>
          <w:rFonts w:hint="eastAsia" w:ascii="宋体" w:hAnsi="宋体" w:eastAsia="宋体" w:cs="宋体"/>
          <w:sz w:val="24"/>
          <w:szCs w:val="24"/>
        </w:rPr>
        <w:t xml:space="preserve">    在系统使用期间，中标人对系统中无法修改的需要处理的错误数据进行修改，可在使用单位提供证明的前提下，帮助使用单位进行数据修改。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在系统使用期间，中标人根据使用单位要求进行系统框架需求内的功能修改，包括：对软件的相应调整（操作平台的改变、数据库的改变等），功能模块修改、增加、删除（属于程序BUG的问题终生免费保修），以及软件的定期升级等服务。此外，若服务期内使用单位涉及事业单位改革，新成立的机构需另建相关信息系统时，中标人应给予技术上的支持与配合，并及时提供原系统的有关业务数据等信息。</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提供对安全扫描、渗透测试等方式检查出的问题进行修复等服务，填写问题响应及修复时间等。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1.为使用单位提供日常咨询服务及技术指导，解决使用过程中遇到的技术问题。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2.为使用单位提供满足系统需求的硬件解决方案及硬件网络架构上的技术指导。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3.涉及存量房资金托管的银行接口，包括新增银行的系统对接联调及日常银行核心的升级联调。</w:t>
      </w:r>
      <w:bookmarkEnd w:id="356"/>
      <w:r/>
      <w:bookmarkEnd w:id="357"/>
      <w:r/>
      <w:bookmarkEnd w:id="358"/>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需求60：存量房交易资金托管系统运维（二期）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在系统使用期间，中标人对系统中无法修改的需要处理的错误数据进行修改，可在使用单位提供证明的前提下，帮助使用单位进行数据修改。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在系统使用期间，中标人根据使用单位要求进行系统框架需求内的功能修改，包括：对软件的相应调整（操作平台的改变、数据库的改变等），功能模块修改、增加、删除（属于程序BUG的问题终生免费保修），以及软件的定期升级等服务。此外，若服务期内使用单位涉及事业单位改革，新成立的机构需另建相关信息系统时，中标人应给予技术上的支持与配合，并及时提供原系统的有关业务数据等信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2.对涉及存量房资金托管和预售资金监管的对接银行接口数据问题进行排查修复。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提供对安全扫描、渗透测试等方式检查出的问题进行修复等服务，填写问题响应及修复时间等。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1.为使用单位提供日常咨询服务及技术指导，解决使用过程中遇到的技术问题。</w:t>
      </w:r>
      <w:r/>
    </w:p>
    <w:p>
      <w:pPr>
        <w:ind w:firstLine="48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2.为使用单位提供满足系统需求的硬件解决方案，及硬件网络架构上的技术指导。</w:t>
      </w:r>
      <w:r/>
    </w:p>
    <w:p>
      <w:pPr>
        <w:ind w:firstLine="48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本次维护所涉及的系统范围包括：</w:t>
      </w:r>
      <w:r/>
    </w:p>
    <w:p>
      <w:pPr>
        <w:ind w:left="42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）常熟市房屋交易管理信息平台；</w:t>
      </w:r>
      <w:r/>
    </w:p>
    <w:p>
      <w:pPr>
        <w:ind w:left="42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）房屋交易管理信息平台与公积金中心接口；</w:t>
      </w:r>
      <w:r/>
    </w:p>
    <w:p>
      <w:pPr>
        <w:ind w:left="42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）涉及预售资金监管银行接口，包括新增银行的系统对接联调及日常银行核心的升级联调；</w:t>
      </w:r>
      <w:r/>
    </w:p>
    <w:p>
      <w:pPr>
        <w:ind w:left="42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（4）房屋交易管理信息平台与苏州发改委系统对接接口；</w:t>
      </w:r>
      <w:r/>
    </w:p>
    <w:p>
      <w:pPr>
        <w:ind w:left="420"/>
        <w:spacing w:line="440" w:lineRule="exact"/>
        <w:tabs>
          <w:tab w:val="left" w:pos="1019" w:leader="none"/>
        </w:tabs>
        <w:rPr>
          <w:rFonts w:ascii="宋体" w:hAnsi="宋体" w:eastAsia="宋体" w:cs="宋体"/>
          <w:sz w:val="24"/>
          <w:szCs w:val="24"/>
        </w:rPr>
      </w:pPr>
      <w:r>
        <w:rPr>
          <w:rFonts w:hint="eastAsia" w:ascii="宋体" w:hAnsi="宋体" w:eastAsia="宋体" w:cs="宋体"/>
          <w:sz w:val="24"/>
          <w:szCs w:val="24"/>
        </w:rPr>
        <w:t xml:space="preserve">（5）房屋交易管理信息平台与其他部门系统的接口。</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59" w:name="_Hlk191628538"/>
      <w:r>
        <w:rPr>
          <w:rFonts w:hint="eastAsia" w:ascii="宋体" w:hAnsi="宋体" w:eastAsia="宋体" w:cs="宋体"/>
          <w:b/>
          <w:bCs/>
          <w:sz w:val="24"/>
          <w:szCs w:val="24"/>
        </w:rPr>
        <w:t xml:space="preserve">需求61：房屋交易管理平台运维（与一网通办对接）</w:t>
      </w:r>
      <w:bookmarkEnd w:id="359"/>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对接“一网通办”政务服务平台，包含单点登录改造、办件事项推送功能的实现等。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需求62：房屋交易管理平台运维（与苏小登对接）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对接苏小登不动产登记平台，部署相应的接口并实现存量房自行成交业务的合同签订审核、撤销审核。</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需求63：住房保障综合管理平台运维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在更换服务器或系统迁移时，在非工作时间重新部署系统。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完成常熟市住房保障综合管理平台日常维护相关工作，包括但不限于：提供日常操作业务咨询、修复异常业务数据、与其他系统(市住房保障一体化信息平台、优租房管理系统、智能设备、网签系统、不动产、公积金、公安户籍等系统对接)的问题联合排查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2.提供技术支持服务：在系统发生故障时，服务方除安排人员及时处理系统故障，深入分析故障原因，并出具故障分析报告。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提供对安全扫描、渗透测试等方式检查出的问题进行修复等服务，填写问题响应及修复时间等。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1.在更换服务器或系统迁移时，在非工作时间重新部署系统。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2.配合业务发展需求对平台功能调整和优化。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需求64：人工智能语音平台运维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1.业务运营数据分析。安排专业人员协助业务人员对维保期间平台对话数据进行分析，给出训练优化策略建议。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2.在系统使用期间，对系统中无法导出的数据提供导出并进行查证分析的服务。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1.提供智能客服机器人系统日常运维服务、系统突发事件的诊断和排除、指定专人对提出的各项相关技术问题进行解答（技术咨询、指导和信息提供等）。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应急问题处理：出现应急系统故障时及时提供系统故障的处理、技术支持、咨询服务等工作。建立应急处理小组，实行24小时轮班值守，小组成员之间保持24小时通信联络。进行事后分析，并输出对应的分析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3.维护消防警情应急响应的外呼接口。</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提供对安全扫描、渗透测试等方式检查出的问题进行修复等服务，填写问题响应及修复时间等。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1.提供针对网络环境变更、基础组件升级、安全策略调整等进行技术保障支持，配合支持系统相应服务升级与调整。做好与其它业务系统的接口对接保障，如工单推送、号码区域的查询等。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2.提供的运维服务形式：技术服务的方式：以线上（电话、IM通讯、在线会议、传真、电子邮件、远程访问）等方式提供7*24小时服务。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3.知识库的匹配及策略优化。维保期内，随时响应使用单位在FAQ知识库管理、问答数据训练、问题匹配逻辑、AI技术、机器人等技术及业务问题咨询，及时和业务人员沟通并给出建议方案。</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需求65：智慧燃气平台运维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Cs w:val="21"/>
        </w:rPr>
      </w:pPr>
      <w:r>
        <w:rPr>
          <w:rFonts w:hint="eastAsia" w:ascii="宋体" w:hAnsi="宋体" w:eastAsia="宋体" w:cs="宋体"/>
          <w:sz w:val="24"/>
          <w:szCs w:val="24"/>
        </w:rPr>
        <w:t xml:space="preserve">1.在系统使用期间，对系统中无法导出的数据根据</w:t>
      </w:r>
      <w:r>
        <w:rPr>
          <w:rFonts w:hint="eastAsia" w:ascii="宋体" w:hAnsi="宋体" w:eastAsia="宋体" w:cs="宋体"/>
          <w:szCs w:val="21"/>
        </w:rPr>
        <w:t xml:space="preserve">使用单位要求的格式提供导出服务。</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2.系统使用期间，根据要求对系统业务数据进行修正。</w:t>
      </w:r>
      <w:r/>
    </w:p>
    <w:p>
      <w:pPr>
        <w:spacing w:line="440" w:lineRule="exact"/>
        <w:rPr>
          <w:rFonts w:ascii="宋体" w:hAnsi="宋体" w:eastAsia="宋体" w:cs="宋体"/>
          <w:szCs w:val="21"/>
        </w:rPr>
      </w:pPr>
      <w:r>
        <w:rPr>
          <w:rFonts w:hint="eastAsia" w:ascii="宋体" w:hAnsi="宋体" w:eastAsia="宋体" w:cs="宋体"/>
          <w:szCs w:val="21"/>
        </w:rPr>
        <w:t xml:space="preserve">异常处理：</w:t>
      </w:r>
      <w:r/>
    </w:p>
    <w:p>
      <w:pPr>
        <w:ind w:firstLine="420"/>
        <w:spacing w:line="440" w:lineRule="exact"/>
        <w:rPr>
          <w:rFonts w:ascii="宋体" w:hAnsi="宋体" w:eastAsia="宋体" w:cs="宋体"/>
          <w:szCs w:val="21"/>
        </w:rPr>
      </w:pPr>
      <w:r>
        <w:rPr>
          <w:rFonts w:hint="eastAsia" w:ascii="宋体" w:hAnsi="宋体" w:eastAsia="宋体" w:cs="宋体"/>
          <w:szCs w:val="21"/>
        </w:rPr>
        <w:t xml:space="preserve">故障处理主要包括故障定位和故障解决。故障处理的服务范围包括但不仅限于：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1.系统运行、升级期间出现故障及时到远程或现场进行处理解决。</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2.在系统出现非停机性质的故障如系统运行缓慢时的处理。</w:t>
      </w:r>
      <w:r/>
    </w:p>
    <w:p>
      <w:pPr>
        <w:ind w:firstLine="420"/>
        <w:spacing w:line="440" w:lineRule="exact"/>
        <w:rPr>
          <w:rFonts w:ascii="宋体" w:hAnsi="宋体" w:eastAsia="宋体" w:cs="宋体"/>
          <w:sz w:val="24"/>
          <w:szCs w:val="24"/>
        </w:rPr>
      </w:pPr>
      <w:r>
        <w:rPr>
          <w:rFonts w:hint="eastAsia" w:ascii="宋体" w:hAnsi="宋体" w:eastAsia="宋体" w:cs="宋体"/>
          <w:szCs w:val="21"/>
        </w:rPr>
        <w:t xml:space="preserve">3.涉及操作系统、环境问题（例与应用软件相关的支撑平台问题，如浏览</w:t>
      </w:r>
      <w:r>
        <w:rPr>
          <w:rFonts w:hint="eastAsia" w:ascii="宋体" w:hAnsi="宋体" w:eastAsia="宋体" w:cs="宋体"/>
          <w:sz w:val="24"/>
          <w:szCs w:val="24"/>
        </w:rPr>
        <w:t xml:space="preserve">器、操作系统、硬件设备与网络问题）、软件问题（例业务需求范围内因操作失误而引发的相关问题）或其它问题，经技术支持人员初步处理后而无法排除故障的，提供故障定位和咨询，分析故障原因。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4.对于紧急故障，提供工作时间以外的应急技术支持和故障分析。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5.提出故障处理建议。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提供对安全扫描、渗透测试等方式检查出的问题进行修复等服务，填写问题响应及修复时间等。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1.提供日常咨询服务及技术指导，解决使用过程中遇到的技术问题。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2.对系统提供的各类接口进行维护，确保接口调用的稳定性，包括警情外呼接口、燃气充装配送闭环接口、燃气违法违规举报线索接口等。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3.配合业务发展需求对平台功能调整和优化。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4.问题解决时间。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4.1一般软件故障：服务人员或技术人员8小时内解决。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4.2一般硬件故障：在双方沟通交流后，判断故障原因，服务人员或技术人员24小时内予以解决。对于需要上门进行维护的，一般3个工作日内解决。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4.3产品升级周期在规定时间内完成。</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需求66：智慧住建执法平台运维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1.高优先级缺陷：对于导致系统崩溃、数据丢失或严重影响用户体验的缺陷，立即响应，2小时提供解决方案，1个工作日内解决问题。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2.中优先级缺陷：对于影响部分功能或性能的缺陷，立即响应，2小时提供解决方案，2个工作日内解决问题。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3.低优先级缺陷：对于轻微的问题或不影响核心功能的缺陷，立即响应，2小时提供解决方案，2个工作日内解决问题。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1.系统安全漏洞，立即响应，4小时内解决问题。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2.复杂逻辑漏洞：立即响应，3小时内提供解决方案，2个工作日内解决问题。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3.配置错误漏洞：立即响应，通过远程协助，2小时内完成了配置修正与安全策略加强。</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1.数据纠错，包括诸填写错误、错误签章等输入问题进行修复。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2.功能调整，包括调整流程环节，修改缺省输入内容，调整表格模板等。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3.系统性能优化。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需求67：用友T+专属云标准版软件运维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财务业务一体化数据检验，数据不一致时检验原因。</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响应时间（1个工作日内）、修复时间（3个工作日）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3个工作日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包括人员培训、日常问题处理等。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需求68：地理信息公共服务平台运维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1.平台数据服务发布、注册；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将常熟市电子地图成果及其他需发布的资源及时发布注册至常熟市地理信息公共服务平台上，其中电子地图瓦片发布为REST和OGC WMTS服务；矢量数据发布为REST服务；并在平台上注册成安全服务，对申请获批的用户账号进行服务授权。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2.网页内容的更新、发布；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网页内容的更新、发布包括日志页面内容新增等。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对系统和功能的维护，对异常情况及时修复，保障网站的不间断稳定运行。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 响应及修复时间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紧急问题（系统崩溃、服务不可用）：1小时内响应，2小时内修复。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一般问题（功能异常、性能下降）：6小时内响应，12小时内修复。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低优先级问题（界面显示错误）：12小时内响应，24小时内修复。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针对安全扫描、渗透测试发现的问题，及时排除潜在安全隐患，加以防范处理，确保网站安全、运行稳定。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1.安全漏洞修复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高危漏洞（如远程代码执行）：24小时内响应，3天内修复。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中危漏洞（如权限绕过）：48小时内响应，7天内修复。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低危漏洞（如信息泄露）：5个工作日内响应，10天内修复。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针对各行业部门有关账号申请注册、数据服务以及地图调用等问题，进行答疑指导。</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需求69：国土空间基础信息平台运维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图层数据更新：每周根据数据加工处理的结果，更新Web端和移动端图层目录，及时配置好i查询、快查、信息查询等，保障图层能够被正常浏览、属性正常查询，年度统计共约48次。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若系统或功能本身存在BUG导致业务无法正常进行等问题时，及时修复，必要时2个小时内到达现场，一般故障30分钟内响应，2小时内排除故障；重大设备故障24小时内提出问题解决方案，并采取相应措施进行修复，保障用户正常使用，保证系统正常运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根据提供的信息，及时响应、维修，必要时2个小时内到达现场，一般故障30分钟内响应，2小时内排除故障；重大设备故障24小时内提出问题解决方案，并采取相应措施进行修复，保障用户正常使用，保证系统正常运行。</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需求70：国土空间规划一张图实施监督信息系统运维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接到问题反馈后，响应时间不超过2小时；修复故障的时间不超过12小时，期间如不能修复，在24小内提供应急措施，保证系统的正常运行。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接到安全扫描、渗透测试等故障报告后，响应时间不超过2小时；修复故障的时间不超过24小时，期间如不能修复，在48小内提供应急措施，保证系统的正常运行。</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需求71：规划管理信息服务平台运维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响应时间＜30分钟，修复处理时间＜60分钟。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响应时间＜30分钟，修复时间＜2小时。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需求72：国有建设用地使用权网上交易系统运维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提供对系统数据进行加工、处理、统计等服务不少于10次。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修复由系统或功能本身存在BUG导致业务无法正常进行等问题，响应和修复时间≤1个工作日。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提供对安全扫描、渗透测试等方式检查出的问题进行修复等服务，响应和修复时间≤5个工作日。</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73：房产抵押信息查询系统运维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存在对系统数据进行处理、统计服务约5次/年。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响应时间4小时内</w:t>
      </w:r>
      <w:r>
        <w:rPr>
          <w:rFonts w:ascii="宋体" w:hAnsi="宋体" w:eastAsia="宋体" w:cs="宋体"/>
          <w:sz w:val="24"/>
          <w:szCs w:val="24"/>
        </w:rPr>
        <w:t xml:space="preserve">,</w:t>
      </w:r>
      <w:r>
        <w:rPr>
          <w:rFonts w:hint="eastAsia" w:ascii="宋体" w:hAnsi="宋体" w:eastAsia="宋体" w:cs="宋体"/>
          <w:sz w:val="24"/>
          <w:szCs w:val="24"/>
        </w:rPr>
        <w:t xml:space="preserve">修复时间8小时内。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响应时间24小时内,修复时间24小时内。</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74：</w:t>
      </w:r>
      <w:bookmarkStart w:id="360" w:name="OLE_LINK2"/>
      <w:r/>
      <w:bookmarkStart w:id="361" w:name="OLE_LINK1"/>
      <w:r>
        <w:rPr>
          <w:rFonts w:hint="eastAsia" w:ascii="宋体" w:hAnsi="宋体" w:eastAsia="宋体" w:cs="宋体"/>
          <w:b/>
          <w:bCs/>
          <w:sz w:val="24"/>
          <w:szCs w:val="24"/>
        </w:rPr>
        <w:t xml:space="preserve">不动产档案流转系统运维</w:t>
      </w:r>
      <w:bookmarkEnd w:id="360"/>
      <w:r/>
      <w:bookmarkEnd w:id="361"/>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存在对系统数据进行处理、统计服务约5次/年。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响应时间2小时内，修复时间4小时内。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响应时间24小时内，修复时间24小时内。</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75：不动产登记统一档案系统运维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存在对系统数据进行处理、统计服务约10次/年。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响应时间4小时内，修复时间8小时内。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响应时间24小时内，修复时间24小时内。</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76：智慧档案系统运维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无次数限制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1小时内响应1天内修复。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1小时内响应2天内修复。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需求77：智慧库房系统运维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无次数限制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1小时内响应2天内修复。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1小时内响应2天内修复。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需求78：电子口岸基础管理平台（门户网站及企业基础资料库）运维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需求79：电子口岸货物通关系统运维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80：船舶进出管理系统运维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3.为代理库企业、码头企业提供退单、改单、业务咨询等服务，7*15小时。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1.处理数据交换异常情况，1小时内处理。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81：海事水水中转核销系统（砂石码头管理系统）运维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82：口岸诚信库运维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83：水上搜救辅助系统运维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84：港口船舶污染物联合监管平台运维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85：口岸木材监管系统运维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86：海关综合技术服务中心实验室业务管理系统运维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1.处理用户帐户问题，解除帐户锁定、重置密码。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2.并根据用户提交的开户申请表，将其新帐户加入平台并对帐户信息进行反馈。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处理系统运行异常情况，1小时内处理。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出现漏洞2小时内响应,24小时内修复。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需求87：智慧社区系统运维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1.按每月5个人日计算。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2.数据抓取后，需要和本地数据进行确认，对于产生差异的数据，联系社工进行确认。另外由于数据接口的不确定性，存在不定时的接口重新对接编写。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3.确保差异数据完整性，为今后做数据纠错提前做好技术支撑。</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I级：属于紧急问题；其具体现象为：系统崩溃导致业务停止、数据丢失。12小时以内解决问题。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II级：属于严重问题；其具体现象为：出现部分部件失效、系统性能下降但能正常运行，不影响正常业务运作。24小时解决问题。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III级：属于较严重问题；其具体现象为：出现系统报错或警告，但业务系统能继续运行且性能不受影响，48小时以内解决问题。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IV级：属于普通问题；其具体现象为：系统技术功能、安装或配置咨询，或其他显然不影响业务的预约服务。5天内解决问题。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针对对安全扫描、渗透测试等方式检查出的问题进行修复等服务。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I级：属于紧急问题；其具体现象为：系统崩溃导致业务停止、数据丢失。12小时以内解决问题。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II级：属于严重问题；其具体现象为：出现部分部件失效、系统性能下降但能正常运行，不影响正常业务运作。24小时解决问题。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III级：属于较严重问题；其具体现象为：出现系统报错或警告，但业务系统能继续运行且性能不受影响，48小时以内解决问题。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IV级：属于普通问题；其具体现象为：系统技术功能、安装或配置咨询，或其他显然不影响业务的预约服务。5天内解决问题。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1.按每月4个人日计算。</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2.针对系统实际情况，根据使用方需求导出系统报表或临时所需数据（一般每月有需求）。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针对频次较高的报表需求，定时形成模板加入系统（每季度进行一次）。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需求88：网格化社会治理数据中心平台运维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定期进行数据备份。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系统运行出错后及时修改维护。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按周期要求定时上传数据，完成江苏省网格化数据上报标准要求。</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需求89：常熟长安网运维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定期进行数据备份。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系统运行出错后及时修改维护。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根据需求进行必要的功能修改或调整。</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需求90：智慧档案馆管理系统运维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完成一次系统整体数据迁移，协助完成88家板块、机关单位数据核对。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8小时现场响应；7*24电话技术支持。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按需完成，1个工作日响应，7个工作日完成修复。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软件功能进行规范改造：电子公文格式转换、电子公文归档封装、电子公文归档移交表、档案进馆移交接收开放预划控，按国家数字档案馆功能要求更新智能化系统对接：升级改造后停车管理系统对接、2025年社保一卡通门禁系统升级改造对接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需求91：CommVault备份软件运维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服务商工作日不限次应急响应；认证工程师2次现场处理。7*8小时电话及远程技术支持服务。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配合完成不同应用工作场景需求。</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需求92：一体化系统运维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系统数据进行加工、处理，统计约600次/年。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（1）设立专线维护电话，工作日受理服务请求；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（2）及时响应，1小时内到达现场，一般故障当天解决，重大故障在3个工作日内解决。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响应时间：立即响应；一般故障当天解决，重大故障在3个工作日内解决。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（1）针对业务需求，针对应用系统进行优化和调整。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（2）按需进行业务培训。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（3）对接大数据局数据共享，根据共享目录进行调整。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（4）回流数据应用，确保人社数据能同步落地应用。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（5）将原CS系统平台功能逐步迁移至BS系统平台。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需求93：人事工资系统维保及升级服务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提供数据查询统计服务：约20次/年；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数据清理排查服务：约3次/年；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查询统计报表调整服务：约2次/年；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数据加工处理：约30次/年。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修复系统机关事业单位日常业务办理异常服务。立即响应，1小时提供解决方案，24小时内解决问题。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响应时间：立即响应，2小时内提供解决方案，2个工作日内解决问题。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系统业务优化：①机构、单位、人员信息优化；②业务流程表单优化③角色、用户管理优化相关</w:t>
      </w:r>
      <w:r>
        <w:rPr>
          <w:rFonts w:hint="eastAsia" w:ascii="宋体" w:hAnsi="宋体" w:eastAsia="宋体" w:cs="宋体"/>
          <w:sz w:val="24"/>
          <w:szCs w:val="24"/>
        </w:rPr>
        <w:t xml:space="preserve">服务，1小时内提供解决方案，24小时内解决。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需求94：事业单位公开招聘管理系统软件技术支持及维护服务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协助进行统计数据的查询，帮助使用单位快速获取所需的各类数据报告。服务内容包括根据需求定制查询条件，进行数据筛选、汇总和分析，生成详细的统计报表。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机制是立即响应，在收到反馈后的1小时内确认问题，并开始分析和排查根本原因。针对问题的解决方案，承诺在2小时内提供初步的解决方案或应急措施，确保业务能在短时间内恢复正常。如果问题较为复杂，需要进一步深入排查，将在2个工作日内完成问题修复并进行全面验证。所有问题的处理过程中，会实时反馈进展，并在问题解决后提供详细的处理报告，确保使用方对处理过程和结果有清晰了解。</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立即响应，在收到问题报告后的1小时内确认问题并开始分析。针对安全漏洞或渗透测试发现的风险，将在2小时内提供初步解决方案或应急措施，确保系统安全性不受威胁。如果问题较为复杂，需要详细修复和优化，承诺在2个工作日内完成修复工作，并进行充分测试和验证。所有修复完成后，提供详细的修复报告，包括问题描述、修复过程以及预防措施，确保客户对安全状态有充分的了解和信任。在修复过程中，提供实时进展更新，确保透明沟通。</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每年的招聘简章需求及客户反馈，定期对系统相关功能点进行修改和优化。首先，详细分析最新的招聘简章要求，确保系统功能与招聘政策、流程和标准保持一致。根据具体反馈，将对系统中存在的不足之处进行改进，例如调整用户界面、优化流程、增加新的功能模块或修改现有功能，以提升系统的使用体验和满足实际需求。在功能修改过程中，保持密切沟通，确保修改方案符合期望，并在修改完成后进行全面测试和验证，确保系统功能的稳定性和可靠性。此外，修改后的功能点及时在系统中更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需求95：DSG数据同步服务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及时处理同步链路中增表、减表、调整、修复、重建等工作。协助业务人员比对本地和省厅表数据是否一致，协助对回流表字段进行增加、修改等服务。配合统计数据、增删索引、修改账户、空间</w:t>
      </w:r>
      <w:r>
        <w:rPr>
          <w:rFonts w:hint="eastAsia" w:ascii="宋体" w:hAnsi="宋体" w:eastAsia="宋体" w:cs="宋体"/>
          <w:sz w:val="24"/>
          <w:szCs w:val="24"/>
        </w:rPr>
        <w:t xml:space="preserve">告警等服务。监控技术和业务人员创建的触发器、索引等对象，一但影响回流后及时通知。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提供7*24小时响应服务，提供完整的系统支持服务，日常维护、技术支持等，确保所有故障能够及时得到修复. 1：由单独表数据不一致导致同步异常的情况，10分钟内进行响应并反馈，1小时内重新修复该表并恢复同步链路。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由软件版本导致的同步异常的情况，10分钟内进行响应并反馈，2小时内重新部署新版本并恢复同步链路。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由苏州源端产生故障导致同步异常的情况，10分钟内进行响应并反馈，苏州源端恢复后2小时内重新初始化并恢复同步链路。</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配合做好系统故障处理及网络安全配置工作，出现问题在30分钟响应，4小时内完成设置或者软件补丁更新，恢复系统正常运行。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对于数据库修复补丁、升级版本，服务器系统打补丁的情况，做到10分钟内响应并反馈，1小时内升级同步软件版本并恢复链路。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对于服务器重装系统，更换存储等情况，做到1小时内响应并反馈。1周内重装软件初始化并恢复实时同步。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软件使用授权，提供DSG软件版本升级，并根据软件补丁的发布及时按需更新软件，提供重大节日或者使用方所认定的保障日现场保障服务，确保数据复制链路稳定，提供国产化适配服务，提供国产化链路迁移测试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需求96：律师管理系统运维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负责数据的备份与恢复工作，制定数据备份策略，每月进行增量备份，每年进行数据统计与数据库全量备份，防止数据丢失。同时，对数据进行定期清理和优化，删除错误及冗余数据，整理数据库索引，提高数据查询和存储效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通过监控工具和技术实时监测系统的运行状态，及时发现系统故障，如服务器宕机、网络中断、数据库连接异常等。另外，日常即时响应应用层用户反馈的异常问题处理，异常处理时间正常为1个工作日内，因漏洞修复更新的系统迭代时间为1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旦发生故障，运维人员迅速响应，对故障进行诊断，确定故障的原因和影响范围。针对不同的故障类型，采取相应的修复措施，如重启服务、恢复数据等。异常处理时间正常为1个工作日内，系统迭代时间为1周，以尽快恢复系统的正常运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为系统的业务操作人员提供技术支持服务，解答用户在使用律师管理系统过程中遇到的问题，提供操作指导和技术支持服务。对于一些复杂的问题，及时进行远程协助或现场支持，确保用户能够正常使用系统。</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需求97：智慧司法云管理平台运维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立即响应，2小时提供解决方案，1个工作日内解决问题。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总工作量不超过10个工作日的需求变更</w:t>
      </w:r>
      <w:bookmarkStart w:id="362" w:name="_Hlk191568311"/>
      <w:r>
        <w:rPr>
          <w:rFonts w:hint="eastAsia" w:ascii="宋体" w:hAnsi="宋体" w:eastAsia="宋体" w:cs="宋体"/>
          <w:sz w:val="24"/>
          <w:szCs w:val="24"/>
        </w:rPr>
        <w:t xml:space="preserve">。</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需求98：养老业务管理平台运维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分为养老业务民政管理、居家养老服务管理、养老机构信息登记等子平台运维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1.配合支撑养老业务版块特殊数据维护处理及查询统计的需求。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2.配合比对非系统数据，检查异常数据。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3.配合上报省金民工程机市民政要求上报的数据，进行数据处理及上报工作。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4.配合支撑历史数据的迁移备份工作。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5.配合养老业务版块由于一些原因（如服务组织切换）导致的数据初始化备份等工作需求。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6.配合日常数据统计分析需求形成的常规化数据统计分析功能。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配合完善软件功能，提供功能培训。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响应民政和运营组织的问题，配合支撑使用，优化功能。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及时处理已知漏洞。</w:t>
      </w:r>
      <w:bookmarkEnd w:id="362"/>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需求99：助餐中心运营管理云平台运维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1.配合支撑养老业务版块特殊数据维护处理及查询统计的需求。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2.配合比对非系统数据，检查异常数据。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3.配合上报省金民工程机市民政要求上报的数据，进行数据处理及上报工作。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4.配合支撑历史数据的迁移备份工作。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5.配合养老业务版块由于一些原因（如服务组织切换）导致的数据初始化备份等工作需求。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6.配合日常数据统计分析需求形成的常规化数据统计分析功能。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配合完善软件功能，提供功能培训。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响应民政和运营组织的问题，配合支撑使用，优化功能。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及时处理已知漏洞。</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需求100：碧水琴川网站运维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发布数据量统计。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处理网页打开报错、服务崩溃等情况。</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需求101：全面从严治党“两个责任”履责记实信息平台运维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每年大于等于三次（元旦春节、五一端午、中秋国庆）统计数据的处理。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修复由系统或功能本身存在BUG导致业务无法正常进行等问题，当天修复。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提供对安全扫描、渗透测试等方式检查出的问题进行修复等服务，3个工作日内完成。</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102：全域智慧旅游平台运维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4次数据服务，包含重点节假日数据分析报告。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修复由系统或功能本身存在BUG导致业务无法正常进行等问题，1小时内响应，自收到消息起一小时内提供解决方案，24小时内完成系统服务恢复。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提供漏洞扫描服务1次/季度，一年约4次，针对收集到的漏洞信息，1小时内响应，48小时内完成漏洞处理，紧急漏洞可加急至24小时内完成修复。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103：公共文化服务配送系统运维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提供对系统数据统计，全年不超过12次。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一级事件 1小时 8小时。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二级事件 2小时 1天。</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三级事件 2小时 2天。</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四级事件 8小时 3天。</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提供对安全扫描、渗透测试等方式检查出的问题进行修复等服务，当日响应。</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63" w:name="_Hlk191631015"/>
      <w:r>
        <w:rPr>
          <w:rFonts w:hint="eastAsia" w:ascii="宋体" w:hAnsi="宋体" w:eastAsia="宋体" w:cs="宋体"/>
          <w:b/>
          <w:bCs/>
          <w:sz w:val="24"/>
          <w:szCs w:val="24"/>
        </w:rPr>
        <w:t xml:space="preserve">需求 104：图书馆网上借阅投递服务（第一部分）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保证网上借阅投递服务的数据安全。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bookmarkEnd w:id="363"/>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需求105：图书馆网上借阅投递服务（第二部分）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保证网上借阅投递服务的数据安全。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106：苏州·书仓运维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保证苏州书仓平台服务的系统数据安全。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107：图书馆专业智能化项目运维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分为门户网站、图书馆服务空间大数据分析和智能导航系统、公共图书馆资源共享平台、智慧图书馆底座等子平台运维。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保证各个平台服务的系统数据安全。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需求108：运政稽查监控系统运维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无</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响应时间：30分钟。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修复时间：重大故障1小时、次型故障2小时、简单故障2小时、支持型故障3小时。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响应时间：10分钟。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修复时间：24小时。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需求109：水上安全监控和治安防控系统运维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响应时间：30分钟。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修复时间：48小时。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响应时间：10分钟。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修复时间：24小时。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需求110：出租车智能化管理系统运维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响应时间：2小时。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需求111：交通运输应急指挥及指挥交通运用平台运维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交通监测所需数据资源，包括公交客流数据、公交线路站点信息、公交车辆、公交企业、公交场站、公交驾驶员、公交GPS数据、出租车车辆基础数据、出租车GPS数据、出租车营运数据、出租车企业、出租车驾驶员基础数据，保障以上数据完整性及时效性，提供相应数据防灾备份，确保以上数据皆存储在数据库中。</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SIS1异常1小时内响应，2小时内提出问题解决方案，到达现场后4小时解决；SIS异常2小时内响应，4小时内完成故障鉴定，提出问题解决方案，到达现场后8小时内解决；SIS3异常2小时内响应，8小时内完成故障鉴定，提出问题解决方案，到达现场后12小时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SIS1隐患1小时内响应，2小时内提出问题解决方案，到达现场后4小时解决；SIS2隐患2小时内响应，4小时内完成故障鉴定，提出问题解决方案，到达现场后8小时内解决；SIS3隐患2小时内响应，8小时内完成故障鉴定，提出问题解决方案，到达现场后12小时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需求112：电子政务办公系统运维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基本每日提供对系统数据进行加工、处理、统计等服务。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修复由系统或功能本身存在BUG导致业务无法正常进行等问题，填写响应和修复时间等。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需求113：“中国常熟”邮件系统运维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提供技术支持服务（7*24技术支持服务、重大事件保障服务，重大问题现场支持服务，日常故障1小时内响应，系统补丁更新等服务）。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需求114：政务随手办运维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系统数据维护。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系统或功能本身存在BUG导致业务无法正常进行等问题在24小时内响应和修复。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对安全扫描、渗透测试等方式检查出的问题在48小时内修复。</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需求115：信息系统数字化运行监测平台运维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提供对系统数据对接、数据加工、处理、统计等服务。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修复由系统或功能本身存在BUG导致业务无法正常进行，数据异常等问题，1小时响应。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提供对安全扫描、渗透测试等方式检查出的问题进行修复等服务，1小时响应。</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需求116：一网通办平台运维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立即响应，24小时提供解决方案，3个工作日内解决问题。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简单功能需求维护、系统数据更新配置、数据报送服务。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需求117：“互联网+监管”系统运维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立即响应，24小时内提供解决方案，3个工作日内解决问题。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简单功能需求维护、系统数据更新配置、数据报送服务。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需求118：基层“互联网+政务服务”平台运维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立即响应，24小时内提供解决方案，3个工作日内解决问题。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简单功能需求维护、系统数据更新配置、数据报送服务。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需求119：智慧政务服务平台运维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立即响应，24小时内提供解决方案，3个工作日内解决问题。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简单功能需求维护、系统数据更新配置、数据报送服务。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需求120：“一件事”办理系统运维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立即响应，24小时内提供解决方案，3个工作日内解决问题。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简单功能需求维护、系统数据更新配置、数据报送服务。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需求121：建设工程审批管理系统三四阶段系统运维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施工许可及竣工验收备案3.0数据推送；定期备份数据库，条件运行情况下异地备份数据库和其他资料文件。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及时处理因网络异常、数据异常等原因导致的施工许可一站式申报系统无法单点登录问题（包括工改系统单点登录、常熟审图系统单点登录等）。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定期安装操作系统补丁，修补安全漏洞。</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需求122：公共资源交易中心综合管理业务系统运维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提供对系统数据进行加工、处理、统计等服务，提供服务的次数50到100次。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修复由系统或功能本身存在BUG导致业务无法正常进行等问题实时响应；阻断性bug一般半小时内修复。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提供对安全扫描、渗透测试等方式检查出的问题进行修复等服务进行实时响应，修复时间为1-2工作日。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根据业务需求对系统功能进行部分调整。</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需求123：电子档案管理系统运维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提供对系统数据进行加工、处理、统计等服务，提供服务的次数20到30次。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修复由系统或功能本身存在BUG导致业务无法正常进行等问题实时响应；阻断性bug一般半小时内修复。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提供对安全扫描、渗透测试等方式检查出的问题进行修复等服务进行实时响应，修复时间为1-2工作日。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根据业务需求对系统功能进行部分调整。</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64" w:name="_Hlk191568721"/>
      <w:r>
        <w:rPr>
          <w:rFonts w:hint="eastAsia" w:ascii="宋体" w:hAnsi="宋体" w:eastAsia="宋体" w:cs="宋体"/>
          <w:b/>
          <w:bCs/>
          <w:sz w:val="24"/>
          <w:szCs w:val="24"/>
        </w:rPr>
        <w:t xml:space="preserve">需求124：公共交易系统App运维</w:t>
      </w:r>
      <w:r/>
    </w:p>
    <w:p>
      <w:pPr>
        <w:spacing w:line="440" w:lineRule="exact"/>
        <w:rPr>
          <w:rFonts w:ascii="宋体" w:hAnsi="宋体" w:eastAsia="宋体" w:cs="宋体"/>
          <w:sz w:val="24"/>
          <w:szCs w:val="24"/>
        </w:rPr>
      </w:pPr>
      <w:r/>
      <w:bookmarkStart w:id="365" w:name="_Hlk191569118"/>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提供对系统数据进行加工、处理、统计等服务，提供服务的次数5到10次。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修复由系统或功能本身存在BUG导致业务无法正常进行等问题实时响应；阻断性bug一般半小时内修复。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提供对安全扫描、渗透测试等方式检查出的问题进行修复等服务进行实时响应，修复时间为1-2工作日。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根据业务需求对系统功能进行部分调整。</w:t>
      </w:r>
      <w:bookmarkEnd w:id="365"/>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66" w:name="_Hlk191568859"/>
      <w:r>
        <w:rPr>
          <w:rFonts w:hint="eastAsia" w:ascii="宋体" w:hAnsi="宋体" w:eastAsia="宋体" w:cs="宋体"/>
          <w:b/>
          <w:bCs/>
          <w:sz w:val="24"/>
          <w:szCs w:val="24"/>
        </w:rPr>
        <w:t xml:space="preserve">需求125：大数据基础平台（数据工作专班驻场）运维</w:t>
      </w:r>
      <w:r/>
    </w:p>
    <w:p>
      <w:pPr>
        <w:ind w:firstLine="480"/>
        <w:spacing w:line="440" w:lineRule="exact"/>
        <w:rPr>
          <w:rFonts w:ascii="Times New Roman" w:hAnsi="Times New Roman" w:eastAsia="宋体" w:cs="Times New Roman"/>
          <w:bCs/>
          <w:sz w:val="24"/>
          <w:szCs w:val="20"/>
        </w:rPr>
      </w:pPr>
      <w:r/>
      <w:bookmarkStart w:id="367" w:name="_Hlk191569314"/>
      <w:r/>
      <w:bookmarkEnd w:id="366"/>
      <w:r>
        <w:rPr>
          <w:rFonts w:hint="eastAsia" w:ascii="Times New Roman" w:hAnsi="Times New Roman" w:eastAsia="宋体" w:cs="Times New Roman"/>
          <w:bCs/>
          <w:sz w:val="24"/>
          <w:szCs w:val="20"/>
        </w:rPr>
        <w:t xml:space="preserve">以公共数据（政务信息资源）的持续共享交换为核心，以安全、稳定为基本要求，以运维流程、制度为保障，围绕大数据基础平台、公共数据（政务信息资源）、业务服务、基础支撑和管理等开展全方位的运维，提供包括大数据基础平台的运营和运维、数据质量监测、数据应用支撑等多种数据服务，保障我市数字政府建设，整体公共数据服务能力达到苏州地区中上水平。</w:t>
      </w:r>
      <w:r/>
    </w:p>
    <w:p>
      <w:pP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总体要求：</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1</w:t>
      </w:r>
      <w:r>
        <w:rPr>
          <w:rFonts w:ascii="Times New Roman" w:hAnsi="Times New Roman" w:eastAsia="宋体" w:cs="Times New Roman"/>
          <w:bCs/>
          <w:sz w:val="24"/>
          <w:szCs w:val="20"/>
        </w:rPr>
        <w:t xml:space="preserve">.</w:t>
      </w:r>
      <w:r>
        <w:rPr>
          <w:rFonts w:hint="eastAsia" w:ascii="Times New Roman" w:hAnsi="Times New Roman" w:eastAsia="宋体" w:cs="Times New Roman"/>
          <w:bCs/>
          <w:sz w:val="24"/>
          <w:szCs w:val="20"/>
        </w:rPr>
        <w:t xml:space="preserve">实现对大数据基础平台的定期检查和维护，确保大数据基础平台整体运行稳定。</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2</w:t>
      </w:r>
      <w:r>
        <w:rPr>
          <w:rFonts w:ascii="Times New Roman" w:hAnsi="Times New Roman" w:eastAsia="宋体" w:cs="Times New Roman"/>
          <w:bCs/>
          <w:sz w:val="24"/>
          <w:szCs w:val="20"/>
        </w:rPr>
        <w:t xml:space="preserve">.</w:t>
      </w:r>
      <w:r>
        <w:rPr>
          <w:rFonts w:hint="eastAsia" w:ascii="Times New Roman" w:hAnsi="Times New Roman" w:eastAsia="宋体" w:cs="Times New Roman"/>
          <w:bCs/>
          <w:sz w:val="24"/>
          <w:szCs w:val="20"/>
        </w:rPr>
        <w:t xml:space="preserve">根据大数据基础平台的服务需求，提供数据调研和目录更新、数据采集和监控、数据治理和融合、数据共享和开放、数据质量监测和标准制订等服务。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3</w:t>
      </w:r>
      <w:r>
        <w:rPr>
          <w:rFonts w:ascii="Times New Roman" w:hAnsi="Times New Roman" w:eastAsia="宋体" w:cs="Times New Roman"/>
          <w:bCs/>
          <w:sz w:val="24"/>
          <w:szCs w:val="20"/>
        </w:rPr>
        <w:t xml:space="preserve">.</w:t>
      </w:r>
      <w:r>
        <w:rPr>
          <w:rFonts w:hint="eastAsia" w:ascii="Times New Roman" w:hAnsi="Times New Roman" w:eastAsia="宋体" w:cs="Times New Roman"/>
          <w:bCs/>
          <w:sz w:val="24"/>
          <w:szCs w:val="20"/>
        </w:rPr>
        <w:t xml:space="preserve">结合政务信息化项目管理要求，提供信息化项目配套数据技术服务，包括接口、数据应用支撑等服务。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日常巡检：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负责大数据基础平台的定期检查和维护，确保大数据基础平台整体运行稳定。</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提供数据调研和目录更新、数据采集和监控、数据治理和融合、数据共享和开放、数据质量监测和标准制订等服务；提供信息化项目配套数据技术服务，包括接口开发、数据应用支撑等服务。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跟踪各部门数据提交情况，监测各部门信息化项目数据库变化情况，持续回访未及时提交数据的部门。监控数据质量，编写数据质量报告，完善目录数据业务规则。持续回访数据质量不符合要求的部门，协助处理数据质量异常情况。做好日常数据考核统计，逐步提高数据质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纠错服务，管理数据异议工单，将纠错内容推送至来源部门，并及时跟踪各部门数据修正情况。提供相关数据清洗融合技术服务，优化人口库、法人库、电子证照库、地理信息库、信用库和数字门牌库基础库，做好人口库和法人库相关数据治理，显著提高基础库数据质量；新增有关主题库（专题库）；按部门需求进行数据治理和加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负责数据安全，落实数据安全保护措施。做好数据备份，管理数据处理专机，确保数据防护安全、数据处理安全、数据存储安全。制定数据恢复应急预案，并有计划地进行应急演练，确保不出现重大数据安全事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大数据基础平台软硬件出现故障，提供7*24小时技术服务，24小时修复率100%。</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工作日非工作时间：平台发生故障时，无法远程处理时驻场人员1小时内到达现场并排除故障；在双周及法定节假日期间：无法远程处理时运维人员应在2小时内到达现场。</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管理大数据基础平台所需要的技术运维服务，协调厂家运维过程中发现的问题，梳理平台升级优化需求，逐步推动平台的国产化改造。</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5人驻场</w:t>
      </w:r>
      <w:r>
        <w:rPr>
          <w:rFonts w:hint="eastAsia" w:ascii="宋体" w:hAnsi="宋体" w:eastAsia="宋体" w:cs="宋体"/>
          <w:sz w:val="24"/>
          <w:szCs w:val="24"/>
        </w:rPr>
        <w:t xml:space="preserve">，</w:t>
      </w:r>
      <w:r>
        <w:rPr>
          <w:rFonts w:ascii="宋体" w:hAnsi="宋体" w:eastAsia="宋体" w:cs="宋体"/>
          <w:sz w:val="24"/>
          <w:szCs w:val="24"/>
        </w:rPr>
        <w:t xml:space="preserve">支撑全市数据共享</w:t>
      </w:r>
      <w:r>
        <w:rPr>
          <w:rFonts w:hint="eastAsia" w:ascii="宋体" w:hAnsi="宋体" w:eastAsia="宋体" w:cs="宋体"/>
          <w:sz w:val="24"/>
          <w:szCs w:val="24"/>
        </w:rPr>
        <w:t xml:space="preserve">工作</w:t>
      </w:r>
      <w:r>
        <w:rPr>
          <w:rFonts w:ascii="宋体" w:hAnsi="宋体" w:eastAsia="宋体" w:cs="宋体"/>
          <w:sz w:val="24"/>
          <w:szCs w:val="24"/>
        </w:rPr>
        <w:t xml:space="preserve">。</w:t>
      </w:r>
      <w:bookmarkEnd w:id="364"/>
      <w:r/>
      <w:bookmarkEnd w:id="367"/>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68" w:name="_Hlk191568995"/>
      <w:r>
        <w:rPr>
          <w:rFonts w:hint="eastAsia" w:ascii="宋体" w:hAnsi="宋体" w:eastAsia="宋体" w:cs="宋体"/>
          <w:b/>
          <w:bCs/>
          <w:sz w:val="24"/>
          <w:szCs w:val="24"/>
        </w:rPr>
        <w:t xml:space="preserve">需求126：大数据基础平台（大数据基础平台三期升级）运维</w:t>
      </w:r>
      <w:r/>
    </w:p>
    <w:p>
      <w:pPr>
        <w:spacing w:line="440" w:lineRule="exact"/>
        <w:rPr>
          <w:rFonts w:ascii="宋体" w:hAnsi="宋体" w:eastAsia="宋体" w:cs="宋体"/>
          <w:sz w:val="24"/>
          <w:szCs w:val="24"/>
        </w:rPr>
      </w:pPr>
      <w:r/>
      <w:bookmarkStart w:id="369" w:name="_Hlk191569375"/>
      <w:r>
        <w:rPr>
          <w:rFonts w:hint="eastAsia" w:ascii="宋体" w:hAnsi="宋体" w:eastAsia="宋体" w:cs="宋体"/>
          <w:sz w:val="24"/>
          <w:szCs w:val="24"/>
        </w:rPr>
        <w:t xml:space="preserve">服务内容及要求：</w:t>
      </w:r>
      <w:bookmarkEnd w:id="369"/>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完成平台升级改造：新建节点监控与告警系统、升级数字政务平台门户（运营分析、知识管理、页面优化）、升级数据资源（资源展示、月报生成）、升级综合评价系统。</w:t>
      </w:r>
      <w:r/>
    </w:p>
    <w:p>
      <w:pPr>
        <w:ind w:firstLine="42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1.新建节点监控和告警系统</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为保障大数据基础平台的应用和前置节点稳定运行，需要建立一个节点监控和告警系统为平台使用者提供监控、告警、通知等功能，用于提升平台可用性和可靠性，降低故障发生率，增强对前置节点的管理。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4249"/>
        <w:gridCol w:w="3369"/>
        <w:gridCol w:w="2838"/>
      </w:tblGrid>
      <w:tr>
        <w:trPr>
          <w:jc w:val="center"/>
          <w:trHeight w:val="20"/>
        </w:trPr>
        <w:tc>
          <w:tcPr>
            <w:shd w:val="clear" w:color="auto" w:fill="auto"/>
            <w:tcMar>
              <w:left w:w="15" w:type="dxa"/>
              <w:top w:w="15" w:type="dxa"/>
              <w:right w:w="15" w:type="dxa"/>
              <w:bottom w:w="0" w:type="dxa"/>
            </w:tcMar>
            <w:tcW w:w="2032"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系统</w:t>
            </w:r>
            <w:r/>
          </w:p>
        </w:tc>
        <w:tc>
          <w:tcPr>
            <w:gridSpan w:val="2"/>
            <w:shd w:val="clear" w:color="auto" w:fill="auto"/>
            <w:tcMar>
              <w:left w:w="15" w:type="dxa"/>
              <w:top w:w="15" w:type="dxa"/>
              <w:right w:w="15" w:type="dxa"/>
              <w:bottom w:w="0" w:type="dxa"/>
            </w:tcMar>
            <w:tcW w:w="2968"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建设内容</w:t>
            </w:r>
            <w:r/>
          </w:p>
        </w:tc>
      </w:tr>
      <w:tr>
        <w:trPr>
          <w:jc w:val="center"/>
          <w:trHeight w:val="20"/>
        </w:trPr>
        <w:tc>
          <w:tcPr>
            <w:shd w:val="clear" w:color="auto" w:fill="auto"/>
            <w:tcW w:w="2032" w:type="pct"/>
            <w:vAlign w:val="center"/>
            <w:vMerge w:val="restart"/>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节点监控与告警系统-新建</w:t>
            </w:r>
            <w:r/>
          </w:p>
        </w:tc>
        <w:tc>
          <w:tcPr>
            <w:shd w:val="clear" w:color="auto" w:fill="auto"/>
            <w:tcMar>
              <w:left w:w="15" w:type="dxa"/>
              <w:top w:w="15" w:type="dxa"/>
              <w:right w:w="15" w:type="dxa"/>
              <w:bottom w:w="0" w:type="dxa"/>
            </w:tcMar>
            <w:tcW w:w="1611" w:type="pct"/>
            <w:vAlign w:val="center"/>
            <w:vMerge w:val="restart"/>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节点监控</w:t>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监控看板</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设备监控</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应用监控</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数据库监控</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中间件监控</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611" w:type="pct"/>
            <w:vAlign w:val="center"/>
            <w:vMerge w:val="restart"/>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告警中心</w:t>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告警信息接入</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实时告警显示</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历史告警查询</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告警信息处理</w:t>
            </w:r>
            <w:r/>
          </w:p>
        </w:tc>
      </w:tr>
      <w:tr>
        <w:trPr>
          <w:jc w:val="center"/>
          <w:trHeight w:val="20"/>
        </w:trPr>
        <w:tc>
          <w:tcPr>
            <w:shd w:val="clear" w:color="auto" w:fill="auto"/>
            <w:tcW w:w="2032"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W w:w="1611" w:type="pct"/>
            <w:vAlign w:val="center"/>
            <w:vMerge w:val="continue"/>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shd w:val="clear" w:color="auto" w:fill="auto"/>
            <w:tcMar>
              <w:left w:w="15" w:type="dxa"/>
              <w:top w:w="15" w:type="dxa"/>
              <w:right w:w="15" w:type="dxa"/>
              <w:bottom w:w="0" w:type="dxa"/>
            </w:tcMar>
            <w:tcW w:w="1357" w:type="pct"/>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告警信息分析</w:t>
            </w:r>
            <w:r/>
          </w:p>
        </w:tc>
      </w:tr>
    </w:tbl>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（1）节点监控</w:t>
      </w:r>
      <w:r>
        <w:rPr>
          <w:rFonts w:ascii="宋体" w:hAnsi="宋体" w:eastAsia="宋体" w:cs="Times New Roman"/>
          <w:sz w:val="24"/>
          <w:szCs w:val="24"/>
        </w:rPr>
        <w:t xml:space="preserve">要求</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监控看板：将操作系统、应用、数据库和中间件的监控状态进行可视化的展示和分析，支持查看日常运行情况，包括正常运行情况，运行告警情况，未运行情况等，并且增加资产清单支持查看某个具体的操作系统、应用、数据库和中间件。</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设备监控：监控设备的CPU、内存、磁盘、逻辑分区、交换分区、网络接口、进程使用情况；支持对数据库性能监控与管理，提供从应用使用情况、系统资源使用情况、性能指标等全面的监测管理。</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应用监控：对前置节点和交换中心部署的服务、组件运行情况进行监控，主要监控服务的使用率、异常及失败、服务消费能力、服务使用者情况；对信息交换、治理、加工整个业务流程进行监控。</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库监控：支持对Mysql、oracle等数据库连接和性能监控，实现对数据库表空间使用情况的监控，支持对Mysql、oracle等数据库管理，提供数据库服务的启动、停止功能，提供创建表空间、表、触发器、视图以及数据的备份和恢复功能。支持源库和前置库校对，增加委办局表结构和长度类型变化的监控，当表结构变更后，自动报送告警给运维人员，并调整交换任务。</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中间件监控：支持对Tomcat、Websphere等中间件性能监控，能够帮助系统管理员监测系统性能、分析和确定系统的瓶颈。比如能监控应用服务器上页面servlet的平均响应时间等性能指标。</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（2）告警</w:t>
      </w:r>
      <w:r>
        <w:rPr>
          <w:rFonts w:ascii="宋体" w:hAnsi="宋体" w:eastAsia="宋体" w:cs="Times New Roman"/>
          <w:sz w:val="24"/>
          <w:szCs w:val="24"/>
        </w:rPr>
        <w:t xml:space="preserve">要求</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告警信息接入：接入节点监控的信息设立监控指标阈值，并能通过短信、邮件等多种方式进行预警，预警可以分等级，按照警报的不同等级选择不同的通知方式和通知人员。</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实时告警显示：实时展示超过指标阈值的告警信息，在系统内已右下角提醒框的方式提示，并开发实时告警接口为数字政务平台提供告警信息。</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历史告警查询：查询已处理完成的告警信息，并可查看详情。</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告警信息处理：对超过指标阈值的告警信息进行处理，并填写告警原因、解决方案、后续方案等信息，最后生成工单提交。</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告警信息分析：采集来源于告警处理、历史告警信息，对这些信息进行统一展示和统计分析，为管理人员分析整个平台的运行和使用情况提供依据。</w:t>
      </w:r>
      <w:r/>
    </w:p>
    <w:p>
      <w:pPr>
        <w:ind w:firstLine="42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2.升级级数字政务平台门户</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运营分析：提供运营数据监控功能，与数据资源系统运营监控功能打通，面向大数据中心和委办局用户优化设计不同的指标维度。</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问题咨询：基于桌面终端为用户人员提供一种自助式的知识查询手段。在数据政务平台页面侧栏以半隐藏效果提供问题咨询入口，当用数人员有使用其他委办局数据的需求时，但不了解具体数据的情况、资源归属与哪个部门，或者是否符合业务时，可通过用数咨询功能发起咨询任务，描述需要数据的大致范围、业务目标等信息，获取专业的答复和指导。</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页面优化：优化数字政务平台</w:t>
      </w:r>
      <w:r>
        <w:rPr>
          <w:rFonts w:ascii="宋体" w:hAnsi="宋体" w:eastAsia="宋体" w:cs="Times New Roman"/>
          <w:sz w:val="24"/>
          <w:szCs w:val="24"/>
        </w:rPr>
        <w:t xml:space="preserve">UI</w:t>
      </w:r>
      <w:r>
        <w:rPr>
          <w:rFonts w:hint="eastAsia" w:ascii="宋体" w:hAnsi="宋体" w:eastAsia="宋体" w:cs="Times New Roman"/>
          <w:sz w:val="24"/>
          <w:szCs w:val="24"/>
        </w:rPr>
        <w:t xml:space="preserve">界面，提高整体界面友好性与交互性，优化首页、资源目录、资源订阅、运营分析、管理中心页面，增加业务中台页面。</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3.</w:t>
      </w:r>
      <w:r>
        <w:rPr>
          <w:rFonts w:hint="eastAsia" w:ascii="宋体" w:hAnsi="宋体" w:eastAsia="宋体" w:cs="Times New Roman"/>
          <w:b/>
          <w:bCs/>
          <w:sz w:val="24"/>
          <w:szCs w:val="24"/>
        </w:rPr>
        <w:t xml:space="preserve">升级数据资源</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营月报：新增运营月报功能，将平台所有关键的运营指标进行整合，并生成运营月报，同时将月报统计信息进行归档处理，支持统计的明细下载，支持历史信息查看。支持通过虞政通APP、数字政务平台、月报导出等多种路径发送给各单位。</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资源展示：增加基础库和主题库展示功能，能够展示基础库、主题库有数据量、数据分类、字段等信息。</w:t>
      </w:r>
      <w:r/>
    </w:p>
    <w:p>
      <w:pPr>
        <w:ind w:left="42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4.升级综合评价系统</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及时性逻辑修改，库表改为根据业务时间戳，接口改为是否畅通异常，增加业务时间，统计是否及时，并形成月度报表输出给委办局。</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bookmarkEnd w:id="368"/>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需求127：大数据基础平台（数据服务）运维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1.完成与苏州市一体化公共数据底座对接。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2.部署迁移15台部门前置机，完成与时空平台、视频平台的一体化改造。</w:t>
      </w:r>
      <w:r/>
    </w:p>
    <w:p>
      <w:pPr>
        <w:spacing w:line="440" w:lineRule="exact"/>
        <w:rPr>
          <w:rFonts w:ascii="宋体" w:hAnsi="宋体" w:eastAsia="宋体" w:cs="宋体"/>
          <w:sz w:val="24"/>
          <w:szCs w:val="24"/>
        </w:rPr>
      </w:pPr>
      <w:r/>
      <w:bookmarkStart w:id="370" w:name="_Hlk191623555"/>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提供一套数据专用备份工具。</w:t>
      </w:r>
      <w:bookmarkEnd w:id="370"/>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71" w:name="_Hlk191569028"/>
      <w:r>
        <w:rPr>
          <w:rFonts w:hint="eastAsia" w:ascii="宋体" w:hAnsi="宋体" w:eastAsia="宋体" w:cs="宋体"/>
          <w:b/>
          <w:bCs/>
          <w:sz w:val="24"/>
          <w:szCs w:val="24"/>
        </w:rPr>
        <w:t xml:space="preserve">需求128：大数据基础平台（大数据基础平台驻场）运维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提供对系统数据统计、技术问题处置、非标接口封装、数据安全支撑等，参与数据工作专班工作。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提供7*24小时技术服务，24小时修复率100%。</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功能升级部署和开放需求梳理；对业务运行、安全扫描、渗透测试等方式检查出的问题进行修复等服务。</w:t>
      </w:r>
      <w:r/>
    </w:p>
    <w:p>
      <w:pPr>
        <w:spacing w:line="440" w:lineRule="exact"/>
        <w:rPr>
          <w:rFonts w:ascii="宋体" w:hAnsi="宋体" w:eastAsia="宋体" w:cs="宋体"/>
          <w:b/>
          <w:bCs/>
          <w:sz w:val="24"/>
          <w:szCs w:val="24"/>
        </w:rPr>
      </w:pPr>
      <w:r/>
      <w:bookmarkStart w:id="372" w:name="_Hlk191569071"/>
      <w:r/>
      <w:bookmarkEnd w:id="371"/>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需求129：大数据基础平台（时空地理平台）运维</w:t>
      </w:r>
      <w:bookmarkEnd w:id="372"/>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提供对系统数据进行加工、处理、统计等服务，支撑地理信息数据共享，协助数据工作专班和部门解决图层加工和使用问题。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提供7*24小时技术服务，24小时修复率100%。</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对业务运行、安全扫描、渗透测试等方式检查出的问题进行修复等服务。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根据业务需求，提供少量功能优化服务。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需求130：电子证照库运维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证照业务数据运维：主要包含部门进驻信息数据处理，维护更新常熟市电子证照系统中已进驻部门的信息、电子印章配置；电子证照注册目录数据处理，维护更新常熟市电子证照系统中已注册证照目录的信息，已开通发证目录信息、已开通事项用证服务信息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运行保障服务：面向业主单位，提供数据服务，对公众的业务咨询、投诉建议等问题进行整理，形成数据统计报表及汇报材料，定期向业主单位汇报。针对证照目录注册、数据申请、数据对接等工作提供线上线下的业务咨询服务，支持通过微信、QQ、电话、邮件等服务手段,为部门提供5*8小时在线咨询答疑,解决业务运行中发生的各种应用系统问题,保障业务开展连续性。</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运维服务期内，提供7*24小时的免费技术支持和服务，以确保系统的正常使用。服务期内出现故障，在接到业主单位通知后，1小时内响应，对于远程无法解决的故障，4小时内派遣技术人员到现场服务，24小时内维修到位，如一时无法修复，及时做出故障原因报告并提出有效措施加以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第三方安全服务团队扫描、渗透测试等方式检查出的问题提供修复服务，涉及高危漏洞影响系统使用或涉及重大安全隐患的，原则上需在2小时内完成故障处理并恢复，其它类型安全漏洞原则上需在48小时内完成相关漏洞修复和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与常熟市大数据平台对接：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建设内容围绕单点登录、用户同步、消息同步、目录资源对接、审批展示、用证对接等核心功能展开，旨在实现跨系统互联互通、数据共享和业务流程协同，提升政务服务效率与用户体验。以下是具体建设内容的分项说明：单点登录：对接数字政务门户和大数据基础平台实现用户一次登录即可访问所有授权系统，以及权限的动态管理，支持跨域访问与超时自动注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用户同步：对接数字政务门户和大数据基础平台的组织架构与用户数据同步，实现用户账号、部门、角色等信息在平台与业务系统间的双向/单向同步，支持增量同步与冲突检测。</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需求131：智慧交通视频融合平台运维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200次数数据服务。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需求132：移动警务平台运维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数据库的日常维护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每周至少一次定期备份重要数据。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每周至少一次定期针对耗性能SQL语句分析、优化。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数据库等待事件分析，并针对发现的问题进行处理。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每周至少一次定期检查数据库同步情况，异常情况及时处理。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根据工作实际要求，完成数据库迁移工作。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每半年一次定期修改用户密码。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每周至少一次检查表空间剩余量等。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每周至少一次检查 oracle 日志文件。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每周至少一次检查 Oracle 对象状态。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 每周至少一次检查 Oracle 相关资源的使用情况。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一般故障响应时间小于等于2小时；重大故障小于等于6小时，涉及到服务器故障严重问题导致程序无法运行的，汇报协调替换服务器的，需要商讨具体时间。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如有出现过漏洞的，按照漏洞扫描文件上时间要求进行处理。故障发生后，及时响应，一般故障响应时间小于等于2小时；重大故障小于等于6小时，确保在要求时间内修复漏洞。</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定期开展系统缺陷(含安全隐患)分析，制定隐患处理措施，每月不少于1次。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针对系统缺陷(含安全隐患)、漏洞，定期对系统升级程序补丁。</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系统缺陷(含安全隐患)处理设计、调整、实施、测试工作。</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系统缺陷(含安全隐患)处理。</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技术性文档的完善和更新工作。</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定期出具缺陷分析报告，每年不少于2次。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需求133：违法审核平台运维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操作系统漏洞补丁扫描，病毒木马查杀，数据库运行状态和数据备份，过期历史数据清理，各系统日志清理等。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需求134：违停抓拍平台运维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不限次数数据服务。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立即响应，1小时提供解决方案，24小时内解决问题。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操作系统漏洞补丁扫描，病毒木马查杀，数据库运行状态和数据备份，过期历史数据清理，各系统日志清理等。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需求135：执法仪平台运维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运维服务期内提供对系统数据进行加工、处理、统计等服务，不计次数。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对运维服务期内所有上门维修保养巡检工作进行统一记录，形成维保记录单或通过售后工单系统导出巡检、维护记录。</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运维服务期内提供电话支持、远程网络支持、现场上门维修等7*24小时线上技术支持服务；7*8</w:t>
      </w:r>
      <w:r>
        <w:rPr>
          <w:rFonts w:hint="eastAsia" w:ascii="宋体" w:hAnsi="宋体" w:eastAsia="宋体" w:cs="宋体"/>
          <w:sz w:val="24"/>
          <w:szCs w:val="24"/>
        </w:rPr>
        <w:t xml:space="preserve">小时远程维护服务；5*8小时现场服务支持，保障软硬件稳定运行。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提供对各个交警中队上门运维服务。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需求136：道路交通指挥控制系统运维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提供对系统数据进行加工、处理、统计等服务，不存在和提供服务的次数，常态化保障。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修复由系统或功能本身存在BUG导致业务无法正常进行等问题，响应和修复时间：小问题实时修复，大问题三天内解决。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提供对安全扫描、渗透测试等方式检查出的问题进行修复等服务，问题响应及修复时间为一周内解决。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需求137：城市交通综合管控平台运维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提供对系统数据进行加工、处理、统计等服务，不存在和提供服务的次数，常态化保障。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修复由系统或功能本身存在BUG导致业务无法正常进行等问题，响应和修复时间：小问题实时修复，大问题三天内解决。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提供对安全扫描、渗透测试等方式检查出的问题进行修复等服务，问题响应及修复时间为一周内解决。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需求138：莱斯交通信号决策服务与智能控制系统运维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提供对系统数据进行加工、处理、统计等服务，不存在和提供服务的次数，常态化保障。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修复由系统或功能本身存在BUG导致业务无法正常进行等问题，响应和修复时间：小问题实时修</w:t>
      </w:r>
      <w:r>
        <w:rPr>
          <w:rFonts w:hint="eastAsia" w:ascii="宋体" w:hAnsi="宋体" w:eastAsia="宋体" w:cs="宋体"/>
          <w:sz w:val="24"/>
          <w:szCs w:val="24"/>
        </w:rPr>
        <w:t xml:space="preserve">复，大问题三天内解决。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提供对安全扫描、渗透测试等方式检查出的问题进行修复等服务，问题响应及修复时间为一周内解决。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需求139：莱斯交通信号控制系统运维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提供对系统数据进行加工、处理、统计等服务，不存在和提供服务的次数，常态化保障。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修复由系统或功能本身存在BUG导致业务无法正常进行等问题，响应和修复时间：小问题实时修复，大问题三天内解决。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提供对安全扫描、渗透测试等方式检查出的问题进行修复等服务，问题响应及修复时间为一周内解决。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需求140：诱导发布平台运维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提供对系统数据进行加工、处理、统计等服务，不存在和提供服务的次数，常态化保障。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修复由系统或功能本身存在BUG导致业务无法正常进行等问题，响应和修复时间：小问题实时修复，大问题三天内解决。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提供对安全扫描、渗透测试等方式检查出的问题进行修复等服务，问题响应及修复时间为一周内解决。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需求141：智慧施工动态监管与服务系统运维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3次/月数据服务。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包括与系统相关的第三方合作和协助以及解决各种技术和应用问题。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需求142：通行证管理系统运维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1次/月数据服务。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需求143：民意导向系统、智慧食堂、全警情报系统、合成服务系统、民警执法绩效考核系统等运维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对系统数据进行加工、处理、统计等服务，在合约期内提供不少于5次数据服务。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应工作需求增加个性化功能。</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需求144：勤务云链系统运维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应使用单位需求，对系统数据进行加工、处理、统计等服务，在服务期内提供不少于5次数据服务。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立即响应，2小时提供解决方案，3个工作日内解决问题。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应工作需求增加个性化功能。</w:t>
      </w:r>
      <w:r/>
    </w:p>
    <w:p>
      <w:pPr>
        <w:spacing w:line="440" w:lineRule="exact"/>
        <w:rPr>
          <w:rFonts w:ascii="宋体" w:hAnsi="宋体" w:eastAsia="宋体" w:cs="宋体"/>
          <w:sz w:val="24"/>
          <w:szCs w:val="24"/>
          <w:highlight w:val="yellow"/>
        </w:rPr>
      </w:pPr>
      <w:r>
        <w:rPr>
          <w:rFonts w:ascii="宋体" w:hAnsi="宋体" w:eastAsia="宋体" w:cs="宋体"/>
          <w:sz w:val="24"/>
          <w:szCs w:val="24"/>
          <w:highlight w:val="yellow"/>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需求145：环境质量自动监测系统运维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1.为保证系统在发生突发故障导致数据库崩溃或数据丢失时快速恢复正常运行，建立管理好所有数据和软件模块备份机制。数据库采用每日增量备份、每周完整备份的方式保证数据的完整安全。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2.非不可抗力因素造成的系统平台故障与数据丢失需要重新部署的，需无条件配合。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3.提供数据接口维护服务。数据同步异常及接口数据同步/推送异常相关技术咨询服务和处理服务。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4.针对数据传输中断的故障排查、现场第三方硬件设备故障导致的采集软件重装，采集设备重新对接调试等做好相应支撑工作。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软件运维服务主要内容为对空气质量预报系统的维护，主要围绕系统中的各项主要功能及子系统模块进行精细化问题处理。内容包括模块或功能页面的缺陷修复；报表模块的缺陷问题调整；对操作界面、报警界面、审核模块等优化处理；系统对接接口的数据通畅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2.紧急问题当天需处理完成，如无法处理完成的需要与使用单位达成一致，给出解决时间节点。平台发生故障或出现影响系统基础功能使用的缺陷时，需要进行记录，并定期跟踪直至任务关闭。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3.提供工作日5*8小时的电话、即时通讯等服务方式的故障响应服务，能够在发生故障时及时处理。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1.提供对安全扫描、渗透测试等方式检查出的问题进行修复等服务。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2.配合测评单位对系统的安全漏扫整改行动，记录排查结果。根据测评和风险检查结果，对系统的漏洞进行及时修复，以及安全加固等。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问题响应：立即响应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修复时间：根据问题的数量与难度，协商时效内完成。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1.按要求提供工作日期间账号开设或密码重置服务。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2.提供工作日期间系统常规的操作指导服务。系统使用过程中遇到业务流程不熟悉、业务数据导出问题、特殊操作流程等使用问题时，运维人员对使用方相关人员进行使用指导和培训服务。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需求146：实验室信息管理系统（LIMS）运维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1.修复由于异常操作或者软件、硬件bug导致的数据异常。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2.对于用户需要的报告（报表），对数据进行加工统计分析，出具符合要求的报告（报表）。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3.数据上报和系统对接相关的数据导入导出。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4.数据的自动备份，并定期检查。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软件漏洞分析及诊断，1小时内解决系统bug。</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2.针对用户使用过程中提出的问题和优化建议及时对系统进行升级、改造，小改动1个工作内解决，大改动3个工作日内解决。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1.当发现产品或者软件存在漏洞时，负责对软件和功能进行升级和补丁更新。紧急问题1个工作日解决，其余3个工作日解决。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配合服务器迁移工作。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需求147：建设项目审批系统运维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手工维护“环境影响评价报告”的更新数据，并导入数据库、同步至昂诺数据库（每月）。每月定期检查并更新“环境影响评价报告”数据，确保数据的准确性和及时性。对报告中涉及的环境数据进行审核和核对，确保符合最新的法规要求和行业标准。将更新后的报告数据准确导入数据库，并进行数据验证，以确保数据的完整性与一致性。通过自动化工具或脚本，将数据同步至昂诺数据库，避免手动操作可能带来的数据遗漏或错误，提高数据同步效率与准确度。定期进行同步任务的监控与日志分析，确保数据流的顺畅与实时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使用单位与企业的关联关系的维护（每月）。每月对运维单位与企业之间的关联关系进行检查与更新。首先，核对使用单位和企业的最新业务合作情况，确保所有信息都与实际情况一致。针对有变动的合作关系，及时调整数据记录，包括更新联系人信息、修改服务协议和新增或移除企业与使用</w:t>
      </w:r>
      <w:r>
        <w:rPr>
          <w:rFonts w:hint="eastAsia" w:ascii="宋体" w:hAnsi="宋体" w:eastAsia="宋体" w:cs="宋体"/>
          <w:sz w:val="24"/>
          <w:szCs w:val="24"/>
        </w:rPr>
        <w:t xml:space="preserve">单位的关联。定期进行数据质量检查，确保关联关系的准确性与完整性，避免数据重复、缺失或错误。同时，维护相关文档和流程，确保信息变动后的及时更新。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平台账号情况统计、登录次数统计（每季度）。每季度对平台的账号使用情况进行全面统计和分析。首先，收集所有平台用户账号的登录历史记录，并进行数据整理与分析，统计出每个账号的登录频次和活跃度。通过数据挖掘，识别出不活跃或潜在存在安全风险的账号，及时采取措施如账号冻结、清理或提醒用户。生成详细的统计报告，分析平台的使用趋势和用户需求变化，为后续的功能优化和资源配置提供决策支持。还需要定期检查平台账号的权限配置，确保权限的适当分配与管理，防止过度授权或权限泄露。</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企业账号的注册与维护（不定时）。针对企业用户，实时进行企业账号的注册与维护工作。包括企业注册信息的收集与审核，确保注册信息准确无误，符合平台的相关政策与法规要求。在企业账号注册过程中，及时与企业沟通，确保企业的需求与问题得到快速响应。同时，定期检查并更新企业账号的维护信息，包括企业联系人变更、服务类型调整、系统权限管理等，确保企业账号的持续有效性与安全性。根据实际需求，定期进行企业账号权限审核与清理，避免无效账户的存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使用单位账号的注册与维护（不定时）。使用单位账号的注册与维护工作需要根据实际需求进行动态处理。为确保每个使用单位的账号信息准确有效，首先进行详细的身份验证与审核，确保符合平台准入标准。在运维单位账号的维护过程中，及时更新其账号相关信息，如权限调整、联系人变动、服务记录等，以确保运维单位能够顺利进行各项操作。针对运维单位账号的活跃度进行定期监控，及时发现可能存在的异常登录或违规行为，并采取相应措施，保障平台的安全性与稳定性。此外，定期进行运维单位账号的安全检查，确保没有过期账号或不必要的权限暴露。</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w:t>
      </w:r>
      <w:r>
        <w:rPr>
          <w:rFonts w:hint="eastAsia" w:ascii="宋体" w:hAnsi="宋体" w:eastAsia="宋体" w:cs="宋体"/>
          <w:sz w:val="24"/>
          <w:szCs w:val="24"/>
        </w:rPr>
        <w:t xml:space="preserve">正常运作；当正常业务系统受到严重影响，用户无法完成必要操作时，视为严重问题（二级事件）。此类事件将在6小时内响应，并确保在12小时内解决，减少对业务的负面影响；当系统出现报错或警告，但不影响用户正常使用和操作时，视为较严重问题（三级事件）。此类事件将在12小时内响应，并在24小时内解决，及时进行排查并修复问题，保障业务系统的稳定性；当出现问题咨询、部署调试、培训指导或非系统问题的请求时，视为普通问题（四级事件）。此类事件将在24小时内响应，并在48小时内解决，根据需求提供相应的支持和服务，确保疑问得到解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w:t>
      </w:r>
      <w:r>
        <w:rPr>
          <w:rFonts w:hint="eastAsia" w:ascii="宋体" w:hAnsi="宋体" w:eastAsia="宋体" w:cs="宋体"/>
          <w:sz w:val="24"/>
          <w:szCs w:val="24"/>
        </w:rPr>
        <w:t xml:space="preserve">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1.重构企业申报模块（15项基础字段填报+政企通对接）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覆盖建设单位、项目名称、建设地点、环评类型等核心信息，支持脸谱认证登录常熟政企通提交。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2.重构经办人审批模块（7项审批字段+信息编辑/导出功能）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支持监管人员直接修改企业填报数据，录入受理时间、批文信息等7项审批内容，支持数据批量导出。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3.重构归档管理模块（18项环保治理字段+复核/导出功能）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归档人员可修改申报及审批数据，录入脱硫脱硝、VOCs治理等18项环保措施信息，完成环评任务闭环并导出归档文件。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需求148：环境监控一体化平台运维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废气和VOC排口超标排放数据统计与分析：每日统计废气和VOC排口排放浓度超标的数据，并详细分析超标原因，确保及时发现问题并采取应对措施。提供服务频次：每个自然日。</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国发连续排放名单中零流量企业统计：每日统计在国发连续排放名单中的企业，特别是出现零流量的企业，并进行详细分析，确保信息的准确性和时效性。提供服务频次：每个自然日。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3.企业生产、治污与监测环节异常情况整理与登记：每日整理企业报备的生产、治污及监测环节中出现的异常情况，并完成对应的不正常运行登记，确保及时记录并跟进异常问题。提供服务频次：每个。</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w:t>
      </w:r>
      <w:r>
        <w:rPr>
          <w:rFonts w:hint="eastAsia" w:ascii="宋体" w:hAnsi="宋体" w:eastAsia="宋体" w:cs="宋体"/>
          <w:sz w:val="24"/>
          <w:szCs w:val="24"/>
        </w:rPr>
        <w:t xml:space="preserve">及时修复漏洞，有效降低系统遭受攻击的风险，保障平台和数据的安全。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需求149：环境应急与决策指挥系统运维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企业目录的更新与维护（每月）：每月定期进行企业目录的更新与维护，确保平台上的企业信息准确无误。具体工作包括核对企业的基本信息，如名称、地址、联系方式等，并及时更新变动的数据。对于已不再运营的企业进行清理，对于新增的企业及时录入其信息，同时进行必要的审核，确保数据的完整性和时效性。定期生成更新报告，对数据质量进行检查，避免遗漏或错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2.企业账号的最新备案状态维护（每周）：每周核查并更新企业账号的备案状态，确保所有企业信息符合最新的法规和政策要求。通过与监管部门的对接，及时获取备案要求的变化，确保平台上数据一致。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1.重构企业端应急预案填报模块（涵盖预案、报告、专家意见等10类文档资料）。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2.实现与常熟政企通平台对接（脸谱认证登录入口）。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3.建设监管审核平台（实时查看/退回企业填报数据）。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4.数据汇总导出功能（支持批量导出企业报送材料）。</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需求150：自由裁量系统运维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裁量记录的导出数据维护是一项重要且不定期的工作，主要包括定期从系统中提取相关裁量记录数据，并根据用户需求进行整理与导出。这项工作要求我们确保数据的准确性和完整性，避免任何错误或遗漏。每次导出的数据都需要进行逐项核对，确保每一条记录都符合标准。同时，在数据导出时，需要按照不同格式（如Excel、CSV等）为用户提供导出服务，并保证导出的数据能够被准确读取和使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需求151：环保企业通综合服务平台运维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1.监控设施验收备案的数据关联维护与数据处理（每周）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周对监控设施验收备案的数据进行全面审核和关联维护，确保系统中相关信息准确、及时并且一致。工作内容包括：对新增或变更的监控设施数据进行核对，检查设备与备案信息的匹配情况，确保监控设备的验收备案符合标准要求；对过期或无效数据进行清理，避免数据冗余对系统性能产生影响。此外，还需要对设备的运行状态进行监控，及时更新相关数据，确保数据的准确性，避免因数据滞后影响后续审批和监管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2.任务下发查询的相关问题及数据处理（每周）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每周定期检查任务下发查询功能。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w:t>
      </w:r>
      <w:r>
        <w:rPr>
          <w:rFonts w:hint="eastAsia" w:ascii="宋体" w:hAnsi="宋体" w:eastAsia="宋体" w:cs="宋体"/>
          <w:sz w:val="24"/>
          <w:szCs w:val="24"/>
        </w:rPr>
        <w:t xml:space="preserve">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1.迁移夜间施工申报模块（企业端7项基础字段填报+监管端审核流程）至二期平台。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企业端：支持施工单位名称、地址、项目信息、施工时段等7类关键信息申报，支持附件上传。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监管端：提供申报信息审核功能，可退回或标记处理状态。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2.迁移监控设施验收模块（企业端4类排口数据填报+监管端验收核查）至二期平台。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企业端：覆盖污染源排口基础信息、监控设施安装情况、执行标准及附件申报。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监管端：支持在线核验企业申报的排口监控设施合规性。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3.迁移上报整改材料模块（监管端任务派发+企业端整改材料上传）至二期平台。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监管端：统一管理全市企业污染源监控问题，支持定向下发整改任务。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企业端：接收任务后上传整改说明、佐证材料等附件，形成完整整改闭环。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4.重构监测仪器管理功能（全量监测点信息展示+设备变更/新增2项核心操作）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支持企业查看所有监测点仪器信息（项目、名称、型号），并提交仪器变更或新增申请。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5.重构监测数据查询服务（报警/多维度查询/排放统计等5项核心功能）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覆盖企业污染源报警信息、废水/废气排口实时数据、排放量统计（含生产关联数据）、VOCs实时监测等，支持时间/因子/数据类型的灵活切换。</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需求152：常熟天气APP运维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1.天气数据手动维护更新（不定时）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天气数据的手动维护和更新是一个不定时的任务，主要负责对平台内的天气信息进行准确的录入和实时更新。这项工作要求定期监控气象数据源，确保获取最新、最准确的天气信息，并及时更新系统。每当有新的天气预警或变化（如温度、湿度、降水量等）时，我们需要及时进行检查相应的页面和数据，以保证平台上呈现的天气情况与实际相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2.安卓和iOS端页面显示调整（不定时）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安卓和iOS端的页面显示调整工作是一个持续且不定期的任务，主要涉及根据需求对移动端页面的布局、内容以及功能进行优化和调整。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1.重构空气质量展示功能（替换3天天气预测为3子站实时数据）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移除原未来3天天气预报模块，新增兴福、海虞、菱塘3个监测站点的实时空气质量数据接口与可视化展示。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2.迁移后端技术栈（.NET至Java，覆盖当前页面核心服务）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完成现有页面业务逻辑从.NET框架向Java技术栈的迁移，确保功能兼容性与性能稳定性。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3.将页面挂载至看常熟APP。</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需求153：党建系统运维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1.账号的注册与密码维护（不定时）。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2.账号角色、权限、状态的更新（每周）。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需求154：考核系统运维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1.账号角色、权限、状态的更新（每周）。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2.账号的注册与密码维护（每周）。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需求155：“天网”信息化环境监管系统运维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1.VOC数据清单管理与匹配、清洗、核实（每月）。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2.天网产生的业务数据定期共享到大数据局，并进行不定期检查与推送（不定期）。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3.数据下发到乡镇板块，推动基层数据共享（每月）。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4.根据当前工作重点进行不同维度数据统计与加工（每月至少两次）。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5.空气站、水质自动站基本信息的更新与维护（每月）。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系统出现异常时，根据事件的严重性进行分类处理，确保及时响应并解决问题。具体服务内容如下：当系统崩溃并对正常业务交易造成严重后果，导致关键核心业务无法运作时，视为紧急问题（一级事件）。此类事件需要在2小时内响应，并且在6小时内解决，确保尽快恢复核心业务的正常运作；当正常业务系统受到严重影响，用户无法完成必要操作时，视为严重问题（二级事件）。此类事件将在6小时内响应，并确保在12小时内解决减少对业务的负面影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进行每月自查，同时对安全报告中所出现的漏洞进行及时的修复，根据漏洞的严重程度，优先处理高风险漏洞，确保系统安全。修复后，会对其进行充分的测试，确保漏洞已被有效修复，并未引入新的问题。同时更新安全防护策略，提升系统的整体安全性，防止类似漏洞的再次发生。通过及时修复漏洞，有效降低系统遭受攻击的风险，保障平台和数据的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系统功能优化：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大气VOCs企业档案展示：内容包括企业信息（涵盖企业基本信息、地理信息、生产信息、核算信息、治理设施、排气筒信息、污染源信息）的汇总展示、企业核算状态查询、VOC排放量计算、核算期内有机溶剂产生量监测与计算、活性炭关联分析等信息导出功能该工作涉及收集和展示各企业的VOCs排放信息，通过档案展示，让监管部门和公众了解企业的环境影响，确保数据准确、更新及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2.VOCs企业排放量图表展示：通过统计企业的VOCs排放量，生成各种图表（如柱状图、折线图等）进行展示，帮助分析排放趋势和高排放企业。通过数据可视化，便于监控和比较不同企业的排放情况。</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需求156：重污染天气应急管控系统运维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提供服务的次数：按需提供，平均至少每月一次。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数据服务内容：重污染天气管控和产治污异常数据的统计分析；对复杂管控措施的企业进行人工统计分析。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响应时间：接到通知后2小时内响应。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修复时间：一般问题24小时内解决，复杂问题72小时内解决。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异常处理内容：修复由系统或功能本身存在的BUG导致业务无法正常进行的问题。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响应时间：接到通知后2小时内响应。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修复时间：安全扫描、渗透测试等问题在72小时内修复。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系统修复内容：修复通过安全扫描、渗透测试等方式检查出的安全漏洞和性能问题。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新装设备录入平台进行联网。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企业用户变动和工况变更进行对应调整。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对接企业导出工况或排口历史记录。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根据管控名单录入企业最新的管控措施。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开启重污染天气管控期间，出每日管控数据报告。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对于新联网企业每月组织1次用户培训，提升用户操作技能和系统使用效率。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每月进行数据手工异地备份，确保数据安全。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每季度进行一次系统性能评估和优化，提高系统运行效率。</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需求157：企业VOCs数据动态管理系统运维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 数据库管理与运维：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数据库安装与配置：确保数据库安装正确，配置符合业务需求。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数据库性能监控：监控数据库的性能，包括查询效率、响应时间、资源消耗等，及时发现瓶颈。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索引优化：定期对数据库中的表、视图和索引进行优化，减少查询延迟，提升性能。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SQL优化：检查并优化慢查询，避免数据库性能下降。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数据库备份与恢复：定期执行全量和增量备份，确保在发生故障时可以快速恢复数据。建立灾备方案，确保数据不会丢失。</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高可用性配置：配置数据库主从、集群、分片等架构，确保数据库的高可用性和负载均衡。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立即响应，一般1.5个工作日内解决问题。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立刻响应，根据问题的难易，一般5个工作日内解决问题。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微信小程序维护/功能正常使用。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需求158：区域考试平台运维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每月根据题库数量提供及时更新服务。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需求159：智慧卫监综合监管平台运维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1.数据库数据清理，定期清理运维过程中所生成的生产数据库中的临时表，从应用系统角度来优化数据库，如建立并优化索引、优化存储过程、数据库表拆分等，提高应用系统运行速度。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2.定期执行备份，按照备份策略设定的频率和时间（每日备份），定期执行数据备份操作。通过手动方式或者自动化脚本来完成备份任务。备份数据包括数据库、文件系统、配置文件等。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3.定时验证与测试，每周定期验证备份数据的完整性和可用性。进行恢复测试，验证备份数据的可还原性和正确性。及时发现备份故障或问题，并采取措施解决。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突发事件的诊断、排除，根据故障的性质和影响程度，采取相应的修复措施，可能涉及重新启动服务、修改配置、重置资源、修复代码等；针对较严重的故障或系统崩溃，需要进行紧急响应和备份恢复，及时启动备份系统，将数据和配置还原到最近可用状态，确保系统的快速恢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2.帮助解答需求方干系人提出的系统相关的各种业务和技术问题，包括技术咨询、指导、信息提供和数据统计等。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突发事件的诊断、排除，根据故障的性质和影响程度，采取相应的修复措施，可能涉及重新启动服务、修改配置、重置资源、修复代码等；针对较严重的故障或系统崩溃，需要进行紧急响应和备份恢复，及时启动备份系统，将数据和配置还原到最近可用状态，确保系统的快速恢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2.系统所使用的各类中间件补丁更新。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需求160：预防接种综合服务信息管理系统运维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需求161：中医智能云系统运维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需求162：电子发票监管平台系统软件运维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需求163：智维数字化运维监控平台运维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需求164：满意度调查平台运维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需求165：医患关系-智慧预约评测综合平台运维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需求166：电子政务系统运维</w:t>
      </w:r>
      <w:bookmarkStart w:id="373" w:name="_Hlk191625348"/>
      <w:r>
        <w:rPr>
          <w:rFonts w:hint="eastAsia" w:ascii="宋体" w:hAnsi="宋体" w:eastAsia="宋体" w:cs="宋体"/>
          <w:b/>
          <w:bCs/>
          <w:sz w:val="24"/>
          <w:szCs w:val="24"/>
        </w:rPr>
        <w:t xml:space="preserve">（卫生领域）</w:t>
      </w:r>
      <w:bookmarkEnd w:id="373"/>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需求167：用友财务软件信息系统运维（卫生领域）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需求168：院前急救信息管理系统运维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数据服务：存在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数据服务内容：数据统计、数据可视化数据转换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服务次数：12次数据服务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需求169：智慧急救平台系统运维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数据服务：存在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数据服务内容：数据统计、数据可视化数据转换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服务次数：12次数据服务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立即响应，1小时提供解决方案，2个工作日内解决问题。</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需求170：智慧急救平台车载急救系统运维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需求171：医院急诊信息系统运维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数据服务：存在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数据服务内容：数据统计、数据可视化数据转换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服务次数：12次数据服务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需求172：专科中心系统运维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数据服务：存在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数据服务内容：数据统计、数据可视化数据转换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服务次数：12次数据服务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立即响应，1小时提供解决方案，2个工作日内解决问题。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需求173：从业人员健康管理平台运维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需求174：公共卫生人力资源管理与培训考试系统运维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需求175：卫生检验管理系统运维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需求176：安全管理一体化云平台运维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每月提供数据、平台稳定性运维工作。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立即响应，2小时提供解决方案，2个工作日内解决问题。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需求177：综合考核工作平台运维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每年10-11月，需要变更考核指标体系，更新线上评委账号，并根据当年度考核体系变动情况，</w:t>
      </w:r>
      <w:r>
        <w:rPr>
          <w:rFonts w:hint="eastAsia" w:ascii="宋体" w:hAnsi="宋体" w:eastAsia="宋体" w:cs="宋体"/>
          <w:sz w:val="24"/>
          <w:szCs w:val="24"/>
        </w:rPr>
        <w:t xml:space="preserve">对计分系统进行修改。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数据归档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脏数据清理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缓存清理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安全扫描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服务器打补丁</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需求178：友邦图系统运维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无数据服务。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立即响应，一般2个工作日内解决问题。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立即响应，一般2个工作日内解决问题。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需求179：发展党员工作流程管理小程序运维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的自身故障、外部原因(操作系统故障或系统配置故障或对应软件某些错误操作等)导致软件系统出现故障的解决以及对软件系统的维护费用均由中标人承担，并免费提供软件升级、软件故障排除、补丁安装、软件重装等技术支持及维护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需求180：水闸精细化管理系统运维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数据库数据本机每周备份一次，异地备份每月一次。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7*24小时服务响应（双休日、节假日维护工作照常进行），故障非汛期4小时支持响应，24小时内排除，汛期2小时支持响应，12小时内排除。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定期网络信息安全检查，提供华为防火墙IPS-AV-URL升级服务。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需求181：河道管护综合系统运维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提供对系统运行存在异议的数据进行比对、分析，对日常使用数据进行处理、统计。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严重影响系统运行和业务使用的问题优先处理，2个小时内给出解决方案，4个小时内处理完成。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一般或轻微的系统不影响业务使用的问题，4个小时内给出解决方案，48小时内处理完成。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高级和中级问题接收到通知即刻响应并配合处理修复，预估4小时内处理完成。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1.数据库维护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数据库系统维护服务由五部分构成：监控服务、数据备份、安全管理、性能调整、故障排除。</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1.1 </w:t>
      </w:r>
      <w:r>
        <w:rPr>
          <w:rFonts w:hint="eastAsia" w:ascii="宋体" w:hAnsi="宋体" w:eastAsia="宋体" w:cs="宋体"/>
          <w:sz w:val="24"/>
          <w:szCs w:val="24"/>
        </w:rPr>
        <w:t xml:space="preserve">24小时监测服务可进行紧急情况监测的服务包括：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（1）网络连接监控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（2）数据库应用是否正常运行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（3）数据完整性</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1.2 </w:t>
      </w:r>
      <w:r>
        <w:rPr>
          <w:rFonts w:hint="eastAsia" w:ascii="宋体" w:hAnsi="宋体" w:eastAsia="宋体" w:cs="宋体"/>
          <w:sz w:val="24"/>
          <w:szCs w:val="24"/>
        </w:rPr>
        <w:t xml:space="preserve">数据库备份和恢复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（2）数据库的备份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（3）数据库的恢复</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1.3 </w:t>
      </w:r>
      <w:r>
        <w:rPr>
          <w:rFonts w:hint="eastAsia" w:ascii="宋体" w:hAnsi="宋体" w:eastAsia="宋体" w:cs="宋体"/>
          <w:sz w:val="24"/>
          <w:szCs w:val="24"/>
        </w:rPr>
        <w:t xml:space="preserve">安全管理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（1）数据库系统漏洞的修补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（2）服务漏洞的修补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（3）系统访问管理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（4）服务访问管理</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1.4 </w:t>
      </w:r>
      <w:r>
        <w:rPr>
          <w:rFonts w:hint="eastAsia" w:ascii="宋体" w:hAnsi="宋体" w:eastAsia="宋体" w:cs="宋体"/>
          <w:sz w:val="24"/>
          <w:szCs w:val="24"/>
        </w:rPr>
        <w:t xml:space="preserve">性能调整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（1）针对数据库系统：主要包括CPU/内存使用状况、优化数据库设计、优化。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74" w:name="_Hlk191630639"/>
      <w:r>
        <w:rPr>
          <w:rFonts w:hint="eastAsia" w:ascii="宋体" w:hAnsi="宋体" w:eastAsia="宋体" w:cs="宋体"/>
          <w:b/>
          <w:bCs/>
          <w:sz w:val="24"/>
          <w:szCs w:val="24"/>
        </w:rPr>
        <w:t xml:space="preserve">需求</w:t>
      </w:r>
      <w:bookmarkEnd w:id="374"/>
      <w:r>
        <w:rPr>
          <w:rFonts w:hint="eastAsia" w:ascii="宋体" w:hAnsi="宋体" w:eastAsia="宋体" w:cs="宋体"/>
          <w:b/>
          <w:bCs/>
          <w:sz w:val="24"/>
          <w:szCs w:val="24"/>
        </w:rPr>
        <w:t xml:space="preserve">182：节水管理系统运维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根据需求，随时配合对系统数据进行加工、处理、统计等服务。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发现或收到系统或功能本身存在BUG导致业务无法正常进行等问题时，工作时间维护响应时间应在2小时以内完成处置，非工作时间运维响应时间应在4小时以内完成处置，如果需到现场进行服务，应在接到维护请求后的12个小时以内赶到现场完成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安全扫描、渗透测试等方式检查出的问题，工作时间维护响应时间应在2小时以内完成处置，非工作时间运维响应时间应在4小时以内完成处置，如果需到现场进行服务，应在接到维护请求后的12个小时以内赶到现场完成处置。</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需求183：城市排水防涝综合管理平台运维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1年约16公里管线数据整理入库、其他专题数据整理以及配图、发布服务等。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6-7次问题和功能需求，及时响应在1-2个工作日内修复完成，复杂问题或者功能会出差（3-4次）到现场修复和讲解。</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5-6次配合安全单位升级补丁、修复漏洞等操作。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需求184：分散式污水处理设施模块平台软件运维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对系统数据进行加工、处理、统计等服务，填写存在和提供服务的记录。</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修复由系统或功能本身存在BUG导致业务无法正常进行等问题；响应时间：10分钟；修复时间：4小时。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进行安全扫描、渗透测试等方式检查出的问题进行修复等服务。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需求185：新时代文明实践云平台运维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服务内容及要求：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数据服务：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提供系统数据、处理和统计服务，服务次数不限。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异常处理：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2小时内响应，小问题1天内解决，重大问题3天内解决。</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系统修复：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2小时内响应，小问题1天内解决，重大问题3天内解决。</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outlineLvl w:val="4"/>
      </w:pPr>
      <w:r/>
      <w:bookmarkStart w:id="375" w:name="_Toc135319408"/>
      <w:r>
        <w:rPr>
          <w:rFonts w:hint="eastAsia" w:ascii="宋体" w:hAnsi="宋体" w:eastAsia="宋体" w:cs="宋体"/>
          <w:b/>
          <w:bCs/>
          <w:sz w:val="24"/>
          <w:szCs w:val="24"/>
        </w:rPr>
        <w:t xml:space="preserve">（2）硬件设备或系统运维服务</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为确保设备或系统正常运行，日常巡检频次原则上不低于1次/月，具体频次视设备或系统重要程度以及使用单位需求按需调整。（具体设备清单见附件：硬件</w:t>
      </w:r>
      <w:r>
        <w:rPr>
          <w:rFonts w:hint="eastAsia" w:ascii="宋体" w:hAnsi="宋体" w:eastAsia="宋体" w:cs="宋体"/>
          <w:b/>
          <w:bCs/>
          <w:sz w:val="24"/>
          <w:szCs w:val="24"/>
        </w:rPr>
        <w:t xml:space="preserve">主要</w:t>
      </w:r>
      <w:r>
        <w:rPr>
          <w:rFonts w:hint="eastAsia" w:ascii="宋体" w:hAnsi="宋体" w:eastAsia="宋体" w:cs="宋体"/>
          <w:b/>
          <w:bCs/>
          <w:sz w:val="24"/>
          <w:szCs w:val="24"/>
        </w:rPr>
        <w:t xml:space="preserve">设备清单）</w:t>
      </w:r>
      <w:r/>
    </w:p>
    <w:p>
      <w:pPr>
        <w:ind w:firstLine="482"/>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需求1：UPS、弱电等设备运维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分项1：UPS维保</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设备信息：科士达、艾默生各1台及配套蓄电池</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故障响应：1小时 2.故障处置：4小时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设备维护和保养</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分项2：弱电智能化系统维护服务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设备信息：监控服务器3台，监控、门禁交换机45台，监控设备643台，NVP录像机25台，门禁系统12套，门禁一体机356台，LED屏18套，会议系统1套。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巡检内容：法院所有监控（包括派出法庭、执行局等）设备状态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故障响应：1小时 2.故障处置：6小时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1．维护系统包括电视监控系统、一卡通系统、LED显示屏系统、多媒体会议系统、车载平台。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2．对监控系统进行例行检查，出现问题后第一时间进行故障诊断、汇报并及时安排维修工作。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3．负责后端中心机房内所属协议系统设备故障检修：包括机柜内设备的调试维护、系统参数的调整和设置、连接视频上墙系统及光端机的维护检修等。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4．机房内协议各系统控制电脑及应用软件的安装、设置、调试及维护。</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．对协议各个系统及设备的运行情况进行监控，分析运行情况，及时发现并汇报后排除故障。</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需求2：医保数据中心运维保障（硬件）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设备信息：安全设备（包含防火墙、上网行为管理、态势感知平台、网闸、VPN等）共计16台。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技术支持时间：严重7*24、一般5*8。</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安全补丁升级更新license授权、设备配置调整优化等服务。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需求3：医保数据库与服务器运维监控服务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设备信息：服务器、存储等设备共计22台。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2.故障处置：12小时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技术支持时间：严重7*24、一般5*8</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硬件维保、设备配置调整优化。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需求4：财政信息化设备运维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分项1：安全设备运维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设备信息：态势感知平台和探针1套，CA认证、签名认证、安全网关服务器各1台。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设备巡检：负责对维保设备进行调整、检测和升级等现场技术支持，确保设备运行在稳定状态，包括设备硬件及系统相关软件。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7*24小时电话及远程技术支持服务。</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分项2：网络设备运维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设备信息：路由器1台。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设备巡检：负责对维保设备进行调整、检测和升级等现场技术支持，确保设备运行在稳定状态，包括设备硬件及系统相关软件。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故障响应时间：2小时响应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7*24小时电话及远程技术支持服务。</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分项3：安全设备运维2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设备信息：网闸1套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设备巡检：负责对维保设备进行调整、检测和升级等现场技术支持，确保设备运行在稳定状态，包括设备硬件及系统相关软件。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故障响应时间：3小时响应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7*24小时电话及远程技术支持服务。</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分项4：其他设备运维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设备信息：UPS1台，精密空调1台，EMC存储设备一套。服务器：13台，内外网防护墙4台，交换机12台。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要求：设备故障时应急维修，同时采用备机、备件和应急维修相结合的形式实施保障。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需求5：应急能力建设工作（硬件）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分项1：三网安全互联设备服务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设备信息：DAS-TGFW-A1200-FU防火墙2台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设备巡检：设备状态是否正常</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故障响应时间为2小时内响应，24小时内处理好故障。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提供技术支持时间为7*24。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分项2：核心网络交换服务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要求：按需提供核心网络交换机和接入交换机租赁服务。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需求6：内网运维保障及政务内、外网LRA维保服务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分项：内网运维保障及政务内、外网LRA维保服务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设备信息：机房环境设备7台，UPS2台，服务器29台，核心交换、路由、负载均衡等网络设备19台，防火墙、密码机、堡垒机等安全设备16台，存储设备3套。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240"/>
        <w:spacing w:line="440" w:lineRule="exact"/>
        <w:rPr>
          <w:rFonts w:ascii="宋体" w:hAnsi="宋体" w:eastAsia="宋体" w:cs="宋体"/>
          <w:sz w:val="24"/>
          <w:szCs w:val="24"/>
        </w:rPr>
      </w:pPr>
      <w:r>
        <w:rPr>
          <w:rFonts w:hint="eastAsia" w:ascii="宋体" w:hAnsi="宋体" w:eastAsia="宋体" w:cs="宋体"/>
          <w:sz w:val="24"/>
          <w:szCs w:val="24"/>
        </w:rPr>
        <w:t xml:space="preserve">  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设备配置调整优化。</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需求7：板块机房运维服务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设备巡检：16个板块机房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配合设备供应商及时处理故障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需求8：设备续保服务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设备信息：路由器2台，核心交换机2台，汇聚交换机3台，防火墙5台，备份一体机1台，密码机1台。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设备巡检：对维保设备进行调整、检测等现场技术支持，确保设备运行在稳定状态，包括设备硬件及系统相关软件。巡检范围：合同续保设备。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故障响应时间：1小时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技术支持时间：7*24</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应急服务：如系统运行出现异常情况时，1小时响应，2小时内到达用户现场并提供应急服务。尽快恢复设备正常运行，不限定应急服务次数。配合工作：如使用单位要求对相应设备进行调整，中标人需在保证设备安全的情况下，免费负责设备的迁移、安装、调试及相关工作并根据业务要求，完善设备配置，解决相关问题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需求9：城市管理工作平台（原市容秩序管理系统）运维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设备信息：态势感知和终端响应平台、探针、EDR</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故障处置：硬件故障处置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提供7*24小时电话及远程技术支持服务。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1.上门服务：硬件故障人工费用全免。软件应提供7*24小时电话及远程技术支持服务。一般故障在电话和远程无法解决的情况下，需安排技术人员上门服务。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2.现场支持服务：提供现场技术支持服务。针对在设备运行中出现的故障，通过电话仍无法解决</w:t>
      </w:r>
      <w:r>
        <w:rPr>
          <w:rFonts w:hint="eastAsia" w:ascii="宋体" w:hAnsi="宋体" w:eastAsia="宋体" w:cs="宋体"/>
          <w:sz w:val="24"/>
          <w:szCs w:val="24"/>
        </w:rPr>
        <w:t xml:space="preserve">问题，提供现场技术支持服务。现场技术支持包括故障诊断、提交解决方案、系统恢复等服务。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应急服务：如系统运行出现异常情况时，必须保证在接到使用单位报修电话后，根据系统故障的紧急程度，影响用户业务等紧急情况需2小时内到达现场并提供应急服务。尽快恢复设备正常运行，不限定应急服务次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4.负责对维保设备进行调整、检测和升级等现场技术支持，确保设备运行在稳定状态，包括设备硬件及系统相关软件。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5.配合工作：如使用单位要求对相应设备进行调整，中标人需在保证设备安全的情况下，免费负责设备的迁移、安装、调试及相关工作并根据业务要求，完善设备配置，解决相关问题等。</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需求10：环卫综合管理信息系统运维服务（硬件）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设备信息：服务器6台、存储1套、交换机1台、防火墙1台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系统内使用情况、现场设备使用情况。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1小时响应，24小时内到场，48小时内处理完成。</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提供7*24小时电话及远程技术支持服务。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当硬件工作不正常时，1小时响应，24小时内到场，并对错误进行分析，48小时内解决问题，当问题为硬件质量问题，负责联系硬件供货商，协助解决问题；当硬件出现非质量问题的损毁而不能正常工作时，先分析故障，并提出问题的解决办法，相关的费用沟通协商处理。</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需求11：资规日常运行维护服务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分项1：机房设备及软硬件维护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防火墙2台，入侵防御系统1套，上网行为管理1套，日志审计与分析系统1套，多维终端管理系统1套，双向网闸1套，服务器2台，存储设备（含扩展柜）1套，超融合服务器4台以及一些配套的交换设备、虚拟化设备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设备巡检：对维保设备进行调整、检测等现场技术支持，确保设备运行在稳定状态，包括设备硬件及系统相关软件。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故障响应时间：0.5小时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技术支持时间：7天*24小时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应急服务：如系统运行出现异常情况时，0.5小时响应，1小时内到达用户现场并提供应急服务。尽快恢复设备正常运行，不限定应急服务次数。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配合工作：免费负责设备的迁移、安装、调试及相关工作并根据业务要求，完善设备配置，解决相关问题等。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分项2：机房设备及软硬件维护2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设备信息：服务器20台，存储设备9台。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设备巡检：对维保设备进行调整、检测等现场技术支持。巡检范围：合同维保配件。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故障响应时间：0.5小时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技术支持时间：7天*24小时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应急服务：如系统运行出现异常情况时，0.5小时响应，1小时内到达现场并提供应急服务。不限定应急服务次数。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需求12：电子口岸政务服务平台运维服务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分项1：服务器及网络设备运维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设备信息：服务器5台，网络设备2台，存储1台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240"/>
        <w:spacing w:line="440" w:lineRule="exact"/>
        <w:rPr>
          <w:rFonts w:ascii="宋体" w:hAnsi="宋体" w:eastAsia="宋体" w:cs="宋体"/>
          <w:sz w:val="24"/>
          <w:szCs w:val="24"/>
        </w:rPr>
      </w:pPr>
      <w:r>
        <w:rPr>
          <w:rFonts w:hint="eastAsia" w:ascii="宋体" w:hAnsi="宋体" w:eastAsia="宋体" w:cs="宋体"/>
          <w:sz w:val="24"/>
          <w:szCs w:val="24"/>
        </w:rPr>
        <w:t xml:space="preserve">  2.故障处置：2小时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技术支持时间：7*24</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分项2：机房设备运维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设备信息：灭火、配电、精密空调、UPS等1批。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技术支持时间：7*24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分项3：安全设备、服务器、网络设备等运维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设备信息：安全设备13台，服务器6台，网络设备4台，UPS等设备一批。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240"/>
        <w:spacing w:line="440" w:lineRule="exact"/>
        <w:rPr>
          <w:rFonts w:ascii="宋体" w:hAnsi="宋体" w:eastAsia="宋体" w:cs="宋体"/>
          <w:sz w:val="24"/>
          <w:szCs w:val="24"/>
        </w:rPr>
      </w:pPr>
      <w:r>
        <w:rPr>
          <w:rFonts w:hint="eastAsia" w:ascii="宋体" w:hAnsi="宋体" w:eastAsia="宋体" w:cs="宋体"/>
          <w:sz w:val="24"/>
          <w:szCs w:val="24"/>
        </w:rPr>
        <w:t xml:space="preserve">  2.故障处置：2小时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分项4：深度威胁安全网关运维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设备信息：亚信1台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技术支持时间：7*24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需求13：档案信息化业务系统运维（智能化）</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分项1：智慧馆模块化一体机房运维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设备巡检：UPS工作情况检查、精密空调滤网、加湿罐等耗材更换、外机冲洗、动环系统检查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4小时现场响应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分项2：智慧馆机房+库房海瑞氟空调一体运维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设备巡检：精密空调滤网、加湿罐、致冷剂等耗材更换、外机冲洗、动环系统检查、换季空调设置，库房风管、出风口清洁保养，配件损坏包换。</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4小时现场响应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分项3：智慧馆机房+库房环境监测（温、湿度、co2、粉尘）一体运维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设备巡检：中心机房环境监控服务器、监控及短信告警系统、Webservice推送接口、使用授权等软件部分，20个库房208个温湿度、CO2、粉尘传感器，6个楼层弱电间控制箱中汇集智能设备、网络线路工作情况检查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1.故障响应：4小时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2.故障处置：12小时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技术支持时间：7*12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分项4：服务器运维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设备信息：服务器8台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设备巡检：资源使用情况，OS补丁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分项5：服务器及云桌面</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设备信息：深信服服务器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分项6：存储运维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设备信息：局域网和政务网设备各1套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设备巡检：硬件运行情况，管理台工作检查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分项7：网络交换及安全设备许可授权及特征库升级</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设备信息：APT网络预警平台及EDR终端检测管理，防火墙、堡垒机、接入认证、上网行为、数据库审计、日志审计等1批安全设备。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设备巡检：硬件及控制台运行情况，授权及特征库更新。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分项8：网络交换及安全设备许可授权及特征库升级（网络交换）</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设备信息：171台核心交换机及楼层交换机等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设备巡检：硬件及控制台运行情况。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1小时响应</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分项9：库房环境（恒湿）一体运维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设备巡检：3、4楼库房内41台恒湿一体机，6个楼层弱电间区域控制器设备、网络通讯线路，一体化智能管理系统工作情况检查，定期更换或清洗无机湿膜、过滤器、水箱等。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1.故障响应：4小时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分项10：智慧馆+视频监控管理系统运维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设备巡检：硬盘录像机（主、副）6套，综合管理平台服务器、CVR存储台、解码器各1台，350台摄像机，楼层弱电间设备网络交换机及管理系统等工作情况。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1.故障响应：4小时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2.故障处置：72小时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运行改善调优</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需求14：人社信息化系统运维（硬件）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分项1：核心网络及安全设备维保服务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设备信息：核心、汇聚等交换设备10台，防火墙、入侵检测等设备8台，虚拟化服务器及配套许可（6台服务器）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设备巡检：硬件状态，操作系统性能检查、容量检查、日志检查和整体状态。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1.故障响应：及时响应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1.驻场保障工程师1名，按需提供不少于36天。</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工作内容：协助使用单位进行资产梳理、定</w:t>
      </w:r>
      <w:r>
        <w:rPr>
          <w:rFonts w:hint="eastAsia" w:ascii="宋体" w:hAnsi="宋体" w:eastAsia="宋体" w:cs="宋体"/>
          <w:sz w:val="24"/>
          <w:szCs w:val="24"/>
        </w:rPr>
        <w:t xml:space="preserve">期更新；负责防火墙、入侵检测系统、防病毒软件等安全设备的日常维护、配置管理、策略更新等工作；收集、分析安全设备和系统的日志信息，及时发现异常行为和潜在的安全威胁，对高风险事件进行预警和处置；根据安全评估结果，协助使用单位制定并实施安全加固方案，对系统进行漏洞修复、配置优化、访问控制强化等操作；在发生安全事件或出现重大安全漏洞时，第一时间提供技术支持；与使用单位保持密切沟通，及时了解使用单位的安全需求和业务情况，解答关于信息安全方面的问题；与研发、项目管理等部门进行协调沟通，确保项目顺利实施和服务质量的提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2.其他服务：培训服务、故障排除、备件服务、软件升级、建立维保档案。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分项2：核心服务器及存储设备维保服务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设备信息：服务器4台，存储设备4套，网络设备4台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巡检内容：硬件状态，操作系统性能检查、容量检查、日志检查和整体状态，数据库性能检查、配置参数检查、容量检查、任务检查、日志检查和整体状态。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1.故障响应：30分钟响应；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1.提供每周7天、每天24小时的全天候随时到场服务和每天24小时热线电话服务，节假日照常工作，到场时间小于4小时。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2.定期提供常驻现场预防性维护服务（包括数据库及操作系统，全年不少于36天）。</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运维监控服务：通过专业的监控工具对涉及的软硬件提供整体监控服务，监控内容包括性能监控、预防性监控以及业务监控。监控指标包括链路、端口、资源、效率等，同时提供监控告警实时通知服务，监控数据分析服务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4.其他服务：培训服务、故障排除、备件服务、软件升级、建立维保档案。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分项3：VMware虚拟化平台及安全设备维保服务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设备信息：安全设备4台，网络设备3台，存储4套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巡检内容：硬件状态，操作系统性能检查、容量检查、日志检查和整体状态。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1.故障响应：及时响应；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1.驻场保障工程师1名；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工作内容：协</w:t>
      </w:r>
      <w:r>
        <w:rPr>
          <w:rFonts w:hint="eastAsia" w:ascii="宋体" w:hAnsi="宋体" w:eastAsia="宋体" w:cs="宋体"/>
          <w:sz w:val="24"/>
          <w:szCs w:val="24"/>
        </w:rPr>
        <w:t xml:space="preserve">助进行资产梳理、定期更新；负责防火墙、入侵检测系统、防病毒软件等安全设备的日常维护、配置管理、策略更新等工作；收集、分析安全设备和系统的日志信息，及时发现异常行为和潜在的安全威胁，对高风险事件进行预警和处置；根据安全评估结果，协助制定并实施安全加固方案，对系统进行漏洞修复、配置优化、访问控制强化等操作；在发生安全事件或出现重大安全漏洞时，第一时间提供技术支持；与使用单位保持密切沟通，及时了解安全需求和业务情况，解答关于信息安全方面的问题；与研发、项目管理等部门进行协调沟通，确保项目顺利实施和服务质量的提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2.其他服务：培训服务、故障排除、备件服务、软件升级、建立维保档案。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分项4：小型机系统维保服务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设备巡检：硬件状态，操作系统性能检查、容量检查、日志检查和整体状态，数据库性能检查、配置参数检查、容量检查、任务检查、日志检查和整体状态。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故障排除；备件服务；软件升级；培训服务；建立维保档案。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分项5：一体化回流平台维保服务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设备信息：服务器2台，数据脱敏设备2台，灾备一体机1台。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巡检内容：硬件状态，操作系统性能检查、容量检查、日志检查和整体状态，数据库性能检查、配置参数检查、容量检查、任务检查、日志检查和整体状态。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1.提供每周7天、每天24小时的全天候随时到场服务和每天24小时热线电话服务，节假日照常工作，到场时间小于4小时。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2.按需定期提供常驻现场预防性维护服务（包括数据库及操作系统，全年不少于36天）。</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运维监控服务：通过专业的监控工具对涉及的软硬件提供整体监控服务，监控内容包括性能监控、预防性监控以及业务监控。监控指标包括链路、端口、资源、效率等，同时提供监控告警实时通知服务，监控数据分析服务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4.其他服务：培训服务、故障排除、备件服务、软件升级、建立维保档案。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分项6：中心机房UPS、机房空调维保服务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巡检内容：包括环境检查、外观检查、操作历史记录检查、保洁处理、风扇检查等。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1.故障响应：30分钟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故障排除；备件服务；软件升级；培训服务；建立维保档案。</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需求15：智慧司法云管理平台基础硬件运维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设备信息：大屏1套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需求16：智慧文旅大平台硬件维护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设备信息：智能行为分析服务器1台，核心交换1台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需求17：运政稽查监控系统维护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中心设备（服务器、磁盘、网卡、交换机、光纤传输设备）前置设备（摄像头、网线、电线）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巡检范围：电信机房、执法大队机动执法中队、25个布控点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10分钟响应，一般故障24小时处置、重大故障12小时处置。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需求18：出租车智能化管理系统运维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设备信息：服务器5台，存储1套，防火墙1台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巡检内容：服务器、防火墙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巡检范围：常运信息化公司机房</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2小时响应，24小时处置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需求19：智能公共交通系统维护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对交通信息系统所托管的交换机房、网络和办公区域的物理服务器、网络安全设备进行日常巡检和安全巡查，提供前端采集设备维护。每月出具巡检报告一份，日常巡检1次/月。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重大故障或安全隐患2小时内修复，一般故障或安全隐患24小时内修复。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提供包含2人以上远程支撑提供7*24小时技术支持。</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需求20：政务云维保服务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设备信息：华为服务器</w:t>
      </w:r>
      <w:r>
        <w:rPr>
          <w:rFonts w:ascii="宋体" w:hAnsi="宋体" w:eastAsia="宋体" w:cs="宋体"/>
          <w:sz w:val="24"/>
          <w:szCs w:val="24"/>
        </w:rPr>
        <w:t xml:space="preserve">22台，网络设备18台，安全设备13台，华为存储设备4台，云平台2套，</w:t>
      </w:r>
      <w:r>
        <w:rPr>
          <w:rFonts w:ascii="宋体" w:hAnsi="宋体" w:eastAsia="宋体" w:cs="宋体"/>
          <w:sz w:val="24"/>
          <w:szCs w:val="24"/>
        </w:rPr>
        <w:t xml:space="preserve">管理平台2台，其他设备8台</w:t>
      </w:r>
      <w:r>
        <w:rPr>
          <w:rFonts w:hint="eastAsia" w:ascii="宋体" w:hAnsi="宋体" w:eastAsia="宋体" w:cs="宋体"/>
          <w:sz w:val="24"/>
          <w:szCs w:val="24"/>
        </w:rPr>
        <w:t xml:space="preserve">。</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1.电话和在线技术支持：为设备的所有硬件和软件故障提供7*24小时不限次的在线和电话支持服务。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免费故障硬件更换：保证系统不间断运行。如果服务覆盖的硬件出现无法远程解决的故障，中标人应安排专业合格的工程师提供上门维修服务，提供5*10小时下一个工作日现场技术支持服务，在续保期内硬件配件及上门服务费用全免，并提供官网服务期限查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3.现场支持服务：针对在设备运行中出现的故障，通过电话仍无法解决问题，提供现场技术支持服务。现场技术支持包括故障诊断、提交解决方案、系统数据（参数）恢复等服务。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应急服务：如系统运行出现异常情况时，需保证在接到使用单位报修电话后，根据系统故障的紧急程度，在6小时内指派安排专业合格的工程师到达故障现场，12小时内恢复设备的运行，无需另行支付额外费用，不限定应急服务次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5.配合工作：如使用单位要求对相应设备进行调整，中标人需在保证设备安全的情况下，免费负责设备的迁移、安装、调试及相关工作并根据业务要求，完善设备配置，解决相关问题等。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需求21：大数据基础平台维护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设备信息：服务器31台，网络设备8 台，软件平台2套，高斯数据库2套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需求22：前置区基础软硬件设备维保服务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设备信息：服务器4台，防火墙2台，交换机4台，虚拟化软件1套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技术支持时间：5*8</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需求23：政务外网核心基础软硬件设备维保</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设备信息：交换机7台，路由器1台，防火墙3台，日志审计1台，智能管理中心1台，负载均衡2台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需求24：智慧政务服务平台(四期)硬件服务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提供2台核心交换设备服务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需求25：110接处警系统维护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1.故障响应：立即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有计划性的软件迁移服务1次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需求26：通信保障维护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分项1：350M维护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基站、电台设备的维护、搬迁、修理。</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分项2：程控交换机维护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设备信息：内线电话程控交换机</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巡检内容：例行保养和维护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分项3：350兆便携式移动基站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鉴于全市范围内仍然存在不少350M信号的弱区甚至盲区，以及大型建筑室内、地下通道等无法覆盖的区域，需提供一台350兆便携式移动基站用于特定环境下提供信号支持。</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需求27：大数据专项维护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分项1：机房维护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设备信息：UPS、动环监控、服务器、交换机等一批机房设备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1.故障响应：30分钟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2.故障处置：重大故障，3小时；一般故障8小时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包含维修材料及人工，相关维护设备及配件按需采购，并提供报告。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设备信息：精密空调等机房环境设备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1.故障响应：30分钟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2.故障处置：重大故障，3小时；一般故障8小时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包含维修材料及人工，相关维护设备及配件按需采购，并提供报告。</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需求28：新一代公安网用户域建设</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设备信息：高性能路由器，流量采集器各1套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提供设备使用服务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需求29：生态环境硬件运维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分项1：安全设备等运维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设备信息：上网行为管理、态势感知平台、威胁潜伏探针等安全设备，以及超融合私有云服务。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安全设备内置病毒库、特征库等升级。</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分项2：设备维保服务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设备信息：防火墙、审计、备份、核心交换等一批共74台设备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安全设备内置病毒库、特征库等升级。</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分项3：设备运维服务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设备信息：私有云服务器、交换机、堡垒机等信息化设备18台，以及机房UPS、精密空调等一批设备。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1.信息资产维护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1.1机房电源、温度、湿度信息统计记录。</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1.2硬件设备型号、数量、版本等信息统计记录并定期更新。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1.3存储产品型号、版本和性能等信息统计记录并定期更新。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1.4网络结构、网络路由、网络IP地址统计记录并定期更新。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1.5综合布线系统结构图的绘制并定期更新。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1.6其它附属设备的统计记录并定期更新。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2.网络日常维护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2.1定期现场巡检。对网络设备、安全设备、主机、存储设备等进行全面检查，保障各类设备稳定运行。同时针对性提出预警及解决建议，及时排除隐患。</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2.2网络运行分析与管理。对网络运行状况、网络问题进行周期性检查、分析，根据比选人需求提出指导性建议。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2.3网络威胁防范。针对可能造成大规模网络攻击事件的安全漏洞或病毒木马，及时进行安全预警，积极进行补丁修复和安全防护。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3.主机系统运维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提供现场备件安装、补丁升级、操作系统维护、现场故障诊断、电话远程技术支持、系统优化等服务。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4.1 对重要设备出现问题时，第一时间分析原因，协调相关厂家、资源对问题设备进行处理。</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4.2 监控三个私有云的运行，结合业务系统需求，负责虚拟机的管理和维护。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4.3 处理突发网络故障问题。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5.其他IT相关业务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5.1 处理业务接入、线路调整、网络变更等需求，根据具体情况设计、提供并实施相应的工作。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5.2 结合每次等保、渗透、演练等暴露出来的问题进行相对应的整改。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5.3 配合需求完成相应的资料组织和服务等。</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需求30：区域电子票据监管平台运维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设备信息：电子票据服务器8台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需求31：区域卫生平台云服务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设备信息：服务器5台，网络设备4台，存储设备一套（含扩容）。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需求32：云机房建设一期运维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分项1：服务器运维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设备信息：私有云计算节点服务器31台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分项2：交换机运维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设备信息：私有云计算节点交换机11台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 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分项3：其他设备运维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设备信息：私有云计算节点防火墙、负载均衡、存储、备份一体机、核心交换等一批设备共计12台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需求33：云化机房建设二期运维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分项1：服务器运维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设备信息：私有云计算节点服务器35台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分项2：交换机、存储、防火墙设备运维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设备信息：私有云计算节点交换机、存储、防火墙等一批设备共计29台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需求34：安全咨询与体系建设（硬件）运维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设备信息：天融信、山石、深信服、绿盟等一批安全设备共计47台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需求35：网络、存储设备运维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分项1：网络设备运维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设备信息：锐捷交换设备9台、深信服网关1台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分项2：存储设备运维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设备信息：EMC存储1套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1.故障响应：发生硬件系统宕机故障，专责工程师在接到问题报告后十五分钟之内提供电话支持服务，并将在电话回复之后，4小时内赶到现场提供维护服务。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2.故障处置：如果发生硬件系统非宕机的其他故障，专责工程师在接到报修电话后半小时内提供电话支持，并根据使用单位要求和实际情况决定是否需要现场维护，并在4小时内到达现场。</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按时完成每季度维护报告，对上季度维护工作进行统计和分析，发现存在问题，提供改进建议。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需求36：智慧卫监系统运维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设备信息：水、放射等检测分析设备一批共计34台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需求37：531市民健康信息平台运维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分项1：急救终端维护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设备信息：急救车载集成终端、120急救车载无线心电图设备、120急救移动医生终端设备一批共176台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分项2：车载摄像</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设备信息：车载摄像终端88套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2.故障处置：12小时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分项3：其他设备维护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设备信息：4G双卡路由器、读卡器等共30套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分项4：电池维护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设备信息：可充电式心电图机电池44套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2.故障处置：24小时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分项5：其他设备维护2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设备信息：车载硬盘、时间自动跟踪器、授时子钟、心电图机导联线等一批设备共计271个</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分项6：一体机维护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设备信息：联想一体机4台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2.故障处置：12小时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分项7：其他硬件维护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设备信息：大屏监控、LED屏、会议设备等一批设备共计33台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2.故障处置：48小时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分项8：医用平板维护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设备信息：医护用平板9台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需求38：IT综合运维管理平台可视化大屏维护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设备信息：4KHDR可视化大屏 2套</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2.故障处置：48小时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设备配置调整优化</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需求39：医疗急救信息化运维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设备信息：提供急救指挥调度车载终端服务11套，GPS升级服务，提供UPS电源更换，提供20块视频监控硬盘用于车载视频存储服务，对数据库进行热备份。</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巡检内容：设备状态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1.故障响应：1小时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2.故障处置：3小时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技术支持时间：7*24</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系统版本定期更新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需求40：水闸精细化管理系统整体硬件维护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设备信息：服务器、防火墙、交换机、视频矩阵、大屏显示、备用电源等一批设备共计12台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设备巡检：</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上门巡检、清洁、保养服务。重大灾情和重要会议前提供前期准备调试和支持保障服务。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故障处置：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故障非汛期4小时支持响应，24小时内排除，汛期2小时支持响应，12小时内排除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技术支持：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7*24小时服务响应（双休日、节假日维护工作照常进行）</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（3）信息安全服务</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需求1：综合指挥信息化安全运营服务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网格化联动指挥平台、一网统管平台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针对两个系统，每个系统提供：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安全巡检2次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渗透测试1次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系统巡检1次/月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应急演练1次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安全培训2次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机房巡检1次/季度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以上服务内容每次提供报告；</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重点时段重点监测及保障，如春节、国假、网络安全周、县级以上攻防演练期间等，按需网站云防护服务；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服务期内提供1人36天左右驻场服务；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提供防火墙及核心网络设备的备品备件服务，保障中心设备安全、网络通畅；</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提供安全培训不少于2次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需求2：农业农村系统网络安全服务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"智慧三农"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村庄人居环境整治平台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农村土地承包经营权确权登记颁证管理平台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涉农项目管理系统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农业农村项目库管理平台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农村人居环境数字化智慧监管平台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新型农业经营主体信用体系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智慧三农平台农产品质量监管平台及合格证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智慧禁渔线上群管小程序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“智慧三农”综合执法系统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农药管理平台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苏州市犬（猫）免疫管理系统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智慧禁渔线上群管小程序</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漏洞扫描：每季度1次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渗透测试：上、下半年各1次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安全培训：1次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安全巡检：每季度1次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应急演练：1次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资产梳理：1次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安全加固：按需提供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安全咨询：按需提供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应急响应：按需提供</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需求3：城市“网安云脑”服务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网络安全协调指挥平台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APT攻击预警平台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综合日志审计分析平台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漏洞扫描系统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网络安全审计系统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1.资产普查服务：对常熟市区域互联网在线资产进行发现、整理和汇总，补充现有的资产清单，可以重点发现补充各单位未上报资产数据，以及长久无人使用、维护的在线资产等。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态势感知服务：获取的常熟市重点单位的各类监测数据及日常业务流转产生的业务数据，以网络安全事件与威胁风险监测为驱动，对网络空间安全相关信息进行汇聚融合，形成针对人、物、地、事、关系的多维视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3.信息通报服务：通过获取关键信息基础设施资产的态势、趋势、攻击、威胁、风险、隐患、问题等情况，分析、研判，并及时将情况上报，进行预警及快速处置。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应急指挥服务：在重要会议或重大活动期间，提供全方位全天候掌握与活动相关的单位、系统和网站安全状况，及时信息通报网络安全隐患，高效处置网络安全事件，实现在安保时期重点对象的监控、安保人员管控、调度指挥、应急处置以及活动情况总结归档。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5.监管对象服务：实现对重要信息系统的管理和维护，并建立单位、网站系统的安全评估体系。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6.数据支撑服务：提供标准的接口，可采集各种外部数据，能够直接被平台进行处理和使用。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7.攻防演练服务：提供开展“网安2025”、“2025护网行动”等各类网络安全专项行动所需的</w:t>
      </w:r>
      <w:r>
        <w:rPr>
          <w:rFonts w:hint="eastAsia" w:ascii="宋体" w:hAnsi="宋体" w:eastAsia="宋体" w:cs="宋体"/>
          <w:sz w:val="24"/>
          <w:szCs w:val="24"/>
        </w:rPr>
        <w:t xml:space="preserve">全部环境资源，并提供专业人员负责活动的正常开展，帮助网信办能够定期开展各类网络安全专项行动。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8.漏洞扫描和管理服务：梳理单位资产，发现并整合系统漏洞。</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9.数据安全分险检查：对辖区内单位开展数据安全风险检查工作，出具相应数据安全风险评估报告。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10.实时监测服务：网站监测服务、日志采集服务和流量监测服务三部分。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11.驻场服务：提供1人5*8小时驻场服务。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需求4：数据中心网络安全服务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医保综合监管平台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医保微信公共服务平台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医疗保障基础支撑平台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医疗保障信息平台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医保OA系统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医疗保障信息平台数据回流同步软件（DSG）</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1</w:t>
      </w:r>
      <w:r>
        <w:rPr>
          <w:rFonts w:hint="eastAsia" w:ascii="宋体" w:hAnsi="宋体" w:eastAsia="宋体" w:cs="宋体"/>
          <w:sz w:val="24"/>
          <w:szCs w:val="24"/>
        </w:rPr>
        <w:t xml:space="preserve">.</w:t>
      </w:r>
      <w:r>
        <w:rPr>
          <w:rFonts w:ascii="宋体" w:hAnsi="宋体" w:eastAsia="宋体" w:cs="宋体"/>
          <w:sz w:val="24"/>
          <w:szCs w:val="24"/>
        </w:rPr>
        <w:t xml:space="preserve">1人驻场。派遣专业的网络安全工程师进行驻场服务，提供技术支持和安全保障。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2.网络及设备资产维护：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2.1核心网络及其他网络的规划、优化调整：根据使用单位需求和网络现状，制定合理的网络规划方案，优化网络结构，提高网络性能和稳定性。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2.2网络安全设备日常安全状态巡查管理：定期对网络安全设备进行巡查，检查设备的运行状态、配置情况、日志信息等，及时发现并处理潜在的安全问题。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2.3异常流量监控及处理：实时监控网络流量，识别异常流量模式，及时采取措施进行处理，防止网络攻击和恶意行为。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2.4软硬件产品型号、数量、版本等信息统计记录：对网络中的软硬件产品进行详细的信息统计，包括型号、数量、版本等，建立完整的资产清单。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2.5网络结构、网络路由、网络IP地址统计记录：记录网络结构、路由信息和IP地址分配情况，确保网络资源的合理利用和管理。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2.6业务系统逻辑结构图、网络拓扑的绘制调整：绘制和更新业务系统的逻辑结构图和网络拓扑图，确保其准确反映网络的实际情况。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3.内外网电脑终端系统和硬件维护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3.1外设维护：对内外网电脑终端进行安全管理，包括安装终端防护软件、配置安全策略、进行安全检查等。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3.2终端安全管理：实时监测终端的威胁情况，及时发现并处理病毒、木马、恶意软件等安全威胁。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3.3外设维护：对电脑终端的外设设备进行维护，包括打印机、扫描仪、摄像头等，确保其正常运行。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4.态势感知流量分析服务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4.1态势感知流量分析：通过专业的态势感知系统，对网络流量进行实时监测和分析，识别潜在的安全威胁和异常行为。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4.2每月提供分析报告：定期提供详细的流量分析报告，包括流量趋势、威胁分析、安全建议等内容。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5.安全检测服务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资产梳理服务：通过现场勘察与各种技术手段对资产进行全面发现和深度识别，并对发现的资产进行分类梳理，包括但不限于网络拓扑、IP规划使用情况、应用系统、应用端口、系统版本、中间件、安全策略、硬件设备等，并对梳理结果出具相关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6.基线核查服务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依据相关规范，根据实际情况对网络(安全)设备的配置以及业务系统中应用程序的配置情况进行核查，判断是否符合安全性要求，是否存在安全风险和隐患，并能根据不同业务系统的要求，提供相应等级的设置建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7.规划咨询服务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依据相关规范，针对信息系统安全建设过程中的各种安全管理、安全制度、安全技术等方面存在的问题，安排安全咨询专家从管理、技术、制度等维度出发，协助制定网络安全计划、实施方案、工作措施等，参照国内外主流标准提供制度建立、方案制定、技术改进等一体化的解决方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8.安全加固服务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对信息资产进行安全加固，包括但不限于漏洞修复、安全补丁、清理危险账户、关闭危险端口、修正危险策略等。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9.应急响应服务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当发生外部黑客入侵、数据泄露、木马病毒等突发安全事件时，提供7*24应急服务包括事件检测与分析、风险抑制、问题根除、协助业务恢复的服务，最大化降低安全事件带来的影响。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10.重大时刻安全保障服务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在举行重大活动、处理重要事件、以及特殊保障期（如两会、法定节日、敏感时期等）时，组织专业活动前，安全检查，活动时，安全值守。提供专业的威胁检测设备，保证在重保期间及时发现威</w:t>
      </w:r>
      <w:r>
        <w:rPr>
          <w:rFonts w:hint="eastAsia" w:ascii="宋体" w:hAnsi="宋体" w:eastAsia="宋体" w:cs="宋体"/>
          <w:sz w:val="24"/>
          <w:szCs w:val="24"/>
        </w:rPr>
        <w:t xml:space="preserve">胁，及时处置风险，保障重保时期网络安全。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需求5：渗透测试和漏洞扫描服务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医保综合监管平台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医保微信公共服务平台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医疗保障基础支撑平台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医保OA系统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1.漏扫2次：通过远程或者现场方式使用专业的国产漏洞扫描工具对信息系统进行全面漏洞扫描工作，识别出信息资产的漏洞、病毒、木马等潜在风险，出具漏洞扫描报告并提供解决方案。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渗透测试2次：组织渗透测试专家完整地模拟黑客使用的漏洞发现技术和攻击手段，参考《渗透测试执行标准（PTES）》对使用单位指定的目标网络/云平台/系统/主机/应用的安全性作全面深入探测，发现系统最脆弱的环节，并提交检测报告和安全漏洞修复建议方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3.应急演练1次：当发生外部黑客入侵、数据泄露、木马病毒等突发安全事件时，提供7*24应急服务包括事件检测与分析、风险抑制、问题根除、协助业务恢复的服务，最大化降低安全事件带来的影响。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网络安全检查、隐患排查2次。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4.风险评估服务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网络系统的安全现状进行分析，明确其面临的安全威胁和存在的安全漏洞，包括但不限于系统漏洞、系统备份措施、系统审计措施、网络分区措施、网络管控措施、边界防护措施、终端防护措施、机房管控措施等，评估这些漏洞被利用后可能造成的损失程度，提供风险评估报告，帮助制定相应的安全策略和措施，提高网络系统的安全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5.代码审计服务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依据安全规范和要求，对重要应用系统代码审计，发现是否存在安全技术漏洞，避免应用程序漏洞被攻击者利用，导致应用系统被入侵，逐步建立持续改进的工作机制。</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需求6：网络及数据安全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应急管理系统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w:t>
      </w:r>
      <w:r>
        <w:rPr>
          <w:rFonts w:ascii="宋体" w:hAnsi="宋体" w:eastAsia="宋体" w:cs="宋体"/>
          <w:sz w:val="24"/>
          <w:szCs w:val="24"/>
        </w:rPr>
        <w:t xml:space="preserve">.</w:t>
      </w:r>
      <w:r>
        <w:rPr>
          <w:rFonts w:hint="eastAsia" w:ascii="宋体" w:hAnsi="宋体" w:eastAsia="宋体" w:cs="宋体"/>
          <w:sz w:val="24"/>
          <w:szCs w:val="24"/>
        </w:rPr>
        <w:t xml:space="preserve">渗透测试2次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资产梳理2次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网络安全巡检服务4次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数据安全巡检服务2次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安全应急响应不限次数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安全应急演练1次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w:t>
      </w:r>
      <w:r>
        <w:rPr>
          <w:rFonts w:hint="eastAsia" w:ascii="宋体" w:hAnsi="宋体" w:eastAsia="宋体" w:cs="宋体"/>
          <w:sz w:val="24"/>
          <w:szCs w:val="24"/>
        </w:rPr>
        <w:t xml:space="preserve">安全培训1次。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需求7：信息安全服务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城市管理系统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渗透测试（完全模拟黑客可能使用的攻击技术和漏洞发现技术，对目标系统的安全做深入的探测，发现系统最脆弱的环节），1次/季度。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弱口令检测（通过采用模拟黑客的测试手段，完全从安全威胁的角度对指定的IP进行端口扫描，识别高风险端口，并进行弱口令探测服务，未授权访问探测服务，并给出相应的安全整改建议），1次/季度。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加固（1.安全配置方面：针对安全设备、网络设备配置可能存在的问题进行加固，如配置存在any-any配置，明文传输，管理主机限制等。2.网络架构方面：对网络架构进行加固，关键链路冗余、HA配置同步、配置备份等。3.日志方面：配置安全设备发送日志到日志审计，根据需求发送服务器的日志到日志审计），1次/半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培训（采用课堂演示、案例剖析、宣传短片等多种方式教授、传递有关信息安全方面的常识，培训使用单位人员对不安全行为和不安全因素有辨别能力，树立起信息安全工作观念，提高自身的信息安全意识），1次/半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演练（为提高单位处理信息网络突发事件的能力，形成科学、有效、反应迅速的应急工作机制，确保重要计算机信息系统的实体安全、运行安全和数据安全，最大限度地减少网络与信息安全突发公共事件的危害，配合规划相关应急预案并定期协助组织配套演练。调研使用单位应急管理现状，现有的应急预案，组织架构,确定应急演练场景，调研场景对应系统架构及部署情况，编制应急预案），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响应（针对各类突发信息安全事件，如计算病毒、僵尸网络、木马、蠕虫等有害程序感染及传播，黑客后门攻击、漏洞攻击等事件，提供实施层面的应急响应处置，最大程度上减少损失和该事件造成的消极影响，事后提供应急处置报告），按需/年，不限次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安全咨询（通过安全领域的专家，依照国内、国际以及行业标准，帮助使用单位了解安全现状和</w:t>
      </w:r>
      <w:r>
        <w:rPr>
          <w:rFonts w:hint="eastAsia" w:ascii="宋体" w:hAnsi="宋体" w:eastAsia="宋体" w:cs="宋体"/>
          <w:sz w:val="24"/>
          <w:szCs w:val="24"/>
        </w:rPr>
        <w:t xml:space="preserve">风险，提供战略、技术层面的安全咨询服务。包含等级保护合规指导，安全法律法规解读，体系建设实施规划，完善信息安全基础设施，建立规范安全体系，安全技术问题，安全基线建设等咨询内容），按需/年，不限次数。</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需求8：安全漏洞管理系统和渗透测试服务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科技创新创业服务云平台、产业知识服务平台、“昆承英才”创新创业领军人才申报管理系统、汇科创大数据管理平台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1.漏扫2次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2.渗透测试2次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3.应急演练1次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需求9：网络安全服务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1.住建系统自建在用信息化系统23个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2.深信服终端安全管理系统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3.智慧住建视频监控平台（含34台制高点监控、236台监控枪机、10台音柱、5台扬尘在线监测设备）</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1.漏洞扫描 4次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2.渗透测试 4次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3.应急响应 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4.应急演练 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5.培训教育 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6.互联网资产排查 1次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7.机房巡检（含住建局属单位，共9处办公地点） 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1</w:t>
      </w:r>
      <w:r>
        <w:rPr>
          <w:rFonts w:hint="eastAsia" w:ascii="宋体" w:hAnsi="宋体" w:eastAsia="宋体" w:cs="宋体"/>
          <w:sz w:val="24"/>
          <w:szCs w:val="24"/>
        </w:rPr>
        <w:t xml:space="preserve">.深信服端点安全软件V3.0（PC端）授权300个</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.深信服态势感知规则库授权</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.深信服云智订阅软件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视频监控平台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1.季度巡检（出具对应巡检报告）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2.断电断网修复（1小时响应，24小时内修复）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3.在线率保障（保障在线率不低于95%）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以上包含维修所需的材料费（指零星损坏线缆等低值易耗品，不含摄像机）和人工费、机械费、各类车辆运行费用、巡查维修人员保险费、运行电费（不含接电费用），不含拆移机费用。</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需求10：路灯养护所网络安全维护服务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路灯养护所内部网络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1.应急响应4次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2.安全巡检4次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3.资产梳理4次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4.定期漏扫4次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需求11：信息化安全服务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政法系统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提供安全基础检查服务4次、安全培训服务1次、重保服务1次、应急预案编写1次、漏洞扫描4次。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需求12：信息安全服务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人社所有信息系统（常熟人社一体化系统、人事工资系统、事业单位公开招聘管理系统、人社网站系统、人社一卡通系统等）</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1.渗透测试服务，2次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2.外网攻击面监测服务，2次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3.常态化扫测服务，按需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4.资产梳理服务，一2次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5.全网威胁诱捕服务，实时按需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6.态势感知威胁监测服务，实时按需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7.安全应急响应服务，实时按需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8.安全应急演练服务，一次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9.安全咨询服务，按需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10.安全培训服务，2次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11.网站云防护服务，提供7套网站域名（一级域名7个，二级域名不低于20个）的云防护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12.安全策略有效性检查服务，一次，按需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13.代码审计服务，按需</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需求13：碧水琴川网站安全防护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碧水琴川网站</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网站云防护：网站云防护，网站内容监测</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需求14：信息安全服务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交通运输应急指挥及指挥交通运用平台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应急演练1次、安全培训1次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需求15：政务云系统风险评估</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政务云</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进行多角度的全面协同风险评估，以求全面检测系统的入侵点和安全漏洞。给出相应的安全加固措施及其反制手段。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提供远程渗透测试：在远程对采购人互联网系统进行渗透测试工作，包括并不限于漏扫、人工渗透对业务系统进行漏洞挖掘，并出具报告。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提供现场渗透测试：在投标人指定现场对系统进行渗透工作，包括并不限于漏扫、人工渗透对业务系统进行漏洞挖掘，并出具报告。</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其他要求：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针对当前政务云各业务系统进行系统层级、中间件层级、Web应用层级的安全渗透测试，提供不少于400个系统渗透测试。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提供《信息系统渗透测试报告》。测试的工具、风险规避措施。测试的过程、漏洞利用截图，测试的结果等。并根据渗透测试结果提供安全加固措施。</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需求16：政务云安全服务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政务云</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态势感知服务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服务范围要求：需要提供至少5个数据采集节点的全流量采集及分析服务。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服务频次要求：全流量未知威胁监测服务，服务期限内7*24小时不限次；态势感知分析订阅服务，服务期限内，每月出具一次分析报告。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数据采集服务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对接入当前态势感知平台的采集设备、数据的解析规则和策略提供统一的管理，并对数据源采集状态、采集速率和趋势、平台系统安全状态、集群节点数和健康状态进行实时监控。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日志采集与处理服务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日志采集与处理可对现有安全设备、主机设备、网络设备和应用系统的日志进行自动解析、过滤、富化、内容转译、范式化；支持Syslog、WMI、SFTP、SNMP、Netflow、API接口、文件等多种采集方式。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流量采集与处理服务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流量采集与处理可对数十种网络协议进行识别、解析和检测。检测手段丰富多样，可从多个维度综合识别评估网络威胁。为安全分析人员提供基础的告警信息和能力支撑。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全流量未知威胁监测服务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5.1 安全事件分析，利用本地安全大数据情报结合强大的云端数据情报，通过安全服务的方式，采用专业攻防思路构建分析模型，为采购人提供内部失陷主机、外部攻击、内部违规和内部风险等关键信息安全问题的周期性的检测、发现和响应服务。提升单位主动应对安全威胁能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5.2 安全预警通报，结合威胁态势感知系统产生的分析统计数据，将能够对政务云内发生的信息安全事件定期进行通告预警。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5.3 攻击者画像，通过针对每个有过恶意请求的IP地址进行人工的分析判断，能够完全掌握应用系统存在的或潜在的安全威胁。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5.4 网站安全监测，利用云端监测服务对网站信息安全监测，针对网站存在的各类风险进行统计和可视化展示。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5.5 重大安全事件追踪溯源，依托威胁态势感知、攻击者画像等能力，结合外部威胁情报，构建重大安全事件的追踪溯源能力。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5.6 威胁态势感知，实现对网络安全的态势觉察、跟踪、预测和预警，全面、实时掌握网络安全威胁态势，及时发现网络安全事件线索，及时预警通报重大网络安全威胁。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安全运营服务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针对政务云现有所包含的操作系统、数据库、中间件、网络设备、安全设备进行安全加固服务。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服务频次要求：安全加固服务，要求服务期内至少提供1次；数据库漏扫服务，要求服务期内至少提供2次。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应急演练服务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安全应急演练服务，内容要求：制定详细的应急预案，依据制定的应急预案组织开展应急演练。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服务频次要求：应急演练服务，要求服务期内至少提供1次。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安全咨询及应急保障服务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信息安全意识培训：通过培训，增强相关人员的安全意识、安全防护手段。要求提供相应的培训方案。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服务频次要求：信息安全培训服务期内至少提供1次；安全咨询服务</w:t>
      </w:r>
      <w:r>
        <w:rPr>
          <w:rFonts w:hint="eastAsia" w:ascii="宋体" w:hAnsi="宋体" w:eastAsia="宋体" w:cs="宋体"/>
          <w:sz w:val="24"/>
          <w:szCs w:val="24"/>
        </w:rPr>
        <w:t xml:space="preserve">的</w:t>
      </w:r>
      <w:r>
        <w:rPr>
          <w:rFonts w:hint="eastAsia" w:ascii="宋体" w:hAnsi="宋体" w:eastAsia="宋体" w:cs="宋体"/>
          <w:sz w:val="24"/>
          <w:szCs w:val="24"/>
        </w:rPr>
        <w:t xml:space="preserve">服务期限内不限次。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应急保障服务：本次服务要求政务云的安全事件应急响应，主要负责处理突发信息安全事件。</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需求17：政务云主机安全</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政务云</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确保政务云上业务系统运行平稳，提供1100台左右的主机安全服务，确保云主机安全运行。提供主机安全报告、零信任服务以及</w:t>
      </w:r>
      <w:r>
        <w:rPr>
          <w:rFonts w:hint="eastAsia" w:ascii="Times New Roman" w:hAnsi="Times New Roman" w:eastAsia="宋体" w:cs="Times New Roman"/>
          <w:bCs/>
          <w:sz w:val="24"/>
          <w:szCs w:val="20"/>
        </w:rPr>
        <w:t xml:space="preserve">资产管理服务、风险发现服务、病毒查杀服务、威胁监测服务、监测暴力破解、监测异常登录、监测后门程序、主机弱口令治理服务、防端口扫描服务等安全加固服务。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需求18：政务云密码资源池服务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政务云</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为全市提供密码服务与业务应用对接、密钥统一管理、密码设备管理以及密码设备监控服务。以</w:t>
      </w:r>
      <w:r>
        <w:rPr>
          <w:rFonts w:hint="eastAsia" w:ascii="宋体" w:hAnsi="宋体" w:eastAsia="宋体" w:cs="宋体"/>
          <w:bCs/>
          <w:sz w:val="24"/>
          <w:szCs w:val="24"/>
        </w:rPr>
        <w:t xml:space="preserve">满足《中华人民共和国密码法》、《GB/T 39786-2021信息安全技术 信息系统密码应用基本要求》，推动国务院办公厅《关于印发国家政务信息化项目建设管理办法的通知》的落地。</w:t>
      </w:r>
      <w:r/>
    </w:p>
    <w:p>
      <w:pPr>
        <w:ind w:firstLine="600"/>
        <w:spacing w:line="440" w:lineRule="exact"/>
        <w:rPr>
          <w:rFonts w:ascii="宋体" w:hAnsi="宋体" w:eastAsia="宋体" w:cs="宋体"/>
          <w:bCs/>
          <w:sz w:val="24"/>
          <w:szCs w:val="24"/>
        </w:rPr>
      </w:pPr>
      <w:r>
        <w:rPr>
          <w:rFonts w:hint="eastAsia" w:ascii="宋体" w:hAnsi="宋体" w:eastAsia="宋体" w:cs="宋体"/>
          <w:bCs/>
          <w:sz w:val="24"/>
          <w:szCs w:val="24"/>
        </w:rPr>
        <w:t xml:space="preserve">实现对密码服务的统一部署、统一调试、统一供给与监管，资源池性能至少支持10个对接的政务信息系统达到密码安全三级标准。</w:t>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需求19：1000个点授权</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终端杀毒软件</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承载常熟电子政务外网的病毒防护、终端密码保护、网络防护等功能。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提供原厂技术支持服务（包括电话技术支持，远程技术支持，终端应急响应支持，系统升级，软件升级等服务。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需求20：内网安全MSS服务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数据局内部网络系统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通过“人机共智”的方式整合技术、专家和流程 ，快速扩展安全能力，实现7*24H持续监测网络安全风险核心要素（资产、脆弱性、威胁和事件），主动对发现的风险进行闭环处置，提升安全工作的效果及效率，减轻安全压力，呈现安全工作价值。通过本地化安全设备工具化，配合外部安全专家分析能力与人工服务，结合云端安全运营中心实现安全运营服务工作标准化、持续化的成果交付。</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需求21：信息网站防篡改系统标准维保服务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天存网站防篡改系统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网站防篡改系统通过监测网页完整性的变化，通过对篡改行为的实时拦截或自动恢复被篡改的内容来实现对网页完整性的保护。包含7*24小时应急响应、现场实施以及产品小版本升级、产品巡检服务。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需求22：日志收集与分析系统 V5.0软件版维保</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奇安信网神SecFox日志收集与分析系统 V5.0软件版</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收集相关的IT基础设施、应用系统、数据库、安全设备等的日志，进行全面采集、集中存储、关联分析，并针对发现的问题进行告警响应。系统维保服务包含资产管理、日志采集、日志归一化、日志存储、日志查询、实时分析、关联分析、关联告警、统计报表功能。标准维保服务，包括故障判断、报修登记、设备修复。</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需求23：网络安全运维服务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公共安全相关网络</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具体服务要求</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网络资产管理：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对网络安全运维服务期内现有的安全设备及新增的安全设备进行日常维护，具体工作包括：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①日常巡检。查看设备运行日志、分析设备运行状况。</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②设备配置及优化。根据业务及安全需求，调整安全设备配置（包括安全策略修改），并对策略进行归并及优化；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③配置策略梳理。每月对安全策略进行梳理，明确每一条策略的用途、意义。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④配置备份。每月对安全设备配置进行备份，每次配置调整后进行备份。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⑤设备升级。在设备系统软件或特征库新版本发布后，及时完成设备软件升级。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⑥故障处置。对网络安全产品发生的故障进行处置。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⑦新增设备维护。配合完成新增安全设备的安装调试，完成上述①、②、③、④、⑤、⑥项的工作内容。</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网络体系建设：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①根据国家相关标准、行业要求和实际情况建立相应的网络安全信息系统体系。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对现有网络、应用系统、网站深入了解后，根据实际情况分析网络安全状况，由后台专家团队进行深入研究，对现有安全防护体系进行优化和改造。方案应包括现有非涉密区域的现状分析、安全规划、需要补充的安全防护设备清单、需要优化的内容。</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重要时刻保障：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在重大节假日前，做好网络安全排查和优化；在重大节假日期间，做好网络安全保障服务。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1.4</w:t>
      </w:r>
      <w:r>
        <w:rPr>
          <w:rFonts w:hint="eastAsia" w:ascii="宋体" w:hAnsi="宋体" w:eastAsia="宋体" w:cs="宋体"/>
          <w:sz w:val="24"/>
          <w:szCs w:val="24"/>
        </w:rPr>
        <w:t xml:space="preserve">网络安全提升：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①使用现有设备及安全软件进行扫描和修复工作，如不能满足需求，须自备设备及软件完成相关</w:t>
      </w:r>
      <w:r>
        <w:rPr>
          <w:rFonts w:hint="eastAsia" w:ascii="宋体" w:hAnsi="宋体" w:eastAsia="宋体" w:cs="宋体"/>
          <w:sz w:val="24"/>
          <w:szCs w:val="24"/>
        </w:rPr>
        <w:t xml:space="preserve">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②每月对网络区域内的服务器、终端、网络设备、安全设备、应用系统及网站等进行安全扫描，编制详细处置建议。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③每月对应用系统及网站进行安全检测。对网站的漏洞、篡改、挂马、暗链、敏感信息等进行监控，并及时做出告警。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④对应用系统、网站每季度进行1次受控的、非破坏性的渗透测试，查找存在的安全隐患，并针对安全隐患提出解决办法及加固方案，切实保证信息系统安全。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⑤及时检测安全设备的安全事件告警，综合分析各类安全事件日志，及时发现安全威胁，分析基础网络安全状况，对安全事件进行处置。</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1.5</w:t>
      </w:r>
      <w:r>
        <w:rPr>
          <w:rFonts w:hint="eastAsia" w:ascii="宋体" w:hAnsi="宋体" w:eastAsia="宋体" w:cs="宋体"/>
          <w:sz w:val="24"/>
          <w:szCs w:val="24"/>
        </w:rPr>
        <w:t xml:space="preserve">应急响应：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①建立应急响应小组，提供合同期限内7*24小时应急响应服务，当出现突发紧急事件时，启动应急预案，30分钟到现场，提供应急服务。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②制定应急方案，参与上级部门组织的演练，协助编制应急演练总结。</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③配合上级部门的安全检查工作，包括但不限于提供相关日志、数据等信息。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④网络、应用系统、网站等出现异常时，配合进行相关安全排查工作，以便迅速分析网络或信息系统异常原因，在最短时间内恢复正常。</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1.6</w:t>
      </w:r>
      <w:r>
        <w:rPr>
          <w:rFonts w:hint="eastAsia" w:ascii="宋体" w:hAnsi="宋体" w:eastAsia="宋体" w:cs="宋体"/>
          <w:sz w:val="24"/>
          <w:szCs w:val="24"/>
        </w:rPr>
        <w:t xml:space="preserve">安全培训：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提供不少于2次的网络安全培训服务，内容包括最新的法律法规培训，安全意识、技术培训、事件应急等前沿领域技术介绍。</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1.7</w:t>
      </w:r>
      <w:r>
        <w:rPr>
          <w:rFonts w:hint="eastAsia" w:ascii="宋体" w:hAnsi="宋体" w:eastAsia="宋体" w:cs="宋体"/>
          <w:sz w:val="24"/>
          <w:szCs w:val="24"/>
        </w:rPr>
        <w:t xml:space="preserve">云防护：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提供2个主域名的安全云防护，确保业务安全稳定运行。</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1.8 </w:t>
      </w:r>
      <w:r>
        <w:rPr>
          <w:rFonts w:hint="eastAsia" w:ascii="宋体" w:hAnsi="宋体" w:eastAsia="宋体" w:cs="宋体"/>
          <w:sz w:val="24"/>
          <w:szCs w:val="24"/>
        </w:rPr>
        <w:t xml:space="preserve">IPV6转换服务：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提供2个一级域名的IPV6转换服务。</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1.9</w:t>
      </w:r>
      <w:r>
        <w:rPr>
          <w:rFonts w:hint="eastAsia" w:ascii="宋体" w:hAnsi="宋体" w:eastAsia="宋体" w:cs="宋体"/>
          <w:sz w:val="24"/>
          <w:szCs w:val="24"/>
        </w:rPr>
        <w:t xml:space="preserve">安全宣传：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根据使用单位要求，提供2个网络安全宣传教育视频制作。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服务人员要求：</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至少包括：现场实施驻点人员</w:t>
      </w:r>
      <w:r>
        <w:rPr>
          <w:rFonts w:ascii="宋体" w:hAnsi="宋体" w:eastAsia="宋体" w:cs="宋体"/>
          <w:sz w:val="24"/>
          <w:szCs w:val="24"/>
        </w:rPr>
        <w:t xml:space="preserve">1名</w:t>
      </w:r>
      <w:r>
        <w:rPr>
          <w:rFonts w:hint="eastAsia" w:ascii="宋体" w:hAnsi="宋体" w:eastAsia="宋体" w:cs="宋体"/>
          <w:sz w:val="24"/>
          <w:szCs w:val="24"/>
        </w:rPr>
        <w:t xml:space="preserve">，实施过程专人专责制。</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2.2</w:t>
      </w:r>
      <w:r>
        <w:rPr>
          <w:rFonts w:hint="eastAsia" w:ascii="宋体" w:hAnsi="宋体" w:eastAsia="宋体" w:cs="宋体"/>
          <w:sz w:val="24"/>
          <w:szCs w:val="24"/>
        </w:rPr>
        <w:t xml:space="preserve">现场实施驻点人员应熟悉使用单位常用基础设施，熟练掌握信息安全相关标准与规范，具备丰富的信息安全风险评估或安全测评工作经验，具有成熟的信息安全技术和项目管理能力，能够应对可能的突发性安全事件应急工作，独立解决系统及设备出现的故障。现场实施驻点人员必须遵守使用单位的相关保密制度，并按使用单位要求签订保密协议。</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需求24：生态环境网络安全运维服务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环境质量自动监测系统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实验室信息管理系统（LIMS）</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建设项目审批系统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环境监控一体化平台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环境应急与决策指挥系统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自由裁量系统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环保企业通综合服务平台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常熟天气APP</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党建系统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考核系统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“天网”信息化环境监管系统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重污染天气应急管控系统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企业VOCs数据动态管理系统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每个系统提供：漏洞扫描*2</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基础安全环境：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1.信息资产统计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2.网络、安全系统运维（12次）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3.主机系统运维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4.网络存储系统运维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5.突发事件应急响应（4次）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6.安全评估类服务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7.安全监测预警与处置服务（按需）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8.安全培训类服务（2次）</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需求25：望虞河工程信息化管理系统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望虞河工程信息化管理系统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主机安全服务：防火墙、日记审计及安全卫士等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其他：提供Anti-DDoS服务：提供不超过5Gbps流量的DDoS攻击防护；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协助配置云防火墙、日志审计、安全卫士等；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提供7*24故障响应服务，一点处理故障申告。</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需求26：水闸精细化管理系统安全服务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水闸精细化管理系统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安全巡查：1.防火墙安全巡检；2.网络设备安全巡检；3.主机防护安全巡检；4.系统运行安全巡检；5.防病毒安全巡检；6.物理机房巡检，以上巡检内容（2次）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定期漏洞扫描：1.系统漏洞扫描/数据库漏洞扫描：操作系统、数据库及常见应用/协议漏洞扫描。2.Web漏洞扫描：覆盖通用漏洞和常规漏洞。3.信息泄漏检测：检测网站源码、数据库备份文件、SVN文件、系统重要配置、日志文件向外网泄漏。4.弱口令检测：通用性字典弱口令探测，行业性字典弱口令探测。以上扫描内容（4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主机安全服务：2次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需求27：河道管理处安全服务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服务对象（范围）：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河道管护综合系统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服务要求（内容）：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1.云防火墙vFW（基础版）服务；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2.云主机安全vHSMP（高级版）服务；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3.云综合日志审计vLAS服务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（4）云网链路等服务</w:t>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需求1：云资源服务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分项1政务云服务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为确保存量政务云资源运行平稳，中标人需提供总量不低于</w:t>
      </w:r>
      <w:r>
        <w:rPr>
          <w:rFonts w:ascii="宋体" w:hAnsi="宋体" w:eastAsia="宋体" w:cs="宋体"/>
          <w:bCs/>
          <w:sz w:val="24"/>
          <w:szCs w:val="24"/>
        </w:rPr>
        <w:t xml:space="preserve">1156</w:t>
      </w:r>
      <w:r>
        <w:rPr>
          <w:rFonts w:hint="eastAsia" w:ascii="宋体" w:hAnsi="宋体" w:eastAsia="宋体" w:cs="宋体"/>
          <w:bCs/>
          <w:sz w:val="24"/>
          <w:szCs w:val="24"/>
        </w:rPr>
        <w:t xml:space="preserve">台（总配置不低于</w:t>
      </w:r>
      <w:r>
        <w:rPr>
          <w:rFonts w:ascii="宋体" w:hAnsi="宋体" w:eastAsia="宋体" w:cs="宋体"/>
          <w:bCs/>
          <w:sz w:val="24"/>
          <w:szCs w:val="24"/>
        </w:rPr>
        <w:t xml:space="preserve">vCPU5832</w:t>
      </w:r>
      <w:r>
        <w:rPr>
          <w:rFonts w:hint="eastAsia" w:ascii="宋体" w:hAnsi="宋体" w:eastAsia="宋体" w:cs="宋体"/>
          <w:bCs/>
          <w:sz w:val="24"/>
          <w:szCs w:val="24"/>
        </w:rPr>
        <w:t xml:space="preserve">核，内存</w:t>
      </w:r>
      <w:r>
        <w:rPr>
          <w:rFonts w:ascii="宋体" w:hAnsi="宋体" w:eastAsia="宋体" w:cs="宋体"/>
          <w:bCs/>
          <w:sz w:val="24"/>
          <w:szCs w:val="24"/>
        </w:rPr>
        <w:t xml:space="preserve">18630G，存储862T）</w:t>
      </w:r>
      <w:r>
        <w:rPr>
          <w:rFonts w:hint="eastAsia" w:ascii="宋体" w:hAnsi="宋体" w:eastAsia="宋体" w:cs="宋体"/>
          <w:bCs/>
          <w:sz w:val="24"/>
          <w:szCs w:val="24"/>
        </w:rPr>
        <w:t xml:space="preserve">政务云服务器。定期对政务云基础软硬件进行维护，制定详细运维方案，确保云计算中心整体运行稳定，做好备份工作，确保数据及应用安全，云资源高效可用。当资源不足时应及时告知采购人，并及时对资源池进行扩容。</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中标人合同签订之日起30个自然日内提供政务云服务，若未在上述规定时间内完成政务云的私有化部署工作（包括X86架构资源池和ARM架构资源池）。采购人可以向中标人每天收取10000元人民币的违约金，直至建设完成并能正常提供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2.可实时根据采购人要求提供并查看各分配的虚拟机运行情况。</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3.为各部门单位分配云资源，在各部门单位应用部署以及使用过程中提供云资源方面的技术支持。</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4.做好政务云网的安全防护工作。</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5.定期上报政务云计算运行情况，配合做好资源的二次调整和部署。</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6.根据采购人提出的资源预算做好云计算中心升级扩容改造服务，保障充足资源可供使用。</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7.提供虚拟机划分、资源优化调整、状态监控、故障处理等服务；配合采购人对拟申请各类资源配置合理性提出意见。</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8.提供应急事件处理服务。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9.提供技术支持及值班人员服务。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10.中标人提供的政务云需与现有政务云进行无缝对接，包含各类网络线路、设备互联、安全互联、外联接口等，确保过渡期业务访问的安全性和稳定性。</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11.系统从现有政务云平台迁移到中标人提供的政务云过程中业务系统不能中断，业务中断所产生的损失需要由中标人承担。</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12.业务系统从现有政务云迁移至中标人所提供的政务云需在5个工作日内完成。</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13.中标人需在每季度过后的第二个工作日汇报各台虚拟机资源使用情况统计报表。</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14.政务云配套服务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14.1 为保证政务云的备份服务正常运行，中标人提供政务云系统备份服务。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14.2 支持增量备份：通过增量备份降低对备份空间的消耗。</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14.3支持自动备份：通过备份策略周期性为云服务器创建自动备份。</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14.4 支持数据恢复：使用备份将云服务器恢复到历史时间点。</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14.5 支持自动过期：通过保留规则周期性的清理历史备份。</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分项2第三方云租赁服务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1.医保微信公共服务平台云服务</w:t>
      </w:r>
      <w:r/>
    </w:p>
    <w:p>
      <w:pPr>
        <w:ind w:firstLine="480"/>
        <w:spacing w:line="440" w:lineRule="exact"/>
        <w:rPr>
          <w:rFonts w:ascii="宋体" w:hAnsi="宋体" w:eastAsia="宋体" w:cs="宋体"/>
          <w:bCs/>
          <w:sz w:val="24"/>
          <w:szCs w:val="24"/>
        </w:rPr>
      </w:pPr>
      <w:r>
        <w:rPr>
          <w:rFonts w:hint="eastAsia" w:ascii="宋体" w:hAnsi="宋体" w:eastAsia="宋体" w:cs="宋体"/>
          <w:sz w:val="24"/>
          <w:szCs w:val="24"/>
        </w:rPr>
        <w:t xml:space="preserve">服务内容：提供虚拟机2台，</w:t>
      </w:r>
      <w:r>
        <w:rPr>
          <w:rFonts w:hint="eastAsia" w:ascii="宋体" w:hAnsi="宋体" w:eastAsia="宋体" w:cs="宋体"/>
          <w:bCs/>
          <w:sz w:val="24"/>
          <w:szCs w:val="24"/>
        </w:rPr>
        <w:t xml:space="preserve">总配置不低于vCPU4核，内存16G，存储320G。200M网络服务，云主机安全组件。</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2.危险化学品监控视频云存储</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服务内容：提供256000G的存储服务，1000M的网络服务。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3.档案馆信息化业务系统云服务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rPr>
          <w:rFonts w:hint="eastAsia" w:ascii="宋体" w:hAnsi="宋体" w:eastAsia="宋体" w:cs="宋体"/>
          <w:sz w:val="24"/>
          <w:szCs w:val="24"/>
        </w:rPr>
        <w:t xml:space="preserve">提供虚拟机1台，</w:t>
      </w:r>
      <w:r>
        <w:rPr>
          <w:rFonts w:hint="eastAsia" w:ascii="宋体" w:hAnsi="宋体" w:eastAsia="宋体" w:cs="宋体"/>
          <w:bCs/>
          <w:sz w:val="24"/>
          <w:szCs w:val="24"/>
        </w:rPr>
        <w:t xml:space="preserve">总配置不低于vCPU4核，内存16G，存储200G。5M网络服务，主机安全卫士，云主机备份（200G功能包+存储包）。含函数计算、短信、CDN流量、数据库、Redis的使用费。</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4.区域PACS存储服务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服务内容：提供256000G的存储服务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5.合理用药系统云服务租赁</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rPr>
          <w:rFonts w:hint="eastAsia" w:ascii="宋体" w:hAnsi="宋体" w:eastAsia="宋体" w:cs="宋体"/>
          <w:sz w:val="24"/>
          <w:szCs w:val="24"/>
        </w:rPr>
        <w:t xml:space="preserve">提供政务云虚拟机14台，</w:t>
      </w:r>
      <w:r>
        <w:rPr>
          <w:rFonts w:hint="eastAsia" w:ascii="宋体" w:hAnsi="宋体" w:eastAsia="宋体" w:cs="宋体"/>
          <w:bCs/>
          <w:sz w:val="24"/>
          <w:szCs w:val="24"/>
        </w:rPr>
        <w:t xml:space="preserve">总配置不低于vCPU90核，内存213G，存储7100G。</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6.望虞河工程信息化管理系统云服务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rPr>
          <w:rFonts w:hint="eastAsia" w:ascii="宋体" w:hAnsi="宋体" w:eastAsia="宋体" w:cs="宋体"/>
          <w:sz w:val="24"/>
          <w:szCs w:val="24"/>
        </w:rPr>
        <w:t xml:space="preserve">提供虚拟机4台，</w:t>
      </w:r>
      <w:r>
        <w:rPr>
          <w:rFonts w:hint="eastAsia" w:ascii="宋体" w:hAnsi="宋体" w:eastAsia="宋体" w:cs="宋体"/>
          <w:bCs/>
          <w:sz w:val="24"/>
          <w:szCs w:val="24"/>
        </w:rPr>
        <w:t xml:space="preserve">总配置不低于vCPU14核，内存64G，存储1300G。5M网络服务，云主机备份功能包1300G，备份存储包2T，提供云管理平台，7*24故障响应服务。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7.河道管护综合系统云服务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rPr>
          <w:rFonts w:hint="eastAsia" w:ascii="宋体" w:hAnsi="宋体" w:eastAsia="宋体" w:cs="宋体"/>
          <w:sz w:val="24"/>
          <w:szCs w:val="24"/>
        </w:rPr>
        <w:t xml:space="preserve">提供虚拟机2台，</w:t>
      </w:r>
      <w:r>
        <w:rPr>
          <w:rFonts w:hint="eastAsia" w:ascii="宋体" w:hAnsi="宋体" w:eastAsia="宋体" w:cs="宋体"/>
          <w:bCs/>
          <w:sz w:val="24"/>
          <w:szCs w:val="24"/>
        </w:rPr>
        <w:t xml:space="preserve">总配置不低于vCPU8核，内存48G，存储2600G。10M网络服务。云服务器运行保障服务：监控服务、数据备份、安全管理、性能调整、故障排除。</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8.常熟市节水管理系统云服务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服务内容：</w:t>
      </w:r>
      <w:r>
        <w:rPr>
          <w:rFonts w:hint="eastAsia" w:ascii="宋体" w:hAnsi="宋体" w:eastAsia="宋体" w:cs="宋体"/>
          <w:sz w:val="24"/>
          <w:szCs w:val="24"/>
        </w:rPr>
        <w:t xml:space="preserve">提供虚拟机1台，</w:t>
      </w:r>
      <w:r>
        <w:rPr>
          <w:rFonts w:hint="eastAsia" w:ascii="宋体" w:hAnsi="宋体" w:eastAsia="宋体" w:cs="宋体"/>
          <w:bCs/>
          <w:sz w:val="24"/>
          <w:szCs w:val="24"/>
        </w:rPr>
        <w:t xml:space="preserve">总配置不低于vCPU2核，内存8G，存储100G。</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需求2：机柜租赁服务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常熟政务云计算中心目前承载了常熟市众多部门的基础信息库、政务服务应用、民生服务应用，本服务是政务云计算中心标准机柜租赁服务，数量不少于132个。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w:t>
      </w:r>
      <w:r>
        <w:rPr>
          <w:rFonts w:hint="eastAsia" w:ascii="宋体" w:hAnsi="宋体" w:eastAsia="宋体" w:cs="宋体"/>
          <w:bCs/>
          <w:sz w:val="24"/>
          <w:szCs w:val="24"/>
        </w:rPr>
        <w:t xml:space="preserve">IDC机房要求：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 机房要求主机房区、运维管理区、不间断电源室等独立划分区域。</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1.2 机房至少具有2路一类市电引入；每路配电系统采用不低于10kV标准的高压接入。</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1.3 机房需配备后备发电系统，发电机容量应包括不间断电源系统、空调和制冷设备的基本容量、应急照明及关系到生命安全等需要的负荷容量，并有至少20%的冗余；至少配备1台1100kW的柴油发电机；后备发电系统供电切换时间应小于UPS电池供电的最短时间。</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1.4 机房空调需采用N+1冗余方式，室内温湿度应符合设计环境指标要求，并且配备温湿度计，温度、湿度告警设备，机房温度：20～25℃，相对湿度：40%～55%，不间断电源室温度：15～25℃。</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1.5 机房具备完善的广域网连接方案及资源。</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1.6 为满足未来发展需要，机房需具备单口带宽≥10G，总出口带宽≥1T的互联网出口能力。</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1.7 机房所在建筑物需配置7*24小时专业保安人员职守，需建立严格的安检登记制度及准入制度。</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1.8 机房监控系统保证场地内监控无死角，对场地进行7*24小时监控，本地监控录像保存时间不少于1个月。</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1.9 机房需使用门禁系统，人员进入机房采用刷卡方式，远端可监控到人员身份、进出机房的时间等信息并可适时存储。</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1.10 机房需具备完善的动环监控系统，主要实现对机房温湿度、配电、UPS、制冷单元、漏水、门禁等状态进行实时监测、控制、报警等功能。</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1.11 投标人需制定完善的机房维护管理方案及应急保障方案，对机房故障进行不同等级的划分和处理，第一时间通知采购人。</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1.12 机房安排7*24小时人员值班，进行环境监控、定期巡查。巡检频度保持不低于每个自然日2次，严格保存巡检日志记录。</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1.13 机房需具备不低于4人的现场驻点维护团队。</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1.14 机房消防系统需采用主次管道分层设计，配合气体分析、温感系统、烟感系统进行监控。</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1.15中标人应在中标后15天内准备好符合要求的标准机柜。</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w:t>
      </w:r>
      <w:r>
        <w:rPr>
          <w:rFonts w:hint="eastAsia" w:ascii="宋体" w:hAnsi="宋体" w:eastAsia="宋体" w:cs="宋体"/>
          <w:bCs/>
          <w:sz w:val="24"/>
          <w:szCs w:val="24"/>
        </w:rPr>
        <w:t xml:space="preserve">现有设备的搬迁要求：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2.1 在设备搬迁前，确保新机房空余机柜充足，提前规划好各个机柜中设备摆放位置、网络连接方式，记录好网络线缆所贴的标签。</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2.2 做好数据备份工作，确保搬迁后数据不丢失，系统能够恢复正常运行。如在搬迁过程中造成数据丢失、泄露，视严重程度，投标人需承担相应法律责任。</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2.3 保证硬件设备在搬迁过程中不损坏。如果出现损坏，中标人需提供相应备品备件，在15天内完成修复，如无法修复的，中标人需提供同型号未拆封新机。设备损坏期间，投标人需提供备机，确保采购人业务正常运行。</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2.4 由于采购人设备存储重要民生数据，在设备搬迁过程中，需采购人全程现场监督。</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2.5 所有设备在搬迁时，需平稳轻放，严禁设备倒置、扔投设备。</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2.6 设备搬迁完毕后，需根据搬迁前记录的网线线缆的标签，完成线缆标签粘贴工作。</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2.7 中标人应在5个工作日内完成所有设备的搬迁工作。</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2.8 中标人承担设备搬迁涉及的一切费用包括人力、运输等。</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2.9 中标人因设备搬迁造成的业务中断时间不高于60分钟。</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t xml:space="preserve">.</w:t>
      </w:r>
      <w:r>
        <w:rPr>
          <w:rFonts w:hint="eastAsia" w:ascii="宋体" w:hAnsi="宋体" w:eastAsia="宋体" w:cs="宋体"/>
          <w:bCs/>
          <w:sz w:val="24"/>
          <w:szCs w:val="24"/>
        </w:rPr>
        <w:t xml:space="preserve">运维要求：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3.1 IDC机房配备7*24小时值班，值班人员实时响应并处理中标人所提供机房侧自有设备相关</w:t>
      </w:r>
      <w:r>
        <w:rPr>
          <w:rFonts w:hint="eastAsia" w:ascii="宋体" w:hAnsi="宋体" w:eastAsia="宋体" w:cs="宋体"/>
          <w:bCs/>
          <w:sz w:val="24"/>
          <w:szCs w:val="24"/>
        </w:rPr>
        <w:t xml:space="preserve">故障。</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3.2 投标人需定期测试网络连通性，检查网络运行状况。</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3.3 机房火灾自动告警系统及自动灭火系统由专人（或兼职消控员）负责维护，确保运行正常。</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3.4 每月备份IDC机房内业务交换机的配置，确保设备正常运行。</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3.5 做好随工工作，对于初入机房的人员，需严格管理，需确保至少有1名值班人员随工。</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3.6 做好设备出入记录。对于出入机房的设备，需做好纸质台账的登记工作。进出采购人机柜的设备，需经采购人书面同意后，方可允许出入。</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需求3：链路服务</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包含全市政务网、业务网等各类裸光纤、VPN、互联网专线、数字电路等链路服务，确保线路通畅稳定运行。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提供服务内容：</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分项1：VPN线路2197条。带宽：1000M1391条，500M1条，300M1条，200M6条，100M27条，50M164条，20M588条，10M16条，34M3条.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分项2：互联网专线34条。带宽：1000M5条，300M3条，200M3条，100M17条，50M4条，34M2条。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分项3：光纤904条。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分项4：数字电路47条。带宽：100M10条，50M1条，30M14条，20M16条，10M1条，6M2条，2M3条。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分项5：IP地址86个</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分项6：MSTP线路3条，带宽分别为200M，155M和100M各1条。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分项7：IDC专线2条，带宽分别为34M和100M。</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分项8：流量卡50张，物联网卡518张，上网宽带10条（500M8条，1000M2条），固定电话通讯17部，工作终端通讯</w:t>
      </w:r>
      <w:r>
        <w:rPr>
          <w:rFonts w:ascii="宋体" w:hAnsi="宋体" w:eastAsia="宋体" w:cs="宋体"/>
          <w:sz w:val="24"/>
          <w:szCs w:val="24"/>
        </w:rPr>
        <w:t xml:space="preserve">947套</w:t>
      </w:r>
      <w:r>
        <w:rPr>
          <w:rFonts w:hint="eastAsia" w:ascii="宋体" w:hAnsi="宋体" w:eastAsia="宋体" w:cs="宋体"/>
          <w:sz w:val="24"/>
          <w:szCs w:val="24"/>
        </w:rPr>
        <w:t xml:space="preserve">。</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需求4：其他服务</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分项1短信服务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为常熟生态环境、新市民中心、公安、人社等单位提供短信发送服务。（年发送量预计900万条，以实际发送数为准）</w:t>
      </w:r>
      <w:r/>
    </w:p>
    <w:p>
      <w:pPr>
        <w:spacing w:line="440" w:lineRule="exact"/>
        <w:rPr>
          <w:rFonts w:ascii="宋体" w:hAnsi="宋体" w:eastAsia="宋体" w:cs="宋体"/>
          <w:bCs/>
          <w:sz w:val="24"/>
          <w:szCs w:val="24"/>
        </w:rPr>
      </w:pPr>
      <w:r>
        <w:rPr>
          <w:rFonts w:ascii="宋体" w:hAnsi="宋体" w:eastAsia="宋体" w:cs="宋体"/>
          <w:bCs/>
          <w:sz w:val="24"/>
          <w:szCs w:val="24"/>
        </w:rPr>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分项2警务通租赁服务</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为公安提供警务通租赁服务。（约500台（含配套流量卡），以实际需求数为准）</w:t>
      </w:r>
      <w:r/>
    </w:p>
    <w:p>
      <w:pPr>
        <w:spacing w:line="440" w:lineRule="exact"/>
        <w:rPr>
          <w:rFonts w:ascii="宋体" w:hAnsi="宋体" w:eastAsia="宋体" w:cs="宋体"/>
          <w:b/>
          <w:sz w:val="24"/>
          <w:szCs w:val="24"/>
        </w:rPr>
      </w:pPr>
      <w:r>
        <w:rPr>
          <w:rFonts w:ascii="宋体" w:hAnsi="宋体" w:eastAsia="宋体" w:cs="宋体"/>
          <w:b/>
          <w:sz w:val="24"/>
          <w:szCs w:val="24"/>
        </w:rPr>
      </w:r>
      <w:r/>
    </w:p>
    <w:p>
      <w:pPr>
        <w:spacing w:line="44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（5）等保密评服务</w:t>
      </w:r>
      <w:r/>
    </w:p>
    <w:p>
      <w:pPr>
        <w:jc w:val="left"/>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需求1：等保测评服务</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spacing w:line="440" w:lineRule="exact"/>
        <w:rPr>
          <w:rFonts w:ascii="宋体" w:hAnsi="宋体" w:eastAsia="宋体" w:cs="宋体"/>
          <w:bCs/>
          <w:sz w:val="24"/>
          <w:szCs w:val="24"/>
        </w:rPr>
      </w:pPr>
      <w:r>
        <w:rPr>
          <w:rFonts w:hint="eastAsia" w:ascii="宋体" w:hAnsi="宋体" w:eastAsia="宋体" w:cs="宋体"/>
          <w:sz w:val="24"/>
          <w:szCs w:val="24"/>
        </w:rPr>
        <w:t xml:space="preserve">依照法律法规和行业标准</w:t>
      </w:r>
      <w:r>
        <w:rPr>
          <w:rFonts w:hint="eastAsia" w:ascii="宋体" w:hAnsi="宋体" w:eastAsia="宋体" w:cs="宋体"/>
          <w:bCs/>
          <w:sz w:val="24"/>
          <w:szCs w:val="24"/>
        </w:rPr>
        <w:t xml:space="preserve">中对应的技术要求提供等保测评，</w:t>
      </w:r>
      <w:r>
        <w:rPr>
          <w:rFonts w:hint="eastAsia" w:ascii="宋体" w:hAnsi="宋体" w:eastAsia="宋体" w:cs="宋体"/>
          <w:sz w:val="24"/>
          <w:szCs w:val="24"/>
        </w:rPr>
        <w:t xml:space="preserve">提供23套业务系统的二级等保服务、9套业务系统的三级等保服务，</w:t>
      </w:r>
      <w:r>
        <w:rPr>
          <w:rFonts w:hint="eastAsia" w:ascii="宋体" w:hAnsi="宋体" w:eastAsia="宋体" w:cs="宋体"/>
          <w:bCs/>
          <w:sz w:val="24"/>
          <w:szCs w:val="24"/>
        </w:rPr>
        <w:t xml:space="preserve">对评估对象的现状作记录，包括物理安全、网络安全、主机安全、应用安全、数据安全及备份和恢复；按照采购人系统现状对应的管理要求进行测评分析，对评估对象的现状作记录，包括安全管理制度、安全管理机构、人员安全管理、系统建设管理、系统运维管理。</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服务要求：</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提供《网络安全等级测评报告》，包括但不限于：单元测评分析结果、整改测评分析结果、测评结论和安全整改建议等。</w:t>
      </w:r>
      <w:r/>
    </w:p>
    <w:p>
      <w:pPr>
        <w:jc w:val="left"/>
        <w:spacing w:line="440" w:lineRule="exac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需求2：商用密码测评服务</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服务内容：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包含2套业务系统的密码测评服务。</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依照法律法规和行业标准</w:t>
      </w:r>
      <w:r>
        <w:rPr>
          <w:rFonts w:hint="eastAsia" w:ascii="宋体" w:hAnsi="宋体" w:eastAsia="Times New Roman" w:cs="宋体"/>
          <w:bCs/>
          <w:sz w:val="24"/>
          <w:szCs w:val="24"/>
        </w:rPr>
        <w:t xml:space="preserve">中</w:t>
      </w:r>
      <w:r>
        <w:rPr>
          <w:rFonts w:hint="eastAsia" w:ascii="宋体" w:hAnsi="宋体" w:eastAsia="宋体" w:cs="宋体"/>
          <w:bCs/>
          <w:sz w:val="24"/>
          <w:szCs w:val="24"/>
        </w:rPr>
        <w:t xml:space="preserve">对应</w:t>
      </w:r>
      <w:r>
        <w:rPr>
          <w:rFonts w:hint="eastAsia" w:ascii="宋体" w:hAnsi="宋体" w:eastAsia="Times New Roman" w:cs="宋体"/>
          <w:bCs/>
          <w:sz w:val="24"/>
          <w:szCs w:val="24"/>
        </w:rPr>
        <w:t xml:space="preserve">的</w:t>
      </w:r>
      <w:r>
        <w:rPr>
          <w:rFonts w:hint="eastAsia" w:ascii="宋体" w:hAnsi="宋体" w:eastAsia="宋体" w:cs="宋体"/>
          <w:bCs/>
          <w:sz w:val="24"/>
          <w:szCs w:val="24"/>
        </w:rPr>
        <w:t xml:space="preserve">技术要求</w:t>
      </w:r>
      <w:r>
        <w:rPr>
          <w:rFonts w:hint="eastAsia" w:ascii="宋体" w:hAnsi="宋体" w:eastAsia="Times New Roman" w:cs="宋体"/>
          <w:bCs/>
          <w:sz w:val="24"/>
          <w:szCs w:val="24"/>
        </w:rPr>
        <w:t xml:space="preserve">提供</w:t>
      </w:r>
      <w:r>
        <w:rPr>
          <w:rFonts w:hint="eastAsia" w:ascii="宋体" w:hAnsi="宋体" w:eastAsia="宋体" w:cs="宋体"/>
          <w:sz w:val="24"/>
          <w:szCs w:val="24"/>
        </w:rPr>
        <w:t xml:space="preserve">密码测评，利用系统、全面、科学的应用评估设计有效地组织实施，独立、客观、公正地分析评估和报告需要测评的系统的整体状况，对各子模块的密码技术应用、密钥管理、安全管理等方面进行全面评估，验证系统是否满足国家和省委、省政府关于政务信息系统密码应用安全性的要求。</w:t>
      </w:r>
      <w:r/>
    </w:p>
    <w:p>
      <w:pPr>
        <w:spacing w:line="440" w:lineRule="exact"/>
        <w:rPr>
          <w:rFonts w:ascii="宋体" w:hAnsi="宋体" w:eastAsia="宋体" w:cs="宋体"/>
          <w:sz w:val="24"/>
          <w:szCs w:val="24"/>
        </w:rPr>
      </w:pPr>
      <w:r>
        <w:rPr>
          <w:rFonts w:hint="eastAsia" w:ascii="宋体" w:hAnsi="宋体" w:eastAsia="宋体" w:cs="宋体"/>
          <w:bCs/>
          <w:sz w:val="24"/>
          <w:szCs w:val="24"/>
        </w:rPr>
        <w:t xml:space="preserve">服务要求：</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针对每个被评估系统编制密码应用安全性评估报告，报告按照国家密码管理局要求包含的内容编制或参考模板编制，并提出有针对性的加强完善密码安全管理和防护建议。</w:t>
      </w:r>
      <w:r/>
    </w:p>
    <w:p>
      <w:pPr>
        <w:jc w:val="left"/>
        <w:spacing w:line="440" w:lineRule="exact"/>
        <w:widowControl/>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（6）</w:t>
      </w:r>
      <w:bookmarkStart w:id="376" w:name="_Hlk191565820"/>
      <w:r>
        <w:rPr>
          <w:rFonts w:hint="eastAsia" w:ascii="宋体" w:hAnsi="宋体" w:eastAsia="宋体" w:cs="宋体"/>
          <w:b/>
          <w:bCs/>
          <w:sz w:val="24"/>
          <w:szCs w:val="24"/>
        </w:rPr>
        <w:t xml:space="preserve">其他运行维护服务</w:t>
      </w:r>
      <w:bookmarkEnd w:id="376"/>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需求1：农业物联网数据处理服务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常熟市接入省物联网平台的数据进行处理，包括大田、水产、设施农业、畜牧等物联网数据。通过数据质量检查服务，包括日常维护、分析结果排查、整改策略制定及落实，以及数据清理、去重、告警等，保障我市农业物联网数据有效率在90%以上。内容包括但不限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1.数据接入，包含物联网设备管理、业务关联数据管理、位置服务数据管理和第三方系统数据集成管控。</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2.数据共享服务定制与管理</w:t>
      </w:r>
      <w:r>
        <w:rPr>
          <w:rFonts w:hint="eastAsia" w:ascii="宋体" w:hAnsi="宋体" w:eastAsia="宋体" w:cs="宋体"/>
          <w:sz w:val="24"/>
          <w:szCs w:val="24"/>
        </w:rPr>
        <w:t xml:space="preserve">，包括</w:t>
      </w:r>
      <w:r>
        <w:rPr>
          <w:rFonts w:ascii="宋体" w:hAnsi="宋体" w:eastAsia="宋体" w:cs="宋体"/>
          <w:sz w:val="24"/>
          <w:szCs w:val="24"/>
        </w:rPr>
        <w:t xml:space="preserve">共享服务发布、接口配置、数据描述等</w:t>
      </w:r>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3.数据分析</w:t>
      </w:r>
      <w:r>
        <w:rPr>
          <w:rFonts w:hint="eastAsia" w:ascii="宋体" w:hAnsi="宋体" w:eastAsia="宋体" w:cs="宋体"/>
          <w:sz w:val="24"/>
          <w:szCs w:val="24"/>
        </w:rPr>
        <w:t xml:space="preserve">，包括数据处理和数据控制。</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4.数据核查</w:t>
      </w:r>
      <w:r>
        <w:rPr>
          <w:rFonts w:hint="eastAsia" w:ascii="宋体" w:hAnsi="宋体" w:eastAsia="宋体" w:cs="宋体"/>
          <w:sz w:val="24"/>
          <w:szCs w:val="24"/>
        </w:rPr>
        <w:t xml:space="preserve">，包括设施核查和数据核查。</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5.数据总览</w:t>
      </w:r>
      <w:r>
        <w:rPr>
          <w:rFonts w:hint="eastAsia" w:ascii="宋体" w:hAnsi="宋体" w:eastAsia="宋体" w:cs="宋体"/>
          <w:sz w:val="24"/>
          <w:szCs w:val="24"/>
        </w:rPr>
        <w:t xml:space="preserve">，包括基地分布、数据时空统计分析、设备热力分布和物联网监管。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需求2：医保数据库与服务器运维监控服务（数据运维）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bookmarkStart w:id="377" w:name="_Hlk191641795"/>
      <w:r>
        <w:rPr>
          <w:rFonts w:hint="eastAsia" w:ascii="宋体" w:hAnsi="宋体" w:eastAsia="宋体" w:cs="宋体"/>
          <w:sz w:val="24"/>
          <w:szCs w:val="24"/>
        </w:rPr>
        <w:t xml:space="preserve">    </w:t>
      </w:r>
      <w:bookmarkEnd w:id="37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核心库、回流库、审核库等Oracle数据库（生产、灾备，测试）的整体性能检测与优化服务，配合业务部门需求进行调整，满足客户对数据库的运维需求，定制数据库安装配置方案，检查软件安装环境，安装数据库软件，完成数据库配置，并测试，数据库备份与恢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2.现场巡检：一年约12次的客户现场巡检，进行评估和优化，对于使用情况和问题进行解答和处理问题。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3.远程支持：对于需要远程处理的问题进行7*24响应，满足客户日常的业务复杂需求。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4.技术咨询：解答客户提出的关于数据库的技术问题，协助客户对数据库环境调整和规划，国产化数据库适配等工作。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5.应急响应：对于业务使用中突发的数据库故障，需紧急现场支持的，提供一年不少于6次的7*24现场应急服务，响应时间15分钟，紧急故障2小时到达现场，非紧急故障6小时到达现场。</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需求3：医保数据库与服务器运维监控服务（监控软件）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1.实时系统监控：为提高故障预警和故障处置能力，对机房环境、重要系统和重要设备实现7*24小时性能监控以及对故障的及时处置。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基础支撑监控：从业务角度自上而下的监控业务关联的中间件、数据库、网络、服务器、操作系统、存储、虚拟机等软硬件对象的运行状态；根据业务运行数据以及业务的负载情况，按照不同业务运行时段生成运行基线，对业务系统进行更精确的阀值报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3.业务状态监控：监控业务相关的应用及接口服务的可用性状态，编写业务探针，通过业务仿真和服务状态返回码直观反应当前业务是否可用。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4.CMDB建模：针对用户资产，围绕业务链路构建基于IT资源、网络、配置在内的多维依赖关系图谱，支撑各类运维场景应用。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监控报警：提供7*24小时后台人工值守的实时监控和电话响应服务，发生故障时第一时间通过短信、电话等方式（可根据用户要求定制通知方式）通知到客户方及其他相关方，并由相应服务提供方的技术坐席协助客户排查故障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6.业务系统故障定位服务：通过对医保系统的故障排查过程抽象成排错规则库，依据常见故障场景的排错步骤，结合监控对象的监控指标进行自动化的故障排查，从而减少人工判断故障的时间，为</w:t>
      </w:r>
      <w:r>
        <w:rPr>
          <w:rFonts w:hint="eastAsia" w:ascii="宋体" w:hAnsi="宋体" w:eastAsia="宋体" w:cs="宋体"/>
          <w:sz w:val="24"/>
          <w:szCs w:val="24"/>
        </w:rPr>
        <w:t xml:space="preserve">排查故障原因提供依据。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7.数据中间运维状态大屏输出、运行统计报表等功能。</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78" w:name="_Hlk191641882"/>
      <w:r>
        <w:rPr>
          <w:rFonts w:hint="eastAsia" w:ascii="宋体" w:hAnsi="宋体" w:eastAsia="宋体" w:cs="宋体"/>
          <w:b/>
          <w:bCs/>
          <w:sz w:val="24"/>
          <w:szCs w:val="24"/>
        </w:rPr>
        <w:t xml:space="preserve">需求 4：电子政务内、外网LRA维保服务</w:t>
      </w:r>
      <w:bookmarkStart w:id="379" w:name="_Hlk191641929"/>
      <w:r>
        <w:rPr>
          <w:rFonts w:hint="eastAsia" w:ascii="宋体" w:hAnsi="宋体" w:eastAsia="宋体" w:cs="宋体"/>
          <w:b/>
          <w:bCs/>
          <w:sz w:val="24"/>
          <w:szCs w:val="24"/>
        </w:rPr>
        <w:t xml:space="preserve">（内网 LRA）</w:t>
      </w:r>
      <w:bookmarkEnd w:id="379"/>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对安全网关、LDAP服务器、防火墙、发证终端设备进行运维服务，确保网络通信、发证业务、证书目录服务的正常运行。硬件设备维保需每月巡检，故障响应时间在1小时以内，故障处置需在3小时内完成，如3小时内无法完成故障处置，须提供故障处置报告。系统服务需日常巡检，确保服务正常运行，如发生故障，故障响应时间在1小时以内，故障处置需在3小时内完成。</w:t>
      </w:r>
      <w:bookmarkEnd w:id="378"/>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0" w:name="_Hlk191641940"/>
      <w:r>
        <w:rPr>
          <w:rFonts w:hint="eastAsia" w:ascii="宋体" w:hAnsi="宋体" w:eastAsia="宋体" w:cs="宋体"/>
          <w:b/>
          <w:bCs/>
          <w:sz w:val="24"/>
          <w:szCs w:val="24"/>
        </w:rPr>
        <w:t xml:space="preserve">需求 5：电子政务内、外网LRA维保服务（外网 LRA）</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bookmarkEnd w:id="380"/>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安全网关、LDAP服务器、防火墙、发证终端设备进行运维服务，确保网络通信、发证业务、证书目录服务的正常运行。硬件设备维保需每月巡检，故障响应时间在1小时以内，故障处置需在3小时内完成，如3小时内无法完成故障处置，须提供故障处置报告。系统服务需日常巡检，确保服务正常运行，如发生故障，故障响应时间在1小时以内，故障处置需在3小时内完成。</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1" w:name="_Hlk191641983"/>
      <w:r>
        <w:rPr>
          <w:rFonts w:hint="eastAsia" w:ascii="宋体" w:hAnsi="宋体" w:eastAsia="宋体" w:cs="宋体"/>
          <w:b/>
          <w:bCs/>
          <w:sz w:val="24"/>
          <w:szCs w:val="24"/>
        </w:rPr>
        <w:t xml:space="preserve">需求 6：电子政务内、外网LRA维保服务（统一身份认证系统）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身份认证服务器进行运维服务，确保身份认证服务、管理界面、证书业务服务的正常运行。硬件设备维保需每月巡检，故障响应时间在1小时以内，故障出征需在3小时内完成，如3小时内无法完成故障处置，须提供故障处置报告。系统服务需日常巡检，确保服务正常运行，如发生故障，故障响应时间在1小时以内，故障处置需在3小时内完成</w:t>
      </w:r>
      <w:bookmarkEnd w:id="381"/>
      <w:r>
        <w:rPr>
          <w:rFonts w:hint="eastAsia" w:ascii="宋体" w:hAnsi="宋体" w:eastAsia="宋体" w:cs="宋体"/>
          <w:sz w:val="24"/>
          <w:szCs w:val="24"/>
        </w:rPr>
        <w:t xml:space="preserve">。</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7：电子政务内、外网LRA维保服务（驻场运维）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根据需求指派专人（1人）进行驻场运维，听从使用单位安排。</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2" w:name="_Hlk191642091"/>
      <w:r>
        <w:rPr>
          <w:rFonts w:hint="eastAsia" w:ascii="宋体" w:hAnsi="宋体" w:eastAsia="宋体" w:cs="宋体"/>
          <w:b/>
          <w:bCs/>
          <w:sz w:val="24"/>
          <w:szCs w:val="24"/>
        </w:rPr>
        <w:t xml:space="preserve">需求 8：环卫综合管理信息系统运维服务（在线地图服务）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w:t>
      </w:r>
      <w:r>
        <w:rPr>
          <w:rFonts w:ascii="宋体" w:hAnsi="宋体" w:eastAsia="宋体" w:cs="宋体"/>
          <w:sz w:val="24"/>
          <w:szCs w:val="24"/>
        </w:rPr>
        <w:t xml:space="preserve">高德地图（路况、地图、卫星图）、百度地图（路况、地图、卫星图）、天地图（地图、卫星图）</w:t>
      </w:r>
      <w:r>
        <w:rPr>
          <w:rFonts w:hint="eastAsia" w:ascii="宋体" w:hAnsi="宋体" w:eastAsia="宋体" w:cs="宋体"/>
          <w:sz w:val="24"/>
          <w:szCs w:val="24"/>
        </w:rPr>
        <w:t xml:space="preserve">等在线地图服务。</w:t>
      </w:r>
      <w:bookmarkEnd w:id="382"/>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9：环卫综合管理信息系统运维服务（驻点维保服务协议）</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提供1人驻点人员服务。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10：环卫综合管理信息系统运维服务（车辆GPS/人员流量卡）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提供车辆、人员设备流量卡（约146张）维护服务。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11：电子地图数据更新及与省级数据融合服务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1.数据融合。包括矢量数据融合、地名地址与兴趣点数据融合。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电子地图更新。以常熟市基础地理信息数据库为基础，依托已有各类测绘地理信息数据资源，充分整合其他各类数据资源，经过对地理要素空间位置、几何图形、属性信息的精化、细化、校核补充等处理，完成矢量电子地图和影像电子地图的制作及脱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3.行政区划图编制。编制常熟市全市域和各乡镇街道的行政区划图，申请审图号并发布到天地图常熟。</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12：数字孪生城市基础时空底座数据更新服务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时空基础底板数据治理及更新，数据要素“四码”关联及更新，时空底板与自然人、市场主体数据关联治理及更新，地图制图及服务更新发布。</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按照实景三维的建设要求对存量三维倾斜摄影数据开展治理，形成分项数据库并按要求汇交。</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13：国土空间基础数据库数据更新运维服务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对常熟市国土空间基础数据库进行2025年度数据更新，具体包含现状数据（包括基础影像、监测图斑、土地利用现状、基本农田、基础地理、自然保护地、森林湿地资源等）、规划数据（包括开发评价、重要控制线、城乡规划、国土空间规划、其他规划等）、管理数据（土地管理、执法监察、土地整治、规划管理、地址矿产管理、森林湿地资源管理、生态修复等）、社会经济数据和采购人要求更新的其他数据更新。</w:t>
      </w:r>
      <w:r/>
    </w:p>
    <w:p>
      <w:pPr>
        <w:ind w:firstLine="480"/>
        <w:spacing w:line="440" w:lineRule="exact"/>
        <w:rPr>
          <w:rFonts w:ascii="宋体" w:hAnsi="宋体" w:eastAsia="宋体" w:cs="宋体"/>
          <w:sz w:val="24"/>
          <w:szCs w:val="24"/>
          <w:highlight w:val="yellow"/>
        </w:rPr>
      </w:pPr>
      <w:r>
        <w:rPr>
          <w:rFonts w:ascii="宋体" w:hAnsi="宋体" w:eastAsia="宋体" w:cs="宋体"/>
          <w:sz w:val="24"/>
          <w:szCs w:val="24"/>
          <w:highlight w:val="yellow"/>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14：融媒体资源租赁服务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看常熟的掌上查档应用功能BUG修复，一些适用、易用性的功能调整。约2-3个工作人日的工作量，超出另行商议。</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15：纪检监察信息内网运维</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应急响应服务：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1.内网系统发生故障时，电话支持不能及时解决时，提供4小时内现场技术支撑服务。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2.内网网络应急安全事件处理，入侵调查及分析，协助检查和追踪入侵来源。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安全巡检服务：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每季度1次对内网运行的软硬件（内网安全设备、内网终端设备、内网安全软件等）巡检，并出具巡检报告。</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需求16：文体大平台软件运维（同程运维服务）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提供智游小程序上景区、酒店预约等平台模块运维服务。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需求17：智慧旅游信息服务系统服务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运营商信令大数据服务：接入主要包括全市、聚沙园、虞山尚湖度假区、虞山风景区、虞山休闲人家、虞山公园、尚湖风景区、主城区、常熟服装城、沙家浜度假区、蒋巷村、南门坛上、铜官山区域、大义农业科技园、滨江江南印象、古里知旅街区、红豆山庄、隆力奇养生小镇、琴湖溪里18个区域的大数据接入服务，提供各区域的实时客流量数据及各区域来常游客的客源城市、游客年龄、游客的性别、在各区域的停留时长、过夜游客的人数、夜经济游客客流数据的接入，更新频次不少于15分钟/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需求18：智能公共交通系统监测服务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1.提供交通所需的视频监测资源包括国省干线、公交、出租、高速出入口等视频资源；</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2.对公交客流、公交热线、出租车电召等进行监测定期提供监测月报；</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3.配置专人在恶劣天气、节假日、重大事故等时期，针对关键路段监测综合交通运行工作。</w:t>
      </w:r>
      <w:r/>
    </w:p>
    <w:p>
      <w:pPr>
        <w:ind w:left="479"/>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3" w:name="_Hlk191642324"/>
      <w:r>
        <w:rPr>
          <w:rFonts w:hint="eastAsia" w:ascii="宋体" w:hAnsi="宋体" w:eastAsia="宋体" w:cs="宋体"/>
          <w:b/>
          <w:bCs/>
          <w:sz w:val="24"/>
          <w:szCs w:val="24"/>
        </w:rPr>
        <w:t xml:space="preserve">需求19：</w:t>
      </w:r>
      <w:bookmarkStart w:id="384" w:name="_Hlk191565853"/>
      <w:r>
        <w:rPr>
          <w:rFonts w:hint="eastAsia" w:ascii="宋体" w:hAnsi="宋体" w:eastAsia="宋体" w:cs="宋体"/>
          <w:b/>
          <w:bCs/>
          <w:sz w:val="24"/>
          <w:szCs w:val="24"/>
        </w:rPr>
        <w:t xml:space="preserve">整体支撑服务</w:t>
      </w:r>
      <w:bookmarkEnd w:id="384"/>
      <w:r>
        <w:rPr>
          <w:rFonts w:hint="eastAsia" w:ascii="宋体" w:hAnsi="宋体" w:eastAsia="宋体" w:cs="宋体"/>
          <w:b/>
          <w:bCs/>
          <w:sz w:val="24"/>
          <w:szCs w:val="24"/>
        </w:rPr>
        <w:t xml:space="preserve">（虞政通服务项目）</w:t>
      </w:r>
      <w:bookmarkEnd w:id="383"/>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1.提供专属的虞政通平台，实现APP logo、名称、启动页、登录页、主题配色、功能入口等自定义配置，展现常熟政务的品牌文化；提供6端体验一致的APP，包括iOS、Android、MAC、Windows、麒麟等国产端、鸿蒙端 6个客户端用户入口体验，支持自定义6端的APP名称和LOGO（不上架应用市场，内部分发）；提供国产化版本，适配各品牌国产电脑；适配华为鸿蒙系统。</w:t>
      </w:r>
      <w:r/>
    </w:p>
    <w:p>
      <w:pPr>
        <w:ind w:firstLine="480"/>
        <w:spacing w:line="440" w:lineRule="exact"/>
        <w:rPr>
          <w:rFonts w:ascii="Times New Roman" w:hAnsi="Times New Roman" w:eastAsia="宋体" w:cs="Times New Roman"/>
          <w:bCs/>
          <w:sz w:val="24"/>
          <w:szCs w:val="20"/>
        </w:rPr>
      </w:pPr>
      <w:r>
        <w:rPr>
          <w:rFonts w:hint="eastAsia" w:ascii="宋体" w:hAnsi="宋体" w:eastAsia="宋体" w:cs="宋体"/>
          <w:sz w:val="24"/>
          <w:szCs w:val="24"/>
        </w:rPr>
        <w:t xml:space="preserve">2.</w:t>
      </w:r>
      <w:r>
        <w:rPr>
          <w:rFonts w:hint="eastAsia" w:ascii="Times New Roman" w:hAnsi="Times New Roman" w:eastAsia="宋体" w:cs="Times New Roman"/>
          <w:bCs/>
          <w:sz w:val="24"/>
          <w:szCs w:val="20"/>
        </w:rPr>
        <w:t xml:space="preserve">提供统一的平台通讯录管理功能，支撑常熟政务组织架构装入平台中，按内部通讯录清晰展示组织架构，外部通讯录方便进行外部协作人员管理，统一维护。支持在实际应用场景中，通讯录权限范围内横向可以实现和政府各部门信息交互，纵向可以实现和政务专业系统信息可选择性连接。</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3.</w:t>
      </w:r>
      <w:r>
        <w:rPr>
          <w:rFonts w:hint="eastAsia" w:ascii="Times New Roman" w:hAnsi="Times New Roman" w:eastAsia="宋体" w:cs="Times New Roman"/>
          <w:bCs/>
          <w:sz w:val="24"/>
          <w:szCs w:val="20"/>
        </w:rPr>
        <w:t xml:space="preserve">提供统一的即时通讯工具，实现全方位、多种沟通交流内容、全接入方式的互动聚合沟通，并在常规沟通基础上进行更多业务信息的快速流转。</w:t>
      </w:r>
      <w:r/>
    </w:p>
    <w:p>
      <w:pPr>
        <w:ind w:firstLine="480"/>
        <w:spacing w:line="440" w:lineRule="exact"/>
        <w:rPr>
          <w:rFonts w:ascii="Times New Roman" w:hAnsi="Times New Roman" w:eastAsia="宋体" w:cs="Times New Roman"/>
          <w:bCs/>
          <w:sz w:val="24"/>
          <w:szCs w:val="20"/>
        </w:rPr>
      </w:pPr>
      <w:r>
        <w:rPr>
          <w:rFonts w:hint="eastAsia" w:ascii="宋体" w:hAnsi="宋体" w:eastAsia="宋体" w:cs="宋体"/>
          <w:sz w:val="24"/>
          <w:szCs w:val="24"/>
        </w:rPr>
        <w:t xml:space="preserve">4.</w:t>
      </w:r>
      <w:r>
        <w:rPr>
          <w:rFonts w:hint="eastAsia" w:ascii="Times New Roman" w:hAnsi="Times New Roman" w:eastAsia="宋体" w:cs="Times New Roman"/>
          <w:bCs/>
          <w:sz w:val="24"/>
          <w:szCs w:val="20"/>
        </w:rPr>
        <w:t xml:space="preserve">为各单位部门提供丰富的办公协同解决方案，提供各委办局业务应用的统一工作台，使业务应用集约管理，为不同的公职人员构建最小业务单元。实现高效可控的企业级移动互联网工作入口，基于“虞政通”平台开放平台能力集成自建应用和微服务，打通数据孤岛、构建移动互联网工作台，实现以人为本、数据赋能、服务导向、资源共享的移动互联网工作方式。</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5.</w:t>
      </w:r>
      <w:r>
        <w:rPr>
          <w:rFonts w:hint="eastAsia" w:ascii="Times New Roman" w:hAnsi="Times New Roman" w:eastAsia="宋体" w:cs="Times New Roman"/>
          <w:bCs/>
          <w:sz w:val="24"/>
          <w:szCs w:val="20"/>
        </w:rPr>
        <w:t xml:space="preserve">支持</w:t>
      </w:r>
      <w:r>
        <w:rPr>
          <w:rFonts w:hint="eastAsia" w:ascii="Times New Roman" w:hAnsi="Times New Roman" w:eastAsia="宋体" w:cs="Times New Roman"/>
          <w:bCs/>
          <w:sz w:val="24"/>
          <w:szCs w:val="20"/>
        </w:rPr>
        <w:t xml:space="preserve">30000</w:t>
      </w:r>
      <w:r>
        <w:rPr>
          <w:rFonts w:hint="eastAsia" w:ascii="Times New Roman" w:hAnsi="Times New Roman" w:eastAsia="宋体" w:cs="Times New Roman"/>
          <w:bCs/>
          <w:sz w:val="24"/>
          <w:szCs w:val="20"/>
        </w:rPr>
        <w:t xml:space="preserve">个用户授权和功能服务（含国产端系统</w:t>
      </w:r>
      <w:r>
        <w:rPr>
          <w:rFonts w:hint="eastAsia" w:ascii="Times New Roman" w:hAnsi="Times New Roman" w:eastAsia="宋体" w:cs="Times New Roman"/>
          <w:bCs/>
          <w:sz w:val="24"/>
          <w:szCs w:val="20"/>
        </w:rPr>
        <w:t xml:space="preserve">APP</w:t>
      </w:r>
      <w:r>
        <w:rPr>
          <w:rFonts w:hint="eastAsia" w:ascii="Times New Roman" w:hAnsi="Times New Roman" w:eastAsia="宋体" w:cs="Times New Roman"/>
          <w:bCs/>
          <w:sz w:val="24"/>
          <w:szCs w:val="20"/>
        </w:rPr>
        <w:t xml:space="preserve">授权）。</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6.</w:t>
      </w:r>
      <w:r>
        <w:rPr>
          <w:rFonts w:hint="eastAsia" w:ascii="Times New Roman" w:hAnsi="Times New Roman" w:eastAsia="宋体" w:cs="Times New Roman"/>
          <w:bCs/>
          <w:sz w:val="24"/>
          <w:szCs w:val="20"/>
        </w:rPr>
        <w:t xml:space="preserve">提供混合云部署方式，支持将“虞政通”平台中产生的聊天文件、图片、语音、视频等直存至采购人指定的本地政务云机房。配置安全接入网关，实现政务云应用服务安全接入到“虞政通”平台、公有云服务与政务云之间的安全通讯，并提供</w:t>
      </w:r>
      <w:r>
        <w:rPr>
          <w:rFonts w:hint="eastAsia" w:ascii="Times New Roman" w:hAnsi="Times New Roman" w:eastAsia="宋体" w:cs="Times New Roman"/>
          <w:bCs/>
          <w:sz w:val="24"/>
          <w:szCs w:val="20"/>
        </w:rPr>
        <w:t xml:space="preserve">SSL</w:t>
      </w:r>
      <w:r>
        <w:rPr>
          <w:rFonts w:hint="eastAsia" w:ascii="Times New Roman" w:hAnsi="Times New Roman" w:eastAsia="宋体" w:cs="Times New Roman"/>
          <w:bCs/>
          <w:sz w:val="24"/>
          <w:szCs w:val="20"/>
        </w:rPr>
        <w:t xml:space="preserve">加密技术，提升应用及相关服务访问过程中链路安全。同时，具备流量过滤和用户授权能力，保障只有“虞政通”平台授权的用户才可以访问内网应用服务。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7.</w:t>
      </w:r>
      <w:r>
        <w:rPr>
          <w:rFonts w:hint="eastAsia" w:ascii="Times New Roman" w:hAnsi="Times New Roman" w:eastAsia="宋体" w:cs="Times New Roman"/>
          <w:bCs/>
          <w:sz w:val="24"/>
          <w:szCs w:val="20"/>
        </w:rPr>
        <w:t xml:space="preserve">为常熟市移动政务提供开放平台，提供基于基础业务和功能面向各部门单位提供二次开发的服务能力平台，开放平台至少需提供超过</w:t>
      </w:r>
      <w:r>
        <w:rPr>
          <w:rFonts w:hint="eastAsia" w:ascii="Times New Roman" w:hAnsi="Times New Roman" w:eastAsia="宋体" w:cs="Times New Roman"/>
          <w:bCs/>
          <w:sz w:val="24"/>
          <w:szCs w:val="20"/>
        </w:rPr>
        <w:t xml:space="preserve">300</w:t>
      </w:r>
      <w:r>
        <w:rPr>
          <w:rFonts w:hint="eastAsia" w:ascii="Times New Roman" w:hAnsi="Times New Roman" w:eastAsia="宋体" w:cs="Times New Roman"/>
          <w:bCs/>
          <w:sz w:val="24"/>
          <w:szCs w:val="20"/>
        </w:rPr>
        <w:t xml:space="preserve">个</w:t>
      </w:r>
      <w:r>
        <w:rPr>
          <w:rFonts w:hint="eastAsia" w:ascii="Times New Roman" w:hAnsi="Times New Roman" w:eastAsia="宋体" w:cs="Times New Roman"/>
          <w:bCs/>
          <w:sz w:val="24"/>
          <w:szCs w:val="20"/>
        </w:rPr>
        <w:t xml:space="preserve">API</w:t>
      </w:r>
      <w:r>
        <w:rPr>
          <w:rFonts w:hint="eastAsia" w:ascii="Times New Roman" w:hAnsi="Times New Roman" w:eastAsia="宋体" w:cs="Times New Roman"/>
          <w:bCs/>
          <w:sz w:val="24"/>
          <w:szCs w:val="20"/>
        </w:rPr>
        <w:t xml:space="preserve">服务，帮助实现数据共享。</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8.</w:t>
      </w:r>
      <w:r>
        <w:rPr>
          <w:rFonts w:hint="eastAsia" w:ascii="Times New Roman" w:hAnsi="Times New Roman" w:eastAsia="宋体" w:cs="Times New Roman"/>
          <w:bCs/>
          <w:sz w:val="24"/>
          <w:szCs w:val="20"/>
        </w:rPr>
        <w:t xml:space="preserve">提供应用市场集成能力，需包括应用展示中心、移动端首页、应用展示页、应用检索、门户宣传、应用管理、应用上架审批等功能模块，实现对应用图标和入口的集中展示、应用的快速查询检索、内容的宣传展示、应用的增加和删除管理、应用的上架前的管理和审批等功能。</w:t>
      </w:r>
      <w:r/>
    </w:p>
    <w:p>
      <w:pPr>
        <w:ind w:firstLine="480"/>
        <w:spacing w:line="440" w:lineRule="exact"/>
        <w:rPr>
          <w:rFonts w:ascii="宋体" w:hAnsi="宋体" w:eastAsia="宋体" w:cs="宋体"/>
          <w:sz w:val="24"/>
          <w:szCs w:val="24"/>
        </w:rPr>
      </w:pPr>
      <w:r>
        <w:rPr>
          <w:rFonts w:hint="eastAsia" w:ascii="Times New Roman" w:hAnsi="Times New Roman" w:eastAsia="宋体" w:cs="Times New Roman"/>
          <w:bCs/>
          <w:sz w:val="24"/>
          <w:szCs w:val="20"/>
        </w:rPr>
        <w:t xml:space="preserve">9.</w:t>
      </w:r>
      <w:r>
        <w:rPr>
          <w:rFonts w:hint="eastAsia" w:ascii="Times New Roman" w:hAnsi="Times New Roman" w:eastAsia="宋体" w:cs="Times New Roman"/>
          <w:bCs/>
          <w:sz w:val="24"/>
          <w:szCs w:val="20"/>
        </w:rPr>
        <w:t xml:space="preserve">其他要求：保持与现有平台功能服务的连续性和一致性。</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5" w:name="_Hlk191642345"/>
      <w:r>
        <w:rPr>
          <w:rFonts w:hint="eastAsia" w:ascii="宋体" w:hAnsi="宋体" w:eastAsia="宋体" w:cs="宋体"/>
          <w:b/>
          <w:bCs/>
          <w:sz w:val="24"/>
          <w:szCs w:val="24"/>
        </w:rPr>
        <w:t xml:space="preserve">需求20：整体支撑服务（数字政府支撑服务）</w:t>
      </w:r>
      <w:bookmarkEnd w:id="385"/>
      <w:r/>
      <w:r/>
    </w:p>
    <w:p>
      <w:pP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服务内容和要求：</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1.</w:t>
      </w:r>
      <w:r>
        <w:rPr>
          <w:rFonts w:hint="eastAsia" w:ascii="Times New Roman" w:hAnsi="Times New Roman" w:eastAsia="宋体" w:cs="Times New Roman"/>
          <w:bCs/>
          <w:sz w:val="24"/>
          <w:szCs w:val="20"/>
        </w:rPr>
        <w:t xml:space="preserve">统一工作平台运维、建设；</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根据统一工作台实际运行情况，提供工作台功能调整、优化服务，涉及应用展示、代办通知处理、日历展示、快捷链接、信息检索等功能。</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根据对接平台实际情况，提供相应的平台调整能力，保障第三方平台的实际对接需求能够满足，完成相应的对接任务。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提供平台分析优化服务，根据运营情况需要，及时根据调整后的关键统计指标，调整系统统计任务及展示功能。</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2.</w:t>
      </w:r>
      <w:r>
        <w:rPr>
          <w:rFonts w:hint="eastAsia" w:ascii="Times New Roman" w:hAnsi="Times New Roman" w:eastAsia="宋体" w:cs="Times New Roman"/>
          <w:bCs/>
          <w:sz w:val="24"/>
          <w:szCs w:val="20"/>
        </w:rPr>
        <w:t xml:space="preserve">底座核心及拓展能力建设、运维；</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保障短信通道的畅通，及时处理短信堆积情况。协助对接平台检查短信收发问题，给出相应解决方案。</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保障平台虞政通扫码服务的正常运行，及时协助对接平台排查登录问题。及时处理登录异常。针对国产化平台的二维码展示进行适配。</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保障基础平台数据同步任务的正常执行，及时处理出现的错误数据。</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保障报表平台稳定运行，及时进行系统关键补丁的更新，处理相应系统故障。</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提供应用管理服务，优化应用基础信息收集，上下逻辑架构。</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提供消息管理服务，保障平台待办站内信及时传递，待办事项功能稳定运行。</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提供用户管理服务，及时处理平台用户登录问题，完善用户密码账户修改功能。</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提供统一登录服务，跟随虞政通平台及时调整登录平台功能及运行策略，保障门户平台登录功能稳定运行。</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3.</w:t>
      </w:r>
      <w:r>
        <w:rPr>
          <w:rFonts w:hint="eastAsia" w:ascii="Times New Roman" w:hAnsi="Times New Roman" w:eastAsia="宋体" w:cs="Times New Roman"/>
          <w:bCs/>
          <w:sz w:val="24"/>
          <w:szCs w:val="20"/>
        </w:rPr>
        <w:t xml:space="preserve">大数据辅助分析决策大屏建设、运维；</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维护大屏可视化分类展示数据的能力和效果，直观清晰各类辅助分析决策情况。</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4.</w:t>
      </w:r>
      <w:r>
        <w:rPr>
          <w:rFonts w:hint="eastAsia" w:ascii="Times New Roman" w:hAnsi="Times New Roman" w:eastAsia="宋体" w:cs="Times New Roman"/>
          <w:bCs/>
          <w:sz w:val="24"/>
          <w:szCs w:val="20"/>
        </w:rPr>
        <w:t xml:space="preserve">应用系统接入支持；</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提供应用系统接入支持服务，包括用户体系的接入支持、消息通知的接入支持、应用加载的接入支持、综合态势大屏的接入支持、业务大屏导航的接入支持等服务内容。针对第三方对接平台有疑问的，提供相应解释服务。提供相应测试数据，保障第三方系统对接联调。</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5.</w:t>
      </w:r>
      <w:r>
        <w:rPr>
          <w:rFonts w:hint="eastAsia" w:ascii="Times New Roman" w:hAnsi="Times New Roman" w:eastAsia="宋体" w:cs="Times New Roman"/>
          <w:bCs/>
          <w:sz w:val="24"/>
          <w:szCs w:val="20"/>
        </w:rPr>
        <w:t xml:space="preserve">应用建设标准维护；</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协助做好业务标准、技术标准的制定工作，</w:t>
      </w:r>
      <w:r>
        <w:rPr>
          <w:rFonts w:hint="eastAsia" w:ascii="Times New Roman" w:hAnsi="Times New Roman" w:eastAsia="宋体" w:cs="Times New Roman"/>
          <w:sz w:val="24"/>
          <w:szCs w:val="24"/>
        </w:rPr>
        <w:t xml:space="preserve">提供</w:t>
      </w:r>
      <w:r>
        <w:rPr>
          <w:rFonts w:ascii="Times New Roman" w:hAnsi="Times New Roman" w:eastAsia="宋体" w:cs="Times New Roman"/>
          <w:sz w:val="24"/>
          <w:szCs w:val="24"/>
        </w:rPr>
        <w:t xml:space="preserve">业务架构体系规范、业务协调规范、架构治理要求规范</w:t>
      </w:r>
      <w:r>
        <w:rPr>
          <w:rFonts w:hint="eastAsia" w:ascii="Times New Roman" w:hAnsi="Times New Roman" w:eastAsia="宋体" w:cs="Times New Roman"/>
          <w:sz w:val="24"/>
          <w:szCs w:val="24"/>
        </w:rPr>
        <w:t xml:space="preserve">等服务</w:t>
      </w:r>
      <w:r>
        <w:rPr>
          <w:rFonts w:ascii="Times New Roman" w:hAnsi="Times New Roman" w:eastAsia="宋体" w:cs="Times New Roman"/>
          <w:sz w:val="24"/>
          <w:szCs w:val="24"/>
        </w:rPr>
        <w:t xml:space="preserve">。结合市级应用系统建设规划和存量系统情况，</w:t>
      </w:r>
      <w:r>
        <w:rPr>
          <w:rFonts w:hint="eastAsia" w:ascii="Times New Roman" w:hAnsi="Times New Roman" w:eastAsia="宋体" w:cs="Times New Roman"/>
          <w:sz w:val="24"/>
          <w:szCs w:val="24"/>
        </w:rPr>
        <w:t xml:space="preserve">维护好</w:t>
      </w:r>
      <w:r>
        <w:rPr>
          <w:rFonts w:ascii="Times New Roman" w:hAnsi="Times New Roman" w:eastAsia="宋体" w:cs="Times New Roman"/>
          <w:sz w:val="24"/>
          <w:szCs w:val="24"/>
        </w:rPr>
        <w:t xml:space="preserve">接口、安全</w:t>
      </w:r>
      <w:r>
        <w:rPr>
          <w:rFonts w:hint="eastAsia" w:ascii="Times New Roman" w:hAnsi="Times New Roman" w:eastAsia="宋体" w:cs="Times New Roman"/>
          <w:sz w:val="24"/>
          <w:szCs w:val="24"/>
        </w:rPr>
        <w:t xml:space="preserve">等</w:t>
      </w:r>
      <w:r>
        <w:rPr>
          <w:rFonts w:ascii="Times New Roman" w:hAnsi="Times New Roman" w:eastAsia="宋体" w:cs="Times New Roman"/>
          <w:sz w:val="24"/>
          <w:szCs w:val="24"/>
        </w:rPr>
        <w:t xml:space="preserve">规范</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6.</w:t>
      </w:r>
      <w:r>
        <w:rPr>
          <w:rFonts w:hint="eastAsia" w:ascii="Times New Roman" w:hAnsi="Times New Roman" w:eastAsia="宋体" w:cs="Times New Roman"/>
          <w:bCs/>
          <w:sz w:val="24"/>
          <w:szCs w:val="20"/>
        </w:rPr>
        <w:t xml:space="preserve">信息化项目验收前置验证服务。</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bCs/>
          <w:sz w:val="24"/>
          <w:szCs w:val="20"/>
        </w:rPr>
        <w:t xml:space="preserve">根据数字政府项目管理工作要求，完成本年度提交前置审核的政务信息化项目的数据验证、</w:t>
      </w:r>
      <w:r>
        <w:rPr>
          <w:rFonts w:hint="eastAsia" w:ascii="Times New Roman" w:hAnsi="Times New Roman" w:eastAsia="宋体" w:cs="Times New Roman"/>
          <w:sz w:val="24"/>
          <w:szCs w:val="24"/>
        </w:rPr>
        <w:t xml:space="preserve">业务验证和技术验证工作，同时提供验证结果报告或说明文档。</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提供对各应用系统的数据验证服务，包括数据库表设计规范验证、数据共享情况验证、数据纠错应用情况验证。同时验证数据标准的执行情况，包含自然人、法人、数字门牌相关的业务表设计规范。</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提供对各应用系统的标准验证服务，包含应用技术架构、应用平台门户接入情况、可视化大屏设计规范性、大屏共享接入情况、待办通知接入情况等。</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需求21：整体支撑服务（办公平台、大数据基础平台短信通知服务）</w:t>
      </w:r>
      <w:r/>
    </w:p>
    <w:p>
      <w:pP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服务内容和要求：</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基于常熟市电子政务办公平台与常熟市大数据基础平台提供业务系统的短信通知发送服务。（每年约</w:t>
      </w:r>
      <w:r>
        <w:rPr>
          <w:rFonts w:hint="eastAsia" w:ascii="Times New Roman" w:hAnsi="Times New Roman" w:eastAsia="宋体" w:cs="Times New Roman"/>
          <w:bCs/>
          <w:sz w:val="24"/>
          <w:szCs w:val="20"/>
        </w:rPr>
        <w:t xml:space="preserve">190</w:t>
      </w:r>
      <w:r>
        <w:rPr>
          <w:rFonts w:hint="eastAsia" w:ascii="Times New Roman" w:hAnsi="Times New Roman" w:eastAsia="宋体" w:cs="Times New Roman"/>
          <w:bCs/>
          <w:sz w:val="24"/>
          <w:szCs w:val="20"/>
        </w:rPr>
        <w:t xml:space="preserve">万条）</w:t>
      </w:r>
      <w:r/>
    </w:p>
    <w:p>
      <w:pPr>
        <w:ind w:firstLine="480"/>
        <w:spacing w:line="440" w:lineRule="exact"/>
        <w:rPr>
          <w:rFonts w:ascii="Times New Roman" w:hAnsi="Times New Roman" w:eastAsia="宋体" w:cs="Times New Roman"/>
          <w:bCs/>
          <w:sz w:val="24"/>
          <w:szCs w:val="20"/>
        </w:rPr>
      </w:pPr>
      <w:r>
        <w:rPr>
          <w:rFonts w:ascii="Times New Roman" w:hAnsi="Times New Roman" w:eastAsia="宋体" w:cs="Times New Roman"/>
          <w:bCs/>
          <w:sz w:val="24"/>
          <w:szCs w:val="20"/>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22：整体支撑服务（数据库运维服务）</w:t>
      </w:r>
      <w:r/>
    </w:p>
    <w:p>
      <w:pP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达梦、</w:t>
      </w:r>
      <w:r>
        <w:rPr>
          <w:rFonts w:hint="eastAsia" w:ascii="Times New Roman" w:hAnsi="Times New Roman" w:eastAsia="宋体" w:cs="Times New Roman"/>
          <w:bCs/>
          <w:sz w:val="24"/>
          <w:szCs w:val="20"/>
        </w:rPr>
        <w:t xml:space="preserve">mysql</w:t>
      </w:r>
      <w:r>
        <w:rPr>
          <w:rFonts w:hint="eastAsia" w:ascii="Times New Roman" w:hAnsi="Times New Roman" w:eastAsia="宋体" w:cs="Times New Roman"/>
          <w:bCs/>
          <w:sz w:val="24"/>
          <w:szCs w:val="20"/>
        </w:rPr>
        <w:t xml:space="preserve">等</w:t>
      </w:r>
      <w:r>
        <w:rPr>
          <w:rFonts w:hint="eastAsia" w:ascii="Times New Roman" w:hAnsi="Times New Roman" w:eastAsia="宋体" w:cs="Times New Roman"/>
          <w:bCs/>
          <w:sz w:val="24"/>
          <w:szCs w:val="20"/>
        </w:rPr>
        <w:t xml:space="preserve">4</w:t>
      </w:r>
      <w:r>
        <w:rPr>
          <w:rFonts w:hint="eastAsia" w:ascii="Times New Roman" w:hAnsi="Times New Roman" w:eastAsia="宋体" w:cs="Times New Roman"/>
          <w:bCs/>
          <w:sz w:val="24"/>
          <w:szCs w:val="20"/>
        </w:rPr>
        <w:t xml:space="preserve">套库。</w:t>
      </w:r>
      <w:r/>
    </w:p>
    <w:p>
      <w:pPr>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服务内容和要求：</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远程响应及点对点应答服务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定期软件健康检查服务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备份恢复策略评估服务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数据库优化服务</w:t>
      </w:r>
      <w:r/>
    </w:p>
    <w:p>
      <w:pPr>
        <w:ind w:firstLine="480"/>
        <w:spacing w:line="440" w:lineRule="exact"/>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数据灾难恢复服务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软件补丁分析与升级服务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故障应急处理服务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重要时间点保障服务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应急方案设计与预演服务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提供系统架构优化规划服务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技术资料提供服务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专家技术团队咨询服务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23：整体支撑服务（评标系统云签名服务）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评标系统云签名服务。评委登录评标系统时该服务自动生成pin码，评委对各类文件进行签章时，输入pin码，调用云签名接口，根据评委姓名生成电子印章，嵌入到文件中，完成签名。</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24：整体支撑服务（驻场服务）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提供政务外网的1人驻场服务。</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25：指挥调度服务（北斗系统）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1.巡查频次：1次/周，内容：对超5日没有上过线的设备车辆进行报表提交，确认离线车辆为正常使用车辆的配合使用单位进行查修；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2.轨迹查询频次：1次/月，内容：对轨迹飘忽的车辆提交报表后上门查修，调整设备安装位置；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3.对内外网平台出现对接问题，1小时内响应，24小时内沟通排障。</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26：实验室取证日常服务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1.投标人为下列设备延长使用权限，确保软件延长期限内正常使用，并及时更新至最新版本。</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 美亚手机取证软件“DC-4501”</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 弘连远程取证软件“网镜”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 弘连证据分析软件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 弘连网探linux勘验软件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 弘连仿真软件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 臻相电子证据固定工具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 效率源数据恢复先锋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 云帆镜像ROOT软件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 盘古石手机取证分析系统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 龙信手机数据多路取证塔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 STLAB电子物证云智能一体化管理系统及电子物证柜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2.盘古石手机取证分析系统由“专业版”升级至“旗舰版”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3.根据使用单位要求，对电子数据取证实验室升级维护服务项目相关软件、硬件设备进行日常巡检及故障排查工作，每季度上报运维报告，保障硬件设备及软件性能稳定、持续、高效运行。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4.涉及设备出现故障时负责设备的更换维修，快速排除故障，在最短时间内恢复正常运行，主要零配件需要更换的，不高于市场价的 8 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5.应急事务处理：为防备系统在运行过程中出现紧急重大问题以及出现了紧急重大问题后，要有相应的应对措施，制定合理可行的应急预案，以保证业务的顺利开展和系统的正常进行。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6.服务响应时间：如发生故障在接到通知后需立即响应，提供 7*24 小时电话及 30 分钟内响应服务，并在需要时免费上门调查故障原因并修复直至满足最终验收指标和性能的要求。</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6" w:name="_Hlk191642460"/>
      <w:r>
        <w:rPr>
          <w:rFonts w:hint="eastAsia" w:ascii="宋体" w:hAnsi="宋体" w:eastAsia="宋体" w:cs="宋体"/>
          <w:b/>
          <w:bCs/>
          <w:sz w:val="24"/>
          <w:szCs w:val="24"/>
        </w:rPr>
        <w:t xml:space="preserve">需求 27：反诈业务服务（保护性止付机器人服务）</w:t>
      </w:r>
      <w:bookmarkEnd w:id="386"/>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1.系统基础保障，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2.系统性能监控，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3.现场巡检，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4.数据安全保障，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5.技术支持和咨询，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6.业务流程优化，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7.国反平台配套业务升级，</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8.系统集成，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9.定制化服务，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10.软件升级和扩容服务。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7" w:name="_Hlk191642550"/>
      <w:r>
        <w:rPr>
          <w:rFonts w:hint="eastAsia" w:ascii="宋体" w:hAnsi="宋体" w:eastAsia="宋体" w:cs="宋体"/>
          <w:b/>
          <w:bCs/>
          <w:sz w:val="24"/>
          <w:szCs w:val="24"/>
        </w:rPr>
        <w:t xml:space="preserve">需求 28：反诈业务服务（96110智能外呼机器人服务）</w:t>
      </w:r>
      <w:bookmarkEnd w:id="387"/>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1.外呼策略升级优化，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2.话术持续优化，</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3.AI定期质检，优化和再训练。</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29：旅馆业治安管理系统服务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1.上门安装、维护：系统新装，系统软件及配套硬件维护，上门服务</w:t>
      </w:r>
      <w:r>
        <w:rPr>
          <w:rFonts w:ascii="宋体" w:hAnsi="宋体" w:eastAsia="宋体" w:cs="宋体"/>
          <w:sz w:val="24"/>
          <w:szCs w:val="24"/>
        </w:rPr>
        <w:t xml:space="preserve">7*10</w:t>
      </w:r>
      <w:r>
        <w:rPr>
          <w:rFonts w:hint="eastAsia" w:ascii="宋体" w:hAnsi="宋体" w:eastAsia="宋体" w:cs="宋体"/>
          <w:sz w:val="24"/>
          <w:szCs w:val="24"/>
        </w:rPr>
        <w:t xml:space="preserve">（每天9:00至19:00，含双休及节假日）安排2车4人不间断进行，确保系统故障在4小时之内解决。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2.系统培训：为宾旅馆已有及后续新入职前台操作人员进行系统操作使用培训，确保其能正确熟练操作系统并及时传输数据，及每次系统升级后新增功能的使用培训。</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3.系统主动巡检：每季度定期挨家上门对系统进行巡检及指导及时发现问题并解决。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4.在线远程服务及电话接听：</w:t>
      </w:r>
      <w:r>
        <w:rPr>
          <w:rFonts w:ascii="宋体" w:hAnsi="宋体" w:eastAsia="宋体" w:cs="宋体"/>
          <w:sz w:val="24"/>
          <w:szCs w:val="24"/>
        </w:rPr>
        <w:t xml:space="preserve">7*24</w:t>
      </w:r>
      <w:r>
        <w:rPr>
          <w:rFonts w:hint="eastAsia" w:ascii="宋体" w:hAnsi="宋体" w:eastAsia="宋体" w:cs="宋体"/>
          <w:sz w:val="24"/>
          <w:szCs w:val="24"/>
        </w:rPr>
        <w:t xml:space="preserve">（含双休及节假日）不间断进行，安排固定1人进行远程服务，1人进行电话接听服务。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5.系统软件升级及后台系统维护：</w:t>
      </w:r>
      <w:r>
        <w:rPr>
          <w:rFonts w:ascii="宋体" w:hAnsi="宋体" w:eastAsia="宋体" w:cs="宋体"/>
          <w:sz w:val="24"/>
          <w:szCs w:val="24"/>
        </w:rPr>
        <w:t xml:space="preserve">7*24</w:t>
      </w:r>
      <w:r>
        <w:rPr>
          <w:rFonts w:hint="eastAsia" w:ascii="宋体" w:hAnsi="宋体" w:eastAsia="宋体" w:cs="宋体"/>
          <w:sz w:val="24"/>
          <w:szCs w:val="24"/>
        </w:rPr>
        <w:t xml:space="preserve">（含双休及节假日）不间断进行，确保后台系统数据传输及时，各类研判信息及时推送。</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30：视证通服务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提供视证通远程取证服务。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88" w:name="_Hlk191643606"/>
      <w:r>
        <w:rPr>
          <w:rFonts w:hint="eastAsia" w:ascii="宋体" w:hAnsi="宋体" w:eastAsia="宋体" w:cs="宋体"/>
          <w:b/>
          <w:bCs/>
          <w:sz w:val="24"/>
          <w:szCs w:val="24"/>
        </w:rPr>
        <w:t xml:space="preserve">需求 31：警务通单北斗升级服务</w:t>
      </w:r>
      <w:bookmarkEnd w:id="388"/>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实现警务通设备单北斗化，需通过系统升级方式实现单北斗替代。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89" w:name="_Hlk191643750"/>
      <w:r/>
      <w:bookmarkStart w:id="390" w:name="_Hlk191643814"/>
      <w:r>
        <w:rPr>
          <w:rFonts w:hint="eastAsia" w:ascii="宋体" w:hAnsi="宋体" w:eastAsia="宋体" w:cs="宋体"/>
          <w:b/>
          <w:bCs/>
          <w:sz w:val="24"/>
          <w:szCs w:val="24"/>
        </w:rPr>
        <w:t xml:space="preserve">需求 32：网安运维服务</w:t>
      </w:r>
      <w:bookmarkEnd w:id="389"/>
      <w:r>
        <w:rPr>
          <w:rFonts w:hint="eastAsia" w:ascii="宋体" w:hAnsi="宋体" w:eastAsia="宋体" w:cs="宋体"/>
          <w:b/>
          <w:bCs/>
          <w:sz w:val="24"/>
          <w:szCs w:val="24"/>
        </w:rPr>
        <w:t xml:space="preserve">（</w:t>
      </w:r>
      <w:bookmarkEnd w:id="390"/>
      <w:r>
        <w:rPr>
          <w:rFonts w:hint="eastAsia" w:ascii="宋体" w:hAnsi="宋体" w:eastAsia="宋体" w:cs="宋体"/>
          <w:b/>
          <w:bCs/>
          <w:sz w:val="24"/>
          <w:szCs w:val="24"/>
        </w:rPr>
        <w:t xml:space="preserve">舆情秘书服务）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1.对微博、小红书、贴吧、论坛、抖音（部分）、快手等公开面互联网敏感舆情信息及时预警。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2.根据实际工作需求，可对某一事件或关键词组合开展专项巡查，形成智能分析报告。</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3.提供5个登录账号，每个账号不限制登录IP、不限登录终端数，每个客户端共享全量舆情巡查服务。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bookmarkStart w:id="391" w:name="_Hlk191644039"/>
      <w:r>
        <w:rPr>
          <w:rFonts w:hint="eastAsia" w:ascii="宋体" w:hAnsi="宋体" w:eastAsia="宋体" w:cs="宋体"/>
          <w:b/>
          <w:bCs/>
          <w:sz w:val="24"/>
          <w:szCs w:val="24"/>
        </w:rPr>
        <w:t xml:space="preserve">需求 33：网安运维服务（极微舆情服务）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1.对抖音、头条、小红书、微博等平台上的视频内容开展巡查和智能分析，可将视频中的文字和语音ocr转译，提供全面舆情服务。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2.提供5个登录账号，不限登录IP，每个账号仅允许1人在线，共享舆情服务。</w:t>
      </w:r>
      <w:bookmarkEnd w:id="391"/>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34：天迹信息技术服务平台服务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提供数据查询分析服务和人员驻场协助研判服务。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35：云镜服务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提供手机号码、串号关联查询、换卡记录查询、环境关联等查询，可服务实战打处和日常管控。</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需求 36：寄递大数据服务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提供全行业20多家快递公司数据查询，用于重点人员稳控、预警信息研判、嫌疑人落地等方面。</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37：数据中心运维服务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网络运维：运维数据中心网络硬件、设备配置日常维护与管理；数据中心网络与线路标准化工作；公安数据中心云网架构规划设计与架构调优；网管平台接入、骨干设备、链路与内部线路故障预警处理与解决跟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计算资源运维：运维数据中心计算硬件、设备配置日常维护与管理；计算设备硬件信息监控、健康状况与阈值管理、设备状态可视化管理；2小时进行现场技术支持服务，特殊紧急情况1小时提供现场服务支持；重大时刻人员保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3.虚拟化资源运维：计算虚拟化资源服务,虚拟机维护（定时维护策略、备份、迁移等）、虚拟化底层硬件与license维护；对全局虚拟化环境进行监管与预警跟踪。</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4.存储资源：存储硬件维护、资产盘点；维护数据中心文件、对象、分布式存储固有系统检测与硬件故障配合处理、对存储原有系统的数据备份等策略进行统计与维护；存储高级技术支撑与性能调优。</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5.驻场运维服务：提供1名技术人员驻场运维服务。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6.数据中心运维体系建设：协助开展数据中心运维相关规范、制度的建立和修订。</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38：</w:t>
      </w:r>
      <w:bookmarkStart w:id="392" w:name="_Hlk191644301"/>
      <w:r>
        <w:rPr>
          <w:rFonts w:hint="eastAsia" w:ascii="宋体" w:hAnsi="宋体" w:eastAsia="宋体" w:cs="宋体"/>
          <w:b/>
          <w:bCs/>
          <w:sz w:val="24"/>
          <w:szCs w:val="24"/>
        </w:rPr>
        <w:t xml:space="preserve">网吧</w:t>
      </w:r>
      <w:bookmarkEnd w:id="392"/>
      <w:r>
        <w:rPr>
          <w:rFonts w:hint="eastAsia" w:ascii="宋体" w:hAnsi="宋体" w:eastAsia="宋体" w:cs="宋体"/>
          <w:b/>
          <w:bCs/>
          <w:sz w:val="24"/>
          <w:szCs w:val="24"/>
        </w:rPr>
        <w:t xml:space="preserve">安全管理系统维保服务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系统维护</w:t>
      </w:r>
      <w:bookmarkStart w:id="393" w:name="_Hlk191644238"/>
      <w:r>
        <w:rPr>
          <w:rFonts w:hint="eastAsia" w:ascii="宋体" w:hAnsi="宋体" w:eastAsia="宋体" w:cs="宋体"/>
          <w:sz w:val="24"/>
          <w:szCs w:val="24"/>
        </w:rPr>
        <w:t xml:space="preserve">    </w:t>
      </w:r>
      <w:bookmarkEnd w:id="393"/>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1.根据实际情况需要，负责提供因网络拓扑结构改变而引起的系统接入调整的方案及工程实施。</w:t>
      </w:r>
      <w:bookmarkStart w:id="394" w:name="_Hlk191644246"/>
      <w:r>
        <w:rPr>
          <w:rFonts w:hint="eastAsia" w:ascii="宋体" w:hAnsi="宋体" w:eastAsia="宋体" w:cs="宋体"/>
          <w:sz w:val="24"/>
          <w:szCs w:val="24"/>
        </w:rPr>
        <w:t xml:space="preserve">    </w:t>
      </w:r>
      <w:bookmarkEnd w:id="394"/>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2.在维护期内，系统功能需求不影响系统功能构架和模块关联的前提下，进行非结构化修改、升级服务和日常维护。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3.在维护期内提供因机房搬迁，调整等过程中系统的安装，调试等技术服务。</w:t>
      </w:r>
      <w:r/>
    </w:p>
    <w:p>
      <w:pPr>
        <w:spacing w:line="440" w:lineRule="exact"/>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日常维护</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在维护期内，保障系统的正常运行。系统出现故障时，2小时内做出响应，24小时内确定故障点。系统运行中错误等一般故障，系统承诺8小时内查明原因，提出问题解决方案，如暂时无法排除问题，将在24小时内提供备用解决方案，保证系统能够正常使用直至系统修复。</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2.提供每2个月1次的现场实地系统日常维护（每月因实际情况协商改变）。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3.提供7*24小时的电话技术支持服务，及时解决系统运行和应用中的问题。</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维护方式</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需要提供7*24小时电话支持服务；并在用户方许可的前提下，互联网系统提供远程拨入诊断服务。内网故障情况，提供现场服务；若发生紧急情况，承诺4小时内响应并到达现场，8小时内查明原因，并提交解决方案。</w:t>
      </w:r>
      <w:r/>
    </w:p>
    <w:p>
      <w:pPr>
        <w:spacing w:line="440" w:lineRule="exact"/>
        <w:rPr>
          <w:rFonts w:ascii="宋体" w:hAnsi="宋体" w:eastAsia="宋体" w:cs="宋体"/>
          <w:b/>
          <w:bCs/>
          <w:sz w:val="24"/>
          <w:szCs w:val="24"/>
        </w:rPr>
      </w:pPr>
      <w:r>
        <w:rPr>
          <w:rFonts w:ascii="宋体" w:hAnsi="宋体" w:eastAsia="宋体" w:cs="宋体"/>
          <w:b/>
          <w:bCs/>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39：网吧视频监控平台运维服务</w:t>
      </w:r>
      <w:r/>
    </w:p>
    <w:p>
      <w:pPr>
        <w:spacing w:line="440" w:lineRule="exact"/>
        <w:rPr>
          <w:rFonts w:ascii="宋体" w:hAnsi="宋体" w:eastAsia="宋体" w:cs="宋体"/>
          <w:sz w:val="24"/>
          <w:szCs w:val="24"/>
        </w:rPr>
      </w:pPr>
      <w:r/>
      <w:bookmarkStart w:id="395" w:name="_Hlk191644188"/>
      <w:r>
        <w:rPr>
          <w:rFonts w:hint="eastAsia" w:ascii="宋体" w:hAnsi="宋体" w:eastAsia="宋体" w:cs="宋体"/>
          <w:sz w:val="24"/>
          <w:szCs w:val="24"/>
        </w:rPr>
        <w:t xml:space="preserve">服务内容和要求：</w:t>
      </w:r>
      <w:bookmarkEnd w:id="39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可用性保证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1.“可用性”是指服务器能正常运转，提供不间断的应用服务。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2.保证系统可用度为99％，即每月的“不可用”时间不能超过8小时。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3.可根据使用单位要求，为其计算每月的系统“不可用”时间，但不包括以下情况导致系统“不可用”的情况：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3.1</w:t>
      </w:r>
      <w:r>
        <w:rPr>
          <w:rFonts w:hint="eastAsia" w:ascii="宋体" w:hAnsi="宋体" w:eastAsia="宋体" w:cs="宋体"/>
          <w:sz w:val="24"/>
          <w:szCs w:val="24"/>
        </w:rPr>
        <w:t xml:space="preserve">经使用单位的同意进行系统维护所引起的；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3.2</w:t>
      </w:r>
      <w:r>
        <w:rPr>
          <w:rFonts w:hint="eastAsia" w:ascii="宋体" w:hAnsi="宋体" w:eastAsia="宋体" w:cs="宋体"/>
          <w:sz w:val="24"/>
          <w:szCs w:val="24"/>
        </w:rPr>
        <w:t xml:space="preserve">任何由使用单位的电路或设备所引起的；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3.3</w:t>
      </w:r>
      <w:r>
        <w:rPr>
          <w:rFonts w:hint="eastAsia" w:ascii="宋体" w:hAnsi="宋体" w:eastAsia="宋体" w:cs="宋体"/>
          <w:sz w:val="24"/>
          <w:szCs w:val="24"/>
        </w:rPr>
        <w:t xml:space="preserve">使用单位的疏忽或由使用单位授权操作所引起的；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3.4</w:t>
      </w:r>
      <w:r>
        <w:rPr>
          <w:rFonts w:hint="eastAsia" w:ascii="宋体" w:hAnsi="宋体" w:eastAsia="宋体" w:cs="宋体"/>
          <w:sz w:val="24"/>
          <w:szCs w:val="24"/>
        </w:rPr>
        <w:t xml:space="preserve">由不可抗力的情况引起的。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安全性保证：中标人从以下几个方面体现安全性保证的品质。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1.签订保密协议，根据使用的机房系统特点，指定经验丰富资深的技术工程师长期服务，以保证信息管理上的安全。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2.根据使用单位的机房系统，进行安全系统评估，提供量身定做的安全管理建议。根据使用单位使用者的不同给出分等级的操作权限，其中包括设备安装、机房出入、帐号管理、报警机制、历史记录管理等措施。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3.安全维护：对使用单位的系统安全进行维护，保证安全系统的正常运转。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技术支持保证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1.技术支持每天24个小时，每周7天，每年365日受理服务。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2.响应服务时间2个小时，技术支持为远程支持和现场支持两种模式。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3.解决使用单位问题时间根据第一条“可用性保证”而定，但每次不应超过8个小时。   </w:t>
      </w:r>
      <w:r/>
    </w:p>
    <w:p>
      <w:pPr>
        <w:ind w:firstLine="120"/>
        <w:spacing w:line="440" w:lineRule="exact"/>
        <w:rPr>
          <w:rFonts w:ascii="宋体" w:hAnsi="宋体" w:eastAsia="宋体" w:cs="宋体"/>
          <w:sz w:val="24"/>
          <w:szCs w:val="24"/>
        </w:rPr>
      </w:pPr>
      <w:r>
        <w:rPr>
          <w:rFonts w:hint="eastAsia" w:ascii="宋体" w:hAnsi="宋体" w:eastAsia="宋体" w:cs="宋体"/>
          <w:sz w:val="24"/>
          <w:szCs w:val="24"/>
        </w:rPr>
        <w:t xml:space="preserve"> </w:t>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需求 40：数据库服务运维（卫生领域）</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提供数据库原厂售后服务；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售后服务满足使用单位要求；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售后服务质量满足使用单位要求；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提供信息人员数据库培训服务。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bookmarkStart w:id="396" w:name="_Hlk191645900"/>
      <w:r>
        <w:rPr>
          <w:rFonts w:hint="eastAsia" w:ascii="宋体" w:hAnsi="宋体" w:eastAsia="宋体" w:cs="宋体"/>
          <w:b/>
          <w:bCs/>
          <w:sz w:val="24"/>
          <w:szCs w:val="24"/>
        </w:rPr>
        <w:t xml:space="preserve">需求 41：船舶定位设备租赁服务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提供4条船舶的定位设备租赁服务。</w:t>
      </w:r>
      <w:bookmarkEnd w:id="396"/>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需求 42：新一代电子政务外网规划咨询服务</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服务内容和要求：</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对政务电子外网提供等保风险评估。</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根据《江苏省新一代电子政务外网建设指南》，对政务外网建设进行顶层规划、设计。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算力基础设施建设规划设计服务，根据常熟现状，对算力基础设施建设开展5年规划（设计）。</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Times New Roman" w:hAnsi="Times New Roman" w:eastAsia="宋体" w:cs="Times New Roman"/>
          <w:b/>
          <w:bCs/>
          <w:sz w:val="28"/>
          <w:szCs w:val="28"/>
        </w:rPr>
        <w:outlineLvl w:val="1"/>
      </w:pPr>
      <w:r/>
      <w:bookmarkStart w:id="397" w:name="_Toc192239123"/>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其他</w:t>
      </w:r>
      <w:r>
        <w:rPr>
          <w:rFonts w:ascii="Times New Roman" w:hAnsi="Times New Roman" w:eastAsia="宋体" w:cs="Times New Roman"/>
          <w:b/>
          <w:bCs/>
          <w:sz w:val="28"/>
          <w:szCs w:val="28"/>
        </w:rPr>
        <w:t xml:space="preserve">要求：</w:t>
      </w:r>
      <w:bookmarkEnd w:id="397"/>
      <w:r/>
      <w:r/>
    </w:p>
    <w:p>
      <w:pPr>
        <w:ind w:firstLine="480"/>
        <w:spacing w:line="440" w:lineRule="exact"/>
        <w:rPr>
          <w:rFonts w:ascii="宋体" w:hAnsi="宋体" w:eastAsia="宋体" w:cs="宋体"/>
          <w:sz w:val="24"/>
          <w:szCs w:val="24"/>
        </w:rPr>
        <w:outlineLvl w:val="2"/>
      </w:pPr>
      <w:r/>
      <w:bookmarkStart w:id="398" w:name="_Toc192239124"/>
      <w:r>
        <w:rPr>
          <w:rFonts w:hint="eastAsia" w:ascii="宋体" w:hAnsi="宋体" w:eastAsia="宋体" w:cs="宋体"/>
          <w:sz w:val="24"/>
          <w:szCs w:val="24"/>
        </w:rPr>
        <w:t xml:space="preserve">（一）人员要求</w:t>
      </w:r>
      <w:bookmarkEnd w:id="398"/>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为确保项目顺利实施，投标人投入的项目组团队应具备一定的信息化/管理类工作经验，且团队人员不得少于25人(需提供投标人为其缴纳的</w:t>
      </w:r>
      <w:r>
        <w:rPr>
          <w:rFonts w:ascii="宋体" w:hAnsi="宋体" w:eastAsia="宋体" w:cs="宋体"/>
          <w:bCs/>
          <w:sz w:val="24"/>
          <w:szCs w:val="24"/>
        </w:rPr>
        <w:t xml:space="preserve">本项目开标当月前3个月内任意1个月</w:t>
      </w:r>
      <w:r>
        <w:rPr>
          <w:rFonts w:hint="eastAsia" w:ascii="宋体" w:hAnsi="宋体" w:eastAsia="宋体" w:cs="宋体"/>
          <w:bCs/>
          <w:sz w:val="24"/>
          <w:szCs w:val="24"/>
        </w:rPr>
        <w:t xml:space="preserve">社会保险的凭证），计算机类或信息类相关专业（</w:t>
      </w:r>
      <w:r>
        <w:rPr>
          <w:rFonts w:hint="eastAsia" w:ascii="宋体" w:hAnsi="宋体" w:eastAsia="宋体" w:cs="宋体"/>
          <w:bCs/>
          <w:sz w:val="24"/>
          <w:szCs w:val="24"/>
        </w:rPr>
        <w:t xml:space="preserve">专业</w:t>
      </w:r>
      <w:r>
        <w:rPr>
          <w:rFonts w:hint="eastAsia" w:ascii="宋体" w:hAnsi="宋体" w:eastAsia="宋体" w:cs="宋体"/>
          <w:bCs/>
          <w:sz w:val="24"/>
          <w:szCs w:val="24"/>
        </w:rPr>
        <w:t xml:space="preserve">本科</w:t>
      </w:r>
      <w:r>
        <w:rPr>
          <w:rFonts w:ascii="宋体" w:hAnsi="宋体" w:eastAsia="宋体" w:cs="宋体"/>
          <w:bCs/>
          <w:sz w:val="24"/>
          <w:szCs w:val="24"/>
        </w:rPr>
        <w:t xml:space="preserve">及以上毕业证书</w:t>
      </w:r>
      <w:r>
        <w:rPr>
          <w:rFonts w:ascii="宋体" w:hAnsi="宋体" w:eastAsia="宋体" w:cs="宋体"/>
          <w:bCs/>
          <w:sz w:val="24"/>
          <w:szCs w:val="24"/>
        </w:rPr>
        <w:t xml:space="preserve">，或中级</w:t>
      </w:r>
      <w:r>
        <w:rPr>
          <w:rFonts w:hint="eastAsia" w:ascii="宋体" w:hAnsi="宋体" w:eastAsia="宋体" w:cs="宋体"/>
          <w:bCs/>
          <w:sz w:val="24"/>
          <w:szCs w:val="24"/>
        </w:rPr>
        <w:t xml:space="preserve">及</w:t>
      </w:r>
      <w:r>
        <w:rPr>
          <w:rFonts w:ascii="宋体" w:hAnsi="宋体" w:eastAsia="宋体" w:cs="宋体"/>
          <w:bCs/>
          <w:sz w:val="24"/>
          <w:szCs w:val="24"/>
        </w:rPr>
        <w:t xml:space="preserve">以上职称</w:t>
      </w:r>
      <w:r>
        <w:rPr>
          <w:rFonts w:ascii="宋体" w:hAnsi="宋体" w:eastAsia="宋体" w:cs="宋体"/>
          <w:bCs/>
          <w:sz w:val="24"/>
          <w:szCs w:val="24"/>
        </w:rPr>
        <w:t xml:space="preserve">为准</w:t>
      </w:r>
      <w:r>
        <w:rPr>
          <w:rFonts w:hint="eastAsia" w:ascii="宋体" w:hAnsi="宋体" w:eastAsia="宋体" w:cs="宋体"/>
          <w:bCs/>
          <w:sz w:val="24"/>
          <w:szCs w:val="24"/>
        </w:rPr>
        <w:t xml:space="preserve">）人员占比</w:t>
      </w:r>
      <w:r>
        <w:rPr>
          <w:rFonts w:hint="eastAsia" w:ascii="宋体" w:hAnsi="宋体" w:eastAsia="宋体" w:cs="宋体"/>
          <w:bCs/>
          <w:sz w:val="24"/>
          <w:szCs w:val="24"/>
        </w:rPr>
        <w:t xml:space="preserve">不小于</w:t>
      </w:r>
      <w:r>
        <w:rPr>
          <w:rFonts w:hint="eastAsia" w:ascii="宋体" w:hAnsi="宋体" w:eastAsia="宋体" w:cs="宋体"/>
          <w:bCs/>
          <w:sz w:val="24"/>
          <w:szCs w:val="24"/>
        </w:rPr>
        <w:t xml:space="preserve">团队人数50%。成员配备应科学合理。</w:t>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i/>
          <w:sz w:val="24"/>
          <w:szCs w:val="24"/>
          <w:u w:val="single"/>
        </w:rPr>
        <w:outlineLvl w:val="2"/>
      </w:pPr>
      <w:r/>
      <w:bookmarkStart w:id="399" w:name="_Toc192239125"/>
      <w:r>
        <w:rPr>
          <w:rFonts w:hint="eastAsia" w:ascii="宋体" w:hAnsi="宋体" w:eastAsia="宋体" w:cs="宋体"/>
          <w:i/>
          <w:sz w:val="24"/>
          <w:szCs w:val="24"/>
          <w:u w:val="single"/>
        </w:rPr>
        <w:t xml:space="preserve">（二）保密要求</w:t>
      </w:r>
      <w:bookmarkEnd w:id="399"/>
      <w:r/>
      <w:r/>
    </w:p>
    <w:p>
      <w:pPr>
        <w:ind w:firstLine="480"/>
        <w:jc w:val="left"/>
        <w:spacing w:line="440" w:lineRule="exact"/>
        <w:rPr>
          <w:rFonts w:ascii="宋体" w:hAnsi="宋体" w:eastAsia="宋体" w:cs="宋体"/>
          <w:i/>
          <w:sz w:val="24"/>
          <w:szCs w:val="20"/>
          <w:u w:val="single"/>
        </w:rPr>
      </w:pPr>
      <w:r>
        <w:rPr>
          <w:rFonts w:hint="eastAsia" w:ascii="宋体" w:hAnsi="宋体" w:eastAsia="宋体" w:cs="宋体"/>
          <w:i/>
          <w:sz w:val="24"/>
          <w:szCs w:val="20"/>
          <w:u w:val="single"/>
        </w:rPr>
        <w:t xml:space="preserve">1.</w:t>
      </w:r>
      <w:r>
        <w:rPr>
          <w:rFonts w:hint="eastAsia" w:ascii="宋体" w:hAnsi="宋体" w:eastAsia="宋体" w:cs="宋体"/>
          <w:bCs/>
          <w:i/>
          <w:sz w:val="24"/>
          <w:szCs w:val="24"/>
          <w:u w:val="single"/>
        </w:rPr>
        <w:t xml:space="preserve">中标人</w:t>
      </w:r>
      <w:r>
        <w:rPr>
          <w:rFonts w:hint="eastAsia" w:ascii="宋体" w:hAnsi="宋体" w:eastAsia="宋体" w:cs="宋体"/>
          <w:i/>
          <w:sz w:val="24"/>
          <w:szCs w:val="20"/>
          <w:u w:val="single"/>
        </w:rPr>
        <w:t xml:space="preserve">负责对采购人所提供资料及最终成果的保密，</w:t>
      </w:r>
      <w:r>
        <w:rPr>
          <w:rFonts w:hint="eastAsia" w:ascii="宋体" w:hAnsi="宋体" w:eastAsia="宋体" w:cs="宋体"/>
          <w:bCs/>
          <w:i/>
          <w:sz w:val="24"/>
          <w:szCs w:val="24"/>
          <w:u w:val="single"/>
        </w:rPr>
        <w:t xml:space="preserve">中标人</w:t>
      </w:r>
      <w:r>
        <w:rPr>
          <w:rFonts w:hint="eastAsia" w:ascii="宋体" w:hAnsi="宋体" w:eastAsia="宋体" w:cs="宋体"/>
          <w:i/>
          <w:sz w:val="24"/>
          <w:szCs w:val="20"/>
          <w:u w:val="single"/>
        </w:rPr>
        <w:t xml:space="preserve">及其工作人员需遵守采购人和使用单位的保密规定，不以任何形式将收集的所有资料、数据等进行泄漏、传播。</w:t>
      </w:r>
      <w:r/>
    </w:p>
    <w:p>
      <w:pPr>
        <w:ind w:firstLine="480"/>
        <w:jc w:val="left"/>
        <w:spacing w:line="440" w:lineRule="exact"/>
        <w:rPr>
          <w:rFonts w:ascii="宋体" w:hAnsi="宋体" w:eastAsia="宋体" w:cs="宋体"/>
          <w:i/>
          <w:sz w:val="24"/>
          <w:szCs w:val="20"/>
          <w:u w:val="single"/>
        </w:rPr>
      </w:pPr>
      <w:r>
        <w:rPr>
          <w:rFonts w:hint="eastAsia" w:ascii="宋体" w:hAnsi="宋体" w:eastAsia="宋体" w:cs="宋体"/>
          <w:i/>
          <w:sz w:val="24"/>
          <w:szCs w:val="20"/>
          <w:u w:val="single"/>
        </w:rPr>
        <w:t xml:space="preserve">2.</w:t>
      </w:r>
      <w:r>
        <w:rPr>
          <w:rFonts w:hint="eastAsia" w:ascii="宋体" w:hAnsi="宋体" w:eastAsia="宋体" w:cs="宋体"/>
          <w:bCs/>
          <w:i/>
          <w:sz w:val="24"/>
          <w:szCs w:val="24"/>
          <w:u w:val="single"/>
        </w:rPr>
        <w:t xml:space="preserve">中标人</w:t>
      </w:r>
      <w:r>
        <w:rPr>
          <w:rFonts w:hint="eastAsia" w:ascii="宋体" w:hAnsi="宋体" w:eastAsia="宋体" w:cs="宋体"/>
          <w:i/>
          <w:sz w:val="24"/>
          <w:szCs w:val="20"/>
          <w:u w:val="single"/>
        </w:rPr>
        <w:t xml:space="preserve">需签署相关保密协议，承担工作中接触相关内容的保密义务。</w:t>
      </w:r>
      <w:r/>
    </w:p>
    <w:p>
      <w:pPr>
        <w:ind w:firstLine="480"/>
        <w:spacing w:line="440" w:lineRule="exact"/>
        <w:rPr>
          <w:rFonts w:ascii="宋体" w:hAnsi="宋体" w:eastAsia="宋体" w:cs="宋体"/>
          <w:i/>
          <w:sz w:val="24"/>
          <w:szCs w:val="20"/>
          <w:u w:val="single"/>
        </w:rPr>
      </w:pPr>
      <w:r>
        <w:rPr>
          <w:rFonts w:hint="eastAsia" w:ascii="宋体" w:hAnsi="宋体" w:eastAsia="宋体" w:cs="宋体"/>
          <w:i/>
          <w:sz w:val="24"/>
          <w:szCs w:val="20"/>
          <w:u w:val="single"/>
        </w:rPr>
        <w:t xml:space="preserve">3.以上保密规定如有违反，采购人有权追究</w:t>
      </w:r>
      <w:r>
        <w:rPr>
          <w:rFonts w:hint="eastAsia" w:ascii="宋体" w:hAnsi="宋体" w:eastAsia="宋体" w:cs="宋体"/>
          <w:bCs/>
          <w:i/>
          <w:sz w:val="24"/>
          <w:szCs w:val="24"/>
          <w:u w:val="single"/>
        </w:rPr>
        <w:t xml:space="preserve">中标人</w:t>
      </w:r>
      <w:r>
        <w:rPr>
          <w:rFonts w:hint="eastAsia" w:ascii="宋体" w:hAnsi="宋体" w:eastAsia="宋体" w:cs="宋体"/>
          <w:i/>
          <w:sz w:val="24"/>
          <w:szCs w:val="20"/>
          <w:u w:val="single"/>
        </w:rPr>
        <w:t xml:space="preserve">相关法律责任。</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Times New Roman" w:hAnsi="Times New Roman" w:eastAsia="宋体" w:cs="Times New Roman"/>
          <w:b/>
          <w:bCs/>
          <w:sz w:val="28"/>
          <w:szCs w:val="28"/>
        </w:rPr>
        <w:outlineLvl w:val="1"/>
      </w:pPr>
      <w:r/>
      <w:bookmarkStart w:id="400" w:name="_Toc192239126"/>
      <w:r>
        <w:rPr>
          <w:rFonts w:hint="eastAsia" w:ascii="Times New Roman" w:hAnsi="Times New Roman" w:eastAsia="宋体" w:cs="Times New Roman"/>
          <w:b/>
          <w:bCs/>
          <w:sz w:val="28"/>
          <w:szCs w:val="28"/>
        </w:rPr>
        <w:t xml:space="preserve">四</w:t>
      </w:r>
      <w:r>
        <w:rPr>
          <w:rFonts w:ascii="Times New Roman" w:hAnsi="Times New Roman" w:eastAsia="宋体" w:cs="Times New Roman"/>
          <w:b/>
          <w:bCs/>
          <w:sz w:val="28"/>
          <w:szCs w:val="28"/>
        </w:rPr>
        <w:t xml:space="preserve">、服务考核</w:t>
      </w:r>
      <w:bookmarkEnd w:id="375"/>
      <w:r>
        <w:rPr>
          <w:rFonts w:hint="eastAsia" w:ascii="Times New Roman" w:hAnsi="Times New Roman" w:eastAsia="宋体" w:cs="Times New Roman"/>
          <w:b/>
          <w:bCs/>
          <w:sz w:val="28"/>
          <w:szCs w:val="28"/>
        </w:rPr>
        <w:t xml:space="preserve">：</w:t>
      </w:r>
      <w:bookmarkEnd w:id="400"/>
      <w:r/>
      <w:r/>
    </w:p>
    <w:p>
      <w:pPr>
        <w:ind w:firstLine="480"/>
        <w:spacing w:line="440" w:lineRule="exact"/>
        <w:rPr>
          <w:rFonts w:ascii="Times New Roman" w:hAnsi="Times New Roman" w:eastAsia="宋体" w:cs="Times New Roman"/>
          <w:sz w:val="24"/>
          <w:szCs w:val="24"/>
        </w:rPr>
      </w:pPr>
      <w:r/>
      <w:bookmarkStart w:id="401" w:name="_Hlk136258155"/>
      <w:r>
        <w:rPr>
          <w:rFonts w:hint="eastAsia" w:ascii="Times New Roman" w:hAnsi="Times New Roman" w:eastAsia="宋体" w:cs="Times New Roman"/>
          <w:sz w:val="24"/>
          <w:szCs w:val="24"/>
        </w:rPr>
        <w:t xml:space="preserve">采购方</w:t>
      </w:r>
      <w:r>
        <w:rPr>
          <w:rFonts w:ascii="Times New Roman" w:hAnsi="Times New Roman" w:eastAsia="宋体" w:cs="Times New Roman"/>
          <w:sz w:val="24"/>
          <w:szCs w:val="24"/>
        </w:rPr>
        <w:t xml:space="preserve">将根据需要对</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的服务内容进行考核，包括服务流程的规范性、实施进度控制的合理性、过程资料提交的及时性、</w:t>
      </w:r>
      <w:r>
        <w:rPr>
          <w:rFonts w:hint="eastAsia" w:ascii="Times New Roman" w:hAnsi="Times New Roman" w:eastAsia="宋体" w:cs="Times New Roman"/>
          <w:sz w:val="24"/>
          <w:szCs w:val="24"/>
        </w:rPr>
        <w:t xml:space="preserve">部门</w:t>
      </w:r>
      <w:r>
        <w:rPr>
          <w:rFonts w:ascii="Times New Roman" w:hAnsi="Times New Roman" w:eastAsia="宋体" w:cs="Times New Roman"/>
          <w:sz w:val="24"/>
          <w:szCs w:val="24"/>
        </w:rPr>
        <w:t xml:space="preserve">间配合的协作性等多方面进行考量。考核内容主要分为以下方面：</w:t>
      </w:r>
      <w:r/>
    </w:p>
    <w:p>
      <w:pPr>
        <w:ind w:firstLine="480"/>
        <w:spacing w:line="440" w:lineRule="exact"/>
        <w:rPr>
          <w:rFonts w:ascii="Times New Roman" w:hAnsi="Times New Roman" w:eastAsia="宋体" w:cs="Times New Roman"/>
          <w:color w:val="ff0000"/>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不定期考核：当服务或响应等方面出现偏差或问题时，</w:t>
      </w:r>
      <w:r>
        <w:rPr>
          <w:rFonts w:hint="eastAsia" w:ascii="Times New Roman" w:hAnsi="Times New Roman" w:eastAsia="宋体" w:cs="Times New Roman"/>
          <w:sz w:val="24"/>
          <w:szCs w:val="24"/>
        </w:rPr>
        <w:t xml:space="preserve">采购方</w:t>
      </w:r>
      <w:r>
        <w:rPr>
          <w:rFonts w:ascii="Times New Roman" w:hAnsi="Times New Roman" w:eastAsia="宋体" w:cs="Times New Roman"/>
          <w:sz w:val="24"/>
          <w:szCs w:val="24"/>
        </w:rPr>
        <w:t xml:space="preserve">有权向</w:t>
      </w:r>
      <w:r>
        <w:rPr>
          <w:rFonts w:hint="eastAsia" w:ascii="Times New Roman" w:hAnsi="Times New Roman" w:eastAsia="宋体" w:cs="Times New Roman"/>
          <w:sz w:val="24"/>
          <w:szCs w:val="24"/>
        </w:rPr>
        <w:t xml:space="preserve">中标人</w:t>
      </w:r>
      <w:r>
        <w:rPr>
          <w:rFonts w:ascii="Times New Roman" w:hAnsi="Times New Roman" w:eastAsia="宋体" w:cs="Times New Roman"/>
          <w:sz w:val="24"/>
          <w:szCs w:val="24"/>
        </w:rPr>
        <w:t xml:space="preserve">以书面形式发送整改告知单并责令限期整改，整改告知单累计超过</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份的，每新增一份，将扣除</w:t>
      </w:r>
      <w:r>
        <w:rPr>
          <w:rFonts w:hint="eastAsia" w:ascii="Times New Roman" w:hAnsi="Times New Roman" w:eastAsia="宋体" w:cs="Times New Roman"/>
          <w:sz w:val="24"/>
          <w:szCs w:val="24"/>
        </w:rPr>
        <w:t xml:space="preserve">合同剩余款</w:t>
      </w:r>
      <w:r>
        <w:rPr>
          <w:rFonts w:ascii="Times New Roman" w:hAnsi="Times New Roman" w:eastAsia="宋体" w:cs="Times New Roman"/>
          <w:sz w:val="24"/>
          <w:szCs w:val="24"/>
        </w:rPr>
        <w:t xml:space="preserve">的</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综合考核：</w:t>
      </w:r>
      <w:r>
        <w:rPr>
          <w:rFonts w:hint="eastAsia" w:ascii="Times New Roman" w:hAnsi="Times New Roman" w:eastAsia="宋体" w:cs="Times New Roman"/>
          <w:sz w:val="24"/>
          <w:szCs w:val="24"/>
        </w:rPr>
        <w:t xml:space="preserve">根据项目合同要求，在项目服务期结束后进行综合考核，考核标准参照考核评分表</w:t>
      </w:r>
      <w:r>
        <w:rPr>
          <w:rFonts w:hint="eastAsia" w:ascii="Times New Roman" w:hAnsi="Times New Roman" w:eastAsia="宋体" w:cs="Times New Roman"/>
          <w:sz w:val="24"/>
          <w:szCs w:val="24"/>
        </w:rPr>
        <w:t xml:space="preserve">以百分制的方式对中标人的整体服务情况进行打分，根据不同的得分结果评定考核等级。</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ascii="Times New Roman" w:hAnsi="Times New Roman" w:eastAsia="宋体" w:cs="Times New Roman"/>
          <w:sz w:val="24"/>
          <w:szCs w:val="24"/>
        </w:rPr>
        <w:t xml:space="preserve">考核分在</w:t>
      </w:r>
      <w:r>
        <w:rPr>
          <w:rFonts w:hint="eastAsia" w:ascii="Times New Roman" w:hAnsi="Times New Roman" w:eastAsia="宋体" w:cs="Times New Roman"/>
          <w:sz w:val="24"/>
          <w:szCs w:val="24"/>
        </w:rPr>
        <w:t xml:space="preserve">90</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-100</w:t>
      </w:r>
      <w:r>
        <w:rPr>
          <w:rFonts w:ascii="Times New Roman" w:hAnsi="Times New Roman" w:eastAsia="宋体" w:cs="Times New Roman"/>
          <w:sz w:val="24"/>
          <w:szCs w:val="24"/>
        </w:rPr>
        <w:t xml:space="preserve">分之间的（含</w:t>
      </w:r>
      <w:r>
        <w:rPr>
          <w:rFonts w:hint="eastAsia" w:ascii="Times New Roman" w:hAnsi="Times New Roman" w:eastAsia="宋体" w:cs="Times New Roman"/>
          <w:sz w:val="24"/>
          <w:szCs w:val="24"/>
        </w:rPr>
        <w:t xml:space="preserve">90</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考核等级为优秀，合同剩余款全额支付</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ascii="Times New Roman" w:hAnsi="Times New Roman" w:eastAsia="宋体" w:cs="Times New Roman"/>
          <w:sz w:val="24"/>
          <w:szCs w:val="24"/>
        </w:rPr>
        <w:t xml:space="preserve">考核分在</w:t>
      </w:r>
      <w:r>
        <w:rPr>
          <w:rFonts w:hint="eastAsia"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90</w:t>
      </w:r>
      <w:r>
        <w:rPr>
          <w:rFonts w:ascii="Times New Roman" w:hAnsi="Times New Roman" w:eastAsia="宋体" w:cs="Times New Roman"/>
          <w:sz w:val="24"/>
          <w:szCs w:val="24"/>
        </w:rPr>
        <w:t xml:space="preserve">分之间的（含</w:t>
      </w:r>
      <w:r>
        <w:rPr>
          <w:rFonts w:hint="eastAsia"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考核等级为良好，扣除合同剩余款的</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w:t>
      </w:r>
      <w:r>
        <w:rPr>
          <w:rFonts w:ascii="Times New Roman" w:hAnsi="Times New Roman" w:eastAsia="宋体" w:cs="Times New Roman"/>
          <w:sz w:val="24"/>
          <w:szCs w:val="24"/>
        </w:rPr>
        <w:t xml:space="preserve">考核分在</w:t>
      </w:r>
      <w:r>
        <w:rPr>
          <w:rFonts w:hint="eastAsia" w:ascii="Times New Roman" w:hAnsi="Times New Roman" w:eastAsia="宋体" w:cs="Times New Roman"/>
          <w:sz w:val="24"/>
          <w:szCs w:val="24"/>
        </w:rPr>
        <w:t xml:space="preserve">70</w:t>
      </w:r>
      <w:r>
        <w:rPr>
          <w:rFonts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分之间的（含</w:t>
      </w:r>
      <w:r>
        <w:rPr>
          <w:rFonts w:hint="eastAsia" w:ascii="Times New Roman" w:hAnsi="Times New Roman" w:eastAsia="宋体" w:cs="Times New Roman"/>
          <w:sz w:val="24"/>
          <w:szCs w:val="24"/>
        </w:rPr>
        <w:t xml:space="preserve">70</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考核等次为合格，扣除合同剩余款的</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考核分在</w:t>
      </w:r>
      <w:r>
        <w:rPr>
          <w:rFonts w:hint="eastAsia" w:ascii="Times New Roman" w:hAnsi="Times New Roman" w:eastAsia="宋体" w:cs="Times New Roman"/>
          <w:sz w:val="24"/>
          <w:szCs w:val="24"/>
        </w:rPr>
        <w:t xml:space="preserve">70</w:t>
      </w:r>
      <w:r>
        <w:rPr>
          <w:rFonts w:ascii="Times New Roman" w:hAnsi="Times New Roman" w:eastAsia="宋体" w:cs="Times New Roman"/>
          <w:sz w:val="24"/>
          <w:szCs w:val="24"/>
        </w:rPr>
        <w:t xml:space="preserve">分以下的，</w:t>
      </w:r>
      <w:r>
        <w:rPr>
          <w:rFonts w:hint="eastAsia" w:ascii="Times New Roman" w:hAnsi="Times New Roman" w:eastAsia="宋体" w:cs="Times New Roman"/>
          <w:sz w:val="24"/>
          <w:szCs w:val="24"/>
        </w:rPr>
        <w:t xml:space="preserve">考核等次为不达标，合同剩余款的扣除比例根据服务情况另行商议。</w:t>
      </w:r>
      <w:r/>
    </w:p>
    <w:p>
      <w:pPr>
        <w:ind w:firstLine="574"/>
        <w:spacing w:line="440" w:lineRule="exact"/>
        <w:rPr>
          <w:rFonts w:ascii="宋体" w:hAnsi="Calibri" w:eastAsia="宋体" w:cs="Times New Roman"/>
          <w:sz w:val="28"/>
          <w:szCs w:val="20"/>
        </w:rPr>
      </w:pPr>
      <w:r>
        <w:rPr>
          <w:rFonts w:ascii="宋体" w:hAnsi="Calibri" w:eastAsia="宋体" w:cs="Times New Roman"/>
          <w:sz w:val="28"/>
          <w:szCs w:val="20"/>
        </w:rPr>
      </w:r>
      <w:r/>
    </w:p>
    <w:tbl>
      <w:tblPr>
        <w:tblW w:w="5285" w:type="pct"/>
        <w:tblInd w:w="-216" w:type="dxa"/>
        <w:tblLayout w:type="fixed"/>
        <w:tblLook w:val="04A0" w:firstRow="1" w:lastRow="0" w:firstColumn="1" w:lastColumn="0" w:noHBand="0" w:noVBand="1"/>
      </w:tblPr>
      <w:tblGrid>
        <w:gridCol w:w="488"/>
        <w:gridCol w:w="466"/>
        <w:gridCol w:w="683"/>
        <w:gridCol w:w="836"/>
        <w:gridCol w:w="1762"/>
        <w:gridCol w:w="555"/>
        <w:gridCol w:w="5482"/>
        <w:gridCol w:w="780"/>
      </w:tblGrid>
      <w:tr>
        <w:trPr>
          <w:trHeight w:val="375"/>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333333"/>
                <w:sz w:val="28"/>
                <w:szCs w:val="28"/>
                <w:shd w:val="clear" w:color="auto" w:fill="ffffff"/>
              </w:rPr>
              <w:t xml:space="preserve">2025年度市级信息化建设和运维统筹服务考核评分表</w:t>
            </w:r>
            <w:r/>
          </w:p>
        </w:tc>
      </w:tr>
      <w:tr>
        <w:trPr>
          <w:trHeight w:val="56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440" w:lineRule="exact"/>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一级</w:t>
            </w:r>
            <w:r/>
          </w:p>
          <w:p>
            <w:pPr>
              <w:jc w:val="center"/>
              <w:spacing w:line="440" w:lineRule="exact"/>
              <w:widowControl/>
              <w:rPr>
                <w:rFonts w:ascii="宋体" w:hAnsi="宋体" w:eastAsia="宋体" w:cs="宋体"/>
                <w:b/>
                <w:bCs/>
                <w:color w:val="000000"/>
                <w:szCs w:val="21"/>
                <w:lang w:bidi="ar"/>
              </w:rPr>
            </w:pPr>
            <w:r>
              <w:rPr>
                <w:rFonts w:hint="eastAsia" w:ascii="宋体" w:hAnsi="宋体" w:eastAsia="宋体" w:cs="宋体"/>
                <w:b/>
                <w:bCs/>
                <w:color w:val="000000"/>
                <w:szCs w:val="21"/>
                <w:lang w:bidi="ar"/>
              </w:rPr>
              <w:t xml:space="preserve">指标</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二级指标</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指标要求</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权重</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扣分规则</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得分</w:t>
            </w:r>
            <w:r/>
          </w:p>
        </w:tc>
      </w:tr>
      <w:tr>
        <w:trPr>
          <w:trHeight w:val="1149"/>
        </w:trPr>
        <w:tc>
          <w:tcPr>
            <w:tcBorders>
              <w:top w:val="single" w:color="000000" w:sz="4" w:space="0"/>
              <w:left w:val="single" w:color="000000" w:sz="4" w:space="0"/>
              <w:bottom w:val="single" w:color="000000" w:sz="4" w:space="0"/>
              <w:right w:val="single" w:color="000000" w:sz="4" w:space="0"/>
            </w:tcBorders>
            <w:tcW w:w="221" w:type="pct"/>
            <w:vAlign w:val="center"/>
            <w:vMerge w:val="restart"/>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spacing w:line="440" w:lineRule="exact"/>
              <w:widowControl/>
              <w:rPr>
                <w:rFonts w:ascii="宋体" w:hAnsi="宋体" w:eastAsia="宋体" w:cs="宋体"/>
                <w:color w:val="000000"/>
                <w:szCs w:val="21"/>
                <w:lang w:eastAsia="zh"/>
              </w:rPr>
            </w:pPr>
            <w:r>
              <w:rPr>
                <w:rFonts w:hint="eastAsia" w:ascii="宋体" w:hAnsi="宋体" w:eastAsia="宋体" w:cs="宋体"/>
                <w:color w:val="000000"/>
                <w:szCs w:val="21"/>
                <w:lang w:eastAsia="zh"/>
              </w:rPr>
              <w:t xml:space="preserve">40</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响应速度</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运维需求</w:t>
            </w:r>
            <w:r/>
          </w:p>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响应速度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lang w:eastAsia="zh" w:bidi="ar"/>
              </w:rPr>
            </w:pPr>
            <w:r>
              <w:rPr>
                <w:rFonts w:hint="eastAsia" w:ascii="宋体" w:hAnsi="宋体" w:eastAsia="宋体" w:cs="宋体"/>
                <w:color w:val="000000"/>
                <w:szCs w:val="21"/>
                <w:lang w:bidi="ar"/>
              </w:rPr>
              <w:t xml:space="preserve">19-20分：</w:t>
            </w:r>
            <w:r>
              <w:rPr>
                <w:rFonts w:hint="eastAsia" w:ascii="宋体" w:hAnsi="宋体" w:eastAsia="宋体" w:cs="宋体"/>
                <w:color w:val="000000"/>
                <w:szCs w:val="21"/>
                <w:lang w:eastAsia="zh" w:bidi="ar"/>
              </w:rPr>
              <w:t xml:space="preserve">符合响应要求。</w:t>
            </w:r>
            <w:r/>
          </w:p>
          <w:p>
            <w:pPr>
              <w:jc w:val="left"/>
              <w:spacing w:line="440" w:lineRule="exact"/>
              <w:widowControl/>
              <w:rPr>
                <w:rFonts w:ascii="宋体" w:hAnsi="宋体" w:eastAsia="宋体" w:cs="宋体"/>
                <w:color w:val="000000"/>
                <w:szCs w:val="21"/>
                <w:lang w:eastAsia="zh" w:bidi="ar"/>
              </w:rPr>
            </w:pPr>
            <w:r>
              <w:rPr>
                <w:rFonts w:hint="eastAsia" w:ascii="宋体" w:hAnsi="宋体" w:eastAsia="宋体" w:cs="宋体"/>
                <w:color w:val="000000"/>
                <w:szCs w:val="21"/>
                <w:lang w:bidi="ar"/>
              </w:rPr>
              <w:t xml:space="preserve">17</w:t>
            </w:r>
            <w:r>
              <w:rPr>
                <w:rFonts w:hint="eastAsia" w:ascii="宋体" w:hAnsi="宋体" w:eastAsia="宋体" w:cs="宋体"/>
                <w:color w:val="000000"/>
                <w:szCs w:val="21"/>
                <w:lang w:eastAsia="zh" w:bidi="ar"/>
              </w:rPr>
              <w:t xml:space="preserve">-18分：基本满足响应要求，响应速度良好。</w:t>
            </w:r>
            <w:r/>
          </w:p>
          <w:p>
            <w:pPr>
              <w:jc w:val="left"/>
              <w:spacing w:line="440" w:lineRule="exact"/>
              <w:widowControl/>
              <w:rPr>
                <w:rFonts w:ascii="宋体" w:hAnsi="宋体" w:eastAsia="宋体" w:cs="宋体"/>
                <w:color w:val="000000"/>
                <w:szCs w:val="21"/>
                <w:lang w:eastAsia="zh" w:bidi="ar"/>
              </w:rPr>
            </w:pPr>
            <w:r>
              <w:rPr>
                <w:rFonts w:hint="eastAsia" w:ascii="宋体" w:hAnsi="宋体" w:eastAsia="宋体" w:cs="宋体"/>
                <w:color w:val="000000"/>
                <w:szCs w:val="21"/>
                <w:lang w:eastAsia="zh" w:bidi="ar"/>
              </w:rPr>
              <w:t xml:space="preserve">10-1</w:t>
            </w: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eastAsia="zh" w:bidi="ar"/>
              </w:rPr>
              <w:t xml:space="preserve">分：部分满足要求，部分响应速度不够及时。</w:t>
            </w:r>
            <w:r/>
          </w:p>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eastAsia="zh" w:bidi="ar"/>
              </w:rPr>
              <w:t xml:space="preserve">0-9分：未满足要求，存在不响应问题。</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812"/>
        </w:trPr>
        <w:tc>
          <w:tcPr>
            <w:tcBorders>
              <w:top w:val="single" w:color="000000" w:sz="4" w:space="0"/>
              <w:left w:val="single" w:color="000000" w:sz="4" w:space="0"/>
              <w:bottom w:val="single" w:color="000000" w:sz="4" w:space="0"/>
              <w:right w:val="single" w:color="000000" w:sz="4" w:space="0"/>
            </w:tcBorders>
            <w:tcW w:w="22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服务准确性</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提供服务</w:t>
            </w:r>
            <w:r/>
          </w:p>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的准确性</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rPr>
            </w:pPr>
            <w:r/>
            <w:bookmarkStart w:id="402" w:name="_Hlk191654396"/>
            <w:r>
              <w:rPr>
                <w:rFonts w:hint="eastAsia" w:ascii="宋体" w:hAnsi="宋体" w:eastAsia="宋体" w:cs="宋体"/>
                <w:color w:val="000000"/>
                <w:szCs w:val="21"/>
                <w:lang w:bidi="ar"/>
              </w:rPr>
              <w:t xml:space="preserve">14-15分</w:t>
            </w:r>
            <w:bookmarkEnd w:id="402"/>
            <w:r>
              <w:rPr>
                <w:rFonts w:hint="eastAsia" w:ascii="宋体" w:hAnsi="宋体" w:eastAsia="宋体" w:cs="宋体"/>
                <w:color w:val="000000"/>
                <w:szCs w:val="21"/>
                <w:lang w:bidi="ar"/>
              </w:rPr>
              <w:t xml:space="preserve">：提供的服务准确。</w:t>
            </w:r>
            <w:r>
              <w:rPr>
                <w:rFonts w:hint="eastAsia" w:ascii="宋体" w:hAnsi="宋体" w:eastAsia="宋体" w:cs="宋体"/>
                <w:color w:val="000000"/>
                <w:szCs w:val="21"/>
                <w:lang w:bidi="ar"/>
              </w:rPr>
              <w:br/>
            </w:r>
            <w:bookmarkStart w:id="403" w:name="_Hlk191654413"/>
            <w:r>
              <w:rPr>
                <w:rFonts w:hint="eastAsia" w:ascii="宋体" w:hAnsi="宋体" w:eastAsia="宋体" w:cs="宋体"/>
                <w:color w:val="000000"/>
                <w:szCs w:val="21"/>
                <w:lang w:bidi="ar"/>
              </w:rPr>
              <w:t xml:space="preserve">12-13分</w:t>
            </w:r>
            <w:bookmarkEnd w:id="403"/>
            <w:r>
              <w:rPr>
                <w:rFonts w:hint="eastAsia" w:ascii="宋体" w:hAnsi="宋体" w:eastAsia="宋体" w:cs="宋体"/>
                <w:color w:val="000000"/>
                <w:szCs w:val="21"/>
                <w:lang w:bidi="ar"/>
              </w:rPr>
              <w:t xml:space="preserve">：提供的服务基本准确，有轻微错误但不影响整体。</w:t>
            </w:r>
            <w:r>
              <w:rPr>
                <w:rFonts w:hint="eastAsia" w:ascii="宋体" w:hAnsi="宋体" w:eastAsia="宋体" w:cs="宋体"/>
                <w:color w:val="000000"/>
                <w:szCs w:val="21"/>
                <w:lang w:bidi="ar"/>
              </w:rPr>
              <w:br/>
            </w:r>
            <w:bookmarkStart w:id="404" w:name="_Hlk191654428"/>
            <w:r>
              <w:rPr>
                <w:rFonts w:hint="eastAsia" w:ascii="宋体" w:hAnsi="宋体" w:eastAsia="宋体" w:cs="宋体"/>
                <w:color w:val="000000"/>
                <w:szCs w:val="21"/>
                <w:lang w:bidi="ar"/>
              </w:rPr>
              <w:t xml:space="preserve">5-11分</w:t>
            </w:r>
            <w:bookmarkEnd w:id="404"/>
            <w:r>
              <w:rPr>
                <w:rFonts w:hint="eastAsia" w:ascii="宋体" w:hAnsi="宋体" w:eastAsia="宋体" w:cs="宋体"/>
                <w:color w:val="000000"/>
                <w:szCs w:val="21"/>
                <w:lang w:bidi="ar"/>
              </w:rPr>
              <w:t xml:space="preserve">：提供的服务存在错误，但能够纠正。</w:t>
            </w:r>
            <w:r>
              <w:rPr>
                <w:rFonts w:hint="eastAsia" w:ascii="宋体" w:hAnsi="宋体" w:eastAsia="宋体" w:cs="宋体"/>
                <w:color w:val="000000"/>
                <w:szCs w:val="21"/>
                <w:lang w:bidi="ar"/>
              </w:rPr>
              <w:br/>
            </w:r>
            <w:bookmarkStart w:id="405" w:name="_Hlk191654449"/>
            <w:r>
              <w:rPr>
                <w:rFonts w:hint="eastAsia" w:ascii="宋体" w:hAnsi="宋体" w:eastAsia="宋体" w:cs="宋体"/>
                <w:color w:val="000000"/>
                <w:szCs w:val="21"/>
                <w:lang w:bidi="ar"/>
              </w:rPr>
              <w:t xml:space="preserve">0-4分</w:t>
            </w:r>
            <w:bookmarkEnd w:id="405"/>
            <w:r>
              <w:rPr>
                <w:rFonts w:hint="eastAsia" w:ascii="宋体" w:hAnsi="宋体" w:eastAsia="宋体" w:cs="宋体"/>
                <w:color w:val="000000"/>
                <w:szCs w:val="21"/>
                <w:lang w:bidi="ar"/>
              </w:rPr>
              <w:t xml:space="preserve">：提供的服务存在严重错误，导致项目受阻或失败。</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564"/>
        </w:trPr>
        <w:tc>
          <w:tcPr>
            <w:tcBorders>
              <w:top w:val="single" w:color="000000" w:sz="4" w:space="0"/>
              <w:left w:val="single" w:color="000000" w:sz="4" w:space="0"/>
              <w:bottom w:val="single" w:color="000000" w:sz="4" w:space="0"/>
              <w:right w:val="single" w:color="000000" w:sz="4" w:space="0"/>
            </w:tcBorders>
            <w:tcW w:w="22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服务态度</w:t>
            </w:r>
            <w:r/>
          </w:p>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专业友好</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14-15分：服务态度专业、友好，积极沟通。</w:t>
            </w:r>
            <w:r>
              <w:rPr>
                <w:rFonts w:hint="eastAsia" w:ascii="宋体" w:hAnsi="宋体" w:eastAsia="宋体" w:cs="宋体"/>
                <w:color w:val="000000"/>
                <w:szCs w:val="21"/>
                <w:lang w:bidi="ar"/>
              </w:rPr>
              <w:br/>
              <w:t xml:space="preserve">12-13分：服务态度基本满意，沟通顺畅。</w:t>
            </w:r>
            <w:r>
              <w:rPr>
                <w:rFonts w:hint="eastAsia" w:ascii="宋体" w:hAnsi="宋体" w:eastAsia="宋体" w:cs="宋体"/>
                <w:color w:val="000000"/>
                <w:szCs w:val="21"/>
                <w:lang w:bidi="ar"/>
              </w:rPr>
              <w:br/>
              <w:t xml:space="preserve">5-11分：服务态度一般，沟通存在障碍。</w:t>
            </w:r>
            <w:r>
              <w:rPr>
                <w:rFonts w:hint="eastAsia" w:ascii="宋体" w:hAnsi="宋体" w:eastAsia="宋体" w:cs="宋体"/>
                <w:color w:val="000000"/>
                <w:szCs w:val="21"/>
                <w:lang w:bidi="ar"/>
              </w:rPr>
              <w:br/>
              <w:t xml:space="preserve">0-4分：服务态度差，沟通困难或拒绝沟通。</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221" w:type="pct"/>
            <w:vAlign w:val="center"/>
            <w:vMerge w:val="restart"/>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运维情况</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运维执行</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运维计划</w:t>
            </w:r>
            <w:r/>
          </w:p>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执行度</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14-15分：按照计划执行，在可控范围内。</w:t>
            </w:r>
            <w:r>
              <w:rPr>
                <w:rFonts w:hint="eastAsia" w:ascii="宋体" w:hAnsi="宋体" w:eastAsia="宋体" w:cs="宋体"/>
                <w:color w:val="000000"/>
                <w:szCs w:val="21"/>
                <w:lang w:bidi="ar"/>
              </w:rPr>
              <w:br/>
              <w:t xml:space="preserve">12-13分：基本按照计划执行，有轻微延误但不影响整体。</w:t>
            </w:r>
            <w:r>
              <w:rPr>
                <w:rFonts w:hint="eastAsia" w:ascii="宋体" w:hAnsi="宋体" w:eastAsia="宋体" w:cs="宋体"/>
                <w:color w:val="000000"/>
                <w:szCs w:val="21"/>
                <w:lang w:bidi="ar"/>
              </w:rPr>
              <w:br/>
              <w:t xml:space="preserve">5-11分：计划执行存在延误，但能够补救。</w:t>
            </w:r>
            <w:r>
              <w:rPr>
                <w:rFonts w:hint="eastAsia" w:ascii="宋体" w:hAnsi="宋体" w:eastAsia="宋体" w:cs="宋体"/>
                <w:color w:val="000000"/>
                <w:szCs w:val="21"/>
                <w:lang w:bidi="ar"/>
              </w:rPr>
              <w:br/>
              <w:t xml:space="preserve">0-4分：计划执行严重延误，导致项目受阻或失败。</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22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spacing w:line="44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资源分配</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资源分配</w:t>
            </w:r>
            <w:r/>
          </w:p>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合理性</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14-15分：资源分配合理，满足需求。</w:t>
            </w:r>
            <w:r>
              <w:rPr>
                <w:rFonts w:hint="eastAsia" w:ascii="宋体" w:hAnsi="宋体" w:eastAsia="宋体" w:cs="宋体"/>
                <w:color w:val="000000"/>
                <w:szCs w:val="21"/>
                <w:lang w:bidi="ar"/>
              </w:rPr>
              <w:br/>
              <w:t xml:space="preserve">12-13分：资源分配基本合理，基本满足需求。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5-11分：资源分配存在不足，但能够调整补充。</w:t>
            </w:r>
            <w:r>
              <w:rPr>
                <w:rFonts w:hint="eastAsia" w:ascii="宋体" w:hAnsi="宋体" w:eastAsia="宋体" w:cs="宋体"/>
                <w:color w:val="000000"/>
                <w:szCs w:val="21"/>
                <w:lang w:bidi="ar"/>
              </w:rPr>
              <w:br/>
              <w:t xml:space="preserve">0-4分：资源分配严重不足，导致服务受阻或失败。</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eastAsia="zh" w:bidi="ar"/>
              </w:rPr>
              <w:t xml:space="preserve">运维 年度</w:t>
            </w:r>
            <w:r>
              <w:rPr>
                <w:rFonts w:hint="eastAsia" w:ascii="宋体" w:hAnsi="宋体" w:eastAsia="宋体" w:cs="宋体"/>
                <w:color w:val="000000"/>
                <w:szCs w:val="21"/>
                <w:lang w:bidi="ar"/>
              </w:rPr>
              <w:t xml:space="preserve">报告</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运维年度报告</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lang w:eastAsia="zh"/>
              </w:rPr>
            </w:pPr>
            <w:r>
              <w:rPr>
                <w:rFonts w:hint="eastAsia" w:ascii="宋体" w:hAnsi="宋体" w:eastAsia="宋体" w:cs="宋体"/>
                <w:color w:val="000000"/>
                <w:szCs w:val="21"/>
                <w:lang w:bidi="ar"/>
              </w:rPr>
              <w:t xml:space="preserve">运维年度报告真实准确完整</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运维服务期结束1个月内提交运维年度报告，记录情况不真实、不完整、不准确的，每有1个不符合项，扣0.5分；如存在严重不真实的情况，可一次性扣除5分,本条目扣完为止。</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信息安全</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rPr>
              <w:t xml:space="preserve">信息安全</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操作管理合规、数据处理规范</w:t>
            </w:r>
            <w:r/>
          </w:p>
        </w:tc>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spacing w:line="440" w:lineRule="exact"/>
              <w:widowControl/>
              <w:rPr>
                <w:rFonts w:ascii="宋体" w:hAnsi="宋体" w:eastAsia="宋体" w:cs="宋体"/>
                <w:color w:val="000000"/>
                <w:szCs w:val="21"/>
                <w:lang w:eastAsia="zh"/>
              </w:rPr>
            </w:pPr>
            <w:r>
              <w:rPr>
                <w:rFonts w:hint="eastAsia" w:ascii="宋体" w:hAnsi="宋体" w:eastAsia="宋体" w:cs="宋体"/>
                <w:color w:val="000000"/>
                <w:szCs w:val="21"/>
                <w:lang w:eastAsia="zh"/>
              </w:rPr>
              <w:t xml:space="preserve">15</w:t>
            </w:r>
            <w:r/>
          </w:p>
        </w:tc>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spacing w:line="440" w:lineRule="exac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14-15分：</w:t>
            </w:r>
            <w:bookmarkStart w:id="406" w:name="_Hlk191653758"/>
            <w:r>
              <w:rPr>
                <w:rFonts w:hint="eastAsia" w:ascii="宋体" w:hAnsi="宋体" w:eastAsia="宋体" w:cs="宋体"/>
                <w:color w:val="000000"/>
                <w:szCs w:val="21"/>
                <w:lang w:bidi="ar"/>
              </w:rPr>
              <w:t xml:space="preserve">操作管理合规性高、数据处理规范专业</w:t>
            </w:r>
            <w:bookmarkEnd w:id="406"/>
            <w:r>
              <w:rPr>
                <w:rFonts w:hint="eastAsia" w:ascii="宋体" w:hAnsi="宋体" w:eastAsia="宋体" w:cs="宋体"/>
                <w:color w:val="000000"/>
                <w:szCs w:val="21"/>
                <w:lang w:bidi="ar"/>
              </w:rPr>
              <w:t xml:space="preserve">。</w:t>
            </w:r>
            <w:r/>
          </w:p>
          <w:p>
            <w:pPr>
              <w:jc w:val="left"/>
              <w:spacing w:line="440" w:lineRule="exact"/>
              <w:widowControl/>
              <w:rPr>
                <w:rFonts w:ascii="宋体" w:hAnsi="宋体" w:eastAsia="宋体" w:cs="宋体"/>
                <w:color w:val="000000"/>
                <w:szCs w:val="21"/>
              </w:rPr>
            </w:pPr>
            <w:r>
              <w:rPr>
                <w:rFonts w:hint="eastAsia" w:ascii="宋体" w:hAnsi="宋体" w:eastAsia="宋体" w:cs="宋体"/>
                <w:color w:val="000000"/>
                <w:szCs w:val="21"/>
                <w:lang w:bidi="ar"/>
              </w:rPr>
              <w:t xml:space="preserve">12-13分：</w:t>
            </w:r>
            <w:bookmarkStart w:id="407" w:name="_Hlk191653782"/>
            <w:r>
              <w:rPr>
                <w:rFonts w:hint="eastAsia" w:ascii="宋体" w:hAnsi="宋体" w:eastAsia="宋体" w:cs="宋体"/>
                <w:color w:val="000000"/>
                <w:szCs w:val="21"/>
                <w:lang w:bidi="ar"/>
              </w:rPr>
              <w:t xml:space="preserve">操作管理合规性较高、数据处理较规范专业。</w:t>
            </w:r>
            <w:bookmarkEnd w:id="407"/>
            <w:r>
              <w:rPr>
                <w:rFonts w:hint="eastAsia" w:ascii="宋体" w:hAnsi="宋体" w:eastAsia="宋体" w:cs="宋体"/>
                <w:color w:val="000000"/>
                <w:szCs w:val="21"/>
                <w:lang w:bidi="ar"/>
              </w:rPr>
              <w:br/>
              <w:t xml:space="preserve">5-11分：存在违规行为，但能够纠正。</w:t>
            </w:r>
            <w:r>
              <w:rPr>
                <w:rFonts w:hint="eastAsia" w:ascii="宋体" w:hAnsi="宋体" w:eastAsia="宋体" w:cs="宋体"/>
                <w:color w:val="000000"/>
                <w:szCs w:val="21"/>
                <w:lang w:bidi="ar"/>
              </w:rPr>
              <w:br/>
              <w:t xml:space="preserve">0-4分：存在严重违规行为，导致法律纠纷或项目失败。</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spacing w:line="440" w:lineRule="exact"/>
              <w:rPr>
                <w:rFonts w:ascii="宋体" w:hAnsi="宋体" w:eastAsia="宋体" w:cs="宋体"/>
                <w:color w:val="000000"/>
                <w:szCs w:val="21"/>
              </w:rPr>
            </w:pPr>
            <w:r>
              <w:rPr>
                <w:rFonts w:ascii="宋体" w:hAnsi="宋体" w:eastAsia="宋体" w:cs="宋体"/>
                <w:color w:val="000000"/>
                <w:szCs w:val="21"/>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4646" w:type="pct"/>
            <w:vAlign w:val="center"/>
            <w:textDirection w:val="lrTb"/>
            <w:noWrap/>
          </w:tcPr>
          <w:p>
            <w:pPr>
              <w:jc w:val="right"/>
              <w:spacing w:line="440" w:lineRule="exact"/>
              <w:widowControl/>
              <w:rPr>
                <w:rFonts w:ascii="宋体" w:hAnsi="宋体" w:eastAsia="宋体" w:cs="宋体"/>
                <w:color w:val="000000"/>
                <w:szCs w:val="21"/>
                <w:lang w:eastAsia="zh"/>
              </w:rPr>
            </w:pPr>
            <w:r>
              <w:rPr>
                <w:rFonts w:hint="eastAsia" w:ascii="宋体" w:hAnsi="宋体" w:eastAsia="宋体" w:cs="宋体"/>
                <w:color w:val="000000"/>
                <w:szCs w:val="21"/>
                <w:lang w:bidi="ar"/>
              </w:rPr>
              <w:t xml:space="preserve">总分</w:t>
            </w:r>
            <w:r>
              <w:rPr>
                <w:rFonts w:hint="eastAsia" w:ascii="宋体" w:hAnsi="宋体" w:eastAsia="宋体" w:cs="宋体"/>
                <w:color w:val="000000"/>
                <w:szCs w:val="21"/>
                <w:lang w:eastAsia="zh" w:bidi="ar"/>
              </w:rPr>
              <w:t xml:space="preserve">：</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left"/>
              <w:spacing w:line="440" w:lineRule="exact"/>
              <w:rPr>
                <w:rFonts w:ascii="宋体" w:hAnsi="宋体" w:eastAsia="宋体" w:cs="宋体"/>
                <w:color w:val="000000"/>
                <w:szCs w:val="21"/>
              </w:rPr>
            </w:pPr>
            <w:r>
              <w:rPr>
                <w:rFonts w:ascii="宋体" w:hAnsi="宋体" w:eastAsia="宋体" w:cs="宋体"/>
                <w:color w:val="000000"/>
                <w:szCs w:val="21"/>
              </w:rPr>
            </w:r>
            <w:r/>
          </w:p>
        </w:tc>
      </w:tr>
    </w:tbl>
    <w:p>
      <w:pPr>
        <w:spacing w:line="440" w:lineRule="exact"/>
        <w:rPr>
          <w:rFonts w:ascii="Times New Roman" w:hAnsi="Times New Roman" w:eastAsia="宋体" w:cs="Times New Roman"/>
          <w:b/>
          <w:bCs/>
          <w:sz w:val="28"/>
          <w:szCs w:val="28"/>
        </w:rPr>
        <w:outlineLvl w:val="1"/>
      </w:pPr>
      <w:r/>
      <w:bookmarkStart w:id="408" w:name="_Toc163508320"/>
      <w:r/>
      <w:bookmarkStart w:id="409" w:name="_Toc163508395"/>
      <w:r/>
      <w:bookmarkStart w:id="410" w:name="_Toc157604642"/>
      <w:r/>
      <w:bookmarkStart w:id="411" w:name="_Toc153263479"/>
      <w:r/>
      <w:bookmarkStart w:id="412" w:name="_Toc192239127"/>
      <w:r>
        <w:rPr>
          <w:rFonts w:hint="eastAsia" w:ascii="Times New Roman" w:hAnsi="Times New Roman" w:eastAsia="宋体" w:cs="Times New Roman"/>
          <w:b/>
          <w:bCs/>
          <w:sz w:val="28"/>
          <w:szCs w:val="28"/>
        </w:rPr>
        <w:t xml:space="preserve">五、报价要求</w:t>
      </w:r>
      <w:bookmarkEnd w:id="408"/>
      <w:r/>
      <w:bookmarkEnd w:id="409"/>
      <w:r/>
      <w:bookmarkEnd w:id="410"/>
      <w:r/>
      <w:bookmarkEnd w:id="411"/>
      <w:r>
        <w:rPr>
          <w:rFonts w:hint="eastAsia" w:ascii="Times New Roman" w:hAnsi="Times New Roman" w:eastAsia="宋体" w:cs="Times New Roman"/>
          <w:b/>
          <w:bCs/>
          <w:sz w:val="28"/>
          <w:szCs w:val="28"/>
        </w:rPr>
        <w:t xml:space="preserve">：</w:t>
      </w:r>
      <w:bookmarkEnd w:id="412"/>
      <w:r/>
      <w:r/>
    </w:p>
    <w:p>
      <w:pPr>
        <w:ind w:firstLine="480"/>
        <w:spacing w:line="440" w:lineRule="exact"/>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1.投标人须对本项目中包含的所有服务内容进行报价，不得漏报，否则将失去投标资格。</w:t>
      </w:r>
      <w:r/>
    </w:p>
    <w:p>
      <w:pPr>
        <w:ind w:firstLine="480"/>
        <w:spacing w:line="440" w:lineRule="exact"/>
        <w:rPr>
          <w:rFonts w:ascii="Times New Roman" w:hAnsi="Times New Roman" w:eastAsia="宋体" w:cs="Times New Roman"/>
          <w:i/>
          <w:sz w:val="24"/>
          <w:szCs w:val="24"/>
          <w:u w:val="single"/>
        </w:rPr>
      </w:pPr>
      <w:r>
        <w:rPr>
          <w:rFonts w:hint="eastAsia" w:ascii="宋体" w:hAnsi="宋体" w:eastAsia="宋体" w:cs="Times New Roman"/>
          <w:b/>
          <w:i/>
          <w:sz w:val="24"/>
          <w:szCs w:val="24"/>
          <w:u w:val="single"/>
        </w:rPr>
        <w:t xml:space="preserve">2.</w:t>
      </w:r>
      <w:r>
        <w:rPr>
          <w:rFonts w:ascii="Times New Roman" w:hAnsi="Times New Roman" w:eastAsia="宋体" w:cs="Times New Roman"/>
          <w:i/>
          <w:sz w:val="24"/>
          <w:szCs w:val="24"/>
          <w:u w:val="single"/>
        </w:rPr>
        <w:t xml:space="preserve">本项目采购预算为￥</w:t>
      </w:r>
      <w:r>
        <w:rPr>
          <w:rFonts w:hint="eastAsia" w:ascii="Times New Roman" w:hAnsi="Times New Roman" w:eastAsia="宋体" w:cs="Times New Roman"/>
          <w:i/>
          <w:sz w:val="24"/>
          <w:szCs w:val="24"/>
          <w:u w:val="single"/>
        </w:rPr>
        <w:t xml:space="preserve">90200000.00</w:t>
      </w:r>
      <w:r>
        <w:rPr>
          <w:rFonts w:ascii="Times New Roman" w:hAnsi="Times New Roman" w:eastAsia="宋体" w:cs="Times New Roman"/>
          <w:i/>
          <w:sz w:val="24"/>
          <w:szCs w:val="24"/>
          <w:u w:val="single"/>
        </w:rPr>
        <w:t xml:space="preserve">元</w:t>
      </w:r>
      <w:r>
        <w:rPr>
          <w:rFonts w:hint="eastAsia" w:ascii="Times New Roman" w:hAnsi="Times New Roman" w:eastAsia="宋体" w:cs="Times New Roman"/>
          <w:i/>
          <w:sz w:val="24"/>
          <w:szCs w:val="24"/>
          <w:u w:val="single"/>
        </w:rPr>
        <w:t xml:space="preserve">整</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投标总价不得超过采购预算，否则作无效投标处理。</w:t>
      </w:r>
      <w:r/>
    </w:p>
    <w:p>
      <w:pPr>
        <w:ind w:firstLine="48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3</w:t>
      </w:r>
      <w:r>
        <w:rPr>
          <w:rFonts w:hint="eastAsia" w:ascii="宋体" w:hAnsi="宋体" w:eastAsia="宋体" w:cs="Times New Roman"/>
          <w:i/>
          <w:sz w:val="24"/>
          <w:szCs w:val="24"/>
          <w:u w:val="single"/>
        </w:rPr>
        <w:t xml:space="preserve">.本项目</w:t>
      </w:r>
      <w:r>
        <w:rPr>
          <w:rFonts w:ascii="宋体" w:hAnsi="宋体" w:eastAsia="宋体" w:cs="Times New Roman"/>
          <w:i/>
          <w:sz w:val="24"/>
          <w:szCs w:val="24"/>
          <w:u w:val="single"/>
        </w:rPr>
        <w:t xml:space="preserve">投标</w:t>
      </w:r>
      <w:r>
        <w:rPr>
          <w:rFonts w:hint="eastAsia" w:ascii="宋体" w:hAnsi="宋体" w:eastAsia="宋体" w:cs="Times New Roman"/>
          <w:i/>
          <w:sz w:val="24"/>
          <w:szCs w:val="24"/>
          <w:u w:val="single"/>
        </w:rPr>
        <w:t xml:space="preserve">报价应以人民币报价，投标总价包括人工费、通讯费、交通费、资料费、运维</w:t>
      </w:r>
      <w:r>
        <w:rPr>
          <w:rFonts w:ascii="宋体" w:hAnsi="宋体" w:eastAsia="宋体" w:cs="Times New Roman"/>
          <w:i/>
          <w:sz w:val="24"/>
          <w:szCs w:val="24"/>
          <w:u w:val="single"/>
        </w:rPr>
        <w:t xml:space="preserve">费</w:t>
      </w:r>
      <w:r>
        <w:rPr>
          <w:rFonts w:hint="eastAsia" w:ascii="宋体" w:hAnsi="宋体" w:eastAsia="宋体" w:cs="Times New Roman"/>
          <w:i/>
          <w:sz w:val="24"/>
          <w:szCs w:val="24"/>
          <w:u w:val="single"/>
        </w:rPr>
        <w:t xml:space="preserve">、咨询费、中标服务费、评审的组织及相关评审费用、优化和修改的全部工作的费用、利润、税金、政策性文件规定及合同包含的所有风险、责任等完成本项目的各项应有费用。</w:t>
      </w:r>
      <w:r/>
    </w:p>
    <w:p>
      <w:pPr>
        <w:ind w:firstLine="48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4</w:t>
      </w:r>
      <w:r>
        <w:rPr>
          <w:rFonts w:hint="eastAsia" w:ascii="宋体" w:hAnsi="宋体" w:eastAsia="宋体" w:cs="Times New Roman"/>
          <w:i/>
          <w:sz w:val="24"/>
          <w:szCs w:val="24"/>
          <w:u w:val="single"/>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i/>
          <w:sz w:val="24"/>
          <w:szCs w:val="24"/>
          <w:u w:val="single"/>
        </w:rPr>
      </w:pPr>
      <w:r>
        <w:rPr>
          <w:rFonts w:ascii="宋体" w:hAnsi="宋体" w:eastAsia="宋体" w:cs="Times New Roman"/>
          <w:i/>
          <w:sz w:val="24"/>
          <w:szCs w:val="24"/>
          <w:u w:val="single"/>
        </w:rPr>
        <w:t xml:space="preserve">5</w:t>
      </w:r>
      <w:r>
        <w:rPr>
          <w:rFonts w:hint="eastAsia" w:ascii="宋体" w:hAnsi="宋体" w:eastAsia="宋体" w:cs="Times New Roman"/>
          <w:i/>
          <w:sz w:val="24"/>
          <w:szCs w:val="24"/>
          <w:u w:val="single"/>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3" w:name="_Toc192239128"/>
      <w:r>
        <w:rPr>
          <w:rFonts w:hint="eastAsia" w:ascii="Times New Roman" w:hAnsi="Times New Roman" w:eastAsia="宋体" w:cs="Times New Roman"/>
          <w:b/>
          <w:bCs/>
          <w:sz w:val="28"/>
          <w:szCs w:val="28"/>
        </w:rPr>
        <w:t xml:space="preserve">六、实质性要求：</w:t>
      </w:r>
      <w:bookmarkEnd w:id="413"/>
      <w:r/>
      <w:r/>
    </w:p>
    <w:p>
      <w:pPr>
        <w:ind w:firstLine="480"/>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bookmarkEnd w:id="327"/>
      <w:r/>
      <w:bookmarkEnd w:id="401"/>
      <w:r/>
      <w:r/>
    </w:p>
    <w:p>
      <w:pPr>
        <w:jc w:val="center"/>
        <w:keepNext/>
        <w:spacing w:line="440" w:lineRule="exact"/>
        <w:tabs>
          <w:tab w:val="left" w:pos="200" w:leader="none"/>
        </w:tabs>
        <w:rPr>
          <w:rFonts w:ascii="Times New Roman" w:hAnsi="宋体" w:eastAsia="宋体" w:cs="Times New Roman"/>
          <w:b/>
          <w:sz w:val="36"/>
          <w:szCs w:val="20"/>
        </w:rPr>
        <w:outlineLvl w:val="0"/>
      </w:pPr>
      <w:r>
        <w:rPr>
          <w:rFonts w:ascii="宋体" w:hAnsi="宋体" w:eastAsia="宋体" w:cs="Times New Roman"/>
          <w:b/>
          <w:sz w:val="36"/>
          <w:szCs w:val="20"/>
        </w:rPr>
        <w:br w:type="page" w:clear="all"/>
      </w:r>
      <w:bookmarkStart w:id="414" w:name="_Toc161043264"/>
      <w:r>
        <w:rPr>
          <w:rFonts w:ascii="宋体" w:hAnsi="宋体" w:eastAsia="宋体" w:cs="Times New Roman"/>
          <w:b/>
          <w:sz w:val="36"/>
          <w:szCs w:val="20"/>
        </w:rPr>
        <w:t xml:space="preserve"> </w:t>
      </w:r>
      <w:bookmarkStart w:id="415" w:name="_Toc192239129"/>
      <w:r>
        <w:rPr>
          <w:rFonts w:ascii="Times New Roman" w:hAnsi="宋体" w:eastAsia="宋体" w:cs="Times New Roman"/>
          <w:b/>
          <w:sz w:val="36"/>
          <w:szCs w:val="20"/>
        </w:rPr>
        <w:t xml:space="preserve">第</w:t>
      </w:r>
      <w:r>
        <w:rPr>
          <w:rFonts w:hint="eastAsia" w:ascii="Times New Roman" w:hAnsi="宋体" w:eastAsia="宋体" w:cs="Times New Roman"/>
          <w:b/>
          <w:sz w:val="36"/>
          <w:szCs w:val="20"/>
        </w:rPr>
        <w:t xml:space="preserve">五</w:t>
      </w:r>
      <w:r>
        <w:rPr>
          <w:rFonts w:ascii="Times New Roman" w:hAnsi="宋体" w:eastAsia="宋体" w:cs="Times New Roman"/>
          <w:b/>
          <w:sz w:val="36"/>
          <w:szCs w:val="20"/>
        </w:rPr>
        <w:t xml:space="preserve">章</w:t>
      </w:r>
      <w:r>
        <w:rPr>
          <w:rFonts w:ascii="Times New Roman" w:hAnsi="宋体" w:eastAsia="宋体" w:cs="Times New Roman"/>
          <w:b/>
          <w:sz w:val="36"/>
          <w:szCs w:val="20"/>
        </w:rPr>
        <w:t xml:space="preserve">  </w:t>
      </w:r>
      <w:bookmarkEnd w:id="335"/>
      <w:r/>
      <w:bookmarkEnd w:id="336"/>
      <w:r/>
      <w:bookmarkEnd w:id="337"/>
      <w:r/>
      <w:bookmarkEnd w:id="338"/>
      <w:r>
        <w:rPr>
          <w:rFonts w:hint="eastAsia" w:ascii="Times New Roman" w:hAnsi="宋体" w:eastAsia="宋体" w:cs="Times New Roman"/>
          <w:b/>
          <w:sz w:val="36"/>
          <w:szCs w:val="20"/>
        </w:rPr>
        <w:t xml:space="preserve">评标方法与评标标准</w:t>
      </w:r>
      <w:bookmarkEnd w:id="414"/>
      <w:r/>
      <w:bookmarkEnd w:id="415"/>
      <w:r/>
      <w:r/>
    </w:p>
    <w:p>
      <w:pPr>
        <w:spacing w:line="440" w:lineRule="exact"/>
        <w:rPr>
          <w:rFonts w:ascii="Calibri" w:hAnsi="Calibri" w:eastAsia="宋体" w:cs="Times New Roman"/>
          <w:b/>
          <w:bCs/>
          <w:sz w:val="28"/>
          <w:szCs w:val="20"/>
        </w:rPr>
        <w:outlineLvl w:val="1"/>
      </w:pPr>
      <w:r/>
      <w:bookmarkStart w:id="416" w:name="_Toc17476"/>
      <w:r/>
      <w:bookmarkStart w:id="417" w:name="_Toc698"/>
      <w:r/>
      <w:bookmarkStart w:id="418" w:name="_Toc16264"/>
      <w:r/>
      <w:bookmarkStart w:id="419" w:name="_Toc192239130"/>
      <w:r>
        <w:rPr>
          <w:rFonts w:hint="eastAsia" w:ascii="Calibri" w:hAnsi="Calibri" w:eastAsia="宋体" w:cs="Times New Roman"/>
          <w:b/>
          <w:bCs/>
          <w:sz w:val="28"/>
          <w:szCs w:val="20"/>
        </w:rPr>
        <w:t xml:space="preserve">一、评标方法：</w:t>
      </w:r>
      <w:bookmarkEnd w:id="416"/>
      <w:r/>
      <w:bookmarkEnd w:id="417"/>
      <w:r/>
      <w:bookmarkEnd w:id="418"/>
      <w:r/>
      <w:bookmarkEnd w:id="419"/>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szCs w:val="20"/>
        </w:rPr>
        <w:outlineLvl w:val="1"/>
      </w:pPr>
      <w:r/>
      <w:bookmarkStart w:id="420" w:name="_Toc192239131"/>
      <w:r>
        <w:rPr>
          <w:rFonts w:ascii="Calibri" w:hAnsi="Calibri" w:eastAsia="宋体" w:cs="Times New Roman"/>
          <w:b/>
          <w:bCs/>
          <w:sz w:val="28"/>
          <w:szCs w:val="20"/>
        </w:rPr>
        <w:t xml:space="preserve">二、评</w:t>
      </w:r>
      <w:r>
        <w:rPr>
          <w:rFonts w:hint="eastAsia" w:ascii="Calibri" w:hAnsi="Calibri" w:eastAsia="宋体" w:cs="Times New Roman"/>
          <w:b/>
          <w:bCs/>
          <w:sz w:val="28"/>
          <w:szCs w:val="20"/>
        </w:rPr>
        <w:t xml:space="preserve">标</w:t>
      </w:r>
      <w:r>
        <w:rPr>
          <w:rFonts w:ascii="Calibri" w:hAnsi="Calibri" w:eastAsia="宋体" w:cs="Times New Roman"/>
          <w:b/>
          <w:bCs/>
          <w:sz w:val="28"/>
          <w:szCs w:val="20"/>
        </w:rPr>
        <w:t xml:space="preserve">标准：</w:t>
      </w:r>
      <w:bookmarkEnd w:id="420"/>
      <w:r/>
      <w:r/>
    </w:p>
    <w:p>
      <w:pPr>
        <w:ind w:firstLine="480"/>
        <w:spacing w:line="440" w:lineRule="exact"/>
        <w:rPr>
          <w:rFonts w:ascii="Times New Roman" w:hAnsi="Times New Roman" w:eastAsia="宋体" w:cs="Times New Roman"/>
          <w:b/>
          <w:bCs/>
          <w:sz w:val="24"/>
          <w:szCs w:val="20"/>
        </w:rPr>
        <w:outlineLvl w:val="2"/>
      </w:pPr>
      <w:r/>
      <w:bookmarkStart w:id="421" w:name="_Toc192239132"/>
      <w:r>
        <w:rPr>
          <w:rFonts w:ascii="Times New Roman" w:hAnsi="Times New Roman" w:eastAsia="宋体" w:cs="Times New Roman"/>
          <w:b/>
          <w:bCs/>
          <w:sz w:val="24"/>
          <w:szCs w:val="20"/>
        </w:rPr>
        <w:t xml:space="preserve">1</w:t>
      </w:r>
      <w:r>
        <w:rPr>
          <w:rFonts w:hint="eastAsia"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价格分</w:t>
      </w:r>
      <w:r>
        <w:rPr>
          <w:rFonts w:ascii="Times New Roman" w:hAnsi="Times New Roman" w:eastAsia="宋体" w:cs="Times New Roman"/>
          <w:b/>
          <w:bCs/>
          <w:sz w:val="24"/>
          <w:szCs w:val="20"/>
        </w:rPr>
        <w:t xml:space="preserve">10</w:t>
      </w:r>
      <w:r>
        <w:rPr>
          <w:rFonts w:hint="eastAsia" w:ascii="Times New Roman" w:hAnsi="Times New Roman" w:eastAsia="宋体" w:cs="Times New Roman"/>
          <w:b/>
          <w:bCs/>
          <w:sz w:val="24"/>
          <w:szCs w:val="20"/>
        </w:rPr>
        <w:t xml:space="preserve">分</w:t>
      </w:r>
      <w:bookmarkEnd w:id="421"/>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满足招标文件要求且投标价格最低的投标报价为评标基准价，其价格分为</w:t>
      </w: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分；其他投标人的价格分统一按下列公式计算：投标报价得分＝（评标基准价／投标报价）</w:t>
      </w:r>
      <w:bookmarkStart w:id="422" w:name="_Hlk63007450"/>
      <w:r>
        <w:rPr>
          <w:rFonts w:hint="eastAsia" w:ascii="Times New Roman" w:hAnsi="Times New Roman" w:eastAsia="宋体" w:cs="Times New Roman"/>
          <w:sz w:val="24"/>
          <w:szCs w:val="20"/>
        </w:rPr>
        <w:t xml:space="preserve">×</w:t>
      </w:r>
      <w:bookmarkEnd w:id="422"/>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投标人的投标报价明显低于其他通过符合性审查投标人的报价，有可能影响产品质量或者不能诚信履约的，评标委员会可要求其在开评标现场合理的时间内提供书面说明以及相关证明材料</w:t>
      </w:r>
      <w:r>
        <w:rPr>
          <w:rFonts w:hint="eastAsia" w:ascii="Times New Roman" w:hAnsi="Times New Roman" w:eastAsia="宋体" w:cs="Times New Roman"/>
          <w:sz w:val="24"/>
          <w:szCs w:val="20"/>
        </w:rPr>
        <w:t xml:space="preserve">（可</w:t>
      </w:r>
      <w:r>
        <w:rPr>
          <w:rFonts w:ascii="Times New Roman" w:hAnsi="Times New Roman" w:eastAsia="宋体" w:cs="Times New Roman"/>
          <w:sz w:val="24"/>
          <w:szCs w:val="20"/>
        </w:rPr>
        <w:t xml:space="preserve">包括</w:t>
      </w:r>
      <w:r>
        <w:rPr>
          <w:rFonts w:hint="eastAsia" w:ascii="Times New Roman" w:hAnsi="Times New Roman" w:eastAsia="宋体" w:cs="Times New Roman"/>
          <w:sz w:val="24"/>
          <w:szCs w:val="20"/>
        </w:rPr>
        <w:t xml:space="preserve">但不限于</w:t>
      </w:r>
      <w:r>
        <w:rPr>
          <w:rFonts w:ascii="Times New Roman" w:hAnsi="Times New Roman" w:eastAsia="宋体" w:cs="Times New Roman"/>
          <w:sz w:val="24"/>
          <w:szCs w:val="20"/>
        </w:rPr>
        <w:t xml:space="preserve">以往业绩的</w:t>
      </w:r>
      <w:r>
        <w:rPr>
          <w:rFonts w:hint="eastAsia" w:ascii="Times New Roman" w:hAnsi="Times New Roman" w:eastAsia="宋体" w:cs="Times New Roman"/>
          <w:sz w:val="24"/>
          <w:szCs w:val="20"/>
        </w:rPr>
        <w:t xml:space="preserve">合同</w:t>
      </w:r>
      <w:r>
        <w:rPr>
          <w:rFonts w:ascii="Times New Roman" w:hAnsi="Times New Roman" w:eastAsia="宋体" w:cs="Times New Roman"/>
          <w:sz w:val="24"/>
          <w:szCs w:val="20"/>
        </w:rPr>
        <w:t xml:space="preserve">金额以及成本、目前阶段的</w:t>
      </w:r>
      <w:r>
        <w:rPr>
          <w:rFonts w:hint="eastAsia" w:ascii="Times New Roman" w:hAnsi="Times New Roman" w:eastAsia="宋体" w:cs="Times New Roman"/>
          <w:sz w:val="24"/>
          <w:szCs w:val="20"/>
        </w:rPr>
        <w:t xml:space="preserve">工资等</w:t>
      </w:r>
      <w:r>
        <w:rPr>
          <w:rFonts w:ascii="Times New Roman" w:hAnsi="Times New Roman" w:eastAsia="宋体" w:cs="Times New Roman"/>
          <w:sz w:val="24"/>
          <w:szCs w:val="20"/>
        </w:rPr>
        <w:t xml:space="preserve">费用组成</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；投标人不能证明其投标报价合理性的，评标委员会可将其作为无效投标处理。</w:t>
      </w:r>
      <w:r/>
    </w:p>
    <w:p>
      <w:pPr>
        <w:ind w:firstLine="480"/>
        <w:spacing w:line="440" w:lineRule="exact"/>
        <w:rPr>
          <w:rFonts w:ascii="Times New Roman" w:hAnsi="Times New Roman" w:eastAsia="宋体" w:cs="Times New Roman"/>
          <w:b/>
          <w:bCs/>
          <w:sz w:val="24"/>
          <w:szCs w:val="20"/>
        </w:rPr>
        <w:outlineLvl w:val="2"/>
      </w:pPr>
      <w:r/>
      <w:bookmarkStart w:id="423" w:name="_Toc192239133"/>
      <w:r>
        <w:rPr>
          <w:rFonts w:hint="eastAsia" w:ascii="Times New Roman" w:hAnsi="Times New Roman" w:eastAsia="宋体" w:cs="Times New Roman"/>
          <w:b/>
          <w:bCs/>
          <w:sz w:val="24"/>
          <w:szCs w:val="20"/>
        </w:rPr>
        <w:t xml:space="preserve">2.</w:t>
      </w:r>
      <w:r>
        <w:rPr>
          <w:rFonts w:hint="eastAsia" w:ascii="Times New Roman" w:hAnsi="Times New Roman" w:eastAsia="宋体" w:cs="Times New Roman"/>
          <w:b/>
          <w:bCs/>
          <w:sz w:val="24"/>
          <w:szCs w:val="20"/>
        </w:rPr>
        <w:t xml:space="preserve">服务方案</w:t>
      </w:r>
      <w:r>
        <w:rPr>
          <w:rFonts w:hint="eastAsia" w:ascii="Times New Roman" w:hAnsi="Times New Roman" w:eastAsia="宋体" w:cs="Times New Roman"/>
          <w:b/>
          <w:bCs/>
          <w:sz w:val="24"/>
          <w:szCs w:val="20"/>
        </w:rPr>
        <w:t xml:space="preserve">60</w:t>
      </w:r>
      <w:r>
        <w:rPr>
          <w:rFonts w:hint="eastAsia" w:ascii="Times New Roman" w:hAnsi="Times New Roman" w:eastAsia="宋体" w:cs="Times New Roman"/>
          <w:b/>
          <w:bCs/>
          <w:sz w:val="24"/>
          <w:szCs w:val="20"/>
        </w:rPr>
        <w:t xml:space="preserve">分</w:t>
      </w:r>
      <w:bookmarkEnd w:id="423"/>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6"/>
        <w:gridCol w:w="1774"/>
        <w:gridCol w:w="870"/>
        <w:gridCol w:w="6060"/>
      </w:tblGrid>
      <w:tr>
        <w:trPr>
          <w:jc w:val="cente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评分标准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服务响应</w:t>
            </w:r>
            <w:r>
              <w:rPr>
                <w:rFonts w:hint="eastAsia" w:ascii="Times New Roman" w:hAnsi="Times New Roman" w:eastAsia="宋体" w:cs="Times New Roman"/>
                <w:color w:val="000000"/>
                <w:sz w:val="24"/>
                <w:szCs w:val="24"/>
              </w:rPr>
              <w:t xml:space="preserve">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color w:val="000000"/>
                <w:sz w:val="24"/>
                <w:szCs w:val="24"/>
              </w:rPr>
              <w:t xml:space="preserve">12</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全部满足</w:t>
            </w:r>
            <w:r>
              <w:rPr>
                <w:rFonts w:hint="eastAsia" w:ascii="Times New Roman" w:hAnsi="Times New Roman" w:eastAsia="宋体" w:cs="Times New Roman"/>
                <w:sz w:val="24"/>
                <w:szCs w:val="24"/>
              </w:rPr>
              <w:t xml:space="preserve">招标</w:t>
            </w:r>
            <w:r>
              <w:rPr>
                <w:rFonts w:ascii="Times New Roman" w:hAnsi="Times New Roman" w:eastAsia="宋体" w:cs="Times New Roman"/>
                <w:sz w:val="24"/>
                <w:szCs w:val="24"/>
              </w:rPr>
              <w:t xml:space="preserve">文件</w:t>
            </w:r>
            <w:r>
              <w:rPr>
                <w:rFonts w:hint="eastAsia" w:ascii="Times New Roman" w:hAnsi="Times New Roman" w:eastAsia="宋体" w:cs="Times New Roman"/>
                <w:sz w:val="24"/>
                <w:szCs w:val="24"/>
              </w:rPr>
              <w:t xml:space="preserve">中</w:t>
            </w:r>
            <w:r>
              <w:rPr>
                <w:rFonts w:ascii="Times New Roman" w:hAnsi="Times New Roman" w:eastAsia="宋体" w:cs="Times New Roman"/>
                <w:sz w:val="24"/>
                <w:szCs w:val="24"/>
              </w:rPr>
              <w:t xml:space="preserve">项目需求的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二、项目服务要求</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指标</w:t>
            </w:r>
            <w:r>
              <w:rPr>
                <w:rFonts w:hint="eastAsia" w:ascii="Times New Roman" w:hAnsi="Times New Roman" w:eastAsia="宋体" w:cs="Times New Roman"/>
                <w:sz w:val="24"/>
                <w:szCs w:val="24"/>
              </w:rPr>
              <w:t xml:space="preserve">（非实质性内容）</w:t>
            </w:r>
            <w:r>
              <w:rPr>
                <w:rFonts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分；每</w:t>
            </w:r>
            <w:r>
              <w:rPr>
                <w:rFonts w:ascii="Times New Roman" w:hAnsi="Times New Roman" w:eastAsia="宋体" w:cs="Times New Roman"/>
                <w:sz w:val="24"/>
                <w:szCs w:val="24"/>
              </w:rPr>
              <w:t xml:space="preserve">有</w:t>
            </w:r>
            <w:r>
              <w:rPr>
                <w:rFonts w:ascii="Times New Roman" w:hAnsi="Times New Roman" w:eastAsia="宋体" w:cs="Times New Roman"/>
                <w:sz w:val="24"/>
                <w:szCs w:val="24"/>
              </w:rPr>
              <w:t xml:space="preserve">一</w:t>
            </w:r>
            <w:r>
              <w:rPr>
                <w:rFonts w:hint="eastAsia" w:ascii="Times New Roman" w:hAnsi="Times New Roman" w:eastAsia="宋体" w:cs="Times New Roman"/>
                <w:sz w:val="24"/>
                <w:szCs w:val="24"/>
              </w:rPr>
              <w:t xml:space="preserve">条</w:t>
            </w:r>
            <w:r>
              <w:rPr>
                <w:rFonts w:ascii="Times New Roman" w:hAnsi="Times New Roman" w:eastAsia="宋体" w:cs="Times New Roman"/>
                <w:sz w:val="24"/>
                <w:szCs w:val="24"/>
              </w:rPr>
              <w:t xml:space="preserve">负偏离的，扣</w:t>
            </w:r>
            <w:r>
              <w:rPr>
                <w:rFonts w:ascii="Times New Roman" w:hAnsi="Times New Roman" w:eastAsia="宋体" w:cs="Times New Roman"/>
                <w:sz w:val="24"/>
                <w:szCs w:val="24"/>
              </w:rPr>
              <w:t xml:space="preserve">0.04</w:t>
            </w:r>
            <w:r>
              <w:rPr>
                <w:rFonts w:ascii="Times New Roman" w:hAnsi="Times New Roman" w:eastAsia="宋体" w:cs="Times New Roman"/>
                <w:sz w:val="24"/>
                <w:szCs w:val="24"/>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spacing w:line="440" w:lineRule="exact"/>
              <w:rPr>
                <w:rFonts w:ascii="Times New Roman" w:hAnsi="Times New Roman" w:eastAsia="宋体" w:cs="Times New Roman"/>
                <w:sz w:val="24"/>
                <w:szCs w:val="24"/>
              </w:rPr>
            </w:pPr>
            <w:r>
              <w:rPr>
                <w:rFonts w:hint="eastAsia" w:ascii="Times New Roman" w:hAnsi="Times New Roman" w:eastAsia="宋体" w:cs="宋体"/>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宋体"/>
                <w:sz w:val="24"/>
                <w:szCs w:val="24"/>
              </w:rPr>
              <w:t xml:space="preserve">提供的信息化集成实施服务</w:t>
            </w:r>
            <w:r>
              <w:rPr>
                <w:rFonts w:hint="eastAsia" w:ascii="Times New Roman" w:hAnsi="Times New Roman" w:eastAsia="宋体" w:cs="宋体"/>
                <w:sz w:val="24"/>
                <w:szCs w:val="24"/>
              </w:rPr>
              <w:t xml:space="preserve">-</w:t>
            </w:r>
            <w:r>
              <w:rPr>
                <w:rFonts w:hint="eastAsia" w:ascii="Times New Roman" w:hAnsi="Times New Roman" w:eastAsia="宋体" w:cs="宋体"/>
                <w:sz w:val="24"/>
                <w:szCs w:val="24"/>
              </w:rPr>
              <w:t xml:space="preserve">三大全生命周期体系集成实施服务</w:t>
            </w:r>
            <w:r>
              <w:rPr>
                <w:rFonts w:hint="eastAsia" w:ascii="Times New Roman" w:hAnsi="Times New Roman" w:eastAsia="宋体" w:cs="宋体"/>
                <w:sz w:val="24"/>
                <w:szCs w:val="24"/>
              </w:rPr>
              <w:t xml:space="preserve">-</w:t>
            </w:r>
            <w:r>
              <w:rPr>
                <w:rFonts w:hint="eastAsia" w:ascii="Times New Roman" w:hAnsi="Times New Roman" w:eastAsia="宋体" w:cs="宋体"/>
                <w:sz w:val="24"/>
                <w:szCs w:val="24"/>
              </w:rPr>
              <w:t xml:space="preserve">市场主体全生命周期体系方案进行评定，方案内容完整规范、针对性及可行性高、切合项目需求的</w:t>
            </w:r>
            <w:r>
              <w:rPr>
                <w:rFonts w:hint="eastAsia" w:ascii="宋体" w:hAnsi="宋体" w:eastAsia="宋体" w:cs="Times New Roman"/>
                <w:color w:val="000000"/>
                <w:sz w:val="24"/>
                <w:szCs w:val="24"/>
              </w:rPr>
              <w:t xml:space="preserve">得4分；方案内容</w:t>
            </w:r>
            <w:r>
              <w:rPr>
                <w:rFonts w:hint="eastAsia" w:ascii="Times New Roman" w:hAnsi="Times New Roman" w:eastAsia="宋体" w:cs="宋体"/>
                <w:sz w:val="24"/>
                <w:szCs w:val="24"/>
              </w:rPr>
              <w:t xml:space="preserve">满足项目需求的得</w:t>
            </w:r>
            <w:r>
              <w:rPr>
                <w:rFonts w:hint="eastAsia" w:ascii="Times New Roman" w:hAnsi="Times New Roman" w:eastAsia="宋体" w:cs="宋体"/>
                <w:sz w:val="24"/>
                <w:szCs w:val="24"/>
              </w:rPr>
              <w:t xml:space="preserve">2</w:t>
            </w:r>
            <w:r>
              <w:rPr>
                <w:rFonts w:hint="eastAsia" w:ascii="宋体" w:hAnsi="宋体" w:eastAsia="宋体" w:cs="Times New Roman"/>
                <w:color w:val="000000"/>
                <w:sz w:val="24"/>
                <w:szCs w:val="24"/>
              </w:rPr>
              <w:t xml:space="preserve">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spacing w:line="440" w:lineRule="exact"/>
              <w:rPr>
                <w:rFonts w:ascii="Times New Roman" w:hAnsi="Times New Roman" w:eastAsia="宋体" w:cs="宋体"/>
                <w:sz w:val="24"/>
                <w:szCs w:val="24"/>
              </w:rPr>
            </w:pPr>
            <w:r>
              <w:rPr>
                <w:rFonts w:hint="eastAsia" w:ascii="Times New Roman" w:hAnsi="Times New Roman" w:eastAsia="宋体" w:cs="宋体"/>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宋体"/>
                <w:sz w:val="24"/>
                <w:szCs w:val="24"/>
              </w:rPr>
              <w:t xml:space="preserve">提供的信息化集成实施服务</w:t>
            </w:r>
            <w:r>
              <w:rPr>
                <w:rFonts w:hint="eastAsia" w:ascii="Times New Roman" w:hAnsi="Times New Roman" w:eastAsia="宋体" w:cs="宋体"/>
                <w:sz w:val="24"/>
                <w:szCs w:val="24"/>
              </w:rPr>
              <w:t xml:space="preserve">-</w:t>
            </w:r>
            <w:r>
              <w:rPr>
                <w:rFonts w:hint="eastAsia" w:ascii="Times New Roman" w:hAnsi="Times New Roman" w:eastAsia="宋体" w:cs="宋体"/>
                <w:sz w:val="24"/>
                <w:szCs w:val="24"/>
              </w:rPr>
              <w:t xml:space="preserve">城市服务总入口集成实施服务方案进行评定，方案内容完整规范、针对性及可行性高、切合项目需求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Height w:val="95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宋体"/>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宋体"/>
                <w:sz w:val="24"/>
                <w:szCs w:val="24"/>
              </w:rPr>
              <w:t xml:space="preserve">提供的</w:t>
            </w:r>
            <w:r>
              <w:rPr>
                <w:rFonts w:hint="eastAsia" w:ascii="Times New Roman" w:hAnsi="Times New Roman" w:eastAsia="宋体" w:cs="Times New Roman"/>
                <w:sz w:val="24"/>
                <w:szCs w:val="24"/>
              </w:rPr>
              <w:t xml:space="preserve">软件信息系统运维服务方案</w:t>
            </w:r>
            <w:r>
              <w:rPr>
                <w:rFonts w:hint="eastAsia" w:ascii="Times New Roman" w:hAnsi="Times New Roman" w:eastAsia="宋体" w:cs="宋体"/>
                <w:sz w:val="24"/>
                <w:szCs w:val="24"/>
              </w:rPr>
              <w:t xml:space="preserve">进行评定，方案内容完整规范、针对性及可行性高、切合项目需</w:t>
            </w:r>
            <w:r>
              <w:rPr>
                <w:rFonts w:hint="eastAsia" w:ascii="Times New Roman" w:hAnsi="Times New Roman" w:eastAsia="宋体" w:cs="宋体"/>
                <w:sz w:val="24"/>
                <w:szCs w:val="24"/>
              </w:rPr>
              <w:t xml:space="preserve">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bCs/>
                <w:sz w:val="24"/>
                <w:szCs w:val="24"/>
              </w:rPr>
            </w:pPr>
            <w:r/>
            <w:bookmarkStart w:id="424" w:name="_Hlk191652198"/>
            <w:r>
              <w:rPr>
                <w:rFonts w:hint="eastAsia" w:ascii="Times New Roman" w:hAnsi="Times New Roman" w:eastAsia="宋体" w:cs="Times New Roman"/>
                <w:sz w:val="24"/>
                <w:szCs w:val="24"/>
              </w:rPr>
              <w:t xml:space="preserve">服务方案</w:t>
            </w:r>
            <w:bookmarkEnd w:id="424"/>
            <w:r>
              <w:rPr>
                <w:rFonts w:hint="eastAsia" w:ascii="Times New Roman" w:hAnsi="Times New Roman"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bookmarkStart w:id="425" w:name="_Hlk191654845"/>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bookmarkEnd w:id="425"/>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rPr>
                <w:rFonts w:ascii="宋体" w:hAnsi="宋体" w:eastAsia="宋体" w:cs="Times New Roman"/>
                <w:color w:val="000000"/>
                <w:sz w:val="24"/>
                <w:szCs w:val="24"/>
              </w:rPr>
              <w:t xml:space="preserve">根据投标人提供的</w:t>
            </w:r>
            <w:r>
              <w:rPr>
                <w:rFonts w:hint="eastAsia" w:ascii="宋体" w:hAnsi="宋体" w:eastAsia="宋体" w:cs="Times New Roman"/>
                <w:color w:val="000000"/>
                <w:sz w:val="24"/>
                <w:szCs w:val="24"/>
              </w:rPr>
              <w:t xml:space="preserve">硬件设备或系统运维服务方案</w:t>
            </w:r>
            <w:r>
              <w:rPr>
                <w:rFonts w:ascii="宋体" w:hAnsi="宋体" w:eastAsia="宋体" w:cs="Times New Roman"/>
                <w:color w:val="000000"/>
                <w:sz w:val="24"/>
                <w:szCs w:val="24"/>
              </w:rPr>
              <w:t xml:space="preserve">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bookmarkStart w:id="426" w:name="_Hlk191651715"/>
            <w:r>
              <w:rPr>
                <w:rFonts w:ascii="宋体" w:hAnsi="宋体" w:eastAsia="宋体" w:cs="Times New Roman"/>
                <w:color w:val="000000"/>
                <w:sz w:val="24"/>
                <w:szCs w:val="24"/>
              </w:rPr>
              <w:t xml:space="preserve">根据投标人提供的</w:t>
            </w:r>
            <w:r>
              <w:rPr>
                <w:rFonts w:hint="eastAsia" w:ascii="宋体" w:hAnsi="宋体" w:eastAsia="宋体" w:cs="Times New Roman"/>
                <w:color w:val="000000"/>
                <w:sz w:val="24"/>
                <w:szCs w:val="24"/>
              </w:rPr>
              <w:t xml:space="preserve">信息安全服务</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bookmarkEnd w:id="426"/>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rPr>
                <w:rFonts w:ascii="宋体" w:hAnsi="宋体" w:eastAsia="宋体" w:cs="Times New Roman"/>
                <w:color w:val="000000"/>
                <w:sz w:val="24"/>
                <w:szCs w:val="24"/>
              </w:rPr>
              <w:t xml:space="preserve">根据投标人提供</w:t>
            </w:r>
            <w:r>
              <w:rPr>
                <w:rFonts w:ascii="宋体" w:hAnsi="宋体" w:eastAsia="宋体" w:cs="Times New Roman"/>
                <w:color w:val="000000"/>
                <w:sz w:val="24"/>
                <w:szCs w:val="24"/>
              </w:rPr>
              <w:t xml:space="preserve">的</w:t>
            </w:r>
            <w:r>
              <w:rPr>
                <w:rFonts w:hint="eastAsia" w:ascii="宋体" w:hAnsi="宋体" w:eastAsia="宋体" w:cs="宋体"/>
                <w:bCs/>
                <w:sz w:val="24"/>
                <w:szCs w:val="24"/>
              </w:rPr>
              <w:t xml:space="preserve">软件信息系统运维服务</w:t>
            </w:r>
            <w:r>
              <w:rPr>
                <w:rFonts w:hint="eastAsia" w:ascii="宋体" w:hAnsi="宋体" w:eastAsia="宋体" w:cs="宋体"/>
                <w:bCs/>
                <w:color w:val="000000"/>
                <w:sz w:val="24"/>
                <w:szCs w:val="24"/>
                <w:shd w:val="clear" w:color="auto" w:fill="ffffff"/>
              </w:rPr>
              <w:t xml:space="preserve">-</w:t>
            </w:r>
            <w:r>
              <w:rPr>
                <w:rFonts w:hint="eastAsia" w:ascii="宋体" w:hAnsi="宋体" w:eastAsia="宋体" w:cs="Times New Roman"/>
                <w:color w:val="000000"/>
                <w:sz w:val="24"/>
                <w:szCs w:val="24"/>
              </w:rPr>
              <w:t xml:space="preserve">大数据基础平台（数据工作专班驻场</w:t>
            </w:r>
            <w:r>
              <w:rPr>
                <w:rFonts w:hint="eastAsia" w:ascii="宋体" w:hAnsi="宋体" w:eastAsia="宋体" w:cs="Times New Roman"/>
                <w:color w:val="000000"/>
                <w:sz w:val="24"/>
                <w:szCs w:val="24"/>
              </w:rPr>
              <w:t xml:space="preserve">）运维</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rPr>
                <w:rFonts w:ascii="宋体" w:hAnsi="宋体" w:eastAsia="宋体" w:cs="Times New Roman"/>
                <w:color w:val="000000"/>
                <w:sz w:val="24"/>
                <w:szCs w:val="24"/>
              </w:rPr>
              <w:t xml:space="preserve">根据投标人提供</w:t>
            </w:r>
            <w:r>
              <w:rPr>
                <w:rFonts w:ascii="宋体" w:hAnsi="宋体" w:eastAsia="宋体" w:cs="Times New Roman"/>
                <w:color w:val="000000"/>
                <w:sz w:val="24"/>
                <w:szCs w:val="24"/>
              </w:rPr>
              <w:t xml:space="preserve">的</w:t>
            </w:r>
            <w:r>
              <w:rPr>
                <w:rFonts w:hint="eastAsia" w:ascii="宋体" w:hAnsi="宋体" w:eastAsia="宋体" w:cs="宋体"/>
                <w:bCs/>
                <w:sz w:val="24"/>
                <w:szCs w:val="24"/>
              </w:rPr>
              <w:t xml:space="preserve">软件信息系统运维服务</w:t>
            </w:r>
            <w:r>
              <w:rPr>
                <w:rFonts w:hint="eastAsia" w:ascii="宋体" w:hAnsi="宋体" w:eastAsia="宋体" w:cs="宋体"/>
                <w:bCs/>
                <w:color w:val="000000"/>
                <w:sz w:val="24"/>
                <w:szCs w:val="24"/>
                <w:shd w:val="clear" w:color="auto" w:fill="ffffff"/>
              </w:rPr>
              <w:t xml:space="preserve">-</w:t>
            </w:r>
            <w:r>
              <w:rPr>
                <w:rFonts w:hint="eastAsia" w:ascii="宋体" w:hAnsi="宋体" w:eastAsia="宋体" w:cs="Times New Roman"/>
                <w:color w:val="000000"/>
                <w:sz w:val="24"/>
                <w:szCs w:val="24"/>
              </w:rPr>
              <w:t xml:space="preserve">大数据基础平台（大数据基础平台三期升级）</w:t>
            </w:r>
            <w:r>
              <w:rPr>
                <w:rFonts w:hint="eastAsia" w:ascii="宋体" w:hAnsi="宋体" w:eastAsia="宋体" w:cs="Times New Roman"/>
                <w:color w:val="000000"/>
                <w:sz w:val="24"/>
                <w:szCs w:val="24"/>
              </w:rPr>
              <w:t xml:space="preserve">运维</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bookmarkStart w:id="427" w:name="_Hlk191652271"/>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bookmarkEnd w:id="427"/>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根据投标人提</w:t>
            </w:r>
            <w:r>
              <w:rPr>
                <w:rFonts w:ascii="宋体" w:hAnsi="宋体" w:eastAsia="宋体" w:cs="Times New Roman"/>
                <w:color w:val="000000"/>
                <w:sz w:val="24"/>
                <w:szCs w:val="24"/>
              </w:rPr>
              <w:t xml:space="preserve">供的</w:t>
            </w:r>
            <w:r>
              <w:rPr>
                <w:rFonts w:hint="eastAsia" w:ascii="宋体" w:hAnsi="宋体" w:eastAsia="宋体" w:cs="宋体"/>
                <w:bCs/>
                <w:sz w:val="24"/>
                <w:szCs w:val="24"/>
              </w:rPr>
              <w:t xml:space="preserve">云网链路等服务-</w:t>
            </w:r>
            <w:r>
              <w:rPr>
                <w:rFonts w:hint="eastAsia" w:ascii="宋体" w:hAnsi="宋体" w:eastAsia="宋体" w:cs="Times New Roman"/>
                <w:color w:val="000000"/>
                <w:sz w:val="24"/>
                <w:szCs w:val="24"/>
              </w:rPr>
              <w:t xml:space="preserve">云资源服务-政务云服务</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w:t>
            </w:r>
            <w:r>
              <w:rPr>
                <w:rFonts w:hint="eastAsia" w:ascii="Times New Roman" w:hAnsi="Times New Roman" w:eastAsia="宋体" w:cs="宋体"/>
                <w:sz w:val="24"/>
                <w:szCs w:val="24"/>
              </w:rPr>
              <w:t xml:space="preserve">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根据投标人</w:t>
            </w:r>
            <w:r>
              <w:rPr>
                <w:rFonts w:ascii="宋体" w:hAnsi="宋体" w:eastAsia="宋体" w:cs="Times New Roman"/>
                <w:color w:val="000000"/>
                <w:sz w:val="24"/>
                <w:szCs w:val="24"/>
              </w:rPr>
              <w:t xml:space="preserve">提供的</w:t>
            </w:r>
            <w:r>
              <w:rPr>
                <w:rFonts w:hint="eastAsia" w:ascii="宋体" w:hAnsi="宋体" w:eastAsia="宋体" w:cs="宋体"/>
                <w:bCs/>
                <w:sz w:val="24"/>
                <w:szCs w:val="24"/>
              </w:rPr>
              <w:t xml:space="preserve">云网链路等服务-</w:t>
            </w:r>
            <w:r>
              <w:rPr>
                <w:rFonts w:hint="eastAsia" w:ascii="宋体" w:hAnsi="宋体" w:eastAsia="宋体" w:cs="Times New Roman"/>
                <w:color w:val="000000"/>
                <w:sz w:val="24"/>
                <w:szCs w:val="24"/>
              </w:rPr>
              <w:t xml:space="preserve">机柜租赁服务</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的得4分；方案内容满足</w:t>
            </w:r>
            <w:r>
              <w:rPr>
                <w:rFonts w:hint="eastAsia" w:ascii="宋体" w:hAnsi="宋体" w:eastAsia="宋体" w:cs="Times New Roman"/>
                <w:color w:val="000000"/>
                <w:sz w:val="24"/>
                <w:szCs w:val="24"/>
              </w:rPr>
              <w:t xml:space="preserve">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根据投标人提供</w:t>
            </w:r>
            <w:r>
              <w:rPr>
                <w:rFonts w:ascii="宋体" w:hAnsi="宋体" w:eastAsia="宋体" w:cs="Times New Roman"/>
                <w:color w:val="000000"/>
                <w:sz w:val="24"/>
                <w:szCs w:val="24"/>
              </w:rPr>
              <w:t xml:space="preserve">的</w:t>
            </w:r>
            <w:r>
              <w:rPr>
                <w:rFonts w:hint="eastAsia" w:ascii="宋体" w:hAnsi="宋体" w:eastAsia="宋体" w:cs="宋体"/>
                <w:bCs/>
                <w:sz w:val="24"/>
                <w:szCs w:val="24"/>
              </w:rPr>
              <w:t xml:space="preserve">云网链路等服务-链路服务</w:t>
            </w:r>
            <w:r>
              <w:rPr>
                <w:rFonts w:hint="eastAsia" w:ascii="宋体" w:hAnsi="宋体" w:eastAsia="宋体" w:cs="宋体"/>
                <w:bCs/>
                <w:sz w:val="24"/>
                <w:szCs w:val="24"/>
              </w:rPr>
              <w:t xml:space="preserve">的</w:t>
            </w:r>
            <w:r>
              <w:rPr>
                <w:rFonts w:hint="eastAsia" w:ascii="宋体" w:hAnsi="宋体" w:eastAsia="宋体" w:cs="Times New Roman"/>
                <w:color w:val="000000"/>
                <w:sz w:val="24"/>
                <w:szCs w:val="24"/>
              </w:rPr>
              <w:t xml:space="preserve">政务网拓扑设计方案进行评定,</w:t>
            </w:r>
            <w:r>
              <w:rPr>
                <w:rFonts w:hint="eastAsia" w:ascii="Times New Roman" w:hAnsi="Times New Roman" w:eastAsia="宋体" w:cs="宋体"/>
                <w:sz w:val="24"/>
                <w:szCs w:val="24"/>
              </w:rPr>
              <w:t xml:space="preserve">方案内容完整规</w:t>
            </w:r>
            <w:r>
              <w:rPr>
                <w:rFonts w:hint="eastAsia" w:ascii="Times New Roman" w:hAnsi="Times New Roman" w:eastAsia="宋体" w:cs="宋体"/>
                <w:sz w:val="24"/>
                <w:szCs w:val="24"/>
              </w:rPr>
              <w:t xml:space="preserve">范、针对性及可行性高、切合项目需求</w:t>
            </w:r>
            <w:r>
              <w:rPr>
                <w:rFonts w:hint="eastAsia" w:ascii="宋体" w:hAnsi="宋体" w:eastAsia="宋体" w:cs="Times New Roman"/>
                <w:color w:val="000000"/>
                <w:sz w:val="24"/>
                <w:szCs w:val="24"/>
              </w:rPr>
              <w:t xml:space="preserve">的得2分；方案内容满足项目</w:t>
            </w:r>
            <w:r>
              <w:rPr>
                <w:rFonts w:hint="eastAsia" w:ascii="宋体" w:hAnsi="宋体" w:eastAsia="宋体" w:cs="Times New Roman"/>
                <w:color w:val="000000"/>
                <w:sz w:val="24"/>
                <w:szCs w:val="24"/>
              </w:rPr>
              <w:t xml:space="preserve">需求的得1分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p>
            <w:pPr>
              <w:spacing w:line="440" w:lineRule="exact"/>
              <w:rPr>
                <w:rFonts w:ascii="宋体" w:hAnsi="宋体" w:eastAsia="宋体" w:cs="Times New Roman"/>
                <w:color w:val="000000"/>
                <w:sz w:val="24"/>
                <w:szCs w:val="24"/>
                <w:highlight w:val="green"/>
              </w:rPr>
            </w:pPr>
            <w:r>
              <w:rPr>
                <w:rFonts w:ascii="宋体" w:hAnsi="宋体" w:eastAsia="宋体" w:cs="Times New Roman"/>
                <w:color w:val="000000"/>
                <w:sz w:val="24"/>
                <w:szCs w:val="24"/>
              </w:rPr>
              <w:t xml:space="preserve">2.</w:t>
            </w:r>
            <w:r>
              <w:rPr>
                <w:rFonts w:ascii="宋体" w:hAnsi="宋体" w:eastAsia="宋体" w:cs="Times New Roman"/>
                <w:color w:val="000000"/>
                <w:sz w:val="24"/>
                <w:szCs w:val="24"/>
              </w:rPr>
              <w:t xml:space="preserve">根据投标人提</w:t>
            </w:r>
            <w:r>
              <w:rPr>
                <w:rFonts w:ascii="宋体" w:hAnsi="宋体" w:eastAsia="宋体" w:cs="Times New Roman"/>
                <w:color w:val="000000"/>
                <w:sz w:val="24"/>
                <w:szCs w:val="24"/>
              </w:rPr>
              <w:t xml:space="preserve">供的</w:t>
            </w:r>
            <w:r>
              <w:rPr>
                <w:rFonts w:hint="eastAsia" w:ascii="宋体" w:hAnsi="宋体" w:eastAsia="宋体" w:cs="宋体"/>
                <w:bCs/>
                <w:sz w:val="24"/>
                <w:szCs w:val="24"/>
              </w:rPr>
              <w:t xml:space="preserve">云网链路等服务-链路服务</w:t>
            </w:r>
            <w:r>
              <w:rPr>
                <w:rFonts w:hint="eastAsia" w:ascii="宋体" w:hAnsi="宋体" w:eastAsia="宋体" w:cs="宋体"/>
                <w:bCs/>
                <w:sz w:val="24"/>
                <w:szCs w:val="24"/>
              </w:rPr>
              <w:t xml:space="preserve">的</w:t>
            </w:r>
            <w:r>
              <w:rPr>
                <w:rFonts w:hint="eastAsia" w:ascii="宋体" w:hAnsi="宋体" w:eastAsia="宋体" w:cs="Times New Roman"/>
                <w:color w:val="000000"/>
                <w:sz w:val="24"/>
                <w:szCs w:val="24"/>
              </w:rPr>
              <w:t xml:space="preserve">故障应急预案进行评定,</w:t>
            </w:r>
            <w:r>
              <w:rPr>
                <w:rFonts w:hint="eastAsia" w:ascii="Times New Roman" w:hAnsi="Times New Roman" w:eastAsia="宋体" w:cs="宋体"/>
                <w:sz w:val="24"/>
                <w:szCs w:val="24"/>
              </w:rPr>
              <w:t xml:space="preserve">方案内容完整规范、针对性及可行性高、切合项目需求</w:t>
            </w:r>
            <w:r>
              <w:rPr>
                <w:rFonts w:hint="eastAsia" w:ascii="宋体" w:hAnsi="宋体" w:eastAsia="宋体" w:cs="Times New Roman"/>
                <w:color w:val="000000"/>
                <w:sz w:val="24"/>
                <w:szCs w:val="24"/>
              </w:rPr>
              <w:t xml:space="preserve">的得2分；方案内容</w:t>
            </w:r>
            <w:r>
              <w:rPr>
                <w:rFonts w:hint="eastAsia" w:ascii="宋体" w:hAnsi="宋体" w:eastAsia="宋体" w:cs="Times New Roman"/>
                <w:color w:val="000000"/>
                <w:sz w:val="24"/>
                <w:szCs w:val="24"/>
              </w:rPr>
              <w:t xml:space="preserve">满足项目需求的得1分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rPr>
                <w:rFonts w:ascii="宋体" w:hAnsi="宋体" w:eastAsia="宋体" w:cs="Times New Roman"/>
                <w:color w:val="000000"/>
                <w:sz w:val="24"/>
                <w:szCs w:val="24"/>
              </w:rPr>
              <w:t xml:space="preserve">根据投标人提供</w:t>
            </w:r>
            <w:r>
              <w:rPr>
                <w:rFonts w:ascii="宋体" w:hAnsi="宋体" w:eastAsia="宋体" w:cs="Times New Roman"/>
                <w:color w:val="000000"/>
                <w:sz w:val="24"/>
                <w:szCs w:val="24"/>
              </w:rPr>
              <w:t xml:space="preserve">的</w:t>
            </w:r>
            <w:r>
              <w:rPr>
                <w:rFonts w:hint="eastAsia" w:ascii="宋体" w:hAnsi="宋体" w:eastAsia="宋体" w:cs="宋体"/>
                <w:bCs/>
                <w:color w:val="000000"/>
                <w:sz w:val="24"/>
                <w:szCs w:val="24"/>
                <w:shd w:val="clear" w:color="auto" w:fill="ffffff"/>
              </w:rPr>
              <w:t xml:space="preserve">其他运行维护服务-</w:t>
            </w:r>
            <w:r>
              <w:rPr>
                <w:rFonts w:hint="eastAsia" w:ascii="宋体" w:hAnsi="宋体" w:eastAsia="宋体" w:cs="Times New Roman"/>
                <w:color w:val="000000"/>
                <w:sz w:val="24"/>
                <w:szCs w:val="24"/>
              </w:rPr>
              <w:t xml:space="preserve">整体支撑服务（数字政府支撑服务）</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w:t>
            </w:r>
            <w:r>
              <w:rPr>
                <w:rFonts w:hint="eastAsia" w:ascii="Times New Roman" w:hAnsi="Times New Roman" w:eastAsia="宋体" w:cs="宋体"/>
                <w:sz w:val="24"/>
                <w:szCs w:val="24"/>
              </w:rPr>
              <w:t xml:space="preserve">完整规范、针对性及可行性高、切合项目需求</w:t>
            </w:r>
            <w:r>
              <w:rPr>
                <w:rFonts w:hint="eastAsia" w:ascii="宋体" w:hAnsi="宋体" w:eastAsia="宋体" w:cs="Times New Roman"/>
                <w:color w:val="000000"/>
                <w:sz w:val="24"/>
                <w:szCs w:val="24"/>
              </w:rPr>
              <w:t xml:space="preserve">的得4分；方案内容满足项目需求的得2分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r>
        <w:trPr>
          <w:jc w:val="center"/>
          <w:trHeight w:val="126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sz w:val="24"/>
                <w:szCs w:val="24"/>
              </w:rPr>
              <w:t xml:space="preserve">服务方案</w:t>
            </w:r>
            <w:r>
              <w:rPr>
                <w:rFonts w:hint="eastAsia" w:ascii="Times New Roman" w:hAnsi="Times New Roman" w:eastAsia="宋体" w:cs="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szCs w:val="20"/>
              </w:rPr>
            </w:pPr>
            <w:r>
              <w:rPr>
                <w:rFonts w:ascii="宋体" w:hAnsi="宋体" w:eastAsia="宋体" w:cs="Times New Roman"/>
                <w:color w:val="000000"/>
                <w:sz w:val="24"/>
                <w:szCs w:val="24"/>
              </w:rPr>
              <w:t xml:space="preserve">根据投标人提供</w:t>
            </w:r>
            <w:r>
              <w:rPr>
                <w:rFonts w:ascii="宋体" w:hAnsi="宋体" w:eastAsia="宋体" w:cs="Times New Roman"/>
                <w:color w:val="000000"/>
                <w:sz w:val="24"/>
                <w:szCs w:val="24"/>
              </w:rPr>
              <w:t xml:space="preserve">的</w:t>
            </w:r>
            <w:r>
              <w:rPr>
                <w:rFonts w:hint="eastAsia" w:ascii="宋体" w:hAnsi="宋体" w:eastAsia="宋体" w:cs="宋体"/>
                <w:bCs/>
                <w:color w:val="000000"/>
                <w:sz w:val="24"/>
                <w:szCs w:val="24"/>
                <w:shd w:val="clear" w:color="auto" w:fill="ffffff"/>
              </w:rPr>
              <w:t xml:space="preserve">其他运行维护服务-</w:t>
            </w:r>
            <w:r>
              <w:rPr>
                <w:rFonts w:hint="eastAsia" w:ascii="宋体" w:hAnsi="宋体" w:eastAsia="宋体" w:cs="Times New Roman"/>
                <w:color w:val="000000"/>
                <w:sz w:val="24"/>
                <w:szCs w:val="24"/>
              </w:rPr>
              <w:t xml:space="preserve">整体支撑服务（虞政通服务项目）</w:t>
            </w:r>
            <w:r>
              <w:rPr>
                <w:rFonts w:ascii="宋体" w:hAnsi="宋体" w:eastAsia="宋体" w:cs="Times New Roman"/>
                <w:color w:val="000000"/>
                <w:sz w:val="24"/>
                <w:szCs w:val="24"/>
              </w:rPr>
              <w:t xml:space="preserve">方案进行评定，</w:t>
            </w:r>
            <w:r>
              <w:rPr>
                <w:rFonts w:hint="eastAsia" w:ascii="Times New Roman" w:hAnsi="Times New Roman" w:eastAsia="宋体" w:cs="宋体"/>
                <w:sz w:val="24"/>
                <w:szCs w:val="24"/>
              </w:rPr>
              <w:t xml:space="preserve">方案内容完整规范、针对性及可行性高、切合项</w:t>
            </w:r>
            <w:r>
              <w:rPr>
                <w:rFonts w:hint="eastAsia" w:ascii="Times New Roman" w:hAnsi="Times New Roman" w:eastAsia="宋体" w:cs="宋体"/>
                <w:sz w:val="24"/>
                <w:szCs w:val="24"/>
              </w:rPr>
              <w:t xml:space="preserve">目需求</w:t>
            </w:r>
            <w:r>
              <w:rPr>
                <w:rFonts w:hint="eastAsia" w:ascii="宋体" w:hAnsi="宋体" w:eastAsia="宋体" w:cs="Times New Roman"/>
                <w:color w:val="000000"/>
                <w:sz w:val="24"/>
                <w:szCs w:val="24"/>
              </w:rPr>
              <w:t xml:space="preserve">的得</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分；方案内容满足项目需求的得</w:t>
            </w:r>
            <w:r>
              <w:rPr>
                <w:rFonts w:ascii="Times New Roman" w:hAnsi="Times New Roman" w:eastAsia="宋体" w:cs="Times New Roman"/>
                <w:color w:val="000000"/>
                <w:sz w:val="24"/>
                <w:szCs w:val="24"/>
              </w:rPr>
              <w:t xml:space="preserve">2</w:t>
            </w:r>
            <w:r>
              <w:rPr>
                <w:rFonts w:hint="eastAsia" w:ascii="宋体" w:hAnsi="宋体" w:eastAsia="宋体" w:cs="Times New Roman"/>
                <w:color w:val="000000"/>
                <w:sz w:val="24"/>
                <w:szCs w:val="24"/>
              </w:rPr>
              <w:t xml:space="preserve">分</w:t>
            </w:r>
            <w:r>
              <w:rPr>
                <w:rFonts w:ascii="宋体" w:hAnsi="宋体" w:eastAsia="宋体" w:cs="Times New Roman"/>
                <w:color w:val="000000"/>
                <w:sz w:val="24"/>
                <w:szCs w:val="24"/>
              </w:rPr>
              <w:t xml:space="preserve">；</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有</w:t>
            </w:r>
            <w:r>
              <w:rPr>
                <w:rFonts w:ascii="宋体" w:hAnsi="宋体" w:eastAsia="宋体" w:cs="Times New Roman"/>
                <w:b/>
                <w:bCs/>
                <w:color w:val="000000"/>
                <w:sz w:val="24"/>
                <w:szCs w:val="24"/>
              </w:rPr>
              <w:t xml:space="preserve">实质性内容或未作说明的不得分。</w:t>
            </w:r>
            <w:r/>
          </w:p>
        </w:tc>
      </w:tr>
    </w:tbl>
    <w:p>
      <w:pPr>
        <w:ind w:firstLine="480"/>
        <w:spacing w:line="440" w:lineRule="exact"/>
        <w:rPr>
          <w:rFonts w:ascii="Times New Roman" w:hAnsi="Times New Roman" w:eastAsia="宋体" w:cs="Times New Roman"/>
          <w:b/>
          <w:bCs/>
          <w:sz w:val="24"/>
          <w:szCs w:val="20"/>
        </w:rPr>
        <w:outlineLvl w:val="2"/>
      </w:pPr>
      <w:r/>
      <w:bookmarkStart w:id="428" w:name="_Toc192239134"/>
      <w:r>
        <w:rPr>
          <w:rFonts w:hint="eastAsia" w:ascii="Times New Roman" w:hAnsi="Times New Roman" w:eastAsia="宋体" w:cs="Times New Roman"/>
          <w:b/>
          <w:bCs/>
          <w:sz w:val="24"/>
          <w:szCs w:val="20"/>
        </w:rPr>
        <w:t xml:space="preserve">3.</w:t>
      </w:r>
      <w:r>
        <w:rPr>
          <w:rFonts w:hint="eastAsia" w:ascii="Times New Roman" w:hAnsi="Times New Roman" w:eastAsia="宋体" w:cs="Times New Roman"/>
          <w:b/>
          <w:bCs/>
          <w:sz w:val="24"/>
          <w:szCs w:val="20"/>
        </w:rPr>
        <w:t xml:space="preserve">人员与</w:t>
      </w:r>
      <w:r>
        <w:rPr>
          <w:rFonts w:ascii="Times New Roman" w:hAnsi="Times New Roman" w:eastAsia="宋体" w:cs="Times New Roman"/>
          <w:b/>
          <w:bCs/>
          <w:sz w:val="24"/>
          <w:szCs w:val="20"/>
        </w:rPr>
        <w:t xml:space="preserve">业绩等</w:t>
      </w:r>
      <w:r>
        <w:rPr>
          <w:rFonts w:hint="eastAsia" w:ascii="Times New Roman" w:hAnsi="Times New Roman" w:eastAsia="宋体" w:cs="Times New Roman"/>
          <w:b/>
          <w:bCs/>
          <w:sz w:val="24"/>
          <w:szCs w:val="20"/>
        </w:rPr>
        <w:t xml:space="preserve">30</w:t>
      </w:r>
      <w:r>
        <w:rPr>
          <w:rFonts w:hint="eastAsia" w:ascii="Times New Roman" w:hAnsi="Times New Roman" w:eastAsia="宋体" w:cs="Times New Roman"/>
          <w:b/>
          <w:bCs/>
          <w:sz w:val="24"/>
          <w:szCs w:val="20"/>
        </w:rPr>
        <w:t xml:space="preserve">分</w:t>
      </w:r>
      <w:bookmarkEnd w:id="42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6"/>
        <w:gridCol w:w="1774"/>
        <w:gridCol w:w="870"/>
        <w:gridCol w:w="6060"/>
      </w:tblGrid>
      <w:tr>
        <w:trPr>
          <w:jc w:val="cente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bookmarkStart w:id="429" w:name="_Toc315875326"/>
            <w:r/>
            <w:bookmarkStart w:id="430" w:name="_Toc315868063"/>
            <w:r/>
            <w:bookmarkStart w:id="431" w:name="_Toc158691777"/>
            <w:r/>
            <w:bookmarkEnd w:id="339"/>
            <w:r/>
            <w:bookmarkEnd w:id="340"/>
            <w:r/>
            <w:bookmarkEnd w:id="341"/>
            <w:r>
              <w:rPr>
                <w:rFonts w:ascii="Times New Roman" w:hAnsi="Times New Roman" w:eastAsia="宋体" w:cs="Times New Roman"/>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489"/>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商务</w:t>
            </w:r>
            <w:r>
              <w:rPr>
                <w:rFonts w:hint="eastAsia" w:ascii="Times New Roman" w:hAnsi="Times New Roman" w:eastAsia="宋体" w:cs="Times New Roman"/>
                <w:bCs/>
                <w:sz w:val="24"/>
                <w:szCs w:val="24"/>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u w:val="single"/>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全部</w:t>
            </w:r>
            <w:r>
              <w:rPr>
                <w:rFonts w:ascii="Times New Roman" w:hAnsi="Times New Roman" w:eastAsia="宋体" w:cs="Times New Roman"/>
                <w:bCs/>
                <w:sz w:val="24"/>
                <w:szCs w:val="24"/>
              </w:rPr>
              <w:t xml:space="preserve">满足</w:t>
            </w:r>
            <w:r>
              <w:rPr>
                <w:rFonts w:ascii="Times New Roman" w:hAnsi="Times New Roman" w:eastAsia="宋体" w:cs="Times New Roman"/>
                <w:bCs/>
                <w:sz w:val="24"/>
                <w:szCs w:val="24"/>
              </w:rPr>
              <w:t xml:space="preserve">招标文件中</w:t>
            </w:r>
            <w:r>
              <w:rPr>
                <w:rFonts w:hint="eastAsia" w:ascii="Times New Roman" w:hAnsi="Times New Roman" w:eastAsia="宋体" w:cs="Times New Roman"/>
                <w:bCs/>
                <w:sz w:val="24"/>
                <w:szCs w:val="24"/>
              </w:rPr>
              <w:t xml:space="preserve">合同文本</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sz w:val="24"/>
                <w:szCs w:val="24"/>
              </w:rPr>
              <w:t xml:space="preserve">非实质性内容</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的得</w:t>
            </w: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分；</w:t>
            </w:r>
            <w:r>
              <w:rPr>
                <w:rFonts w:hint="eastAsia" w:ascii="Times New Roman" w:hAnsi="Times New Roman" w:eastAsia="宋体" w:cs="Times New Roman"/>
                <w:bCs/>
                <w:sz w:val="24"/>
                <w:szCs w:val="24"/>
              </w:rPr>
              <w:t xml:space="preserve">每</w:t>
            </w:r>
            <w:r>
              <w:rPr>
                <w:rFonts w:ascii="Times New Roman" w:hAnsi="Times New Roman" w:eastAsia="宋体" w:cs="Times New Roman"/>
                <w:bCs/>
                <w:sz w:val="24"/>
                <w:szCs w:val="24"/>
              </w:rPr>
              <w:t xml:space="preserve">有一条</w:t>
            </w:r>
            <w:r>
              <w:rPr>
                <w:rFonts w:hint="eastAsia" w:ascii="Times New Roman" w:hAnsi="Times New Roman" w:eastAsia="宋体" w:cs="Times New Roman"/>
                <w:bCs/>
                <w:sz w:val="24"/>
                <w:szCs w:val="24"/>
              </w:rPr>
              <w:t xml:space="preserve">负</w:t>
            </w:r>
            <w:r>
              <w:rPr>
                <w:rFonts w:ascii="Times New Roman" w:hAnsi="Times New Roman" w:eastAsia="宋体" w:cs="Times New Roman"/>
                <w:bCs/>
                <w:sz w:val="24"/>
                <w:szCs w:val="24"/>
              </w:rPr>
              <w:t xml:space="preserve">偏离</w:t>
            </w:r>
            <w:r>
              <w:rPr>
                <w:rFonts w:hint="eastAsia" w:ascii="Times New Roman" w:hAnsi="Times New Roman" w:eastAsia="宋体" w:cs="Times New Roman"/>
                <w:bCs/>
                <w:sz w:val="24"/>
                <w:szCs w:val="24"/>
              </w:rPr>
              <w:t xml:space="preserve">的</w:t>
            </w:r>
            <w:r>
              <w:rPr>
                <w:rFonts w:ascii="Times New Roman" w:hAnsi="Times New Roman" w:eastAsia="宋体" w:cs="Times New Roman"/>
                <w:bCs/>
                <w:sz w:val="24"/>
                <w:szCs w:val="24"/>
              </w:rPr>
              <w:t xml:space="preserve">，扣</w:t>
            </w:r>
            <w:r>
              <w:rPr>
                <w:rFonts w:hint="eastAsia" w:ascii="Times New Roman" w:hAnsi="Times New Roman" w:eastAsia="宋体" w:cs="Times New Roman"/>
                <w:bCs/>
                <w:sz w:val="24"/>
                <w:szCs w:val="24"/>
              </w:rPr>
              <w:t xml:space="preserve">0.5</w:t>
            </w:r>
            <w:r>
              <w:rPr>
                <w:rFonts w:ascii="Times New Roman" w:hAnsi="Times New Roman" w:eastAsia="宋体" w:cs="Times New Roman"/>
                <w:bCs/>
                <w:sz w:val="24"/>
                <w:szCs w:val="24"/>
              </w:rPr>
              <w:t xml:space="preserve">分</w:t>
            </w:r>
            <w:r>
              <w:rPr>
                <w:rFonts w:ascii="Times New Roman" w:hAnsi="Times New Roman" w:eastAsia="宋体" w:cs="Times New Roman"/>
                <w:sz w:val="24"/>
                <w:szCs w:val="24"/>
              </w:rPr>
              <w:t xml:space="preserve">。</w:t>
            </w:r>
            <w:r/>
          </w:p>
        </w:tc>
      </w:tr>
      <w:tr>
        <w:trPr>
          <w:jc w:val="center"/>
        </w:trPr>
        <w:tc>
          <w:tcPr>
            <w:tcBorders>
              <w:top w:val="single" w:color="000000" w:sz="4" w:space="0"/>
              <w:left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000000" w:sz="4" w:space="0"/>
              <w:left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bookmarkStart w:id="432" w:name="_Hlk191715617"/>
            <w:r>
              <w:rPr>
                <w:rFonts w:ascii="Times New Roman" w:hAnsi="Times New Roman" w:eastAsia="宋体" w:cs="Times New Roman"/>
                <w:color w:val="000000"/>
                <w:sz w:val="24"/>
                <w:szCs w:val="24"/>
              </w:rPr>
              <w:t xml:space="preserve">人员配置</w:t>
            </w:r>
            <w:bookmarkEnd w:id="432"/>
            <w:r>
              <w:rPr>
                <w:rFonts w:hint="eastAsia" w:ascii="Times New Roman" w:hAnsi="Times New Roman" w:eastAsia="宋体" w:cs="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spacing w:line="440" w:lineRule="exact"/>
              <w:rPr>
                <w:rFonts w:ascii="Times New Roman" w:hAnsi="Times New Roman" w:eastAsia="宋体" w:cs="Times New Roman"/>
                <w:bCs/>
                <w:sz w:val="24"/>
                <w:szCs w:val="24"/>
              </w:rPr>
            </w:pPr>
            <w:r/>
            <w:bookmarkStart w:id="433" w:name="_Hlk191715625"/>
            <w:r>
              <w:rPr>
                <w:rFonts w:ascii="Times New Roman" w:hAnsi="Times New Roman" w:eastAsia="宋体" w:cs="Times New Roman"/>
                <w:bCs/>
                <w:sz w:val="24"/>
                <w:szCs w:val="24"/>
              </w:rPr>
              <w:t xml:space="preserve">投标人拟投入本项目组</w:t>
            </w:r>
            <w:r>
              <w:rPr>
                <w:rFonts w:hint="eastAsia" w:ascii="Times New Roman" w:hAnsi="Times New Roman" w:eastAsia="宋体" w:cs="Times New Roman"/>
                <w:bCs/>
                <w:sz w:val="24"/>
                <w:szCs w:val="24"/>
              </w:rPr>
              <w:t xml:space="preserve">成员进行评定：</w:t>
            </w:r>
            <w:r/>
          </w:p>
          <w:p>
            <w:pPr>
              <w:jc w:val="left"/>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具有</w:t>
            </w:r>
            <w:r>
              <w:rPr>
                <w:rFonts w:ascii="Times New Roman" w:hAnsi="Times New Roman" w:eastAsia="宋体" w:cs="Times New Roman"/>
                <w:bCs/>
                <w:sz w:val="24"/>
                <w:szCs w:val="24"/>
              </w:rPr>
              <w:t xml:space="preserve">信息系统项目管理师证书</w:t>
            </w:r>
            <w:r>
              <w:rPr>
                <w:rFonts w:hint="eastAsia" w:ascii="Times New Roman" w:hAnsi="Times New Roman" w:eastAsia="宋体" w:cs="Times New Roman"/>
                <w:bCs/>
                <w:sz w:val="24"/>
                <w:szCs w:val="24"/>
              </w:rPr>
              <w:t xml:space="preserve">的</w:t>
            </w:r>
            <w:r>
              <w:rPr>
                <w:rFonts w:ascii="Times New Roman" w:hAnsi="Times New Roman" w:eastAsia="宋体" w:cs="Times New Roman"/>
                <w:bCs/>
                <w:sz w:val="24"/>
                <w:szCs w:val="24"/>
              </w:rPr>
              <w:t xml:space="preserve">得</w:t>
            </w:r>
            <w:r>
              <w:rPr>
                <w:rFonts w:hint="eastAsia"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分</w:t>
            </w:r>
            <w:r>
              <w:rPr>
                <w:rFonts w:hint="eastAsia" w:ascii="Times New Roman" w:hAnsi="Times New Roman" w:eastAsia="宋体" w:cs="Times New Roman"/>
                <w:bCs/>
                <w:sz w:val="24"/>
                <w:szCs w:val="24"/>
              </w:rPr>
              <w:t xml:space="preserve">，最高</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分；具有</w:t>
            </w:r>
            <w:r>
              <w:rPr>
                <w:rFonts w:ascii="Times New Roman" w:hAnsi="Times New Roman" w:eastAsia="宋体" w:cs="Times New Roman"/>
                <w:bCs/>
                <w:sz w:val="24"/>
                <w:szCs w:val="24"/>
              </w:rPr>
              <w:t xml:space="preserve">系统集成项目管理工程师证书</w:t>
            </w:r>
            <w:r>
              <w:rPr>
                <w:rFonts w:hint="eastAsia" w:ascii="Times New Roman" w:hAnsi="Times New Roman" w:eastAsia="宋体" w:cs="Times New Roman"/>
                <w:bCs/>
                <w:sz w:val="24"/>
                <w:szCs w:val="24"/>
              </w:rPr>
              <w:t xml:space="preserve">的</w:t>
            </w:r>
            <w:r>
              <w:rPr>
                <w:rFonts w:ascii="Times New Roman" w:hAnsi="Times New Roman" w:eastAsia="宋体" w:cs="Times New Roman"/>
                <w:bCs/>
                <w:sz w:val="24"/>
                <w:szCs w:val="24"/>
              </w:rPr>
              <w:t xml:space="preserve">得</w:t>
            </w:r>
            <w:r>
              <w:rPr>
                <w:rFonts w:hint="eastAsia"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分</w:t>
            </w:r>
            <w:r>
              <w:rPr>
                <w:rFonts w:hint="eastAsia" w:ascii="Times New Roman" w:hAnsi="Times New Roman" w:eastAsia="宋体" w:cs="Times New Roman"/>
                <w:bCs/>
                <w:sz w:val="24"/>
                <w:szCs w:val="24"/>
              </w:rPr>
              <w:t xml:space="preserve">，最高</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分；本</w:t>
            </w:r>
            <w:r>
              <w:rPr>
                <w:rFonts w:ascii="Times New Roman" w:hAnsi="Times New Roman" w:eastAsia="宋体" w:cs="Times New Roman"/>
                <w:bCs/>
                <w:sz w:val="24"/>
                <w:szCs w:val="24"/>
              </w:rPr>
              <w:t xml:space="preserve">小项最高得</w:t>
            </w:r>
            <w:r>
              <w:rPr>
                <w:rFonts w:hint="eastAsia"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w:t>
            </w:r>
            <w:r>
              <w:rPr>
                <w:rFonts w:ascii="Times New Roman" w:hAnsi="Times New Roman" w:eastAsia="宋体" w:cs="Times New Roman"/>
                <w:bCs/>
                <w:sz w:val="24"/>
                <w:szCs w:val="24"/>
              </w:rPr>
              <w:t xml:space="preserve">。</w:t>
            </w:r>
            <w:r/>
          </w:p>
          <w:p>
            <w:pPr>
              <w:spacing w:line="440" w:lineRule="exact"/>
              <w:rPr>
                <w:rFonts w:ascii="Times New Roman" w:hAnsi="Times New Roman" w:eastAsia="宋体" w:cs="Times New Roman"/>
                <w:b/>
                <w:color w:val="000000"/>
                <w:sz w:val="24"/>
                <w:szCs w:val="24"/>
              </w:rPr>
            </w:pPr>
            <w:r>
              <w:rPr>
                <w:rFonts w:ascii="Times New Roman" w:hAnsi="Times New Roman" w:eastAsia="宋体" w:cs="Times New Roman"/>
                <w:b/>
                <w:bCs/>
                <w:color w:val="000000"/>
                <w:sz w:val="24"/>
                <w:szCs w:val="24"/>
              </w:rPr>
              <w:t xml:space="preserve">注：</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color w:val="000000"/>
                <w:sz w:val="24"/>
                <w:szCs w:val="24"/>
              </w:rPr>
              <w:t xml:space="preserve">1</w:t>
            </w:r>
            <w:r>
              <w:rPr>
                <w:rFonts w:hint="eastAsia" w:ascii="Times New Roman" w:hAnsi="Times New Roman" w:eastAsia="宋体" w:cs="Times New Roman"/>
                <w:b/>
                <w:bCs/>
                <w:color w:val="000000"/>
                <w:sz w:val="24"/>
                <w:szCs w:val="24"/>
              </w:rPr>
              <w:t xml:space="preserve">）同一</w:t>
            </w:r>
            <w:r>
              <w:rPr>
                <w:rFonts w:ascii="Times New Roman" w:hAnsi="Times New Roman" w:eastAsia="宋体" w:cs="Times New Roman"/>
                <w:b/>
                <w:bCs/>
                <w:color w:val="000000"/>
                <w:sz w:val="24"/>
                <w:szCs w:val="24"/>
              </w:rPr>
              <w:t xml:space="preserve">人员</w:t>
            </w:r>
            <w:r>
              <w:rPr>
                <w:rFonts w:hint="eastAsia" w:ascii="Times New Roman" w:hAnsi="Times New Roman" w:eastAsia="宋体" w:cs="Times New Roman"/>
                <w:b/>
                <w:bCs/>
                <w:color w:val="000000"/>
                <w:sz w:val="24"/>
                <w:szCs w:val="24"/>
              </w:rPr>
              <w:t xml:space="preserve">具有</w:t>
            </w:r>
            <w:r>
              <w:rPr>
                <w:rFonts w:ascii="Times New Roman" w:hAnsi="Times New Roman" w:eastAsia="宋体" w:cs="Times New Roman"/>
                <w:b/>
                <w:bCs/>
                <w:color w:val="000000"/>
                <w:sz w:val="24"/>
                <w:szCs w:val="24"/>
              </w:rPr>
              <w:t xml:space="preserve">不同</w:t>
            </w:r>
            <w:r>
              <w:rPr>
                <w:rFonts w:hint="eastAsia" w:ascii="Times New Roman" w:hAnsi="Times New Roman" w:eastAsia="宋体" w:cs="Times New Roman"/>
                <w:b/>
                <w:bCs/>
                <w:color w:val="000000"/>
                <w:sz w:val="24"/>
                <w:szCs w:val="24"/>
              </w:rPr>
              <w:t xml:space="preserve">证书</w:t>
            </w:r>
            <w:r>
              <w:rPr>
                <w:rFonts w:ascii="Times New Roman" w:hAnsi="Times New Roman" w:eastAsia="宋体" w:cs="Times New Roman"/>
                <w:b/>
                <w:bCs/>
                <w:color w:val="000000"/>
                <w:sz w:val="24"/>
                <w:szCs w:val="24"/>
              </w:rPr>
              <w:t xml:space="preserve">的，不重复计取</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color w:val="000000"/>
                <w:sz w:val="24"/>
                <w:szCs w:val="24"/>
              </w:rPr>
              <w:t xml:space="preserve">2</w:t>
            </w:r>
            <w:r>
              <w:rPr>
                <w:rFonts w:hint="eastAsia" w:ascii="Times New Roman" w:hAnsi="Times New Roman" w:eastAsia="宋体" w:cs="Times New Roman"/>
                <w:b/>
                <w:bCs/>
                <w:color w:val="000000"/>
                <w:sz w:val="24"/>
                <w:szCs w:val="24"/>
              </w:rPr>
              <w:t xml:space="preserve">）</w:t>
            </w:r>
            <w:r>
              <w:rPr>
                <w:rFonts w:ascii="Times New Roman" w:hAnsi="Times New Roman" w:eastAsia="宋体" w:cs="Times New Roman"/>
                <w:b/>
                <w:color w:val="000000"/>
                <w:sz w:val="24"/>
                <w:szCs w:val="24"/>
              </w:rPr>
              <w:t xml:space="preserve">投标文件中需提供上述人员有效的相关证书扫描件及投标人为其缴纳社会保险（本项目开标当月前</w:t>
            </w:r>
            <w:r>
              <w:rPr>
                <w:rFonts w:ascii="Times New Roman" w:hAnsi="Times New Roman" w:eastAsia="宋体" w:cs="Times New Roman"/>
                <w:b/>
                <w:color w:val="000000"/>
                <w:sz w:val="24"/>
                <w:szCs w:val="24"/>
              </w:rPr>
              <w:t xml:space="preserve">3</w:t>
            </w:r>
            <w:r>
              <w:rPr>
                <w:rFonts w:ascii="Times New Roman" w:hAnsi="Times New Roman" w:eastAsia="宋体" w:cs="Times New Roman"/>
                <w:b/>
                <w:color w:val="000000"/>
                <w:sz w:val="24"/>
                <w:szCs w:val="24"/>
              </w:rPr>
              <w:t xml:space="preserve">个月内任意</w:t>
            </w:r>
            <w:r>
              <w:rPr>
                <w:rFonts w:ascii="Times New Roman" w:hAnsi="Times New Roman" w:eastAsia="宋体" w:cs="Times New Roman"/>
                <w:b/>
                <w:color w:val="000000"/>
                <w:sz w:val="24"/>
                <w:szCs w:val="24"/>
              </w:rPr>
              <w:t xml:space="preserve">1</w:t>
            </w:r>
            <w:r>
              <w:rPr>
                <w:rFonts w:ascii="Times New Roman" w:hAnsi="Times New Roman" w:eastAsia="宋体" w:cs="Times New Roman"/>
                <w:b/>
                <w:color w:val="000000"/>
                <w:sz w:val="24"/>
                <w:szCs w:val="24"/>
              </w:rPr>
              <w:t xml:space="preserve">个月）的证明材料扫描件，未提供的对应评分项不得分。</w:t>
            </w:r>
            <w:bookmarkEnd w:id="433"/>
            <w:r/>
            <w:r/>
          </w:p>
        </w:tc>
      </w:tr>
      <w:tr>
        <w:trPr>
          <w:jc w:val="center"/>
        </w:trPr>
        <w:tc>
          <w:tcPr>
            <w:tcBorders>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人员配置</w:t>
            </w:r>
            <w:r>
              <w:rPr>
                <w:rFonts w:ascii="Times New Roman" w:hAnsi="Times New Roman" w:eastAsia="宋体" w:cs="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9</w:t>
            </w:r>
            <w:r>
              <w:rPr>
                <w:rFonts w:hint="eastAsia"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投标人拟投入本项目组</w:t>
            </w:r>
            <w:r>
              <w:rPr>
                <w:rFonts w:hint="eastAsia" w:ascii="Times New Roman" w:hAnsi="Times New Roman" w:eastAsia="宋体" w:cs="Times New Roman"/>
                <w:bCs/>
                <w:sz w:val="24"/>
                <w:szCs w:val="24"/>
              </w:rPr>
              <w:t xml:space="preserve">成员进行评定：</w:t>
            </w:r>
            <w:r/>
          </w:p>
          <w:p>
            <w:pPr>
              <w:jc w:val="left"/>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具有电子</w:t>
            </w:r>
            <w:r>
              <w:rPr>
                <w:rFonts w:ascii="Times New Roman" w:hAnsi="Times New Roman" w:eastAsia="宋体" w:cs="Times New Roman"/>
                <w:bCs/>
                <w:sz w:val="24"/>
                <w:szCs w:val="24"/>
              </w:rPr>
              <w:t xml:space="preserve">信息专业高级职称的得</w:t>
            </w:r>
            <w:r>
              <w:rPr>
                <w:rFonts w:hint="eastAsia"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.5</w:t>
            </w:r>
            <w:r>
              <w:rPr>
                <w:rFonts w:hint="eastAsia" w:ascii="Times New Roman" w:hAnsi="Times New Roman" w:eastAsia="宋体" w:cs="Times New Roman"/>
                <w:bCs/>
                <w:sz w:val="24"/>
                <w:szCs w:val="24"/>
              </w:rPr>
              <w:t xml:space="preserve">分，最高</w:t>
            </w:r>
            <w:r>
              <w:rPr>
                <w:rFonts w:ascii="Times New Roman" w:hAnsi="Times New Roman" w:eastAsia="宋体" w:cs="Times New Roman"/>
                <w:bCs/>
                <w:sz w:val="24"/>
                <w:szCs w:val="24"/>
              </w:rPr>
              <w:t xml:space="preserve">3</w:t>
            </w:r>
            <w:r>
              <w:rPr>
                <w:rFonts w:hint="eastAsia" w:ascii="Times New Roman" w:hAnsi="Times New Roman" w:eastAsia="宋体" w:cs="Times New Roman"/>
                <w:bCs/>
                <w:sz w:val="24"/>
                <w:szCs w:val="24"/>
              </w:rPr>
              <w:t xml:space="preserve">分；具有中</w:t>
            </w:r>
            <w:r>
              <w:rPr>
                <w:rFonts w:ascii="Times New Roman" w:hAnsi="Times New Roman" w:eastAsia="宋体" w:cs="Times New Roman"/>
                <w:bCs/>
                <w:sz w:val="24"/>
                <w:szCs w:val="24"/>
              </w:rPr>
              <w:t xml:space="preserve">级</w:t>
            </w:r>
            <w:r>
              <w:rPr>
                <w:rFonts w:hint="eastAsia" w:ascii="Times New Roman" w:hAnsi="Times New Roman" w:eastAsia="宋体" w:cs="Times New Roman"/>
                <w:bCs/>
                <w:sz w:val="24"/>
                <w:szCs w:val="24"/>
              </w:rPr>
              <w:t xml:space="preserve">及</w:t>
            </w:r>
            <w:r>
              <w:rPr>
                <w:rFonts w:ascii="Times New Roman" w:hAnsi="Times New Roman" w:eastAsia="宋体" w:cs="Times New Roman"/>
                <w:bCs/>
                <w:sz w:val="24"/>
                <w:szCs w:val="24"/>
              </w:rPr>
              <w:t xml:space="preserve">以上职称的得</w:t>
            </w:r>
            <w:r>
              <w:rPr>
                <w:rFonts w:ascii="Times New Roman" w:hAnsi="Times New Roman" w:eastAsia="宋体" w:cs="Times New Roman"/>
                <w:bCs/>
                <w:sz w:val="24"/>
                <w:szCs w:val="24"/>
              </w:rPr>
              <w:t xml:space="preserve">1</w:t>
            </w:r>
            <w:r>
              <w:rPr>
                <w:rFonts w:hint="eastAsia" w:ascii="Times New Roman" w:hAnsi="Times New Roman" w:eastAsia="宋体" w:cs="Times New Roman"/>
                <w:bCs/>
                <w:sz w:val="24"/>
                <w:szCs w:val="24"/>
              </w:rPr>
              <w:t xml:space="preserve">分，最高</w:t>
            </w:r>
            <w:r>
              <w:rPr>
                <w:rFonts w:ascii="Times New Roman" w:hAnsi="Times New Roman" w:eastAsia="宋体" w:cs="Times New Roman"/>
                <w:bCs/>
                <w:sz w:val="24"/>
                <w:szCs w:val="24"/>
              </w:rPr>
              <w:t xml:space="preserve">6</w:t>
            </w:r>
            <w:r>
              <w:rPr>
                <w:rFonts w:hint="eastAsia" w:ascii="Times New Roman" w:hAnsi="Times New Roman" w:eastAsia="宋体" w:cs="Times New Roman"/>
                <w:bCs/>
                <w:sz w:val="24"/>
                <w:szCs w:val="24"/>
              </w:rPr>
              <w:t xml:space="preserve">分，</w:t>
            </w:r>
            <w:r>
              <w:rPr>
                <w:rFonts w:ascii="Times New Roman" w:hAnsi="Times New Roman" w:eastAsia="宋体" w:cs="Times New Roman"/>
                <w:bCs/>
                <w:sz w:val="24"/>
                <w:szCs w:val="24"/>
              </w:rPr>
              <w:t xml:space="preserve">本小项最高得</w:t>
            </w:r>
            <w:r>
              <w:rPr>
                <w:rFonts w:ascii="Times New Roman" w:hAnsi="Times New Roman" w:eastAsia="宋体" w:cs="Times New Roman"/>
                <w:bCs/>
                <w:sz w:val="24"/>
                <w:szCs w:val="24"/>
              </w:rPr>
              <w:t xml:space="preserve">9</w:t>
            </w:r>
            <w:r>
              <w:rPr>
                <w:rFonts w:hint="eastAsia" w:ascii="Times New Roman" w:hAnsi="Times New Roman" w:eastAsia="宋体" w:cs="Times New Roman"/>
                <w:bCs/>
                <w:sz w:val="24"/>
                <w:szCs w:val="24"/>
              </w:rPr>
              <w:t xml:space="preserve">分。</w:t>
            </w:r>
            <w:r/>
          </w:p>
          <w:p>
            <w:pPr>
              <w:jc w:val="left"/>
              <w:spacing w:line="440" w:lineRule="exact"/>
              <w:rPr>
                <w:rFonts w:ascii="Times New Roman" w:hAnsi="Times New Roman" w:eastAsia="宋体" w:cs="Times New Roman"/>
                <w:bCs/>
                <w:sz w:val="24"/>
                <w:szCs w:val="24"/>
              </w:rPr>
            </w:pPr>
            <w:r>
              <w:rPr>
                <w:rFonts w:ascii="Times New Roman" w:hAnsi="Times New Roman" w:eastAsia="宋体" w:cs="Times New Roman"/>
                <w:b/>
                <w:bCs/>
                <w:color w:val="000000"/>
                <w:sz w:val="24"/>
                <w:szCs w:val="24"/>
              </w:rPr>
              <w:t xml:space="preserve">注：</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color w:val="000000"/>
                <w:sz w:val="24"/>
                <w:szCs w:val="24"/>
              </w:rPr>
              <w:t xml:space="preserve">1</w:t>
            </w:r>
            <w:r>
              <w:rPr>
                <w:rFonts w:hint="eastAsia" w:ascii="Times New Roman" w:hAnsi="Times New Roman" w:eastAsia="宋体" w:cs="Times New Roman"/>
                <w:b/>
                <w:bCs/>
                <w:color w:val="000000"/>
                <w:sz w:val="24"/>
                <w:szCs w:val="24"/>
              </w:rPr>
              <w:t xml:space="preserve">）同一</w:t>
            </w:r>
            <w:r>
              <w:rPr>
                <w:rFonts w:ascii="Times New Roman" w:hAnsi="Times New Roman" w:eastAsia="宋体" w:cs="Times New Roman"/>
                <w:b/>
                <w:bCs/>
                <w:color w:val="000000"/>
                <w:sz w:val="24"/>
                <w:szCs w:val="24"/>
              </w:rPr>
              <w:t xml:space="preserve">人员</w:t>
            </w:r>
            <w:r>
              <w:rPr>
                <w:rFonts w:hint="eastAsia" w:ascii="Times New Roman" w:hAnsi="Times New Roman" w:eastAsia="宋体" w:cs="Times New Roman"/>
                <w:b/>
                <w:bCs/>
                <w:color w:val="000000"/>
                <w:sz w:val="24"/>
                <w:szCs w:val="24"/>
              </w:rPr>
              <w:t xml:space="preserve">具有</w:t>
            </w:r>
            <w:r>
              <w:rPr>
                <w:rFonts w:ascii="Times New Roman" w:hAnsi="Times New Roman" w:eastAsia="宋体" w:cs="Times New Roman"/>
                <w:b/>
                <w:bCs/>
                <w:color w:val="000000"/>
                <w:sz w:val="24"/>
                <w:szCs w:val="24"/>
              </w:rPr>
              <w:t xml:space="preserve">不同</w:t>
            </w:r>
            <w:r>
              <w:rPr>
                <w:rFonts w:hint="eastAsia" w:ascii="Times New Roman" w:hAnsi="Times New Roman" w:eastAsia="宋体" w:cs="Times New Roman"/>
                <w:b/>
                <w:bCs/>
                <w:color w:val="000000"/>
                <w:sz w:val="24"/>
                <w:szCs w:val="24"/>
              </w:rPr>
              <w:t xml:space="preserve">职称</w:t>
            </w:r>
            <w:r>
              <w:rPr>
                <w:rFonts w:ascii="Times New Roman" w:hAnsi="Times New Roman" w:eastAsia="宋体" w:cs="Times New Roman"/>
                <w:b/>
                <w:bCs/>
                <w:color w:val="000000"/>
                <w:sz w:val="24"/>
                <w:szCs w:val="24"/>
              </w:rPr>
              <w:t xml:space="preserve">的，就高计取，不重复计取</w:t>
            </w:r>
            <w:r>
              <w:rPr>
                <w:rFonts w:hint="eastAsia" w:ascii="Times New Roman" w:hAnsi="Times New Roman" w:eastAsia="宋体" w:cs="Times New Roman"/>
                <w:b/>
                <w:bCs/>
                <w:color w:val="000000"/>
                <w:sz w:val="24"/>
                <w:szCs w:val="24"/>
              </w:rPr>
              <w:t xml:space="preserve">。</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2</w:t>
            </w:r>
            <w:r>
              <w:rPr>
                <w:rFonts w:ascii="Times New Roman" w:hAnsi="Times New Roman" w:eastAsia="宋体" w:cs="Times New Roman"/>
                <w:b/>
                <w:color w:val="000000"/>
                <w:sz w:val="24"/>
                <w:szCs w:val="24"/>
              </w:rPr>
              <w:t xml:space="preserve">）</w:t>
            </w:r>
            <w:r>
              <w:rPr>
                <w:rFonts w:ascii="Times New Roman" w:hAnsi="Times New Roman" w:eastAsia="宋体" w:cs="Times New Roman"/>
                <w:b/>
                <w:color w:val="000000"/>
                <w:sz w:val="24"/>
                <w:szCs w:val="24"/>
              </w:rPr>
              <w:t xml:space="preserve">投标文件中需提供上述人员有效的相关证书扫描件及投标人为其缴纳社会保险（本项目开标当月前</w:t>
            </w:r>
            <w:r>
              <w:rPr>
                <w:rFonts w:ascii="Times New Roman" w:hAnsi="Times New Roman" w:eastAsia="宋体" w:cs="Times New Roman"/>
                <w:b/>
                <w:color w:val="000000"/>
                <w:sz w:val="24"/>
                <w:szCs w:val="24"/>
              </w:rPr>
              <w:t xml:space="preserve">3</w:t>
            </w:r>
            <w:r>
              <w:rPr>
                <w:rFonts w:ascii="Times New Roman" w:hAnsi="Times New Roman" w:eastAsia="宋体" w:cs="Times New Roman"/>
                <w:b/>
                <w:color w:val="000000"/>
                <w:sz w:val="24"/>
                <w:szCs w:val="24"/>
              </w:rPr>
              <w:t xml:space="preserve">个月内任意</w:t>
            </w:r>
            <w:r>
              <w:rPr>
                <w:rFonts w:ascii="Times New Roman" w:hAnsi="Times New Roman" w:eastAsia="宋体" w:cs="Times New Roman"/>
                <w:b/>
                <w:color w:val="000000"/>
                <w:sz w:val="24"/>
                <w:szCs w:val="24"/>
              </w:rPr>
              <w:t xml:space="preserve">1</w:t>
            </w:r>
            <w:r>
              <w:rPr>
                <w:rFonts w:ascii="Times New Roman" w:hAnsi="Times New Roman" w:eastAsia="宋体" w:cs="Times New Roman"/>
                <w:b/>
                <w:color w:val="000000"/>
                <w:sz w:val="24"/>
                <w:szCs w:val="24"/>
              </w:rPr>
              <w:t xml:space="preserve">个月）的证明材料扫描件，未提供的对应评分项不得分。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人员配置</w:t>
            </w:r>
            <w:r>
              <w:rPr>
                <w:rFonts w:ascii="Times New Roman" w:hAnsi="Times New Roman" w:eastAsia="宋体" w:cs="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hint="eastAsia" w:ascii="Times New Roman" w:hAnsi="Times New Roman" w:eastAsia="宋体" w:cs="Times New Roman"/>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宋体" w:hAnsi="宋体" w:eastAsia="宋体" w:cs="Times New Roman"/>
                <w:b/>
                <w:bCs/>
                <w:color w:val="000000"/>
                <w:sz w:val="24"/>
                <w:szCs w:val="24"/>
              </w:rPr>
            </w:pPr>
            <w:r>
              <w:rPr>
                <w:rFonts w:hint="eastAsia" w:ascii="Times New Roman" w:hAnsi="Times New Roman" w:eastAsia="宋体" w:cs="Times New Roman"/>
                <w:sz w:val="24"/>
                <w:szCs w:val="24"/>
              </w:rPr>
              <w:t xml:space="preserve">根据</w:t>
            </w:r>
            <w:r>
              <w:rPr>
                <w:rFonts w:ascii="Times New Roman" w:hAnsi="Times New Roman" w:eastAsia="宋体" w:cs="Times New Roman"/>
                <w:bCs/>
                <w:sz w:val="24"/>
                <w:szCs w:val="24"/>
              </w:rPr>
              <w:t xml:space="preserve">投标人</w:t>
            </w:r>
            <w:r>
              <w:rPr>
                <w:rFonts w:ascii="Times New Roman" w:hAnsi="Times New Roman" w:eastAsia="宋体" w:cs="Times New Roman"/>
                <w:bCs/>
                <w:sz w:val="24"/>
                <w:szCs w:val="24"/>
              </w:rPr>
              <w:t xml:space="preserve">拟投入本项目组</w:t>
            </w:r>
            <w:r>
              <w:rPr>
                <w:rFonts w:hint="eastAsia" w:ascii="Times New Roman" w:hAnsi="Times New Roman" w:eastAsia="宋体" w:cs="Times New Roman"/>
                <w:bCs/>
                <w:sz w:val="24"/>
                <w:szCs w:val="24"/>
              </w:rPr>
              <w:t xml:space="preserve">成员明细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sz w:val="24"/>
                <w:szCs w:val="24"/>
              </w:rPr>
              <w:t xml:space="preserve">团队人员不少于</w:t>
            </w:r>
            <w:r>
              <w:rPr>
                <w:rFonts w:hint="eastAsia" w:ascii="Times New Roman" w:hAnsi="Times New Roman" w:eastAsia="宋体" w:cs="Times New Roman"/>
                <w:bCs/>
                <w:sz w:val="24"/>
                <w:szCs w:val="24"/>
              </w:rPr>
              <w:t xml:space="preserve">25</w:t>
            </w:r>
            <w:r>
              <w:rPr>
                <w:rFonts w:hint="eastAsia" w:ascii="Times New Roman" w:hAnsi="Times New Roman" w:eastAsia="宋体" w:cs="Times New Roman"/>
                <w:bCs/>
                <w:sz w:val="24"/>
                <w:szCs w:val="24"/>
              </w:rPr>
              <w:t xml:space="preserve">人</w:t>
            </w:r>
            <w:r>
              <w:rPr>
                <w:rFonts w:hint="eastAsia" w:ascii="Times New Roman" w:hAnsi="Times New Roman" w:eastAsia="宋体" w:cs="Times New Roman"/>
                <w:sz w:val="24"/>
                <w:szCs w:val="24"/>
              </w:rPr>
              <w:t xml:space="preserve">）进行评定，人员数量优于项目需求，且</w:t>
            </w:r>
            <w:r>
              <w:rPr>
                <w:rFonts w:hint="eastAsia" w:ascii="Times New Roman" w:hAnsi="Times New Roman" w:eastAsia="宋体" w:cs="Times New Roman"/>
                <w:sz w:val="24"/>
                <w:szCs w:val="24"/>
              </w:rPr>
              <w:t xml:space="preserve">计算机类或信息类相关</w:t>
            </w:r>
            <w:r>
              <w:rPr>
                <w:rFonts w:hint="eastAsia" w:ascii="Times New Roman" w:hAnsi="Times New Roman" w:eastAsia="宋体" w:cs="Times New Roman"/>
                <w:sz w:val="24"/>
                <w:szCs w:val="24"/>
              </w:rPr>
              <w:t xml:space="preserve">专业</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专业</w:t>
            </w:r>
            <w:r>
              <w:rPr>
                <w:rFonts w:ascii="Times New Roman" w:hAnsi="Times New Roman" w:eastAsia="宋体" w:cs="Times New Roman"/>
                <w:sz w:val="24"/>
                <w:szCs w:val="24"/>
              </w:rPr>
              <w:t xml:space="preserve">以</w:t>
            </w:r>
            <w:r>
              <w:rPr>
                <w:rFonts w:hint="eastAsia" w:ascii="宋体" w:hAnsi="宋体" w:eastAsia="宋体" w:cs="宋体"/>
                <w:bCs/>
                <w:sz w:val="24"/>
                <w:szCs w:val="24"/>
              </w:rPr>
              <w:t xml:space="preserve">本科</w:t>
            </w:r>
            <w:r>
              <w:rPr>
                <w:rFonts w:ascii="宋体" w:hAnsi="宋体" w:eastAsia="宋体" w:cs="宋体"/>
                <w:bCs/>
                <w:sz w:val="24"/>
                <w:szCs w:val="24"/>
              </w:rPr>
              <w:t xml:space="preserve">及以上毕业证书，或中级</w:t>
            </w:r>
            <w:r>
              <w:rPr>
                <w:rFonts w:hint="eastAsia" w:ascii="宋体" w:hAnsi="宋体" w:eastAsia="宋体" w:cs="宋体"/>
                <w:bCs/>
                <w:sz w:val="24"/>
                <w:szCs w:val="24"/>
              </w:rPr>
              <w:t xml:space="preserve">及</w:t>
            </w:r>
            <w:r>
              <w:rPr>
                <w:rFonts w:ascii="宋体" w:hAnsi="宋体" w:eastAsia="宋体" w:cs="宋体"/>
                <w:bCs/>
                <w:sz w:val="24"/>
                <w:szCs w:val="24"/>
              </w:rPr>
              <w:t xml:space="preserve">以上职称为准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人员占比</w:t>
            </w:r>
            <w:r>
              <w:rPr>
                <w:rFonts w:hint="eastAsia" w:ascii="Times New Roman" w:hAnsi="Times New Roman" w:eastAsia="宋体" w:cs="Times New Roman"/>
                <w:sz w:val="24"/>
                <w:szCs w:val="24"/>
              </w:rPr>
              <w:t xml:space="preserve">不小于</w:t>
            </w:r>
            <w:r>
              <w:rPr>
                <w:rFonts w:hint="eastAsia" w:ascii="Times New Roman" w:hAnsi="Times New Roman" w:eastAsia="宋体" w:cs="Times New Roman"/>
                <w:sz w:val="24"/>
                <w:szCs w:val="24"/>
              </w:rPr>
              <w:t xml:space="preserve">团队人数</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分；人员数量满足项目需求的得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ascii="宋体" w:hAnsi="宋体" w:eastAsia="宋体" w:cs="Times New Roman"/>
                <w:b/>
                <w:bCs/>
                <w:color w:val="000000"/>
                <w:sz w:val="24"/>
                <w:szCs w:val="24"/>
              </w:rPr>
              <w:t xml:space="preserve">未</w:t>
            </w:r>
            <w:r>
              <w:rPr>
                <w:rFonts w:hint="eastAsia" w:ascii="宋体" w:hAnsi="宋体" w:eastAsia="宋体" w:cs="Times New Roman"/>
                <w:b/>
                <w:bCs/>
                <w:color w:val="000000"/>
                <w:sz w:val="24"/>
                <w:szCs w:val="24"/>
              </w:rPr>
              <w:t xml:space="preserve">达到要求</w:t>
            </w:r>
            <w:r>
              <w:rPr>
                <w:rFonts w:ascii="宋体" w:hAnsi="宋体" w:eastAsia="宋体" w:cs="Times New Roman"/>
                <w:b/>
                <w:bCs/>
                <w:color w:val="000000"/>
                <w:sz w:val="24"/>
                <w:szCs w:val="24"/>
              </w:rPr>
              <w:t xml:space="preserve">或未作说明的不得分。</w:t>
            </w:r>
            <w:r/>
          </w:p>
          <w:p>
            <w:pPr>
              <w:spacing w:line="440" w:lineRule="exact"/>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注：</w:t>
            </w:r>
            <w:r>
              <w:rPr>
                <w:rFonts w:ascii="Times New Roman" w:hAnsi="Times New Roman" w:eastAsia="宋体" w:cs="Times New Roman"/>
                <w:b/>
                <w:color w:val="000000"/>
                <w:sz w:val="24"/>
                <w:szCs w:val="24"/>
              </w:rPr>
              <w:t xml:space="preserve">投标文件中需提供上述人员有效的相关证书扫描件及投标人为其缴纳社会保险（本项目开标当月前</w:t>
            </w:r>
            <w:r>
              <w:rPr>
                <w:rFonts w:ascii="Times New Roman" w:hAnsi="Times New Roman" w:eastAsia="宋体" w:cs="Times New Roman"/>
                <w:b/>
                <w:color w:val="000000"/>
                <w:sz w:val="24"/>
                <w:szCs w:val="24"/>
              </w:rPr>
              <w:t xml:space="preserve">3</w:t>
            </w:r>
            <w:r>
              <w:rPr>
                <w:rFonts w:ascii="Times New Roman" w:hAnsi="Times New Roman" w:eastAsia="宋体" w:cs="Times New Roman"/>
                <w:b/>
                <w:color w:val="000000"/>
                <w:sz w:val="24"/>
                <w:szCs w:val="24"/>
              </w:rPr>
              <w:t xml:space="preserve">个月内任意</w:t>
            </w:r>
            <w:r>
              <w:rPr>
                <w:rFonts w:ascii="Times New Roman" w:hAnsi="Times New Roman" w:eastAsia="宋体" w:cs="Times New Roman"/>
                <w:b/>
                <w:color w:val="000000"/>
                <w:sz w:val="24"/>
                <w:szCs w:val="24"/>
              </w:rPr>
              <w:t xml:space="preserve">1</w:t>
            </w:r>
            <w:r>
              <w:rPr>
                <w:rFonts w:ascii="Times New Roman" w:hAnsi="Times New Roman" w:eastAsia="宋体" w:cs="Times New Roman"/>
                <w:b/>
                <w:color w:val="000000"/>
                <w:sz w:val="24"/>
                <w:szCs w:val="24"/>
              </w:rPr>
              <w:t xml:space="preserve">个月）的证明材料扫描件，未提供的对应评分项不得分。</w:t>
            </w:r>
            <w:r/>
          </w:p>
        </w:tc>
      </w:tr>
      <w:tr>
        <w:trPr>
          <w:jc w:val="cent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440" w:lineRule="exact"/>
              <w:rPr>
                <w:rFonts w:ascii="Times New Roman" w:hAnsi="Times New Roman" w:eastAsia="宋体" w:cs="Times New Roman"/>
                <w:sz w:val="28"/>
                <w:szCs w:val="24"/>
              </w:rPr>
            </w:pPr>
            <w:r>
              <w:rPr>
                <w:rFonts w:ascii="Times New Roman" w:hAnsi="Times New Roman" w:eastAsia="宋体" w:cs="Times New Roman"/>
                <w:sz w:val="24"/>
                <w:szCs w:val="20"/>
              </w:rPr>
              <w:t xml:space="preserve">业绩情况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rPr>
                <w:rFonts w:ascii="Times New Roman" w:hAnsi="Times New Roman" w:eastAsia="宋体" w:cs="Times New Roman"/>
                <w:sz w:val="24"/>
                <w:szCs w:val="20"/>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spacing w:line="440" w:lineRule="exact"/>
              <w:rPr>
                <w:rFonts w:ascii="Times New Roman" w:hAnsi="Times New Roman" w:eastAsia="宋体" w:cs="Times New Roman"/>
                <w:color w:val="000000"/>
                <w:sz w:val="24"/>
                <w:szCs w:val="24"/>
                <w:highlight w:val="yellow"/>
              </w:rPr>
            </w:pP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根据投标人</w:t>
            </w:r>
            <w:r>
              <w:rPr>
                <w:rFonts w:ascii="Times New Roman" w:hAnsi="Times New Roman" w:eastAsia="宋体" w:cs="Times New Roman"/>
                <w:color w:val="000000"/>
                <w:sz w:val="24"/>
                <w:szCs w:val="24"/>
              </w:rPr>
              <w:t xml:space="preserve">202</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日（以签订合同</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协议时间为准）至今实施的信息化</w:t>
            </w:r>
            <w:r>
              <w:rPr>
                <w:rFonts w:hint="eastAsia" w:ascii="Times New Roman" w:hAnsi="Times New Roman" w:eastAsia="宋体" w:cs="Times New Roman"/>
                <w:color w:val="000000"/>
                <w:sz w:val="24"/>
                <w:szCs w:val="24"/>
              </w:rPr>
              <w:t xml:space="preserve">集成实施（实施建设）</w:t>
            </w:r>
            <w:r>
              <w:rPr>
                <w:rFonts w:ascii="Times New Roman" w:hAnsi="Times New Roman" w:eastAsia="宋体" w:cs="Times New Roman"/>
                <w:color w:val="000000"/>
                <w:sz w:val="24"/>
                <w:szCs w:val="24"/>
              </w:rPr>
              <w:t xml:space="preserve">服务业绩情况进行评定，</w:t>
            </w:r>
            <w:bookmarkStart w:id="434" w:name="_Hlk136855034"/>
            <w:r>
              <w:rPr>
                <w:rFonts w:ascii="Times New Roman" w:hAnsi="Times New Roman" w:eastAsia="宋体" w:cs="Times New Roman"/>
                <w:color w:val="000000"/>
                <w:sz w:val="24"/>
                <w:szCs w:val="24"/>
              </w:rPr>
              <w:t xml:space="preserve">每提供一个得</w:t>
            </w:r>
            <w:r>
              <w:rPr>
                <w:rFonts w:hint="eastAsia" w:ascii="Times New Roman" w:hAnsi="Times New Roman" w:eastAsia="宋体" w:cs="Times New Roman"/>
                <w:color w:val="000000"/>
                <w:sz w:val="24"/>
                <w:szCs w:val="24"/>
              </w:rPr>
              <w:t xml:space="preserve">0.5</w:t>
            </w:r>
            <w:r>
              <w:rPr>
                <w:rFonts w:ascii="Times New Roman" w:hAnsi="Times New Roman" w:eastAsia="宋体" w:cs="Times New Roman"/>
                <w:color w:val="000000"/>
                <w:sz w:val="24"/>
                <w:szCs w:val="24"/>
              </w:rPr>
              <w:t xml:space="preserve">分，最高得</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分。</w:t>
            </w:r>
            <w:bookmarkEnd w:id="434"/>
            <w:r/>
            <w:r/>
          </w:p>
          <w:p>
            <w:pPr>
              <w:spacing w:line="44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根据投标人</w:t>
            </w:r>
            <w:r>
              <w:rPr>
                <w:rFonts w:ascii="Times New Roman" w:hAnsi="Times New Roman" w:eastAsia="宋体" w:cs="Times New Roman"/>
                <w:color w:val="000000"/>
                <w:sz w:val="24"/>
                <w:szCs w:val="24"/>
              </w:rPr>
              <w:t xml:space="preserve">202</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日（以签订合同</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协议时间为准）至今实施的</w:t>
            </w:r>
            <w:r>
              <w:rPr>
                <w:rFonts w:hint="eastAsia" w:ascii="Times New Roman" w:hAnsi="Times New Roman" w:eastAsia="宋体" w:cs="Times New Roman"/>
                <w:color w:val="000000"/>
                <w:sz w:val="24"/>
                <w:szCs w:val="24"/>
              </w:rPr>
              <w:t xml:space="preserve">政务类云服务业绩</w:t>
            </w:r>
            <w:r>
              <w:rPr>
                <w:rFonts w:ascii="Times New Roman" w:hAnsi="Times New Roman" w:eastAsia="宋体" w:cs="Times New Roman"/>
                <w:color w:val="000000"/>
                <w:sz w:val="24"/>
                <w:szCs w:val="24"/>
              </w:rPr>
              <w:t xml:space="preserve">情况进行评定，每提供一个得</w:t>
            </w:r>
            <w:r>
              <w:rPr>
                <w:rFonts w:ascii="Times New Roman" w:hAnsi="Times New Roman" w:eastAsia="宋体" w:cs="Times New Roman"/>
                <w:color w:val="000000"/>
                <w:sz w:val="24"/>
                <w:szCs w:val="24"/>
              </w:rPr>
              <w:t xml:space="preserve">0.5</w:t>
            </w:r>
            <w:r>
              <w:rPr>
                <w:rFonts w:ascii="Times New Roman" w:hAnsi="Times New Roman" w:eastAsia="宋体" w:cs="Times New Roman"/>
                <w:color w:val="000000"/>
                <w:sz w:val="24"/>
                <w:szCs w:val="24"/>
              </w:rPr>
              <w:t xml:space="preserve">分，最高得</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分。</w:t>
            </w:r>
            <w:r/>
          </w:p>
          <w:p>
            <w:pPr>
              <w:spacing w:line="440" w:lineRule="exact"/>
              <w:rPr>
                <w:rFonts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根据投标人</w:t>
            </w:r>
            <w:r>
              <w:rPr>
                <w:rFonts w:ascii="Times New Roman" w:hAnsi="Times New Roman" w:eastAsia="宋体" w:cs="Times New Roman"/>
                <w:color w:val="000000"/>
                <w:sz w:val="24"/>
                <w:szCs w:val="24"/>
              </w:rPr>
              <w:t xml:space="preserve">202</w:t>
            </w:r>
            <w:r>
              <w:rPr>
                <w:rFonts w:hint="eastAsia"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日（以签订合同</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协议时间为准）至今实施的信息化</w:t>
            </w:r>
            <w:r>
              <w:rPr>
                <w:rFonts w:hint="eastAsia" w:ascii="Times New Roman" w:hAnsi="Times New Roman" w:eastAsia="宋体" w:cs="Times New Roman"/>
                <w:color w:val="000000"/>
                <w:sz w:val="24"/>
                <w:szCs w:val="24"/>
              </w:rPr>
              <w:t xml:space="preserve">运维支撑服务</w:t>
            </w:r>
            <w:r>
              <w:rPr>
                <w:rFonts w:ascii="Times New Roman" w:hAnsi="Times New Roman" w:eastAsia="宋体" w:cs="Times New Roman"/>
                <w:color w:val="000000"/>
                <w:sz w:val="24"/>
                <w:szCs w:val="24"/>
              </w:rPr>
              <w:t xml:space="preserve">业绩情况进行评定</w:t>
            </w:r>
            <w:r>
              <w:rPr>
                <w:rFonts w:ascii="Times New Roman" w:hAnsi="Times New Roman" w:eastAsia="宋体" w:cs="Times New Roman"/>
                <w:color w:val="000000"/>
                <w:sz w:val="24"/>
                <w:szCs w:val="24"/>
                <w:lang w:val="zh-CN"/>
              </w:rPr>
              <w:t xml:space="preserve">，</w:t>
            </w:r>
            <w:r>
              <w:rPr>
                <w:rFonts w:ascii="Times New Roman" w:hAnsi="Times New Roman" w:eastAsia="宋体" w:cs="Times New Roman"/>
                <w:sz w:val="24"/>
                <w:szCs w:val="20"/>
              </w:rPr>
              <w:t xml:space="preserve">每提供一个得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分，最高得</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rPr>
                <w:rFonts w:ascii="Times New Roman" w:hAnsi="Times New Roman" w:eastAsia="宋体" w:cs="Times New Roman"/>
                <w:color w:val="000000"/>
                <w:sz w:val="24"/>
                <w:szCs w:val="24"/>
                <w:lang w:val="zh-CN"/>
              </w:rPr>
              <w:t xml:space="preserve">。</w:t>
            </w:r>
            <w:r/>
          </w:p>
          <w:p>
            <w:pPr>
              <w:spacing w:line="440" w:lineRule="exact"/>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本项最高得</w:t>
            </w:r>
            <w:r>
              <w:rPr>
                <w:rFonts w:hint="eastAsia" w:ascii="Times New Roman" w:hAnsi="Times New Roman" w:eastAsia="宋体" w:cs="Times New Roman"/>
                <w:b/>
                <w:bCs/>
                <w:color w:val="000000"/>
                <w:sz w:val="24"/>
                <w:szCs w:val="24"/>
              </w:rPr>
              <w:t xml:space="preserve">10</w:t>
            </w:r>
            <w:r>
              <w:rPr>
                <w:rFonts w:hint="eastAsia" w:ascii="Times New Roman" w:hAnsi="Times New Roman" w:eastAsia="宋体" w:cs="Times New Roman"/>
                <w:b/>
                <w:bCs/>
                <w:color w:val="000000"/>
                <w:sz w:val="24"/>
                <w:szCs w:val="24"/>
              </w:rPr>
              <w:t xml:space="preserve">分。</w:t>
            </w:r>
            <w:r/>
          </w:p>
          <w:p>
            <w:pPr>
              <w:spacing w:line="440" w:lineRule="exact"/>
              <w:rPr>
                <w:rFonts w:ascii="Times New Roman" w:hAnsi="Times New Roman" w:eastAsia="宋体" w:cs="Times New Roman"/>
                <w:sz w:val="24"/>
                <w:szCs w:val="20"/>
              </w:rPr>
            </w:pPr>
            <w:r/>
            <w:bookmarkStart w:id="435" w:name="_Hlk136855101"/>
            <w:r>
              <w:rPr>
                <w:rFonts w:ascii="Times New Roman" w:hAnsi="Times New Roman" w:eastAsia="宋体" w:cs="Times New Roman"/>
                <w:b/>
                <w:bCs/>
                <w:color w:val="000000"/>
                <w:sz w:val="24"/>
                <w:szCs w:val="24"/>
              </w:rPr>
              <w:t xml:space="preserve">注：</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color w:val="000000"/>
                <w:sz w:val="24"/>
                <w:szCs w:val="24"/>
              </w:rPr>
              <w:t xml:space="preserve">1</w:t>
            </w:r>
            <w:r>
              <w:rPr>
                <w:rFonts w:hint="eastAsia" w:ascii="Times New Roman" w:hAnsi="Times New Roman" w:eastAsia="宋体" w:cs="Times New Roman"/>
                <w:b/>
                <w:bCs/>
                <w:color w:val="000000"/>
                <w:sz w:val="24"/>
                <w:szCs w:val="24"/>
              </w:rPr>
              <w:t xml:space="preserve">）同一</w:t>
            </w:r>
            <w:r>
              <w:rPr>
                <w:rFonts w:ascii="Times New Roman" w:hAnsi="Times New Roman" w:eastAsia="宋体" w:cs="Times New Roman"/>
                <w:b/>
                <w:bCs/>
                <w:color w:val="000000"/>
                <w:sz w:val="24"/>
                <w:szCs w:val="24"/>
              </w:rPr>
              <w:t xml:space="preserve">业绩</w:t>
            </w:r>
            <w:r>
              <w:rPr>
                <w:rFonts w:hint="eastAsia" w:ascii="Times New Roman" w:hAnsi="Times New Roman" w:eastAsia="宋体" w:cs="Times New Roman"/>
                <w:b/>
                <w:bCs/>
                <w:color w:val="000000"/>
                <w:sz w:val="24"/>
                <w:szCs w:val="24"/>
              </w:rPr>
              <w:t xml:space="preserve">合同</w:t>
            </w:r>
            <w:r>
              <w:rPr>
                <w:rFonts w:ascii="Times New Roman" w:hAnsi="Times New Roman" w:eastAsia="宋体" w:cs="Times New Roman"/>
                <w:b/>
                <w:bCs/>
                <w:color w:val="000000"/>
                <w:sz w:val="24"/>
                <w:szCs w:val="24"/>
              </w:rPr>
              <w:t xml:space="preserve">不重复计取。</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color w:val="000000"/>
                <w:sz w:val="24"/>
                <w:szCs w:val="24"/>
              </w:rPr>
              <w:t xml:space="preserve">2</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b/>
                <w:bCs/>
                <w:sz w:val="24"/>
                <w:szCs w:val="20"/>
              </w:rPr>
              <w:t xml:space="preserve">投标文件中需提供合同证明材料扫描件（</w:t>
            </w:r>
            <w:bookmarkStart w:id="436" w:name="_Hlk138166440"/>
            <w:r>
              <w:rPr>
                <w:rFonts w:hint="eastAsia" w:ascii="Times New Roman" w:hAnsi="Times New Roman" w:eastAsia="宋体" w:cs="Times New Roman"/>
                <w:b/>
                <w:bCs/>
                <w:sz w:val="24"/>
                <w:szCs w:val="24"/>
              </w:rPr>
              <w:t xml:space="preserve">包含合同首页、合同内容页、签字盖章页</w:t>
            </w:r>
            <w:bookmarkEnd w:id="436"/>
            <w:r>
              <w:rPr>
                <w:rFonts w:hint="eastAsia" w:ascii="Times New Roman" w:hAnsi="Times New Roman" w:eastAsia="宋体" w:cs="Times New Roman"/>
                <w:b/>
                <w:bCs/>
                <w:sz w:val="24"/>
                <w:szCs w:val="20"/>
              </w:rPr>
              <w:t xml:space="preserve">）扫描件</w:t>
            </w: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未提供或未按要求提供的不得分</w:t>
            </w:r>
            <w:r>
              <w:rPr>
                <w:rFonts w:ascii="Times New Roman" w:hAnsi="Times New Roman" w:eastAsia="宋体" w:cs="Times New Roman"/>
                <w:b/>
                <w:bCs/>
                <w:sz w:val="24"/>
                <w:szCs w:val="24"/>
              </w:rPr>
              <w:t xml:space="preserve">。</w:t>
            </w:r>
            <w:bookmarkEnd w:id="435"/>
            <w:r/>
            <w:bookmarkEnd w:id="429"/>
            <w:r/>
            <w:bookmarkEnd w:id="430"/>
            <w:r/>
            <w:bookmarkEnd w:id="431"/>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软件和信息技术服务业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人提供的上述声明函为虚假声明则视同提供虚假材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37" w:name="_Toc163508322"/>
      <w:r/>
      <w:bookmarkStart w:id="438" w:name="_Toc163508397"/>
      <w:r/>
      <w:bookmarkStart w:id="439" w:name="_Toc192239135"/>
      <w:r>
        <w:rPr>
          <w:rFonts w:hint="eastAsia" w:ascii="宋体" w:hAnsi="宋体" w:eastAsia="宋体" w:cs="Times New Roman"/>
          <w:b/>
          <w:color w:val="000000"/>
          <w:sz w:val="44"/>
          <w:szCs w:val="44"/>
        </w:rPr>
        <w:t xml:space="preserve">第六章  投标</w:t>
      </w:r>
      <w:bookmarkEnd w:id="328"/>
      <w:r/>
      <w:bookmarkEnd w:id="329"/>
      <w:r/>
      <w:bookmarkEnd w:id="330"/>
      <w:r>
        <w:rPr>
          <w:rFonts w:hint="eastAsia" w:ascii="宋体" w:hAnsi="宋体" w:eastAsia="宋体" w:cs="Times New Roman"/>
          <w:b/>
          <w:color w:val="000000"/>
          <w:sz w:val="44"/>
          <w:szCs w:val="44"/>
        </w:rPr>
        <w:t xml:space="preserve">文件格式</w:t>
      </w:r>
      <w:bookmarkEnd w:id="437"/>
      <w:r/>
      <w:bookmarkEnd w:id="438"/>
      <w:r/>
      <w:bookmarkEnd w:id="439"/>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40" w:name="_Hlt26671244"/>
      <w:r/>
      <w:bookmarkStart w:id="441" w:name="_Hlt26955039"/>
      <w:r/>
      <w:bookmarkStart w:id="442" w:name="_Toc49090576"/>
      <w:r/>
      <w:bookmarkStart w:id="443" w:name="_Toc120614282"/>
      <w:r/>
      <w:bookmarkStart w:id="444" w:name="_Toc26554094"/>
      <w:r/>
      <w:bookmarkEnd w:id="440"/>
      <w:r/>
      <w:bookmarkEnd w:id="441"/>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2025年度市级信息化建设和运维统筹服务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JSZC-320581-SZJZ-G2025-0008</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445" w:name="_Toc163508323"/>
      <w:r/>
      <w:bookmarkStart w:id="446"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447" w:name="_Toc192239136"/>
      <w:r>
        <w:rPr>
          <w:rFonts w:hint="eastAsia" w:ascii="Times New Roman" w:hAnsi="Times New Roman" w:eastAsia="宋体" w:cs="Times New Roman"/>
          <w:b/>
          <w:bCs/>
          <w:sz w:val="28"/>
          <w:szCs w:val="28"/>
        </w:rPr>
        <w:t xml:space="preserve">投标文件目录</w:t>
      </w:r>
      <w:bookmarkEnd w:id="445"/>
      <w:r/>
      <w:bookmarkEnd w:id="446"/>
      <w:r/>
      <w:bookmarkEnd w:id="44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b/>
                <w:sz w:val="24"/>
                <w:szCs w:val="24"/>
              </w:rPr>
              <w:t xml:space="preserve">2</w:t>
            </w:r>
            <w:r>
              <w:rPr>
                <w:rFonts w:hint="eastAsia" w:ascii="宋体" w:hAnsi="宋体" w:eastAsia="宋体" w:cs="Times New Roman"/>
                <w:sz w:val="24"/>
              </w:rPr>
              <w:t xml:space="preserve">.报价</w:t>
            </w:r>
            <w:r>
              <w:rPr>
                <w:rFonts w:ascii="宋体" w:hAnsi="宋体" w:eastAsia="宋体" w:cs="Times New Roman"/>
                <w:sz w:val="24"/>
              </w:rPr>
              <w:t xml:space="preserve">明细表</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.商务</w:t>
            </w:r>
            <w:r>
              <w:rPr>
                <w:rFonts w:ascii="宋体" w:hAnsi="宋体" w:eastAsia="宋体" w:cs="Times New Roman"/>
                <w:sz w:val="24"/>
              </w:rPr>
              <w:t xml:space="preserve">要求响应及偏离表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rHeight w:val="58"/>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.其他</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48" w:name="_Toc163508324"/>
      <w:r/>
      <w:bookmarkStart w:id="449" w:name="_Toc163508399"/>
      <w:r/>
      <w:bookmarkStart w:id="450" w:name="_Toc192239137"/>
      <w:r>
        <w:rPr>
          <w:rFonts w:hint="eastAsia" w:ascii="宋体" w:hAnsi="宋体" w:eastAsia="宋体" w:cs="Times New Roman"/>
          <w:b/>
          <w:bCs/>
          <w:sz w:val="32"/>
          <w:szCs w:val="32"/>
        </w:rPr>
        <w:t xml:space="preserve">附件1 开标一览表</w:t>
      </w:r>
      <w:bookmarkEnd w:id="448"/>
      <w:r/>
      <w:bookmarkEnd w:id="449"/>
      <w:r/>
      <w:bookmarkEnd w:id="450"/>
      <w:r/>
      <w:r/>
    </w:p>
    <w:p>
      <w:pPr>
        <w:rPr>
          <w:rFonts w:ascii="宋体" w:hAnsi="宋体" w:eastAsia="宋体" w:cs="Times New Roman"/>
          <w:b/>
          <w:sz w:val="24"/>
          <w:szCs w:val="24"/>
        </w:rPr>
      </w:pPr>
      <w:r>
        <w:rPr>
          <w:rFonts w:ascii="宋体" w:hAnsi="宋体" w:eastAsia="宋体" w:cs="Times New Roman"/>
          <w:b/>
          <w:sz w:val="24"/>
          <w:szCs w:val="24"/>
        </w:rPr>
      </w:r>
      <w:bookmarkEnd w:id="331"/>
      <w:r/>
      <w:bookmarkEnd w:id="332"/>
      <w:r/>
      <w:bookmarkEnd w:id="442"/>
      <w:r/>
      <w:bookmarkEnd w:id="443"/>
      <w:r/>
      <w:bookmarkEnd w:id="444"/>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51" w:name="_Toc164280610"/>
      <w:r/>
      <w:r/>
    </w:p>
    <w:p>
      <w:pPr>
        <w:jc w:val="center"/>
        <w:rPr>
          <w:rFonts w:ascii="宋体" w:hAnsi="宋体" w:eastAsia="宋体" w:cs="Times New Roman"/>
          <w:b/>
          <w:bCs/>
          <w:sz w:val="32"/>
          <w:szCs w:val="32"/>
        </w:rPr>
        <w:outlineLvl w:val="1"/>
      </w:pPr>
      <w:r/>
      <w:bookmarkStart w:id="452" w:name="_Toc19223913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具有良好的商业信誉和健全的财务会计制度的声明函</w:t>
      </w:r>
      <w:bookmarkEnd w:id="451"/>
      <w:r/>
      <w:bookmarkEnd w:id="45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jc w:val="center"/>
        <w:rPr>
          <w:rFonts w:ascii="宋体" w:hAnsi="宋体" w:eastAsia="宋体" w:cs="Times New Roman"/>
          <w:b/>
          <w:bCs/>
          <w:sz w:val="32"/>
          <w:szCs w:val="32"/>
        </w:rPr>
        <w:outlineLvl w:val="1"/>
      </w:pPr>
      <w:r>
        <w:rPr>
          <w:rFonts w:ascii="宋体" w:hAnsi="宋体" w:eastAsia="宋体" w:cs="Times New Roman"/>
          <w:sz w:val="24"/>
          <w:szCs w:val="24"/>
        </w:rPr>
        <w:br w:type="page" w:clear="all"/>
      </w:r>
      <w:bookmarkStart w:id="453" w:name="_Toc164280611"/>
      <w:r/>
      <w:bookmarkStart w:id="454" w:name="_Toc19223913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具有履行合同所必需的设备和专业技术能力的声明函</w:t>
      </w:r>
      <w:bookmarkEnd w:id="453"/>
      <w:r/>
      <w:bookmarkEnd w:id="454"/>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55" w:name="_Toc164280612"/>
      <w:r/>
      <w:bookmarkStart w:id="456" w:name="_Toc19223914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 </w:t>
      </w:r>
      <w:r>
        <w:rPr>
          <w:rFonts w:hint="eastAsia" w:ascii="宋体" w:hAnsi="宋体" w:eastAsia="宋体" w:cs="Times New Roman"/>
          <w:b/>
          <w:bCs/>
          <w:sz w:val="32"/>
          <w:szCs w:val="32"/>
        </w:rPr>
        <w:t xml:space="preserve">承诺说明</w:t>
      </w:r>
      <w:bookmarkEnd w:id="455"/>
      <w:r/>
      <w:bookmarkEnd w:id="456"/>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57" w:name="_Toc163508402"/>
      <w:r/>
      <w:bookmarkStart w:id="458" w:name="_Toc163508327"/>
      <w:r/>
      <w:r/>
    </w:p>
    <w:p>
      <w:pPr>
        <w:jc w:val="center"/>
        <w:rPr>
          <w:rFonts w:ascii="宋体" w:hAnsi="宋体" w:eastAsia="宋体" w:cs="Times New Roman"/>
          <w:b/>
          <w:bCs/>
          <w:sz w:val="32"/>
          <w:szCs w:val="32"/>
        </w:rPr>
        <w:outlineLvl w:val="1"/>
      </w:pPr>
      <w:r/>
      <w:bookmarkStart w:id="459" w:name="_Toc19223914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中小企业声明函</w:t>
      </w:r>
      <w:bookmarkEnd w:id="457"/>
      <w:r/>
      <w:bookmarkEnd w:id="458"/>
      <w:r/>
      <w:bookmarkEnd w:id="459"/>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2025年度市级信息化建设和运维统筹服务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6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60"/>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61" w:name="_Toc163508403"/>
      <w:r/>
      <w:bookmarkStart w:id="462" w:name="_Toc163508328"/>
      <w:r/>
      <w:bookmarkStart w:id="463" w:name="_Toc19223914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hint="eastAsia" w:ascii="宋体" w:hAnsi="宋体" w:eastAsia="宋体" w:cs="Times New Roman"/>
          <w:b/>
          <w:bCs/>
          <w:sz w:val="32"/>
          <w:szCs w:val="32"/>
        </w:rPr>
        <w:t xml:space="preserve"> 残疾人福利性单位声明函</w:t>
      </w:r>
      <w:bookmarkEnd w:id="461"/>
      <w:r/>
      <w:bookmarkEnd w:id="462"/>
      <w:r/>
      <w:bookmarkEnd w:id="46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64" w:name="_Toc155086474"/>
      <w:r/>
      <w:bookmarkStart w:id="465" w:name="_Toc17235"/>
      <w:r/>
      <w:bookmarkStart w:id="466" w:name="_Toc155086574"/>
      <w:r>
        <w:rPr>
          <w:rFonts w:ascii="Times New Roman" w:hAnsi="Times New Roman" w:eastAsia="宋体" w:cs="Times New Roman"/>
          <w:b/>
          <w:bCs/>
          <w:sz w:val="28"/>
          <w:szCs w:val="28"/>
        </w:rPr>
        <w:br w:type="page" w:clear="all"/>
      </w:r>
      <w:bookmarkStart w:id="467" w:name="_Toc163508404"/>
      <w:r/>
      <w:bookmarkStart w:id="468" w:name="_Toc163508329"/>
      <w:r/>
      <w:bookmarkStart w:id="469" w:name="_Toc19223914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7 </w:t>
      </w:r>
      <w:r>
        <w:rPr>
          <w:rFonts w:hint="eastAsia" w:ascii="宋体" w:hAnsi="宋体" w:eastAsia="宋体" w:cs="Times New Roman"/>
          <w:b/>
          <w:bCs/>
          <w:sz w:val="32"/>
          <w:szCs w:val="32"/>
        </w:rPr>
        <w:t xml:space="preserve">投标函</w:t>
      </w:r>
      <w:bookmarkEnd w:id="464"/>
      <w:r/>
      <w:bookmarkEnd w:id="465"/>
      <w:r/>
      <w:bookmarkEnd w:id="466"/>
      <w:r/>
      <w:bookmarkEnd w:id="467"/>
      <w:r/>
      <w:bookmarkEnd w:id="468"/>
      <w:r/>
      <w:bookmarkEnd w:id="46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JSZC-320581-SZJZ-G2025-0008</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70" w:name="_Toc163508326"/>
      <w:r/>
      <w:bookmarkStart w:id="471" w:name="_Toc163508401"/>
      <w:r/>
      <w:bookmarkStart w:id="472" w:name="_Toc163500766"/>
      <w:r/>
      <w:bookmarkStart w:id="473" w:name="_Toc192239144"/>
      <w:r/>
      <w:bookmarkStart w:id="474" w:name="_Toc163508400"/>
      <w:r/>
      <w:bookmarkStart w:id="475" w:name="_Toc163508325"/>
      <w:r/>
      <w:bookmarkStart w:id="476" w:name="_Toc163508405"/>
      <w:r/>
      <w:bookmarkStart w:id="477" w:name="_Toc16350833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法人授权书</w:t>
      </w:r>
      <w:bookmarkEnd w:id="470"/>
      <w:r/>
      <w:bookmarkEnd w:id="471"/>
      <w:r/>
      <w:bookmarkEnd w:id="472"/>
      <w:r/>
      <w:bookmarkEnd w:id="47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JSZC-320581-SZJZ-G2025-0008</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74"/>
      <w:r/>
      <w:bookmarkEnd w:id="475"/>
      <w:r/>
      <w:r/>
    </w:p>
    <w:p>
      <w:pPr>
        <w:jc w:val="center"/>
        <w:rPr>
          <w:rFonts w:ascii="Times New Roman" w:hAnsi="Times New Roman" w:eastAsia="宋体" w:cs="Times New Roman"/>
          <w:b/>
          <w:bCs/>
          <w:sz w:val="28"/>
          <w:szCs w:val="28"/>
        </w:rPr>
        <w:outlineLvl w:val="1"/>
      </w:pPr>
      <w:r/>
      <w:bookmarkStart w:id="478" w:name="_Toc19223914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7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bookmarkEnd w:id="476"/>
      <w:r/>
      <w:bookmarkEnd w:id="477"/>
      <w:r/>
      <w:r/>
    </w:p>
    <w:p>
      <w:pPr>
        <w:jc w:val="center"/>
        <w:rPr>
          <w:rFonts w:ascii="Calibri" w:hAnsi="Calibri" w:eastAsia="宋体" w:cs="Times New Roman"/>
          <w:sz w:val="24"/>
          <w:szCs w:val="24"/>
        </w:rPr>
        <w:outlineLvl w:val="1"/>
      </w:pPr>
      <w:r>
        <w:rPr>
          <w:rFonts w:hint="eastAsia" w:ascii="宋体" w:hAnsi="宋体" w:eastAsia="宋体" w:cs="Times New Roman"/>
          <w:b/>
          <w:sz w:val="24"/>
          <w:szCs w:val="24"/>
        </w:rPr>
        <w:br w:type="page" w:clear="all"/>
      </w:r>
      <w:bookmarkStart w:id="479" w:name="_Toc163508331"/>
      <w:r/>
      <w:bookmarkStart w:id="480" w:name="_Toc163508406"/>
      <w:r/>
      <w:bookmarkStart w:id="481" w:name="_Toc1922391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79"/>
      <w:r/>
      <w:bookmarkEnd w:id="480"/>
      <w:r/>
      <w:bookmarkEnd w:id="481"/>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二、</w:t>
      </w:r>
      <w:r>
        <w:rPr>
          <w:rFonts w:ascii="宋体" w:hAnsi="宋体" w:eastAsia="宋体" w:cs="宋体"/>
          <w:bCs/>
          <w:color w:val="000000"/>
          <w:sz w:val="24"/>
          <w:szCs w:val="24"/>
        </w:rPr>
        <w:t xml:space="preserve">项目服务要求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3.必须</w:t>
      </w:r>
      <w:r>
        <w:rPr>
          <w:rFonts w:ascii="宋体" w:hAnsi="宋体" w:eastAsia="宋体" w:cs="宋体"/>
          <w:color w:val="000000"/>
          <w:sz w:val="24"/>
          <w:szCs w:val="24"/>
        </w:rPr>
        <w:t xml:space="preserve">响应实质性条款，否则视为无效</w:t>
      </w:r>
      <w:r>
        <w:rPr>
          <w:rFonts w:hint="eastAsia" w:ascii="宋体" w:hAnsi="宋体" w:eastAsia="宋体" w:cs="宋体"/>
          <w:color w:val="000000"/>
          <w:sz w:val="24"/>
          <w:szCs w:val="24"/>
        </w:rPr>
        <w:t xml:space="preserve">投标</w:t>
      </w:r>
      <w:r>
        <w:rPr>
          <w:rFonts w:ascii="宋体" w:hAnsi="宋体" w:eastAsia="宋体" w:cs="宋体"/>
          <w:color w:val="000000"/>
          <w:sz w:val="24"/>
          <w:szCs w:val="24"/>
        </w:rPr>
        <w:t xml:space="preserve">。</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4.表格不够可另接。</w:t>
      </w:r>
      <w:r/>
    </w:p>
    <w:p>
      <w:pPr>
        <w:jc w:val="center"/>
        <w:rPr>
          <w:rFonts w:ascii="宋体" w:hAnsi="宋体" w:eastAsia="宋体" w:cs="Times New Roman"/>
          <w:sz w:val="24"/>
          <w:szCs w:val="24"/>
        </w:rPr>
        <w:outlineLvl w:val="1"/>
      </w:pPr>
      <w:r>
        <w:rPr>
          <w:rFonts w:hint="eastAsia" w:ascii="宋体" w:hAnsi="宋体" w:eastAsia="宋体" w:cs="Times New Roman"/>
          <w:b/>
          <w:sz w:val="24"/>
          <w:szCs w:val="24"/>
        </w:rPr>
        <w:br w:type="page" w:clear="all"/>
      </w:r>
      <w:bookmarkStart w:id="482" w:name="_Toc163508407"/>
      <w:r/>
      <w:bookmarkStart w:id="483" w:name="_Toc163508332"/>
      <w:r/>
      <w:r/>
    </w:p>
    <w:p>
      <w:pPr>
        <w:jc w:val="center"/>
        <w:rPr>
          <w:rFonts w:ascii="Times New Roman" w:hAnsi="Times New Roman" w:eastAsia="宋体" w:cs="Times New Roman"/>
          <w:b/>
          <w:bCs/>
          <w:sz w:val="28"/>
          <w:szCs w:val="28"/>
        </w:rPr>
        <w:outlineLvl w:val="1"/>
      </w:pPr>
      <w:r/>
      <w:bookmarkStart w:id="484" w:name="_Toc1922391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商务要求响应及偏离表</w:t>
      </w:r>
      <w:bookmarkEnd w:id="482"/>
      <w:r/>
      <w:bookmarkEnd w:id="483"/>
      <w:r/>
      <w:bookmarkEnd w:id="484"/>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85" w:name="_Toc43821328"/>
      <w:r/>
      <w:bookmarkStart w:id="486" w:name="_Toc522610225"/>
      <w:r/>
      <w:bookmarkStart w:id="487" w:name="_Toc166007496"/>
      <w:r/>
      <w:bookmarkStart w:id="488" w:name="_Toc354834784"/>
      <w:r/>
      <w:bookmarkStart w:id="489" w:name="_Toc146524609"/>
      <w:r/>
      <w:bookmarkStart w:id="490" w:name="_Toc387400419"/>
      <w:r/>
      <w:bookmarkStart w:id="491" w:name="_Toc1922391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业绩一览表</w:t>
      </w:r>
      <w:bookmarkEnd w:id="485"/>
      <w:r/>
      <w:bookmarkEnd w:id="486"/>
      <w:r/>
      <w:bookmarkEnd w:id="487"/>
      <w:r/>
      <w:bookmarkEnd w:id="488"/>
      <w:r/>
      <w:bookmarkEnd w:id="489"/>
      <w:r/>
      <w:bookmarkEnd w:id="490"/>
      <w:r/>
      <w:bookmarkEnd w:id="491"/>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备注（类型）</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92" w:name="_Hlt26955054"/>
      <w:r/>
      <w:bookmarkStart w:id="493" w:name="_Toc163508408"/>
      <w:r/>
      <w:bookmarkStart w:id="494" w:name="_Toc163508333"/>
      <w:r/>
      <w:bookmarkStart w:id="495" w:name="_Toc192239149"/>
      <w:r/>
      <w:bookmarkEnd w:id="492"/>
      <w:r>
        <w:rPr>
          <w:rFonts w:hint="eastAsia" w:ascii="宋体" w:hAnsi="宋体" w:eastAsia="宋体" w:cs="Times New Roman"/>
          <w:b/>
          <w:bCs/>
          <w:sz w:val="32"/>
          <w:szCs w:val="32"/>
        </w:rPr>
        <w:t xml:space="preserve">其他</w:t>
      </w:r>
      <w:r>
        <w:rPr>
          <w:rFonts w:hint="eastAsia" w:ascii="宋体" w:hAnsi="宋体" w:eastAsia="宋体" w:cs="Times New Roman"/>
          <w:b/>
          <w:bCs/>
          <w:sz w:val="32"/>
          <w:szCs w:val="32"/>
        </w:rPr>
        <w:t xml:space="preserve">附件</w:t>
      </w:r>
      <w:bookmarkEnd w:id="493"/>
      <w:r/>
      <w:bookmarkEnd w:id="494"/>
      <w:r>
        <w:rPr>
          <w:rFonts w:hint="eastAsia" w:ascii="宋体" w:hAnsi="宋体" w:eastAsia="宋体" w:cs="Times New Roman"/>
          <w:b/>
          <w:bCs/>
          <w:sz w:val="32"/>
          <w:szCs w:val="32"/>
        </w:rPr>
        <w:t xml:space="preserve">  硬件</w:t>
      </w:r>
      <w:r>
        <w:rPr>
          <w:rFonts w:hint="eastAsia" w:ascii="宋体" w:hAnsi="宋体" w:eastAsia="宋体" w:cs="Times New Roman"/>
          <w:b/>
          <w:bCs/>
          <w:sz w:val="32"/>
          <w:szCs w:val="32"/>
        </w:rPr>
        <w:t xml:space="preserve">主要</w:t>
      </w:r>
      <w:r>
        <w:rPr>
          <w:rFonts w:hint="eastAsia" w:ascii="宋体" w:hAnsi="宋体" w:eastAsia="宋体" w:cs="Times New Roman"/>
          <w:b/>
          <w:bCs/>
          <w:sz w:val="32"/>
          <w:szCs w:val="32"/>
        </w:rPr>
        <w:t xml:space="preserve">设备清单</w:t>
      </w:r>
      <w:bookmarkEnd w:id="495"/>
      <w:r/>
      <w:r/>
    </w:p>
    <w:tbl>
      <w:tblPr>
        <w:tblW w:w="10626" w:type="dxa"/>
        <w:tblLook w:val="04A0" w:firstRow="1" w:lastRow="0" w:firstColumn="1" w:lastColumn="0" w:noHBand="0" w:noVBand="1"/>
      </w:tblPr>
      <w:tblGrid>
        <w:gridCol w:w="556"/>
        <w:gridCol w:w="998"/>
        <w:gridCol w:w="1417"/>
        <w:gridCol w:w="1701"/>
        <w:gridCol w:w="1418"/>
        <w:gridCol w:w="2835"/>
        <w:gridCol w:w="170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序号</w:t>
            </w:r>
            <w:r/>
          </w:p>
        </w:tc>
        <w:tc>
          <w:tcPr>
            <w:shd w:val="clear" w:color="auto" w:fill="auto"/>
            <w:tcBorders>
              <w:top w:val="single" w:color="auto" w:sz="8"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需求名称</w:t>
            </w:r>
            <w:r/>
          </w:p>
        </w:tc>
        <w:tc>
          <w:tcPr>
            <w:shd w:val="clear" w:color="auto" w:fill="auto"/>
            <w:tcBorders>
              <w:top w:val="single" w:color="auto" w:sz="8" w:space="0"/>
              <w:left w:val="single" w:color="auto" w:sz="4" w:space="0"/>
              <w:bottom w:val="single" w:color="000000" w:sz="4" w:space="0"/>
              <w:right w:val="single" w:color="auto" w:sz="4" w:space="0"/>
            </w:tcBorders>
            <w:tcW w:w="1417" w:type="dxa"/>
            <w:vAlign w:val="center"/>
            <w:vMerge w:val="restart"/>
            <w:textDirection w:val="lrTb"/>
            <w:noWrap w:val="false"/>
          </w:tcPr>
          <w:p>
            <w:pPr>
              <w:jc w:val="center"/>
              <w:widowControl/>
              <w:rPr>
                <w:rFonts w:ascii="等线" w:hAnsi="等线" w:eastAsia="等线" w:cs="宋体"/>
                <w:b/>
                <w:bCs/>
                <w:color w:val="000000"/>
                <w:sz w:val="22"/>
              </w:rPr>
            </w:pPr>
            <w:r>
              <w:rPr>
                <w:rFonts w:hint="eastAsia" w:ascii="等线" w:hAnsi="等线" w:eastAsia="等线" w:cs="宋体"/>
                <w:b/>
                <w:bCs/>
                <w:color w:val="000000"/>
                <w:sz w:val="22"/>
              </w:rPr>
              <w:t xml:space="preserve">分项名称</w:t>
            </w:r>
            <w:r/>
          </w:p>
        </w:tc>
        <w:tc>
          <w:tcPr>
            <w:shd w:val="clear" w:color="auto" w:fill="auto"/>
            <w:tcBorders>
              <w:top w:val="single" w:color="auto" w:sz="8"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设备名称</w:t>
            </w:r>
            <w:r/>
          </w:p>
        </w:tc>
        <w:tc>
          <w:tcPr>
            <w:shd w:val="clear" w:color="auto" w:fill="auto"/>
            <w:tcBorders>
              <w:top w:val="single" w:color="auto" w:sz="8" w:space="0"/>
              <w:left w:val="single" w:color="auto" w:sz="4" w:space="0"/>
              <w:bottom w:val="single" w:color="000000" w:sz="4" w:space="0"/>
              <w:right w:val="single" w:color="auto" w:sz="4" w:space="0"/>
            </w:tcBorders>
            <w:tcW w:w="1418"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设备品牌</w:t>
            </w:r>
            <w:r/>
          </w:p>
        </w:tc>
        <w:tc>
          <w:tcPr>
            <w:shd w:val="clear" w:color="auto" w:fill="auto"/>
            <w:tcBorders>
              <w:top w:val="single" w:color="auto" w:sz="8" w:space="0"/>
              <w:left w:val="single" w:color="auto" w:sz="4" w:space="0"/>
              <w:bottom w:val="single" w:color="000000" w:sz="4" w:space="0"/>
              <w:right w:val="single" w:color="auto" w:sz="4" w:space="0"/>
            </w:tcBorders>
            <w:tcW w:w="2835"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设备型号</w:t>
            </w:r>
            <w:r/>
          </w:p>
        </w:tc>
        <w:tc>
          <w:tcPr>
            <w:shd w:val="clear" w:color="auto" w:fill="auto"/>
            <w:tcBorders>
              <w:top w:val="single" w:color="auto" w:sz="8"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b/>
                <w:bCs/>
                <w:color w:val="000000"/>
                <w:sz w:val="22"/>
              </w:rPr>
            </w:pPr>
            <w:r>
              <w:rPr>
                <w:rFonts w:hint="eastAsia" w:ascii="宋体" w:hAnsi="宋体" w:eastAsia="宋体" w:cs="宋体"/>
                <w:b/>
                <w:bCs/>
                <w:color w:val="000000"/>
                <w:sz w:val="22"/>
              </w:rPr>
              <w:t xml:space="preserve">设备数量</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UPS、弱电等设备运维</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UPS维保</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科士达</w:t>
            </w:r>
            <w:r>
              <w:rPr>
                <w:rFonts w:hint="eastAsia" w:ascii="宋体" w:hAnsi="宋体" w:eastAsia="宋体" w:cs="宋体"/>
                <w:color w:val="000000"/>
                <w:sz w:val="22"/>
              </w:rPr>
              <w:br/>
              <w:t xml:space="preserve">艾默生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科士达（M30KVA）</w:t>
            </w:r>
            <w:r>
              <w:rPr>
                <w:rFonts w:hint="eastAsia" w:ascii="宋体" w:hAnsi="宋体" w:eastAsia="宋体" w:cs="宋体"/>
                <w:color w:val="000000"/>
                <w:sz w:val="22"/>
              </w:rPr>
              <w:br/>
              <w:t xml:space="preserve">艾默生（UHA3R-0200L）</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UPS：2台、蓄电池：72节</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non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弱电智能化系统维护服务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监控平台</w:t>
            </w:r>
            <w:r>
              <w:rPr>
                <w:rFonts w:hint="eastAsia" w:ascii="宋体" w:hAnsi="宋体" w:eastAsia="宋体" w:cs="宋体"/>
                <w:color w:val="000000"/>
                <w:sz w:val="22"/>
              </w:rPr>
              <w:br/>
              <w:t xml:space="preserve">门禁平台</w:t>
            </w:r>
            <w:r>
              <w:rPr>
                <w:rFonts w:hint="eastAsia" w:ascii="宋体" w:hAnsi="宋体" w:eastAsia="宋体" w:cs="宋体"/>
                <w:color w:val="000000"/>
                <w:sz w:val="22"/>
              </w:rPr>
              <w:br/>
              <w:t xml:space="preserve">车载平台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rPr>
                <w:rFonts w:hint="eastAsia" w:ascii="宋体" w:hAnsi="宋体" w:eastAsia="宋体" w:cs="宋体"/>
                <w:color w:val="000000"/>
                <w:sz w:val="22"/>
              </w:rPr>
              <w:br/>
              <w:t xml:space="preserve">大华</w:t>
            </w:r>
            <w:r>
              <w:rPr>
                <w:rFonts w:hint="eastAsia" w:ascii="宋体" w:hAnsi="宋体" w:eastAsia="宋体" w:cs="宋体"/>
                <w:color w:val="000000"/>
                <w:sz w:val="22"/>
              </w:rPr>
              <w:b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7016</w:t>
            </w:r>
            <w:r>
              <w:rPr>
                <w:rFonts w:hint="eastAsia" w:ascii="宋体" w:hAnsi="宋体" w:eastAsia="宋体" w:cs="宋体"/>
                <w:color w:val="000000"/>
                <w:sz w:val="22"/>
              </w:rPr>
              <w:br/>
              <w:t xml:space="preserve">H8900S3-B</w:t>
            </w:r>
            <w:r>
              <w:rPr>
                <w:rFonts w:hint="eastAsia" w:ascii="宋体" w:hAnsi="宋体" w:eastAsia="宋体" w:cs="宋体"/>
                <w:color w:val="000000"/>
                <w:sz w:val="22"/>
              </w:rPr>
              <w:br/>
              <w:t xml:space="preserve">J8700S1</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31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监控交换机</w:t>
            </w:r>
            <w:r>
              <w:rPr>
                <w:rFonts w:hint="eastAsia" w:ascii="宋体" w:hAnsi="宋体" w:eastAsia="宋体" w:cs="宋体"/>
                <w:color w:val="000000"/>
                <w:sz w:val="22"/>
              </w:rPr>
              <w:br/>
              <w:t xml:space="preserve">门禁交换机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rPr>
                <w:rFonts w:hint="eastAsia" w:ascii="宋体" w:hAnsi="宋体" w:eastAsia="宋体" w:cs="宋体"/>
                <w:color w:val="000000"/>
                <w:sz w:val="22"/>
              </w:rPr>
              <w:br/>
              <w:t xml:space="preserve">锐捷</w:t>
            </w:r>
            <w:r>
              <w:rPr>
                <w:rFonts w:hint="eastAsia" w:ascii="宋体" w:hAnsi="宋体" w:eastAsia="宋体" w:cs="宋体"/>
                <w:color w:val="000000"/>
                <w:sz w:val="22"/>
              </w:rPr>
              <w:br/>
              <w:t xml:space="preserve">D-Link</w:t>
            </w:r>
            <w:r>
              <w:rPr>
                <w:rFonts w:hint="eastAsia" w:ascii="宋体" w:hAnsi="宋体" w:eastAsia="宋体" w:cs="宋体"/>
                <w:color w:val="000000"/>
                <w:sz w:val="22"/>
              </w:rPr>
              <w:br/>
              <w:t xml:space="preserve">TP-LINK</w:t>
            </w:r>
            <w:r>
              <w:rPr>
                <w:rFonts w:hint="eastAsia" w:ascii="宋体" w:hAnsi="宋体" w:eastAsia="宋体" w:cs="宋体"/>
                <w:color w:val="000000"/>
                <w:sz w:val="22"/>
              </w:rPr>
              <w:br/>
              <w:t xml:space="preserve">海康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H3C LS-7510E-X</w:t>
            </w:r>
            <w:r>
              <w:rPr>
                <w:rFonts w:hint="eastAsia" w:ascii="宋体" w:hAnsi="宋体" w:eastAsia="宋体" w:cs="宋体"/>
                <w:color w:val="000000"/>
                <w:sz w:val="22"/>
              </w:rPr>
              <w:br/>
              <w:t xml:space="preserve">H3C LS-S3110-52TP</w:t>
            </w:r>
            <w:r>
              <w:rPr>
                <w:rFonts w:hint="eastAsia" w:ascii="宋体" w:hAnsi="宋体" w:eastAsia="宋体" w:cs="宋体"/>
                <w:color w:val="000000"/>
                <w:sz w:val="22"/>
              </w:rPr>
              <w:br/>
              <w:t xml:space="preserve">H3C LS-S3110-26TP</w:t>
            </w:r>
            <w:r>
              <w:rPr>
                <w:rFonts w:hint="eastAsia" w:ascii="宋体" w:hAnsi="宋体" w:eastAsia="宋体" w:cs="宋体"/>
                <w:color w:val="000000"/>
                <w:sz w:val="22"/>
              </w:rPr>
              <w:br/>
              <w:t xml:space="preserve">H3C LS-3100V2-16TP-EI</w:t>
            </w:r>
            <w:r>
              <w:rPr>
                <w:rFonts w:hint="eastAsia" w:ascii="宋体" w:hAnsi="宋体" w:eastAsia="宋体" w:cs="宋体"/>
                <w:color w:val="000000"/>
                <w:sz w:val="22"/>
              </w:rPr>
              <w:br/>
              <w:t xml:space="preserve">锐捷RG-S1824+</w:t>
            </w:r>
            <w:r>
              <w:rPr>
                <w:rFonts w:hint="eastAsia" w:ascii="宋体" w:hAnsi="宋体" w:eastAsia="宋体" w:cs="宋体"/>
                <w:color w:val="000000"/>
                <w:sz w:val="22"/>
              </w:rPr>
              <w:br/>
              <w:t xml:space="preserve">H3C S5024</w:t>
            </w:r>
            <w:r>
              <w:rPr>
                <w:rFonts w:hint="eastAsia" w:ascii="宋体" w:hAnsi="宋体" w:eastAsia="宋体" w:cs="宋体"/>
                <w:color w:val="000000"/>
                <w:sz w:val="22"/>
              </w:rPr>
              <w:br/>
              <w:t xml:space="preserve">D-Link DGS-108</w:t>
            </w:r>
            <w:r>
              <w:rPr>
                <w:rFonts w:hint="eastAsia" w:ascii="宋体" w:hAnsi="宋体" w:eastAsia="宋体" w:cs="宋体"/>
                <w:color w:val="000000"/>
                <w:sz w:val="22"/>
              </w:rPr>
              <w:br/>
              <w:t xml:space="preserve">H3C LS-5130S-52P-EI</w:t>
            </w:r>
            <w:r>
              <w:rPr>
                <w:rFonts w:hint="eastAsia" w:ascii="宋体" w:hAnsi="宋体" w:eastAsia="宋体" w:cs="宋体"/>
                <w:color w:val="000000"/>
                <w:sz w:val="22"/>
              </w:rPr>
              <w:br/>
              <w:t xml:space="preserve">TP-LINK TL-SF1024S</w:t>
            </w:r>
            <w:r>
              <w:rPr>
                <w:rFonts w:hint="eastAsia" w:ascii="宋体" w:hAnsi="宋体" w:eastAsia="宋体" w:cs="宋体"/>
                <w:color w:val="000000"/>
                <w:sz w:val="22"/>
              </w:rPr>
              <w:br/>
              <w:t xml:space="preserve">H3C LS-E528C-H1</w:t>
            </w:r>
            <w:r>
              <w:rPr>
                <w:rFonts w:hint="eastAsia" w:ascii="宋体" w:hAnsi="宋体" w:eastAsia="宋体" w:cs="宋体"/>
                <w:color w:val="000000"/>
                <w:sz w:val="22"/>
              </w:rPr>
              <w:br/>
              <w:t xml:space="preserve">DS-3E1526P-S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45</w:t>
            </w:r>
            <w:r/>
          </w:p>
        </w:tc>
      </w:tr>
      <w:tr>
        <w:trPr>
          <w:trHeight w:val="2880"/>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摄像机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rPr>
                <w:rFonts w:hint="eastAsia" w:ascii="宋体" w:hAnsi="宋体" w:eastAsia="宋体" w:cs="宋体"/>
                <w:color w:val="000000"/>
                <w:sz w:val="22"/>
              </w:rPr>
              <w:br/>
              <w:t xml:space="preserve">海康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HDBW5233E-Z、</w:t>
            </w:r>
            <w:r>
              <w:rPr>
                <w:rFonts w:hint="eastAsia" w:ascii="宋体" w:hAnsi="宋体" w:eastAsia="宋体" w:cs="宋体"/>
                <w:color w:val="000000"/>
                <w:sz w:val="22"/>
              </w:rPr>
              <w:br/>
              <w:t xml:space="preserve">HDBW5477R2-ZYL、</w:t>
            </w:r>
            <w:r>
              <w:rPr>
                <w:rFonts w:hint="eastAsia" w:ascii="宋体" w:hAnsi="宋体" w:eastAsia="宋体" w:cs="宋体"/>
                <w:color w:val="000000"/>
                <w:sz w:val="22"/>
              </w:rPr>
              <w:br/>
              <w:t xml:space="preserve">HDBW5477R1-ZYL-CSMG</w:t>
            </w:r>
            <w:r>
              <w:rPr>
                <w:rFonts w:hint="eastAsia" w:ascii="宋体" w:hAnsi="宋体" w:eastAsia="宋体" w:cs="宋体"/>
                <w:color w:val="000000"/>
                <w:sz w:val="22"/>
              </w:rPr>
              <w:br/>
              <w:t xml:space="preserve">EBW8630</w:t>
            </w:r>
            <w:r>
              <w:rPr>
                <w:rFonts w:hint="eastAsia" w:ascii="宋体" w:hAnsi="宋体" w:eastAsia="宋体" w:cs="宋体"/>
                <w:color w:val="000000"/>
                <w:sz w:val="22"/>
              </w:rPr>
              <w:br/>
              <w:t xml:space="preserve">HFW8238E</w:t>
            </w:r>
            <w:r>
              <w:rPr>
                <w:rFonts w:hint="eastAsia" w:ascii="宋体" w:hAnsi="宋体" w:eastAsia="宋体" w:cs="宋体"/>
                <w:color w:val="000000"/>
                <w:sz w:val="22"/>
              </w:rPr>
              <w:br/>
              <w:t xml:space="preserve">HFW3433dM-AS-I1</w:t>
            </w:r>
            <w:r>
              <w:rPr>
                <w:rFonts w:hint="eastAsia" w:ascii="宋体" w:hAnsi="宋体" w:eastAsia="宋体" w:cs="宋体"/>
                <w:color w:val="000000"/>
                <w:sz w:val="22"/>
              </w:rPr>
              <w:br/>
              <w:t xml:space="preserve">SD-60D230UB-HNI</w:t>
            </w:r>
            <w:r>
              <w:rPr>
                <w:rFonts w:hint="eastAsia" w:ascii="宋体" w:hAnsi="宋体" w:eastAsia="宋体" w:cs="宋体"/>
                <w:color w:val="000000"/>
                <w:sz w:val="22"/>
              </w:rPr>
              <w:br/>
              <w:t xml:space="preserve">HDBW5443RXY-AS-V3</w:t>
            </w:r>
            <w:r>
              <w:rPr>
                <w:rFonts w:hint="eastAsia" w:ascii="宋体" w:hAnsi="宋体" w:eastAsia="宋体" w:cs="宋体"/>
                <w:color w:val="000000"/>
                <w:sz w:val="22"/>
              </w:rPr>
              <w:br/>
              <w:t xml:space="preserve">IDS-2PT3D40MIX-DE/CS</w:t>
            </w:r>
            <w:r>
              <w:rPr>
                <w:rFonts w:hint="eastAsia" w:ascii="宋体" w:hAnsi="宋体" w:eastAsia="宋体" w:cs="宋体"/>
                <w:color w:val="000000"/>
                <w:sz w:val="22"/>
              </w:rPr>
              <w:br/>
              <w:t xml:space="preserve">DS-2CD7A47EMC-IZS/GH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643</w:t>
            </w:r>
            <w:r/>
          </w:p>
        </w:tc>
      </w:tr>
      <w:tr>
        <w:trPr>
          <w:trHeight w:val="115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NVR</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rPr>
                <w:rFonts w:hint="eastAsia" w:ascii="宋体" w:hAnsi="宋体" w:eastAsia="宋体" w:cs="宋体"/>
                <w:color w:val="000000"/>
                <w:sz w:val="22"/>
              </w:rPr>
              <w:br/>
              <w:t xml:space="preserve">海康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DH-NVR608-32-4KS2、</w:t>
            </w:r>
            <w:r>
              <w:rPr>
                <w:rFonts w:hint="eastAsia" w:ascii="宋体" w:hAnsi="宋体" w:eastAsia="宋体" w:cs="宋体"/>
                <w:color w:val="000000"/>
                <w:sz w:val="22"/>
              </w:rPr>
              <w:br/>
              <w:t xml:space="preserve">DH-NVR5032-4KS3/I、</w:t>
            </w:r>
            <w:r>
              <w:rPr>
                <w:rFonts w:hint="eastAsia" w:ascii="宋体" w:hAnsi="宋体" w:eastAsia="宋体" w:cs="宋体"/>
                <w:color w:val="000000"/>
                <w:sz w:val="22"/>
              </w:rPr>
              <w:br/>
              <w:t xml:space="preserve">DH-NVR5064-4K、</w:t>
            </w:r>
            <w:r>
              <w:rPr>
                <w:rFonts w:hint="eastAsia" w:ascii="宋体" w:hAnsi="宋体" w:eastAsia="宋体" w:cs="宋体"/>
                <w:color w:val="000000"/>
                <w:sz w:val="22"/>
              </w:rPr>
              <w:br/>
              <w:t xml:space="preserve">DS-8832N-R8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门禁系统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大华、立方、平治、华尔、FCARD</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门禁一体机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大华、立方、平治、华尔、FCARD</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356</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LED屏</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大华、海康、润捷、强力巨彩、佳彩</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DH PHEIA2.5-SS</w:t>
            </w:r>
            <w:r>
              <w:rPr>
                <w:rFonts w:hint="eastAsia" w:ascii="宋体" w:hAnsi="宋体" w:eastAsia="宋体" w:cs="宋体"/>
                <w:color w:val="000000"/>
                <w:sz w:val="22"/>
              </w:rPr>
              <w:br/>
              <w:t xml:space="preserve">DS-D4012FI-CWF/SF</w:t>
            </w:r>
            <w:r>
              <w:rPr>
                <w:rFonts w:hint="eastAsia" w:ascii="宋体" w:hAnsi="宋体" w:eastAsia="宋体" w:cs="宋体"/>
                <w:color w:val="000000"/>
                <w:sz w:val="22"/>
              </w:rPr>
              <w:br/>
              <w:t xml:space="preserve">DH-PHSIA2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18</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会议扩音系统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海翼、ITC、卡度等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13</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医保数据中心运维保障（硬件）</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内外网核心防火墙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SG-6000-E5260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入侵防御设备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NIPS-2000-B2100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上网行为管理设备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AC-1000-B1400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WEB应用防护设备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TopWAF(TWF-62128)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态势感知分析平台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SIP-1000-F600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态势感知探针</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STA-100-B2200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数据库安全网关</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深普科技</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DMStar</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外网堡垒机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TopSAG</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外网日志服务器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TopAudit TA-L</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网闸</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TopRules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VPN设备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VPN-1000-B1100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医保数据库与服务器运维监控服务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财务服务器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R740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存储光纤交换机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FS6700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GPU服务器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NF5280M5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核心库RAC</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R6900 G3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超融合服务器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NF5280M5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回流库、审核库</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NF8480M5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回流库存储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OceanStor 5510 V5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存储光纤交换机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博科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FC-SW 6510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财政信息化设备运维</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安全设备运维</w:t>
            </w:r>
            <w:r/>
          </w:p>
        </w:tc>
        <w:tc>
          <w:tcPr>
            <w:shd w:val="clear" w:color="auto" w:fill="auto"/>
            <w:tcBorders>
              <w:top w:val="none" w:color="000000" w:sz="4" w:space="0"/>
              <w:left w:val="none" w:color="000000" w:sz="4" w:space="0"/>
              <w:bottom w:val="single" w:color="000000" w:sz="4" w:space="0"/>
              <w:right w:val="non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安全态势感知服务器(探针）</w:t>
            </w:r>
            <w:r/>
          </w:p>
        </w:tc>
        <w:tc>
          <w:tcPr>
            <w:shd w:val="clear" w:color="auto" w:fill="auto"/>
            <w:tcBorders>
              <w:top w:val="non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sta-100-b440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安全态势感知服务器(平台）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sip-1000-e600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CA认证服务器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意源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SAP2000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签名验签服务器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信安世纪</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NetSign13500-C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安全网关服务器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信安世纪</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NSAE12000G-NL-C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H3C路由器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msr5660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安全设备运维2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网闸</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网御星云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sis3000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APC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symmetraLx16000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艾默生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P2050UARMSIR</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VNX5500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S5736-S48T4XC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DL380 G6</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DL388 G7</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DL388p Gen8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DL388 Gen9</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 X3650M4</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PC服务器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 X3850X5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内网防火墙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NGFW4000-UF(NG-51028)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外网防火墙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NGFW4000-UF(TG-4210)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应急能力建设工作（硬件）</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三网安全互联设备服务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明御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DAS-TGFW-A1200-FU</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核心网络交换服务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 S7003X</w:t>
            </w:r>
            <w:r>
              <w:rPr>
                <w:rFonts w:hint="eastAsia" w:ascii="宋体" w:hAnsi="宋体" w:eastAsia="宋体" w:cs="宋体"/>
                <w:color w:val="000000"/>
                <w:sz w:val="22"/>
              </w:rPr>
              <w:br/>
              <w:t xml:space="preserve">H3C S7006X</w:t>
            </w:r>
            <w:r>
              <w:rPr>
                <w:rFonts w:hint="eastAsia" w:ascii="宋体" w:hAnsi="宋体" w:eastAsia="宋体" w:cs="宋体"/>
                <w:color w:val="000000"/>
                <w:sz w:val="22"/>
              </w:rPr>
              <w:br/>
              <w:t xml:space="preserve">LS-5024PV5-EI 3台</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内网运维保障及政务内、外网LRA维保服务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施耐德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TDAR1822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吊顶式新风机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天方</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X04E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70L柜式灭火装</w:t>
            </w:r>
            <w:r>
              <w:rPr>
                <w:rFonts w:hint="eastAsia" w:ascii="宋体" w:hAnsi="宋体" w:eastAsia="宋体" w:cs="宋体"/>
                <w:color w:val="000000"/>
                <w:sz w:val="22"/>
              </w:rPr>
              <w:br/>
              <w:t xml:space="preserve">置</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宁华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GQQ70/2.5-EZ</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120L柜式灭火装</w:t>
            </w:r>
            <w:r>
              <w:rPr>
                <w:rFonts w:hint="eastAsia" w:ascii="宋体" w:hAnsi="宋体" w:eastAsia="宋体" w:cs="宋体"/>
                <w:color w:val="000000"/>
                <w:sz w:val="22"/>
              </w:rPr>
              <w:br/>
              <w:t xml:space="preserve">置</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宁华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GQQ120/2.5-EZ</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UPS主机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施耐德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SYCF160KH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UPS主机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中达电</w:t>
            </w:r>
            <w:r>
              <w:rPr>
                <w:rFonts w:hint="eastAsia" w:ascii="宋体" w:hAnsi="宋体" w:eastAsia="宋体" w:cs="宋体"/>
                <w:color w:val="000000"/>
                <w:sz w:val="22"/>
              </w:rPr>
              <w:br/>
              <w:t xml:space="preserve">通</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3915100421-S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中标麒麟服务器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天玥</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SR117220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29</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AR3260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接入交换机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S5720-36C-EI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S9303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S9306</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S5130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S5560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S5720-36C-EI-28S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S12708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密码机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东进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SJJ1946-G</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堡垒机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OSM-1000-C600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启明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USG-FW-1008DP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身份认证服务器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意源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AK-SAP2000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电子签名验签服务器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意源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IB-TrusSign</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电子签章系统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意源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AK-IB-TrusEssv1.0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终端安全登录服务端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意源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IB-SecDesk200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网络/数据库审计系统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TA-11214-DB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负载均衡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AX2000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备份恢复一体机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爱数</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爱数备份恢复存储</w:t>
            </w:r>
            <w:r>
              <w:rPr>
                <w:rFonts w:hint="eastAsia" w:ascii="宋体" w:hAnsi="宋体" w:eastAsia="宋体" w:cs="宋体"/>
                <w:color w:val="000000"/>
                <w:sz w:val="24"/>
                <w:szCs w:val="24"/>
              </w:rPr>
              <w:t xml:space="preserve">V6.0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双控存储系统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同有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iSUM A1600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WAF</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vpn</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E2800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板块机房运维服务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16个板块机房</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设备续保服务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AR3260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S12708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汇聚交换机1</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S9303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汇聚交换机2</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S9306</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汇聚交换机3</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S5720-36C-EI-28S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防火墙1</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山石网科SG-6000-E3960-AD</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防火墙2</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启明星辰</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启明星辰USG-FW-1008DP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备份恢复一体机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爱数</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VX1210-LX</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non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服务器密码机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东进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SJJ1946-G</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城市管理工作平台（原市容秩序管理系统）运维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EDR</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平台+Windows Server *10+智防智控智响应各300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安全感知平台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SIP-1000-E600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潜伏威胁探针</w:t>
            </w:r>
            <w:r/>
          </w:p>
        </w:tc>
        <w:tc>
          <w:tcPr>
            <w:shd w:val="clear" w:color="auto" w:fill="auto"/>
            <w:tcBorders>
              <w:top w:val="none" w:color="000000" w:sz="4" w:space="0"/>
              <w:left w:val="none" w:color="000000" w:sz="4" w:space="0"/>
              <w:bottom w:val="non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non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STA-100-B420</w:t>
            </w:r>
            <w:r/>
          </w:p>
        </w:tc>
        <w:tc>
          <w:tcPr>
            <w:shd w:val="clear" w:color="auto" w:fill="auto"/>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864"/>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环卫综合管理信息系统运维服务（硬件）</w:t>
            </w:r>
            <w:r/>
          </w:p>
        </w:tc>
        <w:tc>
          <w:tcPr>
            <w:shd w:val="clear" w:color="auto" w:fill="auto"/>
            <w:tcBorders>
              <w:top w:val="single" w:color="000000" w:sz="8"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DELL应用服务器、数据备份服务器</w:t>
            </w:r>
            <w:r/>
          </w:p>
        </w:tc>
        <w:tc>
          <w:tcPr>
            <w:shd w:val="clear" w:color="auto" w:fill="auto"/>
            <w:tcBorders>
              <w:top w:val="single" w:color="000000" w:sz="8"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single" w:color="000000" w:sz="8"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PowerEdge R720</w:t>
            </w:r>
            <w:r/>
          </w:p>
        </w:tc>
        <w:tc>
          <w:tcPr>
            <w:shd w:val="clear" w:color="auto" w:fill="auto"/>
            <w:tcBorders>
              <w:top w:val="single" w:color="000000" w:sz="8"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海康8600平台服务器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IS-VSE2326X-NDA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数据库服务器及配套服务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PowerVault MD3200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S5130-28S-EI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8"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H3C防火墙</w:t>
            </w:r>
            <w:r/>
          </w:p>
        </w:tc>
        <w:tc>
          <w:tcPr>
            <w:shd w:val="clear" w:color="auto" w:fill="auto"/>
            <w:tcBorders>
              <w:top w:val="none" w:color="000000" w:sz="4" w:space="0"/>
              <w:left w:val="none" w:color="000000" w:sz="4" w:space="0"/>
              <w:bottom w:val="single" w:color="000000" w:sz="8"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8"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NS-SecPath U200-M-AC</w:t>
            </w:r>
            <w:r/>
          </w:p>
        </w:tc>
        <w:tc>
          <w:tcPr>
            <w:shd w:val="clear" w:color="auto" w:fill="auto"/>
            <w:tcBorders>
              <w:top w:val="none" w:color="000000" w:sz="4" w:space="0"/>
              <w:left w:val="none" w:color="000000" w:sz="4" w:space="0"/>
              <w:bottom w:val="single" w:color="000000" w:sz="8"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12"/>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资规日常运行维护服务</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机房设备及软硬件维护</w:t>
            </w:r>
            <w:r/>
          </w:p>
        </w:tc>
        <w:tc>
          <w:tcPr>
            <w:shd w:val="clear" w:color="auto" w:fill="auto"/>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防火墙1</w:t>
            </w:r>
            <w:r/>
          </w:p>
        </w:tc>
        <w:tc>
          <w:tcPr>
            <w:shd w:val="clear" w:color="auto" w:fill="auto"/>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NGFW4000-UF</w:t>
            </w:r>
            <w:r>
              <w:rPr>
                <w:rFonts w:hint="eastAsia" w:ascii="宋体" w:hAnsi="宋体" w:eastAsia="宋体" w:cs="宋体"/>
                <w:color w:val="000000"/>
                <w:sz w:val="24"/>
                <w:szCs w:val="24"/>
              </w:rPr>
              <w:t xml:space="preserve"> NG-51128</w:t>
            </w:r>
            <w:r/>
          </w:p>
        </w:tc>
        <w:tc>
          <w:tcPr>
            <w:shd w:val="clear" w:color="auto" w:fill="auto"/>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防火墙2</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NGFW4000-UF</w:t>
            </w:r>
            <w:r>
              <w:rPr>
                <w:rFonts w:hint="eastAsia" w:ascii="宋体" w:hAnsi="宋体" w:eastAsia="宋体" w:cs="宋体"/>
                <w:color w:val="000000"/>
                <w:sz w:val="24"/>
                <w:szCs w:val="24"/>
              </w:rPr>
              <w:t xml:space="preserve"> NG-51028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入侵防御系统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IDP 3000</w:t>
            </w:r>
            <w:r>
              <w:rPr>
                <w:rFonts w:hint="eastAsia" w:ascii="宋体" w:hAnsi="宋体" w:eastAsia="宋体" w:cs="宋体"/>
                <w:color w:val="000000"/>
                <w:sz w:val="24"/>
                <w:szCs w:val="24"/>
              </w:rPr>
              <w:t xml:space="preserve"> TI-51214-S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上网行为管理</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ACM 3000</w:t>
            </w:r>
            <w:r>
              <w:rPr>
                <w:rFonts w:hint="eastAsia" w:ascii="宋体" w:hAnsi="宋体" w:eastAsia="宋体" w:cs="宋体"/>
                <w:color w:val="000000"/>
                <w:sz w:val="24"/>
                <w:szCs w:val="24"/>
              </w:rPr>
              <w:t xml:space="preserve"> ACM-A3108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日志审计与分析系统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 DAS-LOG-300-C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多维终端管理系统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TSM-ASM-0305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双向网闸</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TopRules TR-72218-RB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僵尸木马蠕虫监控系统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TI-51128-TVD</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杀毒软件</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 TopEDR(30个服务器端,400个PC端)</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1套</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  S7506E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R930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Storage SC4020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存储扩展柜</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SC400 （配置：12个 3.5 英寸，8TB 7.2KNLSAS 12Gb 硬盘）</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超融合服务器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天融信TH-C2115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万兆交换机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天融信S61200-8T12X</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虚拟化防火墙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天融信TopHC-SecBas-PAC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堡垒机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天融信NSAG-A3210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等线" w:hAnsi="等线" w:eastAsia="等线" w:cs="宋体"/>
                <w:color w:val="000000"/>
                <w:sz w:val="22"/>
              </w:rPr>
            </w:pPr>
            <w:r>
              <w:rPr>
                <w:rFonts w:hint="eastAsia" w:ascii="等线" w:hAnsi="等线" w:eastAsia="等线" w:cs="宋体"/>
                <w:color w:val="000000"/>
                <w:sz w:val="22"/>
              </w:rPr>
              <w:t xml:space="preserve">机房设备及软硬件维护2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R710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2900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2950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6850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R910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EMC-CX4-120-DAE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EMC-CX4-120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Compellent SC8000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Compellent SC200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R720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PowerEdge R510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PowerVlaut MD 3000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StorageWorks P2000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Proliat DL388 G7</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Proliat DL388 Gen8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 Proliat DL580 G7</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 System x3650 M4</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等线" w:hAnsi="等线" w:eastAsia="等线" w:cs="宋体"/>
                <w:color w:val="000000"/>
                <w:sz w:val="22"/>
              </w:rPr>
            </w:pPr>
            <w:r>
              <w:rPr>
                <w:rFonts w:ascii="等线" w:hAnsi="等线" w:eastAsia="等线"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戴尔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R730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电子口岸政务服务平</w:t>
            </w:r>
            <w:r>
              <w:rPr>
                <w:rFonts w:hint="eastAsia" w:ascii="宋体" w:hAnsi="宋体" w:eastAsia="宋体" w:cs="宋体"/>
                <w:color w:val="000000"/>
                <w:sz w:val="22"/>
              </w:rPr>
              <w:t xml:space="preserve">台运维服务</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服务器及网络设备运维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R710/R910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RX6600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HP</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HSV300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MSR 50-40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S7506E*2,S5120*3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机房设备运维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七氟丙烷</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艾默生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精密空调等相关设备</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莱顿</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CAI-630A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安全设备、服务器、网络设备等运维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TG-5128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TG-5128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TI-3230-IDP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TG-5128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VPN-1000-B1030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DAS-NGFW490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NIPS-1000-B1400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WAF-150AG</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DAS-A200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DAS-APT-600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EDR</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DAS-LOG-200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DAS-USM150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R730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R630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R630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联想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TS530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T110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R420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S5700-24TP-SI-AC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LS-5120-28P-SI-H3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TopVPN6000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科士达</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YDC3330H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格力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12V-100ah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深度威胁安全网关运维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亚信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DEEP EDGE300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档案信息化业务系统运维（智能化）</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智慧馆模块化一体机房运维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整体机房</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维谛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RDU-A  G2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智慧馆机房+库房海瑞氟空调一体运维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库房精密空调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海瑞氟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HAUR0852F</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115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智慧馆机房+库房环境监测（温、湿度、co2、粉尘）一体运维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档案馆库房环境监控系统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万联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DCIM3.0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业务服务器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RH5885V3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服务器及云桌面</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工作服务器加终端</w:t>
            </w:r>
            <w:r/>
          </w:p>
        </w:tc>
        <w:tc>
          <w:tcPr>
            <w:shd w:val="clear" w:color="auto" w:fill="auto"/>
            <w:tcBorders>
              <w:top w:val="none" w:color="000000" w:sz="4" w:space="0"/>
              <w:left w:val="none" w:color="000000" w:sz="4" w:space="0"/>
              <w:bottom w:val="none" w:color="000000" w:sz="4" w:space="0"/>
              <w:right w:val="none" w:color="000000" w:sz="4" w:space="0"/>
            </w:tcBorders>
            <w:tcW w:w="1418"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深信服VDS-5050，ADESK-EDU-100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4+60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局域网存储</w:t>
            </w:r>
            <w:r/>
          </w:p>
        </w:tc>
        <w:tc>
          <w:tcPr>
            <w:shd w:val="clear" w:color="auto" w:fill="auto"/>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5500V3双活</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政务网存储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日立</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HDS VSP-G200双活</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网络交换及安全设备许可授权及特征库升级</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APT网络预警平台及EDR终端检测管理</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APT及杀毒软件EDR</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1440"/>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防火墙、堡垒机、接入认证、上网行为、数据库审计、日志审计等安全设备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启明星辰</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USG-FW3600EP、OSM3800、ESM-DISC、IBM6350R-FP、GE1200E、TSOC-SA2330等安全设备</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7</w:t>
            </w:r>
            <w:r/>
          </w:p>
        </w:tc>
      </w:tr>
      <w:tr>
        <w:trPr>
          <w:trHeight w:val="1299"/>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网络交换及安全设备许可授权及特征库升级（网络交换）</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业务网络交换设备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核心交换机及楼层交换机等</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171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库房环境（恒湿）一体运维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档案馆库房恒湿管控系统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融安特</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RHXJ-C120-C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智慧馆+视频监控管理系统运维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档案馆视频监控管理系统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海康、宇视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iSecure Center-VMS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350</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人社信息化系统运维（硬件）</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核心网络及安全设备维保服务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S10506X</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LS-5560X-54C-EI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接入交换机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LS-5130S-52S-HI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SG-6000-E5260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入侵防御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SG-6000-S3060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负载均衡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AD-1000-D620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WEB防火墙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明御WAF-1000AG</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网闸</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TR-72218-RB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虚拟化服务器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UIS-Cell3010 G3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r>
      <w:tr>
        <w:trPr>
          <w:trHeight w:val="172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虚拟化软件 H3C CAS 企业版&amp;亚信安全DeepSecurity安全套件（12CPU许可）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虚拟化软件 CAS 企业版&amp;亚信安全DeepSecurity安全套件</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核心服务器及存储设备维保服务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数据库服务器（包括数据库、操作系统、缓存加速卡）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R6900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容灾服务器（包括数据库、操作系统）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R6900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生产存储（含存储虚拟化）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HDS</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VSPG350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应用存储（含存储虚拟化）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HDS</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VSPG350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SAN交换机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FS6700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VMware虚拟化平台及安全设备维保服务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SG-6000-M6860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安全态势感知平台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SIP-1000-A600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威胁探针</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STA-100-D642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数据库审计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DAS-A500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 S10504</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VNX5600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VNX5500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VNX5300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小型机系统维保服务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小型机（含操作系统和数据库）</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IBM</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Power740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一体化回流平台维保服务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回流库服务器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R4900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本地库服务器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R4900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数据库防水坝</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美创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DW-G1010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数据库脱敏</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美创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DM-G1010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测试环境及备份平台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鼎甲</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灾备一体机DK2000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中心机房UPS、机房空调维保服务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科士达</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EP30KVA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机房列间空调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英维克</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XR023&amp;XRC27 （24.5KW）</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菲尼克斯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HUA15.0BH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菲尼克斯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HUA12.5（12.5KW）单冷</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菲尼克斯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IRA25B（25.1KW）单冷</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9"/>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智慧司法云管理平台基础硬件运维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大屏等硬件</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建设时造价约70万元</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智慧文旅大平台硬件维护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智能行为分析服务器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DS-IE1016-03U/BA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三层核心交换机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S5500V3-24P-SI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运政稽查监控系统维护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网络存储服务器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DH-EVS7124S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RG-S5750C-28GT4XS-H</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硬盘录像机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DH-NVR4832-4K</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硬盘</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希捷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4T</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抓拍摄像机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DH-SD-6A9233XA-HNT</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出租车智能化管理系统运维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系统服务器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浪朝</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NF5270M5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视频服务器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浪朝</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NF5270M5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浪朝</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AS2600G2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山石网科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SG-6000-C1200W</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智能公共交通系统维护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监控接入平台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DH-AGS-B9101S3C-B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视频分布式数据节点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DH-DSS-J9001D-NODE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604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政务云维保服务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政务云设备：服务器、网络设备、安全设备、存储设备、其他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华为、爱数、网域星云、博科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  S5720-56C-EI-AC</w:t>
            </w:r>
            <w:r>
              <w:rPr>
                <w:rFonts w:hint="eastAsia" w:ascii="宋体" w:hAnsi="宋体" w:eastAsia="宋体" w:cs="宋体"/>
                <w:color w:val="000000"/>
                <w:sz w:val="22"/>
              </w:rPr>
              <w:br/>
              <w:t xml:space="preserve">华为  CE6856-48S6Q-HI</w:t>
            </w:r>
            <w:r>
              <w:rPr>
                <w:rFonts w:hint="eastAsia" w:ascii="宋体" w:hAnsi="宋体" w:eastAsia="宋体" w:cs="宋体"/>
                <w:color w:val="000000"/>
                <w:sz w:val="22"/>
              </w:rPr>
              <w:br/>
              <w:t xml:space="preserve">华为  CE12808E</w:t>
            </w:r>
            <w:r>
              <w:rPr>
                <w:rFonts w:hint="eastAsia" w:ascii="宋体" w:hAnsi="宋体" w:eastAsia="宋体" w:cs="宋体"/>
                <w:color w:val="000000"/>
                <w:sz w:val="22"/>
              </w:rPr>
              <w:br/>
              <w:t xml:space="preserve">华为 CE12804E</w:t>
            </w:r>
            <w:r>
              <w:rPr>
                <w:rFonts w:hint="eastAsia" w:ascii="宋体" w:hAnsi="宋体" w:eastAsia="宋体" w:cs="宋体"/>
                <w:color w:val="000000"/>
                <w:sz w:val="22"/>
              </w:rPr>
              <w:br/>
              <w:t xml:space="preserve">华为 USG6660      </w:t>
            </w:r>
            <w:r>
              <w:rPr>
                <w:rFonts w:hint="eastAsia" w:ascii="宋体" w:hAnsi="宋体" w:eastAsia="宋体" w:cs="宋体"/>
                <w:color w:val="000000"/>
                <w:sz w:val="22"/>
              </w:rPr>
              <w:br/>
              <w:t xml:space="preserve">华为  Agile Controller-DCN</w:t>
            </w:r>
            <w:r>
              <w:rPr>
                <w:rFonts w:hint="eastAsia" w:ascii="宋体" w:hAnsi="宋体" w:eastAsia="宋体" w:cs="宋体"/>
                <w:color w:val="000000"/>
                <w:sz w:val="22"/>
              </w:rPr>
              <w:br/>
              <w:t xml:space="preserve">华为  WAF5510</w:t>
            </w:r>
            <w:r>
              <w:rPr>
                <w:rFonts w:hint="eastAsia" w:ascii="宋体" w:hAnsi="宋体" w:eastAsia="宋体" w:cs="宋体"/>
                <w:color w:val="000000"/>
                <w:sz w:val="22"/>
              </w:rPr>
              <w:br/>
              <w:t xml:space="preserve">华为  Secospace AntiDDoS8030</w:t>
            </w:r>
            <w:r>
              <w:rPr>
                <w:rFonts w:hint="eastAsia" w:ascii="宋体" w:hAnsi="宋体" w:eastAsia="宋体" w:cs="宋体"/>
                <w:color w:val="000000"/>
                <w:sz w:val="22"/>
              </w:rPr>
              <w:br/>
              <w:t xml:space="preserve">华为  eLog</w:t>
            </w:r>
            <w:r>
              <w:rPr>
                <w:rFonts w:hint="eastAsia" w:ascii="宋体" w:hAnsi="宋体" w:eastAsia="宋体" w:cs="宋体"/>
                <w:color w:val="000000"/>
                <w:sz w:val="22"/>
              </w:rPr>
              <w:br/>
              <w:t xml:space="preserve">华为 UMA</w:t>
            </w:r>
            <w:r>
              <w:rPr>
                <w:rFonts w:hint="eastAsia" w:ascii="宋体" w:hAnsi="宋体" w:eastAsia="宋体" w:cs="宋体"/>
                <w:color w:val="000000"/>
                <w:sz w:val="22"/>
              </w:rPr>
              <w:br/>
              <w:t xml:space="preserve">华为  2288H V5</w:t>
            </w:r>
            <w:r>
              <w:rPr>
                <w:rFonts w:hint="eastAsia" w:ascii="宋体" w:hAnsi="宋体" w:eastAsia="宋体" w:cs="宋体"/>
                <w:color w:val="000000"/>
                <w:sz w:val="22"/>
              </w:rPr>
              <w:br/>
              <w:t xml:space="preserve">华为  OceanStor 18500 V5</w:t>
            </w:r>
            <w:r>
              <w:rPr>
                <w:rFonts w:hint="eastAsia" w:ascii="宋体" w:hAnsi="宋体" w:eastAsia="宋体" w:cs="宋体"/>
                <w:color w:val="000000"/>
                <w:sz w:val="22"/>
              </w:rPr>
              <w:br/>
              <w:t xml:space="preserve">华为  OceanStorSNS2624             </w:t>
            </w:r>
            <w:r>
              <w:rPr>
                <w:rFonts w:hint="eastAsia" w:ascii="宋体" w:hAnsi="宋体" w:eastAsia="宋体" w:cs="宋体"/>
                <w:color w:val="000000"/>
                <w:sz w:val="22"/>
              </w:rPr>
              <w:br/>
              <w:t xml:space="preserve">华为   eSight</w:t>
            </w:r>
            <w:r>
              <w:rPr>
                <w:rFonts w:hint="eastAsia" w:ascii="宋体" w:hAnsi="宋体" w:eastAsia="宋体" w:cs="宋体"/>
                <w:color w:val="000000"/>
                <w:sz w:val="22"/>
              </w:rPr>
              <w:br/>
              <w:t xml:space="preserve">华为  FusionSphere</w:t>
            </w:r>
            <w:r>
              <w:rPr>
                <w:rFonts w:hint="eastAsia" w:ascii="宋体" w:hAnsi="宋体" w:eastAsia="宋体" w:cs="宋体"/>
                <w:color w:val="000000"/>
                <w:sz w:val="22"/>
              </w:rPr>
              <w:br/>
              <w:t xml:space="preserve">华为  OceanStor 5500 V5</w:t>
            </w:r>
            <w:r>
              <w:rPr>
                <w:rFonts w:hint="eastAsia" w:ascii="宋体" w:hAnsi="宋体" w:eastAsia="宋体" w:cs="宋体"/>
                <w:color w:val="000000"/>
                <w:sz w:val="22"/>
              </w:rPr>
              <w:br/>
              <w:t xml:space="preserve">华为  OceanStorSNS2624             </w:t>
            </w:r>
            <w:r>
              <w:rPr>
                <w:rFonts w:hint="eastAsia" w:ascii="宋体" w:hAnsi="宋体" w:eastAsia="宋体" w:cs="宋体"/>
                <w:color w:val="000000"/>
                <w:sz w:val="22"/>
              </w:rPr>
              <w:br/>
              <w:t xml:space="preserve">华为  FusionSphere</w:t>
            </w:r>
            <w:r>
              <w:rPr>
                <w:rFonts w:hint="eastAsia" w:ascii="宋体" w:hAnsi="宋体" w:eastAsia="宋体" w:cs="宋体"/>
                <w:color w:val="000000"/>
                <w:sz w:val="22"/>
              </w:rPr>
              <w:br/>
              <w:t xml:space="preserve">爱数MO-AB-FX-70-H02</w:t>
            </w:r>
            <w:r>
              <w:rPr>
                <w:rFonts w:hint="eastAsia" w:ascii="宋体" w:hAnsi="宋体" w:eastAsia="宋体" w:cs="宋体"/>
                <w:color w:val="000000"/>
                <w:sz w:val="22"/>
              </w:rPr>
              <w:br/>
              <w:t xml:space="preserve">网御SIS3000-Z8100</w:t>
            </w:r>
            <w:r>
              <w:rPr>
                <w:rFonts w:hint="eastAsia" w:ascii="宋体" w:hAnsi="宋体" w:eastAsia="宋体" w:cs="宋体"/>
                <w:color w:val="000000"/>
                <w:sz w:val="22"/>
              </w:rPr>
              <w:br/>
              <w:t xml:space="preserve">博科Brocade G610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华为服务器：22</w:t>
            </w:r>
            <w:r>
              <w:rPr>
                <w:rFonts w:hint="eastAsia" w:ascii="宋体" w:hAnsi="宋体" w:eastAsia="宋体" w:cs="宋体"/>
                <w:color w:val="000000"/>
                <w:sz w:val="22"/>
              </w:rPr>
              <w:br/>
              <w:t xml:space="preserve">网络设备：18</w:t>
            </w:r>
            <w:r>
              <w:rPr>
                <w:rFonts w:hint="eastAsia" w:ascii="宋体" w:hAnsi="宋体" w:eastAsia="宋体" w:cs="宋体"/>
                <w:color w:val="000000"/>
                <w:sz w:val="22"/>
              </w:rPr>
              <w:br/>
              <w:t xml:space="preserve">安全设备：13</w:t>
            </w:r>
            <w:r>
              <w:rPr>
                <w:rFonts w:hint="eastAsia" w:ascii="宋体" w:hAnsi="宋体" w:eastAsia="宋体" w:cs="宋体"/>
                <w:color w:val="000000"/>
                <w:sz w:val="22"/>
              </w:rPr>
              <w:br/>
              <w:t xml:space="preserve">华为存储设备：4</w:t>
            </w:r>
            <w:r>
              <w:rPr>
                <w:rFonts w:hint="eastAsia" w:ascii="宋体" w:hAnsi="宋体" w:eastAsia="宋体" w:cs="宋体"/>
                <w:color w:val="000000"/>
                <w:sz w:val="22"/>
              </w:rPr>
              <w:br/>
              <w:t xml:space="preserve">云平台：2</w:t>
            </w:r>
            <w:r>
              <w:rPr>
                <w:rFonts w:hint="eastAsia" w:ascii="宋体" w:hAnsi="宋体" w:eastAsia="宋体" w:cs="宋体"/>
                <w:color w:val="000000"/>
                <w:sz w:val="22"/>
              </w:rPr>
              <w:br/>
              <w:t xml:space="preserve">管理平台：2</w:t>
            </w:r>
            <w:r>
              <w:rPr>
                <w:rFonts w:hint="eastAsia" w:ascii="宋体" w:hAnsi="宋体" w:eastAsia="宋体" w:cs="宋体"/>
                <w:color w:val="000000"/>
                <w:sz w:val="22"/>
              </w:rPr>
              <w:br/>
              <w:t xml:space="preserve">其他：8</w:t>
            </w:r>
            <w:r/>
          </w:p>
        </w:tc>
      </w:tr>
      <w:tr>
        <w:trPr>
          <w:trHeight w:val="172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大数据基础平台维护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大数据基础平台设备：服务器、网络设备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Fusioninsight HD</w:t>
            </w:r>
            <w:r>
              <w:rPr>
                <w:rFonts w:hint="eastAsia" w:ascii="宋体" w:hAnsi="宋体" w:eastAsia="宋体" w:cs="宋体"/>
                <w:color w:val="000000"/>
                <w:sz w:val="22"/>
              </w:rPr>
              <w:br/>
              <w:t xml:space="preserve">Gauss DB</w:t>
            </w:r>
            <w:r>
              <w:rPr>
                <w:rFonts w:hint="eastAsia" w:ascii="宋体" w:hAnsi="宋体" w:eastAsia="宋体" w:cs="宋体"/>
                <w:color w:val="000000"/>
                <w:sz w:val="22"/>
              </w:rPr>
              <w:br/>
              <w:t xml:space="preserve">Taishan 200</w:t>
            </w:r>
            <w:r>
              <w:rPr>
                <w:rFonts w:hint="eastAsia" w:ascii="宋体" w:hAnsi="宋体" w:eastAsia="宋体" w:cs="宋体"/>
                <w:color w:val="000000"/>
                <w:sz w:val="22"/>
              </w:rPr>
              <w:br/>
              <w:t xml:space="preserve">CE5855-48T4S2Q-EI</w:t>
            </w:r>
            <w:r>
              <w:rPr>
                <w:rFonts w:hint="eastAsia" w:ascii="宋体" w:hAnsi="宋体" w:eastAsia="宋体" w:cs="宋体"/>
                <w:color w:val="000000"/>
                <w:sz w:val="22"/>
              </w:rPr>
              <w:br/>
              <w:t xml:space="preserve">CE6881-48S6CQ</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华为服务器：31</w:t>
            </w:r>
            <w:r>
              <w:rPr>
                <w:rFonts w:hint="eastAsia" w:ascii="宋体" w:hAnsi="宋体" w:eastAsia="宋体" w:cs="宋体"/>
                <w:color w:val="000000"/>
                <w:sz w:val="22"/>
              </w:rPr>
              <w:br/>
              <w:t xml:space="preserve">网络设备：8</w:t>
            </w:r>
            <w:r>
              <w:rPr>
                <w:rFonts w:hint="eastAsia" w:ascii="宋体" w:hAnsi="宋体" w:eastAsia="宋体" w:cs="宋体"/>
                <w:color w:val="000000"/>
                <w:sz w:val="22"/>
              </w:rPr>
              <w:br/>
              <w:t xml:space="preserve"> 软件平台：2</w:t>
            </w:r>
            <w:r>
              <w:rPr>
                <w:rFonts w:hint="eastAsia" w:ascii="宋体" w:hAnsi="宋体" w:eastAsia="宋体" w:cs="宋体"/>
                <w:color w:val="000000"/>
                <w:sz w:val="22"/>
              </w:rPr>
              <w:br/>
              <w:t xml:space="preserve">高斯数据库：2</w:t>
            </w:r>
            <w:r/>
          </w:p>
        </w:tc>
      </w:tr>
      <w:tr>
        <w:trPr>
          <w:trHeight w:val="201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前置区基础软硬件设备维保服务</w:t>
            </w:r>
            <w:r/>
          </w:p>
        </w:tc>
        <w:tc>
          <w:tcPr>
            <w:shd w:val="clear" w:color="auto" w:fill="auto"/>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计算节点</w:t>
            </w:r>
            <w:r>
              <w:rPr>
                <w:rFonts w:hint="eastAsia" w:ascii="宋体" w:hAnsi="宋体" w:eastAsia="宋体" w:cs="宋体"/>
                <w:color w:val="000000"/>
                <w:sz w:val="22"/>
              </w:rPr>
              <w:br/>
              <w:t xml:space="preserve">防火墙</w:t>
            </w:r>
            <w:r>
              <w:rPr>
                <w:rFonts w:hint="eastAsia" w:ascii="宋体" w:hAnsi="宋体" w:eastAsia="宋体" w:cs="宋体"/>
                <w:color w:val="000000"/>
                <w:sz w:val="22"/>
              </w:rPr>
              <w:br/>
              <w:t xml:space="preserve">交换机</w:t>
            </w:r>
            <w:r>
              <w:rPr>
                <w:rFonts w:hint="eastAsia" w:ascii="宋体" w:hAnsi="宋体" w:eastAsia="宋体" w:cs="宋体"/>
                <w:color w:val="000000"/>
                <w:sz w:val="22"/>
              </w:rPr>
              <w:br/>
              <w:t xml:space="preserve">虚拟化软件</w:t>
            </w:r>
            <w:r/>
          </w:p>
        </w:tc>
        <w:tc>
          <w:tcPr>
            <w:shd w:val="clear" w:color="auto" w:fill="auto"/>
            <w:tcBorders>
              <w:top w:val="none" w:color="000000" w:sz="4" w:space="0"/>
              <w:left w:val="none" w:color="000000" w:sz="4" w:space="0"/>
              <w:bottom w:val="non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rPr>
                <w:rFonts w:hint="eastAsia" w:ascii="宋体" w:hAnsi="宋体" w:eastAsia="宋体" w:cs="宋体"/>
                <w:color w:val="000000"/>
                <w:sz w:val="22"/>
              </w:rPr>
              <w:br/>
              <w:t xml:space="preserve">迪普</w:t>
            </w:r>
            <w:r/>
          </w:p>
        </w:tc>
        <w:tc>
          <w:tcPr>
            <w:shd w:val="clear" w:color="auto" w:fill="auto"/>
            <w:tcBorders>
              <w:top w:val="none" w:color="000000" w:sz="4" w:space="0"/>
              <w:left w:val="none" w:color="000000" w:sz="4" w:space="0"/>
              <w:bottom w:val="non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深信服aServer-2205</w:t>
            </w:r>
            <w:r>
              <w:rPr>
                <w:rFonts w:hint="eastAsia" w:ascii="宋体" w:hAnsi="宋体" w:eastAsia="宋体" w:cs="宋体"/>
                <w:color w:val="000000"/>
                <w:sz w:val="22"/>
              </w:rPr>
              <w:br/>
              <w:t xml:space="preserve">深信服虚拟化软件</w:t>
            </w:r>
            <w:r>
              <w:rPr>
                <w:rFonts w:hint="eastAsia" w:ascii="宋体" w:hAnsi="宋体" w:eastAsia="宋体" w:cs="宋体"/>
                <w:color w:val="000000"/>
                <w:sz w:val="22"/>
              </w:rPr>
              <w:br/>
              <w:t xml:space="preserve">深信服aSW1100-24T4X</w:t>
            </w:r>
            <w:r>
              <w:rPr>
                <w:rFonts w:hint="eastAsia" w:ascii="宋体" w:hAnsi="宋体" w:eastAsia="宋体" w:cs="宋体"/>
                <w:color w:val="000000"/>
                <w:sz w:val="22"/>
              </w:rPr>
              <w:br/>
              <w:t xml:space="preserve">深信服网络交换机aSW1000-24T</w:t>
            </w:r>
            <w:r>
              <w:rPr>
                <w:rFonts w:hint="eastAsia" w:ascii="宋体" w:hAnsi="宋体" w:eastAsia="宋体" w:cs="宋体"/>
                <w:color w:val="000000"/>
                <w:sz w:val="22"/>
              </w:rPr>
              <w:br/>
              <w:t xml:space="preserve">迪普 Dptech FW1000-GA-E</w:t>
            </w:r>
            <w:r/>
          </w:p>
        </w:tc>
        <w:tc>
          <w:tcPr>
            <w:shd w:val="clear" w:color="auto" w:fill="auto"/>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深信服服务器：4</w:t>
            </w:r>
            <w:r>
              <w:rPr>
                <w:rFonts w:hint="eastAsia" w:ascii="宋体" w:hAnsi="宋体" w:eastAsia="宋体" w:cs="宋体"/>
                <w:color w:val="000000"/>
                <w:sz w:val="22"/>
              </w:rPr>
              <w:br/>
              <w:t xml:space="preserve">防火墙：2</w:t>
            </w:r>
            <w:r>
              <w:rPr>
                <w:rFonts w:hint="eastAsia" w:ascii="宋体" w:hAnsi="宋体" w:eastAsia="宋体" w:cs="宋体"/>
                <w:color w:val="000000"/>
                <w:sz w:val="22"/>
              </w:rPr>
              <w:br/>
              <w:t xml:space="preserve">深信服交换机：4</w:t>
            </w:r>
            <w:r>
              <w:rPr>
                <w:rFonts w:hint="eastAsia" w:ascii="宋体" w:hAnsi="宋体" w:eastAsia="宋体" w:cs="宋体"/>
                <w:color w:val="000000"/>
                <w:sz w:val="22"/>
              </w:rPr>
              <w:br/>
              <w:t xml:space="preserve">虚拟化软件：1</w:t>
            </w:r>
            <w:r/>
          </w:p>
        </w:tc>
      </w:tr>
      <w:tr>
        <w:trPr>
          <w:trHeight w:val="2880"/>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政务外网核心基础软硬件设备维保</w:t>
            </w:r>
            <w:r/>
          </w:p>
        </w:tc>
        <w:tc>
          <w:tcPr>
            <w:shd w:val="clear" w:color="auto" w:fill="auto"/>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rPr>
                <w:rFonts w:hint="eastAsia" w:ascii="宋体" w:hAnsi="宋体" w:eastAsia="宋体" w:cs="宋体"/>
                <w:color w:val="000000"/>
                <w:sz w:val="22"/>
              </w:rPr>
              <w:br/>
              <w:t xml:space="preserve">出口防火墙</w:t>
            </w:r>
            <w:r>
              <w:rPr>
                <w:rFonts w:hint="eastAsia" w:ascii="宋体" w:hAnsi="宋体" w:eastAsia="宋体" w:cs="宋体"/>
                <w:color w:val="000000"/>
                <w:sz w:val="22"/>
              </w:rPr>
              <w:br/>
              <w:t xml:space="preserve">日志审计</w:t>
            </w:r>
            <w:r>
              <w:rPr>
                <w:rFonts w:hint="eastAsia" w:ascii="宋体" w:hAnsi="宋体" w:eastAsia="宋体" w:cs="宋体"/>
                <w:color w:val="000000"/>
                <w:sz w:val="22"/>
              </w:rPr>
              <w:br/>
              <w:t xml:space="preserve">路由器</w:t>
            </w:r>
            <w:r>
              <w:rPr>
                <w:rFonts w:hint="eastAsia" w:ascii="宋体" w:hAnsi="宋体" w:eastAsia="宋体" w:cs="宋体"/>
                <w:color w:val="000000"/>
                <w:sz w:val="22"/>
              </w:rPr>
              <w:br/>
              <w:t xml:space="preserve">智能管理中心</w:t>
            </w:r>
            <w:r/>
          </w:p>
        </w:tc>
        <w:tc>
          <w:tcPr>
            <w:shd w:val="clear" w:color="auto" w:fill="auto"/>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rPr>
                <w:rFonts w:hint="eastAsia" w:ascii="宋体" w:hAnsi="宋体" w:eastAsia="宋体" w:cs="宋体"/>
                <w:color w:val="000000"/>
                <w:sz w:val="22"/>
              </w:rPr>
              <w:br/>
              <w:t xml:space="preserve">启明星辰</w:t>
            </w:r>
            <w:r>
              <w:rPr>
                <w:rFonts w:hint="eastAsia" w:ascii="宋体" w:hAnsi="宋体" w:eastAsia="宋体" w:cs="宋体"/>
                <w:color w:val="000000"/>
                <w:sz w:val="22"/>
              </w:rPr>
              <w:br/>
              <w:t xml:space="preserve">天融信等</w:t>
            </w:r>
            <w:r/>
          </w:p>
        </w:tc>
        <w:tc>
          <w:tcPr>
            <w:shd w:val="clear" w:color="auto" w:fill="auto"/>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 S10508</w:t>
            </w:r>
            <w:r>
              <w:rPr>
                <w:rFonts w:hint="eastAsia" w:ascii="宋体" w:hAnsi="宋体" w:eastAsia="宋体" w:cs="宋体"/>
                <w:color w:val="000000"/>
                <w:sz w:val="22"/>
              </w:rPr>
              <w:br/>
              <w:t xml:space="preserve">H3C S7606</w:t>
            </w:r>
            <w:r>
              <w:rPr>
                <w:rFonts w:hint="eastAsia" w:ascii="宋体" w:hAnsi="宋体" w:eastAsia="宋体" w:cs="宋体"/>
                <w:color w:val="000000"/>
                <w:sz w:val="22"/>
              </w:rPr>
              <w:br/>
              <w:t xml:space="preserve">H3C SR-8808-X</w:t>
            </w:r>
            <w:r>
              <w:rPr>
                <w:rFonts w:hint="eastAsia" w:ascii="宋体" w:hAnsi="宋体" w:eastAsia="宋体" w:cs="宋体"/>
                <w:color w:val="000000"/>
                <w:sz w:val="22"/>
              </w:rPr>
              <w:br/>
              <w:t xml:space="preserve">H3C S7506E-X</w:t>
            </w:r>
            <w:r>
              <w:rPr>
                <w:rFonts w:hint="eastAsia" w:ascii="宋体" w:hAnsi="宋体" w:eastAsia="宋体" w:cs="宋体"/>
                <w:color w:val="000000"/>
                <w:sz w:val="22"/>
              </w:rPr>
              <w:br/>
              <w:t xml:space="preserve">H3C iMC</w:t>
            </w:r>
            <w:r>
              <w:rPr>
                <w:rFonts w:hint="eastAsia" w:ascii="宋体" w:hAnsi="宋体" w:eastAsia="宋体" w:cs="宋体"/>
                <w:color w:val="000000"/>
                <w:sz w:val="22"/>
              </w:rPr>
              <w:br/>
              <w:t xml:space="preserve">启明星辰USG-FW-4000-T-NF3220</w:t>
            </w:r>
            <w:r>
              <w:rPr>
                <w:rFonts w:hint="eastAsia" w:ascii="宋体" w:hAnsi="宋体" w:eastAsia="宋体" w:cs="宋体"/>
                <w:color w:val="000000"/>
                <w:sz w:val="22"/>
              </w:rPr>
              <w:br/>
              <w:t xml:space="preserve">启明星辰USG-FW-4000-T-NF3610</w:t>
            </w:r>
            <w:r>
              <w:rPr>
                <w:rFonts w:hint="eastAsia" w:ascii="宋体" w:hAnsi="宋体" w:eastAsia="宋体" w:cs="宋体"/>
                <w:color w:val="000000"/>
                <w:sz w:val="22"/>
              </w:rPr>
              <w:br/>
              <w:t xml:space="preserve">启明星辰TSOC-SA</w:t>
            </w:r>
            <w:r>
              <w:rPr>
                <w:rFonts w:hint="eastAsia" w:ascii="宋体" w:hAnsi="宋体" w:eastAsia="宋体" w:cs="宋体"/>
                <w:color w:val="000000"/>
                <w:sz w:val="22"/>
              </w:rPr>
              <w:br/>
              <w:t xml:space="preserve">天融信TopApp(TAD-82320)</w:t>
            </w:r>
            <w:r/>
          </w:p>
        </w:tc>
        <w:tc>
          <w:tcPr>
            <w:shd w:val="clear" w:color="auto" w:fill="auto"/>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H3C交换机：7</w:t>
            </w:r>
            <w:r>
              <w:rPr>
                <w:rFonts w:hint="eastAsia" w:ascii="宋体" w:hAnsi="宋体" w:eastAsia="宋体" w:cs="宋体"/>
                <w:color w:val="000000"/>
                <w:sz w:val="22"/>
              </w:rPr>
              <w:br/>
              <w:t xml:space="preserve">H3C路由器：1</w:t>
            </w:r>
            <w:r>
              <w:rPr>
                <w:rFonts w:hint="eastAsia" w:ascii="宋体" w:hAnsi="宋体" w:eastAsia="宋体" w:cs="宋体"/>
                <w:color w:val="000000"/>
                <w:sz w:val="22"/>
              </w:rPr>
              <w:br/>
              <w:t xml:space="preserve">启明星辰防火墙：3</w:t>
            </w:r>
            <w:r>
              <w:rPr>
                <w:rFonts w:hint="eastAsia" w:ascii="宋体" w:hAnsi="宋体" w:eastAsia="宋体" w:cs="宋体"/>
                <w:color w:val="000000"/>
                <w:sz w:val="22"/>
              </w:rPr>
              <w:br/>
              <w:t xml:space="preserve">启明星辰日志审计：1</w:t>
            </w:r>
            <w:r>
              <w:rPr>
                <w:rFonts w:hint="eastAsia" w:ascii="宋体" w:hAnsi="宋体" w:eastAsia="宋体" w:cs="宋体"/>
                <w:color w:val="000000"/>
                <w:sz w:val="22"/>
              </w:rPr>
              <w:br/>
              <w:t xml:space="preserve">智能管理中心：1</w:t>
            </w:r>
            <w:r>
              <w:rPr>
                <w:rFonts w:hint="eastAsia" w:ascii="宋体" w:hAnsi="宋体" w:eastAsia="宋体" w:cs="宋体"/>
                <w:color w:val="000000"/>
                <w:sz w:val="22"/>
              </w:rPr>
              <w:br/>
              <w:t xml:space="preserve">天融信负载均衡：2</w:t>
            </w:r>
            <w:r/>
          </w:p>
        </w:tc>
      </w:tr>
      <w:tr>
        <w:trPr>
          <w:trHeight w:val="459"/>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常熟市智慧政务服务平台(四期)硬件服务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迪普核心交换机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迪普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迪普核心交换DPX8000-A12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41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110接处警系统维护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110接处警系统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DS（迪爱斯）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DS-300S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81"/>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通信保障维护</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350M维护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对讲机系统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基站、电台维护、搬迁、修理、配件服务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程控交换机维护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公安局内线电话程控交换机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NEC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NEC 8500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9"/>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350兆便携式移动基站</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4载波便携式移动基站</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27</w:t>
            </w:r>
            <w:r/>
          </w:p>
        </w:tc>
        <w:tc>
          <w:tcPr>
            <w:shd w:val="clear" w:color="auto" w:fill="auto"/>
            <w:tcBorders>
              <w:top w:val="none" w:color="000000" w:sz="4" w:space="0"/>
              <w:left w:val="single" w:color="000000" w:sz="4" w:space="0"/>
              <w:bottom w:val="non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大数据专项维护</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机房维护费</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维谛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Hipulse U 160KVA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动环监控</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维谛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siteweb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精密空调等机房环境设备</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维谛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P1050DA13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维谛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DME07MHP5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新一代公安网用户域建设</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高性能路由器</w:t>
            </w:r>
            <w:r>
              <w:rPr>
                <w:rFonts w:hint="eastAsia" w:ascii="宋体" w:hAnsi="宋体" w:eastAsia="宋体" w:cs="宋体"/>
                <w:color w:val="000000"/>
                <w:sz w:val="22"/>
              </w:rPr>
              <w:br/>
              <w:t xml:space="preserve">2G流量采集器</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路由器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CR16000-M8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non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bottom"/>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流量监测</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 NaviData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29</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生态环境硬件运维</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安全设备等运维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上网行为管理</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AC-1000-L1300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态势感知平台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SIP-1000-B400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威胁潜伏探针</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STA-100-B2200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超融合私有云</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a-Server-R-2205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设备维保服务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出口防火墙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AF-1000-B1350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专网防火墙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AF-1000-B400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边界防火墙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AF-1000-B1310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边界防火墙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AF-1000-B1180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日志审计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SIP-logger a600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数据库审计</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TA-DB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容灾备份</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科力锐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DRS 308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EDR</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EDR</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核心防火墙</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F1050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核心交换机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S10508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设备运维服务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堡垒机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OSM-1000 B1150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华为fusionsphere私有云</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华为 2288H V5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华为fusionsphere私有云</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dell R730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PVE自建私有云</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 2288H V5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5560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接入交换机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H3C</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5130S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汇聚交换机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无线覆盖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NAC-6200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艾默生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UL33-0200L</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精密空调</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英维克</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CyberMate508PI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区域电子票据监管平台运维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电子票据服务器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信安世纪</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NETSIGN13500-C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电子票据服务器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信安世纪</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NSAE12000-NL-C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区域卫生平台云服务</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区卫数据库服务器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NF8480M5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区卫数据库服务器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NF5180M5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区卫交换机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CE6865-EI-F-B0E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区卫交换机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S5720S-52X-SI-AC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区卫硬盘</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基础扩容硬件设备</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若干</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云机房建设一期运维</w:t>
            </w:r>
            <w:r/>
          </w:p>
        </w:tc>
        <w:tc>
          <w:tcPr>
            <w:shd w:val="clear" w:color="auto" w:fill="auto"/>
            <w:tcBorders>
              <w:top w:val="none" w:color="000000" w:sz="4" w:space="0"/>
              <w:left w:val="single" w:color="000000" w:sz="4" w:space="0"/>
              <w:bottom w:val="non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浪潮NF5280M5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25</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浪潮NF5180M5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浪潮NF8480M5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non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交换机运维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CE7855-32Q-EI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CE6855-48S6Q-HI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CE6865-48S8CQ-EI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S5720-52X-SI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SG-6000-E3965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F5</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BIG-LTM-I2600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博科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BR-6510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OceanStor 5300 V5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OceanStor Dorado5000 V3</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鼎甲</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DK2110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DBA2230-AC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RG-N18010</w:t>
            </w:r>
            <w:r>
              <w:rPr>
                <w:rFonts w:hint="eastAsia" w:ascii="宋体" w:hAnsi="宋体" w:eastAsia="宋体" w:cs="宋体"/>
                <w:color w:val="000000"/>
                <w:sz w:val="22"/>
              </w:rPr>
              <w:br/>
              <w:t xml:space="preserve">RG-ONC-AIO-E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33</w:t>
            </w:r>
            <w:r/>
          </w:p>
        </w:tc>
        <w:tc>
          <w:tcPr>
            <w:shd w:val="clear" w:color="auto" w:fill="auto"/>
            <w:tcBorders>
              <w:top w:val="none" w:color="000000" w:sz="4" w:space="0"/>
              <w:left w:val="single" w:color="000000" w:sz="4" w:space="0"/>
              <w:bottom w:val="non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云化机房建设二期运维</w:t>
            </w:r>
            <w:r/>
          </w:p>
        </w:tc>
        <w:tc>
          <w:tcPr>
            <w:shd w:val="clear" w:color="auto" w:fill="auto"/>
            <w:tcBorders>
              <w:top w:val="none" w:color="000000" w:sz="4" w:space="0"/>
              <w:left w:val="single" w:color="000000" w:sz="4" w:space="0"/>
              <w:bottom w:val="non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浪潮NF5280M5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29</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浪潮NF8480M5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交换机、存储、防火墙设备运维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CE6865-48S8CQ-EI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S5720-56C-EI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博科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BR-6510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OceanStor Dorado5510 V5-L25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CE8850-64CQ-EI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CE6865-48S8CQ-EI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6</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S5720-56C-EI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non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私有云计算节点</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SG-6000-E3965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安全咨询与体系建设（硬件）运维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TF-52638-Virus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天融信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TWF-61138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SG-6000-E5268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SG-6000-E3668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美创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DM-G2000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美创</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DM-300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信锐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NAC-6100</w:t>
            </w:r>
            <w:r>
              <w:rPr>
                <w:rFonts w:hint="eastAsia" w:ascii="宋体" w:hAnsi="宋体" w:eastAsia="宋体" w:cs="宋体"/>
                <w:color w:val="000000"/>
                <w:sz w:val="22"/>
              </w:rPr>
              <w:br/>
              <w:t xml:space="preserve">RS3300-52T-4F</w:t>
            </w:r>
            <w:r>
              <w:rPr>
                <w:rFonts w:hint="eastAsia" w:ascii="宋体" w:hAnsi="宋体" w:eastAsia="宋体" w:cs="宋体"/>
                <w:color w:val="000000"/>
                <w:sz w:val="22"/>
              </w:rPr>
              <w:br/>
              <w:t xml:space="preserve">RS3320-12M-LI</w:t>
            </w:r>
            <w:r>
              <w:rPr>
                <w:rFonts w:hint="eastAsia" w:ascii="宋体" w:hAnsi="宋体" w:eastAsia="宋体" w:cs="宋体"/>
                <w:color w:val="000000"/>
                <w:sz w:val="22"/>
              </w:rPr>
              <w:br/>
              <w:t xml:space="preserve">NAP 3700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绿盟</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NIPSNX5-CH5510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深信服安全感知系统探针特征库软件V2.0</w:t>
            </w:r>
            <w:r>
              <w:rPr>
                <w:rFonts w:hint="eastAsia" w:ascii="宋体" w:hAnsi="宋体" w:eastAsia="宋体" w:cs="宋体"/>
                <w:color w:val="000000"/>
                <w:sz w:val="22"/>
              </w:rPr>
              <w:br/>
              <w:t xml:space="preserve">深信服端点安全软件V3.0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AC-1000-B1400-HI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STA-100-B1500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16</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SIP-1000-C402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STA-100-C640-HI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天空卫士</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UCSG-1100-HW</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DAS-LOG-1000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DAS-RAS-H3000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安恒</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玄武盾SAAS-defense01</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亚信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Deep Security V20.0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鼎甲</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DK2110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齐治</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RIS-H5000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江南天安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SJJ1528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江南天安</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SJJ1310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华为交换机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CE6865-EI-F-B0E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华为交换机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S5720-56C-EI-AC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35</w:t>
            </w:r>
            <w:r/>
          </w:p>
        </w:tc>
        <w:tc>
          <w:tcPr>
            <w:shd w:val="clear" w:color="auto" w:fill="auto"/>
            <w:tcBorders>
              <w:top w:val="none" w:color="000000" w:sz="4" w:space="0"/>
              <w:left w:val="single" w:color="000000" w:sz="4" w:space="0"/>
              <w:bottom w:val="single" w:color="000000" w:sz="4" w:space="0"/>
              <w:right w:val="single" w:color="auto"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网络、存储设备运维</w:t>
            </w:r>
            <w:r/>
          </w:p>
        </w:tc>
        <w:tc>
          <w:tcPr>
            <w:shd w:val="clear" w:color="auto" w:fill="auto"/>
            <w:tcBorders>
              <w:top w:val="none" w:color="000000" w:sz="4" w:space="0"/>
              <w:left w:val="single" w:color="auto" w:sz="4" w:space="0"/>
              <w:bottom w:val="single" w:color="auto"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S8614-Chassis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M8600-48GT/4SFP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M8600-02XFP24SFP/12GT-E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M8600-16XS-DA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A8614-CM II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锐捷S8614核心区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RG-PA1200E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auto" w:sz="4" w:space="0"/>
              <w:bottom w:val="single" w:color="auto"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网关</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深信服</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VPN-4050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31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bottom"/>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存储设备运维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 </w:t>
            </w:r>
            <w:r>
              <w:rPr>
                <w:rFonts w:hint="eastAsia" w:ascii="等线" w:hAnsi="等线" w:eastAsia="等线" w:cs="宋体"/>
                <w:color w:val="000000"/>
                <w:szCs w:val="21"/>
              </w:rPr>
              <w:t xml:space="preserve">存储</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EMC 存储</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智慧卫监系统运维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泳池水检测设备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苏州派尔</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SP-60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放射检测设备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上海仁机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RJ21-3602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尿素检测分析仪</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531市民健康信息平台运维</w:t>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急救终端维护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急救车载集成终端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东汇源</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T1201Q</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120急救车载无线心电图设备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多特</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IL7</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120急救移动医生终端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88</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车载摄像</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车载摄像头A</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DS-2CD2545F</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车载摄像头B</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DS-2CD2425F-I</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其他设备维护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三合一读卡器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德卡</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T10-S型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4G双卡路由器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映翰通</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IR615-S-L5-WLAN</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电池维护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心电图机电池</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迈瑞</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迈瑞可充电式电池</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其他设备维护2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心电图机导联线</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中瑞世纪</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ZEE035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救护车视频监控硬盘</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西部数据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患者标识与时间腕带</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扁鹊飞救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BQTT-V4.0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时间自动跟踪器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扁鹊飞救</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BQTT-V4.0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39</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网络授时终端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SIGA2000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授时子钟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SIGA0500N1</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44</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授时母钟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天目</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SIGA3000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一体机维护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计算机（一体机）</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联想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A7400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w:t>
            </w:r>
            <w:r/>
          </w:p>
        </w:tc>
      </w:tr>
      <w:tr>
        <w:trPr>
          <w:trHeight w:val="864"/>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其他硬件维护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医院急救指挥</w:t>
            </w:r>
            <w:r>
              <w:rPr>
                <w:rFonts w:hint="eastAsia" w:ascii="宋体" w:hAnsi="宋体" w:eastAsia="宋体" w:cs="宋体"/>
                <w:color w:val="000000"/>
                <w:sz w:val="22"/>
              </w:rPr>
              <w:br/>
              <w:t xml:space="preserve">LCD 大屏监控</w:t>
            </w:r>
            <w:r>
              <w:rPr>
                <w:rFonts w:hint="eastAsia" w:ascii="宋体" w:hAnsi="宋体" w:eastAsia="宋体" w:cs="宋体"/>
                <w:color w:val="000000"/>
                <w:sz w:val="22"/>
              </w:rPr>
              <w:br/>
              <w:t xml:space="preserve">显示系统</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优易讯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UES-550UA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LED 显示屏</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优易讯</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UES-LED</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摄像头</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金九天视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JT-HD61C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调音台</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 MFX1012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功放</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 H350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音箱</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DIVA</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DIVA1200 TOP</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话筒</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Hi-voboHK669</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12</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反馈抑制器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Hi-vobo</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医用平板维护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医护用平板电脑</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M5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9</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IT综合运维管理平台可视化大屏维护</w:t>
            </w:r>
            <w:r/>
          </w:p>
        </w:tc>
        <w:tc>
          <w:tcPr>
            <w:shd w:val="clear" w:color="auto" w:fill="auto"/>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常熟市531市民健康信息平台运维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4KHDR可视化大屏</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康佳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LED70US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医疗急救信息化运维</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急救指挥调度车载终端</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安克</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T5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GPS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安克</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UPS电源</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UPS5000-E-125K-FM</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机械硬盘</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希捷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ST1000LM048</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20</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热备份设备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Rose</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RoseReplicatorPlus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shd w:val="clear" w:color="auto" w:fill="auto"/>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水闸精细化管理系统整体硬件维护</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研华</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IPC-610P 2COM</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快捷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CREATOR PRO-MAX1616</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UPS</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山特</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3C10KS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安全设备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USG6315E-AC</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华为</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S5735S-L48T4S-A</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联想</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SR550 2U</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服务器</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DS-VE22S-B</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网络设备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锐捷</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RG-NB5200-24GT4XAS</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存储设备</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海康威视</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DS-8832-R8 32</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GQY</w:t>
            </w:r>
            <w:r/>
          </w:p>
        </w:tc>
        <w:tc>
          <w:tcPr>
            <w:shd w:val="clear" w:color="auto" w:fill="auto"/>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DDX-60SF</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p>
        </w:tc>
      </w:tr>
    </w:tbl>
    <w:p>
      <w:pPr>
        <w:jc w:val="center"/>
        <w:rPr>
          <w:rFonts w:ascii="Calibri" w:hAnsi="Calibri" w:eastAsia="宋体" w:cs="Times New Roman"/>
          <w:color w:val="000000"/>
        </w:rPr>
      </w:pPr>
      <w:r>
        <w:rPr>
          <w:rFonts w:ascii="Calibri" w:hAnsi="Calibri" w:eastAsia="宋体" w:cs="Times New Roman"/>
          <w:color w:val="000000"/>
        </w:rPr>
      </w:r>
      <w:r/>
    </w:p>
    <w:p>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6"/>
        <w:rFonts w:ascii="宋体" w:hAnsi="宋体"/>
        <w:sz w:val="24"/>
        <w:szCs w:val="24"/>
      </w:rPr>
      <w:framePr w:wrap="around" w:vAnchor="text" w:hAnchor="page" w:x="5693" w:y="6"/>
    </w:pPr>
    <w:r>
      <w:rPr>
        <w:rFonts w:ascii="宋体" w:hAnsi="宋体"/>
        <w:sz w:val="24"/>
        <w:szCs w:val="24"/>
      </w:rPr>
      <w:fldChar w:fldCharType="begin"/>
    </w:r>
    <w:r>
      <w:rPr>
        <w:rStyle w:val="806"/>
        <w:rFonts w:ascii="宋体" w:hAnsi="宋体"/>
        <w:sz w:val="24"/>
        <w:szCs w:val="24"/>
      </w:rPr>
      <w:instrText xml:space="preserve">PAGE  </w:instrText>
    </w:r>
    <w:r>
      <w:rPr>
        <w:rFonts w:ascii="宋体" w:hAnsi="宋体"/>
        <w:sz w:val="24"/>
        <w:szCs w:val="24"/>
      </w:rPr>
      <w:fldChar w:fldCharType="separate"/>
    </w:r>
    <w:r>
      <w:rPr>
        <w:rStyle w:val="806"/>
        <w:rFonts w:ascii="宋体" w:hAnsi="宋体"/>
        <w:sz w:val="24"/>
        <w:szCs w:val="24"/>
      </w:rPr>
      <w:t xml:space="preserve">4</w:t>
    </w:r>
    <w:r>
      <w:rPr>
        <w:rFonts w:ascii="宋体" w:hAnsi="宋体"/>
        <w:sz w:val="24"/>
        <w:szCs w:val="24"/>
      </w:rPr>
      <w:fldChar w:fldCharType="end"/>
    </w:r>
    <w:r/>
  </w:p>
  <w:p>
    <w:pPr>
      <w:pStyle w:val="777"/>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7"/>
      <w:isLgl w:val="false"/>
      <w:suff w:val="nothing"/>
      <w:lvlText w:val=""/>
      <w:lvlJc w:val="left"/>
      <w:pPr>
        <w:ind w:left="0" w:firstLine="0"/>
      </w:pPr>
      <w:rPr>
        <w:rFonts w:hint="eastAsia"/>
      </w:rPr>
    </w:lvl>
    <w:lvl w:ilvl="6">
      <w:start w:val="1"/>
      <w:numFmt w:val="none"/>
      <w:pStyle w:val="748"/>
      <w:isLgl w:val="false"/>
      <w:suff w:val="nothing"/>
      <w:lvlText w:val=""/>
      <w:lvlJc w:val="left"/>
      <w:pPr>
        <w:ind w:left="0" w:firstLine="0"/>
      </w:pPr>
      <w:rPr>
        <w:rFonts w:hint="eastAsia"/>
      </w:rPr>
    </w:lvl>
    <w:lvl w:ilvl="7">
      <w:start w:val="1"/>
      <w:numFmt w:val="none"/>
      <w:pStyle w:val="749"/>
      <w:isLgl w:val="false"/>
      <w:suff w:val="nothing"/>
      <w:lvlText w:val=""/>
      <w:lvlJc w:val="left"/>
      <w:pPr>
        <w:ind w:left="0" w:firstLine="0"/>
      </w:pPr>
      <w:rPr>
        <w:rFonts w:hint="eastAsia"/>
      </w:rPr>
    </w:lvl>
    <w:lvl w:ilvl="8">
      <w:start w:val="1"/>
      <w:numFmt w:val="none"/>
      <w:pStyle w:val="750"/>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51"/>
    <w:link w:val="742"/>
    <w:uiPriority w:val="9"/>
    <w:rPr>
      <w:rFonts w:ascii="Arial" w:hAnsi="Arial" w:eastAsia="Arial" w:cs="Arial"/>
      <w:sz w:val="40"/>
      <w:szCs w:val="40"/>
    </w:rPr>
  </w:style>
  <w:style w:type="character" w:styleId="704">
    <w:name w:val="Heading 2 Char"/>
    <w:basedOn w:val="751"/>
    <w:link w:val="743"/>
    <w:uiPriority w:val="9"/>
    <w:rPr>
      <w:rFonts w:ascii="Arial" w:hAnsi="Arial" w:eastAsia="Arial" w:cs="Arial"/>
      <w:sz w:val="34"/>
    </w:rPr>
  </w:style>
  <w:style w:type="character" w:styleId="705">
    <w:name w:val="Heading 3 Char"/>
    <w:basedOn w:val="751"/>
    <w:link w:val="744"/>
    <w:uiPriority w:val="9"/>
    <w:rPr>
      <w:rFonts w:ascii="Arial" w:hAnsi="Arial" w:eastAsia="Arial" w:cs="Arial"/>
      <w:sz w:val="30"/>
      <w:szCs w:val="30"/>
    </w:rPr>
  </w:style>
  <w:style w:type="character" w:styleId="706">
    <w:name w:val="Heading 4 Char"/>
    <w:basedOn w:val="751"/>
    <w:link w:val="745"/>
    <w:uiPriority w:val="9"/>
    <w:rPr>
      <w:rFonts w:ascii="Arial" w:hAnsi="Arial" w:eastAsia="Arial" w:cs="Arial"/>
      <w:b/>
      <w:bCs/>
      <w:sz w:val="26"/>
      <w:szCs w:val="26"/>
    </w:rPr>
  </w:style>
  <w:style w:type="character" w:styleId="707">
    <w:name w:val="Heading 5 Char"/>
    <w:basedOn w:val="751"/>
    <w:link w:val="746"/>
    <w:uiPriority w:val="9"/>
    <w:rPr>
      <w:rFonts w:ascii="Arial" w:hAnsi="Arial" w:eastAsia="Arial" w:cs="Arial"/>
      <w:b/>
      <w:bCs/>
      <w:sz w:val="24"/>
      <w:szCs w:val="24"/>
    </w:rPr>
  </w:style>
  <w:style w:type="character" w:styleId="708">
    <w:name w:val="Heading 6 Char"/>
    <w:basedOn w:val="751"/>
    <w:link w:val="747"/>
    <w:uiPriority w:val="9"/>
    <w:rPr>
      <w:rFonts w:ascii="Arial" w:hAnsi="Arial" w:eastAsia="Arial" w:cs="Arial"/>
      <w:b/>
      <w:bCs/>
      <w:sz w:val="22"/>
      <w:szCs w:val="22"/>
    </w:rPr>
  </w:style>
  <w:style w:type="character" w:styleId="709">
    <w:name w:val="Heading 7 Char"/>
    <w:basedOn w:val="751"/>
    <w:link w:val="748"/>
    <w:uiPriority w:val="9"/>
    <w:rPr>
      <w:rFonts w:ascii="Arial" w:hAnsi="Arial" w:eastAsia="Arial" w:cs="Arial"/>
      <w:b/>
      <w:bCs/>
      <w:i/>
      <w:iCs/>
      <w:sz w:val="22"/>
      <w:szCs w:val="22"/>
    </w:rPr>
  </w:style>
  <w:style w:type="character" w:styleId="710">
    <w:name w:val="Heading 8 Char"/>
    <w:basedOn w:val="751"/>
    <w:link w:val="749"/>
    <w:uiPriority w:val="9"/>
    <w:rPr>
      <w:rFonts w:ascii="Arial" w:hAnsi="Arial" w:eastAsia="Arial" w:cs="Arial"/>
      <w:i/>
      <w:iCs/>
      <w:sz w:val="22"/>
      <w:szCs w:val="22"/>
    </w:rPr>
  </w:style>
  <w:style w:type="character" w:styleId="711">
    <w:name w:val="Heading 9 Char"/>
    <w:basedOn w:val="751"/>
    <w:link w:val="750"/>
    <w:uiPriority w:val="9"/>
    <w:rPr>
      <w:rFonts w:ascii="Arial" w:hAnsi="Arial" w:eastAsia="Arial" w:cs="Arial"/>
      <w:i/>
      <w:iCs/>
      <w:sz w:val="21"/>
      <w:szCs w:val="21"/>
    </w:rPr>
  </w:style>
  <w:style w:type="character" w:styleId="712">
    <w:name w:val="Title Char"/>
    <w:basedOn w:val="751"/>
    <w:link w:val="799"/>
    <w:uiPriority w:val="10"/>
    <w:rPr>
      <w:sz w:val="48"/>
      <w:szCs w:val="48"/>
    </w:rPr>
  </w:style>
  <w:style w:type="character" w:styleId="713">
    <w:name w:val="Subtitle Char"/>
    <w:basedOn w:val="751"/>
    <w:link w:val="785"/>
    <w:uiPriority w:val="11"/>
    <w:rPr>
      <w:sz w:val="24"/>
      <w:szCs w:val="24"/>
    </w:rPr>
  </w:style>
  <w:style w:type="character" w:styleId="714">
    <w:name w:val="Quote Char"/>
    <w:link w:val="927"/>
    <w:uiPriority w:val="29"/>
    <w:rPr>
      <w:i/>
    </w:rPr>
  </w:style>
  <w:style w:type="character" w:styleId="715">
    <w:name w:val="Intense Quote Char"/>
    <w:link w:val="929"/>
    <w:uiPriority w:val="30"/>
    <w:rPr>
      <w:i/>
    </w:rPr>
  </w:style>
  <w:style w:type="character" w:styleId="716">
    <w:name w:val="Header Char"/>
    <w:basedOn w:val="751"/>
    <w:link w:val="779"/>
    <w:uiPriority w:val="99"/>
  </w:style>
  <w:style w:type="paragraph" w:styleId="717">
    <w:name w:val="Caption"/>
    <w:basedOn w:val="741"/>
    <w:next w:val="741"/>
    <w:uiPriority w:val="35"/>
    <w:semiHidden/>
    <w:unhideWhenUsed/>
    <w:qFormat/>
    <w:pPr>
      <w:spacing w:line="276" w:lineRule="auto"/>
    </w:pPr>
    <w:rPr>
      <w:b/>
      <w:bCs/>
      <w:color w:val="4f81bd" w:themeColor="accent1"/>
      <w:sz w:val="18"/>
      <w:szCs w:val="18"/>
    </w:rPr>
  </w:style>
  <w:style w:type="character" w:styleId="718">
    <w:name w:val="Caption Char"/>
    <w:basedOn w:val="717"/>
    <w:link w:val="777"/>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87"/>
    <w:uiPriority w:val="99"/>
    <w:rPr>
      <w:sz w:val="18"/>
    </w:rPr>
  </w:style>
  <w:style w:type="character" w:styleId="739">
    <w:name w:val="Endnote Text Char"/>
    <w:link w:val="775"/>
    <w:uiPriority w:val="99"/>
    <w:rPr>
      <w:sz w:val="20"/>
    </w:rPr>
  </w:style>
  <w:style w:type="paragraph" w:styleId="740">
    <w:name w:val="TOC Heading"/>
    <w:uiPriority w:val="39"/>
    <w:unhideWhenUsed/>
  </w:style>
  <w:style w:type="paragraph" w:styleId="741" w:default="1">
    <w:name w:val="Normal"/>
    <w:qFormat/>
    <w:pPr>
      <w:jc w:val="both"/>
      <w:widowControl w:val="off"/>
    </w:pPr>
    <w:rPr>
      <w:sz w:val="21"/>
      <w:szCs w:val="22"/>
    </w:rPr>
  </w:style>
  <w:style w:type="paragraph" w:styleId="742">
    <w:name w:val="Heading 1"/>
    <w:basedOn w:val="741"/>
    <w:next w:val="741"/>
    <w:link w:val="825"/>
    <w:uiPriority w:val="9"/>
    <w:qFormat/>
    <w:pPr>
      <w:jc w:val="center"/>
      <w:keepNext/>
      <w:outlineLvl w:val="0"/>
    </w:pPr>
    <w:rPr>
      <w:rFonts w:ascii="楷体_GB2312" w:hAnsi="Times New Roman" w:eastAsia="楷体_GB2312" w:cs="Times New Roman"/>
      <w:sz w:val="28"/>
      <w:szCs w:val="28"/>
    </w:rPr>
  </w:style>
  <w:style w:type="paragraph" w:styleId="743">
    <w:name w:val="Heading 2"/>
    <w:basedOn w:val="741"/>
    <w:next w:val="754"/>
    <w:link w:val="82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44">
    <w:name w:val="Heading 3"/>
    <w:basedOn w:val="741"/>
    <w:next w:val="754"/>
    <w:link w:val="818"/>
    <w:uiPriority w:val="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5">
    <w:name w:val="Heading 4"/>
    <w:basedOn w:val="741"/>
    <w:next w:val="754"/>
    <w:link w:val="819"/>
    <w:uiPriority w:val="9"/>
    <w:qFormat/>
    <w:pPr>
      <w:keepLines/>
      <w:keepNext/>
      <w:spacing w:before="280" w:after="290" w:line="376" w:lineRule="auto"/>
      <w:outlineLvl w:val="3"/>
    </w:pPr>
    <w:rPr>
      <w:rFonts w:ascii="Arial" w:hAnsi="Arial" w:eastAsia="黑体" w:cs="Arial"/>
      <w:b/>
      <w:bCs/>
      <w:sz w:val="28"/>
      <w:szCs w:val="28"/>
    </w:rPr>
  </w:style>
  <w:style w:type="paragraph" w:styleId="746">
    <w:name w:val="Heading 5"/>
    <w:basedOn w:val="741"/>
    <w:next w:val="754"/>
    <w:link w:val="820"/>
    <w:uiPriority w:val="9"/>
    <w:qFormat/>
    <w:pPr>
      <w:keepNext/>
      <w:outlineLvl w:val="4"/>
    </w:pPr>
    <w:rPr>
      <w:rFonts w:ascii="宋体" w:hAnsi="Times New Roman" w:eastAsia="宋体" w:cs="Times New Roman"/>
      <w:color w:val="000000"/>
      <w:sz w:val="28"/>
      <w:szCs w:val="28"/>
    </w:rPr>
  </w:style>
  <w:style w:type="paragraph" w:styleId="747">
    <w:name w:val="Heading 6"/>
    <w:basedOn w:val="741"/>
    <w:next w:val="741"/>
    <w:link w:val="821"/>
    <w:uiPriority w:val="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8">
    <w:name w:val="Heading 7"/>
    <w:basedOn w:val="741"/>
    <w:next w:val="741"/>
    <w:link w:val="822"/>
    <w:uiPriority w:val="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9">
    <w:name w:val="Heading 8"/>
    <w:basedOn w:val="741"/>
    <w:next w:val="741"/>
    <w:link w:val="823"/>
    <w:uiPriority w:val="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0">
    <w:name w:val="Heading 9"/>
    <w:basedOn w:val="741"/>
    <w:next w:val="741"/>
    <w:link w:val="824"/>
    <w:uiPriority w:val="9"/>
    <w:qFormat/>
    <w:pPr>
      <w:numPr>
        <w:ilvl w:val="8"/>
        <w:numId w:val="1"/>
      </w:numPr>
      <w:keepLines/>
      <w:keepNext/>
      <w:spacing w:before="240" w:after="64" w:line="320" w:lineRule="auto"/>
      <w:outlineLvl w:val="8"/>
    </w:pPr>
    <w:rPr>
      <w:rFonts w:ascii="Arial" w:hAnsi="Arial" w:eastAsia="黑体" w:cs="Times New Roman"/>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1"/>
    <w:link w:val="827"/>
    <w:qFormat/>
    <w:pPr>
      <w:ind w:firstLine="420"/>
    </w:pPr>
    <w:rPr>
      <w:rFonts w:ascii="Calibri" w:hAnsi="Calibri" w:eastAsia="宋体" w:cs="Times New Roman"/>
      <w:szCs w:val="21"/>
    </w:rPr>
  </w:style>
  <w:style w:type="paragraph" w:styleId="755">
    <w:name w:val="List 3"/>
    <w:basedOn w:val="741"/>
    <w:qFormat/>
    <w:pPr>
      <w:ind w:left="100" w:hanging="200"/>
    </w:pPr>
    <w:rPr>
      <w:rFonts w:ascii="Times New Roman" w:hAnsi="Times New Roman" w:eastAsia="宋体" w:cs="Times New Roman"/>
      <w:szCs w:val="21"/>
    </w:rPr>
  </w:style>
  <w:style w:type="paragraph" w:styleId="756">
    <w:name w:val="toc 7"/>
    <w:basedOn w:val="741"/>
    <w:next w:val="741"/>
    <w:semiHidden/>
    <w:qFormat/>
    <w:pPr>
      <w:jc w:val="left"/>
    </w:pPr>
    <w:rPr>
      <w:rFonts w:ascii="Calibri" w:hAnsi="Calibri" w:eastAsia="宋体" w:cs="Times New Roman"/>
      <w:sz w:val="22"/>
    </w:rPr>
  </w:style>
  <w:style w:type="paragraph" w:styleId="757">
    <w:name w:val="index 8"/>
    <w:basedOn w:val="741"/>
    <w:next w:val="741"/>
    <w:semiHidden/>
    <w:qFormat/>
    <w:pPr>
      <w:ind w:left="1400"/>
    </w:pPr>
    <w:rPr>
      <w:rFonts w:ascii="Times New Roman" w:hAnsi="Times New Roman" w:eastAsia="宋体" w:cs="Times New Roman"/>
      <w:szCs w:val="20"/>
    </w:rPr>
  </w:style>
  <w:style w:type="paragraph" w:styleId="758">
    <w:name w:val="index 5"/>
    <w:basedOn w:val="741"/>
    <w:next w:val="741"/>
    <w:semiHidden/>
    <w:qFormat/>
    <w:pPr>
      <w:ind w:left="800"/>
    </w:pPr>
    <w:rPr>
      <w:rFonts w:ascii="Times New Roman" w:hAnsi="Times New Roman" w:eastAsia="宋体" w:cs="Times New Roman"/>
      <w:szCs w:val="20"/>
    </w:rPr>
  </w:style>
  <w:style w:type="paragraph" w:styleId="759">
    <w:name w:val="Document Map"/>
    <w:basedOn w:val="741"/>
    <w:link w:val="828"/>
    <w:semiHidden/>
    <w:qFormat/>
    <w:pPr>
      <w:shd w:val="clear" w:color="auto" w:fill="000080"/>
    </w:pPr>
    <w:rPr>
      <w:rFonts w:ascii="Times New Roman" w:hAnsi="Times New Roman" w:eastAsia="宋体" w:cs="Times New Roman"/>
      <w:szCs w:val="21"/>
    </w:rPr>
  </w:style>
  <w:style w:type="paragraph" w:styleId="760">
    <w:name w:val="annotation text"/>
    <w:basedOn w:val="741"/>
    <w:link w:val="831"/>
    <w:uiPriority w:val="99"/>
    <w:unhideWhenUsed/>
    <w:qFormat/>
    <w:pPr>
      <w:jc w:val="left"/>
    </w:pPr>
    <w:rPr>
      <w:rFonts w:ascii="Calibri" w:hAnsi="Calibri" w:eastAsia="宋体" w:cs="Times New Roman"/>
    </w:rPr>
  </w:style>
  <w:style w:type="paragraph" w:styleId="761">
    <w:name w:val="index 6"/>
    <w:basedOn w:val="741"/>
    <w:next w:val="741"/>
    <w:semiHidden/>
    <w:qFormat/>
    <w:pPr>
      <w:ind w:left="1000"/>
    </w:pPr>
    <w:rPr>
      <w:rFonts w:ascii="Times New Roman" w:hAnsi="Times New Roman" w:eastAsia="宋体" w:cs="Times New Roman"/>
      <w:szCs w:val="20"/>
    </w:rPr>
  </w:style>
  <w:style w:type="paragraph" w:styleId="762">
    <w:name w:val="Body Text 3"/>
    <w:basedOn w:val="741"/>
    <w:link w:val="832"/>
    <w:qFormat/>
    <w:rPr>
      <w:rFonts w:ascii="仿宋_GB2312" w:hAnsi="Arial" w:eastAsia="仿宋_GB2312" w:cs="Times New Roman"/>
      <w:sz w:val="32"/>
      <w:szCs w:val="32"/>
    </w:rPr>
  </w:style>
  <w:style w:type="paragraph" w:styleId="763">
    <w:name w:val="Body Text"/>
    <w:basedOn w:val="741"/>
    <w:link w:val="834"/>
    <w:qFormat/>
    <w:rPr>
      <w:rFonts w:ascii="楷体_GB2312" w:hAnsi="Arial" w:eastAsia="楷体_GB2312" w:cs="Times New Roman"/>
      <w:sz w:val="28"/>
      <w:szCs w:val="28"/>
    </w:rPr>
  </w:style>
  <w:style w:type="paragraph" w:styleId="764">
    <w:name w:val="Body Text Indent"/>
    <w:basedOn w:val="741"/>
    <w:link w:val="838"/>
    <w:unhideWhenUsed/>
    <w:qFormat/>
    <w:pPr>
      <w:ind w:left="420"/>
      <w:spacing w:after="120"/>
    </w:pPr>
    <w:rPr>
      <w:rFonts w:ascii="Calibri" w:hAnsi="Calibri" w:eastAsia="宋体" w:cs="Times New Roman"/>
    </w:rPr>
  </w:style>
  <w:style w:type="paragraph" w:styleId="765">
    <w:name w:val="List 2"/>
    <w:basedOn w:val="741"/>
    <w:qFormat/>
    <w:pPr>
      <w:ind w:left="100" w:hanging="200"/>
    </w:pPr>
    <w:rPr>
      <w:rFonts w:ascii="Times New Roman" w:hAnsi="Times New Roman" w:eastAsia="宋体" w:cs="Times New Roman"/>
      <w:szCs w:val="21"/>
    </w:rPr>
  </w:style>
  <w:style w:type="paragraph" w:styleId="766">
    <w:name w:val="Block Text"/>
    <w:basedOn w:val="741"/>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67">
    <w:name w:val="index 4"/>
    <w:basedOn w:val="741"/>
    <w:next w:val="741"/>
    <w:semiHidden/>
    <w:qFormat/>
    <w:pPr>
      <w:ind w:left="600"/>
    </w:pPr>
    <w:rPr>
      <w:rFonts w:ascii="Times New Roman" w:hAnsi="Times New Roman" w:eastAsia="宋体" w:cs="Times New Roman"/>
      <w:szCs w:val="20"/>
    </w:rPr>
  </w:style>
  <w:style w:type="paragraph" w:styleId="768">
    <w:name w:val="toc 5"/>
    <w:basedOn w:val="741"/>
    <w:next w:val="741"/>
    <w:semiHidden/>
    <w:qFormat/>
    <w:pPr>
      <w:jc w:val="left"/>
    </w:pPr>
    <w:rPr>
      <w:rFonts w:ascii="Calibri" w:hAnsi="Calibri" w:eastAsia="宋体" w:cs="Times New Roman"/>
      <w:sz w:val="22"/>
    </w:rPr>
  </w:style>
  <w:style w:type="paragraph" w:styleId="769">
    <w:name w:val="toc 3"/>
    <w:basedOn w:val="741"/>
    <w:next w:val="741"/>
    <w:uiPriority w:val="39"/>
    <w:qFormat/>
    <w:pPr>
      <w:jc w:val="left"/>
    </w:pPr>
    <w:rPr>
      <w:rFonts w:ascii="Calibri" w:hAnsi="Calibri" w:eastAsia="宋体" w:cs="Times New Roman"/>
      <w:smallCaps/>
      <w:sz w:val="22"/>
    </w:rPr>
  </w:style>
  <w:style w:type="paragraph" w:styleId="770">
    <w:name w:val="Plain Text"/>
    <w:basedOn w:val="741"/>
    <w:link w:val="841"/>
    <w:qFormat/>
    <w:rPr>
      <w:rFonts w:ascii="宋体" w:hAnsi="Courier New" w:eastAsia="宋体" w:cs="Courier New"/>
      <w:szCs w:val="21"/>
    </w:rPr>
  </w:style>
  <w:style w:type="paragraph" w:styleId="771">
    <w:name w:val="toc 8"/>
    <w:basedOn w:val="741"/>
    <w:next w:val="741"/>
    <w:semiHidden/>
    <w:qFormat/>
    <w:pPr>
      <w:jc w:val="left"/>
    </w:pPr>
    <w:rPr>
      <w:rFonts w:ascii="Calibri" w:hAnsi="Calibri" w:eastAsia="宋体" w:cs="Times New Roman"/>
      <w:sz w:val="22"/>
    </w:rPr>
  </w:style>
  <w:style w:type="paragraph" w:styleId="772">
    <w:name w:val="index 3"/>
    <w:basedOn w:val="741"/>
    <w:next w:val="741"/>
    <w:semiHidden/>
    <w:qFormat/>
    <w:pPr>
      <w:ind w:left="400"/>
    </w:pPr>
    <w:rPr>
      <w:rFonts w:ascii="Times New Roman" w:hAnsi="Times New Roman" w:eastAsia="宋体" w:cs="Times New Roman"/>
      <w:szCs w:val="20"/>
    </w:rPr>
  </w:style>
  <w:style w:type="paragraph" w:styleId="773">
    <w:name w:val="Date"/>
    <w:basedOn w:val="741"/>
    <w:next w:val="741"/>
    <w:link w:val="844"/>
    <w:qFormat/>
    <w:rPr>
      <w:rFonts w:ascii="Times New Roman" w:hAnsi="Times New Roman" w:eastAsia="宋体" w:cs="Times New Roman"/>
      <w:sz w:val="24"/>
      <w:szCs w:val="24"/>
    </w:rPr>
  </w:style>
  <w:style w:type="paragraph" w:styleId="774">
    <w:name w:val="Body Text Indent 2"/>
    <w:basedOn w:val="741"/>
    <w:link w:val="845"/>
    <w:qFormat/>
    <w:pPr>
      <w:ind w:left="630" w:firstLine="645"/>
    </w:pPr>
    <w:rPr>
      <w:rFonts w:ascii="Arial" w:hAnsi="Arial" w:eastAsia="仿宋_GB2312" w:cs="Arial"/>
      <w:sz w:val="32"/>
      <w:szCs w:val="32"/>
    </w:rPr>
  </w:style>
  <w:style w:type="paragraph" w:styleId="775">
    <w:name w:val="endnote text"/>
    <w:basedOn w:val="741"/>
    <w:link w:val="923"/>
    <w:uiPriority w:val="99"/>
    <w:semiHidden/>
    <w:unhideWhenUsed/>
    <w:qFormat/>
    <w:rPr>
      <w:rFonts w:ascii="Times New Roman" w:hAnsi="Times New Roman" w:eastAsia="宋体" w:cs="Times New Roman"/>
      <w:sz w:val="20"/>
      <w:szCs w:val="20"/>
    </w:rPr>
  </w:style>
  <w:style w:type="paragraph" w:styleId="776">
    <w:name w:val="Balloon Text"/>
    <w:basedOn w:val="741"/>
    <w:link w:val="848"/>
    <w:uiPriority w:val="99"/>
    <w:qFormat/>
    <w:rPr>
      <w:rFonts w:ascii="Times New Roman" w:hAnsi="Times New Roman" w:eastAsia="宋体" w:cs="Times New Roman"/>
      <w:sz w:val="18"/>
      <w:szCs w:val="18"/>
    </w:rPr>
  </w:style>
  <w:style w:type="paragraph" w:styleId="777">
    <w:name w:val="Footer"/>
    <w:basedOn w:val="741"/>
    <w:link w:val="813"/>
    <w:uiPriority w:val="99"/>
    <w:unhideWhenUsed/>
    <w:qFormat/>
    <w:pPr>
      <w:jc w:val="left"/>
      <w:tabs>
        <w:tab w:val="center" w:pos="4153" w:leader="none"/>
        <w:tab w:val="right" w:pos="8306" w:leader="none"/>
      </w:tabs>
    </w:pPr>
    <w:rPr>
      <w:sz w:val="18"/>
      <w:szCs w:val="18"/>
    </w:rPr>
  </w:style>
  <w:style w:type="paragraph" w:styleId="778">
    <w:name w:val="envelope return"/>
    <w:basedOn w:val="741"/>
    <w:qFormat/>
    <w:rPr>
      <w:rFonts w:ascii="Arial" w:hAnsi="Arial" w:eastAsia="宋体" w:cs="Times New Roman"/>
      <w:szCs w:val="20"/>
    </w:rPr>
  </w:style>
  <w:style w:type="paragraph" w:styleId="779">
    <w:name w:val="Header"/>
    <w:basedOn w:val="741"/>
    <w:link w:val="8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Signature"/>
    <w:basedOn w:val="741"/>
    <w:link w:val="850"/>
    <w:qFormat/>
    <w:pPr>
      <w:jc w:val="center"/>
      <w:spacing w:after="600" w:line="312" w:lineRule="atLeast"/>
    </w:pPr>
    <w:rPr>
      <w:rFonts w:ascii="Times New Roman" w:hAnsi="Times New Roman" w:eastAsia="仿宋_GB2312" w:cs="Times New Roman"/>
      <w:sz w:val="24"/>
      <w:szCs w:val="20"/>
    </w:rPr>
  </w:style>
  <w:style w:type="paragraph" w:styleId="781">
    <w:name w:val="toc 1"/>
    <w:basedOn w:val="741"/>
    <w:next w:val="741"/>
    <w:uiPriority w:val="39"/>
    <w:qFormat/>
    <w:pPr>
      <w:jc w:val="left"/>
      <w:spacing w:before="360" w:after="360"/>
    </w:pPr>
    <w:rPr>
      <w:rFonts w:ascii="Calibri" w:hAnsi="Calibri" w:eastAsia="宋体" w:cs="Times New Roman"/>
      <w:b/>
      <w:bCs/>
      <w:caps/>
      <w:sz w:val="22"/>
      <w:u w:val="single"/>
    </w:rPr>
  </w:style>
  <w:style w:type="paragraph" w:styleId="782">
    <w:name w:val="toc 4"/>
    <w:basedOn w:val="741"/>
    <w:next w:val="741"/>
    <w:semiHidden/>
    <w:qFormat/>
    <w:pPr>
      <w:jc w:val="left"/>
    </w:pPr>
    <w:rPr>
      <w:rFonts w:ascii="Calibri" w:hAnsi="Calibri" w:eastAsia="宋体" w:cs="Times New Roman"/>
      <w:sz w:val="22"/>
    </w:rPr>
  </w:style>
  <w:style w:type="paragraph" w:styleId="783">
    <w:name w:val="index heading"/>
    <w:basedOn w:val="741"/>
    <w:next w:val="784"/>
    <w:semiHidden/>
    <w:qFormat/>
    <w:rPr>
      <w:rFonts w:ascii="Times New Roman" w:hAnsi="Times New Roman" w:eastAsia="宋体" w:cs="Times New Roman"/>
      <w:szCs w:val="20"/>
    </w:rPr>
  </w:style>
  <w:style w:type="paragraph" w:styleId="784">
    <w:name w:val="index 1"/>
    <w:basedOn w:val="741"/>
    <w:next w:val="741"/>
    <w:semiHidden/>
    <w:unhideWhenUsed/>
    <w:qFormat/>
  </w:style>
  <w:style w:type="paragraph" w:styleId="785">
    <w:name w:val="Subtitle"/>
    <w:basedOn w:val="741"/>
    <w:next w:val="741"/>
    <w:link w:val="924"/>
    <w:uiPriority w:val="11"/>
    <w:qFormat/>
    <w:pPr>
      <w:spacing w:before="200" w:after="200"/>
    </w:pPr>
    <w:rPr>
      <w:rFonts w:ascii="Times New Roman" w:hAnsi="Times New Roman" w:eastAsia="宋体" w:cs="Times New Roman"/>
      <w:sz w:val="24"/>
      <w:szCs w:val="24"/>
    </w:rPr>
  </w:style>
  <w:style w:type="paragraph" w:styleId="786">
    <w:name w:val="List"/>
    <w:basedOn w:val="741"/>
    <w:qFormat/>
    <w:pPr>
      <w:ind w:left="200" w:hanging="200"/>
    </w:pPr>
    <w:rPr>
      <w:rFonts w:ascii="Times New Roman" w:hAnsi="Times New Roman" w:eastAsia="宋体" w:cs="Times New Roman"/>
      <w:szCs w:val="21"/>
    </w:rPr>
  </w:style>
  <w:style w:type="paragraph" w:styleId="787">
    <w:name w:val="footnote text"/>
    <w:basedOn w:val="741"/>
    <w:link w:val="851"/>
    <w:uiPriority w:val="99"/>
    <w:qFormat/>
    <w:pPr>
      <w:jc w:val="left"/>
    </w:pPr>
    <w:rPr>
      <w:rFonts w:ascii="Times New Roman" w:hAnsi="Times New Roman" w:eastAsia="宋体" w:cs="Times New Roman"/>
      <w:sz w:val="18"/>
      <w:szCs w:val="18"/>
    </w:rPr>
  </w:style>
  <w:style w:type="paragraph" w:styleId="788">
    <w:name w:val="toc 6"/>
    <w:basedOn w:val="741"/>
    <w:next w:val="741"/>
    <w:semiHidden/>
    <w:qFormat/>
    <w:pPr>
      <w:jc w:val="left"/>
    </w:pPr>
    <w:rPr>
      <w:rFonts w:ascii="Calibri" w:hAnsi="Calibri" w:eastAsia="宋体" w:cs="Times New Roman"/>
      <w:sz w:val="22"/>
    </w:rPr>
  </w:style>
  <w:style w:type="paragraph" w:styleId="789">
    <w:name w:val="Body Text Indent 3"/>
    <w:basedOn w:val="741"/>
    <w:link w:val="852"/>
    <w:qFormat/>
    <w:pPr>
      <w:ind w:left="645" w:firstLine="645"/>
    </w:pPr>
    <w:rPr>
      <w:rFonts w:ascii="Arial" w:hAnsi="Arial" w:eastAsia="仿宋_GB2312" w:cs="Arial"/>
      <w:color w:val="ffff00"/>
      <w:sz w:val="32"/>
      <w:szCs w:val="32"/>
    </w:rPr>
  </w:style>
  <w:style w:type="paragraph" w:styleId="790">
    <w:name w:val="index 7"/>
    <w:basedOn w:val="741"/>
    <w:next w:val="741"/>
    <w:semiHidden/>
    <w:qFormat/>
    <w:pPr>
      <w:ind w:left="1200"/>
    </w:pPr>
    <w:rPr>
      <w:rFonts w:ascii="Times New Roman" w:hAnsi="Times New Roman" w:eastAsia="宋体" w:cs="Times New Roman"/>
      <w:szCs w:val="20"/>
    </w:rPr>
  </w:style>
  <w:style w:type="paragraph" w:styleId="791">
    <w:name w:val="index 9"/>
    <w:basedOn w:val="741"/>
    <w:next w:val="741"/>
    <w:semiHidden/>
    <w:qFormat/>
    <w:pPr>
      <w:ind w:left="1600"/>
    </w:pPr>
    <w:rPr>
      <w:rFonts w:ascii="Times New Roman" w:hAnsi="Times New Roman" w:eastAsia="宋体" w:cs="Times New Roman"/>
      <w:szCs w:val="20"/>
    </w:rPr>
  </w:style>
  <w:style w:type="paragraph" w:styleId="792">
    <w:name w:val="table of figures"/>
    <w:basedOn w:val="741"/>
    <w:next w:val="741"/>
    <w:uiPriority w:val="99"/>
    <w:qFormat/>
    <w:pPr>
      <w:ind w:left="840" w:hanging="420"/>
    </w:pPr>
    <w:rPr>
      <w:rFonts w:ascii="Times New Roman" w:hAnsi="Times New Roman" w:eastAsia="宋体" w:cs="Times New Roman"/>
      <w:szCs w:val="21"/>
    </w:rPr>
  </w:style>
  <w:style w:type="paragraph" w:styleId="793">
    <w:name w:val="toc 2"/>
    <w:basedOn w:val="741"/>
    <w:next w:val="741"/>
    <w:uiPriority w:val="39"/>
    <w:qFormat/>
    <w:pPr>
      <w:jc w:val="left"/>
    </w:pPr>
    <w:rPr>
      <w:rFonts w:ascii="Calibri" w:hAnsi="Calibri" w:eastAsia="宋体" w:cs="Times New Roman"/>
      <w:b/>
      <w:bCs/>
      <w:smallCaps/>
      <w:sz w:val="22"/>
    </w:rPr>
  </w:style>
  <w:style w:type="paragraph" w:styleId="794">
    <w:name w:val="toc 9"/>
    <w:basedOn w:val="741"/>
    <w:next w:val="741"/>
    <w:semiHidden/>
    <w:qFormat/>
    <w:pPr>
      <w:jc w:val="left"/>
    </w:pPr>
    <w:rPr>
      <w:rFonts w:ascii="Calibri" w:hAnsi="Calibri" w:eastAsia="宋体" w:cs="Times New Roman"/>
      <w:sz w:val="22"/>
    </w:rPr>
  </w:style>
  <w:style w:type="paragraph" w:styleId="795">
    <w:name w:val="Body Text 2"/>
    <w:basedOn w:val="741"/>
    <w:link w:val="853"/>
    <w:qFormat/>
    <w:pPr>
      <w:jc w:val="center"/>
      <w:widowControl/>
    </w:pPr>
    <w:rPr>
      <w:rFonts w:ascii="楷体_GB2312" w:hAnsi="Times New Roman" w:eastAsia="楷体_GB2312" w:cs="Times New Roman"/>
      <w:sz w:val="28"/>
      <w:szCs w:val="28"/>
    </w:rPr>
  </w:style>
  <w:style w:type="paragraph" w:styleId="796">
    <w:name w:val="HTML Preformatted"/>
    <w:basedOn w:val="741"/>
    <w:link w:val="8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97">
    <w:name w:val="Normal (Web)"/>
    <w:basedOn w:val="741"/>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index 2"/>
    <w:basedOn w:val="741"/>
    <w:next w:val="741"/>
    <w:semiHidden/>
    <w:qFormat/>
    <w:pPr>
      <w:ind w:left="200"/>
    </w:pPr>
    <w:rPr>
      <w:rFonts w:ascii="Times New Roman" w:hAnsi="Times New Roman" w:eastAsia="宋体" w:cs="Times New Roman"/>
      <w:szCs w:val="20"/>
    </w:rPr>
  </w:style>
  <w:style w:type="paragraph" w:styleId="799">
    <w:name w:val="Title"/>
    <w:basedOn w:val="741"/>
    <w:next w:val="741"/>
    <w:link w:val="925"/>
    <w:uiPriority w:val="10"/>
    <w:qFormat/>
    <w:pPr>
      <w:contextualSpacing/>
      <w:spacing w:before="300" w:after="200"/>
    </w:pPr>
    <w:rPr>
      <w:rFonts w:ascii="Times New Roman" w:hAnsi="Times New Roman" w:eastAsia="宋体" w:cs="Times New Roman"/>
      <w:sz w:val="48"/>
      <w:szCs w:val="48"/>
    </w:rPr>
  </w:style>
  <w:style w:type="paragraph" w:styleId="800">
    <w:name w:val="annotation subject"/>
    <w:basedOn w:val="760"/>
    <w:next w:val="760"/>
    <w:link w:val="857"/>
    <w:uiPriority w:val="99"/>
    <w:qFormat/>
    <w:rPr>
      <w:rFonts w:ascii="Times New Roman" w:hAnsi="Times New Roman"/>
      <w:b/>
      <w:bCs/>
      <w:szCs w:val="21"/>
    </w:rPr>
  </w:style>
  <w:style w:type="paragraph" w:styleId="801">
    <w:name w:val="Body Text First Indent"/>
    <w:basedOn w:val="741"/>
    <w:link w:val="858"/>
    <w:uiPriority w:val="99"/>
    <w:qFormat/>
    <w:pPr>
      <w:ind w:firstLine="200"/>
      <w:spacing w:line="360" w:lineRule="auto"/>
    </w:pPr>
    <w:rPr>
      <w:rFonts w:ascii="仿宋_GB2312" w:hAnsi="Times New Roman" w:eastAsia="仿宋_GB2312" w:cs="Times New Roman"/>
      <w:sz w:val="30"/>
      <w:szCs w:val="30"/>
    </w:rPr>
  </w:style>
  <w:style w:type="paragraph" w:styleId="802">
    <w:name w:val="Body Text First Indent 2"/>
    <w:basedOn w:val="764"/>
    <w:link w:val="859"/>
    <w:qFormat/>
    <w:pPr>
      <w:ind w:left="0" w:firstLine="420"/>
      <w:spacing w:after="0" w:line="360" w:lineRule="auto"/>
    </w:pPr>
    <w:rPr>
      <w:rFonts w:ascii="宋体" w:hAnsi="宋体"/>
      <w:szCs w:val="20"/>
    </w:rPr>
  </w:style>
  <w:style w:type="table" w:styleId="803">
    <w:name w:val="Table Grid"/>
    <w:basedOn w:val="752"/>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uiPriority w:val="22"/>
    <w:qFormat/>
    <w:rPr>
      <w:b/>
      <w:bCs/>
    </w:rPr>
  </w:style>
  <w:style w:type="character" w:styleId="805">
    <w:name w:val="endnote reference"/>
    <w:uiPriority w:val="99"/>
    <w:semiHidden/>
    <w:unhideWhenUsed/>
    <w:qFormat/>
    <w:rPr>
      <w:vertAlign w:val="superscript"/>
    </w:rPr>
  </w:style>
  <w:style w:type="character" w:styleId="806">
    <w:name w:val="page number"/>
    <w:qFormat/>
  </w:style>
  <w:style w:type="character" w:styleId="807">
    <w:name w:val="FollowedHyperlink"/>
    <w:uiPriority w:val="99"/>
    <w:qFormat/>
    <w:rPr>
      <w:color w:val="800080"/>
      <w:u w:val="single"/>
    </w:rPr>
  </w:style>
  <w:style w:type="character" w:styleId="808">
    <w:name w:val="Emphasis"/>
    <w:uiPriority w:val="20"/>
    <w:qFormat/>
    <w:rPr>
      <w:i/>
      <w:iCs/>
    </w:rPr>
  </w:style>
  <w:style w:type="character" w:styleId="809">
    <w:name w:val="Hyperlink"/>
    <w:uiPriority w:val="99"/>
    <w:qFormat/>
    <w:rPr>
      <w:color w:val="0000ff"/>
      <w:u w:val="single"/>
    </w:rPr>
  </w:style>
  <w:style w:type="character" w:styleId="810">
    <w:name w:val="annotation reference"/>
    <w:uiPriority w:val="99"/>
    <w:qFormat/>
    <w:rPr>
      <w:sz w:val="21"/>
      <w:szCs w:val="21"/>
    </w:rPr>
  </w:style>
  <w:style w:type="character" w:styleId="811">
    <w:name w:val="footnote reference"/>
    <w:uiPriority w:val="99"/>
    <w:unhideWhenUsed/>
    <w:qFormat/>
    <w:rPr>
      <w:vertAlign w:val="superscript"/>
    </w:rPr>
  </w:style>
  <w:style w:type="character" w:styleId="812" w:customStyle="1">
    <w:name w:val="页眉 Char"/>
    <w:basedOn w:val="751"/>
    <w:link w:val="779"/>
    <w:uiPriority w:val="99"/>
    <w:qFormat/>
    <w:rPr>
      <w:sz w:val="18"/>
      <w:szCs w:val="18"/>
    </w:rPr>
  </w:style>
  <w:style w:type="character" w:styleId="813" w:customStyle="1">
    <w:name w:val="页脚 Char"/>
    <w:basedOn w:val="751"/>
    <w:link w:val="777"/>
    <w:uiPriority w:val="99"/>
    <w:qFormat/>
    <w:rPr>
      <w:sz w:val="18"/>
      <w:szCs w:val="18"/>
    </w:rPr>
  </w:style>
  <w:style w:type="character" w:styleId="814" w:customStyle="1">
    <w:name w:val="标题 1 字符"/>
    <w:basedOn w:val="751"/>
    <w:link w:val="815"/>
    <w:uiPriority w:val="9"/>
    <w:qFormat/>
    <w:rPr>
      <w:b/>
      <w:bCs/>
      <w:sz w:val="44"/>
      <w:szCs w:val="44"/>
    </w:rPr>
  </w:style>
  <w:style w:type="paragraph" w:styleId="815" w:customStyle="1">
    <w:name w:val="标题 11"/>
    <w:basedOn w:val="741"/>
    <w:next w:val="741"/>
    <w:link w:val="814"/>
    <w:uiPriority w:val="9"/>
    <w:qFormat/>
    <w:pPr>
      <w:jc w:val="center"/>
      <w:keepNext/>
      <w:tabs>
        <w:tab w:val="left" w:pos="200" w:leader="none"/>
      </w:tabs>
      <w:outlineLvl w:val="0"/>
    </w:pPr>
    <w:rPr>
      <w:b/>
      <w:bCs/>
      <w:sz w:val="44"/>
      <w:szCs w:val="44"/>
    </w:rPr>
  </w:style>
  <w:style w:type="character" w:styleId="816" w:customStyle="1">
    <w:name w:val="标题 2 字符"/>
    <w:basedOn w:val="751"/>
    <w:link w:val="817"/>
    <w:qFormat/>
    <w:rPr>
      <w:rFonts w:asciiTheme="majorHAnsi" w:hAnsiTheme="majorHAnsi" w:eastAsiaTheme="majorEastAsia" w:cstheme="majorBidi"/>
      <w:b/>
      <w:bCs/>
      <w:sz w:val="32"/>
      <w:szCs w:val="32"/>
    </w:rPr>
  </w:style>
  <w:style w:type="paragraph" w:styleId="817" w:customStyle="1">
    <w:name w:val="标题 21"/>
    <w:basedOn w:val="741"/>
    <w:next w:val="741"/>
    <w:link w:val="816"/>
    <w:qFormat/>
    <w:pPr>
      <w:jc w:val="center"/>
      <w:keepNext/>
      <w:outlineLvl w:val="1"/>
    </w:pPr>
    <w:rPr>
      <w:rFonts w:asciiTheme="majorHAnsi" w:hAnsiTheme="majorHAnsi" w:eastAsiaTheme="majorEastAsia" w:cstheme="majorBidi"/>
      <w:b/>
      <w:bCs/>
      <w:sz w:val="32"/>
      <w:szCs w:val="32"/>
    </w:rPr>
  </w:style>
  <w:style w:type="character" w:styleId="818" w:customStyle="1">
    <w:name w:val="标题 3 Char"/>
    <w:basedOn w:val="751"/>
    <w:link w:val="744"/>
    <w:uiPriority w:val="9"/>
    <w:qFormat/>
    <w:rPr>
      <w:rFonts w:ascii="Times New Roman" w:hAnsi="Times New Roman" w:eastAsia="宋体" w:cs="Times New Roman"/>
      <w:b/>
      <w:bCs/>
      <w:sz w:val="32"/>
      <w:szCs w:val="32"/>
    </w:rPr>
  </w:style>
  <w:style w:type="character" w:styleId="819" w:customStyle="1">
    <w:name w:val="标题 4 Char"/>
    <w:basedOn w:val="751"/>
    <w:link w:val="745"/>
    <w:uiPriority w:val="9"/>
    <w:qFormat/>
    <w:rPr>
      <w:rFonts w:ascii="Arial" w:hAnsi="Arial" w:eastAsia="黑体" w:cs="Arial"/>
      <w:b/>
      <w:bCs/>
      <w:sz w:val="28"/>
      <w:szCs w:val="28"/>
    </w:rPr>
  </w:style>
  <w:style w:type="character" w:styleId="820" w:customStyle="1">
    <w:name w:val="标题 5 Char"/>
    <w:basedOn w:val="751"/>
    <w:link w:val="746"/>
    <w:uiPriority w:val="9"/>
    <w:qFormat/>
    <w:rPr>
      <w:rFonts w:ascii="宋体" w:hAnsi="Times New Roman" w:eastAsia="宋体" w:cs="Times New Roman"/>
      <w:color w:val="000000"/>
      <w:sz w:val="28"/>
      <w:szCs w:val="28"/>
    </w:rPr>
  </w:style>
  <w:style w:type="character" w:styleId="821" w:customStyle="1">
    <w:name w:val="标题 6 Char"/>
    <w:basedOn w:val="751"/>
    <w:link w:val="747"/>
    <w:uiPriority w:val="9"/>
    <w:qFormat/>
    <w:rPr>
      <w:rFonts w:ascii="Arial" w:hAnsi="Arial" w:eastAsia="黑体" w:cs="Times New Roman"/>
      <w:b/>
      <w:bCs/>
      <w:sz w:val="24"/>
      <w:szCs w:val="24"/>
    </w:rPr>
  </w:style>
  <w:style w:type="character" w:styleId="822" w:customStyle="1">
    <w:name w:val="标题 7 Char"/>
    <w:basedOn w:val="751"/>
    <w:link w:val="748"/>
    <w:uiPriority w:val="9"/>
    <w:qFormat/>
    <w:rPr>
      <w:rFonts w:ascii="Times New Roman" w:hAnsi="Times New Roman" w:eastAsia="宋体" w:cs="Times New Roman"/>
      <w:b/>
      <w:bCs/>
      <w:sz w:val="24"/>
      <w:szCs w:val="24"/>
    </w:rPr>
  </w:style>
  <w:style w:type="character" w:styleId="823" w:customStyle="1">
    <w:name w:val="标题 8 Char"/>
    <w:basedOn w:val="751"/>
    <w:link w:val="749"/>
    <w:uiPriority w:val="9"/>
    <w:qFormat/>
    <w:rPr>
      <w:rFonts w:ascii="Arial" w:hAnsi="Arial" w:eastAsia="黑体" w:cs="Times New Roman"/>
      <w:sz w:val="24"/>
      <w:szCs w:val="24"/>
    </w:rPr>
  </w:style>
  <w:style w:type="character" w:styleId="824" w:customStyle="1">
    <w:name w:val="标题 9 Char"/>
    <w:basedOn w:val="751"/>
    <w:link w:val="750"/>
    <w:uiPriority w:val="9"/>
    <w:qFormat/>
    <w:rPr>
      <w:rFonts w:ascii="Arial" w:hAnsi="Arial" w:eastAsia="黑体" w:cs="Times New Roman"/>
      <w:szCs w:val="21"/>
    </w:rPr>
  </w:style>
  <w:style w:type="character" w:styleId="825" w:customStyle="1">
    <w:name w:val="标题 1 Char"/>
    <w:link w:val="742"/>
    <w:uiPriority w:val="9"/>
    <w:qFormat/>
    <w:rPr>
      <w:rFonts w:ascii="楷体_GB2312" w:hAnsi="Times New Roman" w:eastAsia="楷体_GB2312" w:cs="Times New Roman"/>
      <w:sz w:val="28"/>
      <w:szCs w:val="28"/>
    </w:rPr>
  </w:style>
  <w:style w:type="character" w:styleId="826" w:customStyle="1">
    <w:name w:val="标题 2 Char"/>
    <w:link w:val="743"/>
    <w:uiPriority w:val="9"/>
    <w:qFormat/>
    <w:rPr>
      <w:rFonts w:ascii="Arial" w:hAnsi="Arial" w:eastAsia="幼圆" w:cs="Arial"/>
      <w:b/>
      <w:bCs/>
      <w:sz w:val="44"/>
      <w:szCs w:val="44"/>
    </w:rPr>
  </w:style>
  <w:style w:type="character" w:styleId="827" w:customStyle="1">
    <w:name w:val="正文缩进 Char"/>
    <w:link w:val="754"/>
    <w:qFormat/>
    <w:rPr>
      <w:rFonts w:ascii="Calibri" w:hAnsi="Calibri" w:eastAsia="宋体" w:cs="Times New Roman"/>
      <w:szCs w:val="21"/>
    </w:rPr>
  </w:style>
  <w:style w:type="character" w:styleId="828" w:customStyle="1">
    <w:name w:val="文档结构图 Char"/>
    <w:basedOn w:val="751"/>
    <w:link w:val="759"/>
    <w:semiHidden/>
    <w:qFormat/>
    <w:rPr>
      <w:rFonts w:ascii="Times New Roman" w:hAnsi="Times New Roman" w:eastAsia="宋体" w:cs="Times New Roman"/>
      <w:szCs w:val="21"/>
      <w:shd w:val="clear" w:color="auto" w:fill="000080"/>
    </w:rPr>
  </w:style>
  <w:style w:type="character" w:styleId="829" w:customStyle="1">
    <w:name w:val="批注文字 字符"/>
    <w:basedOn w:val="751"/>
    <w:link w:val="830"/>
    <w:uiPriority w:val="99"/>
    <w:qFormat/>
  </w:style>
  <w:style w:type="paragraph" w:styleId="830" w:customStyle="1">
    <w:name w:val="批注文字1"/>
    <w:basedOn w:val="741"/>
    <w:link w:val="829"/>
    <w:uiPriority w:val="99"/>
    <w:qFormat/>
    <w:pPr>
      <w:jc w:val="left"/>
    </w:pPr>
  </w:style>
  <w:style w:type="character" w:styleId="831" w:customStyle="1">
    <w:name w:val="批注文字 Char"/>
    <w:link w:val="760"/>
    <w:qFormat/>
    <w:rPr>
      <w:rFonts w:ascii="Calibri" w:hAnsi="Calibri" w:eastAsia="宋体" w:cs="Times New Roman"/>
    </w:rPr>
  </w:style>
  <w:style w:type="character" w:styleId="832" w:customStyle="1">
    <w:name w:val="正文文本 3 Char"/>
    <w:basedOn w:val="751"/>
    <w:link w:val="762"/>
    <w:qFormat/>
    <w:rPr>
      <w:rFonts w:ascii="仿宋_GB2312" w:hAnsi="Arial" w:eastAsia="仿宋_GB2312" w:cs="Times New Roman"/>
      <w:sz w:val="32"/>
      <w:szCs w:val="32"/>
    </w:rPr>
  </w:style>
  <w:style w:type="character" w:styleId="833" w:customStyle="1">
    <w:name w:val="正文文本 字符"/>
    <w:basedOn w:val="751"/>
    <w:qFormat/>
  </w:style>
  <w:style w:type="character" w:styleId="834" w:customStyle="1">
    <w:name w:val="正文文本 Char"/>
    <w:link w:val="763"/>
    <w:qFormat/>
    <w:rPr>
      <w:rFonts w:ascii="楷体_GB2312" w:hAnsi="Arial" w:eastAsia="楷体_GB2312" w:cs="Times New Roman"/>
      <w:sz w:val="28"/>
      <w:szCs w:val="28"/>
    </w:rPr>
  </w:style>
  <w:style w:type="character" w:styleId="835" w:customStyle="1">
    <w:name w:val="正文文本缩进 字符"/>
    <w:basedOn w:val="751"/>
    <w:link w:val="836"/>
    <w:qFormat/>
  </w:style>
  <w:style w:type="paragraph" w:styleId="836" w:customStyle="1">
    <w:name w:val="正文文本缩进1"/>
    <w:basedOn w:val="741"/>
    <w:next w:val="837"/>
    <w:link w:val="835"/>
    <w:qFormat/>
    <w:pPr>
      <w:ind w:firstLine="574"/>
      <w:spacing w:line="312" w:lineRule="atLeast"/>
    </w:pPr>
  </w:style>
  <w:style w:type="paragraph" w:styleId="837" w:customStyle="1">
    <w:name w:val="寄信人地址1"/>
    <w:basedOn w:val="741"/>
    <w:link w:val="1076"/>
    <w:qFormat/>
    <w:pPr>
      <w:spacing w:line="360" w:lineRule="auto"/>
    </w:pPr>
    <w:rPr>
      <w:rFonts w:ascii="Arial" w:hAnsi="Arial" w:eastAsia="仿宋_GB2312" w:cs="Times New Roman"/>
      <w:sz w:val="32"/>
      <w:szCs w:val="20"/>
    </w:rPr>
  </w:style>
  <w:style w:type="character" w:styleId="838" w:customStyle="1">
    <w:name w:val="正文文本缩进 Char"/>
    <w:link w:val="764"/>
    <w:qFormat/>
    <w:rPr>
      <w:rFonts w:ascii="Calibri" w:hAnsi="Calibri" w:eastAsia="宋体" w:cs="Times New Roman"/>
    </w:rPr>
  </w:style>
  <w:style w:type="character" w:styleId="839" w:customStyle="1">
    <w:name w:val="纯文本 字符"/>
    <w:basedOn w:val="751"/>
    <w:link w:val="840"/>
    <w:qFormat/>
    <w:rPr>
      <w:rFonts w:hAnsi="Courier New" w:cs="Courier New" w:asciiTheme="minorEastAsia"/>
    </w:rPr>
  </w:style>
  <w:style w:type="paragraph" w:styleId="840" w:customStyle="1">
    <w:name w:val="纯文本1"/>
    <w:basedOn w:val="741"/>
    <w:link w:val="839"/>
    <w:qFormat/>
    <w:rPr>
      <w:rFonts w:hAnsi="Courier New" w:cs="Courier New" w:asciiTheme="minorEastAsia"/>
    </w:rPr>
  </w:style>
  <w:style w:type="character" w:styleId="841" w:customStyle="1">
    <w:name w:val="纯文本 Char"/>
    <w:link w:val="770"/>
    <w:qFormat/>
    <w:rPr>
      <w:rFonts w:ascii="宋体" w:hAnsi="Courier New" w:eastAsia="宋体" w:cs="Courier New"/>
      <w:szCs w:val="21"/>
    </w:rPr>
  </w:style>
  <w:style w:type="character" w:styleId="842" w:customStyle="1">
    <w:name w:val="日期 字符"/>
    <w:basedOn w:val="751"/>
    <w:link w:val="843"/>
    <w:qFormat/>
  </w:style>
  <w:style w:type="paragraph" w:styleId="843" w:customStyle="1">
    <w:name w:val="日期1"/>
    <w:basedOn w:val="741"/>
    <w:next w:val="741"/>
    <w:link w:val="842"/>
    <w:qFormat/>
    <w:pPr>
      <w:spacing w:line="312" w:lineRule="atLeast"/>
    </w:pPr>
  </w:style>
  <w:style w:type="character" w:styleId="844" w:customStyle="1">
    <w:name w:val="日期 Char"/>
    <w:link w:val="773"/>
    <w:qFormat/>
    <w:rPr>
      <w:rFonts w:ascii="Times New Roman" w:hAnsi="Times New Roman" w:eastAsia="宋体" w:cs="Times New Roman"/>
      <w:sz w:val="24"/>
      <w:szCs w:val="24"/>
    </w:rPr>
  </w:style>
  <w:style w:type="character" w:styleId="845" w:customStyle="1">
    <w:name w:val="正文文本缩进 2 Char"/>
    <w:basedOn w:val="751"/>
    <w:link w:val="774"/>
    <w:qFormat/>
    <w:rPr>
      <w:rFonts w:ascii="Arial" w:hAnsi="Arial" w:eastAsia="仿宋_GB2312" w:cs="Arial"/>
      <w:sz w:val="32"/>
      <w:szCs w:val="32"/>
    </w:rPr>
  </w:style>
  <w:style w:type="character" w:styleId="846" w:customStyle="1">
    <w:name w:val="批注框文本 字符"/>
    <w:basedOn w:val="751"/>
    <w:link w:val="847"/>
    <w:qFormat/>
    <w:rPr>
      <w:sz w:val="18"/>
      <w:szCs w:val="18"/>
    </w:rPr>
  </w:style>
  <w:style w:type="paragraph" w:styleId="847" w:customStyle="1">
    <w:name w:val="批注框文本1"/>
    <w:basedOn w:val="741"/>
    <w:link w:val="846"/>
    <w:qFormat/>
    <w:rPr>
      <w:sz w:val="18"/>
      <w:szCs w:val="18"/>
    </w:rPr>
  </w:style>
  <w:style w:type="character" w:styleId="848" w:customStyle="1">
    <w:name w:val="批注框文本 Char"/>
    <w:link w:val="776"/>
    <w:uiPriority w:val="99"/>
    <w:qFormat/>
    <w:rPr>
      <w:rFonts w:ascii="Times New Roman" w:hAnsi="Times New Roman" w:eastAsia="宋体" w:cs="Times New Roman"/>
      <w:sz w:val="18"/>
      <w:szCs w:val="18"/>
    </w:rPr>
  </w:style>
  <w:style w:type="character" w:styleId="849" w:customStyle="1">
    <w:name w:val="签名 字符"/>
    <w:basedOn w:val="751"/>
    <w:qFormat/>
  </w:style>
  <w:style w:type="character" w:styleId="850" w:customStyle="1">
    <w:name w:val="签名 Char"/>
    <w:link w:val="780"/>
    <w:qFormat/>
    <w:rPr>
      <w:rFonts w:ascii="Times New Roman" w:hAnsi="Times New Roman" w:eastAsia="仿宋_GB2312" w:cs="Times New Roman"/>
      <w:sz w:val="24"/>
      <w:szCs w:val="20"/>
    </w:rPr>
  </w:style>
  <w:style w:type="character" w:styleId="851" w:customStyle="1">
    <w:name w:val="脚注文本 Char"/>
    <w:basedOn w:val="751"/>
    <w:link w:val="787"/>
    <w:uiPriority w:val="99"/>
    <w:qFormat/>
    <w:rPr>
      <w:rFonts w:ascii="Times New Roman" w:hAnsi="Times New Roman" w:eastAsia="宋体" w:cs="Times New Roman"/>
      <w:sz w:val="18"/>
      <w:szCs w:val="18"/>
    </w:rPr>
  </w:style>
  <w:style w:type="character" w:styleId="852" w:customStyle="1">
    <w:name w:val="正文文本缩进 3 Char"/>
    <w:basedOn w:val="751"/>
    <w:link w:val="789"/>
    <w:qFormat/>
    <w:rPr>
      <w:rFonts w:ascii="Arial" w:hAnsi="Arial" w:eastAsia="仿宋_GB2312" w:cs="Arial"/>
      <w:color w:val="ffff00"/>
      <w:sz w:val="32"/>
      <w:szCs w:val="32"/>
    </w:rPr>
  </w:style>
  <w:style w:type="character" w:styleId="853" w:customStyle="1">
    <w:name w:val="正文文本 2 Char"/>
    <w:basedOn w:val="751"/>
    <w:link w:val="795"/>
    <w:qFormat/>
    <w:rPr>
      <w:rFonts w:ascii="楷体_GB2312" w:hAnsi="Times New Roman" w:eastAsia="楷体_GB2312" w:cs="Times New Roman"/>
      <w:sz w:val="28"/>
      <w:szCs w:val="28"/>
    </w:rPr>
  </w:style>
  <w:style w:type="character" w:styleId="854" w:customStyle="1">
    <w:name w:val="HTML 预设格式 Char"/>
    <w:basedOn w:val="751"/>
    <w:link w:val="796"/>
    <w:qFormat/>
    <w:rPr>
      <w:rFonts w:ascii="Arial" w:hAnsi="Arial" w:eastAsia="宋体" w:cs="Times New Roman"/>
      <w:sz w:val="24"/>
      <w:szCs w:val="24"/>
    </w:rPr>
  </w:style>
  <w:style w:type="character" w:styleId="855" w:customStyle="1">
    <w:name w:val="批注主题 字符"/>
    <w:basedOn w:val="829"/>
    <w:link w:val="856"/>
    <w:qFormat/>
    <w:rPr>
      <w:b/>
      <w:bCs/>
    </w:rPr>
  </w:style>
  <w:style w:type="paragraph" w:styleId="856" w:customStyle="1">
    <w:name w:val="批注主题1"/>
    <w:basedOn w:val="830"/>
    <w:next w:val="830"/>
    <w:link w:val="855"/>
    <w:qFormat/>
    <w:rPr>
      <w:b/>
      <w:bCs/>
    </w:rPr>
  </w:style>
  <w:style w:type="character" w:styleId="857" w:customStyle="1">
    <w:name w:val="批注主题 Char"/>
    <w:link w:val="800"/>
    <w:uiPriority w:val="99"/>
    <w:qFormat/>
    <w:rPr>
      <w:rFonts w:ascii="Times New Roman" w:hAnsi="Times New Roman" w:eastAsia="宋体" w:cs="Times New Roman"/>
      <w:b/>
      <w:bCs/>
      <w:szCs w:val="21"/>
    </w:rPr>
  </w:style>
  <w:style w:type="character" w:styleId="858" w:customStyle="1">
    <w:name w:val="正文首行缩进 Char"/>
    <w:basedOn w:val="833"/>
    <w:link w:val="801"/>
    <w:qFormat/>
    <w:rPr>
      <w:rFonts w:ascii="仿宋_GB2312" w:hAnsi="Times New Roman" w:eastAsia="仿宋_GB2312" w:cs="Times New Roman"/>
      <w:sz w:val="30"/>
      <w:szCs w:val="30"/>
    </w:rPr>
  </w:style>
  <w:style w:type="character" w:styleId="859" w:customStyle="1">
    <w:name w:val="正文首行缩进 2 Char"/>
    <w:basedOn w:val="835"/>
    <w:link w:val="802"/>
    <w:qFormat/>
    <w:rPr>
      <w:rFonts w:ascii="宋体" w:hAnsi="宋体" w:eastAsia="宋体" w:cs="Times New Roman"/>
      <w:szCs w:val="20"/>
    </w:rPr>
  </w:style>
  <w:style w:type="character" w:styleId="860" w:customStyle="1">
    <w:name w:val="font5 Char"/>
    <w:qFormat/>
    <w:rPr>
      <w:rFonts w:ascii="宋体" w:hAnsi="宋体" w:eastAsia="宋体"/>
      <w:sz w:val="28"/>
      <w:szCs w:val="28"/>
      <w:lang w:val="en-US" w:eastAsia="zh-CN" w:bidi="ar-SA"/>
    </w:rPr>
  </w:style>
  <w:style w:type="character" w:styleId="861" w:customStyle="1">
    <w:name w:val="二级目录 Char"/>
    <w:link w:val="862"/>
    <w:qFormat/>
    <w:rPr>
      <w:b/>
      <w:sz w:val="30"/>
      <w:szCs w:val="28"/>
    </w:rPr>
  </w:style>
  <w:style w:type="paragraph" w:styleId="862" w:customStyle="1">
    <w:name w:val="二级目录"/>
    <w:next w:val="741"/>
    <w:link w:val="861"/>
    <w:qFormat/>
    <w:pPr>
      <w:numPr>
        <w:numId w:val="2"/>
      </w:numPr>
      <w:tabs>
        <w:tab w:val="left" w:pos="1145" w:leader="none"/>
      </w:tabs>
      <w:outlineLvl w:val="1"/>
    </w:pPr>
    <w:rPr>
      <w:b/>
      <w:sz w:val="30"/>
      <w:szCs w:val="28"/>
    </w:rPr>
  </w:style>
  <w:style w:type="character" w:styleId="863" w:customStyle="1">
    <w:name w:val="列出段落 Char"/>
    <w:link w:val="864"/>
    <w:qFormat/>
    <w:rPr>
      <w:rFonts w:ascii="Calibri" w:hAnsi="Calibri"/>
      <w:sz w:val="24"/>
      <w:szCs w:val="24"/>
      <w:lang w:eastAsia="en-US" w:bidi="en-US"/>
    </w:rPr>
  </w:style>
  <w:style w:type="paragraph" w:styleId="864" w:customStyle="1">
    <w:name w:val="列出段落1"/>
    <w:basedOn w:val="741"/>
    <w:link w:val="863"/>
    <w:qFormat/>
    <w:pPr>
      <w:contextualSpacing/>
      <w:ind w:left="720"/>
      <w:jc w:val="left"/>
      <w:widowControl/>
    </w:pPr>
    <w:rPr>
      <w:rFonts w:ascii="Calibri" w:hAnsi="Calibri"/>
      <w:sz w:val="24"/>
      <w:szCs w:val="24"/>
      <w:lang w:eastAsia="en-US" w:bidi="en-US"/>
    </w:rPr>
  </w:style>
  <w:style w:type="paragraph" w:styleId="865" w:customStyle="1">
    <w:name w:val="Body Text(ch)"/>
    <w:basedOn w:val="741"/>
    <w:next w:val="763"/>
    <w:qFormat/>
    <w:pPr>
      <w:spacing w:after="120"/>
    </w:pPr>
    <w:rPr>
      <w:rFonts w:ascii="宋体" w:hAnsi="Arial" w:eastAsia="宋体" w:cs="Times New Roman"/>
      <w:bCs/>
      <w:iCs/>
      <w:szCs w:val="24"/>
    </w:rPr>
  </w:style>
  <w:style w:type="paragraph" w:styleId="866" w:customStyle="1">
    <w:name w:val="xl27"/>
    <w:basedOn w:val="74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67" w:customStyle="1">
    <w:name w:val="xl26"/>
    <w:basedOn w:val="74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68" w:customStyle="1">
    <w:name w:val="Char"/>
    <w:basedOn w:val="741"/>
    <w:qFormat/>
    <w:pPr>
      <w:ind w:firstLine="200"/>
      <w:tabs>
        <w:tab w:val="left" w:pos="360" w:leader="none"/>
      </w:tabs>
    </w:pPr>
    <w:rPr>
      <w:rFonts w:ascii="Times New Roman" w:hAnsi="Times New Roman" w:eastAsia="宋体" w:cs="Times New Roman"/>
      <w:sz w:val="28"/>
      <w:szCs w:val="30"/>
    </w:rPr>
  </w:style>
  <w:style w:type="paragraph" w:styleId="869" w:customStyle="1">
    <w:name w:val="普通正文"/>
    <w:basedOn w:val="741"/>
    <w:link w:val="870"/>
    <w:qFormat/>
    <w:pPr>
      <w:ind w:firstLine="480"/>
      <w:jc w:val="left"/>
      <w:spacing w:before="120" w:after="120" w:line="360" w:lineRule="auto"/>
    </w:pPr>
    <w:rPr>
      <w:rFonts w:ascii="Arial" w:hAnsi="Arial" w:eastAsia="宋体" w:cs="Times New Roman"/>
      <w:sz w:val="24"/>
      <w:szCs w:val="24"/>
    </w:rPr>
  </w:style>
  <w:style w:type="character" w:styleId="870" w:customStyle="1">
    <w:name w:val="普通正文 Char"/>
    <w:link w:val="869"/>
    <w:qFormat/>
    <w:rPr>
      <w:rFonts w:ascii="Arial" w:hAnsi="Arial" w:eastAsia="宋体" w:cs="Times New Roman"/>
      <w:sz w:val="24"/>
      <w:szCs w:val="24"/>
    </w:rPr>
  </w:style>
  <w:style w:type="paragraph" w:styleId="871" w:customStyle="1">
    <w:name w:val="table_lines"/>
    <w:basedOn w:val="741"/>
    <w:qFormat/>
    <w:pPr>
      <w:jc w:val="left"/>
      <w:widowControl/>
    </w:pPr>
    <w:rPr>
      <w:rFonts w:ascii="Times New Roman" w:hAnsi="Times New Roman" w:eastAsia="宋体" w:cs="Times New Roman"/>
      <w:sz w:val="20"/>
      <w:szCs w:val="20"/>
      <w:lang w:val="de-DE" w:eastAsia="de-DE"/>
    </w:rPr>
  </w:style>
  <w:style w:type="paragraph" w:styleId="872"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873" w:customStyle="1">
    <w:name w:val="font7"/>
    <w:basedOn w:val="741"/>
    <w:qFormat/>
    <w:pPr>
      <w:jc w:val="left"/>
      <w:spacing w:before="100" w:beforeAutospacing="1" w:after="100" w:afterAutospacing="1"/>
      <w:widowControl/>
    </w:pPr>
    <w:rPr>
      <w:rFonts w:hint="eastAsia" w:ascii="宋体" w:hAnsi="宋体" w:eastAsia="宋体" w:cs="Times New Roman"/>
      <w:sz w:val="18"/>
      <w:szCs w:val="18"/>
    </w:rPr>
  </w:style>
  <w:style w:type="paragraph" w:styleId="874" w:customStyle="1">
    <w:name w:val="Char Char Char Char"/>
    <w:basedOn w:val="759"/>
    <w:qFormat/>
    <w:pPr>
      <w:spacing w:line="360" w:lineRule="auto"/>
    </w:pPr>
    <w:rPr>
      <w:rFonts w:ascii="Tahoma" w:hAnsi="Tahoma"/>
      <w:sz w:val="24"/>
      <w:szCs w:val="24"/>
    </w:rPr>
  </w:style>
  <w:style w:type="paragraph" w:styleId="875">
    <w:name w:val="List Paragraph"/>
    <w:basedOn w:val="741"/>
    <w:link w:val="876"/>
    <w:uiPriority w:val="34"/>
    <w:qFormat/>
    <w:pPr>
      <w:contextualSpacing/>
      <w:ind w:left="720"/>
      <w:jc w:val="left"/>
      <w:widowControl/>
    </w:pPr>
    <w:rPr>
      <w:rFonts w:ascii="Calibri" w:hAnsi="Calibri" w:eastAsia="宋体" w:cs="Times New Roman"/>
      <w:sz w:val="24"/>
      <w:szCs w:val="24"/>
      <w:lang w:eastAsia="en-US" w:bidi="en-US"/>
    </w:rPr>
  </w:style>
  <w:style w:type="character" w:styleId="876" w:customStyle="1">
    <w:name w:val="列出段落 Char1"/>
    <w:link w:val="875"/>
    <w:uiPriority w:val="34"/>
    <w:qFormat/>
    <w:rPr>
      <w:rFonts w:ascii="Calibri" w:hAnsi="Calibri" w:eastAsia="宋体" w:cs="Times New Roman"/>
      <w:sz w:val="24"/>
      <w:szCs w:val="24"/>
      <w:lang w:eastAsia="en-US" w:bidi="en-US"/>
    </w:rPr>
  </w:style>
  <w:style w:type="paragraph" w:styleId="877" w:customStyle="1">
    <w:name w:val="4"/>
    <w:basedOn w:val="741"/>
    <w:next w:val="789"/>
    <w:qFormat/>
    <w:pPr>
      <w:ind w:firstLine="420"/>
      <w:spacing w:line="360" w:lineRule="auto"/>
    </w:pPr>
    <w:rPr>
      <w:rFonts w:ascii="Times New Roman" w:hAnsi="Times New Roman" w:eastAsia="宋体" w:cs="Times New Roman"/>
      <w:color w:val="ff0000"/>
      <w:sz w:val="24"/>
      <w:szCs w:val="24"/>
    </w:rPr>
  </w:style>
  <w:style w:type="paragraph" w:styleId="878" w:customStyle="1">
    <w:name w:val="普通 (Web)"/>
    <w:basedOn w:val="741"/>
    <w:qFormat/>
    <w:pPr>
      <w:jc w:val="left"/>
      <w:spacing w:before="100" w:beforeAutospacing="1" w:after="100" w:afterAutospacing="1"/>
      <w:widowControl/>
    </w:pPr>
    <w:rPr>
      <w:rFonts w:ascii="宋体" w:hAnsi="宋体" w:eastAsia="宋体" w:cs="Times New Roman"/>
      <w:sz w:val="24"/>
      <w:szCs w:val="24"/>
    </w:rPr>
  </w:style>
  <w:style w:type="paragraph" w:styleId="879" w:customStyle="1">
    <w:name w:val="Char Char Char Char Char Char Char Char Char Char"/>
    <w:basedOn w:val="741"/>
    <w:qFormat/>
    <w:pPr>
      <w:spacing w:line="360" w:lineRule="auto"/>
    </w:pPr>
    <w:rPr>
      <w:rFonts w:ascii="Times New Roman" w:hAnsi="Times New Roman" w:eastAsia="宋体" w:cs="Times New Roman"/>
      <w:sz w:val="24"/>
      <w:szCs w:val="20"/>
    </w:rPr>
  </w:style>
  <w:style w:type="paragraph" w:styleId="880" w:customStyle="1">
    <w:name w:val="样式1"/>
    <w:basedOn w:val="741"/>
    <w:qFormat/>
    <w:pPr>
      <w:numPr>
        <w:numId w:val="3"/>
      </w:numPr>
    </w:pPr>
    <w:rPr>
      <w:rFonts w:ascii="宋体" w:hAnsi="宋体" w:eastAsia="宋体" w:cs="Times New Roman"/>
      <w:szCs w:val="21"/>
    </w:rPr>
  </w:style>
  <w:style w:type="paragraph" w:styleId="881" w:customStyle="1">
    <w:name w:val="font6"/>
    <w:basedOn w:val="741"/>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82" w:customStyle="1">
    <w:name w:val="xl25"/>
    <w:basedOn w:val="74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customStyle="1">
    <w:name w:val="图标"/>
    <w:basedOn w:val="741"/>
    <w:next w:val="741"/>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84" w:customStyle="1">
    <w:name w:val="标题3"/>
    <w:basedOn w:val="741"/>
    <w:next w:val="741"/>
    <w:qFormat/>
    <w:pPr>
      <w:ind w:firstLine="624"/>
      <w:spacing w:line="590" w:lineRule="atLeast"/>
    </w:pPr>
    <w:rPr>
      <w:rFonts w:ascii="方正黑体_GBK" w:hAnsi="Times New Roman" w:eastAsia="方正黑体_GBK" w:cs="Times New Roman"/>
      <w:sz w:val="32"/>
      <w:szCs w:val="32"/>
    </w:rPr>
  </w:style>
  <w:style w:type="paragraph" w:styleId="885" w:customStyle="1">
    <w:name w:val="xl24"/>
    <w:basedOn w:val="74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6" w:customStyle="1">
    <w:name w:val="xl29"/>
    <w:basedOn w:val="741"/>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87" w:customStyle="1">
    <w:name w:val="Char Char Char Char Char Char Char Char"/>
    <w:basedOn w:val="741"/>
    <w:qFormat/>
    <w:pPr>
      <w:jc w:val="left"/>
      <w:spacing w:after="160" w:line="240" w:lineRule="exact"/>
      <w:widowControl/>
    </w:pPr>
    <w:rPr>
      <w:rFonts w:ascii="Verdana" w:hAnsi="Verdana" w:eastAsia="宋体" w:cs="Times New Roman"/>
      <w:sz w:val="20"/>
      <w:szCs w:val="20"/>
      <w:lang w:eastAsia="en-US"/>
    </w:rPr>
  </w:style>
  <w:style w:type="paragraph" w:styleId="888" w:customStyle="1">
    <w:name w:val="xl28"/>
    <w:basedOn w:val="74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89" w:customStyle="1">
    <w:name w:val="xl30"/>
    <w:basedOn w:val="741"/>
    <w:qFormat/>
    <w:pPr>
      <w:jc w:val="center"/>
      <w:spacing w:before="100" w:beforeAutospacing="1" w:after="100" w:afterAutospacing="1"/>
      <w:widowControl/>
    </w:pPr>
    <w:rPr>
      <w:rFonts w:ascii="宋体" w:hAnsi="宋体" w:eastAsia="宋体" w:cs="Times New Roman"/>
      <w:b/>
      <w:bCs/>
      <w:sz w:val="36"/>
      <w:szCs w:val="36"/>
    </w:rPr>
  </w:style>
  <w:style w:type="paragraph" w:styleId="890" w:customStyle="1">
    <w:name w:val="table_1stline"/>
    <w:basedOn w:val="741"/>
    <w:qFormat/>
    <w:pPr>
      <w:jc w:val="left"/>
      <w:spacing w:before="120"/>
      <w:widowControl/>
    </w:pPr>
    <w:rPr>
      <w:rFonts w:ascii="Times New Roman" w:hAnsi="Times New Roman" w:eastAsia="宋体" w:cs="Times New Roman"/>
      <w:bCs/>
      <w:sz w:val="20"/>
      <w:szCs w:val="20"/>
      <w:lang w:val="de-DE" w:eastAsia="de-DE"/>
    </w:rPr>
  </w:style>
  <w:style w:type="paragraph" w:styleId="891" w:customStyle="1">
    <w:name w:val="font5"/>
    <w:basedOn w:val="741"/>
    <w:qFormat/>
    <w:pPr>
      <w:jc w:val="left"/>
      <w:spacing w:before="100" w:beforeAutospacing="1" w:after="100" w:afterAutospacing="1"/>
      <w:widowControl/>
    </w:pPr>
    <w:rPr>
      <w:rFonts w:hint="eastAsia" w:ascii="宋体" w:hAnsi="宋体" w:eastAsia="宋体" w:cs="Times New Roman"/>
      <w:sz w:val="28"/>
      <w:szCs w:val="28"/>
    </w:rPr>
  </w:style>
  <w:style w:type="paragraph" w:styleId="892" w:customStyle="1">
    <w:name w:val="标题1"/>
    <w:basedOn w:val="741"/>
    <w:next w:val="741"/>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93" w:customStyle="1">
    <w:name w:val="修订1"/>
    <w:uiPriority w:val="99"/>
    <w:semiHidden/>
    <w:qFormat/>
    <w:rPr>
      <w:rFonts w:ascii="Times New Roman" w:hAnsi="Times New Roman" w:eastAsia="宋体" w:cs="Times New Roman"/>
      <w:sz w:val="21"/>
      <w:szCs w:val="21"/>
    </w:rPr>
  </w:style>
  <w:style w:type="paragraph" w:styleId="894">
    <w:name w:val="No Spacing"/>
    <w:uiPriority w:val="1"/>
    <w:qFormat/>
    <w:pPr>
      <w:jc w:val="both"/>
      <w:widowControl w:val="off"/>
    </w:pPr>
    <w:rPr>
      <w:rFonts w:ascii="Times New Roman" w:hAnsi="Times New Roman" w:eastAsia="宋体" w:cs="Times New Roman"/>
      <w:sz w:val="21"/>
      <w:szCs w:val="21"/>
    </w:rPr>
  </w:style>
  <w:style w:type="character" w:styleId="895" w:customStyle="1">
    <w:name w:val="标题 2 字符2"/>
    <w:qFormat/>
    <w:rPr>
      <w:rFonts w:eastAsia="楷体_GB2312"/>
      <w:b/>
      <w:bCs/>
      <w:sz w:val="28"/>
      <w:szCs w:val="28"/>
    </w:rPr>
  </w:style>
  <w:style w:type="character" w:styleId="896" w:customStyle="1">
    <w:name w:val="正文缩进 字符"/>
    <w:qFormat/>
    <w:rPr>
      <w:sz w:val="21"/>
    </w:rPr>
  </w:style>
  <w:style w:type="character" w:styleId="897" w:customStyle="1">
    <w:name w:val="批注文字 字符1"/>
    <w:uiPriority w:val="99"/>
    <w:qFormat/>
    <w:rPr>
      <w:sz w:val="21"/>
    </w:rPr>
  </w:style>
  <w:style w:type="character" w:styleId="898" w:customStyle="1">
    <w:name w:val="正文文本 字符2"/>
    <w:qFormat/>
    <w:rPr>
      <w:rFonts w:ascii="楷体_GB2312" w:hAnsi="Arial" w:eastAsia="楷体_GB2312"/>
      <w:sz w:val="28"/>
    </w:rPr>
  </w:style>
  <w:style w:type="character" w:styleId="899" w:customStyle="1">
    <w:name w:val="日期 字符1"/>
    <w:qFormat/>
    <w:rPr>
      <w:rFonts w:ascii="宋体"/>
      <w:sz w:val="28"/>
    </w:rPr>
  </w:style>
  <w:style w:type="paragraph" w:styleId="900" w:customStyle="1">
    <w:name w:val="Char Char Char"/>
    <w:basedOn w:val="741"/>
    <w:qFormat/>
    <w:pPr>
      <w:numPr>
        <w:numId w:val="4"/>
      </w:numPr>
      <w:tabs>
        <w:tab w:val="left" w:pos="1545" w:leader="none"/>
      </w:tabs>
    </w:pPr>
    <w:rPr>
      <w:rFonts w:ascii="Times New Roman" w:hAnsi="Times New Roman" w:eastAsia="宋体" w:cs="Times New Roman"/>
      <w:szCs w:val="20"/>
    </w:rPr>
  </w:style>
  <w:style w:type="paragraph" w:styleId="901" w:customStyle="1">
    <w:name w:val="Plain Text1"/>
    <w:basedOn w:val="741"/>
    <w:qFormat/>
    <w:rPr>
      <w:rFonts w:ascii="宋体" w:hAnsi="Courier New" w:eastAsia="楷体_GB2312" w:cs="Times New Roman"/>
      <w:sz w:val="28"/>
      <w:szCs w:val="20"/>
    </w:rPr>
  </w:style>
  <w:style w:type="paragraph" w:styleId="902" w:customStyle="1">
    <w:name w:val="Default"/>
    <w:qFormat/>
    <w:pPr>
      <w:widowControl w:val="off"/>
    </w:pPr>
    <w:rPr>
      <w:rFonts w:ascii="Times New Roman" w:hAnsi="Times New Roman" w:eastAsia="宋体" w:cs="Times New Roman"/>
      <w:color w:val="000000"/>
      <w:sz w:val="24"/>
      <w:szCs w:val="24"/>
    </w:rPr>
  </w:style>
  <w:style w:type="paragraph" w:styleId="903" w:customStyle="1">
    <w:name w:val="Char1 Char Char Char"/>
    <w:basedOn w:val="741"/>
    <w:qFormat/>
    <w:rPr>
      <w:rFonts w:ascii="Tahoma" w:hAnsi="Tahoma" w:eastAsia="宋体" w:cs="Times New Roman"/>
      <w:sz w:val="24"/>
      <w:szCs w:val="20"/>
    </w:rPr>
  </w:style>
  <w:style w:type="paragraph" w:styleId="904" w:customStyle="1">
    <w:name w:val="Char Char1 Char Char Char Char Char Char Char"/>
    <w:basedOn w:val="741"/>
    <w:qFormat/>
    <w:rPr>
      <w:rFonts w:ascii="Calibri Light" w:hAnsi="Calibri Light" w:eastAsia="宋体" w:cs="Berlin Sans FB Demi"/>
      <w:sz w:val="24"/>
      <w:szCs w:val="20"/>
    </w:rPr>
  </w:style>
  <w:style w:type="paragraph" w:styleId="905" w:customStyle="1">
    <w:name w:val="Char Char"/>
    <w:basedOn w:val="741"/>
    <w:qFormat/>
    <w:rPr>
      <w:rFonts w:ascii="Times New Roman" w:hAnsi="Times New Roman" w:eastAsia="宋体" w:cs="Times New Roman"/>
      <w:szCs w:val="21"/>
    </w:rPr>
  </w:style>
  <w:style w:type="paragraph" w:styleId="906" w:customStyle="1">
    <w:name w:val="_Style 12"/>
    <w:basedOn w:val="759"/>
    <w:qFormat/>
    <w:pPr>
      <w:jc w:val="left"/>
      <w:spacing w:line="360" w:lineRule="auto"/>
      <w:widowControl/>
    </w:pPr>
    <w:rPr>
      <w:sz w:val="24"/>
      <w:szCs w:val="24"/>
    </w:rPr>
  </w:style>
  <w:style w:type="character" w:styleId="907" w:customStyle="1">
    <w:name w:val="正文缩进 Char1"/>
    <w:qFormat/>
    <w:rPr>
      <w:rFonts w:eastAsia="楷体_GB2312"/>
      <w:sz w:val="24"/>
    </w:rPr>
  </w:style>
  <w:style w:type="character" w:styleId="908" w:customStyle="1">
    <w:name w:val="纯文本 字符1"/>
    <w:qFormat/>
    <w:rPr>
      <w:rFonts w:ascii="宋体" w:hAnsi="Courier New"/>
    </w:rPr>
  </w:style>
  <w:style w:type="character" w:styleId="909" w:customStyle="1">
    <w:name w:val="未处理的提及1"/>
    <w:uiPriority w:val="99"/>
    <w:unhideWhenUsed/>
    <w:qFormat/>
    <w:rPr>
      <w:color w:val="605e5c"/>
      <w:shd w:val="clear" w:color="auto" w:fill="e1dfdd"/>
    </w:rPr>
  </w:style>
  <w:style w:type="character" w:styleId="910" w:customStyle="1">
    <w:name w:val="正文文本 字符1"/>
    <w:link w:val="911"/>
    <w:qFormat/>
    <w:rPr>
      <w:rFonts w:ascii="楷体_GB2312" w:hAnsi="Arial" w:eastAsia="楷体_GB2312"/>
      <w:sz w:val="28"/>
    </w:rPr>
  </w:style>
  <w:style w:type="paragraph" w:styleId="911" w:customStyle="1">
    <w:name w:val="正文文本1"/>
    <w:basedOn w:val="741"/>
    <w:link w:val="910"/>
    <w:qFormat/>
    <w:rPr>
      <w:rFonts w:ascii="楷体_GB2312" w:hAnsi="Arial" w:eastAsia="楷体_GB2312"/>
      <w:sz w:val="28"/>
    </w:rPr>
  </w:style>
  <w:style w:type="paragraph" w:styleId="912" w:customStyle="1">
    <w:name w:val="正文1"/>
    <w:next w:val="741"/>
    <w:qFormat/>
    <w:pPr>
      <w:jc w:val="both"/>
      <w:widowControl w:val="off"/>
    </w:pPr>
    <w:rPr>
      <w:rFonts w:ascii="Times New Roman" w:hAnsi="Times New Roman" w:eastAsia="Times New Roman" w:cs="Times New Roman"/>
      <w:color w:val="000000"/>
      <w:sz w:val="21"/>
      <w:szCs w:val="21"/>
    </w:rPr>
  </w:style>
  <w:style w:type="paragraph" w:styleId="913" w:customStyle="1">
    <w:name w:val="_正文段落"/>
    <w:basedOn w:val="741"/>
    <w:link w:val="914"/>
    <w:qFormat/>
    <w:pPr>
      <w:ind w:firstLine="480"/>
      <w:spacing w:line="360" w:lineRule="auto"/>
    </w:pPr>
    <w:rPr>
      <w:rFonts w:ascii="宋体" w:hAnsi="宋体" w:eastAsia="宋体" w:cs="Times New Roman"/>
      <w:sz w:val="24"/>
      <w:szCs w:val="24"/>
    </w:rPr>
  </w:style>
  <w:style w:type="character" w:styleId="914" w:customStyle="1">
    <w:name w:val="_正文段落 Char"/>
    <w:link w:val="913"/>
    <w:qFormat/>
    <w:rPr>
      <w:rFonts w:ascii="宋体" w:hAnsi="宋体" w:eastAsia="宋体" w:cs="Times New Roman"/>
      <w:sz w:val="24"/>
      <w:szCs w:val="24"/>
    </w:rPr>
  </w:style>
  <w:style w:type="character" w:styleId="915" w:customStyle="1">
    <w:name w:val="cf01"/>
    <w:qFormat/>
    <w:rPr>
      <w:rFonts w:hint="eastAsia" w:ascii="Microsoft YaHei UI" w:hAnsi="Microsoft YaHei UI" w:eastAsia="Microsoft YaHei UI"/>
      <w:b/>
      <w:bCs/>
      <w:sz w:val="18"/>
      <w:szCs w:val="18"/>
    </w:rPr>
  </w:style>
  <w:style w:type="character" w:styleId="916" w:customStyle="1">
    <w:name w:val="标题 2 字符1"/>
    <w:qFormat/>
    <w:rPr>
      <w:rFonts w:eastAsia="楷体_GB2312"/>
      <w:b/>
      <w:bCs/>
      <w:sz w:val="28"/>
      <w:szCs w:val="28"/>
    </w:rPr>
  </w:style>
  <w:style w:type="paragraph" w:styleId="917" w:customStyle="1">
    <w:name w:val="pf0"/>
    <w:basedOn w:val="741"/>
    <w:qFormat/>
    <w:pPr>
      <w:jc w:val="left"/>
      <w:spacing w:before="100" w:beforeAutospacing="1" w:after="100" w:afterAutospacing="1"/>
      <w:widowControl/>
    </w:pPr>
    <w:rPr>
      <w:rFonts w:ascii="宋体" w:hAnsi="宋体" w:eastAsia="宋体" w:cs="宋体"/>
      <w:sz w:val="24"/>
      <w:szCs w:val="24"/>
    </w:rPr>
  </w:style>
  <w:style w:type="character" w:styleId="918" w:customStyle="1">
    <w:name w:val="cf11"/>
    <w:qFormat/>
    <w:rPr>
      <w:rFonts w:hint="eastAsia" w:ascii="Microsoft YaHei UI" w:hAnsi="Microsoft YaHei UI" w:eastAsia="Microsoft YaHei UI"/>
      <w:sz w:val="18"/>
      <w:szCs w:val="18"/>
    </w:rPr>
  </w:style>
  <w:style w:type="character" w:styleId="919" w:customStyle="1">
    <w:name w:val="cf21"/>
    <w:qFormat/>
    <w:rPr>
      <w:rFonts w:hint="eastAsia" w:ascii="Microsoft YaHei UI" w:hAnsi="Microsoft YaHei UI" w:eastAsia="Microsoft YaHei UI"/>
      <w:b/>
      <w:bCs/>
      <w:sz w:val="18"/>
      <w:szCs w:val="18"/>
    </w:rPr>
  </w:style>
  <w:style w:type="paragraph" w:styleId="920" w:customStyle="1">
    <w:name w:val="TOC 标题11"/>
    <w:basedOn w:val="742"/>
    <w:next w:val="74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921" w:customStyle="1">
    <w:name w:val="TOC 标题1"/>
    <w:basedOn w:val="742"/>
    <w:next w:val="741"/>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922" w:customStyle="1">
    <w:name w:val="题注1"/>
    <w:basedOn w:val="741"/>
    <w:next w:val="741"/>
    <w:uiPriority w:val="35"/>
    <w:semiHidden/>
    <w:unhideWhenUsed/>
    <w:qFormat/>
    <w:pPr>
      <w:spacing w:line="276" w:lineRule="auto"/>
    </w:pPr>
    <w:rPr>
      <w:rFonts w:ascii="Times New Roman" w:hAnsi="Times New Roman" w:eastAsia="宋体" w:cs="Times New Roman"/>
      <w:b/>
      <w:bCs/>
      <w:color w:val="4f81bd"/>
      <w:sz w:val="18"/>
      <w:szCs w:val="18"/>
    </w:rPr>
  </w:style>
  <w:style w:type="character" w:styleId="923" w:customStyle="1">
    <w:name w:val="尾注文本 Char"/>
    <w:basedOn w:val="751"/>
    <w:link w:val="775"/>
    <w:uiPriority w:val="99"/>
    <w:semiHidden/>
    <w:qFormat/>
    <w:rPr>
      <w:rFonts w:ascii="Times New Roman" w:hAnsi="Times New Roman" w:eastAsia="宋体" w:cs="Times New Roman"/>
      <w:sz w:val="20"/>
      <w:szCs w:val="20"/>
    </w:rPr>
  </w:style>
  <w:style w:type="character" w:styleId="924" w:customStyle="1">
    <w:name w:val="副标题 Char"/>
    <w:basedOn w:val="751"/>
    <w:link w:val="785"/>
    <w:uiPriority w:val="11"/>
    <w:qFormat/>
    <w:rPr>
      <w:rFonts w:ascii="Times New Roman" w:hAnsi="Times New Roman" w:eastAsia="宋体" w:cs="Times New Roman"/>
      <w:sz w:val="24"/>
      <w:szCs w:val="24"/>
    </w:rPr>
  </w:style>
  <w:style w:type="character" w:styleId="925" w:customStyle="1">
    <w:name w:val="标题 Char"/>
    <w:basedOn w:val="751"/>
    <w:link w:val="799"/>
    <w:uiPriority w:val="10"/>
    <w:qFormat/>
    <w:rPr>
      <w:rFonts w:ascii="Times New Roman" w:hAnsi="Times New Roman" w:eastAsia="宋体" w:cs="Times New Roman"/>
      <w:sz w:val="48"/>
      <w:szCs w:val="48"/>
    </w:rPr>
  </w:style>
  <w:style w:type="table" w:styleId="926" w:customStyle="1">
    <w:name w:val="网格型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7">
    <w:name w:val="Quote"/>
    <w:basedOn w:val="741"/>
    <w:next w:val="741"/>
    <w:link w:val="928"/>
    <w:uiPriority w:val="29"/>
    <w:qFormat/>
    <w:pPr>
      <w:ind w:left="720" w:right="720"/>
    </w:pPr>
    <w:rPr>
      <w:rFonts w:ascii="Times New Roman" w:hAnsi="Times New Roman" w:eastAsia="宋体" w:cs="Times New Roman"/>
      <w:i/>
      <w:szCs w:val="20"/>
    </w:rPr>
  </w:style>
  <w:style w:type="character" w:styleId="928" w:customStyle="1">
    <w:name w:val="引用 Char"/>
    <w:basedOn w:val="751"/>
    <w:link w:val="927"/>
    <w:uiPriority w:val="29"/>
    <w:qFormat/>
    <w:rPr>
      <w:rFonts w:ascii="Times New Roman" w:hAnsi="Times New Roman" w:eastAsia="宋体" w:cs="Times New Roman"/>
      <w:i/>
      <w:szCs w:val="20"/>
    </w:rPr>
  </w:style>
  <w:style w:type="paragraph" w:styleId="929">
    <w:name w:val="Intense Quote"/>
    <w:basedOn w:val="741"/>
    <w:next w:val="741"/>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0"/>
    </w:rPr>
  </w:style>
  <w:style w:type="character" w:styleId="930" w:customStyle="1">
    <w:name w:val="明显引用 Char"/>
    <w:basedOn w:val="751"/>
    <w:link w:val="929"/>
    <w:uiPriority w:val="30"/>
    <w:qFormat/>
    <w:rPr>
      <w:rFonts w:ascii="Times New Roman" w:hAnsi="Times New Roman" w:eastAsia="宋体" w:cs="Times New Roman"/>
      <w:i/>
      <w:szCs w:val="20"/>
      <w:shd w:val="clear" w:color="auto" w:fill="f2f2f2"/>
    </w:rPr>
  </w:style>
  <w:style w:type="character" w:styleId="931" w:customStyle="1">
    <w:name w:val="Footer Char"/>
    <w:uiPriority w:val="99"/>
    <w:qFormat/>
  </w:style>
  <w:style w:type="table" w:styleId="932" w:customStyle="1">
    <w:name w:val="Table Grid Light"/>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3" w:customStyle="1">
    <w:name w:val="无格式表格 1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45" w:customStyle="1">
    <w:name w:val="网格表 2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52" w:customStyle="1">
    <w:name w:val="网格表 3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0" w:customStyle="1">
    <w:name w:val="Grid Table 4 - Accent 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61" w:customStyle="1">
    <w:name w:val="Grid Table 4 - Accent 2"/>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62" w:customStyle="1">
    <w:name w:val="Grid Table 4 - Accent 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63" w:customStyle="1">
    <w:name w:val="Grid Table 4 - Accent 4"/>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64" w:customStyle="1">
    <w:name w:val="Grid Table 4 - Accent 5"/>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65" w:customStyle="1">
    <w:name w:val="Grid Table 4 - Accent 6"/>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6" w:customStyle="1">
    <w:name w:val="网格表 5 深色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7" w:customStyle="1">
    <w:name w:val="Grid Table 5 Dark- Accent 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68" w:customStyle="1">
    <w:name w:val="Grid Table 5 Dark - Accent 2"/>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69" w:customStyle="1">
    <w:name w:val="Grid Table 5 Dark - Accent 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70" w:customStyle="1">
    <w:name w:val="Grid Table 5 Dark- Accent 4"/>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71" w:customStyle="1">
    <w:name w:val="Grid Table 5 Dark - Accent 5"/>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2" w:customStyle="1">
    <w:name w:val="Grid Table 5 Dark - Accent 6"/>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73" w:customStyle="1">
    <w:name w:val="网格表 6 彩色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74" w:customStyle="1">
    <w:name w:val="Grid Table 6 Colorful - Accent 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75" w:customStyle="1">
    <w:name w:val="Grid Table 6 Colorful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76" w:customStyle="1">
    <w:name w:val="Grid Table 6 Colorful - Accent 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77" w:customStyle="1">
    <w:name w:val="Grid Table 6 Colorful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78" w:customStyle="1">
    <w:name w:val="Grid Table 6 Colorful - Accent 5"/>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79" w:customStyle="1">
    <w:name w:val="Grid Table 6 Colorful - Accent 6"/>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80" w:customStyle="1">
    <w:name w:val="网格表 7 彩色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7"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94" w:customStyle="1">
    <w:name w:val="清单表 2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95" w:customStyle="1">
    <w:name w:val="List Table 2 - Accent 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96" w:customStyle="1">
    <w:name w:val="List Table 2 - Accent 2"/>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97" w:customStyle="1">
    <w:name w:val="List Table 2 - Accent 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98" w:customStyle="1">
    <w:name w:val="List Table 2 - Accent 4"/>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99" w:customStyle="1">
    <w:name w:val="List Table 2 - Accent 5"/>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00" w:customStyle="1">
    <w:name w:val="List Table 2 - Accent 6"/>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01" w:customStyle="1">
    <w:name w:val="清单表 3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2" w:customStyle="1">
    <w:name w:val="List Table 3 - Accent 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3" w:customStyle="1">
    <w:name w:val="List Table 3 - Accent 2"/>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004" w:customStyle="1">
    <w:name w:val="List Table 3 - Accent 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005" w:customStyle="1">
    <w:name w:val="List Table 3 - Accent 4"/>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06" w:customStyle="1">
    <w:name w:val="List Table 3 - Accent 5"/>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07" w:customStyle="1">
    <w:name w:val="List Table 3 - Accent 6"/>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8" w:customStyle="1">
    <w:name w:val="清单表 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9" w:customStyle="1">
    <w:name w:val="List Table 4 - Accent 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0" w:customStyle="1">
    <w:name w:val="List Table 4 - Accent 2"/>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11" w:customStyle="1">
    <w:name w:val="List Table 4 - Accent 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12" w:customStyle="1">
    <w:name w:val="List Table 4 - Accent 4"/>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3" w:customStyle="1">
    <w:name w:val="List Table 4 - Accent 5"/>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4" w:customStyle="1">
    <w:name w:val="List Table 4 - Accent 6"/>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5" w:customStyle="1">
    <w:name w:val="清单表 5 深色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16" w:customStyle="1">
    <w:name w:val="List Table 5 Dark - Accent 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17" w:customStyle="1">
    <w:name w:val="List Table 5 Dark - Accent 2"/>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018" w:customStyle="1">
    <w:name w:val="List Table 5 Dark - Accent 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19" w:customStyle="1">
    <w:name w:val="List Table 5 Dark - Accent 4"/>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20" w:customStyle="1">
    <w:name w:val="List Table 5 Dark - Accent 5"/>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21" w:customStyle="1">
    <w:name w:val="List Table 5 Dark - Accent 6"/>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22" w:customStyle="1">
    <w:name w:val="清单表 6 彩色1"/>
    <w:uiPriority w:val="99"/>
    <w:qFormat/>
    <w:rPr>
      <w:rFonts w:ascii="Times New Roman" w:hAnsi="Times New Roman" w:eastAsia="宋体" w:cs="Times New Roman"/>
    </w:rPr>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23" w:customStyle="1">
    <w:name w:val="List Table 6 Colorful - Accent 1"/>
    <w:uiPriority w:val="99"/>
    <w:qFormat/>
    <w:rPr>
      <w:rFonts w:ascii="Times New Roman" w:hAnsi="Times New Roman" w:eastAsia="宋体" w:cs="Times New Roman"/>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024" w:customStyle="1">
    <w:name w:val="List Table 6 Colorful - Accent 2"/>
    <w:uiPriority w:val="99"/>
    <w:qFormat/>
    <w:rPr>
      <w:rFonts w:ascii="Times New Roman" w:hAnsi="Times New Roman" w:eastAsia="宋体" w:cs="Times New Roman"/>
    </w:rPr>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025" w:customStyle="1">
    <w:name w:val="List Table 6 Colorful - Accent 3"/>
    <w:uiPriority w:val="99"/>
    <w:qFormat/>
    <w:rPr>
      <w:rFonts w:ascii="Times New Roman" w:hAnsi="Times New Roman" w:eastAsia="宋体" w:cs="Times New Roman"/>
    </w:rPr>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026" w:customStyle="1">
    <w:name w:val="List Table 6 Colorful - Accent 4"/>
    <w:uiPriority w:val="99"/>
    <w:qFormat/>
    <w:rPr>
      <w:rFonts w:ascii="Times New Roman" w:hAnsi="Times New Roman" w:eastAsia="宋体" w:cs="Times New Roman"/>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27" w:customStyle="1">
    <w:name w:val="List Table 6 Colorful - Accent 5"/>
    <w:uiPriority w:val="99"/>
    <w:qFormat/>
    <w:rPr>
      <w:rFonts w:ascii="Times New Roman" w:hAnsi="Times New Roman" w:eastAsia="宋体" w:cs="Times New Roman"/>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028" w:customStyle="1">
    <w:name w:val="List Table 6 Colorful - Accent 6"/>
    <w:uiPriority w:val="99"/>
    <w:qFormat/>
    <w:rPr>
      <w:rFonts w:ascii="Times New Roman" w:hAnsi="Times New Roman" w:eastAsia="宋体" w:cs="Times New Roman"/>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029" w:customStyle="1">
    <w:name w:val="清单表 7 彩色1"/>
    <w:uiPriority w:val="99"/>
    <w:qFormat/>
    <w:rPr>
      <w:rFonts w:ascii="Times New Roman" w:hAnsi="Times New Roman" w:eastAsia="宋体" w:cs="Times New Roman"/>
    </w:rPr>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rPr>
      <w:rFonts w:ascii="Times New Roman" w:hAnsi="Times New Roman" w:eastAsia="宋体" w:cs="Times New Roman"/>
    </w:rPr>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rPr>
      <w:rFonts w:ascii="Times New Roman" w:hAnsi="Times New Roman" w:eastAsia="宋体" w:cs="Times New Roman"/>
    </w:rPr>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rPr>
      <w:rFonts w:ascii="Times New Roman" w:hAnsi="Times New Roman" w:eastAsia="宋体" w:cs="Times New Roman"/>
    </w:rPr>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rPr>
      <w:rFonts w:ascii="Times New Roman" w:hAnsi="Times New Roman" w:eastAsia="宋体" w:cs="Times New Roman"/>
    </w:rPr>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rPr>
      <w:rFonts w:ascii="Times New Roman" w:hAnsi="Times New Roman" w:eastAsia="宋体" w:cs="Times New Roman"/>
    </w:rPr>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rPr>
      <w:rFonts w:ascii="Times New Roman" w:hAnsi="Times New Roman" w:eastAsia="宋体" w:cs="Times New Roman"/>
    </w:rPr>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36"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37"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38"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39"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40"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1"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2"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3" w:customStyle="1">
    <w:name w:val="Bordered &amp; Lined - Accent"/>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44" w:customStyle="1">
    <w:name w:val="Bordered &amp; Lined - Accent 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45" w:customStyle="1">
    <w:name w:val="Bordered &amp; Lined - Accent 2"/>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46" w:customStyle="1">
    <w:name w:val="Bordered &amp; Lined - Accent 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47" w:customStyle="1">
    <w:name w:val="Bordered &amp; Lined - Accent 4"/>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48" w:customStyle="1">
    <w:name w:val="Bordered &amp; Lined - Accent 5"/>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9" w:customStyle="1">
    <w:name w:val="Bordered &amp; Lined - Accent 6"/>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0" w:customStyle="1">
    <w:name w:val="Bordered"/>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51" w:customStyle="1">
    <w:name w:val="Bordered - Accent 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52"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53" w:customStyle="1">
    <w:name w:val="Bordered - Accent 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54" w:customStyle="1">
    <w:name w:val="Bordered - Accent 4"/>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55"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56" w:customStyle="1">
    <w:name w:val="Bordered - Accent 6"/>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57" w:customStyle="1">
    <w:name w:val="TOC 标题12"/>
    <w:uiPriority w:val="39"/>
    <w:unhideWhenUsed/>
    <w:qFormat/>
    <w:rPr>
      <w:rFonts w:ascii="Times New Roman" w:hAnsi="Times New Roman" w:eastAsia="宋体" w:cs="Times New Roman"/>
    </w:rPr>
  </w:style>
  <w:style w:type="paragraph" w:styleId="1058" w:customStyle="1">
    <w:name w:val="标题 31"/>
    <w:basedOn w:val="741"/>
    <w:next w:val="741"/>
    <w:qFormat/>
    <w:pPr>
      <w:jc w:val="center"/>
      <w:keepNext/>
      <w:outlineLvl w:val="2"/>
    </w:pPr>
    <w:rPr>
      <w:rFonts w:ascii="宋体" w:hAnsi="宋体" w:eastAsia="宋体" w:cs="Times New Roman"/>
      <w:sz w:val="28"/>
      <w:szCs w:val="20"/>
    </w:rPr>
  </w:style>
  <w:style w:type="paragraph" w:styleId="1059" w:customStyle="1">
    <w:name w:val="标题 41"/>
    <w:basedOn w:val="741"/>
    <w:next w:val="741"/>
    <w:qFormat/>
    <w:pPr>
      <w:keepNext/>
      <w:outlineLvl w:val="3"/>
    </w:pPr>
    <w:rPr>
      <w:rFonts w:ascii="Times New Roman" w:hAnsi="Times New Roman" w:eastAsia="宋体" w:cs="Times New Roman"/>
      <w:b/>
      <w:bCs/>
      <w:sz w:val="18"/>
      <w:szCs w:val="20"/>
    </w:rPr>
  </w:style>
  <w:style w:type="paragraph" w:styleId="1060" w:customStyle="1">
    <w:name w:val="标题 51"/>
    <w:basedOn w:val="741"/>
    <w:next w:val="741"/>
    <w:qFormat/>
    <w:pPr>
      <w:jc w:val="center"/>
      <w:keepNext/>
      <w:outlineLvl w:val="4"/>
    </w:pPr>
    <w:rPr>
      <w:rFonts w:ascii="Times New Roman" w:hAnsi="Times New Roman" w:eastAsia="宋体" w:cs="Times New Roman"/>
      <w:b/>
      <w:bCs/>
      <w:sz w:val="18"/>
      <w:szCs w:val="20"/>
    </w:rPr>
  </w:style>
  <w:style w:type="character" w:styleId="1061" w:customStyle="1">
    <w:name w:val="默认段落字体1"/>
    <w:semiHidden/>
    <w:qFormat/>
  </w:style>
  <w:style w:type="table" w:styleId="1062" w:customStyle="1">
    <w:name w:val="普通表格1"/>
    <w:semiHidden/>
    <w:qFormat/>
    <w:rPr>
      <w:rFonts w:ascii="Times New Roman" w:hAnsi="Times New Roman" w:eastAsia="宋体" w:cs="Times New Roman"/>
    </w:rPr>
    <w:tblPr>
      <w:tblCellMar>
        <w:left w:w="0" w:type="dxa"/>
        <w:top w:w="0" w:type="dxa"/>
        <w:right w:w="0" w:type="dxa"/>
        <w:bottom w:w="0" w:type="dxa"/>
      </w:tblCellMar>
    </w:tblPr>
  </w:style>
  <w:style w:type="paragraph" w:styleId="1063" w:customStyle="1">
    <w:name w:val="索引 81"/>
    <w:basedOn w:val="741"/>
    <w:next w:val="741"/>
    <w:semiHidden/>
    <w:qFormat/>
    <w:pPr>
      <w:ind w:left="1400"/>
    </w:pPr>
    <w:rPr>
      <w:rFonts w:ascii="Times New Roman" w:hAnsi="Times New Roman" w:eastAsia="宋体" w:cs="Times New Roman"/>
      <w:szCs w:val="20"/>
    </w:rPr>
  </w:style>
  <w:style w:type="paragraph" w:styleId="1064" w:customStyle="1">
    <w:name w:val="正文缩进1"/>
    <w:basedOn w:val="741"/>
    <w:link w:val="1065"/>
    <w:qFormat/>
    <w:pPr>
      <w:ind w:firstLine="420"/>
    </w:pPr>
    <w:rPr>
      <w:rFonts w:ascii="Times New Roman" w:hAnsi="Times New Roman" w:eastAsia="宋体" w:cs="Times New Roman"/>
      <w:szCs w:val="20"/>
    </w:rPr>
  </w:style>
  <w:style w:type="character" w:styleId="1065" w:customStyle="1">
    <w:name w:val="正文缩进 字符1"/>
    <w:link w:val="1064"/>
    <w:qFormat/>
    <w:rPr>
      <w:rFonts w:ascii="Times New Roman" w:hAnsi="Times New Roman" w:eastAsia="宋体" w:cs="Times New Roman"/>
      <w:szCs w:val="20"/>
    </w:rPr>
  </w:style>
  <w:style w:type="paragraph" w:styleId="1066" w:customStyle="1">
    <w:name w:val="索引 51"/>
    <w:basedOn w:val="741"/>
    <w:next w:val="741"/>
    <w:semiHidden/>
    <w:qFormat/>
    <w:pPr>
      <w:ind w:left="800"/>
    </w:pPr>
    <w:rPr>
      <w:rFonts w:ascii="Times New Roman" w:hAnsi="Times New Roman" w:eastAsia="宋体" w:cs="Times New Roman"/>
      <w:szCs w:val="20"/>
    </w:rPr>
  </w:style>
  <w:style w:type="paragraph" w:styleId="1067" w:customStyle="1">
    <w:name w:val="文档结构图1"/>
    <w:basedOn w:val="741"/>
    <w:semiHidden/>
    <w:qFormat/>
    <w:pPr>
      <w:shd w:val="clear" w:color="auto" w:fill="000080"/>
    </w:pPr>
    <w:rPr>
      <w:rFonts w:ascii="Times New Roman" w:hAnsi="Times New Roman" w:eastAsia="宋体" w:cs="Times New Roman"/>
      <w:szCs w:val="20"/>
    </w:rPr>
  </w:style>
  <w:style w:type="paragraph" w:styleId="1068" w:customStyle="1">
    <w:name w:val="索引 61"/>
    <w:basedOn w:val="741"/>
    <w:next w:val="741"/>
    <w:semiHidden/>
    <w:qFormat/>
    <w:pPr>
      <w:ind w:left="1000"/>
    </w:pPr>
    <w:rPr>
      <w:rFonts w:ascii="Times New Roman" w:hAnsi="Times New Roman" w:eastAsia="宋体" w:cs="Times New Roman"/>
      <w:szCs w:val="20"/>
    </w:rPr>
  </w:style>
  <w:style w:type="paragraph" w:styleId="1069" w:customStyle="1">
    <w:name w:val="列表 21"/>
    <w:basedOn w:val="815"/>
    <w:next w:val="756"/>
    <w:qFormat/>
    <w:pPr>
      <w:ind w:left="100" w:firstLine="3640"/>
      <w:jc w:val="both"/>
      <w:keepNext w:val="0"/>
      <w:widowControl/>
      <w:tabs>
        <w:tab w:val="clear" w:pos="200" w:leader="none"/>
      </w:tabs>
    </w:pPr>
    <w:rPr>
      <w:rFonts w:ascii="Times New Roman" w:hAnsi="Times New Roman"/>
      <w:b w:val="0"/>
      <w:sz w:val="20"/>
    </w:rPr>
  </w:style>
  <w:style w:type="paragraph" w:styleId="1070" w:customStyle="1">
    <w:name w:val="文本块1"/>
    <w:basedOn w:val="741"/>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1071" w:customStyle="1">
    <w:name w:val="索引 41"/>
    <w:basedOn w:val="741"/>
    <w:next w:val="741"/>
    <w:semiHidden/>
    <w:qFormat/>
    <w:pPr>
      <w:ind w:left="600"/>
    </w:pPr>
    <w:rPr>
      <w:rFonts w:ascii="Times New Roman" w:hAnsi="Times New Roman" w:eastAsia="宋体" w:cs="Times New Roman"/>
      <w:szCs w:val="20"/>
    </w:rPr>
  </w:style>
  <w:style w:type="paragraph" w:styleId="1072" w:customStyle="1">
    <w:name w:val="索引 31"/>
    <w:basedOn w:val="741"/>
    <w:next w:val="741"/>
    <w:semiHidden/>
    <w:qFormat/>
    <w:pPr>
      <w:ind w:left="400"/>
    </w:pPr>
    <w:rPr>
      <w:rFonts w:ascii="Times New Roman" w:hAnsi="Times New Roman" w:eastAsia="宋体" w:cs="Times New Roman"/>
      <w:szCs w:val="20"/>
    </w:rPr>
  </w:style>
  <w:style w:type="paragraph" w:styleId="1073" w:customStyle="1">
    <w:name w:val="正文文本缩进 21"/>
    <w:basedOn w:val="741"/>
    <w:qFormat/>
    <w:pPr>
      <w:ind w:left="1890" w:hanging="1409"/>
      <w:tabs>
        <w:tab w:val="left" w:pos="1785" w:leader="none"/>
        <w:tab w:val="left" w:pos="1887" w:leader="none"/>
        <w:tab w:val="left" w:pos="2112" w:leader="none"/>
        <w:tab w:val="left" w:pos="9000" w:leader="none"/>
      </w:tabs>
    </w:pPr>
    <w:rPr>
      <w:rFonts w:ascii="Times New Roman" w:hAnsi="Times New Roman" w:eastAsia="宋体" w:cs="Times New Roman"/>
      <w:sz w:val="24"/>
      <w:szCs w:val="20"/>
    </w:rPr>
  </w:style>
  <w:style w:type="paragraph" w:styleId="1074" w:customStyle="1">
    <w:name w:val="页脚1"/>
    <w:basedOn w:val="741"/>
    <w:link w:val="1075"/>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1075" w:customStyle="1">
    <w:name w:val="页脚 字符"/>
    <w:link w:val="1074"/>
    <w:uiPriority w:val="99"/>
    <w:qFormat/>
    <w:rPr>
      <w:rFonts w:ascii="Times New Roman" w:hAnsi="Times New Roman" w:eastAsia="宋体" w:cs="Times New Roman"/>
      <w:sz w:val="18"/>
      <w:szCs w:val="20"/>
    </w:rPr>
  </w:style>
  <w:style w:type="character" w:styleId="1076" w:customStyle="1">
    <w:name w:val="寄信人地址 字符"/>
    <w:link w:val="837"/>
    <w:qFormat/>
    <w:rPr>
      <w:rFonts w:ascii="Arial" w:hAnsi="Arial" w:eastAsia="仿宋_GB2312" w:cs="Times New Roman"/>
      <w:sz w:val="32"/>
      <w:szCs w:val="20"/>
    </w:rPr>
  </w:style>
  <w:style w:type="paragraph" w:styleId="1077" w:customStyle="1">
    <w:name w:val="页眉1"/>
    <w:basedOn w:val="74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paragraph" w:styleId="1078" w:customStyle="1">
    <w:name w:val="签名1"/>
    <w:basedOn w:val="741"/>
    <w:link w:val="1079"/>
    <w:qFormat/>
    <w:pPr>
      <w:jc w:val="center"/>
      <w:spacing w:after="600" w:line="312" w:lineRule="atLeast"/>
    </w:pPr>
    <w:rPr>
      <w:rFonts w:ascii="Times New Roman" w:hAnsi="Times New Roman" w:eastAsia="仿宋_GB2312" w:cs="Times New Roman"/>
      <w:sz w:val="24"/>
      <w:szCs w:val="20"/>
    </w:rPr>
  </w:style>
  <w:style w:type="character" w:styleId="1079" w:customStyle="1">
    <w:name w:val="签名 字符1"/>
    <w:link w:val="1078"/>
    <w:qFormat/>
    <w:rPr>
      <w:rFonts w:ascii="Times New Roman" w:hAnsi="Times New Roman" w:eastAsia="仿宋_GB2312" w:cs="Times New Roman"/>
      <w:sz w:val="24"/>
      <w:szCs w:val="20"/>
    </w:rPr>
  </w:style>
  <w:style w:type="paragraph" w:styleId="1080" w:customStyle="1">
    <w:name w:val="索引标题1"/>
    <w:basedOn w:val="741"/>
    <w:next w:val="1081"/>
    <w:semiHidden/>
    <w:qFormat/>
    <w:rPr>
      <w:rFonts w:ascii="Times New Roman" w:hAnsi="Times New Roman" w:eastAsia="宋体" w:cs="Times New Roman"/>
      <w:szCs w:val="20"/>
    </w:rPr>
  </w:style>
  <w:style w:type="paragraph" w:styleId="1081" w:customStyle="1">
    <w:name w:val="索引 11"/>
    <w:basedOn w:val="741"/>
    <w:next w:val="741"/>
    <w:semiHidden/>
    <w:qFormat/>
    <w:rPr>
      <w:rFonts w:ascii="Times New Roman" w:hAnsi="Times New Roman" w:eastAsia="宋体" w:cs="Times New Roman"/>
      <w:szCs w:val="20"/>
    </w:rPr>
  </w:style>
  <w:style w:type="paragraph" w:styleId="1082" w:customStyle="1">
    <w:name w:val="脚注文本1"/>
    <w:basedOn w:val="741"/>
    <w:link w:val="1083"/>
    <w:qFormat/>
    <w:pPr>
      <w:jc w:val="left"/>
    </w:pPr>
    <w:rPr>
      <w:rFonts w:ascii="Times New Roman" w:hAnsi="Times New Roman" w:eastAsia="宋体" w:cs="Times New Roman"/>
      <w:sz w:val="18"/>
      <w:szCs w:val="18"/>
    </w:rPr>
  </w:style>
  <w:style w:type="character" w:styleId="1083" w:customStyle="1">
    <w:name w:val="脚注文本 字符"/>
    <w:link w:val="1082"/>
    <w:qFormat/>
    <w:rPr>
      <w:rFonts w:ascii="Times New Roman" w:hAnsi="Times New Roman" w:eastAsia="宋体" w:cs="Times New Roman"/>
      <w:sz w:val="18"/>
      <w:szCs w:val="18"/>
    </w:rPr>
  </w:style>
  <w:style w:type="paragraph" w:styleId="1084" w:customStyle="1">
    <w:name w:val="正文文本缩进 31"/>
    <w:basedOn w:val="741"/>
    <w:qFormat/>
    <w:pPr>
      <w:ind w:firstLine="555"/>
    </w:pPr>
    <w:rPr>
      <w:rFonts w:ascii="Times New Roman" w:hAnsi="Times New Roman" w:eastAsia="宋体" w:cs="Times New Roman"/>
      <w:b/>
      <w:bCs/>
      <w:sz w:val="28"/>
      <w:szCs w:val="20"/>
      <w:u w:val="single"/>
    </w:rPr>
  </w:style>
  <w:style w:type="paragraph" w:styleId="1085" w:customStyle="1">
    <w:name w:val="索引 71"/>
    <w:basedOn w:val="741"/>
    <w:next w:val="741"/>
    <w:semiHidden/>
    <w:qFormat/>
    <w:pPr>
      <w:ind w:left="1200"/>
    </w:pPr>
    <w:rPr>
      <w:rFonts w:ascii="Times New Roman" w:hAnsi="Times New Roman" w:eastAsia="宋体" w:cs="Times New Roman"/>
      <w:szCs w:val="20"/>
    </w:rPr>
  </w:style>
  <w:style w:type="paragraph" w:styleId="1086" w:customStyle="1">
    <w:name w:val="索引 91"/>
    <w:basedOn w:val="741"/>
    <w:next w:val="741"/>
    <w:semiHidden/>
    <w:qFormat/>
    <w:pPr>
      <w:ind w:left="1600"/>
    </w:pPr>
    <w:rPr>
      <w:rFonts w:ascii="Times New Roman" w:hAnsi="Times New Roman" w:eastAsia="宋体" w:cs="Times New Roman"/>
      <w:szCs w:val="20"/>
    </w:rPr>
  </w:style>
  <w:style w:type="paragraph" w:styleId="1087" w:customStyle="1">
    <w:name w:val="图表目录1"/>
    <w:basedOn w:val="741"/>
    <w:next w:val="741"/>
    <w:semiHidden/>
    <w:qFormat/>
    <w:pPr>
      <w:ind w:left="840" w:hanging="420"/>
    </w:pPr>
    <w:rPr>
      <w:rFonts w:ascii="Times New Roman" w:hAnsi="Times New Roman" w:eastAsia="宋体" w:cs="Times New Roman"/>
      <w:szCs w:val="20"/>
    </w:rPr>
  </w:style>
  <w:style w:type="paragraph" w:styleId="1088" w:customStyle="1">
    <w:name w:val="HTML 预设格式1"/>
    <w:basedOn w:val="741"/>
    <w:link w:val="10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1089" w:customStyle="1">
    <w:name w:val="HTML 预设格式 字符"/>
    <w:link w:val="1088"/>
    <w:qFormat/>
    <w:rPr>
      <w:rFonts w:ascii="Arial" w:hAnsi="Arial" w:eastAsia="宋体" w:cs="Times New Roman"/>
      <w:sz w:val="24"/>
      <w:szCs w:val="24"/>
    </w:rPr>
  </w:style>
  <w:style w:type="paragraph" w:styleId="1090" w:customStyle="1">
    <w:name w:val="普通(网站)1"/>
    <w:basedOn w:val="741"/>
    <w:uiPriority w:val="99"/>
    <w:qFormat/>
    <w:pPr>
      <w:jc w:val="left"/>
      <w:spacing w:before="100" w:beforeAutospacing="1" w:after="100" w:afterAutospacing="1"/>
      <w:widowControl/>
    </w:pPr>
    <w:rPr>
      <w:rFonts w:ascii="宋体" w:hAnsi="宋体" w:eastAsia="宋体" w:cs="宋体"/>
      <w:sz w:val="24"/>
      <w:szCs w:val="24"/>
    </w:rPr>
  </w:style>
  <w:style w:type="paragraph" w:styleId="1091" w:customStyle="1">
    <w:name w:val="索引 21"/>
    <w:basedOn w:val="741"/>
    <w:next w:val="741"/>
    <w:semiHidden/>
    <w:qFormat/>
    <w:pPr>
      <w:ind w:left="200"/>
    </w:pPr>
    <w:rPr>
      <w:rFonts w:ascii="Times New Roman" w:hAnsi="Times New Roman" w:eastAsia="宋体" w:cs="Times New Roman"/>
      <w:szCs w:val="20"/>
    </w:rPr>
  </w:style>
  <w:style w:type="table" w:styleId="1092" w:customStyle="1">
    <w:name w:val="网格型11"/>
    <w:basedOn w:val="1062"/>
    <w:qFormat/>
    <w:pPr>
      <w:jc w:val="both"/>
      <w:widowControl w:val="off"/>
    </w:pPr>
    <w:tblPr>
      <w:tblCellMar>
        <w:left w:w="0" w:type="dxa"/>
        <w:top w:w="0" w:type="dxa"/>
        <w:right w:w="0" w:type="dxa"/>
        <w:bottom w:w="0" w:type="dxa"/>
      </w:tblCellMar>
    </w:tblPr>
  </w:style>
  <w:style w:type="character" w:styleId="1093" w:customStyle="1">
    <w:name w:val="要点1"/>
    <w:uiPriority w:val="22"/>
    <w:qFormat/>
    <w:rPr>
      <w:b/>
      <w:bCs/>
    </w:rPr>
  </w:style>
  <w:style w:type="character" w:styleId="1094" w:customStyle="1">
    <w:name w:val="页码1"/>
    <w:qFormat/>
  </w:style>
  <w:style w:type="character" w:styleId="1095" w:customStyle="1">
    <w:name w:val="访问过的超链接1"/>
    <w:qFormat/>
    <w:rPr>
      <w:color w:val="800080"/>
      <w:u w:val="single"/>
    </w:rPr>
  </w:style>
  <w:style w:type="character" w:styleId="1096" w:customStyle="1">
    <w:name w:val="强调1"/>
    <w:uiPriority w:val="20"/>
    <w:qFormat/>
    <w:rPr>
      <w:i/>
      <w:iCs/>
    </w:rPr>
  </w:style>
  <w:style w:type="character" w:styleId="1097" w:customStyle="1">
    <w:name w:val="超链接1"/>
    <w:uiPriority w:val="99"/>
    <w:qFormat/>
    <w:rPr>
      <w:color w:val="0000ff"/>
      <w:u w:val="single"/>
    </w:rPr>
  </w:style>
  <w:style w:type="character" w:styleId="1098" w:customStyle="1">
    <w:name w:val="批注引用1"/>
    <w:qFormat/>
    <w:rPr>
      <w:sz w:val="21"/>
      <w:szCs w:val="21"/>
    </w:rPr>
  </w:style>
  <w:style w:type="character" w:styleId="1099" w:customStyle="1">
    <w:name w:val="脚注引用1"/>
    <w:unhideWhenUsed/>
    <w:qFormat/>
    <w:rPr>
      <w:vertAlign w:val="superscript"/>
    </w:rPr>
  </w:style>
  <w:style w:type="paragraph" w:styleId="1100" w:customStyle="1">
    <w:name w:val="列表段落1"/>
    <w:basedOn w:val="741"/>
    <w:uiPriority w:val="34"/>
    <w:qFormat/>
    <w:pPr>
      <w:ind w:firstLine="420"/>
      <w:spacing w:line="360" w:lineRule="auto"/>
    </w:pPr>
    <w:rPr>
      <w:rFonts w:ascii="Times New Roman" w:hAnsi="Times New Roman" w:eastAsia="宋体" w:cs="Times New Roman"/>
      <w:sz w:val="24"/>
      <w:szCs w:val="21"/>
    </w:rPr>
  </w:style>
  <w:style w:type="paragraph" w:styleId="1101" w:customStyle="1">
    <w:name w:val="Char Char1 Char Char Char Char Char Char Char1"/>
    <w:basedOn w:val="741"/>
    <w:qFormat/>
    <w:rPr>
      <w:rFonts w:ascii="Tahoma" w:hAnsi="Tahoma" w:eastAsia="宋体" w:cs="Times New Roman"/>
      <w:sz w:val="24"/>
      <w:szCs w:val="20"/>
    </w:rPr>
  </w:style>
  <w:style w:type="paragraph" w:styleId="1102" w:customStyle="1">
    <w:name w:val="Char Char Char1"/>
    <w:basedOn w:val="741"/>
    <w:qFormat/>
    <w:pPr>
      <w:ind w:left="375" w:hanging="375"/>
      <w:tabs>
        <w:tab w:val="left" w:pos="375" w:leader="none"/>
        <w:tab w:val="left" w:pos="1545" w:leader="none"/>
      </w:tabs>
    </w:pPr>
    <w:rPr>
      <w:rFonts w:ascii="Times New Roman" w:hAnsi="Times New Roman" w:eastAsia="宋体" w:cs="Times New Roman"/>
      <w:szCs w:val="20"/>
    </w:rPr>
  </w:style>
  <w:style w:type="character" w:styleId="1103" w:customStyle="1">
    <w:name w:val="font31"/>
    <w:basedOn w:val="751"/>
    <w:qFormat/>
    <w:rPr>
      <w:rFonts w:hint="eastAsia" w:ascii="宋体" w:hAnsi="宋体" w:eastAsia="宋体" w:cs="宋体"/>
      <w:color w:val="000000"/>
      <w:sz w:val="22"/>
      <w:szCs w:val="22"/>
      <w:u w:val="single"/>
    </w:rPr>
  </w:style>
  <w:style w:type="character" w:styleId="1104" w:customStyle="1">
    <w:name w:val="font21"/>
    <w:qFormat/>
    <w:rPr>
      <w:rFonts w:hint="eastAsia" w:ascii="宋体" w:hAnsi="宋体" w:eastAsia="宋体" w:cs="宋体"/>
      <w:color w:val="000000"/>
      <w:sz w:val="22"/>
      <w:szCs w:val="22"/>
      <w:u w:val="none"/>
    </w:rPr>
  </w:style>
  <w:style w:type="character" w:styleId="1105" w:customStyle="1">
    <w:name w:val="签名 字符2"/>
    <w:qFormat/>
    <w:rPr>
      <w:rFonts w:eastAsia="仿宋_GB2312"/>
      <w:sz w:val="24"/>
    </w:rPr>
  </w:style>
  <w:style w:type="paragraph" w:styleId="1106" w:customStyle="1">
    <w:name w:val="Normal_0_3"/>
    <w:qFormat/>
    <w:rPr>
      <w:rFonts w:ascii="Times New Roman" w:hAnsi="Times New Roman" w:eastAsia="Times New Roman" w:cs="Times New Roman"/>
      <w:sz w:val="24"/>
      <w:szCs w:val="24"/>
    </w:rPr>
  </w:style>
  <w:style w:type="paragraph" w:styleId="1107" w:customStyle="1">
    <w:name w:val="修订11"/>
    <w:hidden/>
    <w:uiPriority w:val="99"/>
    <w:unhideWhenUsed/>
    <w:qFormat/>
    <w:rPr>
      <w:rFonts w:ascii="Times New Roman" w:hAnsi="Times New Roman" w:eastAsia="宋体" w:cs="Times New Roman"/>
      <w:sz w:val="21"/>
    </w:rPr>
  </w:style>
  <w:style w:type="character" w:styleId="1108" w:customStyle="1">
    <w:name w:val="批注文字 Char1"/>
    <w:basedOn w:val="751"/>
    <w:uiPriority w:val="99"/>
    <w:semiHidden/>
    <w:qFormat/>
    <w:rPr>
      <w:sz w:val="21"/>
    </w:rPr>
  </w:style>
  <w:style w:type="paragraph" w:styleId="1109" w:customStyle="1">
    <w:name w:val="font8"/>
    <w:basedOn w:val="741"/>
    <w:pPr>
      <w:jc w:val="left"/>
      <w:spacing w:before="100" w:beforeAutospacing="1" w:after="100" w:afterAutospacing="1"/>
      <w:widowControl/>
    </w:pPr>
    <w:rPr>
      <w:rFonts w:ascii="等线" w:hAnsi="等线" w:eastAsia="等线" w:cs="宋体"/>
      <w:color w:val="000000"/>
      <w:szCs w:val="21"/>
    </w:rPr>
  </w:style>
  <w:style w:type="paragraph" w:styleId="1110" w:customStyle="1">
    <w:name w:val="xl65"/>
    <w:basedOn w:val="741"/>
    <w:pPr>
      <w:jc w:val="center"/>
      <w:spacing w:before="100" w:beforeAutospacing="1" w:after="100" w:afterAutospacing="1"/>
      <w:widowControl/>
    </w:pPr>
    <w:rPr>
      <w:rFonts w:ascii="宋体" w:hAnsi="宋体" w:eastAsia="宋体" w:cs="宋体"/>
      <w:sz w:val="24"/>
      <w:szCs w:val="24"/>
    </w:rPr>
  </w:style>
  <w:style w:type="paragraph" w:styleId="1111" w:customStyle="1">
    <w:name w:val="xl66"/>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2" w:customStyle="1">
    <w:name w:val="xl67"/>
    <w:basedOn w:val="741"/>
    <w:pPr>
      <w:jc w:val="center"/>
      <w:spacing w:before="100" w:beforeAutospacing="1" w:after="100" w:afterAutospacing="1"/>
      <w:widowControl/>
    </w:pPr>
    <w:rPr>
      <w:rFonts w:ascii="宋体" w:hAnsi="宋体" w:eastAsia="宋体" w:cs="宋体"/>
      <w:sz w:val="24"/>
      <w:szCs w:val="24"/>
    </w:rPr>
  </w:style>
  <w:style w:type="paragraph" w:styleId="1113" w:customStyle="1">
    <w:name w:val="xl68"/>
    <w:basedOn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szCs w:val="24"/>
    </w:rPr>
  </w:style>
  <w:style w:type="paragraph" w:styleId="1114" w:customStyle="1">
    <w:name w:val="xl69"/>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15" w:customStyle="1">
    <w:name w:val="xl70"/>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16" w:customStyle="1">
    <w:name w:val="xl71"/>
    <w:basedOn w:val="74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24"/>
      <w:szCs w:val="24"/>
    </w:rPr>
  </w:style>
  <w:style w:type="paragraph" w:styleId="1117" w:customStyle="1">
    <w:name w:val="xl72"/>
    <w:basedOn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18" w:customStyle="1">
    <w:name w:val="xl73"/>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9" w:customStyle="1">
    <w:name w:val="xl74"/>
    <w:basedOn w:val="741"/>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0" w:customStyle="1">
    <w:name w:val="xl75"/>
    <w:basedOn w:val="741"/>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24"/>
      <w:szCs w:val="24"/>
    </w:rPr>
  </w:style>
  <w:style w:type="paragraph" w:styleId="1121" w:customStyle="1">
    <w:name w:val="xl76"/>
    <w:basedOn w:val="74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2" w:customStyle="1">
    <w:name w:val="xl77"/>
    <w:basedOn w:val="741"/>
    <w:pPr>
      <w:jc w:val="center"/>
      <w:spacing w:before="100" w:beforeAutospacing="1" w:after="100" w:afterAutospacing="1"/>
      <w:widowControl/>
    </w:pPr>
    <w:rPr>
      <w:rFonts w:ascii="宋体" w:hAnsi="宋体" w:eastAsia="宋体" w:cs="宋体"/>
      <w:color w:val="000000"/>
      <w:sz w:val="24"/>
      <w:szCs w:val="24"/>
    </w:rPr>
  </w:style>
  <w:style w:type="paragraph" w:styleId="1123" w:customStyle="1">
    <w:name w:val="xl78"/>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4" w:customStyle="1">
    <w:name w:val="xl79"/>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5" w:customStyle="1">
    <w:name w:val="xl80"/>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6" w:customStyle="1">
    <w:name w:val="xl81"/>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7" w:customStyle="1">
    <w:name w:val="xl82"/>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28" w:customStyle="1">
    <w:name w:val="xl83"/>
    <w:basedOn w:val="741"/>
    <w:pPr>
      <w:jc w:val="center"/>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eastAsia="宋体" w:cs="宋体"/>
      <w:sz w:val="24"/>
      <w:szCs w:val="24"/>
    </w:rPr>
  </w:style>
  <w:style w:type="paragraph" w:styleId="1129" w:customStyle="1">
    <w:name w:val="xl84"/>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30" w:customStyle="1">
    <w:name w:val="xl85"/>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131" w:customStyle="1">
    <w:name w:val="xl86"/>
    <w:basedOn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132" w:customStyle="1">
    <w:name w:val="xl87"/>
    <w:basedOn w:val="741"/>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33" w:customStyle="1">
    <w:name w:val="xl88"/>
    <w:basedOn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4" w:customStyle="1">
    <w:name w:val="xl89"/>
    <w:basedOn w:val="741"/>
    <w:pPr>
      <w:jc w:val="center"/>
      <w:spacing w:before="100" w:beforeAutospacing="1" w:after="100" w:afterAutospacing="1"/>
      <w:widowControl/>
      <w:pBdr>
        <w:top w:val="single" w:color="auto" w:sz="8" w:space="0"/>
        <w:left w:val="single" w:color="auto" w:sz="4" w:space="0"/>
        <w:right w:val="single" w:color="auto" w:sz="4" w:space="0"/>
      </w:pBdr>
    </w:pPr>
    <w:rPr>
      <w:rFonts w:ascii="宋体" w:hAnsi="宋体" w:eastAsia="宋体" w:cs="宋体"/>
      <w:b/>
      <w:bCs/>
      <w:sz w:val="24"/>
      <w:szCs w:val="24"/>
    </w:rPr>
  </w:style>
  <w:style w:type="paragraph" w:styleId="1135" w:customStyle="1">
    <w:name w:val="xl90"/>
    <w:basedOn w:val="74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4"/>
      <w:szCs w:val="24"/>
    </w:rPr>
  </w:style>
  <w:style w:type="paragraph" w:styleId="1136" w:customStyle="1">
    <w:name w:val="xl91"/>
    <w:basedOn w:val="741"/>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4"/>
      <w:szCs w:val="24"/>
    </w:rPr>
  </w:style>
  <w:style w:type="paragraph" w:styleId="1137" w:customStyle="1">
    <w:name w:val="xl92"/>
    <w:basedOn w:val="741"/>
    <w:pPr>
      <w:jc w:val="center"/>
      <w:spacing w:before="100" w:beforeAutospacing="1" w:after="100" w:afterAutospacing="1"/>
      <w:widowControl/>
      <w:pBdr>
        <w:top w:val="single" w:color="000000" w:sz="4" w:space="0"/>
        <w:left w:val="single" w:color="000000" w:sz="4" w:space="0"/>
        <w:bottom w:val="single" w:color="auto" w:sz="4" w:space="0"/>
        <w:right w:val="single" w:color="auto" w:sz="4" w:space="0"/>
      </w:pBdr>
    </w:pPr>
    <w:rPr>
      <w:rFonts w:ascii="宋体" w:hAnsi="宋体" w:eastAsia="宋体" w:cs="宋体"/>
      <w:color w:val="000000"/>
      <w:sz w:val="24"/>
      <w:szCs w:val="24"/>
    </w:rPr>
  </w:style>
  <w:style w:type="paragraph" w:styleId="1138" w:customStyle="1">
    <w:name w:val="xl93"/>
    <w:basedOn w:val="741"/>
    <w:pPr>
      <w:jc w:val="center"/>
      <w:spacing w:before="100" w:beforeAutospacing="1" w:after="100" w:afterAutospacing="1"/>
      <w:widowControl/>
      <w:pBdr>
        <w:top w:val="single" w:color="auto" w:sz="4" w:space="0"/>
        <w:left w:val="single" w:color="000000" w:sz="4" w:space="0"/>
        <w:bottom w:val="single" w:color="auto" w:sz="4" w:space="0"/>
        <w:right w:val="single" w:color="auto" w:sz="4" w:space="0"/>
      </w:pBdr>
    </w:pPr>
    <w:rPr>
      <w:rFonts w:ascii="宋体" w:hAnsi="宋体" w:eastAsia="宋体" w:cs="宋体"/>
      <w:color w:val="000000"/>
      <w:sz w:val="24"/>
      <w:szCs w:val="24"/>
    </w:rPr>
  </w:style>
  <w:style w:type="paragraph" w:styleId="1139" w:customStyle="1">
    <w:name w:val="xl94"/>
    <w:basedOn w:val="741"/>
    <w:pPr>
      <w:jc w:val="center"/>
      <w:spacing w:before="100" w:beforeAutospacing="1" w:after="100" w:afterAutospacing="1"/>
      <w:widowControl/>
      <w:pBdr>
        <w:top w:val="single" w:color="auto" w:sz="4" w:space="0"/>
        <w:left w:val="single" w:color="000000" w:sz="4" w:space="0"/>
        <w:bottom w:val="single" w:color="000000" w:sz="4" w:space="0"/>
        <w:right w:val="single" w:color="auto" w:sz="4" w:space="0"/>
      </w:pBdr>
    </w:pPr>
    <w:rPr>
      <w:rFonts w:ascii="宋体" w:hAnsi="宋体" w:eastAsia="宋体" w:cs="宋体"/>
      <w:color w:val="000000"/>
      <w:sz w:val="24"/>
      <w:szCs w:val="24"/>
    </w:rPr>
  </w:style>
  <w:style w:type="paragraph" w:styleId="1140" w:customStyle="1">
    <w:name w:val="xl95"/>
    <w:basedOn w:val="741"/>
    <w:pPr>
      <w:jc w:val="center"/>
      <w:spacing w:before="100" w:beforeAutospacing="1" w:after="100" w:afterAutospacing="1"/>
      <w:widowControl/>
      <w:pBdr>
        <w:top w:val="single" w:color="auto" w:sz="8" w:space="0"/>
        <w:left w:val="single" w:color="auto" w:sz="4" w:space="0"/>
        <w:right w:val="single" w:color="auto" w:sz="4" w:space="0"/>
      </w:pBdr>
    </w:pPr>
    <w:rPr>
      <w:rFonts w:ascii="等线" w:hAnsi="等线" w:eastAsia="等线" w:cs="宋体"/>
      <w:b/>
      <w:bCs/>
      <w:color w:val="000000"/>
      <w:sz w:val="24"/>
      <w:szCs w:val="24"/>
    </w:rPr>
  </w:style>
  <w:style w:type="paragraph" w:styleId="1141" w:customStyle="1">
    <w:name w:val="xl96"/>
    <w:basedOn w:val="741"/>
    <w:pPr>
      <w:jc w:val="center"/>
      <w:spacing w:before="100" w:beforeAutospacing="1" w:after="100" w:afterAutospacing="1"/>
      <w:widowControl/>
      <w:pBdr>
        <w:left w:val="single" w:color="auto" w:sz="4" w:space="0"/>
        <w:bottom w:val="single" w:color="auto" w:sz="4" w:space="0"/>
        <w:right w:val="single" w:color="auto" w:sz="4" w:space="0"/>
      </w:pBdr>
    </w:pPr>
    <w:rPr>
      <w:rFonts w:ascii="等线" w:hAnsi="等线" w:eastAsia="等线" w:cs="宋体"/>
      <w:b/>
      <w:bCs/>
      <w:color w:val="000000"/>
      <w:sz w:val="24"/>
      <w:szCs w:val="24"/>
    </w:rPr>
  </w:style>
  <w:style w:type="paragraph" w:styleId="1142" w:customStyle="1">
    <w:name w:val="xl97"/>
    <w:basedOn w:val="741"/>
    <w:pPr>
      <w:jc w:val="center"/>
      <w:spacing w:before="100" w:beforeAutospacing="1" w:after="100" w:afterAutospacing="1"/>
      <w:widowControl/>
      <w:pBdr>
        <w:top w:val="single" w:color="000000" w:sz="4" w:space="0"/>
        <w:left w:val="single" w:color="000000" w:sz="4" w:space="0"/>
        <w:right w:val="single" w:color="000000" w:sz="4" w:space="0"/>
      </w:pBdr>
    </w:pPr>
    <w:rPr>
      <w:rFonts w:ascii="等线" w:hAnsi="等线" w:eastAsia="等线" w:cs="宋体"/>
      <w:color w:val="000000"/>
      <w:sz w:val="24"/>
      <w:szCs w:val="24"/>
    </w:rPr>
  </w:style>
  <w:style w:type="paragraph" w:styleId="1143" w:customStyle="1">
    <w:name w:val="xl98"/>
    <w:basedOn w:val="741"/>
    <w:pPr>
      <w:jc w:val="center"/>
      <w:spacing w:before="100" w:beforeAutospacing="1" w:after="100" w:afterAutospacing="1"/>
      <w:widowControl/>
      <w:pBdr>
        <w:top w:val="single" w:color="000000" w:sz="4" w:space="0"/>
        <w:right w:val="single" w:color="000000" w:sz="4" w:space="0"/>
      </w:pBdr>
    </w:pPr>
    <w:rPr>
      <w:rFonts w:ascii="宋体" w:hAnsi="宋体" w:eastAsia="宋体" w:cs="宋体"/>
      <w:color w:val="000000"/>
      <w:sz w:val="24"/>
      <w:szCs w:val="24"/>
    </w:rPr>
  </w:style>
  <w:style w:type="paragraph" w:styleId="1144" w:customStyle="1">
    <w:name w:val="xl99"/>
    <w:basedOn w:val="741"/>
    <w:pPr>
      <w:jc w:val="center"/>
      <w:spacing w:before="100" w:beforeAutospacing="1" w:after="100" w:afterAutospacing="1"/>
      <w:widowControl/>
      <w:pBdr>
        <w:bottom w:val="single" w:color="000000" w:sz="4" w:space="0"/>
        <w:right w:val="single" w:color="000000" w:sz="4" w:space="0"/>
      </w:pBdr>
    </w:pPr>
    <w:rPr>
      <w:rFonts w:ascii="宋体" w:hAnsi="宋体" w:eastAsia="宋体" w:cs="宋体"/>
      <w:color w:val="000000"/>
      <w:sz w:val="24"/>
      <w:szCs w:val="24"/>
    </w:rPr>
  </w:style>
  <w:style w:type="paragraph" w:styleId="1145" w:customStyle="1">
    <w:name w:val="xl100"/>
    <w:basedOn w:val="741"/>
    <w:pPr>
      <w:jc w:val="center"/>
      <w:spacing w:before="100" w:beforeAutospacing="1" w:after="100" w:afterAutospacing="1"/>
      <w:widowControl/>
      <w:pBdr>
        <w:top w:val="single" w:color="000000" w:sz="4" w:space="0"/>
        <w:left w:val="single" w:color="auto" w:sz="4" w:space="0"/>
        <w:bottom w:val="single" w:color="auto" w:sz="4" w:space="0"/>
        <w:right w:val="single" w:color="000000" w:sz="4" w:space="0"/>
      </w:pBdr>
    </w:pPr>
    <w:rPr>
      <w:rFonts w:ascii="宋体" w:hAnsi="宋体" w:eastAsia="宋体" w:cs="宋体"/>
      <w:color w:val="000000"/>
      <w:sz w:val="24"/>
      <w:szCs w:val="24"/>
    </w:rPr>
  </w:style>
  <w:style w:type="paragraph" w:styleId="1146" w:customStyle="1">
    <w:name w:val="xl101"/>
    <w:basedOn w:val="741"/>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color w:val="000000"/>
      <w:sz w:val="24"/>
      <w:szCs w:val="24"/>
    </w:rPr>
  </w:style>
  <w:style w:type="paragraph" w:styleId="1147" w:customStyle="1">
    <w:name w:val="xl102"/>
    <w:basedOn w:val="74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4"/>
      <w:szCs w:val="24"/>
    </w:rPr>
  </w:style>
  <w:style w:type="paragraph" w:styleId="1148" w:customStyle="1">
    <w:name w:val="xl103"/>
    <w:basedOn w:val="741"/>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4"/>
      <w:szCs w:val="24"/>
    </w:rPr>
  </w:style>
  <w:style w:type="paragraph" w:styleId="1149" w:customStyle="1">
    <w:name w:val="xl104"/>
    <w:basedOn w:val="7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50" w:customStyle="1">
    <w:name w:val="xl105"/>
    <w:basedOn w:val="741"/>
    <w:pPr>
      <w:jc w:val="center"/>
      <w:spacing w:before="100" w:beforeAutospacing="1" w:after="100" w:afterAutospacing="1"/>
      <w:widowControl/>
      <w:pBdr>
        <w:top w:val="single" w:color="000000" w:sz="4" w:space="0"/>
        <w:left w:val="single" w:color="000000" w:sz="4" w:space="0"/>
      </w:pBdr>
    </w:pPr>
    <w:rPr>
      <w:rFonts w:ascii="宋体" w:hAnsi="宋体" w:eastAsia="宋体" w:cs="宋体"/>
      <w:color w:val="000000"/>
      <w:sz w:val="24"/>
      <w:szCs w:val="24"/>
    </w:rPr>
  </w:style>
  <w:style w:type="paragraph" w:styleId="1151" w:customStyle="1">
    <w:name w:val="xl106"/>
    <w:basedOn w:val="741"/>
    <w:pPr>
      <w:jc w:val="center"/>
      <w:spacing w:before="100" w:beforeAutospacing="1" w:after="100" w:afterAutospacing="1"/>
      <w:widowControl/>
      <w:pBdr>
        <w:left w:val="single" w:color="000000" w:sz="4" w:space="0"/>
      </w:pBdr>
    </w:pPr>
    <w:rPr>
      <w:rFonts w:ascii="宋体" w:hAnsi="宋体" w:eastAsia="宋体" w:cs="宋体"/>
      <w:color w:val="000000"/>
      <w:sz w:val="24"/>
      <w:szCs w:val="24"/>
    </w:rPr>
  </w:style>
  <w:style w:type="paragraph" w:styleId="1152" w:customStyle="1">
    <w:name w:val="xl107"/>
    <w:basedOn w:val="741"/>
    <w:pPr>
      <w:jc w:val="center"/>
      <w:spacing w:before="100" w:beforeAutospacing="1" w:after="100" w:afterAutospacing="1"/>
      <w:widowControl/>
      <w:pBdr>
        <w:right w:val="single" w:color="000000" w:sz="4" w:space="0"/>
      </w:pBdr>
    </w:pPr>
    <w:rPr>
      <w:rFonts w:ascii="宋体" w:hAnsi="宋体" w:eastAsia="宋体" w:cs="宋体"/>
      <w:color w:val="000000"/>
      <w:sz w:val="24"/>
      <w:szCs w:val="24"/>
    </w:rPr>
  </w:style>
  <w:style w:type="paragraph" w:styleId="1153" w:customStyle="1">
    <w:name w:val="xl108"/>
    <w:basedOn w:val="741"/>
    <w:pPr>
      <w:jc w:val="center"/>
      <w:spacing w:before="100" w:beforeAutospacing="1" w:after="100" w:afterAutospacing="1"/>
      <w:widowControl/>
      <w:pBdr>
        <w:left w:val="single" w:color="000000" w:sz="4" w:space="0"/>
        <w:bottom w:val="single" w:color="000000" w:sz="4" w:space="0"/>
      </w:pBdr>
    </w:pPr>
    <w:rPr>
      <w:rFonts w:ascii="宋体" w:hAnsi="宋体" w:eastAsia="宋体" w:cs="宋体"/>
      <w:color w:val="000000"/>
      <w:sz w:val="24"/>
      <w:szCs w:val="24"/>
    </w:rPr>
  </w:style>
  <w:style w:type="paragraph" w:styleId="1154" w:customStyle="1">
    <w:name w:val="xl109"/>
    <w:basedOn w:val="741"/>
    <w:pPr>
      <w:jc w:val="center"/>
      <w:spacing w:before="100" w:beforeAutospacing="1" w:after="100" w:afterAutospacing="1"/>
      <w:widowControl/>
      <w:pBdr>
        <w:top w:val="single" w:color="000000" w:sz="4" w:space="0"/>
        <w:left w:val="single" w:color="000000" w:sz="4" w:space="0"/>
      </w:pBdr>
    </w:pPr>
    <w:rPr>
      <w:rFonts w:ascii="宋体" w:hAnsi="宋体" w:eastAsia="宋体" w:cs="宋体"/>
      <w:color w:val="000000"/>
      <w:szCs w:val="21"/>
    </w:rPr>
  </w:style>
  <w:style w:type="paragraph" w:styleId="1155" w:customStyle="1">
    <w:name w:val="xl110"/>
    <w:basedOn w:val="741"/>
    <w:pPr>
      <w:jc w:val="center"/>
      <w:spacing w:before="100" w:beforeAutospacing="1" w:after="100" w:afterAutospacing="1"/>
      <w:widowControl/>
      <w:pBdr>
        <w:top w:val="single" w:color="000000" w:sz="4" w:space="0"/>
        <w:right w:val="single" w:color="000000" w:sz="4" w:space="0"/>
      </w:pBdr>
    </w:pPr>
    <w:rPr>
      <w:rFonts w:ascii="Arial" w:hAnsi="Arial" w:eastAsia="宋体" w:cs="Arial"/>
      <w:color w:val="000000"/>
      <w:szCs w:val="21"/>
    </w:rPr>
  </w:style>
  <w:style w:type="paragraph" w:styleId="1156" w:customStyle="1">
    <w:name w:val="xl111"/>
    <w:basedOn w:val="741"/>
    <w:pPr>
      <w:jc w:val="center"/>
      <w:spacing w:before="100" w:beforeAutospacing="1" w:after="100" w:afterAutospacing="1"/>
      <w:widowControl/>
      <w:pBdr>
        <w:left w:val="single" w:color="000000" w:sz="4" w:space="0"/>
      </w:pBdr>
    </w:pPr>
    <w:rPr>
      <w:rFonts w:ascii="Arial" w:hAnsi="Arial" w:eastAsia="宋体" w:cs="Arial"/>
      <w:color w:val="000000"/>
      <w:szCs w:val="21"/>
    </w:rPr>
  </w:style>
  <w:style w:type="paragraph" w:styleId="1157" w:customStyle="1">
    <w:name w:val="xl112"/>
    <w:basedOn w:val="741"/>
    <w:pPr>
      <w:jc w:val="center"/>
      <w:spacing w:before="100" w:beforeAutospacing="1" w:after="100" w:afterAutospacing="1"/>
      <w:widowControl/>
      <w:pBdr>
        <w:right w:val="single" w:color="000000" w:sz="4" w:space="0"/>
      </w:pBdr>
    </w:pPr>
    <w:rPr>
      <w:rFonts w:ascii="Arial" w:hAnsi="Arial" w:eastAsia="宋体" w:cs="Arial"/>
      <w:color w:val="000000"/>
      <w:szCs w:val="21"/>
    </w:rPr>
  </w:style>
  <w:style w:type="paragraph" w:styleId="1158" w:customStyle="1">
    <w:name w:val="xl113"/>
    <w:basedOn w:val="741"/>
    <w:pPr>
      <w:jc w:val="center"/>
      <w:spacing w:before="100" w:beforeAutospacing="1" w:after="100" w:afterAutospacing="1"/>
      <w:widowControl/>
      <w:pBdr>
        <w:left w:val="single" w:color="000000" w:sz="4" w:space="0"/>
        <w:bottom w:val="single" w:color="000000" w:sz="4" w:space="0"/>
      </w:pBdr>
    </w:pPr>
    <w:rPr>
      <w:rFonts w:ascii="Arial" w:hAnsi="Arial" w:eastAsia="宋体" w:cs="Arial"/>
      <w:color w:val="000000"/>
      <w:szCs w:val="21"/>
    </w:rPr>
  </w:style>
  <w:style w:type="paragraph" w:styleId="1159" w:customStyle="1">
    <w:name w:val="xl114"/>
    <w:basedOn w:val="741"/>
    <w:pPr>
      <w:jc w:val="center"/>
      <w:spacing w:before="100" w:beforeAutospacing="1" w:after="100" w:afterAutospacing="1"/>
      <w:widowControl/>
      <w:pBdr>
        <w:bottom w:val="single" w:color="000000" w:sz="4" w:space="0"/>
        <w:right w:val="single" w:color="000000" w:sz="4" w:space="0"/>
      </w:pBdr>
    </w:pPr>
    <w:rPr>
      <w:rFonts w:ascii="Arial" w:hAnsi="Arial" w:eastAsia="宋体" w:cs="Arial"/>
      <w:color w:val="00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7</cp:revision>
  <dcterms:created xsi:type="dcterms:W3CDTF">2025-03-07T06:19:00Z</dcterms:created>
  <dcterms:modified xsi:type="dcterms:W3CDTF">2025-03-07T07:20:27Z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eyJoZGlkIjoiMGYwNmQ2OGVlYmY1OTYxMzU0ZWYwYmUwMzZlMTQ0MTAiLCJ1c2VySWQiOiI3NDM1MDE1NTQifQ==</vt:lpwstr>
  </property>
  <property fmtid="{D5CDD505-2E9C-101B-9397-08002B2CF9AE}" pid="3" name="KSOProductBuildVer">
    <vt:lpwstr>2052-12.1.0.20305</vt:lpwstr>
  </property>
  <property fmtid="{D5CDD505-2E9C-101B-9397-08002B2CF9AE}" pid="4" name="ICV">
    <vt:lpwstr>3F71D5E925C74A3ABC6075C29DC2190D_12</vt:lpwstr>
  </property>
</Properties>
</file>