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项目编号：JSZC-320904-JZCG-G2024-0061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36"/>
        </w:rPr>
        <w:t xml:space="preserve">65</w:t>
      </w:r>
      <w:r>
        <w:rPr>
          <w:rFonts w:ascii="SimSun" w:hAnsi="SimSun" w:eastAsia="SimSun" w:cs="SimSun"/>
          <w:b/>
          <w:color w:val="000000"/>
          <w:sz w:val="36"/>
        </w:rPr>
        <w:t xml:space="preserve">        </w:t>
      </w:r>
      <w:r>
        <w:rPr>
          <w:rFonts w:ascii="SimSun" w:hAnsi="SimSun" w:eastAsia="SimSun" w:cs="SimSun"/>
          <w:b/>
          <w:color w:val="ffffff"/>
          <w:sz w:val="36"/>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项目名称：盐城市大丰区2024年改善农民住房条件工程项目</w:t>
      </w:r>
      <w:r/>
    </w:p>
    <w:p>
      <w:pPr>
        <w:ind w:left="0" w:right="0" w:firstLine="223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盐城市大丰区住房和城乡建设局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2024年10月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27"/>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盐城市大丰区2024年改善农民住房条件工程项目的潜在投标人应在江苏政府采购网（http://www.ccgp-jiangsu.gov.cn/）、盐城市政府采购网http://czj.yancheng.gov.cn/col/col2383/index.html获取招标文件</w:t>
      </w:r>
      <w:r>
        <w:rPr>
          <w:rFonts w:ascii="SimSun" w:hAnsi="SimSun" w:eastAsia="SimSun" w:cs="SimSun"/>
          <w:color w:val="000000"/>
          <w:sz w:val="24"/>
        </w:rPr>
        <w:t xml:space="preserve">，并于</w:t>
      </w:r>
      <w:r>
        <w:rPr>
          <w:rFonts w:ascii="SimSun" w:hAnsi="SimSun" w:eastAsia="SimSun" w:cs="SimSun"/>
          <w:color w:val="000000"/>
          <w:sz w:val="24"/>
          <w:u w:val="single"/>
        </w:rPr>
        <w:t xml:space="preserve">2024年11月06日10点00分（</w:t>
      </w:r>
      <w:r>
        <w:rPr>
          <w:rFonts w:ascii="SimSun" w:hAnsi="SimSun" w:eastAsia="SimSun" w:cs="SimSun"/>
          <w:color w:val="000000"/>
          <w:sz w:val="24"/>
        </w:rPr>
        <w:t xml:space="preserve">北京时间）前递交投标文件。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(1)项目编号：JSZC-320904-JZCG-G2024-0061</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(2)项目名称：盐城市大丰区2024年改善农民住房条件工程项目</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(3)预算金额：75000.00万元</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(4)最高限价：75000.00万元</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盐城市大丰区2024年改善农民住房条件工程项目涉及拆迁户3531户，拆迁总建筑面积403655.26平方米，新增耕地面积2698.57亩，涉及区域包含草堰镇、白驹镇、刘庄镇、大桥镇、草庙镇、万盈镇、南阳镇、西团镇、小海镇、三龙镇和新丰镇，中标人负责：</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①根据工程项目所在乡镇与农户签订的拆迁补偿协议，负责拆迁方案的执行、拆迁补偿款的及时支付；</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②工程项目建设工作。</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(6)合同履行期限：一年，自合同签订之日起计算。</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(7)本项目不接受联合体投标。采购人谢绝联合体和杜绝挂靠单位参与本项目的投标，中标后不得以任何方式进行转包与分包。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286"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286"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286"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286"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286"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00"/>
          <w:sz w:val="24"/>
        </w:rPr>
        <w:t xml:space="preserve">根据《政府采购促进中小企业发展管理办法》(财库(2020)46号)的规定，对小型和微型企业的价格给予20%的扣除，用扣除后的价格参与评审，如有虚假，将按照《中华人民共和国政府采购法》第七十七条依法承担相应责任。</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（2）单位负责人为同一人或者存在直接控股、管理关系的不同供应商，不得参加同一合同项下的政府采购活动（国务院资产监督管理机关直接监管的中央企业或地方人民政府出资的国有企业不受此限）。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时间：自公告发布之日起5个工作日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方式：在“江苏政府采购网”自行免费下载招标文件。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售价：免费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numPr>
          <w:ilvl w:val="0"/>
          <w:numId w:val="13"/>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先在江苏省政府采购管理交易系统（苏采云）首页入口进行供应商注册：注册用户后使用用户密码登录，填写供应商单位详情并提交，待审核通过入库成为“正式供应商”后，按系统提示绑定CA，即可在线参与采购投标活动。</w:t>
      </w:r>
      <w:r/>
    </w:p>
    <w:p>
      <w:pPr>
        <w:numPr>
          <w:ilvl w:val="0"/>
          <w:numId w:val="13"/>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政务CA及方正签章相关安装软件，可在苏采云平台首页的【苏采云控件驱动下载】-【政务CA、方正签章控件驱动安装包及安装说明】下载获取。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3、有关本次招标的事项若存在变动或修改，敬请及时关注江苏政府采购网、盐城市政府采购网发布的更正公告。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4、本项目采取“全流程电子化不见面”开标模式，开标当日无需投标单位授权代表到达开标现场。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1.2024年</w:t>
      </w:r>
      <w:r>
        <w:rPr>
          <w:rFonts w:ascii="SimSun" w:hAnsi="SimSun" w:eastAsia="SimSun" w:cs="SimSun"/>
          <w:color w:val="000000"/>
          <w:sz w:val="24"/>
          <w:u w:val="single"/>
        </w:rPr>
        <w:t xml:space="preserve">11</w:t>
      </w:r>
      <w:r>
        <w:rPr>
          <w:rFonts w:ascii="SimSun" w:hAnsi="SimSun" w:eastAsia="SimSun" w:cs="SimSun"/>
          <w:color w:val="000000"/>
          <w:sz w:val="24"/>
        </w:rPr>
        <w:t xml:space="preserve">月</w:t>
      </w:r>
      <w:r>
        <w:rPr>
          <w:rFonts w:ascii="SimSun" w:hAnsi="SimSun" w:eastAsia="SimSun" w:cs="SimSun"/>
          <w:color w:val="000000"/>
          <w:sz w:val="24"/>
          <w:u w:val="single"/>
        </w:rPr>
        <w:t xml:space="preserve">06</w:t>
      </w:r>
      <w:r>
        <w:rPr>
          <w:rFonts w:ascii="SimSun" w:hAnsi="SimSun" w:eastAsia="SimSun" w:cs="SimSun"/>
          <w:color w:val="000000"/>
          <w:sz w:val="24"/>
        </w:rPr>
        <w:t xml:space="preserve">日</w:t>
      </w:r>
      <w:r>
        <w:rPr>
          <w:rFonts w:ascii="SimSun" w:hAnsi="SimSun" w:eastAsia="SimSun" w:cs="SimSun"/>
          <w:color w:val="000000"/>
          <w:sz w:val="24"/>
          <w:u w:val="single"/>
        </w:rPr>
        <w:t xml:space="preserve">10</w:t>
      </w:r>
      <w:r>
        <w:rPr>
          <w:rFonts w:ascii="SimSun" w:hAnsi="SimSun" w:eastAsia="SimSun" w:cs="SimSun"/>
          <w:color w:val="000000"/>
          <w:sz w:val="24"/>
        </w:rPr>
        <w:t xml:space="preserve">点00分（北京时间）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1、电子投标文件一份(通过系统提交)；纸质投标文件正本一份，副本四份（评审结束后由中标候选人邮寄至采购人，未中标单位不需要提供）。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w:t>
      </w:r>
      <w:r>
        <w:rPr>
          <w:rFonts w:ascii="SimSun" w:hAnsi="SimSun" w:eastAsia="SimSun" w:cs="SimSun"/>
          <w:color w:val="000000"/>
          <w:sz w:val="24"/>
        </w:rPr>
        <w:t xml:space="preserve">33ce9.html。</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盐城市亭湖区政务服务中心二楼226CA办理窗口办理（联系电话：15051556883），具体联系方式见《苏采云系统供应商操作手册》（以下简称《操作手册》））、进行注册并按《操作手册》要求制作、上传电子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有关本次招标的事项若存在变动或修改，敬请及时关注盐城市大丰区公共资源交易中心在“江苏政府采购网”发布的更正公告。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投标人在使用系统进行投标的过程中如遇到涉及“苏采云”系统使用的任何问题，应在工作日上午9：00-11：30下午13：30-17：30期间致电技术支持热线咨询，联系电话：0519-86722805、0519-86617173。</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5、本项目不收取投标保证金。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名称：盐城市大丰区住房和城乡建设局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地址：江苏省盐城市大丰区健康东路82号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人：管宏贵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联系电话：13605113776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2.项目联系方式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项目联系人：张媛媛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话：15161958266</w:t>
      </w:r>
      <w:r/>
    </w:p>
    <w:p>
      <w:pPr>
        <w:pStyle w:val="729"/>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br w:type="page" w:clear="all"/>
      </w:r>
      <w:r/>
    </w:p>
    <w:p>
      <w:pPr>
        <w:pStyle w:val="729"/>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第二章投标人须知</w:t>
      </w:r>
      <w:r/>
    </w:p>
    <w:p>
      <w:pPr>
        <w:pStyle w:val="731"/>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满足本文件实质性条款的规定。</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投标人应自行承担所有与参加投标有关的费用，无论投标过程中的做法和结果如何，采购人在任何情况下均无义务和责任承担这些费用。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4.2本次招标采购，采购人不收取标书工本费。</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投标人一旦参加本项目采购活动，即被认为接受了本招标文件的规定和约束，并且视为自招标公告期限届满之日起知道或应当知道自身权益是否受到了损害。</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6、招标文件的解释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本招标文件由采购人负责解释。</w:t>
      </w:r>
      <w:r/>
    </w:p>
    <w:p>
      <w:pPr>
        <w:pStyle w:val="731"/>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招标文件有以下部分组成：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（3）合同条款及格式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请仔细检查招标文件是否齐全，如有缺漏请立即与采购人联系解决。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8、招标文件的询问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任何要求对招标文件进行询问的投标人，应在投标截止日期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前按招标公告中的通讯地址，向采购人提出。</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9、招标文件的修改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在投标截止时间前，采购人可以对招标文件进行修改。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9.2采购人有权依法推迟投标截止日期和开标日期。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9.3招标文件的澄清或者修改的内容将在江苏政府采购网、盐城市政府采购网公布，澄清或者修改的内容将作为招标文件的组成部分，并对投标人具有约束力。</w:t>
      </w:r>
      <w:r/>
    </w:p>
    <w:p>
      <w:pPr>
        <w:pStyle w:val="731"/>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10、投标文件的语言及度量衡单位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投标人提交的投标文件以及投标人与采购人就有关投标的所有来往通知、函件和文件均应使用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除技术性能另有规定外，投标文件所使用的度量衡单位，均须采用国家法定计量单位。</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投标文件正、副本至少应提交（包含并不限于）以下投标材料：(请各单位根据实际情况进行调整)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 资信证明文件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资格性审查响应对照表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 符合性检查响应对照表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11.1.5 开标一览表（详见投标文件格式，用于唱标）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11.1.6 投标报价分析表（详见招标文件格式）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11.1.7本项目类似案例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11.1.8 服务方案等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11.1.9 招标文件中规定要求提供的证明材料和投标人认为需要提供的其他材料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 盐城市大丰区政府采购供应商承诺书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投标人应将投标文件按顺序装订成册，并编制投标文件资料目录。</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12、证明投标人资格及符合招标文件规定的文件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12.1投标人应按要求提交资格证明文件及符合招标文件规定的文件。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12.2投标人应提交证明其有资格参加投标和中标后有能力独立履行合同的文件。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12.3投标人除必须具有履行合同所需提供的服务的能力外，还必须具备相应的财务、技术方面的能力。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12.4投标人应提交根据合同要求提供的证明产品质量合格以及符合招标文件规定的证明文件。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12.5证明投标人所提供服务与招标文件的要求相一致的文件可以是手册、图纸、文字资料和数据。</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13.1采购人将拒绝高于最高限价的投标报价。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报价，是投标人承诺的质量目标和项目完成时间内为完成招标文件所确定的招标范围的全部内容的全部价格体现。投标人应充分考虑为完成上述内容所必须的应包括为完成本项目服务可能发生的全部费用及利润和税金等（包括人员工资、福利、津贴、劳保费、各种保险、服装费、人员食宿与交通、安全教育、安全管理、事故赔偿、工具费、设备的日常保养及人工费等）一切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13.3投标人根据招标内容的要求准确报价，一经报出，不得更改。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13.4如出现不合理的报价，经评标委员会评审其报价明显高于其市场价或低于其企业成本的，均可作废标处理。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投标报价的单位为人民币(元)。如果未能按合同、招标投标文件履约的，中止合同，履约保证金不予退还，并不支付服务期间的服务费用。招标方有权终止合同的履行，受托单位应承担相应的完全责任，包括赔偿因此而给本单位及第三人带来的相应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13.6对于超出招标文件的其他临时性服务项目，由甲乙双方协商解决。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13.7开标时，当投标文件中开标一览表内容与分项明细报价表内容不一致时，以开标一览表为准。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投标文件的大写金额和小写金额不一致的，以大写金额为准；对不同文字文本投标的解释发生异议的，以中文文本为准。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13.8投标人在报价时，价格包含一切税费，未作说明的情况下，视同包含一切税费。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13.9未宣读的投标价格信息评标时不予承认。</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14、服务内容响应及偏离表、商务条款响应及偏离表及投标说明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对招标文件中的服务需求与商务条款要求逐项作出响应或偏离，并说明原因；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提供参加本项目类似案例；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服务方案等；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投标人认为需要的其他技术文件或说明。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15、服务承诺、人员的情况介绍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15.1提供投标人有关的服务承诺、人员的情况。</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16、投标函和开标一览表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投标人应按照招标文件中提供的格式完整、正确填写投标函、开标一览表。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开标一览表中的价格应与投标文件中投标配置与分项报价表中的价格一致，如不一致，不作为无效投标处理，但评标时按开标一览表中价格为准</w:t>
      </w:r>
      <w:r>
        <w:rPr>
          <w:rFonts w:ascii="SimSun" w:hAnsi="SimSun" w:eastAsia="SimSun" w:cs="SimSun"/>
          <w:b/>
          <w:color w:val="000000"/>
          <w:sz w:val="24"/>
        </w:rPr>
        <w:t xml:space="preserve">。</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。投标有效期比规定短的将被视为非响应性投标而予以拒绝。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18、投标文件份数和签署</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除投标人对错处做必要修改外，投标文件不得行间插字、涂改或增删。如有修改错漏处，必须由投标文件签署人签字或盖章。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电子投标文件应当使用“盐城政府采购交易管理系统投标文件制作客户端”制作，在线通过系统提交,详见《盐城市政府交易管理系统供应商操作手册》，客户端和操作手册自行到“盐城市政府采购网”“协议供货及资料下载”栏目下载。以电子投标文件为准。</w:t>
      </w:r>
      <w:r/>
    </w:p>
    <w:p>
      <w:pPr>
        <w:pStyle w:val="731"/>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19、电子投标文件的递交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19.1电子投标文件的递交</w:t>
      </w:r>
      <w:r/>
    </w:p>
    <w:p>
      <w:pPr>
        <w:ind w:left="0" w:right="-286"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19.2投标人未在规定解密时间内解密电子投标文件的，作为无效投标，不予参加开标和评审。</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20、投标截止日期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采购人有权通过修改招标文件酌情延长投标截止日期，在此情况下，投标人的所有权利和义务以及投标人受制的截止日期均应以延长后新的截止日期为准。</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21、迟交的投标文件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21.1采购人拒绝接收在其规定的投标截止时间后上传的任何投标文件。</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22、投标文件的修改和撤回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22.1投标文件的撤回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22.1.1电子投标文件的撤回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投标人可在投标截止时间前，撤回其电子投标文件，具体操作方法见《盐城市政府采购交易管理系统供应商操作手册》。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22.1.2投标人撤回电子投标文件，则认为其不再参与本项目投标活动。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投标文件的修改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投标人可在投标截止时间前，对其电子投标文件进行修改，具体操作方法见《盐城市政府采购交易管理系统供应商操作手册》。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在投标截止时间之后，投标人不得对其电子投标文件作任何修改。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在投标截止时间至招标文件中规定的投标有效期满之间的这段时间内，投标人不得撤回其投标。</w:t>
      </w:r>
      <w:r/>
    </w:p>
    <w:p>
      <w:pPr>
        <w:pStyle w:val="731"/>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23、开标</w:t>
      </w:r>
      <w:r/>
    </w:p>
    <w:p>
      <w:pPr>
        <w:ind w:left="0" w:right="-286"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23.1采购人将在招标公告中规定的时间和地点组织公开开标。投标人应当按照《操作手册》规定，参加开标活动和在苏采云系统规定的时间内对投标文件进行解密。</w:t>
      </w:r>
      <w:r/>
    </w:p>
    <w:p>
      <w:pPr>
        <w:ind w:left="0" w:right="-286"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23.2开标仪式由采购人组织。苏采云系统将自动对项目进行开标，并宣布各投标人名称和投标价格。</w:t>
      </w:r>
      <w:r/>
    </w:p>
    <w:p>
      <w:pPr>
        <w:ind w:left="0" w:right="-286"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23.3投标人在开标过程中涉及到的投标文件解密、开标结果确认等工作，应按照《操作手册》规定执行。</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23.4投标人如果对开标过程和开标记录有疑义，应当根据《操作手册》规定提出，如苏采云系统中《开标记录表》宣布后5分钟内未提出的，视同认可开标结果。</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24、资格审查</w:t>
      </w:r>
      <w:r/>
    </w:p>
    <w:p>
      <w:pPr>
        <w:ind w:left="0" w:right="-286"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p>
    <w:p>
      <w:pPr>
        <w:ind w:left="0" w:right="-286"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left="0" w:right="-286"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286"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合格投标人不足3家的，不得评标。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25、评标委员会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rPr>
          <w:rFonts w:ascii="SimSun" w:hAnsi="SimSun" w:eastAsia="SimSun" w:cs="SimSun"/>
          <w:b/>
          <w:color w:val="000000"/>
          <w:sz w:val="24"/>
        </w:rPr>
        <w:t xml:space="preserve"> </w:t>
      </w:r>
      <w:r>
        <w:rPr>
          <w:rFonts w:ascii="SimSun" w:hAnsi="SimSun" w:eastAsia="SimSun" w:cs="SimSun"/>
          <w:color w:val="000000"/>
          <w:sz w:val="24"/>
        </w:rPr>
        <w:t xml:space="preserve">资格审查通过后，采购人将组织评标委员会（以下简称评委会）进行评标。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评委会由采购人代表和有关技术、经济等方面的专家组成，且人员构成符合政府采购有关规定。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25.3评委会独立工作，负责评审所有投标文件并确定中标侯选人。</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26、评标过程的保密与公正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26.1公开开标后，直至签订合同之日止，凡是与审查、澄清、评价和比较投标的有关资料以及授标建议等，采购人、评委均不得向投标人或与评标无关的其他人员透露。</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26.2在评标过程中，投标人不得以任何行为影响评标过程，否则其投标文件将被作为无效投标文件。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26.3在评标期间，采购人将设专门人员与投标人联系。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采购人和评标委员会不向落标的投标人解释未中标原因，也不公布评标过程中的相关细节。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采用综合评分法的项目，未中标的投标人如需了解自己的评审得分及排序情况，可向采购人提出申请。</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27、投标的澄清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27.1评标期间，为有助于对投标文件的审查、评价和比较，评委会有权以书面形式要求投标人对其投标文件进行澄清，但并非对每个投标人都作澄清要求。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接到评委会澄清要求的投标人如未按规定做出澄清，其风险由投标人自行承担。</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28、对投标文件的评审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28.1符合性检查：依据招标文件的规定，从投标文件的有效性、完整性和对招标文件的响应程度进行审查，以确定是否对招标文件的实质性要求作出响应。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28.3如果投标文件实质上没有响应招标文件的要求，评委会将按无效投标处理，投标人不得通过修改或撤销不合要求的偏离或保留而使其投标成为实质性响应的投标。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28.4评委会将对确定为实质性响应的投标进行进一步审核，看其是否有计算上或累加上的算术错误，修正错误的原则如下：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28.5评委会将按上述修正错误的方法调整投标文件中的投标报价，调整后的价格应对投标人具有约束力。如果投标人不接受修正后的价格，则其投标将被拒绝。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28.6评委会将允许修正投标文件中不构成重大偏离的、微小的、非正规的、不一致的或不规则的地方，但这些修改不能影响任何投标人相应的名次排列。</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29、无效投标条款和废标条款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29.1.1投标人未按照招标文件要求上传电子投标文件的；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29.1.2投标人未在规定解密时间内进行解密；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29.1.3投标人在报价时采用选择性报价；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29.1.6未通过符合性检查的；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29.1.7不符合招标文件中规定的其他实质性要求和条件的；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29.1.8投标人串通投标；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29.1.9投标文件含有采购人不能接受的附加条件的。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29.1.11投标文件未按照招标文件要求加盖电子签章。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29.1.12其他法律、法规及本招标文件规定的属无效投标的情形。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29.2废标条款：                                                                                                                                                                                                                                                       </w:t>
      </w:r>
      <w:r>
        <w:rPr>
          <w:rFonts w:ascii="SimSun" w:hAnsi="SimSun" w:eastAsia="SimSun" w:cs="SimSun"/>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rPr>
        <w:t xml:space="preserve">                                                                                                                                                                                                                                                                </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29.2.1符合专业条件的供应商或者对招标文件作实质响应的供应商不足三家的；29.2.2出现影响采购公正的违法、违规行为的；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29.2.3因重大变故，采购任务取消的；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29.2.4评标委员会认定招标文件存在歧义、重大缺陷导致评审工作无法进行。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29.3.1如出现投标截止时间结束后参加投标的供应商或者在评标期间对招标文件做出实质响应的供应商不足三家情况，按财政部第八十七号令第四十三条的规定执行。</w:t>
      </w:r>
      <w:r/>
    </w:p>
    <w:p>
      <w:pPr>
        <w:pStyle w:val="731"/>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30.1评委会根据本招标文件规定评标方法与评标标准向采购人推荐出中标候选人。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采购人应根据评委会推荐的中标候选人确定中标供应商。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30.3采购人将在“江苏政府采购网、盐城市政府采购网”发布中标公告，公告期限为1个工作日。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30.4若有充分证据证明，中标供应商出现下列情况之一的，一经查实，将被取消中标资格：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30.4.1提供虚假材料谋取中标的；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30.4.2向采购人行贿或者提供其他不正当利益的；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30.4.3恶意竞争，投标总报价明显低于其自身合理成本且又无法提供证明的；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30.4.4属于本文件规定的无效条件，但在评标过程中又未被评委会发现的；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30.4.5与采购人或者其他供应商恶意串通的；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30.4.6采取不正当手段诋毁、排挤其他供应商的；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30.4.7不符合法律、法规的规定的。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 有下列情形之一的，视为投标人串通投标，投标无效：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30.5.1不同投标人的投标文件由同一单位或者个人编制。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30.5.2不同投标人委托同一单位或者个人办理投标事宜。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30.5.3 不同投标人的投标文件载明的项目管理成员或者联系人员为同一人。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30.5.4不同投标人的投标文件异常一致或者投标报价呈规律性差异。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30.5.5不同投标人的投标文件相互混装。</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31、质疑处理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参加投标供应商认为招标文件、采购过程和中标结果使自己的权益受到损害的，可以在知道或应知其权益受到损害之日起七个工作日内，以书面形式根据下述31.9条向采购人提出质疑。上述应知其权益受到损害之日，是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31.1.1对可以质疑的招标文件提出质疑的，为收到招标文件之日或者招标文件公告期限届满之日；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31.1.2对采购过程提出质疑的，为各采购程序环节结束之日；</w:t>
        <w:br/>
        <w:t xml:space="preserve">31.1.3对中标结果提出质疑的，为中标结果公告期限届满之日。</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31.2质疑必须按《政府采购法》、《政府采购法实施条例》及《江苏省政府采购供应商监督管理暂行办法》的相关规定提交，未按上述要求提交的质疑函（含传真、电子邮件等）采购人有权不予受理。</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31.3未参加投标活动的供应商或在投标活动中自身权益未受到损害的供应商所提出的质疑不予受理。</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31.4质疑函应当包括下列内容：</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31.4.1质疑投标人的名称、地址、邮编、联系人、联系电话；</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31.4.2具体的质疑事项及明确的请求；</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31.4.3认为自己合法权益受到损害或可能受到损害的相关证据材料；</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31.4.4提起质疑的日期；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31.5采购人收到质疑函后，将对质疑的形式和内容进行审查，如质疑函内容、格式不符合规定，采购人将告知质疑人进行补正。</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31.6质疑人应当在法定质疑期限内进行补正并重新提交质疑函，拒不补正或者在法定期限内未重新提交质疑函的，为无效质疑，采购人将不予受理。</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31.7对于内容、格式符合规定的质疑函，采购人应当在收到投标供应商的书面质疑后七个工作日内作出答复，并以书面形式通知质疑供应商和其他有关供应商，但答复的内容不得涉及商业秘密。</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31.8投标人提出书面质疑必须有理、有据，不得恶意质疑或提交虚假质疑。否则，一经查实，采购人有权依据政府采购的有关规定，报请政府采购监管部门对该投标人进行相应的行政处罚，并扣减其诚信记录分。</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31.9供应商（含潜在供应商）对采购方式、项目需求、供应商资格条件及审查结果、评标方法和评标标准、合同文本的询问、质疑请向采购人提出，由采购人负责答复。供应商对除上述事项以外其他事项的询问、质疑请向采购人提出，由采购人负责答复。</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32、中标通知书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32.l中标结果确定后，采购人将向中标供应商发出中标通知书。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32.2中标通知书将是合同的一个组成部分。对采购人和中标供应商均具有法律效力。中标通知书发出后，采购人改变中标结果的，或者中标供应商放弃中标项目的，应当依法承担法律责任。</w:t>
      </w:r>
      <w:r/>
    </w:p>
    <w:p>
      <w:pPr>
        <w:pStyle w:val="731"/>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七、合同签订相关事项</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签订合同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33.l中标供应商应按中标通知书规定的时间、地点,按照招标文件确定的事项与采购人签订政府采购合同，且不得迟于中标通知书发出之日起十五日内，由此给采购人造成损失的，中标供应商还应承担赔偿责任。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33.4中标或者成交后无正当理由拒不与采购人签订政府采购合同的，将被列入不良行为记录名单，在一至三年内禁止参加政府采购活动。</w:t>
      </w:r>
      <w:r/>
    </w:p>
    <w:p>
      <w:pPr>
        <w:pStyle w:val="73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34、服务的追加、减少和添购。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34.1政府采购合同履行中，采购人需追加与合同标的相同的货物和服务的，在不改变合同其他条款的前提下，可以与中标供应商协商签订补充合同，但所有补充合同的采购金额不超过原合同金额10%。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35.1本项目履约保证金： /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35.2政府采购履约资金扶持政策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深入推进政府采购线上合同信用融资工作的通知》（苏财购[2021]82号）,实现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实现中标、成交供应商降低参与政府采购的融资成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供应商可登录江苏政府采购网“资料下载”栏目（网址：www.ccgp-jiangsu.gov.cn/jiangsu/zlxz）下载“政府采购电子履约保函（保险）操作手册”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根据盐财购〔2024〕18号《 关于在全市政府采购领域进一步推行电子履约保函（保险）的通知》。供应商可以以履约保函（保险）形式缴纳履约保证金，供应商可以通过政府采购电子履约保函（保险）平台（www.jsdzbh.com）在线申请履约保函（保险）。</w:t>
      </w:r>
      <w:r/>
    </w:p>
    <w:p>
      <w:pPr>
        <w:pStyle w:val="727"/>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7"/>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第三章合同条款及格式</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1、甲方盐城市大丰区住房和城乡建设局通过“公开招标”的采购方式进行采购，通过相应的采购流程，确定乙方</w:t>
      </w:r>
      <w:r>
        <w:rPr>
          <w:rFonts w:ascii="SimSun" w:hAnsi="SimSun" w:eastAsia="SimSun" w:cs="SimSun"/>
          <w:color w:val="000000"/>
          <w:sz w:val="24"/>
          <w:u w:val="single"/>
        </w:rPr>
        <w:t xml:space="preserve">                </w:t>
      </w:r>
      <w:r>
        <w:rPr>
          <w:rFonts w:ascii="SimSun" w:hAnsi="SimSun" w:eastAsia="SimSun" w:cs="SimSun"/>
          <w:color w:val="000000"/>
          <w:sz w:val="24"/>
        </w:rPr>
        <w:t xml:space="preserve">作为“</w:t>
      </w:r>
      <w:r>
        <w:rPr>
          <w:rFonts w:ascii="SimSun" w:hAnsi="SimSun" w:eastAsia="SimSun" w:cs="SimSun"/>
          <w:color w:val="000000"/>
          <w:sz w:val="24"/>
          <w:u w:val="single"/>
        </w:rPr>
        <w:t xml:space="preserve">盐城市大丰区2024年改善农民住房条件工程项目</w:t>
      </w:r>
      <w:r>
        <w:rPr>
          <w:rFonts w:ascii="SimSun" w:hAnsi="SimSun" w:eastAsia="SimSun" w:cs="SimSun"/>
          <w:color w:val="000000"/>
          <w:sz w:val="24"/>
        </w:rPr>
        <w:t xml:space="preserve">”的承接的主体，符合有关法律规定的采购程序和资质要求。</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现依据《民法典》、《政府采购法》等有关法律、法规的规定，遵循平等、自愿、公平和诚实信用的原则，经甲乙双方协商一致，就本项目签订采购合同。</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第一条：定义和解释</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定义</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甲方：即采购主体，指</w:t>
      </w:r>
      <w:r>
        <w:rPr>
          <w:rFonts w:ascii="SimSun" w:hAnsi="SimSun" w:eastAsia="SimSun" w:cs="SimSun"/>
          <w:color w:val="000000"/>
          <w:sz w:val="24"/>
          <w:u w:val="single"/>
        </w:rPr>
        <w:t xml:space="preserve">盐城市大丰区住房和城乡建设局</w:t>
      </w:r>
      <w:r>
        <w:rPr>
          <w:rFonts w:ascii="SimSun" w:hAnsi="SimSun" w:eastAsia="SimSun" w:cs="SimSun"/>
          <w:color w:val="000000"/>
          <w:sz w:val="24"/>
        </w:rPr>
        <w:t xml:space="preserve">。</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乙方：即承接主体，指承接本项目的</w:t>
      </w:r>
      <w:r>
        <w:rPr>
          <w:rFonts w:ascii="SimSun" w:hAnsi="SimSun" w:eastAsia="SimSun" w:cs="SimSun"/>
          <w:color w:val="000000"/>
          <w:sz w:val="24"/>
          <w:u w:val="single"/>
        </w:rPr>
        <w:t xml:space="preserve">                         </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第三方：指甲乙双方以外的任何自然人、法人、机构、组织、单位、实体等。</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本项目：盐城市大丰区2024年改善农民住房条件工程项目。</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项目交付日：指本合同规定的，由于项目完成、终止或其他原因造成的一方向甲方移交各种项目工程事项的管理权及相关财务的所有权的特定日期。</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书面形式：指有形表现所载内容的形式，包括合同文件、信件、电报、传真、电子邮件等。</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“元”：指人民币。</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解释</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除非本合同另有说明，下述词语在本合同中应适用本条规定的释义：</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“乙方”或“各方”指本合同的一方或各方。本合同的各方均包括其各自的合法承继人和获准受让人；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“资产”包括现有和将来的任何类别的财产，收入及权益；</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“修订”包括补充、更新、替换或重新制定（“被修订”应作相应的解释）。</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 第二条、合同构成及适用顺序</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（一）本合同由下述文件构成：</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1、本合同及其各项修订文件、变更协议；</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2、本合同附件；</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3、中标通知书、合同、招标、投标或报价文件（含澄清文件）；</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任何关于本合同内容的争议应按照下述顺序使用本合同文件予以澄清：（1）本合同；（2）合同附件；（3）招投标文件及招投标澄清文件。上述文件中上一序位文件与下一序位文件内容相矛盾时，应优先适用上一序位文件标准澄清本协议的规定。</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（三）本合同构成签约方就本合同所涉及的事项而订立的完整合同，并取代双方任何先前就本项目签订的合同或安排。</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（四）本合同条款标题仅为方便之用，不影响条款内容的解释</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项目基本情况</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w:t>
      </w:r>
      <w:r>
        <w:rPr>
          <w:rFonts w:ascii="SimSun" w:hAnsi="SimSun" w:eastAsia="SimSun" w:cs="SimSun"/>
          <w:color w:val="000000"/>
          <w:sz w:val="24"/>
          <w:u w:val="single"/>
        </w:rPr>
        <w:t xml:space="preserve">盐城市大丰区2024年改善农民住房条件工程项目</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2、项目地点：</w:t>
      </w:r>
      <w:r>
        <w:rPr>
          <w:rFonts w:ascii="SimSun" w:hAnsi="SimSun" w:eastAsia="SimSun" w:cs="SimSun"/>
          <w:color w:val="000000"/>
          <w:sz w:val="24"/>
          <w:u w:val="single"/>
        </w:rPr>
        <w:t xml:space="preserve">草堰镇、白驹镇、刘庄镇、大桥镇、草庙镇、万盈镇、南阳镇、西团镇、小海镇、三龙镇和新丰镇</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3、项目建设内容与规模：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盐城市大丰区2024年改善农民住房条件工程项目涉及拆迁户3531户，拆迁总建筑面积403655.26平方米，新增耕地面积2698.57亩，涉及区域包含草堰镇、白驹镇、刘庄镇、大桥镇、草庙镇、万盈镇、南阳镇、西团镇、小海镇、三龙镇和新丰镇</w:t>
      </w:r>
      <w:r>
        <w:rPr>
          <w:rFonts w:ascii="SimSun" w:hAnsi="SimSun" w:eastAsia="SimSun" w:cs="SimSun"/>
          <w:color w:val="000000"/>
          <w:sz w:val="24"/>
        </w:rPr>
        <w:t xml:space="preserve">。</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合同工期</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甲乙方确认,在任何情况下,除非甲方另行书面同意，乙方完成本项目规定的项目施工期限为：</w:t>
      </w:r>
      <w:r>
        <w:rPr>
          <w:rFonts w:ascii="SimSun" w:hAnsi="SimSun" w:eastAsia="SimSun" w:cs="SimSun"/>
          <w:color w:val="000000"/>
          <w:sz w:val="24"/>
          <w:u w:val="single"/>
        </w:rPr>
        <w:t xml:space="preserve">自本合同生效之日起1年。</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合同价款、资金支付及履约担保</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1、本项目合同总价款为：金额(大写)</w:t>
      </w:r>
      <w:r>
        <w:rPr>
          <w:rFonts w:ascii="SimSun" w:hAnsi="SimSun" w:eastAsia="SimSun" w:cs="SimSun"/>
          <w:color w:val="000000"/>
          <w:sz w:val="24"/>
          <w:u w:val="single"/>
        </w:rPr>
        <w:t xml:space="preserve">             元整(人民币)¥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2、甲、乙双方商定,同意按以下时点支付合同价款，如下：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（1）合同签订后预付中标价款的10%，乙方须提供同等金额的预付款支付担保；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（2）2025年12月31日前支付至4.5亿元。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（3）第三年年底结清全部费用。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3、甲方按乙方申请及时支付合同价款到指定账户,甲方不得以任何理由(不可抗力除外)拒绝或延迟履行本合同约定的合同价款及收益的偿付义务。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项目质量及保障措施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(一)乙方提供各项质量标准应依据下述顺序确定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1、国家质量控制标准；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2、没有国家标准的,应适用行业质量标准；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3、没有国家或行业质量标准的应适用省级质量标准；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4、没有国家、省级，行业质量标准的,甲乙双方应协商确定可以适用的项目质量标准。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应在项目施工前向甲方提供适用于相关项目质量标准的相关文件,甲方在接到乙方提供的项目施工标准后应就该项标准的适用性及完备程度予以审核并提供书面意见.该质量标准经甲乙双方协商签字确认后应作为未来本合同项下相关项目质量的验收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(三)乙方应在项目进程中采取一切必要措施保障其所提供的项目质量符合有关标准。如果由于不可抗力等特殊原因不能保障项目质量的,乙方应书面通知甲方。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有权在乙方项目投资建设过程中，在不影响乙方正常运营的前提下,对乙方的项目质量及相关质量保障措施予以检查。甲方应及时组织相关部门,按照本合同规定的质量标准,对乙方交付的项目进行验收。如因甲方原因导致验收时间推迟的,乙方履行本合同义务期限应予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对项目各个施工节点检查的结果应以书面形式通知乙方。乙方如果对甲方的检查结果有异议、应在3个工作日内向甲方提出书面说明。甲方有权依据项目施工节点检查结果通知乙方停止履行本合同规定的其他义务。如果甲方没有通知乙方停止履行合同义务,乙方应继续向甲方提供所规定的其他服务, 甲方也应按照本合同规定履行相应义务。双方有关独立节点检查结果的争议由双方协商解决。协商不成的可以按照本合同规定的争议解决方式解决。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（六）如果甲方因一个或多个检查结果书面通知乙方停止提供本合同规定的相关服务,甲乙双方应按照本合同规定的争议解决方式及同解除程序处理合同解除事宜。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（七）乙方对其提供的项目质量应按照国家规定承担相应的产品维修，消费者保护及缺陷修复、质量赔偿责任。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第七条项目交付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乙方应在项目交付日向甲方移交下述资产及项目有关的信息资料,包括但不限于档案、投融资资料、资产清单、设备仪表清单、维修操作手册、质量保证书等。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第八条甲方的陈述和保证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1、甲方负查采购本合同所规定与乙方签署本合同。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2.在本合同期内,甲方保证按照本合同约定时间支付对应采购款项。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第九条乙方的陈述和保证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（一）乙方为依法设立、具有独立承担民事责任能力的法人。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（二）乙方确认其已获得签署本合同的足够信息。乙方如因误解与项目内容及标准要求有关的任何事实或本合同的任何规定， 而导致其自身承担任何法律责任，乙方将不会获得任何额外补偿或就承担有关法律责任获得任何豁免。乙方进一步确认其签署并履行本合同不会违反其已有的任何其他合同或与其冲突。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的各项财务记录真实可靠。除已经向甲方说明的违约记录（如有）外，乙方不存在任何违约事项，未被列入经营异常名录或者严重违法企业名单、且其签署并履行本合同不会违反其已有的任何其他合同或与其冲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（四）乙方获取及保持为履行本合同所需的一切政府授权、批准、许可证或特许，并须承担因获取和保持许可证及特许而可能产生的所有费用、收费及开支。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（五）乙方自行缴付所有税项、费用、收费及款项。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（六）乙方向甲方提供的所有文件资料真实、准确、完整，向甲方作出的所有陈述和保证在本合同有效期内真实有效。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甲方的权利和义务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1、甲方有权随时向乙方了解项目进度并要求乙方提供项目相关资料。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2、甲方有权按照本合同的约定及有关法律法规和政府管理的相关职能规定，对本项目的建设进行监督和检查; 但甲方并不因行使该等监督和检查权而承担任何责任，也并不因此减轻或免除乙方根据本合同或相关法律法规的要求而应承担的任何义务或责任。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3、甲方有权对乙方就本项目注资和融资情况实施监督管理。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1.甲方应负责协调政府相关部门依法将采购资金纳入政府财政预算和管理，并按照本合同约定向乙方支付合同价款。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2.甲方应及时向乙方提供与履行本合同相关的所有必须的文件、资科。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3、甲方应按本合同约定完成由其落实的审批事项，提供合同实施条件。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4、甲方应为乙方在合同履行过程中与其职能部门及其他第三方的沟通、协调提供必要的协助。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第十一条 乙方的权利和义务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1、乙方有权按照本合同约定向甲方收取项目采购价款。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2、乙方有权自甲方处获得与提供本合同项下项目相关的所有必需的文件、资料。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3、乙方依法享有的本合同项下全部权益及收益但不限于请求甲方支付各种资金的权利及其收益等）。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1、乙方应按照本合同约定时间落实政府审批事项并按照各项审批文件要求完成项目。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2、乙方应全面履行本项目建设管理中的相关安全生产管理职责，避免发生安全生产事故。因乙方未尽管理职责发生安全生产事故的，由乙方承担相应的法律责任。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3、乙方应配备具有相应资质、特定经验并受到适当培训的工作人员；乙方应采用招标方式选择本项目的环评、设计、施工及监理等单位，相关招标方案及合同文件应当报甲方予以确认。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4、乙方为本项目之目的而依据本合同签订的相关文件（包括但不限于项目文件、融资文件等）应当符合本合同的要求。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5、乙方应接受并配合甲方或甲方组织的对本合同履行情况的监督与检查，对于甲方指出的问题，应及时做出合理解释或予以纠正。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6、乙方应采取有效的措施保证本项目的融资按计划进度执行，不会影响到项目实施。且所有融资均用于本项目，并合理安排资金使用计划，确保项目得到顺利实施。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7、乙方应对项目资金进行规范的财务管理和会计核算，加强自身监督，确保资金规范管理和使用。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8、乙方应建立项目施工台账，记录相关文件、工作计划方案、项目和资金批复、项目进展和资金支付，工作汇报总结、重大活动和其它有关资料信息，以配合甲方及甲方组织的监督检验绩效评价。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9、乙方应建立健全财务报告制度，按要求向甲方提供资金的使用情况，项目执行情况、成果总结等材料。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应根据甲方要求，无条件接受和配合甲方或甲方委托的会计师事务所进行的与本合同相关的审计，乙方应保存与本合同相关的记录和账目，保存期限为本合同终止后5年，经提前通知甲方或甲方委托的会计师事务所有权检査并复制该等记录和账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11、项目交付后，乙方应无条件返还甲方向其提供的文件、资料并向甲方移交项目资料，同时乙方应当自留一份完整的项目档案并予以妥善保管。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指定人员及联系人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1、甲方指定</w:t>
      </w:r>
      <w:r>
        <w:rPr>
          <w:rFonts w:ascii="SimSun" w:hAnsi="SimSun" w:eastAsia="SimSun" w:cs="SimSun"/>
          <w:color w:val="000000"/>
          <w:sz w:val="24"/>
          <w:u w:val="single"/>
        </w:rPr>
        <w:t xml:space="preserve">      </w:t>
      </w:r>
      <w:r>
        <w:rPr>
          <w:rFonts w:ascii="SimSun" w:hAnsi="SimSun" w:eastAsia="SimSun" w:cs="SimSun"/>
          <w:color w:val="000000"/>
          <w:sz w:val="24"/>
        </w:rPr>
        <w:t xml:space="preserve">作为甲方代表，负责与乙方的联络沟通及本合同履行中的各项事宜。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2、乙方指定</w:t>
      </w:r>
      <w:r>
        <w:rPr>
          <w:rFonts w:ascii="SimSun" w:hAnsi="SimSun" w:eastAsia="SimSun" w:cs="SimSun"/>
          <w:color w:val="000000"/>
          <w:sz w:val="24"/>
          <w:u w:val="single"/>
        </w:rPr>
        <w:t xml:space="preserve">      </w:t>
      </w:r>
      <w:r>
        <w:rPr>
          <w:rFonts w:ascii="SimSun" w:hAnsi="SimSun" w:eastAsia="SimSun" w:cs="SimSun"/>
          <w:color w:val="000000"/>
          <w:sz w:val="24"/>
        </w:rPr>
        <w:t xml:space="preserve">作为乙方代表，负责与甲方的联络沟通及本合同履行中的各项事宣。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3、联系人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除非双方另有明确约定，任何一方根据本合同向另一方提供资料和发送通知的联系入和联系方式如下:</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3"/>
        <w:gridCol w:w="4430"/>
      </w:tblGrid>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3" w:type="dxa"/>
            <w:vAlign w:val="top"/>
            <w:textDirection w:val="lrTb"/>
            <w:noWrap w:val="false"/>
          </w:tcPr>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甲方联系人: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0" w:type="dxa"/>
            <w:vAlign w:val="top"/>
            <w:textDirection w:val="lrTb"/>
            <w:noWrap w:val="false"/>
          </w:tcPr>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乙方联系人:</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3" w:type="dxa"/>
            <w:vAlign w:val="top"/>
            <w:textDirection w:val="lrTb"/>
            <w:noWrap w:val="false"/>
          </w:tcPr>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0" w:type="dxa"/>
            <w:vAlign w:val="top"/>
            <w:textDirection w:val="lrTb"/>
            <w:noWrap w:val="false"/>
          </w:tcPr>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保密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（一）乙方及乙方工作人员在本合同履行过程中所获得的甲方、甲方所代表之政府以项目的所有信息和与提供本合同项目相关的记录、数据、报告等资料均属甲方之保密信息。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(ニ)乙方应对该保密信息采取保密措施，且仅得为本合同之目的使用该保密信息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(三)未经甲方书面同意，乙方不得披露、使用、转让、复制或允许第三方使用上述保密信息，为本合同之履行需要向其工作人员、代理人、贷款银行及其工作人员等披露的除外。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(四)乙方应保证其工作人员、代理人等遵守本条有关保密的约定，且该约定不因本合同终止或者解除而失效。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不可抗力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(一)如果乙方因不可抗力而导致合同覆行延误或不能履行合同义务，不应承担赔偿或终止合同的责任。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(二)本条所述的“不可抗力”系指不能预见、不能避免并不能克服的客观情况，包括但不限于:战争、严重火灾，洪水，台风地震等，不包括乙方的违约或疏忽。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(三)在不可抗力事件发生后，受到不可抗力影响的一方应尽快以书面形式将不可抗力的情况和原因通知对方，并尽最大努力减轻不可抗力对合同履行之影响。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(四)如果任何不可抗力事件阻止一方履行其义务的时间持续超过10个工作日，双方应协商决定继续履行本合同。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（五）如果自任何不可抗力事件发生后10个工作日内双方不能根据上述第四项之规定就继续履行本合同的条件或终止本合同达成一致意见的，任何一方有权限根据本合同的约定单方面通知对方提前终止本合同。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第十五条违约责任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（一）甲乙任何一方违反本合同规定的义务均属违约。除非本合同或法律另有规定，任何一方违约不应成为另一方违约的理由，也不能免除另一方继续履行合同的责任。守约一方应尽量减少违约损失。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任何一方发生本合同项下违约事件时，主张违约的一方应书面通知违约方予以改正，该通知应抄送贷款银行。收到违约通知的一方应就对方违约通知予以回复，确认是否违约并说明理由。双方应就违约事实认定及补救措施充分协商，尽可能减少违约损失。双方对违约事实认定及补救措施无法协商一致，应约定违约金额，如实际损失超过违约金的，按照实际损失进行赔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第十六条适用法律和争议解决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（一）本合同适用国内法。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（二）本合同履行过程中发生的或与本合同有关的一切争议，由双方友好协商解决，协商不成的，可依法向盐城市大丰区人民法院提起诉讼。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（三）争议解决期间，除争议事项外，双方应继续履行本合同。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第十七条合同的变更、解除和终止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（一）变更、解除和终止的事由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1、如本合同的继续履行将损害国家利益和社会公共利益，则双方均有权书面通知对方要求变更、解除本合同或针对本合同项下项目另行签署其他书面合同。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2、非乙方原因导致本合同在双方约定的期限内无法完全履行或在履行过程中出现双方无法预见的困难，导致合同目的难以实现的，双方可经协商决定变更或解除本合同。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3、法律规定或本合同约定的其他事由。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（二）变更、解除和终止的后果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1、一方收到对方解除合同的通知或向对方发出解除合同的通知后，应立即停止履行与本合同相关的工作。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应进行清算。经乙方提供书面证明文件，甲方应按下列方式支付价款（本合同另有约定的除外）；已完成且尚存的项目，具备验收条件的，按照相关规定处理竣工验收，并按照审计结论进行决算；不具备验收条件的，经委托有资质的造价鉴定机构及质监部门进行造价鉴定及质量评定，依据造价鉴定的结果进行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3、本合同因一方违约而解除或终止的，需事先征得贷款银行书面同意，违约方应赔偿给守约方造成的损失，并确保融资本息按期足额偿付。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第十八条合同效力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（一）本合同未尽事宜，由双方协商解决并签定补充合同。对本合同的任何修改或补充应当由甲乙双方协商达成一致意见并取得贷款银行的书面同意。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任何条款被主管部门或法院认定为不合法、无效或不能强制执行的，或因法律、法规、国家政策等的变化而不合法、无效或不能强制执行的，该等不合法、无效或不能强制执行不影响本合同的其他条款的效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（三）本合同在满足下述条件时生效：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本合同经双方盖章，并经法定代表人(负责入)或授权代表签署;</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（四）甲方支付本合同项下的全部资金，本合同终止。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（五）本合同一式六份，具有同等法律效力。</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法定代表人（或授权代理人）（签章）：</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签约日期：年月日</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法定代表人（或授权代理人）（签章）：</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廉政合同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根据有关项目建设、廉政建设的规定，为做好项目实施过程中的党风廉政建设，保证项目的高效优质，保证建设资金的安全和有效使用以及投资效益，</w:t>
      </w:r>
      <w:r>
        <w:rPr>
          <w:rFonts w:ascii="SimSun" w:hAnsi="SimSun" w:eastAsia="SimSun" w:cs="SimSun"/>
          <w:color w:val="000000"/>
          <w:sz w:val="24"/>
          <w:u w:val="single"/>
        </w:rPr>
        <w:t xml:space="preserve">招标人名称</w:t>
      </w:r>
      <w:r>
        <w:rPr>
          <w:rFonts w:ascii="SimSun" w:hAnsi="SimSun" w:eastAsia="SimSun" w:cs="SimSun"/>
          <w:color w:val="000000"/>
          <w:sz w:val="24"/>
        </w:rPr>
        <w:t xml:space="preserve">（以下简称“委托人”）与</w:t>
      </w:r>
      <w:r>
        <w:rPr>
          <w:rFonts w:ascii="SimSun" w:hAnsi="SimSun" w:eastAsia="SimSun" w:cs="SimSun"/>
          <w:color w:val="000000"/>
          <w:sz w:val="24"/>
          <w:u w:val="single"/>
        </w:rPr>
        <w:t xml:space="preserve">中标人名称</w:t>
      </w:r>
      <w:r>
        <w:rPr>
          <w:rFonts w:ascii="SimSun" w:hAnsi="SimSun" w:eastAsia="SimSun" w:cs="SimSun"/>
          <w:color w:val="000000"/>
          <w:sz w:val="24"/>
        </w:rPr>
        <w:t xml:space="preserve">（以下简称“受托人”）特订立如下合同。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1．委托人和受托人双方的权利和义务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（1）严格遵守党的政策规定和国家有关法律法规及建设部的有关规定。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合同文件，自觉按合同办事。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（3）双方的业务活动坚持公开、公正、诚信、透明的原则（法律认定的商业秘密和合同文件另有规定除外），不得损害国家和集体利益，不得违反项目建设管理规章制度。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（4）建立健全廉政制度，开展廉政教育，设立廉政告示牌，公布举报电话，监督并认真查处违法违纪行为。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（5）发现对方在业务活动中有违反廉政规定的行为，有及时提醒对方纠正的权利和义务。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（6）发现对方严重违反本合同义务条款的行为，有向其上级有关部门举报、建议给予处理并要求告知处理结果的权利。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2．委托人的义务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（1）委托人及其工作人员不得索要或接受承包人的礼金、有价证券和贵重物品，不得让受托人报销任何应由委托人或委托人工作人员个人支付的费用等。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（2）委托人工作人员不得参加委托人安排的超标准宴请和娱乐活动；不得接受委托人提供的通讯工具、交通工具和高档办公用品等。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（3）委托人及其工作人员不利要求或者接受受托人为其住房装修、婚丧嫁娶活动、配偶子女的工作安排以及出国出境、旅游等提供方便等。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（4）委托人工作人员及其配偶、子女不得从事与委托人工作有关的材料设备供应、劳务等经济活动等。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（5）委托人及其工作人员不得以任何理由向受托人推荐分包单位或推销材料，不得要求受托人购买合同规定外的材料和设备。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（6）委托人工作人员要秉公办事，不准营私舞弊，不准利用职权从事各种个人有偿中介活动。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（7）因委托人原因造成停、窝工时，委托人向乙方支付相应费用，标准按实际进场人员计算，每人100元/每天，服务期限顺延。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3．受托人的义务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（1）受托人不得以任何理由向委托人及其工作人员行贿或馈赠礼金、有价证券、贵重礼品。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（2）受托人不得以任何名义为委托人及其工作人员报销应由委托人单位或个人支付的任何费用。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（3）受托人不得以任何理由安排委托人工作人员参加超标准宴请及娱乐活动。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（4）受托人不得为委托人单位和个人购置或提供通讯工具、交通工具和高档办公用品等。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（1）委托人及其工作人员违反本合同第1、2条，按管理权限，依据有关规定给予党纪、政纪或组织处理；涉嫌犯罪的，移交司法机关追究刑事责任；给受托人单位造成经济损失的，应予以赔偿。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受托人及其工作人员违反本合同第1、3条，按管理权限，依据有关规定给予党纪、政纪或组织处理；给委托人单位造成经济损失的，应予以赔偿；情节严重的，委托人建议相关部门给予承包人一至三年内不得进入建设市场的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本合同由双方代表签字，加盖双方公章或合同专用章，待上级主管部门要求申报项目，按中标顺序滚动，乙方获得服务资格后生效，至该项目竣工验收后失效。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6．本合同作为</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合同的附件，与合同具有同等的法律效力，经合同双方签署后立即生效。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7．本合同一式</w:t>
      </w:r>
      <w:r>
        <w:rPr>
          <w:rFonts w:ascii="SimSun" w:hAnsi="SimSun" w:eastAsia="SimSun" w:cs="SimSun"/>
          <w:color w:val="000000"/>
          <w:sz w:val="24"/>
          <w:u w:val="single"/>
        </w:rPr>
        <w:t xml:space="preserve">肆</w:t>
      </w:r>
      <w:r>
        <w:rPr>
          <w:rFonts w:ascii="SimSun" w:hAnsi="SimSun" w:eastAsia="SimSun" w:cs="SimSun"/>
          <w:color w:val="000000"/>
          <w:sz w:val="24"/>
        </w:rPr>
        <w:t xml:space="preserve">份，由发包人和承包人各执</w:t>
      </w:r>
      <w:r>
        <w:rPr>
          <w:rFonts w:ascii="SimSun" w:hAnsi="SimSun" w:eastAsia="SimSun" w:cs="SimSun"/>
          <w:color w:val="000000"/>
          <w:sz w:val="24"/>
          <w:u w:val="single"/>
        </w:rPr>
        <w:t xml:space="preserve">贰</w:t>
      </w:r>
      <w:r>
        <w:rPr>
          <w:rFonts w:ascii="SimSun" w:hAnsi="SimSun" w:eastAsia="SimSun" w:cs="SimSun"/>
          <w:color w:val="000000"/>
          <w:sz w:val="24"/>
        </w:rPr>
        <w:t xml:space="preserve">份。</w:t>
      </w:r>
      <w:r/>
    </w:p>
    <w:p>
      <w:pPr>
        <w:ind w:left="0" w:right="0" w:firstLine="41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1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甲方名称（盖章）：乙方名称（盖章）：</w:t>
      </w:r>
      <w:r/>
    </w:p>
    <w:p>
      <w:pPr>
        <w:ind w:left="0" w:right="0" w:firstLine="41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1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法定代表人（委托代理人）：法定代表人（委托代理人）：</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合同订立时间：2024年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政府采购合同履约验收书（参考格式）</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根据政府采购合同（编号：）的约定，我单位组织对</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5"/>
        <w:gridCol w:w="2706"/>
        <w:gridCol w:w="1582"/>
        <w:gridCol w:w="2362"/>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0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2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r>
        <w:trPr>
          <w:trHeight w:val="229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2018年9月，省委、省政府出台了《关于加快改善苏北地区农民群众住房条件推进城乡融合发展的意见》，意见明确到2020年，完成苏北地区四类重点对象危房改造；2022年，苏北地区建成一批具有活力的新型农村社区；2035年，苏北地区农民群众住房条件全面改善，城乡空间布局全面优化，城镇化水平显著提升，城乡融合发展体制机制更加完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2019年8月7日，中共盐城市大丰区委印发了《盐城市大丰区改善农民群众住房条件补助办法》，办法明确了大丰区改善农民群众住房条件主要分为入住新型农村社区、进城购房、入镇购房、退耕还宅、新建插建翻建五种种形式。2020年5月23日，中共盐城市大丰区委印发了《关于进一步加强农民退宅进城入镇购房工作的实施意见》，对补助办法进行了进一步明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二、项目概况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1、项目名称：盐城市大丰区2024年改善农民住房条件工程项目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2、建设地点：位于盐城市大丰区境内，涉及区域包含草堰镇、白驹镇、刘庄镇、大桥镇、草庙镇、万盈镇、南阳镇、西团镇、小海镇、三龙镇和新丰镇；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3、合同履行期限：自合同生效之日起1年。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建设内容与规模：盐城市大丰区2024年改善农民住房条件工程项目涉及拆迁户3531户，拆迁总建筑面积403655.26平方米，新增耕地面积2698.57亩，涉及区域包含草堰镇、白驹镇、刘庄镇、大桥镇、草庙镇、万盈镇、南阳镇、西团镇、小海镇、三龙镇和新丰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5、项目预算：75000.00万元（超过预算价为无效报价）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6、项目资金结算：第一年2.0亿元；第二年2.5亿元，第三年：剩余资金。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三、项目实施原则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主导与市场运作相结合。政府在制定和调整规划、拆除安置、市政基础设施建设、争取政策和资金支持方面充分发挥主体职能作用的同时，对农村危旧房屋户实施拆除安置，采取自主开发和市场化运作相结合的方式，积极推进农民住房条件改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2、统筹规划与科学定位相结合。根据大丰地区土地综合整治推进的实际情况，分阶段科学合理地调整控制性规划（包括道路系统规划和宗教场所发展规划），坚持做到统一规划，合理布局。</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和谐搬迁与妥善安置相结合。按照先安置、后拆除、再开发的原则，制订科学合理的拆除补偿安置方案。坚持以人为本的理念，妥善安置农村危旧房屋户居民。经济的发展离不开拆除，更离不开广大拆除户的理解与支持。因此，拆除管理部门要积极、主动、足额地把拆除补偿款发放到位，使被拆除户及早入住自己理想的家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类改造与分片改造相结合。大丰地区视区域、居住群体、商业价值等不同情况，整体打包、分类出让、因地制宜，制定改造计划，合理确定改造时序，分别施以不同的改造方式，以点带面、以线促面，保证改造建设稳步推进。</w:t>
      </w:r>
      <w:r/>
    </w:p>
    <w:p>
      <w:pPr>
        <w:pStyle w:val="727"/>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7"/>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第五章定标原则与评标标准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 综合评分 </w:t>
      </w:r>
      <w:r>
        <w:rPr>
          <w:rFonts w:ascii="SimSun" w:hAnsi="SimSun" w:eastAsia="SimSun" w:cs="SimSun"/>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（1）本项目对小型和微型企业产品给予20%的扣除价格，用扣除后的价格参与评审。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（4）在货物采购项目中，供应商提供的货物既有中小企业制造货物，也有大型企业制造货物的，不享受本办法规定的中小企业扶持政策。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5、★符合本采购文件优先采购 “环境标志产品”或“节能产品”的；必须提供“环境标志产品”或“节能产品”证明，否则不予认可。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
        <w:gridCol w:w="630"/>
        <w:gridCol w:w="2331"/>
        <w:gridCol w:w="6119"/>
      </w:tblGrid>
      <w:tr>
        <w:trPr>
          <w:trHeight w:val="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3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采用低价优先法计算，即满足招标文件要求且投标价格最低的投标报价为评标基准价，其价格分为满分。其他投标人的价格分按照下列公式计算：投标报价得分=（评标基准价／投标报价）×10（保留两位小数）。</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实施方案（53分）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拆除安置方案科学合理完整、可行性强、有针对性、完全满足招标文件要求的得12～17分，方案完整但科学合理及可行性欠缺、缺乏针对性、不完全符合招标文件要求的得9～11.99分，方案不完整且可行性欠缺、缺乏针对性、不符合招标文件的得6～8.99分，本项提供的，得基本分5.99分；本项没有提供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土地平整方案科学合理完整、可行性强、有针对性、完全满足招标文件要求的得15～20分，方案完整但科学合理及可行性欠缺、缺乏针对性、不完全符合招标文件要求的得12～14.99分，方案不完整且可行性欠缺、缺乏针对性、不符合招标文件的得9～11.99分，本项提供的，得基本分8.99分；本项没有提供的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建设管理方案科学合理完整、可行性强、有针对性、完全满足招标文件要求的得12～16分，方案完整但科学合理及可行性欠缺、缺乏针对性、不完全符合招标文件要求的得9～11.99分，方案不完整且可行性欠缺、缺乏针对性、不符合招标文件的得6～8.99分，本项提供的，得基本分5.99分；本项没有提供的不得分。</w:t>
            </w:r>
            <w:r/>
          </w:p>
        </w:tc>
      </w:tr>
      <w:tr>
        <w:trPr>
          <w:trHeight w:val="1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  实力  （36分）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  认证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其出资人或投标人母公司）具有中国人民银行（或者其业务主管中国银行间市场交易商协会）或者国家发展和改革委员会或者国家财政部门或者中国银保监会（或受其领导的中国保险资产管理业协会或中国证券业协会）或者中国证券监督管理委员会公布的最近一期信用评级机构排名前10名的信用评价机构对投标人作出的最近一期信用评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（1）AA级及以上得8.0分；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（2）A级及以上得6.0分；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（3）B级及以上得4.0分；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（4）C级及以上得2.0分；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（5）D级及以下得0.0分。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投标人须提供中国人民银行（或者其业务主管中国银行间市场交易商协会）或者国家发展和改革委员会或者国家财政部门或者中国银保监会（或受其领导的中国保险资产管理业协会或中国证券业协会）或者中国证券监督管理委员会对信用评价机构的评价结果证明文件（可以提供证明文件或相应官方网站公示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（2）投标人须提供信用评价机构对投标人本身作出的信用评价报告。</w:t>
            </w:r>
            <w:r/>
          </w:p>
        </w:tc>
      </w:tr>
      <w:tr>
        <w:trPr>
          <w:trHeight w:val="98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根据投标人或投标人母公司或隶属的投标人母公司的同一集团各兄弟公司提供的民生项目投资建设规模业绩评审计分：</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近5年发包业绩金额X：</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
              <w:gridCol w:w="4"/>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X≥50亿元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得10.0分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40亿元≤X＜50亿元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得8.0分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30亿元≤X＜40亿元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得6.0分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20亿元≤X＜30亿元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得4.0分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10亿元≤X＜20亿元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得2.0分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得0.0分</w:t>
                  </w:r>
                  <w:r/>
                </w:p>
              </w:tc>
            </w:tr>
          </w:tbl>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业绩证明材料：包含发包公告或合同或项目业主方出具的证明文件等】。</w:t>
            </w:r>
            <w:r/>
          </w:p>
        </w:tc>
      </w:tr>
      <w:tr>
        <w:trPr>
          <w:trHeight w:val="23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根据投标人（或其母公司）提供的经审计的2023年度财务报告中的企业净资产按以下标准评审计分:</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
              <w:gridCol w:w="4"/>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0.0分</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10亿元≤净资产＜15亿元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15亿元≤净资产＜20亿元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20亿元≤净资产＜25亿元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6.0分</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25亿元≤净资产＜30亿元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8.0分</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净资产≥30亿元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bl>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2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银行授信额度（8分）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根据投标人（或其母公司）提供的银行授信额度进行评审计分：</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
              <w:gridCol w:w="4"/>
            </w:tblGrid>
            <w:tr>
              <w:trPr>
                <w:trHeight w:val="3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银行授信额度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银行授信额度＜5亿元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0.0分</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5亿元≤银行授信额度＜10亿元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10亿元≤银行授信额度＜15亿元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15亿元≤银行授信额度＜20亿元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6.0分</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银行授信额度≥20亿元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说明：1.本项得分以提交投标文件截止之日前取得中国境内银行出具的有效授信证明原件为准，否则不得分。投标人分多个银行出具的有效授信证明额度可以累加。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2.本项最高得分为8.0分。</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供应商诚信承诺书    （1分）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投标中提供《盐城市大丰区政府招标采购供应商承诺书》的得1分，未提供的不得分。</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27"/>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27"/>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（正或副本）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评分索引表</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30"/>
        <w:gridCol w:w="3750"/>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jc w:val="center"/>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420" w:right="0" w:firstLine="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1" w:type="dxa"/>
            <w:vAlign w:val="top"/>
            <w:textDirection w:val="lrTb"/>
            <w:noWrap w:val="false"/>
          </w:tcPr>
          <w:p>
            <w:pPr>
              <w:ind w:left="420" w:right="0" w:firstLine="0"/>
              <w:jc w:val="both"/>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0" w:right="0" w:firstLine="48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0" w:type="dxa"/>
            <w:vAlign w:val="top"/>
            <w:textDirection w:val="lrTb"/>
            <w:noWrap w:val="false"/>
          </w:tcPr>
          <w:p>
            <w:pPr>
              <w:ind w:left="0" w:right="0" w:firstLine="480"/>
              <w:spacing w:before="20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0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资信证明文件</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资格性审查响应对照表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三、符合性检查响应对照表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rPr>
          <w:rFonts w:ascii="SimSun" w:hAnsi="SimSun" w:eastAsia="SimSun" w:cs="SimSun"/>
          <w:b/>
          <w:color w:val="000000"/>
          <w:sz w:val="24"/>
        </w:rPr>
        <w:t xml:space="preserve">、</w:t>
      </w:r>
      <w:r>
        <w:rPr>
          <w:rFonts w:ascii="SimSun" w:hAnsi="SimSun" w:eastAsia="SimSun" w:cs="SimSun"/>
          <w:color w:val="000000"/>
          <w:sz w:val="24"/>
        </w:rPr>
        <w:t xml:space="preserve">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六、投标报价分析表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七、服务方案等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八、招标文件中规定要求提供的证明材料和投标人认为需要提供的其他材料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九、盐城市大丰区政府采购供应商承诺书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一、资信证明文件要求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Sun" w:hAnsi="SimSun" w:eastAsia="SimSun" w:cs="SimSun"/>
          <w:b/>
          <w:color w:val="000000"/>
          <w:sz w:val="24"/>
        </w:rPr>
        <w:t xml:space="preserve">1、实质性资格证明文件目录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文件1  营业执照证明文件，自然人身份证明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文件2  满足《中华人民共和国政府采购法》第二十二条规定的书面声明（格式自拟）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文件3  招标文件中规定要求提供的证明材料和投标人认为需要提供的其他材料</w:t>
      </w:r>
      <w:r/>
    </w:p>
    <w:p>
      <w:pPr>
        <w:ind w:left="0" w:right="0" w:firstLine="0"/>
        <w:spacing w:before="50" w:after="156"/>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2、非实质性资信证明文件目录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格式1  《企业申明函》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1"/>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br w:type="page" w:clear="all"/>
      </w:r>
      <w:r/>
    </w:p>
    <w:p>
      <w:pPr>
        <w:pStyle w:val="731"/>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法人授权书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号项目采购活动的合法代理人，以本公司名义全权处理一切与该项目采购有关的事务。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代理人（被授权人）：_______________________</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单位名称：_____________________________________</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授权单位盖章：_________________________________</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单位名称：_____________________________________</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pStyle w:val="731"/>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0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0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从业人员、营业收入、资产总额填报上一年度数据，无上一年度数据的新成立企业可不填报。</w:t>
      </w:r>
      <w:r/>
    </w:p>
    <w:p>
      <w:pPr>
        <w:ind w:left="0" w:right="0" w:firstLine="273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w:t>
      </w:r>
      <w:r>
        <w:rPr>
          <w:rFonts w:ascii="SimSun" w:hAnsi="SimSun" w:eastAsia="SimSun" w:cs="SimSun"/>
          <w:b/>
          <w:color w:val="000000"/>
          <w:sz w:val="28"/>
        </w:rPr>
        <w:t xml:space="preserve">资格性审查响应对照表（格式）</w:t>
      </w:r>
      <w:r/>
    </w:p>
    <w:p>
      <w:pPr>
        <w:ind w:left="0" w:right="1440" w:firstLine="0"/>
        <w:jc w:val="both"/>
        <w:spacing w:before="210" w:after="12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0" w:right="0" w:firstLine="30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9"/>
        <w:gridCol w:w="4867"/>
        <w:gridCol w:w="1543"/>
        <w:gridCol w:w="1612"/>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三、符合性检查响应对照表（格式）</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0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5331"/>
        <w:gridCol w:w="1644"/>
        <w:gridCol w:w="1747"/>
      </w:tblGrid>
      <w:tr>
        <w:trPr>
          <w:trHeight w:val="9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符合性检查响应内容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页码位置</w:t>
            </w:r>
            <w:r/>
          </w:p>
        </w:tc>
      </w:tr>
      <w:tr>
        <w:trPr>
          <w:trHeight w:val="9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9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招标文件中的其他实质性要求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四、投标函（格式）</w:t>
      </w:r>
      <w:r/>
    </w:p>
    <w:p>
      <w:pPr>
        <w:ind w:left="0" w:right="1440" w:firstLine="0"/>
        <w:jc w:val="both"/>
        <w:spacing w:before="210" w:after="12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（项目名称）招标文件，正式授权下述签字人_________________(姓名)代表我方______________（投标人的名称），全权处理本次项目投标的有关事宜。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1.按招标文件规定的各项要求，向买方提供所需货物与服务。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5.如果在开标后规定的投标有效期内撤回投标或中标后拒绝签订合同，则按照国家相关法律法规受到相应处罚。</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投标人授权代表姓名（签字）：</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投标人授权代表电话（手机号码）：</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spacing w:before="5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五、开标一览表（格式）</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3"/>
        <w:gridCol w:w="6689"/>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9" w:type="dxa"/>
            <w:vAlign w:val="center"/>
            <w:textDirection w:val="lrTb"/>
            <w:noWrap w:val="false"/>
          </w:tcPr>
          <w:p>
            <w:pPr>
              <w:ind w:left="0" w:right="0" w:firstLine="686"/>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项目投标报价：（大写）</w:t>
            </w:r>
            <w:r>
              <w:rPr>
                <w:rFonts w:ascii="SimSun" w:hAnsi="SimSun" w:eastAsia="SimSun" w:cs="SimSun"/>
                <w:b/>
                <w:color w:val="000000"/>
                <w:sz w:val="21"/>
                <w:u w:val="single"/>
              </w:rPr>
              <w:t xml:space="preserve">                       元</w:t>
            </w:r>
            <w:r>
              <w:rPr>
                <w:rFonts w:ascii="SimSun" w:hAnsi="SimSun" w:eastAsia="SimSun" w:cs="SimSun"/>
                <w:b/>
                <w:color w:val="000000"/>
                <w:sz w:val="21"/>
              </w:rPr>
              <w:t xml:space="preserve">，小写：</w:t>
            </w:r>
            <w:r>
              <w:rPr>
                <w:rFonts w:ascii="SimSun" w:hAnsi="SimSun" w:eastAsia="SimSun" w:cs="SimSun"/>
                <w:b/>
                <w:color w:val="000000"/>
                <w:sz w:val="21"/>
                <w:u w:val="single"/>
              </w:rPr>
              <w:t xml:space="preserve">                     </w:t>
            </w:r>
            <w:r>
              <w:rPr>
                <w:rFonts w:ascii="SimSun" w:hAnsi="SimSun" w:eastAsia="SimSun" w:cs="SimSun"/>
                <w:b/>
                <w:color w:val="000000"/>
                <w:sz w:val="21"/>
              </w:rPr>
              <w:t xml:space="preserve">元</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是否提供《企业类型声明函》：</w:t>
            </w:r>
            <w:r>
              <w:rPr>
                <w:rFonts w:ascii="SimSun" w:hAnsi="SimSun" w:eastAsia="SimSun" w:cs="SimSun"/>
                <w:b/>
                <w:color w:val="000000"/>
                <w:sz w:val="21"/>
                <w:u w:val="single"/>
              </w:rPr>
              <w:t xml:space="preserve">  是/否   </w:t>
            </w:r>
            <w:r>
              <w:rPr>
                <w:rFonts w:ascii="SimSun" w:hAnsi="SimSun" w:eastAsia="SimSun" w:cs="SimSun"/>
                <w:b/>
                <w:color w:val="000000"/>
                <w:sz w:val="21"/>
              </w:rPr>
              <w:t xml:space="preserve">           见</w:t>
            </w:r>
            <w:r>
              <w:rPr>
                <w:rFonts w:ascii="SimSun" w:hAnsi="SimSun" w:eastAsia="SimSun" w:cs="SimSun"/>
                <w:b/>
                <w:color w:val="000000"/>
                <w:sz w:val="21"/>
                <w:u w:val="single"/>
              </w:rPr>
              <w:t xml:space="preserve">（          ）</w:t>
            </w:r>
            <w:r>
              <w:rPr>
                <w:rFonts w:ascii="SimSun" w:hAnsi="SimSun" w:eastAsia="SimSun" w:cs="SimSun"/>
                <w:b/>
                <w:color w:val="000000"/>
                <w:sz w:val="21"/>
              </w:rPr>
              <w:t xml:space="preserve">页</w:t>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服务期限要求：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1.开标一览表不得填报选择性报价，否则将作为无效投标；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2.开标一览表中报价与投标分项明细报价表中不符时时，以开标一览表为准；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说明：投标配置和分项明细报价，应包括招标文件规定的物业服务工作所涉及到的一切相关费用、法定税费和合理利润外，还应包括：管理、劳务、培训、保修、风险、税金及政策性文件规定等各项应有费用等。</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6"/>
        </w:numPr>
        <w:jc w:val="center"/>
        <w:spacing w:before="50" w:after="50"/>
        <w:pBdr>
          <w:top w:val="none" w:color="000000" w:sz="4" w:space="0"/>
          <w:left w:val="none" w:color="000000" w:sz="4" w:space="0"/>
          <w:bottom w:val="none" w:color="000000" w:sz="4" w:space="0"/>
          <w:right w:val="none" w:color="000000" w:sz="4" w:space="0"/>
        </w:pBdr>
      </w:pPr>
      <w:r>
        <w:br w:type="page" w:clear="all"/>
      </w:r>
      <w:r/>
    </w:p>
    <w:p>
      <w:pPr>
        <w:numPr>
          <w:ilvl w:val="0"/>
          <w:numId w:val="16"/>
        </w:numPr>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投标报价分项表（格式）</w:t>
      </w:r>
      <w:r/>
    </w:p>
    <w:p>
      <w:pPr>
        <w:ind w:left="0" w:right="1440" w:firstLine="0"/>
        <w:jc w:val="both"/>
        <w:spacing w:before="210" w:after="12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4"/>
        <w:gridCol w:w="1680"/>
        <w:gridCol w:w="1470"/>
        <w:gridCol w:w="728"/>
        <w:gridCol w:w="784"/>
        <w:gridCol w:w="898"/>
        <w:gridCol w:w="898"/>
        <w:gridCol w:w="1417"/>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rPr>
          <w:rFonts w:ascii="SimSun" w:hAnsi="SimSun" w:eastAsia="SimSun" w:cs="SimSun"/>
          <w:color w:val="000000"/>
          <w:sz w:val="24"/>
          <w:u w:val="single"/>
        </w:rPr>
        <w:t xml:space="preserve">              </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投标人（盖单位公章）：</w:t>
      </w:r>
      <w:r>
        <w:rPr>
          <w:rFonts w:ascii="SimSun" w:hAnsi="SimSun" w:eastAsia="SimSun" w:cs="SimSun"/>
          <w:color w:val="000000"/>
          <w:sz w:val="24"/>
          <w:u w:val="single"/>
        </w:rPr>
        <w:t xml:space="preserve">               </w:t>
      </w:r>
      <w:r/>
    </w:p>
    <w:p>
      <w:pPr>
        <w:ind w:left="0" w:right="0" w:firstLine="4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br w:type="page" w:clear="all"/>
      </w:r>
      <w:r/>
    </w:p>
    <w:p>
      <w:pPr>
        <w:ind w:left="0" w:right="0" w:firstLine="4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七、服务需求响应及偏离表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044"/>
        <w:gridCol w:w="2500"/>
        <w:gridCol w:w="246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招标文件中采购需求内容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投标文件中响应采购需求的内容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注：该表必须按照招标文件要求逐条如实填写，根据所供产品情况在“偏离说明”项填写正偏离或负偏离及原因，完全符合的填写“无偏离”。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rPr>
          <w:rFonts w:ascii="SimSun" w:hAnsi="SimSun" w:eastAsia="SimSun" w:cs="SimSun"/>
          <w:color w:val="000000"/>
          <w:sz w:val="24"/>
          <w:u w:val="single"/>
        </w:rPr>
        <w:t xml:space="preserve">              </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投标人（盖单位公章）：</w:t>
      </w:r>
      <w:r>
        <w:rPr>
          <w:rFonts w:ascii="SimSun" w:hAnsi="SimSun" w:eastAsia="SimSun" w:cs="SimSun"/>
          <w:color w:val="000000"/>
          <w:sz w:val="24"/>
          <w:u w:val="single"/>
        </w:rPr>
        <w:t xml:space="preserve">               </w:t>
      </w:r>
      <w:r/>
    </w:p>
    <w:p>
      <w:pPr>
        <w:ind w:left="0" w:right="0" w:firstLine="12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八、商务条款响应及偏离表（如有）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8"/>
        <w:gridCol w:w="2700"/>
        <w:gridCol w:w="1260"/>
        <w:gridCol w:w="3020"/>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投标人的承诺或说明</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43"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43"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九、技术方案等</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十、盐城市大丰区政府招标采购供应商承诺书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为营造公开、公平、公正、诚实守信的政府招标采购交易环境，树立诚信守法的投标人形象，本单位参加政府招标采购项目：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的招标采购活动，本人代表本单位作出以下承诺：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（三）严格依照国家和省、市关于政府招标采购的法律、法规、规章、规范性文件，参加政府招标采购的投标活动；积极履行社会责任，促进廉政建设；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（四）严格遵守即时信息公示规定，及时维护和更新盐城市政府采购网、公共资源交易平台中与本单位相关的信息；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法定代表人（或者负责人）签名：单位名称（盖章）：</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r/>
      <w:r/>
    </w:p>
    <w:sectPr>
      <w:headerReference w:type="default" r:id="rId9"/>
      <w:footerReference w:type="default" r:id="rId10"/>
      <w:footerReference w:type="even" r:id="rId11"/>
      <w:footnotePr/>
      <w:endnotePr/>
      <w:type w:val="nextPage"/>
      <w:pgSz w:w="11906" w:h="16838" w:orient="portrait"/>
      <w:pgMar w:top="1327" w:right="1514" w:bottom="1213" w:left="151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DengXian">
    <w:panose1 w:val="02010600030101010101"/>
  </w:font>
  <w:font w:name="仿宋_GB2312">
    <w:panose1 w:val="02010609060101010101"/>
  </w:font>
  <w:font w:name="黑体">
    <w:panose1 w:val="02010609060101010101"/>
  </w:font>
  <w:font w:name="幼圆">
    <w:panose1 w:val="02010509060101010101"/>
  </w:font>
  <w:font w:name="楷体_GB2312">
    <w:panose1 w:val="02010609060101010101"/>
  </w:font>
  <w:font w:name="等线">
    <w:panose1 w:val="0201060003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90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90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rPr>
        <w:rStyle w:val="923"/>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5"/>
        <w:ind w:left="0"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05"/>
        <w:ind w:left="975" w:hanging="495"/>
      </w:pPr>
      <w:rPr>
        <w:b/>
        <w:lang w:val="en-US"/>
      </w:rPr>
    </w:lvl>
    <w:lvl w:ilvl="1">
      <w:start w:val="1"/>
      <w:numFmt w:val="lowerLetter"/>
      <w:isLgl w:val="false"/>
      <w:suff w:val="tab"/>
      <w:lvlText w:val="%2)"/>
      <w:lvlJc w:val="left"/>
      <w:pPr>
        <w:pStyle w:val="905"/>
        <w:ind w:left="1320" w:hanging="420"/>
      </w:pPr>
    </w:lvl>
    <w:lvl w:ilvl="2">
      <w:start w:val="1"/>
      <w:numFmt w:val="lowerRoman"/>
      <w:isLgl w:val="false"/>
      <w:suff w:val="tab"/>
      <w:lvlText w:val="%3."/>
      <w:lvlJc w:val="right"/>
      <w:pPr>
        <w:pStyle w:val="905"/>
        <w:ind w:left="1740" w:hanging="420"/>
      </w:pPr>
    </w:lvl>
    <w:lvl w:ilvl="3">
      <w:start w:val="1"/>
      <w:numFmt w:val="decimal"/>
      <w:isLgl w:val="false"/>
      <w:suff w:val="tab"/>
      <w:lvlText w:val="%4."/>
      <w:lvlJc w:val="left"/>
      <w:pPr>
        <w:pStyle w:val="905"/>
        <w:ind w:left="2160" w:hanging="420"/>
      </w:pPr>
    </w:lvl>
    <w:lvl w:ilvl="4">
      <w:start w:val="1"/>
      <w:numFmt w:val="lowerLetter"/>
      <w:isLgl w:val="false"/>
      <w:suff w:val="tab"/>
      <w:lvlText w:val="%5)"/>
      <w:lvlJc w:val="left"/>
      <w:pPr>
        <w:pStyle w:val="905"/>
        <w:ind w:left="2580" w:hanging="420"/>
      </w:pPr>
    </w:lvl>
    <w:lvl w:ilvl="5">
      <w:start w:val="1"/>
      <w:numFmt w:val="lowerRoman"/>
      <w:isLgl w:val="false"/>
      <w:suff w:val="tab"/>
      <w:lvlText w:val="%6."/>
      <w:lvlJc w:val="right"/>
      <w:pPr>
        <w:pStyle w:val="905"/>
        <w:ind w:left="3000" w:hanging="420"/>
      </w:pPr>
    </w:lvl>
    <w:lvl w:ilvl="6">
      <w:start w:val="1"/>
      <w:numFmt w:val="decimal"/>
      <w:isLgl w:val="false"/>
      <w:suff w:val="tab"/>
      <w:lvlText w:val="%7."/>
      <w:lvlJc w:val="left"/>
      <w:pPr>
        <w:pStyle w:val="905"/>
        <w:ind w:left="3420" w:hanging="420"/>
      </w:pPr>
    </w:lvl>
    <w:lvl w:ilvl="7">
      <w:start w:val="1"/>
      <w:numFmt w:val="lowerLetter"/>
      <w:isLgl w:val="false"/>
      <w:suff w:val="tab"/>
      <w:lvlText w:val="%8)"/>
      <w:lvlJc w:val="left"/>
      <w:pPr>
        <w:pStyle w:val="905"/>
        <w:ind w:left="3840" w:hanging="420"/>
      </w:pPr>
    </w:lvl>
    <w:lvl w:ilvl="8">
      <w:start w:val="1"/>
      <w:numFmt w:val="lowerRoman"/>
      <w:isLgl w:val="false"/>
      <w:suff w:val="tab"/>
      <w:lvlText w:val="%9."/>
      <w:lvlJc w:val="right"/>
      <w:pPr>
        <w:pStyle w:val="905"/>
        <w:ind w:left="4260" w:hanging="420"/>
      </w:pPr>
    </w:lvl>
  </w:abstractNum>
  <w:abstractNum w:abstractNumId="3">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pStyle w:val="905"/>
        <w:ind w:left="1440" w:hanging="360"/>
      </w:pPr>
      <w:rPr>
        <w:rFonts w:ascii="Courier New" w:hAnsi="Courier New" w:eastAsia="Courier New" w:cs="Courier New"/>
      </w:rPr>
    </w:lvl>
    <w:lvl w:ilvl="2">
      <w:start w:val="1"/>
      <w:numFmt w:val="bullet"/>
      <w:isLgl w:val="false"/>
      <w:suff w:val="tab"/>
      <w:lvlText w:val="§"/>
      <w:lvlJc w:val="left"/>
      <w:pPr>
        <w:pStyle w:val="905"/>
        <w:ind w:left="2160" w:hanging="360"/>
      </w:pPr>
      <w:rPr>
        <w:rFonts w:ascii="Wingdings" w:hAnsi="Wingdings" w:eastAsia="Wingdings" w:cs="Wingdings"/>
      </w:rPr>
    </w:lvl>
    <w:lvl w:ilvl="3">
      <w:start w:val="1"/>
      <w:numFmt w:val="bullet"/>
      <w:isLgl w:val="false"/>
      <w:suff w:val="tab"/>
      <w:lvlText w:val="·"/>
      <w:lvlJc w:val="left"/>
      <w:pPr>
        <w:pStyle w:val="905"/>
        <w:ind w:left="2880" w:hanging="360"/>
      </w:pPr>
      <w:rPr>
        <w:rFonts w:ascii="Symbol" w:hAnsi="Symbol" w:eastAsia="Symbol" w:cs="Symbol"/>
      </w:rPr>
    </w:lvl>
    <w:lvl w:ilvl="4">
      <w:start w:val="1"/>
      <w:numFmt w:val="bullet"/>
      <w:isLgl w:val="false"/>
      <w:suff w:val="tab"/>
      <w:lvlText w:val="o"/>
      <w:lvlJc w:val="left"/>
      <w:pPr>
        <w:pStyle w:val="905"/>
        <w:ind w:left="3600" w:hanging="360"/>
      </w:pPr>
      <w:rPr>
        <w:rFonts w:ascii="Courier New" w:hAnsi="Courier New" w:eastAsia="Courier New" w:cs="Courier New"/>
      </w:rPr>
    </w:lvl>
    <w:lvl w:ilvl="5">
      <w:start w:val="1"/>
      <w:numFmt w:val="bullet"/>
      <w:isLgl w:val="false"/>
      <w:suff w:val="tab"/>
      <w:lvlText w:val="§"/>
      <w:lvlJc w:val="left"/>
      <w:pPr>
        <w:pStyle w:val="905"/>
        <w:ind w:left="4320" w:hanging="360"/>
      </w:pPr>
      <w:rPr>
        <w:rFonts w:ascii="Wingdings" w:hAnsi="Wingdings" w:eastAsia="Wingdings" w:cs="Wingdings"/>
      </w:rPr>
    </w:lvl>
    <w:lvl w:ilvl="6">
      <w:start w:val="1"/>
      <w:numFmt w:val="bullet"/>
      <w:isLgl w:val="false"/>
      <w:suff w:val="tab"/>
      <w:lvlText w:val="·"/>
      <w:lvlJc w:val="left"/>
      <w:pPr>
        <w:pStyle w:val="905"/>
        <w:ind w:left="5040" w:hanging="360"/>
      </w:pPr>
      <w:rPr>
        <w:rFonts w:ascii="Symbol" w:hAnsi="Symbol" w:eastAsia="Symbol" w:cs="Symbol"/>
      </w:rPr>
    </w:lvl>
    <w:lvl w:ilvl="7">
      <w:start w:val="1"/>
      <w:numFmt w:val="bullet"/>
      <w:isLgl w:val="false"/>
      <w:suff w:val="tab"/>
      <w:lvlText w:val="o"/>
      <w:lvlJc w:val="left"/>
      <w:pPr>
        <w:pStyle w:val="905"/>
        <w:ind w:left="5760" w:hanging="360"/>
      </w:pPr>
      <w:rPr>
        <w:rFonts w:ascii="Courier New" w:hAnsi="Courier New" w:eastAsia="Courier New" w:cs="Courier New"/>
      </w:rPr>
    </w:lvl>
    <w:lvl w:ilvl="8">
      <w:start w:val="1"/>
      <w:numFmt w:val="bullet"/>
      <w:isLgl w:val="false"/>
      <w:suff w:val="tab"/>
      <w:lvlText w:val="§"/>
      <w:lvlJc w:val="left"/>
      <w:pPr>
        <w:pStyle w:val="905"/>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75" w:hanging="495"/>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75" w:hanging="495"/>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75" w:hanging="495"/>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5"/>
    <w:next w:val="905"/>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905"/>
    <w:next w:val="905"/>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905"/>
    <w:next w:val="905"/>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5"/>
    <w:next w:val="905"/>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5"/>
    <w:next w:val="905"/>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5"/>
    <w:next w:val="905"/>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5"/>
    <w:next w:val="90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5"/>
    <w:next w:val="905"/>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5"/>
    <w:next w:val="905"/>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905"/>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12"/>
    <w:link w:val="905"/>
    <w:qFormat/>
    <w:pPr>
      <w:jc w:val="both"/>
      <w:widowControl w:val="off"/>
    </w:pPr>
    <w:rPr>
      <w:rFonts w:ascii="等线" w:hAnsi="等线" w:eastAsia="等线"/>
      <w:sz w:val="21"/>
      <w:szCs w:val="22"/>
      <w:lang w:val="en-US" w:eastAsia="zh-CN" w:bidi="ar-SA"/>
    </w:rPr>
  </w:style>
  <w:style w:type="paragraph" w:styleId="906">
    <w:name w:val="标题 1"/>
    <w:basedOn w:val="905"/>
    <w:next w:val="905"/>
    <w:link w:val="905"/>
    <w:uiPriority w:val="9"/>
    <w:qFormat/>
    <w:pPr>
      <w:jc w:val="center"/>
      <w:keepNext/>
      <w:outlineLvl w:val="0"/>
    </w:pPr>
    <w:rPr>
      <w:rFonts w:ascii="楷体_GB2312" w:eastAsia="楷体_GB2312"/>
      <w:sz w:val="28"/>
      <w:szCs w:val="28"/>
    </w:rPr>
  </w:style>
  <w:style w:type="paragraph" w:styleId="907">
    <w:name w:val="标题 2"/>
    <w:basedOn w:val="905"/>
    <w:next w:val="913"/>
    <w:link w:val="905"/>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908">
    <w:name w:val="标题 3"/>
    <w:basedOn w:val="905"/>
    <w:next w:val="913"/>
    <w:link w:val="905"/>
    <w:uiPriority w:val="9"/>
    <w:qFormat/>
    <w:pPr>
      <w:keepLines/>
      <w:keepNext/>
      <w:spacing w:before="260" w:after="260" w:line="416" w:lineRule="auto"/>
      <w:outlineLvl w:val="2"/>
    </w:pPr>
    <w:rPr>
      <w:b/>
      <w:bCs/>
      <w:sz w:val="32"/>
      <w:szCs w:val="32"/>
    </w:rPr>
  </w:style>
  <w:style w:type="paragraph" w:styleId="909">
    <w:name w:val="标题 4"/>
    <w:basedOn w:val="905"/>
    <w:next w:val="913"/>
    <w:link w:val="905"/>
    <w:uiPriority w:val="9"/>
    <w:qFormat/>
    <w:pPr>
      <w:keepLines/>
      <w:keepNext/>
      <w:spacing w:before="280" w:after="290" w:line="376" w:lineRule="auto"/>
      <w:outlineLvl w:val="3"/>
    </w:pPr>
    <w:rPr>
      <w:rFonts w:ascii="Arial" w:hAnsi="Arial" w:eastAsia="黑体" w:cs="Arial"/>
      <w:b/>
      <w:bCs/>
      <w:sz w:val="28"/>
      <w:szCs w:val="28"/>
    </w:rPr>
  </w:style>
  <w:style w:type="character" w:styleId="910">
    <w:name w:val="默认段落字体"/>
    <w:next w:val="910"/>
    <w:link w:val="905"/>
    <w:uiPriority w:val="1"/>
    <w:unhideWhenUsed/>
  </w:style>
  <w:style w:type="table" w:styleId="911">
    <w:name w:val="普通表格"/>
    <w:next w:val="911"/>
    <w:link w:val="905"/>
    <w:uiPriority w:val="99"/>
    <w:unhideWhenUsed/>
    <w:tblPr/>
  </w:style>
  <w:style w:type="paragraph" w:styleId="912">
    <w:name w:val="文本块"/>
    <w:basedOn w:val="905"/>
    <w:next w:val="912"/>
    <w:link w:val="905"/>
    <w:uiPriority w:val="99"/>
    <w:unhideWhenUsed/>
    <w:qFormat/>
    <w:pPr>
      <w:ind w:left="1440" w:right="1440"/>
      <w:spacing w:after="120"/>
    </w:pPr>
  </w:style>
  <w:style w:type="paragraph" w:styleId="913">
    <w:name w:val="正文缩进"/>
    <w:basedOn w:val="905"/>
    <w:next w:val="913"/>
    <w:link w:val="905"/>
    <w:qFormat/>
    <w:pPr>
      <w:ind w:firstLine="420"/>
    </w:pPr>
  </w:style>
  <w:style w:type="paragraph" w:styleId="914">
    <w:name w:val="引文目录标题"/>
    <w:basedOn w:val="905"/>
    <w:next w:val="905"/>
    <w:link w:val="905"/>
    <w:uiPriority w:val="99"/>
    <w:unhideWhenUsed/>
    <w:pPr>
      <w:spacing w:before="120"/>
    </w:pPr>
    <w:rPr>
      <w:rFonts w:ascii="Cambria" w:hAnsi="Cambria" w:cs="Times New Roman"/>
    </w:rPr>
  </w:style>
  <w:style w:type="paragraph" w:styleId="915">
    <w:name w:val="批注文字"/>
    <w:basedOn w:val="905"/>
    <w:next w:val="915"/>
    <w:link w:val="905"/>
    <w:uiPriority w:val="99"/>
    <w:unhideWhenUsed/>
    <w:pPr>
      <w:jc w:val="left"/>
    </w:pPr>
  </w:style>
  <w:style w:type="paragraph" w:styleId="916">
    <w:name w:val="正文文本缩进"/>
    <w:basedOn w:val="905"/>
    <w:next w:val="917"/>
    <w:link w:val="905"/>
    <w:qFormat/>
    <w:pPr>
      <w:ind w:firstLine="645"/>
    </w:pPr>
    <w:rPr>
      <w:rFonts w:ascii="楷体_GB2312" w:eastAsia="楷体_GB2312"/>
      <w:sz w:val="32"/>
      <w:szCs w:val="32"/>
    </w:rPr>
  </w:style>
  <w:style w:type="paragraph" w:styleId="917">
    <w:name w:val="寄信人地址"/>
    <w:basedOn w:val="905"/>
    <w:next w:val="917"/>
    <w:link w:val="905"/>
    <w:qFormat/>
    <w:rPr>
      <w:rFonts w:ascii="Arial" w:hAnsi="Arial"/>
    </w:rPr>
  </w:style>
  <w:style w:type="paragraph" w:styleId="918">
    <w:name w:val="纯文本"/>
    <w:basedOn w:val="905"/>
    <w:next w:val="918"/>
    <w:link w:val="905"/>
    <w:uiPriority w:val="99"/>
    <w:unhideWhenUsed/>
    <w:rPr>
      <w:rFonts w:ascii="宋体" w:hAnsi="Courier New"/>
    </w:rPr>
  </w:style>
  <w:style w:type="paragraph" w:styleId="919">
    <w:name w:val="页脚"/>
    <w:basedOn w:val="905"/>
    <w:next w:val="919"/>
    <w:link w:val="905"/>
    <w:uiPriority w:val="99"/>
    <w:unhideWhenUsed/>
    <w:pPr>
      <w:jc w:val="left"/>
      <w:tabs>
        <w:tab w:val="center" w:pos="4153" w:leader="none"/>
        <w:tab w:val="right" w:pos="8306" w:leader="none"/>
      </w:tabs>
    </w:pPr>
    <w:rPr>
      <w:sz w:val="18"/>
      <w:szCs w:val="18"/>
    </w:rPr>
  </w:style>
  <w:style w:type="paragraph" w:styleId="920">
    <w:name w:val="页眉"/>
    <w:basedOn w:val="905"/>
    <w:next w:val="920"/>
    <w:link w:val="905"/>
    <w:uiPriority w:val="99"/>
    <w:unhideWhenUsed/>
    <w:pPr>
      <w:jc w:val="center"/>
      <w:tabs>
        <w:tab w:val="center" w:pos="4153" w:leader="none"/>
        <w:tab w:val="right" w:pos="8306" w:leader="none"/>
      </w:tabs>
      <w:pBdr>
        <w:bottom w:val="single" w:color="000000" w:sz="6" w:space="1"/>
      </w:pBdr>
    </w:pPr>
    <w:rPr>
      <w:sz w:val="18"/>
      <w:szCs w:val="18"/>
    </w:rPr>
  </w:style>
  <w:style w:type="paragraph" w:styleId="921">
    <w:name w:val="正文首行缩进"/>
    <w:basedOn w:val="905"/>
    <w:next w:val="921"/>
    <w:link w:val="905"/>
    <w:uiPriority w:val="99"/>
    <w:unhideWhenUsed/>
    <w:qFormat/>
    <w:pPr>
      <w:ind w:firstLine="420"/>
    </w:pPr>
  </w:style>
  <w:style w:type="paragraph" w:styleId="922">
    <w:name w:val="正文首行缩进 2"/>
    <w:basedOn w:val="916"/>
    <w:next w:val="913"/>
    <w:link w:val="905"/>
    <w:qFormat/>
    <w:pPr>
      <w:ind w:firstLine="420"/>
      <w:spacing w:line="360" w:lineRule="auto"/>
    </w:pPr>
    <w:rPr>
      <w:rFonts w:ascii="宋体" w:hAnsi="宋体" w:eastAsia="宋体"/>
      <w:sz w:val="21"/>
      <w:szCs w:val="20"/>
    </w:rPr>
  </w:style>
  <w:style w:type="character" w:styleId="923">
    <w:name w:val="页码"/>
    <w:next w:val="923"/>
    <w:link w:val="905"/>
    <w:uiPriority w:val="99"/>
    <w:unhideWhenUsed/>
    <w:rPr>
      <w:rFonts w:ascii="等线" w:hAnsi="等线" w:eastAsia="等线" w:cs="Times New Roman"/>
    </w:rPr>
  </w:style>
  <w:style w:type="character" w:styleId="924">
    <w:name w:val="超链接"/>
    <w:next w:val="924"/>
    <w:link w:val="905"/>
    <w:uiPriority w:val="99"/>
    <w:unhideWhenUsed/>
    <w:rPr>
      <w:rFonts w:ascii="Calibri" w:hAnsi="Calibri" w:eastAsia="宋体" w:cs="Times New Roman"/>
      <w:color w:val="000000"/>
      <w:u w:val="none"/>
    </w:rPr>
  </w:style>
  <w:style w:type="paragraph" w:styleId="925">
    <w:name w:val="列出段落1"/>
    <w:basedOn w:val="905"/>
    <w:next w:val="925"/>
    <w:link w:val="905"/>
    <w:qFormat/>
    <w:pPr>
      <w:contextualSpacing/>
      <w:ind w:left="720"/>
      <w:jc w:val="left"/>
      <w:widowControl/>
    </w:pPr>
    <w:rPr>
      <w:rFonts w:ascii="Calibri" w:hAnsi="Calibri"/>
      <w:sz w:val="24"/>
      <w:szCs w:val="24"/>
      <w:lang w:eastAsia="en-US" w:bidi="en-US"/>
    </w:rPr>
  </w:style>
  <w:style w:type="paragraph" w:styleId="926">
    <w:name w:val="Char"/>
    <w:basedOn w:val="905"/>
    <w:next w:val="926"/>
    <w:link w:val="905"/>
    <w:qFormat/>
    <w:pPr>
      <w:ind w:firstLine="200"/>
      <w:tabs>
        <w:tab w:val="left" w:pos="360" w:leader="none"/>
      </w:tabs>
    </w:pPr>
    <w:rPr>
      <w:sz w:val="28"/>
      <w:szCs w:val="30"/>
    </w:rPr>
  </w:style>
  <w:style w:type="paragraph" w:styleId="927">
    <w:name w:val="Default"/>
    <w:next w:val="927"/>
    <w:link w:val="905"/>
    <w:qFormat/>
    <w:pPr>
      <w:widowControl w:val="off"/>
    </w:pPr>
    <w:rPr>
      <w:rFonts w:ascii="仿宋_GB2312" w:hAnsi="Times New Roman" w:eastAsia="仿宋_GB2312" w:cs="仿宋_GB2312"/>
      <w:color w:val="000000"/>
      <w:sz w:val="24"/>
      <w:szCs w:val="24"/>
      <w:lang w:val="en-US" w:eastAsia="zh-CN" w:bidi="ar-SA"/>
    </w:rPr>
  </w:style>
  <w:style w:type="paragraph" w:styleId="928">
    <w:name w:val="普通正文"/>
    <w:basedOn w:val="905"/>
    <w:next w:val="928"/>
    <w:link w:val="905"/>
    <w:qFormat/>
    <w:pPr>
      <w:ind w:firstLine="480"/>
      <w:jc w:val="left"/>
      <w:spacing w:before="120" w:after="120" w:line="360" w:lineRule="auto"/>
    </w:pPr>
    <w:rPr>
      <w:rFonts w:ascii="Arial" w:hAnsi="Arial"/>
      <w:sz w:val="24"/>
      <w:szCs w:val="24"/>
    </w:rPr>
  </w:style>
  <w:style w:type="paragraph" w:styleId="929">
    <w:name w:val="0"/>
    <w:basedOn w:val="905"/>
    <w:next w:val="929"/>
    <w:link w:val="905"/>
    <w:qFormat/>
    <w:pPr>
      <w:widowControl/>
    </w:pPr>
    <w:rPr>
      <w:szCs w:val="21"/>
    </w:rPr>
  </w:style>
  <w:style w:type="character" w:styleId="930" w:default="1">
    <w:name w:val="Default Paragraph Font"/>
    <w:uiPriority w:val="1"/>
    <w:semiHidden/>
    <w:unhideWhenUsed/>
  </w:style>
  <w:style w:type="numbering" w:styleId="931" w:default="1">
    <w:name w:val="No List"/>
    <w:uiPriority w:val="99"/>
    <w:semiHidden/>
    <w:unhideWhenUsed/>
  </w:style>
  <w:style w:type="table" w:styleId="9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陈晓忠～昱丰</dc:creator>
  <cp:lastModifiedBy>江苏磊华项目管理有限公司</cp:lastModifiedBy>
  <cp:revision>4</cp:revision>
  <dcterms:created xsi:type="dcterms:W3CDTF">2023-07-18T03:43:00Z</dcterms:created>
  <dcterms:modified xsi:type="dcterms:W3CDTF">2024-10-15T09:54:56Z</dcterms:modified>
</cp:coreProperties>
</file>