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shd w:val="clear" w:color="auto" w:fill="auto"/>
        <w:rPr>
          <w:rFonts w:hint="eastAsia" w:ascii="宋体" w:hAnsi="宋体" w:cs="宋体"/>
          <w:color w:val="000000"/>
          <w:sz w:val="36"/>
          <w:highlight w:val="none"/>
        </w:rPr>
      </w:pPr>
      <w:r>
        <w:rPr>
          <w:rFonts w:hint="eastAsia" w:ascii="宋体" w:hAnsi="宋体" w:cs="宋体"/>
          <w:color w:val="000000"/>
          <w:sz w:val="36"/>
          <w:highlight w:val="none"/>
        </w:rPr>
      </w:r>
      <w:r/>
    </w:p>
    <w:p>
      <w:pPr>
        <w:pStyle w:val="957"/>
        <w:jc w:val="center"/>
        <w:shd w:val="clear" w:color="auto" w:fill="auto"/>
        <w:rPr>
          <w:rFonts w:hint="eastAsia" w:ascii="宋体" w:hAnsi="宋体" w:cs="宋体"/>
          <w:color w:val="000000"/>
          <w:sz w:val="36"/>
          <w:highlight w:val="none"/>
        </w:rPr>
      </w:pPr>
      <w:r>
        <w:rPr>
          <w:rFonts w:hint="eastAsia" w:ascii="宋体" w:hAnsi="宋体" w:cs="宋体"/>
          <w:color w:val="000000"/>
          <w:sz w:val="36"/>
          <w:highlight w:val="none"/>
        </w:rPr>
      </w:r>
      <w:r/>
    </w:p>
    <w:p>
      <w:pPr>
        <w:pStyle w:val="957"/>
        <w:jc w:val="center"/>
        <w:shd w:val="clear" w:color="auto" w:fill="auto"/>
        <w:rPr>
          <w:rFonts w:hint="eastAsia" w:ascii="宋体" w:hAnsi="宋体" w:cs="宋体"/>
          <w:color w:val="000000"/>
          <w:sz w:val="36"/>
          <w:highlight w:val="none"/>
        </w:rPr>
      </w:pPr>
      <w:r>
        <w:rPr>
          <w:rFonts w:hint="eastAsia" w:ascii="宋体" w:hAnsi="宋体" w:cs="宋体"/>
          <w:color w:val="000000"/>
          <w:sz w:val="36"/>
          <w:highlight w:val="none"/>
        </w:rPr>
      </w:r>
      <w:r/>
    </w:p>
    <w:p>
      <w:pPr>
        <w:pStyle w:val="957"/>
        <w:jc w:val="center"/>
        <w:shd w:val="clear" w:color="auto" w:fill="auto"/>
        <w:rPr>
          <w:rFonts w:hint="eastAsia" w:ascii="宋体" w:hAnsi="宋体" w:cs="宋体"/>
          <w:b/>
          <w:color w:val="000000"/>
          <w:sz w:val="84"/>
          <w:highlight w:val="none"/>
        </w:rPr>
      </w:pPr>
      <w:r>
        <w:rPr>
          <w:rFonts w:hint="eastAsia" w:ascii="宋体" w:hAnsi="宋体" w:cs="宋体"/>
          <w:bCs/>
          <w:color w:val="000000"/>
          <w:sz w:val="84"/>
          <w:highlight w:val="none"/>
        </w:rPr>
        <w:t xml:space="preserve">招 标 文 件</w:t>
      </w:r>
      <w:r>
        <w:rPr>
          <w:rFonts w:hint="eastAsia" w:ascii="宋体" w:hAnsi="宋体" w:cs="宋体"/>
          <w:b/>
          <w:color w:val="000000"/>
          <w:sz w:val="84"/>
          <w:highlight w:val="none"/>
        </w:rPr>
      </w:r>
      <w:r/>
    </w:p>
    <w:p>
      <w:pPr>
        <w:pStyle w:val="957"/>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957"/>
        <w:jc w:val="center"/>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957"/>
        <w:jc w:val="center"/>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957"/>
        <w:jc w:val="center"/>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项目名称：盐城市大丰区2024年下半年重大动物疫病强制免疫疫苗、耳标采购项目</w:t>
      </w:r>
      <w:r>
        <w:rPr>
          <w:rFonts w:hint="eastAsia" w:ascii="宋体" w:hAnsi="宋体" w:cs="宋体"/>
          <w:b/>
          <w:color w:val="000000"/>
          <w:sz w:val="36"/>
          <w:szCs w:val="36"/>
          <w:highlight w:val="none"/>
        </w:rPr>
      </w:r>
      <w:r/>
    </w:p>
    <w:p>
      <w:pPr>
        <w:pStyle w:val="957"/>
        <w:ind w:firstLine="2244"/>
        <w:shd w:val="clear" w:color="auto" w:fill="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57"/>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957"/>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1016"/>
        <w:shd w:val="clear" w:color="auto" w:fill="auto"/>
        <w:rPr>
          <w:rFonts w:hint="eastAsia" w:cs="宋体"/>
          <w:color w:val="000000"/>
          <w:highlight w:val="none"/>
        </w:rPr>
      </w:pPr>
      <w:r>
        <w:rPr>
          <w:rFonts w:hint="eastAsia" w:cs="宋体"/>
          <w:color w:val="000000"/>
          <w:highlight w:val="none"/>
        </w:rPr>
      </w:r>
      <w:r/>
    </w:p>
    <w:p>
      <w:pPr>
        <w:pStyle w:val="957"/>
        <w:shd w:val="clear" w:color="auto" w:fill="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957"/>
        <w:jc w:val="center"/>
        <w:spacing w:before="120" w:after="120" w:line="700" w:lineRule="exact"/>
        <w:shd w:val="clear" w:color="auto" w:fill="auto"/>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盐城市大丰区农业农村局</w:t>
      </w:r>
      <w:r>
        <w:rPr>
          <w:rFonts w:hint="eastAsia" w:ascii="宋体" w:hAnsi="宋体" w:cs="宋体"/>
          <w:bCs/>
          <w:color w:val="000000"/>
          <w:sz w:val="36"/>
          <w:szCs w:val="36"/>
          <w:highlight w:val="none"/>
        </w:rPr>
      </w:r>
      <w:r/>
    </w:p>
    <w:p>
      <w:pPr>
        <w:pStyle w:val="957"/>
        <w:jc w:val="center"/>
        <w:spacing w:before="120" w:after="120" w:line="700" w:lineRule="exact"/>
        <w:shd w:val="clear" w:color="auto" w:fill="auto"/>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江苏昱丰华项目管理有限公司</w:t>
      </w:r>
      <w:r>
        <w:rPr>
          <w:rFonts w:hint="eastAsia" w:ascii="宋体" w:hAnsi="宋体" w:cs="宋体"/>
          <w:bCs/>
          <w:color w:val="000000"/>
          <w:sz w:val="36"/>
          <w:szCs w:val="36"/>
          <w:highlight w:val="none"/>
        </w:rPr>
      </w:r>
      <w:r/>
    </w:p>
    <w:p>
      <w:pPr>
        <w:pStyle w:val="957"/>
        <w:jc w:val="center"/>
        <w:shd w:val="clear" w:color="auto" w:fill="auto"/>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202</w:t>
      </w:r>
      <w:r>
        <w:rPr>
          <w:rFonts w:hint="eastAsia" w:ascii="宋体" w:hAnsi="宋体" w:cs="宋体"/>
          <w:color w:val="000000"/>
          <w:sz w:val="36"/>
          <w:szCs w:val="36"/>
          <w:highlight w:val="none"/>
          <w:lang w:val="en-US" w:eastAsia="zh-CN"/>
        </w:rPr>
        <w:t xml:space="preserve">5</w:t>
      </w:r>
      <w:r>
        <w:rPr>
          <w:rFonts w:hint="eastAsia" w:ascii="宋体" w:hAnsi="宋体" w:cs="宋体"/>
          <w:color w:val="000000"/>
          <w:sz w:val="36"/>
          <w:szCs w:val="36"/>
          <w:highlight w:val="none"/>
        </w:rPr>
        <w:t xml:space="preserve">年</w:t>
      </w:r>
      <w:r>
        <w:rPr>
          <w:rFonts w:hint="eastAsia" w:ascii="宋体" w:hAnsi="宋体" w:cs="宋体"/>
          <w:color w:val="000000"/>
          <w:sz w:val="36"/>
          <w:szCs w:val="36"/>
          <w:highlight w:val="none"/>
          <w:lang w:val="en-US" w:eastAsia="zh-CN"/>
        </w:rPr>
        <w:t xml:space="preserve">1</w:t>
      </w:r>
      <w:r>
        <w:rPr>
          <w:rFonts w:hint="eastAsia" w:ascii="宋体" w:hAnsi="宋体" w:cs="宋体"/>
          <w:color w:val="000000"/>
          <w:sz w:val="36"/>
          <w:szCs w:val="36"/>
          <w:highlight w:val="none"/>
        </w:rPr>
        <w:t xml:space="preserve">月</w:t>
      </w:r>
      <w:r>
        <w:rPr>
          <w:rFonts w:hint="eastAsia" w:ascii="宋体" w:hAnsi="宋体" w:cs="宋体"/>
          <w:color w:val="000000"/>
          <w:sz w:val="36"/>
          <w:szCs w:val="36"/>
          <w:highlight w:val="none"/>
        </w:rPr>
      </w:r>
      <w:r/>
    </w:p>
    <w:p>
      <w:pPr>
        <w:pStyle w:val="957"/>
        <w:jc w:val="center"/>
        <w:spacing w:line="480" w:lineRule="auto"/>
        <w:shd w:val="clear" w:color="auto" w:fill="auto"/>
        <w:rPr>
          <w:rFonts w:hint="eastAsia" w:ascii="宋体" w:hAnsi="宋体" w:cs="宋体"/>
          <w:b/>
          <w:color w:val="000000"/>
          <w:sz w:val="44"/>
          <w:highlight w:val="none"/>
        </w:rPr>
        <w:sectPr>
          <w:footerReference w:type="first" r:id="rId10"/>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宋体" w:hAnsi="宋体" w:cs="宋体"/>
          <w:b/>
          <w:color w:val="000000"/>
          <w:sz w:val="44"/>
          <w:highlight w:val="none"/>
        </w:rPr>
      </w:r>
      <w:r/>
    </w:p>
    <w:p>
      <w:pPr>
        <w:pStyle w:val="957"/>
        <w:jc w:val="center"/>
        <w:spacing w:line="480" w:lineRule="auto"/>
        <w:shd w:val="clear" w:color="auto" w:fill="auto"/>
        <w:rPr>
          <w:rFonts w:hint="eastAsia" w:ascii="宋体" w:hAnsi="宋体" w:cs="宋体"/>
          <w:b/>
          <w:color w:val="000000"/>
          <w:sz w:val="44"/>
          <w:highlight w:val="none"/>
        </w:rPr>
        <w:outlineLvl w:val="0"/>
      </w:pPr>
      <w:r>
        <w:rPr>
          <w:rFonts w:hint="eastAsia" w:ascii="宋体" w:hAnsi="宋体" w:cs="宋体"/>
          <w:b/>
          <w:color w:val="000000"/>
          <w:sz w:val="44"/>
          <w:highlight w:val="none"/>
        </w:rPr>
        <w:t xml:space="preserve">总  目  录</w:t>
      </w:r>
      <w:r>
        <w:rPr>
          <w:rFonts w:hint="eastAsia" w:ascii="宋体" w:hAnsi="宋体" w:cs="宋体"/>
          <w:b/>
          <w:color w:val="000000"/>
          <w:sz w:val="44"/>
          <w:highlight w:val="none"/>
        </w:rPr>
      </w:r>
      <w:r/>
    </w:p>
    <w:p>
      <w:pPr>
        <w:pStyle w:val="957"/>
        <w:spacing w:line="480" w:lineRule="auto"/>
        <w:shd w:val="clear" w:color="auto" w:fill="auto"/>
        <w:rPr>
          <w:rFonts w:hint="eastAsia" w:ascii="宋体" w:hAnsi="宋体" w:cs="宋体"/>
          <w:b/>
          <w:color w:val="000000"/>
          <w:sz w:val="28"/>
          <w:highlight w:val="none"/>
        </w:rPr>
      </w:pPr>
      <w:r>
        <w:rPr>
          <w:rFonts w:hint="eastAsia" w:ascii="宋体" w:hAnsi="宋体" w:cs="宋体"/>
          <w:b/>
          <w:color w:val="000000"/>
          <w:sz w:val="28"/>
          <w:highlight w:val="none"/>
        </w:rPr>
      </w:r>
      <w:r/>
    </w:p>
    <w:p>
      <w:pPr>
        <w:pStyle w:val="957"/>
        <w:numPr>
          <w:ilvl w:val="0"/>
          <w:numId w:val="4"/>
        </w:numPr>
        <w:spacing w:line="480" w:lineRule="auto"/>
        <w:shd w:val="clear" w:color="auto" w:fill="auto"/>
        <w:tabs>
          <w:tab w:val="left" w:pos="1440" w:leader="none"/>
        </w:tabs>
        <w:rPr>
          <w:rFonts w:hint="eastAsia" w:ascii="宋体" w:hAnsi="宋体" w:cs="宋体"/>
          <w:color w:val="000000"/>
          <w:sz w:val="32"/>
          <w:highlight w:val="none"/>
        </w:rPr>
        <w:outlineLvl w:val="0"/>
      </w:pPr>
      <w:r>
        <w:rPr>
          <w:rFonts w:hint="eastAsia" w:ascii="宋体" w:hAnsi="宋体" w:cs="宋体"/>
          <w:color w:val="000000"/>
          <w:sz w:val="36"/>
          <w:highlight w:val="none"/>
        </w:rPr>
        <w:t xml:space="preserve">招标公告……………………………………</w:t>
      </w:r>
      <w:r>
        <w:rPr>
          <w:rFonts w:hint="eastAsia" w:ascii="宋体" w:hAnsi="宋体" w:cs="宋体"/>
          <w:color w:val="000000"/>
          <w:sz w:val="36"/>
          <w:highlight w:val="none"/>
          <w:lang w:val="en-US" w:eastAsia="zh-CN"/>
        </w:rPr>
        <w:t xml:space="preserve">1</w:t>
      </w:r>
      <w:r>
        <w:rPr>
          <w:rFonts w:hint="eastAsia" w:ascii="宋体" w:hAnsi="宋体" w:cs="宋体"/>
          <w:color w:val="000000"/>
          <w:sz w:val="32"/>
          <w:highlight w:val="none"/>
        </w:rPr>
      </w:r>
      <w:r/>
    </w:p>
    <w:p>
      <w:pPr>
        <w:pStyle w:val="957"/>
        <w:numPr>
          <w:ilvl w:val="0"/>
          <w:numId w:val="4"/>
        </w:numPr>
        <w:spacing w:line="480" w:lineRule="auto"/>
        <w:shd w:val="clear" w:color="auto" w:fill="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投标人须知</w:t>
      </w:r>
      <w:r>
        <w:rPr>
          <w:rFonts w:hint="eastAsia" w:ascii="宋体" w:hAnsi="宋体" w:cs="宋体"/>
          <w:color w:val="000000"/>
          <w:sz w:val="36"/>
          <w:szCs w:val="36"/>
          <w:highlight w:val="none"/>
        </w:rPr>
        <w:t xml:space="preserve">…</w:t>
      </w:r>
      <w:r>
        <w:rPr>
          <w:rFonts w:hint="eastAsia" w:ascii="宋体" w:hAnsi="宋体" w:cs="宋体"/>
          <w:color w:val="000000"/>
          <w:sz w:val="36"/>
          <w:highlight w:val="none"/>
        </w:rPr>
        <w:t xml:space="preserve">………………………………</w:t>
      </w:r>
      <w:r>
        <w:rPr>
          <w:rFonts w:hint="eastAsia" w:ascii="宋体" w:hAnsi="宋体" w:cs="宋体"/>
          <w:color w:val="000000"/>
          <w:sz w:val="36"/>
          <w:highlight w:val="none"/>
          <w:lang w:val="en-US" w:eastAsia="zh-CN"/>
        </w:rPr>
        <w:t xml:space="preserve">5</w:t>
      </w:r>
      <w:r>
        <w:rPr>
          <w:rFonts w:hint="eastAsia" w:ascii="宋体" w:hAnsi="宋体" w:cs="宋体"/>
          <w:color w:val="000000"/>
          <w:sz w:val="36"/>
          <w:highlight w:val="none"/>
        </w:rPr>
      </w:r>
      <w:r/>
    </w:p>
    <w:p>
      <w:pPr>
        <w:pStyle w:val="957"/>
        <w:numPr>
          <w:ilvl w:val="0"/>
          <w:numId w:val="4"/>
        </w:numPr>
        <w:spacing w:line="480" w:lineRule="auto"/>
        <w:shd w:val="clear" w:color="auto" w:fill="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合同条款及格式……………………………</w:t>
      </w:r>
      <w:r>
        <w:rPr>
          <w:rFonts w:ascii="宋体" w:hAnsi="宋体" w:cs="宋体"/>
          <w:color w:val="000000"/>
          <w:sz w:val="36"/>
          <w:highlight w:val="none"/>
        </w:rPr>
        <w:t xml:space="preserve">1</w:t>
      </w:r>
      <w:r>
        <w:rPr>
          <w:rFonts w:hint="eastAsia" w:ascii="宋体" w:hAnsi="宋体" w:cs="宋体"/>
          <w:color w:val="000000"/>
          <w:sz w:val="36"/>
          <w:highlight w:val="none"/>
          <w:lang w:val="en-US" w:eastAsia="zh-CN"/>
        </w:rPr>
        <w:t xml:space="preserve">8</w:t>
      </w:r>
      <w:r>
        <w:rPr>
          <w:rFonts w:hint="eastAsia" w:ascii="宋体" w:hAnsi="宋体" w:cs="宋体"/>
          <w:color w:val="000000"/>
          <w:sz w:val="36"/>
          <w:highlight w:val="none"/>
        </w:rPr>
      </w:r>
      <w:r/>
    </w:p>
    <w:p>
      <w:pPr>
        <w:pStyle w:val="957"/>
        <w:numPr>
          <w:ilvl w:val="0"/>
          <w:numId w:val="4"/>
        </w:numPr>
        <w:spacing w:line="480" w:lineRule="auto"/>
        <w:shd w:val="clear" w:color="auto" w:fill="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lang w:val="en-US" w:eastAsia="zh-CN"/>
        </w:rPr>
        <w:t xml:space="preserve">采购</w:t>
      </w:r>
      <w:r>
        <w:rPr>
          <w:rFonts w:hint="eastAsia" w:ascii="宋体" w:hAnsi="宋体" w:cs="宋体"/>
          <w:color w:val="000000"/>
          <w:sz w:val="36"/>
          <w:highlight w:val="none"/>
        </w:rPr>
        <w:t xml:space="preserve">需求……………………………………</w:t>
      </w:r>
      <w:r>
        <w:rPr>
          <w:rFonts w:hint="eastAsia" w:ascii="宋体" w:hAnsi="宋体" w:cs="宋体"/>
          <w:color w:val="000000"/>
          <w:sz w:val="36"/>
          <w:highlight w:val="none"/>
          <w:lang w:val="en-US" w:eastAsia="zh-CN"/>
        </w:rPr>
        <w:t xml:space="preserve">28</w:t>
      </w:r>
      <w:r>
        <w:rPr>
          <w:rFonts w:hint="eastAsia" w:ascii="宋体" w:hAnsi="宋体" w:cs="宋体"/>
          <w:color w:val="000000"/>
          <w:sz w:val="36"/>
          <w:highlight w:val="none"/>
        </w:rPr>
      </w:r>
      <w:r/>
    </w:p>
    <w:p>
      <w:pPr>
        <w:pStyle w:val="957"/>
        <w:numPr>
          <w:ilvl w:val="0"/>
          <w:numId w:val="4"/>
        </w:numPr>
        <w:spacing w:line="480" w:lineRule="auto"/>
        <w:shd w:val="clear" w:color="auto" w:fill="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评标方法与评标标准</w:t>
      </w:r>
      <w:r>
        <w:rPr>
          <w:rFonts w:hint="eastAsia" w:ascii="宋体" w:hAnsi="宋体" w:cs="宋体"/>
          <w:color w:val="000000"/>
          <w:sz w:val="36"/>
          <w:highlight w:val="none"/>
        </w:rPr>
        <w:t xml:space="preserve">………………………</w:t>
      </w:r>
      <w:r>
        <w:rPr>
          <w:rFonts w:hint="eastAsia" w:ascii="宋体" w:hAnsi="宋体" w:cs="宋体"/>
          <w:color w:val="000000"/>
          <w:sz w:val="36"/>
          <w:highlight w:val="none"/>
          <w:lang w:val="en-US" w:eastAsia="zh-CN"/>
        </w:rPr>
        <w:t xml:space="preserve">35</w:t>
      </w:r>
      <w:r>
        <w:rPr>
          <w:rFonts w:hint="eastAsia" w:ascii="宋体" w:hAnsi="宋体" w:cs="宋体"/>
          <w:color w:val="000000"/>
          <w:sz w:val="36"/>
          <w:highlight w:val="none"/>
        </w:rPr>
      </w:r>
      <w:r/>
    </w:p>
    <w:p>
      <w:pPr>
        <w:pStyle w:val="957"/>
        <w:numPr>
          <w:ilvl w:val="0"/>
          <w:numId w:val="4"/>
        </w:numPr>
        <w:spacing w:line="480" w:lineRule="auto"/>
        <w:shd w:val="clear" w:color="auto" w:fill="auto"/>
        <w:tabs>
          <w:tab w:val="left" w:pos="1440" w:leader="none"/>
        </w:tabs>
        <w:rPr>
          <w:rFonts w:ascii="宋体" w:hAnsi="宋体" w:cs="宋体"/>
          <w:color w:val="000000"/>
          <w:sz w:val="36"/>
          <w:highlight w:val="none"/>
          <w:lang w:val="en-US"/>
        </w:rPr>
        <w:outlineLvl w:val="0"/>
      </w:pPr>
      <w:r>
        <w:rPr>
          <w:rFonts w:hint="eastAsia" w:ascii="宋体" w:hAnsi="宋体" w:cs="宋体"/>
          <w:color w:val="000000"/>
          <w:sz w:val="36"/>
          <w:highlight w:val="none"/>
        </w:rPr>
        <w:t xml:space="preserve">投标文件格式………………………………</w:t>
      </w:r>
      <w:r>
        <w:rPr>
          <w:rFonts w:hint="eastAsia" w:ascii="宋体" w:hAnsi="宋体" w:cs="宋体"/>
          <w:color w:val="000000"/>
          <w:sz w:val="36"/>
          <w:highlight w:val="none"/>
          <w:lang w:val="en-US" w:eastAsia="zh-CN"/>
        </w:rPr>
        <w:t xml:space="preserve">39</w:t>
      </w:r>
      <w:r>
        <w:rPr>
          <w:rFonts w:ascii="宋体" w:hAnsi="宋体" w:cs="宋体"/>
          <w:color w:val="000000"/>
          <w:sz w:val="36"/>
          <w:highlight w:val="none"/>
          <w:lang w:val="en-US"/>
        </w:rPr>
      </w:r>
      <w:r/>
    </w:p>
    <w:p>
      <w:pPr>
        <w:pStyle w:val="957"/>
        <w:shd w:val="clear" w:color="auto" w:fill="auto"/>
        <w:rPr>
          <w:rFonts w:hint="eastAsia" w:ascii="宋体" w:hAnsi="宋体" w:cs="宋体"/>
          <w:color w:val="000000"/>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highlight w:val="none"/>
        </w:rPr>
      </w:r>
      <w:r/>
    </w:p>
    <w:p>
      <w:pPr>
        <w:pStyle w:val="958"/>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招标公告</w:t>
      </w:r>
      <w:r>
        <w:rPr>
          <w:rFonts w:hint="eastAsia" w:ascii="宋体" w:hAnsi="宋体" w:eastAsia="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rPr>
        <w:t xml:space="preserve">盐城市大丰区2024年下半年重大动物疫病强制免疫疫苗、耳标采购项目</w:t>
      </w:r>
      <w:r>
        <w:rPr>
          <w:rFonts w:hint="eastAsia" w:ascii="宋体" w:hAnsi="宋体" w:cs="宋体"/>
          <w:color w:val="000000"/>
          <w:sz w:val="24"/>
          <w:szCs w:val="24"/>
          <w:highlight w:val="none"/>
        </w:rPr>
        <w:t xml:space="preserve">的潜在投标人应在</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苏采云</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系统内免费下载（投标人必必须在苏采云系统中获取采购文件，方能参与政府采购项目）</w:t>
      </w:r>
      <w:r>
        <w:rPr>
          <w:rFonts w:hint="eastAsia" w:ascii="宋体" w:hAnsi="宋体" w:cs="宋体"/>
          <w:color w:val="000000"/>
          <w:sz w:val="24"/>
          <w:szCs w:val="24"/>
          <w:highlight w:val="none"/>
        </w:rPr>
        <w:t xml:space="preserve">获取招标文件，并于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5</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w:t>
      </w:r>
      <w:r>
        <w:rPr>
          <w:rFonts w:hint="eastAsia" w:ascii="宋体" w:hAnsi="宋体" w:cs="宋体"/>
          <w:bCs/>
          <w:color w:val="000000"/>
          <w:sz w:val="24"/>
          <w:szCs w:val="24"/>
          <w:highlight w:val="none"/>
          <w:u w:val="single"/>
          <w:lang w:val="en-US" w:eastAsia="zh-CN"/>
        </w:rPr>
        <w:t xml:space="preserve">4</w:t>
      </w:r>
      <w:r>
        <w:rPr>
          <w:rFonts w:hint="eastAsia" w:ascii="宋体" w:hAnsi="宋体" w:cs="宋体"/>
          <w:bCs/>
          <w:color w:val="000000"/>
          <w:sz w:val="24"/>
          <w:szCs w:val="24"/>
          <w:highlight w:val="none"/>
          <w:u w:val="single"/>
        </w:rPr>
        <w:t xml:space="preserve">日9点00分（</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一、项目基本情况</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rPr>
        <w:t xml:space="preserve">JSZC-320904-JSYF-G2025-0001</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项目名称：盐城市大丰区2024年下半年重大动物疫病强制免疫疫苗、耳标采购项目</w:t>
      </w:r>
      <w:r>
        <w:rPr>
          <w:rFonts w:hint="eastAsia" w:ascii="宋体" w:hAnsi="宋体"/>
          <w:color w:val="000000"/>
          <w:sz w:val="24"/>
          <w:szCs w:val="24"/>
          <w:highlight w:val="none"/>
        </w:rPr>
      </w:r>
      <w:r/>
    </w:p>
    <w:p>
      <w:pPr>
        <w:pStyle w:val="957"/>
        <w:ind w:firstLine="480"/>
        <w:spacing w:line="360" w:lineRule="auto"/>
        <w:shd w:val="clear" w:color="auto" w:fill="auto"/>
        <w:rPr>
          <w:rFonts w:cs="宋体"/>
          <w:color w:val="000000"/>
          <w:sz w:val="24"/>
          <w:szCs w:val="24"/>
          <w:highlight w:val="none"/>
        </w:rPr>
      </w:pPr>
      <w:r>
        <w:rPr>
          <w:rFonts w:hint="eastAsia" w:ascii="宋体" w:hAnsi="宋体"/>
          <w:color w:val="000000"/>
          <w:sz w:val="24"/>
          <w:szCs w:val="24"/>
          <w:highlight w:val="none"/>
        </w:rPr>
        <w:t xml:space="preserve">预算金额：147.79万元</w:t>
      </w:r>
      <w:r>
        <w:rPr>
          <w:rFonts w:hint="eastAsia"/>
          <w:color w:val="000000"/>
          <w:sz w:val="24"/>
          <w:szCs w:val="24"/>
          <w:highlight w:val="none"/>
        </w:rPr>
        <w:t xml:space="preserve">，分五个包（其中分包一：</w:t>
      </w:r>
      <w:r>
        <w:rPr>
          <w:rFonts w:hint="eastAsia" w:ascii="宋体" w:hAnsi="宋体"/>
          <w:color w:val="000000"/>
          <w:sz w:val="24"/>
          <w:szCs w:val="24"/>
          <w:highlight w:val="none"/>
        </w:rPr>
        <w:t xml:space="preserve">50</w:t>
      </w:r>
      <w:r>
        <w:rPr>
          <w:rFonts w:ascii="宋体" w:hAnsi="宋体"/>
          <w:color w:val="000000"/>
          <w:sz w:val="24"/>
          <w:szCs w:val="24"/>
          <w:highlight w:val="none"/>
        </w:rPr>
        <w:t xml:space="preserve">万元</w:t>
      </w:r>
      <w:r>
        <w:rPr>
          <w:rFonts w:hint="eastAsia"/>
          <w:color w:val="000000"/>
          <w:sz w:val="24"/>
          <w:szCs w:val="24"/>
          <w:highlight w:val="none"/>
        </w:rPr>
        <w:t xml:space="preserve">）</w:t>
      </w:r>
      <w:r>
        <w:rPr>
          <w:rFonts w:hint="eastAsia" w:ascii="宋体" w:hAnsi="宋体"/>
          <w:color w:val="000000"/>
          <w:sz w:val="24"/>
          <w:highlight w:val="none"/>
        </w:rPr>
        <w:t xml:space="preserve">，全部足额采购。</w:t>
      </w:r>
      <w:r>
        <w:rPr>
          <w:rFonts w:cs="宋体"/>
          <w:color w:val="000000"/>
          <w:sz w:val="24"/>
          <w:szCs w:val="24"/>
          <w:highlight w:val="none"/>
        </w:rPr>
      </w:r>
      <w:r/>
    </w:p>
    <w:p>
      <w:pPr>
        <w:pStyle w:val="957"/>
        <w:ind w:firstLine="480"/>
        <w:spacing w:line="360" w:lineRule="auto"/>
        <w:shd w:val="clear" w:color="auto" w:fill="auto"/>
        <w:rPr>
          <w:b/>
          <w:bCs/>
          <w:color w:val="000000"/>
          <w:sz w:val="24"/>
          <w:szCs w:val="24"/>
          <w:highlight w:val="none"/>
        </w:rPr>
      </w:pPr>
      <w:r>
        <w:rPr>
          <w:rFonts w:hint="eastAsia" w:ascii="宋体" w:hAnsi="宋体"/>
          <w:color w:val="000000"/>
          <w:sz w:val="24"/>
          <w:szCs w:val="24"/>
          <w:highlight w:val="none"/>
        </w:rPr>
        <w:t xml:space="preserve">最高限价：本项目设定最高限价单价，</w:t>
      </w:r>
      <w:r>
        <w:rPr>
          <w:rFonts w:hint="eastAsia"/>
          <w:color w:val="000000"/>
          <w:sz w:val="24"/>
          <w:szCs w:val="24"/>
          <w:highlight w:val="none"/>
        </w:rPr>
        <w:t xml:space="preserve">分</w:t>
      </w:r>
      <w:r>
        <w:rPr>
          <w:rFonts w:hint="eastAsia" w:ascii="宋体" w:hAnsi="宋体"/>
          <w:color w:val="000000"/>
          <w:sz w:val="24"/>
          <w:szCs w:val="24"/>
          <w:highlight w:val="none"/>
        </w:rPr>
        <w:t xml:space="preserve">包1最高限价单价为0.28元/毫升。（每分包预算总价不变，报单价，超过最高限价单价为无效响应）。</w:t>
      </w:r>
      <w:r>
        <w:rPr>
          <w:rFonts w:hint="eastAsia"/>
          <w:color w:val="000000"/>
          <w:sz w:val="24"/>
          <w:szCs w:val="24"/>
          <w:highlight w:val="none"/>
        </w:rPr>
        <w:t xml:space="preserve">全部足额采购。</w:t>
      </w:r>
      <w:r>
        <w:rPr>
          <w:b/>
          <w:bCs/>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需求：盐城市大丰区2024年度重大动物疫病强制免疫所需的疫苗、耳标一批及相关配套服务、疫苗配套稀释液等</w:t>
      </w:r>
      <w:r>
        <w:rPr>
          <w:rFonts w:hint="eastAsia"/>
          <w:color w:val="000000"/>
          <w:sz w:val="24"/>
          <w:szCs w:val="24"/>
          <w:highlight w:val="none"/>
        </w:rPr>
        <w:t xml:space="preserve">。分包1采购内容：重组禽流感病毒(H5+H7)三价灭活疫苗。</w:t>
      </w:r>
      <w:r>
        <w:rPr>
          <w:rFonts w:hint="eastAsia" w:cs="宋体"/>
          <w:color w:val="000000"/>
          <w:sz w:val="24"/>
          <w:szCs w:val="24"/>
          <w:highlight w:val="none"/>
        </w:rPr>
        <w:t xml:space="preserve">详细内容见本招标文件第四章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本次招标项目共分5个包，</w:t>
      </w:r>
      <w:r>
        <w:rPr>
          <w:rFonts w:hint="eastAsia" w:ascii="宋体" w:hAnsi="宋体" w:cs="宋体"/>
          <w:color w:val="000000"/>
          <w:sz w:val="28"/>
          <w:szCs w:val="28"/>
          <w:highlight w:val="none"/>
          <w:lang w:val="en-US" w:eastAsia="zh-CN"/>
        </w:rPr>
        <w:t xml:space="preserve">本次招标为分包一。</w:t>
      </w:r>
      <w:r>
        <w:rPr>
          <w:rFonts w:hint="eastAsia" w:ascii="宋体" w:hAnsi="宋体" w:cs="宋体"/>
          <w:color w:val="000000"/>
          <w:sz w:val="28"/>
          <w:szCs w:val="28"/>
          <w:highlight w:val="none"/>
        </w:rPr>
        <w:t xml:space="preserve">每个供应商仅能中一个包，定包顺序为1包→2包→3包→4包→5包，在上一包评审中被确定为中标人的投标人，不再被推荐为下一包的中标人。不因前面1包的开标、评标确认的第一中标候选人因质疑、投诉、复议被取消第一中标候选人（或中标人）资格，而改变后面开标、评标确定的中标候选人结果。</w:t>
      </w:r>
      <w:r>
        <w:rPr>
          <w:rFonts w:hint="eastAsia" w:ascii="宋体" w:hAnsi="宋体" w:cs="宋体"/>
          <w:color w:val="000000"/>
          <w:sz w:val="28"/>
          <w:szCs w:val="28"/>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合同履行期限：合同签订后半年。</w:t>
      </w:r>
      <w:r>
        <w:rPr>
          <w:rFonts w:hint="eastAsia"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本项目不接受联合体投标。</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二、申请人的资格要求：</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(1)法人或者其他组织的营业执照等证明文件，自然人的身份证明；</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(2)上一年度的财务报表（成立不满一年不需提供）；</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(3)具备履行合同所必需的设备和专业技术能力的书面声明；</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(4)依法缴纳税收和社会保障资金的相关材料</w:t>
      </w: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t xml:space="preserve">；</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bookmarkStart w:id="6" w:name="_Hlk151391965"/>
      <w:r>
        <w:rPr>
          <w:rFonts w:ascii="宋体" w:hAnsi="宋体"/>
          <w:color w:val="000000"/>
          <w:sz w:val="24"/>
          <w:szCs w:val="24"/>
          <w:highlight w:val="none"/>
        </w:rPr>
        <w:t xml:space="preserve">(5)</w:t>
      </w:r>
      <w:bookmarkEnd w:id="6"/>
      <w:r>
        <w:rPr>
          <w:rFonts w:ascii="宋体" w:hAnsi="宋体"/>
          <w:color w:val="000000"/>
          <w:sz w:val="24"/>
          <w:szCs w:val="24"/>
          <w:highlight w:val="none"/>
        </w:rPr>
        <w:t xml:space="preserve">参加政府采购活动前3年内在经营活动中没有重大违法记录的书面声明；</w:t>
      </w:r>
      <w:r>
        <w:rPr>
          <w:rFonts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法律、行政法规规定的其他条件。</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8</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t xml:space="preserve">无</w:t>
      </w:r>
      <w:r>
        <w:rPr>
          <w:rFonts w:ascii="宋体" w:hAnsi="宋体"/>
          <w:color w:val="000000"/>
          <w:sz w:val="24"/>
          <w:szCs w:val="24"/>
          <w:highlight w:val="none"/>
        </w:rPr>
        <w:t xml:space="preserve">。</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3.本项目的特定资格要求：</w:t>
      </w:r>
      <w:r>
        <w:rPr>
          <w:rFonts w:ascii="宋体" w:hAnsi="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ascii="宋体" w:hAnsi="宋体"/>
          <w:color w:val="000000"/>
          <w:sz w:val="24"/>
          <w:szCs w:val="24"/>
          <w:highlight w:val="none"/>
        </w:rPr>
        <w:t xml:space="preserve">(1)</w:t>
      </w:r>
      <w:r>
        <w:rPr>
          <w:rFonts w:hint="eastAsia" w:ascii="宋体" w:hAnsi="宋体" w:cs="宋体"/>
          <w:color w:val="000000"/>
          <w:sz w:val="24"/>
          <w:szCs w:val="24"/>
          <w:highlight w:val="none"/>
        </w:rPr>
        <w:t xml:space="preserve">本项目只接受生产厂家报名不接受经销商报名。</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ascii="宋体" w:hAnsi="宋体"/>
          <w:color w:val="000000"/>
          <w:sz w:val="24"/>
          <w:szCs w:val="24"/>
          <w:highlight w:val="none"/>
        </w:rPr>
        <w:t xml:space="preserve">(2)</w:t>
      </w:r>
      <w:r>
        <w:rPr>
          <w:rFonts w:hint="eastAsia" w:ascii="宋体" w:hAnsi="宋体" w:cs="宋体"/>
          <w:color w:val="000000"/>
          <w:sz w:val="24"/>
          <w:szCs w:val="24"/>
          <w:highlight w:val="none"/>
        </w:rPr>
        <w:t xml:space="preserve">分包1：投标单位须具有所投产品的有效兽药生产许可证及兽药GMP证书，扫描件上传至电子标书。</w:t>
      </w:r>
      <w:r>
        <w:rPr>
          <w:rFonts w:hint="eastAsia" w:ascii="宋体" w:hAnsi="宋体" w:cs="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三、获取招标文件</w:t>
      </w:r>
      <w:r>
        <w:rPr>
          <w:rFonts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1.招标文件获取截止时间：自招标文件公告发布之日至投标文件提交截止之日。</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2.地点：苏采云系统内免费下载，（投标人必须在苏采云系统中获取采购文件，方能参与政府采购项目）。</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3.获取方式：</w:t>
      </w:r>
      <w:r>
        <w:rPr>
          <w:rFonts w:hint="eastAsia" w:ascii="宋体" w:hAnsi="宋体" w:cs="宋体"/>
          <w:color w:val="000000"/>
          <w:sz w:val="24"/>
          <w:highlight w:val="none"/>
        </w:rPr>
        <w:t xml:space="preserve">本项目采用网上注册登记方式。</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3.2 潜在投标人访问“苏采云”系统方法：江苏省政府采购网首页-“苏采云”链接。 </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3.4 采购文件（后缀名为“.kedt”）、供应商操作手册及政府采购客户端工具可通过“苏采云”系统相应链接进行下载。 </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3.5 招标代理机构（采购代理机构）将数据电文形式的采购文件加载至“苏采云”系统，供潜在供应商下载或者查阅。 </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 请潜在投标单位提前安装相应的控件（详见《“苏采云”系统供应商操作手册》）并使用谷歌浏览器登录“苏采云”系统参与不见面开评标。如潜在投标人未按上述要求操作，将自行承担所产生的风险。</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4.售价：免费。</w:t>
      </w:r>
      <w:r>
        <w:rPr>
          <w:rFonts w:hint="eastAsia"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四、提交投标文件截止时间、开标时间和地点</w:t>
      </w:r>
      <w:r>
        <w:rPr>
          <w:rFonts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1.时间：202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24</w:t>
      </w:r>
      <w:r>
        <w:rPr>
          <w:rFonts w:hint="eastAsia" w:ascii="宋体" w:hAnsi="宋体"/>
          <w:color w:val="000000"/>
          <w:sz w:val="24"/>
          <w:szCs w:val="24"/>
          <w:highlight w:val="none"/>
        </w:rPr>
        <w:t xml:space="preserve">日9点00分（北京时间）</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rPr>
          <w:rFonts w:hint="eastAsia"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五、公告期限</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自本公告发布之日起</w:t>
      </w:r>
      <w:r>
        <w:rPr>
          <w:rFonts w:ascii="宋体" w:hAnsi="宋体"/>
          <w:color w:val="000000"/>
          <w:sz w:val="24"/>
          <w:szCs w:val="24"/>
          <w:highlight w:val="none"/>
        </w:rPr>
        <w:t xml:space="preserve">5个工作日。</w:t>
      </w:r>
      <w:r>
        <w:rPr>
          <w:rFonts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六、其他补充事宜</w:t>
      </w:r>
      <w:r>
        <w:rPr>
          <w:rFonts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各投标人在投标截止时间前应当每天都上网查询，以便获取更新的澄清、修改、补充内容。凡涉及到该项目的补充说明和修改，均以中国政府采购网、江苏政府采购网、盐城市政府采购网上的更正或补充通知为准。</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2.投标人不得提供虚假材料谋取中标成交的或采取不正当手段诋毁、排挤其他供应商。</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3.投标人存在串通投标、以他人名义投标、弄虚作假等违法违规行为，或者无正当理由放弃投标、中标资格，造成项目招标失败的，不得参加该项目重新招标的投标。</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4.因供应商的系统环境、操作等原因导致项目参与、开评标过程中出现问题由供应商自行承担负责。</w:t>
      </w:r>
      <w:r>
        <w:rPr>
          <w:rFonts w:hint="eastAsia" w:ascii="宋体" w:hAnsi="宋体"/>
          <w:color w:val="000000"/>
          <w:sz w:val="24"/>
          <w:szCs w:val="24"/>
          <w:highlight w:val="none"/>
        </w:rPr>
      </w:r>
      <w:r/>
    </w:p>
    <w:p>
      <w:pPr>
        <w:pStyle w:val="957"/>
        <w:ind w:firstLine="480"/>
        <w:spacing w:line="48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5.本次招标不收取投标保证金，不收取质量保证金。</w:t>
      </w:r>
      <w:r>
        <w:rPr>
          <w:rFonts w:hint="eastAsia" w:ascii="宋体" w:hAnsi="宋体"/>
          <w:color w:val="000000"/>
          <w:sz w:val="24"/>
          <w:szCs w:val="24"/>
          <w:highlight w:val="none"/>
        </w:rPr>
      </w:r>
      <w:r/>
    </w:p>
    <w:p>
      <w:pPr>
        <w:pStyle w:val="957"/>
        <w:ind w:firstLine="480"/>
        <w:spacing w:line="48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七、对本次招标提出询问，请按以下方式联系。</w:t>
      </w:r>
      <w:r>
        <w:rPr>
          <w:rFonts w:ascii="宋体" w:hAnsi="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称：盐城市大丰区农业农村局</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址：江苏省盐城市大丰区健康西路15号</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联系人：陈先生             </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联系电话：051569698535</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称：江苏昱丰华项目管理有限公司</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址：大丰区人民北路与通港大道交汇处（丰尚国际17层）</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联系人：龚星杰</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联系电话：18118943865 </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联系人：龚星杰</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bCs/>
          <w:color w:val="000000"/>
          <w:highlight w:val="none"/>
        </w:rPr>
      </w:pPr>
      <w:r>
        <w:rPr>
          <w:rFonts w:hint="eastAsia" w:ascii="宋体" w:hAnsi="宋体" w:cs="宋体"/>
          <w:color w:val="000000"/>
          <w:sz w:val="24"/>
          <w:szCs w:val="24"/>
          <w:highlight w:val="none"/>
        </w:rPr>
        <w:t xml:space="preserve">联系电话：18118943865</w:t>
      </w: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959"/>
        <w:shd w:val="clear" w:color="auto" w:fill="auto"/>
        <w:rPr>
          <w:rFonts w:hint="eastAsia" w:ascii="宋体" w:hAnsi="宋体" w:eastAsia="宋体" w:cs="宋体"/>
          <w:color w:val="000000"/>
          <w:highlight w:val="none"/>
        </w:rPr>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7" w:name="_Toc120614211"/>
      <w:r>
        <w:rPr>
          <w:rFonts w:hint="eastAsia" w:ascii="宋体" w:hAnsi="宋体" w:eastAsia="宋体" w:cs="宋体"/>
          <w:color w:val="000000"/>
          <w:highlight w:val="none"/>
        </w:rPr>
      </w:r>
      <w:r/>
    </w:p>
    <w:p>
      <w:pPr>
        <w:pStyle w:val="959"/>
        <w:shd w:val="clear" w:color="auto" w:fill="auto"/>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7"/>
      <w:r/>
      <w:bookmarkStart w:id="8" w:name="_Toc120614213"/>
      <w:r/>
      <w:bookmarkStart w:id="9" w:name="_Toc16938518"/>
      <w:r/>
      <w:bookmarkStart w:id="10" w:name="_Toc20823274"/>
      <w:r/>
      <w:bookmarkStart w:id="11" w:name="_Toc513029202"/>
      <w:r>
        <w:rPr>
          <w:rFonts w:hint="eastAsia" w:ascii="宋体" w:hAnsi="宋体" w:eastAsia="宋体" w:cs="宋体"/>
          <w:color w:val="000000"/>
          <w:highlight w:val="none"/>
        </w:rPr>
        <w:t xml:space="preserve">投标人须知</w:t>
      </w:r>
      <w:bookmarkEnd w:id="8"/>
      <w:r/>
      <w:bookmarkEnd w:id="9"/>
      <w:r/>
      <w:bookmarkEnd w:id="10"/>
      <w:r/>
      <w:bookmarkEnd w:id="11"/>
      <w:r>
        <w:rPr>
          <w:rFonts w:hint="eastAsia" w:ascii="宋体" w:hAnsi="宋体" w:eastAsia="宋体" w:cs="宋体"/>
          <w:b w:val="0"/>
          <w:bCs w:val="0"/>
          <w:color w:val="000000"/>
          <w:highlight w:val="none"/>
        </w:rPr>
      </w:r>
      <w:r/>
    </w:p>
    <w:p>
      <w:pPr>
        <w:pStyle w:val="960"/>
        <w:ind w:firstLine="321"/>
        <w:spacing w:before="145" w:after="145" w:line="360" w:lineRule="auto"/>
        <w:shd w:val="clear" w:color="auto" w:fill="auto"/>
        <w:rPr>
          <w:rFonts w:hint="eastAsia" w:ascii="宋体" w:hAnsi="宋体" w:cs="宋体"/>
          <w:color w:val="000000"/>
          <w:highlight w:val="none"/>
        </w:rPr>
      </w:pPr>
      <w:r/>
      <w:bookmarkStart w:id="12" w:name="_Toc513029203"/>
      <w:r/>
      <w:bookmarkStart w:id="13" w:name="_Toc120614214"/>
      <w:r/>
      <w:bookmarkStart w:id="14" w:name="_Toc20823275"/>
      <w:r/>
      <w:bookmarkStart w:id="15" w:name="_Toc16938519"/>
      <w:r>
        <w:rPr>
          <w:rFonts w:hint="eastAsia" w:ascii="宋体" w:hAnsi="宋体" w:cs="宋体"/>
          <w:color w:val="000000"/>
          <w:highlight w:val="none"/>
        </w:rPr>
        <w:t xml:space="preserve">一、总则</w:t>
      </w:r>
      <w:bookmarkEnd w:id="12"/>
      <w:r/>
      <w:bookmarkEnd w:id="13"/>
      <w:r/>
      <w:bookmarkEnd w:id="14"/>
      <w:r/>
      <w:bookmarkEnd w:id="15"/>
      <w:r>
        <w:rPr>
          <w:rFonts w:hint="eastAsia" w:ascii="宋体" w:hAnsi="宋体" w:cs="宋体"/>
          <w:color w:val="000000"/>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16" w:name="_Hlt16619475"/>
      <w:r/>
      <w:bookmarkEnd w:id="16"/>
      <w:r/>
      <w:bookmarkStart w:id="17" w:name="_Toc458694821"/>
      <w:r/>
      <w:bookmarkStart w:id="18" w:name="_Toc513029204"/>
      <w:r/>
      <w:bookmarkStart w:id="19" w:name="_Toc16938520"/>
      <w:r/>
      <w:bookmarkStart w:id="20" w:name="_Toc20823276"/>
      <w:r>
        <w:rPr>
          <w:rFonts w:hint="eastAsia" w:ascii="宋体" w:hAnsi="宋体" w:eastAsia="宋体" w:cs="宋体"/>
          <w:b w:val="0"/>
          <w:bCs w:val="0"/>
          <w:color w:val="000000"/>
          <w:highlight w:val="none"/>
        </w:rPr>
        <w:t xml:space="preserve">1</w:t>
      </w:r>
      <w:bookmarkEnd w:id="17"/>
      <w:r>
        <w:rPr>
          <w:rFonts w:hint="eastAsia" w:ascii="宋体" w:hAnsi="宋体" w:eastAsia="宋体" w:cs="宋体"/>
          <w:b w:val="0"/>
          <w:bCs w:val="0"/>
          <w:color w:val="000000"/>
          <w:highlight w:val="none"/>
        </w:rPr>
        <w:t xml:space="preserve">、招标方式</w:t>
      </w:r>
      <w:bookmarkEnd w:id="18"/>
      <w:r/>
      <w:bookmarkEnd w:id="19"/>
      <w:r/>
      <w:bookmarkEnd w:id="20"/>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hint="eastAsia" w:ascii="宋体" w:hAnsi="宋体" w:cs="宋体"/>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21" w:name="_Toc20823277"/>
      <w:r/>
      <w:bookmarkStart w:id="22" w:name="_Toc513029205"/>
      <w:r/>
      <w:bookmarkStart w:id="23" w:name="_Toc16938521"/>
      <w:r>
        <w:rPr>
          <w:rFonts w:hint="eastAsia" w:ascii="宋体" w:hAnsi="宋体" w:eastAsia="宋体" w:cs="宋体"/>
          <w:b w:val="0"/>
          <w:bCs w:val="0"/>
          <w:color w:val="000000"/>
          <w:highlight w:val="none"/>
        </w:rPr>
        <w:t xml:space="preserve">2、合格的投标人</w:t>
      </w:r>
      <w:bookmarkEnd w:id="21"/>
      <w:r/>
      <w:bookmarkEnd w:id="22"/>
      <w:r/>
      <w:bookmarkEnd w:id="23"/>
      <w:r>
        <w:rPr>
          <w:rFonts w:hint="eastAsia" w:ascii="宋体" w:hAnsi="宋体" w:eastAsia="宋体" w:cs="宋体"/>
          <w:b w:val="0"/>
          <w:bCs w:val="0"/>
          <w:color w:val="000000"/>
          <w:highlight w:val="none"/>
        </w:rPr>
      </w:r>
      <w:r/>
    </w:p>
    <w:p>
      <w:pPr>
        <w:pStyle w:val="957"/>
        <w:ind w:firstLine="480"/>
        <w:spacing w:line="4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2.1满足招标公告中供应商的资格要求的规定。</w:t>
      </w:r>
      <w:r>
        <w:rPr>
          <w:rFonts w:hint="eastAsia" w:ascii="宋体" w:hAnsi="宋体" w:cs="宋体"/>
          <w:color w:val="000000"/>
          <w:sz w:val="24"/>
          <w:szCs w:val="24"/>
          <w:highlight w:val="none"/>
        </w:rPr>
      </w:r>
      <w:r/>
    </w:p>
    <w:p>
      <w:pPr>
        <w:pStyle w:val="957"/>
        <w:ind w:firstLine="480"/>
        <w:spacing w:line="4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满足本文件实质性条款的规定。</w:t>
      </w:r>
      <w:r>
        <w:rPr>
          <w:rFonts w:hint="eastAsia" w:ascii="宋体" w:hAnsi="宋体" w:cs="宋体"/>
          <w:color w:val="000000"/>
          <w:sz w:val="24"/>
          <w:szCs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24" w:name="_Toc513029206"/>
      <w:r/>
      <w:bookmarkStart w:id="25" w:name="_Toc16938522"/>
      <w:r/>
      <w:bookmarkStart w:id="26" w:name="_Toc20823278"/>
      <w:r>
        <w:rPr>
          <w:rFonts w:hint="eastAsia" w:ascii="宋体" w:hAnsi="宋体" w:eastAsia="宋体" w:cs="宋体"/>
          <w:b w:val="0"/>
          <w:bCs w:val="0"/>
          <w:color w:val="000000"/>
          <w:highlight w:val="none"/>
        </w:rPr>
        <w:t xml:space="preserve">3、适用法律</w:t>
      </w:r>
      <w:bookmarkEnd w:id="24"/>
      <w:r/>
      <w:bookmarkEnd w:id="25"/>
      <w:r/>
      <w:bookmarkEnd w:id="26"/>
      <w:r>
        <w:rPr>
          <w:rFonts w:hint="eastAsia" w:ascii="宋体" w:hAnsi="宋体" w:eastAsia="宋体" w:cs="宋体"/>
          <w:b w:val="0"/>
          <w:bCs w:val="0"/>
          <w:color w:val="000000"/>
          <w:highlight w:val="none"/>
        </w:rPr>
      </w:r>
      <w:r/>
    </w:p>
    <w:p>
      <w:pPr>
        <w:pStyle w:val="957"/>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rPr>
          <w:rFonts w:hint="eastAsia" w:ascii="宋体" w:hAnsi="宋体" w:cs="宋体"/>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27" w:name="_Toc513029207"/>
      <w:r/>
      <w:bookmarkStart w:id="28" w:name="_Toc462564067"/>
      <w:r/>
      <w:bookmarkStart w:id="29" w:name="_Toc20823279"/>
      <w:r/>
      <w:bookmarkStart w:id="30" w:name="_Toc16938523"/>
      <w:r>
        <w:rPr>
          <w:rFonts w:hint="eastAsia" w:ascii="宋体" w:hAnsi="宋体" w:eastAsia="宋体" w:cs="宋体"/>
          <w:b w:val="0"/>
          <w:bCs w:val="0"/>
          <w:color w:val="000000"/>
          <w:highlight w:val="none"/>
        </w:rPr>
        <w:t xml:space="preserve">4、投标费用</w:t>
      </w:r>
      <w:bookmarkEnd w:id="27"/>
      <w:r/>
      <w:bookmarkEnd w:id="28"/>
      <w:r/>
      <w:bookmarkEnd w:id="29"/>
      <w:r/>
      <w:bookmarkEnd w:id="30"/>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4.1 投标人应自行承担所有与参加投标有关的费用，无论投标过程中的做法和结果如何，采购人在任何情况下均无义务和责任承担这些费用。</w:t>
      </w:r>
      <w:r>
        <w:rPr>
          <w:rFonts w:hint="eastAsia" w:ascii="宋体" w:hAnsi="宋体" w:cs="宋体"/>
          <w:color w:val="000000"/>
          <w:sz w:val="24"/>
          <w:highlight w:val="none"/>
        </w:rPr>
      </w:r>
      <w:r/>
    </w:p>
    <w:p>
      <w:pPr>
        <w:pStyle w:val="957"/>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4.2本次招标采购，采购人不收取标书工本费。</w:t>
      </w:r>
      <w:r>
        <w:rPr>
          <w:rFonts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.3</w:t>
      </w:r>
      <w:r>
        <w:rPr>
          <w:rFonts w:hint="eastAsia" w:ascii="宋体" w:hAnsi="宋体" w:cs="宋体"/>
          <w:color w:val="000000"/>
          <w:sz w:val="24"/>
          <w:highlight w:val="none"/>
        </w:rPr>
        <w:t xml:space="preserve">本项目招标代理费向中标单位收取，本项目各分包招标代理费按苏招协【2022】002号文件标准的40%收取，各投标单位报价时，须考虑以上费用。</w:t>
      </w:r>
      <w:r>
        <w:rPr>
          <w:rFonts w:hint="eastAsia" w:ascii="宋体" w:hAnsi="宋体" w:cs="宋体"/>
          <w:color w:val="000000"/>
          <w:sz w:val="24"/>
          <w:highlight w:val="none"/>
        </w:rPr>
      </w:r>
      <w:r/>
    </w:p>
    <w:p>
      <w:pPr>
        <w:pStyle w:val="961"/>
        <w:ind w:firstLine="452"/>
        <w:spacing w:before="0" w:after="0" w:line="480" w:lineRule="exact"/>
        <w:shd w:val="clear" w:color="auto" w:fill="auto"/>
        <w:rPr>
          <w:rFonts w:hint="eastAsia" w:ascii="宋体" w:hAnsi="宋体" w:eastAsia="宋体" w:cs="宋体"/>
          <w:b w:val="0"/>
          <w:bCs w:val="0"/>
          <w:color w:val="000000"/>
          <w:highlight w:val="none"/>
        </w:rPr>
      </w:pPr>
      <w:r>
        <w:rPr>
          <w:rFonts w:hint="eastAsia" w:ascii="宋体" w:hAnsi="宋体" w:eastAsia="宋体" w:cs="宋体"/>
          <w:color w:val="000000"/>
          <w:sz w:val="30"/>
          <w:highlight w:val="none"/>
        </w:rPr>
        <w:t xml:space="preserve">5、</w:t>
      </w:r>
      <w:r>
        <w:rPr>
          <w:rFonts w:hint="eastAsia" w:ascii="宋体" w:hAnsi="宋体" w:eastAsia="宋体" w:cs="宋体"/>
          <w:b w:val="0"/>
          <w:bCs w:val="0"/>
          <w:color w:val="000000"/>
          <w:highlight w:val="none"/>
        </w:rPr>
        <w:t xml:space="preserve">招标文件的约束力</w:t>
      </w:r>
      <w:r>
        <w:rPr>
          <w:rFonts w:hint="eastAsia" w:ascii="宋体" w:hAnsi="宋体" w:eastAsia="宋体" w:cs="宋体"/>
          <w:b w:val="0"/>
          <w:bCs w:val="0"/>
          <w:color w:val="000000"/>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5.1</w:t>
      </w:r>
      <w:r>
        <w:rPr>
          <w:rFonts w:hint="eastAsia" w:ascii="宋体" w:hAnsi="宋体" w:cs="宋体"/>
          <w:color w:val="000000"/>
          <w:sz w:val="24"/>
          <w:szCs w:val="24"/>
          <w:highlight w:val="none"/>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cs="宋体"/>
          <w:color w:val="000000"/>
          <w:sz w:val="24"/>
          <w:szCs w:val="24"/>
          <w:highlight w:val="none"/>
        </w:rPr>
      </w:r>
      <w:r/>
    </w:p>
    <w:p>
      <w:pPr>
        <w:pStyle w:val="961"/>
        <w:ind w:firstLine="420"/>
        <w:spacing w:before="0" w:after="0" w:line="480" w:lineRule="exact"/>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6、招标文件的解释</w:t>
      </w:r>
      <w:r>
        <w:rPr>
          <w:rFonts w:hint="eastAsia" w:ascii="宋体" w:hAnsi="宋体" w:eastAsia="宋体" w:cs="宋体"/>
          <w:b w:val="0"/>
          <w:bCs w:val="0"/>
          <w:color w:val="000000"/>
          <w:highlight w:val="none"/>
        </w:rPr>
      </w:r>
      <w:r/>
    </w:p>
    <w:p>
      <w:pPr>
        <w:pStyle w:val="957"/>
        <w:ind w:firstLine="480"/>
        <w:spacing w:line="480" w:lineRule="exact"/>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 本招标文件由</w:t>
      </w:r>
      <w:r>
        <w:rPr>
          <w:rFonts w:hint="eastAsia" w:ascii="宋体" w:hAnsi="宋体" w:cs="宋体"/>
          <w:bCs/>
          <w:color w:val="000000"/>
          <w:sz w:val="24"/>
          <w:highlight w:val="none"/>
        </w:rPr>
        <w:t xml:space="preserve">采购人</w:t>
      </w:r>
      <w:r>
        <w:rPr>
          <w:rFonts w:hint="eastAsia" w:ascii="宋体" w:hAnsi="宋体" w:cs="宋体"/>
          <w:bCs/>
          <w:color w:val="000000"/>
          <w:sz w:val="24"/>
          <w:szCs w:val="24"/>
          <w:highlight w:val="none"/>
        </w:rPr>
        <w:t xml:space="preserve">负责解释。</w:t>
      </w:r>
      <w:r>
        <w:rPr>
          <w:rFonts w:hint="eastAsia" w:ascii="宋体" w:hAnsi="宋体" w:cs="宋体"/>
          <w:bCs/>
          <w:color w:val="000000"/>
          <w:sz w:val="24"/>
          <w:szCs w:val="24"/>
          <w:highlight w:val="none"/>
        </w:rPr>
      </w:r>
      <w:r/>
    </w:p>
    <w:p>
      <w:pPr>
        <w:pStyle w:val="960"/>
        <w:ind w:firstLine="321"/>
        <w:spacing w:before="145" w:after="145" w:line="360" w:lineRule="auto"/>
        <w:shd w:val="clear" w:color="auto" w:fill="auto"/>
        <w:rPr>
          <w:rFonts w:hint="eastAsia" w:ascii="宋体" w:hAnsi="宋体" w:cs="宋体"/>
          <w:color w:val="000000"/>
          <w:highlight w:val="none"/>
        </w:rPr>
      </w:pPr>
      <w:r/>
      <w:bookmarkStart w:id="31" w:name="_Toc120614215"/>
      <w:r/>
      <w:bookmarkStart w:id="32" w:name="_Toc513029209"/>
      <w:r/>
      <w:bookmarkStart w:id="33" w:name="_Toc16938525"/>
      <w:r/>
      <w:bookmarkStart w:id="34" w:name="_Toc20823281"/>
      <w:r>
        <w:rPr>
          <w:rFonts w:hint="eastAsia" w:ascii="宋体" w:hAnsi="宋体" w:cs="宋体"/>
          <w:color w:val="000000"/>
          <w:highlight w:val="none"/>
        </w:rPr>
        <w:t xml:space="preserve">二、招标文件</w:t>
      </w:r>
      <w:bookmarkEnd w:id="31"/>
      <w:r/>
      <w:bookmarkEnd w:id="32"/>
      <w:r/>
      <w:bookmarkEnd w:id="33"/>
      <w:r/>
      <w:bookmarkEnd w:id="34"/>
      <w:r>
        <w:rPr>
          <w:rFonts w:hint="eastAsia" w:ascii="宋体" w:hAnsi="宋体" w:cs="宋体"/>
          <w:color w:val="000000"/>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35" w:name="_Toc20823282"/>
      <w:r/>
      <w:bookmarkStart w:id="36" w:name="_Toc16938526"/>
      <w:r/>
      <w:bookmarkStart w:id="37" w:name="_Toc513029210"/>
      <w:r>
        <w:rPr>
          <w:rFonts w:hint="eastAsia" w:ascii="宋体" w:hAnsi="宋体" w:eastAsia="宋体" w:cs="宋体"/>
          <w:b w:val="0"/>
          <w:bCs w:val="0"/>
          <w:color w:val="000000"/>
          <w:highlight w:val="none"/>
        </w:rPr>
        <w:t xml:space="preserve">7、招标文件构成</w:t>
      </w:r>
      <w:bookmarkEnd w:id="35"/>
      <w:r/>
      <w:bookmarkEnd w:id="36"/>
      <w:r/>
      <w:bookmarkEnd w:id="37"/>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7.1 招标文件有以下部分组成：</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（1）招标公告</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（2）投标人须知</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（3）合同条款及格式</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（4）项目需求</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（6）投标文件格式</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请仔细检查招标文件是否齐全，如有缺漏请立即与采购人联系解决。</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7.2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38" w:name="_Toc16938527"/>
      <w:r/>
      <w:bookmarkStart w:id="39" w:name="_Toc20823283"/>
      <w:r/>
      <w:bookmarkStart w:id="40" w:name="_Toc462564070"/>
      <w:r/>
      <w:bookmarkStart w:id="41" w:name="_Toc513029211"/>
      <w:r>
        <w:rPr>
          <w:rFonts w:hint="eastAsia" w:ascii="宋体" w:hAnsi="宋体" w:eastAsia="宋体" w:cs="宋体"/>
          <w:b w:val="0"/>
          <w:bCs w:val="0"/>
          <w:color w:val="000000"/>
          <w:highlight w:val="none"/>
        </w:rPr>
        <w:t xml:space="preserve">8、招标文件的</w:t>
      </w:r>
      <w:bookmarkEnd w:id="38"/>
      <w:r/>
      <w:bookmarkEnd w:id="39"/>
      <w:r/>
      <w:bookmarkEnd w:id="40"/>
      <w:r/>
      <w:bookmarkEnd w:id="41"/>
      <w:r>
        <w:rPr>
          <w:rFonts w:hint="eastAsia" w:ascii="宋体" w:hAnsi="宋体" w:eastAsia="宋体" w:cs="宋体"/>
          <w:b w:val="0"/>
          <w:bCs w:val="0"/>
          <w:color w:val="000000"/>
          <w:highlight w:val="none"/>
        </w:rPr>
        <w:t xml:space="preserve">询问</w:t>
      </w:r>
      <w:r>
        <w:rPr>
          <w:rFonts w:hint="eastAsia" w:ascii="宋体" w:hAnsi="宋体" w:eastAsia="宋体" w:cs="宋体"/>
          <w:b w:val="0"/>
          <w:bCs w:val="0"/>
          <w:color w:val="000000"/>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任何要求对招标文件进行询问的投标人，应在投标截止日期</w:t>
      </w:r>
      <w:r>
        <w:rPr>
          <w:rFonts w:hint="eastAsia" w:ascii="宋体" w:hAnsi="宋体" w:cs="宋体"/>
          <w:b/>
          <w:color w:val="000000"/>
          <w:sz w:val="24"/>
          <w:szCs w:val="24"/>
          <w:highlight w:val="none"/>
        </w:rPr>
        <w:t xml:space="preserve">十日</w:t>
      </w:r>
      <w:r>
        <w:rPr>
          <w:rFonts w:hint="eastAsia" w:ascii="宋体" w:hAnsi="宋体" w:cs="宋体"/>
          <w:color w:val="000000"/>
          <w:sz w:val="24"/>
          <w:szCs w:val="24"/>
          <w:highlight w:val="none"/>
        </w:rPr>
        <w:t xml:space="preserve">前</w:t>
      </w:r>
      <w:r>
        <w:rPr>
          <w:rFonts w:hint="eastAsia" w:ascii="宋体" w:hAnsi="宋体" w:cs="宋体"/>
          <w:color w:val="000000"/>
          <w:sz w:val="24"/>
          <w:highlight w:val="none"/>
        </w:rPr>
        <w:t xml:space="preserve">按招标公告中的通讯地址，向采购人提出。</w:t>
      </w:r>
      <w:r>
        <w:rPr>
          <w:rFonts w:hint="eastAsia" w:ascii="宋体" w:hAnsi="宋体" w:cs="宋体"/>
          <w:color w:val="000000"/>
          <w:sz w:val="24"/>
          <w:szCs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42" w:name="_Toc16938528"/>
      <w:r/>
      <w:bookmarkStart w:id="43" w:name="_Toc20823284"/>
      <w:r/>
      <w:bookmarkStart w:id="44" w:name="_Toc513029212"/>
      <w:r/>
      <w:bookmarkStart w:id="45" w:name="_Toc462564071"/>
      <w:r>
        <w:rPr>
          <w:rFonts w:hint="eastAsia" w:ascii="宋体" w:hAnsi="宋体" w:eastAsia="宋体" w:cs="宋体"/>
          <w:b w:val="0"/>
          <w:bCs w:val="0"/>
          <w:color w:val="000000"/>
          <w:highlight w:val="none"/>
        </w:rPr>
        <w:t xml:space="preserve">9、招标文件的修改</w:t>
      </w:r>
      <w:bookmarkEnd w:id="42"/>
      <w:r/>
      <w:bookmarkEnd w:id="43"/>
      <w:r/>
      <w:bookmarkEnd w:id="44"/>
      <w:r/>
      <w:bookmarkEnd w:id="45"/>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9.1 在投标截止时间前，采购人可以对招标文件进行修改。</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9.2采购人有权依法推迟投标截止日期和开标日期。</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9.3招标文件的澄清或者修改的内容将在</w:t>
      </w:r>
      <w:r>
        <w:rPr>
          <w:rFonts w:hint="eastAsia" w:ascii="宋体" w:hAnsi="宋体"/>
          <w:color w:val="000000"/>
          <w:sz w:val="24"/>
          <w:szCs w:val="24"/>
          <w:highlight w:val="none"/>
        </w:rPr>
        <w:t xml:space="preserve">“中国政府采购网”、 “江苏政府采购网”、“盐城市政府采购网”</w:t>
      </w:r>
      <w:r>
        <w:rPr>
          <w:rFonts w:hint="eastAsia" w:ascii="宋体" w:hAnsi="宋体" w:cs="宋体"/>
          <w:color w:val="000000"/>
          <w:sz w:val="24"/>
          <w:highlight w:val="none"/>
        </w:rPr>
        <w:t xml:space="preserve">公布，澄清或者修改的内容将作为招标文件的组成部分，并对投标人具有约束力。</w:t>
      </w:r>
      <w:r>
        <w:rPr>
          <w:rFonts w:hint="eastAsia" w:ascii="宋体" w:hAnsi="宋体" w:cs="宋体"/>
          <w:color w:val="000000"/>
          <w:sz w:val="24"/>
          <w:highlight w:val="none"/>
        </w:rPr>
      </w:r>
      <w:r/>
    </w:p>
    <w:p>
      <w:pPr>
        <w:pStyle w:val="960"/>
        <w:ind w:firstLine="321"/>
        <w:spacing w:before="145" w:after="145" w:line="360" w:lineRule="auto"/>
        <w:shd w:val="clear" w:color="auto" w:fill="auto"/>
        <w:rPr>
          <w:rFonts w:hint="eastAsia" w:ascii="宋体" w:hAnsi="宋体" w:cs="宋体"/>
          <w:color w:val="000000"/>
          <w:highlight w:val="none"/>
        </w:rPr>
      </w:pPr>
      <w:r/>
      <w:bookmarkStart w:id="46" w:name="_Toc120614216"/>
      <w:r/>
      <w:bookmarkStart w:id="47" w:name="_Toc20823285"/>
      <w:r/>
      <w:bookmarkStart w:id="48" w:name="_Toc513029213"/>
      <w:r/>
      <w:bookmarkStart w:id="49" w:name="_Toc16938529"/>
      <w:r/>
      <w:bookmarkStart w:id="50" w:name="_Toc462564072"/>
      <w:r>
        <w:rPr>
          <w:rFonts w:hint="eastAsia" w:ascii="宋体" w:hAnsi="宋体" w:cs="宋体"/>
          <w:color w:val="000000"/>
          <w:highlight w:val="none"/>
        </w:rPr>
        <w:t xml:space="preserve">三、投标文件的编制</w:t>
      </w:r>
      <w:bookmarkEnd w:id="46"/>
      <w:r/>
      <w:bookmarkEnd w:id="47"/>
      <w:r/>
      <w:bookmarkEnd w:id="48"/>
      <w:r/>
      <w:bookmarkEnd w:id="49"/>
      <w:r/>
      <w:bookmarkEnd w:id="50"/>
      <w:r>
        <w:rPr>
          <w:rFonts w:hint="eastAsia" w:ascii="宋体" w:hAnsi="宋体" w:cs="宋体"/>
          <w:color w:val="000000"/>
          <w:highlight w:val="none"/>
        </w:rPr>
      </w:r>
      <w:r/>
    </w:p>
    <w:p>
      <w:pPr>
        <w:pStyle w:val="961"/>
        <w:ind w:firstLine="420"/>
        <w:spacing w:before="0" w:after="0" w:line="240" w:lineRule="auto"/>
        <w:shd w:val="clear" w:color="auto" w:fill="auto"/>
        <w:rPr>
          <w:rFonts w:hint="eastAsia" w:ascii="宋体" w:hAnsi="宋体" w:eastAsia="宋体" w:cs="宋体"/>
          <w:bCs w:val="0"/>
          <w:color w:val="000000"/>
          <w:highlight w:val="none"/>
        </w:rPr>
      </w:pPr>
      <w:r/>
      <w:bookmarkStart w:id="51" w:name="_Toc462564073"/>
      <w:r/>
      <w:bookmarkStart w:id="52" w:name="_Toc513029214"/>
      <w:r/>
      <w:bookmarkStart w:id="53" w:name="_Toc16938530"/>
      <w:r/>
      <w:bookmarkStart w:id="54" w:name="_Toc20823286"/>
      <w:r>
        <w:rPr>
          <w:rFonts w:hint="eastAsia" w:ascii="宋体" w:hAnsi="宋体" w:eastAsia="宋体" w:cs="宋体"/>
          <w:b w:val="0"/>
          <w:bCs w:val="0"/>
          <w:color w:val="000000"/>
          <w:highlight w:val="none"/>
        </w:rPr>
        <w:t xml:space="preserve">10、投标文件的语言及度量衡单位</w:t>
      </w:r>
      <w:bookmarkEnd w:id="51"/>
      <w:r/>
      <w:bookmarkEnd w:id="52"/>
      <w:r/>
      <w:bookmarkEnd w:id="53"/>
      <w:r/>
      <w:bookmarkEnd w:id="54"/>
      <w:r>
        <w:rPr>
          <w:rFonts w:hint="eastAsia" w:ascii="宋体" w:hAnsi="宋体" w:eastAsia="宋体" w:cs="宋体"/>
          <w:bCs w:val="0"/>
          <w:color w:val="000000"/>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10.1</w:t>
      </w:r>
      <w:r>
        <w:rPr>
          <w:rFonts w:hint="eastAsia" w:ascii="宋体" w:hAnsi="宋体" w:cs="宋体"/>
          <w:color w:val="000000"/>
          <w:sz w:val="24"/>
          <w:highlight w:val="none"/>
        </w:rPr>
        <w:t xml:space="preserve"> 投标人提交的投标文件以及投标人与采购人就有关投标的所有来往通知、函件和文件均应使用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10.2</w:t>
      </w:r>
      <w:r>
        <w:rPr>
          <w:rFonts w:hint="eastAsia" w:ascii="宋体" w:hAnsi="宋体" w:cs="宋体"/>
          <w:color w:val="000000"/>
          <w:sz w:val="24"/>
          <w:highlight w:val="none"/>
        </w:rPr>
        <w:t xml:space="preserve"> 除技术性能另有规定外，投标文件所使用的度量衡单位，均须采用国家法定计量单位。</w:t>
      </w:r>
      <w:r>
        <w:rPr>
          <w:rFonts w:hint="eastAsia" w:ascii="宋体" w:hAnsi="宋体" w:cs="宋体"/>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55" w:name="_Toc513029215"/>
      <w:r/>
      <w:bookmarkStart w:id="56" w:name="_Toc462564074"/>
      <w:r/>
      <w:bookmarkStart w:id="57" w:name="_Toc16938531"/>
      <w:r/>
      <w:bookmarkStart w:id="58" w:name="_Toc20823287"/>
      <w:r>
        <w:rPr>
          <w:rFonts w:hint="eastAsia" w:ascii="宋体" w:hAnsi="宋体" w:eastAsia="宋体" w:cs="宋体"/>
          <w:b w:val="0"/>
          <w:bCs w:val="0"/>
          <w:color w:val="000000"/>
          <w:highlight w:val="none"/>
        </w:rPr>
        <w:t xml:space="preserve">11、投标文件构成</w:t>
      </w:r>
      <w:bookmarkEnd w:id="55"/>
      <w:r/>
      <w:bookmarkEnd w:id="56"/>
      <w:r/>
      <w:bookmarkEnd w:id="57"/>
      <w:r/>
      <w:bookmarkEnd w:id="58"/>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color w:val="000000"/>
          <w:sz w:val="24"/>
          <w:highlight w:val="none"/>
        </w:rPr>
      </w:pPr>
      <w:r/>
      <w:bookmarkStart w:id="59" w:name="_Hlt26670360"/>
      <w:r/>
      <w:bookmarkEnd w:id="59"/>
      <w:r/>
      <w:bookmarkStart w:id="60" w:name="_Hlt26954838"/>
      <w:r/>
      <w:bookmarkEnd w:id="60"/>
      <w:r/>
      <w:bookmarkStart w:id="61" w:name="_Hlt26668975"/>
      <w:r/>
      <w:bookmarkEnd w:id="61"/>
      <w:r/>
      <w:bookmarkStart w:id="62" w:name="_Toc14577357"/>
      <w:r/>
      <w:bookmarkStart w:id="63" w:name="_Toc49090509"/>
      <w:r/>
      <w:bookmarkStart w:id="64" w:name="_Toc513029219"/>
      <w:r/>
      <w:bookmarkStart w:id="65" w:name="_Toc513029216"/>
      <w:r/>
      <w:bookmarkStart w:id="66" w:name="_Toc49090507"/>
      <w:r/>
      <w:bookmarkStart w:id="67" w:name="_Toc14577354"/>
      <w:r>
        <w:rPr>
          <w:rFonts w:hint="eastAsia" w:ascii="宋体" w:hAnsi="宋体" w:cs="宋体"/>
          <w:color w:val="000000"/>
          <w:sz w:val="24"/>
          <w:highlight w:val="none"/>
        </w:rPr>
        <w:t xml:space="preserve">11.1 投标文件至少应提交（包含并不限于）以下投标材料：(请各单位根据实际情况进行调整)</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11.1.1 资信证明文件</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11.1.2 资格性审查响应对照表</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11.1.3 符合性检查响应对照表</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11.1.4 投标函</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11.1.5 开标一览表（详见投标文件格式，用于唱标）</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11.1.6 投标报价分项表（详见招标文件格式）</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11.1.7 技术部分</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11.1.8 招标文件中规定要求提供的证明材料和投标人认为需要提供的其他材料</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11.1.9 盐城市大丰区政府采购供应商承诺书</w:t>
      </w:r>
      <w:r>
        <w:rPr>
          <w:rFonts w:hint="eastAsia" w:ascii="宋体" w:hAnsi="宋体" w:cs="宋体"/>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12、</w:t>
      </w:r>
      <w:bookmarkEnd w:id="62"/>
      <w:r/>
      <w:bookmarkEnd w:id="63"/>
      <w:r/>
      <w:bookmarkEnd w:id="64"/>
      <w:r>
        <w:rPr>
          <w:rFonts w:hint="eastAsia" w:ascii="宋体" w:hAnsi="宋体" w:eastAsia="宋体" w:cs="宋体"/>
          <w:b w:val="0"/>
          <w:bCs w:val="0"/>
          <w:color w:val="000000"/>
          <w:highlight w:val="none"/>
        </w:rPr>
        <w:t xml:space="preserve">证明投标人资格及符合招标文件规定的文件</w:t>
      </w:r>
      <w:r>
        <w:rPr>
          <w:rFonts w:hint="eastAsia" w:ascii="宋体" w:hAnsi="宋体" w:eastAsia="宋体" w:cs="宋体"/>
          <w:b w:val="0"/>
          <w:bCs w:val="0"/>
          <w:color w:val="000000"/>
          <w:highlight w:val="none"/>
        </w:rPr>
      </w:r>
      <w:r/>
    </w:p>
    <w:p>
      <w:pPr>
        <w:pStyle w:val="957"/>
        <w:ind w:firstLine="480"/>
        <w:spacing w:line="360" w:lineRule="auto"/>
        <w:shd w:val="clear" w:color="auto" w:fill="auto"/>
        <w:rPr>
          <w:rFonts w:hint="eastAsia" w:ascii="宋体" w:hAnsi="宋体" w:cs="宋体"/>
          <w:color w:val="000000"/>
          <w:sz w:val="24"/>
          <w:highlight w:val="none"/>
        </w:rPr>
      </w:pPr>
      <w:r/>
      <w:bookmarkEnd w:id="65"/>
      <w:r/>
      <w:bookmarkEnd w:id="66"/>
      <w:r/>
      <w:bookmarkEnd w:id="67"/>
      <w:r/>
      <w:bookmarkStart w:id="68" w:name="_Toc14577355"/>
      <w:r/>
      <w:bookmarkStart w:id="69" w:name="_Toc49090508"/>
      <w:r>
        <w:rPr>
          <w:rFonts w:hint="eastAsia" w:ascii="宋体" w:hAnsi="宋体" w:cs="宋体"/>
          <w:color w:val="000000"/>
          <w:sz w:val="24"/>
          <w:highlight w:val="none"/>
        </w:rPr>
        <w:t xml:space="preserve">12.1</w:t>
      </w:r>
      <w:bookmarkStart w:id="70" w:name="_Hlt26668999"/>
      <w:r/>
      <w:bookmarkEnd w:id="70"/>
      <w:r>
        <w:rPr>
          <w:rFonts w:hint="eastAsia" w:ascii="宋体" w:hAnsi="宋体" w:cs="宋体"/>
          <w:color w:val="000000"/>
          <w:sz w:val="24"/>
          <w:highlight w:val="none"/>
        </w:rPr>
        <w:t xml:space="preserve">投标人应按要求提交资格证明文件及符合招标文件规定的文件。</w:t>
      </w:r>
      <w:r>
        <w:rPr>
          <w:rFonts w:hint="eastAsia" w:ascii="宋体" w:hAnsi="宋体" w:cs="宋体"/>
          <w:color w:val="000000"/>
          <w:sz w:val="24"/>
          <w:highlight w:val="none"/>
        </w:rPr>
      </w:r>
      <w:r/>
    </w:p>
    <w:p>
      <w:pPr>
        <w:pStyle w:val="957"/>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12.2投标人应提交证明其有资格参加投标和中标后有能力独立履行合同的文件。</w:t>
      </w:r>
      <w:r>
        <w:rPr>
          <w:rFonts w:hint="eastAsia" w:ascii="宋体" w:hAnsi="宋体" w:cs="宋体"/>
          <w:color w:val="000000"/>
          <w:sz w:val="24"/>
          <w:highlight w:val="none"/>
        </w:rPr>
      </w:r>
      <w:r/>
    </w:p>
    <w:p>
      <w:pPr>
        <w:pStyle w:val="957"/>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12.3投标人除必须具有履行合同所需提供的服务的能力外，还必须具备相应的财务、技术方面的能力。</w:t>
      </w:r>
      <w:r>
        <w:rPr>
          <w:rFonts w:hint="eastAsia" w:ascii="宋体" w:hAnsi="宋体" w:cs="宋体"/>
          <w:color w:val="000000"/>
          <w:sz w:val="24"/>
          <w:highlight w:val="none"/>
        </w:rPr>
      </w:r>
      <w:r/>
    </w:p>
    <w:p>
      <w:pPr>
        <w:pStyle w:val="957"/>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12.4投标人应提交根据合同要求提供的证明产品质量合格以及符合招标文件规定的证明文件。</w:t>
      </w:r>
      <w:r>
        <w:rPr>
          <w:rFonts w:hint="eastAsia" w:ascii="宋体" w:hAnsi="宋体" w:cs="宋体"/>
          <w:color w:val="000000"/>
          <w:sz w:val="24"/>
          <w:highlight w:val="none"/>
        </w:rPr>
      </w:r>
      <w:r/>
    </w:p>
    <w:p>
      <w:pPr>
        <w:pStyle w:val="957"/>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12.5证明投标人所提供服务与招标文件的要求相一致的文件可以是手册、图纸、文字资料和数据</w:t>
      </w:r>
      <w:r>
        <w:rPr>
          <w:rFonts w:hint="eastAsia" w:ascii="宋体" w:hAnsi="宋体" w:cs="宋体"/>
          <w:bCs/>
          <w:color w:val="000000"/>
          <w:sz w:val="24"/>
          <w:highlight w:val="none"/>
        </w:rPr>
        <w:t xml:space="preserve">。</w:t>
      </w:r>
      <w:r>
        <w:rPr>
          <w:rFonts w:hint="eastAsia" w:ascii="宋体" w:hAnsi="宋体" w:cs="宋体"/>
          <w:color w:val="000000"/>
          <w:sz w:val="24"/>
          <w:szCs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13、报价</w:t>
      </w:r>
      <w:bookmarkEnd w:id="68"/>
      <w:r/>
      <w:bookmarkStart w:id="71" w:name="_Hlt26670373"/>
      <w:r/>
      <w:bookmarkEnd w:id="71"/>
      <w:r>
        <w:rPr>
          <w:rFonts w:hint="eastAsia" w:ascii="宋体" w:hAnsi="宋体" w:eastAsia="宋体" w:cs="宋体"/>
          <w:b w:val="0"/>
          <w:bCs w:val="0"/>
          <w:color w:val="000000"/>
          <w:highlight w:val="none"/>
        </w:rPr>
        <w:t xml:space="preserve">表</w:t>
      </w:r>
      <w:bookmarkEnd w:id="69"/>
      <w:r>
        <w:rPr>
          <w:rFonts w:hint="eastAsia" w:ascii="宋体" w:hAnsi="宋体" w:eastAsia="宋体" w:cs="宋体"/>
          <w:b w:val="0"/>
          <w:bCs w:val="0"/>
          <w:color w:val="000000"/>
          <w:highlight w:val="none"/>
        </w:rPr>
      </w:r>
      <w:r/>
    </w:p>
    <w:p>
      <w:pPr>
        <w:pStyle w:val="957"/>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13.1  采购人将拒绝高于最高限价的投标报价。</w:t>
      </w:r>
      <w:r>
        <w:rPr>
          <w:rFonts w:hint="eastAsia" w:ascii="宋体" w:hAnsi="宋体" w:cs="宋体"/>
          <w:bCs/>
          <w:color w:val="000000"/>
          <w:sz w:val="24"/>
          <w:highlight w:val="none"/>
          <w:lang w:val="zh-CN"/>
        </w:rPr>
      </w:r>
      <w:r/>
    </w:p>
    <w:p>
      <w:pPr>
        <w:pStyle w:val="957"/>
        <w:ind w:firstLine="480"/>
        <w:spacing w:line="360" w:lineRule="auto"/>
        <w:shd w:val="clear" w:color="auto" w:fill="auto"/>
        <w:rPr>
          <w:rFonts w:hint="eastAsia" w:ascii="宋体" w:hAnsi="Arial" w:cs="宋体"/>
          <w:bCs/>
          <w:color w:val="000000"/>
          <w:sz w:val="24"/>
          <w:highlight w:val="none"/>
          <w:lang w:val="zh-CN"/>
        </w:rPr>
      </w:pPr>
      <w:r>
        <w:rPr>
          <w:rFonts w:hint="eastAsia" w:ascii="宋体" w:hAnsi="宋体" w:cs="宋体"/>
          <w:bCs/>
          <w:color w:val="000000"/>
          <w:sz w:val="24"/>
          <w:highlight w:val="none"/>
          <w:lang w:val="zh-CN"/>
        </w:rPr>
        <w:t xml:space="preserve">13.2  </w:t>
      </w:r>
      <w:r>
        <w:rPr>
          <w:rFonts w:ascii="宋体" w:hAnsi="Arial" w:cs="宋体"/>
          <w:bCs/>
          <w:color w:val="000000"/>
          <w:sz w:val="24"/>
          <w:highlight w:val="none"/>
          <w:lang w:val="zh-CN"/>
        </w:rPr>
        <w:t xml:space="preserve">投标</w:t>
      </w:r>
      <w:r>
        <w:rPr>
          <w:rFonts w:hint="eastAsia" w:ascii="宋体" w:hAnsi="Arial" w:cs="宋体"/>
          <w:bCs/>
          <w:color w:val="000000"/>
          <w:sz w:val="24"/>
          <w:highlight w:val="none"/>
          <w:lang w:val="zh-CN"/>
        </w:rPr>
        <w:t xml:space="preserve">配置和分项明细</w:t>
      </w:r>
      <w:r>
        <w:rPr>
          <w:rFonts w:ascii="宋体" w:hAnsi="Arial" w:cs="宋体"/>
          <w:bCs/>
          <w:color w:val="000000"/>
          <w:sz w:val="24"/>
          <w:highlight w:val="none"/>
          <w:lang w:val="zh-CN"/>
        </w:rPr>
        <w:t xml:space="preserve">报价</w:t>
      </w:r>
      <w:r>
        <w:rPr>
          <w:rFonts w:hint="eastAsia" w:ascii="宋体" w:hAnsi="Arial" w:cs="宋体"/>
          <w:bCs/>
          <w:color w:val="000000"/>
          <w:sz w:val="24"/>
          <w:highlight w:val="none"/>
          <w:lang w:val="zh-CN"/>
        </w:rPr>
        <w:t xml:space="preserve">，</w:t>
      </w:r>
      <w:r>
        <w:rPr>
          <w:rFonts w:hint="eastAsia" w:ascii="宋体" w:hAnsi="宋体"/>
          <w:color w:val="000000"/>
          <w:sz w:val="24"/>
          <w:highlight w:val="none"/>
        </w:rPr>
        <w:t xml:space="preserve">投标报价应是在投标文件所承诺的合同履行期限内并达到投标人所承诺的质量标准为完成招标文件所确定的招标范围的全部内容所需费用的全部价格体现。投标人应充分考虑为完成上述内容所必须的应包括两年内为完成本项目服务可能发生的全部费用及利润和税金等（包括例行监测过程中单个样品所产生的所有费用、人员食宿与交通、安全教育、安全管理、事故赔偿）等一切费用</w:t>
      </w:r>
      <w:r>
        <w:rPr>
          <w:rFonts w:hint="eastAsia" w:ascii="宋体" w:hAnsi="Arial" w:cs="宋体"/>
          <w:bCs/>
          <w:color w:val="000000"/>
          <w:sz w:val="24"/>
          <w:highlight w:val="none"/>
          <w:lang w:val="zh-CN"/>
        </w:rPr>
        <w:t xml:space="preserve">。</w:t>
      </w:r>
      <w:r>
        <w:rPr>
          <w:rFonts w:hint="eastAsia" w:ascii="宋体" w:hAnsi="Arial" w:cs="宋体"/>
          <w:bCs/>
          <w:color w:val="000000"/>
          <w:sz w:val="24"/>
          <w:highlight w:val="none"/>
          <w:lang w:val="zh-CN"/>
        </w:rPr>
      </w:r>
      <w:r/>
    </w:p>
    <w:p>
      <w:pPr>
        <w:pStyle w:val="957"/>
        <w:ind w:firstLine="480"/>
        <w:spacing w:line="48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t xml:space="preserve">2.1</w:t>
      </w:r>
      <w:r>
        <w:rPr>
          <w:rFonts w:hint="eastAsia" w:ascii="宋体" w:hAnsi="宋体"/>
          <w:bCs/>
          <w:color w:val="000000"/>
          <w:sz w:val="24"/>
          <w:highlight w:val="none"/>
        </w:rPr>
        <w:t xml:space="preserve">项目单价按投标配置及分项报价表中要求填报。</w:t>
      </w:r>
      <w:bookmarkStart w:id="72" w:name="_Hlt26954846"/>
      <w:r/>
      <w:bookmarkEnd w:id="72"/>
      <w:r/>
      <w:bookmarkStart w:id="73" w:name="_Hlt26954731"/>
      <w:r/>
      <w:bookmarkEnd w:id="73"/>
      <w:r/>
      <w:bookmarkStart w:id="74" w:name="_Hlt26954848"/>
      <w:r/>
      <w:bookmarkEnd w:id="74"/>
      <w:r/>
      <w:bookmarkStart w:id="75" w:name="_Hlt26670486"/>
      <w:r/>
      <w:bookmarkEnd w:id="75"/>
      <w:r/>
      <w:bookmarkStart w:id="76" w:name="_Hlt26670482"/>
      <w:r/>
      <w:bookmarkEnd w:id="76"/>
      <w:r>
        <w:rPr>
          <w:rFonts w:hint="eastAsia" w:ascii="宋体" w:hAnsi="宋体"/>
          <w:bCs/>
          <w:color w:val="000000"/>
          <w:sz w:val="24"/>
          <w:highlight w:val="none"/>
        </w:rPr>
      </w:r>
      <w:r/>
    </w:p>
    <w:p>
      <w:pPr>
        <w:pStyle w:val="957"/>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13.3  投标人根据招标内容的要求准确报价，一经报出，不得更改。</w:t>
      </w:r>
      <w:r>
        <w:rPr>
          <w:rFonts w:hint="eastAsia" w:ascii="宋体" w:hAnsi="宋体" w:cs="宋体"/>
          <w:bCs/>
          <w:color w:val="000000"/>
          <w:sz w:val="24"/>
          <w:highlight w:val="none"/>
          <w:lang w:val="zh-CN"/>
        </w:rPr>
      </w:r>
      <w:r/>
    </w:p>
    <w:p>
      <w:pPr>
        <w:pStyle w:val="957"/>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13.4  如出现不合理的报价，经评标委员会评审其报价明显高于其市场价或低于其企业成本的，均可作废标处理。</w:t>
      </w:r>
      <w:r>
        <w:rPr>
          <w:rFonts w:hint="eastAsia" w:ascii="宋体" w:hAnsi="宋体" w:cs="宋体"/>
          <w:bCs/>
          <w:color w:val="000000"/>
          <w:sz w:val="24"/>
          <w:highlight w:val="none"/>
          <w:lang w:val="zh-CN"/>
        </w:rPr>
      </w:r>
      <w:r/>
    </w:p>
    <w:p>
      <w:pPr>
        <w:pStyle w:val="957"/>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13.5投标报价的单位为人民币(元)。如果未能按合同、招标投标文件履约的，中止合同，履约保证金不予退还，并不支付合同履行期限间的服务费用。招标方有权终止合同的履行，受托单位应承担相应的完全责任，包括赔偿因此而给本单位及第三人带来的相应损失。</w:t>
      </w:r>
      <w:r>
        <w:rPr>
          <w:rFonts w:hint="eastAsia" w:ascii="宋体" w:hAnsi="宋体" w:cs="宋体"/>
          <w:bCs/>
          <w:color w:val="000000"/>
          <w:sz w:val="24"/>
          <w:highlight w:val="none"/>
          <w:lang w:val="zh-CN"/>
        </w:rPr>
      </w:r>
      <w:r/>
    </w:p>
    <w:p>
      <w:pPr>
        <w:pStyle w:val="957"/>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13.6对于超出招标文件的其他临时性服务项目，由甲乙双方协商解决。</w:t>
      </w:r>
      <w:r>
        <w:rPr>
          <w:rFonts w:hint="eastAsia" w:ascii="宋体" w:hAnsi="宋体" w:cs="宋体"/>
          <w:bCs/>
          <w:color w:val="000000"/>
          <w:sz w:val="24"/>
          <w:highlight w:val="none"/>
          <w:lang w:val="zh-CN"/>
        </w:rPr>
      </w:r>
      <w:r/>
    </w:p>
    <w:p>
      <w:pPr>
        <w:pStyle w:val="957"/>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13.7开标时，当投标文件中开标一览表内容与分项明细报价表内容不一致时，以开标一览表为准。</w:t>
      </w:r>
      <w:r>
        <w:rPr>
          <w:rFonts w:hint="eastAsia" w:ascii="宋体" w:hAnsi="宋体" w:cs="宋体"/>
          <w:bCs/>
          <w:color w:val="000000"/>
          <w:sz w:val="24"/>
          <w:highlight w:val="none"/>
          <w:lang w:val="zh-CN"/>
        </w:rPr>
      </w:r>
      <w:r/>
    </w:p>
    <w:p>
      <w:pPr>
        <w:pStyle w:val="957"/>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投标文件的大写金额和小写金额不一致的，以大写金额为准；对不同文字文本投标的解释发生异议的，以中文文本为准。</w:t>
      </w:r>
      <w:r>
        <w:rPr>
          <w:rFonts w:hint="eastAsia" w:ascii="宋体" w:hAnsi="宋体" w:cs="宋体"/>
          <w:bCs/>
          <w:color w:val="000000"/>
          <w:sz w:val="24"/>
          <w:highlight w:val="none"/>
          <w:lang w:val="zh-CN"/>
        </w:rPr>
      </w:r>
      <w:r/>
    </w:p>
    <w:p>
      <w:pPr>
        <w:pStyle w:val="957"/>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13.8投标人在报价时，价格包含一切税费，未作说明的情况下，视同包含一切税费。</w:t>
      </w:r>
      <w:r>
        <w:rPr>
          <w:rFonts w:hint="eastAsia" w:ascii="宋体" w:hAnsi="宋体" w:cs="宋体"/>
          <w:bCs/>
          <w:color w:val="000000"/>
          <w:sz w:val="24"/>
          <w:highlight w:val="none"/>
          <w:lang w:val="zh-CN"/>
        </w:rPr>
      </w:r>
      <w:r/>
    </w:p>
    <w:p>
      <w:pPr>
        <w:pStyle w:val="957"/>
        <w:ind w:firstLine="48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13.9未宣读的投标价格信息评标时不予承认。</w:t>
      </w:r>
      <w:r>
        <w:rPr>
          <w:rFonts w:hint="eastAsia" w:ascii="宋体" w:hAnsi="宋体" w:cs="宋体"/>
          <w:bCs/>
          <w:color w:val="000000"/>
          <w:sz w:val="24"/>
          <w:highlight w:val="none"/>
          <w:lang w:val="zh-CN"/>
        </w:rPr>
      </w:r>
      <w:r/>
    </w:p>
    <w:p>
      <w:pPr>
        <w:pStyle w:val="961"/>
        <w:ind w:firstLine="420"/>
        <w:spacing w:before="0" w:after="0" w:line="360" w:lineRule="auto"/>
        <w:shd w:val="clear" w:color="auto" w:fill="auto"/>
        <w:rPr>
          <w:rFonts w:hint="eastAsia" w:ascii="宋体" w:hAnsi="宋体" w:eastAsia="宋体" w:cs="宋体"/>
          <w:b w:val="0"/>
          <w:color w:val="000000"/>
          <w:sz w:val="24"/>
          <w:highlight w:val="none"/>
        </w:rPr>
      </w:pPr>
      <w:r/>
      <w:bookmarkStart w:id="77" w:name="_Toc49090510"/>
      <w:r/>
      <w:bookmarkStart w:id="78" w:name="_Toc14577359"/>
      <w:r>
        <w:rPr>
          <w:rFonts w:hint="eastAsia" w:ascii="宋体" w:hAnsi="宋体" w:eastAsia="宋体" w:cs="宋体"/>
          <w:b w:val="0"/>
          <w:color w:val="000000"/>
          <w:highlight w:val="none"/>
        </w:rPr>
        <w:t xml:space="preserve">14、服务内容响应及偏离表及投标说明</w:t>
      </w:r>
      <w:r>
        <w:rPr>
          <w:rFonts w:hint="eastAsia" w:ascii="宋体" w:hAnsi="宋体" w:eastAsia="宋体" w:cs="宋体"/>
          <w:b w:val="0"/>
          <w:color w:val="000000"/>
          <w:sz w:val="24"/>
          <w:highlight w:val="none"/>
        </w:rPr>
      </w:r>
      <w:r/>
    </w:p>
    <w:p>
      <w:pPr>
        <w:pStyle w:val="957"/>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14.1</w:t>
      </w:r>
      <w:r>
        <w:rPr>
          <w:rFonts w:hint="eastAsia" w:ascii="宋体" w:hAnsi="宋体" w:cs="宋体"/>
          <w:color w:val="000000"/>
          <w:sz w:val="24"/>
          <w:highlight w:val="none"/>
          <w:lang w:val="zh-CN"/>
        </w:rPr>
        <w:t xml:space="preserve"> 对招标文件中的</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需求</w:t>
      </w:r>
      <w:r>
        <w:rPr>
          <w:rFonts w:hint="eastAsia" w:ascii="宋体" w:hAnsi="宋体" w:cs="宋体"/>
          <w:color w:val="000000"/>
          <w:sz w:val="24"/>
          <w:highlight w:val="none"/>
          <w:lang w:val="zh-CN"/>
        </w:rPr>
        <w:t xml:space="preserve">逐项作出响应或偏离，并说明原因；</w:t>
      </w:r>
      <w:r>
        <w:rPr>
          <w:rFonts w:hint="eastAsia" w:ascii="宋体" w:hAnsi="宋体" w:cs="宋体"/>
          <w:color w:val="000000"/>
          <w:sz w:val="24"/>
          <w:highlight w:val="none"/>
          <w:lang w:val="zh-CN"/>
        </w:rPr>
      </w:r>
      <w:r/>
    </w:p>
    <w:p>
      <w:pPr>
        <w:pStyle w:val="957"/>
        <w:ind w:firstLine="480"/>
        <w:spacing w:line="360" w:lineRule="auto"/>
        <w:shd w:val="clear" w:color="auto" w:fill="auto"/>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14.2 提供参加本项目类似案例；</w:t>
      </w:r>
      <w:r>
        <w:rPr>
          <w:rFonts w:hint="eastAsia" w:ascii="宋体" w:hAnsi="宋体" w:cs="宋体"/>
          <w:color w:val="000000"/>
          <w:sz w:val="24"/>
          <w:highlight w:val="none"/>
          <w:lang w:val="zh-CN"/>
        </w:rPr>
      </w:r>
      <w:r/>
    </w:p>
    <w:p>
      <w:pPr>
        <w:pStyle w:val="957"/>
        <w:ind w:firstLine="480"/>
        <w:spacing w:line="360" w:lineRule="auto"/>
        <w:shd w:val="clear" w:color="auto" w:fill="auto"/>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14.3 </w:t>
      </w:r>
      <w:r>
        <w:rPr>
          <w:rFonts w:hint="eastAsia" w:ascii="宋体" w:hAnsi="宋体" w:cs="宋体"/>
          <w:color w:val="000000"/>
          <w:sz w:val="24"/>
          <w:highlight w:val="none"/>
        </w:rPr>
        <w:t xml:space="preserve">技术部分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57"/>
        <w:ind w:firstLine="480"/>
        <w:spacing w:line="360" w:lineRule="auto"/>
        <w:shd w:val="clear" w:color="auto" w:fill="auto"/>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 投标人认为需要的其他技术文件或说明。</w:t>
      </w:r>
      <w:r>
        <w:rPr>
          <w:rFonts w:hint="eastAsia" w:ascii="宋体" w:hAnsi="宋体" w:cs="宋体"/>
          <w:color w:val="000000"/>
          <w:sz w:val="24"/>
          <w:highlight w:val="none"/>
          <w:lang w:val="zh-CN"/>
        </w:rPr>
      </w:r>
      <w:r/>
    </w:p>
    <w:p>
      <w:pPr>
        <w:pStyle w:val="957"/>
        <w:ind w:firstLine="420"/>
        <w:spacing w:line="360" w:lineRule="auto"/>
        <w:shd w:val="clear" w:color="auto" w:fill="auto"/>
        <w:tabs>
          <w:tab w:val="left" w:pos="1035" w:leader="none"/>
        </w:tabs>
        <w:rPr>
          <w:rFonts w:hint="eastAsia" w:ascii="宋体" w:hAnsi="宋体" w:cs="宋体"/>
          <w:bCs/>
          <w:color w:val="000000"/>
          <w:sz w:val="24"/>
          <w:highlight w:val="none"/>
          <w:lang w:val="zh-CN"/>
        </w:rPr>
      </w:pPr>
      <w:r>
        <w:rPr>
          <w:rFonts w:hint="eastAsia" w:ascii="宋体" w:hAnsi="宋体" w:cs="宋体"/>
          <w:bCs/>
          <w:color w:val="000000"/>
          <w:sz w:val="28"/>
          <w:szCs w:val="28"/>
          <w:highlight w:val="none"/>
        </w:rPr>
        <w:t xml:space="preserve">15、服务承诺</w:t>
      </w:r>
      <w:r>
        <w:rPr>
          <w:rFonts w:hint="eastAsia" w:ascii="宋体" w:hAnsi="宋体" w:cs="宋体"/>
          <w:bCs/>
          <w:color w:val="000000"/>
          <w:sz w:val="24"/>
          <w:highlight w:val="none"/>
          <w:lang w:val="zh-CN"/>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15</w:t>
      </w:r>
      <w:r>
        <w:rPr>
          <w:rFonts w:hint="eastAsia" w:ascii="宋体" w:hAnsi="宋体" w:cs="宋体"/>
          <w:bCs/>
          <w:color w:val="000000"/>
          <w:sz w:val="24"/>
          <w:highlight w:val="none"/>
          <w:lang w:val="zh-CN"/>
        </w:rPr>
        <w:t xml:space="preserve">.1</w:t>
      </w:r>
      <w:r>
        <w:rPr>
          <w:rFonts w:hint="eastAsia" w:ascii="宋体" w:hAnsi="宋体" w:cs="宋体"/>
          <w:color w:val="000000"/>
          <w:sz w:val="24"/>
          <w:szCs w:val="24"/>
          <w:highlight w:val="none"/>
        </w:rPr>
        <w:t xml:space="preserve">提供投标人有关的服务承诺。</w:t>
      </w:r>
      <w:r>
        <w:rPr>
          <w:rFonts w:hint="eastAsia" w:ascii="宋体" w:hAnsi="宋体" w:cs="宋体"/>
          <w:color w:val="000000"/>
          <w:sz w:val="24"/>
          <w:szCs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16、投标函和开标一览表</w:t>
      </w:r>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16.1</w:t>
      </w:r>
      <w:r>
        <w:rPr>
          <w:rFonts w:hint="eastAsia" w:ascii="宋体" w:hAnsi="宋体" w:cs="宋体"/>
          <w:color w:val="000000"/>
          <w:sz w:val="24"/>
          <w:highlight w:val="none"/>
        </w:rPr>
        <w:t xml:space="preserve"> 投标人应按照招标文件中提供的格式完整、正确填写投标函、开标一览表。</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16.2</w:t>
      </w: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开标一览表中的价格应与投标文件中投标报价分项表中的价格一致，如不一致，</w:t>
      </w:r>
      <w:r>
        <w:rPr>
          <w:rFonts w:hint="eastAsia" w:ascii="宋体" w:hAnsi="宋体" w:cs="宋体"/>
          <w:color w:val="000000"/>
          <w:sz w:val="24"/>
          <w:szCs w:val="24"/>
          <w:highlight w:val="none"/>
        </w:rPr>
        <w:t xml:space="preserve">不作为无效投标处理</w:t>
      </w:r>
      <w:r>
        <w:rPr>
          <w:rFonts w:hint="eastAsia" w:ascii="宋体" w:hAnsi="宋体" w:cs="宋体"/>
          <w:bCs/>
          <w:color w:val="000000"/>
          <w:sz w:val="24"/>
          <w:highlight w:val="none"/>
        </w:rPr>
        <w:t xml:space="preserve">，但评标时按开标一览表中价格为准</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End w:id="77"/>
      <w:r/>
      <w:bookmarkEnd w:id="78"/>
      <w:r/>
      <w:bookmarkStart w:id="79" w:name="_Hlt26670489"/>
      <w:r/>
      <w:bookmarkEnd w:id="79"/>
      <w:r/>
      <w:bookmarkStart w:id="80" w:name="_Hlt26954850"/>
      <w:r/>
      <w:bookmarkEnd w:id="80"/>
      <w:r/>
      <w:bookmarkStart w:id="81" w:name="_Hlt26954734"/>
      <w:r/>
      <w:bookmarkEnd w:id="81"/>
      <w:r/>
      <w:bookmarkStart w:id="82" w:name="_Toc49090511"/>
      <w:r/>
      <w:bookmarkStart w:id="83" w:name="_Toc14577360"/>
      <w:r>
        <w:rPr>
          <w:rFonts w:hint="eastAsia" w:ascii="宋体" w:hAnsi="宋体" w:eastAsia="宋体" w:cs="宋体"/>
          <w:b w:val="0"/>
          <w:bCs w:val="0"/>
          <w:color w:val="000000"/>
          <w:highlight w:val="none"/>
        </w:rPr>
        <w:t xml:space="preserve">17、投标有效期</w:t>
      </w:r>
      <w:bookmarkEnd w:id="82"/>
      <w:r/>
      <w:bookmarkEnd w:id="83"/>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 投标有效期为开标之日后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。投标有效期比规定短的将被视为非响应性投标而予以拒绝。</w:t>
      </w:r>
      <w:r>
        <w:rPr>
          <w:rFonts w:hint="eastAsia"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rPr>
          <w:rFonts w:hint="eastAsia" w:ascii="宋体" w:hAnsi="宋体" w:cs="宋体"/>
          <w:color w:val="000000"/>
          <w:sz w:val="24"/>
          <w:highlight w:val="none"/>
        </w:rPr>
        <w:t xml:space="preserve">.2</w:t>
      </w:r>
      <w:r>
        <w:rPr>
          <w:rFonts w:hint="eastAsia" w:ascii="宋体" w:hAnsi="宋体" w:cs="宋体"/>
          <w:bCs/>
          <w:color w:val="000000"/>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t xml:space="preserve">同意延长投标有效期的投标人既不能要求也不允许修改其投标文件。</w:t>
      </w:r>
      <w:r>
        <w:rPr>
          <w:rFonts w:hint="eastAsia" w:ascii="宋体" w:hAnsi="宋体" w:cs="宋体"/>
          <w:bCs/>
          <w:color w:val="000000"/>
          <w:sz w:val="24"/>
          <w:highlight w:val="none"/>
        </w:rPr>
      </w:r>
      <w:r/>
    </w:p>
    <w:p>
      <w:pPr>
        <w:pStyle w:val="960"/>
        <w:ind w:firstLine="321"/>
        <w:spacing w:before="145" w:after="145" w:line="360" w:lineRule="auto"/>
        <w:shd w:val="clear" w:color="auto" w:fill="auto"/>
        <w:rPr>
          <w:rFonts w:hint="eastAsia" w:ascii="宋体" w:hAnsi="宋体" w:cs="宋体"/>
          <w:color w:val="000000"/>
          <w:highlight w:val="none"/>
        </w:rPr>
      </w:pPr>
      <w:r/>
      <w:bookmarkStart w:id="84" w:name="_Hlt26954852"/>
      <w:r/>
      <w:bookmarkEnd w:id="84"/>
      <w:r/>
      <w:bookmarkStart w:id="85" w:name="_Hlt26954739"/>
      <w:r/>
      <w:bookmarkEnd w:id="85"/>
      <w:r/>
      <w:bookmarkStart w:id="86" w:name="_Toc16938540"/>
      <w:r/>
      <w:bookmarkStart w:id="87" w:name="_Toc120614217"/>
      <w:r/>
      <w:bookmarkStart w:id="88" w:name="_Toc20823296"/>
      <w:r/>
      <w:bookmarkStart w:id="89" w:name="_Toc513029224"/>
      <w:r>
        <w:rPr>
          <w:rFonts w:hint="eastAsia" w:ascii="宋体" w:hAnsi="宋体" w:cs="宋体"/>
          <w:color w:val="000000"/>
          <w:highlight w:val="none"/>
        </w:rPr>
        <w:t xml:space="preserve">四、投标文件的递交</w:t>
      </w:r>
      <w:bookmarkEnd w:id="86"/>
      <w:r/>
      <w:bookmarkEnd w:id="87"/>
      <w:r/>
      <w:bookmarkEnd w:id="88"/>
      <w:r/>
      <w:bookmarkEnd w:id="89"/>
      <w:r>
        <w:rPr>
          <w:rFonts w:hint="eastAsia" w:ascii="宋体" w:hAnsi="宋体" w:cs="宋体"/>
          <w:color w:val="000000"/>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90" w:name="_Toc20823297"/>
      <w:r/>
      <w:bookmarkStart w:id="91" w:name="_Toc462564084"/>
      <w:r/>
      <w:bookmarkStart w:id="92" w:name="_Toc513029225"/>
      <w:r/>
      <w:bookmarkStart w:id="93" w:name="_Toc16938541"/>
      <w:r>
        <w:rPr>
          <w:rFonts w:hint="eastAsia" w:ascii="宋体" w:hAnsi="宋体" w:eastAsia="宋体" w:cs="宋体"/>
          <w:b w:val="0"/>
          <w:bCs w:val="0"/>
          <w:color w:val="000000"/>
          <w:highlight w:val="none"/>
        </w:rPr>
        <w:t xml:space="preserve">19、</w:t>
      </w:r>
      <w:bookmarkEnd w:id="90"/>
      <w:r/>
      <w:bookmarkEnd w:id="91"/>
      <w:r/>
      <w:bookmarkEnd w:id="92"/>
      <w:r/>
      <w:bookmarkEnd w:id="93"/>
      <w:r>
        <w:rPr>
          <w:rFonts w:hint="eastAsia" w:ascii="宋体" w:hAnsi="宋体" w:eastAsia="宋体" w:cs="宋体"/>
          <w:b w:val="0"/>
          <w:bCs w:val="0"/>
          <w:color w:val="000000"/>
          <w:highlight w:val="none"/>
        </w:rPr>
        <w:t xml:space="preserve">电子投标文件的递交</w:t>
      </w:r>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19.1电子投标文件的递交</w:t>
      </w:r>
      <w:r>
        <w:rPr>
          <w:rFonts w:hint="eastAsia"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投标人应当按照《操作手册》规定，在投标截止时间前制作并上传电子投标文件。</w:t>
      </w:r>
      <w:r>
        <w:rPr>
          <w:rFonts w:hint="eastAsia" w:ascii="宋体" w:hAnsi="宋体" w:cs="宋体"/>
          <w:bCs/>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94" w:name="_Toc16938542"/>
      <w:r/>
      <w:bookmarkStart w:id="95" w:name="_Toc513029226"/>
      <w:r/>
      <w:bookmarkStart w:id="96" w:name="_Toc20823298"/>
      <w:r>
        <w:rPr>
          <w:rFonts w:hint="eastAsia" w:ascii="宋体" w:hAnsi="宋体" w:eastAsia="宋体" w:cs="宋体"/>
          <w:b w:val="0"/>
          <w:bCs w:val="0"/>
          <w:color w:val="000000"/>
          <w:highlight w:val="none"/>
        </w:rPr>
        <w:t xml:space="preserve">20、投标截止日期</w:t>
      </w:r>
      <w:bookmarkEnd w:id="94"/>
      <w:r/>
      <w:bookmarkEnd w:id="95"/>
      <w:r/>
      <w:bookmarkEnd w:id="96"/>
      <w:r>
        <w:rPr>
          <w:rFonts w:hint="eastAsia" w:ascii="宋体" w:hAnsi="宋体" w:eastAsia="宋体" w:cs="宋体"/>
          <w:b w:val="0"/>
          <w:bCs w:val="0"/>
          <w:color w:val="000000"/>
          <w:highlight w:val="none"/>
        </w:rPr>
      </w:r>
      <w:r/>
    </w:p>
    <w:p>
      <w:pPr>
        <w:pStyle w:val="957"/>
        <w:ind w:firstLine="480"/>
        <w:spacing w:line="360" w:lineRule="auto"/>
        <w:shd w:val="clear" w:color="auto" w:fill="auto"/>
        <w:tabs>
          <w:tab w:val="left" w:pos="525" w:leader="none"/>
          <w:tab w:val="left" w:pos="94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20.1</w:t>
      </w:r>
      <w:r>
        <w:rPr>
          <w:rFonts w:hint="eastAsia" w:ascii="宋体" w:hAnsi="宋体" w:cs="宋体"/>
          <w:bCs/>
          <w:color w:val="000000"/>
          <w:sz w:val="24"/>
          <w:highlight w:val="none"/>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hint="eastAsia"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20.2</w:t>
      </w:r>
      <w:r>
        <w:rPr>
          <w:rFonts w:hint="eastAsia" w:ascii="宋体" w:hAnsi="宋体" w:cs="宋体"/>
          <w:bCs/>
          <w:color w:val="000000"/>
          <w:sz w:val="24"/>
          <w:highlight w:val="none"/>
        </w:rPr>
        <w:t xml:space="preserve"> 采购人有权通过修改招标文件酌情延长投标截止日期，在此情况下，投标人的所有权利和义务以及投标人受制的截止日期均应以延长后新的截止日期为准。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97" w:name="_Toc20823299"/>
      <w:r/>
      <w:bookmarkStart w:id="98" w:name="_Toc513029227"/>
      <w:r/>
      <w:bookmarkStart w:id="99" w:name="_Toc16938543"/>
      <w:r>
        <w:rPr>
          <w:rFonts w:hint="eastAsia" w:ascii="宋体" w:hAnsi="宋体" w:eastAsia="宋体" w:cs="宋体"/>
          <w:b w:val="0"/>
          <w:bCs w:val="0"/>
          <w:color w:val="000000"/>
          <w:highlight w:val="none"/>
        </w:rPr>
        <w:t xml:space="preserve">21、迟交的投标文件</w:t>
      </w:r>
      <w:bookmarkEnd w:id="97"/>
      <w:r/>
      <w:bookmarkEnd w:id="98"/>
      <w:r/>
      <w:bookmarkEnd w:id="99"/>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21.1</w:t>
      </w:r>
      <w:r>
        <w:rPr>
          <w:rFonts w:hint="eastAsia" w:ascii="宋体" w:hAnsi="宋体" w:cs="宋体"/>
          <w:bCs/>
          <w:color w:val="000000"/>
          <w:sz w:val="24"/>
          <w:highlight w:val="none"/>
        </w:rPr>
        <w:t xml:space="preserve">采购人拒绝接收在其规定的投标截止时间后上传的任何投标文件。</w:t>
      </w:r>
      <w:r>
        <w:rPr>
          <w:rFonts w:hint="eastAsia" w:ascii="宋体" w:hAnsi="宋体" w:cs="宋体"/>
          <w:bCs/>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100" w:name="_Toc20823300"/>
      <w:r/>
      <w:bookmarkStart w:id="101" w:name="_Toc513029228"/>
      <w:r/>
      <w:bookmarkStart w:id="102" w:name="_Toc16938544"/>
      <w:r>
        <w:rPr>
          <w:rFonts w:hint="eastAsia" w:ascii="宋体" w:hAnsi="宋体" w:eastAsia="宋体" w:cs="宋体"/>
          <w:b w:val="0"/>
          <w:bCs w:val="0"/>
          <w:color w:val="000000"/>
          <w:highlight w:val="none"/>
        </w:rPr>
        <w:t xml:space="preserve">22、投标文件的修改和撤回</w:t>
      </w:r>
      <w:bookmarkEnd w:id="100"/>
      <w:r/>
      <w:bookmarkEnd w:id="101"/>
      <w:r/>
      <w:bookmarkEnd w:id="102"/>
      <w:r>
        <w:rPr>
          <w:rFonts w:hint="eastAsia" w:ascii="宋体" w:hAnsi="宋体" w:eastAsia="宋体" w:cs="宋体"/>
          <w:b w:val="0"/>
          <w:bCs w:val="0"/>
          <w:color w:val="000000"/>
          <w:highlight w:val="none"/>
        </w:rPr>
      </w:r>
      <w:r/>
    </w:p>
    <w:p>
      <w:pPr>
        <w:pStyle w:val="957"/>
        <w:ind w:firstLine="480"/>
        <w:spacing w:line="48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22.1</w:t>
      </w:r>
      <w:r>
        <w:rPr>
          <w:rFonts w:hint="eastAsia" w:ascii="宋体" w:hAnsi="宋体" w:cs="宋体"/>
          <w:bCs/>
          <w:color w:val="000000"/>
          <w:sz w:val="24"/>
          <w:highlight w:val="none"/>
        </w:rPr>
        <w:t xml:space="preserve">投标文件的撤回</w:t>
      </w:r>
      <w:r>
        <w:rPr>
          <w:rFonts w:hint="eastAsia"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bookmarkStart w:id="103" w:name="_Toc120614218"/>
      <w:r/>
      <w:bookmarkStart w:id="104" w:name="_Toc16938545"/>
      <w:r/>
      <w:bookmarkStart w:id="105" w:name="_Toc513029229"/>
      <w:r/>
      <w:bookmarkStart w:id="106" w:name="_Toc20823301"/>
      <w:r>
        <w:rPr>
          <w:rFonts w:hint="eastAsia" w:ascii="宋体" w:hAnsi="宋体" w:cs="宋体"/>
          <w:color w:val="000000"/>
          <w:sz w:val="24"/>
          <w:highlight w:val="none"/>
        </w:rPr>
        <w:t xml:space="preserve">2</w:t>
      </w:r>
      <w:r>
        <w:rPr>
          <w:rFonts w:ascii="宋体" w:hAnsi="宋体" w:cs="宋体"/>
          <w:color w:val="000000"/>
          <w:sz w:val="24"/>
          <w:highlight w:val="none"/>
        </w:rPr>
        <w:t xml:space="preserve">2.1.1</w:t>
      </w:r>
      <w:r>
        <w:rPr>
          <w:rFonts w:hint="eastAsia" w:ascii="宋体" w:hAnsi="宋体" w:cs="宋体"/>
          <w:color w:val="000000"/>
          <w:sz w:val="24"/>
          <w:highlight w:val="none"/>
        </w:rPr>
        <w:t xml:space="preserve">投标人可在投标截止时间前，撤回其电子投标文件，具体操作方法见《操作手册》。</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.1.2投标人撤回电子投标文件，则认为其不再参与本项目投标活动。</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.2 投标文件的修改</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.2.1投标人可在投标截止时间前，对其电子投标文件进行修改，具体操作方法见《操作手册》。</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.2.2在投标截止时间之后，投标人不得对其电子投标文件作任何修改。</w:t>
      </w:r>
      <w:r>
        <w:rPr>
          <w:rFonts w:hint="eastAsia" w:ascii="宋体" w:hAnsi="宋体" w:cs="宋体"/>
          <w:color w:val="000000"/>
          <w:sz w:val="24"/>
          <w:highlight w:val="none"/>
        </w:rPr>
      </w:r>
      <w:r/>
    </w:p>
    <w:p>
      <w:pPr>
        <w:pStyle w:val="957"/>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.3在投标截止时间至招标文件中规定的投标有效期满之间的这段时间内，投标人不得撤回其投标。</w:t>
      </w:r>
      <w:r>
        <w:rPr>
          <w:rFonts w:ascii="宋体" w:hAnsi="宋体" w:cs="宋体"/>
          <w:color w:val="000000"/>
          <w:sz w:val="24"/>
          <w:highlight w:val="none"/>
        </w:rPr>
      </w:r>
      <w:r/>
    </w:p>
    <w:p>
      <w:pPr>
        <w:pStyle w:val="960"/>
        <w:ind w:firstLine="321"/>
        <w:spacing w:before="145" w:after="145"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五、开标与评标</w:t>
      </w:r>
      <w:bookmarkEnd w:id="103"/>
      <w:r/>
      <w:bookmarkEnd w:id="104"/>
      <w:r/>
      <w:bookmarkEnd w:id="105"/>
      <w:r/>
      <w:bookmarkEnd w:id="106"/>
      <w:r>
        <w:rPr>
          <w:rFonts w:hint="eastAsia" w:ascii="宋体" w:hAnsi="宋体" w:cs="宋体"/>
          <w:color w:val="000000"/>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107" w:name="_Toc20823302"/>
      <w:r/>
      <w:bookmarkStart w:id="108" w:name="_Toc16938546"/>
      <w:r/>
      <w:bookmarkStart w:id="109" w:name="_Toc513029230"/>
      <w:r>
        <w:rPr>
          <w:rFonts w:hint="eastAsia" w:ascii="宋体" w:hAnsi="宋体" w:eastAsia="宋体" w:cs="宋体"/>
          <w:b w:val="0"/>
          <w:bCs w:val="0"/>
          <w:color w:val="000000"/>
          <w:highlight w:val="none"/>
        </w:rPr>
        <w:t xml:space="preserve">23、开标</w:t>
      </w:r>
      <w:bookmarkEnd w:id="107"/>
      <w:r/>
      <w:bookmarkEnd w:id="108"/>
      <w:r/>
      <w:bookmarkEnd w:id="109"/>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color w:val="000000"/>
          <w:sz w:val="24"/>
          <w:highlight w:val="none"/>
        </w:rPr>
      </w:pPr>
      <w:r/>
      <w:bookmarkStart w:id="110" w:name="_Toc513029231"/>
      <w:r/>
      <w:bookmarkStart w:id="111" w:name="_Toc16938547"/>
      <w:r/>
      <w:bookmarkStart w:id="112" w:name="_Toc20823303"/>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.1采购人将在招标公告中规定的时间和地点组织公开开标。投标人应当按照《操作手册》规定，参加开标活动和在苏采云系统规定的时间内对投标文件进行解密。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.2开标仪式由采购人组织。苏采云系统将自动对项目进行开标，并宣布各投标人名称和投标价格。</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.3投标人在开标过程中涉及到的投标文件解密、开标结果确认等工作，应按照《操作手册》规定执行。</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24、资格审查</w:t>
      </w:r>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highlight w:val="none"/>
        </w:rPr>
      </w:r>
      <w:r/>
    </w:p>
    <w:p>
      <w:pPr>
        <w:pStyle w:val="957"/>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合格投标人不足3家的，不得评标。</w:t>
      </w:r>
      <w:r>
        <w:rPr>
          <w:rFonts w:hint="eastAsia" w:ascii="宋体" w:hAnsi="宋体" w:cs="宋体"/>
          <w:color w:val="000000"/>
          <w:sz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25、评标委员会</w:t>
      </w:r>
      <w:r>
        <w:rPr>
          <w:rFonts w:hint="eastAsia" w:ascii="宋体" w:hAnsi="宋体" w:eastAsia="宋体" w:cs="宋体"/>
          <w:b w:val="0"/>
          <w:bCs w:val="0"/>
          <w:color w:val="000000"/>
          <w:highlight w:val="none"/>
        </w:rPr>
      </w:r>
      <w:r/>
    </w:p>
    <w:p>
      <w:pPr>
        <w:pStyle w:val="957"/>
        <w:spacing w:line="480" w:lineRule="exact"/>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25.1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资格审查通过后，采购人将组织评标委员会（以下简称评委会）进行评标。</w:t>
      </w:r>
      <w:r>
        <w:rPr>
          <w:rFonts w:hint="eastAsia" w:ascii="宋体" w:hAnsi="宋体" w:cs="宋体"/>
          <w:b/>
          <w:color w:val="000000"/>
          <w:sz w:val="24"/>
          <w:szCs w:val="24"/>
          <w:highlight w:val="none"/>
        </w:rPr>
      </w:r>
      <w:r/>
    </w:p>
    <w:p>
      <w:pPr>
        <w:pStyle w:val="957"/>
        <w:spacing w:line="480" w:lineRule="exact"/>
        <w:shd w:val="clear" w:color="auto" w:fill="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25.2 评委会由采购人代表和有关技术、经济等方面的专家组成，且人员构成符合政府采购有关规定。</w:t>
      </w:r>
      <w:r>
        <w:rPr>
          <w:rFonts w:hint="eastAsia" w:ascii="宋体" w:hAnsi="宋体" w:cs="宋体"/>
          <w:color w:val="000000"/>
          <w:sz w:val="24"/>
          <w:szCs w:val="24"/>
          <w:highlight w:val="none"/>
        </w:rPr>
      </w:r>
      <w:r/>
    </w:p>
    <w:p>
      <w:pPr>
        <w:pStyle w:val="957"/>
        <w:spacing w:line="480" w:lineRule="exact"/>
        <w:shd w:val="clear" w:color="auto" w:fill="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25.3评委会独立工作，负责评审所有投标文件并确定中标侯选人。</w:t>
      </w:r>
      <w:r>
        <w:rPr>
          <w:rFonts w:hint="eastAsia" w:ascii="宋体" w:hAnsi="宋体" w:cs="宋体"/>
          <w:color w:val="000000"/>
          <w:sz w:val="24"/>
          <w:szCs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26、评标过程的保密与公正</w:t>
      </w:r>
      <w:r>
        <w:rPr>
          <w:rFonts w:hint="eastAsia" w:ascii="宋体" w:hAnsi="宋体" w:eastAsia="宋体" w:cs="宋体"/>
          <w:b w:val="0"/>
          <w:bCs w:val="0"/>
          <w:color w:val="000000"/>
          <w:highlight w:val="none"/>
        </w:rPr>
      </w:r>
      <w:r/>
    </w:p>
    <w:p>
      <w:pPr>
        <w:pStyle w:val="957"/>
        <w:ind w:firstLine="480"/>
        <w:spacing w:line="500" w:lineRule="exact"/>
        <w:shd w:val="clear" w:color="auto" w:fill="auto"/>
        <w:rPr>
          <w:rFonts w:hint="eastAsia" w:ascii="宋体" w:hAnsi="宋体" w:cs="宋体"/>
          <w:bCs/>
          <w:color w:val="000000"/>
          <w:sz w:val="24"/>
          <w:highlight w:val="none"/>
        </w:rPr>
      </w:pPr>
      <w:r/>
      <w:bookmarkEnd w:id="110"/>
      <w:r/>
      <w:bookmarkEnd w:id="111"/>
      <w:r/>
      <w:bookmarkEnd w:id="112"/>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公开开标后，直至签订合同之日止，凡是与审查、澄清、评价和比较投标的有关资料以及授标建议等，采购人、评委均不得向投标人或与评标无关的其他人员透露。</w:t>
      </w:r>
      <w:r>
        <w:rPr>
          <w:rFonts w:hint="eastAsia" w:ascii="宋体" w:hAnsi="宋体" w:cs="宋体"/>
          <w:bCs/>
          <w:color w:val="000000"/>
          <w:sz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highlight w:val="none"/>
        </w:rPr>
        <w:t xml:space="preserve">26.2</w:t>
      </w:r>
      <w:r>
        <w:rPr>
          <w:rFonts w:hint="eastAsia" w:ascii="宋体" w:hAnsi="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highlight w:val="none"/>
        </w:rPr>
        <w:t xml:space="preserve">26.3</w:t>
      </w:r>
      <w:r>
        <w:rPr>
          <w:rFonts w:hint="eastAsia" w:ascii="宋体" w:hAnsi="宋体" w:cs="宋体"/>
          <w:color w:val="000000"/>
          <w:sz w:val="24"/>
          <w:szCs w:val="24"/>
          <w:highlight w:val="none"/>
        </w:rPr>
        <w:t xml:space="preserve">在评标期间，采购人将设专门人员与投标人联系。</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 采购人和评标委员会不向落标的投标人解释未中标原因，也不公布评标过程中的相关细节。</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 采用综合评分法的项目，未中标的投标人如需了解自己的评审得分及排序情况，可向采购人提出申请。</w:t>
      </w:r>
      <w:r>
        <w:rPr>
          <w:rFonts w:hint="eastAsia" w:ascii="宋体" w:hAnsi="宋体" w:cs="宋体"/>
          <w:color w:val="000000"/>
          <w:sz w:val="24"/>
          <w:szCs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113" w:name="_Toc20823304"/>
      <w:r/>
      <w:bookmarkStart w:id="114" w:name="_Toc513029232"/>
      <w:r/>
      <w:bookmarkStart w:id="115" w:name="_Toc16938548"/>
      <w:r>
        <w:rPr>
          <w:rFonts w:hint="eastAsia" w:ascii="宋体" w:hAnsi="宋体" w:eastAsia="宋体" w:cs="宋体"/>
          <w:b w:val="0"/>
          <w:bCs w:val="0"/>
          <w:color w:val="000000"/>
          <w:highlight w:val="none"/>
        </w:rPr>
        <w:t xml:space="preserve">27、投标的澄清</w:t>
      </w:r>
      <w:bookmarkEnd w:id="113"/>
      <w:r/>
      <w:bookmarkEnd w:id="114"/>
      <w:r/>
      <w:bookmarkEnd w:id="115"/>
      <w:r>
        <w:rPr>
          <w:rFonts w:hint="eastAsia" w:ascii="宋体" w:hAnsi="宋体" w:eastAsia="宋体" w:cs="宋体"/>
          <w:b w:val="0"/>
          <w:bCs w:val="0"/>
          <w:color w:val="000000"/>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27.1评标期间，为有助于对投标文件的审查、评价和比较，评委会有权以书面形式要求投标人对其投标文件进行澄清，但并非对每个投标人都作澄清要求。</w:t>
      </w:r>
      <w:r>
        <w:rPr>
          <w:rFonts w:hint="eastAsia" w:ascii="宋体" w:hAnsi="宋体" w:cs="宋体"/>
          <w:color w:val="000000"/>
          <w:sz w:val="24"/>
          <w:szCs w:val="24"/>
          <w:highlight w:val="none"/>
        </w:rPr>
      </w:r>
      <w:r/>
    </w:p>
    <w:p>
      <w:pPr>
        <w:pStyle w:val="957"/>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27.2接到评委会澄清要求的投标人应派人按评委会通知的时间和地点做出书面澄清，书面澄清的内容须由投标人法人或授权代表签署，并作为投标文件的补充部分，但投标的价格和实质性的内容不得做任何更改。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cs="宋体"/>
          <w:color w:val="000000"/>
          <w:sz w:val="24"/>
          <w:szCs w:val="24"/>
          <w:highlight w:val="none"/>
        </w:rPr>
      </w:r>
      <w:r/>
    </w:p>
    <w:p>
      <w:pPr>
        <w:pStyle w:val="957"/>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27.3 接到评委会澄清要求的投标人如未按规定做出澄清，其风险由投标人自行承担。</w:t>
      </w:r>
      <w:r>
        <w:rPr>
          <w:rFonts w:hint="eastAsia" w:ascii="宋体" w:hAnsi="宋体" w:cs="宋体"/>
          <w:color w:val="000000"/>
          <w:sz w:val="24"/>
          <w:szCs w:val="24"/>
          <w:highlight w:val="none"/>
        </w:rPr>
      </w:r>
      <w:r/>
    </w:p>
    <w:p>
      <w:pPr>
        <w:pStyle w:val="961"/>
        <w:ind w:firstLine="420"/>
        <w:spacing w:before="0" w:after="0" w:line="240" w:lineRule="auto"/>
        <w:shd w:val="clear" w:color="auto" w:fill="auto"/>
        <w:rPr>
          <w:rFonts w:hint="eastAsia" w:ascii="宋体" w:hAnsi="宋体" w:eastAsia="宋体" w:cs="宋体"/>
          <w:b w:val="0"/>
          <w:bCs w:val="0"/>
          <w:color w:val="000000"/>
          <w:highlight w:val="none"/>
        </w:rPr>
      </w:pPr>
      <w:r/>
      <w:bookmarkStart w:id="116" w:name="_Toc513029233"/>
      <w:r/>
      <w:bookmarkStart w:id="117" w:name="_Toc20823305"/>
      <w:r/>
      <w:bookmarkStart w:id="118" w:name="_Toc16938549"/>
      <w:r>
        <w:rPr>
          <w:rFonts w:hint="eastAsia" w:ascii="宋体" w:hAnsi="宋体" w:eastAsia="宋体" w:cs="宋体"/>
          <w:b w:val="0"/>
          <w:bCs w:val="0"/>
          <w:color w:val="000000"/>
          <w:highlight w:val="none"/>
        </w:rPr>
        <w:t xml:space="preserve">28、对投标文件的评审</w:t>
      </w:r>
      <w:bookmarkEnd w:id="116"/>
      <w:r/>
      <w:bookmarkEnd w:id="117"/>
      <w:r/>
      <w:bookmarkEnd w:id="118"/>
      <w:r>
        <w:rPr>
          <w:rFonts w:hint="eastAsia" w:ascii="宋体" w:hAnsi="宋体" w:eastAsia="宋体" w:cs="宋体"/>
          <w:b w:val="0"/>
          <w:bCs w:val="0"/>
          <w:color w:val="000000"/>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28.1</w:t>
      </w:r>
      <w:r>
        <w:rPr>
          <w:rFonts w:hint="eastAsia" w:ascii="宋体" w:hAnsi="宋体" w:cs="宋体"/>
          <w:bCs/>
          <w:color w:val="000000"/>
          <w:sz w:val="24"/>
          <w:highlight w:val="none"/>
        </w:rPr>
        <w:t xml:space="preserve">符合性检查：依据招标文件的规定，从投标文件的有效性、完整性和对招标文件的响应程度进行审查，以确定是否对招标文件的实质性要求作出响应。</w:t>
      </w:r>
      <w:r>
        <w:rPr>
          <w:rFonts w:hint="eastAsia" w:ascii="宋体" w:hAnsi="宋体" w:cs="宋体"/>
          <w:bCs/>
          <w:color w:val="000000"/>
          <w:sz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highlight w:val="none"/>
        </w:rPr>
        <w:t xml:space="preserve">28.2</w:t>
      </w:r>
      <w:r>
        <w:rPr>
          <w:rFonts w:hint="eastAsia" w:ascii="宋体" w:hAnsi="宋体" w:cs="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cs="宋体"/>
          <w:bCs/>
          <w:color w:val="000000"/>
          <w:sz w:val="24"/>
          <w:highlight w:val="none"/>
        </w:rPr>
        <w:t xml:space="preserve">评委决定投标文件的响应性只根据投标文件本身的内容，而不寻求外部的证据。</w:t>
      </w:r>
      <w:r>
        <w:rPr>
          <w:rFonts w:hint="eastAsia" w:ascii="宋体" w:hAnsi="宋体" w:cs="宋体"/>
          <w:bCs/>
          <w:color w:val="000000"/>
          <w:sz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28.3</w:t>
      </w:r>
      <w:r>
        <w:rPr>
          <w:rFonts w:hint="eastAsia" w:ascii="宋体" w:hAnsi="宋体" w:cs="宋体"/>
          <w:bCs/>
          <w:color w:val="000000"/>
          <w:sz w:val="24"/>
          <w:highlight w:val="none"/>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cs="宋体"/>
          <w:bCs/>
          <w:color w:val="000000"/>
          <w:sz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28.4</w:t>
      </w:r>
      <w:r>
        <w:rPr>
          <w:rFonts w:hint="eastAsia" w:ascii="宋体" w:hAnsi="宋体" w:cs="宋体"/>
          <w:bCs/>
          <w:color w:val="000000"/>
          <w:sz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sz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（1）投标文件中开标一览表内容与投标文件中相应内容不一致的，以开标一览表为准。</w:t>
      </w:r>
      <w:r>
        <w:rPr>
          <w:rFonts w:hint="eastAsia" w:ascii="宋体" w:hAnsi="宋体" w:cs="宋体"/>
          <w:bCs/>
          <w:color w:val="000000"/>
          <w:sz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（2）大写金额和小写金额不一致的，以大写金额为准。</w:t>
      </w:r>
      <w:r>
        <w:rPr>
          <w:rFonts w:hint="eastAsia" w:ascii="宋体" w:hAnsi="宋体" w:cs="宋体"/>
          <w:bCs/>
          <w:color w:val="000000"/>
          <w:sz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（3）单价金额小数点或者百分比有明显错位的，以开标一览表的总价为准，并修改单价。</w:t>
      </w:r>
      <w:r>
        <w:rPr>
          <w:rFonts w:hint="eastAsia" w:ascii="宋体" w:hAnsi="宋体" w:cs="宋体"/>
          <w:bCs/>
          <w:color w:val="000000"/>
          <w:sz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（4）总价金额与按单价汇总金额不一致的，以单价金额计算结果为准。</w:t>
      </w:r>
      <w:r>
        <w:rPr>
          <w:rFonts w:hint="eastAsia" w:ascii="宋体" w:hAnsi="宋体" w:cs="宋体"/>
          <w:bCs/>
          <w:color w:val="000000"/>
          <w:sz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同时出现两种以上错误的，按照前款规定的顺序修正。</w:t>
      </w:r>
      <w:r>
        <w:rPr>
          <w:rFonts w:hint="eastAsia" w:ascii="宋体" w:hAnsi="宋体" w:cs="宋体"/>
          <w:bCs/>
          <w:color w:val="000000"/>
          <w:sz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28.5</w:t>
      </w:r>
      <w:r>
        <w:rPr>
          <w:rFonts w:hint="eastAsia" w:ascii="宋体" w:hAnsi="宋体" w:cs="宋体"/>
          <w:bCs/>
          <w:color w:val="000000"/>
          <w:sz w:val="24"/>
          <w:highlight w:val="none"/>
        </w:rPr>
        <w:t xml:space="preserve">评委会将按上述修正错误的方法调整投标文件中的投标报价，调整后的价格应对投标人具有约束力。如果投标人不接受修正后的价格，则其投标将被拒绝。</w:t>
      </w:r>
      <w:r>
        <w:rPr>
          <w:rFonts w:hint="eastAsia" w:ascii="宋体" w:hAnsi="宋体" w:cs="宋体"/>
          <w:bCs/>
          <w:color w:val="000000"/>
          <w:sz w:val="24"/>
          <w:highlight w:val="none"/>
        </w:rPr>
      </w:r>
      <w:r/>
    </w:p>
    <w:p>
      <w:pPr>
        <w:pStyle w:val="957"/>
        <w:ind w:firstLine="480"/>
        <w:spacing w:line="46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28.6</w:t>
      </w:r>
      <w:r>
        <w:rPr>
          <w:rFonts w:hint="eastAsia" w:ascii="宋体" w:hAnsi="宋体" w:cs="宋体"/>
          <w:bCs/>
          <w:color w:val="000000"/>
          <w:sz w:val="24"/>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cs="宋体"/>
          <w:bCs/>
          <w:color w:val="000000"/>
          <w:sz w:val="24"/>
          <w:highlight w:val="none"/>
        </w:rPr>
      </w:r>
      <w:r/>
    </w:p>
    <w:p>
      <w:pPr>
        <w:pStyle w:val="961"/>
        <w:ind w:firstLine="360"/>
        <w:spacing w:before="0" w:after="0" w:line="240" w:lineRule="auto"/>
        <w:shd w:val="clear" w:color="auto" w:fill="auto"/>
        <w:rPr>
          <w:rFonts w:hint="eastAsia" w:ascii="宋体" w:hAnsi="宋体" w:eastAsia="宋体" w:cs="宋体"/>
          <w:b w:val="0"/>
          <w:color w:val="000000"/>
          <w:sz w:val="24"/>
          <w:szCs w:val="21"/>
          <w:highlight w:val="none"/>
        </w:rPr>
      </w:pPr>
      <w:r/>
      <w:bookmarkStart w:id="119" w:name="_Toc513029234"/>
      <w:r/>
      <w:bookmarkStart w:id="120" w:name="_Toc20823306"/>
      <w:r/>
      <w:bookmarkStart w:id="121" w:name="_Toc16938550"/>
      <w:r>
        <w:rPr>
          <w:rFonts w:hint="eastAsia" w:ascii="宋体" w:hAnsi="宋体" w:eastAsia="宋体" w:cs="宋体"/>
          <w:b w:val="0"/>
          <w:color w:val="000000"/>
          <w:sz w:val="24"/>
          <w:szCs w:val="21"/>
          <w:highlight w:val="none"/>
        </w:rPr>
        <w:t xml:space="preserve">29、</w:t>
      </w:r>
      <w:bookmarkEnd w:id="119"/>
      <w:r/>
      <w:bookmarkEnd w:id="120"/>
      <w:r/>
      <w:bookmarkEnd w:id="121"/>
      <w:r>
        <w:rPr>
          <w:rFonts w:hint="eastAsia" w:ascii="宋体" w:hAnsi="宋体" w:eastAsia="宋体" w:cs="宋体"/>
          <w:b w:val="0"/>
          <w:color w:val="000000"/>
          <w:sz w:val="24"/>
          <w:szCs w:val="21"/>
          <w:highlight w:val="none"/>
        </w:rPr>
        <w:t xml:space="preserve">无效投标条款和废标条款</w:t>
      </w:r>
      <w:r>
        <w:rPr>
          <w:rFonts w:hint="eastAsia" w:ascii="宋体" w:hAnsi="宋体" w:eastAsia="宋体" w:cs="宋体"/>
          <w:b w:val="0"/>
          <w:color w:val="000000"/>
          <w:sz w:val="24"/>
          <w:szCs w:val="21"/>
          <w:highlight w:val="none"/>
        </w:rPr>
      </w:r>
      <w:r/>
    </w:p>
    <w:p>
      <w:pPr>
        <w:pStyle w:val="957"/>
        <w:ind w:left="479"/>
        <w:spacing w:line="440" w:lineRule="exact"/>
        <w:shd w:val="clear" w:color="auto" w:fill="auto"/>
        <w:rPr>
          <w:rFonts w:hint="eastAsia" w:ascii="宋体" w:hAnsi="宋体" w:cs="宋体"/>
          <w:bCs/>
          <w:color w:val="000000"/>
          <w:sz w:val="24"/>
          <w:highlight w:val="none"/>
        </w:rPr>
      </w:pPr>
      <w:r/>
      <w:bookmarkStart w:id="122" w:name="_Toc16938551"/>
      <w:r/>
      <w:bookmarkStart w:id="123" w:name="_Toc20823307"/>
      <w:r/>
      <w:bookmarkStart w:id="124" w:name="_Toc513029235"/>
      <w:r>
        <w:rPr>
          <w:rFonts w:hint="eastAsia" w:ascii="宋体" w:hAnsi="宋体" w:cs="宋体"/>
          <w:bCs/>
          <w:color w:val="000000"/>
          <w:sz w:val="24"/>
          <w:highlight w:val="none"/>
        </w:rPr>
        <w:t xml:space="preserve">29.1无效投标条款</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29.1.1投标人未按照招标文件要求上传电子投标文件的；</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29.1.2</w:t>
      </w:r>
      <w:r>
        <w:rPr>
          <w:rFonts w:hint="eastAsia" w:ascii="宋体" w:hAnsi="宋体" w:cs="宋体"/>
          <w:color w:val="000000"/>
          <w:sz w:val="24"/>
          <w:highlight w:val="none"/>
        </w:rPr>
        <w:t xml:space="preserve">投标人未在规定解密时间内进行解密；</w:t>
      </w:r>
      <w:r>
        <w:rPr>
          <w:rFonts w:hint="eastAsia" w:ascii="宋体" w:hAnsi="宋体" w:cs="宋体"/>
          <w:bCs/>
          <w:color w:val="000000"/>
          <w:sz w:val="24"/>
          <w:highlight w:val="none"/>
        </w:rPr>
      </w:r>
      <w:r/>
    </w:p>
    <w:p>
      <w:pPr>
        <w:pStyle w:val="957"/>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29.1.3投标人在报价时采用选择性报价；</w:t>
      </w:r>
      <w:r>
        <w:rPr>
          <w:rFonts w:hint="eastAsia" w:ascii="宋体" w:hAnsi="宋体" w:cs="宋体"/>
          <w:bCs/>
          <w:color w:val="000000"/>
          <w:sz w:val="24"/>
          <w:highlight w:val="none"/>
        </w:rPr>
      </w:r>
      <w:r/>
    </w:p>
    <w:p>
      <w:pPr>
        <w:pStyle w:val="957"/>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29.1.4投标人不具备招标文件中规定资格要求的；</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29.1.5投标人的报价超过了采购预算或最高限价的；</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i/>
          <w:color w:val="000000"/>
          <w:sz w:val="24"/>
          <w:highlight w:val="none"/>
          <w:u w:val="single"/>
        </w:rPr>
      </w:pPr>
      <w:r>
        <w:rPr>
          <w:rFonts w:hint="eastAsia" w:ascii="宋体" w:hAnsi="宋体" w:cs="宋体"/>
          <w:bCs/>
          <w:color w:val="000000"/>
          <w:sz w:val="24"/>
          <w:highlight w:val="none"/>
        </w:rPr>
        <w:t xml:space="preserve">29.1.6未通过符合性检查的；</w:t>
      </w:r>
      <w:r>
        <w:rPr>
          <w:rFonts w:hint="eastAsia" w:ascii="宋体" w:hAnsi="宋体" w:cs="宋体"/>
          <w:bCs/>
          <w:i/>
          <w:color w:val="000000"/>
          <w:sz w:val="24"/>
          <w:highlight w:val="none"/>
          <w:u w:val="single"/>
        </w:rPr>
      </w:r>
      <w:r/>
    </w:p>
    <w:p>
      <w:pPr>
        <w:pStyle w:val="957"/>
        <w:ind w:firstLine="36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29.1.7不符合招标文件中规定的其他实质性要求和条件的；</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29.1.8投标人串通投标；</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29.1.9投标文件含有采购人不能接受的附加条件的。</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29.1.11投标文件未按照招标文件要求加盖电子签章。</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29.1.12其他法律、法规及本招标文件规定的属无效投标的情形。</w:t>
      </w:r>
      <w:r>
        <w:rPr>
          <w:rFonts w:hint="eastAsia" w:ascii="宋体" w:hAnsi="宋体" w:cs="宋体"/>
          <w:bCs/>
          <w:color w:val="000000"/>
          <w:sz w:val="24"/>
          <w:highlight w:val="none"/>
        </w:rPr>
      </w:r>
      <w:r/>
    </w:p>
    <w:p>
      <w:pPr>
        <w:pStyle w:val="957"/>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29.2废标条款：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57"/>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29.2.1符合专业条件的供应商或者对招标文件作实质响应的供应商不足三家的；29.2.2出现影响采购公正的违法、违规行为的；</w:t>
      </w:r>
      <w:r>
        <w:rPr>
          <w:rFonts w:hint="eastAsia" w:ascii="宋体" w:hAnsi="宋体" w:cs="宋体"/>
          <w:bCs/>
          <w:color w:val="000000"/>
          <w:sz w:val="24"/>
          <w:highlight w:val="none"/>
        </w:rPr>
      </w:r>
      <w:r/>
    </w:p>
    <w:p>
      <w:pPr>
        <w:pStyle w:val="957"/>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29.2.3因重大变故，采购任务取消的；</w:t>
      </w:r>
      <w:r>
        <w:rPr>
          <w:rFonts w:hint="eastAsia" w:ascii="宋体" w:hAnsi="宋体" w:cs="宋体"/>
          <w:bCs/>
          <w:color w:val="000000"/>
          <w:sz w:val="24"/>
          <w:highlight w:val="none"/>
        </w:rPr>
      </w:r>
      <w:r/>
    </w:p>
    <w:p>
      <w:pPr>
        <w:pStyle w:val="957"/>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29.2.4评标委员会认定招标文件存在歧义、重大缺陷导致评审工作无法进行。</w:t>
      </w:r>
      <w:r>
        <w:rPr>
          <w:rFonts w:hint="eastAsia" w:ascii="宋体" w:hAnsi="宋体" w:cs="宋体"/>
          <w:bCs/>
          <w:color w:val="000000"/>
          <w:sz w:val="24"/>
          <w:highlight w:val="none"/>
        </w:rPr>
      </w:r>
      <w:r/>
    </w:p>
    <w:p>
      <w:pPr>
        <w:pStyle w:val="957"/>
        <w:ind w:left="479"/>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29.3 投标截止时间结束后参加投标的供应商不足三家的处理：</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29.3.1如出现投标截止时间结束后参加投标的供应商或者在评标期间对招标文件做出实质响应的供应商不足三家情况，按财政部第八十七号令第四十三条的规定执行。</w:t>
      </w:r>
      <w:r>
        <w:rPr>
          <w:rFonts w:hint="eastAsia" w:ascii="宋体" w:hAnsi="宋体" w:cs="宋体"/>
          <w:bCs/>
          <w:color w:val="000000"/>
          <w:sz w:val="24"/>
          <w:highlight w:val="none"/>
        </w:rPr>
      </w:r>
      <w:r/>
    </w:p>
    <w:p>
      <w:pPr>
        <w:pStyle w:val="960"/>
        <w:ind w:firstLine="321"/>
        <w:spacing w:before="145" w:after="145" w:line="360" w:lineRule="auto"/>
        <w:shd w:val="clear" w:color="auto" w:fill="auto"/>
        <w:rPr>
          <w:rFonts w:hint="eastAsia" w:ascii="宋体" w:hAnsi="宋体" w:cs="宋体"/>
          <w:color w:val="000000"/>
          <w:highlight w:val="none"/>
        </w:rPr>
      </w:pPr>
      <w:r/>
      <w:bookmarkStart w:id="125" w:name="_Toc120614219"/>
      <w:r>
        <w:rPr>
          <w:rFonts w:hint="eastAsia" w:ascii="宋体" w:hAnsi="宋体" w:cs="宋体"/>
          <w:color w:val="000000"/>
          <w:highlight w:val="none"/>
        </w:rPr>
        <w:t xml:space="preserve">六、</w:t>
      </w:r>
      <w:bookmarkEnd w:id="122"/>
      <w:r/>
      <w:bookmarkEnd w:id="123"/>
      <w:r/>
      <w:bookmarkEnd w:id="124"/>
      <w:r>
        <w:rPr>
          <w:rFonts w:hint="eastAsia" w:ascii="宋体" w:hAnsi="宋体" w:cs="宋体"/>
          <w:color w:val="000000"/>
          <w:highlight w:val="none"/>
        </w:rPr>
        <w:t xml:space="preserve">定标</w:t>
      </w:r>
      <w:bookmarkEnd w:id="125"/>
      <w:r>
        <w:rPr>
          <w:rFonts w:hint="eastAsia" w:ascii="宋体" w:hAnsi="宋体" w:cs="宋体"/>
          <w:color w:val="000000"/>
          <w:highlight w:val="none"/>
        </w:rPr>
      </w:r>
      <w:r/>
    </w:p>
    <w:p>
      <w:pPr>
        <w:pStyle w:val="961"/>
        <w:ind w:firstLine="450"/>
        <w:spacing w:before="0" w:after="0" w:line="240" w:lineRule="auto"/>
        <w:shd w:val="clear" w:color="auto" w:fill="auto"/>
        <w:rPr>
          <w:rFonts w:hint="eastAsia" w:ascii="宋体" w:hAnsi="宋体" w:eastAsia="宋体" w:cs="宋体"/>
          <w:b w:val="0"/>
          <w:color w:val="000000"/>
          <w:sz w:val="30"/>
          <w:szCs w:val="30"/>
          <w:highlight w:val="none"/>
        </w:rPr>
      </w:pPr>
      <w:r/>
      <w:bookmarkStart w:id="126" w:name="_Toc513029238"/>
      <w:r/>
      <w:bookmarkStart w:id="127" w:name="_Toc16938554"/>
      <w:r/>
      <w:bookmarkStart w:id="128" w:name="_Toc20823310"/>
      <w:r>
        <w:rPr>
          <w:rFonts w:hint="eastAsia" w:ascii="宋体" w:hAnsi="宋体" w:eastAsia="宋体" w:cs="宋体"/>
          <w:b w:val="0"/>
          <w:color w:val="000000"/>
          <w:sz w:val="30"/>
          <w:szCs w:val="30"/>
          <w:highlight w:val="none"/>
        </w:rPr>
        <w:t xml:space="preserve">30、</w:t>
      </w:r>
      <w:bookmarkEnd w:id="126"/>
      <w:r>
        <w:rPr>
          <w:rFonts w:hint="eastAsia" w:ascii="宋体" w:hAnsi="宋体" w:eastAsia="宋体" w:cs="宋体"/>
          <w:b w:val="0"/>
          <w:color w:val="000000"/>
          <w:sz w:val="30"/>
          <w:szCs w:val="30"/>
          <w:highlight w:val="none"/>
        </w:rPr>
        <w:t xml:space="preserve">确定</w:t>
      </w:r>
      <w:bookmarkEnd w:id="127"/>
      <w:r/>
      <w:bookmarkEnd w:id="128"/>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957"/>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30.1评委会根据本招标文件规定评标方法与评标标准向采购人推荐出中标候选人。</w:t>
      </w:r>
      <w:r>
        <w:rPr>
          <w:rFonts w:hint="eastAsia" w:ascii="宋体" w:hAnsi="宋体" w:cs="宋体"/>
          <w:bCs/>
          <w:color w:val="000000"/>
          <w:sz w:val="24"/>
          <w:highlight w:val="none"/>
        </w:rPr>
      </w:r>
      <w:r/>
    </w:p>
    <w:p>
      <w:pPr>
        <w:pStyle w:val="957"/>
        <w:ind w:firstLine="480"/>
        <w:spacing w:line="48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30.2 采购人应根据评委会推荐的中标候选人确定中标供应商。</w:t>
      </w:r>
      <w:r>
        <w:rPr>
          <w:rFonts w:hint="eastAsia" w:ascii="宋体" w:hAnsi="宋体" w:cs="宋体"/>
          <w:bCs/>
          <w:color w:val="000000"/>
          <w:sz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30.3</w:t>
      </w:r>
      <w:r>
        <w:rPr>
          <w:rFonts w:hint="eastAsia" w:ascii="宋体" w:hAnsi="宋体" w:cs="宋体"/>
          <w:color w:val="000000"/>
          <w:sz w:val="24"/>
          <w:szCs w:val="24"/>
          <w:highlight w:val="none"/>
        </w:rPr>
        <w:t xml:space="preserve">采购人将在</w:t>
      </w:r>
      <w:r>
        <w:rPr>
          <w:rFonts w:hint="eastAsia" w:ascii="宋体" w:hAnsi="宋体"/>
          <w:color w:val="000000"/>
          <w:sz w:val="24"/>
          <w:szCs w:val="24"/>
          <w:highlight w:val="none"/>
        </w:rPr>
        <w:t xml:space="preserve">“中国政府采购网”、 “江苏政府采购网”、“盐城市政府采购网”</w:t>
      </w:r>
      <w:r>
        <w:rPr>
          <w:rFonts w:hint="eastAsia" w:ascii="宋体" w:hAnsi="宋体" w:cs="宋体"/>
          <w:color w:val="000000"/>
          <w:sz w:val="24"/>
          <w:szCs w:val="24"/>
          <w:highlight w:val="none"/>
        </w:rPr>
        <w:t xml:space="preserve">发布中标公告，公告期限为1个工作日。</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30.4若有充分证据证明，中标供应商出现下列情况之一的，一经查实，将被取消中标资格：</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30.4.1提供虚假材料谋取中标的；</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30.4.2向采购人行贿或者提供其他不正当利益的；</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30.4.3恶意竞争，投标总报价明显低于其自身合理成本且又无法提供证明的；</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30.4.4属于本文件规定的无效条件，但在评标过程中又未被评委会发现的；</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30.4.5与采购人或者其他供应商恶意串通的；</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30.4.6采取不正当手段诋毁、排挤其他供应商的；</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30.4.7不符合法律、法规的规定的。</w:t>
      </w:r>
      <w:bookmarkStart w:id="129" w:name="_Toc200451960"/>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w:t>
      </w:r>
      <w:r>
        <w:rPr>
          <w:rFonts w:hint="eastAsia" w:ascii="宋体" w:hAnsi="宋体" w:cs="宋体"/>
          <w:color w:val="000000"/>
          <w:highlight w:val="none"/>
        </w:rPr>
        <w:t xml:space="preserve"> </w:t>
      </w:r>
      <w:r>
        <w:rPr>
          <w:rFonts w:hint="eastAsia" w:ascii="宋体" w:hAnsi="宋体" w:cs="宋体"/>
          <w:color w:val="000000"/>
          <w:sz w:val="24"/>
          <w:szCs w:val="24"/>
          <w:highlight w:val="none"/>
        </w:rPr>
        <w:t xml:space="preserve">有下列情形之一的，视为投标人串通投标，投标无效：</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30.5.1不同投标人的投标文件由同一单位或者个人编制。</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30.5.2不同投标人委托同一单位或者个人办理投标事宜。</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30.5.3 不同投标人的投标文件载明的项目管理成员或者联系人员为同一人。</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30.5.4不同投标人的投标文件异常一致或者投标报价呈规律性差异。</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30.5.5不同投标人的投标文件相互混装。</w:t>
      </w:r>
      <w:r>
        <w:rPr>
          <w:rFonts w:hint="eastAsia" w:ascii="宋体" w:hAnsi="宋体" w:cs="宋体"/>
          <w:color w:val="000000"/>
          <w:sz w:val="24"/>
          <w:szCs w:val="24"/>
          <w:highlight w:val="none"/>
        </w:rPr>
      </w:r>
      <w:r/>
    </w:p>
    <w:p>
      <w:pPr>
        <w:pStyle w:val="961"/>
        <w:ind w:firstLine="450"/>
        <w:spacing w:before="0" w:after="0" w:line="240" w:lineRule="auto"/>
        <w:shd w:val="clear" w:color="auto" w:fill="auto"/>
        <w:tabs>
          <w:tab w:val="left" w:pos="4120" w:leader="none"/>
        </w:tabs>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31、质疑处理</w:t>
      </w:r>
      <w:bookmarkEnd w:id="129"/>
      <w:r>
        <w:rPr>
          <w:rFonts w:hint="eastAsia" w:ascii="宋体" w:hAnsi="宋体" w:eastAsia="宋体" w:cs="宋体"/>
          <w:b w:val="0"/>
          <w:color w:val="000000"/>
          <w:sz w:val="30"/>
          <w:szCs w:val="30"/>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参加投标供应商认为招标文件、采购过程和中标结果使自己的权益受到损害的，可以在知道或应知其权益受到损害之日起七个工作日内，以书面形式向采购人在法定质疑期内一次性提出针对同一采购程序环节的质疑。供应商提出质疑应当符合财政部令第94号《政府采购质疑和投诉办法》相关规定。上述应知其权益受到损害之日，是指：</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31.1.1</w:t>
      </w:r>
      <w:r>
        <w:rPr>
          <w:rFonts w:hint="eastAsia" w:ascii="宋体" w:hAnsi="宋体" w:cs="宋体"/>
          <w:color w:val="000000"/>
          <w:sz w:val="24"/>
          <w:szCs w:val="24"/>
          <w:highlight w:val="none"/>
        </w:rPr>
        <w:t xml:space="preserve">对可以质疑的招标文件提出质疑的，为收到招标文件之日或者招标文件公告期限届满之日；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31.1.2</w:t>
      </w:r>
      <w:r>
        <w:rPr>
          <w:rFonts w:hint="eastAsia" w:ascii="宋体" w:hAnsi="宋体" w:cs="宋体"/>
          <w:color w:val="000000"/>
          <w:sz w:val="24"/>
          <w:szCs w:val="24"/>
          <w:highlight w:val="none"/>
        </w:rPr>
        <w:t xml:space="preserve">对采购过程提出质疑的，为各采购程序环节结束之日；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31.1.3</w:t>
      </w:r>
      <w:r>
        <w:rPr>
          <w:rFonts w:hint="eastAsia" w:ascii="宋体" w:hAnsi="宋体" w:cs="宋体"/>
          <w:color w:val="000000"/>
          <w:sz w:val="24"/>
          <w:szCs w:val="24"/>
          <w:highlight w:val="none"/>
        </w:rPr>
        <w:t xml:space="preserve">对中标结果提出质疑的，为中标结果公告期限届满之日。</w:t>
      </w:r>
      <w:r>
        <w:rPr>
          <w:rFonts w:hint="eastAsia" w:ascii="宋体" w:hAnsi="宋体" w:cs="宋体"/>
          <w:color w:val="000000"/>
          <w:sz w:val="24"/>
          <w:szCs w:val="24"/>
          <w:highlight w:val="none"/>
        </w:rPr>
      </w:r>
      <w:r/>
    </w:p>
    <w:p>
      <w:pPr>
        <w:pStyle w:val="957"/>
        <w:ind w:firstLine="472"/>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31.2质疑必须按《政府采购法》、《政府采购法实施条例》及《江苏省政府采购供应商监督管理暂行办法》的相关规定提交，未按上述要求提交的质疑函（含传真、电子邮件等）采购人有权不予受理。</w:t>
      </w:r>
      <w:r>
        <w:rPr>
          <w:rFonts w:hint="eastAsia" w:ascii="宋体" w:hAnsi="宋体" w:cs="宋体"/>
          <w:color w:val="000000"/>
          <w:sz w:val="24"/>
          <w:szCs w:val="24"/>
          <w:highlight w:val="none"/>
        </w:rPr>
      </w:r>
      <w:r/>
    </w:p>
    <w:p>
      <w:pPr>
        <w:pStyle w:val="957"/>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31.3未参加投标活动的供应商或在投标活动中自身权益未受到损害的供应商所提出的质疑不予受理。</w:t>
      </w:r>
      <w:r>
        <w:rPr>
          <w:rFonts w:hint="eastAsia" w:ascii="宋体" w:hAnsi="宋体" w:cs="宋体"/>
          <w:color w:val="000000"/>
          <w:sz w:val="24"/>
          <w:szCs w:val="24"/>
          <w:highlight w:val="none"/>
        </w:rPr>
      </w:r>
      <w:r/>
    </w:p>
    <w:p>
      <w:pPr>
        <w:pStyle w:val="957"/>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31.4质疑函应当包括下列内容：</w:t>
      </w:r>
      <w:r>
        <w:rPr>
          <w:rFonts w:hint="eastAsia" w:ascii="宋体" w:hAnsi="宋体" w:cs="宋体"/>
          <w:color w:val="000000"/>
          <w:sz w:val="24"/>
          <w:szCs w:val="24"/>
          <w:highlight w:val="none"/>
        </w:rPr>
      </w:r>
      <w:r/>
    </w:p>
    <w:p>
      <w:pPr>
        <w:pStyle w:val="957"/>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31.4.1质疑投标人的名称、地址、邮编、联系人、联系电话；</w:t>
      </w:r>
      <w:r>
        <w:rPr>
          <w:rFonts w:hint="eastAsia" w:ascii="宋体" w:hAnsi="宋体" w:cs="宋体"/>
          <w:color w:val="000000"/>
          <w:sz w:val="24"/>
          <w:szCs w:val="24"/>
          <w:highlight w:val="none"/>
        </w:rPr>
      </w:r>
      <w:r/>
    </w:p>
    <w:p>
      <w:pPr>
        <w:pStyle w:val="957"/>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31.4.2具体的质疑事项及明确的请求；</w:t>
      </w:r>
      <w:r>
        <w:rPr>
          <w:rFonts w:hint="eastAsia" w:ascii="宋体" w:hAnsi="宋体" w:cs="宋体"/>
          <w:color w:val="000000"/>
          <w:sz w:val="24"/>
          <w:szCs w:val="24"/>
          <w:highlight w:val="none"/>
        </w:rPr>
      </w:r>
      <w:r/>
    </w:p>
    <w:p>
      <w:pPr>
        <w:pStyle w:val="957"/>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31.4.3认为自己合法权益受到损害或可能受到损害的相关证据材料；</w:t>
      </w:r>
      <w:r>
        <w:rPr>
          <w:rFonts w:hint="eastAsia" w:ascii="宋体" w:hAnsi="宋体" w:cs="宋体"/>
          <w:color w:val="000000"/>
          <w:sz w:val="24"/>
          <w:szCs w:val="24"/>
          <w:highlight w:val="none"/>
        </w:rPr>
      </w:r>
      <w:r/>
    </w:p>
    <w:p>
      <w:pPr>
        <w:pStyle w:val="957"/>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31.4.4提起质疑的日期；</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31.5采购人收到质疑函后，将对质疑的形式和内容进行审查，如质疑函内容、格式不符合规定，采购人将告知质疑人进行补正。</w:t>
      </w:r>
      <w:r>
        <w:rPr>
          <w:rFonts w:hint="eastAsia" w:ascii="宋体" w:hAnsi="宋体" w:cs="宋体"/>
          <w:color w:val="000000"/>
          <w:sz w:val="24"/>
          <w:szCs w:val="24"/>
          <w:highlight w:val="none"/>
        </w:rPr>
      </w:r>
      <w:r/>
    </w:p>
    <w:p>
      <w:pPr>
        <w:pStyle w:val="957"/>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31.6质疑人应当在法定质疑期限内进行补正并重新提交质疑函，拒不补正或者在法定期限内未重新提交质疑函的，为无效质疑，采购人将不予受理。</w:t>
      </w:r>
      <w:r>
        <w:rPr>
          <w:rFonts w:hint="eastAsia" w:ascii="宋体" w:hAnsi="宋体" w:cs="宋体"/>
          <w:color w:val="000000"/>
          <w:sz w:val="24"/>
          <w:szCs w:val="24"/>
          <w:highlight w:val="none"/>
        </w:rPr>
      </w:r>
      <w:r/>
    </w:p>
    <w:p>
      <w:pPr>
        <w:pStyle w:val="957"/>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31.7对于内容、格式符合规定的质疑函，采购人应当在收到投标供应商的书面质疑后七个工作日内作出答复，并以书面形式通知质疑供应商和其他有关供应商，但答复的内容不得涉及商业秘密。</w:t>
      </w:r>
      <w:r>
        <w:rPr>
          <w:rFonts w:hint="eastAsia" w:ascii="宋体" w:hAnsi="宋体" w:cs="宋体"/>
          <w:color w:val="000000"/>
          <w:sz w:val="24"/>
          <w:szCs w:val="24"/>
          <w:highlight w:val="none"/>
        </w:rPr>
      </w:r>
      <w:r/>
    </w:p>
    <w:p>
      <w:pPr>
        <w:pStyle w:val="957"/>
        <w:ind w:firstLine="468"/>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rPr>
          <w:rFonts w:hint="eastAsia" w:ascii="宋体" w:hAnsi="宋体" w:cs="宋体"/>
          <w:color w:val="000000"/>
          <w:sz w:val="24"/>
          <w:szCs w:val="24"/>
          <w:highlight w:val="none"/>
        </w:rPr>
      </w:r>
      <w:r/>
    </w:p>
    <w:p>
      <w:pPr>
        <w:pStyle w:val="961"/>
        <w:ind w:firstLine="450"/>
        <w:spacing w:before="0" w:after="0" w:line="240" w:lineRule="auto"/>
        <w:shd w:val="clear" w:color="auto" w:fill="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32、中标通知书</w:t>
      </w:r>
      <w:r>
        <w:rPr>
          <w:rFonts w:hint="eastAsia" w:ascii="宋体" w:hAnsi="宋体" w:eastAsia="宋体" w:cs="宋体"/>
          <w:b w:val="0"/>
          <w:color w:val="000000"/>
          <w:sz w:val="30"/>
          <w:szCs w:val="30"/>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32.l</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中标结果确定后，采购人将向中标供应商发出中标通知书。</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sz w:val="24"/>
          <w:szCs w:val="24"/>
          <w:highlight w:val="none"/>
        </w:rPr>
      </w:r>
      <w:r/>
    </w:p>
    <w:p>
      <w:pPr>
        <w:pStyle w:val="960"/>
        <w:ind w:firstLine="321"/>
        <w:spacing w:before="145" w:after="145" w:line="360" w:lineRule="auto"/>
        <w:shd w:val="clear" w:color="auto" w:fill="auto"/>
        <w:rPr>
          <w:rFonts w:hint="eastAsia" w:ascii="宋体" w:hAnsi="宋体" w:cs="宋体"/>
          <w:color w:val="000000"/>
          <w:highlight w:val="none"/>
        </w:rPr>
      </w:pPr>
      <w:r/>
      <w:bookmarkStart w:id="130" w:name="_Toc120614220"/>
      <w:r/>
      <w:bookmarkStart w:id="131" w:name="_Toc16938552"/>
      <w:r/>
      <w:bookmarkStart w:id="132" w:name="_Toc513029236"/>
      <w:r/>
      <w:bookmarkStart w:id="133" w:name="_Toc20823308"/>
      <w:r>
        <w:rPr>
          <w:rFonts w:hint="eastAsia" w:ascii="宋体" w:hAnsi="宋体" w:cs="宋体"/>
          <w:color w:val="000000"/>
          <w:highlight w:val="none"/>
        </w:rPr>
        <w:t xml:space="preserve">七、合同</w:t>
      </w:r>
      <w:bookmarkEnd w:id="130"/>
      <w:r>
        <w:rPr>
          <w:rFonts w:hint="eastAsia" w:ascii="宋体" w:hAnsi="宋体" w:cs="宋体"/>
          <w:color w:val="000000"/>
          <w:highlight w:val="none"/>
        </w:rPr>
        <w:t xml:space="preserve">签订相关事项</w:t>
      </w:r>
      <w:r>
        <w:rPr>
          <w:rFonts w:hint="eastAsia" w:ascii="宋体" w:hAnsi="宋体" w:cs="宋体"/>
          <w:color w:val="000000"/>
          <w:highlight w:val="none"/>
        </w:rPr>
      </w:r>
      <w:r/>
    </w:p>
    <w:p>
      <w:pPr>
        <w:pStyle w:val="961"/>
        <w:ind w:firstLine="450"/>
        <w:spacing w:before="0" w:after="0" w:line="240" w:lineRule="auto"/>
        <w:shd w:val="clear" w:color="auto" w:fill="auto"/>
        <w:rPr>
          <w:rFonts w:hint="eastAsia" w:ascii="宋体" w:hAnsi="宋体" w:eastAsia="宋体" w:cs="宋体"/>
          <w:b w:val="0"/>
          <w:color w:val="000000"/>
          <w:sz w:val="30"/>
          <w:szCs w:val="30"/>
          <w:highlight w:val="none"/>
        </w:rPr>
      </w:pPr>
      <w:r/>
      <w:bookmarkEnd w:id="131"/>
      <w:r/>
      <w:bookmarkEnd w:id="132"/>
      <w:r/>
      <w:bookmarkEnd w:id="133"/>
      <w:r/>
      <w:bookmarkStart w:id="134" w:name="_Toc16938553"/>
      <w:r/>
      <w:bookmarkStart w:id="135" w:name="_Toc513029237"/>
      <w:r/>
      <w:bookmarkStart w:id="136" w:name="_Toc20823309"/>
      <w:r>
        <w:rPr>
          <w:rFonts w:hint="eastAsia" w:ascii="宋体" w:hAnsi="宋体" w:eastAsia="宋体" w:cs="宋体"/>
          <w:b w:val="0"/>
          <w:color w:val="000000"/>
          <w:sz w:val="30"/>
          <w:szCs w:val="30"/>
          <w:highlight w:val="none"/>
        </w:rPr>
        <w:t xml:space="preserve">33. 签订合同</w:t>
      </w:r>
      <w:r>
        <w:rPr>
          <w:rFonts w:hint="eastAsia" w:ascii="宋体" w:hAnsi="宋体" w:eastAsia="宋体" w:cs="宋体"/>
          <w:b w:val="0"/>
          <w:color w:val="000000"/>
          <w:sz w:val="30"/>
          <w:szCs w:val="30"/>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33</w:t>
      </w:r>
      <w:r>
        <w:rPr>
          <w:rFonts w:hint="eastAsia" w:ascii="宋体" w:hAnsi="宋体" w:cs="宋体"/>
          <w:color w:val="000000"/>
          <w:sz w:val="24"/>
          <w:szCs w:val="24"/>
          <w:highlight w:val="none"/>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33.2</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招标文件、中标供应商的投标文件及招标过程中有关澄清、承诺文件均应作为合同附件。</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cs="宋体"/>
          <w:color w:val="000000"/>
          <w:sz w:val="24"/>
          <w:szCs w:val="24"/>
          <w:highlight w:val="none"/>
        </w:rPr>
      </w:r>
      <w:r/>
    </w:p>
    <w:p>
      <w:pPr>
        <w:pStyle w:val="957"/>
        <w:ind w:firstLine="482"/>
        <w:spacing w:line="480" w:lineRule="exact"/>
        <w:shd w:val="clear" w:color="auto" w:fill="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33.4中标或者成交后无正当理由拒不与采购人签订政府采购合同的，将被列入不良行为记录名单，在一至三年内禁止参加政府采购活动。</w:t>
      </w:r>
      <w:r>
        <w:rPr>
          <w:rFonts w:hint="eastAsia" w:ascii="宋体" w:hAnsi="宋体" w:cs="宋体"/>
          <w:color w:val="000000"/>
          <w:sz w:val="24"/>
          <w:szCs w:val="24"/>
          <w:highlight w:val="none"/>
        </w:rPr>
      </w:r>
      <w:r/>
    </w:p>
    <w:p>
      <w:pPr>
        <w:pStyle w:val="961"/>
        <w:ind w:firstLine="450"/>
        <w:spacing w:before="0" w:after="0" w:line="240" w:lineRule="auto"/>
        <w:shd w:val="clear" w:color="auto" w:fill="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34、服务的追加、减少和添购。</w:t>
      </w:r>
      <w:r>
        <w:rPr>
          <w:rFonts w:hint="eastAsia" w:ascii="宋体" w:hAnsi="宋体" w:eastAsia="宋体" w:cs="宋体"/>
          <w:b w:val="0"/>
          <w:color w:val="000000"/>
          <w:sz w:val="30"/>
          <w:szCs w:val="30"/>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cs="宋体"/>
          <w:color w:val="000000"/>
          <w:sz w:val="24"/>
          <w:szCs w:val="24"/>
          <w:highlight w:val="none"/>
        </w:rPr>
      </w:r>
      <w:r/>
    </w:p>
    <w:p>
      <w:pPr>
        <w:pStyle w:val="957"/>
        <w:ind w:firstLine="600"/>
        <w:spacing w:line="480" w:lineRule="exact"/>
        <w:shd w:val="clear" w:color="auto" w:fill="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color w:val="000000"/>
          <w:sz w:val="24"/>
          <w:szCs w:val="24"/>
          <w:highlight w:val="none"/>
        </w:rPr>
      </w:r>
      <w:r/>
    </w:p>
    <w:p>
      <w:pPr>
        <w:pStyle w:val="957"/>
        <w:ind w:firstLine="450"/>
        <w:spacing w:after="145" w:line="560" w:lineRule="exact"/>
        <w:shd w:val="clear" w:color="auto" w:fill="auto"/>
        <w:tabs>
          <w:tab w:val="left" w:pos="900" w:leader="none"/>
        </w:tabs>
        <w:rPr>
          <w:rFonts w:hint="eastAsia" w:ascii="宋体" w:hAnsi="宋体" w:cs="宋体"/>
          <w:bCs/>
          <w:color w:val="000000"/>
          <w:sz w:val="30"/>
          <w:szCs w:val="30"/>
          <w:highlight w:val="none"/>
        </w:rPr>
      </w:pPr>
      <w:r/>
      <w:bookmarkEnd w:id="134"/>
      <w:r/>
      <w:bookmarkEnd w:id="135"/>
      <w:r/>
      <w:bookmarkEnd w:id="136"/>
      <w:r/>
      <w:bookmarkStart w:id="137" w:name="_Toc513029242"/>
      <w:r/>
      <w:bookmarkStart w:id="138" w:name="_Toc479757207"/>
      <w:r/>
      <w:bookmarkStart w:id="139" w:name="_Toc16938558"/>
      <w:r/>
      <w:bookmarkStart w:id="140" w:name="_Toc20823314"/>
      <w:r/>
      <w:bookmarkStart w:id="141" w:name="_Toc120614221"/>
      <w:r>
        <w:rPr>
          <w:rFonts w:hint="eastAsia" w:ascii="宋体" w:hAnsi="宋体" w:cs="宋体"/>
          <w:bCs/>
          <w:color w:val="000000"/>
          <w:sz w:val="30"/>
          <w:szCs w:val="30"/>
          <w:highlight w:val="none"/>
        </w:rPr>
        <w:t xml:space="preserve">35、履约保证金</w:t>
      </w:r>
      <w:r>
        <w:rPr>
          <w:rFonts w:hint="eastAsia" w:ascii="宋体" w:hAnsi="宋体" w:cs="宋体"/>
          <w:bCs/>
          <w:color w:val="000000"/>
          <w:sz w:val="30"/>
          <w:szCs w:val="30"/>
          <w:highlight w:val="none"/>
        </w:rPr>
      </w:r>
      <w:r/>
    </w:p>
    <w:p>
      <w:pPr>
        <w:pStyle w:val="957"/>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35.1在签订合同时，须向采购人</w:t>
      </w:r>
      <w:r>
        <w:rPr>
          <w:rFonts w:hint="eastAsia" w:ascii="宋体" w:hAnsi="宋体" w:cs="宋体"/>
          <w:b/>
          <w:color w:val="000000"/>
          <w:sz w:val="24"/>
          <w:szCs w:val="24"/>
          <w:highlight w:val="none"/>
          <w:u w:val="single"/>
        </w:rPr>
        <w:t xml:space="preserve">交纳合同总价的10%作为履约保证金</w:t>
      </w:r>
      <w:r>
        <w:rPr>
          <w:rFonts w:hint="eastAsia" w:ascii="宋体" w:hAnsi="宋体" w:cs="宋体"/>
          <w:color w:val="000000"/>
          <w:sz w:val="24"/>
          <w:szCs w:val="24"/>
          <w:highlight w:val="none"/>
        </w:rPr>
        <w:t xml:space="preserve">,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收取比例（5%）。</w:t>
      </w:r>
      <w:r>
        <w:rPr>
          <w:rFonts w:ascii="宋体" w:hAnsi="宋体" w:cs="宋体"/>
          <w:color w:val="000000"/>
          <w:sz w:val="24"/>
          <w:szCs w:val="24"/>
          <w:highlight w:val="none"/>
        </w:rPr>
      </w:r>
      <w:r/>
    </w:p>
    <w:p>
      <w:pPr>
        <w:pStyle w:val="957"/>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履约保证金形式：供应商应当以支票、汇票、本票或者金融机构、担保机构出具的保函等非现金形式提交。</w:t>
      </w:r>
      <w:r>
        <w:rPr>
          <w:rFonts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rPr>
          <w:rFonts w:hint="eastAsia" w:ascii="宋体" w:hAnsi="宋体" w:cs="宋体"/>
          <w:color w:val="000000"/>
          <w:sz w:val="24"/>
          <w:szCs w:val="24"/>
          <w:highlight w:val="none"/>
        </w:rPr>
      </w:r>
      <w:r/>
    </w:p>
    <w:p>
      <w:pPr>
        <w:pStyle w:val="957"/>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35.2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rPr>
          <w:rFonts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政府采购履约资金扶持政策</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rPr>
          <w:rFonts w:hint="eastAsia" w:ascii="宋体" w:hAnsi="宋体" w:cs="宋体"/>
          <w:color w:val="000000"/>
          <w:sz w:val="24"/>
          <w:szCs w:val="24"/>
          <w:highlight w:val="none"/>
        </w:rPr>
      </w:r>
      <w:r/>
    </w:p>
    <w:p>
      <w:pPr>
        <w:pStyle w:val="972"/>
        <w:shd w:val="clear" w:color="auto" w:fill="auto"/>
        <w:rPr>
          <w:color w:val="000000"/>
          <w:highlight w:val="none"/>
        </w:rPr>
      </w:pPr>
      <w:r>
        <w:rPr>
          <w:color w:val="000000"/>
          <w:highlight w:val="none"/>
        </w:rPr>
      </w:r>
      <w:r/>
    </w:p>
    <w:p>
      <w:pPr>
        <w:pStyle w:val="972"/>
        <w:ind w:firstLine="0"/>
        <w:shd w:val="clear" w:color="auto" w:fill="auto"/>
        <w:rPr>
          <w:rFonts w:hint="eastAsia"/>
          <w:color w:val="000000"/>
          <w:highlight w:val="none"/>
        </w:rPr>
      </w:pPr>
      <w:r>
        <w:rPr>
          <w:rFonts w:hint="eastAsia"/>
          <w:color w:val="000000"/>
          <w:highlight w:val="none"/>
        </w:rPr>
      </w:r>
      <w:r/>
    </w:p>
    <w:p>
      <w:pPr>
        <w:pStyle w:val="972"/>
        <w:shd w:val="clear" w:color="auto" w:fill="auto"/>
        <w:rPr>
          <w:color w:val="000000"/>
          <w:highlight w:val="none"/>
        </w:rPr>
      </w:pPr>
      <w:r>
        <w:rPr>
          <w:color w:val="000000"/>
          <w:highlight w:val="none"/>
        </w:rPr>
        <w:br w:type="page" w:clear="all"/>
      </w:r>
      <w:r>
        <w:rPr>
          <w:color w:val="000000"/>
          <w:highlight w:val="none"/>
        </w:rPr>
      </w:r>
      <w:r/>
    </w:p>
    <w:p>
      <w:pPr>
        <w:pStyle w:val="958"/>
        <w:ind w:firstLine="1760"/>
        <w:jc w:val="both"/>
        <w:shd w:val="clear" w:color="auto" w:fill="auto"/>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合同条款及</w:t>
      </w:r>
      <w:bookmarkEnd w:id="137"/>
      <w:r/>
      <w:bookmarkEnd w:id="138"/>
      <w:r/>
      <w:bookmarkEnd w:id="139"/>
      <w:r/>
      <w:bookmarkEnd w:id="140"/>
      <w:r/>
      <w:bookmarkEnd w:id="141"/>
      <w:r>
        <w:rPr>
          <w:rFonts w:hint="eastAsia" w:ascii="宋体" w:hAnsi="宋体" w:eastAsia="宋体" w:cs="宋体"/>
          <w:bCs/>
          <w:color w:val="000000"/>
          <w:sz w:val="44"/>
          <w:highlight w:val="none"/>
        </w:rPr>
        <w:t xml:space="preserve">格式</w:t>
      </w:r>
      <w:r>
        <w:rPr>
          <w:rFonts w:hint="eastAsia" w:ascii="宋体" w:hAnsi="宋体" w:eastAsia="宋体" w:cs="宋体"/>
          <w:bCs/>
          <w:color w:val="000000"/>
          <w:sz w:val="44"/>
          <w:highlight w:val="none"/>
        </w:rPr>
      </w:r>
      <w:r/>
    </w:p>
    <w:p>
      <w:pPr>
        <w:pStyle w:val="1083"/>
        <w:jc w:val="center"/>
        <w:spacing w:line="360" w:lineRule="auto"/>
        <w:shd w:val="clear" w:color="auto" w:fill="auto"/>
        <w:rPr>
          <w:rStyle w:val="1084"/>
          <w:rFonts w:hint="eastAsia" w:ascii="仿宋" w:hAnsi="仿宋" w:eastAsia="仿宋"/>
          <w:bCs/>
          <w:color w:val="000000"/>
          <w:sz w:val="36"/>
          <w:szCs w:val="36"/>
          <w:highlight w:val="none"/>
        </w:rPr>
      </w:pPr>
      <w:r/>
      <w:bookmarkStart w:id="142" w:name="_Hlt16619369"/>
      <w:r/>
      <w:bookmarkEnd w:id="142"/>
      <w:r/>
      <w:bookmarkStart w:id="143" w:name="_Toc49090575"/>
      <w:r/>
      <w:bookmarkStart w:id="144" w:name="_Toc26554093"/>
      <w:r/>
      <w:bookmarkStart w:id="145" w:name="_Toc462564139"/>
      <w:r/>
      <w:bookmarkStart w:id="146" w:name="_Toc479757211"/>
      <w:r>
        <w:rPr>
          <w:rStyle w:val="1084"/>
          <w:rFonts w:hint="eastAsia" w:ascii="仿宋" w:hAnsi="仿宋" w:eastAsia="仿宋"/>
          <w:bCs/>
          <w:color w:val="000000"/>
          <w:sz w:val="36"/>
          <w:szCs w:val="36"/>
          <w:highlight w:val="none"/>
        </w:rPr>
        <w:t xml:space="preserve">盐城市大丰区2024年下半年重大动物疫病强制免疫疫苗、耳标采购项目(分包</w:t>
      </w:r>
      <w:r>
        <w:rPr>
          <w:rStyle w:val="1084"/>
          <w:rFonts w:hint="eastAsia" w:ascii="仿宋" w:hAnsi="仿宋" w:eastAsia="仿宋"/>
          <w:bCs/>
          <w:color w:val="000000"/>
          <w:sz w:val="36"/>
          <w:szCs w:val="36"/>
          <w:highlight w:val="none"/>
          <w:u w:val="single"/>
        </w:rPr>
        <w:t xml:space="preserve">  </w:t>
      </w:r>
      <w:r>
        <w:rPr>
          <w:rStyle w:val="1084"/>
          <w:rFonts w:hint="eastAsia" w:ascii="仿宋" w:hAnsi="仿宋" w:eastAsia="仿宋"/>
          <w:bCs/>
          <w:color w:val="000000"/>
          <w:sz w:val="36"/>
          <w:szCs w:val="36"/>
          <w:highlight w:val="none"/>
        </w:rPr>
        <w:t xml:space="preserve">)</w:t>
      </w:r>
      <w:r>
        <w:rPr>
          <w:rStyle w:val="1084"/>
          <w:rFonts w:hint="eastAsia" w:ascii="仿宋" w:hAnsi="仿宋" w:eastAsia="仿宋"/>
          <w:bCs/>
          <w:color w:val="000000"/>
          <w:sz w:val="36"/>
          <w:szCs w:val="36"/>
          <w:highlight w:val="none"/>
        </w:rPr>
      </w:r>
      <w:r/>
    </w:p>
    <w:p>
      <w:pPr>
        <w:pStyle w:val="1083"/>
        <w:jc w:val="center"/>
        <w:spacing w:line="360" w:lineRule="auto"/>
        <w:shd w:val="clear" w:color="auto" w:fill="auto"/>
        <w:rPr>
          <w:rStyle w:val="1084"/>
          <w:rFonts w:ascii="Calibri" w:hAnsi="Calibri" w:eastAsia="宋体"/>
          <w:color w:val="000000"/>
          <w:sz w:val="36"/>
          <w:szCs w:val="36"/>
          <w:highlight w:val="none"/>
        </w:rPr>
      </w:pPr>
      <w:r>
        <w:rPr>
          <w:rStyle w:val="1084"/>
          <w:rFonts w:hint="eastAsia" w:ascii="仿宋" w:hAnsi="仿宋" w:eastAsia="仿宋"/>
          <w:bCs/>
          <w:color w:val="000000"/>
          <w:sz w:val="36"/>
          <w:szCs w:val="36"/>
          <w:highlight w:val="none"/>
        </w:rPr>
        <w:t xml:space="preserve">政府采购合同</w:t>
      </w:r>
      <w:r>
        <w:rPr>
          <w:rStyle w:val="1084"/>
          <w:rFonts w:ascii="Calibri" w:hAnsi="Calibri" w:eastAsia="宋体"/>
          <w:color w:val="000000"/>
          <w:sz w:val="36"/>
          <w:szCs w:val="36"/>
          <w:highlight w:val="none"/>
        </w:rPr>
      </w:r>
      <w:r/>
    </w:p>
    <w:p>
      <w:pPr>
        <w:pStyle w:val="957"/>
        <w:ind w:firstLine="420"/>
        <w:spacing w:line="360" w:lineRule="auto"/>
        <w:shd w:val="clear" w:color="auto" w:fill="auto"/>
        <w:rPr>
          <w:rFonts w:ascii="宋体" w:hAnsi="宋体" w:cs="宋体"/>
          <w:color w:val="000000"/>
          <w:sz w:val="24"/>
          <w:szCs w:val="24"/>
          <w:highlight w:val="none"/>
        </w:rPr>
      </w:pPr>
      <w:r/>
      <w:bookmarkStart w:id="147" w:name="MOFFICE_OUTDOC_NTDOC__TITLE"/>
      <w:r>
        <w:rPr>
          <w:rFonts w:hint="eastAsia" w:ascii="宋体" w:hAnsi="宋体" w:cs="宋体"/>
          <w:color w:val="000000"/>
          <w:sz w:val="24"/>
          <w:szCs w:val="24"/>
          <w:highlight w:val="none"/>
        </w:rPr>
        <w:t xml:space="preserve">甲方（采购人/买方）：</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乙方（供应商/卖方）：</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根据《中华人民共和国政府采购法》、《民法典》等法律法规的规定，甲乙双方按本项目招标结果签订本合同。</w:t>
      </w:r>
      <w:r>
        <w:rPr>
          <w:rFonts w:ascii="宋体" w:hAnsi="宋体" w:cs="宋体"/>
          <w:color w:val="000000"/>
          <w:sz w:val="24"/>
          <w:szCs w:val="24"/>
          <w:highlight w:val="none"/>
        </w:rPr>
      </w:r>
      <w:r/>
    </w:p>
    <w:p>
      <w:pPr>
        <w:pStyle w:val="957"/>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1、合同标的</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乙方根据甲方需求，提供下列货物：</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货物名称、规格及数量等要求详见招投标文件。</w:t>
      </w:r>
      <w:r>
        <w:rPr>
          <w:rFonts w:ascii="宋体" w:hAnsi="宋体" w:cs="宋体"/>
          <w:b/>
          <w:color w:val="000000"/>
          <w:sz w:val="24"/>
          <w:szCs w:val="24"/>
          <w:highlight w:val="none"/>
        </w:rPr>
      </w:r>
      <w:r/>
    </w:p>
    <w:p>
      <w:pPr>
        <w:pStyle w:val="957"/>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2、合同总金额</w:t>
      </w:r>
      <w:r>
        <w:rPr>
          <w:rFonts w:ascii="宋体" w:hAnsi="宋体" w:cs="宋体"/>
          <w:b/>
          <w:bCs/>
          <w:color w:val="000000"/>
          <w:sz w:val="24"/>
          <w:szCs w:val="24"/>
          <w:highlight w:val="none"/>
        </w:rPr>
      </w:r>
      <w:r/>
    </w:p>
    <w:p>
      <w:pPr>
        <w:pStyle w:val="957"/>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本合同金额为（大写）：_______________________________元人民币（¥_____元）。</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2.2 本合同总金额包括所乙方提供货物的产品费用、安装调试费、测试验收费、培训费、 运行维护费用、税金及其他有关的为完成本项目发生的所有费用，招标文件中另有规定的除外。</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 在招标文件未列明，而乙方认为履行本合同必需的费用也包含在合同总金额中。</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 本合同总金额还包含乙方提供的伴随服务/售后服务费用。</w:t>
      </w:r>
      <w:r>
        <w:rPr>
          <w:rFonts w:ascii="宋体" w:hAnsi="宋体" w:cs="宋体"/>
          <w:color w:val="000000"/>
          <w:sz w:val="24"/>
          <w:szCs w:val="24"/>
          <w:highlight w:val="none"/>
        </w:rPr>
      </w:r>
      <w:r/>
    </w:p>
    <w:p>
      <w:pPr>
        <w:pStyle w:val="957"/>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3、组成本合同的有关文件</w:t>
      </w:r>
      <w:r>
        <w:rPr>
          <w:rFonts w:ascii="宋体" w:hAnsi="宋体" w:cs="宋体"/>
          <w:b/>
          <w:bCs/>
          <w:color w:val="000000"/>
          <w:sz w:val="24"/>
          <w:szCs w:val="24"/>
          <w:highlight w:val="none"/>
        </w:rPr>
      </w:r>
      <w:r/>
    </w:p>
    <w:p>
      <w:pPr>
        <w:pStyle w:val="957"/>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3.1乙方应按招标文件规定的时间向甲方提供使用货物的有关技术资料。</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 关于本项目政府采购的招投标文件或与本次采购活动方式相适应的文件及有关附件是本合同不可分割的组成部分，这些文件包括但不限于：</w:t>
      </w:r>
      <w:r>
        <w:rPr>
          <w:rFonts w:ascii="宋体" w:hAnsi="宋体" w:cs="宋体"/>
          <w:color w:val="000000"/>
          <w:sz w:val="24"/>
          <w:szCs w:val="24"/>
          <w:highlight w:val="none"/>
        </w:rPr>
      </w:r>
      <w:r/>
    </w:p>
    <w:p>
      <w:pPr>
        <w:pStyle w:val="957"/>
        <w:ind w:left="359" w:hanging="359"/>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（1）投标响应文件；               （2）投标产品配置与报价文件；</w:t>
      </w:r>
      <w:r>
        <w:rPr>
          <w:rFonts w:ascii="宋体" w:hAnsi="宋体" w:cs="宋体"/>
          <w:color w:val="000000"/>
          <w:sz w:val="24"/>
          <w:szCs w:val="24"/>
          <w:highlight w:val="none"/>
        </w:rPr>
      </w:r>
      <w:r/>
    </w:p>
    <w:p>
      <w:pPr>
        <w:pStyle w:val="957"/>
        <w:ind w:left="359" w:hanging="359"/>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（3）供货一览表；                 （4）技术参数响应表；</w:t>
      </w:r>
      <w:r>
        <w:rPr>
          <w:rFonts w:ascii="宋体" w:hAnsi="宋体" w:cs="宋体"/>
          <w:color w:val="000000"/>
          <w:sz w:val="24"/>
          <w:szCs w:val="24"/>
          <w:highlight w:val="none"/>
        </w:rPr>
      </w:r>
      <w:r/>
    </w:p>
    <w:p>
      <w:pPr>
        <w:pStyle w:val="957"/>
        <w:ind w:left="359" w:hanging="359"/>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（5）服务承诺；                   （6）中标通知书；</w:t>
      </w:r>
      <w:r>
        <w:rPr>
          <w:rFonts w:ascii="宋体" w:hAnsi="宋体" w:cs="宋体"/>
          <w:color w:val="000000"/>
          <w:sz w:val="24"/>
          <w:szCs w:val="24"/>
          <w:highlight w:val="none"/>
        </w:rPr>
      </w:r>
      <w:r/>
    </w:p>
    <w:p>
      <w:pPr>
        <w:pStyle w:val="957"/>
        <w:ind w:left="359" w:hanging="359"/>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（7）甲乙双方补充协议；           （8）乙方投标时提供的响应文件。</w:t>
      </w:r>
      <w:r>
        <w:rPr>
          <w:rFonts w:ascii="宋体" w:hAnsi="宋体" w:cs="宋体"/>
          <w:color w:val="000000"/>
          <w:sz w:val="24"/>
          <w:szCs w:val="24"/>
          <w:highlight w:val="none"/>
        </w:rPr>
      </w:r>
      <w:r/>
    </w:p>
    <w:p>
      <w:pPr>
        <w:pStyle w:val="957"/>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4、知识产权保证</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乙方保证甲方在使用、接受本合同货物和服务或其任何一部分时，不受第三方提出侵犯其专利权、版权、商标权和工业设计权等知识产权的起诉。一旦出现侵权，由乙方负全部责任。</w:t>
      </w:r>
      <w:r>
        <w:rPr>
          <w:rFonts w:ascii="宋体" w:hAnsi="宋体" w:cs="宋体"/>
          <w:color w:val="000000"/>
          <w:sz w:val="24"/>
          <w:szCs w:val="24"/>
          <w:highlight w:val="none"/>
        </w:rPr>
      </w:r>
      <w:r/>
    </w:p>
    <w:p>
      <w:pPr>
        <w:pStyle w:val="957"/>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5、产权保证</w:t>
      </w:r>
      <w:r>
        <w:rPr>
          <w:rFonts w:ascii="宋体" w:hAnsi="宋体" w:cs="宋体"/>
          <w:b/>
          <w:bCs/>
          <w:color w:val="000000"/>
          <w:sz w:val="24"/>
          <w:szCs w:val="24"/>
          <w:highlight w:val="none"/>
        </w:rPr>
      </w:r>
      <w:r/>
    </w:p>
    <w:p>
      <w:pPr>
        <w:pStyle w:val="957"/>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乙方保证所交付的货物</w:t>
      </w:r>
      <w:r>
        <w:rPr>
          <w:rFonts w:ascii="宋体" w:hAnsi="宋体" w:cs="宋体"/>
          <w:color w:val="000000"/>
          <w:sz w:val="24"/>
          <w:szCs w:val="24"/>
          <w:highlight w:val="none"/>
        </w:rPr>
        <w:t xml:space="preserve">（包含与货物相关的服务）</w:t>
      </w:r>
      <w:r>
        <w:rPr>
          <w:rFonts w:hint="eastAsia" w:ascii="宋体" w:hAnsi="宋体" w:cs="宋体"/>
          <w:color w:val="000000"/>
          <w:sz w:val="24"/>
          <w:szCs w:val="24"/>
          <w:highlight w:val="none"/>
        </w:rPr>
        <w:t xml:space="preserve">的所有权无任何抵押、查封等权利瑕疵。</w:t>
      </w:r>
      <w:r>
        <w:rPr>
          <w:rFonts w:hint="eastAsia" w:ascii="宋体" w:hAnsi="宋体" w:cs="宋体"/>
          <w:color w:val="000000"/>
          <w:sz w:val="24"/>
          <w:szCs w:val="24"/>
          <w:highlight w:val="none"/>
        </w:rPr>
      </w:r>
      <w:r/>
    </w:p>
    <w:p>
      <w:pPr>
        <w:pStyle w:val="957"/>
        <w:numPr>
          <w:ilvl w:val="0"/>
          <w:numId w:val="5"/>
        </w:numPr>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履约保证金</w:t>
      </w:r>
      <w:r>
        <w:rPr>
          <w:rFonts w:hint="eastAsia" w:ascii="宋体" w:hAnsi="宋体" w:cs="宋体"/>
          <w:b/>
          <w:bCs/>
          <w:color w:val="000000"/>
          <w:sz w:val="24"/>
          <w:szCs w:val="24"/>
          <w:highlight w:val="none"/>
        </w:rPr>
      </w:r>
      <w:r/>
    </w:p>
    <w:p>
      <w:pPr>
        <w:pStyle w:val="957"/>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6.1在签订合同时，须向甲方</w:t>
      </w:r>
      <w:r>
        <w:rPr>
          <w:rFonts w:hint="eastAsia" w:ascii="宋体" w:hAnsi="宋体" w:cs="宋体"/>
          <w:b/>
          <w:color w:val="000000"/>
          <w:sz w:val="24"/>
          <w:szCs w:val="24"/>
          <w:highlight w:val="none"/>
          <w:u w:val="single"/>
        </w:rPr>
        <w:t xml:space="preserve">交纳合同总价的10%作为履约保证金</w:t>
      </w:r>
      <w:r>
        <w:rPr>
          <w:rFonts w:hint="eastAsia" w:ascii="宋体" w:hAnsi="宋体" w:cs="宋体"/>
          <w:color w:val="000000"/>
          <w:sz w:val="24"/>
          <w:szCs w:val="24"/>
          <w:highlight w:val="none"/>
        </w:rPr>
        <w:t xml:space="preserve">,于合同履行后无息退还。鼓励采购人对AA评级及以上政府采购供应商（需提供信用管理部门备案的第三方信用报告），免收履约保证金或降低履约保证金收取比例（5%）。</w:t>
      </w:r>
      <w:r>
        <w:rPr>
          <w:rFonts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6.2确需收取履约保证金的，履约保证金的缴纳形式：</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6.2.2 如以履约保函（保险）形式缴纳履约保证金，供应商可通过政府采购电子履约保函（保险）平台（www.jsdzbh.com）在线申请履约保函（保险）。</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6.3履约保证金的退还：</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6.3.1方式：无息退还至投标人缴纳履约保证金的账户。如为保函，在到期时自行失效。</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6.3.2时间：验收合格且甲方收到发票后30日内。</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6.3.3条件：按合同要求全部履约完成并经甲方验收合格，且甲方收到乙方出具的发票。</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6.3.4不予退还情形：</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除不可抗力情况外，投标人出现下列情形之一的，其履约保证金，招标人将视情节决定不予退还或部分不予退还。</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（1）乙方无正当理由拒绝签订合同的，或者在签订合同时向甲方提出附加条件或者更改合同实质性内容要求的；</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（2）乙方不履行与甲方订立的合同的；</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6.3.5逾期退还的违约责任：甲方逾期无故未退还履约保证金的，按中国人民银行同期贷款基准利率上浮20%后的利率支付超期资金占用费，但因供应商自身原因导致无法及时退还的除外。</w:t>
      </w:r>
      <w:r>
        <w:rPr>
          <w:rFonts w:hint="eastAsia" w:ascii="宋体" w:hAnsi="宋体" w:cs="宋体"/>
          <w:color w:val="000000"/>
          <w:sz w:val="24"/>
          <w:szCs w:val="24"/>
          <w:highlight w:val="none"/>
        </w:rPr>
      </w:r>
      <w:r/>
    </w:p>
    <w:p>
      <w:pPr>
        <w:pStyle w:val="957"/>
        <w:ind w:firstLine="105"/>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7、转包或分包</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7.1 本合同禁止转包，本合同范围的货物，应由乙方直接供应，不得转让他人供应。</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7.2 经甲方同意，乙方可以依法采取分包方式履行合同，但是分包方式履行的，乙方应就采购项目向甲方负全责。</w:t>
      </w:r>
      <w:r>
        <w:rPr>
          <w:rFonts w:ascii="宋体" w:hAnsi="宋体" w:cs="宋体"/>
          <w:color w:val="000000"/>
          <w:sz w:val="24"/>
          <w:szCs w:val="24"/>
          <w:highlight w:val="none"/>
        </w:rPr>
      </w:r>
      <w:r/>
    </w:p>
    <w:p>
      <w:pPr>
        <w:pStyle w:val="957"/>
        <w:ind w:firstLine="105"/>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8、质保期</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疫苗质保期：</w:t>
      </w:r>
      <w:r>
        <w:rPr>
          <w:rFonts w:ascii="宋体" w:hAnsi="宋体" w:cs="宋体"/>
          <w:color w:val="000000"/>
          <w:sz w:val="24"/>
          <w:szCs w:val="24"/>
          <w:highlight w:val="none"/>
        </w:rPr>
        <w:t xml:space="preserve">产品最终交到使用方的有效期在7个月（疫苗有效期为12个月的）和11个月（疫苗有效期为18个月的）以上（自交货验收合格之日起计）。</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耳标质保期：产品最终交到使用方的有效期在12个月以上（自交货验收合格之日起计）。</w:t>
      </w:r>
      <w:r>
        <w:rPr>
          <w:rFonts w:ascii="宋体" w:hAnsi="宋体" w:cs="宋体"/>
          <w:color w:val="000000"/>
          <w:sz w:val="24"/>
          <w:szCs w:val="24"/>
          <w:highlight w:val="none"/>
        </w:rPr>
      </w:r>
      <w:r/>
    </w:p>
    <w:p>
      <w:pPr>
        <w:pStyle w:val="957"/>
        <w:ind w:firstLine="105"/>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9、交付期、交付方式及交付地点</w:t>
      </w:r>
      <w:r>
        <w:rPr>
          <w:rFonts w:ascii="宋体" w:hAnsi="宋体" w:cs="宋体"/>
          <w:b/>
          <w:bCs/>
          <w:color w:val="000000"/>
          <w:sz w:val="24"/>
          <w:szCs w:val="24"/>
          <w:highlight w:val="none"/>
        </w:rPr>
      </w:r>
      <w:r/>
    </w:p>
    <w:p>
      <w:pPr>
        <w:pStyle w:val="957"/>
        <w:ind w:firstLine="480"/>
        <w:spacing w:line="360" w:lineRule="auto"/>
        <w:shd w:val="clear" w:color="auto" w:fill="auto"/>
        <w:rPr>
          <w:color w:val="000000"/>
          <w:sz w:val="24"/>
          <w:szCs w:val="24"/>
          <w:highlight w:val="none"/>
        </w:rPr>
      </w:pPr>
      <w:r>
        <w:rPr>
          <w:bCs/>
          <w:color w:val="000000"/>
          <w:sz w:val="24"/>
          <w:szCs w:val="24"/>
          <w:highlight w:val="none"/>
        </w:rPr>
        <w:t xml:space="preserve">9.1 交货期：</w:t>
      </w:r>
      <w:r>
        <w:rPr>
          <w:rFonts w:hint="eastAsia"/>
          <w:i/>
          <w:color w:val="000000"/>
          <w:sz w:val="24"/>
          <w:szCs w:val="24"/>
          <w:highlight w:val="none"/>
          <w:u w:val="single"/>
        </w:rPr>
        <w:t xml:space="preserve">                    </w:t>
      </w:r>
      <w:r>
        <w:rPr>
          <w:color w:val="000000"/>
          <w:sz w:val="24"/>
          <w:szCs w:val="24"/>
          <w:highlight w:val="none"/>
        </w:rPr>
      </w:r>
      <w:r/>
    </w:p>
    <w:p>
      <w:pPr>
        <w:pStyle w:val="957"/>
        <w:spacing w:line="360" w:lineRule="auto"/>
        <w:shd w:val="clear" w:color="auto" w:fill="auto"/>
        <w:rPr>
          <w:bCs/>
          <w:color w:val="000000"/>
          <w:sz w:val="24"/>
          <w:szCs w:val="24"/>
          <w:highlight w:val="none"/>
        </w:rPr>
      </w:pPr>
      <w:r>
        <w:rPr>
          <w:bCs/>
          <w:color w:val="000000"/>
          <w:sz w:val="24"/>
          <w:szCs w:val="24"/>
          <w:highlight w:val="none"/>
        </w:rPr>
        <w:t xml:space="preserve">    9.2 交货方式：</w:t>
      </w:r>
      <w:r>
        <w:rPr>
          <w:color w:val="000000"/>
          <w:sz w:val="24"/>
          <w:szCs w:val="24"/>
          <w:highlight w:val="none"/>
        </w:rPr>
        <w:t xml:space="preserve">按照各类疫苗</w:t>
      </w:r>
      <w:r>
        <w:rPr>
          <w:rFonts w:hint="eastAsia"/>
          <w:color w:val="000000"/>
          <w:sz w:val="24"/>
          <w:szCs w:val="24"/>
          <w:highlight w:val="none"/>
        </w:rPr>
        <w:t xml:space="preserve">、耳标</w:t>
      </w:r>
      <w:r>
        <w:rPr>
          <w:color w:val="000000"/>
          <w:sz w:val="24"/>
          <w:szCs w:val="24"/>
          <w:highlight w:val="none"/>
        </w:rPr>
        <w:t xml:space="preserve">的具体要求，采用冷链运输的交货方式，确保疫苗</w:t>
      </w:r>
      <w:r>
        <w:rPr>
          <w:rFonts w:hint="eastAsia"/>
          <w:color w:val="000000"/>
          <w:sz w:val="24"/>
          <w:szCs w:val="24"/>
          <w:highlight w:val="none"/>
        </w:rPr>
        <w:t xml:space="preserve">、耳标</w:t>
      </w:r>
      <w:r>
        <w:rPr>
          <w:color w:val="000000"/>
          <w:sz w:val="24"/>
          <w:szCs w:val="24"/>
          <w:highlight w:val="none"/>
        </w:rPr>
        <w:t xml:space="preserve">质量。</w:t>
      </w:r>
      <w:r>
        <w:rPr>
          <w:rFonts w:hint="eastAsia"/>
          <w:color w:val="000000"/>
          <w:sz w:val="24"/>
          <w:szCs w:val="24"/>
          <w:highlight w:val="none"/>
        </w:rPr>
        <w:t xml:space="preserve">每批次供货时都须提供产品检测报告。</w:t>
      </w:r>
      <w:r>
        <w:rPr>
          <w:bCs/>
          <w:color w:val="000000"/>
          <w:sz w:val="24"/>
          <w:szCs w:val="24"/>
          <w:highlight w:val="none"/>
        </w:rPr>
      </w:r>
      <w:r/>
    </w:p>
    <w:p>
      <w:pPr>
        <w:pStyle w:val="957"/>
        <w:ind w:firstLine="420"/>
        <w:spacing w:line="360" w:lineRule="auto"/>
        <w:shd w:val="clear" w:color="auto" w:fill="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9.3 交付地点：</w:t>
      </w:r>
      <w:r>
        <w:rPr>
          <w:rFonts w:hint="eastAsia" w:ascii="宋体" w:hAnsi="宋体" w:cs="宋体"/>
          <w:color w:val="000000"/>
          <w:sz w:val="24"/>
          <w:szCs w:val="24"/>
          <w:highlight w:val="none"/>
          <w:u w:val="single"/>
        </w:rPr>
        <w:t xml:space="preserve">采购人指定地点</w:t>
      </w:r>
      <w:r>
        <w:rPr>
          <w:rFonts w:hint="eastAsia" w:ascii="宋体" w:hAnsi="宋体" w:cs="宋体"/>
          <w:b/>
          <w:color w:val="000000"/>
          <w:sz w:val="24"/>
          <w:szCs w:val="24"/>
          <w:highlight w:val="none"/>
        </w:rPr>
      </w:r>
      <w:r/>
    </w:p>
    <w:p>
      <w:pPr>
        <w:pStyle w:val="957"/>
        <w:ind w:firstLine="420"/>
        <w:spacing w:line="360" w:lineRule="auto"/>
        <w:shd w:val="clear" w:color="auto" w:fill="auto"/>
        <w:rPr>
          <w:rFonts w:ascii="宋体" w:hAnsi="宋体" w:cs="宋体"/>
          <w:b/>
          <w:color w:val="000000"/>
          <w:sz w:val="24"/>
          <w:szCs w:val="24"/>
          <w:highlight w:val="none"/>
        </w:rPr>
      </w:pPr>
      <w:r>
        <w:rPr>
          <w:rFonts w:hint="eastAsia" w:ascii="宋体" w:hAnsi="宋体" w:cs="宋体"/>
          <w:b/>
          <w:bCs/>
          <w:color w:val="000000"/>
          <w:sz w:val="24"/>
          <w:szCs w:val="24"/>
          <w:highlight w:val="none"/>
        </w:rPr>
        <w:t xml:space="preserve">10、货款支付</w:t>
      </w:r>
      <w:r>
        <w:rPr>
          <w:rFonts w:ascii="宋体" w:hAnsi="宋体" w:cs="宋体"/>
          <w:b/>
          <w:color w:val="000000"/>
          <w:sz w:val="24"/>
          <w:szCs w:val="24"/>
          <w:highlight w:val="none"/>
        </w:rPr>
      </w:r>
      <w:r/>
    </w:p>
    <w:p>
      <w:pPr>
        <w:pStyle w:val="957"/>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签订后，收到供应商发票之日起10个工作日内，付合同价的30%作为预付款，待全部货物供货完成且验收合格后付至合同款的90%，余款10%在全部供货完成满一年且产品无质量问题及其他纠纷后支付（按以上进度付款无任何利息补偿，甲方在收到乙方发票且财政资金全部到账后30日内完成支付）。</w:t>
      </w:r>
      <w:r>
        <w:rPr>
          <w:rFonts w:hint="eastAsia" w:ascii="宋体" w:hAnsi="宋体" w:cs="宋体"/>
          <w:b/>
          <w:bCs/>
          <w:color w:val="000000"/>
          <w:sz w:val="24"/>
          <w:highlight w:val="none"/>
        </w:rPr>
      </w:r>
      <w:r/>
    </w:p>
    <w:p>
      <w:pPr>
        <w:pStyle w:val="957"/>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合同款一律通过银行非现金结算，结算方式：转账。</w:t>
      </w:r>
      <w:r>
        <w:rPr>
          <w:rFonts w:hint="eastAsia" w:ascii="宋体" w:hAnsi="宋体" w:cs="宋体"/>
          <w:b/>
          <w:bCs/>
          <w:color w:val="000000"/>
          <w:sz w:val="24"/>
          <w:highlight w:val="none"/>
        </w:rPr>
      </w:r>
      <w:r/>
    </w:p>
    <w:p>
      <w:pPr>
        <w:pStyle w:val="957"/>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注:在签订合同时，成交人明确表示无需预付款或者主动要求降低预付款比例的金额，采购人可不适用预付款规定。</w:t>
      </w:r>
      <w:r>
        <w:rPr>
          <w:rFonts w:hint="eastAsia" w:ascii="宋体" w:hAnsi="宋体" w:cs="宋体"/>
          <w:b/>
          <w:bCs/>
          <w:color w:val="000000"/>
          <w:sz w:val="24"/>
          <w:highlight w:val="none"/>
        </w:rPr>
      </w:r>
      <w:r/>
    </w:p>
    <w:p>
      <w:pPr>
        <w:pStyle w:val="957"/>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11、税费 </w:t>
      </w:r>
      <w:r>
        <w:rPr>
          <w:rFonts w:ascii="宋体" w:hAnsi="宋体" w:cs="宋体"/>
          <w:b/>
          <w:bCs/>
          <w:color w:val="000000"/>
          <w:sz w:val="24"/>
          <w:szCs w:val="24"/>
          <w:highlight w:val="none"/>
        </w:rPr>
      </w:r>
      <w:r/>
    </w:p>
    <w:p>
      <w:pPr>
        <w:pStyle w:val="957"/>
        <w:ind w:firstLine="420"/>
        <w:spacing w:line="360" w:lineRule="auto"/>
        <w:shd w:val="clear" w:color="auto" w:fill="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本合同执行中相关的一切税费均由乙方负担。</w:t>
      </w:r>
      <w:r>
        <w:rPr>
          <w:rFonts w:hint="eastAsia"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12、质量保证及售后服务</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12.3 乙方提供的货物在质保期内因货物本身的质量问题发生故障，乙方应负责免费更换。对达不到技术要求者，根据实际情况，可按以下办法处理：</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⑴退货处理：乙方应退还甲方支付的合同款，同时应承担该货物的直接费用（运输、保险、检验、货款利息及银行手续费等）。</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12.4 如在使用过程中发生质量问题，乙方在接到甲方通知后在</w:t>
      </w:r>
      <w:r>
        <w:rPr>
          <w:rFonts w:hint="eastAsia" w:ascii="宋体" w:hAnsi="宋体" w:cs="宋体"/>
          <w:color w:val="000000"/>
          <w:sz w:val="24"/>
          <w:szCs w:val="24"/>
          <w:highlight w:val="none"/>
          <w:u w:val="single"/>
        </w:rPr>
        <w:t xml:space="preserve">5</w:t>
      </w:r>
      <w:r>
        <w:rPr>
          <w:rFonts w:hint="eastAsia" w:ascii="宋体" w:hAnsi="宋体" w:cs="宋体"/>
          <w:color w:val="000000"/>
          <w:sz w:val="24"/>
          <w:szCs w:val="24"/>
          <w:highlight w:val="none"/>
        </w:rPr>
        <w:t xml:space="preserve">小时内到达甲方现场。</w:t>
      </w:r>
      <w:r>
        <w:rPr>
          <w:rFonts w:ascii="宋体" w:hAnsi="宋体" w:cs="宋体"/>
          <w:color w:val="000000"/>
          <w:sz w:val="24"/>
          <w:szCs w:val="24"/>
          <w:highlight w:val="none"/>
        </w:rPr>
      </w:r>
      <w:r/>
    </w:p>
    <w:p>
      <w:pPr>
        <w:pStyle w:val="957"/>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 在质保期内，乙方应对货物出现的质量及安全问题负责处理解决并承担一切费用。</w:t>
      </w:r>
      <w:r>
        <w:rPr>
          <w:rFonts w:hint="eastAsia" w:ascii="宋体" w:hAnsi="宋体" w:cs="宋体"/>
          <w:color w:val="000000"/>
          <w:sz w:val="24"/>
          <w:szCs w:val="24"/>
          <w:highlight w:val="none"/>
        </w:rPr>
      </w:r>
      <w:r/>
    </w:p>
    <w:p>
      <w:pPr>
        <w:pStyle w:val="957"/>
        <w:ind w:firstLine="420"/>
        <w:spacing w:line="360" w:lineRule="auto"/>
        <w:shd w:val="clear" w:color="auto" w:fill="auto"/>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12.6 </w:t>
      </w:r>
      <w:r>
        <w:rPr>
          <w:rFonts w:ascii="宋体" w:hAnsi="宋体" w:cs="宋体"/>
          <w:iCs/>
          <w:color w:val="000000"/>
          <w:sz w:val="24"/>
          <w:szCs w:val="24"/>
          <w:highlight w:val="none"/>
        </w:rPr>
        <w:t xml:space="preserve">重组禽流感病毒(H5+H7)三价灭活疫苗</w:t>
      </w:r>
      <w:r>
        <w:rPr>
          <w:rFonts w:hint="eastAsia" w:ascii="宋体" w:hAnsi="宋体" w:cs="宋体"/>
          <w:iCs/>
          <w:color w:val="000000"/>
          <w:sz w:val="24"/>
          <w:szCs w:val="24"/>
          <w:highlight w:val="none"/>
        </w:rPr>
        <w:t xml:space="preserve">免疫抗体检测过程中，如果市场上无对应商用检测抗原，厂家须免费提供</w:t>
      </w:r>
      <w:r>
        <w:rPr>
          <w:rFonts w:ascii="宋体" w:hAnsi="宋体" w:cs="宋体"/>
          <w:iCs/>
          <w:color w:val="000000"/>
          <w:sz w:val="24"/>
          <w:szCs w:val="24"/>
          <w:highlight w:val="none"/>
        </w:rPr>
        <w:t xml:space="preserve">。</w:t>
      </w:r>
      <w:r>
        <w:rPr>
          <w:rFonts w:hint="eastAsia" w:ascii="宋体" w:hAnsi="宋体" w:cs="宋体"/>
          <w:iCs/>
          <w:color w:val="000000"/>
          <w:sz w:val="24"/>
          <w:szCs w:val="24"/>
          <w:highlight w:val="none"/>
        </w:rPr>
      </w:r>
      <w:r/>
    </w:p>
    <w:p>
      <w:pPr>
        <w:pStyle w:val="957"/>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13、交货、调试和验收</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13.1乙方应当在合同生效后</w:t>
      </w:r>
      <w:r>
        <w:rPr>
          <w:rFonts w:ascii="宋体" w:hAnsi="宋体" w:cs="宋体"/>
          <w:i/>
          <w:color w:val="000000"/>
          <w:sz w:val="24"/>
          <w:szCs w:val="24"/>
          <w:highlight w:val="none"/>
          <w:u w:val="single"/>
        </w:rPr>
        <w:t xml:space="preserve">接供货通知后五日内发货</w:t>
      </w:r>
      <w:r>
        <w:rPr>
          <w:rFonts w:hint="eastAsia" w:ascii="宋体" w:hAnsi="宋体" w:cs="宋体"/>
          <w:color w:val="000000"/>
          <w:sz w:val="24"/>
          <w:szCs w:val="24"/>
          <w:highlight w:val="none"/>
        </w:rPr>
        <w:t xml:space="preserve">，地点由甲方指定，招标文件有约定的，从其约定。在发货前，乙方应对产品作出全面检查和对验收文件进行整理，并列出清单，作为甲方收货初验收和使用的技术条件依据，检验的结果应随货物交甲方。</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13.2 货到甲方后，甲乙双方须在</w:t>
      </w:r>
      <w:r>
        <w:rPr>
          <w:rFonts w:hint="eastAsia" w:ascii="宋体" w:hAnsi="宋体" w:cs="宋体"/>
          <w:color w:val="000000"/>
          <w:sz w:val="24"/>
          <w:szCs w:val="24"/>
          <w:highlight w:val="none"/>
          <w:u w:val="single"/>
        </w:rPr>
        <w:t xml:space="preserve"> 3 </w:t>
      </w:r>
      <w:r>
        <w:rPr>
          <w:rFonts w:hint="eastAsia" w:ascii="宋体" w:hAnsi="宋体" w:cs="宋体"/>
          <w:color w:val="000000"/>
          <w:sz w:val="24"/>
          <w:szCs w:val="24"/>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13.3 乙方按照招标文件要求负责产品安装并培训甲方的使用操作人员，乙方在甲方使用前进行调试，调试直到符合技术要求的甲方才做最终验收。</w:t>
      </w:r>
      <w:r>
        <w:rPr>
          <w:rFonts w:ascii="宋体" w:hAnsi="宋体" w:cs="宋体"/>
          <w:color w:val="000000"/>
          <w:sz w:val="24"/>
          <w:szCs w:val="24"/>
          <w:highlight w:val="none"/>
        </w:rPr>
      </w:r>
      <w:r/>
    </w:p>
    <w:p>
      <w:pPr>
        <w:pStyle w:val="957"/>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 货到甲方后，甲方可对不同批次的产品抽样送检，由国家认可的专业检测机构出具质量检测报告。检测费用由乙承担。</w:t>
      </w:r>
      <w:r>
        <w:rPr>
          <w:rFonts w:hint="eastAsia" w:ascii="宋体" w:hAnsi="宋体" w:cs="宋体"/>
          <w:color w:val="000000"/>
          <w:sz w:val="24"/>
          <w:szCs w:val="24"/>
          <w:highlight w:val="none"/>
        </w:rPr>
      </w:r>
      <w:r/>
    </w:p>
    <w:p>
      <w:pPr>
        <w:pStyle w:val="957"/>
        <w:ind w:firstLine="420"/>
        <w:spacing w:line="360" w:lineRule="auto"/>
        <w:shd w:val="clear" w:color="auto" w:fill="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13.5 甲乙双方关于调试和验收的其他约定：</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u w:val="single"/>
        </w:rPr>
      </w:r>
      <w:r/>
    </w:p>
    <w:p>
      <w:pPr>
        <w:pStyle w:val="957"/>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14、货物包装、发运及运输</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14.1 乙方应在货物发运前对其进行满足运输距离、防潮、防震、防锈和防破损装卸等要求包装，以保证货物安全运达甲方指定地点。</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14.2 乙方发货时，产品使用说明书、检验证明书、随配附件和工具以及清单一并附于货物内。</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14.3 乙方在货物发运手续办理完毕后24小时内或货到甲方48小时前通知甲方，以便甲方准备接货。根据甲方通知的时间和指定的地点，乙方负责安排送货、装卸、清点、堆放，仪器设备初验收合格前的保管工作由乙方负责，费用由乙方承担。</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14.4 货物在交付甲方前发生的风险均由乙方负责。</w:t>
      </w:r>
      <w:r>
        <w:rPr>
          <w:rFonts w:ascii="宋体" w:hAnsi="宋体" w:cs="宋体"/>
          <w:color w:val="000000"/>
          <w:sz w:val="24"/>
          <w:szCs w:val="24"/>
          <w:highlight w:val="none"/>
        </w:rPr>
      </w:r>
      <w:r/>
    </w:p>
    <w:p>
      <w:pPr>
        <w:pStyle w:val="957"/>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 货物在规定的交付期限内由乙方送达甲方指定的地点，经初步验收即视为货物交付。</w:t>
      </w:r>
      <w:r>
        <w:rPr>
          <w:rFonts w:hint="eastAsia" w:ascii="宋体" w:hAnsi="宋体" w:cs="宋体"/>
          <w:color w:val="000000"/>
          <w:sz w:val="24"/>
          <w:szCs w:val="24"/>
          <w:highlight w:val="none"/>
        </w:rPr>
      </w:r>
      <w:r/>
    </w:p>
    <w:p>
      <w:pPr>
        <w:pStyle w:val="957"/>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15、违约责任</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15.1 甲方无正当理由拒绝初验收和终验收货物的，甲方应按未付货款金额每日万分之五向乙方支付违约金。</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15.2 甲方无故逾期验收和无故逾期办理货款支付手续的,甲方应按逾期付款金额每日万分之五向乙方支付违约金。</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15.3乙方违约，在消除违约情形前，应按货款总额每日万分之五向甲方支付违约金，甲方可以从待付货款中扣除。</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15.4乙方因逾期交货或因其他违约行为，导致甲方解除合同的，乙方应向甲方支付合同总值5%的违约金，如造成甲方损失超过违约金的，超出部分由乙方继续承担赔偿责任。</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rPr>
          <w:rFonts w:ascii="宋体" w:hAnsi="宋体" w:cs="宋体"/>
          <w:color w:val="000000"/>
          <w:sz w:val="24"/>
          <w:szCs w:val="24"/>
          <w:highlight w:val="none"/>
        </w:rPr>
      </w:r>
      <w:r/>
    </w:p>
    <w:p>
      <w:pPr>
        <w:pStyle w:val="957"/>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15.6合同生效后，发现乙方投标属虚假承诺，或经权威部门监测提供的货物不能满足招标文件要求，造成合同无法继续履行的，乙方除履约保证金不予退还外，还应向甲方支付不少于合同总价</w:t>
      </w:r>
      <w:r>
        <w:rPr>
          <w:rFonts w:hint="eastAsia" w:ascii="宋体" w:hAnsi="宋体" w:cs="宋体"/>
          <w:color w:val="000000"/>
          <w:sz w:val="24"/>
          <w:szCs w:val="24"/>
          <w:highlight w:val="none"/>
          <w:u w:val="single"/>
        </w:rPr>
        <w:t xml:space="preserve">10</w:t>
      </w:r>
      <w:r>
        <w:rPr>
          <w:rFonts w:hint="eastAsia" w:ascii="宋体" w:hAnsi="宋体" w:cs="宋体"/>
          <w:color w:val="000000"/>
          <w:sz w:val="24"/>
          <w:szCs w:val="24"/>
          <w:highlight w:val="none"/>
        </w:rPr>
        <w:t xml:space="preserve">%的赔偿金。</w:t>
      </w:r>
      <w:r>
        <w:rPr>
          <w:rFonts w:hint="eastAsia" w:ascii="宋体" w:hAnsi="宋体" w:cs="宋体"/>
          <w:color w:val="000000"/>
          <w:sz w:val="24"/>
          <w:szCs w:val="24"/>
          <w:highlight w:val="none"/>
        </w:rPr>
      </w:r>
      <w:r/>
    </w:p>
    <w:p>
      <w:pPr>
        <w:pStyle w:val="957"/>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16、不可抗力事件处理</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cs="宋体"/>
          <w:color w:val="000000"/>
          <w:sz w:val="24"/>
          <w:szCs w:val="24"/>
          <w:highlight w:val="none"/>
        </w:rPr>
      </w:r>
      <w:r/>
    </w:p>
    <w:p>
      <w:pPr>
        <w:pStyle w:val="957"/>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hint="eastAsia" w:ascii="宋体" w:hAnsi="宋体" w:cs="宋体"/>
          <w:color w:val="000000"/>
          <w:sz w:val="24"/>
          <w:szCs w:val="24"/>
          <w:highlight w:val="none"/>
        </w:rPr>
      </w:r>
      <w:r/>
    </w:p>
    <w:p>
      <w:pPr>
        <w:pStyle w:val="957"/>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17、争议解决</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17.1 因货物的质量问题发生争议的，可在国家认可的质量检测机构对货物质量进行鉴定。货物符合标准的，鉴定费由甲方承担；货物不符合质量标准的，鉴定费由乙方承担。</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17.2 因履行本合同引起的或与本合同有关的争议，甲、乙双方应首先通过友好协商解决；如果协商不能解决争议，甲乙双方同意采取下列两种方式的第</w:t>
      </w:r>
      <w:r>
        <w:rPr>
          <w:rFonts w:hint="eastAsia" w:ascii="宋体" w:hAnsi="宋体" w:cs="宋体"/>
          <w:color w:val="000000"/>
          <w:sz w:val="24"/>
          <w:szCs w:val="24"/>
          <w:highlight w:val="none"/>
          <w:u w:val="single"/>
        </w:rPr>
        <w:t xml:space="preserve">（1）</w:t>
      </w:r>
      <w:r>
        <w:rPr>
          <w:rFonts w:hint="eastAsia" w:ascii="宋体" w:hAnsi="宋体" w:cs="宋体"/>
          <w:color w:val="000000"/>
          <w:sz w:val="24"/>
          <w:szCs w:val="24"/>
          <w:highlight w:val="none"/>
        </w:rPr>
        <w:t xml:space="preserve">种方式解决争议：</w:t>
      </w:r>
      <w:r>
        <w:rPr>
          <w:rFonts w:ascii="宋体" w:hAnsi="宋体" w:cs="宋体"/>
          <w:color w:val="000000"/>
          <w:sz w:val="24"/>
          <w:szCs w:val="24"/>
          <w:highlight w:val="none"/>
        </w:rPr>
      </w:r>
      <w:r/>
    </w:p>
    <w:p>
      <w:pPr>
        <w:pStyle w:val="957"/>
        <w:ind w:firstLine="315"/>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（1）向甲方所在地有管辖权的人民法院提起诉讼，适用中华人民共和国法律；</w:t>
      </w:r>
      <w:r>
        <w:rPr>
          <w:rFonts w:ascii="宋体" w:hAnsi="宋体" w:cs="宋体"/>
          <w:color w:val="000000"/>
          <w:sz w:val="24"/>
          <w:szCs w:val="24"/>
          <w:highlight w:val="none"/>
        </w:rPr>
      </w:r>
      <w:r/>
    </w:p>
    <w:p>
      <w:pPr>
        <w:pStyle w:val="957"/>
        <w:ind w:left="105" w:hanging="105"/>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（2）向宝应仲裁委员会按其仲裁规则申请仲裁。</w:t>
      </w:r>
      <w:r>
        <w:rPr>
          <w:rFonts w:ascii="宋体" w:hAnsi="宋体" w:cs="宋体"/>
          <w:color w:val="000000"/>
          <w:sz w:val="24"/>
          <w:szCs w:val="24"/>
          <w:highlight w:val="none"/>
        </w:rPr>
      </w:r>
      <w:r/>
    </w:p>
    <w:p>
      <w:pPr>
        <w:pStyle w:val="957"/>
        <w:ind w:firstLine="42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17.3 若甲乙双方任何一方都没有选择解除合同的，为避免扩大损失，在诉讼或仲裁期间，双方应继续履行。</w:t>
      </w:r>
      <w:r>
        <w:rPr>
          <w:rFonts w:hint="eastAsia" w:ascii="宋体" w:hAnsi="宋体" w:cs="宋体"/>
          <w:color w:val="000000"/>
          <w:sz w:val="24"/>
          <w:szCs w:val="24"/>
          <w:highlight w:val="none"/>
        </w:rPr>
      </w:r>
      <w:r/>
    </w:p>
    <w:p>
      <w:pPr>
        <w:pStyle w:val="957"/>
        <w:ind w:firstLine="420"/>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18、合同其它</w:t>
      </w:r>
      <w:r>
        <w:rPr>
          <w:rFonts w:ascii="宋体" w:hAnsi="宋体" w:cs="宋体"/>
          <w:b/>
          <w:bCs/>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18.1 乙方应诚实信用，严格按照招标文件要求和投标承诺履行合同，不向甲方进行商业贿赂或者提供不正当利益。</w:t>
      </w:r>
      <w:r>
        <w:rPr>
          <w:rFonts w:ascii="宋体" w:hAnsi="宋体" w:cs="宋体"/>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18.2合同经双方法定代表人签章并加盖单位公章，并经江苏汇诚投资咨询管理有限公司见证盖章后生效。</w:t>
      </w:r>
      <w:r>
        <w:rPr>
          <w:rFonts w:ascii="宋体" w:hAnsi="宋体" w:cs="宋体"/>
          <w:color w:val="000000"/>
          <w:sz w:val="24"/>
          <w:szCs w:val="24"/>
          <w:highlight w:val="none"/>
          <w:u w:val="single"/>
        </w:rPr>
      </w:r>
      <w:r/>
    </w:p>
    <w:p>
      <w:pPr>
        <w:pStyle w:val="957"/>
        <w:ind w:firstLine="420"/>
        <w:spacing w:line="360" w:lineRule="auto"/>
        <w:shd w:val="clear" w:color="auto" w:fill="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18.3本合同未尽事宜，遵照《民法典》有关条文执行。</w:t>
      </w:r>
      <w:r>
        <w:rPr>
          <w:rFonts w:ascii="宋体" w:hAnsi="宋体" w:cs="宋体"/>
          <w:color w:val="000000"/>
          <w:sz w:val="24"/>
          <w:szCs w:val="24"/>
          <w:highlight w:val="none"/>
          <w:u w:val="single"/>
        </w:rPr>
      </w:r>
      <w:r/>
    </w:p>
    <w:p>
      <w:pPr>
        <w:pStyle w:val="957"/>
        <w:ind w:firstLine="42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18.4本合同正本一式陆份，具有同等法律效力，甲方、乙方各执贰份。</w:t>
      </w:r>
      <w:r>
        <w:rPr>
          <w:rFonts w:ascii="宋体" w:hAnsi="宋体" w:cs="宋体"/>
          <w:color w:val="000000"/>
          <w:sz w:val="24"/>
          <w:szCs w:val="24"/>
          <w:highlight w:val="none"/>
        </w:rPr>
      </w:r>
      <w:r/>
    </w:p>
    <w:p>
      <w:pPr>
        <w:pStyle w:val="957"/>
        <w:spacing w:line="400" w:lineRule="exact"/>
        <w:shd w:val="clear" w:color="auto" w:fill="auto"/>
        <w:rPr>
          <w:rFonts w:ascii="宋体" w:hAnsi="宋体" w:cs="宋体"/>
          <w:color w:val="000000"/>
          <w:sz w:val="24"/>
          <w:szCs w:val="24"/>
          <w:highlight w:val="none"/>
        </w:rPr>
      </w:pPr>
      <w:r>
        <w:rPr>
          <w:rFonts w:ascii="宋体" w:hAnsi="宋体" w:cs="宋体"/>
          <w:color w:val="000000"/>
          <w:sz w:val="24"/>
          <w:szCs w:val="24"/>
          <w:highlight w:val="none"/>
        </w:rPr>
      </w:r>
      <w:r/>
    </w:p>
    <w:p>
      <w:pPr>
        <w:pStyle w:val="957"/>
        <w:ind w:left="189" w:hanging="120"/>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甲方：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乙方： </w:t>
      </w:r>
      <w:r>
        <w:rPr>
          <w:rFonts w:ascii="宋体" w:hAnsi="宋体" w:cs="宋体"/>
          <w:color w:val="000000"/>
          <w:sz w:val="24"/>
          <w:szCs w:val="24"/>
          <w:highlight w:val="none"/>
        </w:rPr>
      </w:r>
      <w:r/>
    </w:p>
    <w:p>
      <w:pPr>
        <w:pStyle w:val="957"/>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地址：</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地址： </w:t>
      </w:r>
      <w:r>
        <w:rPr>
          <w:rFonts w:ascii="宋体" w:hAnsi="宋体" w:cs="宋体"/>
          <w:color w:val="000000"/>
          <w:sz w:val="24"/>
          <w:szCs w:val="24"/>
          <w:highlight w:val="none"/>
        </w:rPr>
      </w:r>
      <w:r/>
    </w:p>
    <w:p>
      <w:pPr>
        <w:pStyle w:val="957"/>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                             法定代表人：</w:t>
      </w:r>
      <w:r>
        <w:rPr>
          <w:rFonts w:ascii="宋体" w:hAnsi="宋体" w:cs="宋体"/>
          <w:color w:val="000000"/>
          <w:sz w:val="24"/>
          <w:szCs w:val="24"/>
          <w:highlight w:val="none"/>
        </w:rPr>
      </w:r>
      <w:r/>
    </w:p>
    <w:p>
      <w:pPr>
        <w:pStyle w:val="957"/>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联系电话：                               联系电话：</w:t>
      </w:r>
      <w:r>
        <w:rPr>
          <w:rFonts w:ascii="宋体" w:hAnsi="宋体" w:cs="宋体"/>
          <w:color w:val="000000"/>
          <w:sz w:val="24"/>
          <w:szCs w:val="24"/>
          <w:highlight w:val="none"/>
        </w:rPr>
      </w:r>
      <w:r/>
    </w:p>
    <w:p>
      <w:pPr>
        <w:pStyle w:val="957"/>
        <w:ind w:firstLine="210"/>
        <w:spacing w:line="4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               日期：      年    月    日</w:t>
      </w:r>
      <w:r>
        <w:rPr>
          <w:rFonts w:ascii="宋体" w:hAnsi="宋体" w:cs="宋体"/>
          <w:color w:val="000000"/>
          <w:sz w:val="24"/>
          <w:szCs w:val="24"/>
          <w:highlight w:val="none"/>
        </w:rPr>
      </w:r>
      <w:r/>
    </w:p>
    <w:p>
      <w:pPr>
        <w:pStyle w:val="957"/>
        <w:ind w:firstLine="21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57"/>
        <w:ind w:firstLine="21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57"/>
        <w:jc w:val="center"/>
        <w:shd w:val="clear" w:color="auto" w:fill="auto"/>
        <w:rPr>
          <w:rFonts w:eastAsia="方正小标宋_GBK"/>
          <w:color w:val="000000"/>
          <w:sz w:val="44"/>
          <w:szCs w:val="44"/>
          <w:highlight w:val="none"/>
        </w:rPr>
      </w:pPr>
      <w:r>
        <w:rPr>
          <w:rFonts w:eastAsia="方正小标宋_GBK"/>
          <w:color w:val="000000"/>
          <w:sz w:val="44"/>
          <w:szCs w:val="44"/>
          <w:highlight w:val="none"/>
        </w:rPr>
      </w:r>
      <w:r/>
    </w:p>
    <w:p>
      <w:pPr>
        <w:pStyle w:val="957"/>
        <w:jc w:val="center"/>
        <w:shd w:val="clear" w:color="auto" w:fill="auto"/>
        <w:rPr>
          <w:rFonts w:eastAsia="方正小标宋_GBK"/>
          <w:color w:val="000000"/>
          <w:sz w:val="44"/>
          <w:szCs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eastAsia="方正小标宋_GBK"/>
          <w:color w:val="000000"/>
          <w:sz w:val="44"/>
          <w:szCs w:val="44"/>
          <w:highlight w:val="none"/>
        </w:rPr>
      </w:r>
      <w:r/>
    </w:p>
    <w:p>
      <w:pPr>
        <w:pStyle w:val="957"/>
        <w:jc w:val="center"/>
        <w:shd w:val="clear" w:color="auto" w:fill="auto"/>
        <w:rPr>
          <w:rFonts w:eastAsia="方正小标宋_GBK"/>
          <w:color w:val="000000"/>
          <w:sz w:val="44"/>
          <w:szCs w:val="44"/>
          <w:highlight w:val="none"/>
        </w:rPr>
      </w:pPr>
      <w:r>
        <w:rPr>
          <w:rFonts w:eastAsia="方正小标宋_GBK"/>
          <w:color w:val="000000"/>
          <w:sz w:val="44"/>
          <w:szCs w:val="44"/>
          <w:highlight w:val="none"/>
        </w:rPr>
        <w:t xml:space="preserve">政府采购合同履约验收书（参考格式）</w:t>
      </w:r>
      <w:r>
        <w:rPr>
          <w:rFonts w:eastAsia="方正小标宋_GBK"/>
          <w:color w:val="000000"/>
          <w:sz w:val="44"/>
          <w:szCs w:val="44"/>
          <w:highlight w:val="none"/>
        </w:rPr>
      </w:r>
      <w:r/>
    </w:p>
    <w:p>
      <w:pPr>
        <w:pStyle w:val="957"/>
        <w:ind w:firstLine="600"/>
        <w:jc w:val="left"/>
        <w:spacing w:line="560" w:lineRule="exact"/>
        <w:shd w:val="clear" w:color="auto" w:fill="auto"/>
        <w:rPr>
          <w:color w:val="000000"/>
          <w:highlight w:val="none"/>
        </w:rPr>
      </w:pPr>
      <w:r>
        <w:rPr>
          <w:color w:val="000000"/>
          <w:highlight w:val="none"/>
        </w:rPr>
        <w:t xml:space="preserve">根据政府采购合同（编号：          ）的约定，我单位组织对</w:t>
      </w:r>
      <w:r>
        <w:rPr>
          <w:color w:val="000000"/>
          <w:highlight w:val="none"/>
          <w:u w:val="single"/>
        </w:rPr>
        <w:t xml:space="preserve">（项目名称）</w:t>
      </w:r>
      <w:r>
        <w:rPr>
          <w:color w:val="000000"/>
          <w:highlight w:val="none"/>
        </w:rPr>
        <w:t xml:space="preserve">项目中标（成交）供应商</w:t>
      </w:r>
      <w:r>
        <w:rPr>
          <w:color w:val="000000"/>
          <w:highlight w:val="none"/>
          <w:u w:val="single"/>
        </w:rPr>
        <w:t xml:space="preserve">（公司名称）</w:t>
      </w:r>
      <w:r>
        <w:rPr>
          <w:color w:val="000000"/>
          <w:highlight w:val="none"/>
        </w:rPr>
        <w:t xml:space="preserve">提供的货物（工程、服务）进行了履约验收，验收情况如下：</w:t>
      </w:r>
      <w:r>
        <w:rPr>
          <w:color w:val="000000"/>
          <w:highlight w:val="none"/>
        </w:rPr>
      </w:r>
      <w:r/>
    </w:p>
    <w:tbl>
      <w:tblPr>
        <w:tblW w:w="913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bookmarkEnd w:id="147"/>
            <w:r>
              <w:rPr>
                <w:rFonts w:ascii="Times New Roman"/>
                <w:color w:val="000000"/>
                <w:szCs w:val="21"/>
                <w:highlight w:val="none"/>
              </w:rPr>
              <w:t xml:space="preserve">项目名称</w:t>
            </w:r>
            <w:r>
              <w:rPr>
                <w:rFonts w:ascii="Times New Roman"/>
                <w:color w:val="000000"/>
                <w:szCs w:val="21"/>
                <w:highlight w:val="none"/>
              </w:rPr>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项目地点</w:t>
            </w:r>
            <w:r>
              <w:rPr>
                <w:rFonts w:ascii="Times New Roman"/>
                <w:color w:val="000000"/>
                <w:szCs w:val="21"/>
                <w:highlight w:val="none"/>
              </w:rPr>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预算金额</w:t>
            </w:r>
            <w:r>
              <w:rPr>
                <w:rFonts w:ascii="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承接单位</w:t>
            </w:r>
            <w:r>
              <w:rPr>
                <w:rFonts w:ascii="Times New Roman"/>
                <w:color w:val="000000"/>
                <w:szCs w:val="21"/>
                <w:highlight w:val="none"/>
              </w:rPr>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pStyle w:val="957"/>
              <w:jc w:val="left"/>
              <w:spacing w:line="360" w:lineRule="exact"/>
              <w:shd w:val="clear" w:color="auto" w:fill="auto"/>
              <w:rPr>
                <w:rFonts w:ascii="Times New Roman"/>
                <w:color w:val="000000"/>
                <w:szCs w:val="21"/>
                <w:highlight w:val="none"/>
              </w:rPr>
            </w:pPr>
            <w:r>
              <w:rPr>
                <w:rFonts w:ascii="Times New Roman"/>
                <w:color w:val="000000"/>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合同时间</w:t>
            </w:r>
            <w:r>
              <w:rPr>
                <w:rFonts w:ascii="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项目开始时间</w:t>
            </w:r>
            <w:r>
              <w:rPr>
                <w:rFonts w:ascii="Times New Roman"/>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项目结束时间</w:t>
            </w:r>
            <w:r>
              <w:rPr>
                <w:rFonts w:ascii="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t xml:space="preserve">项目联系人</w:t>
            </w:r>
            <w:r>
              <w:rPr>
                <w:rFonts w:ascii="Times New Roman"/>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957"/>
              <w:jc w:val="center"/>
              <w:spacing w:line="360" w:lineRule="exact"/>
              <w:shd w:val="clear" w:color="auto" w:fill="auto"/>
              <w:rPr>
                <w:rFonts w:ascii="Times New Roman"/>
                <w:color w:val="000000"/>
                <w:szCs w:val="21"/>
                <w:highlight w:val="none"/>
              </w:rPr>
            </w:pPr>
            <w:r>
              <w:rPr>
                <w:rFonts w:ascii="Times New Roman"/>
                <w:color w:val="000000"/>
                <w:szCs w:val="21"/>
                <w:highlight w:val="none"/>
              </w:rPr>
            </w:r>
            <w:r/>
          </w:p>
        </w:tc>
      </w:tr>
      <w:t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957"/>
              <w:jc w:val="center"/>
              <w:shd w:val="clear" w:color="auto" w:fill="auto"/>
              <w:rPr>
                <w:rFonts w:ascii="Times New Roman"/>
                <w:b/>
                <w:bCs/>
                <w:color w:val="000000"/>
                <w:szCs w:val="21"/>
                <w:highlight w:val="none"/>
              </w:rPr>
            </w:pPr>
            <w:r>
              <w:rPr>
                <w:rFonts w:ascii="Times New Roman"/>
                <w:b/>
                <w:bCs/>
                <w:color w:val="000000"/>
                <w:szCs w:val="21"/>
                <w:highlight w:val="none"/>
              </w:rPr>
              <w:t xml:space="preserve">验收情况和验收意见</w:t>
            </w:r>
            <w:r>
              <w:rPr>
                <w:rFonts w:ascii="Times New Roman"/>
                <w:b/>
                <w:bCs/>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t xml:space="preserve">（可另附）</w:t>
            </w: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shd w:val="clear" w:color="auto" w:fill="auto"/>
              <w:rPr>
                <w:rFonts w:ascii="Times New Roman"/>
                <w:color w:val="000000"/>
                <w:szCs w:val="21"/>
                <w:highlight w:val="none"/>
              </w:rPr>
            </w:pPr>
            <w:r>
              <w:rPr>
                <w:rFonts w:ascii="Times New Roman"/>
                <w:color w:val="000000"/>
                <w:szCs w:val="21"/>
                <w:highlight w:val="none"/>
              </w:rPr>
            </w:r>
            <w:r/>
          </w:p>
          <w:p>
            <w:pPr>
              <w:pStyle w:val="957"/>
              <w:ind w:firstLine="420"/>
              <w:shd w:val="clear" w:color="auto" w:fill="auto"/>
              <w:rPr>
                <w:rFonts w:ascii="Times New Roman"/>
                <w:color w:val="000000"/>
                <w:szCs w:val="21"/>
                <w:highlight w:val="none"/>
              </w:rPr>
            </w:pPr>
            <w:r>
              <w:rPr>
                <w:rFonts w:ascii="Times New Roman"/>
                <w:color w:val="000000"/>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957"/>
              <w:jc w:val="left"/>
              <w:shd w:val="clear" w:color="auto" w:fill="auto"/>
              <w:rPr>
                <w:rFonts w:ascii="Times New Roman"/>
                <w:color w:val="000000"/>
                <w:szCs w:val="21"/>
                <w:highlight w:val="none"/>
              </w:rPr>
            </w:pPr>
            <w:r>
              <w:rPr>
                <w:rFonts w:ascii="Times New Roman"/>
                <w:color w:val="000000"/>
                <w:szCs w:val="21"/>
                <w:highlight w:val="none"/>
              </w:rPr>
              <w:t xml:space="preserve">验收小组（签字）：</w:t>
            </w: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t xml:space="preserve">　　</w:t>
            </w:r>
            <w:r>
              <w:rPr>
                <w:rFonts w:ascii="Times New Roman"/>
                <w:color w:val="000000"/>
                <w:szCs w:val="21"/>
                <w:highlight w:val="none"/>
              </w:rPr>
              <w:br w:type="textWrapping" w:clear="all"/>
            </w:r>
            <w:r>
              <w:rPr>
                <w:rFonts w:ascii="Times New Roman"/>
                <w:color w:val="000000"/>
                <w:szCs w:val="21"/>
                <w:highlight w:val="none"/>
              </w:rPr>
              <w:t xml:space="preserve">　　　　　                              年    月    日</w:t>
            </w:r>
            <w:r>
              <w:rPr>
                <w:rFonts w:ascii="Times New Roman"/>
                <w:color w:val="000000"/>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957"/>
              <w:jc w:val="left"/>
              <w:shd w:val="clear" w:color="auto" w:fill="auto"/>
              <w:rPr>
                <w:rFonts w:ascii="Times New Roman"/>
                <w:color w:val="000000"/>
                <w:szCs w:val="21"/>
                <w:highlight w:val="none"/>
              </w:rPr>
            </w:pPr>
            <w:r>
              <w:rPr>
                <w:rFonts w:ascii="Times New Roman"/>
                <w:color w:val="000000"/>
                <w:szCs w:val="21"/>
                <w:highlight w:val="none"/>
              </w:rPr>
              <w:t xml:space="preserve">供应商确认意见（签章）：</w:t>
            </w: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t xml:space="preserve">　　</w:t>
            </w:r>
            <w:r>
              <w:rPr>
                <w:rFonts w:ascii="Times New Roman"/>
                <w:color w:val="000000"/>
                <w:szCs w:val="21"/>
                <w:highlight w:val="none"/>
              </w:rPr>
              <w:br w:type="textWrapping" w:clear="all"/>
            </w:r>
            <w:r>
              <w:rPr>
                <w:rFonts w:ascii="Times New Roman"/>
                <w:color w:val="000000"/>
                <w:szCs w:val="21"/>
                <w:highlight w:val="none"/>
              </w:rPr>
              <w:t xml:space="preserve">　　　　　                              年    月    日</w:t>
            </w:r>
            <w:r>
              <w:rPr>
                <w:rFonts w:ascii="Times New Roman"/>
                <w:color w:val="000000"/>
                <w:szCs w:val="21"/>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957"/>
              <w:jc w:val="left"/>
              <w:shd w:val="clear" w:color="auto" w:fill="auto"/>
              <w:rPr>
                <w:rFonts w:ascii="Times New Roman"/>
                <w:color w:val="000000"/>
                <w:szCs w:val="21"/>
                <w:highlight w:val="none"/>
              </w:rPr>
            </w:pPr>
            <w:r>
              <w:rPr>
                <w:rFonts w:ascii="Times New Roman"/>
                <w:color w:val="000000"/>
                <w:szCs w:val="21"/>
                <w:highlight w:val="none"/>
              </w:rPr>
              <w:t xml:space="preserve">采购人确认意见（签章）：</w:t>
            </w: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r>
            <w:r/>
          </w:p>
          <w:p>
            <w:pPr>
              <w:pStyle w:val="957"/>
              <w:jc w:val="left"/>
              <w:shd w:val="clear" w:color="auto" w:fill="auto"/>
              <w:rPr>
                <w:rFonts w:ascii="Times New Roman"/>
                <w:color w:val="000000"/>
                <w:szCs w:val="21"/>
                <w:highlight w:val="none"/>
              </w:rPr>
            </w:pPr>
            <w:r>
              <w:rPr>
                <w:rFonts w:ascii="Times New Roman"/>
                <w:color w:val="000000"/>
                <w:szCs w:val="21"/>
                <w:highlight w:val="none"/>
              </w:rPr>
              <w:t xml:space="preserve">　　</w:t>
            </w:r>
            <w:r>
              <w:rPr>
                <w:rFonts w:ascii="Times New Roman"/>
                <w:color w:val="000000"/>
                <w:szCs w:val="21"/>
                <w:highlight w:val="none"/>
              </w:rPr>
              <w:br w:type="textWrapping" w:clear="all"/>
            </w:r>
            <w:r>
              <w:rPr>
                <w:rFonts w:ascii="Times New Roman"/>
                <w:color w:val="000000"/>
                <w:szCs w:val="21"/>
                <w:highlight w:val="none"/>
              </w:rPr>
              <w:t xml:space="preserve">　　　　　                              年    月    日</w:t>
            </w:r>
            <w:r>
              <w:rPr>
                <w:rFonts w:ascii="Times New Roman"/>
                <w:color w:val="000000"/>
                <w:szCs w:val="21"/>
                <w:highlight w:val="none"/>
              </w:rPr>
            </w:r>
            <w:r/>
          </w:p>
        </w:tc>
      </w:tr>
    </w:tbl>
    <w:p>
      <w:pPr>
        <w:pStyle w:val="1094"/>
        <w:jc w:val="right"/>
        <w:spacing w:line="60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p>
      <w:pPr>
        <w:pStyle w:val="957"/>
        <w:ind w:firstLine="640"/>
        <w:spacing w:line="500" w:lineRule="exact"/>
        <w:shd w:val="clear" w:color="auto" w:fill="auto"/>
        <w:rPr>
          <w:rFonts w:hint="eastAsia" w:ascii="宋体" w:hAnsi="宋体" w:cs="宋体"/>
          <w:bCs/>
          <w:color w:val="000000"/>
          <w:highlight w:val="none"/>
        </w:rPr>
      </w:pPr>
      <w:r>
        <w:rPr>
          <w:rFonts w:hint="eastAsia" w:ascii="宋体" w:hAnsi="宋体" w:cs="宋体"/>
          <w:bCs/>
          <w:color w:val="000000"/>
          <w:highlight w:val="none"/>
        </w:rPr>
      </w:r>
      <w:r/>
    </w:p>
    <w:p>
      <w:pPr>
        <w:pStyle w:val="958"/>
        <w:shd w:val="clear" w:color="auto" w:fill="auto"/>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958"/>
        <w:shd w:val="clear" w:color="auto" w:fill="auto"/>
        <w:rPr>
          <w:rFonts w:ascii="宋体" w:hAnsi="宋体" w:eastAsia="宋体" w:cs="宋体"/>
          <w:b/>
          <w:color w:val="000000"/>
          <w:sz w:val="44"/>
          <w:highlight w:val="none"/>
        </w:rPr>
      </w:pPr>
      <w:r>
        <w:rPr>
          <w:rFonts w:hint="eastAsia" w:ascii="宋体" w:hAnsi="宋体" w:eastAsia="宋体" w:cs="宋体"/>
          <w:b/>
          <w:color w:val="000000"/>
          <w:sz w:val="44"/>
          <w:highlight w:val="none"/>
        </w:rPr>
        <w:t xml:space="preserve">第四章 </w:t>
      </w:r>
      <w:r>
        <w:rPr>
          <w:rFonts w:hint="eastAsia" w:ascii="宋体" w:hAnsi="宋体" w:eastAsia="宋体" w:cs="宋体"/>
          <w:b/>
          <w:color w:val="000000"/>
          <w:sz w:val="44"/>
          <w:highlight w:val="none"/>
          <w:lang w:val="en-US" w:eastAsia="zh-CN"/>
        </w:rPr>
        <w:t xml:space="preserve">采购</w:t>
      </w:r>
      <w:r>
        <w:rPr>
          <w:rFonts w:hint="eastAsia" w:ascii="宋体" w:hAnsi="宋体" w:eastAsia="宋体" w:cs="宋体"/>
          <w:b/>
          <w:color w:val="000000"/>
          <w:sz w:val="44"/>
          <w:highlight w:val="none"/>
        </w:rPr>
        <w:t xml:space="preserve">需求</w:t>
      </w:r>
      <w:r>
        <w:rPr>
          <w:rFonts w:ascii="宋体" w:hAnsi="宋体" w:eastAsia="宋体" w:cs="宋体"/>
          <w:b/>
          <w:color w:val="000000"/>
          <w:sz w:val="44"/>
          <w:highlight w:val="none"/>
        </w:rPr>
      </w:r>
      <w:r/>
    </w:p>
    <w:p>
      <w:pPr>
        <w:pStyle w:val="1095"/>
        <w:spacing w:before="0" w:after="0" w:line="360" w:lineRule="auto"/>
        <w:shd w:val="clear" w:color="auto" w:fill="auto"/>
        <w:rPr>
          <w:rFonts w:hint="eastAsia" w:ascii="宋体" w:hAnsi="宋体" w:cs="宋体"/>
          <w:b w:val="0"/>
          <w:color w:val="000000"/>
          <w:sz w:val="24"/>
          <w:szCs w:val="24"/>
          <w:highlight w:val="none"/>
        </w:rPr>
      </w:pPr>
      <w:r/>
      <w:bookmarkStart w:id="148" w:name="_Toc120614281"/>
      <w:r>
        <w:rPr>
          <w:rFonts w:hint="eastAsia" w:ascii="宋体" w:hAnsi="宋体" w:cs="宋体"/>
          <w:b w:val="0"/>
          <w:color w:val="000000"/>
          <w:sz w:val="24"/>
          <w:szCs w:val="24"/>
          <w:highlight w:val="none"/>
        </w:rPr>
        <w:t xml:space="preserve">本项目采购标的对应的中小企业划分标准所属行业：工业。</w:t>
      </w:r>
      <w:r>
        <w:rPr>
          <w:rFonts w:hint="eastAsia" w:ascii="宋体" w:hAnsi="宋体" w:cs="宋体"/>
          <w:b w:val="0"/>
          <w:color w:val="000000"/>
          <w:sz w:val="24"/>
          <w:szCs w:val="24"/>
          <w:highlight w:val="none"/>
        </w:rPr>
      </w:r>
      <w:r/>
    </w:p>
    <w:p>
      <w:pPr>
        <w:pStyle w:val="1095"/>
        <w:spacing w:before="0" w:after="0" w:line="360" w:lineRule="auto"/>
        <w:shd w:val="clear" w:color="auto" w:fill="auto"/>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一、项目属性:货物类项目。</w:t>
      </w:r>
      <w:r>
        <w:rPr>
          <w:rFonts w:hint="eastAsia" w:ascii="宋体" w:hAnsi="宋体" w:cs="宋体"/>
          <w:b w:val="0"/>
          <w:color w:val="000000"/>
          <w:sz w:val="24"/>
          <w:szCs w:val="24"/>
          <w:highlight w:val="none"/>
        </w:rPr>
      </w:r>
      <w:r/>
    </w:p>
    <w:p>
      <w:pPr>
        <w:pStyle w:val="1095"/>
        <w:spacing w:before="0" w:after="0" w:line="360" w:lineRule="auto"/>
        <w:shd w:val="clear" w:color="auto" w:fill="auto"/>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二、货物名称</w:t>
      </w:r>
      <w:r>
        <w:rPr>
          <w:rFonts w:hint="eastAsia" w:ascii="宋体" w:hAnsi="宋体" w:cs="宋体"/>
          <w:b w:val="0"/>
          <w:color w:val="000000"/>
          <w:sz w:val="24"/>
          <w:szCs w:val="24"/>
          <w:highlight w:val="none"/>
        </w:rPr>
      </w:r>
      <w:r/>
    </w:p>
    <w:tbl>
      <w:tblPr>
        <w:tblW w:w="87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3098"/>
        <w:gridCol w:w="1448"/>
        <w:gridCol w:w="1444"/>
        <w:gridCol w:w="1970"/>
      </w:tblGrid>
      <w:tr>
        <w:trPr>
          <w:trHeight w:val="902"/>
        </w:trPr>
        <w:tc>
          <w:tcPr>
            <w:tcW w:w="765" w:type="dxa"/>
            <w:vAlign w:val="center"/>
            <w:textDirection w:val="lrTb"/>
            <w:noWrap w:val="false"/>
          </w:tcPr>
          <w:p>
            <w:pPr>
              <w:pStyle w:val="957"/>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分包号</w:t>
            </w:r>
            <w:r>
              <w:rPr>
                <w:rFonts w:hint="eastAsia" w:ascii="宋体" w:hAnsi="宋体" w:cs="宋体"/>
                <w:b/>
                <w:bCs/>
                <w:color w:val="000000"/>
                <w:sz w:val="24"/>
                <w:szCs w:val="24"/>
                <w:highlight w:val="none"/>
              </w:rPr>
            </w:r>
            <w:r/>
          </w:p>
        </w:tc>
        <w:tc>
          <w:tcPr>
            <w:tcW w:w="3098" w:type="dxa"/>
            <w:vAlign w:val="center"/>
            <w:textDirection w:val="lrTb"/>
            <w:noWrap w:val="false"/>
          </w:tcPr>
          <w:p>
            <w:pPr>
              <w:pStyle w:val="957"/>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物品名称</w:t>
            </w:r>
            <w:r>
              <w:rPr>
                <w:rFonts w:hint="eastAsia" w:ascii="宋体" w:hAnsi="宋体" w:cs="宋体"/>
                <w:b/>
                <w:bCs/>
                <w:color w:val="000000"/>
                <w:sz w:val="24"/>
                <w:szCs w:val="24"/>
                <w:highlight w:val="none"/>
              </w:rPr>
            </w:r>
            <w:r/>
          </w:p>
        </w:tc>
        <w:tc>
          <w:tcPr>
            <w:tcW w:w="1448" w:type="dxa"/>
            <w:vAlign w:val="center"/>
            <w:textDirection w:val="lrTb"/>
            <w:noWrap w:val="false"/>
          </w:tcPr>
          <w:p>
            <w:pPr>
              <w:pStyle w:val="957"/>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型号</w:t>
            </w:r>
            <w:r>
              <w:rPr>
                <w:rFonts w:hint="eastAsia" w:ascii="宋体" w:hAnsi="宋体" w:cs="宋体"/>
                <w:b/>
                <w:bCs/>
                <w:color w:val="000000"/>
                <w:sz w:val="24"/>
                <w:szCs w:val="24"/>
                <w:highlight w:val="none"/>
              </w:rPr>
            </w:r>
            <w:r/>
          </w:p>
        </w:tc>
        <w:tc>
          <w:tcPr>
            <w:tcW w:w="1444" w:type="dxa"/>
            <w:vAlign w:val="center"/>
            <w:textDirection w:val="lrTb"/>
            <w:noWrap w:val="false"/>
          </w:tcPr>
          <w:p>
            <w:pPr>
              <w:pStyle w:val="957"/>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招标</w:t>
            </w:r>
            <w:r>
              <w:rPr>
                <w:rFonts w:hint="eastAsia" w:ascii="宋体" w:hAnsi="宋体" w:cs="宋体"/>
                <w:b/>
                <w:bCs/>
                <w:color w:val="000000"/>
                <w:sz w:val="24"/>
                <w:szCs w:val="24"/>
                <w:highlight w:val="none"/>
                <w:lang w:val="en-US" w:eastAsia="zh-CN"/>
              </w:rPr>
              <w:t xml:space="preserve">控制</w:t>
            </w:r>
            <w:r>
              <w:rPr>
                <w:rFonts w:hint="eastAsia" w:ascii="宋体" w:hAnsi="宋体" w:cs="宋体"/>
                <w:b/>
                <w:bCs/>
                <w:color w:val="000000"/>
                <w:sz w:val="24"/>
                <w:szCs w:val="24"/>
                <w:highlight w:val="none"/>
                <w:lang w:val="en-US" w:eastAsia="zh-CN"/>
              </w:rPr>
              <w:t xml:space="preserve">价总价</w:t>
            </w:r>
            <w:r>
              <w:rPr>
                <w:rFonts w:hint="eastAsia" w:ascii="宋体" w:hAnsi="宋体" w:cs="宋体"/>
                <w:b/>
                <w:bCs/>
                <w:color w:val="000000"/>
                <w:sz w:val="24"/>
                <w:szCs w:val="24"/>
                <w:highlight w:val="none"/>
              </w:rPr>
              <w:t xml:space="preserve">（万元）</w:t>
            </w:r>
            <w:r>
              <w:rPr>
                <w:rFonts w:hint="eastAsia" w:ascii="宋体" w:hAnsi="宋体" w:cs="宋体"/>
                <w:b/>
                <w:bCs/>
                <w:color w:val="000000"/>
                <w:sz w:val="24"/>
                <w:szCs w:val="24"/>
                <w:highlight w:val="none"/>
              </w:rPr>
            </w:r>
            <w:r/>
          </w:p>
        </w:tc>
        <w:tc>
          <w:tcPr>
            <w:tcW w:w="1970" w:type="dxa"/>
            <w:vAlign w:val="center"/>
            <w:textDirection w:val="lrTb"/>
            <w:noWrap w:val="false"/>
          </w:tcPr>
          <w:p>
            <w:pPr>
              <w:pStyle w:val="957"/>
              <w:jc w:val="center"/>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主要配置或技术参数</w:t>
            </w:r>
            <w:r>
              <w:rPr>
                <w:rFonts w:hint="eastAsia" w:ascii="宋体" w:hAnsi="宋体" w:cs="宋体"/>
                <w:b/>
                <w:bCs/>
                <w:color w:val="000000"/>
                <w:sz w:val="24"/>
                <w:szCs w:val="24"/>
                <w:highlight w:val="none"/>
              </w:rPr>
            </w:r>
            <w:r/>
          </w:p>
        </w:tc>
      </w:tr>
      <w:tr>
        <w:trPr>
          <w:trHeight w:val="698"/>
        </w:trPr>
        <w:tc>
          <w:tcPr>
            <w:tcW w:w="765" w:type="dxa"/>
            <w:vAlign w:val="center"/>
            <w:textDirection w:val="lrTb"/>
            <w:noWrap w:val="false"/>
          </w:tcPr>
          <w:p>
            <w:pPr>
              <w:pStyle w:val="957"/>
              <w:jc w:val="center"/>
              <w:spacing w:line="2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3098" w:type="dxa"/>
            <w:vAlign w:val="center"/>
            <w:textDirection w:val="lrTb"/>
            <w:noWrap w:val="false"/>
          </w:tcPr>
          <w:p>
            <w:pPr>
              <w:pStyle w:val="957"/>
              <w:jc w:val="left"/>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重组禽流感病毒(H5+H7)三价灭活疫苗</w:t>
            </w:r>
            <w:r>
              <w:rPr>
                <w:rFonts w:hint="eastAsia" w:ascii="宋体" w:hAnsi="宋体" w:cs="宋体"/>
                <w:color w:val="000000"/>
                <w:sz w:val="24"/>
                <w:szCs w:val="24"/>
                <w:highlight w:val="none"/>
              </w:rPr>
            </w:r>
            <w:r/>
          </w:p>
        </w:tc>
        <w:tc>
          <w:tcPr>
            <w:tcW w:w="1448" w:type="dxa"/>
            <w:vAlign w:val="center"/>
            <w:textDirection w:val="lrTb"/>
            <w:noWrap w:val="false"/>
          </w:tcPr>
          <w:p>
            <w:pPr>
              <w:pStyle w:val="957"/>
              <w:spacing w:line="240" w:lineRule="exact"/>
              <w:shd w:val="clear" w:color="auto" w:fill="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lang w:bidi="ar"/>
              </w:rPr>
              <w:t xml:space="preserve">100毫升/瓶</w:t>
            </w:r>
            <w:r>
              <w:rPr>
                <w:rFonts w:hint="eastAsia" w:ascii="宋体" w:hAnsi="宋体" w:cs="宋体"/>
                <w:bCs/>
                <w:color w:val="000000"/>
                <w:sz w:val="24"/>
                <w:szCs w:val="24"/>
                <w:highlight w:val="none"/>
              </w:rPr>
            </w:r>
            <w:r/>
          </w:p>
        </w:tc>
        <w:tc>
          <w:tcPr>
            <w:tcW w:w="1444" w:type="dxa"/>
            <w:vAlign w:val="center"/>
            <w:textDirection w:val="lrTb"/>
            <w:noWrap w:val="false"/>
          </w:tcPr>
          <w:p>
            <w:pPr>
              <w:pStyle w:val="957"/>
              <w:jc w:val="center"/>
              <w:spacing w:line="240" w:lineRule="exac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50</w:t>
            </w:r>
            <w:r>
              <w:rPr>
                <w:rFonts w:hint="eastAsia" w:ascii="宋体" w:hAnsi="宋体" w:cs="宋体"/>
                <w:bCs/>
                <w:color w:val="000000"/>
                <w:sz w:val="24"/>
                <w:szCs w:val="24"/>
                <w:highlight w:val="none"/>
              </w:rPr>
            </w:r>
            <w:r/>
          </w:p>
        </w:tc>
        <w:tc>
          <w:tcPr>
            <w:tcW w:w="1970" w:type="dxa"/>
            <w:vAlign w:val="center"/>
            <w:textDirection w:val="lrTb"/>
            <w:noWrap w:val="false"/>
          </w:tcPr>
          <w:p>
            <w:pPr>
              <w:pStyle w:val="957"/>
              <w:jc w:val="center"/>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农业农村部规定标准</w:t>
            </w:r>
            <w:r>
              <w:rPr>
                <w:rFonts w:hint="eastAsia" w:ascii="宋体" w:hAnsi="宋体" w:cs="宋体"/>
                <w:color w:val="000000"/>
                <w:sz w:val="24"/>
                <w:szCs w:val="24"/>
                <w:highlight w:val="none"/>
              </w:rPr>
            </w:r>
            <w:r/>
          </w:p>
        </w:tc>
      </w:tr>
    </w:tbl>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本项目按各包独立确定中标人；各分包之间可以单投，也可兼投，兼投不兼中。</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除上表要求外，还有购买上述疫苗后的配套服务和疫苗配套稀释液。耳标供应企业还需根据采购人需求免费提供并保证供应符合NY 534-2002《家畜用耳标及固定器》规定的耳标固定钳及针。</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 本项目采用电子投标。</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如出现中标供应商不能履约，按合同条款处理；如因弄虚作假等原因被取消资格，不替补。</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  本项目</w:t>
      </w:r>
      <w:r>
        <w:rPr>
          <w:rFonts w:hint="eastAsia" w:ascii="宋体" w:hAnsi="宋体" w:cs="宋体"/>
          <w:color w:val="000000"/>
          <w:sz w:val="24"/>
          <w:szCs w:val="24"/>
          <w:highlight w:val="none"/>
          <w:u w:val="single"/>
        </w:rPr>
        <w:t xml:space="preserve"> 不接受 </w:t>
      </w:r>
      <w:r>
        <w:rPr>
          <w:rFonts w:hint="eastAsia" w:ascii="宋体" w:hAnsi="宋体" w:cs="宋体"/>
          <w:color w:val="000000"/>
          <w:sz w:val="24"/>
          <w:szCs w:val="24"/>
          <w:highlight w:val="none"/>
        </w:rPr>
        <w:t xml:space="preserve">进口产品投标。</w:t>
      </w:r>
      <w:r>
        <w:rPr>
          <w:rFonts w:hint="eastAsia" w:ascii="宋体" w:hAnsi="宋体" w:cs="宋体"/>
          <w:color w:val="000000"/>
          <w:sz w:val="24"/>
          <w:szCs w:val="24"/>
          <w:highlight w:val="none"/>
        </w:rPr>
      </w:r>
      <w:r/>
    </w:p>
    <w:p>
      <w:pPr>
        <w:pStyle w:val="957"/>
        <w:ind w:firstLine="482"/>
        <w:jc w:val="left"/>
        <w:spacing w:before="60" w:after="60" w:line="360" w:lineRule="auto"/>
        <w:shd w:val="clear" w:color="auto" w:fill="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四、疫苗质量要求</w:t>
      </w:r>
      <w:r>
        <w:rPr>
          <w:rFonts w:hint="eastAsia" w:ascii="宋体" w:hAnsi="宋体" w:cs="宋体"/>
          <w:b/>
          <w:bCs/>
          <w:color w:val="000000"/>
          <w:sz w:val="24"/>
          <w:szCs w:val="24"/>
          <w:highlight w:val="none"/>
        </w:rPr>
      </w:r>
      <w:r/>
    </w:p>
    <w:p>
      <w:pPr>
        <w:pStyle w:val="957"/>
        <w:ind w:firstLine="480"/>
        <w:spacing w:line="360" w:lineRule="auto"/>
        <w:shd w:val="clear" w:color="auto" w:fill="auto"/>
        <w:rPr>
          <w:rFonts w:hint="eastAsia" w:ascii="宋体" w:hAnsi="宋体" w:cs="宋体"/>
          <w:iCs/>
          <w:color w:val="000000"/>
          <w:sz w:val="24"/>
          <w:szCs w:val="24"/>
          <w:highlight w:val="none"/>
          <w:lang w:bidi="ar"/>
        </w:rPr>
      </w:pPr>
      <w:r>
        <w:rPr>
          <w:rFonts w:hint="eastAsia" w:ascii="宋体" w:hAnsi="宋体" w:cs="宋体"/>
          <w:iCs/>
          <w:color w:val="000000"/>
          <w:sz w:val="24"/>
          <w:szCs w:val="24"/>
          <w:highlight w:val="none"/>
          <w:lang w:bidi="ar"/>
        </w:rPr>
        <w:t xml:space="preserve">符合农业农村部对动物疫苗的现行相关质量要求。</w:t>
      </w:r>
      <w:r>
        <w:rPr>
          <w:rFonts w:hint="eastAsia" w:ascii="宋体" w:hAnsi="宋体" w:cs="宋体"/>
          <w:iCs/>
          <w:color w:val="000000"/>
          <w:sz w:val="24"/>
          <w:szCs w:val="24"/>
          <w:highlight w:val="none"/>
          <w:lang w:bidi="ar"/>
        </w:rPr>
      </w:r>
      <w:r/>
    </w:p>
    <w:p>
      <w:pPr>
        <w:pStyle w:val="957"/>
        <w:ind w:firstLine="480"/>
        <w:spacing w:line="360" w:lineRule="auto"/>
        <w:shd w:val="clear" w:color="auto" w:fill="auto"/>
        <w:rPr>
          <w:rFonts w:hint="eastAsia" w:ascii="宋体" w:hAnsi="宋体" w:cs="宋体"/>
          <w:iCs/>
          <w:color w:val="000000"/>
          <w:sz w:val="24"/>
          <w:szCs w:val="24"/>
          <w:highlight w:val="none"/>
          <w:lang w:bidi="ar"/>
        </w:rPr>
      </w:pPr>
      <w:r>
        <w:rPr>
          <w:rFonts w:hint="eastAsia" w:ascii="宋体" w:hAnsi="宋体" w:cs="宋体"/>
          <w:iCs/>
          <w:color w:val="000000"/>
          <w:sz w:val="24"/>
          <w:szCs w:val="24"/>
          <w:highlight w:val="none"/>
          <w:lang w:bidi="ar"/>
        </w:rPr>
        <w:t xml:space="preserve">重组禽流感病毒(H5+H7)三价灭活疫苗：HA效价不低于1∶512。疫苗必须符合农业农村部发布的“重组禽流感病毒（H5+H7）三价灭活疫苗质量标准”；疫苗的制苗毒株为H5N6 H5–Re13株+H5N8 H5–Re14株+H7N9 H7–Re4株，或者农业农村部批准的其他最新流行毒株，且符合农业农村部的相应质量标准。</w:t>
      </w:r>
      <w:r>
        <w:rPr>
          <w:rFonts w:hint="eastAsia" w:ascii="宋体" w:hAnsi="宋体" w:cs="宋体"/>
          <w:iCs/>
          <w:color w:val="000000"/>
          <w:sz w:val="24"/>
          <w:szCs w:val="24"/>
          <w:highlight w:val="none"/>
          <w:lang w:bidi="ar"/>
        </w:rPr>
      </w:r>
      <w:r/>
    </w:p>
    <w:p>
      <w:pPr>
        <w:pStyle w:val="957"/>
        <w:ind w:firstLine="480"/>
        <w:spacing w:line="360" w:lineRule="auto"/>
        <w:shd w:val="clear" w:color="auto" w:fill="auto"/>
        <w:rPr>
          <w:rFonts w:hint="eastAsia" w:ascii="宋体" w:hAnsi="宋体" w:cs="宋体"/>
          <w:iCs/>
          <w:color w:val="000000"/>
          <w:sz w:val="24"/>
          <w:szCs w:val="24"/>
          <w:highlight w:val="none"/>
          <w:lang w:bidi="ar"/>
        </w:rPr>
      </w:pPr>
      <w:r>
        <w:rPr>
          <w:rFonts w:hint="eastAsia" w:ascii="宋体" w:hAnsi="宋体" w:cs="宋体"/>
          <w:iCs/>
          <w:color w:val="000000"/>
          <w:sz w:val="24"/>
          <w:szCs w:val="24"/>
          <w:highlight w:val="none"/>
          <w:lang w:bidi="ar"/>
        </w:rPr>
        <w:t xml:space="preserve">口蹄疫疫苗：效力检验每头份疫苗各毒株的效力应≥10个PD50，且符合农业农村部的相应质量标准。</w:t>
      </w:r>
      <w:r>
        <w:rPr>
          <w:rFonts w:hint="eastAsia" w:ascii="宋体" w:hAnsi="宋体" w:cs="宋体"/>
          <w:iCs/>
          <w:color w:val="000000"/>
          <w:sz w:val="24"/>
          <w:szCs w:val="24"/>
          <w:highlight w:val="none"/>
          <w:lang w:bidi="ar"/>
        </w:rPr>
      </w:r>
      <w:r/>
    </w:p>
    <w:p>
      <w:pPr>
        <w:pStyle w:val="957"/>
        <w:ind w:right="-57" w:firstLine="480"/>
        <w:spacing w:line="360" w:lineRule="auto"/>
        <w:shd w:val="clear" w:color="auto" w:fill="auto"/>
        <w:widowControl/>
        <w:tabs>
          <w:tab w:val="left" w:pos="5900" w:leader="none"/>
        </w:tabs>
        <w:rPr>
          <w:rFonts w:hint="eastAsia" w:ascii="宋体" w:hAnsi="宋体" w:cs="宋体"/>
          <w:color w:val="000000"/>
          <w:sz w:val="24"/>
          <w:szCs w:val="24"/>
          <w:highlight w:val="none"/>
        </w:rPr>
      </w:pPr>
      <w:r>
        <w:rPr>
          <w:rFonts w:hint="eastAsia" w:ascii="宋体" w:hAnsi="宋体" w:cs="宋体"/>
          <w:iCs/>
          <w:color w:val="000000"/>
          <w:sz w:val="24"/>
          <w:szCs w:val="24"/>
          <w:highlight w:val="none"/>
        </w:rPr>
        <w:t xml:space="preserve">小反刍兽疫疫苗</w:t>
      </w:r>
      <w:r>
        <w:rPr>
          <w:rFonts w:hint="eastAsia" w:ascii="宋体" w:hAnsi="宋体" w:cs="宋体"/>
          <w:color w:val="000000"/>
          <w:sz w:val="24"/>
          <w:szCs w:val="24"/>
          <w:highlight w:val="none"/>
          <w:lang w:bidi="ar"/>
        </w:rPr>
        <w:t xml:space="preserve">（或含小反刍）</w:t>
      </w:r>
      <w:r>
        <w:rPr>
          <w:rFonts w:hint="eastAsia" w:ascii="宋体" w:hAnsi="宋体" w:cs="宋体"/>
          <w:iCs/>
          <w:color w:val="000000"/>
          <w:sz w:val="24"/>
          <w:szCs w:val="24"/>
          <w:highlight w:val="none"/>
        </w:rPr>
        <w:t xml:space="preserve">：每头份病毒含量≥10</w:t>
      </w:r>
      <w:r>
        <w:rPr>
          <w:rFonts w:hint="eastAsia" w:ascii="宋体" w:hAnsi="宋体" w:cs="宋体"/>
          <w:iCs/>
          <w:color w:val="000000"/>
          <w:sz w:val="24"/>
          <w:szCs w:val="24"/>
          <w:highlight w:val="none"/>
          <w:vertAlign w:val="superscript"/>
        </w:rPr>
        <w:t xml:space="preserve">3</w:t>
      </w:r>
      <w:r>
        <w:rPr>
          <w:rFonts w:hint="eastAsia" w:ascii="宋体" w:hAnsi="宋体" w:cs="宋体"/>
          <w:iCs/>
          <w:color w:val="000000"/>
          <w:sz w:val="24"/>
          <w:szCs w:val="24"/>
          <w:highlight w:val="none"/>
        </w:rPr>
        <w:t xml:space="preserve">TCID</w:t>
      </w:r>
      <w:r>
        <w:rPr>
          <w:rFonts w:hint="eastAsia" w:ascii="宋体" w:hAnsi="宋体" w:cs="宋体"/>
          <w:iCs/>
          <w:color w:val="000000"/>
          <w:sz w:val="24"/>
          <w:szCs w:val="24"/>
          <w:highlight w:val="none"/>
          <w:vertAlign w:val="subscript"/>
        </w:rPr>
        <w:t xml:space="preserve">50</w:t>
      </w:r>
      <w:r>
        <w:rPr>
          <w:rFonts w:hint="eastAsia" w:ascii="宋体" w:hAnsi="宋体" w:cs="宋体"/>
          <w:iCs/>
          <w:color w:val="000000"/>
          <w:sz w:val="24"/>
          <w:szCs w:val="24"/>
          <w:highlight w:val="none"/>
        </w:rPr>
        <w:t xml:space="preserve">。</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4.1.2产品质量控制。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4.1.3投标人必须提供2023年以来中国兽医药品监察所CMA检测报告；如2023年以来某个疫苗品种中监所确实没有抽检，则必须提供2023年以来连续五个批次的批签发报告。（</w:t>
      </w:r>
      <w:r>
        <w:rPr>
          <w:rFonts w:hint="eastAsia" w:ascii="宋体" w:hAnsi="宋体" w:cs="宋体"/>
          <w:iCs/>
          <w:color w:val="000000"/>
          <w:sz w:val="24"/>
          <w:szCs w:val="24"/>
          <w:highlight w:val="none"/>
        </w:rPr>
        <w:t xml:space="preserve">有CMA报告不提供，而只提供批签发报告者，视作无检测报告</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i/>
          <w:iCs/>
          <w:color w:val="000000"/>
          <w:sz w:val="24"/>
          <w:szCs w:val="24"/>
          <w:highlight w:val="none"/>
          <w:u w:val="single"/>
        </w:rPr>
      </w:pPr>
      <w:r>
        <w:rPr>
          <w:rFonts w:hint="eastAsia" w:ascii="宋体" w:hAnsi="宋体" w:cs="宋体"/>
          <w:color w:val="000000"/>
          <w:sz w:val="24"/>
          <w:szCs w:val="24"/>
          <w:highlight w:val="none"/>
        </w:rPr>
        <w:t xml:space="preserve">4.1.4 招标之前或之后，如遇农业农村部政策调整，有关疫苗品种、毒株变更，相应产品直接变更。</w:t>
      </w:r>
      <w:r>
        <w:rPr>
          <w:rFonts w:hint="eastAsia" w:ascii="宋体" w:hAnsi="宋体" w:cs="宋体"/>
          <w:i/>
          <w:iCs/>
          <w:color w:val="000000"/>
          <w:sz w:val="24"/>
          <w:szCs w:val="24"/>
          <w:highlight w:val="none"/>
          <w:u w:val="single"/>
        </w:rPr>
      </w:r>
      <w:r/>
    </w:p>
    <w:p>
      <w:pPr>
        <w:pStyle w:val="957"/>
        <w:ind w:firstLine="480"/>
        <w:spacing w:line="360" w:lineRule="auto"/>
        <w:shd w:val="clear" w:color="auto" w:fill="auto"/>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4.1.5</w:t>
      </w:r>
      <w:r>
        <w:rPr>
          <w:rFonts w:hint="eastAsia" w:ascii="宋体" w:hAnsi="宋体" w:cs="宋体"/>
          <w:iCs/>
          <w:color w:val="000000"/>
          <w:sz w:val="24"/>
          <w:szCs w:val="24"/>
          <w:highlight w:val="none"/>
        </w:rPr>
        <w:t xml:space="preserve">参加口蹄疫和高致病性禽流感投标的疫苗投标供应商，根据“</w:t>
      </w:r>
      <w:r>
        <w:rPr>
          <w:rFonts w:hint="eastAsia" w:ascii="宋体" w:hAnsi="宋体" w:cs="宋体"/>
          <w:iCs/>
          <w:color w:val="000000"/>
          <w:spacing w:val="6"/>
          <w:sz w:val="24"/>
          <w:szCs w:val="24"/>
          <w:highlight w:val="none"/>
        </w:rPr>
        <w:t xml:space="preserve">农办牧</w:t>
      </w:r>
      <w:r>
        <w:rPr>
          <w:rFonts w:hint="eastAsia" w:ascii="宋体" w:hAnsi="宋体" w:cs="宋体"/>
          <w:iCs/>
          <w:color w:val="000000"/>
          <w:sz w:val="24"/>
          <w:szCs w:val="24"/>
          <w:highlight w:val="none"/>
        </w:rPr>
        <w:t xml:space="preserve">〔</w:t>
      </w:r>
      <w:r>
        <w:rPr>
          <w:rFonts w:hint="eastAsia" w:ascii="宋体" w:hAnsi="宋体" w:cs="宋体"/>
          <w:iCs/>
          <w:color w:val="000000"/>
          <w:spacing w:val="6"/>
          <w:sz w:val="24"/>
          <w:szCs w:val="24"/>
          <w:highlight w:val="none"/>
        </w:rPr>
        <w:t xml:space="preserve">2018</w:t>
      </w:r>
      <w:r>
        <w:rPr>
          <w:rFonts w:hint="eastAsia" w:ascii="宋体" w:hAnsi="宋体" w:cs="宋体"/>
          <w:iCs/>
          <w:color w:val="000000"/>
          <w:sz w:val="24"/>
          <w:szCs w:val="24"/>
          <w:highlight w:val="none"/>
        </w:rPr>
        <w:t xml:space="preserve">〕</w:t>
      </w:r>
      <w:r>
        <w:rPr>
          <w:rFonts w:hint="eastAsia" w:ascii="宋体" w:hAnsi="宋体" w:cs="宋体"/>
          <w:iCs/>
          <w:color w:val="000000"/>
          <w:spacing w:val="6"/>
          <w:sz w:val="24"/>
          <w:szCs w:val="24"/>
          <w:highlight w:val="none"/>
        </w:rPr>
        <w:t xml:space="preserve">74号</w:t>
      </w:r>
      <w:r>
        <w:rPr>
          <w:rFonts w:hint="eastAsia" w:ascii="宋体" w:hAnsi="宋体" w:cs="宋体"/>
          <w:iCs/>
          <w:color w:val="000000"/>
          <w:sz w:val="24"/>
          <w:szCs w:val="24"/>
          <w:highlight w:val="none"/>
        </w:rPr>
        <w:t xml:space="preserve">”</w:t>
      </w:r>
      <w:r>
        <w:rPr>
          <w:rFonts w:hint="eastAsia" w:ascii="宋体" w:hAnsi="宋体" w:cs="宋体"/>
          <w:iCs/>
          <w:color w:val="000000"/>
          <w:spacing w:val="6"/>
          <w:sz w:val="24"/>
          <w:szCs w:val="24"/>
          <w:highlight w:val="none"/>
        </w:rPr>
        <w:t xml:space="preserve">文件规定，其所投的高致病性禽流感、口蹄疫疫苗需提供本企业生产工艺、固化控制指标</w:t>
      </w:r>
      <w:r>
        <w:rPr>
          <w:rFonts w:hint="eastAsia" w:ascii="宋体" w:hAnsi="宋体" w:cs="宋体"/>
          <w:iCs/>
          <w:color w:val="000000"/>
          <w:sz w:val="24"/>
          <w:szCs w:val="24"/>
          <w:highlight w:val="none"/>
        </w:rPr>
        <w:t xml:space="preserve">〔包含但不限于如下内容：培养方法、抗原含量、佐剂类型等〕承诺。不得擅自改变疫苗生产工艺。</w:t>
      </w:r>
      <w:r>
        <w:rPr>
          <w:rFonts w:hint="eastAsia" w:ascii="宋体" w:hAnsi="宋体" w:cs="宋体"/>
          <w:iCs/>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iCs/>
          <w:color w:val="000000"/>
          <w:sz w:val="24"/>
          <w:szCs w:val="24"/>
          <w:highlight w:val="none"/>
        </w:rPr>
        <w:t xml:space="preserve">4.1.6</w:t>
      </w:r>
      <w:r>
        <w:rPr>
          <w:rFonts w:hint="eastAsia" w:ascii="宋体" w:hAnsi="宋体" w:cs="宋体"/>
          <w:color w:val="000000"/>
          <w:sz w:val="24"/>
          <w:szCs w:val="24"/>
          <w:highlight w:val="none"/>
        </w:rPr>
        <w:t xml:space="preserve">按规定具有完备的检测设备和人员，并能按规定标准和方法实施正常检测，各项制度、记录规范、齐全。</w:t>
      </w:r>
      <w:r>
        <w:rPr>
          <w:rFonts w:hint="eastAsia" w:ascii="宋体" w:hAnsi="宋体" w:cs="宋体"/>
          <w:color w:val="000000"/>
          <w:sz w:val="24"/>
          <w:szCs w:val="24"/>
          <w:highlight w:val="none"/>
        </w:rPr>
      </w:r>
      <w:r/>
    </w:p>
    <w:p>
      <w:pPr>
        <w:pStyle w:val="957"/>
        <w:ind w:firstLine="482"/>
        <w:jc w:val="left"/>
        <w:spacing w:before="60" w:after="60" w:line="360" w:lineRule="auto"/>
        <w:shd w:val="clear" w:color="auto" w:fill="auto"/>
        <w:rPr>
          <w:rFonts w:hint="eastAsia" w:ascii="宋体" w:hAnsi="宋体" w:cs="宋体"/>
          <w:bCs/>
          <w:color w:val="000000"/>
          <w:sz w:val="24"/>
          <w:szCs w:val="24"/>
          <w:highlight w:val="none"/>
        </w:rPr>
        <w:outlineLvl w:val="1"/>
      </w:pPr>
      <w:r/>
      <w:bookmarkStart w:id="149" w:name="_Toc504995980"/>
      <w:r>
        <w:rPr>
          <w:rFonts w:hint="eastAsia" w:ascii="宋体" w:hAnsi="宋体" w:cs="宋体"/>
          <w:b/>
          <w:bCs/>
          <w:color w:val="000000"/>
          <w:sz w:val="24"/>
          <w:szCs w:val="24"/>
          <w:highlight w:val="none"/>
        </w:rPr>
        <w:t xml:space="preserve">五、疫苗商务条款</w:t>
      </w:r>
      <w:bookmarkEnd w:id="149"/>
      <w:r>
        <w:rPr>
          <w:rFonts w:hint="eastAsia" w:ascii="宋体" w:hAnsi="宋体" w:cs="宋体"/>
          <w:bCs/>
          <w:color w:val="000000"/>
          <w:sz w:val="24"/>
          <w:szCs w:val="24"/>
          <w:highlight w:val="none"/>
        </w:rPr>
      </w:r>
      <w:r/>
    </w:p>
    <w:p>
      <w:pPr>
        <w:pStyle w:val="957"/>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5.1 质保期</w:t>
      </w:r>
      <w:r>
        <w:rPr>
          <w:rFonts w:hint="eastAsia" w:ascii="宋体" w:hAnsi="宋体" w:cs="宋体"/>
          <w:b/>
          <w:color w:val="000000"/>
          <w:sz w:val="24"/>
          <w:szCs w:val="24"/>
          <w:highlight w:val="none"/>
        </w:rPr>
      </w:r>
      <w:r/>
    </w:p>
    <w:p>
      <w:pPr>
        <w:pStyle w:val="957"/>
        <w:ind w:firstLine="420"/>
        <w:spacing w:line="360" w:lineRule="auto"/>
        <w:shd w:val="clear" w:color="auto" w:fill="auto"/>
        <w:rPr>
          <w:rFonts w:ascii="宋体" w:hAnsi="宋体" w:cs="宋体"/>
          <w:color w:val="000000"/>
          <w:sz w:val="24"/>
          <w:szCs w:val="24"/>
          <w:highlight w:val="none"/>
        </w:rPr>
      </w:pPr>
      <w:r>
        <w:rPr>
          <w:rFonts w:ascii="宋体" w:hAnsi="宋体" w:cs="宋体"/>
          <w:color w:val="000000"/>
          <w:sz w:val="24"/>
          <w:szCs w:val="24"/>
          <w:highlight w:val="none"/>
        </w:rPr>
        <w:t xml:space="preserve">产品最终交到使用方的有效期在7个月（疫苗有效期为12个月的）和11个月（疫苗有效期为18个月的）以上（自交货验收合格之日起计）。</w:t>
      </w:r>
      <w:r>
        <w:rPr>
          <w:rFonts w:ascii="宋体" w:hAnsi="宋体" w:cs="宋体"/>
          <w:color w:val="000000"/>
          <w:sz w:val="24"/>
          <w:szCs w:val="24"/>
          <w:highlight w:val="none"/>
        </w:rPr>
      </w:r>
      <w:r/>
    </w:p>
    <w:p>
      <w:pPr>
        <w:pStyle w:val="957"/>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5.2 服务与培训</w:t>
      </w:r>
      <w:r>
        <w:rPr>
          <w:rFonts w:hint="eastAsia" w:ascii="宋体" w:hAnsi="宋体" w:cs="宋体"/>
          <w:b/>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5.2.2 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5.2.3 投标人提供包含冷链运输方式、全程温度管理、突发事件处理等方面的冷链运输方案。重点服务项目明确、服务内容量化，有利于冷链运输管理，可操作性较强。</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5.2.4 投标人提供废弃疫苗瓶回收、处理方案。包括回收的品种、数量等，如何处理回收的废弃疫苗瓶。重点服务项目明确、内容量化，符合环保部门要求，可操作性较强。</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5.2.5投标人提供培训方案。内容包括培训的内容、师资力量、区域、计划等。培训内容符合当前重大动物疫病防控需求，内容新颖实用，服务内容量化，可操作性较强。</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5.2.6 投标人提供强制免疫“先打后补”实施方案。内容包括投标人对强制免疫“先打后补”政策实施过程中提供的实施方案、案例。能积极配合强制免疫先打后补工作。</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5.3 疫苗储备</w:t>
      </w:r>
      <w:r>
        <w:rPr>
          <w:rFonts w:hint="eastAsia" w:ascii="宋体" w:hAnsi="宋体" w:cs="宋体"/>
          <w:b/>
          <w:bCs/>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iCs/>
          <w:color w:val="000000"/>
          <w:sz w:val="24"/>
          <w:szCs w:val="24"/>
          <w:highlight w:val="none"/>
        </w:rPr>
        <w:t xml:space="preserve">乙方应按甲方本次采购总量的20%进行疫苗储备，并按甲方要求随时保证供应。如发生动用储备疫苗情况时，用苗量纳入当年供苗计划，并按合同价进行结算。</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hint="eastAsia" w:ascii="宋体" w:hAnsi="宋体" w:cs="宋体"/>
          <w:color w:val="000000"/>
          <w:spacing w:val="6"/>
          <w:sz w:val="24"/>
          <w:szCs w:val="24"/>
          <w:highlight w:val="none"/>
        </w:rPr>
        <w:t xml:space="preserve">农办牧</w:t>
      </w:r>
      <w:r>
        <w:rPr>
          <w:rFonts w:hint="eastAsia" w:ascii="宋体" w:hAnsi="宋体" w:cs="宋体"/>
          <w:color w:val="000000"/>
          <w:sz w:val="24"/>
          <w:szCs w:val="24"/>
          <w:highlight w:val="none"/>
        </w:rPr>
        <w:t xml:space="preserve">〔</w:t>
      </w:r>
      <w:r>
        <w:rPr>
          <w:rFonts w:hint="eastAsia" w:ascii="宋体" w:hAnsi="宋体" w:cs="宋体"/>
          <w:color w:val="000000"/>
          <w:spacing w:val="6"/>
          <w:sz w:val="24"/>
          <w:szCs w:val="24"/>
          <w:highlight w:val="none"/>
        </w:rPr>
        <w:t xml:space="preserve">2018</w:t>
      </w:r>
      <w:r>
        <w:rPr>
          <w:rFonts w:hint="eastAsia" w:ascii="宋体" w:hAnsi="宋体" w:cs="宋体"/>
          <w:color w:val="000000"/>
          <w:sz w:val="24"/>
          <w:szCs w:val="24"/>
          <w:highlight w:val="none"/>
        </w:rPr>
        <w:t xml:space="preserve">〕</w:t>
      </w:r>
      <w:r>
        <w:rPr>
          <w:rFonts w:hint="eastAsia" w:ascii="宋体" w:hAnsi="宋体" w:cs="宋体"/>
          <w:color w:val="000000"/>
          <w:spacing w:val="6"/>
          <w:sz w:val="24"/>
          <w:szCs w:val="24"/>
          <w:highlight w:val="none"/>
        </w:rPr>
        <w:t xml:space="preserve">74号</w:t>
      </w:r>
      <w:r>
        <w:rPr>
          <w:rFonts w:hint="eastAsia" w:ascii="宋体" w:hAnsi="宋体" w:cs="宋体"/>
          <w:color w:val="000000"/>
          <w:sz w:val="24"/>
          <w:szCs w:val="24"/>
          <w:highlight w:val="none"/>
        </w:rPr>
        <w:t xml:space="preserve">”</w:t>
      </w:r>
      <w:r>
        <w:rPr>
          <w:rFonts w:hint="eastAsia" w:ascii="宋体" w:hAnsi="宋体" w:cs="宋体"/>
          <w:color w:val="000000"/>
          <w:spacing w:val="6"/>
          <w:sz w:val="24"/>
          <w:szCs w:val="24"/>
          <w:highlight w:val="none"/>
        </w:rPr>
        <w:t xml:space="preserve">文件规定，</w:t>
      </w:r>
      <w:r>
        <w:rPr>
          <w:rFonts w:hint="eastAsia" w:ascii="宋体" w:hAnsi="宋体" w:cs="宋体"/>
          <w:color w:val="000000"/>
          <w:sz w:val="24"/>
          <w:szCs w:val="24"/>
          <w:highlight w:val="none"/>
        </w:rPr>
        <w:t xml:space="preserve">口蹄疫和高致病性禽流感产品投标人必须对其自身市场行为自律做出郑重承诺：同一批准文号的品种疫苗在江苏省不得出现不同标签和说明书的产品，一经发现，立即终止合同并承担约定的违约金。未对上述内容做出承诺的，将视为未实质性响应招标文件要求做无效标处理。</w:t>
      </w:r>
      <w:r>
        <w:rPr>
          <w:rFonts w:hint="eastAsia" w:ascii="宋体" w:hAnsi="宋体" w:cs="宋体"/>
          <w:color w:val="000000"/>
          <w:sz w:val="24"/>
          <w:szCs w:val="24"/>
          <w:highlight w:val="none"/>
        </w:rPr>
      </w:r>
      <w:r/>
    </w:p>
    <w:p>
      <w:pPr>
        <w:pStyle w:val="957"/>
        <w:ind w:firstLine="482"/>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5.4 货物验收</w:t>
      </w:r>
      <w:r>
        <w:rPr>
          <w:rFonts w:hint="eastAsia" w:ascii="宋体" w:hAnsi="宋体" w:cs="宋体"/>
          <w:b/>
          <w:bCs/>
          <w:color w:val="000000"/>
          <w:sz w:val="24"/>
          <w:szCs w:val="24"/>
          <w:highlight w:val="none"/>
        </w:rPr>
      </w:r>
      <w:r/>
    </w:p>
    <w:p>
      <w:pPr>
        <w:pStyle w:val="957"/>
        <w:ind w:firstLine="480"/>
        <w:spacing w:line="360" w:lineRule="auto"/>
        <w:shd w:val="clear" w:color="auto" w:fill="auto"/>
        <w:rPr>
          <w:rFonts w:hint="eastAsia" w:ascii="宋体" w:hAnsi="宋体" w:cs="宋体"/>
          <w:i/>
          <w:iCs/>
          <w:color w:val="000000"/>
          <w:sz w:val="24"/>
          <w:szCs w:val="24"/>
          <w:highlight w:val="none"/>
          <w:u w:val="single"/>
        </w:rPr>
      </w:pPr>
      <w:r>
        <w:rPr>
          <w:rFonts w:hint="eastAsia" w:ascii="宋体" w:hAnsi="宋体" w:cs="宋体"/>
          <w:color w:val="000000"/>
          <w:sz w:val="24"/>
          <w:szCs w:val="24"/>
          <w:highlight w:val="none"/>
        </w:rPr>
        <w:t xml:space="preserve">动物疫苗的验收，由送达地的动物疫病预防控制机构（部门）（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rPr>
          <w:rFonts w:hint="eastAsia" w:ascii="宋体" w:hAnsi="宋体" w:cs="宋体"/>
          <w:i/>
          <w:iCs/>
          <w:color w:val="000000"/>
          <w:sz w:val="24"/>
          <w:szCs w:val="24"/>
          <w:highlight w:val="none"/>
          <w:u w:val="single"/>
        </w:rPr>
      </w:r>
      <w:r/>
    </w:p>
    <w:p>
      <w:pPr>
        <w:pStyle w:val="957"/>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5.5 合同部分内容</w:t>
      </w:r>
      <w:r>
        <w:rPr>
          <w:rFonts w:hint="eastAsia" w:ascii="宋体" w:hAnsi="宋体" w:cs="宋体"/>
          <w:b/>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5.5.1 交货期、交货方式及交货地点</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5.5.1.1 交货期：接供货通知后，五日内发货；</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5.5.1.2 交货方式：按照疫苗的运输管理具体要求，快速送达交货地点。</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5.5.1.3 交货地点：收货方指定地点。</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5.5.2 </w:t>
      </w:r>
      <w:r>
        <w:rPr>
          <w:rFonts w:hint="eastAsia" w:ascii="宋体" w:hAnsi="宋体" w:cs="宋体"/>
          <w:b/>
          <w:bCs/>
          <w:color w:val="000000"/>
          <w:sz w:val="24"/>
          <w:szCs w:val="24"/>
          <w:highlight w:val="none"/>
        </w:rPr>
        <w:t xml:space="preserve">货款支付</w:t>
      </w:r>
      <w:r>
        <w:rPr>
          <w:rFonts w:hint="eastAsia" w:ascii="宋体" w:hAnsi="宋体" w:cs="宋体"/>
          <w:color w:val="000000"/>
          <w:sz w:val="24"/>
          <w:szCs w:val="24"/>
          <w:highlight w:val="none"/>
        </w:rPr>
      </w:r>
      <w:r/>
    </w:p>
    <w:p>
      <w:pPr>
        <w:pStyle w:val="957"/>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签订后，收到供应商发票之日起10个工作日内，付合同价的30%作为预付款，待全部货物供货完成且验收合格后付至合同款的90%，余款10%在全部供货完成满一年且产品无质量问题及其他纠纷后支付（按以上进度付款无任何利息补偿，甲方在收到乙方发票且财政资金全部到账后30日内完成支付）。</w:t>
      </w:r>
      <w:r>
        <w:rPr>
          <w:rFonts w:hint="eastAsia" w:ascii="宋体" w:hAnsi="宋体" w:cs="宋体"/>
          <w:b/>
          <w:bCs/>
          <w:color w:val="000000"/>
          <w:sz w:val="24"/>
          <w:highlight w:val="none"/>
        </w:rPr>
      </w:r>
      <w:r/>
    </w:p>
    <w:p>
      <w:pPr>
        <w:pStyle w:val="957"/>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合同款一律通过银行非现金结算，结算方式：转账。</w:t>
      </w:r>
      <w:r>
        <w:rPr>
          <w:rFonts w:hint="eastAsia" w:ascii="宋体" w:hAnsi="宋体" w:cs="宋体"/>
          <w:b/>
          <w:bCs/>
          <w:color w:val="000000"/>
          <w:sz w:val="24"/>
          <w:highlight w:val="none"/>
        </w:rPr>
      </w:r>
      <w:r/>
    </w:p>
    <w:p>
      <w:pPr>
        <w:pStyle w:val="957"/>
        <w:ind w:firstLine="42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注:在签订合同时，成交人明确表示无需预付款或者主动要求降低预付款比例的金额，采购人可不适用预付款规定。</w:t>
      </w:r>
      <w:r>
        <w:rPr>
          <w:rFonts w:hint="eastAsia" w:ascii="宋体" w:hAnsi="宋体" w:cs="宋体"/>
          <w:b/>
          <w:bCs/>
          <w:color w:val="000000"/>
          <w:sz w:val="24"/>
          <w:highlight w:val="none"/>
        </w:rPr>
      </w:r>
      <w:r/>
    </w:p>
    <w:p>
      <w:pPr>
        <w:pStyle w:val="957"/>
        <w:jc w:val="left"/>
        <w:spacing w:before="60" w:after="60" w:line="460" w:lineRule="exact"/>
        <w:shd w:val="clear" w:color="auto" w:fill="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rPr>
        <w:t xml:space="preserve">、疫苗耳标招标控制价</w:t>
      </w:r>
      <w:r>
        <w:rPr>
          <w:rFonts w:hint="eastAsia" w:ascii="宋体" w:hAnsi="宋体" w:cs="宋体"/>
          <w:b/>
          <w:bCs/>
          <w:color w:val="000000"/>
          <w:sz w:val="24"/>
          <w:szCs w:val="24"/>
          <w:highlight w:val="none"/>
        </w:rPr>
      </w:r>
      <w:r/>
    </w:p>
    <w:tbl>
      <w:tblPr>
        <w:tblW w:w="69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3098"/>
        <w:gridCol w:w="1824"/>
        <w:gridCol w:w="1068"/>
      </w:tblGrid>
      <w:tr>
        <w:trPr>
          <w:trHeight w:val="902"/>
        </w:trPr>
        <w:tc>
          <w:tcPr>
            <w:tcW w:w="958" w:type="dxa"/>
            <w:vAlign w:val="center"/>
            <w:textDirection w:val="lrTb"/>
            <w:noWrap w:val="false"/>
          </w:tcPr>
          <w:p>
            <w:pPr>
              <w:pStyle w:val="957"/>
              <w:jc w:val="center"/>
              <w:spacing w:line="240" w:lineRule="exact"/>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3098" w:type="dxa"/>
            <w:vAlign w:val="center"/>
            <w:textDirection w:val="lrTb"/>
            <w:noWrap w:val="false"/>
          </w:tcPr>
          <w:p>
            <w:pPr>
              <w:pStyle w:val="957"/>
              <w:jc w:val="center"/>
              <w:spacing w:line="240" w:lineRule="exact"/>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物品名称</w:t>
            </w:r>
            <w:r>
              <w:rPr>
                <w:rFonts w:hint="eastAsia" w:ascii="宋体" w:hAnsi="宋体" w:cs="宋体"/>
                <w:b/>
                <w:bCs/>
                <w:color w:val="000000"/>
                <w:sz w:val="24"/>
                <w:szCs w:val="24"/>
                <w:highlight w:val="none"/>
              </w:rPr>
            </w:r>
            <w:r/>
          </w:p>
        </w:tc>
        <w:tc>
          <w:tcPr>
            <w:tcW w:w="1824" w:type="dxa"/>
            <w:vAlign w:val="center"/>
            <w:textDirection w:val="lrTb"/>
            <w:noWrap w:val="false"/>
          </w:tcPr>
          <w:p>
            <w:pPr>
              <w:pStyle w:val="957"/>
              <w:jc w:val="center"/>
              <w:spacing w:line="240" w:lineRule="exact"/>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控制单价</w:t>
            </w:r>
            <w:r>
              <w:rPr>
                <w:rFonts w:hint="eastAsia" w:ascii="宋体" w:hAnsi="宋体" w:cs="宋体"/>
                <w:b/>
                <w:bCs/>
                <w:color w:val="000000"/>
                <w:sz w:val="24"/>
                <w:szCs w:val="24"/>
                <w:highlight w:val="none"/>
              </w:rPr>
              <w:t xml:space="preserve">限价</w:t>
            </w:r>
            <w:r>
              <w:rPr>
                <w:rFonts w:hint="eastAsia" w:ascii="宋体" w:hAnsi="宋体" w:cs="宋体"/>
                <w:b/>
                <w:bCs/>
                <w:color w:val="000000"/>
                <w:sz w:val="24"/>
                <w:szCs w:val="24"/>
                <w:highlight w:val="none"/>
              </w:rPr>
            </w:r>
            <w:r/>
          </w:p>
        </w:tc>
        <w:tc>
          <w:tcPr>
            <w:tcW w:w="1068" w:type="dxa"/>
            <w:vAlign w:val="center"/>
            <w:textDirection w:val="lrTb"/>
            <w:noWrap w:val="false"/>
          </w:tcPr>
          <w:p>
            <w:pPr>
              <w:pStyle w:val="957"/>
              <w:jc w:val="center"/>
              <w:spacing w:line="240" w:lineRule="exact"/>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rPr>
                <w:rFonts w:hint="eastAsia" w:ascii="宋体" w:hAnsi="宋体" w:cs="宋体"/>
                <w:b/>
                <w:bCs/>
                <w:color w:val="000000"/>
                <w:sz w:val="24"/>
                <w:szCs w:val="24"/>
                <w:highlight w:val="none"/>
              </w:rPr>
            </w:r>
            <w:r/>
          </w:p>
        </w:tc>
      </w:tr>
      <w:tr>
        <w:trPr>
          <w:trHeight w:val="698"/>
        </w:trPr>
        <w:tc>
          <w:tcPr>
            <w:tcW w:w="958" w:type="dxa"/>
            <w:vAlign w:val="center"/>
            <w:textDirection w:val="lrTb"/>
            <w:noWrap w:val="false"/>
          </w:tcPr>
          <w:p>
            <w:pPr>
              <w:pStyle w:val="957"/>
              <w:jc w:val="center"/>
              <w:spacing w:line="2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shd w:val="clear" w:color="auto" w:fill="ffffff"/>
                <w:lang w:bidi="ar"/>
              </w:rPr>
              <w:t xml:space="preserve">1</w:t>
            </w:r>
            <w:r>
              <w:rPr>
                <w:rFonts w:hint="eastAsia" w:ascii="宋体" w:hAnsi="宋体" w:cs="宋体"/>
                <w:color w:val="000000"/>
                <w:sz w:val="24"/>
                <w:szCs w:val="24"/>
                <w:highlight w:val="none"/>
              </w:rPr>
            </w:r>
            <w:r/>
          </w:p>
        </w:tc>
        <w:tc>
          <w:tcPr>
            <w:tcW w:w="3098" w:type="dxa"/>
            <w:vAlign w:val="center"/>
            <w:textDirection w:val="lrTb"/>
            <w:noWrap w:val="false"/>
          </w:tcPr>
          <w:p>
            <w:pPr>
              <w:pStyle w:val="957"/>
              <w:jc w:val="left"/>
              <w:spacing w:line="24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重组禽流感病毒(H5+H7)三价灭活疫苗</w:t>
            </w:r>
            <w:r>
              <w:rPr>
                <w:rFonts w:hint="eastAsia" w:ascii="宋体" w:hAnsi="宋体" w:cs="宋体"/>
                <w:color w:val="000000"/>
                <w:sz w:val="24"/>
                <w:szCs w:val="24"/>
                <w:highlight w:val="none"/>
              </w:rPr>
            </w:r>
            <w:r/>
          </w:p>
        </w:tc>
        <w:tc>
          <w:tcPr>
            <w:tcW w:w="1824" w:type="dxa"/>
            <w:vAlign w:val="center"/>
            <w:textDirection w:val="lrTb"/>
            <w:noWrap w:val="false"/>
          </w:tcPr>
          <w:p>
            <w:pPr>
              <w:pStyle w:val="957"/>
              <w:spacing w:line="240" w:lineRule="exac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0.2800</w:t>
            </w:r>
            <w:r>
              <w:rPr>
                <w:rFonts w:hint="eastAsia" w:ascii="宋体" w:hAnsi="宋体" w:cs="宋体"/>
                <w:bCs/>
                <w:color w:val="000000"/>
                <w:sz w:val="24"/>
                <w:szCs w:val="24"/>
                <w:highlight w:val="none"/>
              </w:rPr>
            </w:r>
            <w:r/>
          </w:p>
        </w:tc>
        <w:tc>
          <w:tcPr>
            <w:tcW w:w="1068" w:type="dxa"/>
            <w:vAlign w:val="center"/>
            <w:textDirection w:val="lrTb"/>
            <w:noWrap w:val="false"/>
          </w:tcPr>
          <w:p>
            <w:pPr>
              <w:pStyle w:val="957"/>
              <w:jc w:val="center"/>
              <w:spacing w:line="240" w:lineRule="exact"/>
              <w:shd w:val="clear" w:color="auto" w:fill="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元/毫升</w:t>
            </w:r>
            <w:r>
              <w:rPr>
                <w:rFonts w:hint="eastAsia" w:ascii="宋体" w:hAnsi="宋体" w:cs="宋体"/>
                <w:bCs/>
                <w:color w:val="000000"/>
                <w:sz w:val="24"/>
                <w:szCs w:val="24"/>
                <w:highlight w:val="none"/>
              </w:rPr>
            </w:r>
            <w:r/>
          </w:p>
        </w:tc>
      </w:tr>
    </w:tbl>
    <w:p>
      <w:pPr>
        <w:pStyle w:val="957"/>
        <w:ind w:firstLine="482"/>
        <w:shd w:val="clear" w:color="auto" w:fill="auto"/>
        <w:rPr>
          <w:color w:val="000000"/>
          <w:highlight w:val="none"/>
        </w:rPr>
      </w:pPr>
      <w:r>
        <w:rPr>
          <w:rFonts w:hint="eastAsia" w:ascii="宋体" w:hAnsi="宋体" w:cs="宋体"/>
          <w:b/>
          <w:bCs/>
          <w:color w:val="000000"/>
          <w:sz w:val="24"/>
          <w:szCs w:val="24"/>
          <w:highlight w:val="none"/>
        </w:rPr>
        <w:t xml:space="preserve">报价时单价保留小数点后4位。</w:t>
      </w:r>
      <w:r>
        <w:rPr>
          <w:rFonts w:hint="eastAsia" w:ascii="宋体" w:hAnsi="宋体" w:cs="宋体"/>
          <w:color w:val="000000"/>
          <w:sz w:val="24"/>
          <w:szCs w:val="24"/>
          <w:highlight w:val="none"/>
        </w:rPr>
        <w:br w:type="page" w:clear="all"/>
      </w:r>
      <w:r>
        <w:rPr>
          <w:color w:val="000000"/>
          <w:highlight w:val="none"/>
        </w:rPr>
      </w:r>
      <w:r/>
    </w:p>
    <w:p>
      <w:pPr>
        <w:pStyle w:val="958"/>
        <w:numPr>
          <w:ilvl w:val="0"/>
          <w:numId w:val="6"/>
        </w:numPr>
        <w:shd w:val="clear" w:color="auto" w:fill="auto"/>
        <w:rPr>
          <w:rFonts w:hint="eastAsia" w:ascii="宋体" w:hAnsi="宋体" w:eastAsia="宋体" w:cs="宋体"/>
          <w:b/>
          <w:bCs/>
          <w:color w:val="000000"/>
          <w:sz w:val="44"/>
          <w:highlight w:val="none"/>
        </w:rPr>
      </w:pPr>
      <w:r>
        <w:rPr>
          <w:rFonts w:hint="eastAsia" w:ascii="宋体" w:hAnsi="宋体" w:eastAsia="宋体" w:cs="宋体"/>
          <w:bCs/>
          <w:color w:val="000000"/>
          <w:sz w:val="44"/>
          <w:highlight w:val="none"/>
        </w:rPr>
        <w:t xml:space="preserve"> </w:t>
      </w:r>
      <w:r>
        <w:rPr>
          <w:rFonts w:hint="eastAsia" w:ascii="宋体" w:hAnsi="宋体" w:eastAsia="宋体" w:cs="宋体"/>
          <w:b/>
          <w:bCs/>
          <w:color w:val="000000"/>
          <w:sz w:val="44"/>
          <w:highlight w:val="none"/>
        </w:rPr>
        <w:t xml:space="preserve">定标原则与评标标准</w:t>
      </w:r>
      <w:r>
        <w:rPr>
          <w:rFonts w:hint="eastAsia" w:ascii="宋体" w:hAnsi="宋体" w:eastAsia="宋体" w:cs="宋体"/>
          <w:b/>
          <w:bCs/>
          <w:color w:val="000000"/>
          <w:sz w:val="44"/>
          <w:highlight w:val="none"/>
        </w:rPr>
      </w:r>
      <w:r/>
    </w:p>
    <w:p>
      <w:pPr>
        <w:pStyle w:val="958"/>
        <w:shd w:val="clear" w:color="auto" w:fill="auto"/>
        <w:rPr>
          <w:rFonts w:ascii="Calibri" w:hAnsi="Calibri"/>
          <w:color w:val="000000"/>
          <w:sz w:val="24"/>
          <w:highlight w:val="none"/>
        </w:rPr>
      </w:pPr>
      <w:r>
        <w:rPr>
          <w:rFonts w:hint="eastAsia" w:ascii="宋体" w:hAnsi="宋体" w:eastAsia="宋体" w:cs="宋体"/>
          <w:b/>
          <w:bCs/>
          <w:color w:val="000000"/>
          <w:sz w:val="44"/>
          <w:highlight w:val="none"/>
        </w:rPr>
        <w:t xml:space="preserve">（最低评标价法）</w:t>
      </w:r>
      <w:r>
        <w:rPr>
          <w:rFonts w:ascii="Calibri" w:hAnsi="Calibri"/>
          <w:color w:val="000000"/>
          <w:sz w:val="24"/>
          <w:highlight w:val="none"/>
        </w:rPr>
      </w:r>
      <w:r/>
    </w:p>
    <w:p>
      <w:pPr>
        <w:pStyle w:val="1098"/>
        <w:ind w:firstLine="422"/>
        <w:jc w:val="left"/>
        <w:spacing w:before="0" w:after="0"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开标时特别说明：</w:t>
      </w:r>
      <w:r>
        <w:rPr>
          <w:rFonts w:hint="eastAsia" w:ascii="宋体" w:hAnsi="宋体" w:eastAsia="宋体" w:cs="宋体"/>
          <w:color w:val="000000"/>
          <w:sz w:val="21"/>
          <w:szCs w:val="21"/>
          <w:highlight w:val="none"/>
        </w:rPr>
      </w:r>
      <w:r/>
    </w:p>
    <w:p>
      <w:pPr>
        <w:pStyle w:val="1098"/>
        <w:ind w:firstLine="422"/>
        <w:jc w:val="left"/>
        <w:spacing w:before="0" w:after="0"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rPr>
          <w:rFonts w:hint="eastAsia" w:ascii="宋体" w:hAnsi="宋体" w:eastAsia="宋体" w:cs="宋体"/>
          <w:color w:val="000000"/>
          <w:sz w:val="21"/>
          <w:szCs w:val="21"/>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olor w:val="000000"/>
          <w:highlight w:val="none"/>
        </w:rPr>
        <w:t xml:space="preserve">本次评标采用最低评标价法。评标委员会对满足招标文件全部实质性要求，按投标单价</w:t>
      </w:r>
      <w:r>
        <w:rPr>
          <w:rFonts w:hint="eastAsia" w:ascii="宋体" w:hAnsi="宋体" w:cs="宋体"/>
          <w:color w:val="000000"/>
          <w:highlight w:val="none"/>
        </w:rPr>
        <w:t xml:space="preserve">由低至高推荐有排序的1-3名中标侯选人</w:t>
      </w:r>
      <w:r>
        <w:rPr>
          <w:rFonts w:hint="eastAsia" w:ascii="宋体" w:hAnsi="宋体"/>
          <w:color w:val="000000"/>
          <w:highlight w:val="none"/>
        </w:rPr>
        <w:t xml:space="preserve">。如不同投标人的最低报价相同的</w:t>
      </w:r>
      <w:r>
        <w:rPr>
          <w:rFonts w:ascii="宋体" w:hAnsi="宋体" w:cs="宋体"/>
          <w:color w:val="000000"/>
          <w:sz w:val="22"/>
          <w:highlight w:val="none"/>
        </w:rPr>
        <w:t xml:space="preserve">则</w:t>
      </w:r>
      <w:r>
        <w:rPr>
          <w:rFonts w:hint="eastAsia" w:ascii="宋体" w:hAnsi="宋体"/>
          <w:color w:val="000000"/>
          <w:highlight w:val="none"/>
        </w:rPr>
        <w:t xml:space="preserve">由由采购人或评标委员会采取随机抽取方式确定排序。</w:t>
      </w:r>
      <w:r>
        <w:rPr>
          <w:rFonts w:ascii="宋体" w:hAnsi="宋体" w:cs="宋体"/>
          <w:color w:val="000000"/>
          <w:highlight w:val="none"/>
        </w:rPr>
      </w:r>
      <w:r/>
    </w:p>
    <w:p>
      <w:pPr>
        <w:pStyle w:val="957"/>
        <w:numPr>
          <w:ilvl w:val="0"/>
          <w:numId w:val="7"/>
        </w:numPr>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初步评审</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1、资格审查</w:t>
      </w:r>
      <w:r>
        <w:rPr>
          <w:rFonts w:ascii="宋体" w:hAnsi="宋体" w:cs="宋体"/>
          <w:color w:val="000000"/>
          <w:highlight w:val="none"/>
        </w:rPr>
      </w:r>
      <w:r/>
    </w:p>
    <w:p>
      <w:pPr>
        <w:pStyle w:val="957"/>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（1）法人或者其他组织的营业执照等证明文件；</w:t>
      </w:r>
      <w:r>
        <w:rPr>
          <w:rFonts w:hint="eastAsia" w:ascii="宋体" w:hAnsi="宋体"/>
          <w:color w:val="000000"/>
          <w:highlight w:val="none"/>
        </w:rPr>
      </w:r>
      <w:r/>
    </w:p>
    <w:p>
      <w:pPr>
        <w:pStyle w:val="957"/>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（2）上一年度的财务报表</w:t>
      </w:r>
      <w:r>
        <w:rPr>
          <w:rFonts w:hint="eastAsia" w:ascii="宋体" w:hAnsi="宋体" w:cs="宋体"/>
          <w:color w:val="000000"/>
          <w:highlight w:val="none"/>
          <w:shd w:val="clear" w:color="auto" w:fill="ffffff"/>
        </w:rPr>
        <w:t xml:space="preserve">（成立不满一年不需提供）</w:t>
      </w:r>
      <w:r>
        <w:rPr>
          <w:rFonts w:hint="eastAsia" w:ascii="宋体" w:hAnsi="宋体"/>
          <w:color w:val="000000"/>
          <w:highlight w:val="none"/>
        </w:rPr>
        <w:t xml:space="preserve">；</w:t>
      </w:r>
      <w:r>
        <w:rPr>
          <w:rFonts w:hint="eastAsia" w:ascii="宋体" w:hAnsi="宋体"/>
          <w:color w:val="000000"/>
          <w:highlight w:val="none"/>
        </w:rPr>
      </w:r>
      <w:r/>
    </w:p>
    <w:p>
      <w:pPr>
        <w:pStyle w:val="957"/>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olor w:val="000000"/>
          <w:highlight w:val="none"/>
        </w:rPr>
      </w:r>
      <w:r/>
    </w:p>
    <w:p>
      <w:pPr>
        <w:pStyle w:val="957"/>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（4）具备履行合同所必需的设备和专业技术能力的书面声明；</w:t>
      </w:r>
      <w:r>
        <w:rPr>
          <w:rFonts w:hint="eastAsia" w:ascii="宋体" w:hAnsi="宋体"/>
          <w:color w:val="000000"/>
          <w:highlight w:val="none"/>
        </w:rPr>
      </w:r>
      <w:r/>
    </w:p>
    <w:p>
      <w:pPr>
        <w:pStyle w:val="957"/>
        <w:ind w:firstLine="420"/>
        <w:spacing w:line="480" w:lineRule="exact"/>
        <w:shd w:val="clear" w:color="auto" w:fill="auto"/>
        <w:rPr>
          <w:rFonts w:hint="eastAsia" w:ascii="宋体" w:hAnsi="宋体"/>
          <w:color w:val="000000"/>
          <w:highlight w:val="none"/>
        </w:rPr>
      </w:pPr>
      <w:r>
        <w:rPr>
          <w:rFonts w:hint="eastAsia" w:ascii="宋体" w:hAnsi="宋体"/>
          <w:color w:val="000000"/>
          <w:highlight w:val="none"/>
        </w:rPr>
        <w:t xml:space="preserve">（5）参加政府采购活动前3年内在经营活动中没有重大违法记录的书面声明。</w:t>
      </w:r>
      <w:r>
        <w:rPr>
          <w:rFonts w:hint="eastAsia" w:ascii="宋体" w:hAnsi="宋体"/>
          <w:color w:val="000000"/>
          <w:highlight w:val="none"/>
        </w:rPr>
      </w:r>
      <w:r/>
    </w:p>
    <w:p>
      <w:pPr>
        <w:pStyle w:val="957"/>
        <w:ind w:firstLine="420"/>
        <w:spacing w:line="480" w:lineRule="exact"/>
        <w:shd w:val="clear" w:color="auto" w:fill="auto"/>
        <w:rPr>
          <w:rFonts w:hint="eastAsia" w:ascii="宋体" w:hAnsi="宋体" w:eastAsia="宋体" w:cs="Times New Roman"/>
          <w:color w:val="000000"/>
          <w:highlight w:val="none"/>
        </w:rPr>
      </w:pP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lang w:val="en-US" w:eastAsia="zh-CN"/>
        </w:rPr>
        <w:t xml:space="preserve">6）</w:t>
      </w:r>
      <w:r>
        <w:rPr>
          <w:rFonts w:hint="eastAsia" w:ascii="宋体" w:hAnsi="宋体" w:eastAsia="宋体" w:cs="Times New Roman"/>
          <w:color w:val="000000"/>
          <w:highlight w:val="none"/>
        </w:rPr>
        <w:t xml:space="preserve">本项目的特定资格要求：本项目只接受生产厂家报名不接受经销商报名。分包1：投标单位须具有所投产品的有效兽药生产许可证及兽药GMP证书，扫描件上传至电子标书。。</w:t>
      </w:r>
      <w:r>
        <w:rPr>
          <w:rFonts w:hint="eastAsia" w:ascii="宋体" w:hAnsi="宋体" w:eastAsia="宋体" w:cs="Times New Roman"/>
          <w:color w:val="000000"/>
          <w:highlight w:val="none"/>
        </w:rPr>
      </w:r>
      <w:r/>
    </w:p>
    <w:p>
      <w:pPr>
        <w:pStyle w:val="957"/>
        <w:ind w:firstLine="420"/>
        <w:spacing w:line="480" w:lineRule="exact"/>
        <w:shd w:val="clear" w:color="auto" w:fill="auto"/>
        <w:rPr>
          <w:rFonts w:hint="eastAsia" w:ascii="宋体" w:hAnsi="宋体" w:cs="宋体"/>
          <w:color w:val="000000"/>
          <w:highlight w:val="none"/>
        </w:rPr>
      </w:pPr>
      <w:r>
        <w:rPr>
          <w:rFonts w:hint="eastAsia" w:ascii="宋体" w:hAnsi="宋体" w:cs="宋体"/>
          <w:color w:val="000000"/>
          <w:highlight w:val="none"/>
        </w:rPr>
        <w:t xml:space="preserve">注：</w:t>
      </w:r>
      <w:r>
        <w:rPr>
          <w:rFonts w:ascii="宋体" w:hAnsi="宋体" w:cs="宋体"/>
          <w:color w:val="000000"/>
          <w:highlight w:val="none"/>
        </w:rPr>
        <w:t xml:space="preserve">a</w:t>
      </w:r>
      <w:r>
        <w:rPr>
          <w:rFonts w:hint="eastAsia" w:ascii="宋体" w:hAnsi="宋体" w:cs="宋体"/>
          <w:color w:val="000000"/>
          <w:highlight w:val="none"/>
        </w:rPr>
        <w:t xml:space="preserve">、因上述扫描件不清晰无法辨认、或提供的关键信息不全、更新不及时导致被招标人或评标委员会评委认定为无效投标的，其不利的后果由投标人自行承担。</w:t>
      </w:r>
      <w:r>
        <w:rPr>
          <w:rFonts w:hint="eastAsia" w:ascii="宋体" w:hAnsi="宋体" w:cs="宋体"/>
          <w:color w:val="000000"/>
          <w:highlight w:val="none"/>
        </w:rPr>
      </w:r>
      <w:r/>
    </w:p>
    <w:p>
      <w:pPr>
        <w:pStyle w:val="957"/>
        <w:ind w:firstLine="420"/>
        <w:spacing w:line="480" w:lineRule="exact"/>
        <w:shd w:val="clear" w:color="auto" w:fill="auto"/>
        <w:rPr>
          <w:rFonts w:hint="eastAsia" w:ascii="宋体" w:hAnsi="宋体" w:cs="宋体"/>
          <w:color w:val="000000"/>
          <w:highlight w:val="none"/>
        </w:rPr>
      </w:pPr>
      <w:r>
        <w:rPr>
          <w:rFonts w:ascii="宋体" w:hAnsi="宋体" w:cs="宋体"/>
          <w:color w:val="000000"/>
          <w:highlight w:val="none"/>
        </w:rPr>
        <w:t xml:space="preserve">b</w:t>
      </w:r>
      <w:r>
        <w:rPr>
          <w:rFonts w:hint="eastAsia" w:ascii="宋体" w:hAnsi="宋体" w:cs="宋体"/>
          <w:color w:val="000000"/>
          <w:highlight w:val="none"/>
        </w:rPr>
        <w:t xml:space="preserve">、若中标候选人上述有关证书有效性被质疑的，被质疑人出具发证机关证明或通过二维码或证书查询系统能够证明有效即可。</w:t>
      </w:r>
      <w:r>
        <w:rPr>
          <w:rFonts w:hint="eastAsia"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ascii="宋体" w:hAnsi="宋体" w:cs="宋体"/>
          <w:color w:val="000000"/>
          <w:highlight w:val="none"/>
        </w:rPr>
        <w:t xml:space="preserve">c</w:t>
      </w:r>
      <w:r>
        <w:rPr>
          <w:rFonts w:hint="eastAsia" w:ascii="宋体" w:hAnsi="宋体" w:cs="宋体"/>
          <w:color w:val="000000"/>
          <w:highlight w:val="none"/>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2、符合性评审：</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rPr>
          <w:rFonts w:ascii="宋体" w:hAnsi="宋体" w:cs="宋体"/>
          <w:color w:val="000000"/>
          <w:highlight w:val="none"/>
        </w:rPr>
      </w:r>
      <w:r/>
    </w:p>
    <w:p>
      <w:pPr>
        <w:pStyle w:val="957"/>
        <w:ind w:firstLine="422"/>
        <w:spacing w:line="480" w:lineRule="exact"/>
        <w:shd w:val="clear" w:color="auto" w:fill="auto"/>
        <w:rPr>
          <w:rFonts w:ascii="宋体" w:hAnsi="宋体" w:cs="宋体"/>
          <w:b/>
          <w:bCs/>
          <w:color w:val="000000"/>
          <w:highlight w:val="none"/>
        </w:rPr>
      </w:pPr>
      <w:r>
        <w:rPr>
          <w:rFonts w:hint="eastAsia" w:ascii="宋体" w:hAnsi="宋体" w:cs="宋体"/>
          <w:b/>
          <w:bCs/>
          <w:color w:val="000000"/>
          <w:highlight w:val="none"/>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b/>
          <w:bCs/>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二、详细评审</w:t>
      </w:r>
      <w:r>
        <w:rPr>
          <w:rFonts w:ascii="宋体" w:hAnsi="宋体" w:cs="宋体"/>
          <w:color w:val="000000"/>
          <w:highlight w:val="none"/>
        </w:rPr>
      </w:r>
      <w:r/>
    </w:p>
    <w:p>
      <w:pPr>
        <w:pStyle w:val="957"/>
        <w:ind w:firstLine="420"/>
        <w:spacing w:line="480" w:lineRule="exact"/>
        <w:shd w:val="clear" w:color="auto" w:fill="auto"/>
        <w:rPr>
          <w:rFonts w:hint="eastAsia" w:ascii="宋体" w:hAnsi="宋体" w:cs="宋体"/>
          <w:color w:val="000000"/>
          <w:highlight w:val="none"/>
        </w:rPr>
      </w:pPr>
      <w:r>
        <w:rPr>
          <w:rFonts w:hint="eastAsia" w:ascii="宋体" w:hAnsi="宋体" w:cs="宋体"/>
          <w:color w:val="000000"/>
          <w:highlight w:val="none"/>
        </w:rPr>
        <w:t xml:space="preserve">对通过初步评审的投标文件，按照有效投标单价由低至高推荐有排序的1-3名中标侯选人，招标人根据评标委员会提供的书面评标报告，依法确定中标人。</w:t>
      </w:r>
      <w:r>
        <w:rPr>
          <w:rFonts w:hint="eastAsia" w:ascii="宋体" w:hAnsi="宋体" w:cs="宋体"/>
          <w:color w:val="000000"/>
          <w:highlight w:val="none"/>
        </w:rPr>
      </w:r>
      <w:r/>
    </w:p>
    <w:p>
      <w:pPr>
        <w:pStyle w:val="1023"/>
        <w:ind w:firstLine="482"/>
        <w:rPr>
          <w:rFonts w:hint="eastAsia"/>
          <w:b/>
          <w:bCs/>
        </w:rPr>
      </w:pPr>
      <w:r>
        <w:rPr>
          <w:rFonts w:hint="eastAsia"/>
          <w:b/>
          <w:bCs/>
        </w:rPr>
        <w:t xml:space="preserve">系统中开标一览表投标单价单位默认为招标文件中各分包的单位（元/毫升），在分项报价表中再写明。在分项报价表中投标单价保留小数点后四位，计算中标人排名时按照分项报价表中投标单价计算排名，有效投标单价最低价中标。</w:t>
      </w:r>
      <w:r>
        <w:rPr>
          <w:rFonts w:hint="eastAsia"/>
          <w:b/>
          <w:bCs/>
        </w:rPr>
      </w:r>
      <w:r/>
    </w:p>
    <w:p>
      <w:pPr>
        <w:pStyle w:val="957"/>
        <w:ind w:firstLine="422"/>
        <w:spacing w:line="480" w:lineRule="exact"/>
        <w:shd w:val="clear" w:color="auto" w:fill="auto"/>
        <w:rPr>
          <w:rFonts w:hint="eastAsia" w:ascii="宋体" w:hAnsi="宋体" w:cs="宋体"/>
          <w:b/>
          <w:color w:val="000000"/>
          <w:highlight w:val="none"/>
        </w:rPr>
      </w:pPr>
      <w:r/>
      <w:bookmarkStart w:id="150" w:name="_Toc29388462"/>
      <w:r>
        <w:rPr>
          <w:rFonts w:hint="eastAsia" w:ascii="宋体" w:hAnsi="宋体" w:cs="宋体"/>
          <w:b/>
          <w:color w:val="000000"/>
          <w:highlight w:val="none"/>
        </w:rPr>
        <w:t xml:space="preserve">政府采购政策功能落实</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1、小微型企业价格扣除</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（1）本项目对小型和微型企业给予20%的扣除价格，用扣除后的价格参与评审。</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（2）供应商需按照采购文件的要求提供相应的《企业声明函》。</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（3）企业标准请参照《关于印发中小企业划型标准规定的通知》（工信部联企业[2011]300号）文件规定自行填写。</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2、残疾人福利单位价格扣除</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（1）本项目对残疾人福利性单位视同小型、微型企业，给予20%的价格扣除，用扣除后的价格参与评审。</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（2）残疾人福利单位需按照采购文件的要求提供《残疾人福利性单位声明函》。</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（3）残疾人福利单位标准请参照《关于促进残疾人就业政府采购政策的通知》（财库〔2017〕141号）。</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3、监狱和戒毒企业价格扣除</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（1）本项目对监狱和戒毒企业（简称监狱企业）视同小型、微型企业，给予20%的价格扣除，用扣除后的价格参与评审。</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
          <w:color w:val="000000"/>
          <w:highlight w:val="none"/>
        </w:rPr>
      </w:r>
      <w:r/>
    </w:p>
    <w:p>
      <w:pPr>
        <w:pStyle w:val="957"/>
        <w:ind w:firstLine="422"/>
        <w:spacing w:line="48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（3）监狱企业标准请参照《关于政府采购支持监狱企业发展有关问题的通知》（财库[2014]68号）。</w:t>
      </w:r>
      <w:r>
        <w:rPr>
          <w:rFonts w:hint="eastAsia" w:ascii="宋体" w:hAnsi="宋体" w:cs="宋体"/>
          <w:b/>
          <w:color w:val="000000"/>
          <w:highlight w:val="none"/>
        </w:rPr>
      </w:r>
      <w:r/>
    </w:p>
    <w:p>
      <w:pPr>
        <w:pStyle w:val="957"/>
        <w:ind w:firstLine="422"/>
        <w:spacing w:line="480" w:lineRule="exact"/>
        <w:shd w:val="clear" w:color="auto" w:fill="auto"/>
        <w:rPr>
          <w:rFonts w:ascii="宋体" w:hAnsi="宋体" w:cs="宋体"/>
          <w:b/>
          <w:color w:val="000000"/>
          <w:highlight w:val="none"/>
        </w:rPr>
      </w:pPr>
      <w:r>
        <w:rPr>
          <w:rFonts w:hint="eastAsia" w:ascii="宋体" w:hAnsi="宋体" w:cs="宋体"/>
          <w:b/>
          <w:color w:val="000000"/>
          <w:highlight w:val="none"/>
        </w:rPr>
        <w:t xml:space="preserve">4、残疾人福利单位、监狱企业属于小型、微型企业的，不重复享受政策。</w:t>
      </w:r>
      <w:r>
        <w:rPr>
          <w:rFonts w:ascii="宋体" w:hAnsi="宋体" w:cs="宋体"/>
          <w:b/>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三、评标程序</w:t>
      </w:r>
      <w:bookmarkEnd w:id="150"/>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51" w:name="_Toc397928606"/>
      <w:r/>
      <w:bookmarkStart w:id="152" w:name="_Toc22907"/>
      <w:r/>
      <w:bookmarkStart w:id="153" w:name="_Toc29388463"/>
      <w:r>
        <w:rPr>
          <w:rFonts w:hint="eastAsia" w:ascii="宋体" w:hAnsi="宋体" w:cs="宋体"/>
          <w:color w:val="000000"/>
          <w:highlight w:val="none"/>
        </w:rPr>
        <w:t xml:space="preserve">3.1 评标准备</w:t>
      </w:r>
      <w:bookmarkEnd w:id="151"/>
      <w:r/>
      <w:bookmarkEnd w:id="152"/>
      <w:r/>
      <w:bookmarkEnd w:id="153"/>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3.1.</w:t>
      </w:r>
      <w:r>
        <w:rPr>
          <w:rFonts w:ascii="宋体" w:hAnsi="宋体" w:cs="宋体"/>
          <w:color w:val="000000"/>
          <w:highlight w:val="none"/>
        </w:rPr>
        <w:t xml:space="preserve">1</w:t>
      </w:r>
      <w:r>
        <w:rPr>
          <w:rFonts w:hint="eastAsia" w:ascii="宋体" w:hAnsi="宋体" w:cs="宋体"/>
          <w:color w:val="000000"/>
          <w:highlight w:val="none"/>
        </w:rPr>
        <w:t xml:space="preserve"> 评标委员会成员首先推选一名评标委员会负责人，负责评标活动的组织领导工作。</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3.1.</w:t>
      </w:r>
      <w:r>
        <w:rPr>
          <w:rFonts w:ascii="宋体" w:hAnsi="宋体" w:cs="宋体"/>
          <w:color w:val="000000"/>
          <w:highlight w:val="none"/>
        </w:rPr>
        <w:t xml:space="preserve">2</w:t>
      </w:r>
      <w:r>
        <w:rPr>
          <w:rFonts w:hint="eastAsia" w:ascii="宋体" w:hAnsi="宋体" w:cs="宋体"/>
          <w:color w:val="000000"/>
          <w:highlight w:val="none"/>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54" w:name="_Toc29388464"/>
      <w:r/>
      <w:bookmarkStart w:id="155" w:name="_Toc6331"/>
      <w:r/>
      <w:bookmarkStart w:id="156" w:name="_Toc397928607"/>
      <w:r>
        <w:rPr>
          <w:rFonts w:hint="eastAsia" w:ascii="宋体" w:hAnsi="宋体" w:cs="宋体"/>
          <w:color w:val="000000"/>
          <w:highlight w:val="none"/>
        </w:rPr>
        <w:t xml:space="preserve">3.2 初步评审</w:t>
      </w:r>
      <w:bookmarkEnd w:id="154"/>
      <w:r/>
      <w:bookmarkEnd w:id="155"/>
      <w:r/>
      <w:bookmarkEnd w:id="156"/>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3.2.1评标委员会依据本章第一款规定的标准对投标文件进行初步评审。</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3.2.2投标文件不符合本章第一款评审标准的，属于重大偏差，视为未能对招标文件作出实质性响应，应当作为无效投标予以否决。</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3.2.</w:t>
      </w:r>
      <w:r>
        <w:rPr>
          <w:rFonts w:ascii="宋体" w:hAnsi="宋体" w:cs="宋体"/>
          <w:color w:val="000000"/>
          <w:highlight w:val="none"/>
        </w:rPr>
        <w:t xml:space="preserve">3</w:t>
      </w:r>
      <w:r>
        <w:rPr>
          <w:rFonts w:hint="eastAsia" w:ascii="宋体" w:hAnsi="宋体" w:cs="宋体"/>
          <w:color w:val="000000"/>
          <w:highlight w:val="none"/>
        </w:rPr>
        <w:t xml:space="preserve">只有通过初步评审的投标文件才能进入详细评审。</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57" w:name="_Toc397928608"/>
      <w:r/>
      <w:bookmarkStart w:id="158" w:name="_Toc7389"/>
      <w:r/>
      <w:bookmarkStart w:id="159" w:name="_Toc29388465"/>
      <w:r>
        <w:rPr>
          <w:rFonts w:hint="eastAsia" w:ascii="宋体" w:hAnsi="宋体" w:cs="宋体"/>
          <w:color w:val="000000"/>
          <w:highlight w:val="none"/>
        </w:rPr>
        <w:t xml:space="preserve">3.3 详细评审</w:t>
      </w:r>
      <w:bookmarkEnd w:id="157"/>
      <w:r/>
      <w:bookmarkEnd w:id="158"/>
      <w:r/>
      <w:bookmarkEnd w:id="159"/>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60" w:name="_Toc397928609"/>
      <w:r/>
      <w:bookmarkStart w:id="161" w:name="_Toc29388466"/>
      <w:r/>
      <w:bookmarkStart w:id="162" w:name="_Toc5826"/>
      <w:r>
        <w:rPr>
          <w:rFonts w:hint="eastAsia" w:ascii="宋体" w:hAnsi="宋体" w:cs="宋体"/>
          <w:color w:val="000000"/>
          <w:highlight w:val="none"/>
        </w:rPr>
        <w:t xml:space="preserve">3.4 投标文件的澄清和补正</w:t>
      </w:r>
      <w:bookmarkEnd w:id="160"/>
      <w:r/>
      <w:bookmarkEnd w:id="161"/>
      <w:r/>
      <w:bookmarkEnd w:id="162"/>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3.4.2 澄清、说明和补正不得改变投标文件的实质性内容（算术性错误修正的除外）。投标人的书面澄清、说明和补正属于投标文件的组成部分。</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3.4.3 评标委员会对投标人提交的澄清、说明或补正有疑问的，可以要求投标人进一步澄清、说明或补正。</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63" w:name="_Toc29388467"/>
      <w:r/>
      <w:bookmarkStart w:id="164" w:name="_Toc397928610"/>
      <w:r/>
      <w:bookmarkStart w:id="165" w:name="_Toc29288"/>
      <w:r>
        <w:rPr>
          <w:rFonts w:hint="eastAsia" w:ascii="宋体" w:hAnsi="宋体" w:cs="宋体"/>
          <w:color w:val="000000"/>
          <w:highlight w:val="none"/>
        </w:rPr>
        <w:t xml:space="preserve">3.5 推荐中标候选人或直接确定中标人</w:t>
      </w:r>
      <w:bookmarkEnd w:id="163"/>
      <w:r/>
      <w:bookmarkEnd w:id="164"/>
      <w:r/>
      <w:bookmarkEnd w:id="165"/>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3.5.1 除投标人须知前附表授权直接确定中标人外，评标委员会在推荐中标候选人时，应遵照以下原则:</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评标委员会对满足招标文件全部实质性要求，按投标单价由低至高推荐有排序的1-3名中标侯选人，招标人根据评标委员会提供的书面评标报告，依法确定中标人。</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66" w:name="_Toc397928611"/>
      <w:r/>
      <w:bookmarkStart w:id="167" w:name="_Toc29388468"/>
      <w:r>
        <w:rPr>
          <w:rFonts w:hint="eastAsia" w:ascii="宋体" w:hAnsi="宋体" w:cs="宋体"/>
          <w:color w:val="000000"/>
          <w:highlight w:val="none"/>
        </w:rPr>
        <w:t xml:space="preserve">3.6 提交评标报告</w:t>
      </w:r>
      <w:bookmarkEnd w:id="166"/>
      <w:r/>
      <w:bookmarkEnd w:id="167"/>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评标委员会完成评标后，应当向招标人提交书面评标报告。评标报告应当由全体评标委员会成员签字，并于评标结束时抄送有关行政监督部门。</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68" w:name="_Toc29388469"/>
      <w:r>
        <w:rPr>
          <w:rFonts w:hint="eastAsia" w:ascii="宋体" w:hAnsi="宋体" w:cs="宋体"/>
          <w:color w:val="000000"/>
          <w:highlight w:val="none"/>
        </w:rPr>
        <w:t xml:space="preserve">4． 通用评标规则</w:t>
      </w:r>
      <w:bookmarkEnd w:id="168"/>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69" w:name="_Toc29388470"/>
      <w:r>
        <w:rPr>
          <w:rFonts w:hint="eastAsia" w:ascii="宋体" w:hAnsi="宋体" w:cs="宋体"/>
          <w:color w:val="000000"/>
          <w:highlight w:val="none"/>
        </w:rPr>
        <w:t xml:space="preserve">4.1 评标程序</w:t>
      </w:r>
      <w:bookmarkEnd w:id="169"/>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资信文件、商务文件应分别评审，评审后不得更改。</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70" w:name="_Toc29388472"/>
      <w:r>
        <w:rPr>
          <w:rFonts w:hint="eastAsia" w:ascii="宋体" w:hAnsi="宋体" w:cs="宋体"/>
          <w:color w:val="000000"/>
          <w:highlight w:val="none"/>
        </w:rPr>
        <w:t xml:space="preserve">4.2计价文件评审规定</w:t>
      </w:r>
      <w:bookmarkEnd w:id="170"/>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评标委员会认为投标人的投标报价有可能低于其个别成本时，应当要求投标人以书面方式作出澄清，并提供相关证明材料后再进行认定。</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71" w:name="_Toc29388474"/>
      <w:r>
        <w:rPr>
          <w:rFonts w:hint="eastAsia" w:ascii="宋体" w:hAnsi="宋体" w:cs="宋体"/>
          <w:color w:val="000000"/>
          <w:highlight w:val="none"/>
        </w:rPr>
        <w:t xml:space="preserve">4.3争议处理</w:t>
      </w:r>
      <w:bookmarkEnd w:id="171"/>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bookmarkStart w:id="172" w:name="_Toc29388475"/>
      <w:r>
        <w:rPr>
          <w:rFonts w:hint="eastAsia" w:ascii="宋体" w:hAnsi="宋体" w:cs="宋体"/>
          <w:color w:val="000000"/>
          <w:highlight w:val="none"/>
        </w:rPr>
        <w:t xml:space="preserve">4.4违法违纪行为</w:t>
      </w:r>
      <w:bookmarkEnd w:id="172"/>
      <w:r>
        <w:rPr>
          <w:rFonts w:ascii="宋体" w:hAnsi="宋体" w:cs="宋体"/>
          <w:color w:val="000000"/>
          <w:highlight w:val="none"/>
        </w:rPr>
      </w:r>
      <w:r/>
    </w:p>
    <w:p>
      <w:pPr>
        <w:pStyle w:val="957"/>
        <w:ind w:firstLine="420"/>
        <w:spacing w:line="480" w:lineRule="exact"/>
        <w:shd w:val="clear" w:color="auto" w:fill="auto"/>
        <w:rPr>
          <w:rFonts w:ascii="宋体" w:hAnsi="宋体" w:cs="宋体"/>
          <w:color w:val="000000"/>
          <w:highlight w:val="none"/>
        </w:rPr>
      </w:pPr>
      <w:r>
        <w:rPr>
          <w:rFonts w:hint="eastAsia" w:ascii="宋体" w:hAnsi="宋体" w:cs="宋体"/>
          <w:color w:val="000000"/>
          <w:highlight w:val="none"/>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highlight w:val="none"/>
        </w:rPr>
      </w:r>
      <w:r/>
    </w:p>
    <w:p>
      <w:pPr>
        <w:pStyle w:val="958"/>
        <w:shd w:val="clear" w:color="auto" w:fill="auto"/>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第六章  投标</w:t>
      </w:r>
      <w:bookmarkEnd w:id="143"/>
      <w:r/>
      <w:bookmarkEnd w:id="144"/>
      <w:r/>
      <w:bookmarkEnd w:id="148"/>
      <w:r>
        <w:rPr>
          <w:rFonts w:hint="eastAsia" w:ascii="宋体" w:hAnsi="宋体" w:eastAsia="宋体" w:cs="宋体"/>
          <w:bCs/>
          <w:color w:val="000000"/>
          <w:sz w:val="44"/>
          <w:highlight w:val="none"/>
        </w:rPr>
        <w:t xml:space="preserve">文件格式</w:t>
      </w:r>
      <w:r>
        <w:rPr>
          <w:rFonts w:hint="eastAsia" w:ascii="宋体" w:hAnsi="宋体" w:eastAsia="宋体" w:cs="宋体"/>
          <w:bCs/>
          <w:color w:val="000000"/>
          <w:sz w:val="44"/>
          <w:highlight w:val="none"/>
        </w:rPr>
      </w:r>
      <w:r/>
    </w:p>
    <w:p>
      <w:pPr>
        <w:pStyle w:val="957"/>
        <w:jc w:val="center"/>
        <w:shd w:val="clear" w:color="auto" w:fill="auto"/>
        <w:rPr>
          <w:rFonts w:hint="eastAsia" w:ascii="宋体" w:hAnsi="宋体" w:cs="宋体"/>
          <w:b/>
          <w:color w:val="000000"/>
          <w:sz w:val="72"/>
          <w:highlight w:val="none"/>
        </w:rPr>
      </w:pPr>
      <w:r/>
      <w:bookmarkStart w:id="173" w:name="_Hlt26671244"/>
      <w:r/>
      <w:bookmarkEnd w:id="173"/>
      <w:r/>
      <w:bookmarkStart w:id="174" w:name="_Hlt26955039"/>
      <w:r/>
      <w:bookmarkEnd w:id="174"/>
      <w:r/>
      <w:bookmarkStart w:id="175" w:name="_Toc49090576"/>
      <w:r/>
      <w:bookmarkStart w:id="176" w:name="_Toc120614282"/>
      <w:r/>
      <w:bookmarkStart w:id="177" w:name="_Toc26554094"/>
      <w:r>
        <w:rPr>
          <w:rFonts w:hint="eastAsia" w:ascii="宋体" w:hAnsi="宋体" w:cs="宋体"/>
          <w:b/>
          <w:color w:val="000000"/>
          <w:sz w:val="72"/>
          <w:highlight w:val="none"/>
        </w:rPr>
      </w:r>
      <w:r/>
    </w:p>
    <w:p>
      <w:pPr>
        <w:pStyle w:val="957"/>
        <w:jc w:val="center"/>
        <w:shd w:val="clear" w:color="auto" w:fill="auto"/>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957"/>
        <w:jc w:val="center"/>
        <w:shd w:val="clear" w:color="auto" w:fill="auto"/>
        <w:rPr>
          <w:rFonts w:hint="eastAsia" w:ascii="宋体" w:hAnsi="宋体" w:cs="宋体"/>
          <w:b/>
          <w:color w:val="000000"/>
          <w:sz w:val="72"/>
          <w:highlight w:val="none"/>
        </w:rPr>
      </w:pPr>
      <w:r>
        <w:rPr>
          <w:rFonts w:hint="eastAsia" w:ascii="宋体" w:hAnsi="宋体" w:cs="宋体"/>
          <w:b/>
          <w:color w:val="000000"/>
          <w:sz w:val="36"/>
          <w:highlight w:val="none"/>
        </w:rPr>
        <w:t xml:space="preserve">（正或副本）</w:t>
      </w:r>
      <w:r>
        <w:rPr>
          <w:rFonts w:hint="eastAsia" w:ascii="宋体" w:hAnsi="宋体" w:cs="宋体"/>
          <w:b/>
          <w:color w:val="000000"/>
          <w:sz w:val="72"/>
          <w:highlight w:val="none"/>
        </w:rPr>
      </w:r>
      <w:r/>
    </w:p>
    <w:p>
      <w:pPr>
        <w:pStyle w:val="957"/>
        <w:jc w:val="center"/>
        <w:shd w:val="clear" w:color="auto" w:fill="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957"/>
        <w:jc w:val="center"/>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957"/>
        <w:jc w:val="center"/>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957"/>
        <w:jc w:val="center"/>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957"/>
        <w:ind w:firstLine="1084"/>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957"/>
        <w:ind w:firstLine="1084"/>
        <w:shd w:val="clear" w:color="auto" w:fill="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招 标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957"/>
        <w:shd w:val="clear" w:color="auto" w:fill="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957"/>
        <w:shd w:val="clear" w:color="auto" w:fill="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957"/>
        <w:jc w:val="center"/>
        <w:spacing w:line="440" w:lineRule="exact"/>
        <w:shd w:val="clear" w:color="auto" w:fill="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jc w:val="center"/>
        <w:spacing w:line="440" w:lineRule="exact"/>
        <w:shd w:val="clear" w:color="auto" w:fill="auto"/>
        <w:rPr>
          <w:rFonts w:hint="eastAsia" w:ascii="宋体" w:hAnsi="宋体" w:cs="宋体"/>
          <w:b/>
          <w:color w:val="000000"/>
          <w:sz w:val="30"/>
          <w:szCs w:val="30"/>
          <w:highlight w:val="none"/>
        </w:rPr>
      </w:pPr>
      <w:r>
        <w:rPr>
          <w:rFonts w:hint="eastAsia" w:ascii="宋体" w:hAnsi="宋体" w:cs="宋体"/>
          <w:color w:val="000000"/>
          <w:sz w:val="24"/>
          <w:highlight w:val="none"/>
        </w:rPr>
        <w:br w:type="page" w:clear="all"/>
      </w:r>
      <w:r>
        <w:rPr>
          <w:rFonts w:hint="eastAsia" w:ascii="宋体" w:hAnsi="宋体" w:cs="宋体"/>
          <w:b/>
          <w:color w:val="000000"/>
          <w:sz w:val="30"/>
          <w:szCs w:val="30"/>
          <w:highlight w:val="none"/>
        </w:rPr>
        <w:t xml:space="preserve">评分索引表</w:t>
      </w:r>
      <w:r>
        <w:rPr>
          <w:rFonts w:hint="eastAsia" w:ascii="宋体" w:hAnsi="宋体" w:cs="宋体"/>
          <w:b/>
          <w:color w:val="000000"/>
          <w:sz w:val="30"/>
          <w:szCs w:val="30"/>
          <w:highlight w:val="none"/>
        </w:rPr>
      </w:r>
      <w:r/>
    </w:p>
    <w:p>
      <w:pPr>
        <w:pStyle w:val="957"/>
        <w:jc w:val="center"/>
        <w:spacing w:line="440" w:lineRule="exact"/>
        <w:shd w:val="clear" w:color="auto" w:fill="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1036"/>
              <w:ind w:left="420"/>
              <w:jc w:val="center"/>
              <w:spacing w:line="265" w:lineRule="atLeast"/>
              <w:shd w:val="clear" w:color="auto" w:fill="auto"/>
              <w:rPr>
                <w:rFonts w:hint="eastAsia" w:ascii="宋体" w:hAnsi="宋体" w:cs="宋体"/>
                <w:b/>
                <w:bCs/>
                <w:color w:val="000000"/>
                <w:highlight w:val="none"/>
                <w:lang w:eastAsia="zh-CN"/>
              </w:rPr>
            </w:pPr>
            <w:r>
              <w:rPr>
                <w:rFonts w:hint="eastAsia" w:ascii="宋体" w:hAnsi="宋体" w:cs="宋体"/>
                <w:b/>
                <w:color w:val="000000"/>
                <w:highlight w:val="none"/>
              </w:rPr>
              <w:t xml:space="preserve">评分项目</w:t>
            </w:r>
            <w:r>
              <w:rPr>
                <w:rFonts w:hint="eastAsia" w:ascii="宋体" w:hAnsi="宋体" w:cs="宋体"/>
                <w:b/>
                <w:bCs/>
                <w:color w:val="000000"/>
                <w:highlight w:val="none"/>
                <w:lang w:eastAsia="zh-CN"/>
              </w:rPr>
            </w:r>
            <w:r/>
          </w:p>
        </w:tc>
        <w:tc>
          <w:tcPr>
            <w:tcW w:w="3570" w:type="dxa"/>
            <w:vAlign w:val="top"/>
            <w:textDirection w:val="lrTb"/>
            <w:noWrap w:val="false"/>
          </w:tcPr>
          <w:p>
            <w:pPr>
              <w:pStyle w:val="957"/>
              <w:jc w:val="center"/>
              <w:shd w:val="clear" w:color="auto" w:fill="auto"/>
              <w:rPr>
                <w:rFonts w:hint="eastAsia" w:ascii="宋体" w:hAnsi="宋体" w:cs="宋体"/>
                <w:b/>
                <w:color w:val="000000"/>
                <w:highlight w:val="none"/>
              </w:rPr>
            </w:pPr>
            <w:r>
              <w:rPr>
                <w:rFonts w:hint="eastAsia" w:ascii="宋体" w:hAnsi="宋体" w:cs="宋体"/>
                <w:b/>
                <w:color w:val="000000"/>
                <w:sz w:val="24"/>
                <w:highlight w:val="none"/>
                <w:lang w:bidi="en-US"/>
              </w:rPr>
              <w:t xml:space="preserve">在投标文件中的页码位置</w:t>
            </w:r>
            <w:r>
              <w:rPr>
                <w:rFonts w:hint="eastAsia" w:ascii="宋体" w:hAnsi="宋体" w:cs="宋体"/>
                <w:b/>
                <w:color w:val="000000"/>
                <w:highlight w:val="none"/>
              </w:rPr>
            </w:r>
            <w:r/>
          </w:p>
        </w:tc>
      </w:tr>
      <w:tr>
        <w:trPr>
          <w:trHeight w:val="446"/>
        </w:trPr>
        <w:tc>
          <w:tcPr>
            <w:tcW w:w="5670" w:type="dxa"/>
            <w:vAlign w:val="top"/>
            <w:textDirection w:val="lrTb"/>
            <w:noWrap w:val="false"/>
          </w:tcPr>
          <w:p>
            <w:pPr>
              <w:pStyle w:val="1036"/>
              <w:ind w:left="420"/>
              <w:jc w:val="both"/>
              <w:spacing w:line="265" w:lineRule="atLeast"/>
              <w:shd w:val="clear" w:color="auto" w:fill="auto"/>
              <w:rPr>
                <w:rFonts w:hint="eastAsia" w:ascii="宋体" w:hAnsi="宋体" w:cs="宋体"/>
                <w:b/>
                <w:color w:val="000000"/>
                <w:highlight w:val="none"/>
                <w:lang w:eastAsia="zh-CN"/>
              </w:rPr>
            </w:pPr>
            <w:r>
              <w:rPr>
                <w:rFonts w:hint="eastAsia" w:ascii="宋体" w:hAnsi="宋体" w:cs="宋体"/>
                <w:b/>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b/>
                <w:color w:val="000000"/>
                <w:sz w:val="24"/>
                <w:highlight w:val="none"/>
                <w:lang w:bidi="en-US"/>
              </w:rPr>
            </w:pPr>
            <w:r>
              <w:rPr>
                <w:rFonts w:hint="eastAsia" w:ascii="宋体" w:hAnsi="宋体" w:cs="宋体"/>
                <w:b/>
                <w:color w:val="000000"/>
                <w:sz w:val="24"/>
                <w:highlight w:val="none"/>
                <w:lang w:bidi="en-US"/>
              </w:rPr>
            </w:r>
            <w:r/>
          </w:p>
        </w:tc>
      </w:tr>
      <w:tr>
        <w:trPr>
          <w:trHeight w:val="300"/>
        </w:trPr>
        <w:tc>
          <w:tcPr>
            <w:gridSpan w:val="2"/>
            <w:tcW w:w="9240" w:type="dxa"/>
            <w:vAlign w:val="top"/>
            <w:textDirection w:val="lrTb"/>
            <w:noWrap w:val="false"/>
          </w:tcPr>
          <w:p>
            <w:pPr>
              <w:pStyle w:val="1036"/>
              <w:ind w:left="420"/>
              <w:jc w:val="both"/>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r>
        <w:trPr>
          <w:trHeight w:val="320"/>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80"/>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460"/>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460"/>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80"/>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389"/>
        </w:trPr>
        <w:tc>
          <w:tcPr>
            <w:gridSpan w:val="2"/>
            <w:tcW w:w="9240" w:type="dxa"/>
            <w:vAlign w:val="top"/>
            <w:textDirection w:val="lrTb"/>
            <w:noWrap w:val="false"/>
          </w:tcPr>
          <w:p>
            <w:pPr>
              <w:pStyle w:val="1036"/>
              <w:ind w:left="420"/>
              <w:jc w:val="both"/>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r>
      <w:tr>
        <w:trPr>
          <w:trHeight w:val="600"/>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160"/>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89"/>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78"/>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69"/>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460"/>
        </w:trPr>
        <w:tc>
          <w:tcPr>
            <w:gridSpan w:val="2"/>
            <w:tcW w:w="9240" w:type="dxa"/>
            <w:vAlign w:val="top"/>
            <w:textDirection w:val="lrTb"/>
            <w:noWrap w:val="false"/>
          </w:tcPr>
          <w:p>
            <w:pPr>
              <w:pStyle w:val="1036"/>
              <w:ind w:left="420"/>
              <w:jc w:val="both"/>
              <w:spacing w:line="265" w:lineRule="atLeast"/>
              <w:shd w:val="clear" w:color="auto" w:fill="auto"/>
              <w:rPr>
                <w:rFonts w:hint="eastAsia" w:ascii="宋体" w:hAnsi="宋体" w:cs="宋体"/>
                <w:b/>
                <w:color w:val="000000"/>
                <w:highlight w:val="none"/>
                <w:lang w:eastAsia="zh-CN"/>
              </w:rPr>
            </w:pPr>
            <w:r>
              <w:rPr>
                <w:rFonts w:hint="eastAsia" w:ascii="宋体" w:hAnsi="宋体" w:cs="宋体"/>
                <w:b/>
                <w:color w:val="000000"/>
                <w:highlight w:val="none"/>
                <w:lang w:eastAsia="zh-CN"/>
              </w:rPr>
            </w:r>
            <w:r/>
          </w:p>
        </w:tc>
      </w:tr>
      <w:tr>
        <w:trPr>
          <w:trHeight w:val="320"/>
        </w:trPr>
        <w:tc>
          <w:tcPr>
            <w:tcW w:w="5670" w:type="dxa"/>
            <w:vAlign w:val="top"/>
            <w:textDirection w:val="lrTb"/>
            <w:noWrap w:val="false"/>
          </w:tcPr>
          <w:p>
            <w:pPr>
              <w:pStyle w:val="1036"/>
              <w:ind w:left="420"/>
              <w:spacing w:line="265" w:lineRule="atLeast"/>
              <w:shd w:val="clear" w:color="auto" w:fill="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80"/>
        </w:trPr>
        <w:tc>
          <w:tcPr>
            <w:tcW w:w="5670" w:type="dxa"/>
            <w:vAlign w:val="top"/>
            <w:textDirection w:val="lrTb"/>
            <w:noWrap w:val="false"/>
          </w:tcPr>
          <w:p>
            <w:pPr>
              <w:pStyle w:val="1036"/>
              <w:ind w:left="42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320"/>
        </w:trPr>
        <w:tc>
          <w:tcPr>
            <w:tcW w:w="5670" w:type="dxa"/>
            <w:vAlign w:val="top"/>
            <w:textDirection w:val="lrTb"/>
            <w:noWrap w:val="false"/>
          </w:tcPr>
          <w:p>
            <w:pPr>
              <w:pStyle w:val="1036"/>
              <w:ind w:left="420"/>
              <w:spacing w:line="265" w:lineRule="atLeast"/>
              <w:shd w:val="clear" w:color="auto" w:fill="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60"/>
        </w:trPr>
        <w:tc>
          <w:tcPr>
            <w:gridSpan w:val="2"/>
            <w:tcW w:w="9240" w:type="dxa"/>
            <w:vAlign w:val="top"/>
            <w:textDirection w:val="lrTb"/>
            <w:noWrap w:val="false"/>
          </w:tcPr>
          <w:p>
            <w:pPr>
              <w:pStyle w:val="1036"/>
              <w:ind w:left="420"/>
              <w:jc w:val="both"/>
              <w:spacing w:line="265" w:lineRule="atLeast"/>
              <w:shd w:val="clear" w:color="auto" w:fill="auto"/>
              <w:rPr>
                <w:rFonts w:hint="eastAsia" w:ascii="宋体" w:hAnsi="宋体" w:cs="宋体"/>
                <w:b/>
                <w:color w:val="000000"/>
                <w:highlight w:val="none"/>
                <w:lang w:eastAsia="zh-CN"/>
              </w:rPr>
            </w:pPr>
            <w:r>
              <w:rPr>
                <w:rFonts w:hint="eastAsia" w:ascii="宋体" w:hAnsi="宋体" w:cs="宋体"/>
                <w:b/>
                <w:color w:val="000000"/>
                <w:highlight w:val="none"/>
                <w:lang w:eastAsia="zh-CN"/>
              </w:rPr>
            </w:r>
            <w:r/>
          </w:p>
        </w:tc>
      </w:tr>
      <w:tr>
        <w:trPr>
          <w:trHeight w:val="500"/>
        </w:trPr>
        <w:tc>
          <w:tcPr>
            <w:tcW w:w="5670" w:type="dxa"/>
            <w:vAlign w:val="top"/>
            <w:textDirection w:val="lrTb"/>
            <w:noWrap w:val="false"/>
          </w:tcPr>
          <w:p>
            <w:pPr>
              <w:pStyle w:val="1036"/>
              <w:ind w:left="0" w:firstLine="480"/>
              <w:spacing w:line="265" w:lineRule="atLeast"/>
              <w:shd w:val="clear" w:color="auto" w:fill="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440"/>
        </w:trPr>
        <w:tc>
          <w:tcPr>
            <w:tcW w:w="5670" w:type="dxa"/>
            <w:vAlign w:val="top"/>
            <w:textDirection w:val="lrTb"/>
            <w:noWrap w:val="false"/>
          </w:tcPr>
          <w:p>
            <w:pPr>
              <w:pStyle w:val="1036"/>
              <w:ind w:left="0" w:firstLine="480"/>
              <w:spacing w:line="265" w:lineRule="atLeast"/>
              <w:shd w:val="clear" w:color="auto" w:fill="auto"/>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3570" w:type="dxa"/>
            <w:vAlign w:val="top"/>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bl>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57"/>
        <w:ind w:firstLine="1084"/>
        <w:jc w:val="center"/>
        <w:shd w:val="clear" w:color="auto" w:fill="auto"/>
        <w:rPr>
          <w:rFonts w:hint="eastAsia" w:ascii="宋体" w:hAnsi="宋体" w:cs="宋体"/>
          <w:b/>
          <w:bCs/>
          <w:color w:val="000000"/>
          <w:sz w:val="32"/>
          <w:szCs w:val="32"/>
          <w:highlight w:val="none"/>
        </w:rPr>
      </w:pPr>
      <w:r>
        <w:rPr>
          <w:rFonts w:hint="eastAsia" w:ascii="宋体" w:hAnsi="宋体" w:cs="宋体"/>
          <w:b/>
          <w:color w:val="000000"/>
          <w:sz w:val="36"/>
          <w:highlight w:val="none"/>
          <w:u w:val="single"/>
        </w:rPr>
        <w:br w:type="page" w:clear="all"/>
      </w:r>
      <w:r>
        <w:rPr>
          <w:rFonts w:hint="eastAsia" w:ascii="宋体" w:hAnsi="宋体" w:cs="宋体"/>
          <w:b/>
          <w:bCs/>
          <w:color w:val="000000"/>
          <w:sz w:val="32"/>
          <w:szCs w:val="32"/>
          <w:highlight w:val="none"/>
        </w:rPr>
        <w:t xml:space="preserve">投标主要文件目录</w:t>
      </w:r>
      <w:r>
        <w:rPr>
          <w:rFonts w:hint="eastAsia" w:ascii="宋体" w:hAnsi="宋体" w:cs="宋体"/>
          <w:b/>
          <w:bCs/>
          <w:color w:val="000000"/>
          <w:sz w:val="32"/>
          <w:szCs w:val="32"/>
          <w:highlight w:val="none"/>
        </w:rPr>
      </w:r>
      <w:r/>
    </w:p>
    <w:p>
      <w:pPr>
        <w:pStyle w:val="957"/>
        <w:jc w:val="center"/>
        <w:spacing w:line="440" w:lineRule="exact"/>
        <w:shd w:val="clear" w:color="auto" w:fill="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57"/>
        <w:numPr>
          <w:ilvl w:val="0"/>
          <w:numId w:val="8"/>
        </w:numP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资信证明文件</w:t>
      </w:r>
      <w:r>
        <w:rPr>
          <w:rFonts w:hint="eastAsia" w:ascii="宋体" w:hAnsi="宋体" w:cs="宋体"/>
          <w:bCs/>
          <w:color w:val="000000"/>
          <w:sz w:val="24"/>
          <w:highlight w:val="none"/>
        </w:rPr>
      </w:r>
      <w:r/>
    </w:p>
    <w:p>
      <w:pPr>
        <w:pStyle w:val="957"/>
        <w:numPr>
          <w:ilvl w:val="0"/>
          <w:numId w:val="8"/>
        </w:numP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资格性审查响应对照表</w:t>
      </w:r>
      <w:r>
        <w:rPr>
          <w:rFonts w:hint="eastAsia" w:ascii="宋体" w:hAnsi="宋体" w:cs="宋体"/>
          <w:color w:val="000000"/>
          <w:sz w:val="24"/>
          <w:highlight w:val="none"/>
        </w:rPr>
      </w:r>
      <w:r/>
    </w:p>
    <w:p>
      <w:pPr>
        <w:pStyle w:val="957"/>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三、符合性检查响应对照表</w:t>
      </w:r>
      <w:r>
        <w:rPr>
          <w:rFonts w:hint="eastAsia" w:ascii="宋体" w:hAnsi="宋体" w:cs="宋体"/>
          <w:bCs/>
          <w:color w:val="000000"/>
          <w:sz w:val="24"/>
          <w:highlight w:val="none"/>
        </w:rPr>
      </w:r>
      <w:r/>
    </w:p>
    <w:p>
      <w:pPr>
        <w:pStyle w:val="957"/>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四、投标函</w:t>
      </w:r>
      <w:r>
        <w:rPr>
          <w:rFonts w:hint="eastAsia" w:ascii="宋体" w:hAnsi="宋体" w:cs="宋体"/>
          <w:color w:val="000000"/>
          <w:sz w:val="24"/>
          <w:highlight w:val="none"/>
        </w:rPr>
      </w:r>
      <w:r/>
    </w:p>
    <w:p>
      <w:pPr>
        <w:pStyle w:val="957"/>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五</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开标一览表</w:t>
      </w:r>
      <w:r>
        <w:rPr>
          <w:rFonts w:hint="eastAsia" w:ascii="宋体" w:hAnsi="宋体" w:cs="宋体"/>
          <w:color w:val="000000"/>
          <w:sz w:val="24"/>
          <w:highlight w:val="none"/>
        </w:rPr>
      </w:r>
      <w:r/>
    </w:p>
    <w:p>
      <w:pPr>
        <w:pStyle w:val="957"/>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六、投标报价分项表</w:t>
      </w:r>
      <w:r>
        <w:rPr>
          <w:rFonts w:hint="eastAsia" w:ascii="宋体" w:hAnsi="宋体" w:cs="宋体"/>
          <w:color w:val="000000"/>
          <w:sz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七、技术部分</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八、招标文件中规定要求提供的证明材料和投标人认为需要提供的其他材料</w:t>
      </w:r>
      <w:r>
        <w:rPr>
          <w:rFonts w:hint="eastAsia" w:ascii="宋体" w:hAnsi="宋体" w:cs="宋体"/>
          <w:color w:val="000000"/>
          <w:sz w:val="24"/>
          <w:szCs w:val="24"/>
          <w:highlight w:val="none"/>
        </w:rPr>
      </w:r>
      <w:r/>
    </w:p>
    <w:p>
      <w:pPr>
        <w:pStyle w:val="95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九、盐城市大丰区政府采购供应商承诺书</w:t>
      </w:r>
      <w:r>
        <w:rPr>
          <w:rFonts w:hint="eastAsia" w:ascii="宋体" w:hAnsi="宋体" w:cs="宋体"/>
          <w:color w:val="000000"/>
          <w:sz w:val="24"/>
          <w:szCs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numPr>
          <w:ilvl w:val="0"/>
          <w:numId w:val="9"/>
        </w:numPr>
        <w:jc w:val="center"/>
        <w:spacing w:before="50" w:after="50"/>
        <w:shd w:val="clear" w:color="auto" w:fill="auto"/>
        <w:rPr>
          <w:rFonts w:hint="eastAsia" w:ascii="宋体" w:hAnsi="宋体" w:cs="宋体"/>
          <w:b/>
          <w:bCs/>
          <w:color w:val="000000"/>
          <w:sz w:val="32"/>
          <w:szCs w:val="32"/>
          <w:highlight w:val="none"/>
        </w:rPr>
      </w:pPr>
      <w:r>
        <w:rPr>
          <w:rFonts w:hint="eastAsia" w:ascii="宋体" w:hAnsi="宋体" w:cs="宋体"/>
          <w:color w:val="000000"/>
          <w:sz w:val="24"/>
          <w:highlight w:val="none"/>
        </w:rPr>
        <w:br w:type="page" w:clear="all"/>
      </w:r>
      <w:r>
        <w:rPr>
          <w:rFonts w:hint="eastAsia" w:ascii="宋体" w:hAnsi="宋体" w:cs="宋体"/>
          <w:b/>
          <w:bCs/>
          <w:color w:val="000000"/>
          <w:sz w:val="32"/>
          <w:szCs w:val="32"/>
          <w:highlight w:val="none"/>
        </w:rPr>
        <w:t xml:space="preserve">资信证明文件要求</w:t>
      </w:r>
      <w:r>
        <w:rPr>
          <w:rFonts w:hint="eastAsia" w:ascii="宋体" w:hAnsi="宋体" w:cs="宋体"/>
          <w:b/>
          <w:bCs/>
          <w:color w:val="000000"/>
          <w:sz w:val="32"/>
          <w:szCs w:val="32"/>
          <w:highlight w:val="none"/>
        </w:rPr>
      </w:r>
      <w:r/>
    </w:p>
    <w:p>
      <w:pPr>
        <w:pStyle w:val="1036"/>
        <w:ind w:left="0"/>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57"/>
        <w:spacing w:before="50" w:after="50"/>
        <w:shd w:val="clear" w:color="auto" w:fill="auto"/>
        <w:rPr>
          <w:rFonts w:hint="eastAsia" w:ascii="宋体" w:hAnsi="宋体" w:cs="宋体"/>
          <w:color w:val="000000"/>
          <w:sz w:val="24"/>
          <w:szCs w:val="20"/>
          <w:highlight w:val="none"/>
        </w:rPr>
      </w:pPr>
      <w:r>
        <w:rPr>
          <w:rFonts w:hint="eastAsia" w:ascii="宋体" w:hAnsi="宋体" w:cs="宋体"/>
          <w:color w:val="000000"/>
          <w:sz w:val="44"/>
          <w:highlight w:val="none"/>
        </w:rPr>
        <w:t xml:space="preserve"> </w:t>
      </w:r>
      <w:r>
        <w:rPr>
          <w:rFonts w:hint="eastAsia" w:ascii="宋体" w:hAnsi="宋体" w:cs="宋体"/>
          <w:b/>
          <w:bCs/>
          <w:color w:val="000000"/>
          <w:sz w:val="24"/>
          <w:highlight w:val="none"/>
        </w:rPr>
        <w:t xml:space="preserve">1、实质性资格证明文件目录</w:t>
      </w:r>
      <w:r>
        <w:rPr>
          <w:rFonts w:hint="eastAsia" w:ascii="宋体" w:hAnsi="宋体" w:cs="宋体"/>
          <w:color w:val="000000"/>
          <w:sz w:val="24"/>
          <w:szCs w:val="20"/>
          <w:highlight w:val="none"/>
        </w:rPr>
      </w:r>
      <w:r/>
    </w:p>
    <w:p>
      <w:pPr>
        <w:pStyle w:val="972"/>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文件1  法人或者其他组织的营业执照等证明文件，自然人的身份证明</w:t>
      </w:r>
      <w:r>
        <w:rPr>
          <w:rFonts w:hint="eastAsia" w:ascii="宋体" w:hAnsi="宋体" w:cs="宋体"/>
          <w:color w:val="000000"/>
          <w:sz w:val="24"/>
          <w:szCs w:val="24"/>
          <w:highlight w:val="none"/>
        </w:rPr>
      </w:r>
      <w:r/>
    </w:p>
    <w:p>
      <w:pPr>
        <w:pStyle w:val="972"/>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文件2  上一年度财务状况报表（成立不满一年不需提供）</w:t>
      </w:r>
      <w:r>
        <w:rPr>
          <w:rFonts w:hint="eastAsia" w:ascii="宋体" w:hAnsi="宋体" w:cs="宋体"/>
          <w:color w:val="000000"/>
          <w:sz w:val="24"/>
          <w:szCs w:val="24"/>
          <w:highlight w:val="none"/>
        </w:rPr>
      </w:r>
      <w:r/>
    </w:p>
    <w:p>
      <w:pPr>
        <w:pStyle w:val="972"/>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文件3  依法缴纳税收和社会保障资金的相关材料</w:t>
      </w:r>
      <w:r>
        <w:rPr>
          <w:rFonts w:hint="eastAsia" w:ascii="宋体" w:hAnsi="宋体" w:cs="宋体"/>
          <w:color w:val="000000"/>
          <w:sz w:val="24"/>
          <w:szCs w:val="24"/>
          <w:highlight w:val="none"/>
        </w:rPr>
      </w:r>
      <w:r/>
    </w:p>
    <w:p>
      <w:pPr>
        <w:pStyle w:val="972"/>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文件4  具备履行合同所必需的设备和专业技术能力证明材料</w:t>
      </w:r>
      <w:r>
        <w:rPr>
          <w:rFonts w:hint="eastAsia" w:ascii="宋体" w:hAnsi="宋体" w:cs="宋体"/>
          <w:color w:val="000000"/>
          <w:sz w:val="24"/>
          <w:szCs w:val="24"/>
          <w:highlight w:val="none"/>
        </w:rPr>
      </w:r>
      <w:r/>
    </w:p>
    <w:p>
      <w:pPr>
        <w:pStyle w:val="972"/>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文件5  参加政府采购活动前 3 年内在经营活动中没有重大违法记录的书面声明</w:t>
      </w:r>
      <w:r>
        <w:rPr>
          <w:rFonts w:hint="eastAsia" w:ascii="宋体" w:hAnsi="宋体" w:cs="宋体"/>
          <w:color w:val="000000"/>
          <w:sz w:val="24"/>
          <w:szCs w:val="24"/>
          <w:highlight w:val="none"/>
        </w:rPr>
      </w:r>
      <w:r/>
    </w:p>
    <w:p>
      <w:pPr>
        <w:pStyle w:val="972"/>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文件6  法人授权书</w:t>
      </w:r>
      <w:r>
        <w:rPr>
          <w:rFonts w:hint="eastAsia" w:ascii="宋体" w:hAnsi="宋体" w:cs="宋体"/>
          <w:color w:val="000000"/>
          <w:sz w:val="24"/>
          <w:szCs w:val="24"/>
          <w:highlight w:val="none"/>
        </w:rPr>
      </w:r>
      <w:r/>
    </w:p>
    <w:p>
      <w:pPr>
        <w:pStyle w:val="972"/>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文件7  招标文件中规定要求提供的证明材料和投标人认为需要提供的其他材料</w:t>
      </w:r>
      <w:r>
        <w:rPr>
          <w:rFonts w:hint="eastAsia" w:ascii="宋体" w:hAnsi="宋体" w:cs="宋体"/>
          <w:color w:val="000000"/>
          <w:sz w:val="24"/>
          <w:szCs w:val="24"/>
          <w:highlight w:val="none"/>
        </w:rPr>
      </w:r>
      <w:r/>
    </w:p>
    <w:p>
      <w:pPr>
        <w:pStyle w:val="957"/>
        <w:jc w:val="left"/>
        <w:spacing w:before="50" w:after="145"/>
        <w:shd w:val="clear" w:color="auto" w:fill="auto"/>
        <w:rPr>
          <w:rFonts w:hint="eastAsia" w:ascii="宋体" w:hAnsi="宋体" w:cs="宋体"/>
          <w:b/>
          <w:i/>
          <w:color w:val="000000"/>
          <w:sz w:val="24"/>
          <w:highlight w:val="none"/>
          <w:u w:val="single"/>
        </w:rPr>
      </w:pPr>
      <w:r>
        <w:rPr>
          <w:rFonts w:hint="eastAsia" w:ascii="宋体" w:hAnsi="宋体" w:cs="宋体"/>
          <w:b/>
          <w:i/>
          <w:color w:val="000000"/>
          <w:sz w:val="24"/>
          <w:highlight w:val="none"/>
          <w:u w:val="singl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2"/>
        <w:ind w:firstLine="0"/>
        <w:spacing w:line="0" w:lineRule="atLeas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0"/>
        <w:jc w:val="center"/>
        <w:shd w:val="clear" w:color="auto" w:fill="auto"/>
        <w:rPr>
          <w:rFonts w:hint="eastAsia" w:ascii="宋体" w:hAnsi="宋体" w:cs="宋体"/>
          <w:b w:val="0"/>
          <w:bCs w:val="0"/>
          <w:color w:val="000000"/>
          <w:sz w:val="30"/>
          <w:szCs w:val="30"/>
          <w:highlight w:val="none"/>
        </w:rPr>
      </w:pPr>
      <w:r>
        <w:rPr>
          <w:rFonts w:hint="eastAsia" w:ascii="宋体" w:hAnsi="宋体" w:cs="宋体"/>
          <w:color w:val="000000"/>
          <w:sz w:val="24"/>
          <w:szCs w:val="24"/>
          <w:highlight w:val="none"/>
        </w:rPr>
        <w:t xml:space="preserve">具备履行合同所必需的设备和专业技术能力的书面声明</w:t>
      </w:r>
      <w:r>
        <w:rPr>
          <w:rFonts w:hint="eastAsia" w:ascii="宋体" w:hAnsi="宋体" w:cs="宋体"/>
          <w:b w:val="0"/>
          <w:bCs w:val="0"/>
          <w:color w:val="000000"/>
          <w:sz w:val="30"/>
          <w:szCs w:val="30"/>
          <w:highlight w:val="none"/>
        </w:rPr>
      </w:r>
      <w:r/>
    </w:p>
    <w:p>
      <w:pPr>
        <w:pStyle w:val="957"/>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cs="宋体"/>
          <w:bCs/>
          <w:color w:val="000000"/>
          <w:sz w:val="24"/>
          <w:highlight w:val="none"/>
        </w:rPr>
      </w:r>
      <w:r/>
    </w:p>
    <w:p>
      <w:pPr>
        <w:pStyle w:val="957"/>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57"/>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57"/>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7"/>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7"/>
        <w:ind w:firstLine="492"/>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7"/>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供应商名称（公章）：</w:t>
      </w:r>
      <w:r>
        <w:rPr>
          <w:rFonts w:hint="eastAsia" w:ascii="宋体" w:hAnsi="宋体" w:cs="宋体"/>
          <w:bCs/>
          <w:color w:val="000000"/>
          <w:sz w:val="24"/>
          <w:highlight w:val="none"/>
        </w:rPr>
      </w:r>
      <w:r/>
    </w:p>
    <w:p>
      <w:pPr>
        <w:pStyle w:val="957"/>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57"/>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______</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957"/>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60"/>
        <w:jc w:val="center"/>
        <w:shd w:val="clear" w:color="auto" w:fill="auto"/>
        <w:rPr>
          <w:rFonts w:hint="eastAsia" w:ascii="宋体" w:hAnsi="宋体" w:cs="宋体"/>
          <w:color w:val="000000"/>
          <w:sz w:val="24"/>
          <w:szCs w:val="24"/>
          <w:highlight w:val="none"/>
        </w:rPr>
      </w:pPr>
      <w:r>
        <w:rPr>
          <w:rFonts w:hint="eastAsia" w:ascii="宋体" w:hAnsi="宋体" w:cs="宋体"/>
          <w:color w:val="000000"/>
          <w:highlight w:val="none"/>
        </w:rPr>
        <w:br w:type="page" w:clear="all"/>
      </w:r>
      <w:r>
        <w:rPr>
          <w:rFonts w:hint="eastAsia" w:ascii="宋体" w:hAnsi="宋体" w:cs="宋体"/>
          <w:color w:val="000000"/>
          <w:sz w:val="24"/>
          <w:szCs w:val="24"/>
          <w:highlight w:val="none"/>
        </w:rPr>
        <w:t xml:space="preserve">参加政府采购活动前 3 年内在经营活动中没有重大违法记录的书面声明</w:t>
      </w:r>
      <w:r>
        <w:rPr>
          <w:rFonts w:hint="eastAsia" w:ascii="宋体" w:hAnsi="宋体" w:cs="宋体"/>
          <w:color w:val="000000"/>
          <w:sz w:val="24"/>
          <w:szCs w:val="24"/>
          <w:highlight w:val="none"/>
        </w:rPr>
      </w:r>
      <w:r/>
    </w:p>
    <w:p>
      <w:pPr>
        <w:pStyle w:val="957"/>
        <w:spacing w:line="460" w:lineRule="exact"/>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957"/>
        <w:spacing w:line="460" w:lineRule="exact"/>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声  明</w:t>
      </w:r>
      <w:r>
        <w:rPr>
          <w:rFonts w:hint="eastAsia" w:ascii="宋体" w:hAnsi="宋体" w:cs="宋体"/>
          <w:b/>
          <w:bCs/>
          <w:color w:val="000000"/>
          <w:sz w:val="44"/>
          <w:szCs w:val="44"/>
          <w:highlight w:val="none"/>
        </w:rPr>
      </w:r>
      <w:r/>
    </w:p>
    <w:p>
      <w:pPr>
        <w:pStyle w:val="957"/>
        <w:spacing w:line="460" w:lineRule="exact"/>
        <w:shd w:val="clear" w:color="auto" w:fill="auto"/>
        <w:rPr>
          <w:rFonts w:hint="eastAsia" w:ascii="宋体" w:hAnsi="宋体" w:cs="宋体"/>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Cs/>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 w:val="24"/>
          <w:highlight w:val="none"/>
        </w:rPr>
      </w:r>
      <w:r/>
    </w:p>
    <w:p>
      <w:pPr>
        <w:pStyle w:val="957"/>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供应商名称（公章）：</w:t>
      </w:r>
      <w:r>
        <w:rPr>
          <w:rFonts w:hint="eastAsia" w:ascii="宋体" w:hAnsi="宋体" w:cs="宋体"/>
          <w:bCs/>
          <w:color w:val="000000"/>
          <w:sz w:val="24"/>
          <w:highlight w:val="none"/>
        </w:rPr>
      </w:r>
      <w:r/>
    </w:p>
    <w:p>
      <w:pPr>
        <w:pStyle w:val="957"/>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授权代表签字：</w:t>
      </w:r>
      <w:r>
        <w:rPr>
          <w:rFonts w:hint="eastAsia" w:ascii="宋体" w:hAnsi="宋体" w:cs="宋体"/>
          <w:bCs/>
          <w:color w:val="000000"/>
          <w:sz w:val="24"/>
          <w:highlight w:val="none"/>
          <w:u w:val="single"/>
        </w:rPr>
        <w:t xml:space="preserve">_______________________</w:t>
      </w:r>
      <w:r>
        <w:rPr>
          <w:rFonts w:hint="eastAsia" w:ascii="宋体" w:hAnsi="宋体" w:cs="宋体"/>
          <w:bCs/>
          <w:color w:val="000000"/>
          <w:sz w:val="24"/>
          <w:highlight w:val="none"/>
        </w:rPr>
      </w:r>
      <w:r/>
    </w:p>
    <w:p>
      <w:pPr>
        <w:pStyle w:val="957"/>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______</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957"/>
        <w:spacing w:line="46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60"/>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法人授权书</w:t>
      </w:r>
      <w:r>
        <w:rPr>
          <w:rFonts w:hint="eastAsia" w:ascii="宋体" w:hAnsi="宋体" w:cs="宋体"/>
          <w:color w:val="000000"/>
          <w:sz w:val="24"/>
          <w:szCs w:val="24"/>
          <w:highlight w:val="none"/>
        </w:rPr>
      </w:r>
      <w:r/>
    </w:p>
    <w:p>
      <w:pPr>
        <w:pStyle w:val="1051"/>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本授权书声明：____________（供应商名称）授权________________（被授权人的姓名）为我方就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号项目采购活动的合法代理人，以本公司名义全权处理一切与该项目采购有关的事务。</w:t>
      </w:r>
      <w:r>
        <w:rPr>
          <w:rFonts w:hint="eastAsia" w:ascii="宋体" w:hAnsi="宋体" w:cs="宋体"/>
          <w:color w:val="000000"/>
          <w:sz w:val="24"/>
          <w:szCs w:val="24"/>
          <w:highlight w:val="none"/>
        </w:rPr>
      </w:r>
      <w:r/>
    </w:p>
    <w:p>
      <w:pPr>
        <w:pStyle w:val="1051"/>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hint="eastAsia" w:ascii="宋体" w:hAnsi="宋体" w:cs="宋体"/>
          <w:color w:val="000000"/>
          <w:sz w:val="24"/>
          <w:szCs w:val="24"/>
          <w:highlight w:val="none"/>
        </w:rPr>
      </w:r>
      <w:r/>
    </w:p>
    <w:p>
      <w:pPr>
        <w:pStyle w:val="1051"/>
        <w:ind w:firstLine="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代理人（被授权人）：_______________________</w:t>
      </w:r>
      <w:r>
        <w:rPr>
          <w:rFonts w:hint="eastAsia" w:ascii="宋体" w:hAnsi="宋体" w:cs="宋体"/>
          <w:color w:val="000000"/>
          <w:sz w:val="24"/>
          <w:szCs w:val="24"/>
          <w:highlight w:val="none"/>
        </w:rPr>
      </w:r>
      <w:r/>
    </w:p>
    <w:p>
      <w:pPr>
        <w:pStyle w:val="1051"/>
        <w:ind w:firstLine="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051"/>
        <w:ind w:firstLine="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单位名称：_____________________________________</w:t>
      </w:r>
      <w:r>
        <w:rPr>
          <w:rFonts w:hint="eastAsia" w:ascii="宋体" w:hAnsi="宋体" w:cs="宋体"/>
          <w:color w:val="000000"/>
          <w:sz w:val="24"/>
          <w:szCs w:val="24"/>
          <w:highlight w:val="none"/>
        </w:rPr>
      </w:r>
      <w:r/>
    </w:p>
    <w:p>
      <w:pPr>
        <w:pStyle w:val="1051"/>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1"/>
        <w:ind w:firstLine="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授权单位盖章：_________________________________</w:t>
      </w:r>
      <w:r>
        <w:rPr>
          <w:rFonts w:hint="eastAsia" w:ascii="宋体" w:hAnsi="宋体" w:cs="宋体"/>
          <w:color w:val="000000"/>
          <w:sz w:val="24"/>
          <w:szCs w:val="24"/>
          <w:highlight w:val="none"/>
        </w:rPr>
      </w:r>
      <w:r/>
    </w:p>
    <w:p>
      <w:pPr>
        <w:pStyle w:val="1051"/>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单位名称：_____________________________________</w:t>
      </w:r>
      <w:r>
        <w:rPr>
          <w:rFonts w:hint="eastAsia" w:ascii="宋体" w:hAnsi="宋体" w:cs="宋体"/>
          <w:color w:val="000000"/>
          <w:sz w:val="24"/>
          <w:szCs w:val="24"/>
          <w:highlight w:val="none"/>
        </w:rPr>
      </w:r>
      <w:r/>
    </w:p>
    <w:p>
      <w:pPr>
        <w:pStyle w:val="1051"/>
        <w:ind w:firstLine="480"/>
        <w:shd w:val="clear" w:color="auto" w:fill="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51"/>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bookmarkStart w:id="178" w:name="_格式3__银行出具的资信证明"/>
      <w:r/>
      <w:bookmarkEnd w:id="178"/>
      <w:r/>
      <w:bookmarkStart w:id="179" w:name="_Hlt26671380"/>
      <w:r/>
      <w:bookmarkEnd w:id="179"/>
      <w:r/>
      <w:bookmarkStart w:id="180" w:name="_Hlt26955070"/>
      <w:r/>
      <w:bookmarkEnd w:id="180"/>
      <w:r>
        <w:rPr>
          <w:rFonts w:hint="eastAsia" w:ascii="宋体" w:hAnsi="宋体" w:cs="宋体"/>
          <w:color w:val="000000"/>
          <w:sz w:val="24"/>
          <w:szCs w:val="24"/>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rFonts w:hint="eastAsia"/>
          <w:color w:val="000000"/>
          <w:highlight w:val="none"/>
        </w:rPr>
      </w:pPr>
      <w:r>
        <w:rPr>
          <w:rFonts w:hint="eastAsia"/>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972"/>
        <w:shd w:val="clear" w:color="auto" w:fill="auto"/>
        <w:rPr>
          <w:rFonts w:ascii="宋体" w:hAnsi="宋体" w:cs="宋体"/>
          <w:color w:val="000000"/>
          <w:highlight w:val="none"/>
        </w:rPr>
      </w:pPr>
      <w:r>
        <w:rPr>
          <w:rFonts w:ascii="宋体" w:hAnsi="宋体" w:cs="宋体"/>
          <w:color w:val="000000"/>
          <w:highlight w:val="none"/>
        </w:rPr>
      </w:r>
      <w:r/>
    </w:p>
    <w:p>
      <w:pPr>
        <w:pStyle w:val="972"/>
        <w:shd w:val="clear" w:color="auto" w:fill="auto"/>
        <w:rPr>
          <w:rFonts w:ascii="宋体" w:hAnsi="宋体" w:cs="宋体"/>
          <w:color w:val="000000"/>
          <w:highlight w:val="none"/>
        </w:rPr>
      </w:pPr>
      <w:r>
        <w:rPr>
          <w:rFonts w:ascii="宋体" w:hAnsi="宋体" w:cs="宋体"/>
          <w:color w:val="000000"/>
          <w:highlight w:val="none"/>
        </w:rPr>
      </w:r>
      <w:r/>
    </w:p>
    <w:p>
      <w:pPr>
        <w:pStyle w:val="972"/>
        <w:shd w:val="clear" w:color="auto" w:fill="auto"/>
        <w:rPr>
          <w:rFonts w:ascii="宋体" w:hAnsi="宋体" w:cs="宋体"/>
          <w:color w:val="000000"/>
          <w:highlight w:val="none"/>
        </w:rPr>
      </w:pPr>
      <w:r>
        <w:rPr>
          <w:rFonts w:ascii="宋体" w:hAnsi="宋体" w:cs="宋体"/>
          <w:color w:val="000000"/>
          <w:highlight w:val="none"/>
        </w:rPr>
      </w:r>
      <w:r/>
    </w:p>
    <w:p>
      <w:pPr>
        <w:pStyle w:val="972"/>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1023"/>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12"/>
        <w:ind w:firstLine="321"/>
        <w:jc w:val="center"/>
        <w:spacing w:beforeAutospacing="0" w:afterAutospacing="0" w:line="360" w:lineRule="auto"/>
        <w:rPr>
          <w:rFonts w:hint="eastAsia" w:ascii="宋体" w:hAnsi="宋体" w:eastAsia="宋体" w:cs="宋体"/>
          <w:b/>
          <w:bCs/>
          <w:color w:val="000000"/>
          <w:sz w:val="44"/>
          <w:szCs w:val="4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小微企业声明函（货物）（分包号：**）</w:t>
      </w:r>
      <w:r>
        <w:rPr>
          <w:rFonts w:hint="eastAsia" w:ascii="宋体" w:hAnsi="宋体" w:eastAsia="宋体" w:cs="宋体"/>
          <w:b/>
          <w:bCs/>
          <w:color w:val="000000"/>
          <w:sz w:val="44"/>
          <w:szCs w:val="44"/>
          <w:highlight w:val="none"/>
          <w:lang w:val="en-US" w:eastAsia="zh-CN" w:bidi="ar-SA"/>
        </w:rPr>
      </w:r>
      <w:r/>
    </w:p>
    <w:p>
      <w:pPr>
        <w:pStyle w:val="1012"/>
        <w:ind w:right="0" w:firstLine="480"/>
        <w:jc w:val="both"/>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1012"/>
        <w:ind w:right="0" w:firstLine="480"/>
        <w:jc w:val="both"/>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1012"/>
        <w:ind w:right="0" w:firstLine="480"/>
        <w:jc w:val="both"/>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1012"/>
        <w:ind w:right="0" w:firstLine="480"/>
        <w:jc w:val="both"/>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w:t>
      </w:r>
      <w:r/>
    </w:p>
    <w:p>
      <w:pPr>
        <w:pStyle w:val="1012"/>
        <w:ind w:right="0" w:firstLine="480"/>
        <w:jc w:val="both"/>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1012"/>
        <w:ind w:right="0" w:firstLine="480"/>
        <w:jc w:val="both"/>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本企业对上述声明内容的真实性负责。如有虚假，将依法承担相应责任</w:t>
      </w:r>
      <w:r/>
    </w:p>
    <w:p>
      <w:pPr>
        <w:pStyle w:val="1012"/>
        <w:ind w:right="0" w:firstLine="480"/>
        <w:jc w:val="both"/>
        <w:keepLines w:val="0"/>
        <w:keepNext w:val="0"/>
        <w:pageBreakBefore w:val="0"/>
        <w:spacing w:before="0" w:beforeAutospacing="0" w:after="0" w:afterAutospacing="0" w:line="500" w:lineRule="exact"/>
        <w:widowControl/>
      </w:pPr>
      <w:r>
        <w:t xml:space="preserve"> </w:t>
      </w:r>
      <w:r/>
    </w:p>
    <w:p>
      <w:pPr>
        <w:pStyle w:val="1012"/>
        <w:ind w:right="0" w:firstLine="480"/>
        <w:jc w:val="right"/>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企业名称（加盖CA电子公章）：</w:t>
      </w:r>
      <w:r/>
    </w:p>
    <w:p>
      <w:pPr>
        <w:pStyle w:val="1012"/>
        <w:ind w:right="0" w:firstLine="480"/>
        <w:jc w:val="right"/>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日  期：</w:t>
      </w:r>
      <w:r/>
    </w:p>
    <w:p>
      <w:pPr>
        <w:pStyle w:val="1012"/>
        <w:ind w:firstLine="482"/>
        <w:jc w:val="both"/>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1012"/>
        <w:ind w:firstLine="482"/>
        <w:jc w:val="both"/>
        <w:keepLines w:val="0"/>
        <w:keepNext w:val="0"/>
        <w:pageBreakBefore w:val="0"/>
        <w:spacing w:before="0" w:beforeAutospacing="0" w:after="0" w:afterAutospacing="0" w:line="500" w:lineRule="exact"/>
        <w:widowControl/>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957"/>
        <w:jc w:val="center"/>
        <w:spacing w:before="100" w:beforeAutospacing="1" w:after="100" w:afterAutospacing="1" w:line="360" w:lineRule="auto"/>
        <w:shd w:val="clear" w:color="auto" w:fill="auto"/>
        <w:widowControl/>
        <w:rPr>
          <w:rFonts w:hint="eastAsia" w:ascii="宋体" w:hAnsi="宋体" w:cs="宋体"/>
          <w:color w:val="000000"/>
          <w:sz w:val="32"/>
          <w:szCs w:val="32"/>
          <w:highlight w:val="none"/>
        </w:rPr>
      </w:pPr>
      <w:r>
        <w:rPr>
          <w:rFonts w:hint="eastAsia" w:ascii="黑体" w:hAnsi="宋体" w:eastAsia="黑体" w:cs="黑体"/>
          <w:b/>
          <w:color w:val="000000"/>
          <w:sz w:val="32"/>
          <w:szCs w:val="32"/>
        </w:rPr>
        <w:br w:type="page" w:clear="all"/>
      </w:r>
      <w:r>
        <w:rPr>
          <w:rFonts w:hint="eastAsia" w:ascii="宋体" w:hAnsi="宋体" w:cs="宋体"/>
          <w:color w:val="000000"/>
          <w:sz w:val="32"/>
          <w:szCs w:val="32"/>
          <w:highlight w:val="none"/>
        </w:rPr>
        <w:t xml:space="preserve">二、资格性审查响应对照表</w:t>
      </w:r>
      <w:r>
        <w:rPr>
          <w:rFonts w:hint="eastAsia" w:ascii="宋体" w:hAnsi="宋体" w:cs="宋体"/>
          <w:color w:val="000000"/>
          <w:sz w:val="32"/>
          <w:szCs w:val="32"/>
          <w:highlight w:val="none"/>
        </w:rPr>
      </w:r>
      <w:r/>
    </w:p>
    <w:p>
      <w:pPr>
        <w:pStyle w:val="957"/>
        <w:ind w:firstLine="309"/>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531"/>
      </w:tblGrid>
      <w:tr>
        <w:trPr>
          <w:trHeight w:val="882"/>
        </w:trPr>
        <w:tc>
          <w:tcPr>
            <w:tcW w:w="646" w:type="dxa"/>
            <w:vAlign w:val="center"/>
            <w:textDirection w:val="lrTb"/>
            <w:noWrap w:val="false"/>
          </w:tcPr>
          <w:p>
            <w:pPr>
              <w:pStyle w:val="957"/>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5447" w:type="dxa"/>
            <w:vAlign w:val="center"/>
            <w:textDirection w:val="lrTb"/>
            <w:noWrap w:val="false"/>
          </w:tcPr>
          <w:p>
            <w:pPr>
              <w:pStyle w:val="957"/>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资格性审查响应内容</w:t>
            </w:r>
            <w:r>
              <w:rPr>
                <w:rFonts w:hint="eastAsia" w:ascii="宋体" w:hAnsi="宋体" w:cs="宋体"/>
                <w:b/>
                <w:color w:val="000000"/>
                <w:highlight w:val="none"/>
              </w:rPr>
            </w:r>
            <w:r/>
          </w:p>
        </w:tc>
        <w:tc>
          <w:tcPr>
            <w:tcW w:w="2531" w:type="dxa"/>
            <w:vAlign w:val="center"/>
            <w:textDirection w:val="lrTb"/>
            <w:noWrap w:val="false"/>
          </w:tcPr>
          <w:p>
            <w:pPr>
              <w:pStyle w:val="957"/>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是否响应</w:t>
            </w:r>
            <w:r>
              <w:rPr>
                <w:rFonts w:hint="eastAsia" w:ascii="宋体" w:hAnsi="宋体" w:cs="宋体"/>
                <w:b/>
                <w:color w:val="000000"/>
                <w:highlight w:val="none"/>
              </w:rPr>
            </w:r>
            <w:r/>
          </w:p>
          <w:p>
            <w:pPr>
              <w:pStyle w:val="957"/>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（填是或者否）</w:t>
            </w:r>
            <w:r>
              <w:rPr>
                <w:rFonts w:hint="eastAsia" w:ascii="宋体" w:hAnsi="宋体" w:cs="宋体"/>
                <w:b/>
                <w:color w:val="000000"/>
                <w:highlight w:val="none"/>
              </w:rPr>
            </w:r>
            <w:r/>
          </w:p>
        </w:tc>
      </w:tr>
      <w:tr>
        <w:trPr>
          <w:trHeight w:val="585"/>
        </w:trPr>
        <w:tc>
          <w:tcPr>
            <w:tcW w:w="646" w:type="dxa"/>
            <w:vAlign w:val="center"/>
            <w:textDirection w:val="lrTb"/>
            <w:noWrap w:val="false"/>
          </w:tcPr>
          <w:p>
            <w:pPr>
              <w:pStyle w:val="957"/>
              <w:jc w:val="center"/>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rPr>
            </w:r>
            <w:r/>
          </w:p>
        </w:tc>
        <w:tc>
          <w:tcPr>
            <w:tcW w:w="5447" w:type="dxa"/>
            <w:vAlign w:val="center"/>
            <w:textDirection w:val="lrTb"/>
            <w:noWrap w:val="false"/>
          </w:tcPr>
          <w:p>
            <w:pPr>
              <w:pStyle w:val="957"/>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957"/>
              <w:shd w:val="clear" w:color="auto" w:fill="auto"/>
              <w:rPr>
                <w:rFonts w:hint="eastAsia" w:ascii="宋体" w:hAnsi="宋体" w:cs="宋体"/>
                <w:b/>
                <w:color w:val="000000"/>
                <w:highlight w:val="none"/>
              </w:rPr>
            </w:pPr>
            <w:r>
              <w:rPr>
                <w:rFonts w:hint="eastAsia" w:ascii="宋体" w:hAnsi="宋体" w:cs="宋体"/>
                <w:b/>
                <w:color w:val="000000"/>
                <w:highlight w:val="none"/>
              </w:rPr>
            </w:r>
            <w:r/>
          </w:p>
        </w:tc>
      </w:tr>
      <w:tr>
        <w:trPr>
          <w:trHeight w:val="585"/>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5447" w:type="dxa"/>
            <w:vAlign w:val="center"/>
            <w:textDirection w:val="lrTb"/>
            <w:noWrap w:val="false"/>
          </w:tcPr>
          <w:p>
            <w:pPr>
              <w:pStyle w:val="957"/>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5447" w:type="dxa"/>
            <w:vAlign w:val="center"/>
            <w:textDirection w:val="lrTb"/>
            <w:noWrap w:val="false"/>
          </w:tcPr>
          <w:p>
            <w:pPr>
              <w:pStyle w:val="957"/>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5447" w:type="dxa"/>
            <w:vAlign w:val="center"/>
            <w:textDirection w:val="lrTb"/>
            <w:noWrap w:val="false"/>
          </w:tcPr>
          <w:p>
            <w:pPr>
              <w:pStyle w:val="957"/>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5447" w:type="dxa"/>
            <w:vAlign w:val="center"/>
            <w:textDirection w:val="lrTb"/>
            <w:noWrap w:val="false"/>
          </w:tcPr>
          <w:p>
            <w:pPr>
              <w:pStyle w:val="957"/>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585"/>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5447" w:type="dxa"/>
            <w:vAlign w:val="center"/>
            <w:textDirection w:val="lrTb"/>
            <w:noWrap w:val="false"/>
          </w:tcPr>
          <w:p>
            <w:pPr>
              <w:pStyle w:val="957"/>
              <w:jc w:val="center"/>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531"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bl>
    <w:p>
      <w:pPr>
        <w:pStyle w:val="957"/>
        <w:ind w:firstLine="480"/>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spacing w:before="50" w:after="50"/>
        <w:shd w:val="clear" w:color="auto" w:fill="auto"/>
        <w:rPr>
          <w:rFonts w:hint="eastAsia" w:ascii="宋体" w:hAnsi="宋体" w:cs="宋体"/>
          <w:color w:val="000000"/>
          <w:sz w:val="44"/>
          <w:highlight w:val="none"/>
        </w:rPr>
      </w:pPr>
      <w:r/>
      <w:bookmarkEnd w:id="175"/>
      <w:r/>
      <w:bookmarkEnd w:id="176"/>
      <w:r/>
      <w:bookmarkEnd w:id="177"/>
      <w:r>
        <w:rPr>
          <w:rFonts w:hint="eastAsia" w:ascii="宋体" w:hAnsi="宋体" w:cs="宋体"/>
          <w:color w:val="000000"/>
          <w:sz w:val="44"/>
          <w:highlight w:val="none"/>
        </w:rPr>
        <w:t xml:space="preserve"> </w:t>
      </w:r>
      <w:r>
        <w:rPr>
          <w:rFonts w:hint="eastAsia" w:ascii="宋体" w:hAnsi="宋体" w:cs="宋体"/>
          <w:color w:val="000000"/>
          <w:sz w:val="44"/>
          <w:highlight w:val="none"/>
        </w:rPr>
      </w:r>
      <w:r/>
    </w:p>
    <w:p>
      <w:pPr>
        <w:pStyle w:val="957"/>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957"/>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957"/>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957"/>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1023"/>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23"/>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23"/>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23"/>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23"/>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23"/>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023"/>
        <w:shd w:val="clear" w:color="auto" w:fill="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957"/>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三、符合性检查响应对照表</w:t>
      </w:r>
      <w:r>
        <w:rPr>
          <w:rFonts w:hint="eastAsia" w:ascii="宋体" w:hAnsi="宋体" w:cs="宋体"/>
          <w:color w:val="000000"/>
          <w:sz w:val="32"/>
          <w:szCs w:val="32"/>
          <w:highlight w:val="none"/>
        </w:rPr>
      </w:r>
      <w:r/>
    </w:p>
    <w:p>
      <w:pPr>
        <w:pStyle w:val="957"/>
        <w:ind w:firstLine="309"/>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673"/>
      </w:tblGrid>
      <w:tr>
        <w:trPr>
          <w:trHeight w:val="998"/>
        </w:trPr>
        <w:tc>
          <w:tcPr>
            <w:tcW w:w="646" w:type="dxa"/>
            <w:vAlign w:val="center"/>
            <w:textDirection w:val="lrTb"/>
            <w:noWrap w:val="false"/>
          </w:tcPr>
          <w:p>
            <w:pPr>
              <w:pStyle w:val="957"/>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5447" w:type="dxa"/>
            <w:vAlign w:val="center"/>
            <w:textDirection w:val="lrTb"/>
            <w:noWrap w:val="false"/>
          </w:tcPr>
          <w:p>
            <w:pPr>
              <w:pStyle w:val="957"/>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符合性检查响应内容</w:t>
            </w:r>
            <w:r>
              <w:rPr>
                <w:rFonts w:hint="eastAsia" w:ascii="宋体" w:hAnsi="宋体" w:cs="宋体"/>
                <w:b/>
                <w:color w:val="000000"/>
                <w:highlight w:val="none"/>
              </w:rPr>
            </w:r>
            <w:r/>
          </w:p>
        </w:tc>
        <w:tc>
          <w:tcPr>
            <w:tcW w:w="2673" w:type="dxa"/>
            <w:vAlign w:val="center"/>
            <w:textDirection w:val="lrTb"/>
            <w:noWrap w:val="false"/>
          </w:tcPr>
          <w:p>
            <w:pPr>
              <w:pStyle w:val="957"/>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是否响应</w:t>
            </w:r>
            <w:r>
              <w:rPr>
                <w:rFonts w:hint="eastAsia" w:ascii="宋体" w:hAnsi="宋体" w:cs="宋体"/>
                <w:b/>
                <w:color w:val="000000"/>
                <w:highlight w:val="none"/>
              </w:rPr>
            </w:r>
            <w:r/>
          </w:p>
          <w:p>
            <w:pPr>
              <w:pStyle w:val="957"/>
              <w:jc w:val="center"/>
              <w:spacing w:line="240" w:lineRule="atLeas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（填是或者否）</w:t>
            </w:r>
            <w:r>
              <w:rPr>
                <w:rFonts w:hint="eastAsia" w:ascii="宋体" w:hAnsi="宋体" w:cs="宋体"/>
                <w:b/>
                <w:color w:val="000000"/>
                <w:highlight w:val="none"/>
              </w:rPr>
            </w:r>
            <w:r/>
          </w:p>
        </w:tc>
      </w:tr>
      <w:tr>
        <w:trPr>
          <w:trHeight w:val="998"/>
        </w:trPr>
        <w:tc>
          <w:tcPr>
            <w:tcW w:w="646" w:type="dxa"/>
            <w:vAlign w:val="center"/>
            <w:textDirection w:val="lrTb"/>
            <w:noWrap w:val="false"/>
          </w:tcPr>
          <w:p>
            <w:pPr>
              <w:pStyle w:val="957"/>
              <w:jc w:val="center"/>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rPr>
            </w:r>
            <w:r/>
          </w:p>
        </w:tc>
        <w:tc>
          <w:tcPr>
            <w:tcW w:w="5447" w:type="dxa"/>
            <w:vAlign w:val="center"/>
            <w:textDirection w:val="lrTb"/>
            <w:noWrap w:val="false"/>
          </w:tcPr>
          <w:p>
            <w:pPr>
              <w:pStyle w:val="957"/>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957"/>
              <w:shd w:val="clear" w:color="auto" w:fill="auto"/>
              <w:rPr>
                <w:rFonts w:hint="eastAsia" w:ascii="宋体" w:hAnsi="宋体" w:cs="宋体"/>
                <w:b/>
                <w:color w:val="000000"/>
                <w:highlight w:val="none"/>
              </w:rPr>
            </w:pPr>
            <w:r>
              <w:rPr>
                <w:rFonts w:hint="eastAsia" w:ascii="宋体" w:hAnsi="宋体" w:cs="宋体"/>
                <w:b/>
                <w:color w:val="000000"/>
                <w:highlight w:val="none"/>
              </w:rPr>
            </w:r>
            <w:r/>
          </w:p>
        </w:tc>
      </w:tr>
      <w:tr>
        <w:trPr>
          <w:trHeight w:val="998"/>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5447" w:type="dxa"/>
            <w:vAlign w:val="center"/>
            <w:textDirection w:val="lrTb"/>
            <w:noWrap w:val="false"/>
          </w:tcPr>
          <w:p>
            <w:pPr>
              <w:pStyle w:val="957"/>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5447" w:type="dxa"/>
            <w:vAlign w:val="center"/>
            <w:textDirection w:val="lrTb"/>
            <w:noWrap w:val="false"/>
          </w:tcPr>
          <w:p>
            <w:pPr>
              <w:pStyle w:val="957"/>
              <w:spacing w:line="480" w:lineRule="exac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5447" w:type="dxa"/>
            <w:vAlign w:val="center"/>
            <w:textDirection w:val="lrTb"/>
            <w:noWrap w:val="false"/>
          </w:tcPr>
          <w:p>
            <w:pPr>
              <w:pStyle w:val="957"/>
              <w:spacing w:line="360" w:lineRule="auto"/>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5447" w:type="dxa"/>
            <w:vAlign w:val="center"/>
            <w:textDirection w:val="lrTb"/>
            <w:noWrap w:val="false"/>
          </w:tcPr>
          <w:p>
            <w:pPr>
              <w:pStyle w:val="957"/>
              <w:spacing w:line="590" w:lineRule="atLeas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5447" w:type="dxa"/>
            <w:vAlign w:val="center"/>
            <w:textDirection w:val="lrTb"/>
            <w:noWrap w:val="false"/>
          </w:tcPr>
          <w:p>
            <w:pPr>
              <w:pStyle w:val="957"/>
              <w:spacing w:line="590" w:lineRule="atLeas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tc>
        <w:tc>
          <w:tcPr>
            <w:tcW w:w="2673"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98"/>
        </w:trPr>
        <w:tc>
          <w:tcPr>
            <w:tcW w:w="646" w:type="dxa"/>
            <w:vAlign w:val="center"/>
            <w:textDirection w:val="lrTb"/>
            <w:noWrap w:val="false"/>
          </w:tcPr>
          <w:p>
            <w:pPr>
              <w:pStyle w:val="95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5447" w:type="dxa"/>
            <w:vAlign w:val="center"/>
            <w:textDirection w:val="lrTb"/>
            <w:noWrap w:val="false"/>
          </w:tcPr>
          <w:p>
            <w:pPr>
              <w:pStyle w:val="957"/>
              <w:spacing w:line="590" w:lineRule="atLeast"/>
              <w:shd w:val="clear" w:color="auto" w:fill="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招标文件中的其他实质性要求</w:t>
            </w:r>
            <w:r>
              <w:rPr>
                <w:rFonts w:hint="eastAsia" w:ascii="宋体" w:hAnsi="宋体" w:cs="宋体"/>
                <w:iCs/>
                <w:color w:val="000000"/>
                <w:sz w:val="24"/>
                <w:szCs w:val="24"/>
                <w:highlight w:val="none"/>
              </w:rPr>
            </w:r>
            <w:r/>
          </w:p>
        </w:tc>
        <w:tc>
          <w:tcPr>
            <w:tcW w:w="2673" w:type="dxa"/>
            <w:vAlign w:val="center"/>
            <w:textDirection w:val="lrTb"/>
            <w:noWrap w:val="false"/>
          </w:tcPr>
          <w:p>
            <w:pPr>
              <w:pStyle w:val="957"/>
              <w:shd w:val="clear" w:color="auto" w:fill="auto"/>
              <w:rPr>
                <w:rFonts w:hint="eastAsia" w:ascii="宋体" w:hAnsi="宋体" w:cs="宋体"/>
                <w:color w:val="000000"/>
                <w:highlight w:val="none"/>
              </w:rPr>
            </w:pPr>
            <w:r>
              <w:rPr>
                <w:rFonts w:hint="eastAsia" w:ascii="宋体" w:hAnsi="宋体" w:cs="宋体"/>
                <w:color w:val="000000"/>
                <w:highlight w:val="none"/>
              </w:rPr>
            </w:r>
            <w:r/>
          </w:p>
        </w:tc>
      </w:tr>
    </w:tbl>
    <w:p>
      <w:pPr>
        <w:pStyle w:val="957"/>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957"/>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957"/>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957"/>
        <w:spacing w:before="50" w:after="5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957"/>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w:t>
      </w:r>
      <w:bookmarkStart w:id="181" w:name="_Toc120614284"/>
      <w:r>
        <w:rPr>
          <w:rFonts w:hint="eastAsia" w:ascii="宋体" w:hAnsi="宋体" w:cs="宋体"/>
          <w:color w:val="000000"/>
          <w:sz w:val="32"/>
          <w:szCs w:val="32"/>
          <w:highlight w:val="none"/>
        </w:rPr>
      </w:r>
      <w:r/>
    </w:p>
    <w:p>
      <w:pPr>
        <w:pStyle w:val="957"/>
        <w:spacing w:before="50" w:after="5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57"/>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57"/>
        <w:jc w:val="center"/>
        <w:spacing w:before="50" w:after="50"/>
        <w:shd w:val="clear" w:color="auto" w:fill="auto"/>
        <w:rPr>
          <w:rFonts w:hint="eastAsia" w:ascii="宋体" w:hAnsi="宋体" w:cs="宋体"/>
          <w:color w:val="000000"/>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000000"/>
          <w:sz w:val="32"/>
          <w:szCs w:val="32"/>
          <w:highlight w:val="none"/>
        </w:rPr>
      </w:r>
      <w:r/>
    </w:p>
    <w:p>
      <w:pPr>
        <w:pStyle w:val="957"/>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四、投标函</w:t>
      </w:r>
      <w:r>
        <w:rPr>
          <w:rFonts w:hint="eastAsia" w:ascii="宋体" w:hAnsi="宋体" w:cs="宋体"/>
          <w:color w:val="000000"/>
          <w:sz w:val="32"/>
          <w:szCs w:val="32"/>
          <w:highlight w:val="none"/>
        </w:rPr>
      </w:r>
      <w:r/>
    </w:p>
    <w:p>
      <w:pPr>
        <w:pStyle w:val="1039"/>
        <w:ind w:firstLine="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（采购人）</w:t>
      </w:r>
      <w:r>
        <w:rPr>
          <w:rFonts w:hint="eastAsia" w:ascii="宋体" w:hAnsi="宋体" w:cs="宋体"/>
          <w:color w:val="000000"/>
          <w:szCs w:val="21"/>
          <w:highlight w:val="none"/>
        </w:rPr>
      </w:r>
      <w:r/>
    </w:p>
    <w:p>
      <w:pPr>
        <w:pStyle w:val="1039"/>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根据贵方的</w:t>
      </w:r>
      <w:r>
        <w:rPr>
          <w:rFonts w:hint="eastAsia" w:ascii="宋体" w:hAnsi="宋体" w:cs="宋体"/>
          <w:b/>
          <w:color w:val="000000"/>
          <w:sz w:val="36"/>
          <w:highlight w:val="none"/>
          <w:u w:val="single"/>
        </w:rPr>
        <w:t xml:space="preserve">           </w:t>
      </w:r>
      <w:r>
        <w:rPr>
          <w:rFonts w:hint="eastAsia" w:ascii="宋体" w:hAnsi="宋体" w:cs="宋体"/>
          <w:color w:val="000000"/>
          <w:szCs w:val="21"/>
          <w:highlight w:val="none"/>
        </w:rPr>
        <w:t xml:space="preserve">（项目名称）招标文件，正式授权下述签字人_________________(姓名)代表我方______________（投标人的名称），全权处理本次项目投标的有关事宜。</w:t>
      </w:r>
      <w:r>
        <w:rPr>
          <w:rFonts w:hint="eastAsia" w:ascii="宋体" w:hAnsi="宋体" w:cs="宋体"/>
          <w:color w:val="000000"/>
          <w:szCs w:val="21"/>
          <w:highlight w:val="none"/>
        </w:rPr>
      </w:r>
      <w:r/>
    </w:p>
    <w:p>
      <w:pPr>
        <w:pStyle w:val="1039"/>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据此函，__________签字人兹宣布同意如下：</w:t>
      </w:r>
      <w:r>
        <w:rPr>
          <w:rFonts w:hint="eastAsia" w:ascii="宋体" w:hAnsi="宋体" w:cs="宋体"/>
          <w:color w:val="000000"/>
          <w:szCs w:val="21"/>
          <w:highlight w:val="none"/>
        </w:rPr>
      </w:r>
      <w:r/>
    </w:p>
    <w:p>
      <w:pPr>
        <w:pStyle w:val="1039"/>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1.按招标文件规定的各项要求，向买方提供所需货物与服务。</w:t>
      </w:r>
      <w:r>
        <w:rPr>
          <w:rFonts w:hint="eastAsia" w:ascii="宋体" w:hAnsi="宋体" w:cs="宋体"/>
          <w:color w:val="000000"/>
          <w:szCs w:val="21"/>
          <w:highlight w:val="none"/>
        </w:rPr>
      </w:r>
      <w:r/>
    </w:p>
    <w:p>
      <w:pPr>
        <w:pStyle w:val="1039"/>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2.我们完全理解贵方不一定将合同授予最低报价的投标人。</w:t>
      </w:r>
      <w:r>
        <w:rPr>
          <w:rFonts w:hint="eastAsia" w:ascii="宋体" w:hAnsi="宋体" w:cs="宋体"/>
          <w:color w:val="000000"/>
          <w:szCs w:val="21"/>
          <w:highlight w:val="none"/>
        </w:rPr>
      </w:r>
      <w:r/>
    </w:p>
    <w:p>
      <w:pPr>
        <w:pStyle w:val="1039"/>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3.我们已详细审核全部招标文件及其有效补充文件，我们知道必须放弃提出含糊不清或误解问题的权利。</w:t>
      </w:r>
      <w:r>
        <w:rPr>
          <w:rFonts w:hint="eastAsia" w:ascii="宋体" w:hAnsi="宋体" w:cs="宋体"/>
          <w:color w:val="000000"/>
          <w:szCs w:val="21"/>
          <w:highlight w:val="none"/>
        </w:rPr>
      </w:r>
      <w:r/>
    </w:p>
    <w:p>
      <w:pPr>
        <w:pStyle w:val="1039"/>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4.我们同意从规定的开标日期起遵循本投标文件，并在规定的投标有效期期满之前均具有约束力。</w:t>
      </w:r>
      <w:r>
        <w:rPr>
          <w:rFonts w:hint="eastAsia" w:ascii="宋体" w:hAnsi="宋体" w:cs="宋体"/>
          <w:color w:val="000000"/>
          <w:szCs w:val="21"/>
          <w:highlight w:val="none"/>
        </w:rPr>
      </w:r>
      <w:r/>
    </w:p>
    <w:p>
      <w:pPr>
        <w:pStyle w:val="1039"/>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5.如果在开标后规定的投标有效期内撤回投标或中标后拒绝签订合同，则按照国家相关法律法规受到相应处罚。</w:t>
      </w:r>
      <w:r>
        <w:rPr>
          <w:rFonts w:hint="eastAsia" w:ascii="宋体" w:hAnsi="宋体" w:cs="宋体"/>
          <w:color w:val="000000"/>
          <w:szCs w:val="21"/>
          <w:highlight w:val="none"/>
        </w:rPr>
      </w:r>
      <w:r/>
    </w:p>
    <w:p>
      <w:pPr>
        <w:pStyle w:val="1039"/>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6.同意向贵方提供贵方可能另外要求的与投标有关的任何证据或资料，并保证我方已提供和将要提供的文件是真实的、准确的。</w:t>
      </w:r>
      <w:r>
        <w:rPr>
          <w:rFonts w:hint="eastAsia" w:ascii="宋体" w:hAnsi="宋体" w:cs="宋体"/>
          <w:color w:val="000000"/>
          <w:szCs w:val="21"/>
          <w:highlight w:val="none"/>
        </w:rPr>
      </w:r>
      <w:r/>
    </w:p>
    <w:p>
      <w:pPr>
        <w:pStyle w:val="1039"/>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7.一旦我方中标,我方将根据招标文件的规定，严格履行合同的责任和义务,并保证在招标文件规定的时间完成项目，交付买方验收、使用。</w:t>
      </w:r>
      <w:r>
        <w:rPr>
          <w:rFonts w:hint="eastAsia" w:ascii="宋体" w:hAnsi="宋体" w:cs="宋体"/>
          <w:color w:val="000000"/>
          <w:szCs w:val="21"/>
          <w:highlight w:val="none"/>
        </w:rPr>
      </w:r>
      <w:r/>
    </w:p>
    <w:p>
      <w:pPr>
        <w:pStyle w:val="1039"/>
        <w:ind w:left="425" w:firstLine="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8.与本投标有关的正式通讯地址为：</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邮          编：</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投标人开户行：</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账          户： </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投标人授权代表姓名（签字）：</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投标人授权代表电话（手机号码）：</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投标人名称（公章）： </w:t>
      </w:r>
      <w:r>
        <w:rPr>
          <w:rFonts w:hint="eastAsia" w:ascii="宋体" w:hAnsi="宋体" w:cs="宋体"/>
          <w:color w:val="000000"/>
          <w:szCs w:val="21"/>
          <w:highlight w:val="none"/>
        </w:rPr>
      </w:r>
      <w:r/>
    </w:p>
    <w:p>
      <w:pPr>
        <w:pStyle w:val="1039"/>
        <w:ind w:left="420"/>
        <w:spacing w:before="0" w:after="0" w:line="42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           期：________年____月____日</w:t>
      </w:r>
      <w:r>
        <w:rPr>
          <w:rFonts w:hint="eastAsia" w:ascii="宋体" w:hAnsi="宋体" w:cs="宋体"/>
          <w:color w:val="000000"/>
          <w:szCs w:val="21"/>
          <w:highlight w:val="none"/>
        </w:rPr>
      </w:r>
      <w:r/>
    </w:p>
    <w:p>
      <w:pPr>
        <w:pStyle w:val="957"/>
        <w:jc w:val="left"/>
        <w:spacing w:before="50" w:after="145"/>
        <w:shd w:val="clear" w:color="auto" w:fill="auto"/>
        <w:rPr>
          <w:rFonts w:hint="eastAsia" w:ascii="宋体" w:hAnsi="宋体" w:cs="宋体"/>
          <w:color w:val="000000"/>
          <w:sz w:val="24"/>
          <w:szCs w:val="20"/>
          <w:highlight w:val="none"/>
        </w:rPr>
      </w:pPr>
      <w:r>
        <w:rPr>
          <w:rFonts w:hint="eastAsia" w:ascii="宋体" w:hAnsi="宋体" w:cs="宋体"/>
          <w:color w:val="000000"/>
          <w:sz w:val="44"/>
          <w:highlight w:val="none"/>
        </w:rPr>
        <w:t xml:space="preserve">          </w:t>
      </w:r>
      <w:r>
        <w:rPr>
          <w:rFonts w:hint="eastAsia" w:ascii="宋体" w:hAnsi="宋体" w:cs="宋体"/>
          <w:color w:val="000000"/>
          <w:sz w:val="24"/>
          <w:szCs w:val="20"/>
          <w:highlight w:val="none"/>
        </w:rPr>
      </w:r>
      <w:r/>
    </w:p>
    <w:p>
      <w:pPr>
        <w:pStyle w:val="957"/>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2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jc w:val="center"/>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五、开标一览表</w:t>
      </w:r>
      <w:r>
        <w:rPr>
          <w:rFonts w:hint="eastAsia" w:ascii="宋体" w:hAnsi="宋体" w:cs="宋体"/>
          <w:color w:val="000000"/>
          <w:sz w:val="32"/>
          <w:szCs w:val="32"/>
          <w:highlight w:val="none"/>
        </w:rPr>
      </w:r>
      <w:r/>
    </w:p>
    <w:p>
      <w:pPr>
        <w:pStyle w:val="957"/>
        <w:jc w:val="both"/>
        <w:spacing w:before="50" w:after="5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投标人全称（加盖CA电子签章）：</w:t>
      </w:r>
      <w:r>
        <w:rPr>
          <w:rFonts w:hint="eastAsia" w:ascii="宋体" w:hAnsi="宋体" w:cs="宋体"/>
          <w:color w:val="000000"/>
          <w:sz w:val="24"/>
          <w:szCs w:val="24"/>
          <w:highlight w:val="none"/>
        </w:rPr>
      </w:r>
      <w:r/>
    </w:p>
    <w:p>
      <w:pPr>
        <w:pStyle w:val="957"/>
        <w:jc w:val="both"/>
        <w:spacing w:before="50" w:after="5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957"/>
        <w:jc w:val="left"/>
        <w:spacing w:before="50" w:after="50"/>
        <w:shd w:val="clear" w:color="auto" w:fil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项目编</w:t>
      </w:r>
      <w:r>
        <w:rPr>
          <w:rFonts w:hint="eastAsia" w:ascii="宋体" w:hAnsi="宋体" w:cs="宋体"/>
          <w:color w:val="000000"/>
          <w:sz w:val="24"/>
          <w:szCs w:val="24"/>
          <w:highlight w:val="none"/>
          <w:lang w:val="en-US" w:eastAsia="zh-CN"/>
        </w:rPr>
        <w:t xml:space="preserve">号： </w:t>
      </w:r>
      <w:r>
        <w:rPr>
          <w:rFonts w:hint="eastAsia" w:ascii="宋体" w:hAnsi="宋体" w:cs="宋体"/>
          <w:color w:val="000000"/>
          <w:sz w:val="24"/>
          <w:szCs w:val="24"/>
          <w:highlight w:val="none"/>
          <w:lang w:val="en-US" w:eastAsia="zh-CN"/>
        </w:rPr>
      </w:r>
      <w:r/>
    </w:p>
    <w:p>
      <w:pPr>
        <w:pStyle w:val="957"/>
        <w:jc w:val="left"/>
        <w:spacing w:before="50" w:after="50"/>
        <w:shd w:val="clear" w:color="auto" w:fill="auto"/>
        <w:rPr>
          <w:rFonts w:hint="eastAsia" w:ascii="宋体" w:hAnsi="宋体" w:cs="宋体"/>
          <w:color w:val="000000"/>
          <w:sz w:val="32"/>
          <w:szCs w:val="32"/>
          <w:highlight w:val="none"/>
        </w:rPr>
      </w:pPr>
      <w:r>
        <w:rPr>
          <w:rFonts w:hint="eastAsia" w:ascii="宋体" w:hAnsi="宋体" w:cs="宋体"/>
          <w:color w:val="000000"/>
          <w:sz w:val="24"/>
          <w:szCs w:val="24"/>
          <w:highlight w:val="none"/>
          <w:lang w:val="en-US" w:eastAsia="zh-CN"/>
        </w:rPr>
        <w:t xml:space="preserve">分包号</w:t>
      </w:r>
      <w:r>
        <w:rPr>
          <w:rFonts w:hint="eastAsia" w:ascii="宋体" w:hAnsi="宋体" w:cs="宋体"/>
          <w:color w:val="000000"/>
          <w:sz w:val="24"/>
          <w:szCs w:val="24"/>
          <w:highlight w:val="none"/>
          <w:lang w:eastAsia="zh-CN"/>
        </w:rPr>
        <w:t xml:space="preserve">：</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tbl>
      <w:tblPr>
        <w:tblW w:w="10145"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45"/>
      </w:tblGrid>
      <w:tr>
        <w:trPr>
          <w:cantSplit/>
          <w:trHeight w:val="821"/>
        </w:trPr>
        <w:tc>
          <w:tcPr>
            <w:tcW w:w="10145" w:type="dxa"/>
            <w:vAlign w:val="center"/>
            <w:textDirection w:val="lrTb"/>
            <w:noWrap w:val="false"/>
          </w:tcPr>
          <w:p>
            <w:pPr>
              <w:pStyle w:val="957"/>
              <w:jc w:val="center"/>
              <w:shd w:val="clear" w:color="auto" w:fill="auto"/>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投标报价（单价，元/毫升）</w:t>
            </w:r>
            <w:r>
              <w:rPr>
                <w:rFonts w:hint="eastAsia" w:ascii="宋体" w:hAnsi="宋体" w:cs="宋体"/>
                <w:b/>
                <w:bCs/>
                <w:color w:val="000000"/>
                <w:szCs w:val="28"/>
                <w:highlight w:val="none"/>
              </w:rPr>
            </w:r>
            <w:r/>
          </w:p>
        </w:tc>
      </w:tr>
      <w:tr>
        <w:trPr>
          <w:cantSplit/>
          <w:trHeight w:val="821"/>
        </w:trPr>
        <w:tc>
          <w:tcPr>
            <w:tcW w:w="10145" w:type="dxa"/>
            <w:vAlign w:val="center"/>
            <w:textDirection w:val="lrTb"/>
            <w:noWrap w:val="false"/>
          </w:tcPr>
          <w:p>
            <w:pPr>
              <w:pStyle w:val="957"/>
              <w:shd w:val="clear" w:color="auto" w:fill="auto"/>
              <w:rPr>
                <w:rFonts w:hint="eastAsia" w:ascii="宋体" w:hAnsi="宋体" w:eastAsia="宋体" w:cs="宋体"/>
                <w:color w:val="000000"/>
                <w:szCs w:val="28"/>
                <w:highlight w:val="none"/>
                <w:lang w:eastAsia="zh-CN"/>
              </w:rPr>
            </w:pPr>
            <w:r>
              <w:rPr>
                <w:rFonts w:hint="eastAsia" w:ascii="宋体" w:hAnsi="宋体" w:cs="宋体"/>
                <w:b/>
                <w:bCs/>
                <w:color w:val="000000"/>
                <w:szCs w:val="28"/>
                <w:highlight w:val="none"/>
              </w:rPr>
              <w:t xml:space="preserve">项目投标单价报价：（大写）</w:t>
            </w:r>
            <w:r>
              <w:rPr>
                <w:rFonts w:hint="eastAsia" w:ascii="宋体" w:hAnsi="宋体" w:cs="宋体"/>
                <w:b/>
                <w:bCs/>
                <w:color w:val="000000"/>
                <w:szCs w:val="28"/>
                <w:highlight w:val="none"/>
                <w:u w:val="single"/>
              </w:rPr>
              <w:t xml:space="preserve">                        元/毫升 </w:t>
            </w:r>
            <w:r>
              <w:rPr>
                <w:rFonts w:hint="eastAsia" w:ascii="宋体" w:hAnsi="宋体" w:cs="宋体"/>
                <w:b/>
                <w:bCs/>
                <w:color w:val="000000"/>
                <w:szCs w:val="28"/>
                <w:highlight w:val="none"/>
              </w:rPr>
              <w:t xml:space="preserve">，小写：</w:t>
            </w:r>
            <w:r>
              <w:rPr>
                <w:rFonts w:hint="eastAsia" w:ascii="宋体" w:hAnsi="宋体" w:cs="宋体"/>
                <w:b/>
                <w:bCs/>
                <w:color w:val="000000"/>
                <w:szCs w:val="28"/>
                <w:highlight w:val="none"/>
                <w:u w:val="single"/>
              </w:rPr>
              <w:t xml:space="preserve">                      元/毫升</w:t>
            </w:r>
            <w:r>
              <w:rPr>
                <w:rFonts w:hint="eastAsia" w:ascii="宋体" w:hAnsi="宋体" w:eastAsia="宋体" w:cs="宋体"/>
                <w:color w:val="000000"/>
                <w:szCs w:val="28"/>
                <w:highlight w:val="none"/>
                <w:lang w:eastAsia="zh-CN"/>
              </w:rPr>
            </w:r>
            <w:r/>
          </w:p>
        </w:tc>
      </w:tr>
    </w:tbl>
    <w:p>
      <w:pPr>
        <w:pStyle w:val="957"/>
        <w:spacing w:line="180" w:lineRule="atLeast"/>
        <w:shd w:val="clear" w:color="auto" w:fill="auto"/>
        <w:rPr>
          <w:rFonts w:hint="eastAsia" w:ascii="宋体" w:hAnsi="宋体" w:cs="宋体"/>
          <w:color w:val="000000"/>
          <w:szCs w:val="28"/>
          <w:highlight w:val="none"/>
        </w:rPr>
      </w:pPr>
      <w:r>
        <w:rPr>
          <w:rFonts w:hint="eastAsia" w:ascii="宋体" w:hAnsi="宋体" w:cs="宋体"/>
          <w:color w:val="000000"/>
          <w:szCs w:val="28"/>
          <w:highlight w:val="none"/>
        </w:rPr>
        <w:t xml:space="preserve">填写说明：</w:t>
      </w:r>
      <w:r>
        <w:rPr>
          <w:rFonts w:hint="eastAsia" w:ascii="宋体" w:hAnsi="宋体" w:cs="宋体"/>
          <w:color w:val="000000"/>
          <w:szCs w:val="28"/>
          <w:highlight w:val="none"/>
        </w:rPr>
      </w:r>
      <w:r/>
    </w:p>
    <w:p>
      <w:pPr>
        <w:pStyle w:val="957"/>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1.开标一览表不得填报选择性报价，否则将作为无效投标；</w:t>
      </w:r>
      <w:r>
        <w:rPr>
          <w:rFonts w:hint="eastAsia" w:ascii="宋体" w:hAnsi="宋体" w:cs="宋体"/>
          <w:color w:val="000000"/>
          <w:sz w:val="24"/>
          <w:szCs w:val="24"/>
          <w:highlight w:val="none"/>
        </w:rPr>
      </w:r>
      <w:r/>
    </w:p>
    <w:p>
      <w:pPr>
        <w:pStyle w:val="957"/>
        <w:ind w:firstLine="2640"/>
        <w:shd w:val="clear" w:color="auto" w:fill="auto"/>
        <w:rPr>
          <w:rFonts w:hint="eastAsia" w:ascii="宋体" w:hAnsi="宋体" w:cs="宋体"/>
          <w:color w:val="000000"/>
          <w:sz w:val="44"/>
          <w:highlight w:val="none"/>
        </w:rPr>
      </w:pPr>
      <w:r>
        <w:rPr>
          <w:rFonts w:hint="eastAsia" w:ascii="宋体" w:hAnsi="宋体" w:cs="宋体"/>
          <w:color w:val="000000"/>
          <w:sz w:val="44"/>
          <w:highlight w:val="none"/>
        </w:rPr>
      </w:r>
      <w:r/>
    </w:p>
    <w:p>
      <w:pPr>
        <w:pStyle w:val="957"/>
        <w:ind w:firstLine="4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7"/>
        <w:ind w:firstLine="480"/>
        <w:jc w:val="right"/>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供应商名称（公章）：</w:t>
      </w:r>
      <w:r>
        <w:rPr>
          <w:rFonts w:hint="eastAsia" w:ascii="宋体" w:hAnsi="宋体" w:cs="宋体"/>
          <w:color w:val="000000"/>
          <w:sz w:val="24"/>
          <w:highlight w:val="none"/>
        </w:rPr>
      </w:r>
      <w:r/>
    </w:p>
    <w:p>
      <w:pPr>
        <w:pStyle w:val="957"/>
        <w:ind w:firstLine="4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日期：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957"/>
        <w:jc w:val="center"/>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7"/>
        <w:jc w:val="center"/>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7"/>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6"/>
        <w:shd w:val="clear" w:color="auto" w:fill="auto"/>
        <w:rPr>
          <w:rFonts w:cs="宋体"/>
          <w:color w:val="000000"/>
          <w:highlight w:val="none"/>
        </w:rPr>
      </w:pPr>
      <w:r>
        <w:rPr>
          <w:rFonts w:cs="宋体"/>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72"/>
        <w:shd w:val="clear" w:color="auto" w:fill="auto"/>
        <w:rPr>
          <w:color w:val="000000"/>
          <w:highlight w:val="none"/>
        </w:rPr>
      </w:pPr>
      <w:r>
        <w:rPr>
          <w:color w:val="000000"/>
          <w:highlight w:val="none"/>
        </w:rPr>
      </w:r>
      <w:r/>
    </w:p>
    <w:p>
      <w:pPr>
        <w:pStyle w:val="957"/>
        <w:jc w:val="center"/>
        <w:shd w:val="clear" w:color="auto" w:fill="auto"/>
        <w:rPr>
          <w:rFonts w:hint="eastAsia" w:eastAsia="黑体"/>
          <w:bCs/>
          <w:color w:val="000000"/>
          <w:sz w:val="32"/>
          <w:szCs w:val="32"/>
          <w:highlight w:val="none"/>
        </w:rPr>
      </w:pPr>
      <w:r>
        <w:rPr>
          <w:rFonts w:hint="eastAsia" w:ascii="宋体" w:hAnsi="宋体" w:cs="宋体"/>
          <w:color w:val="000000"/>
          <w:sz w:val="32"/>
          <w:szCs w:val="32"/>
          <w:highlight w:val="none"/>
        </w:rPr>
        <w:t xml:space="preserve">六、</w:t>
      </w:r>
      <w:r>
        <w:rPr>
          <w:rFonts w:hint="eastAsia" w:ascii="宋体" w:hAnsi="宋体" w:cs="宋体"/>
          <w:bCs/>
          <w:color w:val="000000"/>
          <w:sz w:val="32"/>
          <w:szCs w:val="32"/>
          <w:highlight w:val="none"/>
        </w:rPr>
        <w:t xml:space="preserve">分项报价表（分包号：**）</w:t>
      </w:r>
      <w:r>
        <w:rPr>
          <w:rFonts w:hint="eastAsia" w:eastAsia="黑体"/>
          <w:bCs/>
          <w:color w:val="000000"/>
          <w:sz w:val="32"/>
          <w:szCs w:val="32"/>
          <w:highlight w:val="none"/>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rPr>
                <w:rFonts w:hint="eastAsia" w:ascii="Times New Roman" w:hAnsi="Times New Roman"/>
                <w:color w:val="000000"/>
                <w:sz w:val="24"/>
                <w:szCs w:val="24"/>
                <w:highlight w:val="none"/>
              </w:rPr>
            </w:r>
            <w:r/>
          </w:p>
        </w:tc>
        <w:tc>
          <w:tcPr>
            <w:tcW w:w="127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r>
            <w:r/>
          </w:p>
        </w:tc>
        <w:tc>
          <w:tcPr>
            <w:tcW w:w="128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r>
            <w:r/>
          </w:p>
        </w:tc>
        <w:tc>
          <w:tcPr>
            <w:tcW w:w="92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r>
            <w:r/>
          </w:p>
        </w:tc>
        <w:tc>
          <w:tcPr>
            <w:tcW w:w="1203"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r>
            <w:r/>
          </w:p>
        </w:tc>
        <w:tc>
          <w:tcPr>
            <w:tcW w:w="161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r>
            <w:r/>
          </w:p>
        </w:tc>
        <w:tc>
          <w:tcPr>
            <w:tcW w:w="179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hint="eastAsia" w:ascii="Times New Roman" w:hAnsi="Times New Roman"/>
                <w:color w:val="000000"/>
                <w:sz w:val="24"/>
                <w:szCs w:val="24"/>
                <w:highlight w:val="none"/>
              </w:rPr>
            </w:r>
            <w:r/>
          </w:p>
        </w:tc>
      </w:tr>
      <w:tr>
        <w:trPr>
          <w:cantSplit/>
          <w:trHeight w:val="294"/>
        </w:trPr>
        <w:tc>
          <w:tcPr>
            <w:tcW w:w="948" w:type="dxa"/>
            <w:vAlign w:val="center"/>
            <w:vMerge w:val="continue"/>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74" w:type="dxa"/>
            <w:vAlign w:val="center"/>
            <w:textDirection w:val="lrTb"/>
            <w:noWrap w:val="false"/>
          </w:tcPr>
          <w:p>
            <w:pPr>
              <w:pStyle w:val="1012"/>
              <w:jc w:val="center"/>
              <w:spacing w:beforeAutospacing="0" w:afterAutospacing="0" w:line="0" w:lineRule="atLeast"/>
            </w:pPr>
            <w:r>
              <w:rPr>
                <w:rFonts w:hint="eastAsia" w:ascii="宋体" w:hAnsi="宋体" w:eastAsia="宋体" w:cs="宋体"/>
                <w:color w:val="000000"/>
              </w:rPr>
              <w:t xml:space="preserve">产品</w:t>
            </w:r>
            <w:r/>
          </w:p>
          <w:p>
            <w:pPr>
              <w:pStyle w:val="1012"/>
              <w:jc w:val="center"/>
              <w:spacing w:beforeAutospacing="0" w:afterAutospacing="0" w:line="0" w:lineRule="atLeast"/>
              <w:rPr>
                <w:rFonts w:hint="eastAsia" w:ascii="Times New Roman" w:hAnsi="Times New Roman"/>
                <w:color w:val="000000"/>
                <w:sz w:val="24"/>
                <w:szCs w:val="24"/>
                <w:highlight w:val="none"/>
              </w:rPr>
            </w:pPr>
            <w:r>
              <w:rPr>
                <w:rFonts w:hint="eastAsia" w:ascii="宋体" w:hAnsi="宋体" w:eastAsia="宋体" w:cs="宋体"/>
                <w:color w:val="000000"/>
              </w:rPr>
              <w:t xml:space="preserve">名称</w:t>
            </w:r>
            <w:r>
              <w:rPr>
                <w:rFonts w:hint="eastAsia" w:ascii="Times New Roman" w:hAnsi="Times New Roman"/>
                <w:color w:val="000000"/>
                <w:sz w:val="24"/>
                <w:szCs w:val="24"/>
                <w:highlight w:val="none"/>
              </w:rPr>
            </w:r>
            <w:r/>
          </w:p>
        </w:tc>
        <w:tc>
          <w:tcPr>
            <w:tcW w:w="1288" w:type="dxa"/>
            <w:vAlign w:val="center"/>
            <w:textDirection w:val="lrTb"/>
            <w:noWrap w:val="false"/>
          </w:tcPr>
          <w:p>
            <w:pPr>
              <w:pStyle w:val="1012"/>
              <w:jc w:val="center"/>
              <w:spacing w:beforeAutospacing="0" w:afterAutospacing="0" w:line="0" w:lineRule="atLeast"/>
            </w:pPr>
            <w:r>
              <w:rPr>
                <w:rFonts w:hint="eastAsia" w:ascii="宋体" w:hAnsi="宋体" w:eastAsia="宋体" w:cs="宋体"/>
                <w:color w:val="000000"/>
              </w:rPr>
              <w:t xml:space="preserve">品牌</w:t>
            </w:r>
            <w:r>
              <w:rPr>
                <w:rFonts w:hint="eastAsia" w:eastAsia="宋体" w:cs="宋体"/>
                <w:color w:val="000000"/>
                <w:lang w:eastAsia="zh-CN"/>
              </w:rPr>
              <w:t xml:space="preserve">、</w:t>
            </w:r>
            <w:r>
              <w:rPr>
                <w:rFonts w:hint="eastAsia" w:ascii="宋体" w:hAnsi="宋体" w:eastAsia="宋体" w:cs="宋体"/>
                <w:color w:val="000000"/>
              </w:rPr>
              <w:t xml:space="preserve">规格</w:t>
            </w:r>
            <w:r/>
          </w:p>
          <w:p>
            <w:pPr>
              <w:pStyle w:val="1012"/>
              <w:jc w:val="center"/>
              <w:spacing w:beforeAutospacing="0" w:afterAutospacing="0" w:line="0" w:lineRule="atLeast"/>
              <w:rPr>
                <w:rFonts w:hint="eastAsia" w:ascii="Times New Roman" w:hAnsi="Times New Roman"/>
                <w:color w:val="000000"/>
                <w:sz w:val="24"/>
                <w:szCs w:val="24"/>
                <w:highlight w:val="none"/>
              </w:rPr>
            </w:pPr>
            <w:r>
              <w:rPr>
                <w:rFonts w:hint="eastAsia" w:ascii="宋体" w:hAnsi="宋体" w:eastAsia="宋体" w:cs="宋体"/>
                <w:color w:val="000000"/>
              </w:rPr>
              <w:t xml:space="preserve">型号</w:t>
            </w:r>
            <w:r>
              <w:rPr>
                <w:rFonts w:hint="eastAsia" w:eastAsia="宋体" w:cs="宋体"/>
                <w:color w:val="000000"/>
                <w:lang w:eastAsia="zh-CN"/>
              </w:rPr>
              <w:t xml:space="preserve">、</w:t>
            </w:r>
            <w:r>
              <w:rPr>
                <w:rFonts w:hint="eastAsia" w:ascii="宋体" w:hAnsi="宋体" w:eastAsia="宋体" w:cs="宋体"/>
                <w:color w:val="000000"/>
              </w:rPr>
              <w:t xml:space="preserve">产地</w:t>
            </w:r>
            <w:r>
              <w:rPr>
                <w:rFonts w:hint="eastAsia" w:ascii="Times New Roman" w:hAnsi="Times New Roman"/>
                <w:color w:val="000000"/>
                <w:sz w:val="24"/>
                <w:szCs w:val="24"/>
                <w:highlight w:val="none"/>
              </w:rPr>
            </w:r>
            <w:r/>
          </w:p>
        </w:tc>
        <w:tc>
          <w:tcPr>
            <w:tcW w:w="924" w:type="dxa"/>
            <w:vAlign w:val="center"/>
            <w:textDirection w:val="lrTb"/>
            <w:noWrap w:val="false"/>
          </w:tcPr>
          <w:p>
            <w:pPr>
              <w:pStyle w:val="1012"/>
              <w:jc w:val="center"/>
              <w:spacing w:beforeAutospacing="0" w:afterAutospacing="0" w:line="0" w:lineRule="atLeast"/>
              <w:rPr>
                <w:rFonts w:hint="eastAsia" w:ascii="Times New Roman" w:hAnsi="Times New Roman" w:cs="宋体"/>
                <w:color w:val="000000"/>
                <w:sz w:val="24"/>
                <w:szCs w:val="24"/>
                <w:highlight w:val="none"/>
                <w:lang w:val="en-US" w:eastAsia="zh-CN" w:bidi="ar-SA"/>
              </w:rPr>
            </w:pPr>
            <w:r>
              <w:rPr>
                <w:rFonts w:hint="eastAsia" w:ascii="宋体" w:hAnsi="宋体" w:eastAsia="宋体" w:cs="宋体"/>
                <w:color w:val="000000"/>
              </w:rPr>
              <w:t xml:space="preserve">交付期</w:t>
            </w:r>
            <w:r>
              <w:rPr>
                <w:rFonts w:hint="eastAsia" w:ascii="Times New Roman" w:hAnsi="Times New Roman" w:cs="宋体"/>
                <w:color w:val="000000"/>
                <w:sz w:val="24"/>
                <w:szCs w:val="24"/>
                <w:highlight w:val="none"/>
                <w:lang w:val="en-US" w:eastAsia="zh-CN" w:bidi="ar-SA"/>
              </w:rPr>
            </w:r>
            <w:r/>
          </w:p>
        </w:tc>
        <w:tc>
          <w:tcPr>
            <w:tcW w:w="1203" w:type="dxa"/>
            <w:vAlign w:val="center"/>
            <w:textDirection w:val="lrTb"/>
            <w:noWrap w:val="false"/>
          </w:tcPr>
          <w:p>
            <w:pPr>
              <w:pStyle w:val="1012"/>
              <w:jc w:val="center"/>
              <w:spacing w:beforeAutospacing="0" w:afterAutospacing="0" w:line="0" w:lineRule="atLeast"/>
              <w:rPr>
                <w:rFonts w:hint="eastAsia" w:ascii="Times New Roman" w:hAnsi="Times New Roman" w:cs="宋体"/>
                <w:color w:val="000000"/>
                <w:sz w:val="24"/>
                <w:szCs w:val="24"/>
                <w:highlight w:val="none"/>
                <w:lang w:val="en-US" w:eastAsia="zh-CN" w:bidi="ar-SA"/>
              </w:rPr>
            </w:pPr>
            <w:r>
              <w:rPr>
                <w:rFonts w:hint="eastAsia" w:ascii="宋体" w:hAnsi="宋体" w:eastAsia="宋体" w:cs="宋体"/>
                <w:color w:val="000000"/>
              </w:rPr>
              <w:t xml:space="preserve">数量</w:t>
            </w:r>
            <w:r>
              <w:rPr>
                <w:rFonts w:hint="eastAsia" w:ascii="Times New Roman" w:hAnsi="Times New Roman" w:cs="宋体"/>
                <w:color w:val="000000"/>
                <w:sz w:val="24"/>
                <w:szCs w:val="24"/>
                <w:highlight w:val="none"/>
                <w:lang w:val="en-US" w:eastAsia="zh-CN" w:bidi="ar-SA"/>
              </w:rPr>
            </w:r>
            <w:r/>
          </w:p>
        </w:tc>
        <w:tc>
          <w:tcPr>
            <w:tcW w:w="1618" w:type="dxa"/>
            <w:vAlign w:val="center"/>
            <w:textDirection w:val="lrTb"/>
            <w:noWrap w:val="false"/>
          </w:tcPr>
          <w:p>
            <w:pPr>
              <w:pStyle w:val="1012"/>
              <w:jc w:val="center"/>
              <w:spacing w:beforeAutospacing="0" w:afterAutospacing="0" w:line="0" w:lineRule="atLeast"/>
              <w:rPr>
                <w:rFonts w:hint="eastAsia" w:ascii="宋体" w:hAnsi="宋体" w:eastAsia="宋体" w:cs="宋体"/>
                <w:sz w:val="24"/>
                <w:szCs w:val="24"/>
                <w:lang w:val="en-US" w:eastAsia="zh-CN" w:bidi="ar-SA"/>
              </w:rPr>
            </w:pPr>
            <w:r>
              <w:rPr>
                <w:rFonts w:hint="eastAsia" w:ascii="宋体" w:hAnsi="宋体" w:eastAsia="宋体" w:cs="宋体"/>
                <w:color w:val="000000"/>
              </w:rPr>
              <w:t xml:space="preserve">分项单价</w:t>
            </w:r>
            <w:r>
              <w:rPr>
                <w:rFonts w:hint="eastAsia" w:eastAsia="宋体" w:cs="宋体"/>
                <w:color w:val="000000"/>
                <w:lang w:eastAsia="zh-CN"/>
              </w:rPr>
              <w:t xml:space="preserve">（</w:t>
            </w:r>
            <w:r>
              <w:rPr>
                <w:rFonts w:hint="eastAsia" w:eastAsia="宋体" w:cs="宋体"/>
                <w:color w:val="000000"/>
                <w:lang w:val="en-US" w:eastAsia="zh-CN"/>
              </w:rPr>
              <w:t xml:space="preserve">单位</w:t>
            </w:r>
            <w:r>
              <w:rPr>
                <w:rFonts w:hint="eastAsia" w:eastAsia="宋体" w:cs="宋体"/>
                <w:color w:val="000000"/>
                <w:lang w:eastAsia="zh-CN"/>
              </w:rPr>
              <w:t xml:space="preserve">）</w:t>
            </w: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1012"/>
              <w:jc w:val="center"/>
              <w:spacing w:beforeAutospacing="0" w:afterAutospacing="0" w:line="0" w:lineRule="atLeast"/>
              <w:rPr>
                <w:rFonts w:hint="eastAsia" w:ascii="宋体" w:hAnsi="宋体" w:eastAsia="宋体" w:cs="宋体"/>
                <w:sz w:val="24"/>
                <w:szCs w:val="24"/>
                <w:lang w:val="en-US" w:eastAsia="zh-CN" w:bidi="ar-SA"/>
              </w:rPr>
            </w:pPr>
            <w:r>
              <w:rPr>
                <w:rFonts w:hint="eastAsia" w:ascii="宋体" w:hAnsi="宋体" w:eastAsia="宋体" w:cs="宋体"/>
                <w:color w:val="000000"/>
              </w:rPr>
              <w:t xml:space="preserve">分项总价</w:t>
            </w:r>
            <w:r>
              <w:rPr>
                <w:rFonts w:hint="eastAsia" w:eastAsia="宋体" w:cs="宋体"/>
                <w:color w:val="000000"/>
                <w:lang w:eastAsia="zh-CN"/>
              </w:rPr>
              <w:t xml:space="preserve">（</w:t>
            </w:r>
            <w:r>
              <w:rPr>
                <w:rFonts w:hint="eastAsia" w:eastAsia="宋体" w:cs="宋体"/>
                <w:color w:val="000000"/>
                <w:lang w:val="en-US" w:eastAsia="zh-CN"/>
              </w:rPr>
              <w:t xml:space="preserve">单位</w:t>
            </w:r>
            <w:r>
              <w:rPr>
                <w:rFonts w:hint="eastAsia" w:eastAsia="宋体" w:cs="宋体"/>
                <w:color w:val="000000"/>
                <w:lang w:eastAsia="zh-CN"/>
              </w:rPr>
              <w:t xml:space="preserve">）</w:t>
            </w:r>
            <w:r>
              <w:rPr>
                <w:rFonts w:hint="eastAsia" w:ascii="宋体" w:hAnsi="宋体" w:eastAsia="宋体" w:cs="宋体"/>
                <w:sz w:val="24"/>
                <w:szCs w:val="24"/>
                <w:lang w:val="en-US" w:eastAsia="zh-CN" w:bidi="ar-SA"/>
              </w:rPr>
            </w:r>
            <w:r/>
          </w:p>
        </w:tc>
      </w:tr>
      <w:tr>
        <w:trPr>
          <w:cantSplit/>
          <w:trHeight w:val="654"/>
        </w:trPr>
        <w:tc>
          <w:tcPr>
            <w:tcW w:w="94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r>
            <w:r/>
          </w:p>
        </w:tc>
        <w:tc>
          <w:tcPr>
            <w:tcW w:w="127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8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r>
            <w:r/>
          </w:p>
        </w:tc>
        <w:tc>
          <w:tcPr>
            <w:tcW w:w="127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8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r>
            <w:r/>
          </w:p>
        </w:tc>
        <w:tc>
          <w:tcPr>
            <w:tcW w:w="127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8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tc>
        <w:tc>
          <w:tcPr>
            <w:tcW w:w="127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tc>
        <w:tc>
          <w:tcPr>
            <w:tcW w:w="128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24"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203"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61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798"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487"/>
        </w:trPr>
        <w:tc>
          <w:tcPr>
            <w:gridSpan w:val="6"/>
            <w:tcW w:w="7255" w:type="dxa"/>
            <w:vAlign w:val="center"/>
            <w:textDirection w:val="lrTb"/>
            <w:noWrap w:val="false"/>
          </w:tcPr>
          <w:p>
            <w:pPr>
              <w:pStyle w:val="957"/>
              <w:jc w:val="center"/>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总报价（人民币：元）</w:t>
            </w:r>
            <w:r>
              <w:rPr>
                <w:rFonts w:hint="eastAsia" w:ascii="Times New Roman" w:hAnsi="Times New Roman"/>
                <w:color w:val="000000"/>
                <w:sz w:val="24"/>
                <w:szCs w:val="24"/>
                <w:highlight w:val="none"/>
              </w:rPr>
            </w:r>
            <w:r/>
          </w:p>
        </w:tc>
        <w:tc>
          <w:tcPr>
            <w:tcW w:w="1798" w:type="dxa"/>
            <w:vAlign w:val="top"/>
            <w:textDirection w:val="lrTb"/>
            <w:noWrap w:val="false"/>
          </w:tcPr>
          <w:p>
            <w:pPr>
              <w:pStyle w:val="957"/>
              <w:spacing w:line="0" w:lineRule="atLeast"/>
              <w:shd w:val="clear" w:color="auto" w:fill="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须全部足额采购</w:t>
            </w:r>
            <w:r>
              <w:rPr>
                <w:rFonts w:hint="eastAsia" w:ascii="Times New Roman" w:hAnsi="Times New Roman"/>
                <w:color w:val="000000"/>
                <w:sz w:val="24"/>
                <w:szCs w:val="24"/>
                <w:highlight w:val="none"/>
              </w:rPr>
            </w:r>
            <w:r/>
          </w:p>
        </w:tc>
      </w:tr>
    </w:tbl>
    <w:p>
      <w:pPr>
        <w:pStyle w:val="957"/>
        <w:shd w:val="clear" w:color="auto" w:fill="auto"/>
        <w:rPr>
          <w:rFonts w:hint="eastAsia"/>
          <w:color w:val="000000"/>
          <w:sz w:val="24"/>
          <w:szCs w:val="24"/>
          <w:highlight w:val="none"/>
        </w:rPr>
      </w:pPr>
      <w:r>
        <w:rPr>
          <w:rFonts w:hint="eastAsia"/>
          <w:color w:val="000000"/>
          <w:sz w:val="24"/>
          <w:szCs w:val="24"/>
          <w:highlight w:val="none"/>
        </w:rPr>
        <w:t xml:space="preserve">备注： </w:t>
      </w:r>
      <w:r>
        <w:rPr>
          <w:rFonts w:hint="eastAsia"/>
          <w:color w:val="000000"/>
          <w:sz w:val="24"/>
          <w:szCs w:val="24"/>
          <w:highlight w:val="none"/>
          <w:lang w:val="en-US" w:eastAsia="zh-CN"/>
        </w:rPr>
        <w:t xml:space="preserve">1、</w:t>
      </w:r>
      <w:r>
        <w:rPr>
          <w:rFonts w:hint="eastAsia"/>
          <w:color w:val="000000"/>
          <w:sz w:val="24"/>
          <w:szCs w:val="24"/>
          <w:highlight w:val="none"/>
        </w:rPr>
        <w:t xml:space="preserve">投标报价采用总承包方式，“投标总报价”应包括所投货物（包含与货物相关的服务）费用、测试验收费、</w:t>
      </w:r>
      <w:r>
        <w:rPr>
          <w:rFonts w:hint="eastAsia"/>
          <w:color w:val="000000"/>
          <w:sz w:val="24"/>
          <w:szCs w:val="24"/>
          <w:highlight w:val="none"/>
          <w:lang w:val="en-US" w:eastAsia="zh-CN"/>
        </w:rPr>
        <w:t xml:space="preserve">运输费、包装费、</w:t>
      </w:r>
      <w:r>
        <w:rPr>
          <w:rFonts w:hint="eastAsia"/>
          <w:color w:val="000000"/>
          <w:sz w:val="24"/>
          <w:szCs w:val="24"/>
          <w:highlight w:val="none"/>
        </w:rPr>
        <w:t xml:space="preserve">培训费、税金、国际国内运输保险、报关清关、开证、办理全套免税手续费用及其他有关的为完成本项目发生的所有费用，招标文件中另有规定的除外。</w:t>
      </w:r>
      <w:r>
        <w:rPr>
          <w:rFonts w:hint="eastAsia"/>
          <w:color w:val="000000"/>
          <w:sz w:val="24"/>
          <w:szCs w:val="24"/>
          <w:highlight w:val="none"/>
        </w:rPr>
      </w:r>
      <w:r/>
    </w:p>
    <w:p>
      <w:pPr>
        <w:pStyle w:val="1023"/>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2、足额采购投标总价不变，为招标控制总价。</w:t>
      </w:r>
      <w:r>
        <w:rPr>
          <w:rFonts w:ascii="Times New Roman" w:hAnsi="Times New Roman" w:eastAsia="宋体" w:cs="Times New Roman"/>
          <w:color w:val="000000"/>
          <w:sz w:val="24"/>
          <w:szCs w:val="24"/>
          <w:highlight w:val="none"/>
          <w:lang w:val="en-US" w:eastAsia="zh-CN" w:bidi="ar-SA"/>
        </w:rPr>
      </w:r>
      <w:r/>
    </w:p>
    <w:p>
      <w:pPr>
        <w:pStyle w:val="957"/>
        <w:ind w:firstLine="6163"/>
        <w:jc w:val="center"/>
        <w:spacing w:line="360" w:lineRule="auto"/>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23"/>
        <w:rPr>
          <w:rFonts w:hint="eastAsia"/>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rPr>
      </w:r>
      <w:r/>
    </w:p>
    <w:p>
      <w:pPr>
        <w:pStyle w:val="957"/>
        <w:jc w:val="center"/>
        <w:spacing w:line="360" w:lineRule="auto"/>
        <w:shd w:val="clear" w:color="auto" w:fill="auto"/>
        <w:rPr>
          <w:rFonts w:ascii="宋体" w:hAnsi="宋体" w:cs="宋体"/>
          <w:color w:val="000000"/>
          <w:sz w:val="32"/>
          <w:szCs w:val="32"/>
          <w:highlight w:val="none"/>
        </w:rPr>
      </w:pPr>
      <w:r>
        <w:rPr>
          <w:rFonts w:hint="eastAsia" w:ascii="宋体" w:hAnsi="宋体" w:cs="宋体"/>
          <w:color w:val="000000"/>
          <w:sz w:val="32"/>
          <w:szCs w:val="32"/>
          <w:highlight w:val="none"/>
        </w:rPr>
        <w:t xml:space="preserve">七、技术部分</w:t>
      </w: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spacing w:line="360" w:lineRule="auto"/>
        <w:shd w:val="clear" w:color="auto" w:fill="auto"/>
        <w:rPr>
          <w:rFonts w:ascii="宋体" w:hAnsi="宋体" w:cs="宋体"/>
          <w:color w:val="000000"/>
          <w:sz w:val="32"/>
          <w:szCs w:val="32"/>
          <w:highlight w:val="none"/>
        </w:rPr>
      </w:pPr>
      <w:r>
        <w:rPr>
          <w:rFonts w:ascii="宋体" w:hAnsi="宋体" w:cs="宋体"/>
          <w:color w:val="000000"/>
          <w:sz w:val="32"/>
          <w:szCs w:val="32"/>
          <w:highlight w:val="none"/>
        </w:rPr>
      </w:r>
      <w:r/>
    </w:p>
    <w:p>
      <w:pPr>
        <w:pStyle w:val="957"/>
        <w:jc w:val="center"/>
        <w:spacing w:line="360" w:lineRule="auto"/>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八、</w:t>
      </w:r>
      <w:r>
        <w:rPr>
          <w:rFonts w:hint="eastAsia" w:ascii="宋体" w:hAnsi="宋体" w:cs="宋体"/>
          <w:color w:val="000000"/>
          <w:sz w:val="32"/>
          <w:szCs w:val="32"/>
          <w:highlight w:val="none"/>
          <w:lang w:val="en-US" w:eastAsia="zh-CN"/>
        </w:rPr>
        <w:t xml:space="preserve">采购</w:t>
      </w:r>
      <w:r>
        <w:rPr>
          <w:rFonts w:hint="eastAsia" w:ascii="宋体" w:hAnsi="宋体" w:cs="宋体"/>
          <w:color w:val="000000"/>
          <w:sz w:val="32"/>
          <w:szCs w:val="32"/>
          <w:highlight w:val="none"/>
        </w:rPr>
        <w:t xml:space="preserve">需求响应及偏离表</w:t>
      </w:r>
      <w:r>
        <w:rPr>
          <w:rFonts w:hint="eastAsia" w:ascii="宋体" w:hAnsi="宋体" w:cs="宋体"/>
          <w:color w:val="000000"/>
          <w:sz w:val="32"/>
          <w:szCs w:val="32"/>
          <w:highlight w:val="none"/>
        </w:rPr>
      </w:r>
      <w:r/>
    </w:p>
    <w:p>
      <w:pPr>
        <w:pStyle w:val="957"/>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       </w:t>
      </w:r>
      <w:r>
        <w:rPr>
          <w:rFonts w:hint="eastAsia" w:ascii="宋体" w:hAnsi="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044"/>
        <w:gridCol w:w="2500"/>
        <w:gridCol w:w="2468"/>
        <w:gridCol w:w="1173"/>
      </w:tblGrid>
      <w:tr>
        <w:trPr>
          <w:cantSplit/>
        </w:trPr>
        <w:tc>
          <w:tcPr>
            <w:tcW w:w="984" w:type="dxa"/>
            <w:vAlign w:val="center"/>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044" w:type="dxa"/>
            <w:vAlign w:val="center"/>
            <w:textDirection w:val="lrTb"/>
            <w:noWrap w:val="false"/>
          </w:tcPr>
          <w:p>
            <w:pPr>
              <w:pStyle w:val="957"/>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2500" w:type="dxa"/>
            <w:vAlign w:val="center"/>
            <w:textDirection w:val="lrTb"/>
            <w:noWrap w:val="false"/>
          </w:tcPr>
          <w:p>
            <w:pPr>
              <w:pStyle w:val="957"/>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招标文件中采购需求内容</w:t>
            </w:r>
            <w:r>
              <w:rPr>
                <w:rFonts w:hint="eastAsia" w:ascii="宋体" w:hAnsi="宋体" w:cs="宋体"/>
                <w:color w:val="000000"/>
                <w:sz w:val="24"/>
                <w:szCs w:val="24"/>
                <w:highlight w:val="none"/>
              </w:rPr>
            </w:r>
            <w:r/>
          </w:p>
        </w:tc>
        <w:tc>
          <w:tcPr>
            <w:tcW w:w="2468" w:type="dxa"/>
            <w:vAlign w:val="center"/>
            <w:textDirection w:val="lrTb"/>
            <w:noWrap w:val="false"/>
          </w:tcPr>
          <w:p>
            <w:pPr>
              <w:pStyle w:val="957"/>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投标文件中响应采购需求的内容</w:t>
            </w:r>
            <w:r>
              <w:rPr>
                <w:rFonts w:hint="eastAsia" w:ascii="宋体" w:hAnsi="宋体" w:cs="宋体"/>
                <w:color w:val="000000"/>
                <w:sz w:val="24"/>
                <w:szCs w:val="24"/>
                <w:highlight w:val="none"/>
              </w:rPr>
            </w:r>
            <w:r/>
          </w:p>
        </w:tc>
        <w:tc>
          <w:tcPr>
            <w:tcW w:w="1173" w:type="dxa"/>
            <w:vAlign w:val="center"/>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偏离说明</w:t>
            </w: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4"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00"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8"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957"/>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57"/>
        <w:ind w:firstLine="42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注：该表必须按照招标文件要求逐条如实填写，根据所供产品情况在“偏离说明”项填写正偏离或负偏离及原因，完全符合的填写“无偏离”。</w:t>
      </w:r>
      <w:r>
        <w:rPr>
          <w:rFonts w:hint="eastAsia" w:ascii="宋体" w:hAnsi="宋体" w:cs="宋体"/>
          <w:color w:val="000000"/>
          <w:sz w:val="24"/>
          <w:szCs w:val="24"/>
          <w:highlight w:val="none"/>
        </w:rPr>
      </w:r>
      <w:r/>
    </w:p>
    <w:p>
      <w:pPr>
        <w:pStyle w:val="957"/>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ind w:firstLine="168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法定代表人或被授权人（签字）：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7"/>
        <w:ind w:firstLine="168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ind w:firstLine="168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ind w:firstLine="168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投标人（盖单位公章）：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7"/>
        <w:ind w:firstLine="120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ind w:firstLine="1200"/>
        <w:spacing w:line="44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ind w:firstLine="4622"/>
        <w:spacing w:line="360" w:lineRule="auto"/>
        <w:shd w:val="clear" w:color="auto" w:fill="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rPr>
          <w:rFonts w:hint="eastAsia" w:ascii="宋体" w:hAnsi="宋体" w:cs="宋体"/>
          <w:bCs/>
          <w:color w:val="000000"/>
          <w:sz w:val="24"/>
          <w:szCs w:val="24"/>
          <w:highlight w:val="none"/>
        </w:rPr>
      </w:r>
      <w:r/>
    </w:p>
    <w:p>
      <w:pPr>
        <w:pStyle w:val="957"/>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1016"/>
        <w:shd w:val="clear" w:color="auto" w:fill="auto"/>
        <w:rPr>
          <w:color w:val="000000"/>
          <w:highlight w:val="none"/>
        </w:rPr>
      </w:pPr>
      <w:r>
        <w:rPr>
          <w:color w:val="000000"/>
          <w:highlight w:val="none"/>
        </w:rPr>
      </w:r>
      <w:r/>
    </w:p>
    <w:p>
      <w:pPr>
        <w:pStyle w:val="957"/>
        <w:spacing w:before="50" w:after="50"/>
        <w:shd w:val="clear" w:color="auto" w:fill="auto"/>
        <w:rPr>
          <w:rFonts w:hint="eastAsia" w:ascii="宋体" w:hAnsi="宋体" w:cs="宋体"/>
          <w:color w:val="000000"/>
          <w:sz w:val="32"/>
          <w:szCs w:val="32"/>
          <w:highlight w:val="none"/>
        </w:rPr>
      </w:pPr>
      <w:r/>
      <w:bookmarkEnd w:id="145"/>
      <w:r/>
      <w:bookmarkEnd w:id="146"/>
      <w:r/>
      <w:bookmarkEnd w:id="181"/>
      <w:r/>
      <w:bookmarkStart w:id="182" w:name="_Hlt26955054"/>
      <w:r/>
      <w:bookmarkEnd w:id="182"/>
      <w:r>
        <w:rPr>
          <w:rFonts w:hint="eastAsia" w:ascii="宋体" w:hAnsi="宋体" w:cs="宋体"/>
          <w:color w:val="000000"/>
          <w:sz w:val="32"/>
          <w:szCs w:val="32"/>
          <w:highlight w:val="none"/>
        </w:rPr>
      </w:r>
      <w:r/>
    </w:p>
    <w:p>
      <w:pPr>
        <w:pStyle w:val="957"/>
        <w:jc w:val="center"/>
        <w:spacing w:before="50" w:after="50"/>
        <w:shd w:val="clear" w:color="auto" w:fill="auto"/>
        <w:rPr>
          <w:rFonts w:hint="eastAsia" w:ascii="宋体" w:hAnsi="宋体" w:cs="宋体"/>
          <w:color w:val="000000"/>
          <w:sz w:val="24"/>
          <w:szCs w:val="24"/>
          <w:highlight w:val="none"/>
        </w:rPr>
      </w:pPr>
      <w:r>
        <w:rPr>
          <w:rFonts w:hint="eastAsia" w:ascii="宋体" w:hAnsi="宋体" w:cs="宋体"/>
          <w:color w:val="000000"/>
          <w:sz w:val="32"/>
          <w:szCs w:val="32"/>
          <w:highlight w:val="none"/>
        </w:rPr>
        <w:t xml:space="preserve">九、</w:t>
      </w:r>
      <w:bookmarkStart w:id="183" w:name="_Toc19498"/>
      <w:r>
        <w:rPr>
          <w:rFonts w:hint="eastAsia" w:ascii="宋体" w:hAnsi="宋体" w:cs="宋体"/>
          <w:color w:val="000000"/>
          <w:sz w:val="32"/>
          <w:szCs w:val="32"/>
          <w:highlight w:val="none"/>
        </w:rPr>
        <w:t xml:space="preserve">盐城市大丰区政府招标采购供应商承诺书</w:t>
      </w:r>
      <w:bookmarkEnd w:id="183"/>
      <w:r>
        <w:rPr>
          <w:rFonts w:hint="eastAsia" w:ascii="宋体" w:hAnsi="宋体" w:cs="宋体"/>
          <w:color w:val="000000"/>
          <w:sz w:val="24"/>
          <w:szCs w:val="24"/>
          <w:highlight w:val="none"/>
        </w:rPr>
      </w:r>
      <w:r/>
    </w:p>
    <w:p>
      <w:pPr>
        <w:pStyle w:val="957"/>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为营造公开、公平、公正、诚实守信的政府招标采购交易环境，树立诚信守法的投标人形象，本单位参加政府招标采购项目：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的招标采购活动，本人代表本单位作出以下承诺：</w:t>
      </w:r>
      <w:r>
        <w:rPr>
          <w:rFonts w:hint="eastAsia" w:ascii="宋体" w:hAnsi="宋体" w:cs="宋体"/>
          <w:color w:val="000000"/>
          <w:sz w:val="24"/>
          <w:szCs w:val="24"/>
          <w:highlight w:val="none"/>
        </w:rPr>
      </w:r>
      <w:r/>
    </w:p>
    <w:p>
      <w:pPr>
        <w:pStyle w:val="957"/>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4"/>
          <w:highlight w:val="none"/>
        </w:rPr>
      </w:r>
      <w:r/>
    </w:p>
    <w:p>
      <w:pPr>
        <w:pStyle w:val="957"/>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4"/>
          <w:highlight w:val="none"/>
        </w:rPr>
      </w:r>
      <w:r/>
    </w:p>
    <w:p>
      <w:pPr>
        <w:pStyle w:val="957"/>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（三）严格依照国家和省、市关于政府招标采购的法律、法规、规章、规范性文件，参加政府招标采购的投标活动；积极履行社会责任，促进廉政建设； </w:t>
      </w:r>
      <w:r>
        <w:rPr>
          <w:rFonts w:hint="eastAsia" w:ascii="宋体" w:hAnsi="宋体" w:cs="宋体"/>
          <w:color w:val="000000"/>
          <w:sz w:val="24"/>
          <w:szCs w:val="24"/>
          <w:highlight w:val="none"/>
        </w:rPr>
      </w:r>
      <w:r/>
    </w:p>
    <w:p>
      <w:pPr>
        <w:pStyle w:val="957"/>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（四）严格遵守即时信息公示规定，及时维护和更新盐城市政府采购网、公共资源交易平台中与本单位相关的信息；</w:t>
      </w:r>
      <w:r>
        <w:rPr>
          <w:rFonts w:hint="eastAsia" w:ascii="宋体" w:hAnsi="宋体" w:cs="宋体"/>
          <w:color w:val="000000"/>
          <w:sz w:val="24"/>
          <w:szCs w:val="24"/>
          <w:highlight w:val="none"/>
        </w:rPr>
      </w:r>
      <w:r/>
    </w:p>
    <w:p>
      <w:pPr>
        <w:pStyle w:val="957"/>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hint="eastAsia" w:ascii="宋体" w:hAnsi="宋体" w:cs="宋体"/>
          <w:color w:val="000000"/>
          <w:sz w:val="24"/>
          <w:szCs w:val="24"/>
          <w:highlight w:val="none"/>
        </w:rPr>
      </w:r>
      <w:r/>
    </w:p>
    <w:p>
      <w:pPr>
        <w:pStyle w:val="957"/>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（六）自觉接受政府、行业组织、社会公众、新闻舆论的监督；</w:t>
      </w:r>
      <w:r>
        <w:rPr>
          <w:rFonts w:hint="eastAsia" w:ascii="宋体" w:hAnsi="宋体" w:cs="宋体"/>
          <w:color w:val="000000"/>
          <w:sz w:val="24"/>
          <w:szCs w:val="24"/>
          <w:highlight w:val="none"/>
        </w:rPr>
      </w:r>
      <w:r/>
    </w:p>
    <w:p>
      <w:pPr>
        <w:pStyle w:val="957"/>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4"/>
          <w:highlight w:val="none"/>
        </w:rPr>
      </w:r>
      <w:r/>
    </w:p>
    <w:p>
      <w:pPr>
        <w:pStyle w:val="957"/>
        <w:ind w:firstLine="48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（八）本人已认真阅读了上述承诺，并向本单位员工作了宣传教育。</w:t>
      </w:r>
      <w:r>
        <w:rPr>
          <w:rFonts w:hint="eastAsia" w:ascii="宋体" w:hAnsi="宋体" w:cs="宋体"/>
          <w:color w:val="000000"/>
          <w:sz w:val="24"/>
          <w:szCs w:val="24"/>
          <w:highlight w:val="none"/>
        </w:rPr>
      </w:r>
      <w:r/>
    </w:p>
    <w:p>
      <w:pPr>
        <w:pStyle w:val="957"/>
        <w:ind w:firstLine="720"/>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法定代表人（或者负责人）签名：           单位名称（盖章）：</w:t>
      </w:r>
      <w:r>
        <w:rPr>
          <w:rFonts w:hint="eastAsia" w:ascii="宋体" w:hAnsi="宋体" w:cs="宋体"/>
          <w:color w:val="000000"/>
          <w:sz w:val="24"/>
          <w:szCs w:val="24"/>
          <w:highlight w:val="none"/>
        </w:rPr>
      </w:r>
      <w:r/>
    </w:p>
    <w:p>
      <w:pPr>
        <w:pStyle w:val="957"/>
        <w:jc w:val="righ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方正黑体_GBK">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57"/>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rPr>
        <w:rStyle w:val="1019"/>
      </w:rPr>
    </w:r>
    <w:r/>
  </w:p>
  <w:p>
    <w:pPr>
      <w:pStyle w:val="99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57"/>
      </w:pPr>
      <w:rPr>
        <w:rFonts w:hint="eastAsia"/>
      </w:rPr>
    </w:lvl>
    <w:lvl w:ilvl="1">
      <w:start w:val="1"/>
      <w:numFmt w:val="bullet"/>
      <w:isLgl w:val="false"/>
      <w:suff w:val="tab"/>
      <w:lvlText w:val="o"/>
      <w:lvlJc w:val="left"/>
      <w:pPr>
        <w:pStyle w:val="957"/>
        <w:ind w:left="1440" w:hanging="360"/>
      </w:pPr>
      <w:rPr>
        <w:rFonts w:ascii="Courier New" w:hAnsi="Courier New" w:eastAsia="Courier New" w:cs="Courier New"/>
      </w:rPr>
    </w:lvl>
    <w:lvl w:ilvl="2">
      <w:start w:val="1"/>
      <w:numFmt w:val="bullet"/>
      <w:isLgl w:val="false"/>
      <w:suff w:val="tab"/>
      <w:lvlText w:val="§"/>
      <w:lvlJc w:val="left"/>
      <w:pPr>
        <w:pStyle w:val="957"/>
        <w:ind w:left="2160" w:hanging="360"/>
      </w:pPr>
      <w:rPr>
        <w:rFonts w:ascii="Wingdings" w:hAnsi="Wingdings" w:eastAsia="Wingdings" w:cs="Wingdings"/>
      </w:rPr>
    </w:lvl>
    <w:lvl w:ilvl="3">
      <w:start w:val="1"/>
      <w:numFmt w:val="bullet"/>
      <w:isLgl w:val="false"/>
      <w:suff w:val="tab"/>
      <w:lvlText w:val="·"/>
      <w:lvlJc w:val="left"/>
      <w:pPr>
        <w:pStyle w:val="957"/>
        <w:ind w:left="2880" w:hanging="360"/>
      </w:pPr>
      <w:rPr>
        <w:rFonts w:ascii="Symbol" w:hAnsi="Symbol" w:eastAsia="Symbol" w:cs="Symbol"/>
      </w:rPr>
    </w:lvl>
    <w:lvl w:ilvl="4">
      <w:start w:val="1"/>
      <w:numFmt w:val="bullet"/>
      <w:isLgl w:val="false"/>
      <w:suff w:val="tab"/>
      <w:lvlText w:val="o"/>
      <w:lvlJc w:val="left"/>
      <w:pPr>
        <w:pStyle w:val="957"/>
        <w:ind w:left="3600" w:hanging="360"/>
      </w:pPr>
      <w:rPr>
        <w:rFonts w:ascii="Courier New" w:hAnsi="Courier New" w:eastAsia="Courier New" w:cs="Courier New"/>
      </w:rPr>
    </w:lvl>
    <w:lvl w:ilvl="5">
      <w:start w:val="1"/>
      <w:numFmt w:val="bullet"/>
      <w:isLgl w:val="false"/>
      <w:suff w:val="tab"/>
      <w:lvlText w:val="§"/>
      <w:lvlJc w:val="left"/>
      <w:pPr>
        <w:pStyle w:val="957"/>
        <w:ind w:left="4320" w:hanging="360"/>
      </w:pPr>
      <w:rPr>
        <w:rFonts w:ascii="Wingdings" w:hAnsi="Wingdings" w:eastAsia="Wingdings" w:cs="Wingdings"/>
      </w:rPr>
    </w:lvl>
    <w:lvl w:ilvl="6">
      <w:start w:val="1"/>
      <w:numFmt w:val="bullet"/>
      <w:isLgl w:val="false"/>
      <w:suff w:val="tab"/>
      <w:lvlText w:val="·"/>
      <w:lvlJc w:val="left"/>
      <w:pPr>
        <w:pStyle w:val="957"/>
        <w:ind w:left="5040" w:hanging="360"/>
      </w:pPr>
      <w:rPr>
        <w:rFonts w:ascii="Symbol" w:hAnsi="Symbol" w:eastAsia="Symbol" w:cs="Symbol"/>
      </w:rPr>
    </w:lvl>
    <w:lvl w:ilvl="7">
      <w:start w:val="1"/>
      <w:numFmt w:val="bullet"/>
      <w:isLgl w:val="false"/>
      <w:suff w:val="tab"/>
      <w:lvlText w:val="o"/>
      <w:lvlJc w:val="left"/>
      <w:pPr>
        <w:pStyle w:val="957"/>
        <w:ind w:left="5760" w:hanging="360"/>
      </w:pPr>
      <w:rPr>
        <w:rFonts w:ascii="Courier New" w:hAnsi="Courier New" w:eastAsia="Courier New" w:cs="Courier New"/>
      </w:rPr>
    </w:lvl>
    <w:lvl w:ilvl="8">
      <w:start w:val="1"/>
      <w:numFmt w:val="bullet"/>
      <w:isLgl w:val="false"/>
      <w:suff w:val="tab"/>
      <w:lvlText w:val="§"/>
      <w:lvlJc w:val="left"/>
      <w:pPr>
        <w:pStyle w:val="957"/>
        <w:ind w:left="6480" w:hanging="360"/>
      </w:pPr>
      <w:rPr>
        <w:rFonts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pStyle w:val="957"/>
      </w:pPr>
    </w:lvl>
    <w:lvl w:ilvl="1">
      <w:start w:val="1"/>
      <w:numFmt w:val="bullet"/>
      <w:isLgl w:val="false"/>
      <w:suff w:val="space"/>
      <w:lvlText w:val="o"/>
      <w:lvlJc w:val="left"/>
      <w:pPr>
        <w:pStyle w:val="957"/>
        <w:ind w:left="1440" w:hanging="360"/>
      </w:pPr>
      <w:rPr>
        <w:rFonts w:ascii="Courier New" w:hAnsi="Courier New" w:eastAsia="Courier New" w:cs="Courier New"/>
      </w:rPr>
    </w:lvl>
    <w:lvl w:ilvl="2">
      <w:start w:val="1"/>
      <w:numFmt w:val="bullet"/>
      <w:isLgl w:val="false"/>
      <w:suff w:val="space"/>
      <w:lvlText w:val="§"/>
      <w:lvlJc w:val="left"/>
      <w:pPr>
        <w:pStyle w:val="957"/>
        <w:ind w:left="2160" w:hanging="360"/>
      </w:pPr>
      <w:rPr>
        <w:rFonts w:ascii="Wingdings" w:hAnsi="Wingdings" w:eastAsia="Wingdings" w:cs="Wingdings"/>
      </w:rPr>
    </w:lvl>
    <w:lvl w:ilvl="3">
      <w:start w:val="1"/>
      <w:numFmt w:val="bullet"/>
      <w:isLgl w:val="false"/>
      <w:suff w:val="space"/>
      <w:lvlText w:val="·"/>
      <w:lvlJc w:val="left"/>
      <w:pPr>
        <w:pStyle w:val="957"/>
        <w:ind w:left="2880" w:hanging="360"/>
      </w:pPr>
      <w:rPr>
        <w:rFonts w:ascii="Symbol" w:hAnsi="Symbol" w:eastAsia="Symbol" w:cs="Symbol"/>
      </w:rPr>
    </w:lvl>
    <w:lvl w:ilvl="4">
      <w:start w:val="1"/>
      <w:numFmt w:val="bullet"/>
      <w:isLgl w:val="false"/>
      <w:suff w:val="space"/>
      <w:lvlText w:val="o"/>
      <w:lvlJc w:val="left"/>
      <w:pPr>
        <w:pStyle w:val="957"/>
        <w:ind w:left="3600" w:hanging="360"/>
      </w:pPr>
      <w:rPr>
        <w:rFonts w:ascii="Courier New" w:hAnsi="Courier New" w:eastAsia="Courier New" w:cs="Courier New"/>
      </w:rPr>
    </w:lvl>
    <w:lvl w:ilvl="5">
      <w:start w:val="1"/>
      <w:numFmt w:val="bullet"/>
      <w:isLgl w:val="false"/>
      <w:suff w:val="space"/>
      <w:lvlText w:val="§"/>
      <w:lvlJc w:val="left"/>
      <w:pPr>
        <w:pStyle w:val="957"/>
        <w:ind w:left="4320" w:hanging="360"/>
      </w:pPr>
      <w:rPr>
        <w:rFonts w:ascii="Wingdings" w:hAnsi="Wingdings" w:eastAsia="Wingdings" w:cs="Wingdings"/>
      </w:rPr>
    </w:lvl>
    <w:lvl w:ilvl="6">
      <w:start w:val="1"/>
      <w:numFmt w:val="bullet"/>
      <w:isLgl w:val="false"/>
      <w:suff w:val="space"/>
      <w:lvlText w:val="·"/>
      <w:lvlJc w:val="left"/>
      <w:pPr>
        <w:pStyle w:val="957"/>
        <w:ind w:left="5040" w:hanging="360"/>
      </w:pPr>
      <w:rPr>
        <w:rFonts w:ascii="Symbol" w:hAnsi="Symbol" w:eastAsia="Symbol" w:cs="Symbol"/>
      </w:rPr>
    </w:lvl>
    <w:lvl w:ilvl="7">
      <w:start w:val="1"/>
      <w:numFmt w:val="bullet"/>
      <w:isLgl w:val="false"/>
      <w:suff w:val="space"/>
      <w:lvlText w:val="o"/>
      <w:lvlJc w:val="left"/>
      <w:pPr>
        <w:pStyle w:val="957"/>
        <w:ind w:left="5760" w:hanging="360"/>
      </w:pPr>
      <w:rPr>
        <w:rFonts w:ascii="Courier New" w:hAnsi="Courier New" w:eastAsia="Courier New" w:cs="Courier New"/>
      </w:rPr>
    </w:lvl>
    <w:lvl w:ilvl="8">
      <w:start w:val="1"/>
      <w:numFmt w:val="bullet"/>
      <w:isLgl w:val="false"/>
      <w:suff w:val="space"/>
      <w:lvlText w:val="§"/>
      <w:lvlJc w:val="left"/>
      <w:pPr>
        <w:pStyle w:val="957"/>
        <w:ind w:left="6480" w:hanging="360"/>
      </w:pPr>
      <w:rPr>
        <w:rFonts w:ascii="Wingdings" w:hAnsi="Wingdings" w:eastAsia="Wingdings" w:cs="Wingdings"/>
      </w:rPr>
    </w:lvl>
  </w:abstractNum>
  <w:abstractNum w:abstractNumId="3">
    <w:multiLevelType w:val="hybridMultilevel"/>
    <w:lvl w:ilvl="0">
      <w:start w:val="1"/>
      <w:numFmt w:val="upperLetter"/>
      <w:pStyle w:val="1041"/>
      <w:isLgl w:val="false"/>
      <w:suff w:val="tab"/>
      <w:lvlText w:val="附录%1."/>
      <w:lvlJc w:val="left"/>
      <w:pPr>
        <w:pStyle w:val="9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57"/>
        <w:ind w:left="975" w:hanging="495"/>
      </w:pPr>
      <w:rPr>
        <w:b/>
        <w:lang w:val="en-US"/>
      </w:rPr>
    </w:lvl>
    <w:lvl w:ilvl="1">
      <w:start w:val="1"/>
      <w:numFmt w:val="lowerLetter"/>
      <w:isLgl w:val="false"/>
      <w:suff w:val="tab"/>
      <w:lvlText w:val="%2)"/>
      <w:lvlJc w:val="left"/>
      <w:pPr>
        <w:pStyle w:val="957"/>
        <w:ind w:left="1320" w:hanging="420"/>
      </w:pPr>
    </w:lvl>
    <w:lvl w:ilvl="2">
      <w:start w:val="1"/>
      <w:numFmt w:val="lowerRoman"/>
      <w:isLgl w:val="false"/>
      <w:suff w:val="tab"/>
      <w:lvlText w:val="%3."/>
      <w:lvlJc w:val="right"/>
      <w:pPr>
        <w:pStyle w:val="957"/>
        <w:ind w:left="1740" w:hanging="420"/>
      </w:pPr>
    </w:lvl>
    <w:lvl w:ilvl="3">
      <w:start w:val="1"/>
      <w:numFmt w:val="decimal"/>
      <w:isLgl w:val="false"/>
      <w:suff w:val="tab"/>
      <w:lvlText w:val="%4."/>
      <w:lvlJc w:val="left"/>
      <w:pPr>
        <w:pStyle w:val="957"/>
        <w:ind w:left="2160" w:hanging="420"/>
      </w:pPr>
    </w:lvl>
    <w:lvl w:ilvl="4">
      <w:start w:val="1"/>
      <w:numFmt w:val="lowerLetter"/>
      <w:isLgl w:val="false"/>
      <w:suff w:val="tab"/>
      <w:lvlText w:val="%5)"/>
      <w:lvlJc w:val="left"/>
      <w:pPr>
        <w:pStyle w:val="957"/>
        <w:ind w:left="2580" w:hanging="420"/>
      </w:pPr>
    </w:lvl>
    <w:lvl w:ilvl="5">
      <w:start w:val="1"/>
      <w:numFmt w:val="lowerRoman"/>
      <w:isLgl w:val="false"/>
      <w:suff w:val="tab"/>
      <w:lvlText w:val="%6."/>
      <w:lvlJc w:val="right"/>
      <w:pPr>
        <w:pStyle w:val="957"/>
        <w:ind w:left="3000" w:hanging="420"/>
      </w:pPr>
    </w:lvl>
    <w:lvl w:ilvl="6">
      <w:start w:val="1"/>
      <w:numFmt w:val="decimal"/>
      <w:isLgl w:val="false"/>
      <w:suff w:val="tab"/>
      <w:lvlText w:val="%7."/>
      <w:lvlJc w:val="left"/>
      <w:pPr>
        <w:pStyle w:val="957"/>
        <w:ind w:left="3420" w:hanging="420"/>
      </w:pPr>
    </w:lvl>
    <w:lvl w:ilvl="7">
      <w:start w:val="1"/>
      <w:numFmt w:val="lowerLetter"/>
      <w:isLgl w:val="false"/>
      <w:suff w:val="tab"/>
      <w:lvlText w:val="%8)"/>
      <w:lvlJc w:val="left"/>
      <w:pPr>
        <w:pStyle w:val="957"/>
        <w:ind w:left="3840" w:hanging="420"/>
      </w:pPr>
    </w:lvl>
    <w:lvl w:ilvl="8">
      <w:start w:val="1"/>
      <w:numFmt w:val="lowerRoman"/>
      <w:isLgl w:val="false"/>
      <w:suff w:val="tab"/>
      <w:lvlText w:val="%9."/>
      <w:lvlJc w:val="right"/>
      <w:pPr>
        <w:pStyle w:val="957"/>
        <w:ind w:left="4260" w:hanging="420"/>
      </w:pPr>
    </w:lvl>
  </w:abstractNum>
  <w:abstractNum w:abstractNumId="5">
    <w:multiLevelType w:val="hybridMultilevel"/>
    <w:lvl w:ilvl="0">
      <w:start w:val="1"/>
      <w:numFmt w:val="decimal"/>
      <w:pStyle w:val="1069"/>
      <w:isLgl w:val="false"/>
      <w:suff w:val="tab"/>
      <w:lvlText w:val="%1."/>
      <w:lvlJc w:val="left"/>
      <w:pPr>
        <w:pStyle w:val="957"/>
        <w:ind w:left="709" w:hanging="709"/>
        <w:tabs>
          <w:tab w:val="num" w:pos="709" w:leader="none"/>
        </w:tabs>
      </w:pPr>
      <w:rPr>
        <w:rFonts w:hint="eastAsia"/>
      </w:rPr>
    </w:lvl>
    <w:lvl w:ilvl="1">
      <w:start w:val="1"/>
      <w:numFmt w:val="decimal"/>
      <w:isLgl w:val="false"/>
      <w:suff w:val="tab"/>
      <w:lvlText w:val="%1.%2"/>
      <w:lvlJc w:val="left"/>
      <w:pPr>
        <w:pStyle w:val="957"/>
        <w:ind w:left="709" w:hanging="709"/>
        <w:tabs>
          <w:tab w:val="num" w:pos="709" w:leader="none"/>
        </w:tabs>
      </w:pPr>
      <w:rPr>
        <w:rFonts w:hint="eastAsia"/>
      </w:rPr>
    </w:lvl>
    <w:lvl w:ilvl="2">
      <w:start w:val="1"/>
      <w:numFmt w:val="decimal"/>
      <w:isLgl w:val="false"/>
      <w:suff w:val="tab"/>
      <w:lvlText w:val="%1.%2.%3."/>
      <w:lvlJc w:val="left"/>
      <w:pPr>
        <w:pStyle w:val="957"/>
        <w:ind w:left="425" w:hanging="425"/>
        <w:tabs>
          <w:tab w:val="num" w:pos="425" w:leader="none"/>
        </w:tabs>
      </w:pPr>
      <w:rPr>
        <w:rFonts w:hint="eastAsia"/>
      </w:rPr>
    </w:lvl>
    <w:lvl w:ilvl="3">
      <w:start w:val="1"/>
      <w:numFmt w:val="decimal"/>
      <w:isLgl w:val="false"/>
      <w:suff w:val="tab"/>
      <w:lvlText w:val="%1.%2.%3.%4."/>
      <w:lvlJc w:val="left"/>
      <w:pPr>
        <w:pStyle w:val="957"/>
        <w:ind w:left="851" w:hanging="851"/>
        <w:tabs>
          <w:tab w:val="num" w:pos="851" w:leader="none"/>
        </w:tabs>
      </w:pPr>
      <w:rPr>
        <w:rFonts w:hint="eastAsia"/>
      </w:rPr>
    </w:lvl>
    <w:lvl w:ilvl="4">
      <w:start w:val="1"/>
      <w:numFmt w:val="decimal"/>
      <w:isLgl w:val="false"/>
      <w:suff w:val="tab"/>
      <w:lvlText w:val="%1.%2.%3.%4.%5."/>
      <w:lvlJc w:val="left"/>
      <w:pPr>
        <w:pStyle w:val="957"/>
        <w:ind w:left="992" w:hanging="992"/>
        <w:tabs>
          <w:tab w:val="num" w:pos="992" w:leader="none"/>
        </w:tabs>
      </w:pPr>
      <w:rPr>
        <w:rFonts w:hint="eastAsia"/>
      </w:rPr>
    </w:lvl>
    <w:lvl w:ilvl="5">
      <w:start w:val="1"/>
      <w:numFmt w:val="decimal"/>
      <w:isLgl w:val="false"/>
      <w:suff w:val="tab"/>
      <w:lvlText w:val="%1.%2.%3.%4.%5.%6."/>
      <w:lvlJc w:val="left"/>
      <w:pPr>
        <w:pStyle w:val="957"/>
        <w:ind w:left="1134" w:hanging="1134"/>
        <w:tabs>
          <w:tab w:val="num" w:pos="1134" w:leader="none"/>
        </w:tabs>
      </w:pPr>
      <w:rPr>
        <w:rFonts w:hint="eastAsia"/>
      </w:rPr>
    </w:lvl>
    <w:lvl w:ilvl="6">
      <w:start w:val="1"/>
      <w:numFmt w:val="decimal"/>
      <w:isLgl w:val="false"/>
      <w:suff w:val="tab"/>
      <w:lvlText w:val="%1.%2.%3.%4.%5.%6.%7."/>
      <w:lvlJc w:val="left"/>
      <w:pPr>
        <w:pStyle w:val="957"/>
        <w:ind w:left="1276" w:hanging="1276"/>
        <w:tabs>
          <w:tab w:val="num" w:pos="1276" w:leader="none"/>
        </w:tabs>
      </w:pPr>
      <w:rPr>
        <w:rFonts w:hint="eastAsia"/>
      </w:rPr>
    </w:lvl>
    <w:lvl w:ilvl="7">
      <w:start w:val="1"/>
      <w:numFmt w:val="decimal"/>
      <w:isLgl w:val="false"/>
      <w:suff w:val="tab"/>
      <w:lvlText w:val="%1.%2.%3.%4.%5.%6.%7.%8."/>
      <w:lvlJc w:val="left"/>
      <w:pPr>
        <w:pStyle w:val="957"/>
        <w:ind w:left="1418" w:hanging="1418"/>
        <w:tabs>
          <w:tab w:val="num" w:pos="1418" w:leader="none"/>
        </w:tabs>
      </w:pPr>
      <w:rPr>
        <w:rFonts w:hint="eastAsia"/>
      </w:rPr>
    </w:lvl>
    <w:lvl w:ilvl="8">
      <w:start w:val="1"/>
      <w:numFmt w:val="decimal"/>
      <w:isLgl w:val="false"/>
      <w:suff w:val="tab"/>
      <w:lvlText w:val="%1.%2.%3.%4.%5.%6.%7.%8.%9."/>
      <w:lvlJc w:val="left"/>
      <w:pPr>
        <w:pStyle w:val="957"/>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57"/>
        <w:ind w:left="0" w:firstLine="0"/>
      </w:pPr>
      <w:rPr>
        <w:rFonts w:hint="eastAsia"/>
      </w:rPr>
    </w:lvl>
    <w:lvl w:ilvl="1">
      <w:start w:val="1"/>
      <w:numFmt w:val="decimal"/>
      <w:isLgl w:val="false"/>
      <w:suff w:val="nothing"/>
      <w:lvlText w:val="%2、"/>
      <w:lvlJc w:val="left"/>
      <w:pPr>
        <w:pStyle w:val="957"/>
        <w:ind w:left="0" w:firstLine="0"/>
      </w:pPr>
      <w:rPr>
        <w:rFonts w:hint="eastAsia"/>
      </w:rPr>
    </w:lvl>
    <w:lvl w:ilvl="2">
      <w:start w:val="1"/>
      <w:numFmt w:val="decimal"/>
      <w:isLgl w:val="false"/>
      <w:suff w:val="nothing"/>
      <w:lvlText w:val="%2.%3 "/>
      <w:lvlJc w:val="left"/>
      <w:pPr>
        <w:pStyle w:val="957"/>
        <w:ind w:left="0" w:firstLine="0"/>
      </w:pPr>
      <w:rPr>
        <w:rFonts w:hint="eastAsia"/>
      </w:rPr>
    </w:lvl>
    <w:lvl w:ilvl="3">
      <w:start w:val="1"/>
      <w:numFmt w:val="decimal"/>
      <w:isLgl w:val="false"/>
      <w:suff w:val="nothing"/>
      <w:lvlText w:val="%2.%3.%4 "/>
      <w:lvlJc w:val="left"/>
      <w:pPr>
        <w:pStyle w:val="957"/>
        <w:ind w:left="0" w:firstLine="0"/>
      </w:pPr>
      <w:rPr>
        <w:rFonts w:hint="eastAsia"/>
      </w:rPr>
    </w:lvl>
    <w:lvl w:ilvl="4">
      <w:start w:val="1"/>
      <w:numFmt w:val="decimal"/>
      <w:isLgl w:val="false"/>
      <w:suff w:val="nothing"/>
      <w:lvlText w:val="%2.%3.%4.%5 "/>
      <w:lvlJc w:val="left"/>
      <w:pPr>
        <w:pStyle w:val="957"/>
        <w:ind w:left="0" w:firstLine="0"/>
      </w:pPr>
      <w:rPr>
        <w:rFonts w:hint="eastAsia"/>
      </w:rPr>
    </w:lvl>
    <w:lvl w:ilvl="5">
      <w:start w:val="1"/>
      <w:numFmt w:val="decimal"/>
      <w:pStyle w:val="963"/>
      <w:isLgl w:val="false"/>
      <w:suff w:val="nothing"/>
      <w:lvlText w:val=""/>
      <w:lvlJc w:val="left"/>
      <w:pPr>
        <w:pStyle w:val="957"/>
        <w:ind w:left="0" w:firstLine="0"/>
      </w:pPr>
      <w:rPr>
        <w:rFonts w:hint="eastAsia"/>
      </w:rPr>
    </w:lvl>
    <w:lvl w:ilvl="6">
      <w:start w:val="1"/>
      <w:numFmt w:val="decimal"/>
      <w:pStyle w:val="964"/>
      <w:isLgl w:val="false"/>
      <w:suff w:val="nothing"/>
      <w:lvlText w:val=""/>
      <w:lvlJc w:val="left"/>
      <w:pPr>
        <w:pStyle w:val="957"/>
        <w:ind w:left="0" w:firstLine="0"/>
      </w:pPr>
      <w:rPr>
        <w:rFonts w:hint="eastAsia"/>
      </w:rPr>
    </w:lvl>
    <w:lvl w:ilvl="7">
      <w:start w:val="1"/>
      <w:numFmt w:val="decimal"/>
      <w:pStyle w:val="965"/>
      <w:isLgl w:val="false"/>
      <w:suff w:val="nothing"/>
      <w:lvlText w:val=""/>
      <w:lvlJc w:val="left"/>
      <w:pPr>
        <w:pStyle w:val="957"/>
        <w:ind w:left="0" w:firstLine="0"/>
      </w:pPr>
      <w:rPr>
        <w:rFonts w:hint="eastAsia"/>
      </w:rPr>
    </w:lvl>
    <w:lvl w:ilvl="8">
      <w:start w:val="1"/>
      <w:numFmt w:val="decimal"/>
      <w:pStyle w:val="966"/>
      <w:isLgl w:val="false"/>
      <w:suff w:val="nothing"/>
      <w:lvlText w:val=""/>
      <w:lvlJc w:val="left"/>
      <w:pPr>
        <w:pStyle w:val="957"/>
        <w:ind w:left="0" w:firstLine="0"/>
      </w:pPr>
      <w:rPr>
        <w:rFonts w:hint="eastAsia"/>
      </w:rPr>
    </w:lvl>
  </w:abstractNum>
  <w:abstractNum w:abstractNumId="7">
    <w:multiLevelType w:val="hybridMultilevel"/>
    <w:lvl w:ilvl="0">
      <w:start w:val="1"/>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pStyle w:val="1080"/>
      <w:isLgl w:val="false"/>
      <w:suff w:val="tab"/>
      <w:lvlText w:val="第%1章"/>
      <w:lvlJc w:val="left"/>
      <w:pPr>
        <w:pStyle w:val="95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8"/>
  </w:num>
  <w:num w:numId="5">
    <w:abstractNumId w:val="2"/>
  </w:num>
  <w:num w:numId="6">
    <w:abstractNumId w:val="1"/>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957"/>
    <w:next w:val="957"/>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957"/>
    <w:next w:val="957"/>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957"/>
    <w:next w:val="957"/>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7"/>
    <w:next w:val="957"/>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7"/>
    <w:next w:val="957"/>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7"/>
    <w:next w:val="957"/>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7"/>
    <w:next w:val="957"/>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7"/>
    <w:next w:val="957"/>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7"/>
    <w:next w:val="957"/>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7"/>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7"/>
    <w:next w:val="957"/>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7"/>
    <w:next w:val="957"/>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7"/>
    <w:next w:val="957"/>
    <w:link w:val="804"/>
    <w:uiPriority w:val="29"/>
    <w:qFormat/>
    <w:pPr>
      <w:ind w:left="720" w:right="720"/>
    </w:pPr>
    <w:rPr>
      <w:i/>
    </w:rPr>
  </w:style>
  <w:style w:type="character" w:styleId="804">
    <w:name w:val="Quote Char"/>
    <w:link w:val="803"/>
    <w:uiPriority w:val="29"/>
    <w:rPr>
      <w:i/>
    </w:rPr>
  </w:style>
  <w:style w:type="paragraph" w:styleId="805">
    <w:name w:val="Intense Quote"/>
    <w:basedOn w:val="957"/>
    <w:next w:val="9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7"/>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957"/>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957"/>
    <w:next w:val="957"/>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9"/>
    <w:link w:val="957"/>
    <w:qFormat/>
    <w:pPr>
      <w:jc w:val="both"/>
      <w:widowControl w:val="off"/>
    </w:pPr>
    <w:rPr>
      <w:sz w:val="21"/>
      <w:szCs w:val="21"/>
      <w:lang w:val="en-US" w:eastAsia="zh-CN" w:bidi="ar-SA"/>
    </w:rPr>
  </w:style>
  <w:style w:type="paragraph" w:styleId="958">
    <w:name w:val="标题 1"/>
    <w:basedOn w:val="957"/>
    <w:next w:val="957"/>
    <w:link w:val="970"/>
    <w:uiPriority w:val="9"/>
    <w:qFormat/>
    <w:pPr>
      <w:jc w:val="center"/>
      <w:keepNext/>
      <w:outlineLvl w:val="0"/>
    </w:pPr>
    <w:rPr>
      <w:rFonts w:ascii="楷体_GB2312" w:eastAsia="楷体_GB2312"/>
      <w:sz w:val="28"/>
      <w:szCs w:val="28"/>
    </w:rPr>
  </w:style>
  <w:style w:type="paragraph" w:styleId="959">
    <w:name w:val="标题 2"/>
    <w:basedOn w:val="957"/>
    <w:next w:val="972"/>
    <w:link w:val="971"/>
    <w:uiPriority w:val="9"/>
    <w:qFormat/>
    <w:pPr>
      <w:jc w:val="center"/>
      <w:keepLines/>
      <w:keepNext/>
      <w:spacing w:before="260" w:after="260" w:line="416" w:lineRule="auto"/>
      <w:outlineLvl w:val="1"/>
    </w:pPr>
    <w:rPr>
      <w:rFonts w:ascii="Arial" w:hAnsi="Arial" w:eastAsia="幼圆"/>
      <w:b/>
      <w:bCs/>
      <w:sz w:val="44"/>
      <w:szCs w:val="44"/>
    </w:rPr>
  </w:style>
  <w:style w:type="paragraph" w:styleId="960">
    <w:name w:val="标题 3"/>
    <w:basedOn w:val="957"/>
    <w:next w:val="972"/>
    <w:link w:val="974"/>
    <w:uiPriority w:val="9"/>
    <w:qFormat/>
    <w:pPr>
      <w:keepLines/>
      <w:keepNext/>
      <w:spacing w:before="260" w:after="260" w:line="416" w:lineRule="auto"/>
      <w:outlineLvl w:val="2"/>
    </w:pPr>
    <w:rPr>
      <w:b/>
      <w:bCs/>
      <w:sz w:val="32"/>
      <w:szCs w:val="32"/>
    </w:rPr>
  </w:style>
  <w:style w:type="paragraph" w:styleId="961">
    <w:name w:val="标题 4"/>
    <w:basedOn w:val="957"/>
    <w:next w:val="957"/>
    <w:link w:val="975"/>
    <w:uiPriority w:val="9"/>
    <w:qFormat/>
    <w:pPr>
      <w:keepLines/>
      <w:keepNext/>
      <w:spacing w:before="280" w:after="290" w:line="376" w:lineRule="auto"/>
      <w:outlineLvl w:val="3"/>
    </w:pPr>
    <w:rPr>
      <w:rFonts w:ascii="Arial" w:hAnsi="Arial" w:eastAsia="黑体"/>
      <w:b/>
      <w:bCs/>
      <w:sz w:val="28"/>
      <w:szCs w:val="28"/>
    </w:rPr>
  </w:style>
  <w:style w:type="paragraph" w:styleId="962">
    <w:name w:val="标题 5"/>
    <w:basedOn w:val="957"/>
    <w:next w:val="972"/>
    <w:link w:val="976"/>
    <w:uiPriority w:val="9"/>
    <w:qFormat/>
    <w:pPr>
      <w:keepNext/>
      <w:outlineLvl w:val="4"/>
    </w:pPr>
    <w:rPr>
      <w:rFonts w:ascii="宋体"/>
      <w:color w:val="000000"/>
      <w:sz w:val="28"/>
      <w:szCs w:val="28"/>
    </w:rPr>
  </w:style>
  <w:style w:type="paragraph" w:styleId="963">
    <w:name w:val="标题 6"/>
    <w:basedOn w:val="957"/>
    <w:next w:val="957"/>
    <w:link w:val="97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964">
    <w:name w:val="标题 7"/>
    <w:basedOn w:val="957"/>
    <w:next w:val="957"/>
    <w:link w:val="978"/>
    <w:uiPriority w:val="9"/>
    <w:qFormat/>
    <w:pPr>
      <w:numPr>
        <w:ilvl w:val="6"/>
        <w:numId w:val="1"/>
      </w:numPr>
      <w:keepLines/>
      <w:keepNext/>
      <w:spacing w:before="240" w:after="64" w:line="320" w:lineRule="auto"/>
      <w:outlineLvl w:val="6"/>
    </w:pPr>
    <w:rPr>
      <w:b/>
      <w:bCs/>
      <w:sz w:val="24"/>
      <w:szCs w:val="24"/>
    </w:rPr>
  </w:style>
  <w:style w:type="paragraph" w:styleId="965">
    <w:name w:val="标题 8"/>
    <w:basedOn w:val="957"/>
    <w:next w:val="957"/>
    <w:link w:val="957"/>
    <w:qFormat/>
    <w:pPr>
      <w:numPr>
        <w:ilvl w:val="7"/>
        <w:numId w:val="1"/>
      </w:numPr>
      <w:keepLines/>
      <w:keepNext/>
      <w:spacing w:before="240" w:after="64" w:line="320" w:lineRule="auto"/>
      <w:outlineLvl w:val="7"/>
    </w:pPr>
    <w:rPr>
      <w:rFonts w:ascii="Arial" w:hAnsi="Arial" w:eastAsia="黑体"/>
      <w:sz w:val="24"/>
      <w:szCs w:val="24"/>
    </w:rPr>
  </w:style>
  <w:style w:type="paragraph" w:styleId="966">
    <w:name w:val="标题 9"/>
    <w:basedOn w:val="957"/>
    <w:next w:val="957"/>
    <w:link w:val="957"/>
    <w:qFormat/>
    <w:pPr>
      <w:numPr>
        <w:ilvl w:val="8"/>
        <w:numId w:val="1"/>
      </w:numPr>
      <w:keepLines/>
      <w:keepNext/>
      <w:spacing w:before="240" w:after="64" w:line="320" w:lineRule="auto"/>
      <w:outlineLvl w:val="8"/>
    </w:pPr>
    <w:rPr>
      <w:rFonts w:ascii="Arial" w:hAnsi="Arial" w:eastAsia="黑体"/>
    </w:rPr>
  </w:style>
  <w:style w:type="character" w:styleId="967">
    <w:name w:val="默认段落字体"/>
    <w:next w:val="967"/>
    <w:link w:val="957"/>
    <w:semiHidden/>
  </w:style>
  <w:style w:type="table" w:styleId="968">
    <w:name w:val="普通表格"/>
    <w:next w:val="968"/>
    <w:link w:val="957"/>
    <w:semiHidden/>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969">
    <w:name w:val="索引 4"/>
    <w:basedOn w:val="957"/>
    <w:next w:val="957"/>
    <w:link w:val="957"/>
    <w:uiPriority w:val="99"/>
    <w:unhideWhenUsed/>
    <w:pPr>
      <w:ind w:left="600"/>
      <w:spacing w:before="100" w:beforeAutospacing="1" w:after="100" w:afterAutospacing="1"/>
    </w:pPr>
    <w:rPr>
      <w:rFonts w:ascii="宋体"/>
      <w:b/>
      <w:bCs/>
      <w:position w:val="-10"/>
      <w:sz w:val="24"/>
      <w:szCs w:val="22"/>
    </w:rPr>
  </w:style>
  <w:style w:type="character" w:styleId="970">
    <w:name w:val="标题 1 字符"/>
    <w:next w:val="970"/>
    <w:link w:val="958"/>
    <w:uiPriority w:val="9"/>
    <w:rPr>
      <w:rFonts w:ascii="楷体_GB2312" w:eastAsia="楷体_GB2312"/>
      <w:sz w:val="28"/>
      <w:szCs w:val="28"/>
    </w:rPr>
  </w:style>
  <w:style w:type="character" w:styleId="971">
    <w:name w:val="标题 2 字符"/>
    <w:next w:val="971"/>
    <w:link w:val="959"/>
    <w:uiPriority w:val="9"/>
    <w:rPr>
      <w:rFonts w:ascii="Arial" w:hAnsi="Arial" w:eastAsia="幼圆" w:cs="Arial"/>
      <w:b/>
      <w:bCs/>
      <w:sz w:val="44"/>
      <w:szCs w:val="44"/>
    </w:rPr>
  </w:style>
  <w:style w:type="paragraph" w:styleId="972">
    <w:name w:val="正文缩进"/>
    <w:basedOn w:val="957"/>
    <w:next w:val="972"/>
    <w:link w:val="973"/>
    <w:pPr>
      <w:ind w:firstLine="420"/>
    </w:pPr>
  </w:style>
  <w:style w:type="character" w:styleId="973">
    <w:name w:val="正文缩进 字符"/>
    <w:next w:val="973"/>
    <w:link w:val="972"/>
    <w:rPr>
      <w:sz w:val="21"/>
      <w:szCs w:val="21"/>
    </w:rPr>
  </w:style>
  <w:style w:type="character" w:styleId="974">
    <w:name w:val="标题 3 字符"/>
    <w:next w:val="974"/>
    <w:link w:val="960"/>
    <w:uiPriority w:val="9"/>
    <w:rPr>
      <w:rFonts w:eastAsia="宋体"/>
      <w:b/>
      <w:bCs/>
      <w:sz w:val="32"/>
      <w:szCs w:val="32"/>
      <w:lang w:val="en-US" w:eastAsia="zh-CN" w:bidi="ar-SA"/>
    </w:rPr>
  </w:style>
  <w:style w:type="character" w:styleId="975">
    <w:name w:val="标题 4 字符"/>
    <w:next w:val="975"/>
    <w:link w:val="961"/>
    <w:uiPriority w:val="9"/>
    <w:rPr>
      <w:rFonts w:ascii="Arial" w:hAnsi="Arial" w:eastAsia="黑体" w:cs="Arial"/>
      <w:b/>
      <w:bCs/>
      <w:sz w:val="28"/>
      <w:szCs w:val="28"/>
    </w:rPr>
  </w:style>
  <w:style w:type="character" w:styleId="976">
    <w:name w:val="标题 5 字符"/>
    <w:next w:val="976"/>
    <w:link w:val="962"/>
    <w:uiPriority w:val="9"/>
    <w:rPr>
      <w:rFonts w:ascii="宋体"/>
      <w:color w:val="000000"/>
      <w:sz w:val="28"/>
      <w:szCs w:val="28"/>
    </w:rPr>
  </w:style>
  <w:style w:type="character" w:styleId="977">
    <w:name w:val="标题 6 字符"/>
    <w:next w:val="977"/>
    <w:link w:val="963"/>
    <w:uiPriority w:val="9"/>
    <w:rPr>
      <w:rFonts w:ascii="Arial" w:hAnsi="Arial" w:eastAsia="黑体"/>
      <w:b/>
      <w:bCs/>
      <w:sz w:val="24"/>
      <w:szCs w:val="24"/>
    </w:rPr>
  </w:style>
  <w:style w:type="character" w:styleId="978">
    <w:name w:val="标题 7 字符"/>
    <w:next w:val="978"/>
    <w:link w:val="964"/>
    <w:uiPriority w:val="9"/>
    <w:rPr>
      <w:b/>
      <w:bCs/>
      <w:sz w:val="24"/>
      <w:szCs w:val="24"/>
    </w:rPr>
  </w:style>
  <w:style w:type="paragraph" w:styleId="979">
    <w:name w:val="列表 3"/>
    <w:basedOn w:val="957"/>
    <w:next w:val="979"/>
    <w:link w:val="957"/>
    <w:pPr>
      <w:ind w:left="100" w:hanging="200"/>
    </w:pPr>
  </w:style>
  <w:style w:type="paragraph" w:styleId="980">
    <w:name w:val="目录 7"/>
    <w:basedOn w:val="957"/>
    <w:next w:val="957"/>
    <w:link w:val="957"/>
    <w:semiHidden/>
    <w:pPr>
      <w:ind w:left="1260"/>
      <w:jc w:val="left"/>
    </w:pPr>
  </w:style>
  <w:style w:type="paragraph" w:styleId="981">
    <w:name w:val="文档结构图"/>
    <w:basedOn w:val="957"/>
    <w:next w:val="981"/>
    <w:link w:val="982"/>
    <w:semiHidden/>
    <w:pPr>
      <w:shd w:val="clear" w:color="auto" w:fill="000080"/>
    </w:pPr>
  </w:style>
  <w:style w:type="character" w:styleId="982">
    <w:name w:val="文档结构图 字符"/>
    <w:next w:val="982"/>
    <w:link w:val="981"/>
    <w:rPr>
      <w:rFonts w:eastAsia="宋体"/>
      <w:sz w:val="21"/>
      <w:szCs w:val="21"/>
      <w:lang w:val="en-US" w:eastAsia="zh-CN" w:bidi="ar-SA"/>
    </w:rPr>
  </w:style>
  <w:style w:type="paragraph" w:styleId="983">
    <w:name w:val="引文目录标题"/>
    <w:basedOn w:val="957"/>
    <w:next w:val="957"/>
    <w:link w:val="957"/>
    <w:uiPriority w:val="99"/>
    <w:unhideWhenUsed/>
    <w:qFormat/>
    <w:pPr>
      <w:spacing w:before="120"/>
    </w:pPr>
    <w:rPr>
      <w:rFonts w:ascii="Cambria" w:hAnsi="Cambria" w:cs="Times New Roman"/>
    </w:rPr>
  </w:style>
  <w:style w:type="paragraph" w:styleId="984">
    <w:name w:val="批注文字"/>
    <w:basedOn w:val="957"/>
    <w:next w:val="984"/>
    <w:link w:val="957"/>
    <w:semiHidden/>
    <w:pPr>
      <w:jc w:val="left"/>
    </w:pPr>
  </w:style>
  <w:style w:type="paragraph" w:styleId="985">
    <w:name w:val="正文文本 3"/>
    <w:basedOn w:val="957"/>
    <w:next w:val="985"/>
    <w:link w:val="957"/>
    <w:rPr>
      <w:rFonts w:ascii="仿宋_GB2312" w:hAnsi="Arial" w:eastAsia="仿宋_GB2312"/>
      <w:sz w:val="32"/>
      <w:szCs w:val="32"/>
    </w:rPr>
  </w:style>
  <w:style w:type="paragraph" w:styleId="986">
    <w:name w:val="正文文本"/>
    <w:basedOn w:val="957"/>
    <w:next w:val="957"/>
    <w:link w:val="987"/>
    <w:uiPriority w:val="99"/>
    <w:rPr>
      <w:rFonts w:ascii="楷体_GB2312" w:hAnsi="Arial" w:eastAsia="楷体_GB2312"/>
      <w:sz w:val="28"/>
      <w:szCs w:val="28"/>
    </w:rPr>
  </w:style>
  <w:style w:type="character" w:styleId="987">
    <w:name w:val="正文文本 字符"/>
    <w:next w:val="987"/>
    <w:link w:val="986"/>
    <w:uiPriority w:val="99"/>
    <w:rPr>
      <w:rFonts w:ascii="楷体_GB2312" w:hAnsi="Arial" w:eastAsia="楷体_GB2312"/>
      <w:sz w:val="28"/>
      <w:szCs w:val="28"/>
    </w:rPr>
  </w:style>
  <w:style w:type="paragraph" w:styleId="988">
    <w:name w:val="正文文本缩进"/>
    <w:basedOn w:val="957"/>
    <w:next w:val="988"/>
    <w:link w:val="957"/>
    <w:pPr>
      <w:ind w:firstLine="645"/>
    </w:pPr>
    <w:rPr>
      <w:rFonts w:ascii="楷体_GB2312" w:eastAsia="楷体_GB2312"/>
      <w:sz w:val="32"/>
      <w:szCs w:val="32"/>
    </w:rPr>
  </w:style>
  <w:style w:type="paragraph" w:styleId="989">
    <w:name w:val="列表 2"/>
    <w:basedOn w:val="957"/>
    <w:next w:val="989"/>
    <w:link w:val="957"/>
    <w:pPr>
      <w:ind w:left="100" w:hanging="200"/>
    </w:pPr>
  </w:style>
  <w:style w:type="paragraph" w:styleId="990">
    <w:name w:val="目录 5"/>
    <w:basedOn w:val="957"/>
    <w:next w:val="957"/>
    <w:link w:val="957"/>
    <w:semiHidden/>
    <w:pPr>
      <w:ind w:left="840"/>
      <w:jc w:val="left"/>
    </w:pPr>
  </w:style>
  <w:style w:type="paragraph" w:styleId="991">
    <w:name w:val="目录 3"/>
    <w:basedOn w:val="957"/>
    <w:next w:val="957"/>
    <w:link w:val="957"/>
    <w:uiPriority w:val="39"/>
    <w:pPr>
      <w:ind w:left="420"/>
      <w:jc w:val="left"/>
    </w:pPr>
    <w:rPr>
      <w:i/>
      <w:iCs/>
      <w:szCs w:val="24"/>
    </w:rPr>
  </w:style>
  <w:style w:type="paragraph" w:styleId="992">
    <w:name w:val="纯文本"/>
    <w:basedOn w:val="957"/>
    <w:next w:val="992"/>
    <w:link w:val="993"/>
    <w:uiPriority w:val="99"/>
    <w:qFormat/>
    <w:rPr>
      <w:rFonts w:ascii="宋体" w:hAnsi="Courier New"/>
    </w:rPr>
  </w:style>
  <w:style w:type="character" w:styleId="993">
    <w:name w:val="纯文本 字符"/>
    <w:next w:val="993"/>
    <w:link w:val="992"/>
    <w:uiPriority w:val="99"/>
    <w:qFormat/>
    <w:rPr>
      <w:rFonts w:ascii="宋体" w:hAnsi="Courier New" w:cs="Courier New"/>
      <w:sz w:val="21"/>
      <w:szCs w:val="21"/>
    </w:rPr>
  </w:style>
  <w:style w:type="paragraph" w:styleId="994">
    <w:name w:val="目录 8"/>
    <w:basedOn w:val="957"/>
    <w:next w:val="957"/>
    <w:link w:val="957"/>
    <w:semiHidden/>
    <w:pPr>
      <w:ind w:left="1470"/>
      <w:jc w:val="left"/>
    </w:pPr>
  </w:style>
  <w:style w:type="paragraph" w:styleId="995">
    <w:name w:val="日期"/>
    <w:basedOn w:val="957"/>
    <w:next w:val="957"/>
    <w:link w:val="957"/>
    <w:rPr>
      <w:sz w:val="24"/>
      <w:szCs w:val="24"/>
    </w:rPr>
  </w:style>
  <w:style w:type="paragraph" w:styleId="996">
    <w:name w:val="正文文本缩进 2"/>
    <w:basedOn w:val="957"/>
    <w:next w:val="996"/>
    <w:link w:val="957"/>
    <w:pPr>
      <w:ind w:left="630" w:firstLine="645"/>
    </w:pPr>
    <w:rPr>
      <w:rFonts w:ascii="Arial" w:hAnsi="Arial" w:eastAsia="仿宋_GB2312" w:cs="Arial"/>
      <w:sz w:val="32"/>
      <w:szCs w:val="32"/>
    </w:rPr>
  </w:style>
  <w:style w:type="paragraph" w:styleId="997">
    <w:name w:val="批注框文本"/>
    <w:basedOn w:val="957"/>
    <w:next w:val="997"/>
    <w:link w:val="957"/>
    <w:semiHidden/>
    <w:rPr>
      <w:sz w:val="18"/>
      <w:szCs w:val="18"/>
    </w:rPr>
  </w:style>
  <w:style w:type="paragraph" w:styleId="998">
    <w:name w:val="页脚"/>
    <w:basedOn w:val="957"/>
    <w:next w:val="998"/>
    <w:link w:val="999"/>
    <w:uiPriority w:val="99"/>
    <w:pPr>
      <w:jc w:val="left"/>
      <w:tabs>
        <w:tab w:val="center" w:pos="4153" w:leader="none"/>
        <w:tab w:val="right" w:pos="8306" w:leader="none"/>
      </w:tabs>
    </w:pPr>
    <w:rPr>
      <w:sz w:val="18"/>
      <w:szCs w:val="18"/>
    </w:rPr>
  </w:style>
  <w:style w:type="character" w:styleId="999">
    <w:name w:val="页脚 字符1"/>
    <w:next w:val="999"/>
    <w:link w:val="998"/>
    <w:uiPriority w:val="99"/>
    <w:rPr>
      <w:sz w:val="18"/>
      <w:szCs w:val="18"/>
    </w:rPr>
  </w:style>
  <w:style w:type="paragraph" w:styleId="1000">
    <w:name w:val="寄信人地址"/>
    <w:basedOn w:val="957"/>
    <w:next w:val="1000"/>
    <w:link w:val="957"/>
    <w:qFormat/>
    <w:rPr>
      <w:rFonts w:ascii="Arial" w:hAnsi="Arial"/>
    </w:rPr>
  </w:style>
  <w:style w:type="paragraph" w:styleId="1001">
    <w:name w:val="页眉"/>
    <w:basedOn w:val="957"/>
    <w:next w:val="1001"/>
    <w:link w:val="1002"/>
    <w:uiPriority w:val="99"/>
    <w:pPr>
      <w:jc w:val="center"/>
      <w:tabs>
        <w:tab w:val="center" w:pos="4153" w:leader="none"/>
        <w:tab w:val="right" w:pos="8306" w:leader="none"/>
      </w:tabs>
      <w:pBdr>
        <w:bottom w:val="single" w:color="000000" w:sz="6" w:space="1"/>
      </w:pBdr>
    </w:pPr>
    <w:rPr>
      <w:sz w:val="18"/>
      <w:szCs w:val="18"/>
    </w:rPr>
  </w:style>
  <w:style w:type="character" w:styleId="1002">
    <w:name w:val="页眉 字符1"/>
    <w:next w:val="1002"/>
    <w:link w:val="1001"/>
    <w:uiPriority w:val="99"/>
    <w:rPr>
      <w:sz w:val="18"/>
      <w:szCs w:val="18"/>
    </w:rPr>
  </w:style>
  <w:style w:type="paragraph" w:styleId="1003">
    <w:name w:val="目录 1"/>
    <w:basedOn w:val="957"/>
    <w:next w:val="957"/>
    <w:link w:val="957"/>
    <w:uiPriority w:val="39"/>
    <w:pPr>
      <w:jc w:val="left"/>
      <w:spacing w:before="120" w:after="120" w:line="400" w:lineRule="exact"/>
      <w:tabs>
        <w:tab w:val="right" w:pos="8720" w:leader="dot"/>
      </w:tabs>
    </w:pPr>
    <w:rPr>
      <w:rFonts w:ascii="宋体" w:hAnsi="宋体"/>
      <w:caps/>
      <w:sz w:val="24"/>
      <w:szCs w:val="24"/>
    </w:rPr>
  </w:style>
  <w:style w:type="paragraph" w:styleId="1004">
    <w:name w:val="目录 4"/>
    <w:basedOn w:val="957"/>
    <w:next w:val="957"/>
    <w:link w:val="957"/>
    <w:semiHidden/>
    <w:pPr>
      <w:ind w:left="630"/>
      <w:jc w:val="left"/>
    </w:pPr>
  </w:style>
  <w:style w:type="paragraph" w:styleId="1005">
    <w:name w:val="列表"/>
    <w:basedOn w:val="957"/>
    <w:next w:val="1005"/>
    <w:link w:val="957"/>
    <w:pPr>
      <w:ind w:left="200" w:hanging="200"/>
    </w:pPr>
  </w:style>
  <w:style w:type="paragraph" w:styleId="1006">
    <w:name w:val="目录 6"/>
    <w:basedOn w:val="957"/>
    <w:next w:val="957"/>
    <w:link w:val="957"/>
    <w:semiHidden/>
    <w:pPr>
      <w:ind w:left="1050"/>
      <w:jc w:val="left"/>
    </w:pPr>
  </w:style>
  <w:style w:type="paragraph" w:styleId="1007">
    <w:name w:val="正文文本缩进 3"/>
    <w:basedOn w:val="957"/>
    <w:next w:val="1007"/>
    <w:link w:val="957"/>
    <w:pPr>
      <w:ind w:left="645" w:firstLine="645"/>
    </w:pPr>
    <w:rPr>
      <w:rFonts w:ascii="Arial" w:hAnsi="Arial" w:eastAsia="仿宋_GB2312" w:cs="Arial"/>
      <w:color w:val="ffff00"/>
      <w:sz w:val="32"/>
      <w:szCs w:val="32"/>
    </w:rPr>
  </w:style>
  <w:style w:type="paragraph" w:styleId="1008">
    <w:name w:val="图表目录"/>
    <w:basedOn w:val="957"/>
    <w:next w:val="957"/>
    <w:link w:val="957"/>
    <w:semiHidden/>
    <w:pPr>
      <w:ind w:left="840" w:hanging="420"/>
    </w:pPr>
  </w:style>
  <w:style w:type="paragraph" w:styleId="1009">
    <w:name w:val="目录 2"/>
    <w:basedOn w:val="957"/>
    <w:next w:val="957"/>
    <w:link w:val="957"/>
    <w:uiPriority w:val="39"/>
    <w:pPr>
      <w:ind w:left="210"/>
      <w:jc w:val="left"/>
    </w:pPr>
    <w:rPr>
      <w:smallCaps/>
      <w:szCs w:val="24"/>
    </w:rPr>
  </w:style>
  <w:style w:type="paragraph" w:styleId="1010">
    <w:name w:val="目录 9"/>
    <w:basedOn w:val="957"/>
    <w:next w:val="957"/>
    <w:link w:val="957"/>
    <w:semiHidden/>
    <w:pPr>
      <w:ind w:left="1680"/>
      <w:jc w:val="left"/>
    </w:pPr>
  </w:style>
  <w:style w:type="paragraph" w:styleId="1011">
    <w:name w:val="正文文本 2"/>
    <w:basedOn w:val="957"/>
    <w:next w:val="1011"/>
    <w:link w:val="957"/>
    <w:pPr>
      <w:jc w:val="center"/>
      <w:widowControl/>
    </w:pPr>
    <w:rPr>
      <w:rFonts w:ascii="楷体_GB2312" w:eastAsia="楷体_GB2312"/>
      <w:sz w:val="28"/>
      <w:szCs w:val="28"/>
    </w:rPr>
  </w:style>
  <w:style w:type="paragraph" w:styleId="1012">
    <w:name w:val="普通(网站)"/>
    <w:basedOn w:val="957"/>
    <w:next w:val="1012"/>
    <w:link w:val="957"/>
    <w:uiPriority w:val="99"/>
    <w:pPr>
      <w:jc w:val="left"/>
      <w:spacing w:before="100" w:beforeAutospacing="1" w:after="100" w:afterAutospacing="1"/>
      <w:widowControl/>
    </w:pPr>
    <w:rPr>
      <w:rFonts w:ascii="宋体" w:hAnsi="宋体" w:cs="宋体"/>
      <w:sz w:val="24"/>
      <w:szCs w:val="24"/>
    </w:rPr>
  </w:style>
  <w:style w:type="paragraph" w:styleId="1013">
    <w:name w:val="索引 1"/>
    <w:basedOn w:val="957"/>
    <w:next w:val="957"/>
    <w:link w:val="957"/>
    <w:semiHidden/>
    <w:pPr>
      <w:spacing w:line="240" w:lineRule="atLeast"/>
    </w:pPr>
    <w:rPr>
      <w:b/>
      <w:bCs/>
    </w:rPr>
  </w:style>
  <w:style w:type="paragraph" w:styleId="1014">
    <w:name w:val="批注主题"/>
    <w:basedOn w:val="984"/>
    <w:next w:val="984"/>
    <w:link w:val="957"/>
    <w:semiHidden/>
    <w:rPr>
      <w:b/>
      <w:bCs/>
    </w:rPr>
  </w:style>
  <w:style w:type="paragraph" w:styleId="1015">
    <w:name w:val="正文首行缩进"/>
    <w:basedOn w:val="986"/>
    <w:next w:val="1015"/>
    <w:link w:val="957"/>
    <w:pPr>
      <w:ind w:firstLine="200"/>
      <w:spacing w:line="360" w:lineRule="auto"/>
    </w:pPr>
    <w:rPr>
      <w:rFonts w:ascii="仿宋_GB2312" w:eastAsia="仿宋_GB2312"/>
      <w:sz w:val="30"/>
      <w:szCs w:val="30"/>
    </w:rPr>
  </w:style>
  <w:style w:type="paragraph" w:styleId="1016">
    <w:name w:val="正文首行缩进 2"/>
    <w:basedOn w:val="988"/>
    <w:next w:val="972"/>
    <w:link w:val="957"/>
    <w:pPr>
      <w:ind w:firstLine="420"/>
      <w:spacing w:line="360" w:lineRule="auto"/>
    </w:pPr>
    <w:rPr>
      <w:rFonts w:ascii="宋体" w:hAnsi="宋体" w:eastAsia="宋体"/>
      <w:sz w:val="21"/>
      <w:szCs w:val="20"/>
    </w:rPr>
  </w:style>
  <w:style w:type="table" w:styleId="1017">
    <w:name w:val="网格型"/>
    <w:basedOn w:val="968"/>
    <w:next w:val="1017"/>
    <w:link w:val="957"/>
    <w:uiPriority w:val="59"/>
    <w:pPr>
      <w:jc w:val="both"/>
      <w:widowControl w:val="off"/>
    </w:pPr>
    <w:tblPr/>
  </w:style>
  <w:style w:type="character" w:styleId="1018">
    <w:name w:val="要点"/>
    <w:next w:val="1018"/>
    <w:link w:val="957"/>
    <w:uiPriority w:val="22"/>
    <w:qFormat/>
    <w:rPr>
      <w:b/>
      <w:bCs/>
    </w:rPr>
  </w:style>
  <w:style w:type="character" w:styleId="1019">
    <w:name w:val="页码"/>
    <w:next w:val="1019"/>
    <w:link w:val="957"/>
  </w:style>
  <w:style w:type="character" w:styleId="1020">
    <w:name w:val="已访问的超链接"/>
    <w:next w:val="1020"/>
    <w:link w:val="957"/>
    <w:rPr>
      <w:color w:val="000000"/>
      <w:u w:val="none"/>
    </w:rPr>
  </w:style>
  <w:style w:type="character" w:styleId="1021">
    <w:name w:val="超链接"/>
    <w:next w:val="1021"/>
    <w:link w:val="957"/>
    <w:rPr>
      <w:color w:val="000000"/>
      <w:u w:val="none"/>
    </w:rPr>
  </w:style>
  <w:style w:type="character" w:styleId="1022">
    <w:name w:val="批注引用"/>
    <w:next w:val="1022"/>
    <w:link w:val="957"/>
    <w:semiHidden/>
    <w:rPr>
      <w:sz w:val="21"/>
      <w:szCs w:val="21"/>
    </w:rPr>
  </w:style>
  <w:style w:type="paragraph" w:styleId="1023">
    <w:name w:val="Default"/>
    <w:next w:val="1023"/>
    <w:link w:val="957"/>
    <w:pPr>
      <w:widowControl w:val="off"/>
    </w:pPr>
    <w:rPr>
      <w:rFonts w:ascii="仿宋_GB2312" w:eastAsia="仿宋_GB2312" w:cs="仿宋_GB2312"/>
      <w:color w:val="000000"/>
      <w:sz w:val="24"/>
      <w:szCs w:val="24"/>
      <w:lang w:val="en-US" w:eastAsia="zh-CN" w:bidi="ar-SA"/>
    </w:rPr>
  </w:style>
  <w:style w:type="paragraph" w:styleId="1024">
    <w:name w:val="样式 标题 1 + 四号 加粗"/>
    <w:basedOn w:val="958"/>
    <w:next w:val="1024"/>
    <w:link w:val="957"/>
    <w:qFormat/>
    <w:pPr>
      <w:tabs>
        <w:tab w:val="left" w:pos="432" w:leader="none"/>
      </w:tabs>
    </w:pPr>
    <w:rPr>
      <w:rFonts w:eastAsia="黑体"/>
    </w:rPr>
  </w:style>
  <w:style w:type="character" w:styleId="1025">
    <w:name w:val="10_0"/>
    <w:next w:val="1025"/>
    <w:link w:val="957"/>
    <w:qFormat/>
    <w:rPr>
      <w:sz w:val="21"/>
      <w:szCs w:val="21"/>
      <w:lang w:val="en-US" w:eastAsia="zh-CN" w:bidi="ar-SA"/>
    </w:rPr>
  </w:style>
  <w:style w:type="character" w:styleId="1026">
    <w:name w:val="apple-converted-space"/>
    <w:next w:val="1026"/>
    <w:link w:val="957"/>
    <w:uiPriority w:val="99"/>
    <w:qFormat/>
  </w:style>
  <w:style w:type="character" w:styleId="1027">
    <w:name w:val=" Char Char Char Char Char"/>
    <w:next w:val="1027"/>
    <w:link w:val="1028"/>
    <w:rPr>
      <w:rFonts w:ascii="Tahoma" w:hAnsi="Tahoma" w:eastAsia="宋体"/>
      <w:sz w:val="24"/>
      <w:szCs w:val="24"/>
      <w:lang w:val="en-US" w:eastAsia="zh-CN" w:bidi="ar-SA"/>
    </w:rPr>
  </w:style>
  <w:style w:type="paragraph" w:styleId="1028">
    <w:name w:val=" Char Char Char Char"/>
    <w:basedOn w:val="981"/>
    <w:next w:val="1028"/>
    <w:link w:val="1027"/>
    <w:pPr>
      <w:spacing w:line="360" w:lineRule="auto"/>
    </w:pPr>
    <w:rPr>
      <w:rFonts w:ascii="Tahoma" w:hAnsi="Tahoma"/>
      <w:sz w:val="24"/>
      <w:szCs w:val="24"/>
    </w:rPr>
  </w:style>
  <w:style w:type="character" w:styleId="1029">
    <w:name w:val="font5 Char"/>
    <w:next w:val="1029"/>
    <w:link w:val="957"/>
    <w:rPr>
      <w:rFonts w:ascii="宋体" w:hAnsi="宋体" w:eastAsia="宋体"/>
      <w:sz w:val="28"/>
      <w:szCs w:val="28"/>
      <w:lang w:val="en-US" w:eastAsia="zh-CN" w:bidi="ar-SA"/>
    </w:rPr>
  </w:style>
  <w:style w:type="character" w:styleId="1030">
    <w:name w:val="layui-this2"/>
    <w:next w:val="1030"/>
    <w:link w:val="957"/>
    <w:rPr>
      <w:shd w:val="clear" w:color="auto" w:fill="ffffff"/>
    </w:rPr>
  </w:style>
  <w:style w:type="character" w:styleId="1031">
    <w:name w:val="页眉 字符"/>
    <w:next w:val="1031"/>
    <w:link w:val="957"/>
    <w:uiPriority w:val="99"/>
    <w:semiHidden/>
    <w:rPr>
      <w:sz w:val="18"/>
      <w:szCs w:val="18"/>
    </w:rPr>
  </w:style>
  <w:style w:type="character" w:styleId="1032">
    <w:name w:val="l-btn-left"/>
    <w:next w:val="1032"/>
    <w:link w:val="957"/>
  </w:style>
  <w:style w:type="character" w:styleId="1033">
    <w:name w:val="first-child"/>
    <w:next w:val="1033"/>
    <w:link w:val="957"/>
  </w:style>
  <w:style w:type="character" w:styleId="1034">
    <w:name w:val="标题 1 字符1"/>
    <w:next w:val="1034"/>
    <w:link w:val="957"/>
    <w:uiPriority w:val="9"/>
    <w:rPr>
      <w:rFonts w:ascii="Calibri" w:hAnsi="Calibri" w:eastAsia="宋体" w:cs="Times New Roman"/>
      <w:b/>
      <w:bCs/>
      <w:sz w:val="44"/>
      <w:szCs w:val="44"/>
    </w:rPr>
  </w:style>
  <w:style w:type="character" w:styleId="1035">
    <w:name w:val="列出段落 Char,Bullet List Char,numbered Char,FooterText Char,List Paragraph1 Char,Paragraphe de liste1 Char"/>
    <w:next w:val="1035"/>
    <w:link w:val="1036"/>
    <w:rPr>
      <w:rFonts w:ascii="Calibri" w:hAnsi="Calibri"/>
      <w:sz w:val="24"/>
      <w:szCs w:val="24"/>
      <w:lang w:eastAsia="en-US" w:bidi="en-US"/>
    </w:rPr>
  </w:style>
  <w:style w:type="paragraph" w:styleId="1036">
    <w:name w:val="列出段落1"/>
    <w:basedOn w:val="957"/>
    <w:next w:val="1036"/>
    <w:link w:val="1035"/>
    <w:qFormat/>
    <w:pPr>
      <w:contextualSpacing/>
      <w:ind w:left="720"/>
      <w:jc w:val="left"/>
      <w:widowControl/>
    </w:pPr>
    <w:rPr>
      <w:rFonts w:ascii="Calibri" w:hAnsi="Calibri"/>
      <w:sz w:val="24"/>
      <w:szCs w:val="24"/>
      <w:lang w:eastAsia="en-US" w:bidi="en-US"/>
    </w:rPr>
  </w:style>
  <w:style w:type="character" w:styleId="1037">
    <w:name w:val="l-btn-text36"/>
    <w:next w:val="1037"/>
    <w:link w:val="957"/>
  </w:style>
  <w:style w:type="character" w:styleId="1038">
    <w:name w:val="普通正文 Char"/>
    <w:next w:val="1038"/>
    <w:link w:val="1039"/>
    <w:rPr>
      <w:rFonts w:ascii="Arial" w:hAnsi="Arial"/>
      <w:sz w:val="24"/>
      <w:szCs w:val="24"/>
    </w:rPr>
  </w:style>
  <w:style w:type="paragraph" w:styleId="1039">
    <w:name w:val="普通正文"/>
    <w:basedOn w:val="957"/>
    <w:next w:val="1039"/>
    <w:link w:val="1038"/>
    <w:qFormat/>
    <w:pPr>
      <w:ind w:firstLine="480"/>
      <w:jc w:val="left"/>
      <w:spacing w:before="120" w:after="120" w:line="360" w:lineRule="auto"/>
    </w:pPr>
    <w:rPr>
      <w:rFonts w:ascii="Arial" w:hAnsi="Arial"/>
      <w:sz w:val="24"/>
      <w:szCs w:val="24"/>
    </w:rPr>
  </w:style>
  <w:style w:type="character" w:styleId="1040">
    <w:name w:val="二级目录 Char"/>
    <w:next w:val="1040"/>
    <w:link w:val="1041"/>
    <w:rPr>
      <w:b/>
      <w:sz w:val="30"/>
      <w:szCs w:val="28"/>
      <w:lang w:val="en-US" w:eastAsia="zh-CN" w:bidi="ar-SA"/>
    </w:rPr>
  </w:style>
  <w:style w:type="paragraph" w:styleId="1041">
    <w:name w:val="二级目录"/>
    <w:next w:val="957"/>
    <w:link w:val="1040"/>
    <w:pPr>
      <w:numPr>
        <w:ilvl w:val="0"/>
        <w:numId w:val="2"/>
      </w:numPr>
      <w:tabs>
        <w:tab w:val="left" w:pos="907" w:leader="none"/>
        <w:tab w:val="left" w:pos="1145" w:leader="none"/>
      </w:tabs>
      <w:outlineLvl w:val="1"/>
    </w:pPr>
    <w:rPr>
      <w:b/>
      <w:sz w:val="30"/>
      <w:szCs w:val="28"/>
      <w:lang w:val="en-US" w:eastAsia="zh-CN" w:bidi="ar-SA"/>
    </w:rPr>
  </w:style>
  <w:style w:type="character" w:styleId="1042">
    <w:name w:val="current"/>
    <w:next w:val="1042"/>
    <w:link w:val="957"/>
    <w:rPr>
      <w:b/>
      <w:bCs/>
      <w:color w:val="05a7d8"/>
      <w:sz w:val="14"/>
      <w:szCs w:val="14"/>
    </w:rPr>
  </w:style>
  <w:style w:type="character" w:styleId="1043">
    <w:name w:val="layui-laypage-curr"/>
    <w:next w:val="1043"/>
    <w:link w:val="957"/>
  </w:style>
  <w:style w:type="character" w:styleId="1044">
    <w:name w:val="纯文本 Char"/>
    <w:next w:val="1044"/>
    <w:link w:val="957"/>
    <w:uiPriority w:val="99"/>
    <w:qFormat/>
    <w:rPr>
      <w:rFonts w:ascii="宋体" w:hAnsi="Courier New" w:cs="Courier New"/>
      <w:sz w:val="21"/>
      <w:szCs w:val="21"/>
    </w:rPr>
  </w:style>
  <w:style w:type="character" w:styleId="1045">
    <w:name w:val="页脚 字符"/>
    <w:next w:val="1045"/>
    <w:link w:val="957"/>
    <w:uiPriority w:val="99"/>
    <w:semiHidden/>
    <w:rPr>
      <w:sz w:val="18"/>
      <w:szCs w:val="18"/>
    </w:rPr>
  </w:style>
  <w:style w:type="character" w:styleId="1046">
    <w:name w:val="页眉 Char1"/>
    <w:next w:val="1046"/>
    <w:link w:val="957"/>
    <w:uiPriority w:val="99"/>
    <w:semiHidden/>
    <w:rPr>
      <w:rFonts w:ascii="Calibri" w:hAnsi="Calibri" w:eastAsia="宋体" w:cs="Times New Roman"/>
      <w:sz w:val="18"/>
      <w:szCs w:val="18"/>
    </w:rPr>
  </w:style>
  <w:style w:type="paragraph" w:styleId="1047">
    <w:name w:val="附录1"/>
    <w:next w:val="1047"/>
    <w:link w:val="957"/>
    <w:pPr>
      <w:numPr>
        <w:ilvl w:val="0"/>
        <w:numId w:val="2"/>
      </w:numPr>
      <w:spacing w:before="240" w:line="600" w:lineRule="atLeast"/>
      <w:tabs>
        <w:tab w:val="left" w:pos="907" w:leader="none"/>
      </w:tabs>
    </w:pPr>
    <w:rPr>
      <w:b/>
      <w:i/>
      <w:sz w:val="28"/>
      <w:lang w:val="en-US" w:eastAsia="zh-CN" w:bidi="ar-SA"/>
    </w:rPr>
  </w:style>
  <w:style w:type="paragraph" w:styleId="1048">
    <w:name w:val="font7"/>
    <w:basedOn w:val="957"/>
    <w:next w:val="1048"/>
    <w:link w:val="957"/>
    <w:pPr>
      <w:jc w:val="left"/>
      <w:spacing w:before="100" w:beforeAutospacing="1" w:after="100" w:afterAutospacing="1"/>
      <w:widowControl/>
    </w:pPr>
    <w:rPr>
      <w:rFonts w:hint="eastAsia" w:ascii="宋体" w:hAnsi="宋体"/>
      <w:sz w:val="18"/>
      <w:szCs w:val="18"/>
    </w:rPr>
  </w:style>
  <w:style w:type="paragraph" w:styleId="1049">
    <w:name w:val="标书正文"/>
    <w:basedOn w:val="957"/>
    <w:next w:val="1049"/>
    <w:link w:val="957"/>
    <w:qFormat/>
    <w:pPr>
      <w:ind w:firstLine="480"/>
      <w:jc w:val="left"/>
      <w:spacing w:line="360" w:lineRule="auto"/>
    </w:pPr>
    <w:rPr>
      <w:b/>
      <w:bCs/>
      <w:position w:val="-10"/>
      <w:sz w:val="24"/>
      <w:szCs w:val="22"/>
    </w:rPr>
  </w:style>
  <w:style w:type="paragraph" w:styleId="1050">
    <w:name w:val="font6"/>
    <w:basedOn w:val="957"/>
    <w:next w:val="1050"/>
    <w:link w:val="957"/>
    <w:pPr>
      <w:jc w:val="left"/>
      <w:spacing w:before="100" w:beforeAutospacing="1" w:after="100" w:afterAutospacing="1"/>
      <w:widowControl/>
    </w:pPr>
    <w:rPr>
      <w:rFonts w:hint="eastAsia" w:ascii="宋体" w:hAnsi="宋体"/>
      <w:sz w:val="28"/>
      <w:szCs w:val="28"/>
      <w:u w:val="single"/>
    </w:rPr>
  </w:style>
  <w:style w:type="paragraph" w:styleId="1051">
    <w:name w:val="Char"/>
    <w:basedOn w:val="957"/>
    <w:next w:val="1051"/>
    <w:link w:val="957"/>
    <w:qFormat/>
    <w:pPr>
      <w:ind w:firstLine="200"/>
      <w:tabs>
        <w:tab w:val="left" w:pos="360" w:leader="none"/>
      </w:tabs>
    </w:pPr>
    <w:rPr>
      <w:sz w:val="28"/>
      <w:szCs w:val="30"/>
    </w:rPr>
  </w:style>
  <w:style w:type="paragraph" w:styleId="1052">
    <w:name w:val="无间隔1"/>
    <w:next w:val="1052"/>
    <w:link w:val="957"/>
    <w:qFormat/>
    <w:pPr>
      <w:jc w:val="both"/>
      <w:widowControl w:val="off"/>
    </w:pPr>
    <w:rPr>
      <w:rFonts w:ascii="Calibri" w:hAnsi="Calibri"/>
      <w:sz w:val="21"/>
      <w:szCs w:val="22"/>
      <w:lang w:val="en-US" w:eastAsia="zh-CN" w:bidi="ar-SA"/>
    </w:rPr>
  </w:style>
  <w:style w:type="paragraph" w:styleId="1053">
    <w:name w:val="0"/>
    <w:basedOn w:val="957"/>
    <w:next w:val="1053"/>
    <w:link w:val="957"/>
    <w:qFormat/>
    <w:pPr>
      <w:widowControl/>
    </w:pPr>
    <w:rPr>
      <w:szCs w:val="21"/>
    </w:rPr>
  </w:style>
  <w:style w:type="paragraph" w:styleId="1054">
    <w:name w:val="图标"/>
    <w:basedOn w:val="957"/>
    <w:next w:val="957"/>
    <w:link w:val="95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5">
    <w:name w:val="Char Char Char Char Char Char Char Char"/>
    <w:basedOn w:val="957"/>
    <w:next w:val="1055"/>
    <w:link w:val="957"/>
    <w:pPr>
      <w:jc w:val="left"/>
      <w:spacing w:after="160" w:line="240" w:lineRule="exact"/>
      <w:widowControl/>
    </w:pPr>
    <w:rPr>
      <w:rFonts w:ascii="Verdana" w:hAnsi="Verdana"/>
      <w:sz w:val="20"/>
      <w:szCs w:val="20"/>
      <w:lang w:eastAsia="en-US"/>
    </w:rPr>
  </w:style>
  <w:style w:type="paragraph" w:styleId="1056">
    <w:name w:val="Body Text(ch)"/>
    <w:basedOn w:val="957"/>
    <w:next w:val="986"/>
    <w:link w:val="957"/>
    <w:pPr>
      <w:spacing w:after="120"/>
    </w:pPr>
    <w:rPr>
      <w:rFonts w:ascii="宋体" w:hAnsi="Arial"/>
      <w:bCs/>
      <w:iCs/>
      <w:szCs w:val="24"/>
    </w:rPr>
  </w:style>
  <w:style w:type="paragraph" w:styleId="1057">
    <w:name w:val="标题1"/>
    <w:basedOn w:val="957"/>
    <w:next w:val="1058"/>
    <w:link w:val="95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name w:val="正文文本缩进1"/>
    <w:basedOn w:val="957"/>
    <w:next w:val="1058"/>
    <w:link w:val="957"/>
    <w:unhideWhenUsed/>
    <w:qFormat/>
    <w:pPr>
      <w:ind w:left="420"/>
      <w:spacing w:after="120"/>
    </w:pPr>
  </w:style>
  <w:style w:type="paragraph" w:styleId="1059">
    <w:name w:val=" Char Char Char Char Char Char Char Char"/>
    <w:basedOn w:val="957"/>
    <w:next w:val="1059"/>
    <w:link w:val="957"/>
    <w:pPr>
      <w:jc w:val="left"/>
      <w:spacing w:after="160" w:line="240" w:lineRule="exact"/>
      <w:widowControl/>
    </w:pPr>
    <w:rPr>
      <w:rFonts w:ascii="Verdana" w:hAnsi="Verdana"/>
      <w:sz w:val="20"/>
      <w:szCs w:val="20"/>
      <w:lang w:eastAsia="en-US"/>
    </w:rPr>
  </w:style>
  <w:style w:type="paragraph" w:styleId="1060">
    <w:name w:val="列表段落1"/>
    <w:basedOn w:val="957"/>
    <w:next w:val="1060"/>
    <w:link w:val="957"/>
    <w:qFormat/>
    <w:pPr>
      <w:ind w:firstLine="420"/>
    </w:pPr>
    <w:rPr>
      <w:rFonts w:ascii="Calibri" w:hAnsi="Calibri"/>
      <w:szCs w:val="24"/>
    </w:rPr>
  </w:style>
  <w:style w:type="paragraph" w:styleId="1061">
    <w:name w:val="xl24"/>
    <w:basedOn w:val="957"/>
    <w:next w:val="1061"/>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name w:val="标题3"/>
    <w:basedOn w:val="957"/>
    <w:next w:val="957"/>
    <w:link w:val="957"/>
    <w:pPr>
      <w:ind w:firstLine="624"/>
      <w:spacing w:line="590" w:lineRule="atLeast"/>
    </w:pPr>
    <w:rPr>
      <w:rFonts w:ascii="方正黑体_GBK" w:eastAsia="方正黑体_GBK"/>
      <w:sz w:val="32"/>
      <w:szCs w:val="32"/>
    </w:rPr>
  </w:style>
  <w:style w:type="paragraph" w:styleId="1063">
    <w:name w:val="普通 (Web)"/>
    <w:basedOn w:val="957"/>
    <w:next w:val="1063"/>
    <w:link w:val="957"/>
    <w:pPr>
      <w:jc w:val="left"/>
      <w:spacing w:before="100" w:beforeAutospacing="1" w:after="100" w:afterAutospacing="1"/>
      <w:widowControl/>
    </w:pPr>
    <w:rPr>
      <w:rFonts w:ascii="宋体" w:hAnsi="宋体"/>
      <w:sz w:val="24"/>
      <w:szCs w:val="24"/>
    </w:rPr>
  </w:style>
  <w:style w:type="paragraph" w:styleId="1064">
    <w:name w:val="xl28"/>
    <w:basedOn w:val="957"/>
    <w:next w:val="1064"/>
    <w:link w:val="9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name w:val="xl30"/>
    <w:basedOn w:val="957"/>
    <w:next w:val="1065"/>
    <w:link w:val="957"/>
    <w:pPr>
      <w:jc w:val="center"/>
      <w:spacing w:before="100" w:beforeAutospacing="1" w:after="100" w:afterAutospacing="1"/>
      <w:widowControl/>
    </w:pPr>
    <w:rPr>
      <w:rFonts w:ascii="宋体" w:hAnsi="宋体"/>
      <w:b/>
      <w:bCs/>
      <w:sz w:val="36"/>
      <w:szCs w:val="36"/>
    </w:rPr>
  </w:style>
  <w:style w:type="paragraph" w:styleId="1066">
    <w:name w:val=" Char Char Char Char Char Char Char Char Char Char"/>
    <w:basedOn w:val="957"/>
    <w:next w:val="1066"/>
    <w:link w:val="957"/>
    <w:pPr>
      <w:spacing w:line="360" w:lineRule="auto"/>
    </w:pPr>
    <w:rPr>
      <w:sz w:val="24"/>
      <w:szCs w:val="20"/>
    </w:rPr>
  </w:style>
  <w:style w:type="paragraph" w:styleId="1067">
    <w:name w:val="font5"/>
    <w:basedOn w:val="957"/>
    <w:next w:val="1067"/>
    <w:link w:val="957"/>
    <w:pPr>
      <w:jc w:val="left"/>
      <w:spacing w:before="100" w:beforeAutospacing="1" w:after="100" w:afterAutospacing="1"/>
      <w:widowControl/>
    </w:pPr>
    <w:rPr>
      <w:rFonts w:hint="eastAsia" w:ascii="宋体" w:hAnsi="宋体"/>
      <w:sz w:val="28"/>
      <w:szCs w:val="28"/>
    </w:rPr>
  </w:style>
  <w:style w:type="paragraph" w:styleId="1068">
    <w:name w:val="列出段落"/>
    <w:basedOn w:val="957"/>
    <w:next w:val="1068"/>
    <w:link w:val="957"/>
    <w:qFormat/>
    <w:pPr>
      <w:ind w:firstLine="420"/>
    </w:pPr>
    <w:rPr>
      <w:szCs w:val="24"/>
    </w:rPr>
  </w:style>
  <w:style w:type="paragraph" w:styleId="1069">
    <w:name w:val="样式1"/>
    <w:basedOn w:val="957"/>
    <w:next w:val="1069"/>
    <w:link w:val="957"/>
    <w:pPr>
      <w:numPr>
        <w:ilvl w:val="0"/>
        <w:numId w:val="3"/>
      </w:numPr>
      <w:tabs>
        <w:tab w:val="left" w:pos="709" w:leader="none"/>
      </w:tabs>
    </w:pPr>
    <w:rPr>
      <w:rFonts w:ascii="宋体" w:hAnsi="宋体"/>
    </w:rPr>
  </w:style>
  <w:style w:type="paragraph" w:styleId="1070">
    <w:name w:val="Char Char Char Char"/>
    <w:basedOn w:val="981"/>
    <w:next w:val="1070"/>
    <w:link w:val="957"/>
    <w:pPr>
      <w:spacing w:line="360" w:lineRule="auto"/>
    </w:pPr>
    <w:rPr>
      <w:rFonts w:ascii="Tahoma" w:hAnsi="Tahoma"/>
      <w:sz w:val="24"/>
      <w:szCs w:val="24"/>
    </w:rPr>
  </w:style>
  <w:style w:type="paragraph" w:styleId="1071">
    <w:name w:val="table_lines"/>
    <w:basedOn w:val="957"/>
    <w:next w:val="1071"/>
    <w:link w:val="957"/>
    <w:pPr>
      <w:jc w:val="left"/>
      <w:widowControl/>
    </w:pPr>
    <w:rPr>
      <w:sz w:val="20"/>
      <w:szCs w:val="20"/>
      <w:lang w:val="de-DE" w:eastAsia="de-DE"/>
    </w:rPr>
  </w:style>
  <w:style w:type="paragraph" w:styleId="1072">
    <w:name w:val="xl26"/>
    <w:basedOn w:val="957"/>
    <w:next w:val="1072"/>
    <w:link w:val="9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3">
    <w:name w:val="xl27"/>
    <w:basedOn w:val="957"/>
    <w:next w:val="1073"/>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4">
    <w:name w:val="table_1stline"/>
    <w:basedOn w:val="957"/>
    <w:next w:val="1074"/>
    <w:link w:val="957"/>
    <w:pPr>
      <w:jc w:val="left"/>
      <w:spacing w:before="120"/>
      <w:widowControl/>
    </w:pPr>
    <w:rPr>
      <w:bCs/>
      <w:sz w:val="20"/>
      <w:szCs w:val="20"/>
      <w:lang w:val="de-DE" w:eastAsia="de-DE"/>
    </w:rPr>
  </w:style>
  <w:style w:type="paragraph" w:styleId="1075">
    <w:name w:val="4"/>
    <w:basedOn w:val="957"/>
    <w:next w:val="1007"/>
    <w:link w:val="957"/>
    <w:uiPriority w:val="99"/>
    <w:qFormat/>
    <w:pPr>
      <w:ind w:firstLine="420"/>
      <w:spacing w:line="360" w:lineRule="auto"/>
    </w:pPr>
    <w:rPr>
      <w:color w:val="ff0000"/>
      <w:sz w:val="24"/>
      <w:szCs w:val="24"/>
    </w:rPr>
  </w:style>
  <w:style w:type="paragraph" w:styleId="1076">
    <w:name w:val="xl25"/>
    <w:basedOn w:val="957"/>
    <w:next w:val="1076"/>
    <w:link w:val="9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7">
    <w:name w:val=" Char"/>
    <w:basedOn w:val="981"/>
    <w:next w:val="1077"/>
    <w:link w:val="957"/>
    <w:rPr>
      <w:rFonts w:ascii="Tahoma" w:hAnsi="Tahoma"/>
      <w:sz w:val="24"/>
      <w:szCs w:val="24"/>
    </w:rPr>
  </w:style>
  <w:style w:type="paragraph" w:styleId="1078">
    <w:name w:val="xl29"/>
    <w:basedOn w:val="957"/>
    <w:next w:val="1078"/>
    <w:link w:val="95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9">
    <w:name w:val="普通(Web)4"/>
    <w:basedOn w:val="957"/>
    <w:next w:val="1079"/>
    <w:link w:val="957"/>
    <w:qFormat/>
    <w:pPr>
      <w:jc w:val="left"/>
      <w:spacing w:before="100" w:beforeAutospacing="1" w:after="100" w:afterAutospacing="1" w:line="375" w:lineRule="atLeast"/>
      <w:widowControl/>
    </w:pPr>
    <w:rPr>
      <w:rFonts w:ascii="ˎ̥" w:hAnsi="ˎ̥"/>
      <w:sz w:val="24"/>
    </w:rPr>
  </w:style>
  <w:style w:type="paragraph" w:styleId="1080">
    <w:name w:val="正文1"/>
    <w:basedOn w:val="957"/>
    <w:next w:val="957"/>
    <w:link w:val="957"/>
    <w:qFormat/>
    <w:pPr>
      <w:numPr>
        <w:ilvl w:val="0"/>
        <w:numId w:val="4"/>
      </w:numPr>
      <w:ind w:left="359" w:hanging="359"/>
      <w:spacing w:line="500" w:lineRule="exact"/>
      <w:tabs>
        <w:tab w:val="left" w:pos="480" w:leader="none"/>
        <w:tab w:val="left" w:pos="1440" w:leader="none"/>
      </w:tabs>
    </w:pPr>
    <w:rPr>
      <w:rFonts w:ascii="黑体" w:hAnsi="宋体"/>
      <w:szCs w:val="24"/>
    </w:rPr>
  </w:style>
  <w:style w:type="paragraph" w:styleId="1081">
    <w:name w:val="无间隔"/>
    <w:next w:val="1081"/>
    <w:link w:val="957"/>
    <w:uiPriority w:val="99"/>
    <w:qFormat/>
    <w:pPr>
      <w:jc w:val="both"/>
      <w:widowControl w:val="off"/>
    </w:pPr>
    <w:rPr>
      <w:sz w:val="21"/>
      <w:szCs w:val="21"/>
      <w:lang w:val="en-US" w:eastAsia="zh-CN" w:bidi="ar-SA"/>
    </w:rPr>
  </w:style>
  <w:style w:type="paragraph" w:styleId="1082">
    <w:name w:val="列出段落5"/>
    <w:basedOn w:val="957"/>
    <w:next w:val="1082"/>
    <w:link w:val="957"/>
    <w:qFormat/>
    <w:pPr>
      <w:ind w:firstLine="420"/>
    </w:pPr>
    <w:rPr>
      <w:rFonts w:ascii="Calibri" w:hAnsi="Calibri" w:cs="黑体"/>
      <w:szCs w:val="24"/>
    </w:rPr>
  </w:style>
  <w:style w:type="paragraph" w:styleId="1083">
    <w:name w:val="Normal_0_1"/>
    <w:next w:val="1083"/>
    <w:link w:val="957"/>
    <w:qFormat/>
    <w:rPr>
      <w:rFonts w:ascii="黑体" w:hAnsi="黑体" w:eastAsia="黑体" w:cs="Times New Roman"/>
      <w:b/>
      <w:sz w:val="32"/>
      <w:szCs w:val="24"/>
      <w:lang w:val="en-US" w:eastAsia="zh-CN" w:bidi="ar-SA"/>
    </w:rPr>
  </w:style>
  <w:style w:type="character" w:styleId="1084">
    <w:name w:val="10"/>
    <w:next w:val="1084"/>
    <w:link w:val="957"/>
    <w:qFormat/>
    <w:rPr>
      <w:rFonts w:ascii="Times New Roman" w:hAnsi="Times New Roman" w:cs="Times New Roman"/>
    </w:rPr>
  </w:style>
  <w:style w:type="paragraph" w:styleId="1085">
    <w:name w:val="Normal_0_1_0"/>
    <w:next w:val="1085"/>
    <w:link w:val="957"/>
    <w:qFormat/>
    <w:rPr>
      <w:rFonts w:ascii="Times New Roman" w:hAnsi="Times New Roman" w:eastAsia="Times New Roman" w:cs="Times New Roman"/>
      <w:sz w:val="24"/>
      <w:szCs w:val="24"/>
      <w:lang w:bidi="ar-SA"/>
    </w:rPr>
  </w:style>
  <w:style w:type="paragraph" w:styleId="1086">
    <w:name w:val="正文_2_0"/>
    <w:next w:val="1086"/>
    <w:link w:val="957"/>
    <w:qFormat/>
    <w:pPr>
      <w:jc w:val="both"/>
      <w:widowControl w:val="off"/>
    </w:pPr>
    <w:rPr>
      <w:rFonts w:ascii="Calibri" w:hAnsi="Calibri" w:eastAsia="宋体" w:cs="Times New Roman"/>
      <w:sz w:val="21"/>
      <w:szCs w:val="22"/>
      <w:lang w:val="en-US" w:eastAsia="zh-CN" w:bidi="ar-SA"/>
    </w:rPr>
  </w:style>
  <w:style w:type="paragraph" w:styleId="1087">
    <w:name w:val="正文_2_0_0"/>
    <w:next w:val="1087"/>
    <w:link w:val="957"/>
    <w:qFormat/>
    <w:pPr>
      <w:jc w:val="both"/>
      <w:widowControl w:val="off"/>
    </w:pPr>
    <w:rPr>
      <w:rFonts w:ascii="Calibri" w:hAnsi="Calibri" w:eastAsia="宋体" w:cs="Times New Roman"/>
      <w:sz w:val="21"/>
      <w:szCs w:val="22"/>
      <w:lang w:val="en-US" w:eastAsia="zh-CN" w:bidi="ar-SA"/>
    </w:rPr>
  </w:style>
  <w:style w:type="paragraph" w:styleId="1088">
    <w:name w:val="正文_2"/>
    <w:next w:val="1088"/>
    <w:link w:val="957"/>
    <w:qFormat/>
    <w:pPr>
      <w:jc w:val="both"/>
      <w:widowControl w:val="off"/>
    </w:pPr>
    <w:rPr>
      <w:rFonts w:ascii="Calibri" w:hAnsi="Calibri" w:eastAsia="宋体" w:cs="Times New Roman"/>
      <w:sz w:val="21"/>
      <w:szCs w:val="22"/>
      <w:lang w:val="en-US" w:eastAsia="zh-CN" w:bidi="ar-SA"/>
    </w:rPr>
  </w:style>
  <w:style w:type="paragraph" w:styleId="1089">
    <w:name w:val="正文_2_1"/>
    <w:next w:val="1089"/>
    <w:link w:val="957"/>
    <w:qFormat/>
    <w:pPr>
      <w:jc w:val="both"/>
      <w:widowControl w:val="off"/>
    </w:pPr>
    <w:rPr>
      <w:rFonts w:ascii="Calibri" w:hAnsi="Calibri" w:eastAsia="宋体" w:cs="Times New Roman"/>
      <w:sz w:val="21"/>
      <w:szCs w:val="22"/>
      <w:lang w:val="en-US" w:eastAsia="zh-CN" w:bidi="ar-SA"/>
    </w:rPr>
  </w:style>
  <w:style w:type="paragraph" w:styleId="1090">
    <w:name w:val="Normal_19"/>
    <w:next w:val="1057"/>
    <w:link w:val="957"/>
    <w:qFormat/>
    <w:pPr>
      <w:jc w:val="both"/>
      <w:widowControl w:val="off"/>
    </w:pPr>
    <w:rPr>
      <w:rFonts w:ascii="Calibri" w:hAnsi="Calibri" w:eastAsia="宋体" w:cs="Times New Roman"/>
      <w:sz w:val="21"/>
      <w:szCs w:val="22"/>
      <w:lang w:val="en-US" w:eastAsia="zh-CN" w:bidi="ar-SA"/>
    </w:rPr>
  </w:style>
  <w:style w:type="character" w:styleId="1091">
    <w:name w:val="font11"/>
    <w:basedOn w:val="967"/>
    <w:next w:val="1091"/>
    <w:link w:val="957"/>
    <w:qFormat/>
    <w:rPr>
      <w:rFonts w:hint="eastAsia" w:ascii="仿宋" w:hAnsi="仿宋" w:eastAsia="仿宋" w:cs="仿宋"/>
      <w:color w:val="000000"/>
      <w:sz w:val="24"/>
      <w:szCs w:val="24"/>
      <w:u w:val="none"/>
    </w:rPr>
  </w:style>
  <w:style w:type="paragraph" w:styleId="1092">
    <w:name w:val="正文_19"/>
    <w:next w:val="1092"/>
    <w:link w:val="957"/>
    <w:qFormat/>
    <w:pPr>
      <w:jc w:val="both"/>
      <w:widowControl w:val="off"/>
    </w:pPr>
    <w:rPr>
      <w:rFonts w:ascii="Calibri" w:hAnsi="Calibri" w:eastAsia="宋体" w:cs="Times New Roman"/>
      <w:sz w:val="21"/>
      <w:szCs w:val="22"/>
      <w:lang w:val="en-US" w:eastAsia="zh-CN" w:bidi="ar-SA"/>
    </w:rPr>
  </w:style>
  <w:style w:type="paragraph" w:styleId="1093">
    <w:name w:val="Index 4"/>
    <w:basedOn w:val="1094"/>
    <w:next w:val="1094"/>
    <w:link w:val="957"/>
    <w:qFormat/>
    <w:pPr>
      <w:ind w:left="1260"/>
    </w:pPr>
  </w:style>
  <w:style w:type="paragraph" w:styleId="1094">
    <w:name w:val="Normal_20"/>
    <w:next w:val="1094"/>
    <w:link w:val="957"/>
    <w:qFormat/>
    <w:rPr>
      <w:rFonts w:ascii="黑体" w:hAnsi="黑体" w:eastAsia="黑体" w:cs="黑体"/>
      <w:b/>
      <w:sz w:val="32"/>
      <w:szCs w:val="24"/>
      <w:lang w:val="en-US" w:eastAsia="zh-CN" w:bidi="ar-SA"/>
    </w:rPr>
  </w:style>
  <w:style w:type="paragraph" w:styleId="1095">
    <w:name w:val="标题 31"/>
    <w:basedOn w:val="957"/>
    <w:next w:val="957"/>
    <w:link w:val="957"/>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96">
    <w:name w:val="[Normal]"/>
    <w:next w:val="1096"/>
    <w:link w:val="957"/>
    <w:qFormat/>
    <w:rPr>
      <w:rFonts w:ascii="方正仿宋简体" w:hAnsi="方正仿宋简体" w:eastAsia="方正仿宋简体" w:cs="Courier New"/>
      <w:sz w:val="24"/>
      <w:szCs w:val="22"/>
      <w:lang w:val="zh-CN" w:eastAsia="zh-CN" w:bidi="ar-SA"/>
    </w:rPr>
  </w:style>
  <w:style w:type="paragraph" w:styleId="1097">
    <w:name w:val="标题 11"/>
    <w:basedOn w:val="957"/>
    <w:next w:val="957"/>
    <w:link w:val="957"/>
    <w:qFormat/>
    <w:pPr>
      <w:jc w:val="center"/>
      <w:keepLines/>
      <w:keepNext/>
      <w:spacing w:before="340" w:after="330" w:line="576" w:lineRule="auto"/>
      <w:outlineLvl w:val="0"/>
    </w:pPr>
    <w:rPr>
      <w:b/>
      <w:bCs/>
      <w:sz w:val="44"/>
      <w:szCs w:val="44"/>
    </w:rPr>
  </w:style>
  <w:style w:type="paragraph" w:styleId="1098">
    <w:name w:val="标题 21"/>
    <w:basedOn w:val="957"/>
    <w:next w:val="957"/>
    <w:link w:val="957"/>
    <w:qFormat/>
    <w:pPr>
      <w:keepLines/>
      <w:keepNext/>
      <w:spacing w:before="260" w:after="260" w:line="415" w:lineRule="auto"/>
      <w:outlineLvl w:val="1"/>
    </w:pPr>
    <w:rPr>
      <w:rFonts w:ascii="Arial" w:hAnsi="Arial" w:eastAsia="黑体"/>
      <w:b/>
      <w:bCs/>
      <w:sz w:val="32"/>
      <w:szCs w:val="32"/>
    </w:rPr>
  </w:style>
  <w:style w:type="character" w:styleId="1099" w:default="1">
    <w:name w:val="Default Paragraph Font"/>
    <w:uiPriority w:val="1"/>
    <w:semiHidden/>
    <w:unhideWhenUsed/>
  </w:style>
  <w:style w:type="numbering" w:styleId="1100" w:default="1">
    <w:name w:val="No List"/>
    <w:uiPriority w:val="99"/>
    <w:semiHidden/>
    <w:unhideWhenUsed/>
  </w:style>
  <w:style w:type="table" w:styleId="11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盐城市大丰区住房和</dc:creator>
  <cp:lastModifiedBy>陈晓忠</cp:lastModifiedBy>
  <cp:revision>4</cp:revision>
  <dcterms:created xsi:type="dcterms:W3CDTF">2024-02-21T00:40:00Z</dcterms:created>
  <dcterms:modified xsi:type="dcterms:W3CDTF">2025-01-03T07:09:02Z</dcterms:modified>
</cp:coreProperties>
</file>