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4"/>
        <w:rPr>
          <w:rFonts w:hint="eastAsia"/>
          <w:color w:val="000000"/>
          <w:highlight w:val="none"/>
        </w:rPr>
      </w:pPr>
      <w:r>
        <w:rPr>
          <w:rFonts w:hint="eastAsia"/>
          <w:color w:val="000000"/>
          <w:highlight w:val="none"/>
        </w:rPr>
      </w:r>
      <w:r/>
    </w:p>
    <w:p>
      <w:pPr>
        <w:pStyle w:val="843"/>
        <w:jc w:val="center"/>
        <w:spacing w:line="480" w:lineRule="auto"/>
        <w:rPr>
          <w:rFonts w:hint="eastAsia" w:ascii="宋体" w:hAnsi="宋体" w:cs="宋体"/>
          <w:b/>
          <w:color w:val="000000"/>
          <w:sz w:val="56"/>
          <w:szCs w:val="56"/>
          <w:highlight w:val="none"/>
        </w:rPr>
      </w:pPr>
      <w:r>
        <w:rPr>
          <w:rFonts w:hint="eastAsia" w:ascii="宋体" w:hAnsi="宋体" w:cs="宋体"/>
          <w:b/>
          <w:color w:val="000000"/>
          <w:sz w:val="56"/>
          <w:szCs w:val="56"/>
          <w:highlight w:val="none"/>
        </w:rPr>
        <w:t xml:space="preserve">无锡市政府采购</w:t>
      </w:r>
      <w:r>
        <w:rPr>
          <w:rFonts w:hint="eastAsia" w:ascii="宋体" w:hAnsi="宋体" w:cs="宋体"/>
          <w:b/>
          <w:color w:val="000000"/>
          <w:sz w:val="56"/>
          <w:szCs w:val="56"/>
          <w:highlight w:val="none"/>
        </w:rPr>
      </w:r>
      <w:r/>
    </w:p>
    <w:p>
      <w:pPr>
        <w:pStyle w:val="843"/>
        <w:jc w:val="center"/>
        <w:spacing w:line="360" w:lineRule="auto"/>
        <w:rPr>
          <w:rFonts w:hint="eastAsia" w:ascii="宋体" w:hAnsi="宋体" w:cs="宋体"/>
          <w:b/>
          <w:color w:val="000000"/>
          <w:sz w:val="56"/>
          <w:szCs w:val="56"/>
          <w:highlight w:val="none"/>
        </w:rPr>
      </w:pPr>
      <w:r>
        <w:rPr>
          <w:rFonts w:hint="eastAsia" w:ascii="宋体" w:hAnsi="宋体" w:cs="宋体"/>
          <w:b/>
          <w:color w:val="000000"/>
          <w:sz w:val="56"/>
          <w:szCs w:val="56"/>
          <w:highlight w:val="none"/>
        </w:rPr>
      </w:r>
      <w:r/>
    </w:p>
    <w:p>
      <w:pPr>
        <w:pStyle w:val="843"/>
        <w:jc w:val="center"/>
        <w:spacing w:line="360" w:lineRule="auto"/>
        <w:rPr>
          <w:rFonts w:hint="eastAsia" w:ascii="宋体" w:hAnsi="宋体" w:cs="宋体"/>
          <w:b/>
          <w:color w:val="000000"/>
          <w:sz w:val="72"/>
          <w:szCs w:val="72"/>
          <w:highlight w:val="none"/>
        </w:rPr>
      </w:pPr>
      <w:r>
        <w:rPr>
          <w:rFonts w:hint="eastAsia" w:ascii="宋体" w:hAnsi="宋体" w:cs="宋体"/>
          <w:b/>
          <w:color w:val="000000"/>
          <w:sz w:val="56"/>
          <w:szCs w:val="56"/>
          <w:highlight w:val="none"/>
        </w:rPr>
        <w:t xml:space="preserve">公开招标文件</w:t>
      </w:r>
      <w:r>
        <w:rPr>
          <w:rFonts w:hint="eastAsia" w:ascii="宋体" w:hAnsi="宋体" w:cs="宋体"/>
          <w:b/>
          <w:color w:val="000000"/>
          <w:sz w:val="72"/>
          <w:szCs w:val="72"/>
          <w:highlight w:val="none"/>
        </w:rPr>
      </w:r>
      <w:r/>
    </w:p>
    <w:p>
      <w:pPr>
        <w:pStyle w:val="843"/>
        <w:jc w:val="center"/>
        <w:spacing w:line="360" w:lineRule="auto"/>
        <w:rPr>
          <w:rFonts w:hint="eastAsia" w:ascii="宋体" w:hAnsi="宋体" w:cs="宋体"/>
          <w:b/>
          <w:color w:val="000000"/>
          <w:sz w:val="24"/>
          <w:highlight w:val="none"/>
        </w:rPr>
      </w:pPr>
      <w:r>
        <w:rPr>
          <w:rFonts w:hint="eastAsia" w:ascii="宋体" w:hAnsi="宋体" w:cs="宋体"/>
          <w:b/>
          <w:color w:val="000000"/>
          <w:sz w:val="28"/>
          <w:szCs w:val="28"/>
          <w:highlight w:val="none"/>
        </w:rPr>
        <w:t xml:space="preserve">（全流程电子化）</w:t>
      </w:r>
      <w:r>
        <w:rPr>
          <w:rFonts w:hint="eastAsia" w:ascii="宋体" w:hAnsi="宋体" w:cs="宋体"/>
          <w:b/>
          <w:color w:val="000000"/>
          <w:sz w:val="24"/>
          <w:highlight w:val="none"/>
        </w:rPr>
      </w:r>
      <w:r/>
    </w:p>
    <w:p>
      <w:pPr>
        <w:pStyle w:val="843"/>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43"/>
        <w:jc w:val="center"/>
        <w:spacing w:line="360" w:lineRule="auto"/>
        <w:rPr>
          <w:rFonts w:hint="eastAsia" w:ascii="宋体" w:hAnsi="宋体" w:cs="宋体"/>
          <w:b/>
          <w:color w:val="000000"/>
          <w:sz w:val="24"/>
          <w:highlight w:val="none"/>
        </w:rPr>
      </w:pPr>
      <w:r/>
      <w:bookmarkStart w:id="0" w:name="OLE_LINK1"/>
      <w:r>
        <w:rPr>
          <w:rFonts w:hint="eastAsia" w:ascii="宋体" w:hAnsi="宋体" w:cs="宋体"/>
          <w:b/>
          <w:color w:val="000000"/>
          <w:sz w:val="24"/>
          <w:highlight w:val="none"/>
        </w:rPr>
      </w:r>
      <w:r/>
    </w:p>
    <w:p>
      <w:pPr>
        <w:pStyle w:val="84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43"/>
        <w:ind w:firstLine="562"/>
        <w:keepLines w:val="0"/>
        <w:keepNext w:val="0"/>
        <w:pageBreakBefore w:val="0"/>
        <w:spacing w:line="360" w:lineRule="auto"/>
        <w:widowControl w:val="off"/>
        <w:rPr>
          <w:rFonts w:hint="eastAsia" w:ascii="宋体" w:hAnsi="宋体" w:eastAsia="宋体" w:cs="宋体"/>
          <w:b/>
          <w:color w:val="000000"/>
          <w:sz w:val="28"/>
          <w:szCs w:val="28"/>
          <w:highlight w:val="none"/>
        </w:rPr>
      </w:pPr>
      <w:r>
        <w:rPr>
          <w:rFonts w:hint="eastAsia" w:ascii="宋体" w:hAnsi="宋体" w:cs="宋体"/>
          <w:b/>
          <w:color w:val="000000"/>
          <w:sz w:val="28"/>
          <w:szCs w:val="28"/>
          <w:highlight w:val="none"/>
        </w:rPr>
        <w:t xml:space="preserve">政府采购编号：</w:t>
      </w:r>
      <w:r>
        <w:rPr>
          <w:rFonts w:hint="eastAsia" w:ascii="宋体" w:hAnsi="宋体" w:eastAsia="宋体" w:cs="宋体"/>
          <w:b/>
          <w:color w:val="000000"/>
          <w:sz w:val="28"/>
          <w:szCs w:val="28"/>
          <w:highlight w:val="none"/>
        </w:rPr>
        <w:t xml:space="preserve">JSZC-320200-BJJZ-G2025-0048</w:t>
      </w:r>
      <w:r>
        <w:rPr>
          <w:rFonts w:hint="eastAsia" w:ascii="宋体" w:hAnsi="宋体" w:eastAsia="宋体" w:cs="宋体"/>
          <w:b/>
          <w:color w:val="000000"/>
          <w:sz w:val="28"/>
          <w:szCs w:val="28"/>
          <w:highlight w:val="none"/>
        </w:rPr>
      </w:r>
      <w:r/>
    </w:p>
    <w:p>
      <w:pPr>
        <w:pStyle w:val="843"/>
        <w:ind w:firstLine="562"/>
        <w:keepLines w:val="0"/>
        <w:keepNext w:val="0"/>
        <w:pageBreakBefore w:val="0"/>
        <w:spacing w:line="360" w:lineRule="auto"/>
        <w:widowControl w:val="off"/>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43"/>
        <w:ind w:firstLine="562"/>
        <w:keepLines w:val="0"/>
        <w:keepNext w:val="0"/>
        <w:pageBreakBefore w:val="0"/>
        <w:spacing w:line="360" w:lineRule="auto"/>
        <w:widowControl w:val="off"/>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项目名称：无锡市精神卫生中心（无锡市中心康复医院）2026-2027年度安保服务项目</w:t>
      </w:r>
      <w:r>
        <w:rPr>
          <w:rFonts w:ascii="宋体" w:hAnsi="宋体" w:cs="宋体"/>
          <w:b/>
          <w:color w:val="000000"/>
          <w:sz w:val="28"/>
          <w:szCs w:val="28"/>
          <w:highlight w:val="none"/>
        </w:rPr>
      </w:r>
      <w:r/>
    </w:p>
    <w:p>
      <w:pPr>
        <w:pStyle w:val="843"/>
        <w:ind w:firstLine="562"/>
        <w:keepLines w:val="0"/>
        <w:keepNext w:val="0"/>
        <w:pageBreakBefore w:val="0"/>
        <w:spacing w:line="360" w:lineRule="auto"/>
        <w:widowControl w:val="off"/>
        <w:rPr>
          <w:rFonts w:hint="eastAsia" w:ascii="宋体" w:hAnsi="宋体" w:cs="宋体"/>
          <w:b/>
          <w:color w:val="000000"/>
          <w:sz w:val="28"/>
          <w:szCs w:val="28"/>
          <w:highlight w:val="none"/>
        </w:rPr>
      </w:pPr>
      <w:r/>
      <w:bookmarkEnd w:id="0"/>
      <w:r>
        <w:rPr>
          <w:rFonts w:hint="eastAsia" w:ascii="宋体" w:hAnsi="宋体" w:cs="宋体"/>
          <w:b/>
          <w:color w:val="000000"/>
          <w:sz w:val="28"/>
          <w:szCs w:val="28"/>
          <w:highlight w:val="none"/>
        </w:rPr>
      </w:r>
      <w:r/>
    </w:p>
    <w:p>
      <w:pPr>
        <w:pStyle w:val="843"/>
        <w:ind w:firstLine="562"/>
        <w:keepLines w:val="0"/>
        <w:keepNext w:val="0"/>
        <w:pageBreakBefore w:val="0"/>
        <w:spacing w:line="360" w:lineRule="auto"/>
        <w:widowControl w:val="off"/>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采 购 人：无锡市精神卫生中心</w:t>
      </w:r>
      <w:r>
        <w:rPr>
          <w:rFonts w:hint="eastAsia" w:ascii="宋体" w:hAnsi="宋体" w:cs="宋体"/>
          <w:b/>
          <w:color w:val="000000"/>
          <w:sz w:val="28"/>
          <w:szCs w:val="28"/>
          <w:highlight w:val="none"/>
        </w:rPr>
      </w:r>
      <w:r/>
    </w:p>
    <w:p>
      <w:pPr>
        <w:pStyle w:val="843"/>
        <w:ind w:firstLine="562"/>
        <w:keepLines w:val="0"/>
        <w:keepNext w:val="0"/>
        <w:pageBreakBefore w:val="0"/>
        <w:spacing w:line="360" w:lineRule="auto"/>
        <w:widowControl w:val="off"/>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43"/>
        <w:ind w:firstLine="562"/>
        <w:keepLines w:val="0"/>
        <w:keepNext w:val="0"/>
        <w:pageBreakBefore w:val="0"/>
        <w:spacing w:line="360" w:lineRule="auto"/>
        <w:widowControl w:val="off"/>
        <w:rPr>
          <w:rFonts w:hint="eastAsia" w:ascii="宋体" w:hAnsi="宋体" w:cs="宋体"/>
          <w:b/>
          <w:color w:val="000000"/>
          <w:sz w:val="32"/>
          <w:szCs w:val="32"/>
          <w:highlight w:val="none"/>
        </w:rPr>
      </w:pPr>
      <w:r>
        <w:rPr>
          <w:rFonts w:hint="eastAsia" w:ascii="宋体" w:hAnsi="宋体" w:cs="宋体"/>
          <w:b/>
          <w:color w:val="000000"/>
          <w:sz w:val="28"/>
          <w:szCs w:val="28"/>
          <w:highlight w:val="none"/>
        </w:rPr>
        <w:t xml:space="preserve">采购代理机构：北京建智达工程管理股份有限公司</w:t>
      </w:r>
      <w:r>
        <w:rPr>
          <w:rFonts w:hint="eastAsia" w:ascii="宋体" w:hAnsi="宋体" w:cs="宋体"/>
          <w:b/>
          <w:color w:val="000000"/>
          <w:sz w:val="32"/>
          <w:szCs w:val="32"/>
          <w:highlight w:val="none"/>
        </w:rPr>
      </w:r>
      <w:r/>
    </w:p>
    <w:p>
      <w:pPr>
        <w:pStyle w:val="84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4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1"/>
        <w:rPr>
          <w:rFonts w:hint="eastAsia" w:ascii="宋体" w:hAnsi="宋体" w:cs="宋体"/>
          <w:color w:val="000000"/>
          <w:highlight w:val="none"/>
        </w:rPr>
      </w:pPr>
      <w:r>
        <w:rPr>
          <w:rFonts w:hint="eastAsia" w:ascii="宋体" w:hAnsi="宋体" w:cs="宋体"/>
          <w:color w:val="000000"/>
          <w:highlight w:val="none"/>
        </w:rPr>
      </w:r>
      <w:r/>
    </w:p>
    <w:p>
      <w:pPr>
        <w:pStyle w:val="843"/>
        <w:jc w:val="center"/>
        <w:spacing w:line="360" w:lineRule="auto"/>
        <w:rPr>
          <w:rFonts w:hint="eastAsia" w:ascii="宋体" w:hAnsi="宋体" w:cs="宋体"/>
          <w:b/>
          <w:color w:val="000000"/>
          <w:sz w:val="44"/>
          <w:szCs w:val="44"/>
          <w:highlight w:val="none"/>
        </w:rPr>
      </w:pPr>
      <w:r>
        <w:rPr>
          <w:rFonts w:hint="eastAsia" w:ascii="宋体" w:hAnsi="宋体" w:cs="宋体"/>
          <w:b/>
          <w:color w:val="000000"/>
          <w:sz w:val="32"/>
          <w:szCs w:val="32"/>
          <w:highlight w:val="none"/>
        </w:rPr>
        <w:t xml:space="preserve">2025年1</w:t>
      </w:r>
      <w:r>
        <w:rPr>
          <w:rFonts w:hint="eastAsia" w:ascii="宋体" w:hAnsi="宋体" w:cs="宋体"/>
          <w:b/>
          <w:color w:val="000000"/>
          <w:sz w:val="32"/>
          <w:szCs w:val="32"/>
          <w:highlight w:val="none"/>
          <w:lang w:val="en-US" w:eastAsia="zh-CN"/>
        </w:rPr>
        <w:t xml:space="preserve">1</w:t>
      </w:r>
      <w:r>
        <w:rPr>
          <w:rFonts w:hint="eastAsia" w:ascii="宋体" w:hAnsi="宋体" w:cs="宋体"/>
          <w:b/>
          <w:color w:val="000000"/>
          <w:sz w:val="32"/>
          <w:szCs w:val="32"/>
          <w:highlight w:val="none"/>
        </w:rPr>
        <w:t xml:space="preserve">月</w:t>
      </w:r>
      <w:r>
        <w:rPr>
          <w:rFonts w:hint="eastAsia" w:ascii="宋体" w:hAnsi="宋体" w:cs="宋体"/>
          <w:b/>
          <w:color w:val="000000"/>
          <w:sz w:val="44"/>
          <w:szCs w:val="44"/>
          <w:highlight w:val="none"/>
        </w:rPr>
      </w:r>
      <w:r/>
    </w:p>
    <w:p>
      <w:pPr>
        <w:pStyle w:val="843"/>
        <w:jc w:val="center"/>
        <w:rPr>
          <w:rStyle w:val="884"/>
          <w:rFonts w:hint="eastAsia" w:ascii="宋体" w:hAnsi="宋体" w:cs="宋体"/>
          <w:bCs/>
          <w:color w:val="000000"/>
          <w:sz w:val="48"/>
          <w:highlight w:val="none"/>
        </w:rPr>
        <w:sectPr>
          <w:headerReference w:type="default" r:id="rId9"/>
          <w:headerReference w:type="first" r:id="rId10"/>
          <w:footerReference w:type="default" r:id="rId13"/>
          <w:footnotePr/>
          <w:endnotePr/>
          <w:type w:val="nextPage"/>
          <w:pgSz w:w="11906" w:h="16838" w:orient="portrait"/>
          <w:pgMar w:top="1440" w:right="1440" w:bottom="1440" w:left="1440" w:header="850" w:footer="992" w:gutter="0"/>
          <w:pgNumType w:start="1"/>
          <w:cols w:num="1" w:sep="0" w:space="1701" w:equalWidth="1"/>
          <w:docGrid w:linePitch="360"/>
        </w:sectPr>
      </w:pPr>
      <w:r>
        <w:rPr>
          <w:rStyle w:val="884"/>
          <w:rFonts w:hint="eastAsia" w:ascii="宋体" w:hAnsi="宋体" w:cs="宋体"/>
          <w:bCs/>
          <w:color w:val="000000"/>
          <w:sz w:val="48"/>
          <w:highlight w:val="none"/>
        </w:rPr>
      </w:r>
      <w:r/>
    </w:p>
    <w:p>
      <w:pPr>
        <w:pStyle w:val="843"/>
        <w:ind w:firstLine="720"/>
        <w:jc w:val="center"/>
        <w:spacing w:line="480" w:lineRule="auto"/>
        <w:rPr>
          <w:rStyle w:val="884"/>
          <w:rFonts w:hint="eastAsia" w:ascii="宋体" w:hAnsi="宋体" w:cs="宋体"/>
          <w:bCs/>
          <w:color w:val="000000"/>
          <w:sz w:val="48"/>
          <w:highlight w:val="none"/>
        </w:rPr>
      </w:pPr>
      <w:r>
        <w:rPr>
          <w:rStyle w:val="884"/>
          <w:rFonts w:hint="eastAsia" w:ascii="宋体" w:hAnsi="宋体" w:cs="宋体"/>
          <w:bCs/>
          <w:color w:val="000000"/>
          <w:sz w:val="48"/>
          <w:highlight w:val="none"/>
        </w:rPr>
        <w:t xml:space="preserve">目  录</w:t>
      </w:r>
      <w:r>
        <w:rPr>
          <w:rStyle w:val="884"/>
          <w:rFonts w:hint="eastAsia" w:ascii="宋体" w:hAnsi="宋体" w:cs="宋体"/>
          <w:bCs/>
          <w:color w:val="000000"/>
          <w:sz w:val="48"/>
          <w:highlight w:val="none"/>
        </w:rPr>
      </w:r>
      <w:r/>
    </w:p>
    <w:p>
      <w:pPr>
        <w:pStyle w:val="843"/>
        <w:ind w:firstLine="450"/>
        <w:spacing w:line="48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一、投标须知前附表</w:t>
      </w:r>
      <w:r>
        <w:rPr>
          <w:rFonts w:hint="eastAsia" w:ascii="宋体" w:hAnsi="宋体" w:cs="宋体"/>
          <w:bCs/>
          <w:color w:val="000000"/>
          <w:sz w:val="30"/>
          <w:szCs w:val="30"/>
          <w:highlight w:val="none"/>
        </w:rPr>
      </w:r>
      <w:r/>
    </w:p>
    <w:p>
      <w:pPr>
        <w:pStyle w:val="843"/>
        <w:ind w:firstLine="450"/>
        <w:spacing w:line="48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二、投标供应商须知</w:t>
      </w:r>
      <w:bookmarkStart w:id="1" w:name="OLE_LINK2"/>
      <w:r>
        <w:rPr>
          <w:rFonts w:hint="eastAsia" w:ascii="宋体" w:hAnsi="宋体" w:cs="宋体"/>
          <w:bCs/>
          <w:color w:val="000000"/>
          <w:sz w:val="30"/>
          <w:szCs w:val="30"/>
          <w:highlight w:val="none"/>
        </w:rPr>
      </w:r>
      <w:r/>
    </w:p>
    <w:p>
      <w:pPr>
        <w:pStyle w:val="843"/>
        <w:ind w:firstLine="450"/>
        <w:spacing w:line="48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三、采购需求</w:t>
      </w:r>
      <w:r>
        <w:rPr>
          <w:rFonts w:hint="eastAsia" w:ascii="宋体" w:hAnsi="宋体" w:cs="宋体"/>
          <w:bCs/>
          <w:color w:val="000000"/>
          <w:sz w:val="30"/>
          <w:szCs w:val="30"/>
          <w:highlight w:val="none"/>
        </w:rPr>
      </w:r>
      <w:r/>
    </w:p>
    <w:p>
      <w:pPr>
        <w:pStyle w:val="843"/>
        <w:ind w:firstLine="450"/>
        <w:spacing w:line="48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四、合同书（格式）</w:t>
      </w:r>
      <w:r>
        <w:rPr>
          <w:rFonts w:hint="eastAsia" w:ascii="宋体" w:hAnsi="宋体" w:cs="宋体"/>
          <w:bCs/>
          <w:color w:val="000000"/>
          <w:sz w:val="30"/>
          <w:szCs w:val="30"/>
          <w:highlight w:val="none"/>
        </w:rPr>
      </w:r>
      <w:r/>
    </w:p>
    <w:p>
      <w:pPr>
        <w:pStyle w:val="843"/>
        <w:ind w:firstLine="450"/>
        <w:spacing w:line="480" w:lineRule="auto"/>
        <w:rPr>
          <w:rFonts w:hint="eastAsia" w:ascii="宋体" w:hAnsi="宋体" w:cs="宋体"/>
          <w:bCs/>
          <w:color w:val="000000"/>
          <w:sz w:val="28"/>
          <w:szCs w:val="28"/>
          <w:highlight w:val="none"/>
        </w:rPr>
      </w:pPr>
      <w:r>
        <w:rPr>
          <w:rFonts w:hint="eastAsia" w:ascii="宋体" w:hAnsi="宋体" w:cs="宋体"/>
          <w:bCs/>
          <w:color w:val="000000"/>
          <w:sz w:val="30"/>
          <w:szCs w:val="30"/>
          <w:highlight w:val="none"/>
        </w:rPr>
        <w:t xml:space="preserve">五、附件（投标文件格式）</w:t>
      </w:r>
      <w:r>
        <w:rPr>
          <w:rFonts w:hint="eastAsia" w:ascii="宋体" w:hAnsi="宋体" w:cs="宋体"/>
          <w:bCs/>
          <w:color w:val="000000"/>
          <w:sz w:val="28"/>
          <w:szCs w:val="28"/>
          <w:highlight w:val="none"/>
        </w:rPr>
      </w:r>
      <w:r/>
    </w:p>
    <w:p>
      <w:pPr>
        <w:pStyle w:val="843"/>
        <w:jc w:val="center"/>
        <w:rPr>
          <w:rStyle w:val="884"/>
          <w:rFonts w:hint="eastAsia" w:ascii="宋体" w:hAnsi="宋体" w:cs="宋体"/>
          <w:bCs/>
          <w:color w:val="000000"/>
          <w:sz w:val="48"/>
          <w:highlight w:val="none"/>
        </w:rPr>
      </w:pPr>
      <w:r>
        <w:rPr>
          <w:rStyle w:val="884"/>
          <w:rFonts w:hint="eastAsia" w:ascii="宋体" w:hAnsi="宋体" w:cs="宋体"/>
          <w:bCs/>
          <w:color w:val="000000"/>
          <w:sz w:val="48"/>
          <w:highlight w:val="none"/>
        </w:rPr>
      </w:r>
      <w:r/>
    </w:p>
    <w:p>
      <w:pPr>
        <w:pStyle w:val="844"/>
        <w:rPr>
          <w:rFonts w:hint="eastAsia" w:ascii="宋体" w:hAnsi="宋体" w:cs="宋体"/>
          <w:color w:val="000000"/>
          <w:sz w:val="28"/>
          <w:szCs w:val="28"/>
          <w:highlight w:val="none"/>
        </w:rPr>
        <w:sectPr>
          <w:headerReference w:type="default" r:id="rId11"/>
          <w:headerReference w:type="first" r:id="rId12"/>
          <w:footerReference w:type="default" r:id="rId14"/>
          <w:footerReference w:type="first" r:id="rId15"/>
          <w:footnotePr/>
          <w:endnotePr/>
          <w:type w:val="nextPage"/>
          <w:pgSz w:w="11906" w:h="16838" w:orient="portrait"/>
          <w:pgMar w:top="1440" w:right="1440" w:bottom="1440" w:left="1440" w:header="850" w:footer="992" w:gutter="0"/>
          <w:cols w:num="1" w:sep="0" w:space="1701" w:equalWidth="1"/>
          <w:docGrid w:linePitch="360"/>
        </w:sectPr>
      </w:pPr>
      <w:r/>
      <w:bookmarkStart w:id="2" w:name="报价方须知前附表"/>
      <w:r/>
      <w:bookmarkEnd w:id="2"/>
      <w:r/>
      <w:bookmarkStart w:id="3" w:name="_Toc66735271"/>
      <w:r>
        <w:rPr>
          <w:rFonts w:hint="eastAsia" w:ascii="宋体" w:hAnsi="宋体" w:cs="宋体"/>
          <w:color w:val="000000"/>
          <w:sz w:val="28"/>
          <w:szCs w:val="28"/>
          <w:highlight w:val="none"/>
        </w:rPr>
      </w:r>
      <w:r/>
    </w:p>
    <w:p>
      <w:pPr>
        <w:pStyle w:val="844"/>
        <w:spacing w:before="0" w:after="0" w:line="360" w:lineRule="auto"/>
        <w:rPr>
          <w:rFonts w:hint="eastAsia" w:ascii="宋体" w:hAnsi="宋体" w:cs="宋体"/>
          <w:color w:val="000000"/>
          <w:sz w:val="28"/>
          <w:szCs w:val="28"/>
          <w:highlight w:val="none"/>
        </w:rPr>
      </w:pPr>
      <w:r/>
      <w:bookmarkEnd w:id="1"/>
      <w:r>
        <w:rPr>
          <w:rFonts w:hint="eastAsia" w:ascii="宋体" w:hAnsi="宋体" w:cs="宋体"/>
          <w:color w:val="000000"/>
          <w:sz w:val="28"/>
          <w:szCs w:val="28"/>
          <w:highlight w:val="none"/>
        </w:rPr>
        <w:t xml:space="preserve">一、投标须知前附表</w:t>
      </w:r>
      <w:bookmarkEnd w:id="3"/>
      <w:r>
        <w:rPr>
          <w:rFonts w:hint="eastAsia" w:ascii="宋体" w:hAnsi="宋体" w:cs="宋体"/>
          <w:color w:val="000000"/>
          <w:sz w:val="28"/>
          <w:szCs w:val="28"/>
          <w:highlight w:val="none"/>
        </w:rPr>
      </w:r>
      <w:r/>
    </w:p>
    <w:p>
      <w:pPr>
        <w:pStyle w:val="843"/>
        <w:ind w:firstLine="480"/>
        <w:spacing w:line="360" w:lineRule="auto"/>
        <w:rPr>
          <w:rFonts w:hint="eastAsia" w:ascii="宋体" w:hAnsi="宋体" w:cs="宋体"/>
          <w:bCs/>
          <w:color w:val="000000"/>
          <w:sz w:val="24"/>
          <w:szCs w:val="24"/>
          <w:highlight w:val="none"/>
        </w:rPr>
      </w:pPr>
      <w:r>
        <w:rPr>
          <w:rFonts w:hint="eastAsia" w:ascii="宋体" w:hAnsi="宋体" w:cs="宋体"/>
          <w:color w:val="000000"/>
          <w:sz w:val="24"/>
          <w:highlight w:val="none"/>
        </w:rPr>
        <w:t xml:space="preserve">北京建智达工程管理股份有限公司受</w:t>
      </w:r>
      <w:r>
        <w:rPr>
          <w:rFonts w:hint="eastAsia" w:ascii="宋体" w:hAnsi="宋体" w:cs="宋体"/>
          <w:bCs/>
          <w:color w:val="000000"/>
          <w:sz w:val="24"/>
          <w:highlight w:val="none"/>
        </w:rPr>
        <w:t xml:space="preserve">无锡市精神卫生中心</w:t>
      </w:r>
      <w:r>
        <w:rPr>
          <w:rFonts w:hint="eastAsia" w:ascii="宋体" w:hAnsi="宋体" w:cs="宋体"/>
          <w:color w:val="000000"/>
          <w:sz w:val="24"/>
          <w:highlight w:val="none"/>
        </w:rPr>
        <w:t xml:space="preserve">的委托，</w:t>
      </w:r>
      <w:r>
        <w:rPr>
          <w:rFonts w:hint="eastAsia" w:ascii="宋体" w:hAnsi="宋体" w:cs="宋体"/>
          <w:bCs/>
          <w:color w:val="000000"/>
          <w:sz w:val="24"/>
          <w:szCs w:val="24"/>
          <w:highlight w:val="none"/>
        </w:rPr>
        <w:t xml:space="preserve">对</w:t>
      </w:r>
      <w:r>
        <w:rPr>
          <w:rFonts w:hint="eastAsia" w:ascii="宋体" w:hAnsi="宋体" w:cs="宋体"/>
          <w:color w:val="000000"/>
          <w:sz w:val="24"/>
          <w:highlight w:val="none"/>
        </w:rPr>
        <w:t xml:space="preserve">无锡市精神卫生中心（无锡市中心康复医院）2026-2027年度安保服务项目</w:t>
      </w:r>
      <w:r>
        <w:rPr>
          <w:rFonts w:hint="eastAsia" w:ascii="宋体" w:hAnsi="宋体" w:cs="宋体"/>
          <w:color w:val="000000"/>
          <w:sz w:val="24"/>
          <w:highlight w:val="none"/>
        </w:rPr>
        <w:t xml:space="preserve">进行公开招标，欢迎你单位参加投标并提请注意下列附表中的相关事项</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tbl>
      <w:tblPr>
        <w:tblW w:w="938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8655"/>
      </w:tblGrid>
      <w:tr>
        <w:trPr>
          <w:trHeight w:val="70"/>
        </w:trPr>
        <w:tc>
          <w:tcPr>
            <w:tcW w:w="729" w:type="dxa"/>
            <w:vAlign w:val="top"/>
            <w:textDirection w:val="lrTb"/>
            <w:noWrap w:val="false"/>
          </w:tcPr>
          <w:p>
            <w:pPr>
              <w:pStyle w:val="843"/>
              <w:jc w:val="center"/>
              <w:spacing w:line="288"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序号</w:t>
            </w:r>
            <w:r>
              <w:rPr>
                <w:rFonts w:hint="eastAsia" w:ascii="宋体" w:hAnsi="宋体" w:cs="宋体"/>
                <w:bCs/>
                <w:color w:val="000000"/>
                <w:sz w:val="24"/>
                <w:szCs w:val="24"/>
                <w:highlight w:val="none"/>
              </w:rPr>
            </w:r>
            <w:r/>
          </w:p>
        </w:tc>
        <w:tc>
          <w:tcPr>
            <w:tcW w:w="8655" w:type="dxa"/>
            <w:vAlign w:val="top"/>
            <w:textDirection w:val="lrTb"/>
            <w:noWrap w:val="false"/>
          </w:tcPr>
          <w:p>
            <w:pPr>
              <w:pStyle w:val="843"/>
              <w:jc w:val="center"/>
              <w:spacing w:line="288"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内    容</w:t>
            </w:r>
            <w:r>
              <w:rPr>
                <w:rFonts w:hint="eastAsia" w:ascii="宋体" w:hAnsi="宋体" w:cs="宋体"/>
                <w:bCs/>
                <w:color w:val="000000"/>
                <w:sz w:val="24"/>
                <w:szCs w:val="24"/>
                <w:highlight w:val="none"/>
              </w:rPr>
            </w:r>
            <w:r/>
          </w:p>
        </w:tc>
      </w:tr>
      <w:tr>
        <w:trPr>
          <w:trHeight w:val="489"/>
        </w:trPr>
        <w:tc>
          <w:tcPr>
            <w:tcW w:w="729" w:type="dxa"/>
            <w:vAlign w:val="center"/>
            <w:textDirection w:val="lrTb"/>
            <w:noWrap w:val="false"/>
          </w:tcPr>
          <w:p>
            <w:pPr>
              <w:pStyle w:val="843"/>
              <w:jc w:val="center"/>
              <w:spacing w:line="288"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rPr>
            </w:r>
            <w:r/>
          </w:p>
        </w:tc>
        <w:tc>
          <w:tcPr>
            <w:tcW w:w="8655" w:type="dxa"/>
            <w:vAlign w:val="top"/>
            <w:textDirection w:val="lrTb"/>
            <w:noWrap w:val="false"/>
          </w:tcPr>
          <w:p>
            <w:pPr>
              <w:pStyle w:val="843"/>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项目名称：无锡市精神卫生中心（无锡市中心康复医院）2026-2027年度安保服务项目</w:t>
            </w:r>
            <w:r>
              <w:rPr>
                <w:rFonts w:hint="eastAsia" w:ascii="宋体" w:hAnsi="宋体" w:cs="宋体"/>
                <w:bCs/>
                <w:color w:val="000000"/>
                <w:sz w:val="24"/>
                <w:szCs w:val="24"/>
                <w:highlight w:val="none"/>
              </w:rPr>
            </w:r>
            <w:r/>
          </w:p>
          <w:p>
            <w:pPr>
              <w:pStyle w:val="843"/>
              <w:spacing w:line="360" w:lineRule="auto"/>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采购编</w:t>
            </w:r>
            <w:bookmarkStart w:id="4" w:name="OLE_LINK3"/>
            <w:r>
              <w:rPr>
                <w:rFonts w:hint="eastAsia" w:ascii="宋体" w:hAnsi="宋体" w:cs="宋体"/>
                <w:bCs/>
                <w:color w:val="000000"/>
                <w:sz w:val="24"/>
                <w:szCs w:val="24"/>
                <w:highlight w:val="none"/>
              </w:rPr>
              <w:t xml:space="preserve">号：JSZC-32020</w:t>
            </w:r>
            <w:r>
              <w:rPr>
                <w:rFonts w:hint="eastAsia" w:ascii="宋体" w:hAnsi="宋体" w:cs="宋体"/>
                <w:bCs/>
                <w:color w:val="000000"/>
                <w:sz w:val="24"/>
                <w:szCs w:val="24"/>
                <w:highlight w:val="none"/>
                <w:lang w:val="en-US" w:eastAsia="zh-CN"/>
              </w:rPr>
              <w:t xml:space="preserve">0</w:t>
            </w:r>
            <w:r>
              <w:rPr>
                <w:rFonts w:hint="eastAsia" w:ascii="宋体" w:hAnsi="宋体" w:cs="宋体"/>
                <w:bCs/>
                <w:color w:val="000000"/>
                <w:sz w:val="24"/>
                <w:szCs w:val="24"/>
                <w:highlight w:val="none"/>
              </w:rPr>
              <w:t xml:space="preserve">-BJJZ-G2025-</w:t>
            </w:r>
            <w:r>
              <w:rPr>
                <w:rFonts w:hint="eastAsia" w:ascii="宋体" w:hAnsi="宋体" w:cs="宋体"/>
                <w:bCs/>
                <w:color w:val="000000"/>
                <w:sz w:val="24"/>
                <w:szCs w:val="24"/>
                <w:highlight w:val="none"/>
              </w:rPr>
              <w:t xml:space="preserve">00</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lang w:val="en-US" w:eastAsia="zh-CN"/>
              </w:rPr>
              <w:t xml:space="preserve">8</w:t>
            </w:r>
            <w:r>
              <w:rPr>
                <w:rFonts w:ascii="宋体" w:hAnsi="宋体" w:eastAsia="宋体" w:cs="宋体"/>
                <w:bCs/>
                <w:color w:val="000000"/>
                <w:sz w:val="24"/>
                <w:szCs w:val="24"/>
                <w:highlight w:val="none"/>
                <w:lang w:val="en-US" w:eastAsia="zh-CN"/>
              </w:rPr>
            </w:r>
            <w:r/>
          </w:p>
          <w:p>
            <w:pPr>
              <w:pStyle w:val="843"/>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采购方式：公开招标</w:t>
            </w:r>
            <w:bookmarkEnd w:id="4"/>
            <w:r>
              <w:rPr>
                <w:rFonts w:hint="eastAsia" w:ascii="宋体" w:hAnsi="宋体" w:cs="宋体"/>
                <w:bCs/>
                <w:color w:val="000000"/>
                <w:sz w:val="24"/>
                <w:szCs w:val="24"/>
                <w:highlight w:val="none"/>
              </w:rPr>
            </w:r>
            <w:r/>
          </w:p>
        </w:tc>
      </w:tr>
      <w:tr>
        <w:trPr>
          <w:trHeight w:val="336"/>
        </w:trPr>
        <w:tc>
          <w:tcPr>
            <w:tcW w:w="729" w:type="dxa"/>
            <w:vAlign w:val="center"/>
            <w:textDirection w:val="lrTb"/>
            <w:noWrap w:val="false"/>
          </w:tcPr>
          <w:p>
            <w:pPr>
              <w:pStyle w:val="843"/>
              <w:jc w:val="center"/>
              <w:spacing w:line="288"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rPr>
            </w:r>
            <w:r/>
          </w:p>
        </w:tc>
        <w:tc>
          <w:tcPr>
            <w:tcW w:w="8655" w:type="dxa"/>
            <w:vAlign w:val="top"/>
            <w:textDirection w:val="lrTb"/>
            <w:noWrap w:val="false"/>
          </w:tcPr>
          <w:p>
            <w:pPr>
              <w:pStyle w:val="843"/>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投标供应商的资格要求：</w:t>
            </w:r>
            <w:r>
              <w:rPr>
                <w:rFonts w:hint="eastAsia" w:ascii="宋体" w:hAnsi="宋体" w:cs="宋体"/>
                <w:bCs/>
                <w:color w:val="000000"/>
                <w:sz w:val="24"/>
                <w:szCs w:val="24"/>
                <w:highlight w:val="none"/>
              </w:rPr>
            </w:r>
            <w:r/>
          </w:p>
          <w:p>
            <w:pPr>
              <w:pStyle w:val="843"/>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1、满足《中华人民共和国政府采购法》第二十二条规定：</w:t>
            </w:r>
            <w:r>
              <w:rPr>
                <w:rFonts w:hint="eastAsia" w:ascii="宋体" w:hAnsi="宋体" w:cs="宋体"/>
                <w:bCs/>
                <w:color w:val="000000"/>
                <w:sz w:val="24"/>
                <w:szCs w:val="24"/>
                <w:highlight w:val="none"/>
              </w:rPr>
            </w:r>
            <w:r/>
          </w:p>
          <w:p>
            <w:pPr>
              <w:pStyle w:val="843"/>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①具有独立承担民事责任的能力；</w:t>
            </w:r>
            <w:r>
              <w:rPr>
                <w:rFonts w:hint="eastAsia" w:ascii="宋体" w:hAnsi="宋体" w:cs="宋体"/>
                <w:bCs/>
                <w:color w:val="000000"/>
                <w:sz w:val="24"/>
                <w:szCs w:val="24"/>
                <w:highlight w:val="none"/>
              </w:rPr>
            </w:r>
            <w:r/>
          </w:p>
          <w:p>
            <w:pPr>
              <w:pStyle w:val="843"/>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②具有良好的商业信誉和健全的财务会计制度；</w:t>
            </w:r>
            <w:r>
              <w:rPr>
                <w:rFonts w:hint="eastAsia" w:ascii="宋体" w:hAnsi="宋体" w:cs="宋体"/>
                <w:bCs/>
                <w:color w:val="000000"/>
                <w:sz w:val="24"/>
                <w:szCs w:val="24"/>
                <w:highlight w:val="none"/>
              </w:rPr>
            </w:r>
            <w:r/>
          </w:p>
          <w:p>
            <w:pPr>
              <w:pStyle w:val="843"/>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③具有履行合同所必需的设备和专业技术能力；</w:t>
            </w:r>
            <w:r>
              <w:rPr>
                <w:rFonts w:hint="eastAsia" w:ascii="宋体" w:hAnsi="宋体" w:cs="宋体"/>
                <w:bCs/>
                <w:color w:val="000000"/>
                <w:sz w:val="24"/>
                <w:szCs w:val="24"/>
                <w:highlight w:val="none"/>
              </w:rPr>
            </w:r>
            <w:r/>
          </w:p>
          <w:p>
            <w:pPr>
              <w:pStyle w:val="843"/>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④有依法缴纳税收和社会保障资金的良好记录；</w:t>
            </w:r>
            <w:r>
              <w:rPr>
                <w:rFonts w:hint="eastAsia" w:ascii="宋体" w:hAnsi="宋体" w:cs="宋体"/>
                <w:bCs/>
                <w:color w:val="000000"/>
                <w:sz w:val="24"/>
                <w:szCs w:val="24"/>
                <w:highlight w:val="none"/>
              </w:rPr>
            </w:r>
            <w:r/>
          </w:p>
          <w:p>
            <w:pPr>
              <w:pStyle w:val="843"/>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⑤参加政府采购活动前三年内，在经营活动中没有重大违法记录；</w:t>
            </w:r>
            <w:r>
              <w:rPr>
                <w:rFonts w:hint="eastAsia" w:ascii="宋体" w:hAnsi="宋体" w:cs="宋体"/>
                <w:bCs/>
                <w:color w:val="000000"/>
                <w:sz w:val="24"/>
                <w:szCs w:val="24"/>
                <w:highlight w:val="none"/>
              </w:rPr>
            </w:r>
            <w:r/>
          </w:p>
          <w:p>
            <w:pPr>
              <w:pStyle w:val="843"/>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⑥法律、行政法规规定的其他条件。</w:t>
            </w:r>
            <w:r>
              <w:rPr>
                <w:rFonts w:hint="eastAsia" w:ascii="宋体" w:hAnsi="宋体" w:cs="宋体"/>
                <w:bCs/>
                <w:color w:val="000000"/>
                <w:sz w:val="24"/>
                <w:szCs w:val="24"/>
                <w:highlight w:val="none"/>
              </w:rPr>
            </w:r>
            <w:r/>
          </w:p>
          <w:p>
            <w:pPr>
              <w:pStyle w:val="843"/>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r>
              <w:rPr>
                <w:rFonts w:hint="eastAsia" w:ascii="宋体" w:hAnsi="宋体" w:cs="宋体"/>
                <w:bCs/>
                <w:color w:val="000000"/>
                <w:sz w:val="24"/>
                <w:szCs w:val="24"/>
                <w:highlight w:val="none"/>
              </w:rPr>
            </w:r>
            <w:r/>
          </w:p>
          <w:p>
            <w:pPr>
              <w:pStyle w:val="843"/>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2、落实政府采购政策需满足的要求：</w:t>
            </w:r>
            <w:r>
              <w:rPr>
                <w:rFonts w:hint="eastAsia" w:ascii="宋体" w:hAnsi="宋体" w:cs="宋体"/>
                <w:bCs/>
                <w:color w:val="000000"/>
                <w:sz w:val="24"/>
                <w:szCs w:val="24"/>
                <w:highlight w:val="none"/>
              </w:rPr>
            </w:r>
            <w:r/>
          </w:p>
          <w:p>
            <w:pPr>
              <w:pStyle w:val="843"/>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①投标供应商如为中小微企业的，按照《政府采购促进中小企业发展管理办法》（财库〔2020〕46号）规定提供《中小企业声明函》，中小企业划型标准详见《关于印发中小企业划型标准规定的通知》（工信部联企业〔2011〕300号）；</w:t>
            </w:r>
            <w:r>
              <w:rPr>
                <w:rFonts w:hint="eastAsia" w:ascii="宋体" w:hAnsi="宋体" w:cs="宋体"/>
                <w:bCs/>
                <w:color w:val="000000"/>
                <w:sz w:val="24"/>
                <w:szCs w:val="24"/>
                <w:highlight w:val="none"/>
              </w:rPr>
            </w:r>
            <w:r/>
          </w:p>
          <w:p>
            <w:pPr>
              <w:pStyle w:val="843"/>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②投标供应商如为监狱和戒毒企业的，按照《财政部、司法部关于政府采购支持监狱企业发展有关问题》（财库〔2014〕68号）的规定提供由省级以上监狱管理局、戒毒管理局（含新疆生产建设兵团）出具的属于监狱企业的证明文件原件扫描件；</w:t>
            </w:r>
            <w:r>
              <w:rPr>
                <w:rFonts w:hint="eastAsia" w:ascii="宋体" w:hAnsi="宋体" w:cs="宋体"/>
                <w:bCs/>
                <w:color w:val="000000"/>
                <w:sz w:val="24"/>
                <w:szCs w:val="24"/>
                <w:highlight w:val="none"/>
              </w:rPr>
            </w:r>
            <w:r/>
          </w:p>
          <w:p>
            <w:pPr>
              <w:pStyle w:val="843"/>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③投标供应商如为残疾人福利性单位的，应当按照《财政部、民政部、中国残疾人联合会关于促</w:t>
            </w:r>
            <w:bookmarkStart w:id="5" w:name="OLE_LINK6"/>
            <w:r>
              <w:rPr>
                <w:rFonts w:hint="eastAsia" w:ascii="宋体" w:hAnsi="宋体" w:cs="宋体"/>
                <w:bCs/>
                <w:color w:val="000000"/>
                <w:sz w:val="24"/>
                <w:szCs w:val="24"/>
                <w:highlight w:val="none"/>
              </w:rPr>
              <w:t xml:space="preserve">进残疾人就业政府采购政策的通知》（财库〔2017〕141号）的规定提供《</w:t>
            </w:r>
            <w:bookmarkStart w:id="6" w:name="OLE_LINK4"/>
            <w:r>
              <w:rPr>
                <w:rFonts w:hint="eastAsia" w:ascii="宋体" w:hAnsi="宋体" w:cs="宋体"/>
                <w:bCs/>
                <w:color w:val="000000"/>
                <w:sz w:val="24"/>
                <w:szCs w:val="24"/>
                <w:highlight w:val="none"/>
              </w:rPr>
              <w:t xml:space="preserve">残疾</w:t>
            </w:r>
            <w:bookmarkStart w:id="7" w:name="OLE_LINK5"/>
            <w:r>
              <w:rPr>
                <w:rFonts w:hint="eastAsia" w:ascii="宋体" w:hAnsi="宋体" w:cs="宋体"/>
                <w:bCs/>
                <w:color w:val="000000"/>
                <w:sz w:val="24"/>
                <w:szCs w:val="24"/>
                <w:highlight w:val="none"/>
              </w:rPr>
              <w:t xml:space="preserve">人福利性单位声明函》；</w:t>
            </w:r>
            <w:r>
              <w:rPr>
                <w:rFonts w:hint="eastAsia" w:ascii="宋体" w:hAnsi="宋体" w:cs="宋体"/>
                <w:bCs/>
                <w:color w:val="000000"/>
                <w:sz w:val="24"/>
                <w:szCs w:val="24"/>
                <w:highlight w:val="none"/>
              </w:rPr>
            </w:r>
            <w:r/>
          </w:p>
          <w:p>
            <w:pPr>
              <w:pStyle w:val="843"/>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④残疾人福利单位、监狱企业属于小型、微型企业的，不重复享受政策。 </w:t>
            </w:r>
            <w:r>
              <w:rPr>
                <w:rFonts w:hint="eastAsia" w:ascii="宋体" w:hAnsi="宋体" w:cs="宋体"/>
                <w:bCs/>
                <w:color w:val="000000"/>
                <w:sz w:val="24"/>
                <w:szCs w:val="24"/>
                <w:highlight w:val="none"/>
              </w:rPr>
            </w:r>
            <w:r/>
          </w:p>
          <w:p>
            <w:pPr>
              <w:pStyle w:val="843"/>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3、本项目的特定资格要求：</w:t>
            </w:r>
            <w:bookmarkStart w:id="8" w:name="OLE_LINK32"/>
            <w:r>
              <w:rPr>
                <w:rFonts w:hint="eastAsia" w:eastAsia="Times New Roman"/>
                <w:color w:val="000000"/>
                <w:sz w:val="24"/>
                <w:szCs w:val="24"/>
                <w:highlight w:val="none"/>
              </w:rPr>
              <w:t xml:space="preserve">投标供应商</w:t>
            </w:r>
            <w:r>
              <w:rPr>
                <w:rFonts w:hint="eastAsia" w:ascii="宋体" w:hAnsi="宋体" w:cs="宋体"/>
                <w:bCs/>
                <w:color w:val="000000"/>
                <w:sz w:val="24"/>
                <w:szCs w:val="24"/>
                <w:highlight w:val="none"/>
              </w:rPr>
              <w:t xml:space="preserve">具有</w:t>
            </w:r>
            <w:r>
              <w:rPr>
                <w:rFonts w:hint="eastAsia" w:eastAsia="Times New Roman"/>
                <w:color w:val="000000"/>
                <w:sz w:val="24"/>
                <w:szCs w:val="24"/>
                <w:highlight w:val="none"/>
              </w:rPr>
              <w:t xml:space="preserve">省级公安厅核发的《保安服务许可证》资格证书（外省保安服务企业须</w:t>
            </w:r>
            <w:r>
              <w:rPr>
                <w:rFonts w:hint="eastAsia"/>
                <w:color w:val="000000"/>
                <w:sz w:val="24"/>
                <w:szCs w:val="24"/>
                <w:highlight w:val="none"/>
              </w:rPr>
              <w:t xml:space="preserve">提供</w:t>
            </w:r>
            <w:r>
              <w:rPr>
                <w:rFonts w:hint="eastAsia" w:eastAsia="Times New Roman"/>
                <w:color w:val="000000"/>
                <w:sz w:val="24"/>
                <w:szCs w:val="24"/>
                <w:highlight w:val="none"/>
              </w:rPr>
              <w:t xml:space="preserve">无锡市保安主管部门备案</w:t>
            </w:r>
            <w:r>
              <w:rPr>
                <w:rFonts w:hint="eastAsia"/>
                <w:color w:val="000000"/>
                <w:sz w:val="24"/>
                <w:szCs w:val="24"/>
                <w:highlight w:val="none"/>
              </w:rPr>
              <w:t xml:space="preserve">证明</w:t>
            </w:r>
            <w:r>
              <w:rPr>
                <w:rFonts w:hint="eastAsia" w:eastAsia="Times New Roman"/>
                <w:color w:val="000000"/>
                <w:sz w:val="24"/>
                <w:szCs w:val="24"/>
                <w:highlight w:val="none"/>
              </w:rPr>
              <w:t xml:space="preserve">）</w:t>
            </w:r>
            <w:r>
              <w:rPr>
                <w:rFonts w:hint="eastAsia" w:ascii="宋体" w:hAnsi="宋体" w:cs="宋体"/>
                <w:color w:val="000000"/>
                <w:sz w:val="24"/>
                <w:szCs w:val="24"/>
                <w:highlight w:val="none"/>
                <w:lang w:val="zh-CN"/>
              </w:rPr>
              <w:t xml:space="preserve">；</w:t>
            </w:r>
            <w:r>
              <w:rPr>
                <w:rFonts w:ascii="宋体" w:hAnsi="宋体" w:cs="宋体"/>
                <w:bCs/>
                <w:color w:val="000000"/>
                <w:sz w:val="24"/>
                <w:szCs w:val="24"/>
                <w:highlight w:val="none"/>
              </w:rPr>
            </w:r>
            <w:r/>
          </w:p>
          <w:p>
            <w:pPr>
              <w:pStyle w:val="843"/>
              <w:spacing w:line="360" w:lineRule="auto"/>
              <w:rPr>
                <w:rFonts w:hint="eastAsia" w:ascii="宋体" w:hAnsi="宋体" w:cs="宋体"/>
                <w:bCs/>
                <w:color w:val="000000"/>
                <w:sz w:val="24"/>
                <w:szCs w:val="24"/>
                <w:highlight w:val="none"/>
              </w:rPr>
            </w:pPr>
            <w:r/>
            <w:bookmarkEnd w:id="8"/>
            <w:r>
              <w:rPr>
                <w:rFonts w:hint="eastAsia" w:ascii="宋体" w:hAnsi="宋体" w:cs="宋体"/>
                <w:bCs/>
                <w:color w:val="000000"/>
                <w:sz w:val="24"/>
                <w:szCs w:val="24"/>
                <w:highlight w:val="none"/>
              </w:rPr>
              <w:t xml:space="preserve">4、投标供应商未被列入“信用中国”网站（www.creditchina.gov.cn）记录失信被执行人，同时，不处于中国政府采购网（ww</w:t>
            </w:r>
            <w:bookmarkEnd w:id="5"/>
            <w:r>
              <w:rPr>
                <w:rFonts w:hint="eastAsia" w:ascii="宋体" w:hAnsi="宋体" w:cs="宋体"/>
                <w:bCs/>
                <w:color w:val="000000"/>
                <w:sz w:val="24"/>
                <w:szCs w:val="24"/>
                <w:highlight w:val="none"/>
              </w:rPr>
              <w:t xml:space="preserve">w.ccgp.go</w:t>
            </w:r>
            <w:bookmarkEnd w:id="7"/>
            <w:r>
              <w:rPr>
                <w:rFonts w:hint="eastAsia" w:ascii="宋体" w:hAnsi="宋体" w:cs="宋体"/>
                <w:bCs/>
                <w:color w:val="000000"/>
                <w:sz w:val="24"/>
                <w:szCs w:val="24"/>
                <w:highlight w:val="none"/>
              </w:rPr>
              <w:t xml:space="preserve">v.cn</w:t>
            </w:r>
            <w:bookmarkEnd w:id="6"/>
            <w:r>
              <w:rPr>
                <w:rFonts w:hint="eastAsia" w:ascii="宋体" w:hAnsi="宋体" w:cs="宋体"/>
                <w:bCs/>
                <w:color w:val="000000"/>
                <w:sz w:val="24"/>
                <w:szCs w:val="24"/>
                <w:highlight w:val="none"/>
              </w:rPr>
              <w:t xml:space="preserve">）“政府采购严重违法失信行为信息记录”中的禁止参加政府采购活动期间的情形。</w:t>
            </w:r>
            <w:r>
              <w:rPr>
                <w:rFonts w:hint="eastAsia" w:ascii="宋体" w:hAnsi="宋体" w:cs="宋体"/>
                <w:bCs/>
                <w:color w:val="000000"/>
                <w:sz w:val="24"/>
                <w:szCs w:val="24"/>
                <w:highlight w:val="none"/>
              </w:rPr>
            </w:r>
            <w:r/>
          </w:p>
          <w:p>
            <w:pPr>
              <w:pStyle w:val="843"/>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5、本项目不接受联合体投标。</w:t>
            </w:r>
            <w:r>
              <w:rPr>
                <w:rFonts w:hint="eastAsia" w:ascii="宋体" w:hAnsi="宋体" w:cs="宋体"/>
                <w:color w:val="000000"/>
                <w:sz w:val="24"/>
                <w:szCs w:val="24"/>
                <w:highlight w:val="none"/>
              </w:rPr>
            </w:r>
            <w:r/>
          </w:p>
        </w:tc>
      </w:tr>
      <w:tr>
        <w:trPr>
          <w:trHeight w:val="90"/>
        </w:trPr>
        <w:tc>
          <w:tcPr>
            <w:tcW w:w="729" w:type="dxa"/>
            <w:vAlign w:val="center"/>
            <w:textDirection w:val="lrTb"/>
            <w:noWrap w:val="false"/>
          </w:tcPr>
          <w:p>
            <w:pPr>
              <w:pStyle w:val="843"/>
              <w:jc w:val="center"/>
              <w:spacing w:line="288"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rPr>
            </w:r>
            <w:r/>
          </w:p>
        </w:tc>
        <w:tc>
          <w:tcPr>
            <w:tcW w:w="8655" w:type="dxa"/>
            <w:vAlign w:val="top"/>
            <w:textDirection w:val="lrTb"/>
            <w:noWrap w:val="false"/>
          </w:tcPr>
          <w:p>
            <w:pPr>
              <w:pStyle w:val="843"/>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采购项目概况</w:t>
            </w:r>
            <w:r>
              <w:rPr>
                <w:rFonts w:hint="eastAsia" w:ascii="宋体" w:hAnsi="宋体" w:cs="宋体"/>
                <w:bCs/>
                <w:color w:val="000000"/>
                <w:sz w:val="24"/>
                <w:szCs w:val="24"/>
                <w:highlight w:val="none"/>
              </w:rPr>
            </w:r>
            <w:r/>
          </w:p>
          <w:p>
            <w:pPr>
              <w:pStyle w:val="843"/>
              <w:numPr>
                <w:ilvl w:val="0"/>
                <w:numId w:val="2"/>
              </w:numPr>
              <w:jc w:val="left"/>
              <w:spacing w:line="360" w:lineRule="auto"/>
              <w:rPr>
                <w:rFonts w:hint="eastAsia" w:ascii="宋体" w:hAnsi="宋体" w:cs="宋体"/>
                <w:bCs/>
                <w:color w:val="000000"/>
                <w:sz w:val="24"/>
                <w:szCs w:val="24"/>
                <w:highlight w:val="none"/>
              </w:rPr>
            </w:pPr>
            <w:r>
              <w:rPr>
                <w:rFonts w:hint="eastAsia" w:ascii="宋体" w:hAnsi="宋体" w:cs="宋体"/>
                <w:color w:val="000000"/>
                <w:sz w:val="24"/>
                <w:highlight w:val="none"/>
              </w:rPr>
              <w:t xml:space="preserve">服务地点：无锡市钱荣路156号、158号，勤学路28号、槐树巷1号</w:t>
            </w:r>
            <w:r>
              <w:rPr>
                <w:rFonts w:hint="eastAsia" w:ascii="宋体" w:hAnsi="宋体" w:cs="宋体"/>
                <w:bCs/>
                <w:color w:val="000000"/>
                <w:sz w:val="24"/>
                <w:szCs w:val="24"/>
                <w:highlight w:val="none"/>
              </w:rPr>
            </w:r>
            <w:r/>
          </w:p>
          <w:p>
            <w:pPr>
              <w:pStyle w:val="843"/>
              <w:numPr>
                <w:ilvl w:val="0"/>
                <w:numId w:val="2"/>
              </w:numPr>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采购内</w:t>
            </w:r>
            <w:bookmarkStart w:id="9" w:name="OLE_LINK7"/>
            <w:r>
              <w:rPr>
                <w:rFonts w:hint="eastAsia" w:ascii="宋体" w:hAnsi="宋体" w:cs="宋体"/>
                <w:bCs/>
                <w:color w:val="000000"/>
                <w:sz w:val="24"/>
                <w:szCs w:val="24"/>
                <w:highlight w:val="none"/>
              </w:rPr>
              <w:t xml:space="preserve">容：</w:t>
            </w:r>
            <w:bookmarkEnd w:id="9"/>
            <w:r>
              <w:rPr>
                <w:rFonts w:hint="eastAsia" w:ascii="宋体" w:hAnsi="宋体" w:cs="宋体"/>
                <w:bCs/>
                <w:color w:val="000000"/>
                <w:sz w:val="24"/>
                <w:szCs w:val="24"/>
                <w:highlight w:val="none"/>
              </w:rPr>
              <w:t xml:space="preserve">无锡市精神卫生中心（无锡市中心康复医院）2026-2027年度安保服务，具体内容详见招标文件三、采购需求；</w:t>
            </w:r>
            <w:r>
              <w:rPr>
                <w:rFonts w:hint="eastAsia" w:ascii="宋体" w:hAnsi="宋体" w:cs="宋体"/>
                <w:bCs/>
                <w:color w:val="000000"/>
                <w:sz w:val="24"/>
                <w:szCs w:val="24"/>
                <w:highlight w:val="none"/>
              </w:rPr>
            </w:r>
            <w:r/>
          </w:p>
          <w:p>
            <w:pPr>
              <w:pStyle w:val="843"/>
              <w:jc w:val="left"/>
              <w:spacing w:line="360" w:lineRule="auto"/>
              <w:tabs>
                <w:tab w:val="left" w:pos="42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w:t>
            </w:r>
            <w:bookmarkStart w:id="10" w:name="OLE_LINK8"/>
            <w:r>
              <w:rPr>
                <w:rFonts w:hint="eastAsia" w:ascii="宋体" w:hAnsi="宋体" w:cs="宋体"/>
                <w:bCs/>
                <w:color w:val="000000"/>
                <w:sz w:val="24"/>
                <w:szCs w:val="24"/>
                <w:highlight w:val="none"/>
              </w:rPr>
              <w:t xml:space="preserve">服务期：</w:t>
            </w:r>
            <w:r>
              <w:rPr>
                <w:rFonts w:hint="eastAsia" w:ascii="宋体" w:hAnsi="宋体" w:cs="宋体"/>
                <w:color w:val="000000"/>
                <w:sz w:val="24"/>
                <w:highlight w:val="none"/>
              </w:rPr>
              <w:t xml:space="preserve">签订合同之日起2年</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843"/>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w:t>
            </w:r>
            <w:r>
              <w:rPr>
                <w:rFonts w:hint="eastAsia" w:ascii="宋体" w:hAnsi="宋体" w:cs="宋体"/>
                <w:color w:val="000000"/>
                <w:sz w:val="24"/>
                <w:szCs w:val="24"/>
                <w:highlight w:val="none"/>
              </w:rPr>
              <w:t xml:space="preserve">质量标准：</w:t>
            </w:r>
            <w:r>
              <w:rPr>
                <w:rFonts w:hint="eastAsia" w:ascii="宋体" w:hAnsi="宋体" w:cs="宋体"/>
                <w:color w:val="000000"/>
                <w:sz w:val="24"/>
                <w:szCs w:val="24"/>
                <w:highlight w:val="none"/>
                <w:lang w:val="zh-CN"/>
              </w:rPr>
              <w:t xml:space="preserve">满足采购文件及采购人需求。</w:t>
            </w:r>
            <w:r>
              <w:rPr>
                <w:rFonts w:hint="eastAsia" w:ascii="宋体" w:hAnsi="宋体" w:cs="宋体"/>
                <w:bCs/>
                <w:color w:val="000000"/>
                <w:sz w:val="24"/>
                <w:szCs w:val="24"/>
                <w:highlight w:val="none"/>
              </w:rPr>
            </w:r>
            <w:r/>
          </w:p>
          <w:p>
            <w:pPr>
              <w:pStyle w:val="843"/>
              <w:jc w:val="left"/>
              <w:spacing w:line="360" w:lineRule="auto"/>
              <w:rPr>
                <w:rFonts w:hint="eastAsia" w:ascii="宋体" w:hAnsi="宋体" w:cs="宋体"/>
                <w:bCs/>
                <w:color w:val="000000"/>
                <w:sz w:val="24"/>
                <w:szCs w:val="24"/>
                <w:highlight w:val="none"/>
              </w:rPr>
            </w:pPr>
            <w:r/>
            <w:bookmarkEnd w:id="10"/>
            <w:r>
              <w:rPr>
                <w:rFonts w:hint="eastAsia" w:ascii="宋体" w:hAnsi="宋体" w:cs="宋体"/>
                <w:bCs/>
                <w:color w:val="000000"/>
                <w:sz w:val="24"/>
                <w:szCs w:val="24"/>
                <w:highlight w:val="none"/>
              </w:rPr>
              <w:t xml:space="preserve">5、本项目采购预算</w:t>
            </w:r>
            <w:bookmarkStart w:id="11" w:name="OLE_LINK9"/>
            <w:r>
              <w:rPr>
                <w:rFonts w:hint="eastAsia" w:ascii="宋体" w:hAnsi="宋体" w:cs="宋体"/>
                <w:bCs/>
                <w:color w:val="000000"/>
                <w:sz w:val="24"/>
                <w:szCs w:val="24"/>
                <w:highlight w:val="none"/>
              </w:rPr>
              <w:t xml:space="preserve">：722.2万元。</w:t>
            </w:r>
            <w:r>
              <w:rPr>
                <w:rFonts w:hint="eastAsia" w:ascii="宋体" w:hAnsi="宋体" w:cs="宋体"/>
                <w:bCs/>
                <w:color w:val="000000"/>
                <w:sz w:val="24"/>
                <w:szCs w:val="24"/>
                <w:highlight w:val="none"/>
              </w:rPr>
            </w:r>
            <w:r/>
          </w:p>
          <w:p>
            <w:pPr>
              <w:pStyle w:val="843"/>
              <w:spacing w:line="360" w:lineRule="auto"/>
              <w:rPr>
                <w:rFonts w:hint="eastAsia" w:ascii="宋体" w:hAnsi="宋体" w:cs="宋体"/>
                <w:bCs/>
                <w:color w:val="000000"/>
                <w:sz w:val="24"/>
                <w:szCs w:val="24"/>
                <w:highlight w:val="none"/>
              </w:rPr>
            </w:pPr>
            <w:r/>
            <w:bookmarkEnd w:id="11"/>
            <w:r>
              <w:rPr>
                <w:rFonts w:hint="eastAsia" w:ascii="宋体" w:hAnsi="宋体" w:cs="宋体"/>
                <w:bCs/>
                <w:color w:val="000000"/>
                <w:sz w:val="24"/>
                <w:szCs w:val="24"/>
                <w:highlight w:val="none"/>
              </w:rPr>
              <w:t xml:space="preserve">其他：本项目</w:t>
            </w:r>
            <w:r>
              <w:rPr>
                <w:rFonts w:hint="eastAsia" w:ascii="宋体" w:hAnsi="宋体" w:cs="宋体"/>
                <w:bCs/>
                <w:color w:val="000000"/>
                <w:sz w:val="24"/>
                <w:szCs w:val="24"/>
                <w:highlight w:val="none"/>
              </w:rPr>
              <w:t xml:space="preserve">专门</w:t>
            </w:r>
            <w:r>
              <w:rPr>
                <w:rFonts w:hint="eastAsia" w:ascii="宋体" w:hAnsi="宋体" w:cs="宋体"/>
                <w:bCs/>
                <w:color w:val="000000"/>
                <w:sz w:val="24"/>
                <w:szCs w:val="24"/>
                <w:highlight w:val="none"/>
              </w:rPr>
              <w:t xml:space="preserve">面向中小企业，本项目标的所属行业：租赁和商务服务业。</w:t>
            </w:r>
            <w:r>
              <w:rPr>
                <w:rFonts w:hint="eastAsia" w:ascii="宋体" w:hAnsi="宋体" w:cs="宋体"/>
                <w:bCs/>
                <w:color w:val="000000"/>
                <w:sz w:val="24"/>
                <w:szCs w:val="24"/>
                <w:highlight w:val="none"/>
              </w:rPr>
            </w:r>
            <w:r/>
          </w:p>
          <w:p>
            <w:pPr>
              <w:pStyle w:val="843"/>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根据《关于印发中小企业划型标准规定的通知》工信部联企业〔2011〕300号，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4"/>
                <w:szCs w:val="24"/>
                <w:highlight w:val="none"/>
              </w:rPr>
            </w:r>
            <w:r/>
          </w:p>
        </w:tc>
      </w:tr>
      <w:tr>
        <w:trPr>
          <w:trHeight w:val="70"/>
        </w:trPr>
        <w:tc>
          <w:tcPr>
            <w:tcW w:w="729" w:type="dxa"/>
            <w:vAlign w:val="center"/>
            <w:textDirection w:val="lrTb"/>
            <w:noWrap w:val="false"/>
          </w:tcPr>
          <w:p>
            <w:pPr>
              <w:pStyle w:val="843"/>
              <w:jc w:val="center"/>
              <w:spacing w:line="288"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w:t>
            </w:r>
            <w:r>
              <w:rPr>
                <w:rFonts w:hint="eastAsia" w:ascii="宋体" w:hAnsi="宋体" w:cs="宋体"/>
                <w:bCs/>
                <w:color w:val="000000"/>
                <w:sz w:val="24"/>
                <w:szCs w:val="24"/>
                <w:highlight w:val="none"/>
              </w:rPr>
            </w:r>
            <w:r/>
          </w:p>
        </w:tc>
        <w:tc>
          <w:tcPr>
            <w:tcW w:w="8655" w:type="dxa"/>
            <w:vAlign w:val="center"/>
            <w:textDirection w:val="lrTb"/>
            <w:noWrap w:val="false"/>
          </w:tcPr>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获取采购文件相关事宜：</w:t>
            </w:r>
            <w:r>
              <w:rPr>
                <w:rFonts w:hint="eastAsia" w:ascii="宋体" w:hAnsi="宋体" w:cs="宋体"/>
                <w:color w:val="000000"/>
                <w:sz w:val="24"/>
                <w:szCs w:val="24"/>
                <w:highlight w:val="none"/>
              </w:rPr>
            </w:r>
            <w:r/>
          </w:p>
          <w:p>
            <w:pPr>
              <w:pStyle w:val="843"/>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（1）获取采购文件时间：</w:t>
            </w:r>
            <w:r>
              <w:rPr>
                <w:rFonts w:hint="eastAsia" w:ascii="宋体" w:hAnsi="宋体" w:cs="宋体"/>
                <w:color w:val="000000"/>
                <w:sz w:val="24"/>
                <w:szCs w:val="24"/>
                <w:highlight w:val="none"/>
              </w:rPr>
              <w:t xml:space="preserve">2025年</w:t>
            </w:r>
            <w:r>
              <w:rPr>
                <w:rFonts w:hint="eastAsia" w:ascii="宋体" w:hAnsi="宋体" w:cs="宋体"/>
                <w:color w:val="000000"/>
                <w:sz w:val="24"/>
                <w:szCs w:val="24"/>
                <w:highlight w:val="none"/>
                <w:lang w:val="en-US" w:eastAsia="zh-CN"/>
              </w:rPr>
              <w:t xml:space="preserve">11</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日至2025年</w:t>
            </w:r>
            <w:r>
              <w:rPr>
                <w:rFonts w:hint="eastAsia" w:ascii="宋体" w:hAnsi="宋体" w:cs="宋体"/>
                <w:color w:val="000000"/>
                <w:sz w:val="24"/>
                <w:szCs w:val="24"/>
                <w:highlight w:val="none"/>
                <w:lang w:val="en-US" w:eastAsia="zh-CN"/>
              </w:rPr>
              <w:t xml:space="preserve">11</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13</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lang w:val="zh-CN"/>
              </w:rPr>
              <w:t xml:space="preserve">23:59时止</w:t>
            </w:r>
            <w:r>
              <w:rPr>
                <w:rFonts w:hint="eastAsia" w:ascii="宋体" w:hAnsi="宋体" w:cs="宋体"/>
                <w:color w:val="000000"/>
                <w:sz w:val="24"/>
                <w:szCs w:val="24"/>
                <w:highlight w:val="none"/>
                <w:lang w:val="zh-CN"/>
              </w:rPr>
              <w:t xml:space="preserve">（法定假日除外）。</w:t>
            </w:r>
            <w:r>
              <w:rPr>
                <w:rFonts w:hint="eastAsia" w:ascii="宋体" w:hAnsi="宋体" w:cs="宋体"/>
                <w:b/>
                <w:bCs/>
                <w:color w:val="000000"/>
                <w:sz w:val="24"/>
                <w:szCs w:val="24"/>
                <w:highlight w:val="none"/>
                <w:lang w:val="zh-CN"/>
              </w:rPr>
              <w:t xml:space="preserve">五个工作日后仍可下载招标文件，但不作为供应商权益受到损害的证明材料和依据。</w:t>
            </w:r>
            <w:r>
              <w:rPr>
                <w:rFonts w:hint="eastAsia" w:ascii="宋体" w:hAnsi="宋体" w:cs="宋体"/>
                <w:color w:val="000000"/>
                <w:sz w:val="24"/>
                <w:szCs w:val="24"/>
                <w:highlight w:val="none"/>
                <w:lang w:val="zh-CN"/>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（2）售价：0元</w:t>
            </w:r>
            <w:r>
              <w:rPr>
                <w:rFonts w:hint="eastAsia" w:ascii="宋体" w:hAnsi="宋体" w:cs="宋体"/>
                <w:color w:val="000000"/>
                <w:sz w:val="24"/>
                <w:szCs w:val="24"/>
                <w:highlight w:val="none"/>
              </w:rPr>
            </w:r>
            <w:r/>
          </w:p>
          <w:p>
            <w:pPr>
              <w:pStyle w:val="843"/>
              <w:jc w:val="left"/>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（3）采购文件获取地点及方式：</w:t>
            </w:r>
            <w:r>
              <w:rPr>
                <w:rFonts w:hint="eastAsia" w:ascii="宋体" w:hAnsi="宋体" w:cs="宋体"/>
                <w:color w:val="000000"/>
                <w:sz w:val="24"/>
                <w:szCs w:val="24"/>
                <w:highlight w:val="none"/>
                <w:lang w:val="zh-CN"/>
              </w:rPr>
              <w:t xml:space="preserve">网上获取</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潜在投标供应商可在项目招标公告附件中查看公开招标文件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如确定投标</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必须在苏采云平台</w:t>
            </w:r>
            <w:r>
              <w:rPr>
                <w:rFonts w:hint="eastAsia" w:ascii="宋体" w:hAnsi="宋体" w:cs="宋体"/>
                <w:color w:val="000000"/>
                <w:sz w:val="24"/>
                <w:szCs w:val="24"/>
                <w:highlight w:val="none"/>
              </w:rPr>
              <w:t xml:space="preserve">（http://www.ccgp-jiangsu.gov.cn/jiangsu/bridge_page.html）</w:t>
            </w:r>
            <w:r>
              <w:rPr>
                <w:rFonts w:hint="eastAsia" w:ascii="宋体" w:hAnsi="宋体" w:cs="宋体"/>
                <w:color w:val="000000"/>
                <w:sz w:val="24"/>
                <w:szCs w:val="24"/>
                <w:highlight w:val="none"/>
                <w:lang w:val="zh-CN"/>
              </w:rPr>
              <w:t xml:space="preserve">中免费下载公开招标文件</w:t>
            </w:r>
            <w:r>
              <w:rPr>
                <w:rFonts w:hint="eastAsia" w:ascii="宋体" w:hAnsi="宋体" w:cs="宋体"/>
                <w:color w:val="000000"/>
                <w:sz w:val="24"/>
                <w:szCs w:val="24"/>
                <w:highlight w:val="none"/>
              </w:rPr>
              <w:t xml:space="preserve">[江苏政府采购网——</w:t>
            </w:r>
            <w:r>
              <w:rPr>
                <w:rFonts w:hint="eastAsia" w:ascii="宋体" w:hAnsi="宋体" w:cs="宋体"/>
                <w:color w:val="000000"/>
                <w:sz w:val="24"/>
                <w:szCs w:val="24"/>
                <w:highlight w:val="none"/>
                <w:lang w:val="zh-CN"/>
              </w:rPr>
              <w:t xml:space="preserve">江苏省政府采购</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苏采云</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平台或</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政府采购客户端</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苏采云</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中免费下载文件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项目参与</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找到需要获取招标文件的项目</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点击</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我要参与</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参与投标</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下载文件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完成项目</w:t>
            </w:r>
            <w:r>
              <w:rPr>
                <w:rFonts w:hint="eastAsia" w:ascii="宋体" w:hAnsi="宋体" w:cs="宋体"/>
                <w:color w:val="000000"/>
                <w:sz w:val="24"/>
                <w:szCs w:val="24"/>
                <w:highlight w:val="none"/>
              </w:rPr>
              <w:t xml:space="preserve">获取，</w:t>
            </w:r>
            <w:r>
              <w:rPr>
                <w:rFonts w:hint="eastAsia" w:ascii="宋体" w:hAnsi="宋体" w:cs="宋体"/>
                <w:color w:val="000000"/>
                <w:sz w:val="24"/>
                <w:szCs w:val="24"/>
                <w:highlight w:val="none"/>
                <w:lang w:val="zh-CN"/>
              </w:rPr>
              <w:t xml:space="preserve">方可按要求制作、上传投标文件。</w:t>
            </w:r>
            <w:r>
              <w:rPr>
                <w:rFonts w:hint="eastAsia" w:ascii="宋体" w:hAnsi="宋体" w:cs="宋体"/>
                <w:color w:val="000000"/>
                <w:sz w:val="24"/>
                <w:szCs w:val="24"/>
                <w:highlight w:val="none"/>
              </w:rPr>
              <w:t xml:space="preserve">供应商须</w:t>
            </w:r>
            <w:r>
              <w:rPr>
                <w:rFonts w:hint="eastAsia" w:ascii="宋体" w:hAnsi="宋体" w:cs="宋体"/>
                <w:color w:val="000000"/>
                <w:sz w:val="24"/>
                <w:szCs w:val="24"/>
                <w:highlight w:val="none"/>
                <w:lang w:val="zh-CN"/>
              </w:rPr>
              <w:t xml:space="preserve">对采购文件各项内容做出实质性响应，否则其投标文件无效。供应商应承担其编制投标文件以及递交投标文件所涉及的一切费用。无论投标结果如何，采购人对上述费用不负任何责任。</w:t>
            </w:r>
            <w:r>
              <w:rPr>
                <w:rFonts w:hint="eastAsia" w:ascii="宋体" w:hAnsi="宋体" w:cs="宋体"/>
                <w:bCs/>
                <w:color w:val="000000"/>
                <w:sz w:val="24"/>
                <w:szCs w:val="24"/>
                <w:highlight w:val="none"/>
              </w:rPr>
            </w:r>
            <w:r/>
          </w:p>
        </w:tc>
      </w:tr>
      <w:tr>
        <w:trPr>
          <w:trHeight w:val="70"/>
        </w:trPr>
        <w:tc>
          <w:tcPr>
            <w:tcW w:w="729" w:type="dxa"/>
            <w:vAlign w:val="center"/>
            <w:textDirection w:val="lrTb"/>
            <w:noWrap w:val="false"/>
          </w:tcPr>
          <w:p>
            <w:pPr>
              <w:pStyle w:val="843"/>
              <w:jc w:val="center"/>
              <w:spacing w:line="288"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w:t>
            </w:r>
            <w:r>
              <w:rPr>
                <w:rFonts w:hint="eastAsia" w:ascii="宋体" w:hAnsi="宋体" w:cs="宋体"/>
                <w:bCs/>
                <w:color w:val="000000"/>
                <w:sz w:val="24"/>
                <w:szCs w:val="24"/>
                <w:highlight w:val="none"/>
              </w:rPr>
            </w:r>
            <w:r/>
          </w:p>
        </w:tc>
        <w:tc>
          <w:tcPr>
            <w:tcW w:w="8655" w:type="dxa"/>
            <w:vAlign w:val="top"/>
            <w:textDirection w:val="lrTb"/>
            <w:noWrap w:val="false"/>
          </w:tcPr>
          <w:p>
            <w:pPr>
              <w:pStyle w:val="843"/>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疑问/询问截止时间：2025年</w:t>
            </w:r>
            <w:r>
              <w:rPr>
                <w:rFonts w:hint="eastAsia" w:ascii="宋体" w:hAnsi="宋体" w:cs="宋体"/>
                <w:color w:val="000000"/>
                <w:sz w:val="24"/>
                <w:szCs w:val="24"/>
                <w:highlight w:val="none"/>
                <w:lang w:val="en-US" w:eastAsia="zh-CN"/>
              </w:rPr>
              <w:t xml:space="preserve">11</w:t>
            </w:r>
            <w:r>
              <w:rPr>
                <w:rFonts w:hint="eastAsia" w:ascii="宋体" w:hAnsi="宋体" w:cs="宋体"/>
                <w:color w:val="000000"/>
                <w:sz w:val="24"/>
                <w:szCs w:val="24"/>
                <w:highlight w:val="none"/>
                <w:lang w:val="zh-CN"/>
              </w:rPr>
              <w:t xml:space="preserve">月</w:t>
            </w:r>
            <w:r>
              <w:rPr>
                <w:rFonts w:hint="eastAsia" w:ascii="宋体" w:hAnsi="宋体" w:cs="宋体"/>
                <w:color w:val="000000"/>
                <w:sz w:val="24"/>
                <w:szCs w:val="24"/>
                <w:highlight w:val="none"/>
                <w:lang w:val="en-US" w:eastAsia="zh-CN"/>
              </w:rPr>
              <w:t xml:space="preserve">14</w:t>
            </w:r>
            <w:r>
              <w:rPr>
                <w:rFonts w:hint="eastAsia" w:ascii="宋体" w:hAnsi="宋体" w:cs="宋体"/>
                <w:color w:val="000000"/>
                <w:sz w:val="24"/>
                <w:szCs w:val="24"/>
                <w:highlight w:val="none"/>
                <w:lang w:val="zh-CN"/>
              </w:rPr>
              <w:t xml:space="preserve">日</w:t>
            </w:r>
            <w:r>
              <w:rPr>
                <w:rFonts w:hint="eastAsia" w:ascii="宋体" w:hAnsi="宋体" w:cs="宋体"/>
                <w:color w:val="000000"/>
                <w:sz w:val="24"/>
                <w:szCs w:val="24"/>
                <w:highlight w:val="none"/>
                <w:lang w:val="zh-CN"/>
              </w:rPr>
              <w:t xml:space="preserve">9时30分止，以书面形式发送给采购代理机构。</w:t>
            </w:r>
            <w:r>
              <w:rPr>
                <w:rFonts w:hint="eastAsia" w:ascii="宋体" w:hAnsi="宋体" w:cs="宋体"/>
                <w:color w:val="000000"/>
                <w:sz w:val="24"/>
                <w:szCs w:val="24"/>
                <w:highlight w:val="none"/>
                <w:lang w:val="zh-CN"/>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疑问/询问回复时间：2025年</w:t>
            </w:r>
            <w:r>
              <w:rPr>
                <w:rFonts w:hint="eastAsia" w:ascii="宋体" w:hAnsi="宋体" w:cs="宋体"/>
                <w:color w:val="000000"/>
                <w:sz w:val="24"/>
                <w:szCs w:val="24"/>
                <w:highlight w:val="none"/>
                <w:lang w:val="en-US" w:eastAsia="zh-CN"/>
              </w:rPr>
              <w:t xml:space="preserve">11</w:t>
            </w:r>
            <w:r>
              <w:rPr>
                <w:rFonts w:hint="eastAsia" w:ascii="宋体" w:hAnsi="宋体" w:cs="宋体"/>
                <w:color w:val="000000"/>
                <w:sz w:val="24"/>
                <w:szCs w:val="24"/>
                <w:highlight w:val="none"/>
                <w:lang w:val="zh-CN"/>
              </w:rPr>
              <w:t xml:space="preserve">月</w:t>
            </w:r>
            <w:r>
              <w:rPr>
                <w:rFonts w:hint="eastAsia" w:ascii="宋体" w:hAnsi="宋体" w:cs="宋体"/>
                <w:color w:val="000000"/>
                <w:sz w:val="24"/>
                <w:szCs w:val="24"/>
                <w:highlight w:val="none"/>
                <w:lang w:val="en-US" w:eastAsia="zh-CN"/>
              </w:rPr>
              <w:t xml:space="preserve">14</w:t>
            </w:r>
            <w:r>
              <w:rPr>
                <w:rFonts w:hint="eastAsia" w:ascii="宋体" w:hAnsi="宋体" w:cs="宋体"/>
                <w:color w:val="000000"/>
                <w:sz w:val="24"/>
                <w:szCs w:val="24"/>
                <w:highlight w:val="none"/>
                <w:lang w:val="zh-CN"/>
              </w:rPr>
              <w:t xml:space="preserve">日</w:t>
            </w:r>
            <w:r>
              <w:rPr>
                <w:rFonts w:hint="eastAsia" w:ascii="宋体" w:hAnsi="宋体" w:cs="宋体"/>
                <w:color w:val="000000"/>
                <w:sz w:val="24"/>
                <w:szCs w:val="24"/>
                <w:highlight w:val="none"/>
                <w:lang w:val="zh-CN"/>
              </w:rPr>
              <w:t xml:space="preserve">16时00分前，以书面形式或电子邮件形式发送给各已领购招标文件的投标供应商。</w:t>
            </w:r>
            <w:r>
              <w:rPr>
                <w:rFonts w:hint="eastAsia" w:ascii="宋体" w:hAnsi="宋体" w:cs="宋体"/>
                <w:color w:val="000000"/>
                <w:sz w:val="24"/>
                <w:szCs w:val="24"/>
                <w:highlight w:val="none"/>
              </w:rPr>
            </w:r>
            <w:r/>
          </w:p>
        </w:tc>
      </w:tr>
      <w:tr>
        <w:trPr>
          <w:trHeight w:val="500"/>
        </w:trPr>
        <w:tc>
          <w:tcPr>
            <w:tcW w:w="729" w:type="dxa"/>
            <w:vAlign w:val="center"/>
            <w:textDirection w:val="lrTb"/>
            <w:noWrap w:val="false"/>
          </w:tcPr>
          <w:p>
            <w:pPr>
              <w:pStyle w:val="843"/>
              <w:jc w:val="center"/>
              <w:spacing w:line="288"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6</w:t>
            </w:r>
            <w:r>
              <w:rPr>
                <w:rFonts w:ascii="宋体" w:hAnsi="宋体" w:cs="宋体"/>
                <w:bCs/>
                <w:color w:val="000000"/>
                <w:sz w:val="24"/>
                <w:szCs w:val="24"/>
                <w:highlight w:val="none"/>
              </w:rPr>
            </w:r>
            <w:r/>
          </w:p>
        </w:tc>
        <w:tc>
          <w:tcPr>
            <w:tcW w:w="8655" w:type="dxa"/>
            <w:vAlign w:val="center"/>
            <w:textDirection w:val="lrTb"/>
            <w:noWrap w:val="false"/>
          </w:tcPr>
          <w:p>
            <w:pPr>
              <w:pStyle w:val="843"/>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本项目无需缴纳投标保证金；</w:t>
            </w:r>
            <w:r>
              <w:rPr>
                <w:rFonts w:hint="eastAsia" w:ascii="宋体" w:hAnsi="宋体" w:cs="宋体"/>
                <w:color w:val="000000"/>
                <w:sz w:val="24"/>
                <w:szCs w:val="24"/>
                <w:highlight w:val="none"/>
              </w:rPr>
            </w:r>
            <w:r/>
          </w:p>
          <w:p>
            <w:pPr>
              <w:pStyle w:val="843"/>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本项目需要缴纳履约保证金，履约保证金要求：</w:t>
            </w:r>
            <w:r>
              <w:rPr>
                <w:rFonts w:hint="eastAsia" w:ascii="宋体" w:hAnsi="宋体" w:cs="宋体"/>
                <w:color w:val="000000"/>
                <w:sz w:val="24"/>
                <w:szCs w:val="24"/>
                <w:highlight w:val="none"/>
              </w:rPr>
            </w:r>
            <w:r/>
          </w:p>
          <w:p>
            <w:pPr>
              <w:pStyle w:val="843"/>
              <w:numPr>
                <w:ilvl w:val="0"/>
                <w:numId w:val="0"/>
              </w:numPr>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1）</w:t>
            </w:r>
            <w:r>
              <w:rPr>
                <w:rFonts w:hint="eastAsia" w:ascii="宋体" w:hAnsi="宋体" w:cs="宋体"/>
                <w:color w:val="000000"/>
                <w:sz w:val="24"/>
                <w:szCs w:val="24"/>
                <w:highlight w:val="none"/>
              </w:rPr>
              <w:t xml:space="preserve">履约保证金</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合同价（单年服务费）的</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43"/>
              <w:numPr>
                <w:ilvl w:val="0"/>
                <w:numId w:val="0"/>
              </w:numPr>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2）履约保证金缴纳形式：以电子履约保函或银行保函或转账形式缴纳。</w:t>
            </w:r>
            <w:r>
              <w:rPr>
                <w:rFonts w:hint="eastAsia" w:ascii="宋体" w:hAnsi="宋体" w:cs="宋体"/>
                <w:color w:val="000000"/>
                <w:sz w:val="24"/>
                <w:szCs w:val="24"/>
                <w:highlight w:val="none"/>
              </w:rPr>
            </w:r>
            <w:r/>
          </w:p>
          <w:p>
            <w:pPr>
              <w:pStyle w:val="843"/>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3）缴款时间：合同签订后1个月内。</w:t>
            </w:r>
            <w:r>
              <w:rPr>
                <w:rFonts w:hint="eastAsia" w:ascii="宋体" w:hAnsi="宋体" w:cs="宋体"/>
                <w:color w:val="000000"/>
                <w:sz w:val="24"/>
                <w:szCs w:val="24"/>
                <w:highlight w:val="none"/>
              </w:rPr>
            </w:r>
            <w:r/>
          </w:p>
          <w:p>
            <w:pPr>
              <w:pStyle w:val="843"/>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4）如果中标供应商未能履行合同规定的任何义务，采购人有权从履约保证金中取得补偿。</w:t>
            </w:r>
            <w:r>
              <w:rPr>
                <w:rFonts w:hint="eastAsia" w:ascii="宋体" w:hAnsi="宋体" w:cs="宋体"/>
                <w:color w:val="000000"/>
                <w:sz w:val="24"/>
                <w:szCs w:val="24"/>
                <w:highlight w:val="none"/>
              </w:rPr>
            </w:r>
            <w:r/>
          </w:p>
          <w:p>
            <w:pPr>
              <w:pStyle w:val="843"/>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5）履约保证金退还时间、方式：履约保证金在本项目验收合格后，在供方提供收到返还履约保证金的收据后无息退还；违约责任：每逾期一天退还履约保证金的按相应金额的千分之一计算。</w:t>
            </w:r>
            <w:r>
              <w:rPr>
                <w:rFonts w:hint="eastAsia" w:ascii="宋体" w:hAnsi="宋体" w:cs="宋体"/>
                <w:color w:val="000000"/>
                <w:sz w:val="24"/>
                <w:szCs w:val="24"/>
                <w:highlight w:val="none"/>
              </w:rPr>
            </w:r>
            <w:r/>
          </w:p>
          <w:p>
            <w:pPr>
              <w:pStyle w:val="843"/>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履约过程中中标供应商在服务期、质量标准、人员工资支付、将中标项目转包或分包给他人的、拒绝履行合同义务等方面发生的不履约或违背合同规定的责任和义务的行为，都可能导致采购人扣缴其部分乃至全部履约保证金。</w:t>
            </w:r>
            <w:r>
              <w:rPr>
                <w:rFonts w:hint="eastAsia" w:ascii="宋体" w:hAnsi="宋体" w:cs="宋体"/>
                <w:color w:val="000000"/>
                <w:sz w:val="24"/>
                <w:szCs w:val="24"/>
                <w:highlight w:val="none"/>
              </w:rPr>
            </w:r>
            <w:r/>
          </w:p>
        </w:tc>
      </w:tr>
      <w:tr>
        <w:trPr>
          <w:trHeight w:val="500"/>
        </w:trPr>
        <w:tc>
          <w:tcPr>
            <w:tcW w:w="729" w:type="dxa"/>
            <w:vAlign w:val="center"/>
            <w:textDirection w:val="lrTb"/>
            <w:noWrap w:val="false"/>
          </w:tcPr>
          <w:p>
            <w:pPr>
              <w:pStyle w:val="843"/>
              <w:jc w:val="center"/>
              <w:spacing w:line="288"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w:t>
            </w:r>
            <w:r>
              <w:rPr>
                <w:rFonts w:hint="eastAsia" w:ascii="宋体" w:hAnsi="宋体" w:cs="宋体"/>
                <w:bCs/>
                <w:color w:val="000000"/>
                <w:sz w:val="24"/>
                <w:szCs w:val="24"/>
                <w:highlight w:val="none"/>
              </w:rPr>
            </w:r>
            <w:r/>
          </w:p>
        </w:tc>
        <w:tc>
          <w:tcPr>
            <w:tcW w:w="8655" w:type="dxa"/>
            <w:vAlign w:val="center"/>
            <w:textDirection w:val="lrTb"/>
            <w:noWrap w:val="false"/>
          </w:tcPr>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投标有效期：投标截止之日起90天</w:t>
            </w:r>
            <w:r>
              <w:rPr>
                <w:rFonts w:hint="eastAsia" w:ascii="宋体" w:hAnsi="宋体" w:cs="宋体"/>
                <w:color w:val="000000"/>
                <w:sz w:val="24"/>
                <w:szCs w:val="24"/>
                <w:highlight w:val="none"/>
              </w:rPr>
            </w:r>
            <w:r/>
          </w:p>
        </w:tc>
      </w:tr>
      <w:tr>
        <w:trPr>
          <w:trHeight w:val="509"/>
        </w:trPr>
        <w:tc>
          <w:tcPr>
            <w:tcW w:w="729" w:type="dxa"/>
            <w:vAlign w:val="center"/>
            <w:textDirection w:val="lrTb"/>
            <w:noWrap w:val="false"/>
          </w:tcPr>
          <w:p>
            <w:pPr>
              <w:pStyle w:val="843"/>
              <w:jc w:val="center"/>
              <w:spacing w:line="288"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w:t>
            </w:r>
            <w:r>
              <w:rPr>
                <w:rFonts w:hint="eastAsia" w:ascii="宋体" w:hAnsi="宋体" w:cs="宋体"/>
                <w:bCs/>
                <w:color w:val="000000"/>
                <w:sz w:val="24"/>
                <w:szCs w:val="24"/>
                <w:highlight w:val="none"/>
              </w:rPr>
            </w:r>
            <w:r/>
          </w:p>
        </w:tc>
        <w:tc>
          <w:tcPr>
            <w:tcW w:w="8655" w:type="dxa"/>
            <w:vAlign w:val="center"/>
            <w:textDirection w:val="lrTb"/>
            <w:noWrap w:val="false"/>
          </w:tcPr>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投标文件接收截止时间：2025年</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13</w:t>
            </w:r>
            <w:r>
              <w:rPr>
                <w:rFonts w:hint="eastAsia" w:ascii="宋体" w:hAnsi="宋体" w:cs="宋体"/>
                <w:color w:val="000000"/>
                <w:sz w:val="24"/>
                <w:szCs w:val="24"/>
                <w:highlight w:val="none"/>
              </w:rPr>
              <w:t xml:space="preserve">:30止。</w:t>
            </w:r>
            <w:r>
              <w:rPr>
                <w:rFonts w:hint="eastAsia" w:ascii="宋体" w:hAnsi="宋体" w:cs="宋体"/>
                <w:color w:val="000000"/>
                <w:sz w:val="24"/>
                <w:szCs w:val="24"/>
                <w:highlight w:val="none"/>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投标地点：江苏省政府采购（苏采云）平台投标，线上不见面开标。</w:t>
            </w:r>
            <w:r>
              <w:rPr>
                <w:rFonts w:hint="eastAsia" w:ascii="宋体" w:hAnsi="宋体" w:cs="宋体"/>
                <w:color w:val="000000"/>
                <w:sz w:val="24"/>
                <w:szCs w:val="24"/>
                <w:highlight w:val="none"/>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1、投标截止时间后将无法上传或撤回、修改投标文件，请投标供应商谨慎处理。</w:t>
            </w:r>
            <w:r>
              <w:rPr>
                <w:rFonts w:hint="eastAsia" w:ascii="宋体" w:hAnsi="宋体" w:cs="宋体"/>
                <w:color w:val="000000"/>
                <w:sz w:val="24"/>
                <w:szCs w:val="24"/>
                <w:highlight w:val="none"/>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2、请投标供应商关注开标大厅的提示进行解密，解密时间为30分钟，供应商未解密但解密剩余时间为0秒后，视为投标供应商放弃投标。</w:t>
            </w:r>
            <w:r>
              <w:rPr>
                <w:rFonts w:hint="eastAsia" w:ascii="宋体" w:hAnsi="宋体" w:cs="宋体"/>
                <w:color w:val="000000"/>
                <w:sz w:val="24"/>
                <w:szCs w:val="24"/>
                <w:highlight w:val="none"/>
              </w:rPr>
            </w:r>
            <w:r/>
          </w:p>
        </w:tc>
      </w:tr>
      <w:tr>
        <w:trPr>
          <w:trHeight w:val="509"/>
        </w:trPr>
        <w:tc>
          <w:tcPr>
            <w:tcW w:w="729" w:type="dxa"/>
            <w:vAlign w:val="center"/>
            <w:textDirection w:val="lrTb"/>
            <w:noWrap w:val="false"/>
          </w:tcPr>
          <w:p>
            <w:pPr>
              <w:pStyle w:val="843"/>
              <w:jc w:val="center"/>
              <w:spacing w:line="288"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9</w:t>
            </w:r>
            <w:r>
              <w:rPr>
                <w:rFonts w:hint="eastAsia" w:ascii="宋体" w:hAnsi="宋体" w:cs="宋体"/>
                <w:bCs/>
                <w:color w:val="000000"/>
                <w:sz w:val="24"/>
                <w:szCs w:val="24"/>
                <w:highlight w:val="none"/>
              </w:rPr>
            </w:r>
            <w:r/>
          </w:p>
        </w:tc>
        <w:tc>
          <w:tcPr>
            <w:tcW w:w="8655" w:type="dxa"/>
            <w:vAlign w:val="center"/>
            <w:textDirection w:val="lrTb"/>
            <w:noWrap w:val="false"/>
          </w:tcPr>
          <w:p>
            <w:pPr>
              <w:pStyle w:val="843"/>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网上解密时间：2025年</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13</w:t>
            </w:r>
            <w:r>
              <w:rPr>
                <w:rFonts w:hint="eastAsia" w:ascii="宋体" w:hAnsi="宋体" w:cs="宋体"/>
                <w:color w:val="000000"/>
                <w:sz w:val="24"/>
                <w:szCs w:val="24"/>
                <w:highlight w:val="none"/>
              </w:rPr>
              <w:t xml:space="preserve">:30</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投标地点：江苏省政府采购（苏采云）平台投标，线上不见面开标。</w:t>
            </w:r>
            <w:r>
              <w:rPr>
                <w:rFonts w:hint="eastAsia" w:ascii="宋体" w:hAnsi="宋体" w:cs="宋体"/>
                <w:color w:val="000000"/>
                <w:sz w:val="24"/>
                <w:szCs w:val="24"/>
                <w:highlight w:val="none"/>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进行线上不见面采购活动，投标供应商无需到达开标现场。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rPr>
                <w:rFonts w:hint="eastAsia" w:ascii="宋体" w:hAnsi="宋体" w:cs="宋体"/>
                <w:color w:val="000000"/>
                <w:sz w:val="24"/>
                <w:szCs w:val="24"/>
                <w:highlight w:val="none"/>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2、投标文件的授权委托书中需明确授权委托人的联系方式（手机），否则如由于无法及时联系相关授权委托人而造成的一切后果由各投标供应商自行承担。</w:t>
            </w:r>
            <w:r>
              <w:rPr>
                <w:rFonts w:hint="eastAsia" w:ascii="宋体" w:hAnsi="宋体" w:cs="宋体"/>
                <w:color w:val="000000"/>
                <w:sz w:val="24"/>
                <w:szCs w:val="24"/>
                <w:highlight w:val="none"/>
              </w:rPr>
            </w:r>
            <w:r/>
          </w:p>
        </w:tc>
      </w:tr>
      <w:tr>
        <w:trPr>
          <w:trHeight w:val="752"/>
        </w:trPr>
        <w:tc>
          <w:tcPr>
            <w:tcW w:w="729" w:type="dxa"/>
            <w:vAlign w:val="center"/>
            <w:textDirection w:val="lrTb"/>
            <w:noWrap w:val="false"/>
          </w:tcPr>
          <w:p>
            <w:pPr>
              <w:pStyle w:val="843"/>
              <w:jc w:val="center"/>
              <w:spacing w:line="288"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bCs/>
                <w:color w:val="000000"/>
                <w:sz w:val="24"/>
                <w:szCs w:val="24"/>
                <w:highlight w:val="none"/>
              </w:rPr>
            </w:r>
            <w:r/>
          </w:p>
        </w:tc>
        <w:tc>
          <w:tcPr>
            <w:tcW w:w="8655" w:type="dxa"/>
            <w:vAlign w:val="center"/>
            <w:textDirection w:val="lrTb"/>
            <w:noWrap w:val="false"/>
          </w:tcPr>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评标有关信息：</w:t>
            </w:r>
            <w:r>
              <w:rPr>
                <w:rFonts w:hint="eastAsia" w:ascii="宋体" w:hAnsi="宋体" w:cs="宋体"/>
                <w:color w:val="000000"/>
                <w:sz w:val="24"/>
                <w:szCs w:val="24"/>
                <w:highlight w:val="none"/>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评标时间：2025年</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t xml:space="preserve">开标结束后  </w:t>
            </w:r>
            <w:r>
              <w:rPr>
                <w:rFonts w:hint="eastAsia" w:ascii="宋体" w:hAnsi="宋体" w:cs="宋体"/>
                <w:color w:val="000000"/>
                <w:sz w:val="24"/>
                <w:szCs w:val="24"/>
                <w:highlight w:val="none"/>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评标地点：江苏省政府采购（苏采云）平台投标，线上不见面开标</w:t>
            </w:r>
            <w:r>
              <w:rPr>
                <w:rFonts w:hint="eastAsia" w:ascii="宋体" w:hAnsi="宋体" w:cs="宋体"/>
                <w:color w:val="000000"/>
                <w:sz w:val="24"/>
                <w:szCs w:val="24"/>
                <w:highlight w:val="none"/>
              </w:rPr>
            </w:r>
            <w:r/>
          </w:p>
        </w:tc>
      </w:tr>
      <w:tr>
        <w:trPr>
          <w:trHeight w:val="867"/>
        </w:trPr>
        <w:tc>
          <w:tcPr>
            <w:tcW w:w="729" w:type="dxa"/>
            <w:vAlign w:val="center"/>
            <w:textDirection w:val="lrTb"/>
            <w:noWrap w:val="false"/>
          </w:tcPr>
          <w:p>
            <w:pPr>
              <w:pStyle w:val="843"/>
              <w:jc w:val="center"/>
              <w:spacing w:line="288"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w:t>
            </w:r>
            <w:r>
              <w:rPr>
                <w:rFonts w:hint="eastAsia" w:ascii="宋体" w:hAnsi="宋体" w:cs="宋体"/>
                <w:bCs/>
                <w:color w:val="000000"/>
                <w:sz w:val="24"/>
                <w:szCs w:val="24"/>
                <w:highlight w:val="none"/>
              </w:rPr>
            </w:r>
            <w:r/>
          </w:p>
        </w:tc>
        <w:tc>
          <w:tcPr>
            <w:tcW w:w="8655" w:type="dxa"/>
            <w:vAlign w:val="center"/>
            <w:textDirection w:val="lrTb"/>
            <w:noWrap w:val="false"/>
          </w:tcPr>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确定中标有关信息：</w:t>
            </w:r>
            <w:r>
              <w:rPr>
                <w:rFonts w:hint="eastAsia" w:ascii="宋体" w:hAnsi="宋体" w:cs="宋体"/>
                <w:color w:val="000000"/>
                <w:sz w:val="24"/>
                <w:szCs w:val="24"/>
                <w:highlight w:val="none"/>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确定中标供应商时间：2025年</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t xml:space="preserve">评审结束后</w:t>
            </w:r>
            <w:r>
              <w:rPr>
                <w:rFonts w:hint="eastAsia" w:ascii="宋体" w:hAnsi="宋体" w:cs="宋体"/>
                <w:color w:val="000000"/>
                <w:sz w:val="24"/>
                <w:szCs w:val="24"/>
                <w:highlight w:val="none"/>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确定中标供应商地点：江苏省政府采购（苏采云）平台投标，线上不见面开标</w:t>
            </w:r>
            <w:r>
              <w:rPr>
                <w:rFonts w:hint="eastAsia" w:ascii="宋体" w:hAnsi="宋体" w:cs="宋体"/>
                <w:color w:val="000000"/>
                <w:sz w:val="24"/>
                <w:szCs w:val="24"/>
                <w:highlight w:val="none"/>
              </w:rPr>
            </w:r>
            <w:r/>
          </w:p>
        </w:tc>
      </w:tr>
      <w:tr>
        <w:trPr>
          <w:trHeight w:val="90"/>
        </w:trPr>
        <w:tc>
          <w:tcPr>
            <w:tcW w:w="729" w:type="dxa"/>
            <w:vAlign w:val="center"/>
            <w:textDirection w:val="lrTb"/>
            <w:noWrap w:val="false"/>
          </w:tcPr>
          <w:p>
            <w:pPr>
              <w:pStyle w:val="843"/>
              <w:jc w:val="center"/>
              <w:spacing w:line="288"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12</w:t>
            </w:r>
            <w:r>
              <w:rPr>
                <w:rFonts w:hint="eastAsia" w:ascii="宋体" w:hAnsi="宋体" w:cs="宋体"/>
                <w:bCs/>
                <w:color w:val="000000"/>
                <w:sz w:val="24"/>
                <w:szCs w:val="24"/>
                <w:highlight w:val="none"/>
              </w:rPr>
            </w:r>
            <w:r/>
          </w:p>
        </w:tc>
        <w:tc>
          <w:tcPr>
            <w:tcW w:w="8655" w:type="dxa"/>
            <w:vAlign w:val="center"/>
            <w:textDirection w:val="lrTb"/>
            <w:noWrap w:val="false"/>
          </w:tcPr>
          <w:p>
            <w:pPr>
              <w:pStyle w:val="843"/>
              <w:jc w:val="left"/>
              <w:spacing w:line="360" w:lineRule="auto"/>
              <w:widowControl/>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投标文件份数：</w:t>
            </w:r>
            <w:r>
              <w:rPr>
                <w:rFonts w:hint="eastAsia" w:ascii="宋体" w:hAnsi="宋体" w:cs="宋体"/>
                <w:b/>
                <w:bCs/>
                <w:color w:val="000000"/>
                <w:sz w:val="24"/>
                <w:szCs w:val="24"/>
                <w:highlight w:val="none"/>
                <w:lang w:val="zh-CN"/>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1、因供应商可能会存在操作不熟练、业务不熟悉等因素，为保证开评标流程顺利，供应商如有问题应及时反馈，供应商在投标截止时间前网上上传电子投标文件。</w:t>
            </w:r>
            <w:r>
              <w:rPr>
                <w:rFonts w:hint="eastAsia" w:ascii="宋体" w:hAnsi="宋体" w:cs="宋体"/>
                <w:color w:val="000000"/>
                <w:sz w:val="24"/>
                <w:szCs w:val="24"/>
                <w:highlight w:val="none"/>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2、供应商在开标前务必确认电脑浏览器设置、CA证书软件下载等，确保和CA证书匹配可以正常登录苏采云投标客户端。</w:t>
            </w:r>
            <w:r>
              <w:rPr>
                <w:rFonts w:hint="eastAsia" w:ascii="宋体" w:hAnsi="宋体" w:cs="宋体"/>
                <w:color w:val="000000"/>
                <w:sz w:val="24"/>
                <w:szCs w:val="24"/>
                <w:highlight w:val="none"/>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本项目为不见面开标，投标供应商无需递交纸质投标文件至现场，仅中标供应商在中标公告结束后递交纸质版投标文件一正一副至招标代理机构。若纸质投标文件与电子投标文件不符，则以电子投标文件为准。</w:t>
            </w:r>
            <w:r>
              <w:rPr>
                <w:rFonts w:hint="eastAsia" w:ascii="宋体" w:hAnsi="宋体" w:cs="宋体"/>
                <w:color w:val="000000"/>
                <w:sz w:val="24"/>
                <w:szCs w:val="24"/>
                <w:highlight w:val="none"/>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4、供应商请仔细阅读供应商注册流程和招标文件中关于电子开评标等相关事项，如有问题可发送邮件或电话咨询。</w:t>
            </w:r>
            <w:r>
              <w:rPr>
                <w:rFonts w:hint="eastAsia" w:ascii="宋体" w:hAnsi="宋体" w:cs="宋体"/>
                <w:color w:val="000000"/>
                <w:sz w:val="24"/>
                <w:szCs w:val="24"/>
                <w:highlight w:val="none"/>
              </w:rPr>
            </w:r>
            <w:r/>
          </w:p>
          <w:p>
            <w:pPr>
              <w:pStyle w:val="880"/>
              <w:ind w:firstLine="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5、本次采购采用江苏省政府采购（苏采云）平台进行采购活动，采购文件发布、报价、评审和中标结果发布全程电子化。</w:t>
            </w:r>
            <w:r>
              <w:rPr>
                <w:rFonts w:hint="eastAsia" w:ascii="宋体" w:hAnsi="宋体" w:cs="宋体"/>
                <w:color w:val="000000"/>
                <w:sz w:val="24"/>
                <w:szCs w:val="24"/>
                <w:highlight w:val="none"/>
              </w:rPr>
            </w:r>
            <w:r/>
          </w:p>
        </w:tc>
      </w:tr>
      <w:tr>
        <w:trPr>
          <w:trHeight w:val="333"/>
        </w:trPr>
        <w:tc>
          <w:tcPr>
            <w:tcW w:w="729" w:type="dxa"/>
            <w:vAlign w:val="center"/>
            <w:textDirection w:val="lrTb"/>
            <w:noWrap w:val="false"/>
          </w:tcPr>
          <w:p>
            <w:pPr>
              <w:pStyle w:val="843"/>
              <w:jc w:val="center"/>
              <w:spacing w:line="288" w:lineRule="auto"/>
              <w:rPr>
                <w:rFonts w:hint="eastAsia" w:ascii="宋体" w:hAnsi="宋体" w:cs="宋体"/>
                <w:bCs/>
                <w:color w:val="000000"/>
                <w:sz w:val="24"/>
                <w:szCs w:val="24"/>
                <w:highlight w:val="none"/>
              </w:rPr>
            </w:pPr>
            <w:r/>
            <w:bookmarkStart w:id="12" w:name="二．报价方须知"/>
            <w:r/>
            <w:bookmarkEnd w:id="12"/>
            <w:r>
              <w:rPr>
                <w:rFonts w:hint="eastAsia" w:ascii="宋体" w:hAnsi="宋体" w:cs="宋体"/>
                <w:bCs/>
                <w:color w:val="000000"/>
                <w:sz w:val="24"/>
                <w:szCs w:val="24"/>
                <w:highlight w:val="none"/>
              </w:rPr>
              <w:t xml:space="preserve">13</w:t>
            </w:r>
            <w:r>
              <w:rPr>
                <w:rFonts w:hint="eastAsia" w:ascii="宋体" w:hAnsi="宋体" w:cs="宋体"/>
                <w:bCs/>
                <w:color w:val="000000"/>
                <w:sz w:val="24"/>
                <w:szCs w:val="24"/>
                <w:highlight w:val="none"/>
              </w:rPr>
            </w:r>
            <w:r/>
          </w:p>
        </w:tc>
        <w:tc>
          <w:tcPr>
            <w:tcW w:w="8655" w:type="dxa"/>
            <w:vAlign w:val="center"/>
            <w:textDirection w:val="lrTb"/>
            <w:noWrap w:val="false"/>
          </w:tcPr>
          <w:p>
            <w:pPr>
              <w:pStyle w:val="843"/>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特别提醒：</w:t>
            </w:r>
            <w:r>
              <w:rPr>
                <w:rFonts w:hint="eastAsia" w:ascii="宋体" w:hAnsi="宋体" w:cs="宋体"/>
                <w:b/>
                <w:bCs/>
                <w:color w:val="000000"/>
                <w:sz w:val="24"/>
                <w:szCs w:val="24"/>
                <w:highlight w:val="none"/>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若资格审查中或评审过程中，采购人/代理机构/评标委员会对投标文件存在疑问，投标供应商被授权代表须在接到在线询标函后在规定时间内，在开标界面在线以澄清函回复并加盖公章或签电子公章；若投标供应商被授权代表未在规定时间内按上述要求作出回复，则视为投标供应商默认资审结果或评审结果。</w:t>
            </w:r>
            <w:r>
              <w:rPr>
                <w:rFonts w:hint="eastAsia" w:ascii="宋体" w:hAnsi="宋体" w:cs="宋体"/>
                <w:color w:val="000000"/>
                <w:sz w:val="24"/>
                <w:szCs w:val="24"/>
                <w:highlight w:val="none"/>
              </w:rPr>
            </w:r>
            <w:r/>
          </w:p>
        </w:tc>
      </w:tr>
      <w:tr>
        <w:trPr>
          <w:trHeight w:val="333"/>
        </w:trPr>
        <w:tc>
          <w:tcPr>
            <w:tcW w:w="729" w:type="dxa"/>
            <w:vAlign w:val="center"/>
            <w:textDirection w:val="lrTb"/>
            <w:noWrap w:val="false"/>
          </w:tcPr>
          <w:p>
            <w:pPr>
              <w:pStyle w:val="843"/>
              <w:jc w:val="center"/>
              <w:spacing w:line="288" w:lineRule="auto"/>
              <w:rPr>
                <w:rFonts w:hint="eastAsia" w:ascii="宋体" w:hAnsi="宋体" w:cs="宋体"/>
                <w:bCs/>
                <w:color w:val="000000"/>
                <w:sz w:val="24"/>
                <w:szCs w:val="24"/>
                <w:highlight w:val="none"/>
              </w:rPr>
            </w:pPr>
            <w:r/>
            <w:bookmarkStart w:id="13" w:name="_Toc66735272"/>
            <w:r>
              <w:rPr>
                <w:rFonts w:hint="eastAsia" w:ascii="宋体" w:hAnsi="宋体" w:cs="宋体"/>
                <w:bCs/>
                <w:color w:val="000000"/>
                <w:sz w:val="24"/>
                <w:szCs w:val="24"/>
                <w:highlight w:val="none"/>
              </w:rPr>
              <w:t xml:space="preserve">14</w:t>
            </w:r>
            <w:r>
              <w:rPr>
                <w:rFonts w:hint="eastAsia" w:ascii="宋体" w:hAnsi="宋体" w:cs="宋体"/>
                <w:bCs/>
                <w:color w:val="000000"/>
                <w:sz w:val="24"/>
                <w:szCs w:val="24"/>
                <w:highlight w:val="none"/>
              </w:rPr>
            </w:r>
            <w:r/>
          </w:p>
        </w:tc>
        <w:tc>
          <w:tcPr>
            <w:tcW w:w="8655" w:type="dxa"/>
            <w:vAlign w:val="center"/>
            <w:textDirection w:val="lrTb"/>
            <w:noWrap w:val="false"/>
          </w:tcPr>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有关本次活动程序方面的问题，可来人、来函（传真）或电话联系。</w:t>
            </w:r>
            <w:r>
              <w:rPr>
                <w:rFonts w:hint="eastAsia" w:ascii="宋体" w:hAnsi="宋体" w:cs="宋体"/>
                <w:color w:val="000000"/>
                <w:sz w:val="24"/>
                <w:szCs w:val="24"/>
                <w:highlight w:val="none"/>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w:t>
            </w:r>
            <w:bookmarkStart w:id="14" w:name="OLE_LINK11"/>
            <w:r>
              <w:rPr>
                <w:rFonts w:hint="eastAsia" w:ascii="宋体" w:hAnsi="宋体" w:cs="宋体"/>
                <w:color w:val="000000"/>
                <w:sz w:val="24"/>
                <w:szCs w:val="24"/>
                <w:highlight w:val="none"/>
              </w:rPr>
              <w:t xml:space="preserve">人：无锡市精神卫生中心</w:t>
            </w:r>
            <w:r>
              <w:rPr>
                <w:rFonts w:hint="eastAsia" w:ascii="宋体" w:hAnsi="宋体" w:cs="宋体"/>
                <w:color w:val="000000"/>
                <w:sz w:val="24"/>
                <w:szCs w:val="24"/>
                <w:highlight w:val="none"/>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联系地址：无锡市钱荣路156号</w:t>
            </w:r>
            <w:r>
              <w:rPr>
                <w:rFonts w:hint="eastAsia" w:ascii="宋体" w:hAnsi="宋体" w:cs="宋体"/>
                <w:color w:val="000000"/>
                <w:sz w:val="24"/>
                <w:szCs w:val="24"/>
                <w:highlight w:val="none"/>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联系人：陈女士</w:t>
            </w:r>
            <w:r>
              <w:rPr>
                <w:rFonts w:hint="eastAsia" w:ascii="宋体" w:hAnsi="宋体" w:cs="宋体"/>
                <w:color w:val="000000"/>
                <w:sz w:val="24"/>
                <w:szCs w:val="24"/>
                <w:highlight w:val="none"/>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联系电话：0510-83200801</w:t>
            </w:r>
            <w:r>
              <w:rPr>
                <w:rFonts w:hint="eastAsia" w:ascii="宋体" w:hAnsi="宋体" w:cs="宋体"/>
                <w:color w:val="000000"/>
                <w:sz w:val="24"/>
                <w:szCs w:val="24"/>
                <w:highlight w:val="none"/>
              </w:rPr>
            </w:r>
            <w:r/>
          </w:p>
          <w:p>
            <w:pPr>
              <w:pStyle w:val="843"/>
              <w:jc w:val="left"/>
              <w:spacing w:line="360" w:lineRule="auto"/>
              <w:widowControl/>
              <w:rPr>
                <w:rFonts w:hint="eastAsia" w:ascii="宋体" w:hAnsi="宋体" w:cs="宋体"/>
                <w:color w:val="000000"/>
                <w:sz w:val="24"/>
                <w:szCs w:val="24"/>
                <w:highlight w:val="none"/>
              </w:rPr>
            </w:pPr>
            <w:r/>
            <w:bookmarkEnd w:id="14"/>
            <w:r>
              <w:rPr>
                <w:rFonts w:hint="eastAsia" w:ascii="宋体" w:hAnsi="宋体" w:cs="宋体"/>
                <w:color w:val="000000"/>
                <w:sz w:val="24"/>
                <w:szCs w:val="24"/>
                <w:highlight w:val="none"/>
              </w:rPr>
              <w:t xml:space="preserve">代理机构：北京建智达工程管理股份有限公司</w:t>
            </w:r>
            <w:r>
              <w:rPr>
                <w:rFonts w:hint="eastAsia" w:ascii="宋体" w:hAnsi="宋体" w:cs="宋体"/>
                <w:color w:val="000000"/>
                <w:sz w:val="24"/>
                <w:szCs w:val="24"/>
                <w:highlight w:val="none"/>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联系地址：无锡市滨湖区绣溪道59号交大创意园21号楼3楼 </w:t>
            </w:r>
            <w:r>
              <w:rPr>
                <w:rFonts w:hint="eastAsia" w:ascii="宋体" w:hAnsi="宋体" w:cs="宋体"/>
                <w:color w:val="000000"/>
                <w:sz w:val="24"/>
                <w:szCs w:val="24"/>
                <w:highlight w:val="none"/>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联系人：黎晓明、杨亚丁、袁沂</w:t>
            </w:r>
            <w:r>
              <w:rPr>
                <w:rFonts w:hint="eastAsia" w:ascii="宋体" w:hAnsi="宋体" w:cs="宋体"/>
                <w:color w:val="000000"/>
                <w:sz w:val="24"/>
                <w:szCs w:val="24"/>
                <w:highlight w:val="none"/>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联系电话：0510-83124001</w:t>
            </w:r>
            <w:r>
              <w:rPr>
                <w:rFonts w:hint="eastAsia" w:ascii="宋体" w:hAnsi="宋体" w:cs="宋体"/>
                <w:color w:val="000000"/>
                <w:sz w:val="24"/>
                <w:szCs w:val="24"/>
                <w:highlight w:val="none"/>
              </w:rPr>
            </w:r>
            <w:r/>
          </w:p>
          <w:p>
            <w:pPr>
              <w:pStyle w:val="843"/>
              <w:jc w:val="left"/>
              <w:spacing w:line="360" w:lineRule="auto"/>
              <w:widowControl/>
              <w:rPr>
                <w:rFonts w:hint="eastAsia" w:ascii="宋体" w:hAnsi="宋体" w:cs="宋体"/>
                <w:color w:val="000000"/>
                <w:highlight w:val="none"/>
              </w:rPr>
            </w:pPr>
            <w:r>
              <w:rPr>
                <w:rFonts w:hint="eastAsia" w:ascii="宋体" w:hAnsi="宋体" w:cs="宋体"/>
                <w:color w:val="000000"/>
                <w:sz w:val="24"/>
                <w:szCs w:val="24"/>
                <w:highlight w:val="none"/>
              </w:rPr>
              <w:t xml:space="preserve">联系邮箱：bjjzdwx@163.com</w:t>
            </w:r>
            <w:r>
              <w:rPr>
                <w:rFonts w:hint="eastAsia" w:ascii="宋体" w:hAnsi="宋体" w:cs="宋体"/>
                <w:color w:val="000000"/>
                <w:highlight w:val="none"/>
              </w:rPr>
            </w:r>
            <w:r/>
          </w:p>
        </w:tc>
      </w:tr>
      <w:tr>
        <w:trPr>
          <w:trHeight w:val="333"/>
        </w:trPr>
        <w:tc>
          <w:tcPr>
            <w:tcW w:w="729" w:type="dxa"/>
            <w:vAlign w:val="center"/>
            <w:textDirection w:val="lrTb"/>
            <w:noWrap w:val="false"/>
          </w:tcPr>
          <w:p>
            <w:pPr>
              <w:pStyle w:val="843"/>
              <w:jc w:val="center"/>
              <w:spacing w:line="288"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15</w:t>
            </w:r>
            <w:r>
              <w:rPr>
                <w:rFonts w:hint="eastAsia" w:ascii="宋体" w:hAnsi="宋体" w:cs="宋体"/>
                <w:bCs/>
                <w:color w:val="000000"/>
                <w:sz w:val="24"/>
                <w:szCs w:val="24"/>
                <w:highlight w:val="none"/>
              </w:rPr>
            </w:r>
            <w:r/>
          </w:p>
        </w:tc>
        <w:tc>
          <w:tcPr>
            <w:tcW w:w="8655" w:type="dxa"/>
            <w:vAlign w:val="center"/>
            <w:textDirection w:val="lrTb"/>
            <w:noWrap w:val="false"/>
          </w:tcPr>
          <w:p>
            <w:pPr>
              <w:pStyle w:val="843"/>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供应商“账号注册”及CA办理：</w:t>
            </w:r>
            <w:r>
              <w:rPr>
                <w:rFonts w:hint="eastAsia" w:ascii="宋体" w:hAnsi="宋体" w:cs="宋体"/>
                <w:b/>
                <w:bCs/>
                <w:color w:val="000000"/>
                <w:sz w:val="24"/>
                <w:szCs w:val="24"/>
                <w:highlight w:val="none"/>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1.请有意参加本项目采购活动的供应商按以下流程进行操作：</w:t>
            </w:r>
            <w:r>
              <w:rPr>
                <w:rFonts w:hint="eastAsia" w:ascii="宋体" w:hAnsi="宋体" w:cs="宋体"/>
                <w:color w:val="000000"/>
                <w:sz w:val="24"/>
                <w:szCs w:val="24"/>
                <w:highlight w:val="none"/>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访问“江苏省政府采购（苏采云）平台”（以下简称“苏采云”系统）选择供应商版块，点击“用户注册”按钮，进行账号注册，注册完成后需在系统中填写资质信息并提交。也可以直接通过http://jszfcg.jsczt.cn/进入界面。</w:t>
            </w:r>
            <w:r>
              <w:rPr>
                <w:rFonts w:hint="eastAsia" w:ascii="宋体" w:hAnsi="宋体" w:cs="宋体"/>
                <w:color w:val="000000"/>
                <w:sz w:val="24"/>
                <w:szCs w:val="24"/>
                <w:highlight w:val="none"/>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（2）办理“意源”CA数字证书和“方正”电子签章（办理地址：无锡市滨湖区观山路199号12号楼二楼9号、10号窗口），办理指南链接：http://jsxcmm.com/help/help.html。</w:t>
            </w:r>
            <w:r>
              <w:rPr>
                <w:rFonts w:hint="eastAsia" w:ascii="宋体" w:hAnsi="宋体" w:cs="宋体"/>
                <w:color w:val="000000"/>
                <w:sz w:val="24"/>
                <w:szCs w:val="24"/>
                <w:highlight w:val="none"/>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（3）CA驱动下载：</w:t>
            </w:r>
            <w:r>
              <w:rPr>
                <w:rFonts w:hint="eastAsia" w:ascii="宋体" w:hAnsi="宋体" w:cs="宋体"/>
                <w:color w:val="000000"/>
                <w:sz w:val="24"/>
                <w:szCs w:val="24"/>
                <w:highlight w:val="none"/>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在“苏采云”系统账号登录页面，点击“驱动下载”链接中的“政务CA、方正签章控件驱动安装包及安装说明”可以直接下载驱动安装包，安装包中附有驱动安装手册。</w:t>
            </w:r>
            <w:r>
              <w:rPr>
                <w:rFonts w:hint="eastAsia" w:ascii="宋体" w:hAnsi="宋体" w:cs="宋体"/>
                <w:color w:val="000000"/>
                <w:sz w:val="24"/>
                <w:szCs w:val="24"/>
                <w:highlight w:val="none"/>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技术服务电话：0510-81827781（服务时间：工作日 9:00-11:30,13:00-17:00）</w:t>
            </w:r>
            <w:r>
              <w:rPr>
                <w:rFonts w:hint="eastAsia" w:ascii="宋体" w:hAnsi="宋体" w:cs="宋体"/>
                <w:color w:val="000000"/>
                <w:sz w:val="24"/>
                <w:szCs w:val="24"/>
                <w:highlight w:val="none"/>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2.完成“苏采云”系统账号注册的供应商方可在“苏采云”系统中进行CA绑定。登录“苏采云”系统，插入CA后，点击【账号设置】——【绑定CA】。</w:t>
            </w:r>
            <w:r>
              <w:rPr>
                <w:rFonts w:hint="eastAsia" w:ascii="宋体" w:hAnsi="宋体" w:cs="宋体"/>
                <w:color w:val="000000"/>
                <w:sz w:val="24"/>
                <w:szCs w:val="24"/>
                <w:highlight w:val="none"/>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3.供应商应按上述要求提供相关材料信息，所提供的材料应均是真实的、准确的，若有违背，供应商自行承担由此而产生的一切后果。</w:t>
            </w:r>
            <w:r>
              <w:rPr>
                <w:rFonts w:hint="eastAsia" w:ascii="宋体" w:hAnsi="宋体" w:cs="宋体"/>
                <w:color w:val="000000"/>
                <w:sz w:val="24"/>
                <w:szCs w:val="24"/>
                <w:highlight w:val="none"/>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如供应商未按上述要求操作，由此所产生的损失及风险由供应商自行承担。具体操作步骤详见《“苏采云”系统供应商操作手册》（以下简称《操作手册》），下载地址：江苏政府采购网——资料下载——苏采云——“苏采云”系统供应商操作手册。</w:t>
            </w:r>
            <w:r>
              <w:rPr>
                <w:rFonts w:hint="eastAsia" w:ascii="宋体" w:hAnsi="宋体" w:cs="宋体"/>
                <w:color w:val="000000"/>
                <w:sz w:val="24"/>
                <w:szCs w:val="24"/>
                <w:highlight w:val="none"/>
              </w:rPr>
            </w:r>
            <w:r/>
          </w:p>
          <w:p>
            <w:pPr>
              <w:pStyle w:val="84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技术支持QQ：孙先生：442456465；王先生：1476328133。</w:t>
            </w:r>
            <w:r>
              <w:rPr>
                <w:rFonts w:hint="eastAsia" w:ascii="宋体" w:hAnsi="宋体" w:cs="宋体"/>
                <w:color w:val="000000"/>
                <w:sz w:val="24"/>
                <w:szCs w:val="24"/>
                <w:highlight w:val="none"/>
              </w:rPr>
            </w:r>
            <w:r/>
          </w:p>
        </w:tc>
      </w:tr>
    </w:tbl>
    <w:p>
      <w:pPr>
        <w:pStyle w:val="844"/>
        <w:rPr>
          <w:rFonts w:hint="eastAsia" w:ascii="宋体" w:hAnsi="宋体" w:cs="宋体"/>
          <w:color w:val="000000"/>
          <w:sz w:val="28"/>
          <w:szCs w:val="28"/>
          <w:highlight w:val="none"/>
        </w:rPr>
        <w:sectPr>
          <w:footerReference w:type="default" r:id="rId16"/>
          <w:footerReference w:type="first" r:id="rId17"/>
          <w:footnotePr/>
          <w:endnotePr/>
          <w:type w:val="nextPage"/>
          <w:pgSz w:w="11906" w:h="16838" w:orient="portrait"/>
          <w:pgMar w:top="1440" w:right="1440" w:bottom="1440" w:left="1440" w:header="850" w:footer="992" w:gutter="0"/>
          <w:pgNumType w:start="1"/>
          <w:cols w:num="1" w:sep="0" w:space="1701" w:equalWidth="1"/>
          <w:docGrid w:linePitch="360"/>
        </w:sectPr>
      </w:pPr>
      <w:r>
        <w:rPr>
          <w:rFonts w:hint="eastAsia" w:ascii="宋体" w:hAnsi="宋体" w:cs="宋体"/>
          <w:color w:val="000000"/>
          <w:sz w:val="28"/>
          <w:szCs w:val="28"/>
          <w:highlight w:val="none"/>
        </w:rPr>
      </w:r>
      <w:r/>
    </w:p>
    <w:p>
      <w:pPr>
        <w:pStyle w:val="844"/>
        <w:rPr>
          <w:rFonts w:hint="eastAsia" w:ascii="宋体" w:hAnsi="宋体" w:cs="宋体"/>
          <w:color w:val="000000"/>
          <w:sz w:val="30"/>
          <w:szCs w:val="30"/>
          <w:highlight w:val="none"/>
        </w:rPr>
      </w:pPr>
      <w:r>
        <w:rPr>
          <w:rFonts w:hint="eastAsia" w:ascii="宋体" w:hAnsi="宋体" w:cs="宋体"/>
          <w:color w:val="000000"/>
          <w:sz w:val="28"/>
          <w:szCs w:val="28"/>
          <w:highlight w:val="none"/>
        </w:rPr>
        <w:t xml:space="preserve">二、投标供应商须知</w:t>
      </w:r>
      <w:bookmarkEnd w:id="13"/>
      <w:r>
        <w:rPr>
          <w:rFonts w:hint="eastAsia" w:ascii="宋体" w:hAnsi="宋体" w:cs="宋体"/>
          <w:color w:val="000000"/>
          <w:sz w:val="30"/>
          <w:szCs w:val="30"/>
          <w:highlight w:val="none"/>
        </w:rPr>
      </w:r>
      <w:r/>
    </w:p>
    <w:p>
      <w:pPr>
        <w:pStyle w:val="845"/>
        <w:rPr>
          <w:rFonts w:hint="eastAsia" w:ascii="宋体" w:hAnsi="宋体" w:cs="宋体"/>
          <w:color w:val="000000"/>
          <w:sz w:val="24"/>
          <w:szCs w:val="24"/>
          <w:highlight w:val="none"/>
        </w:rPr>
      </w:pPr>
      <w:r/>
      <w:bookmarkStart w:id="15" w:name="_Toc66735273"/>
      <w:r>
        <w:rPr>
          <w:rFonts w:hint="eastAsia" w:ascii="宋体" w:hAnsi="宋体" w:cs="宋体"/>
          <w:color w:val="000000"/>
          <w:sz w:val="24"/>
          <w:szCs w:val="24"/>
          <w:highlight w:val="none"/>
        </w:rPr>
        <w:t xml:space="preserve">(一)遵循原则：</w:t>
      </w:r>
      <w:bookmarkEnd w:id="15"/>
      <w:r>
        <w:rPr>
          <w:rFonts w:hint="eastAsia" w:ascii="宋体" w:hAnsi="宋体" w:cs="宋体"/>
          <w:color w:val="000000"/>
          <w:sz w:val="24"/>
          <w:szCs w:val="24"/>
          <w:highlight w:val="none"/>
        </w:rPr>
      </w:r>
      <w:r/>
    </w:p>
    <w:p>
      <w:pPr>
        <w:pStyle w:val="843"/>
        <w:ind w:firstLine="523"/>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公开透明原则、公平竞争原则、公正原则和诚实信用原则。</w:t>
      </w:r>
      <w:r>
        <w:rPr>
          <w:rFonts w:hint="eastAsia" w:ascii="宋体" w:hAnsi="宋体" w:cs="宋体"/>
          <w:bCs/>
          <w:color w:val="000000"/>
          <w:sz w:val="24"/>
          <w:szCs w:val="24"/>
          <w:highlight w:val="none"/>
        </w:rPr>
      </w:r>
      <w:r/>
    </w:p>
    <w:p>
      <w:pPr>
        <w:pStyle w:val="845"/>
        <w:rPr>
          <w:rFonts w:hint="eastAsia" w:ascii="宋体" w:hAnsi="宋体" w:cs="宋体"/>
          <w:color w:val="000000"/>
          <w:sz w:val="24"/>
          <w:szCs w:val="24"/>
          <w:highlight w:val="none"/>
        </w:rPr>
      </w:pPr>
      <w:r/>
      <w:bookmarkStart w:id="16" w:name="_Toc66735274"/>
      <w:r>
        <w:rPr>
          <w:rFonts w:hint="eastAsia" w:ascii="宋体" w:hAnsi="宋体" w:cs="宋体"/>
          <w:color w:val="000000"/>
          <w:sz w:val="24"/>
          <w:szCs w:val="24"/>
          <w:highlight w:val="none"/>
        </w:rPr>
        <w:t xml:space="preserve">(二)招标文件：</w:t>
      </w:r>
      <w:bookmarkEnd w:id="16"/>
      <w:r>
        <w:rPr>
          <w:rFonts w:hint="eastAsia" w:ascii="宋体" w:hAnsi="宋体" w:cs="宋体"/>
          <w:color w:val="000000"/>
          <w:sz w:val="24"/>
          <w:szCs w:val="24"/>
          <w:highlight w:val="none"/>
        </w:rPr>
      </w:r>
      <w:r/>
    </w:p>
    <w:p>
      <w:pPr>
        <w:pStyle w:val="843"/>
        <w:numPr>
          <w:ilvl w:val="0"/>
          <w:numId w:val="3"/>
        </w:numPr>
        <w:ind w:left="0" w:firstLine="628"/>
        <w:spacing w:line="360" w:lineRule="auto"/>
        <w:tabs>
          <w:tab w:val="left" w:pos="-1260" w:leader="none"/>
          <w:tab w:val="left" w:pos="525"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招标文件包括本文件目录所列全部内容，投标供应商应仔细阅读，并在投标文件中充分响应招标文件的所有要求。</w:t>
      </w:r>
      <w:r>
        <w:rPr>
          <w:rFonts w:hint="eastAsia" w:ascii="宋体" w:hAnsi="宋体" w:cs="宋体"/>
          <w:bCs/>
          <w:color w:val="000000"/>
          <w:sz w:val="24"/>
          <w:szCs w:val="24"/>
          <w:highlight w:val="none"/>
        </w:rPr>
      </w:r>
      <w:r/>
    </w:p>
    <w:p>
      <w:pPr>
        <w:pStyle w:val="843"/>
        <w:numPr>
          <w:ilvl w:val="0"/>
          <w:numId w:val="3"/>
        </w:numPr>
        <w:ind w:left="0" w:firstLine="628"/>
        <w:spacing w:line="360" w:lineRule="auto"/>
        <w:tabs>
          <w:tab w:val="left" w:pos="0" w:leader="none"/>
          <w:tab w:val="left" w:pos="525" w:leader="none"/>
          <w:tab w:val="left" w:pos="1050" w:leader="none"/>
        </w:tabs>
        <w:rPr>
          <w:rFonts w:hint="eastAsia" w:ascii="宋体" w:hAnsi="宋体" w:cs="宋体"/>
          <w:bCs/>
          <w:color w:val="000000"/>
          <w:sz w:val="24"/>
          <w:szCs w:val="24"/>
          <w:highlight w:val="none"/>
        </w:rPr>
      </w:pPr>
      <w:r>
        <w:rPr>
          <w:rFonts w:hint="eastAsia" w:ascii="宋体" w:hAnsi="宋体" w:cs="宋体"/>
          <w:color w:val="000000"/>
          <w:sz w:val="24"/>
          <w:highlight w:val="none"/>
        </w:rPr>
        <w:t xml:space="preserve">投标供应商应登录苏采云平台http://www.ccgp-jiangsu.gov.cn/jiangsu/bridge_page.html在线申请获取采购文件及有关资料，按采购文件要求提交全部资料并对采购文件各项内容做出实质性响应，否则该投标供应商的投标无效</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843"/>
        <w:numPr>
          <w:ilvl w:val="0"/>
          <w:numId w:val="3"/>
        </w:numPr>
        <w:ind w:left="0" w:firstLine="628"/>
        <w:spacing w:line="360" w:lineRule="auto"/>
        <w:tabs>
          <w:tab w:val="left" w:pos="0" w:leader="none"/>
          <w:tab w:val="left" w:pos="525"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投标供应商一旦参加本项目投标，即表明承诺接受了本招标文件中的所有条件和规定。</w:t>
      </w:r>
      <w:r>
        <w:rPr>
          <w:rFonts w:hint="eastAsia" w:ascii="宋体" w:hAnsi="宋体" w:cs="宋体"/>
          <w:bCs/>
          <w:color w:val="000000"/>
          <w:sz w:val="24"/>
          <w:szCs w:val="24"/>
          <w:highlight w:val="none"/>
        </w:rPr>
      </w:r>
      <w:r/>
    </w:p>
    <w:p>
      <w:pPr>
        <w:pStyle w:val="843"/>
        <w:numPr>
          <w:ilvl w:val="0"/>
          <w:numId w:val="3"/>
        </w:numPr>
        <w:ind w:left="0" w:firstLine="628"/>
        <w:spacing w:line="360" w:lineRule="auto"/>
        <w:tabs>
          <w:tab w:val="left" w:pos="0" w:leader="none"/>
          <w:tab w:val="left" w:pos="525"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招标文件仅作为本次招投标使用。</w:t>
      </w:r>
      <w:r>
        <w:rPr>
          <w:rFonts w:hint="eastAsia" w:ascii="宋体" w:hAnsi="宋体" w:cs="宋体"/>
          <w:bCs/>
          <w:color w:val="000000"/>
          <w:sz w:val="24"/>
          <w:szCs w:val="24"/>
          <w:highlight w:val="none"/>
        </w:rPr>
      </w:r>
      <w:r/>
    </w:p>
    <w:p>
      <w:pPr>
        <w:pStyle w:val="845"/>
        <w:rPr>
          <w:rFonts w:hint="eastAsia" w:ascii="宋体" w:hAnsi="宋体" w:cs="宋体"/>
          <w:color w:val="000000"/>
          <w:sz w:val="24"/>
          <w:szCs w:val="24"/>
          <w:highlight w:val="none"/>
        </w:rPr>
      </w:pPr>
      <w:r/>
      <w:bookmarkStart w:id="17" w:name="_Toc66735275"/>
      <w:r>
        <w:rPr>
          <w:rFonts w:hint="eastAsia" w:ascii="宋体" w:hAnsi="宋体" w:cs="宋体"/>
          <w:color w:val="000000"/>
          <w:sz w:val="24"/>
          <w:szCs w:val="24"/>
          <w:highlight w:val="none"/>
        </w:rPr>
        <w:t xml:space="preserve">(三)招标文件的解释：</w:t>
      </w:r>
      <w:bookmarkEnd w:id="17"/>
      <w:r>
        <w:rPr>
          <w:rFonts w:hint="eastAsia" w:ascii="宋体" w:hAnsi="宋体" w:cs="宋体"/>
          <w:color w:val="000000"/>
          <w:sz w:val="24"/>
          <w:szCs w:val="24"/>
          <w:highlight w:val="none"/>
        </w:rPr>
      </w:r>
      <w:r/>
    </w:p>
    <w:p>
      <w:pPr>
        <w:pStyle w:val="843"/>
        <w:numPr>
          <w:ilvl w:val="2"/>
          <w:numId w:val="4"/>
        </w:numPr>
        <w:ind w:left="0" w:firstLine="628"/>
        <w:spacing w:line="360" w:lineRule="auto"/>
        <w:tabs>
          <w:tab w:val="left" w:pos="525" w:leader="none"/>
          <w:tab w:val="left" w:pos="1050" w:leader="none"/>
          <w:tab w:val="left" w:pos="22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投标供应商自行踏勘现场，如有需要对招标文件要求澄清的问题，请以书面形式提出，并于投标须知前附表规定的时间前送达采购代理机构。疑问/询问截止时间后的相关疑问/询问内容，恕不接受。</w:t>
      </w:r>
      <w:r>
        <w:rPr>
          <w:rFonts w:hint="eastAsia" w:ascii="宋体" w:hAnsi="宋体" w:cs="宋体"/>
          <w:bCs/>
          <w:color w:val="000000"/>
          <w:sz w:val="24"/>
          <w:szCs w:val="24"/>
          <w:highlight w:val="none"/>
        </w:rPr>
      </w:r>
      <w:r/>
    </w:p>
    <w:p>
      <w:pPr>
        <w:pStyle w:val="843"/>
        <w:numPr>
          <w:ilvl w:val="2"/>
          <w:numId w:val="4"/>
        </w:numPr>
        <w:ind w:left="0" w:firstLine="628"/>
        <w:spacing w:line="360" w:lineRule="auto"/>
        <w:tabs>
          <w:tab w:val="left" w:pos="525" w:leader="none"/>
          <w:tab w:val="left" w:pos="1050" w:leader="none"/>
          <w:tab w:val="left" w:pos="22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采购人、采购代理机构将于投标须知前附表规定的时间</w:t>
      </w:r>
      <w:r>
        <w:rPr>
          <w:rFonts w:hint="eastAsia" w:ascii="宋体" w:hAnsi="宋体" w:cs="宋体"/>
          <w:color w:val="000000"/>
          <w:sz w:val="24"/>
          <w:szCs w:val="24"/>
          <w:highlight w:val="none"/>
        </w:rPr>
        <w:t xml:space="preserve">前，以书面形式或电子邮件形式</w:t>
      </w:r>
      <w:r>
        <w:rPr>
          <w:rFonts w:hint="eastAsia" w:ascii="宋体" w:hAnsi="宋体" w:cs="宋体"/>
          <w:bCs/>
          <w:color w:val="000000"/>
          <w:sz w:val="24"/>
          <w:szCs w:val="24"/>
          <w:highlight w:val="none"/>
        </w:rPr>
        <w:t xml:space="preserve">对投标供应商针对招标文件书面提出的要求澄清的问题进行答疑。</w:t>
      </w:r>
      <w:r>
        <w:rPr>
          <w:rFonts w:hint="eastAsia" w:ascii="宋体" w:hAnsi="宋体" w:cs="宋体"/>
          <w:bCs/>
          <w:color w:val="000000"/>
          <w:sz w:val="24"/>
          <w:szCs w:val="24"/>
          <w:highlight w:val="none"/>
        </w:rPr>
      </w:r>
      <w:r/>
    </w:p>
    <w:p>
      <w:pPr>
        <w:pStyle w:val="843"/>
        <w:numPr>
          <w:ilvl w:val="2"/>
          <w:numId w:val="4"/>
        </w:numPr>
        <w:ind w:left="0" w:firstLine="628"/>
        <w:spacing w:line="360" w:lineRule="auto"/>
        <w:tabs>
          <w:tab w:val="left" w:pos="525" w:leader="none"/>
          <w:tab w:val="left" w:pos="1050" w:leader="none"/>
          <w:tab w:val="left" w:pos="22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本招标文件的最终解释权归采购人。</w:t>
      </w:r>
      <w:r>
        <w:rPr>
          <w:rFonts w:hint="eastAsia" w:ascii="宋体" w:hAnsi="宋体" w:cs="宋体"/>
          <w:bCs/>
          <w:color w:val="000000"/>
          <w:sz w:val="24"/>
          <w:szCs w:val="24"/>
          <w:highlight w:val="none"/>
        </w:rPr>
      </w:r>
      <w:r/>
    </w:p>
    <w:p>
      <w:pPr>
        <w:pStyle w:val="845"/>
        <w:ind w:left="420" w:hanging="420"/>
        <w:rPr>
          <w:rFonts w:hint="eastAsia" w:ascii="宋体" w:hAnsi="宋体" w:cs="宋体"/>
          <w:color w:val="000000"/>
          <w:sz w:val="24"/>
          <w:szCs w:val="24"/>
          <w:highlight w:val="none"/>
        </w:rPr>
      </w:pPr>
      <w:r/>
      <w:bookmarkStart w:id="18" w:name="_Toc66735276"/>
      <w:r>
        <w:rPr>
          <w:rFonts w:hint="eastAsia" w:ascii="宋体" w:hAnsi="宋体" w:cs="宋体"/>
          <w:color w:val="000000"/>
          <w:sz w:val="24"/>
          <w:szCs w:val="24"/>
          <w:highlight w:val="none"/>
        </w:rPr>
        <w:t xml:space="preserve">(四)招标文件的补充或修正：</w:t>
      </w:r>
      <w:bookmarkEnd w:id="18"/>
      <w:r>
        <w:rPr>
          <w:rFonts w:hint="eastAsia" w:ascii="宋体" w:hAnsi="宋体" w:cs="宋体"/>
          <w:color w:val="000000"/>
          <w:sz w:val="24"/>
          <w:szCs w:val="24"/>
          <w:highlight w:val="none"/>
        </w:rPr>
      </w:r>
      <w:r/>
    </w:p>
    <w:p>
      <w:pPr>
        <w:pStyle w:val="843"/>
        <w:numPr>
          <w:ilvl w:val="0"/>
          <w:numId w:val="5"/>
        </w:numPr>
        <w:ind w:left="1" w:firstLine="523"/>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代理机构可以对已发出的招标文件进行必要的澄清或者修改，但不得改变采购标的和资格条件。澄清或者修改应该在中国政府采购网、江苏政府采购网上发布澄清公告。澄清或者修改的内容为招标文件的组成部分。</w:t>
      </w:r>
      <w:r>
        <w:rPr>
          <w:rFonts w:hint="eastAsia" w:ascii="宋体" w:hAnsi="宋体" w:cs="宋体"/>
          <w:bCs/>
          <w:color w:val="000000"/>
          <w:sz w:val="24"/>
          <w:szCs w:val="24"/>
          <w:highlight w:val="none"/>
        </w:rPr>
      </w:r>
      <w:r/>
    </w:p>
    <w:p>
      <w:pPr>
        <w:pStyle w:val="843"/>
        <w:numPr>
          <w:ilvl w:val="0"/>
          <w:numId w:val="5"/>
        </w:numPr>
        <w:ind w:left="1" w:firstLine="523"/>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澄</w:t>
      </w:r>
      <w:r>
        <w:rPr>
          <w:rFonts w:hint="eastAsia" w:ascii="宋体" w:hAnsi="宋体" w:cs="宋体"/>
          <w:bCs/>
          <w:color w:val="000000"/>
          <w:sz w:val="24"/>
          <w:szCs w:val="24"/>
          <w:highlight w:val="none"/>
        </w:rPr>
        <w:t xml:space="preserve">清或者修改的内容可能影响投标文件的编制的，采购代理机构应当在投标截止时间至少15日前，以书面形式通知所有获取招标文件的潜在投标供应商；不足15日的，采购代理机构应当顺延提交投标文件的截止时间。请招标文件的收受人收到采购代理机构的书面通知后，于投标截止日前书面回函（电子邮件）采购代理机构，邮箱：bjjzdwx@163.com，逾期不回视同收到此书面通知。因投标供应商未尽注意义务，未及时全面地关注澄清或修改内容导致其提交的投标文件不符合招标文件要求，而造成的损失及风险（包括但不限于未中标）由投标供应商自行承担。</w:t>
      </w:r>
      <w:r>
        <w:rPr>
          <w:rFonts w:hint="eastAsia" w:ascii="宋体" w:hAnsi="宋体" w:cs="宋体"/>
          <w:bCs/>
          <w:color w:val="000000"/>
          <w:sz w:val="24"/>
          <w:szCs w:val="24"/>
          <w:highlight w:val="none"/>
        </w:rPr>
      </w:r>
      <w:r/>
    </w:p>
    <w:p>
      <w:pPr>
        <w:pStyle w:val="845"/>
        <w:ind w:left="420" w:hanging="420"/>
        <w:spacing w:line="360" w:lineRule="auto"/>
        <w:rPr>
          <w:rFonts w:hint="eastAsia" w:ascii="宋体" w:hAnsi="宋体" w:cs="宋体"/>
          <w:color w:val="000000"/>
          <w:sz w:val="24"/>
          <w:szCs w:val="24"/>
          <w:highlight w:val="none"/>
        </w:rPr>
      </w:pPr>
      <w:r/>
      <w:bookmarkStart w:id="19" w:name="_Toc66735277"/>
      <w:r>
        <w:rPr>
          <w:rFonts w:hint="eastAsia" w:ascii="宋体" w:hAnsi="宋体" w:cs="宋体"/>
          <w:color w:val="000000"/>
          <w:sz w:val="24"/>
          <w:szCs w:val="24"/>
          <w:highlight w:val="none"/>
        </w:rPr>
        <w:t xml:space="preserve">(五)投标文件的组成：</w:t>
      </w:r>
      <w:bookmarkEnd w:id="19"/>
      <w:r/>
      <w:bookmarkStart w:id="20" w:name="OLE_LINK12"/>
      <w:r>
        <w:rPr>
          <w:rFonts w:hint="eastAsia" w:ascii="宋体" w:hAnsi="宋体" w:cs="宋体"/>
          <w:color w:val="000000"/>
          <w:sz w:val="24"/>
          <w:szCs w:val="24"/>
          <w:highlight w:val="none"/>
        </w:rPr>
      </w:r>
      <w:r/>
    </w:p>
    <w:p>
      <w:pPr>
        <w:pStyle w:val="843"/>
        <w:ind w:left="17" w:firstLine="504"/>
        <w:spacing w:line="360" w:lineRule="auto"/>
        <w:tabs>
          <w:tab w:val="left" w:pos="0" w:leader="none"/>
          <w:tab w:val="left" w:pos="945" w:leader="none"/>
        </w:tabs>
        <w:rPr>
          <w:rFonts w:hint="eastAsia" w:ascii="宋体" w:hAnsi="宋体" w:cs="宋体"/>
          <w:bCs/>
          <w:color w:val="000000"/>
          <w:sz w:val="24"/>
          <w:szCs w:val="24"/>
          <w:highlight w:val="none"/>
        </w:rPr>
      </w:pPr>
      <w:r>
        <w:rPr>
          <w:rStyle w:val="895"/>
          <w:rFonts w:hint="eastAsia" w:ascii="宋体" w:hAnsi="宋体" w:cs="宋体"/>
          <w:b/>
          <w:bCs/>
          <w:color w:val="000000"/>
          <w:sz w:val="24"/>
          <w:szCs w:val="24"/>
          <w:highlight w:val="none"/>
        </w:rPr>
        <w:t xml:space="preserve">投标文件分为</w:t>
      </w:r>
      <w:r>
        <w:rPr>
          <w:rFonts w:hint="eastAsia" w:ascii="宋体" w:hAnsi="宋体" w:cs="宋体"/>
          <w:b/>
          <w:bCs/>
          <w:color w:val="000000"/>
          <w:sz w:val="24"/>
          <w:szCs w:val="24"/>
          <w:highlight w:val="none"/>
        </w:rPr>
        <w:t xml:space="preserve">证明文件部分、投标函部分、技术方案部分。</w:t>
      </w:r>
      <w:r>
        <w:rPr>
          <w:rFonts w:hint="eastAsia" w:ascii="宋体" w:hAnsi="宋体" w:cs="宋体"/>
          <w:b/>
          <w:color w:val="000000"/>
          <w:sz w:val="24"/>
          <w:highlight w:val="none"/>
        </w:rPr>
        <w:t xml:space="preserve">（相应内容上传至投标客户端）</w:t>
      </w:r>
      <w:r>
        <w:rPr>
          <w:rFonts w:hint="eastAsia" w:ascii="宋体" w:hAnsi="宋体" w:cs="宋体"/>
          <w:bCs/>
          <w:color w:val="000000"/>
          <w:sz w:val="24"/>
          <w:szCs w:val="24"/>
          <w:highlight w:val="none"/>
        </w:rPr>
      </w:r>
      <w:r/>
    </w:p>
    <w:p>
      <w:pPr>
        <w:pStyle w:val="843"/>
        <w:numPr>
          <w:ilvl w:val="0"/>
          <w:numId w:val="6"/>
        </w:numPr>
        <w:ind w:left="1" w:firstLine="628"/>
        <w:spacing w:line="360" w:lineRule="auto"/>
        <w:tabs>
          <w:tab w:val="left" w:pos="525" w:leader="none"/>
          <w:tab w:val="left" w:pos="1050" w:leader="none"/>
        </w:tabs>
        <w:rPr>
          <w:rFonts w:hint="eastAsia" w:ascii="宋体" w:hAnsi="宋体" w:cs="宋体"/>
          <w:bCs/>
          <w:color w:val="000000"/>
          <w:sz w:val="24"/>
          <w:szCs w:val="24"/>
          <w:highlight w:val="none"/>
        </w:rPr>
      </w:pPr>
      <w:r/>
      <w:bookmarkEnd w:id="20"/>
      <w:r>
        <w:rPr>
          <w:rFonts w:hint="eastAsia" w:ascii="宋体" w:hAnsi="宋体" w:cs="宋体"/>
          <w:bCs/>
          <w:color w:val="000000"/>
          <w:sz w:val="24"/>
          <w:szCs w:val="24"/>
          <w:highlight w:val="none"/>
        </w:rPr>
        <w:t xml:space="preserve">证明文件部分</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（1）资格、资信证明文件：</w:t>
      </w:r>
      <w:r>
        <w:rPr>
          <w:rFonts w:hint="eastAsia" w:ascii="宋体" w:hAnsi="宋体" w:cs="宋体"/>
          <w:bCs/>
          <w:color w:val="000000"/>
          <w:sz w:val="24"/>
          <w:szCs w:val="24"/>
          <w:highlight w:val="none"/>
        </w:rPr>
      </w:r>
      <w:r/>
    </w:p>
    <w:p>
      <w:pPr>
        <w:pStyle w:val="843"/>
        <w:numPr>
          <w:ilvl w:val="1"/>
          <w:numId w:val="0"/>
        </w:numPr>
        <w:ind w:firstLine="480"/>
        <w:spacing w:line="360" w:lineRule="auto"/>
        <w:tabs>
          <w:tab w:val="left" w:pos="105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①投标供应商有效期内法人注册登记证明材料（如营业执照、事业单位法人证书等）</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r>
      <w:r/>
    </w:p>
    <w:p>
      <w:pPr>
        <w:pStyle w:val="843"/>
        <w:numPr>
          <w:ilvl w:val="1"/>
          <w:numId w:val="0"/>
        </w:numPr>
        <w:ind w:firstLine="480"/>
        <w:spacing w:line="360" w:lineRule="auto"/>
        <w:tabs>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②法定代表人身份证明书（格式见附件）；</w:t>
      </w:r>
      <w:r>
        <w:rPr>
          <w:rFonts w:hint="eastAsia" w:ascii="宋体" w:hAnsi="宋体" w:cs="宋体"/>
          <w:bCs/>
          <w:color w:val="000000"/>
          <w:sz w:val="24"/>
          <w:szCs w:val="24"/>
          <w:highlight w:val="none"/>
        </w:rPr>
      </w:r>
      <w:r/>
    </w:p>
    <w:p>
      <w:pPr>
        <w:pStyle w:val="843"/>
        <w:numPr>
          <w:ilvl w:val="1"/>
          <w:numId w:val="0"/>
        </w:numPr>
        <w:ind w:firstLine="480"/>
        <w:spacing w:line="360" w:lineRule="auto"/>
        <w:tabs>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③投标供应商法定代表人授权委托书（法定代表人亲自参与投标的除外，格式见附件）；</w:t>
      </w:r>
      <w:r>
        <w:rPr>
          <w:rFonts w:hint="eastAsia" w:ascii="宋体" w:hAnsi="宋体" w:cs="宋体"/>
          <w:bCs/>
          <w:color w:val="000000"/>
          <w:sz w:val="24"/>
          <w:szCs w:val="24"/>
          <w:highlight w:val="none"/>
        </w:rPr>
      </w:r>
      <w:r/>
    </w:p>
    <w:p>
      <w:pPr>
        <w:pStyle w:val="843"/>
        <w:numPr>
          <w:ilvl w:val="1"/>
          <w:numId w:val="0"/>
        </w:numPr>
        <w:ind w:firstLine="480"/>
        <w:spacing w:line="360" w:lineRule="auto"/>
        <w:tabs>
          <w:tab w:val="left" w:pos="105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④授权委</w:t>
      </w:r>
      <w:bookmarkStart w:id="21" w:name="OLE_LINK13"/>
      <w:r>
        <w:rPr>
          <w:rFonts w:hint="eastAsia" w:ascii="宋体" w:hAnsi="宋体" w:cs="宋体"/>
          <w:color w:val="000000"/>
          <w:sz w:val="24"/>
          <w:szCs w:val="24"/>
          <w:highlight w:val="none"/>
        </w:rPr>
        <w:t xml:space="preserve">托人由社保机构出具的近三个月</w:t>
      </w:r>
      <w:bookmarkStart w:id="22" w:name="OLE_LINK36"/>
      <w:r>
        <w:rPr>
          <w:rFonts w:hint="eastAsia" w:ascii="宋体" w:hAnsi="宋体" w:cs="宋体"/>
          <w:color w:val="000000"/>
          <w:sz w:val="24"/>
          <w:szCs w:val="24"/>
          <w:highlight w:val="none"/>
        </w:rPr>
        <w:t xml:space="preserve">（</w:t>
      </w:r>
      <w:bookmarkEnd w:id="21"/>
      <w:r>
        <w:rPr>
          <w:rFonts w:hint="eastAsia" w:ascii="宋体" w:hAnsi="宋体" w:cs="宋体"/>
          <w:color w:val="000000"/>
          <w:sz w:val="24"/>
          <w:szCs w:val="24"/>
          <w:highlight w:val="none"/>
        </w:rPr>
        <w:t xml:space="preserve">2025年8月-2025年10月）</w:t>
      </w:r>
      <w:bookmarkEnd w:id="22"/>
      <w:r>
        <w:rPr>
          <w:rFonts w:hint="eastAsia" w:ascii="宋体" w:hAnsi="宋体" w:cs="宋体"/>
          <w:color w:val="000000"/>
          <w:sz w:val="24"/>
          <w:szCs w:val="24"/>
          <w:highlight w:val="none"/>
        </w:rPr>
        <w:t xml:space="preserve">任意一个月份的缴费证明原件扫描件（法定代表人亲自参与投标的除外）</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43"/>
        <w:numPr>
          <w:ilvl w:val="1"/>
          <w:numId w:val="0"/>
        </w:numPr>
        <w:ind w:firstLine="480"/>
        <w:spacing w:line="360" w:lineRule="auto"/>
        <w:tabs>
          <w:tab w:val="left" w:pos="1050" w:leader="none"/>
        </w:tabs>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⑤</w:t>
      </w:r>
      <w:r>
        <w:rPr>
          <w:rFonts w:hint="eastAsia" w:eastAsia="Times New Roman"/>
          <w:color w:val="000000"/>
          <w:sz w:val="24"/>
          <w:szCs w:val="24"/>
          <w:highlight w:val="none"/>
        </w:rPr>
        <w:t xml:space="preserve">投标供应商</w:t>
      </w:r>
      <w:r>
        <w:rPr>
          <w:rFonts w:hint="eastAsia" w:ascii="宋体" w:hAnsi="宋体" w:cs="宋体"/>
          <w:bCs/>
          <w:color w:val="000000"/>
          <w:sz w:val="24"/>
          <w:szCs w:val="24"/>
          <w:highlight w:val="none"/>
        </w:rPr>
        <w:t xml:space="preserve">具有</w:t>
      </w:r>
      <w:r>
        <w:rPr>
          <w:rFonts w:hint="eastAsia" w:eastAsia="Times New Roman"/>
          <w:color w:val="000000"/>
          <w:sz w:val="24"/>
          <w:szCs w:val="24"/>
          <w:highlight w:val="none"/>
        </w:rPr>
        <w:t xml:space="preserve">省级公安厅核发的《保安服务许可证》资格证书（外省保安服务企业须</w:t>
      </w:r>
      <w:r>
        <w:rPr>
          <w:rFonts w:hint="eastAsia"/>
          <w:color w:val="000000"/>
          <w:sz w:val="24"/>
          <w:szCs w:val="24"/>
          <w:highlight w:val="none"/>
        </w:rPr>
        <w:t xml:space="preserve">提供</w:t>
      </w:r>
      <w:r>
        <w:rPr>
          <w:rFonts w:hint="eastAsia" w:eastAsia="Times New Roman"/>
          <w:color w:val="000000"/>
          <w:sz w:val="24"/>
          <w:szCs w:val="24"/>
          <w:highlight w:val="none"/>
        </w:rPr>
        <w:t xml:space="preserve">无锡市保安主管部门备案</w:t>
      </w:r>
      <w:r>
        <w:rPr>
          <w:rFonts w:hint="eastAsia"/>
          <w:color w:val="000000"/>
          <w:sz w:val="24"/>
          <w:szCs w:val="24"/>
          <w:highlight w:val="none"/>
        </w:rPr>
        <w:t xml:space="preserve">证明</w:t>
      </w:r>
      <w:r>
        <w:rPr>
          <w:rFonts w:hint="eastAsia" w:eastAsia="Times New Roman"/>
          <w:color w:val="000000"/>
          <w:sz w:val="24"/>
          <w:szCs w:val="24"/>
          <w:highlight w:val="none"/>
        </w:rPr>
        <w:t xml:space="preserve">）</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843"/>
        <w:numPr>
          <w:ilvl w:val="1"/>
          <w:numId w:val="0"/>
        </w:numPr>
        <w:ind w:firstLine="480"/>
        <w:spacing w:line="360" w:lineRule="auto"/>
        <w:tabs>
          <w:tab w:val="left" w:pos="105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⑥投标供应商近三个月（2025年8月-2025年10月）中任意一个月份的财务状况报表（至少包含资产负债表和利润表）或由会计师事务所出具的2024年度的审计报告原件扫描件；</w:t>
      </w:r>
      <w:r>
        <w:rPr>
          <w:rFonts w:hint="eastAsia" w:ascii="宋体" w:hAnsi="宋体" w:cs="宋体"/>
          <w:color w:val="000000"/>
          <w:sz w:val="24"/>
          <w:szCs w:val="24"/>
          <w:highlight w:val="none"/>
        </w:rPr>
      </w:r>
      <w:r/>
    </w:p>
    <w:p>
      <w:pPr>
        <w:pStyle w:val="843"/>
        <w:numPr>
          <w:ilvl w:val="1"/>
          <w:numId w:val="0"/>
        </w:numPr>
        <w:ind w:firstLine="480"/>
        <w:spacing w:line="360" w:lineRule="auto"/>
        <w:tabs>
          <w:tab w:val="left" w:pos="1050" w:leader="none"/>
        </w:tabs>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⑦</w:t>
      </w:r>
      <w:r>
        <w:rPr>
          <w:rFonts w:hint="eastAsia" w:ascii="宋体" w:hAnsi="宋体" w:cs="宋体"/>
          <w:color w:val="000000"/>
          <w:sz w:val="24"/>
          <w:szCs w:val="24"/>
          <w:highlight w:val="none"/>
        </w:rPr>
        <w:t xml:space="preserve">投标供应商近三个月（2025年8月-2025年10月）中任意一个月份的依法缴纳税收的相关材料（提供相关主管部门证明或银行代扣证明）原件扫描件；</w:t>
      </w:r>
      <w:r>
        <w:rPr>
          <w:rFonts w:hint="eastAsia" w:ascii="宋体" w:hAnsi="宋体" w:cs="宋体"/>
          <w:color w:val="000000"/>
          <w:sz w:val="24"/>
          <w:szCs w:val="24"/>
          <w:highlight w:val="none"/>
        </w:rPr>
      </w:r>
      <w:r/>
    </w:p>
    <w:p>
      <w:pPr>
        <w:pStyle w:val="843"/>
        <w:numPr>
          <w:ilvl w:val="1"/>
          <w:numId w:val="0"/>
        </w:numPr>
        <w:ind w:firstLine="480"/>
        <w:spacing w:line="360" w:lineRule="auto"/>
        <w:tabs>
          <w:tab w:val="left" w:pos="1050" w:leader="none"/>
        </w:tabs>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⑧</w:t>
      </w:r>
      <w:r>
        <w:rPr>
          <w:rFonts w:hint="eastAsia" w:ascii="宋体" w:hAnsi="宋体" w:cs="宋体"/>
          <w:color w:val="000000"/>
          <w:sz w:val="24"/>
          <w:szCs w:val="24"/>
          <w:highlight w:val="none"/>
        </w:rPr>
        <w:t xml:space="preserve">投标供应商近三个月（2025年8月-2025年10月）中任意一个月份的依法缴纳社会保障资金的相关材料（提供相关主管部门证明或银行代扣证明）原件扫描件；</w:t>
      </w:r>
      <w:r>
        <w:rPr>
          <w:rFonts w:hint="eastAsia" w:ascii="宋体" w:hAnsi="宋体" w:cs="宋体"/>
          <w:color w:val="000000"/>
          <w:sz w:val="24"/>
          <w:szCs w:val="24"/>
          <w:highlight w:val="none"/>
        </w:rPr>
      </w:r>
      <w:r/>
    </w:p>
    <w:p>
      <w:pPr>
        <w:pStyle w:val="843"/>
        <w:numPr>
          <w:ilvl w:val="1"/>
          <w:numId w:val="0"/>
        </w:numPr>
        <w:ind w:firstLine="480"/>
        <w:spacing w:line="360" w:lineRule="auto"/>
        <w:tabs>
          <w:tab w:val="left" w:pos="1050" w:leader="none"/>
          <w:tab w:val="left" w:pos="157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⑨承诺书（格式见附件）；</w:t>
      </w:r>
      <w:r>
        <w:rPr>
          <w:rFonts w:hint="eastAsia" w:ascii="宋体" w:hAnsi="宋体" w:cs="宋体"/>
          <w:bCs/>
          <w:color w:val="000000"/>
          <w:sz w:val="24"/>
          <w:szCs w:val="24"/>
          <w:highlight w:val="none"/>
        </w:rPr>
      </w:r>
      <w:r/>
    </w:p>
    <w:p>
      <w:pPr>
        <w:pStyle w:val="843"/>
        <w:ind w:firstLine="480"/>
        <w:spacing w:line="360" w:lineRule="auto"/>
        <w:tabs>
          <w:tab w:val="left" w:pos="735" w:leader="none"/>
          <w:tab w:val="left" w:pos="1050" w:leader="none"/>
          <w:tab w:val="left" w:pos="108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⑩关于资格的声明函（格式见附件）；</w:t>
      </w:r>
      <w:r>
        <w:rPr>
          <w:rFonts w:hint="eastAsia" w:ascii="宋体" w:hAnsi="宋体" w:cs="宋体"/>
          <w:bCs/>
          <w:color w:val="000000"/>
          <w:sz w:val="24"/>
          <w:szCs w:val="24"/>
          <w:highlight w:val="none"/>
        </w:rPr>
      </w:r>
      <w:r/>
    </w:p>
    <w:p>
      <w:pPr>
        <w:pStyle w:val="850"/>
        <w:rPr>
          <w:rFonts w:hint="eastAsia"/>
        </w:rPr>
      </w:pPr>
      <w:r>
        <w:rPr>
          <w:rFonts w:hint="eastAsia" w:ascii="宋体" w:hAnsi="宋体" w:cs="宋体"/>
          <w:bCs/>
          <w:color w:val="000000"/>
          <w:sz w:val="24"/>
          <w:szCs w:val="24"/>
          <w:highlight w:val="none"/>
        </w:rPr>
        <w:t xml:space="preserve">⑪需落实的政府采购政策的证明材料：投标供应商如为中小微企业的提供《中小企业声明函》（格式见附件）；如为监狱和戒毒企业的，按照《财政部</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格式见附件）；</w:t>
      </w:r>
      <w:r>
        <w:rPr>
          <w:rFonts w:hint="eastAsia"/>
        </w:rPr>
      </w:r>
      <w:r/>
    </w:p>
    <w:p>
      <w:pPr>
        <w:pStyle w:val="843"/>
        <w:numPr>
          <w:ilvl w:val="1"/>
          <w:numId w:val="0"/>
        </w:numPr>
        <w:ind w:firstLine="482"/>
        <w:spacing w:line="360" w:lineRule="auto"/>
        <w:tabs>
          <w:tab w:val="left" w:pos="1050" w:leader="none"/>
          <w:tab w:val="left" w:pos="1575" w:leader="none"/>
        </w:tabs>
        <w:rPr>
          <w:rFonts w:hint="eastAsia" w:ascii="宋体" w:hAnsi="宋体" w:cs="宋体"/>
          <w:bCs/>
          <w:color w:val="000000"/>
          <w:sz w:val="24"/>
          <w:szCs w:val="24"/>
          <w:highlight w:val="none"/>
        </w:rPr>
      </w:pPr>
      <w:r>
        <w:rPr>
          <w:rFonts w:hint="eastAsia" w:ascii="宋体" w:hAnsi="宋体" w:cs="宋体"/>
          <w:b/>
          <w:color w:val="000000"/>
          <w:sz w:val="24"/>
          <w:szCs w:val="24"/>
          <w:highlight w:val="none"/>
        </w:rPr>
        <w:t xml:space="preserve">上述证明文件中的资格、资信证明文件必须全部提供，否则将影响资格审查结果。</w:t>
      </w:r>
      <w:r>
        <w:rPr>
          <w:rFonts w:hint="eastAsia" w:ascii="宋体" w:hAnsi="宋体" w:cs="宋体"/>
          <w:bCs/>
          <w:color w:val="000000"/>
          <w:sz w:val="24"/>
          <w:szCs w:val="24"/>
          <w:highlight w:val="none"/>
          <w:u w:val="single"/>
        </w:rPr>
        <w:t xml:space="preserve">如上述资格证明文件正在年检（或换证）或遇到国家相关政策规定不具备的，必须提供相关政策规定或相关单位出具的有效证明原件扫描件。</w:t>
      </w:r>
      <w:r>
        <w:rPr>
          <w:rFonts w:hint="eastAsia" w:ascii="宋体" w:hAnsi="宋体" w:cs="宋体"/>
          <w:bCs/>
          <w:color w:val="000000"/>
          <w:sz w:val="24"/>
          <w:szCs w:val="24"/>
          <w:highlight w:val="none"/>
        </w:rPr>
        <w:t xml:space="preserve">投标供应商法定代表人或法定代表人授权代表为外籍、港、澳、台地区人士的，其身份证明须提供有效的护照或港澳同胞来往内地通行证、台湾同胞来往大陆通行证，或其他可以在中国大陆有效居留的许可证明。投标供应商所提交的证明文件的完整与否，将直接影响其投标文件的审核和评分结果。</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（2）补充性文件：投标供应商认为必须提供的其他证明材料（参照评分标准要求）。</w:t>
      </w:r>
      <w:r>
        <w:rPr>
          <w:rFonts w:hint="eastAsia" w:ascii="宋体" w:hAnsi="宋体" w:cs="宋体"/>
          <w:bCs/>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2．投标函部分（格式见附件）：</w:t>
      </w:r>
      <w:r>
        <w:rPr>
          <w:rFonts w:hint="eastAsia" w:ascii="宋体" w:hAnsi="宋体" w:cs="宋体"/>
          <w:color w:val="000000"/>
          <w:sz w:val="24"/>
          <w:szCs w:val="24"/>
          <w:highlight w:val="none"/>
        </w:rPr>
      </w:r>
      <w:r/>
    </w:p>
    <w:p>
      <w:pPr>
        <w:pStyle w:val="843"/>
        <w:ind w:left="846" w:hanging="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（1）投标函；</w:t>
      </w:r>
      <w:r>
        <w:rPr>
          <w:rFonts w:hint="eastAsia" w:ascii="宋体" w:hAnsi="宋体" w:cs="宋体"/>
          <w:bCs/>
          <w:color w:val="000000"/>
          <w:sz w:val="24"/>
          <w:szCs w:val="24"/>
          <w:highlight w:val="none"/>
        </w:rPr>
      </w:r>
      <w:r/>
    </w:p>
    <w:p>
      <w:pPr>
        <w:pStyle w:val="843"/>
        <w:ind w:left="846" w:hanging="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（2）开标一览表；</w:t>
      </w:r>
      <w:r>
        <w:rPr>
          <w:rFonts w:hint="eastAsia" w:ascii="宋体" w:hAnsi="宋体" w:cs="宋体"/>
          <w:bCs/>
          <w:color w:val="000000"/>
          <w:sz w:val="24"/>
          <w:szCs w:val="24"/>
          <w:highlight w:val="none"/>
        </w:rPr>
      </w:r>
      <w:r/>
    </w:p>
    <w:p>
      <w:pPr>
        <w:pStyle w:val="843"/>
        <w:ind w:left="846" w:hanging="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（3）明细报价表；</w:t>
      </w:r>
      <w:r>
        <w:rPr>
          <w:rFonts w:hint="eastAsia" w:ascii="宋体" w:hAnsi="宋体" w:cs="宋体"/>
          <w:bCs/>
          <w:color w:val="000000"/>
          <w:sz w:val="24"/>
          <w:szCs w:val="24"/>
          <w:highlight w:val="none"/>
        </w:rPr>
      </w:r>
      <w:r/>
    </w:p>
    <w:p>
      <w:pPr>
        <w:pStyle w:val="843"/>
        <w:ind w:left="846" w:hanging="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（4）投标供应商类似业绩一览表；</w:t>
      </w:r>
      <w:r>
        <w:rPr>
          <w:rFonts w:hint="eastAsia" w:ascii="宋体" w:hAnsi="宋体" w:cs="宋体"/>
          <w:bCs/>
          <w:color w:val="000000"/>
          <w:sz w:val="24"/>
          <w:szCs w:val="24"/>
          <w:highlight w:val="none"/>
        </w:rPr>
      </w:r>
      <w:r/>
    </w:p>
    <w:p>
      <w:pPr>
        <w:pStyle w:val="843"/>
        <w:ind w:left="846" w:hanging="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（5）投标偏离表。</w:t>
      </w:r>
      <w:r>
        <w:rPr>
          <w:rFonts w:hint="eastAsia" w:ascii="宋体" w:hAnsi="宋体" w:cs="宋体"/>
          <w:bCs/>
          <w:color w:val="000000"/>
          <w:sz w:val="24"/>
          <w:szCs w:val="24"/>
          <w:highlight w:val="none"/>
        </w:rPr>
      </w:r>
      <w:r/>
    </w:p>
    <w:p>
      <w:pPr>
        <w:pStyle w:val="843"/>
        <w:ind w:firstLine="482"/>
        <w:spacing w:line="360" w:lineRule="auto"/>
        <w:rPr>
          <w:rFonts w:hint="eastAsia" w:ascii="宋体" w:hAnsi="宋体" w:cs="宋体"/>
          <w:b/>
          <w:bCs/>
          <w:color w:val="000000"/>
          <w:sz w:val="24"/>
          <w:highlight w:val="none"/>
        </w:rPr>
      </w:pPr>
      <w:r>
        <w:rPr>
          <w:rFonts w:hint="eastAsia" w:ascii="宋体" w:hAnsi="宋体" w:cs="宋体"/>
          <w:bCs/>
          <w:color w:val="000000"/>
          <w:sz w:val="24"/>
          <w:szCs w:val="24"/>
          <w:highlight w:val="none"/>
        </w:rPr>
        <w:t xml:space="preserve">3. </w:t>
      </w:r>
      <w:r>
        <w:rPr>
          <w:rFonts w:hint="eastAsia" w:ascii="宋体" w:hAnsi="宋体" w:cs="宋体"/>
          <w:color w:val="000000"/>
          <w:sz w:val="24"/>
          <w:szCs w:val="24"/>
          <w:highlight w:val="none"/>
        </w:rPr>
        <w:t xml:space="preserve">技术方案部分。</w:t>
      </w:r>
      <w:r>
        <w:rPr>
          <w:rFonts w:hint="eastAsia" w:ascii="宋体" w:hAnsi="宋体" w:cs="宋体"/>
          <w:b/>
          <w:bCs/>
          <w:color w:val="000000"/>
          <w:sz w:val="24"/>
          <w:highlight w:val="none"/>
        </w:rPr>
        <w:t xml:space="preserve">（此部分为暗标）</w:t>
      </w:r>
      <w:r>
        <w:rPr>
          <w:rFonts w:hint="eastAsia" w:ascii="宋体" w:hAnsi="宋体" w:cs="宋体"/>
          <w:b/>
          <w:bCs/>
          <w:color w:val="000000"/>
          <w:sz w:val="24"/>
          <w:highlight w:val="none"/>
        </w:rPr>
      </w:r>
      <w:r/>
    </w:p>
    <w:p>
      <w:pPr>
        <w:pStyle w:val="843"/>
        <w:ind w:firstLine="482"/>
        <w:spacing w:line="360" w:lineRule="auto"/>
        <w:tabs>
          <w:tab w:val="left" w:pos="525" w:leader="none"/>
          <w:tab w:val="left" w:pos="898"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投标供应商应按评分标准中的顺序编制完整的服务方案，以便评审。</w:t>
      </w:r>
      <w:r>
        <w:rPr>
          <w:rFonts w:hint="eastAsia" w:ascii="宋体" w:hAnsi="宋体" w:cs="宋体"/>
          <w:bCs/>
          <w:color w:val="000000"/>
          <w:sz w:val="24"/>
          <w:szCs w:val="24"/>
          <w:highlight w:val="none"/>
        </w:rPr>
      </w:r>
      <w:r/>
    </w:p>
    <w:p>
      <w:pPr>
        <w:pStyle w:val="843"/>
        <w:ind w:firstLine="482"/>
        <w:spacing w:line="360" w:lineRule="auto"/>
        <w:tabs>
          <w:tab w:val="left" w:pos="525" w:leader="none"/>
          <w:tab w:val="left" w:pos="898" w:leader="none"/>
          <w:tab w:val="left" w:pos="105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注：暗标编制装订要求：</w:t>
      </w:r>
      <w:r>
        <w:rPr>
          <w:rFonts w:hint="eastAsia" w:ascii="宋体" w:hAnsi="宋体" w:cs="宋体"/>
          <w:b/>
          <w:bCs/>
          <w:color w:val="000000"/>
          <w:sz w:val="24"/>
          <w:highlight w:val="none"/>
        </w:rPr>
      </w:r>
      <w:r/>
    </w:p>
    <w:p>
      <w:pPr>
        <w:pStyle w:val="843"/>
        <w:ind w:firstLine="480"/>
        <w:spacing w:line="360" w:lineRule="auto"/>
        <w:tabs>
          <w:tab w:val="left" w:pos="525" w:leader="none"/>
          <w:tab w:val="left" w:pos="898"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highlight w:val="none"/>
        </w:rPr>
        <w:t xml:space="preserve">排版要求：正文字号为小四号，字体不限。文本内容应当连续，不得有空白页。文本可插入图片（图片可黑白、可彩色），全篇文本中图片里的字号、字体不作限制。暗标（包括插入图片）不得出现投标供应商名称、商标、公司logo、人员姓名及其联系地址和方式，要求版面整洁、字迹清楚、不许涂改，不得出现能显示企业特征或其他提示性的标记或标识，也不得采用任何不符合常规、有别于其他投标供应商的特殊做法。</w:t>
      </w:r>
      <w:r>
        <w:rPr>
          <w:rFonts w:hint="eastAsia" w:ascii="宋体" w:hAnsi="宋体" w:cs="宋体"/>
          <w:bCs/>
          <w:color w:val="000000"/>
          <w:sz w:val="24"/>
          <w:szCs w:val="24"/>
          <w:highlight w:val="none"/>
        </w:rPr>
      </w:r>
      <w:r/>
    </w:p>
    <w:p>
      <w:pPr>
        <w:pStyle w:val="845"/>
        <w:ind w:left="420" w:hanging="420"/>
        <w:spacing w:line="360" w:lineRule="auto"/>
        <w:rPr>
          <w:rFonts w:hint="eastAsia" w:ascii="宋体" w:hAnsi="宋体" w:cs="宋体"/>
          <w:color w:val="000000"/>
          <w:sz w:val="24"/>
          <w:szCs w:val="24"/>
          <w:highlight w:val="none"/>
        </w:rPr>
      </w:pPr>
      <w:r/>
      <w:bookmarkStart w:id="23" w:name="_Toc66735278"/>
      <w:r/>
      <w:bookmarkStart w:id="24" w:name="OLE_LINK15"/>
      <w:r>
        <w:rPr>
          <w:rFonts w:hint="eastAsia" w:ascii="宋体" w:hAnsi="宋体" w:cs="宋体"/>
          <w:color w:val="000000"/>
          <w:sz w:val="24"/>
          <w:szCs w:val="24"/>
          <w:highlight w:val="none"/>
        </w:rPr>
        <w:t xml:space="preserve">(六)投标报价说明</w:t>
      </w:r>
      <w:bookmarkEnd w:id="23"/>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bCs/>
          <w:color w:val="000000"/>
          <w:sz w:val="24"/>
          <w:szCs w:val="24"/>
          <w:highlight w:val="none"/>
        </w:rPr>
      </w:pPr>
      <w:r/>
      <w:bookmarkEnd w:id="24"/>
      <w:r>
        <w:rPr>
          <w:rFonts w:hint="eastAsia" w:ascii="宋体" w:hAnsi="宋体" w:cs="宋体"/>
          <w:bCs/>
          <w:color w:val="000000"/>
          <w:sz w:val="24"/>
          <w:szCs w:val="24"/>
          <w:highlight w:val="none"/>
        </w:rPr>
        <w:t xml:space="preserve">1. 评标委员会认为投标供应商的报价明显低于其他通过符合性审查的投标供应商的报价，有可能影响产品质量或者不能诚信履约的，应当要求其在30分钟内提供书面说明，必要时提交相关证明材料；投标供应商不能证明其报价合理性的，评标委员会应当将其作为无效投标处理。</w:t>
      </w:r>
      <w:r>
        <w:rPr>
          <w:rFonts w:hint="eastAsia" w:ascii="宋体" w:hAnsi="宋体" w:cs="宋体"/>
          <w:bCs/>
          <w:color w:val="000000"/>
          <w:sz w:val="24"/>
          <w:szCs w:val="24"/>
          <w:highlight w:val="none"/>
        </w:rPr>
      </w:r>
      <w:r/>
    </w:p>
    <w:p>
      <w:pPr>
        <w:pStyle w:val="84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2.评审委员会启动异常低价投标审查的情形和具体要求，包括：</w:t>
      </w:r>
      <w:r>
        <w:rPr>
          <w:rFonts w:hint="eastAsia" w:ascii="宋体" w:hAnsi="宋体" w:cs="宋体"/>
          <w:bCs/>
          <w:color w:val="000000"/>
          <w:sz w:val="24"/>
          <w:szCs w:val="24"/>
          <w:highlight w:val="none"/>
        </w:rPr>
      </w:r>
      <w:r/>
    </w:p>
    <w:p>
      <w:pPr>
        <w:pStyle w:val="84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2.1评审过程中出现下列情形之一的，评审委员会应当启动异常低价投标审查程序：</w:t>
      </w:r>
      <w:r>
        <w:rPr>
          <w:rFonts w:hint="eastAsia" w:ascii="宋体" w:hAnsi="宋体" w:cs="宋体"/>
          <w:bCs/>
          <w:color w:val="000000"/>
          <w:sz w:val="24"/>
          <w:szCs w:val="24"/>
          <w:highlight w:val="none"/>
        </w:rPr>
      </w:r>
      <w:r/>
    </w:p>
    <w:p>
      <w:pPr>
        <w:pStyle w:val="84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2.1.1投标报价低于采购项目预算50%的，即投标报价&lt;采购项目预算×50%；</w:t>
      </w:r>
      <w:r>
        <w:rPr>
          <w:rFonts w:hint="eastAsia" w:ascii="宋体" w:hAnsi="宋体" w:cs="宋体"/>
          <w:bCs/>
          <w:color w:val="000000"/>
          <w:sz w:val="24"/>
          <w:szCs w:val="24"/>
          <w:highlight w:val="none"/>
        </w:rPr>
      </w:r>
      <w:r/>
    </w:p>
    <w:p>
      <w:pPr>
        <w:pStyle w:val="84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2.1.2投标报价低于采购项目最高限价45%的，即投标报价&lt;采购项目最高限价×45%；</w:t>
      </w:r>
      <w:r>
        <w:rPr>
          <w:rFonts w:hint="eastAsia" w:ascii="宋体" w:hAnsi="宋体" w:cs="宋体"/>
          <w:bCs/>
          <w:color w:val="000000"/>
          <w:sz w:val="24"/>
          <w:szCs w:val="24"/>
          <w:highlight w:val="none"/>
        </w:rPr>
      </w:r>
      <w:r/>
    </w:p>
    <w:p>
      <w:pPr>
        <w:pStyle w:val="84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2.1.3评审委员会认定的供应商报价过低、有可能影响产品质量或者不能诚信履约的其他情形。</w:t>
      </w:r>
      <w:r>
        <w:rPr>
          <w:rFonts w:hint="eastAsia" w:ascii="宋体" w:hAnsi="宋体" w:cs="宋体"/>
          <w:bCs/>
          <w:color w:val="000000"/>
          <w:sz w:val="24"/>
          <w:szCs w:val="24"/>
          <w:highlight w:val="none"/>
        </w:rPr>
      </w:r>
      <w:r/>
    </w:p>
    <w:p>
      <w:pPr>
        <w:pStyle w:val="84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启动异常低价投标审查后，评审委员会应当要求相关供应商在评标现场合理的时间（本项目约定为：30分钟）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rPr>
          <w:rFonts w:hint="eastAsia" w:ascii="宋体" w:hAnsi="宋体" w:cs="宋体"/>
          <w:bCs/>
          <w:color w:val="000000"/>
          <w:sz w:val="24"/>
          <w:szCs w:val="24"/>
          <w:highlight w:val="none"/>
        </w:rPr>
      </w:r>
      <w:r/>
    </w:p>
    <w:p>
      <w:pPr>
        <w:pStyle w:val="845"/>
        <w:ind w:left="420" w:hanging="420"/>
        <w:spacing w:line="360" w:lineRule="auto"/>
        <w:rPr>
          <w:rFonts w:hint="eastAsia" w:ascii="宋体" w:hAnsi="宋体" w:cs="宋体"/>
          <w:color w:val="000000"/>
          <w:sz w:val="24"/>
          <w:szCs w:val="24"/>
          <w:highlight w:val="none"/>
        </w:rPr>
      </w:pPr>
      <w:r/>
      <w:bookmarkStart w:id="25" w:name="_Toc66735279"/>
      <w:r>
        <w:rPr>
          <w:rFonts w:hint="eastAsia" w:ascii="宋体" w:hAnsi="宋体" w:cs="宋体"/>
          <w:color w:val="000000"/>
          <w:sz w:val="24"/>
          <w:szCs w:val="24"/>
          <w:highlight w:val="none"/>
        </w:rPr>
        <w:t xml:space="preserve">(七)投标文件的制作：</w:t>
      </w:r>
      <w:bookmarkEnd w:id="25"/>
      <w:r>
        <w:rPr>
          <w:rFonts w:hint="eastAsia" w:ascii="宋体" w:hAnsi="宋体" w:cs="宋体"/>
          <w:color w:val="000000"/>
          <w:sz w:val="24"/>
          <w:szCs w:val="24"/>
          <w:highlight w:val="none"/>
        </w:rPr>
      </w:r>
      <w:r/>
    </w:p>
    <w:p>
      <w:pPr>
        <w:pStyle w:val="843"/>
        <w:ind w:firstLine="480"/>
        <w:spacing w:line="360" w:lineRule="auto"/>
        <w:tabs>
          <w:tab w:val="left" w:pos="525"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1．所有文件、往来函件均应使用简体中文（规格、型号辅助符号例外）。</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2．投标文件由投标供应商按要求参考给定格式如实填写（编写），须有单位公章（盖章）、法定代表人或法定代表人授权代表签字或盖章，方为有效，未尽事宜可自行补充。</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3．如无特别说明，投标供应商报价一律以人民币为投标结算货币，结算单位为“元”。</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898"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4．投标文件格式部分，应由投标供应商按给定格式提供，不得更改。</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5．投标费用自理。</w:t>
      </w:r>
      <w:r>
        <w:rPr>
          <w:rFonts w:hint="eastAsia" w:ascii="宋体" w:hAnsi="宋体" w:cs="宋体"/>
          <w:bCs/>
          <w:color w:val="000000"/>
          <w:sz w:val="24"/>
          <w:szCs w:val="24"/>
          <w:highlight w:val="none"/>
        </w:rPr>
      </w:r>
      <w:r/>
    </w:p>
    <w:p>
      <w:pPr>
        <w:pStyle w:val="845"/>
        <w:spacing w:line="360" w:lineRule="auto"/>
        <w:rPr>
          <w:rFonts w:hint="eastAsia" w:ascii="宋体" w:hAnsi="宋体" w:cs="宋体"/>
          <w:color w:val="000000"/>
          <w:sz w:val="24"/>
          <w:szCs w:val="24"/>
          <w:highlight w:val="none"/>
        </w:rPr>
      </w:pPr>
      <w:r/>
      <w:bookmarkStart w:id="26" w:name="_Toc66735280"/>
      <w:r>
        <w:rPr>
          <w:rFonts w:hint="eastAsia" w:ascii="宋体" w:hAnsi="宋体" w:cs="宋体"/>
          <w:color w:val="000000"/>
          <w:sz w:val="24"/>
          <w:szCs w:val="24"/>
          <w:highlight w:val="none"/>
        </w:rPr>
        <w:t xml:space="preserve">(八)网上投标：</w:t>
      </w:r>
      <w:r>
        <w:rPr>
          <w:rFonts w:hint="eastAsia" w:ascii="宋体" w:hAnsi="宋体" w:cs="宋体"/>
          <w:color w:val="000000"/>
          <w:sz w:val="24"/>
          <w:szCs w:val="24"/>
          <w:highlight w:val="none"/>
        </w:rPr>
      </w:r>
      <w:r/>
    </w:p>
    <w:p>
      <w:pPr>
        <w:pStyle w:val="843"/>
        <w:ind w:firstLine="480"/>
        <w:spacing w:line="360" w:lineRule="auto"/>
        <w:tabs>
          <w:tab w:val="left" w:pos="0" w:leader="none"/>
          <w:tab w:val="left" w:pos="70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1、潜在投标供应商可在项目招标公告附件中查看公开招标文件，如确定投标，必须在苏采云平台（http://www.ccgp-jiangsu.gov.cn/jiangsu/bridge_page.ht</w:t>
      </w:r>
      <w:r>
        <w:rPr>
          <w:rFonts w:hint="eastAsia" w:ascii="宋体" w:hAnsi="宋体" w:cs="宋体"/>
          <w:color w:val="000000"/>
          <w:sz w:val="24"/>
          <w:highlight w:val="none"/>
        </w:rPr>
        <w:t xml:space="preserve">ml）中免费下载公开招标文件[江苏政府采购网--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rPr>
          <w:rFonts w:hint="eastAsia" w:ascii="宋体" w:hAnsi="宋体" w:cs="宋体"/>
          <w:color w:val="000000"/>
          <w:sz w:val="24"/>
          <w:highlight w:val="none"/>
        </w:rPr>
      </w:r>
      <w:r/>
    </w:p>
    <w:p>
      <w:pPr>
        <w:pStyle w:val="843"/>
        <w:ind w:firstLine="480"/>
        <w:spacing w:line="360" w:lineRule="auto"/>
        <w:tabs>
          <w:tab w:val="left" w:pos="0" w:leader="none"/>
          <w:tab w:val="left" w:pos="70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2、招标文件（后缀名为“.kedt”）、“苏采云”系统供应商操作手册及政府采购客户端工具也可通过“苏采云”系统--已参与项目--报名详情页面内相应链接进行下载。</w:t>
      </w:r>
      <w:r>
        <w:rPr>
          <w:rFonts w:hint="eastAsia" w:ascii="宋体" w:hAnsi="宋体" w:cs="宋体"/>
          <w:color w:val="000000"/>
          <w:sz w:val="24"/>
          <w:highlight w:val="none"/>
        </w:rPr>
      </w:r>
      <w:r/>
    </w:p>
    <w:p>
      <w:pPr>
        <w:pStyle w:val="843"/>
        <w:ind w:firstLine="480"/>
        <w:spacing w:line="360" w:lineRule="auto"/>
        <w:tabs>
          <w:tab w:val="left" w:pos="0" w:leader="none"/>
          <w:tab w:val="left" w:pos="70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3、政府采购客户端工具及“苏采云”系统供应商操作手册可访问江苏政府采购网--办事指南--“资料下载”进行下载《“苏采云”系统供应商操作手册及政府采购客户端工具》。</w:t>
      </w:r>
      <w:r>
        <w:rPr>
          <w:rFonts w:hint="eastAsia" w:ascii="宋体" w:hAnsi="宋体" w:cs="宋体"/>
          <w:color w:val="000000"/>
          <w:sz w:val="24"/>
          <w:highlight w:val="none"/>
        </w:rPr>
      </w:r>
      <w:r/>
    </w:p>
    <w:p>
      <w:pPr>
        <w:pStyle w:val="843"/>
        <w:ind w:firstLine="480"/>
        <w:spacing w:line="360" w:lineRule="auto"/>
        <w:tabs>
          <w:tab w:val="left" w:pos="0" w:leader="none"/>
          <w:tab w:val="left" w:pos="70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4、投标供应商应对CA数字证书妥善保管，如被他人盗用投标，后果自负。</w:t>
      </w:r>
      <w:r>
        <w:rPr>
          <w:rFonts w:hint="eastAsia" w:ascii="宋体" w:hAnsi="宋体" w:cs="宋体"/>
          <w:color w:val="000000"/>
          <w:sz w:val="24"/>
          <w:highlight w:val="none"/>
        </w:rPr>
      </w:r>
      <w:r/>
    </w:p>
    <w:p>
      <w:pPr>
        <w:pStyle w:val="843"/>
        <w:ind w:firstLine="480"/>
        <w:spacing w:line="360" w:lineRule="auto"/>
        <w:tabs>
          <w:tab w:val="left" w:pos="0" w:leader="none"/>
          <w:tab w:val="left" w:pos="70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5、投标供应商按招标文件规定的网上解密时间进行解密，如未按时解密后果自负。</w:t>
      </w:r>
      <w:r>
        <w:rPr>
          <w:rFonts w:hint="eastAsia" w:ascii="宋体" w:hAnsi="宋体" w:cs="宋体"/>
          <w:color w:val="000000"/>
          <w:sz w:val="24"/>
          <w:highlight w:val="none"/>
        </w:rPr>
      </w:r>
      <w:r/>
    </w:p>
    <w:p>
      <w:pPr>
        <w:pStyle w:val="843"/>
        <w:ind w:firstLine="480"/>
        <w:spacing w:line="360" w:lineRule="auto"/>
        <w:tabs>
          <w:tab w:val="left" w:pos="0" w:leader="none"/>
          <w:tab w:val="left" w:pos="70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注：①</w:t>
      </w:r>
      <w:r>
        <w:rPr>
          <w:rFonts w:hint="eastAsia" w:ascii="宋体" w:hAnsi="宋体" w:cs="宋体"/>
          <w:color w:val="000000"/>
          <w:sz w:val="24"/>
          <w:highlight w:val="none"/>
        </w:rPr>
        <w:t xml:space="preserve">在开标解密阶段，因投标供应商网络与电源不稳定、解密锁发生故障或用错、故意不在要求时限内完成解密等自身原因，导致投标文件在规定时间内未能解密、解密失败或解密超时，由投标供应商自行承担后果，视为放弃其投标。②如所有投标文件均无法正常解密视为系统问题，如任一投标文件正常解密，其他在规定时间内无法正常解密的投标文件视为放弃投标。③在解密时长倒计时结束前，供应商可进行解密操作，当剩余时间为 0 后，供应商则不可以进行解密操作；当所有供应商都解密或者仍有供应商未解密但剩余时间为 0 后，系统会自动进入下一节点【唱标】。</w:t>
      </w:r>
      <w:r>
        <w:rPr>
          <w:rFonts w:hint="eastAsia" w:ascii="宋体" w:hAnsi="宋体" w:cs="宋体"/>
          <w:color w:val="000000"/>
          <w:sz w:val="24"/>
          <w:highlight w:val="none"/>
        </w:rPr>
      </w:r>
      <w:r/>
    </w:p>
    <w:p>
      <w:pPr>
        <w:pStyle w:val="843"/>
        <w:ind w:firstLine="480"/>
        <w:spacing w:line="360" w:lineRule="auto"/>
        <w:tabs>
          <w:tab w:val="left" w:pos="0" w:leader="none"/>
          <w:tab w:val="left" w:pos="70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6、投标供应商应当对招标文件提出的要求和条件作出实质性响应，并在电子投标系统逐条应答。</w:t>
      </w:r>
      <w:r>
        <w:rPr>
          <w:rFonts w:hint="eastAsia" w:ascii="宋体" w:hAnsi="宋体" w:cs="宋体"/>
          <w:color w:val="000000"/>
          <w:sz w:val="24"/>
          <w:highlight w:val="none"/>
        </w:rPr>
      </w:r>
      <w:r/>
    </w:p>
    <w:p>
      <w:pPr>
        <w:pStyle w:val="843"/>
        <w:ind w:firstLine="480"/>
        <w:spacing w:line="360" w:lineRule="auto"/>
        <w:tabs>
          <w:tab w:val="left" w:pos="0" w:leader="none"/>
          <w:tab w:val="left" w:pos="70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7、投标供应商应对要求提供的资格证明文件（如资质证书、资格证书）、技术资料（如白皮书、彩页、手册、检测报告等）扫描上传至投标系统。</w:t>
      </w:r>
      <w:r>
        <w:rPr>
          <w:rFonts w:hint="eastAsia" w:ascii="宋体" w:hAnsi="宋体" w:cs="宋体"/>
          <w:color w:val="000000"/>
          <w:sz w:val="24"/>
          <w:highlight w:val="none"/>
        </w:rPr>
      </w:r>
      <w:r/>
    </w:p>
    <w:p>
      <w:pPr>
        <w:pStyle w:val="843"/>
        <w:ind w:firstLine="480"/>
        <w:spacing w:line="360" w:lineRule="auto"/>
        <w:tabs>
          <w:tab w:val="left" w:pos="0" w:leader="none"/>
          <w:tab w:val="left" w:pos="70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8、投标文件不应有涂改、增删和潦草之处，如有必须修改时，修改处必须有法人、法定代表人或法定代表人授权代表的签章。</w:t>
      </w:r>
      <w:r>
        <w:rPr>
          <w:rFonts w:hint="eastAsia" w:ascii="宋体" w:hAnsi="宋体" w:cs="宋体"/>
          <w:color w:val="000000"/>
          <w:sz w:val="24"/>
          <w:highlight w:val="none"/>
        </w:rPr>
      </w:r>
      <w:r/>
    </w:p>
    <w:p>
      <w:pPr>
        <w:pStyle w:val="843"/>
        <w:ind w:firstLine="480"/>
        <w:spacing w:line="360" w:lineRule="auto"/>
        <w:tabs>
          <w:tab w:val="left" w:pos="525" w:leader="none"/>
          <w:tab w:val="left" w:pos="1050" w:leader="none"/>
        </w:tabs>
        <w:rPr>
          <w:rFonts w:hint="eastAsia" w:ascii="宋体" w:hAnsi="宋体" w:cs="宋体"/>
          <w:color w:val="000000"/>
          <w:sz w:val="24"/>
          <w:szCs w:val="24"/>
          <w:highlight w:val="none"/>
        </w:rPr>
      </w:pPr>
      <w:r>
        <w:rPr>
          <w:rFonts w:hint="eastAsia" w:ascii="宋体" w:hAnsi="宋体" w:cs="宋体"/>
          <w:color w:val="000000"/>
          <w:sz w:val="24"/>
          <w:highlight w:val="none"/>
        </w:rPr>
        <w:t xml:space="preserve">9、投标费用自理。</w:t>
      </w:r>
      <w:r>
        <w:rPr>
          <w:rFonts w:hint="eastAsia" w:ascii="宋体" w:hAnsi="宋体" w:cs="宋体"/>
          <w:color w:val="000000"/>
          <w:sz w:val="24"/>
          <w:szCs w:val="24"/>
          <w:highlight w:val="none"/>
        </w:rPr>
      </w:r>
      <w:r/>
    </w:p>
    <w:p>
      <w:pPr>
        <w:pStyle w:val="84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(九)无效投标文件的确认：</w:t>
      </w:r>
      <w:bookmarkEnd w:id="26"/>
      <w:r>
        <w:rPr>
          <w:rFonts w:hint="eastAsia" w:ascii="宋体" w:hAnsi="宋体" w:cs="宋体"/>
          <w:color w:val="000000"/>
          <w:sz w:val="24"/>
          <w:szCs w:val="24"/>
          <w:highlight w:val="none"/>
        </w:rPr>
      </w:r>
      <w:r/>
    </w:p>
    <w:p>
      <w:pPr>
        <w:pStyle w:val="843"/>
        <w:ind w:firstLine="480"/>
        <w:spacing w:line="360" w:lineRule="auto"/>
        <w:tabs>
          <w:tab w:val="left" w:pos="0" w:leader="none"/>
          <w:tab w:val="left" w:pos="70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投标供应商有下列情况之一者，投标文件无效：</w:t>
      </w:r>
      <w:r>
        <w:rPr>
          <w:rFonts w:hint="eastAsia" w:ascii="宋体" w:hAnsi="宋体" w:cs="宋体"/>
          <w:color w:val="000000"/>
          <w:sz w:val="24"/>
          <w:highlight w:val="none"/>
        </w:rPr>
      </w:r>
      <w:r/>
    </w:p>
    <w:p>
      <w:pPr>
        <w:pStyle w:val="843"/>
        <w:ind w:firstLine="480"/>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1.未按规定在江苏省政府采购（苏采云）平台注册的；</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2.电子投标文件未按规定的期限投标的；</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3.电子投标文件未按要求密封、签署、盖章、上传至系统的；</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4.供应商未按采购文件要求解密投标文件的；</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5.投标供应商的法定代表人授权代表，无法定代表人授权委托书的；</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6.不具备招标文件中规定的资格要求及未按招标文件规定的要求提供资格证明文件的；</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7.投标文件含有采购人不能接受的附加条件的；</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8.投标文件未按招标文件规定的格式、内容和要求填写、制作的；</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9.投标文件书写潦草、字迹模糊不清、无法辨认的；</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10.投标文件中有招标文件未允许提供的选择性内容的；</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11.恶意串通其他投标供应商，故意哄抬价格或压价的；</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12.提供虚假材料的（包括工商营业执照、财务报表、资格证明文件等）；</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13.投标文件未加盖投标供应商公章及法定代表人或授权代表签字或盖章的；</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14.不同投标供应商聘请同一人为其报价提供技术或经济咨询服务的；</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15.不同投标供应商的单位负责人为同一人或者存在直接控股、管理关系的；</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16.投标文件中同一方案有选择性报价且未声明以哪一个为准的；</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17.改变招标文件规定的暂定价格或不可竞争费用的；改变招标文件规定的工期、误期违约金、质量标准及质量违约金的；</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18.投标文件报价出现前后不一致，投标供应商拒不确认修正后的报价的；</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19.超过招标文件规定的最高限价的；</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20.评审小组认为投标供应商报价明显低于其他通过符合性审查的投标供应商的报价，有可能影响产品质量或者不能诚信履约，投标供应商必须在评标现场30分钟内提供书面说明及提交相关证明材料；投标供应商不能证明其报价合理性的；</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21.未通过初步资格性审查、投标文件资格性检查、投标文件符合性检查（明标、暗标）的；</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22.列入失信被执行人、政府采购严重违法失信行为记录名单及其他不符合《中华人民共和国政府采购法》第二十二条规定条件的；</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23.投标供应商的报价畸高或畸低，在询标时没有合理的解释或者不能提供计算依据和报价依据的；</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24.不同投标供应商的投标文件的装订形式、纸张情况、目录序号、排版格式、文字风格等存在明显的相似性或一致性，特征显示由同一单位或者同一个人编制的；</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25.不同投标供应商投标文件内容存在非正常一致、项目组成员或者联系人员出现同一人、投标文件中错误（或异常）一致或雷同、上传系统的文档信息一致或雷同的，或者投标报价呈规律性差异；</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26.不同投标供应商的委托代理人、项目负责人以及其他相关人员有在同一个单位缴纳社会保险的；</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27.同一投标文件中单位名称落款与公章不是同一单位的；</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28.不同投标供应商委托同一单位或者个人办理报价事宜的；</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29.投标供应商的投标文件上传使用的MAC地址、IP地址一致或标书制作工具客户端标识码一致的，不同投标文件留有相同标记标识、存在两处以上一致性错误或雷同等情况，视为投标供应商相互围标、串标，其投标无效；</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30.对招标文件中技术要求参数有负偏离的。</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31.投标文件暗标部分中出现该投标供应商单位名称、简称、人员姓名、Logo、商标、电话号码等任何标识标记及其他暗示性标志的；</w:t>
      </w:r>
      <w:r>
        <w:rPr>
          <w:rFonts w:hint="eastAsia" w:ascii="宋体" w:hAnsi="宋体" w:cs="宋体"/>
          <w:color w:val="000000"/>
          <w:sz w:val="24"/>
          <w:highlight w:val="none"/>
        </w:rPr>
      </w:r>
      <w:r/>
    </w:p>
    <w:p>
      <w:pPr>
        <w:pStyle w:val="843"/>
        <w:ind w:firstLine="480"/>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32.投标文件内容不全或不符合法律法规和招标文件中规定的其他实质性要求的。</w:t>
      </w:r>
      <w:r>
        <w:rPr>
          <w:rFonts w:hint="eastAsia" w:ascii="宋体" w:hAnsi="宋体" w:cs="宋体"/>
          <w:bCs/>
          <w:color w:val="000000"/>
          <w:sz w:val="24"/>
          <w:szCs w:val="24"/>
          <w:highlight w:val="none"/>
        </w:rPr>
      </w:r>
      <w:r/>
    </w:p>
    <w:p>
      <w:pPr>
        <w:pStyle w:val="845"/>
        <w:ind w:left="420" w:hanging="420"/>
        <w:spacing w:line="360" w:lineRule="auto"/>
        <w:rPr>
          <w:rFonts w:hint="eastAsia" w:ascii="宋体" w:hAnsi="宋体" w:cs="宋体"/>
          <w:color w:val="000000"/>
          <w:sz w:val="24"/>
          <w:szCs w:val="24"/>
          <w:highlight w:val="none"/>
        </w:rPr>
      </w:pPr>
      <w:r/>
      <w:bookmarkStart w:id="27" w:name="_Toc66735281"/>
      <w:r>
        <w:rPr>
          <w:rFonts w:hint="eastAsia" w:ascii="宋体" w:hAnsi="宋体" w:cs="宋体"/>
          <w:color w:val="000000"/>
          <w:sz w:val="24"/>
          <w:szCs w:val="24"/>
          <w:highlight w:val="none"/>
        </w:rPr>
        <w:t xml:space="preserve">(十)开标、评标：</w:t>
      </w:r>
      <w:bookmarkEnd w:id="27"/>
      <w:r>
        <w:rPr>
          <w:rFonts w:hint="eastAsia" w:ascii="宋体" w:hAnsi="宋体" w:cs="宋体"/>
          <w:color w:val="000000"/>
          <w:sz w:val="24"/>
          <w:szCs w:val="24"/>
          <w:highlight w:val="none"/>
        </w:rPr>
      </w:r>
      <w:r/>
    </w:p>
    <w:p>
      <w:pPr>
        <w:pStyle w:val="843"/>
        <w:numPr>
          <w:ilvl w:val="1"/>
          <w:numId w:val="7"/>
        </w:numPr>
        <w:ind w:left="1" w:firstLine="628"/>
        <w:spacing w:line="360" w:lineRule="auto"/>
        <w:tabs>
          <w:tab w:val="left" w:pos="525"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依法组建评标委员会，并实行回避制度。</w:t>
      </w:r>
      <w:r>
        <w:rPr>
          <w:rFonts w:hint="eastAsia" w:ascii="宋体" w:hAnsi="宋体" w:cs="宋体"/>
          <w:bCs/>
          <w:color w:val="000000"/>
          <w:sz w:val="24"/>
          <w:szCs w:val="24"/>
          <w:highlight w:val="none"/>
        </w:rPr>
      </w:r>
      <w:r/>
    </w:p>
    <w:p>
      <w:pPr>
        <w:pStyle w:val="843"/>
        <w:numPr>
          <w:ilvl w:val="1"/>
          <w:numId w:val="7"/>
        </w:numPr>
        <w:ind w:left="1" w:firstLine="628"/>
        <w:spacing w:line="360" w:lineRule="auto"/>
        <w:tabs>
          <w:tab w:val="left" w:pos="525"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投标文件出现不一致情形的处理：</w:t>
      </w:r>
      <w:r>
        <w:rPr>
          <w:rFonts w:hint="eastAsia" w:ascii="宋体" w:hAnsi="宋体" w:cs="宋体"/>
          <w:bCs/>
          <w:color w:val="000000"/>
          <w:sz w:val="24"/>
          <w:szCs w:val="24"/>
          <w:highlight w:val="none"/>
        </w:rPr>
      </w:r>
      <w:r/>
    </w:p>
    <w:p>
      <w:pPr>
        <w:pStyle w:val="843"/>
        <w:ind w:left="630"/>
        <w:spacing w:line="360" w:lineRule="auto"/>
        <w:tabs>
          <w:tab w:val="left" w:pos="630" w:leader="none"/>
          <w:tab w:val="left" w:pos="1155" w:leader="none"/>
          <w:tab w:val="left" w:pos="1320" w:leader="none"/>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①投标文件中报价一览表（报价表）内容与投标文件中投标内容不一致的，以</w:t>
      </w:r>
      <w:r>
        <w:rPr>
          <w:rFonts w:hint="eastAsia" w:ascii="宋体" w:hAnsi="宋体" w:cs="宋体"/>
          <w:bCs/>
          <w:color w:val="000000"/>
          <w:sz w:val="24"/>
          <w:szCs w:val="24"/>
          <w:highlight w:val="none"/>
        </w:rPr>
      </w:r>
      <w:r/>
    </w:p>
    <w:p>
      <w:pPr>
        <w:pStyle w:val="843"/>
        <w:spacing w:line="360" w:lineRule="auto"/>
        <w:tabs>
          <w:tab w:val="left" w:pos="630" w:leader="none"/>
          <w:tab w:val="left" w:pos="1155" w:leader="none"/>
          <w:tab w:val="left" w:pos="1320" w:leader="none"/>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报价一览表（报价表）为准；</w:t>
      </w:r>
      <w:r>
        <w:rPr>
          <w:rFonts w:hint="eastAsia" w:ascii="宋体" w:hAnsi="宋体" w:cs="宋体"/>
          <w:bCs/>
          <w:color w:val="000000"/>
          <w:sz w:val="24"/>
          <w:szCs w:val="24"/>
          <w:highlight w:val="none"/>
        </w:rPr>
      </w:r>
      <w:r/>
    </w:p>
    <w:p>
      <w:pPr>
        <w:pStyle w:val="843"/>
        <w:ind w:left="630"/>
        <w:spacing w:line="360" w:lineRule="auto"/>
        <w:tabs>
          <w:tab w:val="left" w:pos="630" w:leader="none"/>
          <w:tab w:val="left" w:pos="1155" w:leader="none"/>
          <w:tab w:val="left" w:pos="1320" w:leader="none"/>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②大写金额和小写金额不一致的，以大写金额为准；</w:t>
      </w:r>
      <w:r>
        <w:rPr>
          <w:rFonts w:hint="eastAsia" w:ascii="宋体" w:hAnsi="宋体" w:cs="宋体"/>
          <w:bCs/>
          <w:color w:val="000000"/>
          <w:sz w:val="24"/>
          <w:szCs w:val="24"/>
          <w:highlight w:val="none"/>
        </w:rPr>
      </w:r>
      <w:r/>
    </w:p>
    <w:p>
      <w:pPr>
        <w:pStyle w:val="843"/>
        <w:ind w:left="630"/>
        <w:spacing w:line="360" w:lineRule="auto"/>
        <w:tabs>
          <w:tab w:val="left" w:pos="630" w:leader="none"/>
          <w:tab w:val="left" w:pos="1155" w:leader="none"/>
          <w:tab w:val="left" w:pos="1320" w:leader="none"/>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③单价金额小数点或者百分比有明显错位的，以报价一览表的总价为准，并修</w:t>
      </w:r>
      <w:r>
        <w:rPr>
          <w:rFonts w:hint="eastAsia" w:ascii="宋体" w:hAnsi="宋体" w:cs="宋体"/>
          <w:bCs/>
          <w:color w:val="000000"/>
          <w:sz w:val="24"/>
          <w:szCs w:val="24"/>
          <w:highlight w:val="none"/>
        </w:rPr>
      </w:r>
      <w:r/>
    </w:p>
    <w:p>
      <w:pPr>
        <w:pStyle w:val="843"/>
        <w:spacing w:line="360" w:lineRule="auto"/>
        <w:tabs>
          <w:tab w:val="left" w:pos="630" w:leader="none"/>
          <w:tab w:val="left" w:pos="1155" w:leader="none"/>
          <w:tab w:val="left" w:pos="1320" w:leader="none"/>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改单价；</w:t>
      </w:r>
      <w:r>
        <w:rPr>
          <w:rFonts w:hint="eastAsia" w:ascii="宋体" w:hAnsi="宋体" w:cs="宋体"/>
          <w:bCs/>
          <w:color w:val="000000"/>
          <w:sz w:val="24"/>
          <w:szCs w:val="24"/>
          <w:highlight w:val="none"/>
        </w:rPr>
      </w:r>
      <w:r/>
    </w:p>
    <w:p>
      <w:pPr>
        <w:pStyle w:val="843"/>
        <w:ind w:left="0" w:firstLine="480"/>
        <w:keepLines w:val="0"/>
        <w:keepNext w:val="0"/>
        <w:pageBreakBefore w:val="0"/>
        <w:spacing w:line="360" w:lineRule="auto"/>
        <w:widowControl w:val="off"/>
        <w:tabs>
          <w:tab w:val="left" w:pos="630" w:leader="none"/>
          <w:tab w:val="left" w:pos="1155" w:leader="none"/>
          <w:tab w:val="left" w:pos="1320" w:leader="none"/>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④总价金额与按单价汇总金额不一致的，以单价金额计算结果为准；</w:t>
      </w:r>
      <w:r>
        <w:rPr>
          <w:rFonts w:hint="eastAsia" w:ascii="宋体" w:hAnsi="宋体" w:cs="宋体"/>
          <w:bCs/>
          <w:color w:val="000000"/>
          <w:sz w:val="24"/>
          <w:szCs w:val="24"/>
          <w:highlight w:val="none"/>
        </w:rPr>
      </w:r>
      <w:r/>
    </w:p>
    <w:p>
      <w:pPr>
        <w:pStyle w:val="843"/>
        <w:ind w:left="0" w:firstLine="480"/>
        <w:keepLines w:val="0"/>
        <w:keepNext w:val="0"/>
        <w:pageBreakBefore w:val="0"/>
        <w:spacing w:line="360" w:lineRule="auto"/>
        <w:widowControl w:val="off"/>
        <w:tabs>
          <w:tab w:val="left" w:pos="630" w:leader="none"/>
          <w:tab w:val="left" w:pos="1155" w:leader="none"/>
          <w:tab w:val="left" w:pos="1320" w:leader="none"/>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同时出现两种以上不一致的，按照前述①至④规定的顺序修正。修正后的报价</w:t>
      </w:r>
      <w:r>
        <w:rPr>
          <w:rFonts w:hint="eastAsia" w:ascii="宋体" w:hAnsi="宋体" w:cs="宋体"/>
          <w:bCs/>
          <w:color w:val="000000"/>
          <w:sz w:val="24"/>
          <w:szCs w:val="24"/>
          <w:highlight w:val="none"/>
        </w:rPr>
      </w:r>
      <w:r/>
    </w:p>
    <w:p>
      <w:pPr>
        <w:pStyle w:val="843"/>
        <w:ind w:left="0" w:firstLine="480"/>
        <w:keepLines w:val="0"/>
        <w:keepNext w:val="0"/>
        <w:pageBreakBefore w:val="0"/>
        <w:spacing w:line="360" w:lineRule="auto"/>
        <w:widowControl w:val="off"/>
        <w:tabs>
          <w:tab w:val="left" w:pos="630" w:leader="none"/>
          <w:tab w:val="left" w:pos="1155" w:leader="none"/>
          <w:tab w:val="left" w:pos="1320" w:leader="none"/>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应当采用书面形式，并加盖公章，或者由法定代表人或其授权的代表签字后产生约束力，投标供应商不确认的，其投标无效。</w:t>
      </w:r>
      <w:r>
        <w:rPr>
          <w:rFonts w:hint="eastAsia" w:ascii="宋体" w:hAnsi="宋体" w:cs="宋体"/>
          <w:bCs/>
          <w:color w:val="000000"/>
          <w:sz w:val="24"/>
          <w:szCs w:val="24"/>
          <w:highlight w:val="none"/>
        </w:rPr>
      </w:r>
      <w:r/>
    </w:p>
    <w:p>
      <w:pPr>
        <w:pStyle w:val="843"/>
        <w:numPr>
          <w:ilvl w:val="1"/>
          <w:numId w:val="7"/>
        </w:numPr>
        <w:ind w:left="0" w:firstLine="480"/>
        <w:keepLines w:val="0"/>
        <w:keepNext w:val="0"/>
        <w:pageBreakBefore w:val="0"/>
        <w:spacing w:line="360" w:lineRule="auto"/>
        <w:widowControl w:val="off"/>
        <w:tabs>
          <w:tab w:val="left" w:pos="525" w:leader="none"/>
          <w:tab w:val="left" w:pos="840"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开标工作程序</w:t>
      </w:r>
      <w:r>
        <w:rPr>
          <w:rFonts w:hint="eastAsia" w:ascii="宋体" w:hAnsi="宋体" w:cs="宋体"/>
          <w:bCs/>
          <w:color w:val="000000"/>
          <w:sz w:val="24"/>
          <w:szCs w:val="24"/>
          <w:highlight w:val="none"/>
        </w:rPr>
      </w:r>
      <w:r/>
    </w:p>
    <w:p>
      <w:pPr>
        <w:pStyle w:val="843"/>
        <w:ind w:left="0" w:firstLine="480"/>
        <w:keepLines w:val="0"/>
        <w:keepNext w:val="0"/>
        <w:pageBreakBefore w:val="0"/>
        <w:spacing w:line="360" w:lineRule="auto"/>
        <w:widowControl w:val="off"/>
        <w:tabs>
          <w:tab w:val="left" w:pos="840"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3.1所有投标供应商在招标文件规定的时间内解密各自投标文件；</w:t>
      </w:r>
      <w:r>
        <w:rPr>
          <w:rFonts w:hint="eastAsia" w:ascii="宋体" w:hAnsi="宋体" w:cs="宋体"/>
          <w:bCs/>
          <w:color w:val="000000"/>
          <w:sz w:val="24"/>
          <w:szCs w:val="24"/>
          <w:highlight w:val="none"/>
        </w:rPr>
      </w:r>
      <w:r/>
    </w:p>
    <w:p>
      <w:pPr>
        <w:pStyle w:val="843"/>
        <w:ind w:left="0" w:firstLine="480"/>
        <w:keepLines w:val="0"/>
        <w:keepNext w:val="0"/>
        <w:pageBreakBefore w:val="0"/>
        <w:spacing w:line="360" w:lineRule="auto"/>
        <w:widowControl w:val="off"/>
        <w:tabs>
          <w:tab w:val="left" w:pos="840"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3.2解密后，投标供应商须自行准备设备（包括但不限于笔记本电脑、无线网络）登录“江苏省政府采购（苏采云）平台不见面开标大厅”，按采购文件规定时间解密后，在评审过程中保持在线，等待评标委员会的询问，并等待评审结果，中途不得离开。如未按要求应答，由此所产生的损失及风险由投标供应商自行承担；</w:t>
      </w:r>
      <w:r>
        <w:rPr>
          <w:rFonts w:hint="eastAsia" w:ascii="宋体" w:hAnsi="宋体" w:cs="宋体"/>
          <w:bCs/>
          <w:color w:val="000000"/>
          <w:sz w:val="24"/>
          <w:szCs w:val="24"/>
          <w:highlight w:val="none"/>
        </w:rPr>
      </w:r>
      <w:r/>
    </w:p>
    <w:p>
      <w:pPr>
        <w:pStyle w:val="843"/>
        <w:ind w:left="0" w:firstLine="480"/>
        <w:keepLines w:val="0"/>
        <w:keepNext w:val="0"/>
        <w:pageBreakBefore w:val="0"/>
        <w:spacing w:line="360" w:lineRule="auto"/>
        <w:widowControl w:val="off"/>
        <w:tabs>
          <w:tab w:val="left" w:pos="840"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3.3  唱标</w:t>
      </w:r>
      <w:r>
        <w:rPr>
          <w:rFonts w:hint="eastAsia" w:ascii="宋体" w:hAnsi="宋体" w:cs="宋体"/>
          <w:bCs/>
          <w:color w:val="000000"/>
          <w:sz w:val="24"/>
          <w:szCs w:val="24"/>
          <w:highlight w:val="none"/>
        </w:rPr>
      </w:r>
      <w:r/>
    </w:p>
    <w:p>
      <w:pPr>
        <w:pStyle w:val="843"/>
        <w:ind w:left="0" w:firstLine="480"/>
        <w:keepLines w:val="0"/>
        <w:keepNext w:val="0"/>
        <w:pageBreakBefore w:val="0"/>
        <w:spacing w:line="360" w:lineRule="auto"/>
        <w:widowControl w:val="off"/>
        <w:tabs>
          <w:tab w:val="left" w:pos="840"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3.3.1宣读各投标供应商的《开标一览表》，唱标内容仅涉及开标一览表。</w:t>
      </w:r>
      <w:r>
        <w:rPr>
          <w:rFonts w:hint="eastAsia" w:ascii="宋体" w:hAnsi="宋体" w:cs="宋体"/>
          <w:bCs/>
          <w:color w:val="000000"/>
          <w:sz w:val="24"/>
          <w:szCs w:val="24"/>
          <w:highlight w:val="none"/>
        </w:rPr>
      </w:r>
      <w:r/>
    </w:p>
    <w:p>
      <w:pPr>
        <w:pStyle w:val="843"/>
        <w:ind w:left="0" w:firstLine="480"/>
        <w:keepLines w:val="0"/>
        <w:keepNext w:val="0"/>
        <w:pageBreakBefore w:val="0"/>
        <w:spacing w:line="360" w:lineRule="auto"/>
        <w:widowControl w:val="off"/>
        <w:tabs>
          <w:tab w:val="left" w:pos="840"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3.4投标文件递交截止时间后参加投标的投标供应商或解密投标文件的投标供应商不足三家的，不进行评标。</w:t>
      </w:r>
      <w:r>
        <w:rPr>
          <w:rFonts w:hint="eastAsia" w:ascii="宋体" w:hAnsi="宋体" w:cs="宋体"/>
          <w:bCs/>
          <w:color w:val="000000"/>
          <w:sz w:val="24"/>
          <w:szCs w:val="24"/>
          <w:highlight w:val="none"/>
        </w:rPr>
      </w:r>
      <w:r/>
    </w:p>
    <w:p>
      <w:pPr>
        <w:pStyle w:val="843"/>
        <w:ind w:left="0" w:firstLine="480"/>
        <w:keepLines w:val="0"/>
        <w:keepNext w:val="0"/>
        <w:pageBreakBefore w:val="0"/>
        <w:spacing w:line="360" w:lineRule="auto"/>
        <w:widowControl w:val="off"/>
        <w:tabs>
          <w:tab w:val="left" w:pos="840"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3.5投标供应商如对开标过程和开标记录有异议，应当在开标现场提出，事后提出将不予受理。</w:t>
      </w:r>
      <w:r>
        <w:rPr>
          <w:rFonts w:hint="eastAsia" w:ascii="宋体" w:hAnsi="宋体" w:cs="宋体"/>
          <w:bCs/>
          <w:color w:val="000000"/>
          <w:sz w:val="24"/>
          <w:szCs w:val="24"/>
          <w:highlight w:val="none"/>
        </w:rPr>
      </w:r>
      <w:r/>
    </w:p>
    <w:p>
      <w:pPr>
        <w:pStyle w:val="843"/>
        <w:ind w:left="0" w:firstLine="480"/>
        <w:keepLines w:val="0"/>
        <w:keepNext w:val="0"/>
        <w:pageBreakBefore w:val="0"/>
        <w:spacing w:line="360" w:lineRule="auto"/>
        <w:widowControl w:val="off"/>
        <w:tabs>
          <w:tab w:val="left" w:pos="840"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4.评标工作程序</w:t>
      </w:r>
      <w:bookmarkStart w:id="28" w:name="OLE_LINK23"/>
      <w:r>
        <w:rPr>
          <w:rFonts w:hint="eastAsia" w:ascii="宋体" w:hAnsi="宋体" w:cs="宋体"/>
          <w:bCs/>
          <w:color w:val="000000"/>
          <w:sz w:val="24"/>
          <w:szCs w:val="24"/>
          <w:highlight w:val="none"/>
        </w:rPr>
      </w:r>
      <w:r/>
    </w:p>
    <w:p>
      <w:pPr>
        <w:pStyle w:val="843"/>
        <w:ind w:left="0" w:firstLine="480"/>
        <w:keepLines w:val="0"/>
        <w:keepNext w:val="0"/>
        <w:pageBreakBefore w:val="0"/>
        <w:spacing w:line="360" w:lineRule="auto"/>
        <w:widowControl w:val="off"/>
        <w:tabs>
          <w:tab w:val="left" w:pos="840"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4.1投标供应商资格性审查。</w:t>
      </w:r>
      <w:r>
        <w:rPr>
          <w:rFonts w:hint="eastAsia" w:ascii="宋体" w:hAnsi="宋体" w:cs="宋体"/>
          <w:bCs/>
          <w:color w:val="000000"/>
          <w:sz w:val="24"/>
          <w:szCs w:val="24"/>
          <w:highlight w:val="none"/>
        </w:rPr>
      </w:r>
      <w:r/>
    </w:p>
    <w:p>
      <w:pPr>
        <w:pStyle w:val="843"/>
        <w:ind w:left="0" w:firstLine="480"/>
        <w:keepLines w:val="0"/>
        <w:keepNext w:val="0"/>
        <w:pageBreakBefore w:val="0"/>
        <w:spacing w:line="360" w:lineRule="auto"/>
        <w:widowControl w:val="off"/>
        <w:tabs>
          <w:tab w:val="left" w:pos="840"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4.1.1投标文件资格性审查</w:t>
      </w:r>
      <w:r>
        <w:rPr>
          <w:rFonts w:hint="eastAsia" w:ascii="宋体" w:hAnsi="宋体" w:cs="宋体"/>
          <w:bCs/>
          <w:color w:val="000000"/>
          <w:sz w:val="24"/>
          <w:szCs w:val="24"/>
          <w:highlight w:val="none"/>
        </w:rPr>
        <w:t xml:space="preserve">由</w:t>
      </w:r>
      <w:bookmarkStart w:id="29" w:name="OLE_LINK22"/>
      <w:r>
        <w:rPr>
          <w:rFonts w:hint="eastAsia" w:ascii="宋体" w:hAnsi="宋体" w:cs="宋体"/>
          <w:bCs/>
          <w:color w:val="000000"/>
          <w:sz w:val="24"/>
          <w:szCs w:val="24"/>
          <w:highlight w:val="none"/>
        </w:rPr>
        <w:t xml:space="preserve">采购</w:t>
      </w:r>
      <w:r>
        <w:rPr>
          <w:rFonts w:ascii="宋体" w:hAnsi="宋体" w:cs="宋体"/>
          <w:bCs/>
          <w:color w:val="000000"/>
          <w:sz w:val="24"/>
          <w:szCs w:val="24"/>
          <w:highlight w:val="none"/>
        </w:rPr>
        <w:t xml:space="preserve">人</w:t>
      </w:r>
      <w:bookmarkEnd w:id="29"/>
      <w:r>
        <w:rPr>
          <w:rFonts w:hint="eastAsia" w:ascii="宋体" w:hAnsi="宋体" w:cs="宋体"/>
          <w:bCs/>
          <w:color w:val="000000"/>
          <w:sz w:val="24"/>
          <w:szCs w:val="24"/>
          <w:highlight w:val="none"/>
        </w:rPr>
        <w:t xml:space="preserve">负责</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843"/>
        <w:ind w:left="0" w:firstLine="480"/>
        <w:keepLines w:val="0"/>
        <w:keepNext w:val="0"/>
        <w:pageBreakBefore w:val="0"/>
        <w:spacing w:line="360" w:lineRule="auto"/>
        <w:widowControl w:val="off"/>
        <w:tabs>
          <w:tab w:val="left" w:pos="525" w:leader="none"/>
        </w:tabs>
        <w:rPr>
          <w:rFonts w:hint="eastAsia" w:ascii="宋体" w:hAnsi="宋体" w:cs="宋体"/>
          <w:bCs/>
          <w:color w:val="000000"/>
          <w:sz w:val="24"/>
          <w:szCs w:val="24"/>
          <w:highlight w:val="none"/>
        </w:rPr>
      </w:pPr>
      <w:r/>
      <w:bookmarkEnd w:id="28"/>
      <w:r>
        <w:rPr>
          <w:rFonts w:hint="eastAsia" w:ascii="宋体" w:hAnsi="宋体" w:cs="宋体"/>
          <w:bCs/>
          <w:color w:val="000000"/>
          <w:sz w:val="24"/>
          <w:szCs w:val="24"/>
          <w:highlight w:val="none"/>
        </w:rPr>
        <w:t xml:space="preserve">4.1.2依据法律法规和招标文件的规定，对投标文件中的资格、资信证明等进行审查，以确定投标供应商提供资格、资信证明的合法性、真实性，是否具备投标资格。</w:t>
      </w:r>
      <w:r>
        <w:rPr>
          <w:rFonts w:hint="eastAsia" w:ascii="宋体" w:hAnsi="宋体" w:cs="宋体"/>
          <w:bCs/>
          <w:color w:val="000000"/>
          <w:sz w:val="24"/>
          <w:szCs w:val="24"/>
          <w:highlight w:val="none"/>
        </w:rPr>
      </w:r>
      <w:r/>
    </w:p>
    <w:p>
      <w:pPr>
        <w:pStyle w:val="843"/>
        <w:ind w:left="0" w:firstLine="480"/>
        <w:keepLines w:val="0"/>
        <w:keepNext w:val="0"/>
        <w:pageBreakBefore w:val="0"/>
        <w:spacing w:line="360" w:lineRule="auto"/>
        <w:widowControl w:val="off"/>
        <w:tabs>
          <w:tab w:val="left" w:pos="525" w:leader="none"/>
          <w:tab w:val="left" w:pos="945" w:leader="none"/>
        </w:tabs>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4.2</w:t>
      </w:r>
      <w:r>
        <w:rPr>
          <w:rFonts w:hint="eastAsia" w:ascii="宋体" w:hAnsi="宋体" w:cs="宋体"/>
          <w:color w:val="000000"/>
          <w:sz w:val="24"/>
          <w:szCs w:val="24"/>
          <w:highlight w:val="none"/>
        </w:rPr>
        <w:t xml:space="preserve">符合性审查</w:t>
      </w:r>
      <w:r>
        <w:rPr>
          <w:rFonts w:hint="eastAsia" w:ascii="宋体" w:hAnsi="宋体" w:cs="宋体"/>
          <w:color w:val="000000"/>
          <w:sz w:val="24"/>
          <w:szCs w:val="24"/>
          <w:highlight w:val="none"/>
        </w:rPr>
      </w:r>
      <w:r/>
    </w:p>
    <w:p>
      <w:pPr>
        <w:pStyle w:val="843"/>
        <w:ind w:left="0" w:firstLine="480"/>
        <w:keepLines w:val="0"/>
        <w:keepNext w:val="0"/>
        <w:pageBreakBefore w:val="0"/>
        <w:spacing w:line="360" w:lineRule="auto"/>
        <w:widowControl w:val="off"/>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4.2.1评标委员会对投标文件的有效性、完整性和响应程度进行检查。投标文件符合性、有效性、完整性审查由评标委员会负责。</w:t>
      </w:r>
      <w:r>
        <w:rPr>
          <w:rFonts w:hint="eastAsia" w:ascii="宋体" w:hAnsi="宋体" w:cs="宋体"/>
          <w:bCs/>
          <w:color w:val="000000"/>
          <w:sz w:val="24"/>
          <w:szCs w:val="24"/>
          <w:highlight w:val="none"/>
        </w:rPr>
      </w:r>
      <w:r/>
    </w:p>
    <w:p>
      <w:pPr>
        <w:pStyle w:val="843"/>
        <w:ind w:left="0" w:firstLine="480"/>
        <w:keepLines w:val="0"/>
        <w:keepNext w:val="0"/>
        <w:pageBreakBefore w:val="0"/>
        <w:spacing w:line="360" w:lineRule="auto"/>
        <w:widowControl w:val="off"/>
        <w:tabs>
          <w:tab w:val="left" w:pos="525" w:leader="none"/>
          <w:tab w:val="left" w:pos="94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4.2.2对于投标文件含义不明确、同类问题表述不一致或者有明显文字和计算错误的内容，评标委员会应当以书面形式要求投标供应商作出必要的澄清、说明或者补正。</w:t>
      </w:r>
      <w:r>
        <w:rPr>
          <w:rFonts w:hint="eastAsia" w:ascii="宋体" w:hAnsi="宋体" w:cs="宋体"/>
          <w:color w:val="000000"/>
          <w:sz w:val="24"/>
          <w:szCs w:val="24"/>
          <w:highlight w:val="none"/>
        </w:rPr>
      </w:r>
      <w:r/>
    </w:p>
    <w:p>
      <w:pPr>
        <w:pStyle w:val="843"/>
        <w:ind w:left="0" w:firstLine="480"/>
        <w:keepLines w:val="0"/>
        <w:keepNext w:val="0"/>
        <w:pageBreakBefore w:val="0"/>
        <w:spacing w:line="360" w:lineRule="auto"/>
        <w:widowControl w:val="off"/>
        <w:tabs>
          <w:tab w:val="left" w:pos="136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投标供应商的澄清、说明或者补正应当采用书面形式，并加盖公章，或者由法定代表人或其授权的代表签字。投标供应商的澄清、说明或者补正不得超出投标文件的范围或者改变投标文件的实质内容。</w:t>
      </w:r>
      <w:r>
        <w:rPr>
          <w:rFonts w:hint="eastAsia" w:ascii="宋体" w:hAnsi="宋体" w:cs="宋体"/>
          <w:color w:val="000000"/>
          <w:sz w:val="24"/>
          <w:szCs w:val="24"/>
          <w:highlight w:val="none"/>
        </w:rPr>
      </w:r>
      <w:r/>
    </w:p>
    <w:p>
      <w:pPr>
        <w:pStyle w:val="843"/>
        <w:ind w:left="0" w:firstLine="480"/>
        <w:keepLines w:val="0"/>
        <w:keepNext w:val="0"/>
        <w:pageBreakBefore w:val="0"/>
        <w:spacing w:line="360" w:lineRule="auto"/>
        <w:widowControl w:val="off"/>
        <w:tabs>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4.3比较与评价</w:t>
      </w:r>
      <w:r>
        <w:rPr>
          <w:rFonts w:hint="eastAsia" w:ascii="宋体" w:hAnsi="宋体" w:cs="宋体"/>
          <w:bCs/>
          <w:color w:val="000000"/>
          <w:sz w:val="24"/>
          <w:szCs w:val="24"/>
          <w:highlight w:val="none"/>
        </w:rPr>
      </w:r>
      <w:r/>
    </w:p>
    <w:p>
      <w:pPr>
        <w:pStyle w:val="843"/>
        <w:ind w:left="0" w:firstLine="480"/>
        <w:keepLines w:val="0"/>
        <w:keepNext w:val="0"/>
        <w:pageBreakBefore w:val="0"/>
        <w:spacing w:line="360" w:lineRule="auto"/>
        <w:widowControl w:val="off"/>
        <w:tabs>
          <w:tab w:val="left" w:pos="1365" w:leader="none"/>
        </w:tabs>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4.3.1 投标文件资格性检查和符合性检查结束后，</w:t>
      </w:r>
      <w:r>
        <w:rPr>
          <w:rFonts w:hint="eastAsia" w:ascii="宋体" w:hAnsi="宋体" w:cs="宋体"/>
          <w:color w:val="000000"/>
          <w:sz w:val="24"/>
          <w:szCs w:val="24"/>
          <w:highlight w:val="none"/>
        </w:rPr>
        <w:t xml:space="preserve">凡属于“（九）无效投标文件的确认”的投标文件不进入比较与评价程序。</w:t>
      </w:r>
      <w:r>
        <w:rPr>
          <w:rFonts w:hint="eastAsia" w:ascii="宋体" w:hAnsi="宋体" w:cs="宋体"/>
          <w:color w:val="000000"/>
          <w:sz w:val="24"/>
          <w:szCs w:val="24"/>
          <w:highlight w:val="none"/>
        </w:rPr>
      </w:r>
      <w:r/>
    </w:p>
    <w:p>
      <w:pPr>
        <w:pStyle w:val="843"/>
        <w:ind w:left="0" w:firstLine="480"/>
        <w:keepLines w:val="0"/>
        <w:keepNext w:val="0"/>
        <w:pageBreakBefore w:val="0"/>
        <w:spacing w:line="360" w:lineRule="auto"/>
        <w:widowControl w:val="off"/>
        <w:tabs>
          <w:tab w:val="left" w:pos="1365" w:leader="none"/>
        </w:tabs>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4.3.2 经评审有效的投标文件</w:t>
      </w:r>
      <w:r>
        <w:rPr>
          <w:rFonts w:hint="eastAsia" w:ascii="宋体" w:hAnsi="宋体" w:cs="宋体"/>
          <w:bCs/>
          <w:color w:val="000000"/>
          <w:sz w:val="24"/>
          <w:szCs w:val="24"/>
          <w:highlight w:val="none"/>
        </w:rPr>
        <w:t xml:space="preserve">按招标文件中规定的评标方法和标准，</w:t>
      </w:r>
      <w:r>
        <w:rPr>
          <w:rFonts w:hint="eastAsia" w:ascii="宋体" w:hAnsi="宋体" w:cs="宋体"/>
          <w:color w:val="000000"/>
          <w:sz w:val="24"/>
          <w:szCs w:val="24"/>
          <w:highlight w:val="none"/>
        </w:rPr>
        <w:t xml:space="preserve">由评标委员会</w:t>
      </w:r>
      <w:r>
        <w:rPr>
          <w:rFonts w:hint="eastAsia" w:ascii="宋体" w:hAnsi="宋体" w:cs="宋体"/>
          <w:bCs/>
          <w:color w:val="000000"/>
          <w:sz w:val="24"/>
          <w:szCs w:val="24"/>
          <w:highlight w:val="none"/>
        </w:rPr>
        <w:t xml:space="preserve">进行比较与评价。</w:t>
      </w:r>
      <w:r>
        <w:rPr>
          <w:rFonts w:hint="eastAsia" w:ascii="宋体" w:hAnsi="宋体" w:cs="宋体"/>
          <w:bCs/>
          <w:color w:val="000000"/>
          <w:sz w:val="24"/>
          <w:szCs w:val="24"/>
          <w:highlight w:val="none"/>
        </w:rPr>
      </w:r>
      <w:r/>
    </w:p>
    <w:p>
      <w:pPr>
        <w:pStyle w:val="843"/>
        <w:ind w:left="0" w:firstLine="480"/>
        <w:keepLines w:val="0"/>
        <w:keepNext w:val="0"/>
        <w:pageBreakBefore w:val="0"/>
        <w:spacing w:line="360" w:lineRule="auto"/>
        <w:widowControl w:val="off"/>
        <w:tabs>
          <w:tab w:val="left" w:pos="1365" w:leader="none"/>
        </w:tabs>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4.3.3评审全部结束后，汇总各投标供应商得分，确定各投标供应商总分和最终排序。</w:t>
      </w:r>
      <w:r>
        <w:rPr>
          <w:rFonts w:hint="eastAsia" w:ascii="宋体" w:hAnsi="宋体" w:cs="宋体"/>
          <w:color w:val="000000"/>
          <w:sz w:val="24"/>
          <w:szCs w:val="24"/>
          <w:highlight w:val="none"/>
        </w:rPr>
      </w:r>
      <w:r/>
    </w:p>
    <w:p>
      <w:pPr>
        <w:pStyle w:val="843"/>
        <w:ind w:left="0" w:firstLine="480"/>
        <w:keepLines w:val="0"/>
        <w:keepNext w:val="0"/>
        <w:pageBreakBefore w:val="0"/>
        <w:spacing w:line="360" w:lineRule="auto"/>
        <w:widowControl w:val="off"/>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5.评标方法</w:t>
      </w:r>
      <w:r>
        <w:rPr>
          <w:rFonts w:hint="eastAsia" w:ascii="宋体" w:hAnsi="宋体" w:cs="宋体"/>
          <w:bCs/>
          <w:color w:val="000000"/>
          <w:sz w:val="24"/>
          <w:szCs w:val="24"/>
          <w:highlight w:val="none"/>
        </w:rPr>
      </w:r>
      <w:r/>
    </w:p>
    <w:p>
      <w:pPr>
        <w:pStyle w:val="843"/>
        <w:ind w:left="0" w:firstLine="480"/>
        <w:keepLines w:val="0"/>
        <w:keepNext w:val="0"/>
        <w:pageBreakBefore w:val="0"/>
        <w:spacing w:line="360" w:lineRule="auto"/>
        <w:widowControl w:val="off"/>
        <w:tabs>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投标供应商通过初审的，方可进入比较与评价程序。</w:t>
      </w:r>
      <w:r>
        <w:rPr>
          <w:rFonts w:hint="eastAsia" w:ascii="宋体" w:hAnsi="宋体" w:cs="宋体"/>
          <w:bCs/>
          <w:color w:val="000000"/>
          <w:sz w:val="24"/>
          <w:szCs w:val="24"/>
          <w:highlight w:val="none"/>
        </w:rPr>
      </w:r>
      <w:r/>
    </w:p>
    <w:p>
      <w:pPr>
        <w:pStyle w:val="843"/>
        <w:ind w:left="0" w:firstLine="480"/>
        <w:keepLines w:val="0"/>
        <w:keepNext w:val="0"/>
        <w:pageBreakBefore w:val="0"/>
        <w:spacing w:line="360" w:lineRule="auto"/>
        <w:widowControl w:val="off"/>
        <w:tabs>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比较与评价采用综合评分法（计分均保留2位小数）。</w:t>
      </w:r>
      <w:r>
        <w:rPr>
          <w:rFonts w:hint="eastAsia" w:ascii="宋体" w:hAnsi="宋体" w:cs="宋体"/>
          <w:bCs/>
          <w:color w:val="000000"/>
          <w:sz w:val="24"/>
          <w:szCs w:val="24"/>
          <w:highlight w:val="none"/>
        </w:rPr>
      </w:r>
      <w:r/>
    </w:p>
    <w:p>
      <w:pPr>
        <w:pStyle w:val="843"/>
        <w:ind w:left="0" w:firstLine="480"/>
        <w:keepLines w:val="0"/>
        <w:keepNext w:val="0"/>
        <w:pageBreakBefore w:val="0"/>
        <w:spacing w:line="360" w:lineRule="auto"/>
        <w:widowControl w:val="off"/>
        <w:tabs>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评标委员会遵循公平、公正、择优原则，独立按照评分标准分别评定投标供应商的分值；各投标供应商的最终得分为各评委所评定分值的平均值，并按高低顺序排列，推荐量化指标评审得分最高的投标供应商为中标候选人。若得分相同，按投标报价由低到高顺序排列。按前述方法仍不能确定中标候选人排序的，由采购人按照随机抽取的方式确定</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r>
      <w:r/>
    </w:p>
    <w:p>
      <w:pPr>
        <w:pStyle w:val="843"/>
        <w:ind w:left="0" w:firstLine="480"/>
        <w:keepLines w:val="0"/>
        <w:keepNext w:val="0"/>
        <w:pageBreakBefore w:val="0"/>
        <w:spacing w:line="360" w:lineRule="auto"/>
        <w:widowControl w:val="off"/>
        <w:tabs>
          <w:tab w:val="left" w:pos="52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 评标标准：</w:t>
      </w:r>
      <w:r>
        <w:rPr>
          <w:rFonts w:hint="eastAsia" w:ascii="宋体" w:hAnsi="宋体" w:cs="宋体"/>
          <w:bCs/>
          <w:color w:val="000000"/>
          <w:sz w:val="24"/>
          <w:szCs w:val="24"/>
          <w:highlight w:val="none"/>
        </w:rPr>
      </w:r>
      <w:r/>
    </w:p>
    <w:p>
      <w:pPr>
        <w:pStyle w:val="843"/>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1、投标价格（</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0分）</w:t>
      </w:r>
      <w:r>
        <w:rPr>
          <w:rFonts w:hint="eastAsia" w:ascii="宋体" w:hAnsi="宋体" w:cs="宋体"/>
          <w:b/>
          <w:bCs/>
          <w:color w:val="000000"/>
          <w:sz w:val="24"/>
          <w:szCs w:val="24"/>
          <w:highlight w:val="none"/>
        </w:rPr>
      </w:r>
      <w:r/>
    </w:p>
    <w:p>
      <w:pPr>
        <w:pStyle w:val="84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采用低价优先法计算，即满足招标文件要求且投标价格最低的投标报价为评标基准价，其价格分为满分。其他投标供应商的价格分统一按照下列公式计算：</w:t>
      </w:r>
      <w:r>
        <w:rPr>
          <w:rFonts w:hint="eastAsia" w:ascii="宋体" w:hAnsi="宋体" w:cs="宋体"/>
          <w:bCs/>
          <w:color w:val="000000"/>
          <w:sz w:val="24"/>
          <w:szCs w:val="24"/>
          <w:highlight w:val="none"/>
        </w:rPr>
      </w:r>
      <w:r/>
    </w:p>
    <w:p>
      <w:pPr>
        <w:pStyle w:val="84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投标报价得分=(评标基准价／投标报价)×价格权值×100。</w:t>
      </w:r>
      <w:r>
        <w:rPr>
          <w:rFonts w:hint="eastAsia" w:ascii="宋体" w:hAnsi="宋体" w:cs="宋体"/>
          <w:bCs/>
          <w:color w:val="000000"/>
          <w:sz w:val="24"/>
          <w:szCs w:val="24"/>
          <w:highlight w:val="none"/>
        </w:rPr>
      </w:r>
      <w:r/>
    </w:p>
    <w:p>
      <w:pPr>
        <w:pStyle w:val="84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注：评审过程中出现下列情形之一的，评审委员会应当启动异常低价投标审查程序：</w:t>
      </w:r>
      <w:r>
        <w:rPr>
          <w:rFonts w:hint="eastAsia" w:ascii="宋体" w:hAnsi="宋体" w:cs="宋体"/>
          <w:bCs/>
          <w:color w:val="000000"/>
          <w:sz w:val="24"/>
          <w:szCs w:val="24"/>
          <w:highlight w:val="none"/>
        </w:rPr>
      </w:r>
      <w:r/>
    </w:p>
    <w:p>
      <w:pPr>
        <w:pStyle w:val="84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①投标报价低于采购项目预算50%的，即投标报价&lt;采购项目预算×50%；</w:t>
      </w:r>
      <w:r>
        <w:rPr>
          <w:rFonts w:hint="eastAsia" w:ascii="宋体" w:hAnsi="宋体" w:cs="宋体"/>
          <w:bCs/>
          <w:color w:val="000000"/>
          <w:sz w:val="24"/>
          <w:szCs w:val="24"/>
          <w:highlight w:val="none"/>
        </w:rPr>
      </w:r>
      <w:r/>
    </w:p>
    <w:p>
      <w:pPr>
        <w:pStyle w:val="84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②投标报价低于采购项目最高限价45%的，即投标报价&lt;采购项目最高限价×45%；</w:t>
      </w:r>
      <w:r>
        <w:rPr>
          <w:rFonts w:hint="eastAsia" w:ascii="宋体" w:hAnsi="宋体" w:cs="宋体"/>
          <w:bCs/>
          <w:color w:val="000000"/>
          <w:sz w:val="24"/>
          <w:szCs w:val="24"/>
          <w:highlight w:val="none"/>
        </w:rPr>
      </w:r>
      <w:r/>
    </w:p>
    <w:p>
      <w:pPr>
        <w:pStyle w:val="84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③评审委员会认定的供应商报价过低、有可能影响产品质量或者不能诚信履约的其他情形。</w:t>
      </w:r>
      <w:r>
        <w:rPr>
          <w:rFonts w:hint="eastAsia" w:ascii="宋体" w:hAnsi="宋体" w:cs="宋体"/>
          <w:bCs/>
          <w:color w:val="000000"/>
          <w:sz w:val="24"/>
          <w:szCs w:val="24"/>
          <w:highlight w:val="none"/>
        </w:rPr>
      </w:r>
      <w:r/>
    </w:p>
    <w:p>
      <w:pPr>
        <w:pStyle w:val="84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④启动异常低价投标审查后，评审委员会应当要求相关供应商在评标现场合理的时间（本项目约定为：30分钟）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rPr>
          <w:rFonts w:hint="eastAsia" w:ascii="宋体" w:hAnsi="宋体" w:cs="宋体"/>
          <w:bCs/>
          <w:color w:val="000000"/>
          <w:sz w:val="24"/>
          <w:szCs w:val="24"/>
          <w:highlight w:val="none"/>
        </w:rPr>
      </w:r>
      <w:r/>
    </w:p>
    <w:p>
      <w:pPr>
        <w:pStyle w:val="843"/>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2、商务标（</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0分）：</w:t>
      </w:r>
      <w:r>
        <w:rPr>
          <w:rFonts w:hint="eastAsia" w:ascii="宋体" w:hAnsi="宋体" w:cs="宋体"/>
          <w:b/>
          <w:bCs/>
          <w:color w:val="000000"/>
          <w:sz w:val="24"/>
          <w:szCs w:val="24"/>
          <w:highlight w:val="none"/>
        </w:rPr>
      </w:r>
      <w:r/>
    </w:p>
    <w:p>
      <w:pPr>
        <w:pStyle w:val="84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1）业绩（</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843"/>
        <w:ind w:firstLine="480"/>
        <w:spacing w:line="360" w:lineRule="auto"/>
        <w:rPr>
          <w:rFonts w:hint="eastAsia" w:ascii="宋体" w:hAnsi="宋体"/>
          <w:color w:val="000000"/>
          <w:sz w:val="24"/>
          <w:highlight w:val="none"/>
        </w:rPr>
      </w:pPr>
      <w:r>
        <w:rPr>
          <w:rFonts w:hint="eastAsia" w:ascii="宋体" w:hAnsi="宋体" w:cs="宋体"/>
          <w:color w:val="000000"/>
          <w:sz w:val="24"/>
          <w:highlight w:val="none"/>
        </w:rPr>
        <w:t xml:space="preserve">供应商近三年（以采购公告发布之日起往前推算）承接过类似项目的，有1个得2分，最高得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b/>
          <w:bCs/>
          <w:color w:val="000000"/>
          <w:sz w:val="24"/>
          <w:highlight w:val="none"/>
        </w:rPr>
        <w:t xml:space="preserve">（业绩以合同签订时间为准，中标通知书、合同原件扫描件加盖供应商电子签章上传至投标系统相应模块中，如合同不能明确体现服务内容及签订日期的，不得分） </w:t>
      </w:r>
      <w:r>
        <w:rPr>
          <w:rFonts w:hint="eastAsia" w:ascii="宋体" w:hAnsi="宋体"/>
          <w:color w:val="000000"/>
          <w:sz w:val="24"/>
          <w:highlight w:val="none"/>
        </w:rPr>
      </w:r>
      <w:r/>
    </w:p>
    <w:p>
      <w:pPr>
        <w:pStyle w:val="843"/>
        <w:numPr>
          <w:ilvl w:val="0"/>
          <w:numId w:val="8"/>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证书（</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843"/>
        <w:ind w:firstLine="480"/>
        <w:spacing w:line="360" w:lineRule="auto"/>
        <w:rPr>
          <w:rFonts w:hint="eastAsia" w:ascii="宋体" w:hAnsi="宋体"/>
          <w:b/>
          <w:bCs/>
          <w:color w:val="000000"/>
          <w:sz w:val="24"/>
          <w:highlight w:val="none"/>
        </w:rPr>
      </w:pPr>
      <w:r>
        <w:rPr>
          <w:rFonts w:hint="eastAsia" w:ascii="宋体" w:hAnsi="宋体" w:cs="宋体"/>
          <w:color w:val="000000"/>
          <w:sz w:val="24"/>
          <w:highlight w:val="none"/>
        </w:rPr>
        <w:t xml:space="preserve">供应商具有有效期内的质量管理体系认证、职业健康安全管理体系认证、环境管理体系认证证书的，有1个得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分，最高得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b/>
          <w:bCs/>
          <w:color w:val="000000"/>
          <w:sz w:val="24"/>
          <w:highlight w:val="none"/>
        </w:rPr>
        <w:t xml:space="preserve">（证书原件扫描件及</w:t>
      </w:r>
      <w:r>
        <w:rPr>
          <w:rStyle w:val="897"/>
          <w:rFonts w:hint="eastAsia" w:ascii="宋体" w:hAnsi="宋体"/>
          <w:b/>
          <w:color w:val="000000"/>
          <w:sz w:val="24"/>
          <w:highlight w:val="none"/>
        </w:rPr>
        <w:t xml:space="preserve">“全国认证认可信息公共服务平台”http://cx.cnca.cn查询截图</w:t>
      </w:r>
      <w:r>
        <w:rPr>
          <w:rFonts w:hint="eastAsia" w:ascii="宋体" w:hAnsi="宋体" w:cs="宋体"/>
          <w:b/>
          <w:bCs/>
          <w:color w:val="000000"/>
          <w:sz w:val="24"/>
          <w:highlight w:val="none"/>
        </w:rPr>
        <w:t xml:space="preserve">加盖供应商电子签章上传至</w:t>
      </w:r>
      <w:bookmarkStart w:id="30" w:name="_Hlk202104645"/>
      <w:r>
        <w:rPr>
          <w:rFonts w:hint="eastAsia" w:ascii="宋体" w:hAnsi="宋体" w:cs="宋体"/>
          <w:b/>
          <w:bCs/>
          <w:color w:val="000000"/>
          <w:sz w:val="24"/>
          <w:highlight w:val="none"/>
        </w:rPr>
        <w:t xml:space="preserve">投标系统相应模块中</w:t>
      </w:r>
      <w:bookmarkEnd w:id="30"/>
      <w:r>
        <w:rPr>
          <w:rFonts w:hint="eastAsia" w:ascii="宋体" w:hAnsi="宋体" w:cs="宋体"/>
          <w:b/>
          <w:bCs/>
          <w:color w:val="000000"/>
          <w:sz w:val="24"/>
          <w:highlight w:val="none"/>
        </w:rPr>
        <w:t xml:space="preserve">，不提供不得分</w:t>
      </w:r>
      <w:r>
        <w:rPr>
          <w:rFonts w:hint="eastAsia" w:ascii="宋体" w:hAnsi="宋体"/>
          <w:b/>
          <w:bCs/>
          <w:color w:val="000000"/>
          <w:sz w:val="24"/>
          <w:highlight w:val="none"/>
        </w:rPr>
        <w:t xml:space="preserve">）</w:t>
      </w:r>
      <w:r>
        <w:rPr>
          <w:rFonts w:hint="eastAsia" w:ascii="宋体" w:hAnsi="宋体"/>
          <w:b/>
          <w:bCs/>
          <w:color w:val="000000"/>
          <w:sz w:val="24"/>
          <w:highlight w:val="none"/>
        </w:rPr>
      </w:r>
      <w:r/>
    </w:p>
    <w:p>
      <w:pPr>
        <w:pStyle w:val="84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3）信息化管理（3分）</w:t>
      </w:r>
      <w:r>
        <w:rPr>
          <w:rFonts w:hint="eastAsia" w:ascii="宋体" w:hAnsi="宋体"/>
          <w:color w:val="000000"/>
          <w:sz w:val="24"/>
          <w:highlight w:val="none"/>
        </w:rPr>
      </w:r>
      <w:r/>
    </w:p>
    <w:p>
      <w:pPr>
        <w:pStyle w:val="858"/>
        <w:ind w:firstLine="476"/>
        <w:spacing w:line="360" w:lineRule="auto"/>
        <w:rPr>
          <w:rFonts w:hint="eastAsia" w:ascii="宋体" w:hAnsi="宋体" w:eastAsia="宋体" w:cs="宋体"/>
          <w:color w:val="000000"/>
          <w:sz w:val="24"/>
          <w:szCs w:val="24"/>
          <w:highlight w:val="none"/>
        </w:rPr>
      </w:pPr>
      <w:r>
        <w:rPr>
          <w:rFonts w:ascii="宋体" w:hAnsi="宋体" w:eastAsia="宋体" w:cs="宋体"/>
          <w:color w:val="000000"/>
          <w:spacing w:val="-1"/>
          <w:sz w:val="24"/>
          <w:szCs w:val="24"/>
          <w:highlight w:val="none"/>
        </w:rPr>
        <w:t xml:space="preserve">投标人管理方式使用信息化管理系统软件的</w:t>
      </w:r>
      <w:r>
        <w:rPr>
          <w:rFonts w:hint="eastAsia" w:ascii="宋体" w:hAnsi="宋体" w:eastAsia="宋体" w:cs="宋体"/>
          <w:color w:val="000000"/>
          <w:spacing w:val="-1"/>
          <w:sz w:val="24"/>
          <w:szCs w:val="24"/>
          <w:highlight w:val="none"/>
        </w:rPr>
        <w:t xml:space="preserve">得3分。</w:t>
      </w:r>
      <w:r>
        <w:rPr>
          <w:rFonts w:ascii="宋体" w:hAnsi="宋体" w:eastAsia="宋体" w:cs="宋体"/>
          <w:color w:val="000000"/>
          <w:spacing w:val="-1"/>
          <w:sz w:val="24"/>
          <w:szCs w:val="24"/>
          <w:highlight w:val="none"/>
        </w:rPr>
        <w:t xml:space="preserve">【</w:t>
      </w:r>
      <w:r>
        <w:rPr>
          <w:rFonts w:ascii="宋体" w:hAnsi="宋体" w:eastAsia="宋体" w:cs="宋体"/>
          <w:b/>
          <w:color w:val="000000"/>
          <w:spacing w:val="-1"/>
          <w:sz w:val="24"/>
          <w:szCs w:val="24"/>
          <w:highlight w:val="none"/>
        </w:rPr>
        <w:t xml:space="preserve">提供信息化管理系统软件在</w:t>
      </w:r>
      <w:r>
        <w:rPr>
          <w:rFonts w:ascii="宋体" w:hAnsi="宋体" w:eastAsia="宋体" w:cs="宋体"/>
          <w:b/>
          <w:color w:val="000000"/>
          <w:spacing w:val="-2"/>
          <w:sz w:val="24"/>
          <w:szCs w:val="24"/>
          <w:highlight w:val="none"/>
        </w:rPr>
        <w:t xml:space="preserve">维护期内的</w:t>
      </w:r>
      <w:r>
        <w:rPr>
          <w:rFonts w:hint="eastAsia" w:ascii="宋体" w:hAnsi="宋体" w:eastAsia="宋体" w:cs="宋体"/>
          <w:b/>
          <w:color w:val="000000"/>
          <w:spacing w:val="-2"/>
          <w:sz w:val="24"/>
          <w:szCs w:val="24"/>
          <w:highlight w:val="none"/>
        </w:rPr>
        <w:t xml:space="preserve">合同和发票原件扫描件</w:t>
      </w:r>
      <w:r>
        <w:rPr>
          <w:rFonts w:ascii="宋体" w:hAnsi="宋体" w:eastAsia="宋体" w:cs="宋体"/>
          <w:b/>
          <w:color w:val="000000"/>
          <w:spacing w:val="-2"/>
          <w:sz w:val="24"/>
          <w:szCs w:val="24"/>
          <w:highlight w:val="none"/>
        </w:rPr>
        <w:t xml:space="preserve">；如是自主开发的软件则提供软件著作权登记证书</w:t>
      </w:r>
      <w:r>
        <w:rPr>
          <w:rFonts w:hint="eastAsia" w:ascii="宋体" w:hAnsi="宋体" w:eastAsia="宋体" w:cs="宋体"/>
          <w:b/>
          <w:color w:val="000000"/>
          <w:spacing w:val="-2"/>
          <w:sz w:val="24"/>
          <w:szCs w:val="24"/>
          <w:highlight w:val="none"/>
        </w:rPr>
        <w:t xml:space="preserve">原件扫描件</w:t>
      </w:r>
      <w:r>
        <w:rPr>
          <w:rFonts w:ascii="宋体" w:hAnsi="宋体" w:eastAsia="宋体" w:cs="宋体"/>
          <w:b/>
          <w:color w:val="000000"/>
          <w:spacing w:val="-2"/>
          <w:sz w:val="24"/>
          <w:szCs w:val="24"/>
          <w:highlight w:val="none"/>
        </w:rPr>
        <w:t xml:space="preserve">。</w:t>
      </w:r>
      <w:r>
        <w:rPr>
          <w:rFonts w:hint="eastAsia" w:ascii="宋体" w:hAnsi="宋体" w:eastAsia="宋体" w:cs="宋体"/>
          <w:b/>
          <w:color w:val="000000"/>
          <w:spacing w:val="-2"/>
          <w:sz w:val="24"/>
          <w:szCs w:val="24"/>
          <w:highlight w:val="none"/>
        </w:rPr>
        <w:t xml:space="preserve">上述要求材料加盖供应商公章上传至投标系统相应模块中，不提供不得分</w:t>
      </w:r>
      <w:r>
        <w:rPr>
          <w:rFonts w:ascii="宋体" w:hAnsi="宋体" w:eastAsia="宋体" w:cs="宋体"/>
          <w:b/>
          <w:color w:val="000000"/>
          <w:spacing w:val="-2"/>
          <w:sz w:val="24"/>
          <w:szCs w:val="24"/>
          <w:highlight w:val="none"/>
        </w:rPr>
        <w:t xml:space="preserve">】</w:t>
      </w:r>
      <w:r>
        <w:rPr>
          <w:rFonts w:hint="eastAsia" w:ascii="宋体" w:hAnsi="宋体" w:eastAsia="宋体" w:cs="宋体"/>
          <w:color w:val="000000"/>
          <w:sz w:val="24"/>
          <w:szCs w:val="24"/>
          <w:highlight w:val="none"/>
        </w:rPr>
      </w:r>
      <w:r/>
    </w:p>
    <w:p>
      <w:pPr>
        <w:pStyle w:val="843"/>
        <w:ind w:firstLine="480"/>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4）人员配置情况（</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rPr>
      </w:r>
      <w:r/>
    </w:p>
    <w:p>
      <w:pPr>
        <w:pStyle w:val="843"/>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① 项目负责人（</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84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a.</w:t>
      </w:r>
      <w:r>
        <w:rPr>
          <w:rFonts w:hint="eastAsia" w:ascii="宋体" w:hAnsi="宋体" w:cs="宋体"/>
          <w:color w:val="000000"/>
          <w:sz w:val="24"/>
          <w:szCs w:val="24"/>
          <w:highlight w:val="none"/>
        </w:rPr>
        <w:t xml:space="preserve">拟派项目负责人年龄在45周岁（含）以下的得</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43"/>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b.</w:t>
      </w:r>
      <w:r>
        <w:rPr>
          <w:rFonts w:hint="eastAsia" w:ascii="宋体" w:hAnsi="宋体" w:cs="宋体"/>
          <w:color w:val="000000"/>
          <w:sz w:val="24"/>
          <w:szCs w:val="24"/>
          <w:highlight w:val="none"/>
        </w:rPr>
        <w:t xml:space="preserve">拟派项目负责人具备中级保安员证的得</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高级保安员证的得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最高得1分；</w:t>
      </w:r>
      <w:r>
        <w:rPr>
          <w:rFonts w:ascii="宋体" w:hAnsi="宋体" w:eastAsia="宋体" w:cs="宋体"/>
          <w:color w:val="000000"/>
          <w:sz w:val="24"/>
          <w:szCs w:val="24"/>
          <w:highlight w:val="none"/>
          <w:lang w:val="en-US" w:eastAsia="zh-CN"/>
        </w:rPr>
      </w:r>
      <w:r/>
    </w:p>
    <w:p>
      <w:pPr>
        <w:pStyle w:val="843"/>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c.</w:t>
      </w:r>
      <w:r>
        <w:rPr>
          <w:rFonts w:hint="eastAsia" w:ascii="宋体" w:hAnsi="宋体" w:cs="宋体"/>
          <w:color w:val="000000"/>
          <w:sz w:val="24"/>
          <w:szCs w:val="24"/>
          <w:highlight w:val="none"/>
        </w:rPr>
        <w:t xml:space="preserve">拟派项目负责人具备本科（含）以上学历的得0.5分；</w:t>
      </w:r>
      <w:r>
        <w:rPr>
          <w:rFonts w:hint="eastAsia" w:ascii="宋体" w:hAnsi="宋体" w:cs="宋体"/>
          <w:color w:val="000000"/>
          <w:sz w:val="24"/>
          <w:szCs w:val="24"/>
          <w:highlight w:val="none"/>
        </w:rPr>
      </w:r>
      <w:r/>
    </w:p>
    <w:p>
      <w:pPr>
        <w:pStyle w:val="843"/>
        <w:ind w:firstLine="42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Cs w:val="24"/>
          <w:highlight w:val="none"/>
        </w:rPr>
        <w:t xml:space="preserve">②</w:t>
      </w:r>
      <w:r>
        <w:rPr>
          <w:rFonts w:hint="eastAsia" w:ascii="宋体" w:hAnsi="宋体" w:cs="宋体"/>
          <w:color w:val="000000"/>
          <w:sz w:val="24"/>
          <w:szCs w:val="24"/>
          <w:highlight w:val="none"/>
        </w:rPr>
        <w:t xml:space="preserve">项目组其他人员（除项目负责人外）（</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850"/>
        <w:ind w:firstLine="480"/>
        <w:keepLines w:val="0"/>
        <w:keepNext w:val="0"/>
        <w:pageBreakBefore w:val="0"/>
        <w:widowControl w:val="off"/>
        <w:rPr>
          <w:rFonts w:ascii="宋体" w:hAnsi="宋体" w:cs="宋体"/>
          <w:color w:val="000000"/>
          <w:szCs w:val="24"/>
          <w:highlight w:val="none"/>
        </w:rPr>
      </w:pPr>
      <w:r>
        <w:rPr>
          <w:rFonts w:hint="eastAsia" w:ascii="宋体" w:hAnsi="宋体" w:cs="宋体"/>
          <w:color w:val="000000"/>
          <w:sz w:val="24"/>
          <w:szCs w:val="24"/>
          <w:highlight w:val="none"/>
          <w:lang w:val="en-US" w:eastAsia="zh-CN"/>
        </w:rPr>
        <w:t xml:space="preserve">a.</w:t>
      </w:r>
      <w:r>
        <w:rPr>
          <w:rFonts w:hint="eastAsia" w:ascii="宋体" w:hAnsi="宋体" w:cs="宋体"/>
          <w:color w:val="000000"/>
          <w:szCs w:val="24"/>
          <w:highlight w:val="none"/>
        </w:rPr>
        <w:t xml:space="preserve">拟派</w:t>
      </w:r>
      <w:r>
        <w:rPr>
          <w:rFonts w:hint="eastAsia" w:ascii="宋体" w:hAnsi="宋体" w:cs="宋体"/>
          <w:color w:val="000000"/>
          <w:szCs w:val="24"/>
          <w:highlight w:val="none"/>
          <w:lang w:val="en-GB"/>
        </w:rPr>
        <w:t xml:space="preserve">队长、特勤队长等</w:t>
      </w:r>
      <w:r>
        <w:rPr>
          <w:rFonts w:hint="eastAsia" w:ascii="宋体" w:hAnsi="宋体" w:cs="宋体"/>
          <w:color w:val="000000"/>
          <w:szCs w:val="24"/>
          <w:highlight w:val="none"/>
        </w:rPr>
        <w:t xml:space="preserve">安保人员具有中级保安员证的得1分；具有高级保安员证的得2分，最高得3分（限评2个）；</w:t>
      </w:r>
      <w:r>
        <w:rPr>
          <w:rFonts w:ascii="宋体" w:hAnsi="宋体" w:cs="宋体"/>
          <w:color w:val="000000"/>
          <w:szCs w:val="24"/>
          <w:highlight w:val="none"/>
        </w:rPr>
      </w:r>
      <w:r/>
    </w:p>
    <w:p>
      <w:pPr>
        <w:pStyle w:val="850"/>
        <w:ind w:firstLine="480"/>
        <w:keepLines w:val="0"/>
        <w:keepNext w:val="0"/>
        <w:pageBreakBefore w:val="0"/>
        <w:widowControl w:val="off"/>
        <w:rPr>
          <w:rFonts w:hint="eastAsia" w:ascii="宋体" w:hAnsi="宋体" w:cs="宋体"/>
          <w:color w:val="000000"/>
          <w:szCs w:val="24"/>
          <w:highlight w:val="none"/>
        </w:rPr>
      </w:pPr>
      <w:r>
        <w:rPr>
          <w:rFonts w:hint="eastAsia" w:ascii="宋体" w:hAnsi="宋体" w:cs="宋体"/>
          <w:color w:val="000000"/>
          <w:sz w:val="24"/>
          <w:szCs w:val="24"/>
          <w:highlight w:val="none"/>
          <w:lang w:val="en-US" w:eastAsia="zh-CN"/>
        </w:rPr>
        <w:t xml:space="preserve">b.</w:t>
      </w:r>
      <w:r>
        <w:rPr>
          <w:rFonts w:hint="eastAsia" w:ascii="宋体" w:hAnsi="宋体" w:cs="宋体"/>
          <w:color w:val="000000"/>
          <w:szCs w:val="24"/>
          <w:highlight w:val="none"/>
        </w:rPr>
        <w:t xml:space="preserve">拟派特勤人员数复退军人满足60%的前提下，每增加1名退役军人得</w:t>
      </w:r>
      <w:r>
        <w:rPr>
          <w:rFonts w:hint="eastAsia" w:ascii="宋体" w:hAnsi="宋体" w:cs="宋体"/>
          <w:color w:val="000000"/>
          <w:szCs w:val="24"/>
          <w:highlight w:val="none"/>
          <w:lang w:val="en-US" w:eastAsia="zh-CN"/>
        </w:rPr>
        <w:t xml:space="preserve">1</w:t>
      </w:r>
      <w:r>
        <w:rPr>
          <w:rFonts w:hint="eastAsia" w:ascii="宋体" w:hAnsi="宋体" w:cs="宋体"/>
          <w:color w:val="000000"/>
          <w:szCs w:val="24"/>
          <w:highlight w:val="none"/>
        </w:rPr>
        <w:t xml:space="preserve">分，最高得</w:t>
      </w:r>
      <w:r>
        <w:rPr>
          <w:rFonts w:hint="eastAsia" w:ascii="宋体" w:hAnsi="宋体" w:cs="宋体"/>
          <w:color w:val="000000"/>
          <w:szCs w:val="24"/>
          <w:highlight w:val="none"/>
          <w:lang w:val="en-US" w:eastAsia="zh-CN"/>
        </w:rPr>
        <w:t xml:space="preserve">4</w:t>
      </w:r>
      <w:r>
        <w:rPr>
          <w:rFonts w:hint="eastAsia" w:ascii="宋体" w:hAnsi="宋体" w:cs="宋体"/>
          <w:color w:val="000000"/>
          <w:szCs w:val="24"/>
          <w:highlight w:val="none"/>
        </w:rPr>
        <w:t xml:space="preserve">分；</w:t>
      </w:r>
      <w:r>
        <w:rPr>
          <w:rFonts w:hint="eastAsia" w:ascii="宋体" w:hAnsi="宋体" w:cs="宋体"/>
          <w:color w:val="000000"/>
          <w:szCs w:val="24"/>
          <w:highlight w:val="none"/>
        </w:rPr>
      </w:r>
      <w:r/>
    </w:p>
    <w:p>
      <w:pPr>
        <w:pStyle w:val="850"/>
        <w:ind w:firstLine="480"/>
        <w:keepLines w:val="0"/>
        <w:keepNext w:val="0"/>
        <w:pageBreakBefore w:val="0"/>
        <w:widowControl w:val="off"/>
        <w:rPr>
          <w:rFonts w:hint="eastAsia" w:ascii="宋体" w:hAnsi="宋体" w:eastAsia="宋体" w:cs="宋体"/>
          <w:color w:val="000000"/>
          <w:szCs w:val="24"/>
          <w:highlight w:val="none"/>
          <w:lang w:val="en-US" w:eastAsia="zh-CN"/>
        </w:rPr>
      </w:pPr>
      <w:r>
        <w:rPr>
          <w:rFonts w:hint="eastAsia" w:ascii="宋体" w:hAnsi="宋体" w:cs="宋体"/>
          <w:color w:val="000000"/>
          <w:sz w:val="24"/>
          <w:szCs w:val="24"/>
          <w:highlight w:val="none"/>
          <w:lang w:val="en-US" w:eastAsia="zh-CN"/>
        </w:rPr>
        <w:t xml:space="preserve">c.拟派的三班正副班长中有1</w:t>
      </w:r>
      <w:r>
        <w:rPr>
          <w:rFonts w:hint="eastAsia" w:ascii="宋体" w:hAnsi="宋体" w:cs="宋体"/>
          <w:color w:val="000000"/>
          <w:szCs w:val="24"/>
          <w:highlight w:val="none"/>
        </w:rPr>
        <w:t xml:space="preserve">名退役军人得</w:t>
      </w:r>
      <w:r>
        <w:rPr>
          <w:rFonts w:hint="eastAsia" w:ascii="宋体" w:hAnsi="宋体" w:cs="宋体"/>
          <w:color w:val="000000"/>
          <w:szCs w:val="24"/>
          <w:highlight w:val="none"/>
          <w:lang w:val="en-US" w:eastAsia="zh-CN"/>
        </w:rPr>
        <w:t xml:space="preserve">1</w:t>
      </w:r>
      <w:r>
        <w:rPr>
          <w:rFonts w:hint="eastAsia" w:ascii="宋体" w:hAnsi="宋体" w:cs="宋体"/>
          <w:color w:val="000000"/>
          <w:szCs w:val="24"/>
          <w:highlight w:val="none"/>
        </w:rPr>
        <w:t xml:space="preserve">分，最高得</w:t>
      </w:r>
      <w:r>
        <w:rPr>
          <w:rFonts w:hint="eastAsia" w:ascii="宋体" w:hAnsi="宋体" w:cs="宋体"/>
          <w:color w:val="000000"/>
          <w:szCs w:val="24"/>
          <w:highlight w:val="none"/>
          <w:lang w:val="en-US" w:eastAsia="zh-CN"/>
        </w:rPr>
        <w:t xml:space="preserve">3</w:t>
      </w:r>
      <w:r>
        <w:rPr>
          <w:rFonts w:hint="eastAsia" w:ascii="宋体" w:hAnsi="宋体" w:cs="宋体"/>
          <w:color w:val="000000"/>
          <w:szCs w:val="24"/>
          <w:highlight w:val="none"/>
        </w:rPr>
        <w:t xml:space="preserve">分</w:t>
      </w:r>
      <w:r>
        <w:rPr>
          <w:rFonts w:hint="eastAsia" w:ascii="宋体" w:hAnsi="宋体" w:cs="宋体"/>
          <w:color w:val="000000"/>
          <w:szCs w:val="24"/>
          <w:highlight w:val="none"/>
          <w:lang w:eastAsia="zh-CN"/>
        </w:rPr>
        <w:t xml:space="preserve">。</w:t>
      </w:r>
      <w:r>
        <w:rPr>
          <w:rFonts w:hint="eastAsia" w:ascii="宋体" w:hAnsi="宋体" w:eastAsia="宋体" w:cs="宋体"/>
          <w:color w:val="000000"/>
          <w:szCs w:val="24"/>
          <w:highlight w:val="none"/>
          <w:lang w:val="en-US" w:eastAsia="zh-CN"/>
        </w:rPr>
      </w:r>
      <w:r/>
    </w:p>
    <w:p>
      <w:pPr>
        <w:pStyle w:val="843"/>
        <w:ind w:firstLine="480"/>
        <w:keepLines w:val="0"/>
        <w:keepNext w:val="0"/>
        <w:pageBreakBefore w:val="0"/>
        <w:spacing w:line="360" w:lineRule="auto"/>
        <w:widowControl w:val="off"/>
        <w:rPr>
          <w:rFonts w:hint="eastAsia" w:ascii="宋体" w:hAnsi="宋体" w:cs="宋体"/>
          <w:color w:val="000000"/>
          <w:spacing w:val="-1"/>
          <w:sz w:val="24"/>
          <w:szCs w:val="24"/>
          <w:highlight w:val="none"/>
        </w:rPr>
      </w:pPr>
      <w:r>
        <w:rPr>
          <w:rFonts w:hint="eastAsia" w:ascii="宋体" w:hAnsi="宋体" w:cs="宋体"/>
          <w:color w:val="000000"/>
          <w:sz w:val="24"/>
          <w:szCs w:val="24"/>
          <w:highlight w:val="none"/>
        </w:rPr>
        <w:t xml:space="preserve">③</w:t>
      </w:r>
      <w:r>
        <w:rPr>
          <w:rFonts w:hint="eastAsia" w:ascii="宋体" w:hAnsi="宋体" w:cs="宋体"/>
          <w:bCs/>
          <w:color w:val="000000"/>
          <w:sz w:val="24"/>
          <w:highlight w:val="none"/>
        </w:rPr>
        <w:t xml:space="preserve">消防管理协管员（</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w:t>
      </w:r>
      <w:r>
        <w:rPr>
          <w:rFonts w:hint="eastAsia" w:ascii="宋体" w:hAnsi="宋体" w:cs="宋体"/>
          <w:color w:val="000000"/>
          <w:spacing w:val="-1"/>
          <w:sz w:val="24"/>
          <w:szCs w:val="24"/>
          <w:highlight w:val="none"/>
        </w:rPr>
      </w:r>
      <w:r/>
    </w:p>
    <w:p>
      <w:pPr>
        <w:pStyle w:val="843"/>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a.</w:t>
      </w:r>
      <w:r>
        <w:rPr>
          <w:rFonts w:hint="eastAsia" w:ascii="宋体" w:hAnsi="宋体" w:cs="宋体"/>
          <w:color w:val="000000"/>
          <w:sz w:val="24"/>
          <w:szCs w:val="24"/>
          <w:highlight w:val="none"/>
        </w:rPr>
        <w:t xml:space="preserve">拟派</w:t>
      </w:r>
      <w:r>
        <w:rPr>
          <w:rFonts w:hint="eastAsia" w:ascii="宋体" w:hAnsi="宋体" w:cs="宋体"/>
          <w:bCs/>
          <w:color w:val="000000"/>
          <w:sz w:val="24"/>
          <w:highlight w:val="none"/>
        </w:rPr>
        <w:t xml:space="preserve">消防管理协管员</w:t>
      </w:r>
      <w:r>
        <w:rPr>
          <w:rFonts w:hint="eastAsia" w:ascii="宋体" w:hAnsi="宋体" w:cs="宋体"/>
          <w:color w:val="000000"/>
          <w:spacing w:val="-2"/>
          <w:sz w:val="24"/>
          <w:szCs w:val="24"/>
          <w:highlight w:val="none"/>
        </w:rPr>
        <w:t xml:space="preserve">具有大专（含）以上学历证书且</w:t>
      </w:r>
      <w:r>
        <w:rPr>
          <w:rFonts w:hint="eastAsia" w:ascii="宋体" w:hAnsi="宋体" w:cs="宋体"/>
          <w:color w:val="000000"/>
          <w:spacing w:val="-2"/>
          <w:sz w:val="24"/>
          <w:szCs w:val="24"/>
          <w:highlight w:val="none"/>
          <w:lang w:val="en-US" w:eastAsia="zh-CN"/>
        </w:rPr>
        <w:t xml:space="preserve">年龄在</w:t>
      </w:r>
      <w:r>
        <w:rPr>
          <w:rFonts w:hint="eastAsia" w:ascii="宋体" w:hAnsi="宋体" w:cs="宋体"/>
          <w:color w:val="000000"/>
          <w:spacing w:val="-2"/>
          <w:sz w:val="24"/>
          <w:szCs w:val="24"/>
          <w:highlight w:val="none"/>
        </w:rPr>
        <w:t xml:space="preserve">50</w:t>
      </w:r>
      <w:r>
        <w:rPr>
          <w:rFonts w:hint="eastAsia" w:ascii="宋体" w:hAnsi="宋体" w:cs="宋体"/>
          <w:color w:val="000000"/>
          <w:sz w:val="24"/>
          <w:szCs w:val="24"/>
          <w:highlight w:val="none"/>
        </w:rPr>
        <w:t xml:space="preserve">周岁（含）以下</w:t>
      </w:r>
      <w:r>
        <w:rPr>
          <w:rFonts w:hint="eastAsia" w:ascii="宋体" w:hAnsi="宋体" w:cs="宋体"/>
          <w:color w:val="000000"/>
          <w:spacing w:val="-2"/>
          <w:sz w:val="24"/>
          <w:szCs w:val="24"/>
          <w:highlight w:val="none"/>
        </w:rPr>
        <w:t xml:space="preserve">的得</w:t>
      </w:r>
      <w:r>
        <w:rPr>
          <w:rFonts w:hint="eastAsia" w:ascii="宋体" w:hAnsi="宋体" w:cs="宋体"/>
          <w:color w:val="000000"/>
          <w:spacing w:val="-2"/>
          <w:sz w:val="24"/>
          <w:szCs w:val="24"/>
          <w:highlight w:val="none"/>
          <w:lang w:val="en-US" w:eastAsia="zh-CN"/>
        </w:rPr>
        <w:t xml:space="preserve">1</w:t>
      </w:r>
      <w:r>
        <w:rPr>
          <w:rFonts w:hint="eastAsia" w:ascii="宋体" w:hAnsi="宋体" w:cs="宋体"/>
          <w:color w:val="000000"/>
          <w:spacing w:val="-2"/>
          <w:sz w:val="24"/>
          <w:szCs w:val="24"/>
          <w:highlight w:val="none"/>
        </w:rPr>
        <w:t xml:space="preserve">分；</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843"/>
        <w:ind w:firstLine="480"/>
        <w:keepLines w:val="0"/>
        <w:keepNext w:val="0"/>
        <w:pageBreakBefore w:val="0"/>
        <w:spacing w:line="360" w:lineRule="auto"/>
        <w:widowControl w:val="off"/>
        <w:rPr>
          <w:rFonts w:hint="eastAsia" w:ascii="宋体" w:hAnsi="宋体" w:cs="宋体"/>
          <w:color w:val="000000"/>
          <w:spacing w:val="-1"/>
          <w:sz w:val="24"/>
          <w:szCs w:val="24"/>
          <w:highlight w:val="none"/>
        </w:rPr>
      </w:pPr>
      <w:r>
        <w:rPr>
          <w:rFonts w:hint="eastAsia" w:ascii="宋体" w:hAnsi="宋体" w:cs="宋体"/>
          <w:color w:val="000000"/>
          <w:sz w:val="24"/>
          <w:szCs w:val="24"/>
          <w:highlight w:val="none"/>
          <w:lang w:val="en-US" w:eastAsia="zh-CN"/>
        </w:rPr>
        <w:t xml:space="preserve">b.</w:t>
      </w:r>
      <w:r>
        <w:rPr>
          <w:rFonts w:hint="eastAsia" w:ascii="宋体" w:hAnsi="宋体" w:cs="宋体"/>
          <w:color w:val="000000"/>
          <w:sz w:val="24"/>
          <w:szCs w:val="24"/>
          <w:highlight w:val="none"/>
        </w:rPr>
        <w:t xml:space="preserve">拟派</w:t>
      </w:r>
      <w:r>
        <w:rPr>
          <w:rFonts w:hint="eastAsia" w:ascii="宋体" w:hAnsi="宋体" w:cs="宋体"/>
          <w:bCs/>
          <w:color w:val="000000"/>
          <w:sz w:val="24"/>
          <w:highlight w:val="none"/>
        </w:rPr>
        <w:t xml:space="preserve">消防管理协管员</w:t>
      </w:r>
      <w:r>
        <w:rPr>
          <w:rFonts w:hint="eastAsia" w:ascii="宋体" w:hAnsi="宋体" w:cs="宋体"/>
          <w:color w:val="000000"/>
          <w:spacing w:val="-2"/>
          <w:sz w:val="24"/>
          <w:szCs w:val="24"/>
          <w:highlight w:val="none"/>
        </w:rPr>
        <w:t xml:space="preserve">具有</w:t>
      </w:r>
      <w:r>
        <w:rPr>
          <w:rFonts w:hint="eastAsia" w:ascii="宋体" w:hAnsi="宋体" w:cs="宋体"/>
          <w:color w:val="000000"/>
          <w:sz w:val="24"/>
          <w:highlight w:val="none"/>
        </w:rPr>
        <w:t xml:space="preserve">中级（四级）及以上消防设施操作员或建（构）筑物消防员证书</w:t>
      </w:r>
      <w:r>
        <w:rPr>
          <w:rFonts w:ascii="宋体" w:hAnsi="宋体" w:cs="宋体"/>
          <w:color w:val="000000"/>
          <w:sz w:val="24"/>
          <w:szCs w:val="24"/>
          <w:highlight w:val="none"/>
        </w:rPr>
        <w:t xml:space="preserve">的</w:t>
      </w:r>
      <w:r>
        <w:rPr>
          <w:rFonts w:hint="eastAsia" w:ascii="宋体" w:hAnsi="宋体" w:cs="宋体"/>
          <w:color w:val="000000"/>
          <w:sz w:val="24"/>
          <w:szCs w:val="24"/>
          <w:highlight w:val="none"/>
        </w:rPr>
        <w:t xml:space="preserve">得</w:t>
      </w:r>
      <w:r>
        <w:rPr>
          <w:rFonts w:ascii="宋体" w:hAnsi="宋体" w:cs="宋体"/>
          <w:color w:val="000000"/>
          <w:sz w:val="24"/>
          <w:szCs w:val="24"/>
          <w:highlight w:val="none"/>
        </w:rPr>
        <w:t xml:space="preserve">1</w:t>
      </w:r>
      <w:r>
        <w:rPr>
          <w:rFonts w:ascii="宋体" w:hAnsi="宋体" w:cs="宋体"/>
          <w:color w:val="000000"/>
          <w:spacing w:val="-1"/>
          <w:sz w:val="24"/>
          <w:szCs w:val="24"/>
          <w:highlight w:val="none"/>
        </w:rPr>
        <w:t xml:space="preserve">分</w:t>
      </w:r>
      <w:r>
        <w:rPr>
          <w:rFonts w:hint="eastAsia" w:ascii="宋体" w:hAnsi="宋体" w:cs="宋体"/>
          <w:color w:val="000000"/>
          <w:spacing w:val="-1"/>
          <w:sz w:val="24"/>
          <w:szCs w:val="24"/>
          <w:highlight w:val="none"/>
        </w:rPr>
        <w:t xml:space="preserve">；</w:t>
      </w:r>
      <w:r>
        <w:rPr>
          <w:rFonts w:hint="eastAsia" w:ascii="宋体" w:hAnsi="宋体" w:cs="宋体"/>
          <w:color w:val="000000"/>
          <w:spacing w:val="-1"/>
          <w:sz w:val="24"/>
          <w:szCs w:val="24"/>
          <w:highlight w:val="none"/>
        </w:rPr>
      </w:r>
      <w:r/>
    </w:p>
    <w:p>
      <w:pPr>
        <w:pStyle w:val="843"/>
        <w:ind w:firstLine="482"/>
        <w:keepLines w:val="0"/>
        <w:keepNext w:val="0"/>
        <w:pageBreakBefore w:val="0"/>
        <w:spacing w:line="360" w:lineRule="auto"/>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注：以上人员的相关证书及供应商为</w:t>
      </w:r>
      <w:r>
        <w:rPr>
          <w:rFonts w:hint="eastAsia" w:ascii="宋体" w:hAnsi="宋体" w:cs="宋体"/>
          <w:b/>
          <w:color w:val="000000"/>
          <w:sz w:val="24"/>
          <w:highlight w:val="none"/>
          <w:lang w:val="zh-CN"/>
        </w:rPr>
        <w:t xml:space="preserve">其缴纳的</w:t>
      </w:r>
      <w:r>
        <w:rPr>
          <w:rFonts w:hint="eastAsia" w:ascii="宋体" w:hAnsi="宋体" w:cs="宋体"/>
          <w:b/>
          <w:color w:val="000000"/>
          <w:sz w:val="24"/>
          <w:highlight w:val="none"/>
        </w:rPr>
        <w:t xml:space="preserve">近三个月中任意一个月份（不含开标当月）的社会保障资金的证明材料扫描件加盖供应商电子签章上传至投标系统相应模块中，不提供不得分。</w:t>
      </w:r>
      <w:r>
        <w:rPr>
          <w:rFonts w:hint="eastAsia" w:ascii="宋体" w:hAnsi="宋体" w:cs="宋体"/>
          <w:b/>
          <w:color w:val="000000"/>
          <w:sz w:val="24"/>
          <w:highlight w:val="none"/>
        </w:rPr>
      </w:r>
      <w:r/>
    </w:p>
    <w:p>
      <w:pPr>
        <w:pStyle w:val="84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荣誉证书（4分）</w:t>
      </w:r>
      <w:r>
        <w:rPr>
          <w:rFonts w:hint="eastAsia" w:ascii="宋体" w:hAnsi="宋体" w:eastAsia="宋体" w:cs="宋体"/>
          <w:color w:val="000000"/>
          <w:sz w:val="24"/>
          <w:szCs w:val="24"/>
          <w:highlight w:val="none"/>
          <w:lang w:val="en-US" w:eastAsia="zh-CN"/>
        </w:rPr>
      </w:r>
      <w:r/>
    </w:p>
    <w:p>
      <w:pPr>
        <w:pStyle w:val="843"/>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投标供应商</w:t>
      </w:r>
      <w:r>
        <w:rPr>
          <w:rFonts w:hint="eastAsia" w:ascii="宋体" w:hAnsi="宋体"/>
          <w:bCs/>
          <w:color w:val="000000"/>
          <w:sz w:val="24"/>
          <w:szCs w:val="24"/>
          <w:highlight w:val="none"/>
        </w:rPr>
        <w:t xml:space="preserve">自2022年10月1日以来，获得市级及以上公安、行政机关颁发的与保安服务有关的表彰、奖项、荣誉证书的，每提供1个得2分，本项最高得4分。</w:t>
      </w:r>
      <w:r>
        <w:rPr>
          <w:rFonts w:ascii="宋体" w:hAnsi="宋体" w:cs="宋体"/>
          <w:color w:val="000000"/>
          <w:sz w:val="24"/>
          <w:szCs w:val="24"/>
          <w:highlight w:val="none"/>
        </w:rPr>
      </w:r>
      <w:r/>
    </w:p>
    <w:p>
      <w:pPr>
        <w:pStyle w:val="843"/>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)投标供应商为员工购买雇主责任险（</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843"/>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①公众责任险</w:t>
      </w:r>
      <w:r>
        <w:rPr>
          <w:rFonts w:hint="eastAsia" w:ascii="宋体" w:hAnsi="宋体" w:cs="宋体"/>
          <w:color w:val="000000"/>
          <w:sz w:val="24"/>
          <w:szCs w:val="24"/>
          <w:highlight w:val="none"/>
        </w:rPr>
        <w:t xml:space="preserve">保额在200（含）万至250（不含）万的得0.5分，保额不低于（含）250万的得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分，本项最多得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rPr>
          <w:rFonts w:ascii="宋体" w:hAnsi="宋体"/>
          <w:color w:val="000000"/>
          <w:sz w:val="24"/>
          <w:highlight w:val="none"/>
        </w:rPr>
      </w:r>
      <w:r/>
    </w:p>
    <w:p>
      <w:pPr>
        <w:pStyle w:val="843"/>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olor w:val="000000"/>
          <w:sz w:val="24"/>
          <w:highlight w:val="none"/>
        </w:rPr>
        <w:t xml:space="preserve">②员工意外保险</w:t>
      </w:r>
      <w:r>
        <w:rPr>
          <w:rFonts w:hint="eastAsia" w:ascii="宋体" w:hAnsi="宋体" w:cs="宋体"/>
          <w:color w:val="000000"/>
          <w:sz w:val="24"/>
          <w:szCs w:val="24"/>
          <w:highlight w:val="none"/>
        </w:rPr>
        <w:t xml:space="preserve">保额在200（含）万至250（不含）万的得0.5分，保额不低于（含）250万的得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分，本项最多得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843"/>
        <w:ind w:firstLine="480"/>
        <w:keepLines w:val="0"/>
        <w:keepNext w:val="0"/>
        <w:pageBreakBefore w:val="0"/>
        <w:spacing w:line="360" w:lineRule="auto"/>
        <w:widowControl w:val="off"/>
        <w:rPr>
          <w:rFonts w:hint="eastAsia" w:ascii="宋体" w:hAnsi="宋体" w:eastAsia="宋体"/>
          <w:color w:val="000000"/>
          <w:sz w:val="24"/>
          <w:highlight w:val="none"/>
          <w:lang w:val="en-US" w:eastAsia="zh-CN"/>
        </w:rPr>
      </w:pPr>
      <w:r>
        <w:rPr>
          <w:rFonts w:hint="eastAsia" w:ascii="宋体" w:hAnsi="宋体" w:cs="宋体"/>
          <w:color w:val="000000"/>
          <w:sz w:val="24"/>
          <w:szCs w:val="24"/>
          <w:highlight w:val="none"/>
        </w:rPr>
        <w:t xml:space="preserve">以上提供有效的证明文件</w:t>
      </w:r>
      <w:r>
        <w:rPr>
          <w:rFonts w:hint="eastAsia" w:ascii="宋体" w:hAnsi="宋体" w:cs="宋体"/>
          <w:color w:val="000000"/>
          <w:sz w:val="24"/>
          <w:szCs w:val="24"/>
          <w:highlight w:val="none"/>
          <w:lang w:val="en-US" w:eastAsia="zh-CN"/>
        </w:rPr>
        <w:t xml:space="preserve">扫描件</w:t>
      </w:r>
      <w:r>
        <w:rPr>
          <w:rFonts w:hint="eastAsia" w:ascii="宋体" w:hAnsi="宋体" w:cs="宋体"/>
          <w:color w:val="000000"/>
          <w:sz w:val="24"/>
          <w:szCs w:val="24"/>
          <w:highlight w:val="none"/>
        </w:rPr>
        <w:t xml:space="preserve">放入投标文件，不提供不得分</w:t>
      </w:r>
      <w:r>
        <w:rPr>
          <w:rFonts w:hint="eastAsia" w:ascii="宋体" w:hAnsi="宋体" w:cs="宋体"/>
          <w:color w:val="000000"/>
          <w:sz w:val="24"/>
          <w:szCs w:val="24"/>
          <w:highlight w:val="none"/>
          <w:lang w:eastAsia="zh-CN"/>
        </w:rPr>
        <w:t xml:space="preserve">。</w:t>
      </w:r>
      <w:r>
        <w:rPr>
          <w:rFonts w:hint="eastAsia" w:ascii="宋体" w:hAnsi="宋体" w:eastAsia="宋体"/>
          <w:color w:val="000000"/>
          <w:sz w:val="24"/>
          <w:highlight w:val="none"/>
          <w:lang w:val="en-US" w:eastAsia="zh-CN"/>
        </w:rPr>
      </w:r>
      <w:r/>
    </w:p>
    <w:p>
      <w:pPr>
        <w:pStyle w:val="843"/>
        <w:ind w:firstLine="482"/>
        <w:keepLines w:val="0"/>
        <w:keepNext w:val="0"/>
        <w:pageBreakBefore w:val="0"/>
        <w:spacing w:line="360" w:lineRule="auto"/>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3、技术方案（</w:t>
      </w:r>
      <w:r>
        <w:rPr>
          <w:rFonts w:hint="eastAsia" w:ascii="宋体" w:hAnsi="宋体" w:cs="宋体"/>
          <w:b/>
          <w:color w:val="000000"/>
          <w:sz w:val="24"/>
          <w:highlight w:val="none"/>
        </w:rPr>
        <w:t xml:space="preserve">暗标，</w:t>
      </w: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0</w:t>
      </w:r>
      <w:r>
        <w:rPr>
          <w:rFonts w:hint="eastAsia" w:ascii="宋体" w:hAnsi="宋体" w:cs="宋体"/>
          <w:b/>
          <w:bCs/>
          <w:color w:val="000000"/>
          <w:sz w:val="24"/>
          <w:szCs w:val="24"/>
          <w:highlight w:val="none"/>
        </w:rPr>
        <w:t xml:space="preserve">分）</w:t>
      </w:r>
      <w:r>
        <w:rPr>
          <w:rFonts w:hint="eastAsia" w:ascii="宋体" w:hAnsi="宋体" w:cs="宋体"/>
          <w:b/>
          <w:bCs/>
          <w:color w:val="000000"/>
          <w:sz w:val="24"/>
          <w:szCs w:val="24"/>
          <w:highlight w:val="none"/>
        </w:rPr>
      </w:r>
      <w:r/>
    </w:p>
    <w:p>
      <w:pPr>
        <w:pStyle w:val="843"/>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1)目标及整体设想 （5分）</w:t>
      </w:r>
      <w:r>
        <w:rPr>
          <w:rFonts w:hint="eastAsia" w:ascii="宋体" w:hAnsi="宋体" w:eastAsia="宋体" w:cs="Times New Roman"/>
          <w:bCs/>
          <w:color w:val="000000"/>
          <w:sz w:val="24"/>
          <w:szCs w:val="24"/>
          <w:highlight w:val="none"/>
        </w:rPr>
      </w:r>
      <w:r/>
    </w:p>
    <w:p>
      <w:pPr>
        <w:pStyle w:val="843"/>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①供应商对本项目所要求工作内容的认识与理解（1分）；</w:t>
      </w:r>
      <w:r>
        <w:rPr>
          <w:rFonts w:hint="eastAsia" w:ascii="宋体" w:hAnsi="宋体" w:eastAsia="宋体" w:cs="Times New Roman"/>
          <w:bCs/>
          <w:color w:val="000000"/>
          <w:sz w:val="24"/>
          <w:szCs w:val="24"/>
          <w:highlight w:val="none"/>
        </w:rPr>
      </w:r>
      <w:r/>
    </w:p>
    <w:p>
      <w:pPr>
        <w:pStyle w:val="843"/>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②供应商对本项目保安服务的理解与设想（1分）；</w:t>
      </w:r>
      <w:r>
        <w:rPr>
          <w:rFonts w:hint="eastAsia" w:ascii="宋体" w:hAnsi="宋体" w:eastAsia="宋体" w:cs="Times New Roman"/>
          <w:bCs/>
          <w:color w:val="000000"/>
          <w:sz w:val="24"/>
          <w:szCs w:val="24"/>
          <w:highlight w:val="none"/>
        </w:rPr>
      </w:r>
      <w:r/>
    </w:p>
    <w:p>
      <w:pPr>
        <w:pStyle w:val="843"/>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③供应商对本项目保安服务的目标（1分）。</w:t>
      </w:r>
      <w:r>
        <w:rPr>
          <w:rFonts w:hint="eastAsia" w:ascii="宋体" w:hAnsi="宋体" w:eastAsia="宋体" w:cs="Times New Roman"/>
          <w:bCs/>
          <w:color w:val="000000"/>
          <w:sz w:val="24"/>
          <w:szCs w:val="24"/>
          <w:highlight w:val="none"/>
        </w:rPr>
      </w:r>
      <w:r/>
    </w:p>
    <w:p>
      <w:pPr>
        <w:pStyle w:val="843"/>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④特殊情况应急预案及措施（1分）；</w:t>
      </w:r>
      <w:r>
        <w:rPr>
          <w:rFonts w:hint="eastAsia" w:ascii="宋体" w:hAnsi="宋体" w:eastAsia="宋体" w:cs="Times New Roman"/>
          <w:bCs/>
          <w:color w:val="000000"/>
          <w:sz w:val="24"/>
          <w:szCs w:val="24"/>
          <w:highlight w:val="none"/>
        </w:rPr>
      </w:r>
      <w:r/>
    </w:p>
    <w:p>
      <w:pPr>
        <w:pStyle w:val="843"/>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⑤特色与创新（1分）。</w:t>
      </w:r>
      <w:r>
        <w:rPr>
          <w:rFonts w:hint="eastAsia" w:ascii="宋体" w:hAnsi="宋体" w:eastAsia="宋体" w:cs="Times New Roman"/>
          <w:bCs/>
          <w:color w:val="000000"/>
          <w:sz w:val="24"/>
          <w:szCs w:val="24"/>
          <w:highlight w:val="none"/>
        </w:rPr>
      </w:r>
      <w:r/>
    </w:p>
    <w:p>
      <w:pPr>
        <w:pStyle w:val="843"/>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上述内容每有一项内容进行了阐述且方案理解透彻，全部响应、思路清晰、可行性强的得1分；理解较准确、清晰，可行性较强的得1分：方案基本理解，方案基本可行的得0.5分；方案理解有误、不合理或没有提供的得0分。最高得5分。</w:t>
      </w:r>
      <w:r>
        <w:rPr>
          <w:rFonts w:hint="eastAsia" w:ascii="宋体" w:hAnsi="宋体" w:eastAsia="宋体" w:cs="Times New Roman"/>
          <w:bCs/>
          <w:color w:val="000000"/>
          <w:sz w:val="24"/>
          <w:szCs w:val="24"/>
          <w:highlight w:val="none"/>
        </w:rPr>
      </w:r>
      <w:r/>
    </w:p>
    <w:p>
      <w:pPr>
        <w:pStyle w:val="843"/>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2)管理服务体系（12分）</w:t>
      </w:r>
      <w:r>
        <w:rPr>
          <w:rFonts w:hint="eastAsia" w:ascii="宋体" w:hAnsi="宋体" w:eastAsia="宋体" w:cs="Times New Roman"/>
          <w:bCs/>
          <w:color w:val="000000"/>
          <w:sz w:val="24"/>
          <w:szCs w:val="24"/>
          <w:highlight w:val="none"/>
        </w:rPr>
      </w:r>
      <w:r/>
    </w:p>
    <w:p>
      <w:pPr>
        <w:pStyle w:val="843"/>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①岗前培训及阶段性培训管理（2分）；</w:t>
      </w:r>
      <w:r>
        <w:rPr>
          <w:rFonts w:hint="eastAsia" w:ascii="宋体" w:hAnsi="宋体" w:eastAsia="宋体" w:cs="Times New Roman"/>
          <w:bCs/>
          <w:color w:val="000000"/>
          <w:sz w:val="24"/>
          <w:szCs w:val="24"/>
          <w:highlight w:val="none"/>
        </w:rPr>
      </w:r>
      <w:r/>
    </w:p>
    <w:p>
      <w:pPr>
        <w:pStyle w:val="843"/>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②日常管理标准及措施（2分）；</w:t>
      </w:r>
      <w:r>
        <w:rPr>
          <w:rFonts w:hint="eastAsia" w:ascii="宋体" w:hAnsi="宋体" w:eastAsia="宋体" w:cs="Times New Roman"/>
          <w:bCs/>
          <w:color w:val="000000"/>
          <w:sz w:val="24"/>
          <w:szCs w:val="24"/>
          <w:highlight w:val="none"/>
        </w:rPr>
      </w:r>
      <w:r/>
    </w:p>
    <w:p>
      <w:pPr>
        <w:pStyle w:val="843"/>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③人事管理制度（2分）；</w:t>
      </w:r>
      <w:r>
        <w:rPr>
          <w:rFonts w:hint="eastAsia" w:ascii="宋体" w:hAnsi="宋体" w:eastAsia="宋体" w:cs="Times New Roman"/>
          <w:bCs/>
          <w:color w:val="000000"/>
          <w:sz w:val="24"/>
          <w:szCs w:val="24"/>
          <w:highlight w:val="none"/>
        </w:rPr>
      </w:r>
      <w:r/>
    </w:p>
    <w:p>
      <w:pPr>
        <w:pStyle w:val="84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④岗位职责管理制度（2分）；</w:t>
      </w:r>
      <w:r>
        <w:rPr>
          <w:rFonts w:hint="eastAsia" w:ascii="宋体" w:hAnsi="宋体" w:eastAsia="宋体" w:cs="Times New Roman"/>
          <w:bCs/>
          <w:color w:val="000000"/>
          <w:sz w:val="24"/>
          <w:szCs w:val="24"/>
          <w:highlight w:val="none"/>
        </w:rPr>
      </w:r>
      <w:r/>
    </w:p>
    <w:p>
      <w:pPr>
        <w:pStyle w:val="84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⑤档案资料管理制度（2分）；</w:t>
      </w:r>
      <w:r>
        <w:rPr>
          <w:rFonts w:hint="eastAsia" w:ascii="宋体" w:hAnsi="宋体" w:eastAsia="宋体" w:cs="Times New Roman"/>
          <w:bCs/>
          <w:color w:val="000000"/>
          <w:sz w:val="24"/>
          <w:szCs w:val="24"/>
          <w:highlight w:val="none"/>
        </w:rPr>
      </w:r>
      <w:r/>
    </w:p>
    <w:p>
      <w:pPr>
        <w:pStyle w:val="84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⑥管理制度的特色与创新（2分）。</w:t>
      </w:r>
      <w:r>
        <w:rPr>
          <w:rFonts w:hint="eastAsia" w:ascii="宋体" w:hAnsi="宋体" w:eastAsia="宋体" w:cs="Times New Roman"/>
          <w:bCs/>
          <w:color w:val="000000"/>
          <w:sz w:val="24"/>
          <w:szCs w:val="24"/>
          <w:highlight w:val="none"/>
        </w:rPr>
      </w:r>
      <w:r/>
    </w:p>
    <w:p>
      <w:pPr>
        <w:pStyle w:val="84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上述内容每有一项内容进行了阐述且方案理解透彻，全部响应、思路清晰、可行性强的得2分；理解较准确、清晰，可行性较强的得1分：方案基本理解，方案基本可行的得0.5分；方案理解有误、不合理或没有提供的得0分。最高得12分。</w:t>
      </w:r>
      <w:r>
        <w:rPr>
          <w:rFonts w:hint="eastAsia" w:ascii="宋体" w:hAnsi="宋体" w:eastAsia="宋体" w:cs="Times New Roman"/>
          <w:bCs/>
          <w:color w:val="000000"/>
          <w:sz w:val="24"/>
          <w:szCs w:val="24"/>
          <w:highlight w:val="none"/>
        </w:rPr>
      </w:r>
      <w:r/>
    </w:p>
    <w:p>
      <w:pPr>
        <w:pStyle w:val="84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3)物资装备的配备及维保使用方案（8分）</w:t>
      </w:r>
      <w:r>
        <w:rPr>
          <w:rFonts w:hint="eastAsia" w:ascii="宋体" w:hAnsi="宋体" w:eastAsia="宋体" w:cs="Times New Roman"/>
          <w:bCs/>
          <w:color w:val="000000"/>
          <w:sz w:val="24"/>
          <w:szCs w:val="24"/>
          <w:highlight w:val="none"/>
        </w:rPr>
      </w:r>
      <w:r/>
    </w:p>
    <w:p>
      <w:pPr>
        <w:pStyle w:val="84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①物资装备配备（2分）；</w:t>
      </w:r>
      <w:r>
        <w:rPr>
          <w:rFonts w:hint="eastAsia" w:ascii="宋体" w:hAnsi="宋体" w:eastAsia="宋体" w:cs="Times New Roman"/>
          <w:bCs/>
          <w:color w:val="000000"/>
          <w:sz w:val="24"/>
          <w:szCs w:val="24"/>
          <w:highlight w:val="none"/>
        </w:rPr>
      </w:r>
      <w:r/>
    </w:p>
    <w:p>
      <w:pPr>
        <w:pStyle w:val="84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②日常维护保养措施（2分）；</w:t>
      </w:r>
      <w:r>
        <w:rPr>
          <w:rFonts w:hint="eastAsia" w:ascii="宋体" w:hAnsi="宋体" w:eastAsia="宋体" w:cs="Times New Roman"/>
          <w:bCs/>
          <w:color w:val="000000"/>
          <w:sz w:val="24"/>
          <w:szCs w:val="24"/>
          <w:highlight w:val="none"/>
        </w:rPr>
      </w:r>
      <w:r/>
    </w:p>
    <w:p>
      <w:pPr>
        <w:pStyle w:val="84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③特殊情况下的物资配备方案（2分）；</w:t>
      </w:r>
      <w:r>
        <w:rPr>
          <w:rFonts w:hint="eastAsia" w:ascii="宋体" w:hAnsi="宋体" w:eastAsia="宋体" w:cs="Times New Roman"/>
          <w:bCs/>
          <w:color w:val="000000"/>
          <w:sz w:val="24"/>
          <w:szCs w:val="24"/>
          <w:highlight w:val="none"/>
        </w:rPr>
      </w:r>
      <w:r/>
    </w:p>
    <w:p>
      <w:pPr>
        <w:pStyle w:val="84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④特殊情况下的设备维保使用方案（2分）。</w:t>
      </w:r>
      <w:r>
        <w:rPr>
          <w:rFonts w:hint="eastAsia" w:ascii="宋体" w:hAnsi="宋体" w:eastAsia="宋体" w:cs="Times New Roman"/>
          <w:bCs/>
          <w:color w:val="000000"/>
          <w:sz w:val="24"/>
          <w:szCs w:val="24"/>
          <w:highlight w:val="none"/>
        </w:rPr>
      </w:r>
      <w:r/>
    </w:p>
    <w:p>
      <w:pPr>
        <w:pStyle w:val="84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上述内容每有一项内容进行了阐述且方案理解透彻，全部响应、思路清晰、可行性强的得2分；理解较准确、清晰，可行性较强的得1分：方案基本理解，方案基本可行的得0.5分；方案理解有误、不合理或没有提供的得0分。最高得8分。</w:t>
      </w:r>
      <w:r>
        <w:rPr>
          <w:rFonts w:hint="eastAsia" w:ascii="宋体" w:hAnsi="宋体" w:eastAsia="宋体" w:cs="Times New Roman"/>
          <w:bCs/>
          <w:color w:val="000000"/>
          <w:sz w:val="24"/>
          <w:szCs w:val="24"/>
          <w:highlight w:val="none"/>
        </w:rPr>
      </w:r>
      <w:r/>
    </w:p>
    <w:p>
      <w:pPr>
        <w:pStyle w:val="84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4)管理重点难点和措施及应急管理措施（10分）</w:t>
      </w:r>
      <w:r>
        <w:rPr>
          <w:rFonts w:hint="eastAsia" w:ascii="宋体" w:hAnsi="宋体" w:eastAsia="宋体" w:cs="Times New Roman"/>
          <w:bCs/>
          <w:color w:val="000000"/>
          <w:sz w:val="24"/>
          <w:szCs w:val="24"/>
          <w:highlight w:val="none"/>
        </w:rPr>
      </w:r>
      <w:r/>
    </w:p>
    <w:p>
      <w:pPr>
        <w:pStyle w:val="84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①分析本项目服务过程中存在的重点、难点问题（2分）；</w:t>
      </w:r>
      <w:r>
        <w:rPr>
          <w:rFonts w:hint="eastAsia" w:ascii="宋体" w:hAnsi="宋体" w:eastAsia="宋体" w:cs="Times New Roman"/>
          <w:bCs/>
          <w:color w:val="000000"/>
          <w:sz w:val="24"/>
          <w:szCs w:val="24"/>
          <w:highlight w:val="none"/>
        </w:rPr>
      </w:r>
      <w:r/>
    </w:p>
    <w:p>
      <w:pPr>
        <w:pStyle w:val="84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②针对分析的重点、难点问题提出处理预案（2分）；</w:t>
      </w:r>
      <w:r>
        <w:rPr>
          <w:rFonts w:hint="eastAsia" w:ascii="宋体" w:hAnsi="宋体" w:eastAsia="宋体" w:cs="Times New Roman"/>
          <w:bCs/>
          <w:color w:val="000000"/>
          <w:sz w:val="24"/>
          <w:szCs w:val="24"/>
          <w:highlight w:val="none"/>
        </w:rPr>
      </w:r>
      <w:r/>
    </w:p>
    <w:p>
      <w:pPr>
        <w:pStyle w:val="84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③应急事件处理原则（2分）；</w:t>
      </w:r>
      <w:r>
        <w:rPr>
          <w:rFonts w:hint="eastAsia" w:ascii="宋体" w:hAnsi="宋体" w:eastAsia="宋体" w:cs="Times New Roman"/>
          <w:bCs/>
          <w:color w:val="000000"/>
          <w:sz w:val="24"/>
          <w:szCs w:val="24"/>
          <w:highlight w:val="none"/>
        </w:rPr>
      </w:r>
      <w:r/>
    </w:p>
    <w:p>
      <w:pPr>
        <w:pStyle w:val="84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④应急事件处理方案（2分）；</w:t>
      </w:r>
      <w:r>
        <w:rPr>
          <w:rFonts w:hint="eastAsia" w:ascii="宋体" w:hAnsi="宋体" w:eastAsia="宋体" w:cs="Times New Roman"/>
          <w:bCs/>
          <w:color w:val="000000"/>
          <w:sz w:val="24"/>
          <w:szCs w:val="24"/>
          <w:highlight w:val="none"/>
        </w:rPr>
      </w:r>
      <w:r/>
    </w:p>
    <w:p>
      <w:pPr>
        <w:pStyle w:val="84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⑤过失及意外保障措施（2分）。</w:t>
      </w:r>
      <w:r>
        <w:rPr>
          <w:rFonts w:hint="eastAsia" w:ascii="宋体" w:hAnsi="宋体" w:eastAsia="宋体" w:cs="Times New Roman"/>
          <w:bCs/>
          <w:color w:val="000000"/>
          <w:sz w:val="24"/>
          <w:szCs w:val="24"/>
          <w:highlight w:val="none"/>
        </w:rPr>
      </w:r>
      <w:r/>
    </w:p>
    <w:p>
      <w:pPr>
        <w:pStyle w:val="84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上述内容每有一项内容进行了阐述且方案理解透彻，全部响应、思路清晰、可行性强的得2分；理解较准确、清晰，可行性较强的得1分：方案基本理解，方案基本可行的得0.5分；方案理解有误、不合理或没有提供的得0分。最高得10分。</w:t>
      </w:r>
      <w:r>
        <w:rPr>
          <w:rFonts w:hint="eastAsia" w:ascii="宋体" w:hAnsi="宋体" w:eastAsia="宋体" w:cs="Times New Roman"/>
          <w:bCs/>
          <w:color w:val="000000"/>
          <w:sz w:val="24"/>
          <w:szCs w:val="24"/>
          <w:highlight w:val="none"/>
        </w:rPr>
      </w:r>
      <w:r/>
    </w:p>
    <w:p>
      <w:pPr>
        <w:pStyle w:val="84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5)项目实施方案（5分）</w:t>
      </w:r>
      <w:r>
        <w:rPr>
          <w:rFonts w:hint="eastAsia" w:ascii="宋体" w:hAnsi="宋体" w:eastAsia="宋体" w:cs="Times New Roman"/>
          <w:bCs/>
          <w:color w:val="000000"/>
          <w:sz w:val="24"/>
          <w:szCs w:val="24"/>
          <w:highlight w:val="none"/>
        </w:rPr>
      </w:r>
      <w:r/>
    </w:p>
    <w:p>
      <w:pPr>
        <w:pStyle w:val="84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①与采购人以及其他单位、部门的综合协调方案（1分）；</w:t>
      </w:r>
      <w:r>
        <w:rPr>
          <w:rFonts w:hint="eastAsia" w:ascii="宋体" w:hAnsi="宋体" w:eastAsia="宋体" w:cs="Times New Roman"/>
          <w:bCs/>
          <w:color w:val="000000"/>
          <w:sz w:val="24"/>
          <w:szCs w:val="24"/>
          <w:highlight w:val="none"/>
        </w:rPr>
      </w:r>
      <w:r/>
    </w:p>
    <w:p>
      <w:pPr>
        <w:pStyle w:val="84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②正式接管前具体措施（1分）；</w:t>
      </w:r>
      <w:r>
        <w:rPr>
          <w:rFonts w:hint="eastAsia" w:ascii="宋体" w:hAnsi="宋体" w:eastAsia="宋体" w:cs="Times New Roman"/>
          <w:bCs/>
          <w:color w:val="000000"/>
          <w:sz w:val="24"/>
          <w:szCs w:val="24"/>
          <w:highlight w:val="none"/>
        </w:rPr>
      </w:r>
      <w:r/>
    </w:p>
    <w:p>
      <w:pPr>
        <w:pStyle w:val="84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③人员配备及各岗位职责分工（1分）；</w:t>
      </w:r>
      <w:r>
        <w:rPr>
          <w:rFonts w:hint="eastAsia" w:ascii="宋体" w:hAnsi="宋体" w:eastAsia="宋体" w:cs="Times New Roman"/>
          <w:bCs/>
          <w:color w:val="000000"/>
          <w:sz w:val="24"/>
          <w:szCs w:val="24"/>
          <w:highlight w:val="none"/>
        </w:rPr>
      </w:r>
      <w:r/>
    </w:p>
    <w:p>
      <w:pPr>
        <w:pStyle w:val="84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④工作进度保障措施（1分）；</w:t>
      </w:r>
      <w:r>
        <w:rPr>
          <w:rFonts w:hint="eastAsia" w:ascii="宋体" w:hAnsi="宋体" w:eastAsia="宋体" w:cs="Times New Roman"/>
          <w:bCs/>
          <w:color w:val="000000"/>
          <w:sz w:val="24"/>
          <w:szCs w:val="24"/>
          <w:highlight w:val="none"/>
        </w:rPr>
      </w:r>
      <w:r/>
    </w:p>
    <w:p>
      <w:pPr>
        <w:pStyle w:val="84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⑤服务质量保障措施（1分）；</w:t>
      </w:r>
      <w:r>
        <w:rPr>
          <w:rFonts w:hint="eastAsia" w:ascii="宋体" w:hAnsi="宋体" w:eastAsia="宋体" w:cs="Times New Roman"/>
          <w:bCs/>
          <w:color w:val="000000"/>
          <w:sz w:val="24"/>
          <w:szCs w:val="24"/>
          <w:highlight w:val="none"/>
        </w:rPr>
      </w:r>
      <w:r/>
    </w:p>
    <w:p>
      <w:pPr>
        <w:pStyle w:val="84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上述内容每有一项内容进行了阐述且方案理解透彻，全部响应、思路清晰、可行性强的得1分；理解较准确、清晰，可行性较强的得1分：方案基本理解，方案基本可行的得0.5分；方案理解有误、不合理或没有提供的得0分。最高得5分。</w:t>
      </w:r>
      <w:r>
        <w:rPr>
          <w:rFonts w:hint="eastAsia" w:ascii="宋体" w:hAnsi="宋体" w:eastAsia="宋体" w:cs="Times New Roman"/>
          <w:bCs/>
          <w:color w:val="000000"/>
          <w:sz w:val="24"/>
          <w:szCs w:val="24"/>
          <w:highlight w:val="none"/>
        </w:rPr>
      </w:r>
      <w:r/>
    </w:p>
    <w:p>
      <w:pPr>
        <w:pStyle w:val="843"/>
        <w:ind w:firstLine="480"/>
        <w:spacing w:line="360" w:lineRule="auto"/>
        <w:tabs>
          <w:tab w:val="left" w:pos="945" w:leader="none"/>
          <w:tab w:val="left" w:pos="1155" w:leader="none"/>
        </w:tabs>
        <w:rPr>
          <w:rFonts w:hint="eastAsia" w:ascii="宋体" w:hAnsi="宋体" w:cs="宋体"/>
          <w:bCs/>
          <w:color w:val="000000"/>
          <w:sz w:val="24"/>
          <w:highlight w:val="none"/>
        </w:rPr>
      </w:pPr>
      <w:r/>
      <w:bookmarkStart w:id="31" w:name="OLE_LINK29"/>
      <w:r>
        <w:rPr>
          <w:rFonts w:hint="eastAsia" w:ascii="宋体" w:hAnsi="宋体" w:cs="宋体"/>
          <w:b/>
          <w:color w:val="000000"/>
          <w:sz w:val="24"/>
          <w:szCs w:val="24"/>
          <w:highlight w:val="none"/>
        </w:rPr>
        <w:t xml:space="preserve">加分：</w:t>
      </w:r>
      <w:r>
        <w:rPr>
          <w:rFonts w:hint="eastAsia" w:ascii="宋体" w:hAnsi="宋体" w:cs="宋体"/>
          <w:bCs/>
          <w:color w:val="000000"/>
          <w:sz w:val="24"/>
          <w:szCs w:val="24"/>
          <w:highlight w:val="none"/>
        </w:rPr>
        <w:t xml:space="preserve">所选用产品属于节能产品、环境标志产品品目清单范围的，提供由国家确定的认证机构（根据《市场监管总局关于发布参与实施政府采购节能产品、环境标志产品认证机构名录的公告》</w:t>
      </w:r>
      <w:r>
        <w:rPr>
          <w:rFonts w:hint="eastAsia" w:ascii="宋体" w:hAnsi="宋体" w:cs="宋体"/>
          <w:color w:val="000000"/>
          <w:sz w:val="24"/>
          <w:szCs w:val="24"/>
          <w:highlight w:val="none"/>
        </w:rPr>
        <w:t xml:space="preserve">（2019年第16号）中确认的《参与实施政府采购节能产品认证机构名录》《参与实施政府采购环境标志产品认证机构名录》）出具的、</w:t>
      </w:r>
      <w:bookmarkEnd w:id="31"/>
      <w:r>
        <w:rPr>
          <w:rFonts w:hint="eastAsia" w:ascii="宋体" w:hAnsi="宋体" w:cs="宋体"/>
          <w:color w:val="000000"/>
          <w:sz w:val="24"/>
          <w:szCs w:val="24"/>
          <w:highlight w:val="none"/>
        </w:rPr>
        <w:t xml:space="preserve">处于有效期之内的节能产品、环境标志产品认证证书的，落实政府优先采购政策，分别予以加1分（同一产品同时具有节能产品、环境标志产品认证证书的不重复加分）。</w:t>
      </w:r>
      <w:r>
        <w:rPr>
          <w:rFonts w:hint="eastAsia" w:ascii="宋体" w:hAnsi="宋体" w:cs="宋体"/>
          <w:b/>
          <w:bCs/>
          <w:color w:val="000000"/>
          <w:sz w:val="24"/>
          <w:highlight w:val="none"/>
        </w:rPr>
        <w:t xml:space="preserve">【本项目为服务类，不适用本条】</w:t>
      </w:r>
      <w:r>
        <w:rPr>
          <w:rFonts w:hint="eastAsia" w:ascii="宋体" w:hAnsi="宋体" w:cs="宋体"/>
          <w:bCs/>
          <w:color w:val="000000"/>
          <w:sz w:val="24"/>
          <w:highlight w:val="none"/>
        </w:rPr>
      </w:r>
      <w:r/>
    </w:p>
    <w:p>
      <w:pPr>
        <w:pStyle w:val="843"/>
        <w:ind w:firstLine="480"/>
        <w:spacing w:line="360" w:lineRule="auto"/>
        <w:widowControl/>
        <w:tabs>
          <w:tab w:val="left" w:pos="525" w:leader="none"/>
          <w:tab w:val="left" w:pos="552" w:leader="none"/>
          <w:tab w:val="left" w:pos="630"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highlight w:val="none"/>
        </w:rPr>
        <w:t xml:space="preserve">注：评委会计算分项得分时取平均值为投标单位的得分，各分项得分合计即为投标单位的总得分。所有评委打分的平均值为各投标供应商最终得分。最终得分最高者将为推荐中标候选人。评分办法及评分细则的解释权属采购人。未列入本评分细则的其他条件不作为评分内容。</w:t>
      </w:r>
      <w:r>
        <w:rPr>
          <w:rFonts w:hint="eastAsia" w:ascii="宋体" w:hAnsi="宋体" w:cs="宋体"/>
          <w:bCs/>
          <w:color w:val="000000"/>
          <w:sz w:val="24"/>
          <w:szCs w:val="24"/>
          <w:highlight w:val="none"/>
        </w:rPr>
      </w:r>
      <w:r/>
    </w:p>
    <w:p>
      <w:pPr>
        <w:pStyle w:val="845"/>
        <w:spacing w:line="360" w:lineRule="auto"/>
        <w:widowControl/>
        <w:rPr>
          <w:rFonts w:hint="eastAsia" w:ascii="宋体" w:hAnsi="宋体" w:cs="宋体"/>
          <w:color w:val="000000"/>
          <w:sz w:val="24"/>
          <w:szCs w:val="24"/>
          <w:highlight w:val="none"/>
        </w:rPr>
      </w:pPr>
      <w:r/>
      <w:bookmarkStart w:id="32" w:name="_Toc66735282"/>
      <w:r>
        <w:rPr>
          <w:rFonts w:hint="eastAsia" w:ascii="宋体" w:hAnsi="宋体" w:cs="宋体"/>
          <w:color w:val="000000"/>
          <w:sz w:val="24"/>
          <w:szCs w:val="24"/>
          <w:highlight w:val="none"/>
        </w:rPr>
        <w:t xml:space="preserve">(十一)确定中标供应商：</w:t>
      </w:r>
      <w:bookmarkEnd w:id="32"/>
      <w:r>
        <w:rPr>
          <w:rFonts w:hint="eastAsia" w:ascii="宋体" w:hAnsi="宋体" w:cs="宋体"/>
          <w:color w:val="000000"/>
          <w:sz w:val="24"/>
          <w:szCs w:val="24"/>
          <w:highlight w:val="none"/>
        </w:rPr>
      </w:r>
      <w:r/>
    </w:p>
    <w:p>
      <w:pPr>
        <w:pStyle w:val="843"/>
        <w:numPr>
          <w:ilvl w:val="0"/>
          <w:numId w:val="9"/>
        </w:numPr>
        <w:ind w:left="0" w:firstLine="523"/>
        <w:spacing w:line="360" w:lineRule="auto"/>
        <w:tabs>
          <w:tab w:val="left" w:pos="525" w:leader="none"/>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评标委员会根据招标文件规定的评标方法和评分标准进行评审，按招标文件的要求依法推荐中标供应商。自评审结束之日起2个工作日内将评审报告送交采购人。采购人自收到评审报告之日起5个工作日内按招标文件的要求，在评审报告推荐的中标候选单位中，依法确定中标供应商。采购代理机构自中标供应商确定之日起2个工作日内，发出中标通知书，并将在财政部门指定的信息发布媒体（中国政府采购网、江苏政府采购网）上发布中标结果公告。</w:t>
      </w:r>
      <w:r>
        <w:rPr>
          <w:rFonts w:hint="eastAsia" w:ascii="宋体" w:hAnsi="宋体" w:cs="宋体"/>
          <w:bCs/>
          <w:color w:val="000000"/>
          <w:sz w:val="24"/>
          <w:szCs w:val="24"/>
          <w:highlight w:val="none"/>
        </w:rPr>
      </w:r>
      <w:r/>
    </w:p>
    <w:p>
      <w:pPr>
        <w:pStyle w:val="843"/>
        <w:numPr>
          <w:ilvl w:val="0"/>
          <w:numId w:val="9"/>
        </w:numPr>
        <w:ind w:left="0" w:firstLine="523"/>
        <w:spacing w:line="360" w:lineRule="auto"/>
        <w:tabs>
          <w:tab w:val="left" w:pos="525" w:leader="none"/>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投标供应商如有质疑，应在</w:t>
      </w:r>
      <w:r>
        <w:rPr>
          <w:rFonts w:hint="eastAsia" w:ascii="宋体" w:hAnsi="宋体" w:cs="宋体"/>
          <w:color w:val="000000"/>
          <w:sz w:val="24"/>
          <w:szCs w:val="24"/>
          <w:highlight w:val="none"/>
        </w:rPr>
        <w:t xml:space="preserve">中标公告</w:t>
      </w:r>
      <w:r>
        <w:rPr>
          <w:rFonts w:hint="eastAsia" w:ascii="宋体" w:hAnsi="宋体" w:cs="宋体"/>
          <w:bCs/>
          <w:color w:val="000000"/>
          <w:sz w:val="24"/>
          <w:szCs w:val="24"/>
          <w:highlight w:val="none"/>
        </w:rPr>
        <w:t xml:space="preserve">发布</w:t>
      </w:r>
      <w:r>
        <w:rPr>
          <w:rFonts w:hint="eastAsia" w:ascii="宋体" w:hAnsi="宋体" w:cs="宋体"/>
          <w:color w:val="000000"/>
          <w:sz w:val="24"/>
          <w:szCs w:val="24"/>
          <w:highlight w:val="none"/>
        </w:rPr>
        <w:t xml:space="preserve">之日起7个工作日</w:t>
      </w:r>
      <w:r>
        <w:rPr>
          <w:rFonts w:hint="eastAsia" w:ascii="宋体" w:hAnsi="宋体" w:cs="宋体"/>
          <w:bCs/>
          <w:color w:val="000000"/>
          <w:sz w:val="24"/>
          <w:szCs w:val="24"/>
          <w:highlight w:val="none"/>
        </w:rPr>
        <w:t xml:space="preserve">内，以书面形式一次性向采购人提出质疑，同时该质疑应由投标供应商法定代表人或参加投标的授权委托人签署和盖公章（原件）。</w:t>
      </w:r>
      <w:r>
        <w:rPr>
          <w:rFonts w:hint="eastAsia" w:ascii="宋体" w:hAnsi="宋体" w:cs="宋体"/>
          <w:bCs/>
          <w:color w:val="000000"/>
          <w:sz w:val="24"/>
          <w:szCs w:val="24"/>
          <w:highlight w:val="none"/>
        </w:rPr>
      </w:r>
      <w:r/>
    </w:p>
    <w:p>
      <w:pPr>
        <w:pStyle w:val="843"/>
        <w:numPr>
          <w:ilvl w:val="0"/>
          <w:numId w:val="9"/>
        </w:numPr>
        <w:ind w:left="0" w:firstLine="523"/>
        <w:spacing w:line="360" w:lineRule="auto"/>
        <w:tabs>
          <w:tab w:val="left" w:pos="525" w:leader="none"/>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提出质疑的供应商应当是参加所质疑项目采购活动的供应商。潜在供应商已依法获取其可质疑的招标文件的，可以对该文件提出质疑。对招标文件提出质疑的，应当在获取招标文件或者招标文件公告期限届满之日起7个工作日内提出。</w:t>
      </w:r>
      <w:r>
        <w:rPr>
          <w:rFonts w:hint="eastAsia" w:ascii="宋体" w:hAnsi="宋体" w:cs="宋体"/>
          <w:bCs/>
          <w:color w:val="000000"/>
          <w:sz w:val="24"/>
          <w:szCs w:val="24"/>
          <w:highlight w:val="none"/>
        </w:rPr>
      </w:r>
      <w:r/>
    </w:p>
    <w:p>
      <w:pPr>
        <w:pStyle w:val="843"/>
        <w:numPr>
          <w:ilvl w:val="0"/>
          <w:numId w:val="9"/>
        </w:numPr>
        <w:ind w:left="0" w:firstLine="523"/>
        <w:spacing w:line="360" w:lineRule="auto"/>
        <w:tabs>
          <w:tab w:val="left" w:pos="525" w:leader="none"/>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供应商提出质疑应当提交质疑函和必要的证明材料。质疑函应当包括下列内容：</w:t>
      </w:r>
      <w:r>
        <w:rPr>
          <w:rFonts w:hint="eastAsia" w:ascii="宋体" w:hAnsi="宋体" w:cs="宋体"/>
          <w:bCs/>
          <w:color w:val="000000"/>
          <w:sz w:val="24"/>
          <w:szCs w:val="24"/>
          <w:highlight w:val="none"/>
        </w:rPr>
      </w:r>
      <w:r/>
    </w:p>
    <w:p>
      <w:pPr>
        <w:pStyle w:val="843"/>
        <w:ind w:left="458"/>
        <w:spacing w:line="360" w:lineRule="auto"/>
        <w:tabs>
          <w:tab w:val="left" w:pos="525" w:leader="none"/>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①供应商的姓名或者名称、地址、邮编、联系人及联系电话；</w:t>
      </w:r>
      <w:r>
        <w:rPr>
          <w:rFonts w:hint="eastAsia" w:ascii="宋体" w:hAnsi="宋体" w:cs="宋体"/>
          <w:bCs/>
          <w:color w:val="000000"/>
          <w:sz w:val="24"/>
          <w:szCs w:val="24"/>
          <w:highlight w:val="none"/>
        </w:rPr>
      </w:r>
      <w:r/>
    </w:p>
    <w:p>
      <w:pPr>
        <w:pStyle w:val="843"/>
        <w:ind w:left="458"/>
        <w:spacing w:line="360" w:lineRule="auto"/>
        <w:tabs>
          <w:tab w:val="left" w:pos="525" w:leader="none"/>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②质疑项目的名称、编号；</w:t>
      </w:r>
      <w:r>
        <w:rPr>
          <w:rFonts w:hint="eastAsia" w:ascii="宋体" w:hAnsi="宋体" w:cs="宋体"/>
          <w:bCs/>
          <w:color w:val="000000"/>
          <w:sz w:val="24"/>
          <w:szCs w:val="24"/>
          <w:highlight w:val="none"/>
        </w:rPr>
      </w:r>
      <w:r/>
    </w:p>
    <w:p>
      <w:pPr>
        <w:pStyle w:val="843"/>
        <w:ind w:left="458"/>
        <w:spacing w:line="360" w:lineRule="auto"/>
        <w:tabs>
          <w:tab w:val="left" w:pos="525" w:leader="none"/>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③具体、明确的质疑事项和与质疑事项相关的请求；</w:t>
      </w:r>
      <w:r>
        <w:rPr>
          <w:rFonts w:hint="eastAsia" w:ascii="宋体" w:hAnsi="宋体" w:cs="宋体"/>
          <w:bCs/>
          <w:color w:val="000000"/>
          <w:sz w:val="24"/>
          <w:szCs w:val="24"/>
          <w:highlight w:val="none"/>
        </w:rPr>
      </w:r>
      <w:r/>
    </w:p>
    <w:p>
      <w:pPr>
        <w:pStyle w:val="843"/>
        <w:ind w:left="458"/>
        <w:spacing w:line="360" w:lineRule="auto"/>
        <w:tabs>
          <w:tab w:val="left" w:pos="525" w:leader="none"/>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④事实依据；</w:t>
      </w:r>
      <w:r>
        <w:rPr>
          <w:rFonts w:hint="eastAsia" w:ascii="宋体" w:hAnsi="宋体" w:cs="宋体"/>
          <w:bCs/>
          <w:color w:val="000000"/>
          <w:sz w:val="24"/>
          <w:szCs w:val="24"/>
          <w:highlight w:val="none"/>
        </w:rPr>
      </w:r>
      <w:r/>
    </w:p>
    <w:p>
      <w:pPr>
        <w:pStyle w:val="843"/>
        <w:ind w:left="458"/>
        <w:spacing w:line="360" w:lineRule="auto"/>
        <w:tabs>
          <w:tab w:val="left" w:pos="525" w:leader="none"/>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⑤必要的法律依据；</w:t>
      </w:r>
      <w:r>
        <w:rPr>
          <w:rFonts w:hint="eastAsia" w:ascii="宋体" w:hAnsi="宋体" w:cs="宋体"/>
          <w:bCs/>
          <w:color w:val="000000"/>
          <w:sz w:val="24"/>
          <w:szCs w:val="24"/>
          <w:highlight w:val="none"/>
        </w:rPr>
      </w:r>
      <w:r/>
    </w:p>
    <w:p>
      <w:pPr>
        <w:pStyle w:val="843"/>
        <w:ind w:left="458"/>
        <w:spacing w:line="360" w:lineRule="auto"/>
        <w:tabs>
          <w:tab w:val="left" w:pos="525" w:leader="none"/>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⑥提出质疑的日期。</w:t>
      </w:r>
      <w:r>
        <w:rPr>
          <w:rFonts w:hint="eastAsia" w:ascii="宋体" w:hAnsi="宋体" w:cs="宋体"/>
          <w:bCs/>
          <w:color w:val="000000"/>
          <w:sz w:val="24"/>
          <w:szCs w:val="24"/>
          <w:highlight w:val="none"/>
        </w:rPr>
      </w:r>
      <w:r/>
    </w:p>
    <w:p>
      <w:pPr>
        <w:pStyle w:val="843"/>
        <w:ind w:left="17" w:firstLine="439"/>
        <w:spacing w:line="360" w:lineRule="auto"/>
        <w:tabs>
          <w:tab w:val="left" w:pos="0" w:leader="none"/>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供应商为法人或者其他组织的，应当由法定代表人或者其授权代表签字或者盖章，并加盖公章。</w:t>
      </w:r>
      <w:r>
        <w:rPr>
          <w:rFonts w:hint="eastAsia" w:ascii="宋体" w:hAnsi="宋体" w:cs="宋体"/>
          <w:bCs/>
          <w:color w:val="000000"/>
          <w:sz w:val="24"/>
          <w:szCs w:val="24"/>
          <w:highlight w:val="none"/>
        </w:rPr>
      </w:r>
      <w:r/>
    </w:p>
    <w:p>
      <w:pPr>
        <w:pStyle w:val="843"/>
        <w:numPr>
          <w:ilvl w:val="0"/>
          <w:numId w:val="9"/>
        </w:numPr>
        <w:ind w:left="0" w:firstLine="523"/>
        <w:spacing w:line="360" w:lineRule="auto"/>
        <w:tabs>
          <w:tab w:val="left" w:pos="525" w:leader="none"/>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采购人将在收到经投标供应商法定代表人或参加投标的授权代表签署和盖公章（原件）</w:t>
      </w:r>
      <w:r>
        <w:rPr>
          <w:rFonts w:hint="eastAsia" w:ascii="宋体" w:hAnsi="宋体" w:cs="宋体"/>
          <w:bCs/>
          <w:color w:val="000000"/>
          <w:sz w:val="24"/>
          <w:szCs w:val="24"/>
          <w:highlight w:val="none"/>
        </w:rPr>
        <w:t xml:space="preserve">的书面质疑后7个工作日内，对质疑内容作出答复。如投标供应商在成交公告发布之日起7个工作日后向采购人提出质疑或质疑未经投标供应商法定代表人或参加投标的授权代表签署和盖公章（原件），采购人有权对该质疑不予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rPr>
          <w:rFonts w:hint="eastAsia" w:ascii="宋体" w:hAnsi="宋体" w:cs="宋体"/>
          <w:bCs/>
          <w:color w:val="000000"/>
          <w:sz w:val="24"/>
          <w:szCs w:val="24"/>
          <w:highlight w:val="none"/>
        </w:rPr>
      </w:r>
      <w:r/>
    </w:p>
    <w:p>
      <w:pPr>
        <w:pStyle w:val="845"/>
        <w:ind w:left="420" w:hanging="420"/>
        <w:spacing w:line="360" w:lineRule="auto"/>
        <w:rPr>
          <w:rFonts w:hint="eastAsia" w:ascii="宋体" w:hAnsi="宋体" w:cs="宋体"/>
          <w:color w:val="000000"/>
          <w:sz w:val="24"/>
          <w:szCs w:val="24"/>
          <w:highlight w:val="none"/>
        </w:rPr>
      </w:pPr>
      <w:r/>
      <w:bookmarkStart w:id="33" w:name="_Toc66735283"/>
      <w:r>
        <w:rPr>
          <w:rFonts w:hint="eastAsia" w:ascii="宋体" w:hAnsi="宋体" w:cs="宋体"/>
          <w:color w:val="000000"/>
          <w:sz w:val="24"/>
          <w:szCs w:val="24"/>
          <w:highlight w:val="none"/>
        </w:rPr>
        <w:t xml:space="preserve">(十二)采购项目的中止：</w:t>
      </w:r>
      <w:bookmarkEnd w:id="33"/>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出现下列情形之一的，采购人或者采购代理机构应当中止公开招标采购活动，发布项目中止公告并说明原因，重新开展采购活动：</w:t>
      </w:r>
      <w:r>
        <w:rPr>
          <w:rFonts w:hint="eastAsia" w:ascii="宋体" w:hAnsi="宋体" w:cs="宋体"/>
          <w:bCs/>
          <w:color w:val="000000"/>
          <w:sz w:val="24"/>
          <w:szCs w:val="24"/>
          <w:highlight w:val="none"/>
        </w:rPr>
      </w:r>
      <w:r/>
    </w:p>
    <w:p>
      <w:pPr>
        <w:pStyle w:val="843"/>
        <w:numPr>
          <w:ilvl w:val="0"/>
          <w:numId w:val="10"/>
        </w:numPr>
        <w:ind w:left="0" w:firstLine="525"/>
        <w:spacing w:line="360" w:lineRule="auto"/>
        <w:tabs>
          <w:tab w:val="left" w:pos="525" w:leader="none"/>
          <w:tab w:val="left" w:pos="945" w:leader="none"/>
          <w:tab w:val="left" w:pos="1260" w:leader="none"/>
        </w:tabs>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除《政府采购公开招标采购方式管理暂行办法》第二十一条第三款和《财政部关于政府采购公开招标采购方式管理暂行办法有关问题的补充通知》规定的情形外，在采购过程中符合要求的供应商或者报价未超过采购预算的供应商不足3家的</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843"/>
        <w:numPr>
          <w:ilvl w:val="0"/>
          <w:numId w:val="10"/>
        </w:numPr>
        <w:ind w:left="0" w:firstLine="525"/>
        <w:spacing w:line="360" w:lineRule="auto"/>
        <w:tabs>
          <w:tab w:val="left" w:pos="525" w:leader="none"/>
          <w:tab w:val="left" w:pos="945" w:leader="none"/>
          <w:tab w:val="left" w:pos="126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出现影响采购公正的违法、违规行为；</w:t>
      </w:r>
      <w:r>
        <w:rPr>
          <w:rFonts w:hint="eastAsia" w:ascii="宋体" w:hAnsi="宋体" w:cs="宋体"/>
          <w:bCs/>
          <w:color w:val="000000"/>
          <w:sz w:val="24"/>
          <w:szCs w:val="24"/>
          <w:highlight w:val="none"/>
        </w:rPr>
      </w:r>
      <w:r/>
    </w:p>
    <w:p>
      <w:pPr>
        <w:pStyle w:val="843"/>
        <w:numPr>
          <w:ilvl w:val="0"/>
          <w:numId w:val="10"/>
        </w:numPr>
        <w:ind w:left="0" w:firstLine="525"/>
        <w:spacing w:line="360" w:lineRule="auto"/>
        <w:tabs>
          <w:tab w:val="left" w:pos="525" w:leader="none"/>
          <w:tab w:val="left" w:pos="945" w:leader="none"/>
          <w:tab w:val="left" w:pos="126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投标供应商的报价均超过采购预算，采购人不能支付的；</w:t>
      </w:r>
      <w:r>
        <w:rPr>
          <w:rFonts w:hint="eastAsia" w:ascii="宋体" w:hAnsi="宋体" w:cs="宋体"/>
          <w:bCs/>
          <w:color w:val="000000"/>
          <w:sz w:val="24"/>
          <w:szCs w:val="24"/>
          <w:highlight w:val="none"/>
        </w:rPr>
      </w:r>
      <w:r/>
    </w:p>
    <w:p>
      <w:pPr>
        <w:pStyle w:val="843"/>
        <w:numPr>
          <w:ilvl w:val="0"/>
          <w:numId w:val="10"/>
        </w:numPr>
        <w:ind w:left="0" w:firstLine="525"/>
        <w:spacing w:line="360" w:lineRule="auto"/>
        <w:tabs>
          <w:tab w:val="right" w:pos="180" w:leader="none"/>
          <w:tab w:val="left" w:pos="525" w:leader="none"/>
          <w:tab w:val="left" w:pos="945" w:leader="none"/>
          <w:tab w:val="left" w:pos="126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因重大变故，采购任务取消。</w:t>
      </w:r>
      <w:r>
        <w:rPr>
          <w:rFonts w:hint="eastAsia" w:ascii="宋体" w:hAnsi="宋体" w:cs="宋体"/>
          <w:bCs/>
          <w:color w:val="000000"/>
          <w:sz w:val="24"/>
          <w:szCs w:val="24"/>
          <w:highlight w:val="none"/>
        </w:rPr>
      </w:r>
      <w:r/>
    </w:p>
    <w:p>
      <w:pPr>
        <w:pStyle w:val="845"/>
        <w:ind w:left="420" w:hanging="420"/>
        <w:spacing w:line="360" w:lineRule="auto"/>
        <w:rPr>
          <w:rFonts w:hint="eastAsia" w:ascii="宋体" w:hAnsi="宋体" w:cs="宋体"/>
          <w:color w:val="000000"/>
          <w:sz w:val="24"/>
          <w:szCs w:val="24"/>
          <w:highlight w:val="none"/>
        </w:rPr>
      </w:pPr>
      <w:r/>
      <w:bookmarkStart w:id="34" w:name="_Toc66735284"/>
      <w:r>
        <w:rPr>
          <w:rFonts w:hint="eastAsia" w:ascii="宋体" w:hAnsi="宋体" w:cs="宋体"/>
          <w:color w:val="000000"/>
          <w:sz w:val="24"/>
          <w:szCs w:val="24"/>
          <w:highlight w:val="none"/>
        </w:rPr>
        <w:t xml:space="preserve">(十三)中标无效的确认：</w:t>
      </w:r>
      <w:bookmarkEnd w:id="34"/>
      <w:r>
        <w:rPr>
          <w:rFonts w:hint="eastAsia" w:ascii="宋体" w:hAnsi="宋体" w:cs="宋体"/>
          <w:color w:val="000000"/>
          <w:sz w:val="24"/>
          <w:szCs w:val="24"/>
          <w:highlight w:val="none"/>
        </w:rPr>
      </w:r>
      <w:r/>
    </w:p>
    <w:p>
      <w:pPr>
        <w:pStyle w:val="843"/>
        <w:numPr>
          <w:ilvl w:val="0"/>
          <w:numId w:val="11"/>
        </w:numPr>
        <w:ind w:left="0" w:firstLine="523"/>
        <w:spacing w:line="360" w:lineRule="auto"/>
        <w:tabs>
          <w:tab w:val="left" w:pos="420" w:leader="none"/>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提供虚假材料谋取中标的；</w:t>
      </w:r>
      <w:r>
        <w:rPr>
          <w:rFonts w:hint="eastAsia" w:ascii="宋体" w:hAnsi="宋体" w:cs="宋体"/>
          <w:bCs/>
          <w:color w:val="000000"/>
          <w:sz w:val="24"/>
          <w:szCs w:val="24"/>
          <w:highlight w:val="none"/>
        </w:rPr>
      </w:r>
      <w:r/>
    </w:p>
    <w:p>
      <w:pPr>
        <w:pStyle w:val="843"/>
        <w:numPr>
          <w:ilvl w:val="0"/>
          <w:numId w:val="11"/>
        </w:numPr>
        <w:ind w:left="0" w:firstLine="523"/>
        <w:spacing w:line="360" w:lineRule="auto"/>
        <w:tabs>
          <w:tab w:val="left" w:pos="420" w:leader="none"/>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采取不正当手段诋毁、排挤其他投标供应商的；</w:t>
      </w:r>
      <w:r>
        <w:rPr>
          <w:rFonts w:hint="eastAsia" w:ascii="宋体" w:hAnsi="宋体" w:cs="宋体"/>
          <w:bCs/>
          <w:color w:val="000000"/>
          <w:sz w:val="24"/>
          <w:szCs w:val="24"/>
          <w:highlight w:val="none"/>
        </w:rPr>
      </w:r>
      <w:r/>
    </w:p>
    <w:p>
      <w:pPr>
        <w:pStyle w:val="843"/>
        <w:numPr>
          <w:ilvl w:val="0"/>
          <w:numId w:val="11"/>
        </w:numPr>
        <w:ind w:left="0" w:firstLine="523"/>
        <w:spacing w:line="360" w:lineRule="auto"/>
        <w:tabs>
          <w:tab w:val="left" w:pos="420" w:leader="none"/>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与采购人、其他投标供应商恶意串通的；</w:t>
      </w:r>
      <w:r>
        <w:rPr>
          <w:rFonts w:hint="eastAsia" w:ascii="宋体" w:hAnsi="宋体" w:cs="宋体"/>
          <w:bCs/>
          <w:color w:val="000000"/>
          <w:sz w:val="24"/>
          <w:szCs w:val="24"/>
          <w:highlight w:val="none"/>
        </w:rPr>
      </w:r>
      <w:r/>
    </w:p>
    <w:p>
      <w:pPr>
        <w:pStyle w:val="843"/>
        <w:ind w:left="458"/>
        <w:spacing w:line="360" w:lineRule="auto"/>
        <w:tabs>
          <w:tab w:val="left" w:pos="420" w:leader="none"/>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（4）向采购人行贿或者提供其他不正当利益的；</w:t>
      </w:r>
      <w:r>
        <w:rPr>
          <w:rFonts w:hint="eastAsia" w:ascii="宋体" w:hAnsi="宋体" w:cs="宋体"/>
          <w:bCs/>
          <w:color w:val="000000"/>
          <w:sz w:val="24"/>
          <w:szCs w:val="24"/>
          <w:highlight w:val="none"/>
        </w:rPr>
      </w:r>
      <w:r/>
    </w:p>
    <w:p>
      <w:pPr>
        <w:pStyle w:val="843"/>
        <w:ind w:left="458"/>
        <w:spacing w:line="360" w:lineRule="auto"/>
        <w:tabs>
          <w:tab w:val="left" w:pos="420" w:leader="none"/>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（5）在招标过程中与采购人进行协商谈判、不按照招标文件和中标供应商的投标文件订立合同，或者与采购人另行订立背离合同实质性内容的协议的；</w:t>
      </w:r>
      <w:r>
        <w:rPr>
          <w:rFonts w:hint="eastAsia" w:ascii="宋体" w:hAnsi="宋体" w:cs="宋体"/>
          <w:bCs/>
          <w:color w:val="000000"/>
          <w:sz w:val="24"/>
          <w:szCs w:val="24"/>
          <w:highlight w:val="none"/>
        </w:rPr>
      </w:r>
      <w:r/>
    </w:p>
    <w:p>
      <w:pPr>
        <w:pStyle w:val="843"/>
        <w:ind w:left="458"/>
        <w:spacing w:line="360" w:lineRule="auto"/>
        <w:tabs>
          <w:tab w:val="left" w:pos="420" w:leader="none"/>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（6）拒绝有关部门监督检查或者提供虚假情况的。</w:t>
      </w:r>
      <w:r>
        <w:rPr>
          <w:rFonts w:hint="eastAsia" w:ascii="宋体" w:hAnsi="宋体" w:cs="宋体"/>
          <w:bCs/>
          <w:color w:val="000000"/>
          <w:sz w:val="24"/>
          <w:szCs w:val="24"/>
          <w:highlight w:val="none"/>
        </w:rPr>
      </w:r>
      <w:r/>
    </w:p>
    <w:p>
      <w:pPr>
        <w:pStyle w:val="843"/>
        <w:ind w:firstLine="480"/>
        <w:spacing w:line="360" w:lineRule="auto"/>
        <w:tabs>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cs="宋体"/>
          <w:bCs/>
          <w:color w:val="000000"/>
          <w:sz w:val="24"/>
          <w:szCs w:val="24"/>
          <w:highlight w:val="none"/>
        </w:rPr>
      </w:r>
      <w:r/>
    </w:p>
    <w:p>
      <w:pPr>
        <w:pStyle w:val="845"/>
        <w:ind w:left="420" w:hanging="420"/>
        <w:spacing w:line="360" w:lineRule="auto"/>
        <w:rPr>
          <w:rFonts w:hint="eastAsia" w:ascii="宋体" w:hAnsi="宋体" w:cs="宋体"/>
          <w:color w:val="000000"/>
          <w:sz w:val="24"/>
          <w:szCs w:val="24"/>
          <w:highlight w:val="none"/>
        </w:rPr>
      </w:pPr>
      <w:r/>
      <w:bookmarkStart w:id="35" w:name="_Toc66735285"/>
      <w:r>
        <w:rPr>
          <w:rFonts w:hint="eastAsia" w:ascii="宋体" w:hAnsi="宋体" w:cs="宋体"/>
          <w:color w:val="000000"/>
          <w:sz w:val="24"/>
          <w:szCs w:val="24"/>
          <w:highlight w:val="none"/>
        </w:rPr>
        <w:t xml:space="preserve">(十四)签订、履行合同：</w:t>
      </w:r>
      <w:bookmarkEnd w:id="35"/>
      <w:r>
        <w:rPr>
          <w:rFonts w:hint="eastAsia" w:ascii="宋体" w:hAnsi="宋体" w:cs="宋体"/>
          <w:color w:val="000000"/>
          <w:sz w:val="24"/>
          <w:szCs w:val="24"/>
          <w:highlight w:val="none"/>
        </w:rPr>
      </w:r>
      <w:r/>
    </w:p>
    <w:p>
      <w:pPr>
        <w:pStyle w:val="843"/>
        <w:ind w:firstLine="480"/>
        <w:spacing w:line="360" w:lineRule="auto"/>
        <w:tabs>
          <w:tab w:val="left" w:pos="525" w:leader="none"/>
          <w:tab w:val="left" w:pos="945"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1、根据苏财办购〔2024〕1号相关要求，采购人应当严格按照政府采购法有关规定，在中标、成交通知书发出之日起30日内，按照招标文件确定的事项与中标、成交供应商签订政</w:t>
      </w:r>
      <w:r>
        <w:rPr>
          <w:rFonts w:hint="eastAsia" w:ascii="宋体" w:hAnsi="宋体" w:cs="宋体"/>
          <w:bCs/>
          <w:color w:val="000000"/>
          <w:sz w:val="24"/>
          <w:szCs w:val="24"/>
          <w:highlight w:val="none"/>
        </w:rPr>
        <w:t xml:space="preserve">府采购合同。采购人因不可抗力原因迟延签订合同的，应当自不可抗力事由消除之日起7日内完成合同签订事宜。所签订的合同不得对磋商文件和成交供应商投标文件作实质性修改。采购人不得向成交供应商提出任何不合理的要求，作为签订合同的条件，不得与成交供应商私下订立背离合同实质性内容的协议。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bookmarkStart w:id="36" w:name="OLE_LINK30"/>
      <w:r>
        <w:rPr>
          <w:rFonts w:hint="eastAsia" w:ascii="宋体" w:hAnsi="宋体" w:cs="宋体"/>
          <w:bCs/>
          <w:color w:val="000000"/>
          <w:sz w:val="24"/>
          <w:szCs w:val="24"/>
          <w:highlight w:val="none"/>
        </w:rPr>
        <w:t xml:space="preserve">采购人原则上应当自收到发票后10个工作日内将资金支付到合同约定的供应商账户。</w:t>
      </w:r>
      <w:bookmarkEnd w:id="36"/>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945"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2、采购代理机构监督合同的履行。中标供应商非因不可抗力未履行招、投标文件和合同规定的义务，一经查实，采购代理机构将根据具体情况提请政府采购管理部门作出相应处理。</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945"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3、若由于相应国家法律法规、地方性法规、行业规章、政策文件等变动造成项目中止，项目参与各方均不承担违约责任。</w:t>
      </w:r>
      <w:r>
        <w:rPr>
          <w:rFonts w:hint="eastAsia" w:ascii="宋体" w:hAnsi="宋体" w:cs="宋体"/>
          <w:bCs/>
          <w:color w:val="000000"/>
          <w:sz w:val="24"/>
          <w:szCs w:val="24"/>
          <w:highlight w:val="none"/>
        </w:rPr>
      </w:r>
      <w:r/>
    </w:p>
    <w:p>
      <w:pPr>
        <w:pStyle w:val="845"/>
        <w:ind w:left="420" w:hanging="420"/>
        <w:spacing w:line="360" w:lineRule="auto"/>
        <w:rPr>
          <w:rFonts w:hint="eastAsia" w:ascii="宋体" w:hAnsi="宋体" w:cs="宋体"/>
          <w:color w:val="000000"/>
          <w:sz w:val="24"/>
          <w:szCs w:val="24"/>
          <w:highlight w:val="none"/>
        </w:rPr>
      </w:pPr>
      <w:r/>
      <w:bookmarkStart w:id="37" w:name="_Toc66735286"/>
      <w:r>
        <w:rPr>
          <w:rFonts w:hint="eastAsia" w:ascii="宋体" w:hAnsi="宋体" w:cs="宋体"/>
          <w:color w:val="000000"/>
          <w:sz w:val="24"/>
          <w:szCs w:val="24"/>
          <w:highlight w:val="none"/>
        </w:rPr>
        <w:t xml:space="preserve">(十五)招标代理费：</w:t>
      </w:r>
      <w:bookmarkEnd w:id="37"/>
      <w:r>
        <w:rPr>
          <w:rFonts w:hint="eastAsia" w:ascii="宋体" w:hAnsi="宋体" w:cs="宋体"/>
          <w:color w:val="000000"/>
          <w:sz w:val="24"/>
          <w:szCs w:val="24"/>
          <w:highlight w:val="none"/>
        </w:rPr>
      </w:r>
      <w:r/>
    </w:p>
    <w:p>
      <w:pPr>
        <w:pStyle w:val="843"/>
        <w:ind w:firstLine="480"/>
        <w:spacing w:line="360" w:lineRule="auto"/>
        <w:tabs>
          <w:tab w:val="left" w:pos="220" w:leader="none"/>
          <w:tab w:val="left" w:pos="945" w:leader="none"/>
          <w:tab w:val="left" w:pos="1050" w:leader="none"/>
        </w:tabs>
        <w:rPr>
          <w:rFonts w:ascii="宋体" w:hAnsi="宋体"/>
          <w:bCs/>
          <w:color w:val="000000"/>
          <w:sz w:val="24"/>
          <w:highlight w:val="none"/>
        </w:rPr>
      </w:pPr>
      <w:r>
        <w:rPr>
          <w:rFonts w:hint="eastAsia" w:ascii="宋体" w:hAnsi="宋体" w:cs="宋体"/>
          <w:bCs/>
          <w:color w:val="000000"/>
          <w:sz w:val="24"/>
          <w:szCs w:val="24"/>
          <w:highlight w:val="none"/>
        </w:rPr>
        <w:t xml:space="preserve">本项目招标代理费由中标供应商支付，代理服务费按中标金额100万元以内的部分，按照中标价*1.5%*0.6计取；中标金额在100万元-500万元的部分，按照中标价*0.8%*0.6计取；中标金额在500万元-1000万元的部分，按照中标价*0.45%*0.6计取，采用差额累进法计算。</w:t>
      </w:r>
      <w:r>
        <w:rPr>
          <w:rFonts w:ascii="宋体" w:hAnsi="宋体"/>
          <w:bCs/>
          <w:color w:val="000000"/>
          <w:sz w:val="24"/>
          <w:highlight w:val="none"/>
        </w:rPr>
      </w:r>
      <w:r/>
    </w:p>
    <w:p>
      <w:pPr>
        <w:pStyle w:val="843"/>
        <w:ind w:left="6" w:firstLine="480"/>
        <w:spacing w:line="360" w:lineRule="auto"/>
        <w:tabs>
          <w:tab w:val="left" w:pos="220" w:leader="none"/>
          <w:tab w:val="left" w:pos="945" w:leader="none"/>
          <w:tab w:val="left" w:pos="1050" w:leader="none"/>
        </w:tabs>
        <w:rPr>
          <w:rFonts w:ascii="宋体" w:hAnsi="宋体" w:cs="宋体"/>
          <w:bCs/>
          <w:color w:val="000000"/>
          <w:sz w:val="24"/>
          <w:szCs w:val="24"/>
          <w:highlight w:val="none"/>
        </w:rPr>
      </w:pPr>
      <w:r>
        <w:rPr>
          <w:rFonts w:hint="eastAsia" w:ascii="宋体" w:hAnsi="宋体"/>
          <w:bCs/>
          <w:color w:val="000000"/>
          <w:sz w:val="24"/>
          <w:highlight w:val="none"/>
        </w:rPr>
        <w:t xml:space="preserve">中标供应商在领取中标通知书时一次性结清前述费用。</w:t>
      </w:r>
      <w:r>
        <w:rPr>
          <w:rFonts w:ascii="宋体" w:hAnsi="宋体" w:cs="宋体"/>
          <w:bCs/>
          <w:color w:val="000000"/>
          <w:sz w:val="24"/>
          <w:szCs w:val="24"/>
          <w:highlight w:val="none"/>
        </w:rPr>
      </w:r>
      <w:r/>
    </w:p>
    <w:p>
      <w:pPr>
        <w:pStyle w:val="845"/>
        <w:ind w:left="420" w:hanging="420"/>
        <w:spacing w:line="360" w:lineRule="auto"/>
        <w:rPr>
          <w:rFonts w:hint="eastAsia" w:ascii="宋体" w:hAnsi="宋体" w:cs="宋体"/>
          <w:color w:val="000000"/>
          <w:sz w:val="24"/>
          <w:szCs w:val="24"/>
          <w:highlight w:val="none"/>
          <w:lang w:val="zh-CN"/>
        </w:rPr>
      </w:pPr>
      <w:r/>
      <w:bookmarkStart w:id="38" w:name="_Toc66735287"/>
      <w:r>
        <w:rPr>
          <w:rFonts w:hint="eastAsia" w:ascii="宋体" w:hAnsi="宋体" w:cs="宋体"/>
          <w:color w:val="000000"/>
          <w:sz w:val="24"/>
          <w:szCs w:val="24"/>
          <w:highlight w:val="none"/>
        </w:rPr>
        <w:t xml:space="preserve">(十六)</w:t>
      </w:r>
      <w:r>
        <w:rPr>
          <w:rFonts w:hint="eastAsia" w:ascii="宋体" w:hAnsi="宋体" w:cs="宋体"/>
          <w:color w:val="000000"/>
          <w:sz w:val="24"/>
          <w:szCs w:val="24"/>
          <w:highlight w:val="none"/>
          <w:lang w:val="zh-CN"/>
        </w:rPr>
        <w:t xml:space="preserve">政府采购信用担保：</w:t>
      </w:r>
      <w:r>
        <w:rPr>
          <w:rFonts w:hint="eastAsia" w:ascii="宋体" w:hAnsi="宋体" w:cs="宋体"/>
          <w:color w:val="000000"/>
          <w:sz w:val="24"/>
          <w:szCs w:val="24"/>
          <w:highlight w:val="none"/>
          <w:lang w:val="zh-CN"/>
        </w:rPr>
      </w:r>
      <w:r/>
    </w:p>
    <w:p>
      <w:pPr>
        <w:pStyle w:val="843"/>
        <w:ind w:firstLine="482"/>
        <w:spacing w:line="360" w:lineRule="auto"/>
        <w:tabs>
          <w:tab w:val="left" w:pos="525" w:leader="none"/>
          <w:tab w:val="left" w:pos="945" w:leader="none"/>
          <w:tab w:val="left" w:pos="1050" w:leader="none"/>
        </w:tabs>
        <w:rPr>
          <w:rFonts w:hint="eastAsia" w:ascii="宋体" w:hAnsi="宋体" w:cs="宋体"/>
          <w:color w:val="000000"/>
          <w:sz w:val="24"/>
          <w:szCs w:val="24"/>
          <w:highlight w:val="none"/>
        </w:rPr>
      </w:pPr>
      <w:r>
        <w:rPr>
          <w:rFonts w:hint="eastAsia" w:ascii="宋体" w:hAnsi="宋体" w:cs="宋体"/>
          <w:b/>
          <w:color w:val="000000"/>
          <w:sz w:val="24"/>
          <w:highlight w:val="none"/>
        </w:rPr>
        <w:t xml:space="preserve">根据《无锡市财政局关于在全市政府采购领域进一步推行电子履约保函的通知》（锡财购〔2024〕15 号）文件内容，提升政府采购便利度，持续优化政府采购营商环境，进一步全面推广政府采购电子履约保函，具体流程中标供应商可通过江苏政府采购网下载“政府采购电子履约保函（保险）操作手册”， 具 体 地 址 为 ：http://www.ccgp-jiangsu.gov.cn/jiangsu/zlxz/</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r>
      <w:r/>
    </w:p>
    <w:p>
      <w:pPr>
        <w:pStyle w:val="845"/>
        <w:ind w:left="420" w:hanging="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(十七)其他：</w:t>
      </w:r>
      <w:r>
        <w:rPr>
          <w:rFonts w:hint="eastAsia" w:ascii="宋体" w:hAnsi="宋体" w:cs="宋体"/>
          <w:color w:val="000000"/>
          <w:sz w:val="24"/>
          <w:szCs w:val="24"/>
          <w:highlight w:val="none"/>
        </w:rPr>
      </w:r>
      <w:r/>
    </w:p>
    <w:p>
      <w:pPr>
        <w:pStyle w:val="843"/>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根据无锡市《关于开展政府采购合同融资工作的通知》（锡财购〔2020〕17号） 要求：合同融资，是指参与政府采购的供应商，凭借中</w:t>
      </w:r>
      <w:r>
        <w:rPr>
          <w:rFonts w:hint="eastAsia" w:ascii="宋体" w:hAnsi="宋体" w:cs="宋体"/>
          <w:bCs/>
          <w:color w:val="000000"/>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cs="宋体"/>
          <w:bCs/>
          <w:color w:val="000000"/>
          <w:sz w:val="24"/>
          <w:highlight w:val="none"/>
        </w:rPr>
      </w:r>
      <w:r/>
    </w:p>
    <w:p>
      <w:pPr>
        <w:pStyle w:val="843"/>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中标、成交供应商可根据自身情况，自行决定是否选择采用合同融资形式，在无锡政府采购网——政采贷专栏提供的银行名录内自主选择合作银行。</w:t>
      </w:r>
      <w:r>
        <w:rPr>
          <w:rFonts w:hint="eastAsia" w:ascii="宋体" w:hAnsi="宋体" w:cs="宋体"/>
          <w:bCs/>
          <w:color w:val="000000"/>
          <w:sz w:val="24"/>
          <w:highlight w:val="none"/>
        </w:rPr>
      </w:r>
      <w:r/>
    </w:p>
    <w:p>
      <w:pPr>
        <w:pStyle w:val="843"/>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政府采购合同融资政策告知：</w:t>
      </w:r>
      <w:r>
        <w:rPr>
          <w:rFonts w:hint="eastAsia" w:ascii="宋体" w:hAnsi="宋体" w:cs="宋体"/>
          <w:bCs/>
          <w:color w:val="000000"/>
          <w:sz w:val="24"/>
          <w:highlight w:val="none"/>
        </w:rPr>
      </w:r>
      <w:r/>
    </w:p>
    <w:p>
      <w:pPr>
        <w:pStyle w:val="843"/>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中标、成交供应商可依法依规使用本项目合同向金融机构融资，但采购人不为中标、成交供应商的融资行为提供担保。</w:t>
      </w:r>
      <w:r>
        <w:rPr>
          <w:rFonts w:hint="eastAsia" w:ascii="宋体" w:hAnsi="宋体" w:cs="宋体"/>
          <w:bCs/>
          <w:color w:val="000000"/>
          <w:sz w:val="24"/>
          <w:highlight w:val="none"/>
        </w:rPr>
      </w:r>
      <w:r/>
    </w:p>
    <w:p>
      <w:pPr>
        <w:pStyle w:val="843"/>
        <w:ind w:firstLine="480"/>
        <w:jc w:val="center"/>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《无锡市政府采购合同融资政策告知函》</w:t>
      </w:r>
      <w:r>
        <w:rPr>
          <w:rFonts w:hint="eastAsia" w:ascii="宋体" w:hAnsi="宋体" w:cs="宋体"/>
          <w:bCs/>
          <w:color w:val="000000"/>
          <w:sz w:val="24"/>
          <w:highlight w:val="none"/>
        </w:rPr>
      </w:r>
      <w:r/>
    </w:p>
    <w:p>
      <w:pPr>
        <w:pStyle w:val="843"/>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各供应商：</w:t>
      </w:r>
      <w:r>
        <w:rPr>
          <w:rFonts w:hint="eastAsia" w:ascii="宋体" w:hAnsi="宋体" w:cs="宋体"/>
          <w:bCs/>
          <w:color w:val="000000"/>
          <w:sz w:val="24"/>
          <w:highlight w:val="none"/>
        </w:rPr>
      </w:r>
      <w:r/>
    </w:p>
    <w:p>
      <w:pPr>
        <w:pStyle w:val="843"/>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欢迎贵公司参与无锡市政府采购活动！</w:t>
      </w:r>
      <w:r>
        <w:rPr>
          <w:rFonts w:hint="eastAsia" w:ascii="宋体" w:hAnsi="宋体" w:cs="宋体"/>
          <w:bCs/>
          <w:color w:val="000000"/>
          <w:sz w:val="24"/>
          <w:highlight w:val="none"/>
        </w:rPr>
      </w:r>
      <w:r/>
    </w:p>
    <w:p>
      <w:pPr>
        <w:pStyle w:val="843"/>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rPr>
          <w:rFonts w:hint="eastAsia" w:ascii="宋体" w:hAnsi="宋体" w:cs="宋体"/>
          <w:bCs/>
          <w:color w:val="000000"/>
          <w:sz w:val="24"/>
          <w:highlight w:val="none"/>
        </w:rPr>
      </w:r>
      <w:r/>
    </w:p>
    <w:p>
      <w:pPr>
        <w:pStyle w:val="84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highlight w:val="none"/>
        </w:rPr>
        <w:t xml:space="preserve">贷款渠道和提供贷款的金融机构，可在无锡政府采购网无锡市政府采购交易管理一体化系统查询联系。详见无锡政府采购网“政采贷”专栏</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84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cs="宋体"/>
          <w:bCs/>
          <w:color w:val="000000"/>
          <w:sz w:val="24"/>
          <w:szCs w:val="24"/>
          <w:highlight w:val="none"/>
        </w:rPr>
      </w:r>
      <w:r/>
    </w:p>
    <w:p>
      <w:pPr>
        <w:pStyle w:val="84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3、本项目中如有涉及数据库、操作系统、通用服</w:t>
      </w:r>
      <w:r>
        <w:rPr>
          <w:rFonts w:hint="eastAsia" w:ascii="宋体" w:hAnsi="宋体" w:cs="宋体"/>
          <w:bCs/>
          <w:color w:val="000000"/>
          <w:sz w:val="24"/>
          <w:szCs w:val="24"/>
          <w:highlight w:val="none"/>
        </w:rPr>
        <w:t xml:space="preserve">务器、工作站、一体式计算机、便携式计算机、台式计算机等七种软硬件的，投标供应商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采购人可在合同中约定，在履约验收管理时，可对所提供的七种软硬件进行验收，必要时可以委托依法取得检测、认证资质的机构进行检测、认证。</w:t>
      </w:r>
      <w:r>
        <w:rPr>
          <w:rFonts w:hint="eastAsia" w:ascii="宋体" w:hAnsi="宋体" w:cs="宋体"/>
          <w:bCs/>
          <w:color w:val="000000"/>
          <w:sz w:val="24"/>
          <w:szCs w:val="24"/>
          <w:highlight w:val="none"/>
        </w:rPr>
      </w:r>
      <w:r/>
    </w:p>
    <w:p>
      <w:pPr>
        <w:pStyle w:val="843"/>
        <w:ind w:firstLine="480"/>
        <w:jc w:val="left"/>
        <w:spacing w:line="360" w:lineRule="auto"/>
        <w:rPr>
          <w:rFonts w:hint="eastAsia" w:ascii="宋体" w:hAnsi="宋体" w:cs="宋体"/>
          <w:bCs/>
          <w:color w:val="000000"/>
          <w:sz w:val="30"/>
          <w:szCs w:val="30"/>
          <w:highlight w:val="none"/>
        </w:rPr>
      </w:pPr>
      <w:r>
        <w:rPr>
          <w:rFonts w:hint="eastAsia" w:ascii="宋体" w:hAnsi="宋体" w:cs="宋体"/>
          <w:bCs/>
          <w:color w:val="000000"/>
          <w:sz w:val="24"/>
          <w:szCs w:val="24"/>
          <w:highlight w:val="none"/>
        </w:rPr>
        <w:t xml:space="preserve">4、招标文件的条款必须认真审阅，投标供应商应自行检查招标文件页数是否齐全。若有遗漏、重复或不清楚，需立刻通知采购人予以更正；凡属对条款的误解所造成的投标价格失误，由投标供应商负责。</w:t>
      </w:r>
      <w:bookmarkEnd w:id="38"/>
      <w:r>
        <w:rPr>
          <w:rFonts w:hint="eastAsia" w:ascii="宋体" w:hAnsi="宋体" w:cs="宋体"/>
          <w:bCs/>
          <w:color w:val="000000"/>
          <w:sz w:val="30"/>
          <w:szCs w:val="30"/>
          <w:highlight w:val="none"/>
        </w:rPr>
      </w:r>
      <w:r/>
    </w:p>
    <w:p>
      <w:pPr>
        <w:pStyle w:val="843"/>
        <w:ind w:firstLine="480"/>
        <w:spacing w:line="360" w:lineRule="auto"/>
        <w:tabs>
          <w:tab w:val="left" w:pos="525" w:leader="none"/>
          <w:tab w:val="left" w:pos="1050" w:leader="none"/>
        </w:tabs>
        <w:rPr>
          <w:rFonts w:hint="eastAsia" w:ascii="宋体" w:hAnsi="宋体" w:cs="宋体"/>
          <w:bCs/>
          <w:color w:val="000000"/>
          <w:sz w:val="24"/>
          <w:szCs w:val="24"/>
          <w:highlight w:val="none"/>
        </w:rPr>
      </w:pPr>
      <w:r/>
      <w:bookmarkStart w:id="39" w:name="_Toc66735289"/>
      <w:r>
        <w:rPr>
          <w:rFonts w:hint="eastAsia" w:ascii="宋体" w:hAnsi="宋体" w:cs="宋体"/>
          <w:bCs/>
          <w:color w:val="000000"/>
          <w:sz w:val="24"/>
          <w:szCs w:val="24"/>
          <w:highlight w:val="none"/>
        </w:rPr>
        <w:t xml:space="preserve">5、有不法分子利用短信等方式与中标供应商建立联系后，诱导中标供应商缴纳“平台使用及技术服务费、代理费”等。监管部门提醒各政府采购当事人，无锡政府采购项目的各项采购活动均在苏采云平台内操作，苏采云平台不会向政府采购当事人收取任何费用。各政府采购当事人要切实提高防范意识警惕各类诈骗短信，谨慎访问不安全的网站链接或者使用不安全的第三方APP，避免财物受损。</w:t>
      </w:r>
      <w:r>
        <w:rPr>
          <w:rFonts w:hint="eastAsia" w:ascii="宋体" w:hAnsi="宋体" w:cs="宋体"/>
          <w:bCs/>
          <w:color w:val="000000"/>
          <w:sz w:val="24"/>
          <w:szCs w:val="24"/>
          <w:highlight w:val="none"/>
        </w:rPr>
      </w:r>
      <w:r/>
    </w:p>
    <w:p>
      <w:pPr>
        <w:pStyle w:val="844"/>
        <w:spacing w:line="360" w:lineRule="auto"/>
        <w:rPr>
          <w:rFonts w:hint="eastAsia" w:ascii="宋体" w:hAnsi="宋体" w:cs="宋体"/>
          <w:color w:val="000000"/>
          <w:szCs w:val="24"/>
          <w:highlight w:val="none"/>
        </w:rPr>
        <w:sectPr>
          <w:footnotePr/>
          <w:endnotePr/>
          <w:type w:val="nextPage"/>
          <w:pgSz w:w="11906" w:h="16838" w:orient="portrait"/>
          <w:pgMar w:top="1440" w:right="1440" w:bottom="1440" w:left="1440" w:header="850" w:footer="992" w:gutter="0"/>
          <w:pgNumType w:start="1"/>
          <w:cols w:num="1" w:sep="0" w:space="1701" w:equalWidth="1"/>
          <w:docGrid w:linePitch="360"/>
        </w:sectPr>
      </w:pPr>
      <w:r>
        <w:rPr>
          <w:rFonts w:hint="eastAsia" w:ascii="宋体" w:hAnsi="宋体" w:cs="宋体"/>
          <w:color w:val="000000"/>
          <w:szCs w:val="24"/>
          <w:highlight w:val="none"/>
        </w:rPr>
      </w:r>
      <w:r/>
    </w:p>
    <w:p>
      <w:pPr>
        <w:pStyle w:val="844"/>
        <w:numPr>
          <w:ilvl w:val="0"/>
          <w:numId w:val="12"/>
        </w:numPr>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采购需求</w:t>
      </w:r>
      <w:bookmarkEnd w:id="39"/>
      <w:r/>
      <w:bookmarkStart w:id="40" w:name="_Toc66735305"/>
      <w:r>
        <w:rPr>
          <w:rFonts w:hint="eastAsia" w:ascii="宋体" w:hAnsi="宋体" w:cs="宋体"/>
          <w:color w:val="000000"/>
          <w:szCs w:val="24"/>
          <w:highlight w:val="none"/>
        </w:rPr>
      </w:r>
      <w:r/>
    </w:p>
    <w:p>
      <w:pPr>
        <w:pStyle w:val="843"/>
        <w:spacing w:line="360" w:lineRule="auto"/>
        <w:rPr>
          <w:rFonts w:hint="eastAsia"/>
          <w:color w:val="000000"/>
          <w:sz w:val="24"/>
          <w:szCs w:val="24"/>
          <w:highlight w:val="none"/>
        </w:rPr>
      </w:pPr>
      <w:r>
        <w:rPr>
          <w:rFonts w:hint="eastAsia"/>
          <w:color w:val="000000"/>
          <w:sz w:val="24"/>
          <w:szCs w:val="24"/>
          <w:highlight w:val="none"/>
        </w:rPr>
        <w:t xml:space="preserve">本项目采购需求不得有负偏离，否则按无效投标处理。</w:t>
      </w:r>
      <w:r>
        <w:rPr>
          <w:rFonts w:hint="eastAsia"/>
          <w:color w:val="000000"/>
          <w:sz w:val="24"/>
          <w:szCs w:val="24"/>
          <w:highlight w:val="none"/>
        </w:rPr>
      </w:r>
      <w:r/>
    </w:p>
    <w:p>
      <w:pPr>
        <w:pStyle w:val="843"/>
        <w:ind w:firstLine="480"/>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一、采购概况</w:t>
      </w:r>
      <w:r>
        <w:rPr>
          <w:rFonts w:ascii="宋体" w:hAnsi="宋体" w:cs="宋体"/>
          <w:b/>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（一）采购人介绍</w:t>
      </w:r>
      <w:bookmarkStart w:id="41" w:name="_Hlk148285064"/>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无锡市精神卫生中心</w:t>
      </w:r>
      <w:bookmarkEnd w:id="41"/>
      <w:r>
        <w:rPr>
          <w:rFonts w:hint="eastAsia" w:ascii="宋体" w:hAnsi="宋体" w:cs="宋体"/>
          <w:color w:val="000000"/>
          <w:sz w:val="24"/>
          <w:szCs w:val="24"/>
          <w:highlight w:val="none"/>
        </w:rPr>
        <w:t xml:space="preserve">与无锡市中心康复医院实行“两块牌子、一套班子”管理模式。医院总占地面积111.2亩（含市区勤学路门诊部和槐树巷门诊部），总建筑面积</w:t>
      </w:r>
      <w:bookmarkStart w:id="42" w:name="_Hlk148286097"/>
      <w:r>
        <w:rPr>
          <w:rFonts w:hint="eastAsia" w:ascii="宋体" w:hAnsi="宋体" w:cs="宋体"/>
          <w:color w:val="000000"/>
          <w:sz w:val="24"/>
          <w:szCs w:val="24"/>
          <w:highlight w:val="none"/>
        </w:rPr>
        <w:t xml:space="preserve">14.51万平方米</w:t>
      </w:r>
      <w:bookmarkEnd w:id="42"/>
      <w:r>
        <w:rPr>
          <w:rFonts w:hint="eastAsia" w:ascii="宋体" w:hAnsi="宋体" w:cs="宋体"/>
          <w:color w:val="000000"/>
          <w:sz w:val="24"/>
          <w:szCs w:val="24"/>
          <w:highlight w:val="none"/>
        </w:rPr>
        <w:t xml:space="preserve">。总核定床位1760张，其中精卫中心1300张、康复医院460张，职工980余人</w:t>
      </w:r>
      <w:bookmarkStart w:id="43" w:name="OLE_LINK28"/>
      <w:r>
        <w:rPr>
          <w:rFonts w:hint="eastAsia" w:ascii="宋体" w:hAnsi="宋体" w:cs="宋体"/>
          <w:color w:val="000000"/>
          <w:sz w:val="24"/>
          <w:szCs w:val="24"/>
          <w:highlight w:val="none"/>
        </w:rPr>
        <w:t xml:space="preserve">。</w:t>
      </w:r>
      <w:bookmarkEnd w:id="43"/>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无锡市精神卫生中心是一所集医疗、教学、科研、预防、康复于一体的三级甲等精神病专科医院，主要承担全市精神疾病诊疗、心理卫生指导、社会防治康复、“三无”精神病患者收容治疗、社会困难精神病患者救助、司法精神疾病患者收容监护，以及司法、残疾、劳动能力鉴定等职能。</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无锡市中心康复医院是一所集临床、教学、科研、预防、保健、康复为一体的全国首批三级康复医院，主要开展脑卒中、脑外伤后康复，骨关节及运动损伤康复，工伤康复和职业康复，儿童康复，心血管病、糖尿病、呼吸系统疾病等脏器病的康复。</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（二）项目名称：无锡市精神卫生中心（无锡市中心康复医院）2026-2027年度安保服务项目</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三）人员配置：派驻岗位（人）数不少于78人（含门卫、特勤、消控值班、消防员、安检、车管、巡防巡查），相关人员须持证上岗（消控人员须消防设施操作员四级（中级）及以上证书、安检人员需持安检证及保安证上岗），岗位配置及排班满足采购需求，</w:t>
      </w:r>
      <w:r>
        <w:rPr>
          <w:rFonts w:ascii="宋体" w:hAnsi="宋体" w:cs="宋体"/>
          <w:color w:val="000000"/>
          <w:sz w:val="24"/>
          <w:szCs w:val="24"/>
          <w:highlight w:val="none"/>
        </w:rPr>
        <w:t xml:space="preserve">费用按实结算</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（三）预算、服务期：采购预算722.2万元，服务期为签订合同之日起2年。</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（四）服务地点：无锡市钱荣路156号、158号，勤学路28号、槐树巷1号。</w:t>
      </w:r>
      <w:r>
        <w:rPr>
          <w:rFonts w:ascii="宋体" w:hAnsi="宋体" w:cs="宋体"/>
          <w:color w:val="000000"/>
          <w:sz w:val="24"/>
          <w:szCs w:val="24"/>
          <w:highlight w:val="none"/>
        </w:rPr>
      </w:r>
      <w:r/>
    </w:p>
    <w:p>
      <w:pPr>
        <w:pStyle w:val="843"/>
        <w:ind w:firstLine="480"/>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二、服务内容</w:t>
      </w:r>
      <w:r>
        <w:rPr>
          <w:rFonts w:ascii="宋体" w:hAnsi="宋体" w:cs="宋体"/>
          <w:b/>
          <w:color w:val="000000"/>
          <w:sz w:val="24"/>
          <w:szCs w:val="24"/>
          <w:highlight w:val="none"/>
        </w:rPr>
      </w:r>
      <w:r/>
    </w:p>
    <w:p>
      <w:pPr>
        <w:pStyle w:val="843"/>
        <w:ind w:firstLine="480"/>
        <w:spacing w:line="360" w:lineRule="auto"/>
        <w:rPr>
          <w:rFonts w:ascii="宋体" w:hAnsi="宋体" w:cs="宋体"/>
          <w:color w:val="000000"/>
          <w:sz w:val="24"/>
          <w:szCs w:val="24"/>
          <w:highlight w:val="none"/>
        </w:rPr>
      </w:pPr>
      <w:r/>
      <w:bookmarkStart w:id="44" w:name="OLE_LINK10"/>
      <w:r>
        <w:rPr>
          <w:rFonts w:hint="eastAsia" w:ascii="宋体" w:hAnsi="宋体" w:cs="宋体"/>
          <w:color w:val="000000"/>
          <w:sz w:val="24"/>
          <w:szCs w:val="24"/>
          <w:highlight w:val="none"/>
        </w:rPr>
        <w:t xml:space="preserve">负责医院门卫、消防监控中心驻场值守，维护医院正常医疗活动秩序，突出消防、治安、停车（收费）管理，按要求开展防火防盗防破坏等巡防巡视工作，保障广大患者职工人身、财物安全；配合临床病区做好住院精神病人约束性保护工作，响应门急诊做好门急诊患者运送住院工作，响应精卫中心临床做好住院患者离院临时性护送外院检查就医工作；加强日常安保人员教育培训演训工作，做好医院消防火情、治安防范等防破坏防事故各类突发事件的应急处置工作，配合医院完成其他临时性服务保障工作。具体参见</w:t>
      </w:r>
      <w:r>
        <w:rPr>
          <w:rFonts w:hint="eastAsia" w:ascii="宋体" w:hAnsi="宋体" w:cs="宋体"/>
          <w:b/>
          <w:color w:val="000000"/>
          <w:sz w:val="24"/>
          <w:szCs w:val="24"/>
          <w:highlight w:val="none"/>
        </w:rPr>
        <w:t xml:space="preserve">附件3：安保服务任务目标及相关岗位职责</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bookmarkEnd w:id="44"/>
      <w:r>
        <w:rPr>
          <w:rFonts w:hint="eastAsia" w:ascii="宋体" w:hAnsi="宋体" w:cs="宋体"/>
          <w:color w:val="000000"/>
          <w:sz w:val="24"/>
          <w:szCs w:val="24"/>
          <w:highlight w:val="none"/>
        </w:rPr>
        <w:t xml:space="preserve">注：建议各潜在投标供应商尽量对项目现场和周围环境进行踏勘，在随后的采购中，对现场资料和数据所作出的推论、解释和结论及由此造成的后果由投标供应商自行负责。</w:t>
      </w:r>
      <w:r>
        <w:rPr>
          <w:rFonts w:ascii="宋体" w:hAnsi="宋体" w:cs="宋体"/>
          <w:color w:val="000000"/>
          <w:sz w:val="24"/>
          <w:szCs w:val="24"/>
          <w:highlight w:val="none"/>
        </w:rPr>
      </w:r>
      <w:r/>
    </w:p>
    <w:p>
      <w:pPr>
        <w:pStyle w:val="843"/>
        <w:ind w:firstLine="480"/>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三、服务要求</w:t>
      </w:r>
      <w:r>
        <w:rPr>
          <w:rFonts w:ascii="宋体" w:hAnsi="宋体" w:cs="宋体"/>
          <w:b/>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（一）人员素质</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1.基本条件</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特勤：男性，身体健康（持健康证），持保安证，相貌端正，仪表大方，无传染疾病。身高不低于1.75米，年龄不超过45周岁。复退军人占比不少于特勤人员总数60%。</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门卫：男性，身体健康（持健康证），持保安证，相貌端正，仪表大方，无传染疾病。身高不低于1.75米，年龄不超过45周岁。</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消控：持消防设施操作员（建（构）筑物消防员）四级（中级工）及以上证书，身体健康（持健康证），相貌端正，仪表大方，无传染疾病。具备基本电脑操作技能，表达流畅、口齿清晰。</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保安员：身体健康（持健康证），持保安证，相貌端正，仪表大方，无传染疾病。男性身高不低于1.7米，年龄不超过50周岁（特殊情况可放宽到57周岁，但不得超过人员配备表格服务内容二总人数的10%）；女性身高不低于1.6米，年龄不超过55周岁，人数不得超过人员配备表格服务内容二总人数的10%。</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车辆管理(收费）：身体健康（持健康证），相貌端正，仪表大方，无传染疾病。具备电脑</w:t>
      </w:r>
      <w:r>
        <w:rPr>
          <w:rFonts w:ascii="宋体" w:hAnsi="宋体" w:cs="宋体"/>
          <w:color w:val="000000"/>
          <w:sz w:val="24"/>
          <w:szCs w:val="24"/>
          <w:highlight w:val="none"/>
        </w:rPr>
        <w:t xml:space="preserve">操作</w:t>
      </w:r>
      <w:r>
        <w:rPr>
          <w:rFonts w:hint="eastAsia" w:ascii="宋体" w:hAnsi="宋体" w:cs="宋体"/>
          <w:color w:val="000000"/>
          <w:sz w:val="24"/>
          <w:szCs w:val="24"/>
          <w:highlight w:val="none"/>
        </w:rPr>
        <w:t xml:space="preserve">一般技能</w:t>
      </w:r>
      <w:r>
        <w:rPr>
          <w:rFonts w:ascii="宋体" w:hAnsi="宋体" w:cs="宋体"/>
          <w:color w:val="000000"/>
          <w:sz w:val="24"/>
          <w:szCs w:val="24"/>
          <w:highlight w:val="none"/>
        </w:rPr>
        <w:t xml:space="preserve">及</w:t>
      </w:r>
      <w:r>
        <w:rPr>
          <w:rFonts w:hint="eastAsia" w:ascii="宋体" w:hAnsi="宋体" w:cs="宋体"/>
          <w:color w:val="000000"/>
          <w:sz w:val="24"/>
          <w:szCs w:val="24"/>
          <w:highlight w:val="none"/>
        </w:rPr>
        <w:t xml:space="preserve">统计报表能力</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身高不低于1.6米，年龄不超过55周岁。</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2.政治素质：服从安排，听从指挥，无违法犯罪记录。爱岗敬业，恪尽职守，遵纪守法，文明执勤，礼貌待人，敢于同违法犯罪现象作斗争。</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3.业务要求：经过相关部门或1个月以上的专业培训，有上岗资质证书。</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4.文化条件：具备初中及以上文化，相关法律法规知识、安保知识和消防知识，有一定的语言、文字表达能力和沟通协调能力。</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项目经理、队长（正副），男50岁以下，身高1.75米以上，大专及以上学历，需3年以上相关工作经验，实行常日制带班工作。有团队管理经验，具有较好的语言、文字表达能力和一定的沟通、协调、组织、培训、指挥能力。负责保安日常排班、教育、培训、考核等管理工作；建立项目三班岗位交接班、职责、工作流程、应急处置、车辆管理、停车收费等各项工作台账；定期组织人员（每周1次，每次不少于30分钟）进行岗位知识、工作流程、消防、体能和保安技能等培训学习。</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6.安检员（含值机员、手检员）： 2个门诊、1个急诊三处安检岗，每处男性不少于1人，持保安证、安检证上岗，年龄参照“保安”要求。</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（二）人员配备</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1.遵照国务院2022年5月1日修订实施的《保安服务管理条例》，根据医院的需求，选派政治合格、作风优良、纪律严明、责任心强的保安队伍。</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2.所有人员文化程度必须初中以上，年龄符合上述“人员素质”规定要求。</w:t>
      </w:r>
      <w:r>
        <w:rPr>
          <w:rFonts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岗位配置要求：投标人可在投标前自行前往医院实地进行踏勘，提供安保运行方案和人员配置方案，细化各岗各班人数，保安应符合如下最低配置标准（具体见下表）：岗位需求根据岗位职责设定，日班超过8小时的工作岗位进行弹性统筹排班；项目经理、特勤（1人兼队长）、保安班长、消控值班人员有相应的技术要求需固定人员，其他岗位相对固定，按工作时数统筹安排。消控值班人员、安检岗（急诊）保证双人双岗，特勤人员，工作时间不超过12小时。</w:t>
      </w:r>
      <w:bookmarkStart w:id="45" w:name="OLE_LINK31"/>
      <w:r>
        <w:rPr>
          <w:rFonts w:hint="eastAsia" w:ascii="宋体" w:hAnsi="宋体" w:cs="宋体"/>
          <w:color w:val="000000"/>
          <w:sz w:val="24"/>
          <w:szCs w:val="24"/>
          <w:highlight w:val="none"/>
        </w:rPr>
        <w:t xml:space="preserve">分项岗位（人）数、班次参见下表：</w:t>
      </w:r>
      <w:r>
        <w:rPr>
          <w:rFonts w:hint="eastAsia" w:ascii="宋体" w:hAnsi="宋体" w:cs="宋体"/>
          <w:color w:val="000000"/>
          <w:sz w:val="24"/>
          <w:szCs w:val="24"/>
          <w:highlight w:val="none"/>
        </w:rPr>
      </w:r>
      <w:r/>
    </w:p>
    <w:tbl>
      <w:tblPr>
        <w:tblW w:w="80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7"/>
        <w:gridCol w:w="1967"/>
        <w:gridCol w:w="1677"/>
        <w:gridCol w:w="1366"/>
        <w:gridCol w:w="2152"/>
      </w:tblGrid>
      <w:tr>
        <w:trPr>
          <w:trHeight w:val="502"/>
        </w:trPr>
        <w:tc>
          <w:tcPr>
            <w:tcW w:w="907" w:type="dxa"/>
            <w:vAlign w:val="center"/>
            <w:textDirection w:val="lrTb"/>
            <w:noWrap w:val="false"/>
          </w:tcPr>
          <w:p>
            <w:pPr>
              <w:pStyle w:val="843"/>
              <w:jc w:val="center"/>
              <w:rPr>
                <w:rFonts w:hint="eastAsia" w:ascii="宋体" w:hAnsi="宋体" w:cs="宋体"/>
                <w:color w:val="000000"/>
                <w:sz w:val="24"/>
                <w:szCs w:val="24"/>
                <w:highlight w:val="none"/>
              </w:rPr>
            </w:pPr>
            <w:r/>
            <w:bookmarkEnd w:id="45"/>
            <w:r>
              <w:rPr>
                <w:rFonts w:hint="eastAsia" w:ascii="宋体" w:hAnsi="宋体" w:cs="宋体"/>
                <w:color w:val="000000"/>
                <w:sz w:val="24"/>
                <w:szCs w:val="24"/>
                <w:highlight w:val="none"/>
              </w:rPr>
              <w:t xml:space="preserve">服务项</w:t>
            </w:r>
            <w:r>
              <w:rPr>
                <w:rFonts w:hint="eastAsia" w:ascii="宋体" w:hAnsi="宋体" w:cs="宋体"/>
                <w:color w:val="000000"/>
                <w:sz w:val="24"/>
                <w:szCs w:val="24"/>
                <w:highlight w:val="none"/>
              </w:rPr>
            </w:r>
            <w:r/>
          </w:p>
        </w:tc>
        <w:tc>
          <w:tcPr>
            <w:tcW w:w="1967" w:type="dxa"/>
            <w:vAlign w:val="center"/>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岗位</w:t>
            </w:r>
            <w:r>
              <w:rPr>
                <w:rFonts w:hint="eastAsia" w:ascii="宋体" w:hAnsi="宋体" w:cs="宋体"/>
                <w:color w:val="000000"/>
                <w:sz w:val="24"/>
                <w:szCs w:val="24"/>
                <w:highlight w:val="none"/>
              </w:rPr>
            </w:r>
            <w:r/>
          </w:p>
        </w:tc>
        <w:tc>
          <w:tcPr>
            <w:tcW w:w="1677" w:type="dxa"/>
            <w:vAlign w:val="center"/>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工作时间</w:t>
            </w:r>
            <w:r>
              <w:rPr>
                <w:rFonts w:hint="eastAsia" w:ascii="宋体" w:hAnsi="宋体" w:cs="宋体"/>
                <w:color w:val="000000"/>
                <w:sz w:val="24"/>
                <w:szCs w:val="24"/>
                <w:highlight w:val="none"/>
              </w:rPr>
            </w:r>
            <w:r/>
          </w:p>
        </w:tc>
        <w:tc>
          <w:tcPr>
            <w:tcW w:w="1366" w:type="dxa"/>
            <w:vAlign w:val="center"/>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岗位</w:t>
            </w:r>
            <w:r>
              <w:rPr>
                <w:rFonts w:hint="eastAsia" w:ascii="宋体" w:hAnsi="宋体" w:cs="宋体"/>
                <w:color w:val="000000"/>
                <w:sz w:val="24"/>
                <w:szCs w:val="24"/>
                <w:highlight w:val="none"/>
              </w:rPr>
            </w:r>
            <w:r/>
          </w:p>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（人）数</w:t>
            </w:r>
            <w:r>
              <w:rPr>
                <w:rFonts w:hint="eastAsia" w:ascii="宋体" w:hAnsi="宋体" w:cs="宋体"/>
                <w:color w:val="000000"/>
                <w:sz w:val="24"/>
                <w:szCs w:val="24"/>
                <w:highlight w:val="none"/>
              </w:rPr>
            </w:r>
            <w:r/>
          </w:p>
        </w:tc>
        <w:tc>
          <w:tcPr>
            <w:tcW w:w="2152" w:type="dxa"/>
            <w:vAlign w:val="center"/>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rPr>
            </w:r>
            <w:r/>
          </w:p>
        </w:tc>
      </w:tr>
      <w:tr>
        <w:trPr/>
        <w:tc>
          <w:tcPr>
            <w:tcW w:w="907" w:type="dxa"/>
            <w:vAlign w:val="center"/>
            <w:vMerge w:val="restart"/>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w:t>
            </w:r>
            <w:r>
              <w:rPr>
                <w:rFonts w:hint="eastAsia" w:ascii="宋体" w:hAnsi="宋体" w:cs="宋体"/>
                <w:color w:val="000000"/>
                <w:sz w:val="24"/>
                <w:szCs w:val="24"/>
                <w:highlight w:val="none"/>
              </w:rPr>
            </w:r>
            <w:r/>
          </w:p>
        </w:tc>
        <w:tc>
          <w:tcPr>
            <w:tcW w:w="1967" w:type="dxa"/>
            <w:vAlign w:val="center"/>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特勤岗</w:t>
            </w:r>
            <w:r>
              <w:rPr>
                <w:rFonts w:hint="eastAsia" w:ascii="宋体" w:hAnsi="宋体" w:cs="宋体"/>
                <w:color w:val="000000"/>
                <w:sz w:val="24"/>
                <w:szCs w:val="24"/>
                <w:highlight w:val="none"/>
              </w:rPr>
            </w:r>
            <w:r/>
          </w:p>
        </w:tc>
        <w:tc>
          <w:tcPr>
            <w:tcW w:w="1677" w:type="dxa"/>
            <w:vAlign w:val="center"/>
            <w:textDirection w:val="lrTb"/>
            <w:noWrap w:val="false"/>
          </w:tcPr>
          <w:p>
            <w:pPr>
              <w:pStyle w:val="843"/>
              <w:jc w:val="center"/>
              <w:rPr>
                <w:rFonts w:hint="eastAsia" w:ascii="宋体" w:hAnsi="宋体" w:cs="宋体"/>
                <w:color w:val="000000"/>
                <w:sz w:val="24"/>
                <w:szCs w:val="24"/>
                <w:highlight w:val="none"/>
              </w:rPr>
            </w:pPr>
            <w:r/>
            <w:bookmarkStart w:id="46" w:name="OLE_LINK24"/>
            <w:r>
              <w:rPr>
                <w:rFonts w:hint="eastAsia" w:ascii="宋体" w:hAnsi="宋体" w:cs="宋体"/>
                <w:color w:val="000000"/>
                <w:sz w:val="24"/>
                <w:szCs w:val="24"/>
                <w:highlight w:val="none"/>
              </w:rPr>
              <w:t xml:space="preserve">早、中、夜班</w:t>
            </w:r>
            <w:bookmarkEnd w:id="46"/>
            <w:r>
              <w:rPr>
                <w:rFonts w:hint="eastAsia" w:ascii="宋体" w:hAnsi="宋体" w:cs="宋体"/>
                <w:color w:val="000000"/>
                <w:sz w:val="24"/>
                <w:szCs w:val="24"/>
                <w:highlight w:val="none"/>
              </w:rPr>
            </w:r>
            <w:r/>
          </w:p>
        </w:tc>
        <w:tc>
          <w:tcPr>
            <w:tcW w:w="1366" w:type="dxa"/>
            <w:vAlign w:val="center"/>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10.44</w:t>
            </w:r>
            <w:r>
              <w:rPr>
                <w:rFonts w:hint="eastAsia" w:ascii="宋体" w:hAnsi="宋体" w:cs="宋体"/>
                <w:color w:val="000000"/>
                <w:sz w:val="24"/>
                <w:szCs w:val="24"/>
                <w:highlight w:val="none"/>
              </w:rPr>
            </w:r>
            <w:r/>
          </w:p>
        </w:tc>
        <w:tc>
          <w:tcPr>
            <w:tcW w:w="2152" w:type="dxa"/>
            <w:vAlign w:val="center"/>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选1人为副队长、特勤队长</w:t>
            </w:r>
            <w:r>
              <w:rPr>
                <w:rFonts w:hint="eastAsia" w:ascii="宋体" w:hAnsi="宋体" w:cs="宋体"/>
                <w:color w:val="000000"/>
                <w:sz w:val="24"/>
                <w:szCs w:val="24"/>
                <w:highlight w:val="none"/>
              </w:rPr>
            </w:r>
            <w:r/>
          </w:p>
        </w:tc>
      </w:tr>
      <w:tr>
        <w:trPr/>
        <w:tc>
          <w:tcPr>
            <w:tcW w:w="907" w:type="dxa"/>
            <w:vAlign w:val="center"/>
            <w:vMerge w:val="continue"/>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67" w:type="dxa"/>
            <w:vAlign w:val="center"/>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消防监控岗</w:t>
            </w:r>
            <w:r>
              <w:rPr>
                <w:rFonts w:hint="eastAsia" w:ascii="宋体" w:hAnsi="宋体" w:cs="宋体"/>
                <w:color w:val="000000"/>
                <w:sz w:val="24"/>
                <w:szCs w:val="24"/>
                <w:highlight w:val="none"/>
              </w:rPr>
            </w:r>
            <w:r/>
          </w:p>
        </w:tc>
        <w:tc>
          <w:tcPr>
            <w:tcW w:w="1677" w:type="dxa"/>
            <w:vAlign w:val="center"/>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早、中、夜班</w:t>
            </w:r>
            <w:r>
              <w:rPr>
                <w:rFonts w:hint="eastAsia" w:ascii="宋体" w:hAnsi="宋体" w:cs="宋体"/>
                <w:color w:val="000000"/>
                <w:sz w:val="24"/>
                <w:szCs w:val="24"/>
                <w:highlight w:val="none"/>
              </w:rPr>
            </w:r>
            <w:r/>
          </w:p>
        </w:tc>
        <w:tc>
          <w:tcPr>
            <w:tcW w:w="1366" w:type="dxa"/>
            <w:vAlign w:val="center"/>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6.96</w:t>
            </w:r>
            <w:r>
              <w:rPr>
                <w:rFonts w:hint="eastAsia" w:ascii="宋体" w:hAnsi="宋体" w:cs="宋体"/>
                <w:color w:val="000000"/>
                <w:sz w:val="24"/>
                <w:szCs w:val="24"/>
                <w:highlight w:val="none"/>
              </w:rPr>
            </w:r>
            <w:r/>
          </w:p>
        </w:tc>
        <w:tc>
          <w:tcPr>
            <w:tcW w:w="2152" w:type="dxa"/>
            <w:vAlign w:val="center"/>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编制含队长1、消防管理协管1，不含甲方2人</w:t>
            </w:r>
            <w:r>
              <w:rPr>
                <w:rFonts w:hint="eastAsia" w:ascii="宋体" w:hAnsi="宋体" w:cs="宋体"/>
                <w:color w:val="000000"/>
                <w:sz w:val="24"/>
                <w:szCs w:val="24"/>
                <w:highlight w:val="none"/>
              </w:rPr>
            </w:r>
            <w:r/>
          </w:p>
        </w:tc>
      </w:tr>
      <w:tr>
        <w:trPr/>
        <w:tc>
          <w:tcPr>
            <w:tcW w:w="907" w:type="dxa"/>
            <w:vAlign w:val="center"/>
            <w:vMerge w:val="continue"/>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67" w:type="dxa"/>
            <w:vAlign w:val="center"/>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门卫岗</w:t>
            </w:r>
            <w:r>
              <w:rPr>
                <w:rFonts w:hint="eastAsia" w:ascii="宋体" w:hAnsi="宋体" w:cs="宋体"/>
                <w:color w:val="000000"/>
                <w:sz w:val="24"/>
                <w:szCs w:val="24"/>
                <w:highlight w:val="none"/>
              </w:rPr>
            </w:r>
            <w:r/>
          </w:p>
        </w:tc>
        <w:tc>
          <w:tcPr>
            <w:tcW w:w="1677" w:type="dxa"/>
            <w:vAlign w:val="center"/>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早、中、夜班</w:t>
            </w:r>
            <w:r>
              <w:rPr>
                <w:rFonts w:hint="eastAsia" w:ascii="宋体" w:hAnsi="宋体" w:cs="宋体"/>
                <w:color w:val="000000"/>
                <w:sz w:val="24"/>
                <w:szCs w:val="24"/>
                <w:highlight w:val="none"/>
              </w:rPr>
            </w:r>
            <w:r/>
          </w:p>
        </w:tc>
        <w:tc>
          <w:tcPr>
            <w:tcW w:w="1366" w:type="dxa"/>
            <w:vAlign w:val="center"/>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12.76</w:t>
            </w:r>
            <w:r>
              <w:rPr>
                <w:rFonts w:hint="eastAsia" w:ascii="宋体" w:hAnsi="宋体" w:cs="宋体"/>
                <w:color w:val="000000"/>
                <w:sz w:val="24"/>
                <w:szCs w:val="24"/>
                <w:highlight w:val="none"/>
              </w:rPr>
            </w:r>
            <w:r/>
          </w:p>
        </w:tc>
        <w:tc>
          <w:tcPr>
            <w:tcW w:w="2152" w:type="dxa"/>
            <w:vAlign w:val="center"/>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不含车管收费岗</w:t>
            </w:r>
            <w:r>
              <w:rPr>
                <w:rFonts w:hint="eastAsia" w:ascii="宋体" w:hAnsi="宋体" w:cs="宋体"/>
                <w:color w:val="000000"/>
                <w:sz w:val="24"/>
                <w:szCs w:val="24"/>
                <w:highlight w:val="none"/>
              </w:rPr>
            </w:r>
            <w:r/>
          </w:p>
        </w:tc>
      </w:tr>
      <w:tr>
        <w:trPr/>
        <w:tc>
          <w:tcPr>
            <w:tcW w:w="907" w:type="dxa"/>
            <w:vAlign w:val="center"/>
            <w:vMerge w:val="continue"/>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67" w:type="dxa"/>
            <w:vAlign w:val="center"/>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小计</w:t>
            </w:r>
            <w:r>
              <w:rPr>
                <w:rFonts w:hint="eastAsia" w:ascii="宋体" w:hAnsi="宋体" w:cs="宋体"/>
                <w:color w:val="000000"/>
                <w:sz w:val="24"/>
                <w:szCs w:val="24"/>
                <w:highlight w:val="none"/>
              </w:rPr>
            </w:r>
            <w:r/>
          </w:p>
        </w:tc>
        <w:tc>
          <w:tcPr>
            <w:tcW w:w="1677" w:type="dxa"/>
            <w:vAlign w:val="center"/>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66" w:type="dxa"/>
            <w:vAlign w:val="center"/>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30.16</w:t>
            </w:r>
            <w:r>
              <w:rPr>
                <w:rFonts w:hint="eastAsia" w:ascii="宋体" w:hAnsi="宋体" w:cs="宋体"/>
                <w:color w:val="000000"/>
                <w:sz w:val="24"/>
                <w:szCs w:val="24"/>
                <w:highlight w:val="none"/>
              </w:rPr>
            </w:r>
            <w:r/>
          </w:p>
        </w:tc>
        <w:tc>
          <w:tcPr>
            <w:tcW w:w="2152" w:type="dxa"/>
            <w:vAlign w:val="center"/>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907" w:type="dxa"/>
            <w:vAlign w:val="center"/>
            <w:vMerge w:val="restart"/>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w:t>
            </w:r>
            <w:r>
              <w:rPr>
                <w:rFonts w:hint="eastAsia" w:ascii="宋体" w:hAnsi="宋体" w:cs="宋体"/>
                <w:color w:val="000000"/>
                <w:sz w:val="24"/>
                <w:szCs w:val="24"/>
                <w:highlight w:val="none"/>
              </w:rPr>
            </w:r>
            <w:r/>
          </w:p>
        </w:tc>
        <w:tc>
          <w:tcPr>
            <w:tcW w:w="1967" w:type="dxa"/>
            <w:vAlign w:val="center"/>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保安</w:t>
            </w:r>
            <w:r>
              <w:rPr>
                <w:rFonts w:hint="eastAsia" w:ascii="宋体" w:hAnsi="宋体" w:cs="宋体"/>
                <w:color w:val="000000"/>
                <w:sz w:val="24"/>
                <w:szCs w:val="24"/>
                <w:highlight w:val="none"/>
              </w:rPr>
            </w:r>
            <w:r/>
          </w:p>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（安检）岗</w:t>
            </w:r>
            <w:r>
              <w:rPr>
                <w:rFonts w:hint="eastAsia" w:ascii="宋体" w:hAnsi="宋体" w:cs="宋体"/>
                <w:color w:val="000000"/>
                <w:sz w:val="24"/>
                <w:szCs w:val="24"/>
                <w:highlight w:val="none"/>
              </w:rPr>
            </w:r>
            <w:r/>
          </w:p>
        </w:tc>
        <w:tc>
          <w:tcPr>
            <w:tcW w:w="1677" w:type="dxa"/>
            <w:vAlign w:val="center"/>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早、中、夜班</w:t>
            </w:r>
            <w:r>
              <w:rPr>
                <w:rFonts w:hint="eastAsia" w:ascii="宋体" w:hAnsi="宋体" w:cs="宋体"/>
                <w:color w:val="000000"/>
                <w:sz w:val="24"/>
                <w:szCs w:val="24"/>
                <w:highlight w:val="none"/>
              </w:rPr>
            </w:r>
            <w:r/>
          </w:p>
        </w:tc>
        <w:tc>
          <w:tcPr>
            <w:tcW w:w="1366" w:type="dxa"/>
            <w:vAlign w:val="center"/>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48</w:t>
            </w:r>
            <w:r>
              <w:rPr>
                <w:rFonts w:hint="eastAsia" w:ascii="宋体" w:hAnsi="宋体" w:cs="宋体"/>
                <w:color w:val="000000"/>
                <w:sz w:val="24"/>
                <w:szCs w:val="24"/>
                <w:highlight w:val="none"/>
              </w:rPr>
            </w:r>
            <w:r/>
          </w:p>
        </w:tc>
        <w:tc>
          <w:tcPr>
            <w:tcW w:w="2152" w:type="dxa"/>
            <w:vAlign w:val="center"/>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2个市门诊早晚班</w:t>
            </w:r>
            <w:r>
              <w:rPr>
                <w:rFonts w:hint="eastAsia" w:ascii="宋体" w:hAnsi="宋体" w:cs="宋体"/>
                <w:color w:val="000000"/>
                <w:sz w:val="24"/>
                <w:szCs w:val="24"/>
                <w:highlight w:val="none"/>
              </w:rPr>
            </w:r>
            <w:r/>
          </w:p>
        </w:tc>
      </w:tr>
      <w:tr>
        <w:trPr/>
        <w:tc>
          <w:tcPr>
            <w:tcW w:w="907" w:type="dxa"/>
            <w:vAlign w:val="center"/>
            <w:vMerge w:val="continue"/>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67" w:type="dxa"/>
            <w:vAlign w:val="center"/>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小计</w:t>
            </w:r>
            <w:r>
              <w:rPr>
                <w:rFonts w:hint="eastAsia" w:ascii="宋体" w:hAnsi="宋体" w:cs="宋体"/>
                <w:color w:val="000000"/>
                <w:sz w:val="24"/>
                <w:szCs w:val="24"/>
                <w:highlight w:val="none"/>
              </w:rPr>
            </w:r>
            <w:r/>
          </w:p>
        </w:tc>
        <w:tc>
          <w:tcPr>
            <w:tcW w:w="1677" w:type="dxa"/>
            <w:vAlign w:val="center"/>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66" w:type="dxa"/>
            <w:vAlign w:val="center"/>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48</w:t>
            </w:r>
            <w:r>
              <w:rPr>
                <w:rFonts w:hint="eastAsia" w:ascii="宋体" w:hAnsi="宋体" w:cs="宋体"/>
                <w:color w:val="000000"/>
                <w:sz w:val="24"/>
                <w:szCs w:val="24"/>
                <w:highlight w:val="none"/>
              </w:rPr>
            </w:r>
            <w:r/>
          </w:p>
        </w:tc>
        <w:tc>
          <w:tcPr>
            <w:tcW w:w="2152" w:type="dxa"/>
            <w:vAlign w:val="center"/>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gridSpan w:val="3"/>
            <w:tcW w:w="4551" w:type="dxa"/>
            <w:vAlign w:val="center"/>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合计</w:t>
            </w:r>
            <w:r>
              <w:rPr>
                <w:rFonts w:hint="eastAsia" w:ascii="宋体" w:hAnsi="宋体" w:cs="宋体"/>
                <w:color w:val="000000"/>
                <w:sz w:val="24"/>
                <w:szCs w:val="24"/>
                <w:highlight w:val="none"/>
              </w:rPr>
            </w:r>
            <w:r/>
          </w:p>
        </w:tc>
        <w:tc>
          <w:tcPr>
            <w:tcW w:w="1366" w:type="dxa"/>
            <w:vAlign w:val="center"/>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78.16</w:t>
            </w:r>
            <w:r>
              <w:rPr>
                <w:rFonts w:hint="eastAsia" w:ascii="宋体" w:hAnsi="宋体" w:cs="宋体"/>
                <w:color w:val="000000"/>
                <w:sz w:val="24"/>
                <w:szCs w:val="24"/>
                <w:highlight w:val="none"/>
              </w:rPr>
            </w:r>
            <w:r/>
          </w:p>
        </w:tc>
        <w:tc>
          <w:tcPr>
            <w:tcW w:w="2152" w:type="dxa"/>
            <w:vAlign w:val="center"/>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43"/>
        <w:ind w:firstLine="480"/>
        <w:spacing w:line="360" w:lineRule="auto"/>
        <w:rPr>
          <w:rFonts w:ascii="宋体" w:hAnsi="宋体" w:cs="宋体"/>
          <w:color w:val="000000"/>
          <w:sz w:val="24"/>
          <w:szCs w:val="24"/>
          <w:highlight w:val="none"/>
        </w:rPr>
      </w:pPr>
      <w:r/>
      <w:bookmarkStart w:id="47" w:name="OLE_LINK35"/>
      <w:r>
        <w:rPr>
          <w:rFonts w:hint="eastAsia" w:ascii="宋体" w:hAnsi="宋体" w:cs="宋体"/>
          <w:color w:val="000000"/>
          <w:sz w:val="24"/>
          <w:szCs w:val="24"/>
          <w:highlight w:val="none"/>
        </w:rPr>
        <w:t xml:space="preserve">具体岗位、班次设置详见</w:t>
      </w:r>
      <w:r>
        <w:rPr>
          <w:rFonts w:hint="eastAsia" w:ascii="宋体" w:hAnsi="宋体" w:cs="宋体"/>
          <w:b/>
          <w:color w:val="000000"/>
          <w:sz w:val="24"/>
          <w:szCs w:val="24"/>
          <w:highlight w:val="none"/>
        </w:rPr>
        <w:t xml:space="preserve">附件1：安保服务岗位采购需求表</w:t>
      </w:r>
      <w:r>
        <w:rPr>
          <w:rFonts w:ascii="宋体" w:hAnsi="宋体" w:cs="宋体"/>
          <w:color w:val="000000"/>
          <w:sz w:val="24"/>
          <w:szCs w:val="24"/>
          <w:highlight w:val="none"/>
        </w:rPr>
      </w:r>
      <w:r/>
    </w:p>
    <w:p>
      <w:pPr>
        <w:pStyle w:val="843"/>
        <w:ind w:firstLine="480"/>
        <w:spacing w:line="360" w:lineRule="auto"/>
        <w:rPr>
          <w:rFonts w:hint="eastAsia" w:ascii="宋体" w:hAnsi="宋体" w:cs="宋体"/>
          <w:b/>
          <w:bCs/>
          <w:color w:val="000000"/>
          <w:sz w:val="24"/>
          <w:szCs w:val="24"/>
          <w:highlight w:val="none"/>
        </w:rPr>
      </w:pPr>
      <w:r/>
      <w:bookmarkEnd w:id="47"/>
      <w:r>
        <w:rPr>
          <w:rFonts w:hint="eastAsia" w:ascii="宋体" w:hAnsi="宋体" w:cs="宋体"/>
          <w:b/>
          <w:color w:val="000000"/>
          <w:sz w:val="24"/>
          <w:szCs w:val="24"/>
          <w:highlight w:val="none"/>
        </w:rPr>
        <w:t xml:space="preserve">（三）</w:t>
      </w:r>
      <w:r>
        <w:rPr>
          <w:rFonts w:hint="eastAsia" w:ascii="宋体" w:hAnsi="宋体" w:cs="宋体"/>
          <w:b/>
          <w:bCs/>
          <w:color w:val="000000"/>
          <w:sz w:val="24"/>
          <w:szCs w:val="24"/>
          <w:highlight w:val="none"/>
        </w:rPr>
        <w:t xml:space="preserve">管理要求</w:t>
      </w:r>
      <w:r>
        <w:rPr>
          <w:rFonts w:hint="eastAsia" w:ascii="宋体" w:hAnsi="宋体" w:cs="宋体"/>
          <w:b/>
          <w:bCs/>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1.项目</w:t>
      </w:r>
      <w:r>
        <w:rPr>
          <w:rFonts w:hint="eastAsia" w:ascii="宋体" w:hAnsi="宋体" w:cs="宋体"/>
          <w:color w:val="000000"/>
          <w:sz w:val="24"/>
          <w:szCs w:val="24"/>
          <w:highlight w:val="none"/>
        </w:rPr>
        <w:t xml:space="preserve">所有员工需持有专业人员上岗证，按规定统一着装，挂牌上岗，仪表仪容整洁，按规定佩戴对讲机等上岗，特勤等岗位按规定佩戴五件套上岗。</w:t>
      </w:r>
      <w:r>
        <w:rPr>
          <w:rFonts w:hint="eastAsia" w:ascii="宋体" w:hAnsi="宋体" w:cs="宋体"/>
          <w:color w:val="000000"/>
          <w:sz w:val="24"/>
          <w:szCs w:val="24"/>
          <w:highlight w:val="none"/>
        </w:rPr>
      </w:r>
      <w:r/>
    </w:p>
    <w:p>
      <w:pPr>
        <w:pStyle w:val="843"/>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2.中标供应商应加强</w:t>
      </w:r>
      <w:r>
        <w:rPr>
          <w:rFonts w:ascii="宋体" w:hAnsi="宋体" w:cs="宋体"/>
          <w:bCs/>
          <w:color w:val="000000"/>
          <w:sz w:val="24"/>
          <w:szCs w:val="24"/>
          <w:highlight w:val="none"/>
        </w:rPr>
        <w:t xml:space="preserve">项目人员入职培训，</w:t>
      </w:r>
      <w:r>
        <w:rPr>
          <w:rFonts w:hint="eastAsia" w:ascii="宋体" w:hAnsi="宋体" w:cs="宋体"/>
          <w:bCs/>
          <w:color w:val="000000"/>
          <w:sz w:val="24"/>
          <w:szCs w:val="24"/>
          <w:highlight w:val="none"/>
        </w:rPr>
        <w:t xml:space="preserve">所有</w:t>
      </w:r>
      <w:r>
        <w:rPr>
          <w:rFonts w:ascii="宋体" w:hAnsi="宋体" w:cs="宋体"/>
          <w:bCs/>
          <w:color w:val="000000"/>
          <w:sz w:val="24"/>
          <w:szCs w:val="24"/>
          <w:highlight w:val="none"/>
        </w:rPr>
        <w:t xml:space="preserve">人员必须</w:t>
      </w:r>
      <w:r>
        <w:rPr>
          <w:rFonts w:hint="eastAsia" w:ascii="宋体" w:hAnsi="宋体" w:cs="宋体"/>
          <w:bCs/>
          <w:color w:val="000000"/>
          <w:sz w:val="24"/>
          <w:szCs w:val="24"/>
          <w:highlight w:val="none"/>
        </w:rPr>
        <w:t xml:space="preserve">100%岗前培训合格后</w:t>
      </w:r>
      <w:r>
        <w:rPr>
          <w:rFonts w:ascii="宋体" w:hAnsi="宋体" w:cs="宋体"/>
          <w:bCs/>
          <w:color w:val="000000"/>
          <w:sz w:val="24"/>
          <w:szCs w:val="24"/>
          <w:highlight w:val="none"/>
        </w:rPr>
        <w:t xml:space="preserve">上岗</w:t>
      </w:r>
      <w:r>
        <w:rPr>
          <w:rFonts w:hint="eastAsia" w:ascii="宋体" w:hAnsi="宋体" w:cs="宋体"/>
          <w:bCs/>
          <w:color w:val="000000"/>
          <w:sz w:val="24"/>
          <w:szCs w:val="24"/>
          <w:highlight w:val="none"/>
        </w:rPr>
        <w:t xml:space="preserve">，制定班组间及岗位</w:t>
      </w:r>
      <w:r>
        <w:rPr>
          <w:rFonts w:ascii="宋体" w:hAnsi="宋体" w:cs="宋体"/>
          <w:bCs/>
          <w:color w:val="000000"/>
          <w:sz w:val="24"/>
          <w:szCs w:val="24"/>
          <w:highlight w:val="none"/>
        </w:rPr>
        <w:t xml:space="preserve">交接</w:t>
      </w:r>
      <w:r>
        <w:rPr>
          <w:rFonts w:hint="eastAsia" w:ascii="宋体" w:hAnsi="宋体" w:cs="宋体"/>
          <w:bCs/>
          <w:color w:val="000000"/>
          <w:sz w:val="24"/>
          <w:szCs w:val="24"/>
          <w:highlight w:val="none"/>
        </w:rPr>
        <w:t xml:space="preserve">班</w:t>
      </w:r>
      <w:r>
        <w:rPr>
          <w:rFonts w:ascii="宋体" w:hAnsi="宋体" w:cs="宋体"/>
          <w:bCs/>
          <w:color w:val="000000"/>
          <w:sz w:val="24"/>
          <w:szCs w:val="24"/>
          <w:highlight w:val="none"/>
        </w:rPr>
        <w:t xml:space="preserve">制度</w:t>
      </w:r>
      <w:r>
        <w:rPr>
          <w:rFonts w:hint="eastAsia" w:ascii="宋体" w:hAnsi="宋体" w:cs="宋体"/>
          <w:bCs/>
          <w:color w:val="000000"/>
          <w:sz w:val="24"/>
          <w:szCs w:val="24"/>
          <w:highlight w:val="none"/>
        </w:rPr>
        <w:t xml:space="preserve">、下一班人员未到上一班岗人员不得离岗</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每半月组织开展1次安保分项（消防、治安等）应急响应处置演训，每月开展1次全体保安管理例会。</w:t>
      </w:r>
      <w:r>
        <w:rPr>
          <w:rFonts w:ascii="宋体" w:hAnsi="宋体" w:cs="宋体"/>
          <w:bCs/>
          <w:color w:val="000000"/>
          <w:sz w:val="24"/>
          <w:szCs w:val="24"/>
          <w:highlight w:val="none"/>
        </w:rPr>
      </w:r>
      <w:r/>
    </w:p>
    <w:p>
      <w:pPr>
        <w:pStyle w:val="843"/>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3.针对采购人参加的各级各类评审、检查、创建活动，中标供应商应</w:t>
      </w:r>
      <w:r>
        <w:rPr>
          <w:rFonts w:ascii="宋体" w:hAnsi="宋体" w:cs="宋体"/>
          <w:bCs/>
          <w:color w:val="000000"/>
          <w:sz w:val="24"/>
          <w:szCs w:val="24"/>
          <w:highlight w:val="none"/>
        </w:rPr>
        <w:t xml:space="preserve">无条件</w:t>
      </w:r>
      <w:r>
        <w:rPr>
          <w:rFonts w:hint="eastAsia" w:ascii="宋体" w:hAnsi="宋体" w:cs="宋体"/>
          <w:bCs/>
          <w:color w:val="000000"/>
          <w:sz w:val="24"/>
          <w:szCs w:val="24"/>
          <w:highlight w:val="none"/>
        </w:rPr>
        <w:t xml:space="preserve">按照采购人要求积极配合。</w:t>
      </w:r>
      <w:r>
        <w:rPr>
          <w:rFonts w:ascii="宋体" w:hAnsi="宋体" w:cs="宋体"/>
          <w:bCs/>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4.中标供应商</w:t>
      </w:r>
      <w:r>
        <w:rPr>
          <w:rFonts w:hint="eastAsia" w:ascii="宋体" w:hAnsi="宋体" w:cs="宋体"/>
          <w:color w:val="000000"/>
          <w:sz w:val="24"/>
          <w:szCs w:val="24"/>
          <w:highlight w:val="none"/>
        </w:rPr>
        <w:t xml:space="preserve">每月25日前须发上一月度保安工资，如拖欠发放不到位，每次月度单项考核服务扣款6000元。</w:t>
      </w:r>
      <w:r>
        <w:rPr>
          <w:rFonts w:hint="eastAsia" w:ascii="宋体" w:hAnsi="宋体" w:cs="宋体"/>
          <w:bCs/>
          <w:color w:val="000000"/>
          <w:sz w:val="24"/>
          <w:szCs w:val="24"/>
          <w:highlight w:val="none"/>
        </w:rPr>
        <w:t xml:space="preserve">负责承担相关人员的合法用工及其他相关权益；按采购文件要求用工用人交金等，确保不因员工与公司的任何争议影响到医院的权益，否则视为违约，采购人有权单方解除项目采购合同。</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5.中标供应商</w:t>
      </w:r>
      <w:r>
        <w:rPr>
          <w:rFonts w:ascii="宋体" w:hAnsi="宋体" w:cs="宋体"/>
          <w:color w:val="000000"/>
          <w:sz w:val="24"/>
          <w:szCs w:val="24"/>
          <w:highlight w:val="none"/>
        </w:rPr>
        <w:t xml:space="preserve">应加强</w:t>
      </w:r>
      <w:r>
        <w:rPr>
          <w:rFonts w:hint="eastAsia" w:ascii="宋体" w:hAnsi="宋体" w:cs="宋体"/>
          <w:color w:val="000000"/>
          <w:sz w:val="24"/>
          <w:szCs w:val="24"/>
          <w:highlight w:val="none"/>
        </w:rPr>
        <w:t xml:space="preserve">项目</w:t>
      </w:r>
      <w:r>
        <w:rPr>
          <w:rFonts w:ascii="宋体" w:hAnsi="宋体" w:cs="宋体"/>
          <w:color w:val="000000"/>
          <w:sz w:val="24"/>
          <w:szCs w:val="24"/>
          <w:highlight w:val="none"/>
        </w:rPr>
        <w:t xml:space="preserve">管理</w:t>
      </w:r>
      <w:r>
        <w:rPr>
          <w:rFonts w:hint="eastAsia" w:ascii="宋体" w:hAnsi="宋体" w:cs="宋体"/>
          <w:color w:val="000000"/>
          <w:sz w:val="24"/>
          <w:szCs w:val="24"/>
          <w:highlight w:val="none"/>
        </w:rPr>
        <w:t xml:space="preserve">考核</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确保所派员工队伍的相对稳定，项目所有员工除在采购人服务外，不得在其他场所兼职。</w:t>
      </w:r>
      <w:r>
        <w:rPr>
          <w:rFonts w:hint="eastAsia" w:ascii="宋体" w:hAnsi="宋体" w:cs="宋体"/>
          <w:b/>
          <w:color w:val="000000"/>
          <w:sz w:val="24"/>
          <w:szCs w:val="24"/>
          <w:highlight w:val="none"/>
        </w:rPr>
        <w:t xml:space="preserve">同1人在本项目上，不得发生中夜连班、夜早连班现象，否则按1个班出勤考核，同时考核中标供应商项目管理分。</w:t>
      </w:r>
      <w:r>
        <w:rPr>
          <w:rFonts w:hint="eastAsia" w:ascii="宋体" w:hAnsi="宋体" w:cs="宋体"/>
          <w:b/>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6.在突发应急的情况下，采购人有直接管理、设置和调动保安人员的权力；有权要求中标供应商及时更换不服从管理、违纪或其他原因不适合继续在采购人工作的保安人员。</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7.提供保安服务后，除正常调休人员外，确保不缺人缺岗，如有重大活动，必须服从采购人的安排。</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8.派驻的安保人员要提供身份证、健康证明、保安从业资格证，确保录用人员没有违法犯罪记录（中标后签订合同前全部交由采购人审核）。</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9.采购人有权根据医院的门诊及住院病人情况调整并核定每一阶段的实际用工人数，并支付实际产生的费用，人数及费用均不超过供应商投标文件总额范围。</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10.保安人员需做到集中考勤（中标人提供技术考勤设备，以每月实际考勤数支付服务费）、集中交班、集中上岗。</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11.所有服务人员的体检项目应包含血常规、尿常规、肝功能、胸片、心电图等，并每年体检一次。</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12.中标供应商公司内部有岗前培训机构，服务人员100%经过岗前培训合格后才能上岗。</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中标供应商的全部服务人员劳动合同须严格按照《中华人民共和国劳动法》之标准执行，中标供应商应严格按国家有关法律、法规要求，为员工缴纳各项社会保险金，服务人员工资须符合国家、省、市的相关规定，符合无锡市最低工资标准，符合国家法定节假日的加班费和高温费等，同时中标供应商须负责购买公众责任险和员工意外保险（保额不低于150万元），并向采购人提供各类员工的工资单和缴纳福利证明复印件。</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14.所有服务人员进场、辞退前必须得到采购人的确认。</w:t>
      </w:r>
      <w:r>
        <w:rPr>
          <w:rFonts w:hint="eastAsia" w:ascii="宋体" w:hAnsi="宋体" w:cs="宋体"/>
          <w:color w:val="000000"/>
          <w:sz w:val="24"/>
          <w:szCs w:val="24"/>
          <w:highlight w:val="none"/>
        </w:rPr>
      </w:r>
      <w:r/>
    </w:p>
    <w:p>
      <w:pPr>
        <w:pStyle w:val="843"/>
        <w:ind w:firstLine="480"/>
        <w:spacing w:line="360" w:lineRule="auto"/>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（四）装备要求</w:t>
      </w:r>
      <w:r>
        <w:rPr>
          <w:rFonts w:ascii="宋体" w:hAnsi="宋体" w:cs="宋体"/>
          <w:b/>
          <w:color w:val="000000"/>
          <w:sz w:val="24"/>
          <w:szCs w:val="24"/>
          <w:highlight w:val="none"/>
        </w:rPr>
      </w:r>
      <w:r/>
    </w:p>
    <w:p>
      <w:pPr>
        <w:pStyle w:val="843"/>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1.基本装备：特勤人员着特勤服，保安四季服装</w:t>
      </w:r>
      <w:r>
        <w:rPr>
          <w:rFonts w:hint="eastAsia" w:ascii="宋体" w:hAnsi="宋体" w:cs="宋体"/>
          <w:color w:val="000000"/>
          <w:sz w:val="24"/>
          <w:szCs w:val="24"/>
          <w:highlight w:val="none"/>
        </w:rPr>
        <w:t xml:space="preserve">（着保安服、系武装带，戴保安帽）</w:t>
      </w:r>
      <w:r>
        <w:rPr>
          <w:rFonts w:hint="eastAsia" w:ascii="宋体" w:hAnsi="宋体" w:cs="宋体"/>
          <w:bCs/>
          <w:color w:val="000000"/>
          <w:sz w:val="24"/>
          <w:szCs w:val="24"/>
          <w:highlight w:val="none"/>
        </w:rPr>
        <w:t xml:space="preserve">、移动视频执法记录仪、对讲机、电筒、橡胶棍、盾牌、防暴叉、防暴背心、防割手套、头盔、哨子、</w:t>
      </w:r>
      <w:r>
        <w:rPr>
          <w:rFonts w:hint="eastAsia" w:ascii="宋体" w:hAnsi="宋体" w:cs="宋体"/>
          <w:color w:val="000000"/>
          <w:sz w:val="24"/>
          <w:szCs w:val="24"/>
          <w:highlight w:val="none"/>
        </w:rPr>
        <w:t xml:space="preserve">约束绳、巡逻电动车辆、雨具</w:t>
      </w:r>
      <w:r>
        <w:rPr>
          <w:rFonts w:hint="eastAsia" w:ascii="宋体" w:hAnsi="宋体" w:cs="宋体"/>
          <w:bCs/>
          <w:color w:val="000000"/>
          <w:sz w:val="24"/>
          <w:szCs w:val="24"/>
          <w:highlight w:val="none"/>
        </w:rPr>
        <w:t xml:space="preserve">等常用装备由中标供应商统一提供，配备数量应确保安保工作的正常开展；基本配置参见附表：保安防暴及物资工具表。</w:t>
      </w:r>
      <w:r>
        <w:rPr>
          <w:rFonts w:ascii="宋体" w:hAnsi="宋体" w:cs="宋体"/>
          <w:bCs/>
          <w:color w:val="000000"/>
          <w:sz w:val="24"/>
          <w:szCs w:val="24"/>
          <w:highlight w:val="none"/>
        </w:rPr>
      </w:r>
      <w:r/>
    </w:p>
    <w:p>
      <w:pPr>
        <w:pStyle w:val="843"/>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2.个性化需求装备：需配备考勤系统及二维码电子巡查系统或装备，能对安保人员的签到考勤、巡防巡查路线以及所在位置进行循迹监控，并可以进行相关工作情况的数据反馈，作为业主单位的考核依据；</w:t>
      </w:r>
      <w:r>
        <w:rPr>
          <w:rFonts w:hint="eastAsia" w:ascii="宋体" w:hAnsi="宋体" w:cs="宋体"/>
          <w:color w:val="000000"/>
          <w:sz w:val="24"/>
          <w:szCs w:val="24"/>
          <w:highlight w:val="none"/>
        </w:rPr>
        <w:t xml:space="preserve">以上装备费用由中标供应商自理。</w:t>
      </w:r>
      <w:r>
        <w:rPr>
          <w:rFonts w:ascii="宋体" w:hAnsi="宋体" w:cs="宋体"/>
          <w:bCs/>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3.根据公安部门要求适时开展的专项安保活动需增设的其他装备，双方协商解决。</w:t>
      </w:r>
      <w:r>
        <w:rPr>
          <w:rFonts w:hint="eastAsia" w:ascii="宋体" w:hAnsi="宋体" w:cs="宋体"/>
          <w:color w:val="000000"/>
          <w:sz w:val="24"/>
          <w:szCs w:val="24"/>
          <w:highlight w:val="none"/>
        </w:rPr>
      </w:r>
      <w:r/>
    </w:p>
    <w:p>
      <w:pPr>
        <w:pStyle w:val="843"/>
        <w:ind w:firstLine="480"/>
        <w:spacing w:line="360" w:lineRule="auto"/>
        <w:widowControl/>
        <w:rPr>
          <w:rFonts w:ascii="宋体" w:hAnsi="宋体" w:cs="宋体"/>
          <w:b/>
          <w:color w:val="000000"/>
          <w:sz w:val="24"/>
          <w:szCs w:val="24"/>
          <w:highlight w:val="none"/>
        </w:rPr>
      </w:pPr>
      <w:r>
        <w:rPr>
          <w:rFonts w:hint="eastAsia" w:ascii="宋体" w:hAnsi="宋体" w:cs="宋体"/>
          <w:color w:val="000000"/>
          <w:sz w:val="24"/>
          <w:szCs w:val="24"/>
          <w:highlight w:val="none"/>
        </w:rPr>
        <w:t xml:space="preserve">具体参见</w:t>
      </w:r>
      <w:r>
        <w:rPr>
          <w:rFonts w:hint="eastAsia" w:ascii="宋体" w:hAnsi="宋体" w:cs="宋体"/>
          <w:b/>
          <w:color w:val="000000"/>
          <w:sz w:val="24"/>
          <w:szCs w:val="24"/>
          <w:highlight w:val="none"/>
        </w:rPr>
        <w:t xml:space="preserve">附件2：安保服务基本装备情况表</w:t>
      </w:r>
      <w:r>
        <w:rPr>
          <w:rFonts w:ascii="宋体" w:hAnsi="宋体" w:cs="宋体"/>
          <w:b/>
          <w:color w:val="000000"/>
          <w:sz w:val="24"/>
          <w:szCs w:val="24"/>
          <w:highlight w:val="none"/>
        </w:rPr>
      </w:r>
      <w:r/>
    </w:p>
    <w:p>
      <w:pPr>
        <w:pStyle w:val="843"/>
        <w:ind w:firstLine="480"/>
        <w:spacing w:line="360" w:lineRule="auto"/>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（五） 安保工作基本要求</w:t>
      </w:r>
      <w:r>
        <w:rPr>
          <w:rFonts w:ascii="宋体" w:hAnsi="宋体" w:cs="宋体"/>
          <w:b/>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中标单位应设立专门的项目部，并派驻1名项目经理常驻院方现场，负责协调与管理工作；特勤员按要求设置，队长1人、副队长兼特勤队长（特勤人员中选任）1、消防管理协管员1人、停车（收费）管理1人，早中夜每班配置正副班长各1人。周末、节假日至少有1名管理人员现场管理。</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（2）包括项目经理、队长、特勤等所有人员，应服从医院及保安公司的双重管理，服从调配。应认真履行岗位职责，执行保安勤务方案，遵守医院的规章制度，维护院方的利益。  </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（3）保安人员要维护好所辖区域的正常医疗秩序，做好相应的引导或礼仪，注重仪容仪表，态度和蔼，热心提供帮助服务等。</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（4）保安人员要加强对出入院门人员、车辆及携带物资进行检查、验证和登记，保障院方财产安全和职工病员人身安全，防止不法分子进入医院，防止危险物品带入医院。</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（5）停车（收费）管理人员要保证医院各车辆出、入口畅通、院区车辆安全合理停放、保证主干道通畅，杜绝车辆拥堵、违停等现象发生。</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保安人员实行每2小时1次全院性和重点部门巡查，及时发现火灾、盗窃、恐怖、破坏和治安隐患；严禁外来人员在院内非法张贴、发放宣传资料，严防医托；严禁非法和违规张贴、悬挂广告标语物；防止各类不利于医院治安秩序和稳定事件的发生。</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保安人员应认真履职，主动发现医院安全隐患并提出整改意见，遇紧急突发事件发生，必须积极作为，有效控制事态发展。发现火险、盗窃、破坏、冲击医院医疗秩序等突发状况时，保安人员应第一时间采取紧急措施，并立即逐级汇报，抓获的犯罪分子或嫌疑对象应速报院方分管领导和公安、司法机关查处。</w:t>
      </w:r>
      <w:r>
        <w:rPr>
          <w:rFonts w:ascii="宋体" w:hAnsi="宋体" w:cs="宋体"/>
          <w:color w:val="000000"/>
          <w:sz w:val="24"/>
          <w:szCs w:val="24"/>
          <w:highlight w:val="none"/>
        </w:rPr>
      </w:r>
      <w:r/>
    </w:p>
    <w:p>
      <w:pPr>
        <w:pStyle w:val="843"/>
        <w:ind w:firstLine="480"/>
        <w:spacing w:line="360" w:lineRule="auto"/>
        <w:rPr>
          <w:rFonts w:ascii="宋体" w:hAnsi="宋体" w:cs="宋体"/>
          <w:b/>
          <w:color w:val="000000"/>
          <w:sz w:val="24"/>
          <w:szCs w:val="24"/>
          <w:highlight w:val="none"/>
        </w:rPr>
      </w:pPr>
      <w:r>
        <w:rPr>
          <w:rFonts w:hint="eastAsia" w:ascii="宋体" w:hAnsi="宋体" w:cs="宋体"/>
          <w:color w:val="000000"/>
          <w:sz w:val="24"/>
          <w:szCs w:val="24"/>
          <w:highlight w:val="none"/>
        </w:rPr>
        <w:t xml:space="preserve">服务人员工作纪律，</w:t>
      </w:r>
      <w:r>
        <w:rPr>
          <w:rFonts w:hint="eastAsia" w:ascii="宋体" w:hAnsi="宋体" w:cs="宋体"/>
          <w:b/>
          <w:color w:val="000000"/>
          <w:sz w:val="24"/>
          <w:szCs w:val="24"/>
          <w:highlight w:val="none"/>
        </w:rPr>
        <w:t xml:space="preserve">参见附件5：安保服务人员工作纪律</w:t>
      </w:r>
      <w:r>
        <w:rPr>
          <w:rFonts w:ascii="宋体" w:hAnsi="宋体" w:cs="宋体"/>
          <w:b/>
          <w:color w:val="000000"/>
          <w:sz w:val="24"/>
          <w:szCs w:val="24"/>
          <w:highlight w:val="none"/>
        </w:rPr>
      </w:r>
      <w:r/>
    </w:p>
    <w:p>
      <w:pPr>
        <w:pStyle w:val="843"/>
        <w:ind w:firstLine="480"/>
        <w:spacing w:line="360" w:lineRule="auto"/>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（六） 安保服务质量要求</w:t>
      </w:r>
      <w:r>
        <w:rPr>
          <w:rFonts w:ascii="宋体" w:hAnsi="宋体" w:cs="宋体"/>
          <w:b/>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（1）服务质量基本要求：保证所管区域的正常工作秩序，防范失火、失盗、破坏、事故发生，对各种突发事件能及时处理控制，为医院提供安全的工作生活环境。</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（2）服务内容、规程及标准：遵照国务院2022年5月1日修订实施的《保安服务管理条例》，以及中华人民共和国公安部2006年6月1日实施的《保安服务操作规程与质量控制》和医院制定的有关安全规章制度执行。</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保安公司应明确指定项目经理，加强服务质量控制、督查和工作协调，保持队伍稳定，并制定详实考核细则，落实按月对保安服务质量和满意度进行考核奖惩，考核结果书面通报给院方，确保服务质量让采购人满意。</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保安公司须对院方提出的有关服务质量整改要求作出明确响应和落实时间承诺。对大于等于3次拒不执行服务调整或经多次督导仍未达到院方要求的服务质量，采购人有权提出终止合同，并由保安公司承担违约责任。</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（5）医院有权对保安人员的工作进行检查、督促、考核，并与保安公司当月兑现奖惩，并有权提出辞退意见。</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（6）保安公司每月至少安排1次保安人员集中业务培训，做好相关培训记录。</w:t>
      </w:r>
      <w:r>
        <w:rPr>
          <w:rFonts w:ascii="宋体" w:hAnsi="宋体" w:cs="宋体"/>
          <w:color w:val="000000"/>
          <w:sz w:val="24"/>
          <w:szCs w:val="24"/>
          <w:highlight w:val="none"/>
        </w:rPr>
      </w:r>
      <w:r/>
    </w:p>
    <w:p>
      <w:pPr>
        <w:pStyle w:val="843"/>
        <w:ind w:firstLine="480"/>
        <w:spacing w:line="360" w:lineRule="auto"/>
        <w:widowControl/>
        <w:rPr>
          <w:rFonts w:ascii="宋体" w:hAnsi="宋体" w:cs="宋体"/>
          <w:color w:val="000000"/>
          <w:sz w:val="24"/>
          <w:szCs w:val="24"/>
          <w:highlight w:val="none"/>
        </w:rPr>
      </w:pPr>
      <w:r>
        <w:rPr>
          <w:rFonts w:hint="eastAsia" w:ascii="宋体" w:hAnsi="宋体" w:cs="宋体"/>
          <w:b/>
          <w:color w:val="000000"/>
          <w:sz w:val="24"/>
          <w:szCs w:val="24"/>
          <w:highlight w:val="none"/>
        </w:rPr>
        <w:t xml:space="preserve">（七）安保方案要求：</w:t>
      </w:r>
      <w:r>
        <w:rPr>
          <w:rFonts w:hint="eastAsia" w:ascii="宋体" w:hAnsi="宋体" w:cs="宋体"/>
          <w:color w:val="000000"/>
          <w:sz w:val="24"/>
          <w:szCs w:val="24"/>
          <w:highlight w:val="none"/>
        </w:rPr>
        <w:t xml:space="preserve">经实地踏勘后，投标人须提供相关安保服务计划、安保配置措施方案、应急预案，并细化提供各班人数和岗位配置任务。</w:t>
      </w:r>
      <w:r>
        <w:rPr>
          <w:rFonts w:ascii="宋体" w:hAnsi="宋体" w:cs="宋体"/>
          <w:color w:val="000000"/>
          <w:sz w:val="24"/>
          <w:szCs w:val="24"/>
          <w:highlight w:val="none"/>
        </w:rPr>
      </w:r>
      <w:r/>
    </w:p>
    <w:p>
      <w:pPr>
        <w:pStyle w:val="843"/>
        <w:ind w:firstLine="480"/>
        <w:spacing w:line="360" w:lineRule="auto"/>
        <w:widowControl/>
        <w:rPr>
          <w:rFonts w:ascii="宋体" w:hAnsi="宋体" w:cs="宋体"/>
          <w:color w:val="000000"/>
          <w:sz w:val="24"/>
          <w:szCs w:val="24"/>
          <w:highlight w:val="none"/>
        </w:rPr>
      </w:pPr>
      <w:r>
        <w:rPr>
          <w:rFonts w:hint="eastAsia" w:ascii="宋体" w:hAnsi="宋体" w:cs="宋体"/>
          <w:b/>
          <w:color w:val="000000"/>
          <w:sz w:val="24"/>
          <w:szCs w:val="24"/>
          <w:highlight w:val="none"/>
        </w:rPr>
        <w:t xml:space="preserve">（八）服务承诺要求：</w:t>
      </w:r>
      <w:r>
        <w:rPr>
          <w:rFonts w:hint="eastAsia" w:ascii="宋体" w:hAnsi="宋体" w:cs="宋体"/>
          <w:color w:val="000000"/>
          <w:sz w:val="24"/>
          <w:szCs w:val="24"/>
          <w:highlight w:val="none"/>
        </w:rPr>
        <w:t xml:space="preserve">投标人应对下列情况作出具体细化承诺</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 所服务区域内发生火警火险、财产被盗、车辆丢失或损坏等应承担的责任和经济赔偿；</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 因保安队员失职、违法行为造成甲方或第三方人身、财产损失等应承担的责任和经济赔偿；</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 因保安人员自身形象或行为导致投诉、并造成医院恶劣影响的处置承诺；</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 对发生医疗纠纷、突发性事件，公司能提供的应急措施和人员调配方案。</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 在服务期间，如遇医院运行突发需要，中标单位需按照院方的具体要求增派保安人员，以确保医院完成突发性工作。</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 其他服务承诺。</w:t>
      </w:r>
      <w:r>
        <w:rPr>
          <w:rFonts w:ascii="宋体" w:hAnsi="宋体" w:cs="宋体"/>
          <w:color w:val="000000"/>
          <w:sz w:val="24"/>
          <w:szCs w:val="24"/>
          <w:highlight w:val="none"/>
        </w:rPr>
      </w:r>
      <w:r/>
    </w:p>
    <w:p>
      <w:pPr>
        <w:pStyle w:val="850"/>
        <w:ind w:firstLine="482"/>
        <w:rPr>
          <w:rFonts w:ascii="宋体" w:hAnsi="宋体" w:cs="宋体"/>
          <w:b/>
          <w:bCs/>
          <w:color w:val="000000"/>
          <w:szCs w:val="24"/>
          <w:highlight w:val="none"/>
        </w:rPr>
      </w:pPr>
      <w:r>
        <w:rPr>
          <w:rFonts w:hint="eastAsia" w:ascii="宋体" w:hAnsi="宋体" w:cs="宋体"/>
          <w:b/>
          <w:color w:val="000000"/>
          <w:szCs w:val="24"/>
          <w:highlight w:val="none"/>
        </w:rPr>
        <w:t xml:space="preserve">（九）</w:t>
      </w:r>
      <w:r>
        <w:rPr>
          <w:rFonts w:hint="eastAsia" w:ascii="宋体" w:hAnsi="宋体" w:cs="宋体"/>
          <w:b/>
          <w:bCs/>
          <w:color w:val="000000"/>
          <w:szCs w:val="24"/>
          <w:highlight w:val="none"/>
        </w:rPr>
        <w:t xml:space="preserve">服务保障要求：</w:t>
      </w:r>
      <w:r>
        <w:rPr>
          <w:rFonts w:hint="eastAsia" w:ascii="宋体" w:hAnsi="宋体" w:cs="宋体"/>
          <w:color w:val="000000"/>
          <w:szCs w:val="24"/>
          <w:highlight w:val="none"/>
        </w:rPr>
        <w:t xml:space="preserve">中标方每月需为消控、特勤、门卫、巡逻等安保人员提供2500元绩效考核奖，由中标方负责决定人员奖励分配方案并经采购人确认，由中标方直接支付给消控、保安人员，该费用由中标方承担；未设置和未实施月度考核奖机制的，采购人予以考核。</w:t>
      </w:r>
      <w:r>
        <w:rPr>
          <w:rFonts w:ascii="宋体" w:hAnsi="宋体" w:cs="宋体"/>
          <w:b/>
          <w:bCs/>
          <w:color w:val="000000"/>
          <w:szCs w:val="24"/>
          <w:highlight w:val="none"/>
        </w:rPr>
      </w:r>
      <w:r/>
    </w:p>
    <w:p>
      <w:pPr>
        <w:pStyle w:val="843"/>
        <w:ind w:firstLine="480"/>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（十）报价内容要求</w:t>
      </w:r>
      <w:r>
        <w:rPr>
          <w:rFonts w:ascii="宋体" w:hAnsi="宋体" w:cs="宋体"/>
          <w:b/>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设报价限价：7222000元</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 投标报价应符合国家、省、市的相关规定，符合无锡市最低工资标准且须缴纳社会保险费。主要包含以下内容：安保人员的工资、社保基金、公积金、福利待遇、国定假、双休日加班费、中夜班费、高温费以及其他各类管理费用、开票税金等。</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 在上述报价和服务范围以外的应急特殊情况下超编超时人员加班费用收费标准（医疗纠纷、外出送检等）。</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 投标人报价时应充分考虑服务期内所有可能影响的因素，一旦投标结束最终中标，人均岗位费用将固定，不予调整。如发生漏、缺、少项，都将被认为是中标人的报价让利行为，损失自负。</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 中标单位应按照相关规定，与所有聘用人员依法签订劳动合同。</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 服务费用支付方式：实行按月考核，按实际在岗人员结算，公司应提供服务费发票，税额由公司自理。</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 中标方不得将本项目转让和转包第三方。</w:t>
      </w:r>
      <w:r>
        <w:rPr>
          <w:rFonts w:ascii="宋体" w:hAnsi="宋体" w:cs="宋体"/>
          <w:color w:val="000000"/>
          <w:sz w:val="24"/>
          <w:szCs w:val="24"/>
          <w:highlight w:val="none"/>
        </w:rPr>
      </w:r>
      <w:r/>
    </w:p>
    <w:p>
      <w:pPr>
        <w:pStyle w:val="843"/>
        <w:ind w:firstLine="480"/>
        <w:spacing w:line="360" w:lineRule="auto"/>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（十一）其他责任约定</w:t>
      </w:r>
      <w:r>
        <w:rPr>
          <w:rFonts w:ascii="宋体" w:hAnsi="宋体" w:cs="宋体"/>
          <w:b/>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1.合同期内，中标供应商必须按照医院要求购买相应期限的公众责任险。中标方保安人员遭受人身意外伤害或突发疾病，无论是否构成工伤，均由乙方负责处理赔偿及善后事宜，与采购方无关。</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2.中标方应当确保安保人员在执行保安任务过程中遵章守则、遵纪守法，如因保安人员本身过错给采购方或第三人造成损害的，由中标方承担相应赔偿责任和善后事宜。</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3.因保安队员工作失职、渎职造成采购方的财产损失的，中标方应全额赔偿并承担相应责任。</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发生自行车失窃，扣100元/辆，电动车电瓶失窃，扣150元/只，旧电动车失窃，扣300元/辆。新电动车失窃，扣1000元/辆，全年自行车、电动车累计案发率不得高于3次。高于上述指标，每发生1次失窃案件，在上述基础上加倍扣款，但最多不高于车辆原价。在当月服务费中扣除，可累计计算。</w:t>
      </w:r>
      <w:r>
        <w:rPr>
          <w:rFonts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5.如果服务过程中出现服务和整改不到位或发生安全事故等问题，无锡市精神卫生中心有权终止合同、解除服务，同时中标供应商必须配合完成善后工作并承担相应的一切责任。</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6.采购人配备给中标供应商使用的固定资产（若有），中标供应商应当妥善保管、爱惜使用，因管理不到位、野蛮使用造成的丢失损坏或寿命缩短，由中标供应商照价赔偿。</w:t>
      </w:r>
      <w:r>
        <w:rPr>
          <w:rFonts w:hint="eastAsia" w:ascii="宋体" w:hAnsi="宋体" w:cs="宋体"/>
          <w:color w:val="000000"/>
          <w:sz w:val="24"/>
          <w:szCs w:val="24"/>
          <w:highlight w:val="none"/>
        </w:rPr>
      </w:r>
      <w:r/>
    </w:p>
    <w:p>
      <w:pPr>
        <w:pStyle w:val="843"/>
        <w:ind w:firstLine="480"/>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四、其他说明</w:t>
      </w:r>
      <w:r>
        <w:rPr>
          <w:rFonts w:ascii="宋体" w:hAnsi="宋体" w:cs="宋体"/>
          <w:b/>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投标报价应符合国家、省、市的相关规定，员工薪酬应遵照劳动法要求，且基本工资不低于无锡市最低工资标准，且缴纳社会保险费。投标报价包含以下内容：员工基本工资、社保基金、公积金、福利待遇、国家法定节假日、加班费用、应急保障、中夜班费、高温费以及其他各类管理费用、开票税金、月度绩效考核奖等等。</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人应充分考虑服务期内所有可能影响到的因素，包含国家政策性调整基本工资（即无锡市最低保障工资），中标方应按照国家相关规定执行。一旦投标结束最终中标，人均岗位费用将固定，在服务期内采购方人均岗位费用在服务期内不再作调整。除采购方要求变更岗位配置数量外，如发生漏、缺、少项，都将被认为是中标人的报价让利行为，损失自负。</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3.中标方在履约过程中确因维持运行困难，可提前6个月向采购方提出书面申请，终止合约履行；或</w:t>
      </w:r>
      <w:bookmarkStart w:id="48" w:name="OLE_LINK14"/>
      <w:r>
        <w:rPr>
          <w:rFonts w:hint="eastAsia" w:ascii="宋体" w:hAnsi="宋体" w:cs="宋体"/>
          <w:color w:val="000000"/>
          <w:sz w:val="24"/>
          <w:szCs w:val="24"/>
          <w:highlight w:val="none"/>
        </w:rPr>
        <w:t xml:space="preserve">采购方在考核过程中考核分连续三个月未达85分（含）者，或中标方在履约期间发生中标方员工在工作场所聚众闹事或集体上访或发生重大安全事故，给采购方造成不良影响和严重经济损失的，采购方有权依照法律程序解除合同，并追究中标方的违约责任。</w:t>
      </w:r>
      <w:r>
        <w:rPr>
          <w:rFonts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rPr>
      </w:pPr>
      <w:r/>
      <w:bookmarkEnd w:id="48"/>
      <w:r>
        <w:rPr>
          <w:rFonts w:hint="eastAsia" w:ascii="宋体" w:hAnsi="宋体" w:cs="宋体"/>
          <w:color w:val="000000"/>
          <w:sz w:val="24"/>
          <w:szCs w:val="24"/>
          <w:highlight w:val="none"/>
        </w:rPr>
        <w:t xml:space="preserve">4.若由于中标人原因终止合同，除了支付合同金额20%的违约金外，造成的采购人的一切损失均由中标人承担；由于中标人原因终止合同，而造成中标人自身的损失，由中标人自行承担，采购人一律不承担。</w:t>
      </w:r>
      <w:r>
        <w:rPr>
          <w:rFonts w:ascii="宋体" w:hAnsi="宋体" w:cs="宋体"/>
          <w:color w:val="000000"/>
          <w:sz w:val="24"/>
          <w:szCs w:val="24"/>
          <w:highlight w:val="none"/>
        </w:rPr>
      </w:r>
      <w:r/>
    </w:p>
    <w:p>
      <w:pPr>
        <w:pStyle w:val="843"/>
        <w:ind w:firstLine="480"/>
        <w:spacing w:line="360" w:lineRule="auto"/>
        <w:rPr>
          <w:rFonts w:hint="eastAsia" w:ascii="宋体" w:hAnsi="宋体" w:cs="宋体"/>
          <w:b/>
          <w:color w:val="000000"/>
          <w:sz w:val="24"/>
          <w:szCs w:val="24"/>
          <w:highlight w:val="none"/>
        </w:rPr>
      </w:pPr>
      <w:r/>
      <w:bookmarkStart w:id="49" w:name="OLE_LINK49"/>
      <w:r/>
      <w:bookmarkStart w:id="50" w:name="OLE_LINK48"/>
      <w:r>
        <w:rPr>
          <w:rFonts w:hint="eastAsia" w:ascii="宋体" w:hAnsi="宋体" w:cs="宋体"/>
          <w:b/>
          <w:color w:val="000000"/>
          <w:sz w:val="24"/>
          <w:szCs w:val="24"/>
          <w:highlight w:val="none"/>
        </w:rPr>
        <w:t xml:space="preserve">五、合同终止及相关</w:t>
      </w:r>
      <w:r>
        <w:rPr>
          <w:rFonts w:hint="eastAsia" w:ascii="宋体" w:hAnsi="宋体" w:cs="宋体"/>
          <w:b/>
          <w:color w:val="000000"/>
          <w:sz w:val="24"/>
          <w:szCs w:val="24"/>
          <w:highlight w:val="none"/>
        </w:rPr>
      </w:r>
      <w:r/>
    </w:p>
    <w:p>
      <w:pPr>
        <w:pStyle w:val="84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合同终止条款：如出现以下情况之一，采购人有权解除合同，并追究中标供应商的违约责任：</w:t>
      </w:r>
      <w:r>
        <w:rPr>
          <w:rFonts w:hint="eastAsia" w:ascii="宋体" w:hAnsi="宋体" w:cs="宋体"/>
          <w:bCs/>
          <w:color w:val="000000"/>
          <w:sz w:val="24"/>
          <w:szCs w:val="24"/>
          <w:highlight w:val="none"/>
        </w:rPr>
      </w:r>
      <w:r/>
    </w:p>
    <w:p>
      <w:pPr>
        <w:pStyle w:val="84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采购需求中所提及保安人员的相关证书、要求等，投标人无需在投标文件中逐一列出人员及提供相关证明，中标并合同签订生效后，中标人须按招标文件要求及所投投标文件中做出的相应承诺将相关人员及时配置到位，否则采购人将依法追究中标人相应责任，并有权依法解除合同。</w:t>
      </w:r>
      <w:r>
        <w:rPr>
          <w:rFonts w:hint="eastAsia" w:ascii="宋体" w:hAnsi="宋体" w:cs="宋体"/>
          <w:bCs/>
          <w:color w:val="000000"/>
          <w:sz w:val="24"/>
          <w:szCs w:val="24"/>
          <w:highlight w:val="none"/>
        </w:rPr>
      </w:r>
      <w:r/>
    </w:p>
    <w:p>
      <w:pPr>
        <w:pStyle w:val="843"/>
        <w:ind w:firstLine="480"/>
        <w:spacing w:line="360" w:lineRule="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2.中标人须在人员上岗前向采购人提供所有岗位人员的相关有效证件和信息，如果中标人拒不提供的，采购人有权按法律程序终止合同签订。</w:t>
      </w:r>
      <w:r>
        <w:rPr>
          <w:rFonts w:hint="eastAsia" w:ascii="宋体" w:hAnsi="宋体" w:cs="宋体"/>
          <w:bCs/>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3.未经采购人确认同意的员工流失率连续三个月大于等于10%；</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4.合同生效进场后试用期3个月，试用期间由院方每月组织公开测评考核，测评考核达85分以上合同继续履行，若低于85分，则该月服务费按照不高于应支付服务费的80%进行结算，且医院有权单方终止合同，并不做任何赔偿。</w:t>
      </w:r>
      <w:r>
        <w:rPr>
          <w:rFonts w:hint="eastAsia" w:ascii="宋体" w:hAnsi="宋体" w:cs="宋体"/>
          <w:bCs/>
          <w:color w:val="000000"/>
          <w:sz w:val="24"/>
          <w:szCs w:val="24"/>
          <w:highlight w:val="none"/>
        </w:rPr>
      </w:r>
      <w:r/>
    </w:p>
    <w:p>
      <w:pPr>
        <w:pStyle w:val="843"/>
        <w:ind w:firstLine="48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发生前述合同终止情形的，采购人有权终止合同，且不承担任何违约责任。</w:t>
      </w:r>
      <w:r>
        <w:rPr>
          <w:rFonts w:hint="eastAsia" w:ascii="宋体" w:hAnsi="宋体" w:cs="宋体"/>
          <w:b/>
          <w:color w:val="000000"/>
          <w:sz w:val="24"/>
          <w:szCs w:val="24"/>
          <w:highlight w:val="none"/>
        </w:rPr>
      </w:r>
      <w:r/>
    </w:p>
    <w:p>
      <w:pPr>
        <w:pStyle w:val="843"/>
        <w:ind w:firstLine="48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考虑到采购人的特殊性质，发生中标供应商与采购人不能如期签订合同或不能按时进场保障的情形，采购人可以要求原供应商继续服务，在采购人签订新的保安合同后，原供应商按要求撤场（此种情形，原供应商最后一个月应结算费用按60%结算，继续服务的费用按照投标应结算费用的70%结算，原供应商撤场后可退回50%履约保证金）。</w:t>
      </w:r>
      <w:r>
        <w:rPr>
          <w:rFonts w:hint="eastAsia" w:ascii="宋体" w:hAnsi="宋体" w:cs="宋体"/>
          <w:b/>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如原供应商确无法满足采购需求，采购人有权聘请其他保安公司提供临时安保服务、确保院内人身财产安全，原供应商最后一个月应结算费用按60%结算（此种情形，原供应商履约保证金不予退回）。</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b/>
          <w:color w:val="000000"/>
          <w:sz w:val="24"/>
          <w:szCs w:val="24"/>
          <w:highlight w:val="none"/>
        </w:rPr>
      </w:pPr>
      <w:r/>
      <w:bookmarkEnd w:id="49"/>
      <w:r/>
      <w:bookmarkEnd w:id="50"/>
      <w:r>
        <w:rPr>
          <w:rFonts w:hint="eastAsia" w:ascii="宋体" w:hAnsi="宋体" w:cs="宋体"/>
          <w:b/>
          <w:color w:val="000000"/>
          <w:sz w:val="24"/>
          <w:szCs w:val="24"/>
          <w:highlight w:val="none"/>
        </w:rPr>
        <w:t xml:space="preserve">六、考核与结算</w:t>
      </w:r>
      <w:r>
        <w:rPr>
          <w:rFonts w:hint="eastAsia" w:ascii="宋体" w:hAnsi="宋体" w:cs="宋体"/>
          <w:b/>
          <w:color w:val="000000"/>
          <w:sz w:val="24"/>
          <w:szCs w:val="24"/>
          <w:highlight w:val="none"/>
        </w:rPr>
      </w:r>
      <w:r/>
    </w:p>
    <w:p>
      <w:pPr>
        <w:pStyle w:val="843"/>
        <w:ind w:firstLine="48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（一）相关考核内容</w:t>
      </w:r>
      <w:r>
        <w:rPr>
          <w:rFonts w:hint="eastAsia" w:ascii="宋体" w:hAnsi="宋体" w:cs="宋体"/>
          <w:b/>
          <w:color w:val="000000"/>
          <w:sz w:val="24"/>
          <w:szCs w:val="24"/>
          <w:highlight w:val="none"/>
        </w:rPr>
      </w:r>
      <w:r/>
    </w:p>
    <w:p>
      <w:pPr>
        <w:pStyle w:val="850"/>
        <w:ind w:firstLine="480"/>
        <w:rPr>
          <w:rFonts w:ascii="宋体" w:hAnsi="宋体" w:cs="宋体"/>
          <w:b/>
          <w:bCs/>
          <w:color w:val="000000"/>
          <w:szCs w:val="24"/>
          <w:highlight w:val="none"/>
        </w:rPr>
      </w:pPr>
      <w:r>
        <w:rPr>
          <w:rFonts w:hint="eastAsia" w:ascii="宋体" w:hAnsi="宋体" w:cs="宋体"/>
          <w:bCs/>
          <w:color w:val="000000"/>
          <w:szCs w:val="24"/>
          <w:highlight w:val="none"/>
        </w:rPr>
        <w:t xml:space="preserve">1.每月采购人根据</w:t>
      </w:r>
      <w:r>
        <w:rPr>
          <w:rFonts w:ascii="宋体" w:hAnsi="宋体" w:cs="宋体"/>
          <w:bCs/>
          <w:color w:val="000000"/>
          <w:szCs w:val="24"/>
          <w:highlight w:val="none"/>
        </w:rPr>
        <w:t xml:space="preserve">岗位实际配置人数</w:t>
      </w:r>
      <w:r>
        <w:rPr>
          <w:rFonts w:hint="eastAsia" w:ascii="宋体" w:hAnsi="宋体" w:cs="宋体"/>
          <w:bCs/>
          <w:color w:val="000000"/>
          <w:szCs w:val="24"/>
          <w:highlight w:val="none"/>
        </w:rPr>
        <w:t xml:space="preserve">，按照考核</w:t>
      </w:r>
      <w:r>
        <w:rPr>
          <w:rFonts w:ascii="宋体" w:hAnsi="宋体" w:cs="宋体"/>
          <w:bCs/>
          <w:color w:val="000000"/>
          <w:szCs w:val="24"/>
          <w:highlight w:val="none"/>
        </w:rPr>
        <w:t xml:space="preserve">情况</w:t>
      </w:r>
      <w:r>
        <w:rPr>
          <w:rFonts w:hint="eastAsia" w:ascii="宋体" w:hAnsi="宋体" w:cs="宋体"/>
          <w:bCs/>
          <w:color w:val="000000"/>
          <w:szCs w:val="24"/>
          <w:highlight w:val="none"/>
        </w:rPr>
        <w:t xml:space="preserve">按</w:t>
      </w:r>
      <w:r>
        <w:rPr>
          <w:rFonts w:ascii="宋体" w:hAnsi="宋体" w:cs="宋体"/>
          <w:bCs/>
          <w:color w:val="000000"/>
          <w:szCs w:val="24"/>
          <w:highlight w:val="none"/>
        </w:rPr>
        <w:t xml:space="preserve">实</w:t>
      </w:r>
      <w:r>
        <w:rPr>
          <w:rFonts w:hint="eastAsia" w:ascii="宋体" w:hAnsi="宋体" w:cs="宋体"/>
          <w:bCs/>
          <w:color w:val="000000"/>
          <w:szCs w:val="24"/>
          <w:highlight w:val="none"/>
        </w:rPr>
        <w:t xml:space="preserve">结算费用。缺</w:t>
      </w:r>
      <w:r>
        <w:rPr>
          <w:rFonts w:ascii="宋体" w:hAnsi="宋体" w:cs="宋体"/>
          <w:bCs/>
          <w:color w:val="000000"/>
          <w:szCs w:val="24"/>
          <w:highlight w:val="none"/>
        </w:rPr>
        <w:t xml:space="preserve">岗人员</w:t>
      </w:r>
      <w:r>
        <w:rPr>
          <w:rFonts w:hint="eastAsia" w:ascii="宋体" w:hAnsi="宋体" w:cs="宋体"/>
          <w:bCs/>
          <w:color w:val="000000"/>
          <w:szCs w:val="24"/>
          <w:highlight w:val="none"/>
        </w:rPr>
        <w:t xml:space="preserve">不论是否</w:t>
      </w:r>
      <w:r>
        <w:rPr>
          <w:rFonts w:ascii="宋体" w:hAnsi="宋体" w:cs="宋体"/>
          <w:bCs/>
          <w:color w:val="000000"/>
          <w:szCs w:val="24"/>
          <w:highlight w:val="none"/>
        </w:rPr>
        <w:t xml:space="preserve">进行过扣款，</w:t>
      </w:r>
      <w:r>
        <w:rPr>
          <w:rFonts w:hint="eastAsia" w:ascii="宋体" w:hAnsi="宋体" w:cs="宋体"/>
          <w:bCs/>
          <w:color w:val="000000"/>
          <w:szCs w:val="24"/>
          <w:highlight w:val="none"/>
        </w:rPr>
        <w:t xml:space="preserve">费用一律</w:t>
      </w:r>
      <w:r>
        <w:rPr>
          <w:rFonts w:ascii="宋体" w:hAnsi="宋体" w:cs="宋体"/>
          <w:bCs/>
          <w:color w:val="000000"/>
          <w:szCs w:val="24"/>
          <w:highlight w:val="none"/>
        </w:rPr>
        <w:t xml:space="preserve">不予结算。</w:t>
      </w:r>
      <w:r>
        <w:rPr>
          <w:rFonts w:hint="eastAsia" w:ascii="宋体" w:hAnsi="宋体" w:cs="宋体"/>
          <w:bCs/>
          <w:color w:val="000000"/>
          <w:szCs w:val="24"/>
          <w:highlight w:val="none"/>
        </w:rPr>
        <w:t xml:space="preserve">每月服务人员落实情况不足服务人员排班表9</w:t>
      </w:r>
      <w:r>
        <w:rPr>
          <w:rFonts w:ascii="宋体" w:hAnsi="宋体" w:cs="宋体"/>
          <w:bCs/>
          <w:color w:val="000000"/>
          <w:szCs w:val="24"/>
          <w:highlight w:val="none"/>
        </w:rPr>
        <w:t xml:space="preserve">0%的，视为不合格</w:t>
      </w:r>
      <w:r>
        <w:rPr>
          <w:rFonts w:hint="eastAsia" w:ascii="宋体" w:hAnsi="宋体" w:cs="宋体"/>
          <w:bCs/>
          <w:color w:val="000000"/>
          <w:szCs w:val="24"/>
          <w:highlight w:val="none"/>
        </w:rPr>
        <w:t xml:space="preserve">。相关考核细则参见</w:t>
      </w:r>
      <w:r>
        <w:rPr>
          <w:rFonts w:hint="eastAsia" w:ascii="宋体" w:hAnsi="宋体" w:cs="宋体"/>
          <w:b/>
          <w:bCs/>
          <w:color w:val="000000"/>
          <w:szCs w:val="24"/>
          <w:highlight w:val="none"/>
        </w:rPr>
        <w:t xml:space="preserve">附件4：安保服务考核细则</w:t>
      </w:r>
      <w:r>
        <w:rPr>
          <w:rFonts w:ascii="宋体" w:hAnsi="宋体" w:cs="宋体"/>
          <w:b/>
          <w:bCs/>
          <w:color w:val="000000"/>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2.如中标供应商对服务缺陷不予整改，采购人有权另请其他单位，所发生的费用由中标供应商的服务费中结算扣除。</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3.采购人在支付合同项目费用外不再承担其他任何费用，投标供应商如因社保、医保或工资等问题与员工发生纠纷，应自行解决，采购人不承担任何责任。</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4.上级各类检查，院部检查及保卫处检查中存在的违规行为，均列入考评范围。</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5.所有在岗人员均持证上岗。</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6.中标供应商用工应符合劳动法相关规范要求，如有特殊情况需要加班，每天加班时间不得超过4小时。</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7.所有在岗人员不得在外兼职。</w:t>
      </w:r>
      <w:r>
        <w:rPr>
          <w:rFonts w:hint="eastAsia" w:ascii="宋体" w:hAnsi="宋体" w:cs="宋体"/>
          <w:b/>
          <w:color w:val="000000"/>
          <w:sz w:val="24"/>
          <w:szCs w:val="24"/>
          <w:highlight w:val="none"/>
        </w:rPr>
        <w:t xml:space="preserve">同1人在本项目上，不得发生中夜连班、夜早连班现象，否则按1个班出勤考核结算服务费，同时考核中标供应商项目管理分1分。</w:t>
      </w:r>
      <w:r>
        <w:rPr>
          <w:rFonts w:hint="eastAsia" w:ascii="宋体" w:hAnsi="宋体" w:cs="宋体"/>
          <w:b/>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8.所有工作人员入职或辞职必须经医院保卫处登记确认，故意虚报或瞒报的，一经查实，按一比三扣除当月该岗位人员服务费，保卫处每月对在岗人员数量进行核查，按实际人员、岗位支付服务费。</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9.因保安人员违纪违法或工作失职造成采购人声誉或经济损失的，由中标供应商承担赔偿责任，并负责恢复医院声誉。</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（二）考核结算办法</w:t>
      </w:r>
      <w:r>
        <w:rPr>
          <w:rFonts w:hint="eastAsia" w:ascii="宋体" w:hAnsi="宋体" w:cs="宋体"/>
          <w:b/>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费结算与医院满意度调查、安保服务内容与质量标准月度考核（详见附件3《安保服务考核细则》）挂钩。经采购人考核后，每月服务费按服务人数按实结算，每月对中标供应商进行一次考核，考核采用百分制。合计总分100分，每月考评。</w:t>
      </w:r>
      <w:r>
        <w:rPr>
          <w:rFonts w:hint="eastAsia" w:ascii="宋体" w:hAnsi="宋体" w:cs="宋体"/>
          <w:color w:val="000000"/>
          <w:sz w:val="24"/>
          <w:szCs w:val="24"/>
          <w:highlight w:val="none"/>
        </w:rPr>
        <w:t xml:space="preserve">考核得分95分(含95分)以上不扣服务费，95分以下每下降1个百分点扣除</w:t>
      </w:r>
      <w:r>
        <w:rPr>
          <w:rFonts w:hint="eastAsia" w:ascii="宋体" w:hAnsi="宋体" w:cs="宋体"/>
          <w:color w:val="000000"/>
          <w:sz w:val="24"/>
          <w:szCs w:val="24"/>
          <w:highlight w:val="none"/>
          <w:lang w:val="en-US" w:eastAsia="zh-CN"/>
        </w:rPr>
        <w:t xml:space="preserve">500</w:t>
      </w:r>
      <w:r>
        <w:rPr>
          <w:rFonts w:hint="eastAsia" w:ascii="宋体" w:hAnsi="宋体" w:cs="宋体"/>
          <w:color w:val="000000"/>
          <w:sz w:val="24"/>
          <w:szCs w:val="24"/>
          <w:highlight w:val="none"/>
        </w:rPr>
        <w:t xml:space="preserve">元服务费；90分以下每下降1个百分点扣除</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000元服务费；85分以下每下降1个百分点扣除</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000元服务费。</w:t>
      </w:r>
      <w:r>
        <w:rPr>
          <w:rFonts w:hint="eastAsia" w:ascii="宋体" w:hAnsi="宋体" w:cs="宋体"/>
          <w:color w:val="000000"/>
          <w:sz w:val="24"/>
          <w:szCs w:val="24"/>
          <w:highlight w:val="none"/>
        </w:rPr>
        <w:t xml:space="preserve">其他单项考核如院内车辆失窃、未按时发放工资等考核，根据采购需求具体规定分值或扣费数值进行考核；采购需求中单项工作未明确扣分或扣费标准的，视情0.5-3分每事件次予以考核。</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七、对初始化工作要求</w:t>
      </w:r>
      <w:r>
        <w:rPr>
          <w:rFonts w:hint="eastAsia" w:ascii="宋体" w:hAnsi="宋体" w:cs="宋体"/>
          <w:b/>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1．中标后，双方应立即确立合同条款，办理进场手续。</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2．中标供应商必须在合同签订生效后按照招标文件岗位设置及医院实际要求安排满足岗位需求的保安队伍进入医院工作，合同签订生效当天人员全部到岗到位。</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w:t>
      </w:r>
      <w:r>
        <w:rPr>
          <w:rFonts w:hint="eastAsia" w:ascii="宋体" w:hAnsi="宋体" w:cs="宋体"/>
          <w:b/>
          <w:color w:val="000000"/>
          <w:sz w:val="24"/>
          <w:szCs w:val="24"/>
          <w:highlight w:val="none"/>
        </w:rPr>
        <w:t xml:space="preserve">中标供应商应在合同签订后10日历天内确定项目管理团队（项目经理、队长、消防管理协管员、各班长）提交采购人审核，并确定管理人员和招聘员工并制订岗前培训计划，管理人员立即进场做准备工作，到现场各个岗位了解情况，积极筹备物资装备进场。</w:t>
      </w:r>
      <w:r>
        <w:rPr>
          <w:rFonts w:hint="eastAsia" w:ascii="宋体" w:hAnsi="宋体" w:cs="宋体"/>
          <w:b/>
          <w:color w:val="000000"/>
          <w:sz w:val="24"/>
          <w:szCs w:val="24"/>
          <w:highlight w:val="none"/>
        </w:rPr>
        <w:t xml:space="preserve">以合同签订生效日为起点，每延迟一天，按照合同的应付未付部分的千分之五向采购人支付违约金，延迟超过30天的，采购人</w:t>
      </w:r>
      <w:r>
        <w:rPr>
          <w:rFonts w:hint="eastAsia" w:ascii="宋体" w:hAnsi="宋体" w:cs="宋体"/>
          <w:b/>
          <w:bCs/>
          <w:color w:val="000000"/>
          <w:sz w:val="24"/>
          <w:szCs w:val="24"/>
          <w:highlight w:val="none"/>
        </w:rPr>
        <w:t xml:space="preserve">有权依照法律程序解除合同，并追究中标供应商的违约责任。</w:t>
      </w:r>
      <w:r>
        <w:rPr>
          <w:rFonts w:hint="eastAsia" w:ascii="宋体" w:hAnsi="宋体" w:cs="宋体"/>
          <w:b/>
          <w:color w:val="000000"/>
          <w:sz w:val="24"/>
          <w:szCs w:val="24"/>
          <w:highlight w:val="none"/>
        </w:rPr>
      </w:r>
      <w:r/>
    </w:p>
    <w:p>
      <w:pPr>
        <w:pStyle w:val="843"/>
        <w:ind w:firstLine="48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4.中标供应商须在合同签订生效后，在原保安服务公司撤场前完成进场交接，否则以中标供应商“拒绝履行合同义务的”情形进行处理。</w:t>
      </w:r>
      <w:r>
        <w:rPr>
          <w:rFonts w:hint="eastAsia" w:ascii="宋体" w:hAnsi="宋体" w:cs="宋体"/>
          <w:b/>
          <w:color w:val="000000"/>
          <w:sz w:val="24"/>
          <w:szCs w:val="24"/>
          <w:highlight w:val="none"/>
        </w:rPr>
      </w:r>
      <w:r/>
    </w:p>
    <w:p>
      <w:pPr>
        <w:pStyle w:val="843"/>
        <w:ind w:firstLine="480"/>
        <w:spacing w:line="360" w:lineRule="auto"/>
        <w:rPr>
          <w:rFonts w:hint="eastAsia" w:ascii="宋体" w:hAnsi="宋体" w:cs="宋体"/>
          <w:b/>
          <w:bCs/>
          <w:color w:val="000000"/>
          <w:sz w:val="24"/>
          <w:szCs w:val="24"/>
          <w:highlight w:val="none"/>
        </w:rPr>
      </w:pPr>
      <w:r>
        <w:rPr>
          <w:rFonts w:hint="eastAsia" w:ascii="宋体" w:hAnsi="宋体" w:cs="宋体"/>
          <w:b/>
          <w:color w:val="000000"/>
          <w:sz w:val="24"/>
          <w:szCs w:val="24"/>
          <w:highlight w:val="none"/>
        </w:rPr>
        <w:t xml:space="preserve">八、</w:t>
      </w:r>
      <w:r>
        <w:rPr>
          <w:rFonts w:hint="eastAsia" w:ascii="宋体" w:hAnsi="宋体" w:cs="宋体"/>
          <w:b/>
          <w:bCs/>
          <w:color w:val="000000"/>
          <w:sz w:val="24"/>
          <w:szCs w:val="24"/>
          <w:highlight w:val="none"/>
        </w:rPr>
        <w:t xml:space="preserve">其他</w:t>
      </w:r>
      <w:r>
        <w:rPr>
          <w:rFonts w:hint="eastAsia" w:ascii="宋体" w:hAnsi="宋体" w:cs="宋体"/>
          <w:b/>
          <w:bCs/>
          <w:color w:val="000000"/>
          <w:sz w:val="24"/>
          <w:szCs w:val="24"/>
          <w:highlight w:val="none"/>
        </w:rPr>
      </w:r>
      <w:r/>
    </w:p>
    <w:p>
      <w:pPr>
        <w:pStyle w:val="843"/>
        <w:ind w:firstLine="480"/>
        <w:spacing w:line="360" w:lineRule="auto"/>
        <w:rPr>
          <w:rFonts w:hint="eastAsia" w:ascii="宋体" w:hAnsi="宋体" w:cs="宋体"/>
          <w:b/>
          <w:color w:val="000000"/>
          <w:sz w:val="24"/>
          <w:szCs w:val="24"/>
          <w:highlight w:val="none"/>
        </w:rPr>
      </w:pPr>
      <w:r>
        <w:rPr>
          <w:rFonts w:hint="eastAsia" w:ascii="宋体" w:hAnsi="宋体" w:cs="宋体"/>
          <w:b/>
          <w:bCs/>
          <w:color w:val="000000"/>
          <w:sz w:val="24"/>
          <w:szCs w:val="24"/>
          <w:highlight w:val="none"/>
        </w:rPr>
        <w:t xml:space="preserve">（一）项目运行相关</w:t>
      </w:r>
      <w:r>
        <w:rPr>
          <w:rFonts w:hint="eastAsia" w:ascii="宋体" w:hAnsi="宋体" w:cs="宋体"/>
          <w:b/>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中标后，保安公司在进场前，把保安人员的花名册、上岗证、身份证复印件等加盖公章后，交采购人验审和备查；进场后运行人员考勤，每月交采购人保卫处备案；同时，人员更换变动信息，当月报保卫处备案，禁止擅自用工。</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保安公司进场前须制作到位各门卫、巡逻、安检、消防监控等各岗位运行台账，以及对讲机、防爆等装备；建立各岗位职责、交接班制度、保安岗前培训、日常教育培训、分项应急处置预案等制度职责预案，使用智能考勤系统、二维码或小程序巡查系统等现代管理手段进行考勤、巡查，提供规范管理的相关技术资料和记录范本。</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3．为确保保安队伍的相对稳定，在服务期间更换服务人员，须向医院保卫处报备同意，否则每人次扣管理分0.5分。其中，项目经理、队长须持中标方授权委托书上岗，无委托书的每人次当月扣3分。</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4.人员带教：保安新员工必须由班长等骨干带教不少于5个工作日，消防监控中心新员工带教不少于7个工作日。</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5.在突发应急的情况下，医院有直接管理、设置和调动保安人员的权力；有权要求保安公司及时更换不服从管理、违纪或其他原因不适合继续在医院工作的保安人员。</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6.医院对保安服务工作进行业务沟通、管理、指导、检查及考核，反映的问题或事件，保安公司应作出明确的响应和时间落实的承诺。</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采购人有权对人员配备数量、岗位等内容作出调整，相关费用按实结算。</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8.中标供应商在合同期内如因考核不合格或其他原因提前退场的，则须无条件配合采购单位做好交接工作。</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9.投标供应商报价时应充分考虑服务期内所有可能影响到的因素，一旦投标结束最终成交，人工工资不予调整（不考虑</w:t>
      </w:r>
      <w:r>
        <w:rPr>
          <w:rFonts w:hint="eastAsia" w:ascii="宋体" w:hAnsi="宋体" w:cs="宋体"/>
          <w:bCs/>
          <w:color w:val="000000"/>
          <w:sz w:val="24"/>
          <w:szCs w:val="24"/>
          <w:highlight w:val="none"/>
        </w:rPr>
        <w:t xml:space="preserve">政策性工资调整</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。如发生漏、缺、少项，都将被认为是中标人的报价让利行为。</w:t>
      </w:r>
      <w:r>
        <w:rPr>
          <w:rFonts w:hint="eastAsia" w:ascii="宋体" w:hAnsi="宋体" w:cs="宋体"/>
          <w:color w:val="000000"/>
          <w:sz w:val="24"/>
          <w:szCs w:val="24"/>
          <w:highlight w:val="none"/>
        </w:rPr>
      </w:r>
      <w:r/>
    </w:p>
    <w:p>
      <w:pPr>
        <w:pStyle w:val="862"/>
        <w:ind w:left="1260"/>
        <w:rPr>
          <w:color w:val="000000"/>
          <w:highlight w:val="none"/>
        </w:rPr>
      </w:pPr>
      <w:r>
        <w:rPr>
          <w:color w:val="000000"/>
          <w:highlight w:val="none"/>
        </w:rPr>
      </w:r>
      <w:r/>
    </w:p>
    <w:p>
      <w:pPr>
        <w:pStyle w:val="843"/>
        <w:ind w:firstLine="480"/>
        <w:spacing w:line="360" w:lineRule="auto"/>
        <w:tabs>
          <w:tab w:val="left" w:pos="31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43"/>
        <w:ind w:firstLine="480"/>
        <w:spacing w:line="400" w:lineRule="exact"/>
        <w:rPr>
          <w:rFonts w:hint="eastAsia" w:ascii="宋体" w:hAnsi="宋体"/>
          <w:color w:val="000000"/>
          <w:sz w:val="24"/>
          <w:highlight w:val="none"/>
        </w:rPr>
        <w:sectPr>
          <w:footnotePr/>
          <w:endnotePr/>
          <w:type w:val="nextPage"/>
          <w:pgSz w:w="11906" w:h="16838" w:orient="portrait"/>
          <w:pgMar w:top="1843" w:right="1474" w:bottom="1985" w:left="1588" w:header="851" w:footer="992" w:gutter="0"/>
          <w:cols w:num="1" w:sep="0" w:space="1701" w:equalWidth="1"/>
          <w:docGrid w:linePitch="360"/>
        </w:sectPr>
      </w:pPr>
      <w:r>
        <w:rPr>
          <w:rFonts w:hint="eastAsia"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附件1：</w:t>
      </w:r>
      <w:r>
        <w:rPr>
          <w:rFonts w:ascii="宋体" w:hAnsi="宋体"/>
          <w:color w:val="000000"/>
          <w:sz w:val="24"/>
          <w:highlight w:val="none"/>
        </w:rPr>
      </w:r>
      <w:r/>
    </w:p>
    <w:p>
      <w:pPr>
        <w:pStyle w:val="843"/>
        <w:jc w:val="center"/>
        <w:spacing w:line="540" w:lineRule="exact"/>
        <w:rPr>
          <w:rFonts w:ascii="方正小标宋_GBK" w:hAnsi="宋体" w:eastAsia="方正小标宋_GBK" w:cs="宋体"/>
          <w:bCs/>
          <w:color w:val="000000"/>
          <w:sz w:val="36"/>
          <w:szCs w:val="36"/>
          <w:highlight w:val="none"/>
        </w:rPr>
      </w:pPr>
      <w:r/>
      <w:bookmarkStart w:id="51" w:name="OLE_LINK40"/>
      <w:r/>
      <w:bookmarkStart w:id="52" w:name="OLE_LINK41"/>
      <w:r/>
      <w:bookmarkStart w:id="53" w:name="OLE_LINK33"/>
      <w:r/>
      <w:bookmarkStart w:id="54" w:name="OLE_LINK34"/>
      <w:r>
        <w:rPr>
          <w:rFonts w:hint="eastAsia" w:ascii="方正小标宋_GBK" w:hAnsi="宋体" w:eastAsia="方正小标宋_GBK" w:cs="宋体"/>
          <w:bCs/>
          <w:color w:val="000000"/>
          <w:sz w:val="36"/>
          <w:szCs w:val="36"/>
          <w:highlight w:val="none"/>
        </w:rPr>
        <w:t xml:space="preserve">医院安保服务岗位采购需求表</w:t>
      </w:r>
      <w:r>
        <w:rPr>
          <w:rFonts w:ascii="方正小标宋_GBK" w:hAnsi="宋体" w:eastAsia="方正小标宋_GBK" w:cs="宋体"/>
          <w:bCs/>
          <w:color w:val="000000"/>
          <w:sz w:val="36"/>
          <w:szCs w:val="36"/>
          <w:highlight w:val="none"/>
        </w:rPr>
      </w:r>
      <w:r/>
    </w:p>
    <w:tbl>
      <w:tblPr>
        <w:tblW w:w="12261"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77"/>
        <w:gridCol w:w="3584"/>
        <w:gridCol w:w="941"/>
        <w:gridCol w:w="1105"/>
        <w:gridCol w:w="959"/>
        <w:gridCol w:w="1240"/>
        <w:gridCol w:w="3555"/>
      </w:tblGrid>
      <w:tr>
        <w:trPr>
          <w:trHeight w:val="285"/>
        </w:trPr>
        <w:tc>
          <w:tcPr>
            <w:shd w:val="clear" w:color="000000"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843"/>
              <w:jc w:val="center"/>
              <w:rPr>
                <w:rFonts w:ascii="方正仿宋_GBK" w:hAnsi="仿宋" w:eastAsia="方正仿宋_GBK"/>
                <w:b/>
                <w:color w:val="000000"/>
                <w:sz w:val="28"/>
                <w:szCs w:val="28"/>
                <w:highlight w:val="none"/>
              </w:rPr>
            </w:pPr>
            <w:r/>
            <w:bookmarkEnd w:id="51"/>
            <w:r/>
            <w:bookmarkEnd w:id="52"/>
            <w:r>
              <w:rPr>
                <w:rFonts w:hint="eastAsia" w:ascii="方正仿宋_GBK" w:hAnsi="仿宋" w:eastAsia="方正仿宋_GBK"/>
                <w:b/>
                <w:color w:val="000000"/>
                <w:sz w:val="28"/>
                <w:szCs w:val="28"/>
                <w:highlight w:val="none"/>
              </w:rPr>
              <w:t xml:space="preserve">序号</w:t>
            </w:r>
            <w:r>
              <w:rPr>
                <w:rFonts w:ascii="方正仿宋_GBK" w:hAnsi="仿宋" w:eastAsia="方正仿宋_GBK"/>
                <w:b/>
                <w:color w:val="000000"/>
                <w:sz w:val="28"/>
                <w:szCs w:val="28"/>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3584" w:type="dxa"/>
            <w:vAlign w:val="center"/>
            <w:textDirection w:val="lrTb"/>
            <w:noWrap/>
          </w:tcPr>
          <w:p>
            <w:pPr>
              <w:pStyle w:val="843"/>
              <w:jc w:val="center"/>
              <w:rPr>
                <w:rFonts w:ascii="方正仿宋_GBK" w:hAnsi="仿宋" w:eastAsia="方正仿宋_GBK"/>
                <w:b/>
                <w:color w:val="000000"/>
                <w:sz w:val="28"/>
                <w:szCs w:val="28"/>
                <w:highlight w:val="none"/>
              </w:rPr>
            </w:pPr>
            <w:r>
              <w:rPr>
                <w:rFonts w:hint="eastAsia" w:ascii="方正仿宋_GBK" w:hAnsi="仿宋" w:eastAsia="方正仿宋_GBK"/>
                <w:b/>
                <w:color w:val="000000"/>
                <w:sz w:val="28"/>
                <w:szCs w:val="28"/>
                <w:highlight w:val="none"/>
              </w:rPr>
              <w:t xml:space="preserve">岗位名称</w:t>
            </w:r>
            <w:r>
              <w:rPr>
                <w:rFonts w:ascii="方正仿宋_GBK" w:hAnsi="仿宋" w:eastAsia="方正仿宋_GBK"/>
                <w:b/>
                <w:color w:val="000000"/>
                <w:sz w:val="28"/>
                <w:szCs w:val="28"/>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941" w:type="dxa"/>
            <w:vAlign w:val="center"/>
            <w:textDirection w:val="lrTb"/>
            <w:noWrap/>
          </w:tcPr>
          <w:p>
            <w:pPr>
              <w:pStyle w:val="843"/>
              <w:jc w:val="center"/>
              <w:rPr>
                <w:rFonts w:ascii="方正仿宋_GBK" w:hAnsi="仿宋" w:eastAsia="方正仿宋_GBK"/>
                <w:b/>
                <w:color w:val="000000"/>
                <w:sz w:val="28"/>
                <w:szCs w:val="28"/>
                <w:highlight w:val="none"/>
              </w:rPr>
            </w:pPr>
            <w:r>
              <w:rPr>
                <w:rFonts w:hint="eastAsia" w:ascii="方正仿宋_GBK" w:hAnsi="仿宋" w:eastAsia="方正仿宋_GBK"/>
                <w:b/>
                <w:color w:val="000000"/>
                <w:sz w:val="28"/>
                <w:szCs w:val="28"/>
                <w:highlight w:val="none"/>
              </w:rPr>
              <w:t xml:space="preserve">早班</w:t>
            </w:r>
            <w:r>
              <w:rPr>
                <w:rFonts w:ascii="方正仿宋_GBK" w:hAnsi="仿宋" w:eastAsia="方正仿宋_GBK"/>
                <w:b/>
                <w:color w:val="000000"/>
                <w:sz w:val="28"/>
                <w:szCs w:val="28"/>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pStyle w:val="843"/>
              <w:jc w:val="center"/>
              <w:rPr>
                <w:rFonts w:ascii="方正仿宋_GBK" w:hAnsi="仿宋" w:eastAsia="方正仿宋_GBK"/>
                <w:b/>
                <w:color w:val="000000"/>
                <w:sz w:val="28"/>
                <w:szCs w:val="28"/>
                <w:highlight w:val="none"/>
              </w:rPr>
            </w:pPr>
            <w:r>
              <w:rPr>
                <w:rFonts w:hint="eastAsia" w:ascii="方正仿宋_GBK" w:hAnsi="仿宋" w:eastAsia="方正仿宋_GBK"/>
                <w:b/>
                <w:color w:val="000000"/>
                <w:sz w:val="28"/>
                <w:szCs w:val="28"/>
                <w:highlight w:val="none"/>
              </w:rPr>
              <w:t xml:space="preserve">中班</w:t>
            </w:r>
            <w:r>
              <w:rPr>
                <w:rFonts w:ascii="方正仿宋_GBK" w:hAnsi="仿宋" w:eastAsia="方正仿宋_GBK"/>
                <w:b/>
                <w:color w:val="000000"/>
                <w:sz w:val="28"/>
                <w:szCs w:val="28"/>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959" w:type="dxa"/>
            <w:vAlign w:val="center"/>
            <w:textDirection w:val="lrTb"/>
            <w:noWrap/>
          </w:tcPr>
          <w:p>
            <w:pPr>
              <w:pStyle w:val="843"/>
              <w:jc w:val="center"/>
              <w:rPr>
                <w:rFonts w:ascii="方正仿宋_GBK" w:hAnsi="仿宋" w:eastAsia="方正仿宋_GBK"/>
                <w:b/>
                <w:color w:val="000000"/>
                <w:sz w:val="28"/>
                <w:szCs w:val="28"/>
                <w:highlight w:val="none"/>
              </w:rPr>
            </w:pPr>
            <w:r>
              <w:rPr>
                <w:rFonts w:hint="eastAsia" w:ascii="方正仿宋_GBK" w:hAnsi="仿宋" w:eastAsia="方正仿宋_GBK"/>
                <w:b/>
                <w:color w:val="000000"/>
                <w:sz w:val="28"/>
                <w:szCs w:val="28"/>
                <w:highlight w:val="none"/>
              </w:rPr>
              <w:t xml:space="preserve">夜班</w:t>
            </w:r>
            <w:r>
              <w:rPr>
                <w:rFonts w:ascii="方正仿宋_GBK" w:hAnsi="仿宋" w:eastAsia="方正仿宋_GBK"/>
                <w:b/>
                <w:color w:val="000000"/>
                <w:sz w:val="28"/>
                <w:szCs w:val="28"/>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240" w:type="dxa"/>
            <w:vAlign w:val="top"/>
            <w:textDirection w:val="lrTb"/>
            <w:noWrap w:val="false"/>
          </w:tcPr>
          <w:p>
            <w:pPr>
              <w:pStyle w:val="843"/>
              <w:jc w:val="center"/>
              <w:rPr>
                <w:rFonts w:ascii="方正仿宋_GBK" w:hAnsi="仿宋" w:eastAsia="方正仿宋_GBK"/>
                <w:b/>
                <w:color w:val="000000"/>
                <w:sz w:val="28"/>
                <w:szCs w:val="28"/>
                <w:highlight w:val="none"/>
              </w:rPr>
            </w:pPr>
            <w:r>
              <w:rPr>
                <w:rFonts w:hint="eastAsia" w:ascii="方正仿宋_GBK" w:hAnsi="仿宋" w:eastAsia="方正仿宋_GBK"/>
                <w:b/>
                <w:color w:val="000000"/>
                <w:sz w:val="28"/>
                <w:szCs w:val="28"/>
                <w:highlight w:val="none"/>
              </w:rPr>
              <w:t xml:space="preserve">日工时</w:t>
            </w:r>
            <w:r>
              <w:rPr>
                <w:rFonts w:ascii="方正仿宋_GBK" w:hAnsi="仿宋" w:eastAsia="方正仿宋_GBK"/>
                <w:b/>
                <w:color w:val="000000"/>
                <w:sz w:val="28"/>
                <w:szCs w:val="28"/>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3555" w:type="dxa"/>
            <w:vAlign w:val="center"/>
            <w:textDirection w:val="lrTb"/>
            <w:noWrap w:val="false"/>
          </w:tcPr>
          <w:p>
            <w:pPr>
              <w:pStyle w:val="843"/>
              <w:jc w:val="center"/>
              <w:rPr>
                <w:rFonts w:ascii="方正仿宋_GBK" w:hAnsi="仿宋" w:eastAsia="方正仿宋_GBK"/>
                <w:b/>
                <w:color w:val="000000"/>
                <w:sz w:val="28"/>
                <w:szCs w:val="28"/>
                <w:highlight w:val="none"/>
              </w:rPr>
            </w:pPr>
            <w:r>
              <w:rPr>
                <w:rFonts w:hint="eastAsia" w:ascii="方正仿宋_GBK" w:hAnsi="仿宋" w:eastAsia="方正仿宋_GBK"/>
                <w:b/>
                <w:color w:val="000000"/>
                <w:sz w:val="28"/>
                <w:szCs w:val="28"/>
                <w:highlight w:val="none"/>
              </w:rPr>
              <w:t xml:space="preserve">备注</w:t>
            </w:r>
            <w:r>
              <w:rPr>
                <w:rFonts w:ascii="方正仿宋_GBK" w:hAnsi="仿宋" w:eastAsia="方正仿宋_GBK"/>
                <w:b/>
                <w:color w:val="000000"/>
                <w:sz w:val="28"/>
                <w:szCs w:val="28"/>
                <w:highlight w:val="none"/>
              </w:rPr>
            </w:r>
            <w:r/>
          </w:p>
        </w:tc>
      </w:tr>
      <w:tr>
        <w:trPr>
          <w:trHeight w:val="96"/>
        </w:trPr>
        <w:tc>
          <w:tcPr>
            <w:shd w:val="clear" w:color="000000" w:fill="ffffff"/>
            <w:tcBorders>
              <w:top w:val="none" w:color="000000" w:sz="4" w:space="0"/>
              <w:left w:val="single" w:color="000000" w:sz="4" w:space="0"/>
              <w:bottom w:val="single" w:color="000000" w:sz="4" w:space="0"/>
              <w:right w:val="single" w:color="000000" w:sz="4" w:space="0"/>
            </w:tcBorders>
            <w:tcW w:w="877" w:type="dxa"/>
            <w:vAlign w:val="center"/>
            <w:textDirection w:val="lrTb"/>
            <w:noWrap w:val="false"/>
          </w:tcPr>
          <w:p>
            <w:pPr>
              <w:pStyle w:val="843"/>
              <w:jc w:val="left"/>
              <w:widowControl/>
              <w:rPr>
                <w:rFonts w:ascii="方正楷体_GBK" w:hAnsi="宋体" w:eastAsia="方正楷体_GBK" w:cs="宋体"/>
                <w:color w:val="000000"/>
                <w:szCs w:val="21"/>
                <w:highlight w:val="none"/>
              </w:rPr>
            </w:pPr>
            <w:r/>
            <w:bookmarkStart w:id="55" w:name="_Hlk207789547"/>
            <w:r>
              <w:rPr>
                <w:rFonts w:hint="eastAsia" w:ascii="方正楷体_GBK" w:hAnsi="宋体" w:eastAsia="方正楷体_GBK" w:cs="宋体"/>
                <w:color w:val="000000"/>
                <w:szCs w:val="21"/>
                <w:highlight w:val="none"/>
              </w:rPr>
              <w:t xml:space="preserve">1</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84"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精卫门岗（周一至日）</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41"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3.48</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2.32</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59"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1.16</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843"/>
              <w:jc w:val="center"/>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8</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55" w:type="dxa"/>
            <w:vAlign w:val="center"/>
            <w:textDirection w:val="lrTb"/>
            <w:noWrap w:val="false"/>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早班1人兼停车收费及车辆管理，性别不限</w:t>
            </w:r>
            <w:r>
              <w:rPr>
                <w:rFonts w:ascii="方正楷体_GBK" w:hAnsi="宋体" w:eastAsia="方正楷体_GBK" w:cs="宋体"/>
                <w:color w:val="000000"/>
                <w:szCs w:val="21"/>
                <w:highlight w:val="none"/>
              </w:rPr>
            </w:r>
            <w:r/>
          </w:p>
        </w:tc>
      </w:tr>
      <w:tr>
        <w:trPr>
          <w:trHeight w:val="300"/>
        </w:trPr>
        <w:tc>
          <w:tcPr>
            <w:shd w:val="clear" w:color="000000" w:fill="ffffff"/>
            <w:tcBorders>
              <w:top w:val="none" w:color="000000" w:sz="4" w:space="0"/>
              <w:left w:val="single" w:color="000000" w:sz="4" w:space="0"/>
              <w:bottom w:val="single" w:color="000000" w:sz="4" w:space="0"/>
              <w:right w:val="single" w:color="000000" w:sz="4" w:space="0"/>
            </w:tcBorders>
            <w:tcW w:w="877" w:type="dxa"/>
            <w:vAlign w:val="center"/>
            <w:textDirection w:val="lrTb"/>
            <w:noWrap w:val="false"/>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2</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84"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康复门岗（周一至日）</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41"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2.32</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1.16</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59"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0</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40" w:type="dxa"/>
            <w:vAlign w:val="top"/>
            <w:textDirection w:val="lrTb"/>
            <w:noWrap w:val="false"/>
          </w:tcPr>
          <w:p>
            <w:pPr>
              <w:pStyle w:val="843"/>
              <w:jc w:val="center"/>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8</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55" w:type="dxa"/>
            <w:vAlign w:val="center"/>
            <w:textDirection w:val="lrTb"/>
            <w:noWrap w:val="false"/>
          </w:tcPr>
          <w:p>
            <w:pPr>
              <w:pStyle w:val="843"/>
              <w:jc w:val="left"/>
              <w:widowControl/>
              <w:rPr>
                <w:rFonts w:ascii="方正楷体_GBK" w:hAnsi="宋体" w:eastAsia="方正楷体_GBK" w:cs="宋体"/>
                <w:color w:val="000000"/>
                <w:szCs w:val="21"/>
                <w:highlight w:val="none"/>
              </w:rPr>
            </w:pPr>
            <w:r>
              <w:rPr>
                <w:rFonts w:ascii="方正楷体_GBK" w:hAnsi="宋体" w:eastAsia="方正楷体_GBK" w:cs="宋体"/>
                <w:color w:val="000000"/>
                <w:szCs w:val="21"/>
                <w:highlight w:val="none"/>
              </w:rPr>
            </w:r>
            <w:r/>
          </w:p>
        </w:tc>
      </w:tr>
      <w:tr>
        <w:trPr>
          <w:trHeight w:val="300"/>
        </w:trPr>
        <w:tc>
          <w:tcPr>
            <w:shd w:val="clear" w:color="000000" w:fill="ffffff"/>
            <w:tcBorders>
              <w:top w:val="none" w:color="000000" w:sz="4" w:space="0"/>
              <w:left w:val="single" w:color="000000" w:sz="4" w:space="0"/>
              <w:bottom w:val="single" w:color="000000" w:sz="4" w:space="0"/>
              <w:right w:val="single" w:color="000000" w:sz="4" w:space="0"/>
            </w:tcBorders>
            <w:tcW w:w="877" w:type="dxa"/>
            <w:vAlign w:val="center"/>
            <w:textDirection w:val="lrTb"/>
            <w:noWrap w:val="false"/>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3</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84"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北门岗（周一至日）</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41"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1.16</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1.16</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59"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0</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40" w:type="dxa"/>
            <w:vAlign w:val="top"/>
            <w:textDirection w:val="lrTb"/>
            <w:noWrap w:val="false"/>
          </w:tcPr>
          <w:p>
            <w:pPr>
              <w:pStyle w:val="843"/>
              <w:jc w:val="center"/>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8</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55" w:type="dxa"/>
            <w:vAlign w:val="center"/>
            <w:textDirection w:val="lrTb"/>
            <w:noWrap w:val="false"/>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夜班北门禁止通行</w:t>
            </w:r>
            <w:r>
              <w:rPr>
                <w:rFonts w:ascii="方正楷体_GBK" w:hAnsi="宋体" w:eastAsia="方正楷体_GBK" w:cs="宋体"/>
                <w:color w:val="000000"/>
                <w:szCs w:val="21"/>
                <w:highlight w:val="none"/>
              </w:rPr>
            </w:r>
            <w:r/>
          </w:p>
        </w:tc>
      </w:tr>
      <w:tr>
        <w:trPr>
          <w:trHeight w:val="300"/>
        </w:trPr>
        <w:tc>
          <w:tcPr>
            <w:shd w:val="clear" w:color="000000" w:fill="ffffff"/>
            <w:tcBorders>
              <w:top w:val="none" w:color="000000" w:sz="4" w:space="0"/>
              <w:left w:val="single" w:color="000000" w:sz="4" w:space="0"/>
              <w:bottom w:val="single" w:color="000000" w:sz="4" w:space="0"/>
              <w:right w:val="single" w:color="000000" w:sz="4" w:space="0"/>
            </w:tcBorders>
            <w:tcW w:w="877" w:type="dxa"/>
            <w:vAlign w:val="center"/>
            <w:textDirection w:val="lrTb"/>
            <w:noWrap w:val="false"/>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4</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84"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消防监控岗（周一至日）</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41"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2.32</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2.32</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59"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2.32</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843"/>
              <w:jc w:val="center"/>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8</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55" w:type="dxa"/>
            <w:vAlign w:val="center"/>
            <w:textDirection w:val="lrTb"/>
            <w:noWrap w:val="false"/>
          </w:tcPr>
          <w:p>
            <w:pPr>
              <w:pStyle w:val="843"/>
              <w:jc w:val="left"/>
              <w:widowControl/>
              <w:rPr>
                <w:rFonts w:hint="eastAsia"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消控室甲方2人纳入项目服务管理。夜班要求男性。</w:t>
            </w:r>
            <w:r>
              <w:rPr>
                <w:rFonts w:hint="eastAsia" w:ascii="方正楷体_GBK" w:hAnsi="宋体" w:eastAsia="方正楷体_GBK" w:cs="宋体"/>
                <w:color w:val="000000"/>
                <w:szCs w:val="21"/>
                <w:highlight w:val="none"/>
              </w:rPr>
            </w:r>
            <w:r/>
          </w:p>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编制含队长1、消防管理协管员1</w:t>
            </w:r>
            <w:r>
              <w:rPr>
                <w:rFonts w:ascii="方正楷体_GBK" w:hAnsi="宋体" w:eastAsia="方正楷体_GBK" w:cs="宋体"/>
                <w:color w:val="000000"/>
                <w:szCs w:val="21"/>
                <w:highlight w:val="none"/>
              </w:rPr>
            </w:r>
            <w:r/>
          </w:p>
        </w:tc>
      </w:tr>
      <w:tr>
        <w:trPr>
          <w:trHeight w:val="300"/>
        </w:trPr>
        <w:tc>
          <w:tcPr>
            <w:shd w:val="clear" w:color="000000" w:fill="ffffff"/>
            <w:tcBorders>
              <w:top w:val="none" w:color="000000" w:sz="4" w:space="0"/>
              <w:left w:val="single" w:color="000000" w:sz="4" w:space="0"/>
              <w:bottom w:val="single" w:color="000000" w:sz="4" w:space="0"/>
              <w:right w:val="single" w:color="000000" w:sz="4" w:space="0"/>
            </w:tcBorders>
            <w:tcW w:w="877" w:type="dxa"/>
            <w:vAlign w:val="center"/>
            <w:textDirection w:val="lrTb"/>
            <w:noWrap w:val="false"/>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5　</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84"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精卫急诊安检岗（周一至日）</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41"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2.32</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2.32</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59"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2.32</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40" w:type="dxa"/>
            <w:vAlign w:val="top"/>
            <w:textDirection w:val="lrTb"/>
            <w:noWrap w:val="false"/>
          </w:tcPr>
          <w:p>
            <w:pPr>
              <w:pStyle w:val="843"/>
              <w:jc w:val="center"/>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8</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55" w:type="dxa"/>
            <w:vAlign w:val="center"/>
            <w:textDirection w:val="lrTb"/>
            <w:noWrap w:val="false"/>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至少1名男性</w:t>
            </w:r>
            <w:r>
              <w:rPr>
                <w:rFonts w:ascii="方正楷体_GBK" w:hAnsi="宋体" w:eastAsia="方正楷体_GBK" w:cs="宋体"/>
                <w:color w:val="000000"/>
                <w:szCs w:val="21"/>
                <w:highlight w:val="none"/>
              </w:rPr>
            </w:r>
            <w:r/>
          </w:p>
        </w:tc>
      </w:tr>
      <w:tr>
        <w:trPr>
          <w:trHeight w:val="300"/>
        </w:trPr>
        <w:tc>
          <w:tcPr>
            <w:shd w:val="clear" w:color="000000" w:fill="ffffff"/>
            <w:tcBorders>
              <w:top w:val="none" w:color="000000" w:sz="4" w:space="0"/>
              <w:left w:val="single" w:color="000000" w:sz="4" w:space="0"/>
              <w:bottom w:val="single" w:color="000000" w:sz="4" w:space="0"/>
              <w:right w:val="single" w:color="000000" w:sz="4" w:space="0"/>
            </w:tcBorders>
            <w:tcW w:w="877" w:type="dxa"/>
            <w:vAlign w:val="center"/>
            <w:textDirection w:val="lrTb"/>
            <w:noWrap w:val="false"/>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6</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84"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精卫门诊安检岗（周一至日）</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41"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2.32</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0</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59"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0</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40" w:type="dxa"/>
            <w:vAlign w:val="top"/>
            <w:textDirection w:val="lrTb"/>
            <w:noWrap w:val="false"/>
          </w:tcPr>
          <w:p>
            <w:pPr>
              <w:pStyle w:val="843"/>
              <w:jc w:val="center"/>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8</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55" w:type="dxa"/>
            <w:vAlign w:val="center"/>
            <w:textDirection w:val="lrTb"/>
            <w:noWrap w:val="false"/>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至少1名男性，16:30下班</w:t>
            </w:r>
            <w:r>
              <w:rPr>
                <w:rFonts w:ascii="方正楷体_GBK" w:hAnsi="宋体" w:eastAsia="方正楷体_GBK" w:cs="宋体"/>
                <w:color w:val="000000"/>
                <w:szCs w:val="21"/>
                <w:highlight w:val="none"/>
              </w:rPr>
            </w:r>
            <w:r/>
          </w:p>
        </w:tc>
      </w:tr>
      <w:tr>
        <w:trPr>
          <w:trHeight w:val="300"/>
        </w:trPr>
        <w:tc>
          <w:tcPr>
            <w:shd w:val="clear" w:color="000000" w:fill="ffffff"/>
            <w:tcBorders>
              <w:top w:val="none" w:color="000000" w:sz="4" w:space="0"/>
              <w:left w:val="single" w:color="000000" w:sz="4" w:space="0"/>
              <w:bottom w:val="single" w:color="000000" w:sz="4" w:space="0"/>
              <w:right w:val="single" w:color="000000" w:sz="4" w:space="0"/>
            </w:tcBorders>
            <w:tcW w:w="877" w:type="dxa"/>
            <w:vAlign w:val="center"/>
            <w:textDirection w:val="lrTb"/>
            <w:noWrap w:val="false"/>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7</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84"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康复门诊安检岗（周一至日）</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41"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2.32</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0</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59"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0</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40" w:type="dxa"/>
            <w:vAlign w:val="top"/>
            <w:textDirection w:val="lrTb"/>
            <w:noWrap w:val="false"/>
          </w:tcPr>
          <w:p>
            <w:pPr>
              <w:pStyle w:val="843"/>
              <w:jc w:val="center"/>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8</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55" w:type="dxa"/>
            <w:vAlign w:val="center"/>
            <w:textDirection w:val="lrTb"/>
            <w:noWrap w:val="false"/>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至少1名男性，16:30下班</w:t>
            </w:r>
            <w:r>
              <w:rPr>
                <w:rFonts w:ascii="方正楷体_GBK" w:hAnsi="宋体" w:eastAsia="方正楷体_GBK" w:cs="宋体"/>
                <w:color w:val="000000"/>
                <w:szCs w:val="21"/>
                <w:highlight w:val="none"/>
              </w:rPr>
            </w:r>
            <w:r/>
          </w:p>
        </w:tc>
      </w:tr>
      <w:tr>
        <w:trPr>
          <w:trHeight w:val="300"/>
        </w:trPr>
        <w:tc>
          <w:tcPr>
            <w:shd w:val="clear" w:color="000000" w:fill="ffffff"/>
            <w:tcBorders>
              <w:top w:val="none" w:color="000000" w:sz="4" w:space="0"/>
              <w:left w:val="single" w:color="000000" w:sz="4" w:space="0"/>
              <w:bottom w:val="single" w:color="000000" w:sz="4" w:space="0"/>
              <w:right w:val="single" w:color="000000" w:sz="4" w:space="0"/>
            </w:tcBorders>
            <w:tcW w:w="877" w:type="dxa"/>
            <w:vAlign w:val="center"/>
            <w:textDirection w:val="lrTb"/>
            <w:noWrap w:val="false"/>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8</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84"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精卫门诊大厅（周一至日）</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41"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1.16</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0</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59"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0</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40" w:type="dxa"/>
            <w:vAlign w:val="top"/>
            <w:textDirection w:val="lrTb"/>
            <w:noWrap w:val="false"/>
          </w:tcPr>
          <w:p>
            <w:pPr>
              <w:pStyle w:val="843"/>
              <w:jc w:val="center"/>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8</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55" w:type="dxa"/>
            <w:vAlign w:val="center"/>
            <w:textDirection w:val="lrTb"/>
            <w:noWrap w:val="false"/>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16:30下班，巡防</w:t>
            </w:r>
            <w:r>
              <w:rPr>
                <w:rFonts w:ascii="方正楷体_GBK" w:hAnsi="宋体" w:eastAsia="方正楷体_GBK" w:cs="宋体"/>
                <w:color w:val="000000"/>
                <w:szCs w:val="21"/>
                <w:highlight w:val="none"/>
              </w:rPr>
            </w:r>
            <w:r/>
          </w:p>
        </w:tc>
      </w:tr>
      <w:tr>
        <w:trPr>
          <w:trHeight w:val="300"/>
        </w:trPr>
        <w:tc>
          <w:tcPr>
            <w:shd w:val="clear" w:color="000000" w:fill="ffffff"/>
            <w:tcBorders>
              <w:top w:val="none" w:color="000000" w:sz="4" w:space="0"/>
              <w:left w:val="single" w:color="000000" w:sz="4" w:space="0"/>
              <w:bottom w:val="single" w:color="000000" w:sz="4" w:space="0"/>
              <w:right w:val="single" w:color="000000" w:sz="4" w:space="0"/>
            </w:tcBorders>
            <w:tcW w:w="877" w:type="dxa"/>
            <w:vAlign w:val="center"/>
            <w:textDirection w:val="lrTb"/>
            <w:noWrap w:val="false"/>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9</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84"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精卫急诊区域（周一至日）</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41"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1.16</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1.16</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59"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0</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40" w:type="dxa"/>
            <w:vAlign w:val="top"/>
            <w:textDirection w:val="lrTb"/>
            <w:noWrap w:val="false"/>
          </w:tcPr>
          <w:p>
            <w:pPr>
              <w:pStyle w:val="843"/>
              <w:jc w:val="center"/>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8</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55" w:type="dxa"/>
            <w:vAlign w:val="center"/>
            <w:textDirection w:val="lrTb"/>
            <w:noWrap w:val="false"/>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夜班安检岗兼</w:t>
            </w:r>
            <w:r>
              <w:rPr>
                <w:rFonts w:ascii="方正楷体_GBK" w:hAnsi="宋体" w:eastAsia="方正楷体_GBK" w:cs="宋体"/>
                <w:color w:val="000000"/>
                <w:szCs w:val="21"/>
                <w:highlight w:val="none"/>
              </w:rPr>
            </w:r>
            <w:r/>
          </w:p>
        </w:tc>
      </w:tr>
      <w:tr>
        <w:trPr>
          <w:trHeight w:val="300"/>
        </w:trPr>
        <w:tc>
          <w:tcPr>
            <w:shd w:val="clear" w:color="000000" w:fill="ffffff"/>
            <w:tcBorders>
              <w:top w:val="none" w:color="000000" w:sz="4" w:space="0"/>
              <w:left w:val="single" w:color="000000" w:sz="4" w:space="0"/>
              <w:bottom w:val="single" w:color="000000" w:sz="4" w:space="0"/>
              <w:right w:val="single" w:color="000000" w:sz="4" w:space="0"/>
            </w:tcBorders>
            <w:tcW w:w="877" w:type="dxa"/>
            <w:vAlign w:val="center"/>
            <w:textDirection w:val="lrTb"/>
            <w:noWrap w:val="false"/>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10</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84"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市门诊（槐树巷）（周一至日）</w:t>
            </w:r>
            <w:r>
              <w:rPr>
                <w:rFonts w:ascii="方正楷体_GBK" w:hAnsi="宋体" w:eastAsia="方正楷体_GBK" w:cs="宋体"/>
                <w:color w:val="000000"/>
                <w:szCs w:val="21"/>
                <w:highlight w:val="none"/>
              </w:rPr>
            </w:r>
            <w:r/>
          </w:p>
        </w:tc>
        <w:tc>
          <w:tcPr>
            <w:gridSpan w:val="3"/>
            <w:shd w:val="clear" w:color="000000" w:fill="ffffff"/>
            <w:tcBorders>
              <w:top w:val="none" w:color="000000" w:sz="4" w:space="0"/>
              <w:left w:val="none" w:color="000000" w:sz="4" w:space="0"/>
              <w:bottom w:val="single" w:color="000000" w:sz="4" w:space="0"/>
              <w:right w:val="single" w:color="000000" w:sz="4" w:space="0"/>
            </w:tcBorders>
            <w:tcW w:w="3005"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2.32</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843"/>
              <w:jc w:val="center"/>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8</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55" w:type="dxa"/>
            <w:vAlign w:val="top"/>
            <w:textDirection w:val="lrTb"/>
            <w:noWrap w:val="false"/>
          </w:tcPr>
          <w:p>
            <w:pPr>
              <w:pStyle w:val="843"/>
              <w:jc w:val="left"/>
              <w:widowControl/>
              <w:rPr>
                <w:rFonts w:ascii="方正楷体_GBK" w:hAnsi="宋体" w:eastAsia="方正楷体_GBK" w:cs="宋体"/>
                <w:color w:val="000000"/>
                <w:szCs w:val="21"/>
                <w:highlight w:val="none"/>
              </w:rPr>
            </w:pPr>
            <w:r>
              <w:rPr>
                <w:rFonts w:ascii="方正楷体_GBK" w:hAnsi="宋体" w:eastAsia="方正楷体_GBK" w:cs="宋体"/>
                <w:color w:val="000000"/>
                <w:szCs w:val="21"/>
                <w:highlight w:val="none"/>
              </w:rPr>
            </w:r>
            <w:r/>
          </w:p>
        </w:tc>
      </w:tr>
      <w:tr>
        <w:trPr>
          <w:trHeight w:val="300"/>
        </w:trPr>
        <w:tc>
          <w:tcPr>
            <w:shd w:val="clear" w:color="000000" w:fill="ffffff"/>
            <w:tcBorders>
              <w:top w:val="none" w:color="000000" w:sz="4" w:space="0"/>
              <w:left w:val="single" w:color="000000" w:sz="4" w:space="0"/>
              <w:bottom w:val="single" w:color="000000" w:sz="4" w:space="0"/>
              <w:right w:val="single" w:color="000000" w:sz="4" w:space="0"/>
            </w:tcBorders>
            <w:tcW w:w="877" w:type="dxa"/>
            <w:vAlign w:val="center"/>
            <w:textDirection w:val="lrTb"/>
            <w:noWrap w:val="false"/>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11</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84"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市门诊（勤学路）（周一至日）</w:t>
            </w:r>
            <w:r>
              <w:rPr>
                <w:rFonts w:ascii="方正楷体_GBK" w:hAnsi="宋体" w:eastAsia="方正楷体_GBK" w:cs="宋体"/>
                <w:color w:val="000000"/>
                <w:szCs w:val="21"/>
                <w:highlight w:val="none"/>
              </w:rPr>
            </w:r>
            <w:r/>
          </w:p>
        </w:tc>
        <w:tc>
          <w:tcPr>
            <w:gridSpan w:val="3"/>
            <w:shd w:val="clear" w:color="000000" w:fill="ffffff"/>
            <w:tcBorders>
              <w:top w:val="none" w:color="000000" w:sz="4" w:space="0"/>
              <w:left w:val="none" w:color="000000" w:sz="4" w:space="0"/>
              <w:bottom w:val="single" w:color="000000" w:sz="4" w:space="0"/>
              <w:right w:val="single" w:color="000000" w:sz="4" w:space="0"/>
            </w:tcBorders>
            <w:tcW w:w="3005"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2.32</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843"/>
              <w:jc w:val="center"/>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8</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55" w:type="dxa"/>
            <w:vAlign w:val="top"/>
            <w:textDirection w:val="lrTb"/>
            <w:noWrap w:val="false"/>
          </w:tcPr>
          <w:p>
            <w:pPr>
              <w:pStyle w:val="843"/>
              <w:jc w:val="left"/>
              <w:widowControl/>
              <w:rPr>
                <w:rFonts w:ascii="方正楷体_GBK" w:hAnsi="宋体" w:eastAsia="方正楷体_GBK" w:cs="宋体"/>
                <w:color w:val="000000"/>
                <w:szCs w:val="21"/>
                <w:highlight w:val="none"/>
              </w:rPr>
            </w:pPr>
            <w:r>
              <w:rPr>
                <w:rFonts w:ascii="方正楷体_GBK" w:hAnsi="宋体" w:eastAsia="方正楷体_GBK" w:cs="宋体"/>
                <w:color w:val="000000"/>
                <w:szCs w:val="21"/>
                <w:highlight w:val="none"/>
              </w:rPr>
            </w:r>
            <w:r/>
          </w:p>
        </w:tc>
      </w:tr>
      <w:tr>
        <w:trPr>
          <w:trHeight w:val="107"/>
        </w:trPr>
        <w:tc>
          <w:tcPr>
            <w:shd w:val="clear" w:color="000000" w:fill="ffffff"/>
            <w:tcBorders>
              <w:top w:val="none" w:color="000000" w:sz="4" w:space="0"/>
              <w:left w:val="single" w:color="000000" w:sz="4" w:space="0"/>
              <w:bottom w:val="single" w:color="000000" w:sz="4" w:space="0"/>
              <w:right w:val="single" w:color="000000" w:sz="4" w:space="0"/>
            </w:tcBorders>
            <w:tcW w:w="877" w:type="dxa"/>
            <w:vAlign w:val="center"/>
            <w:textDirection w:val="lrTb"/>
            <w:noWrap w:val="false"/>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12</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84"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特勤[病区患者约束、门急诊患者护送住院、消防巡查扫码、打点、巡逻、最小应急单元]（周一至日）</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41"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3.48</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3.48</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59"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3.48</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843"/>
              <w:jc w:val="center"/>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8</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55" w:type="dxa"/>
            <w:vAlign w:val="center"/>
            <w:textDirection w:val="lrTb"/>
            <w:noWrap w:val="false"/>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其中1人兼特勤队长及项目副队长，大专及以上文化</w:t>
            </w:r>
            <w:r>
              <w:rPr>
                <w:rFonts w:ascii="方正楷体_GBK" w:hAnsi="宋体" w:eastAsia="方正楷体_GBK" w:cs="宋体"/>
                <w:color w:val="000000"/>
                <w:szCs w:val="21"/>
                <w:highlight w:val="none"/>
              </w:rPr>
            </w:r>
            <w:r/>
          </w:p>
        </w:tc>
      </w:tr>
      <w:tr>
        <w:trPr>
          <w:trHeight w:val="300"/>
        </w:trPr>
        <w:tc>
          <w:tcPr>
            <w:shd w:val="clear" w:color="000000" w:fill="ffffff"/>
            <w:tcBorders>
              <w:top w:val="none" w:color="000000" w:sz="4" w:space="0"/>
              <w:left w:val="single" w:color="000000" w:sz="4" w:space="0"/>
              <w:bottom w:val="single" w:color="000000" w:sz="4" w:space="0"/>
              <w:right w:val="single" w:color="000000" w:sz="4" w:space="0"/>
            </w:tcBorders>
            <w:tcW w:w="877" w:type="dxa"/>
            <w:vAlign w:val="center"/>
            <w:textDirection w:val="lrTb"/>
            <w:noWrap w:val="false"/>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13</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84"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车辆管理（周一至日）</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41"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2.32</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1.16</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59" w:type="dxa"/>
            <w:vAlign w:val="center"/>
            <w:textDirection w:val="lrTb"/>
            <w:noWrap/>
          </w:tcPr>
          <w:p>
            <w:pPr>
              <w:pStyle w:val="843"/>
              <w:jc w:val="left"/>
              <w:spacing w:line="360" w:lineRule="exac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0</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843"/>
              <w:jc w:val="center"/>
              <w:spacing w:line="360" w:lineRule="exac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8</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55" w:type="dxa"/>
            <w:vAlign w:val="center"/>
            <w:textDirection w:val="lrTb"/>
            <w:noWrap w:val="false"/>
          </w:tcPr>
          <w:p>
            <w:pPr>
              <w:pStyle w:val="843"/>
              <w:jc w:val="left"/>
              <w:spacing w:line="360" w:lineRule="exac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早班1人，周一、三、五到槐树巷门诊</w:t>
            </w:r>
            <w:r>
              <w:rPr>
                <w:rFonts w:ascii="方正楷体_GBK" w:hAnsi="宋体" w:eastAsia="方正楷体_GBK" w:cs="宋体"/>
                <w:color w:val="000000"/>
                <w:szCs w:val="21"/>
                <w:highlight w:val="none"/>
              </w:rPr>
            </w:r>
            <w:r/>
          </w:p>
        </w:tc>
      </w:tr>
      <w:tr>
        <w:trPr>
          <w:trHeight w:val="300"/>
        </w:trPr>
        <w:tc>
          <w:tcPr>
            <w:shd w:val="clear" w:color="000000" w:fill="ffffff"/>
            <w:tcBorders>
              <w:top w:val="none" w:color="000000" w:sz="4" w:space="0"/>
              <w:left w:val="single" w:color="000000" w:sz="4" w:space="0"/>
              <w:bottom w:val="single" w:color="000000" w:sz="4" w:space="0"/>
              <w:right w:val="single" w:color="000000" w:sz="4" w:space="0"/>
            </w:tcBorders>
            <w:tcW w:w="877" w:type="dxa"/>
            <w:vAlign w:val="center"/>
            <w:textDirection w:val="lrTb"/>
            <w:noWrap w:val="false"/>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14</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84"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行政机关岗：工作日（周一至五）</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41"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1.16</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0</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59" w:type="dxa"/>
            <w:vAlign w:val="center"/>
            <w:textDirection w:val="lrTb"/>
            <w:noWrap/>
          </w:tcPr>
          <w:p>
            <w:pPr>
              <w:pStyle w:val="843"/>
              <w:jc w:val="left"/>
              <w:spacing w:line="360" w:lineRule="exac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0</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843"/>
              <w:jc w:val="center"/>
              <w:spacing w:line="360" w:lineRule="exac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8</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55" w:type="dxa"/>
            <w:vAlign w:val="center"/>
            <w:textDirection w:val="lrTb"/>
            <w:noWrap w:val="false"/>
          </w:tcPr>
          <w:p>
            <w:pPr>
              <w:pStyle w:val="843"/>
              <w:jc w:val="left"/>
              <w:spacing w:line="360" w:lineRule="exac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16:30下班</w:t>
            </w:r>
            <w:r>
              <w:rPr>
                <w:rFonts w:ascii="方正楷体_GBK" w:hAnsi="宋体" w:eastAsia="方正楷体_GBK" w:cs="宋体"/>
                <w:color w:val="000000"/>
                <w:szCs w:val="21"/>
                <w:highlight w:val="none"/>
              </w:rPr>
            </w:r>
            <w:r/>
          </w:p>
        </w:tc>
      </w:tr>
      <w:tr>
        <w:trPr>
          <w:trHeight w:val="300"/>
        </w:trPr>
        <w:tc>
          <w:tcPr>
            <w:shd w:val="clear" w:color="000000" w:fill="ffffff"/>
            <w:tcBorders>
              <w:top w:val="none" w:color="000000" w:sz="4" w:space="0"/>
              <w:left w:val="single" w:color="000000" w:sz="4" w:space="0"/>
              <w:bottom w:val="single" w:color="000000" w:sz="4" w:space="0"/>
              <w:right w:val="single" w:color="000000" w:sz="4" w:space="0"/>
            </w:tcBorders>
            <w:tcW w:w="877" w:type="dxa"/>
            <w:vAlign w:val="center"/>
            <w:textDirection w:val="lrTb"/>
            <w:noWrap w:val="false"/>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15</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84"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综合二楼物理治疗岗（周一至日）</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41"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2.32</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0</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59" w:type="dxa"/>
            <w:vAlign w:val="center"/>
            <w:textDirection w:val="lrTb"/>
            <w:noWrap/>
          </w:tcPr>
          <w:p>
            <w:pPr>
              <w:pStyle w:val="843"/>
              <w:jc w:val="left"/>
              <w:spacing w:line="360" w:lineRule="exac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0　</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40" w:type="dxa"/>
            <w:vAlign w:val="top"/>
            <w:textDirection w:val="lrTb"/>
            <w:noWrap w:val="false"/>
          </w:tcPr>
          <w:p>
            <w:pPr>
              <w:pStyle w:val="843"/>
              <w:jc w:val="center"/>
              <w:spacing w:line="360" w:lineRule="exac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8</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55" w:type="dxa"/>
            <w:vAlign w:val="center"/>
            <w:textDirection w:val="lrTb"/>
            <w:noWrap w:val="false"/>
          </w:tcPr>
          <w:p>
            <w:pPr>
              <w:pStyle w:val="843"/>
              <w:jc w:val="left"/>
              <w:spacing w:line="360" w:lineRule="exac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16:30下班（1男、1女）</w:t>
            </w:r>
            <w:r>
              <w:rPr>
                <w:rFonts w:ascii="方正楷体_GBK" w:hAnsi="宋体" w:eastAsia="方正楷体_GBK" w:cs="宋体"/>
                <w:color w:val="000000"/>
                <w:szCs w:val="21"/>
                <w:highlight w:val="none"/>
              </w:rPr>
            </w:r>
            <w:r/>
          </w:p>
        </w:tc>
      </w:tr>
      <w:tr>
        <w:trPr>
          <w:trHeight w:val="300"/>
        </w:trPr>
        <w:tc>
          <w:tcPr>
            <w:shd w:val="clear" w:color="000000" w:fill="ffffff"/>
            <w:tcBorders>
              <w:top w:val="none" w:color="000000" w:sz="4" w:space="0"/>
              <w:left w:val="single" w:color="000000" w:sz="4" w:space="0"/>
              <w:bottom w:val="single" w:color="000000" w:sz="4" w:space="0"/>
              <w:right w:val="single" w:color="000000" w:sz="4" w:space="0"/>
            </w:tcBorders>
            <w:tcW w:w="877" w:type="dxa"/>
            <w:vAlign w:val="center"/>
            <w:textDirection w:val="lrTb"/>
            <w:noWrap w:val="false"/>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16</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84"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综合楼一楼大厅（周一至日）</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41"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1.16</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1.32</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59" w:type="dxa"/>
            <w:vAlign w:val="center"/>
            <w:textDirection w:val="lrTb"/>
            <w:noWrap/>
          </w:tcPr>
          <w:p>
            <w:pPr>
              <w:pStyle w:val="843"/>
              <w:jc w:val="left"/>
              <w:spacing w:line="360" w:lineRule="exac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1.16</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40" w:type="dxa"/>
            <w:vAlign w:val="top"/>
            <w:textDirection w:val="lrTb"/>
            <w:noWrap w:val="false"/>
          </w:tcPr>
          <w:p>
            <w:pPr>
              <w:pStyle w:val="843"/>
              <w:jc w:val="center"/>
              <w:spacing w:line="360" w:lineRule="exac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8</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55" w:type="dxa"/>
            <w:vAlign w:val="center"/>
            <w:textDirection w:val="lrTb"/>
            <w:noWrap w:val="false"/>
          </w:tcPr>
          <w:p>
            <w:pPr>
              <w:pStyle w:val="843"/>
              <w:jc w:val="left"/>
              <w:spacing w:line="360" w:lineRule="exact"/>
              <w:widowControl/>
              <w:rPr>
                <w:rFonts w:ascii="方正楷体_GBK" w:hAnsi="宋体" w:eastAsia="方正楷体_GBK" w:cs="宋体"/>
                <w:color w:val="000000"/>
                <w:szCs w:val="21"/>
                <w:highlight w:val="none"/>
              </w:rPr>
            </w:pPr>
            <w:r>
              <w:rPr>
                <w:rFonts w:ascii="方正楷体_GBK" w:hAnsi="宋体" w:eastAsia="方正楷体_GBK" w:cs="宋体"/>
                <w:color w:val="000000"/>
                <w:szCs w:val="21"/>
                <w:highlight w:val="none"/>
              </w:rPr>
            </w:r>
            <w:r/>
          </w:p>
        </w:tc>
      </w:tr>
      <w:tr>
        <w:trPr>
          <w:trHeight w:val="300"/>
        </w:trPr>
        <w:tc>
          <w:tcPr>
            <w:shd w:val="clear" w:color="000000" w:fill="ffffff"/>
            <w:tcBorders>
              <w:top w:val="none" w:color="000000" w:sz="4" w:space="0"/>
              <w:left w:val="single" w:color="000000" w:sz="4" w:space="0"/>
              <w:bottom w:val="single" w:color="000000" w:sz="4" w:space="0"/>
              <w:right w:val="single" w:color="000000" w:sz="4" w:space="0"/>
            </w:tcBorders>
            <w:tcW w:w="877" w:type="dxa"/>
            <w:vAlign w:val="center"/>
            <w:textDirection w:val="lrTb"/>
            <w:noWrap w:val="false"/>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17</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84"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项目办：项目经理（周一至六）</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41"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1.16</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0</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59" w:type="dxa"/>
            <w:vAlign w:val="center"/>
            <w:textDirection w:val="lrTb"/>
            <w:noWrap/>
          </w:tcPr>
          <w:p>
            <w:pPr>
              <w:pStyle w:val="843"/>
              <w:jc w:val="left"/>
              <w:spacing w:line="360" w:lineRule="exac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0</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843"/>
              <w:jc w:val="center"/>
              <w:spacing w:line="360" w:lineRule="exac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8</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55" w:type="dxa"/>
            <w:vAlign w:val="center"/>
            <w:textDirection w:val="lrTb"/>
            <w:noWrap w:val="false"/>
          </w:tcPr>
          <w:p>
            <w:pPr>
              <w:pStyle w:val="843"/>
              <w:jc w:val="left"/>
              <w:spacing w:line="360" w:lineRule="exact"/>
              <w:widowControl/>
              <w:rPr>
                <w:rFonts w:ascii="方正楷体_GBK" w:hAnsi="宋体" w:eastAsia="方正楷体_GBK" w:cs="宋体"/>
                <w:color w:val="000000"/>
                <w:szCs w:val="21"/>
                <w:highlight w:val="none"/>
              </w:rPr>
            </w:pPr>
            <w:r>
              <w:rPr>
                <w:rFonts w:ascii="方正楷体_GBK" w:hAnsi="宋体" w:eastAsia="方正楷体_GBK" w:cs="宋体"/>
                <w:color w:val="000000"/>
                <w:szCs w:val="21"/>
                <w:highlight w:val="none"/>
              </w:rPr>
            </w:r>
            <w:r/>
          </w:p>
        </w:tc>
      </w:tr>
      <w:tr>
        <w:trPr>
          <w:trHeight w:val="482"/>
        </w:trPr>
        <w:tc>
          <w:tcPr>
            <w:shd w:val="clear" w:color="000000" w:fill="ffffff"/>
            <w:tcBorders>
              <w:top w:val="none" w:color="000000" w:sz="4" w:space="0"/>
              <w:left w:val="single" w:color="000000" w:sz="4" w:space="0"/>
              <w:bottom w:val="single" w:color="000000" w:sz="4" w:space="0"/>
              <w:right w:val="single" w:color="000000" w:sz="4" w:space="0"/>
            </w:tcBorders>
            <w:tcW w:w="877" w:type="dxa"/>
            <w:vAlign w:val="center"/>
            <w:textDirection w:val="lrTb"/>
            <w:noWrap w:val="false"/>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18</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84"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强制精神病区（9B）（周一至日）</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41"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1.16</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1.16</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59" w:type="dxa"/>
            <w:vAlign w:val="center"/>
            <w:textDirection w:val="lrTb"/>
            <w:noWrap/>
          </w:tcPr>
          <w:p>
            <w:pPr>
              <w:pStyle w:val="843"/>
              <w:jc w:val="left"/>
              <w:spacing w:line="360" w:lineRule="exac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1.16</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843"/>
              <w:jc w:val="center"/>
              <w:spacing w:line="360" w:lineRule="exac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8</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55" w:type="dxa"/>
            <w:vAlign w:val="center"/>
            <w:textDirection w:val="lrTb"/>
            <w:noWrap w:val="false"/>
          </w:tcPr>
          <w:p>
            <w:pPr>
              <w:pStyle w:val="843"/>
              <w:jc w:val="left"/>
              <w:spacing w:line="360" w:lineRule="exact"/>
              <w:widowControl/>
              <w:rPr>
                <w:rFonts w:ascii="方正楷体_GBK" w:hAnsi="宋体" w:eastAsia="方正楷体_GBK" w:cs="宋体"/>
                <w:color w:val="000000"/>
                <w:szCs w:val="21"/>
                <w:highlight w:val="none"/>
              </w:rPr>
            </w:pPr>
            <w:r>
              <w:rPr>
                <w:rFonts w:ascii="方正楷体_GBK" w:hAnsi="宋体" w:eastAsia="方正楷体_GBK" w:cs="宋体"/>
                <w:color w:val="000000"/>
                <w:szCs w:val="21"/>
                <w:highlight w:val="none"/>
              </w:rPr>
            </w:r>
            <w:r/>
          </w:p>
        </w:tc>
      </w:tr>
      <w:tr>
        <w:trPr>
          <w:trHeight w:val="300"/>
        </w:trPr>
        <w:tc>
          <w:tcPr>
            <w:shd w:val="clear" w:color="000000" w:fill="ffffff"/>
            <w:tcBorders>
              <w:top w:val="none" w:color="000000" w:sz="4" w:space="0"/>
              <w:left w:val="single" w:color="000000" w:sz="4" w:space="0"/>
              <w:bottom w:val="single" w:color="000000" w:sz="4" w:space="0"/>
              <w:right w:val="single" w:color="000000" w:sz="4" w:space="0"/>
            </w:tcBorders>
            <w:tcW w:w="877" w:type="dxa"/>
            <w:vAlign w:val="center"/>
            <w:textDirection w:val="lrTb"/>
            <w:noWrap w:val="false"/>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19</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84"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精卫门诊二楼（周一至日）</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41"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1.16</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59" w:type="dxa"/>
            <w:vAlign w:val="center"/>
            <w:textDirection w:val="lrTb"/>
            <w:noWrap/>
          </w:tcPr>
          <w:p>
            <w:pPr>
              <w:pStyle w:val="843"/>
              <w:jc w:val="left"/>
              <w:spacing w:line="360" w:lineRule="exac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0</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40" w:type="dxa"/>
            <w:vAlign w:val="top"/>
            <w:textDirection w:val="lrTb"/>
            <w:noWrap w:val="false"/>
          </w:tcPr>
          <w:p>
            <w:pPr>
              <w:pStyle w:val="843"/>
              <w:jc w:val="center"/>
              <w:spacing w:line="360" w:lineRule="exac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8</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55" w:type="dxa"/>
            <w:vAlign w:val="center"/>
            <w:textDirection w:val="lrTb"/>
            <w:noWrap w:val="false"/>
          </w:tcPr>
          <w:p>
            <w:pPr>
              <w:pStyle w:val="843"/>
              <w:jc w:val="left"/>
              <w:spacing w:line="360" w:lineRule="exac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中班4B岗兼至16：30</w:t>
            </w:r>
            <w:r>
              <w:rPr>
                <w:rFonts w:ascii="方正楷体_GBK" w:hAnsi="宋体" w:eastAsia="方正楷体_GBK" w:cs="宋体"/>
                <w:color w:val="000000"/>
                <w:szCs w:val="21"/>
                <w:highlight w:val="none"/>
              </w:rPr>
            </w:r>
            <w:r/>
          </w:p>
        </w:tc>
      </w:tr>
      <w:tr>
        <w:trPr>
          <w:trHeight w:val="300"/>
        </w:trPr>
        <w:tc>
          <w:tcPr>
            <w:shd w:val="clear" w:color="000000" w:fill="ffffff"/>
            <w:tcBorders>
              <w:top w:val="none" w:color="000000" w:sz="4" w:space="0"/>
              <w:left w:val="single" w:color="000000" w:sz="4" w:space="0"/>
              <w:bottom w:val="single" w:color="000000" w:sz="4" w:space="0"/>
              <w:right w:val="single" w:color="000000" w:sz="4" w:space="0"/>
            </w:tcBorders>
            <w:tcW w:w="877" w:type="dxa"/>
            <w:vAlign w:val="center"/>
            <w:textDirection w:val="lrTb"/>
            <w:noWrap w:val="false"/>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20</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84"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综合楼二楼心理专家诊室区域（周一至日）</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41"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1.16</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0</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59" w:type="dxa"/>
            <w:vAlign w:val="center"/>
            <w:textDirection w:val="lrTb"/>
            <w:noWrap/>
          </w:tcPr>
          <w:p>
            <w:pPr>
              <w:pStyle w:val="843"/>
              <w:jc w:val="left"/>
              <w:spacing w:line="360" w:lineRule="exac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0</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843"/>
              <w:jc w:val="center"/>
              <w:spacing w:line="360" w:lineRule="exac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8</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55" w:type="dxa"/>
            <w:vAlign w:val="center"/>
            <w:textDirection w:val="lrTb"/>
            <w:noWrap w:val="false"/>
          </w:tcPr>
          <w:p>
            <w:pPr>
              <w:pStyle w:val="843"/>
              <w:jc w:val="left"/>
              <w:spacing w:line="360" w:lineRule="exac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16:30下班</w:t>
            </w:r>
            <w:r>
              <w:rPr>
                <w:rFonts w:ascii="方正楷体_GBK" w:hAnsi="宋体" w:eastAsia="方正楷体_GBK" w:cs="宋体"/>
                <w:color w:val="000000"/>
                <w:szCs w:val="21"/>
                <w:highlight w:val="none"/>
              </w:rPr>
            </w:r>
            <w:r/>
          </w:p>
        </w:tc>
      </w:tr>
      <w:tr>
        <w:trPr>
          <w:trHeight w:val="164"/>
        </w:trPr>
        <w:tc>
          <w:tcPr>
            <w:shd w:val="clear" w:color="000000" w:fill="ffffff"/>
            <w:tcBorders>
              <w:top w:val="none" w:color="000000" w:sz="4" w:space="0"/>
              <w:left w:val="single" w:color="000000" w:sz="4" w:space="0"/>
              <w:bottom w:val="single" w:color="000000" w:sz="4" w:space="0"/>
              <w:right w:val="single" w:color="000000" w:sz="4" w:space="0"/>
            </w:tcBorders>
            <w:tcW w:w="877" w:type="dxa"/>
            <w:vAlign w:val="center"/>
            <w:textDirection w:val="lrTb"/>
            <w:noWrap w:val="false"/>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21</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84" w:type="dxa"/>
            <w:vAlign w:val="center"/>
            <w:textDirection w:val="lrTb"/>
            <w:noWrap w:val="false"/>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儿少科（4B）</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41"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0</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1.16</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59" w:type="dxa"/>
            <w:vAlign w:val="center"/>
            <w:textDirection w:val="lrTb"/>
            <w:noWrap/>
          </w:tcPr>
          <w:p>
            <w:pPr>
              <w:pStyle w:val="843"/>
              <w:jc w:val="left"/>
              <w:spacing w:line="360" w:lineRule="exac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0</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843"/>
              <w:jc w:val="center"/>
              <w:spacing w:line="360" w:lineRule="exac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8</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55" w:type="dxa"/>
            <w:vAlign w:val="center"/>
            <w:textDirection w:val="lrTb"/>
            <w:noWrap w:val="false"/>
          </w:tcPr>
          <w:p>
            <w:pPr>
              <w:pStyle w:val="843"/>
              <w:jc w:val="left"/>
              <w:spacing w:line="360" w:lineRule="exac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14:30-16:30在门诊二楼，周一、二、四、五、六18:00-22:30，周三、日14:00-22:00（机动岗顶）</w:t>
            </w:r>
            <w:r>
              <w:rPr>
                <w:rFonts w:ascii="方正楷体_GBK" w:hAnsi="宋体" w:eastAsia="方正楷体_GBK" w:cs="宋体"/>
                <w:color w:val="000000"/>
                <w:szCs w:val="21"/>
                <w:highlight w:val="none"/>
              </w:rPr>
            </w:r>
            <w:r/>
          </w:p>
        </w:tc>
      </w:tr>
      <w:tr>
        <w:trPr>
          <w:trHeight w:val="337"/>
        </w:trPr>
        <w:tc>
          <w:tcPr>
            <w:shd w:val="clear" w:color="000000" w:fill="ffffff"/>
            <w:tcBorders>
              <w:top w:val="none" w:color="000000" w:sz="4" w:space="0"/>
              <w:left w:val="single" w:color="000000" w:sz="4" w:space="0"/>
              <w:bottom w:val="single" w:color="000000" w:sz="4" w:space="0"/>
              <w:right w:val="single" w:color="000000" w:sz="4" w:space="0"/>
            </w:tcBorders>
            <w:tcW w:w="877" w:type="dxa"/>
            <w:vAlign w:val="center"/>
            <w:textDirection w:val="lrTb"/>
            <w:noWrap w:val="false"/>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22</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84" w:type="dxa"/>
            <w:vAlign w:val="center"/>
            <w:textDirection w:val="lrTb"/>
            <w:noWrap w:val="false"/>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机动</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41"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1.16</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1.16</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59" w:type="dxa"/>
            <w:vAlign w:val="center"/>
            <w:textDirection w:val="lrTb"/>
            <w:noWrap/>
          </w:tcPr>
          <w:p>
            <w:pPr>
              <w:pStyle w:val="843"/>
              <w:jc w:val="left"/>
              <w:spacing w:line="360" w:lineRule="exac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1.16</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843"/>
              <w:jc w:val="center"/>
              <w:spacing w:line="360" w:lineRule="exac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8</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55" w:type="dxa"/>
            <w:vAlign w:val="center"/>
            <w:textDirection w:val="lrTb"/>
            <w:noWrap w:val="false"/>
          </w:tcPr>
          <w:p>
            <w:pPr>
              <w:pStyle w:val="843"/>
              <w:jc w:val="left"/>
              <w:spacing w:line="360" w:lineRule="exac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送门急诊病人住院、中夜班陪检、到病区约束保护患者、巡逻、防火巡查、治安火情应急处置、顶其他岗等</w:t>
            </w:r>
            <w:r>
              <w:rPr>
                <w:rFonts w:ascii="方正楷体_GBK" w:hAnsi="宋体" w:eastAsia="方正楷体_GBK" w:cs="宋体"/>
                <w:color w:val="000000"/>
                <w:szCs w:val="21"/>
                <w:highlight w:val="none"/>
              </w:rPr>
            </w:r>
            <w:r/>
          </w:p>
        </w:tc>
      </w:tr>
      <w:tr>
        <w:trPr>
          <w:trHeight w:val="300"/>
        </w:trPr>
        <w:tc>
          <w:tcPr>
            <w:shd w:val="clear" w:color="000000" w:fill="ffffff"/>
            <w:tcBorders>
              <w:top w:val="none" w:color="000000" w:sz="4" w:space="0"/>
              <w:left w:val="single" w:color="000000" w:sz="4" w:space="0"/>
              <w:bottom w:val="single" w:color="000000" w:sz="4" w:space="0"/>
              <w:right w:val="single" w:color="000000" w:sz="4" w:space="0"/>
            </w:tcBorders>
            <w:tcW w:w="877" w:type="dxa"/>
            <w:vAlign w:val="center"/>
            <w:textDirection w:val="lrTb"/>
            <w:noWrap w:val="false"/>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23</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84"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预留班次（安检岗、消防员等）</w:t>
            </w:r>
            <w:r>
              <w:rPr>
                <w:rFonts w:ascii="方正楷体_GBK" w:hAnsi="宋体" w:eastAsia="方正楷体_GBK" w:cs="宋体"/>
                <w:color w:val="000000"/>
                <w:szCs w:val="21"/>
                <w:highlight w:val="none"/>
              </w:rPr>
            </w:r>
            <w:r/>
          </w:p>
        </w:tc>
        <w:tc>
          <w:tcPr>
            <w:gridSpan w:val="3"/>
            <w:shd w:val="clear" w:color="000000" w:fill="ffffff"/>
            <w:tcBorders>
              <w:top w:val="none" w:color="000000" w:sz="4" w:space="0"/>
              <w:left w:val="none" w:color="000000" w:sz="4" w:space="0"/>
              <w:bottom w:val="single" w:color="000000" w:sz="4" w:space="0"/>
              <w:right w:val="single" w:color="000000" w:sz="4" w:space="0"/>
            </w:tcBorders>
            <w:tcW w:w="3005" w:type="dxa"/>
            <w:vAlign w:val="center"/>
            <w:textDirection w:val="lrTb"/>
            <w:noWrap/>
          </w:tcPr>
          <w:p>
            <w:pPr>
              <w:pStyle w:val="843"/>
              <w:jc w:val="left"/>
              <w:spacing w:line="360" w:lineRule="exac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5.8</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843"/>
              <w:jc w:val="center"/>
              <w:spacing w:line="360" w:lineRule="exac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8</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55" w:type="dxa"/>
            <w:vAlign w:val="top"/>
            <w:textDirection w:val="lrTb"/>
            <w:noWrap w:val="false"/>
          </w:tcPr>
          <w:p>
            <w:pPr>
              <w:pStyle w:val="843"/>
              <w:jc w:val="left"/>
              <w:spacing w:line="360" w:lineRule="exac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预留指标项，根据上级要求及医院实际运行情况，决定是否需要，按实结算</w:t>
            </w:r>
            <w:r>
              <w:rPr>
                <w:rFonts w:ascii="方正楷体_GBK" w:hAnsi="宋体" w:eastAsia="方正楷体_GBK" w:cs="宋体"/>
                <w:color w:val="000000"/>
                <w:szCs w:val="21"/>
                <w:highlight w:val="none"/>
              </w:rPr>
            </w:r>
            <w:r/>
          </w:p>
        </w:tc>
      </w:tr>
      <w:tr>
        <w:trPr>
          <w:trHeight w:val="300"/>
        </w:trPr>
        <w:tc>
          <w:tcPr>
            <w:shd w:val="clear" w:color="000000" w:fill="ffffff"/>
            <w:tcBorders>
              <w:top w:val="none" w:color="000000" w:sz="4" w:space="0"/>
              <w:left w:val="single" w:color="000000" w:sz="4" w:space="0"/>
              <w:bottom w:val="single" w:color="000000" w:sz="4" w:space="0"/>
              <w:right w:val="single" w:color="000000" w:sz="4" w:space="0"/>
            </w:tcBorders>
            <w:tcW w:w="877" w:type="dxa"/>
            <w:vAlign w:val="center"/>
            <w:textDirection w:val="lrTb"/>
            <w:noWrap w:val="false"/>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24</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84"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合计</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41"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34.8</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19.72</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59" w:type="dxa"/>
            <w:vAlign w:val="center"/>
            <w:textDirection w:val="lrTb"/>
            <w:noWrap/>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12.76</w:t>
            </w: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40" w:type="dxa"/>
            <w:vAlign w:val="top"/>
            <w:textDirection w:val="lrTb"/>
            <w:noWrap w:val="false"/>
          </w:tcPr>
          <w:p>
            <w:pPr>
              <w:pStyle w:val="843"/>
              <w:jc w:val="center"/>
              <w:widowControl/>
              <w:rPr>
                <w:rFonts w:ascii="方正楷体_GBK" w:hAnsi="宋体" w:eastAsia="方正楷体_GBK" w:cs="宋体"/>
                <w:color w:val="000000"/>
                <w:szCs w:val="21"/>
                <w:highlight w:val="none"/>
              </w:rPr>
            </w:pPr>
            <w:r>
              <w:rPr>
                <w:rFonts w:ascii="方正楷体_GBK" w:hAnsi="宋体" w:eastAsia="方正楷体_GBK"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55" w:type="dxa"/>
            <w:vAlign w:val="top"/>
            <w:textDirection w:val="lrTb"/>
            <w:noWrap w:val="false"/>
          </w:tcPr>
          <w:p>
            <w:pPr>
              <w:pStyle w:val="843"/>
              <w:jc w:val="left"/>
              <w:widowControl/>
              <w:rPr>
                <w:rFonts w:ascii="方正楷体_GBK" w:hAnsi="宋体" w:eastAsia="方正楷体_GBK" w:cs="宋体"/>
                <w:color w:val="000000"/>
                <w:szCs w:val="21"/>
                <w:highlight w:val="none"/>
              </w:rPr>
            </w:pPr>
            <w:r>
              <w:rPr>
                <w:rFonts w:hint="eastAsia" w:ascii="方正楷体_GBK" w:hAnsi="宋体" w:eastAsia="方正楷体_GBK" w:cs="宋体"/>
                <w:color w:val="000000"/>
                <w:szCs w:val="21"/>
                <w:highlight w:val="none"/>
              </w:rPr>
              <w:t xml:space="preserve">服务保障人力不少于78.16岗位（人）数</w:t>
            </w:r>
            <w:r>
              <w:rPr>
                <w:rFonts w:ascii="方正楷体_GBK" w:hAnsi="宋体" w:eastAsia="方正楷体_GBK" w:cs="宋体"/>
                <w:color w:val="000000"/>
                <w:szCs w:val="21"/>
                <w:highlight w:val="none"/>
              </w:rPr>
            </w:r>
            <w:r/>
          </w:p>
        </w:tc>
      </w:tr>
    </w:tbl>
    <w:p>
      <w:pPr>
        <w:pStyle w:val="843"/>
        <w:ind w:firstLine="720"/>
        <w:spacing w:line="400" w:lineRule="exact"/>
        <w:rPr>
          <w:rFonts w:ascii="宋体" w:hAnsi="宋体" w:cs="宋体"/>
          <w:color w:val="000000"/>
          <w:sz w:val="24"/>
          <w:highlight w:val="none"/>
        </w:rPr>
      </w:pPr>
      <w:r/>
      <w:bookmarkEnd w:id="55"/>
      <w:r>
        <w:rPr>
          <w:rFonts w:hint="eastAsia" w:ascii="宋体" w:hAnsi="宋体"/>
          <w:color w:val="000000"/>
          <w:sz w:val="24"/>
          <w:highlight w:val="none"/>
        </w:rPr>
        <w:t xml:space="preserve">说明：</w:t>
      </w:r>
      <w:r>
        <w:rPr>
          <w:rFonts w:hint="eastAsia" w:ascii="宋体" w:hAnsi="宋体" w:cs="宋体"/>
          <w:color w:val="000000"/>
          <w:sz w:val="24"/>
          <w:highlight w:val="none"/>
        </w:rPr>
        <w:t xml:space="preserve">根据采购人的工作需要安保岗位发生的变动，在不突破采购保安人数的情形下，中标供应商作相应调整。</w:t>
      </w:r>
      <w:r>
        <w:rPr>
          <w:rFonts w:ascii="宋体" w:hAnsi="宋体" w:cs="宋体"/>
          <w:color w:val="000000"/>
          <w:sz w:val="24"/>
          <w:highlight w:val="none"/>
        </w:rPr>
      </w:r>
      <w:r/>
    </w:p>
    <w:p>
      <w:pPr>
        <w:pStyle w:val="843"/>
        <w:ind w:firstLine="420"/>
        <w:jc w:val="center"/>
        <w:spacing w:line="400" w:lineRule="exact"/>
        <w:rPr>
          <w:rFonts w:ascii="宋体" w:hAnsi="宋体"/>
          <w:color w:val="000000"/>
          <w:szCs w:val="21"/>
          <w:highlight w:val="none"/>
        </w:rPr>
        <w:sectPr>
          <w:footnotePr/>
          <w:endnotePr/>
          <w:type w:val="nextPage"/>
          <w:pgSz w:w="16840" w:h="23814" w:orient="portrait"/>
          <w:pgMar w:top="1843" w:right="1474" w:bottom="1985" w:left="1588" w:header="851" w:footer="992" w:gutter="0"/>
          <w:cols w:num="1" w:sep="0" w:space="1701" w:equalWidth="1"/>
          <w:docGrid w:linePitch="360"/>
        </w:sectPr>
      </w:pPr>
      <w:r>
        <w:rPr>
          <w:rFonts w:ascii="宋体" w:hAnsi="宋体"/>
          <w:color w:val="000000"/>
          <w:szCs w:val="21"/>
          <w:highlight w:val="none"/>
        </w:rPr>
      </w:r>
      <w:r/>
    </w:p>
    <w:p>
      <w:pPr>
        <w:pStyle w:val="843"/>
        <w:ind w:firstLine="480"/>
        <w:spacing w:line="400" w:lineRule="exact"/>
        <w:rPr>
          <w:rFonts w:ascii="宋体" w:hAnsi="宋体"/>
          <w:color w:val="000000"/>
          <w:sz w:val="24"/>
          <w:highlight w:val="none"/>
        </w:rPr>
      </w:pPr>
      <w:r/>
      <w:bookmarkEnd w:id="53"/>
      <w:r/>
      <w:bookmarkEnd w:id="54"/>
      <w:r>
        <w:rPr>
          <w:rFonts w:hint="eastAsia" w:ascii="宋体" w:hAnsi="宋体"/>
          <w:color w:val="000000"/>
          <w:sz w:val="24"/>
          <w:highlight w:val="none"/>
        </w:rPr>
        <w:t xml:space="preserve">附件2：</w:t>
      </w:r>
      <w:bookmarkStart w:id="56" w:name="OLE_LINK39"/>
      <w:r/>
      <w:bookmarkStart w:id="57" w:name="OLE_LINK38"/>
      <w:r/>
      <w:bookmarkStart w:id="58" w:name="OLE_LINK37"/>
      <w:r/>
      <w:bookmarkStart w:id="59" w:name="OLE_LINK42"/>
      <w:r>
        <w:rPr>
          <w:rFonts w:ascii="宋体" w:hAnsi="宋体"/>
          <w:color w:val="000000"/>
          <w:sz w:val="24"/>
          <w:highlight w:val="none"/>
        </w:rPr>
      </w:r>
      <w:r/>
    </w:p>
    <w:tbl>
      <w:tblPr>
        <w:tblW w:w="778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76"/>
        <w:gridCol w:w="2878"/>
        <w:gridCol w:w="936"/>
        <w:gridCol w:w="3094"/>
      </w:tblGrid>
      <w:tr>
        <w:trPr>
          <w:trHeight w:val="20"/>
        </w:trPr>
        <w:tc>
          <w:tcPr>
            <w:gridSpan w:val="4"/>
            <w:tcBorders>
              <w:top w:val="none" w:color="000000" w:sz="0" w:space="0"/>
              <w:left w:val="none" w:color="000000" w:sz="0" w:space="0"/>
              <w:bottom w:val="none" w:color="000000" w:sz="0" w:space="0"/>
              <w:right w:val="none" w:color="000000" w:sz="0" w:space="0"/>
            </w:tcBorders>
            <w:tcW w:w="7784" w:type="dxa"/>
            <w:vAlign w:val="center"/>
            <w:textDirection w:val="lrTb"/>
            <w:noWrap w:val="false"/>
          </w:tcPr>
          <w:p>
            <w:pPr>
              <w:pStyle w:val="843"/>
              <w:jc w:val="center"/>
              <w:spacing w:line="540" w:lineRule="exact"/>
              <w:rPr>
                <w:rFonts w:ascii="方正小标宋_GBK" w:hAnsi="宋体" w:eastAsia="方正小标宋_GBK" w:cs="宋体"/>
                <w:bCs/>
                <w:color w:val="000000"/>
                <w:sz w:val="36"/>
                <w:szCs w:val="36"/>
                <w:highlight w:val="none"/>
              </w:rPr>
            </w:pPr>
            <w:r/>
            <w:bookmarkStart w:id="60" w:name="OLE_LINK43"/>
            <w:r/>
            <w:bookmarkStart w:id="61" w:name="OLE_LINK44"/>
            <w:r>
              <w:rPr>
                <w:rFonts w:hint="eastAsia" w:ascii="方正小标宋_GBK" w:hAnsi="宋体" w:eastAsia="方正小标宋_GBK" w:cs="宋体"/>
                <w:bCs/>
                <w:color w:val="000000"/>
                <w:sz w:val="36"/>
                <w:szCs w:val="36"/>
                <w:highlight w:val="none"/>
              </w:rPr>
              <w:t xml:space="preserve">安保服务基本装备表</w:t>
            </w:r>
            <w:bookmarkEnd w:id="60"/>
            <w:r/>
            <w:bookmarkEnd w:id="61"/>
            <w:r>
              <w:rPr>
                <w:rFonts w:ascii="方正小标宋_GBK" w:hAnsi="宋体" w:eastAsia="方正小标宋_GBK" w:cs="宋体"/>
                <w:bCs/>
                <w:color w:val="000000"/>
                <w:sz w:val="36"/>
                <w:szCs w:val="36"/>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43"/>
              <w:jc w:val="center"/>
              <w:rPr>
                <w:rFonts w:ascii="方正仿宋_GBK" w:hAnsi="仿宋" w:eastAsia="方正仿宋_GBK"/>
                <w:b/>
                <w:color w:val="000000"/>
                <w:sz w:val="28"/>
                <w:szCs w:val="28"/>
                <w:highlight w:val="none"/>
              </w:rPr>
            </w:pPr>
            <w:r>
              <w:rPr>
                <w:rFonts w:hint="eastAsia" w:ascii="方正仿宋_GBK" w:hAnsi="仿宋" w:eastAsia="方正仿宋_GBK"/>
                <w:b/>
                <w:color w:val="000000"/>
                <w:sz w:val="28"/>
                <w:szCs w:val="28"/>
                <w:highlight w:val="none"/>
              </w:rPr>
              <w:t xml:space="preserve">序号</w:t>
            </w:r>
            <w:r>
              <w:rPr>
                <w:rFonts w:ascii="方正仿宋_GBK" w:hAnsi="仿宋" w:eastAsia="方正仿宋_GBK"/>
                <w:b/>
                <w:color w:val="000000"/>
                <w:sz w:val="28"/>
                <w:szCs w:val="28"/>
                <w:highlight w:val="none"/>
              </w:rPr>
            </w:r>
            <w:r/>
          </w:p>
        </w:tc>
        <w:tc>
          <w:tcPr>
            <w:tcBorders>
              <w:top w:val="single" w:color="000000" w:sz="4" w:space="0"/>
              <w:left w:val="none" w:color="000000" w:sz="4" w:space="0"/>
              <w:bottom w:val="single" w:color="000000" w:sz="4" w:space="0"/>
              <w:right w:val="single" w:color="000000" w:sz="4" w:space="0"/>
            </w:tcBorders>
            <w:tcW w:w="2878" w:type="dxa"/>
            <w:vAlign w:val="center"/>
            <w:textDirection w:val="lrTb"/>
            <w:noWrap w:val="false"/>
          </w:tcPr>
          <w:p>
            <w:pPr>
              <w:pStyle w:val="843"/>
              <w:jc w:val="center"/>
              <w:rPr>
                <w:rFonts w:ascii="方正仿宋_GBK" w:hAnsi="仿宋" w:eastAsia="方正仿宋_GBK"/>
                <w:b/>
                <w:color w:val="000000"/>
                <w:sz w:val="28"/>
                <w:szCs w:val="28"/>
                <w:highlight w:val="none"/>
              </w:rPr>
            </w:pPr>
            <w:r>
              <w:rPr>
                <w:rFonts w:hint="eastAsia" w:ascii="方正仿宋_GBK" w:hAnsi="仿宋" w:eastAsia="方正仿宋_GBK"/>
                <w:b/>
                <w:color w:val="000000"/>
                <w:sz w:val="28"/>
                <w:szCs w:val="28"/>
                <w:highlight w:val="none"/>
              </w:rPr>
              <w:t xml:space="preserve">品名</w:t>
            </w:r>
            <w:r>
              <w:rPr>
                <w:rFonts w:ascii="方正仿宋_GBK" w:hAnsi="仿宋" w:eastAsia="方正仿宋_GBK"/>
                <w:b/>
                <w:color w:val="000000"/>
                <w:sz w:val="28"/>
                <w:szCs w:val="28"/>
                <w:highlight w:val="none"/>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843"/>
              <w:jc w:val="center"/>
              <w:rPr>
                <w:rFonts w:ascii="方正仿宋_GBK" w:hAnsi="仿宋" w:eastAsia="方正仿宋_GBK"/>
                <w:b/>
                <w:color w:val="000000"/>
                <w:sz w:val="28"/>
                <w:szCs w:val="28"/>
                <w:highlight w:val="none"/>
              </w:rPr>
            </w:pPr>
            <w:r>
              <w:rPr>
                <w:rFonts w:hint="eastAsia" w:ascii="方正仿宋_GBK" w:hAnsi="仿宋" w:eastAsia="方正仿宋_GBK"/>
                <w:b/>
                <w:color w:val="000000"/>
                <w:sz w:val="28"/>
                <w:szCs w:val="28"/>
                <w:highlight w:val="none"/>
              </w:rPr>
              <w:t xml:space="preserve">数量</w:t>
            </w:r>
            <w:r>
              <w:rPr>
                <w:rFonts w:ascii="方正仿宋_GBK" w:hAnsi="仿宋" w:eastAsia="方正仿宋_GBK"/>
                <w:b/>
                <w:color w:val="000000"/>
                <w:sz w:val="28"/>
                <w:szCs w:val="28"/>
                <w:highlight w:val="none"/>
              </w:rPr>
            </w:r>
            <w:r/>
          </w:p>
        </w:tc>
        <w:tc>
          <w:tcPr>
            <w:tcBorders>
              <w:top w:val="single" w:color="000000" w:sz="4" w:space="0"/>
              <w:left w:val="none" w:color="000000" w:sz="4" w:space="0"/>
              <w:bottom w:val="single" w:color="000000" w:sz="4" w:space="0"/>
              <w:right w:val="single" w:color="000000" w:sz="4" w:space="0"/>
            </w:tcBorders>
            <w:tcW w:w="3094" w:type="dxa"/>
            <w:vAlign w:val="center"/>
            <w:textDirection w:val="lrTb"/>
            <w:noWrap w:val="false"/>
          </w:tcPr>
          <w:p>
            <w:pPr>
              <w:pStyle w:val="843"/>
              <w:jc w:val="center"/>
              <w:rPr>
                <w:rFonts w:ascii="方正仿宋_GBK" w:hAnsi="仿宋" w:eastAsia="方正仿宋_GBK"/>
                <w:b/>
                <w:color w:val="000000"/>
                <w:sz w:val="28"/>
                <w:szCs w:val="28"/>
                <w:highlight w:val="none"/>
              </w:rPr>
            </w:pPr>
            <w:r>
              <w:rPr>
                <w:rFonts w:hint="eastAsia" w:ascii="方正仿宋_GBK" w:hAnsi="仿宋" w:eastAsia="方正仿宋_GBK"/>
                <w:b/>
                <w:color w:val="000000"/>
                <w:sz w:val="28"/>
                <w:szCs w:val="28"/>
                <w:highlight w:val="none"/>
              </w:rPr>
              <w:t xml:space="preserve">备注</w:t>
            </w:r>
            <w:r>
              <w:rPr>
                <w:rFonts w:ascii="方正仿宋_GBK" w:hAnsi="仿宋" w:eastAsia="方正仿宋_GBK"/>
                <w:b/>
                <w:color w:val="000000"/>
                <w:sz w:val="28"/>
                <w:szCs w:val="28"/>
                <w:highlight w:val="none"/>
              </w:rPr>
            </w:r>
            <w:r/>
          </w:p>
        </w:tc>
      </w:tr>
      <w:tr>
        <w:trPr>
          <w:trHeight w:val="20"/>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执法记录仪</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2台</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094" w:type="dxa"/>
            <w:vAlign w:val="center"/>
            <w:textDirection w:val="lrTb"/>
            <w:noWrap w:val="false"/>
          </w:tcPr>
          <w:p>
            <w:pPr>
              <w:pStyle w:val="843"/>
              <w:jc w:val="center"/>
              <w:spacing w:line="400" w:lineRule="exact"/>
              <w:rPr>
                <w:rFonts w:ascii="宋体" w:hAnsi="宋体"/>
                <w:color w:val="000000"/>
                <w:sz w:val="24"/>
                <w:highlight w:val="none"/>
              </w:rPr>
            </w:pPr>
            <w:r>
              <w:rPr>
                <w:rFonts w:ascii="宋体" w:hAnsi="宋体"/>
                <w:color w:val="000000"/>
                <w:sz w:val="24"/>
                <w:highlight w:val="none"/>
              </w:rPr>
            </w:r>
            <w:r/>
          </w:p>
        </w:tc>
      </w:tr>
      <w:tr>
        <w:trPr>
          <w:trHeight w:val="20"/>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对讲机</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36台</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094"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备用电板6块</w:t>
            </w:r>
            <w:r>
              <w:rPr>
                <w:rFonts w:ascii="宋体" w:hAnsi="宋体"/>
                <w:color w:val="000000"/>
                <w:sz w:val="24"/>
                <w:highlight w:val="none"/>
              </w:rPr>
            </w:r>
            <w:r/>
          </w:p>
        </w:tc>
      </w:tr>
      <w:tr>
        <w:trPr>
          <w:trHeight w:val="20"/>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甩棍</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8根</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094" w:type="dxa"/>
            <w:vAlign w:val="center"/>
            <w:textDirection w:val="lrTb"/>
            <w:noWrap w:val="false"/>
          </w:tcPr>
          <w:p>
            <w:pPr>
              <w:pStyle w:val="843"/>
              <w:jc w:val="center"/>
              <w:spacing w:line="400" w:lineRule="exact"/>
              <w:rPr>
                <w:rFonts w:ascii="宋体" w:hAnsi="宋体"/>
                <w:color w:val="000000"/>
                <w:sz w:val="24"/>
                <w:highlight w:val="none"/>
              </w:rPr>
            </w:pPr>
            <w:r>
              <w:rPr>
                <w:rFonts w:ascii="宋体" w:hAnsi="宋体"/>
                <w:color w:val="000000"/>
                <w:sz w:val="24"/>
                <w:highlight w:val="none"/>
              </w:rPr>
            </w:r>
            <w:r/>
          </w:p>
        </w:tc>
      </w:tr>
      <w:tr>
        <w:trPr>
          <w:trHeight w:val="20"/>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钢盔</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8顶</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094" w:type="dxa"/>
            <w:vAlign w:val="center"/>
            <w:textDirection w:val="lrTb"/>
            <w:noWrap w:val="false"/>
          </w:tcPr>
          <w:p>
            <w:pPr>
              <w:pStyle w:val="843"/>
              <w:jc w:val="center"/>
              <w:spacing w:line="400" w:lineRule="exact"/>
              <w:rPr>
                <w:rFonts w:ascii="宋体" w:hAnsi="宋体"/>
                <w:color w:val="000000"/>
                <w:sz w:val="24"/>
                <w:highlight w:val="none"/>
              </w:rPr>
            </w:pPr>
            <w:r>
              <w:rPr>
                <w:rFonts w:ascii="宋体" w:hAnsi="宋体"/>
                <w:color w:val="000000"/>
                <w:sz w:val="24"/>
                <w:highlight w:val="none"/>
              </w:rPr>
            </w:r>
            <w:r/>
          </w:p>
        </w:tc>
      </w:tr>
      <w:tr>
        <w:trPr>
          <w:trHeight w:val="20"/>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防刺手套</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8副</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094" w:type="dxa"/>
            <w:vAlign w:val="center"/>
            <w:textDirection w:val="lrTb"/>
            <w:noWrap w:val="false"/>
          </w:tcPr>
          <w:p>
            <w:pPr>
              <w:pStyle w:val="843"/>
              <w:jc w:val="center"/>
              <w:spacing w:line="400" w:lineRule="exact"/>
              <w:rPr>
                <w:rFonts w:ascii="宋体" w:hAnsi="宋体"/>
                <w:color w:val="000000"/>
                <w:sz w:val="24"/>
                <w:highlight w:val="none"/>
              </w:rPr>
            </w:pPr>
            <w:r>
              <w:rPr>
                <w:rFonts w:ascii="宋体" w:hAnsi="宋体"/>
                <w:color w:val="000000"/>
                <w:sz w:val="24"/>
                <w:highlight w:val="none"/>
              </w:rPr>
            </w:r>
            <w:r/>
          </w:p>
        </w:tc>
      </w:tr>
      <w:tr>
        <w:trPr>
          <w:trHeight w:val="20"/>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防刺背心</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8件</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094" w:type="dxa"/>
            <w:vAlign w:val="center"/>
            <w:textDirection w:val="lrTb"/>
            <w:noWrap w:val="false"/>
          </w:tcPr>
          <w:p>
            <w:pPr>
              <w:pStyle w:val="843"/>
              <w:jc w:val="center"/>
              <w:spacing w:line="400" w:lineRule="exact"/>
              <w:rPr>
                <w:rFonts w:ascii="宋体" w:hAnsi="宋体"/>
                <w:color w:val="000000"/>
                <w:sz w:val="24"/>
                <w:highlight w:val="none"/>
              </w:rPr>
            </w:pPr>
            <w:r>
              <w:rPr>
                <w:rFonts w:ascii="宋体" w:hAnsi="宋体"/>
                <w:color w:val="000000"/>
                <w:sz w:val="24"/>
                <w:highlight w:val="none"/>
              </w:rPr>
            </w:r>
            <w:r/>
          </w:p>
        </w:tc>
      </w:tr>
      <w:tr>
        <w:trPr>
          <w:trHeight w:val="20"/>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PC棍</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30根</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094" w:type="dxa"/>
            <w:vAlign w:val="center"/>
            <w:textDirection w:val="lrTb"/>
            <w:noWrap w:val="false"/>
          </w:tcPr>
          <w:p>
            <w:pPr>
              <w:pStyle w:val="843"/>
              <w:jc w:val="center"/>
              <w:spacing w:line="400" w:lineRule="exact"/>
              <w:rPr>
                <w:rFonts w:ascii="宋体" w:hAnsi="宋体"/>
                <w:color w:val="000000"/>
                <w:sz w:val="24"/>
                <w:highlight w:val="none"/>
              </w:rPr>
            </w:pPr>
            <w:r>
              <w:rPr>
                <w:rFonts w:ascii="宋体" w:hAnsi="宋体"/>
                <w:color w:val="000000"/>
                <w:sz w:val="24"/>
                <w:highlight w:val="none"/>
              </w:rPr>
            </w:r>
            <w:r/>
          </w:p>
        </w:tc>
      </w:tr>
      <w:tr>
        <w:trPr>
          <w:trHeight w:val="20"/>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武装带 </w:t>
            </w:r>
            <w:r>
              <w:rPr>
                <w:rFonts w:hint="eastAsia" w:ascii="宋体" w:hAnsi="宋体" w:eastAsia="MS Mincho" w:cs="MS Mincho"/>
                <w:color w:val="000000"/>
                <w:sz w:val="24"/>
                <w:highlight w:val="none"/>
              </w:rPr>
              <w:t xml:space="preserve"> </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30根</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094" w:type="dxa"/>
            <w:vAlign w:val="center"/>
            <w:textDirection w:val="lrTb"/>
            <w:noWrap w:val="false"/>
          </w:tcPr>
          <w:p>
            <w:pPr>
              <w:pStyle w:val="843"/>
              <w:jc w:val="center"/>
              <w:spacing w:line="400" w:lineRule="exact"/>
              <w:rPr>
                <w:rFonts w:ascii="宋体" w:hAnsi="宋体"/>
                <w:color w:val="000000"/>
                <w:sz w:val="24"/>
                <w:highlight w:val="none"/>
              </w:rPr>
            </w:pPr>
            <w:r>
              <w:rPr>
                <w:rFonts w:ascii="宋体" w:hAnsi="宋体"/>
                <w:color w:val="000000"/>
                <w:sz w:val="24"/>
                <w:highlight w:val="none"/>
              </w:rPr>
            </w:r>
            <w:r/>
          </w:p>
        </w:tc>
      </w:tr>
      <w:tr>
        <w:trPr>
          <w:trHeight w:val="20"/>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钢叉</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6支</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094" w:type="dxa"/>
            <w:vAlign w:val="center"/>
            <w:textDirection w:val="lrTb"/>
            <w:noWrap w:val="false"/>
          </w:tcPr>
          <w:p>
            <w:pPr>
              <w:pStyle w:val="843"/>
              <w:jc w:val="center"/>
              <w:spacing w:line="400" w:lineRule="exact"/>
              <w:rPr>
                <w:rFonts w:ascii="宋体" w:hAnsi="宋体"/>
                <w:color w:val="000000"/>
                <w:sz w:val="24"/>
                <w:highlight w:val="none"/>
              </w:rPr>
            </w:pPr>
            <w:r>
              <w:rPr>
                <w:rFonts w:ascii="宋体" w:hAnsi="宋体"/>
                <w:color w:val="000000"/>
                <w:sz w:val="24"/>
                <w:highlight w:val="none"/>
              </w:rPr>
            </w:r>
            <w:r/>
          </w:p>
        </w:tc>
      </w:tr>
      <w:tr>
        <w:trPr>
          <w:trHeight w:val="20"/>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10</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强光手电筒</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12个</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094" w:type="dxa"/>
            <w:vAlign w:val="center"/>
            <w:textDirection w:val="lrTb"/>
            <w:noWrap w:val="false"/>
          </w:tcPr>
          <w:p>
            <w:pPr>
              <w:pStyle w:val="843"/>
              <w:jc w:val="center"/>
              <w:spacing w:line="400" w:lineRule="exact"/>
              <w:rPr>
                <w:rFonts w:ascii="宋体" w:hAnsi="宋体"/>
                <w:color w:val="000000"/>
                <w:sz w:val="24"/>
                <w:highlight w:val="none"/>
              </w:rPr>
            </w:pPr>
            <w:r>
              <w:rPr>
                <w:rFonts w:ascii="宋体" w:hAnsi="宋体"/>
                <w:color w:val="000000"/>
                <w:sz w:val="24"/>
                <w:highlight w:val="none"/>
              </w:rPr>
            </w:r>
            <w:r/>
          </w:p>
        </w:tc>
      </w:tr>
      <w:tr>
        <w:trPr>
          <w:trHeight w:val="20"/>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11</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防暴棍</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30根</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094" w:type="dxa"/>
            <w:vAlign w:val="center"/>
            <w:textDirection w:val="lrTb"/>
            <w:noWrap w:val="false"/>
          </w:tcPr>
          <w:p>
            <w:pPr>
              <w:pStyle w:val="843"/>
              <w:jc w:val="center"/>
              <w:spacing w:line="400" w:lineRule="exact"/>
              <w:rPr>
                <w:rFonts w:ascii="宋体" w:hAnsi="宋体"/>
                <w:color w:val="000000"/>
                <w:sz w:val="24"/>
                <w:highlight w:val="none"/>
              </w:rPr>
            </w:pPr>
            <w:r>
              <w:rPr>
                <w:rFonts w:ascii="宋体" w:hAnsi="宋体"/>
                <w:color w:val="000000"/>
                <w:sz w:val="24"/>
                <w:highlight w:val="none"/>
              </w:rPr>
            </w:r>
            <w:r/>
          </w:p>
        </w:tc>
      </w:tr>
      <w:tr>
        <w:trPr>
          <w:trHeight w:val="20"/>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12</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抓捕器</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6个</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094" w:type="dxa"/>
            <w:vAlign w:val="center"/>
            <w:textDirection w:val="lrTb"/>
            <w:noWrap w:val="false"/>
          </w:tcPr>
          <w:p>
            <w:pPr>
              <w:pStyle w:val="843"/>
              <w:jc w:val="center"/>
              <w:spacing w:line="400" w:lineRule="exact"/>
              <w:rPr>
                <w:rFonts w:ascii="宋体" w:hAnsi="宋体"/>
                <w:color w:val="000000"/>
                <w:sz w:val="24"/>
                <w:highlight w:val="none"/>
              </w:rPr>
            </w:pPr>
            <w:r>
              <w:rPr>
                <w:rFonts w:ascii="宋体" w:hAnsi="宋体"/>
                <w:color w:val="000000"/>
                <w:sz w:val="24"/>
                <w:highlight w:val="none"/>
              </w:rPr>
            </w:r>
            <w:r/>
          </w:p>
        </w:tc>
      </w:tr>
      <w:tr>
        <w:trPr>
          <w:trHeight w:val="20"/>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13</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盾牌</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6个</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094" w:type="dxa"/>
            <w:vAlign w:val="center"/>
            <w:textDirection w:val="lrTb"/>
            <w:noWrap w:val="false"/>
          </w:tcPr>
          <w:p>
            <w:pPr>
              <w:pStyle w:val="843"/>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港式圆盾3个</w:t>
            </w:r>
            <w:r>
              <w:rPr>
                <w:rFonts w:ascii="宋体" w:hAnsi="宋体"/>
                <w:color w:val="000000"/>
                <w:sz w:val="24"/>
                <w:szCs w:val="24"/>
                <w:highlight w:val="none"/>
              </w:rPr>
            </w:r>
            <w:r/>
          </w:p>
          <w:p>
            <w:pPr>
              <w:pStyle w:val="843"/>
              <w:jc w:val="center"/>
              <w:spacing w:line="400" w:lineRule="exact"/>
              <w:rPr>
                <w:rFonts w:ascii="宋体" w:hAnsi="宋体"/>
                <w:color w:val="000000"/>
                <w:sz w:val="24"/>
                <w:highlight w:val="none"/>
              </w:rPr>
            </w:pPr>
            <w:r>
              <w:rPr>
                <w:rFonts w:hint="eastAsia" w:ascii="宋体" w:hAnsi="宋体"/>
                <w:color w:val="000000"/>
                <w:sz w:val="24"/>
                <w:szCs w:val="24"/>
                <w:highlight w:val="none"/>
              </w:rPr>
              <w:t xml:space="preserve">法式方盾3个</w:t>
            </w:r>
            <w:r>
              <w:rPr>
                <w:rFonts w:ascii="宋体" w:hAnsi="宋体"/>
                <w:color w:val="000000"/>
                <w:sz w:val="24"/>
                <w:highlight w:val="none"/>
              </w:rPr>
            </w:r>
            <w:r/>
          </w:p>
        </w:tc>
      </w:tr>
      <w:tr>
        <w:trPr>
          <w:trHeight w:val="20"/>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14</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服装（春秋）</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78套</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094" w:type="dxa"/>
            <w:vAlign w:val="center"/>
            <w:textDirection w:val="lrTb"/>
            <w:noWrap w:val="false"/>
          </w:tcPr>
          <w:p>
            <w:pPr>
              <w:pStyle w:val="843"/>
              <w:jc w:val="center"/>
              <w:spacing w:line="400" w:lineRule="exact"/>
              <w:rPr>
                <w:rFonts w:ascii="宋体" w:hAnsi="宋体"/>
                <w:color w:val="000000"/>
                <w:sz w:val="24"/>
                <w:highlight w:val="none"/>
              </w:rPr>
            </w:pPr>
            <w:r>
              <w:rPr>
                <w:rFonts w:ascii="宋体" w:hAnsi="宋体"/>
                <w:color w:val="000000"/>
                <w:sz w:val="24"/>
                <w:highlight w:val="none"/>
              </w:rPr>
            </w:r>
            <w:r/>
          </w:p>
        </w:tc>
      </w:tr>
      <w:tr>
        <w:trPr>
          <w:trHeight w:val="20"/>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15</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服装（冬装）</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78套</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094" w:type="dxa"/>
            <w:vAlign w:val="center"/>
            <w:textDirection w:val="lrTb"/>
            <w:noWrap w:val="false"/>
          </w:tcPr>
          <w:p>
            <w:pPr>
              <w:pStyle w:val="843"/>
              <w:jc w:val="center"/>
              <w:spacing w:line="400" w:lineRule="exact"/>
              <w:rPr>
                <w:rFonts w:ascii="宋体" w:hAnsi="宋体"/>
                <w:color w:val="000000"/>
                <w:sz w:val="24"/>
                <w:highlight w:val="none"/>
              </w:rPr>
            </w:pPr>
            <w:r>
              <w:rPr>
                <w:rFonts w:ascii="宋体" w:hAnsi="宋体"/>
                <w:color w:val="000000"/>
                <w:sz w:val="24"/>
                <w:highlight w:val="none"/>
              </w:rPr>
            </w:r>
            <w:r/>
          </w:p>
        </w:tc>
      </w:tr>
      <w:tr>
        <w:trPr>
          <w:trHeight w:val="20"/>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16</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棉衣</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78件</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094" w:type="dxa"/>
            <w:vAlign w:val="center"/>
            <w:textDirection w:val="lrTb"/>
            <w:noWrap w:val="false"/>
          </w:tcPr>
          <w:p>
            <w:pPr>
              <w:pStyle w:val="843"/>
              <w:jc w:val="center"/>
              <w:spacing w:line="400" w:lineRule="exact"/>
              <w:rPr>
                <w:rFonts w:ascii="宋体" w:hAnsi="宋体"/>
                <w:color w:val="000000"/>
                <w:sz w:val="24"/>
                <w:highlight w:val="none"/>
              </w:rPr>
            </w:pPr>
            <w:r>
              <w:rPr>
                <w:rFonts w:ascii="宋体" w:hAnsi="宋体"/>
                <w:color w:val="000000"/>
                <w:sz w:val="24"/>
                <w:highlight w:val="none"/>
              </w:rPr>
            </w:r>
            <w:r/>
          </w:p>
        </w:tc>
      </w:tr>
      <w:tr>
        <w:trPr>
          <w:trHeight w:val="20"/>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17</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皮腰带</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78根</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094" w:type="dxa"/>
            <w:vAlign w:val="center"/>
            <w:textDirection w:val="lrTb"/>
            <w:noWrap w:val="false"/>
          </w:tcPr>
          <w:p>
            <w:pPr>
              <w:pStyle w:val="843"/>
              <w:jc w:val="center"/>
              <w:spacing w:line="400" w:lineRule="exact"/>
              <w:rPr>
                <w:rFonts w:ascii="宋体" w:hAnsi="宋体"/>
                <w:color w:val="000000"/>
                <w:sz w:val="24"/>
                <w:highlight w:val="none"/>
              </w:rPr>
            </w:pPr>
            <w:r>
              <w:rPr>
                <w:rFonts w:ascii="宋体" w:hAnsi="宋体"/>
                <w:color w:val="000000"/>
                <w:sz w:val="24"/>
                <w:highlight w:val="none"/>
              </w:rPr>
            </w:r>
            <w:r/>
          </w:p>
        </w:tc>
      </w:tr>
      <w:tr>
        <w:trPr>
          <w:trHeight w:val="20"/>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18</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帽子</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78顶</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094" w:type="dxa"/>
            <w:vAlign w:val="center"/>
            <w:textDirection w:val="lrTb"/>
            <w:noWrap w:val="false"/>
          </w:tcPr>
          <w:p>
            <w:pPr>
              <w:pStyle w:val="843"/>
              <w:jc w:val="center"/>
              <w:spacing w:line="400" w:lineRule="exact"/>
              <w:rPr>
                <w:rFonts w:ascii="宋体" w:hAnsi="宋体"/>
                <w:color w:val="000000"/>
                <w:sz w:val="24"/>
                <w:highlight w:val="none"/>
              </w:rPr>
            </w:pPr>
            <w:r>
              <w:rPr>
                <w:rFonts w:ascii="宋体" w:hAnsi="宋体"/>
                <w:color w:val="000000"/>
                <w:sz w:val="24"/>
                <w:highlight w:val="none"/>
              </w:rPr>
            </w:r>
            <w:r/>
          </w:p>
        </w:tc>
      </w:tr>
      <w:tr>
        <w:trPr>
          <w:trHeight w:val="20"/>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19</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鞋子</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78双</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094" w:type="dxa"/>
            <w:vAlign w:val="center"/>
            <w:textDirection w:val="lrTb"/>
            <w:noWrap w:val="false"/>
          </w:tcPr>
          <w:p>
            <w:pPr>
              <w:pStyle w:val="843"/>
              <w:jc w:val="center"/>
              <w:spacing w:line="400" w:lineRule="exact"/>
              <w:rPr>
                <w:rFonts w:ascii="宋体" w:hAnsi="宋体"/>
                <w:color w:val="000000"/>
                <w:sz w:val="24"/>
                <w:highlight w:val="none"/>
              </w:rPr>
            </w:pPr>
            <w:r>
              <w:rPr>
                <w:rFonts w:ascii="宋体" w:hAnsi="宋体"/>
                <w:color w:val="000000"/>
                <w:sz w:val="24"/>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20</w:t>
            </w: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878"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T恤衫</w:t>
            </w: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78件</w:t>
            </w: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094" w:type="dxa"/>
            <w:vAlign w:val="center"/>
            <w:textDirection w:val="lrTb"/>
            <w:noWrap w:val="false"/>
          </w:tcPr>
          <w:p>
            <w:pPr>
              <w:pStyle w:val="843"/>
              <w:jc w:val="center"/>
              <w:spacing w:line="400" w:lineRule="exact"/>
              <w:rPr>
                <w:rFonts w:ascii="宋体" w:hAnsi="宋体"/>
                <w:color w:val="000000"/>
                <w:sz w:val="24"/>
                <w:highlight w:val="none"/>
              </w:rPr>
            </w:pPr>
            <w:r>
              <w:rPr>
                <w:rFonts w:ascii="宋体" w:hAnsi="宋体"/>
                <w:color w:val="000000"/>
                <w:sz w:val="24"/>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21</w:t>
            </w: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878"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特勤服</w:t>
            </w: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12</w:t>
            </w:r>
            <w:r>
              <w:rPr>
                <w:rFonts w:hint="eastAsia" w:ascii="宋体" w:hAnsi="宋体"/>
                <w:color w:val="000000"/>
                <w:sz w:val="24"/>
                <w:highlight w:val="none"/>
              </w:rPr>
              <w:t xml:space="preserve">套</w:t>
            </w: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094" w:type="dxa"/>
            <w:vAlign w:val="center"/>
            <w:textDirection w:val="lrTb"/>
            <w:noWrap w:val="false"/>
          </w:tcPr>
          <w:p>
            <w:pPr>
              <w:pStyle w:val="843"/>
              <w:jc w:val="center"/>
              <w:spacing w:line="400" w:lineRule="exact"/>
              <w:rPr>
                <w:rFonts w:ascii="宋体" w:hAnsi="宋体"/>
                <w:color w:val="000000"/>
                <w:sz w:val="24"/>
                <w:highlight w:val="none"/>
              </w:rPr>
            </w:pPr>
            <w:r>
              <w:rPr>
                <w:rFonts w:ascii="宋体" w:hAnsi="宋体"/>
                <w:color w:val="000000"/>
                <w:sz w:val="24"/>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22</w:t>
            </w: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878"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电动巡逻车(两轮）</w:t>
            </w: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2辆</w:t>
            </w: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094" w:type="dxa"/>
            <w:vAlign w:val="center"/>
            <w:textDirection w:val="lrTb"/>
            <w:noWrap w:val="false"/>
          </w:tcPr>
          <w:p>
            <w:pPr>
              <w:pStyle w:val="843"/>
              <w:jc w:val="center"/>
              <w:spacing w:line="400" w:lineRule="exact"/>
              <w:rPr>
                <w:rFonts w:ascii="宋体" w:hAnsi="宋体"/>
                <w:color w:val="000000"/>
                <w:sz w:val="24"/>
                <w:highlight w:val="none"/>
              </w:rPr>
            </w:pPr>
            <w:r>
              <w:rPr>
                <w:rFonts w:ascii="宋体" w:hAnsi="宋体"/>
                <w:color w:val="000000"/>
                <w:sz w:val="24"/>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23</w:t>
            </w: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878"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约束绳</w:t>
            </w: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2套</w:t>
            </w: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094" w:type="dxa"/>
            <w:vAlign w:val="center"/>
            <w:textDirection w:val="lrTb"/>
            <w:noWrap w:val="false"/>
          </w:tcPr>
          <w:p>
            <w:pPr>
              <w:pStyle w:val="843"/>
              <w:jc w:val="center"/>
              <w:spacing w:line="400" w:lineRule="exact"/>
              <w:rPr>
                <w:rFonts w:ascii="宋体" w:hAnsi="宋体"/>
                <w:color w:val="000000"/>
                <w:sz w:val="24"/>
                <w:highlight w:val="none"/>
              </w:rPr>
            </w:pPr>
            <w:r>
              <w:rPr>
                <w:rFonts w:ascii="宋体" w:hAnsi="宋体"/>
                <w:color w:val="000000"/>
                <w:sz w:val="24"/>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24</w:t>
            </w: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878"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辣椒水</w:t>
            </w: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2瓶</w:t>
            </w: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094"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失效更换</w:t>
            </w:r>
            <w:r>
              <w:rPr>
                <w:rFonts w:ascii="宋体" w:hAnsi="宋体"/>
                <w:color w:val="000000"/>
                <w:sz w:val="24"/>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878"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哨子</w:t>
            </w: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4个</w:t>
            </w: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094" w:type="dxa"/>
            <w:vAlign w:val="center"/>
            <w:textDirection w:val="lrTb"/>
            <w:noWrap w:val="false"/>
          </w:tcPr>
          <w:p>
            <w:pPr>
              <w:pStyle w:val="843"/>
              <w:jc w:val="center"/>
              <w:spacing w:line="400" w:lineRule="exact"/>
              <w:rPr>
                <w:rFonts w:ascii="宋体" w:hAnsi="宋体"/>
                <w:color w:val="000000"/>
                <w:sz w:val="24"/>
                <w:highlight w:val="none"/>
              </w:rPr>
            </w:pPr>
            <w:r>
              <w:rPr>
                <w:rFonts w:ascii="宋体" w:hAnsi="宋体"/>
                <w:color w:val="000000"/>
                <w:sz w:val="24"/>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26</w:t>
            </w: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878"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考勤设备</w:t>
            </w: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2套</w:t>
            </w: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094" w:type="dxa"/>
            <w:vAlign w:val="center"/>
            <w:textDirection w:val="lrTb"/>
            <w:noWrap w:val="false"/>
          </w:tcPr>
          <w:p>
            <w:pPr>
              <w:pStyle w:val="843"/>
              <w:jc w:val="center"/>
              <w:spacing w:line="400" w:lineRule="exact"/>
              <w:rPr>
                <w:rFonts w:ascii="宋体" w:hAnsi="宋体"/>
                <w:color w:val="000000"/>
                <w:sz w:val="24"/>
                <w:highlight w:val="none"/>
              </w:rPr>
            </w:pPr>
            <w:r>
              <w:rPr>
                <w:rFonts w:ascii="宋体" w:hAnsi="宋体"/>
                <w:color w:val="000000"/>
                <w:sz w:val="24"/>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27</w:t>
            </w: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878" w:type="dxa"/>
            <w:vAlign w:val="center"/>
            <w:textDirection w:val="lrTb"/>
            <w:noWrap w:val="false"/>
          </w:tcPr>
          <w:p>
            <w:pPr>
              <w:pStyle w:val="843"/>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雨衣、雨鞋</w:t>
            </w:r>
            <w:r>
              <w:rPr>
                <w:rFonts w:ascii="宋体" w:hAnsi="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843"/>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20套</w:t>
            </w:r>
            <w:r>
              <w:rPr>
                <w:rFonts w:ascii="宋体" w:hAnsi="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094" w:type="dxa"/>
            <w:vAlign w:val="center"/>
            <w:textDirection w:val="lrTb"/>
            <w:noWrap w:val="false"/>
          </w:tcPr>
          <w:p>
            <w:pPr>
              <w:pStyle w:val="843"/>
              <w:jc w:val="center"/>
              <w:spacing w:line="400" w:lineRule="exact"/>
              <w:rPr>
                <w:rFonts w:ascii="宋体" w:hAnsi="宋体"/>
                <w:color w:val="000000"/>
                <w:sz w:val="24"/>
                <w:highlight w:val="none"/>
              </w:rPr>
            </w:pPr>
            <w:r>
              <w:rPr>
                <w:rFonts w:ascii="宋体" w:hAnsi="宋体"/>
                <w:color w:val="000000"/>
                <w:sz w:val="24"/>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28</w:t>
            </w: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878" w:type="dxa"/>
            <w:vAlign w:val="center"/>
            <w:textDirection w:val="lrTb"/>
            <w:noWrap w:val="false"/>
          </w:tcPr>
          <w:p>
            <w:pPr>
              <w:pStyle w:val="843"/>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交通闪光指挥棒</w:t>
            </w:r>
            <w:r>
              <w:rPr>
                <w:rFonts w:ascii="宋体" w:hAnsi="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843"/>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8根</w:t>
            </w:r>
            <w:r>
              <w:rPr>
                <w:rFonts w:ascii="宋体" w:hAnsi="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094" w:type="dxa"/>
            <w:vAlign w:val="center"/>
            <w:textDirection w:val="lrTb"/>
            <w:noWrap w:val="false"/>
          </w:tcPr>
          <w:p>
            <w:pPr>
              <w:pStyle w:val="843"/>
              <w:jc w:val="center"/>
              <w:spacing w:line="400" w:lineRule="exact"/>
              <w:rPr>
                <w:rFonts w:ascii="宋体" w:hAnsi="宋体"/>
                <w:color w:val="000000"/>
                <w:sz w:val="24"/>
                <w:highlight w:val="none"/>
              </w:rPr>
            </w:pPr>
            <w:r>
              <w:rPr>
                <w:rFonts w:ascii="宋体" w:hAnsi="宋体"/>
                <w:color w:val="000000"/>
                <w:sz w:val="24"/>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43"/>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29</w:t>
            </w:r>
            <w:r>
              <w:rPr>
                <w:rFonts w:hint="eastAsia"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878" w:type="dxa"/>
            <w:vAlign w:val="center"/>
            <w:textDirection w:val="lrTb"/>
            <w:noWrap w:val="false"/>
          </w:tcPr>
          <w:p>
            <w:pPr>
              <w:pStyle w:val="843"/>
              <w:jc w:val="center"/>
              <w:spacing w:line="360" w:lineRule="auto"/>
              <w:rPr>
                <w:rFonts w:hint="eastAsia" w:ascii="宋体" w:hAnsi="宋体"/>
                <w:color w:val="000000"/>
                <w:sz w:val="24"/>
                <w:szCs w:val="24"/>
                <w:highlight w:val="none"/>
              </w:rPr>
            </w:pPr>
            <w:r>
              <w:rPr>
                <w:rFonts w:hint="eastAsia" w:ascii="宋体" w:hAnsi="宋体"/>
                <w:color w:val="000000"/>
                <w:sz w:val="24"/>
                <w:highlight w:val="none"/>
              </w:rPr>
              <w:t xml:space="preserve">警用围挡</w:t>
            </w:r>
            <w:r>
              <w:rPr>
                <w:rFonts w:hint="eastAsia" w:ascii="宋体" w:hAnsi="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843"/>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2组</w:t>
            </w:r>
            <w:r>
              <w:rPr>
                <w:rFonts w:hint="eastAsia" w:ascii="宋体" w:hAnsi="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094" w:type="dxa"/>
            <w:vAlign w:val="center"/>
            <w:textDirection w:val="lrTb"/>
            <w:noWrap w:val="false"/>
          </w:tcPr>
          <w:p>
            <w:pPr>
              <w:pStyle w:val="843"/>
              <w:jc w:val="center"/>
              <w:spacing w:line="400" w:lineRule="exact"/>
              <w:rPr>
                <w:rFonts w:ascii="宋体" w:hAnsi="宋体"/>
                <w:color w:val="000000"/>
                <w:sz w:val="24"/>
                <w:highlight w:val="none"/>
              </w:rPr>
            </w:pPr>
            <w:r>
              <w:rPr>
                <w:rFonts w:hint="eastAsia" w:ascii="宋体" w:hAnsi="宋体"/>
                <w:color w:val="000000"/>
                <w:sz w:val="24"/>
                <w:highlight w:val="none"/>
              </w:rPr>
              <w:t xml:space="preserve">4面体 2M*2M/面</w:t>
            </w:r>
            <w:r>
              <w:rPr>
                <w:rFonts w:ascii="宋体" w:hAnsi="宋体"/>
                <w:color w:val="000000"/>
                <w:sz w:val="24"/>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43"/>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30</w:t>
            </w:r>
            <w:r>
              <w:rPr>
                <w:rFonts w:hint="eastAsia"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878" w:type="dxa"/>
            <w:vAlign w:val="center"/>
            <w:textDirection w:val="lrTb"/>
            <w:noWrap w:val="false"/>
          </w:tcPr>
          <w:p>
            <w:pPr>
              <w:pStyle w:val="843"/>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警戒线</w:t>
            </w:r>
            <w:r>
              <w:rPr>
                <w:rFonts w:hint="eastAsia" w:ascii="宋体" w:hAnsi="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843"/>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2盘</w:t>
            </w:r>
            <w:r>
              <w:rPr>
                <w:rFonts w:hint="eastAsia" w:ascii="宋体" w:hAnsi="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094" w:type="dxa"/>
            <w:vAlign w:val="center"/>
            <w:textDirection w:val="lrTb"/>
            <w:noWrap w:val="false"/>
          </w:tcPr>
          <w:p>
            <w:pPr>
              <w:pStyle w:val="843"/>
              <w:jc w:val="center"/>
              <w:spacing w:line="400" w:lineRule="exact"/>
              <w:rPr>
                <w:rFonts w:ascii="宋体" w:hAnsi="宋体"/>
                <w:color w:val="000000"/>
                <w:sz w:val="24"/>
                <w:highlight w:val="none"/>
              </w:rPr>
            </w:pPr>
            <w:r>
              <w:rPr>
                <w:rFonts w:ascii="宋体" w:hAnsi="宋体"/>
                <w:color w:val="000000"/>
                <w:sz w:val="24"/>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43"/>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31</w:t>
            </w:r>
            <w:r>
              <w:rPr>
                <w:rFonts w:hint="eastAsia"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878" w:type="dxa"/>
            <w:vAlign w:val="center"/>
            <w:textDirection w:val="lrTb"/>
            <w:noWrap w:val="false"/>
          </w:tcPr>
          <w:p>
            <w:pPr>
              <w:pStyle w:val="843"/>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移动巡防机(扫码)</w:t>
            </w:r>
            <w:r>
              <w:rPr>
                <w:rFonts w:hint="eastAsia" w:ascii="宋体" w:hAnsi="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843"/>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2台</w:t>
            </w:r>
            <w:r>
              <w:rPr>
                <w:rFonts w:hint="eastAsia" w:ascii="宋体" w:hAnsi="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094" w:type="dxa"/>
            <w:vAlign w:val="center"/>
            <w:textDirection w:val="lrTb"/>
            <w:noWrap w:val="false"/>
          </w:tcPr>
          <w:p>
            <w:pPr>
              <w:pStyle w:val="843"/>
              <w:jc w:val="center"/>
              <w:spacing w:line="400" w:lineRule="exact"/>
              <w:rPr>
                <w:rFonts w:ascii="宋体" w:hAnsi="宋体"/>
                <w:color w:val="000000"/>
                <w:sz w:val="24"/>
                <w:highlight w:val="none"/>
              </w:rPr>
            </w:pPr>
            <w:r>
              <w:rPr>
                <w:rFonts w:ascii="宋体" w:hAnsi="宋体"/>
                <w:color w:val="000000"/>
                <w:sz w:val="24"/>
                <w:highlight w:val="none"/>
              </w:rPr>
            </w:r>
            <w:r/>
          </w:p>
        </w:tc>
      </w:tr>
    </w:tbl>
    <w:p>
      <w:pPr>
        <w:pStyle w:val="843"/>
        <w:ind w:firstLine="480"/>
        <w:spacing w:line="400" w:lineRule="exact"/>
        <w:rPr>
          <w:rFonts w:ascii="宋体" w:hAnsi="宋体"/>
          <w:color w:val="000000"/>
          <w:sz w:val="24"/>
          <w:highlight w:val="none"/>
        </w:rPr>
        <w:sectPr>
          <w:footnotePr/>
          <w:endnotePr/>
          <w:type w:val="nextPage"/>
          <w:pgSz w:w="11905" w:h="16838" w:orient="portrait"/>
          <w:pgMar w:top="1843" w:right="1474" w:bottom="1984" w:left="1588" w:header="851" w:footer="992" w:gutter="0"/>
          <w:cols w:num="1" w:sep="0" w:space="1701" w:equalWidth="1"/>
          <w:docGrid w:linePitch="360"/>
        </w:sectPr>
      </w:pPr>
      <w:r/>
      <w:bookmarkEnd w:id="56"/>
      <w:r/>
      <w:bookmarkEnd w:id="57"/>
      <w:r/>
      <w:bookmarkEnd w:id="58"/>
      <w:r/>
      <w:bookmarkEnd w:id="59"/>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附件3：</w:t>
      </w:r>
      <w:r>
        <w:rPr>
          <w:rFonts w:ascii="宋体" w:hAnsi="宋体"/>
          <w:color w:val="000000"/>
          <w:sz w:val="24"/>
          <w:highlight w:val="none"/>
        </w:rPr>
      </w:r>
      <w:r/>
    </w:p>
    <w:p>
      <w:pPr>
        <w:pStyle w:val="843"/>
        <w:ind w:firstLine="640"/>
        <w:jc w:val="center"/>
        <w:spacing w:line="400" w:lineRule="exact"/>
        <w:rPr>
          <w:rFonts w:ascii="宋体" w:hAnsi="宋体"/>
          <w:color w:val="000000"/>
          <w:sz w:val="24"/>
          <w:highlight w:val="none"/>
        </w:rPr>
      </w:pPr>
      <w:r>
        <w:rPr>
          <w:rFonts w:hint="eastAsia" w:ascii="宋体" w:hAnsi="宋体" w:cs="宋体"/>
          <w:b/>
          <w:color w:val="000000"/>
          <w:sz w:val="32"/>
          <w:szCs w:val="32"/>
          <w:highlight w:val="none"/>
        </w:rPr>
        <w:t xml:space="preserve">医院安保服务考核细则</w:t>
      </w:r>
      <w:r>
        <w:rPr>
          <w:rFonts w:ascii="宋体" w:hAnsi="宋体"/>
          <w:color w:val="000000"/>
          <w:sz w:val="24"/>
          <w:highlight w:val="none"/>
        </w:rPr>
      </w:r>
      <w:r/>
    </w:p>
    <w:tbl>
      <w:tblPr>
        <w:tblW w:w="125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26"/>
        <w:gridCol w:w="4739"/>
        <w:gridCol w:w="1030"/>
        <w:gridCol w:w="3420"/>
        <w:gridCol w:w="756"/>
        <w:gridCol w:w="1476"/>
      </w:tblGrid>
      <w:tr>
        <w:trPr>
          <w:trHeight w:val="480"/>
        </w:trPr>
        <w:tc>
          <w:tcPr>
            <w:tcBorders>
              <w:top w:val="single" w:color="000000" w:sz="4" w:space="0"/>
              <w:left w:val="single" w:color="000000" w:sz="4" w:space="0"/>
              <w:bottom w:val="single" w:color="000000" w:sz="4" w:space="0"/>
              <w:right w:val="single" w:color="000000" w:sz="4" w:space="0"/>
            </w:tcBorders>
            <w:tcW w:w="1126" w:type="dxa"/>
            <w:vAlign w:val="center"/>
            <w:vMerge w:val="restart"/>
            <w:textDirection w:val="lrTb"/>
            <w:noWrap w:val="false"/>
          </w:tcPr>
          <w:p>
            <w:pPr>
              <w:pStyle w:val="843"/>
              <w:jc w:val="center"/>
              <w:widowControl/>
              <w:rPr>
                <w:rFonts w:ascii="宋体" w:hAnsi="宋体" w:cs="宋体"/>
                <w:b/>
                <w:color w:val="000000"/>
                <w:sz w:val="18"/>
                <w:szCs w:val="18"/>
                <w:highlight w:val="none"/>
              </w:rPr>
            </w:pPr>
            <w:r>
              <w:rPr>
                <w:rFonts w:hint="eastAsia" w:ascii="宋体" w:hAnsi="宋体" w:cs="宋体"/>
                <w:b/>
                <w:color w:val="000000"/>
                <w:sz w:val="18"/>
                <w:szCs w:val="18"/>
                <w:highlight w:val="none"/>
              </w:rPr>
              <w:t xml:space="preserve">分项</w:t>
            </w:r>
            <w:r>
              <w:rPr>
                <w:rFonts w:ascii="宋体" w:hAnsi="宋体" w:cs="宋体"/>
                <w:b/>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vMerge w:val="restart"/>
            <w:textDirection w:val="lrTb"/>
            <w:noWrap/>
          </w:tcPr>
          <w:p>
            <w:pPr>
              <w:pStyle w:val="843"/>
              <w:jc w:val="center"/>
              <w:widowControl/>
              <w:rPr>
                <w:rFonts w:ascii="宋体" w:hAnsi="宋体" w:cs="宋体"/>
                <w:b/>
                <w:color w:val="000000"/>
                <w:sz w:val="18"/>
                <w:szCs w:val="18"/>
                <w:highlight w:val="none"/>
              </w:rPr>
            </w:pPr>
            <w:r>
              <w:rPr>
                <w:rFonts w:hint="eastAsia" w:ascii="宋体" w:hAnsi="宋体" w:cs="宋体"/>
                <w:b/>
                <w:color w:val="000000"/>
                <w:sz w:val="18"/>
                <w:szCs w:val="18"/>
                <w:highlight w:val="none"/>
              </w:rPr>
              <w:t xml:space="preserve">服务质量标准</w:t>
            </w:r>
            <w:r>
              <w:rPr>
                <w:rFonts w:ascii="宋体" w:hAnsi="宋体" w:cs="宋体"/>
                <w:b/>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30" w:type="dxa"/>
            <w:vAlign w:val="center"/>
            <w:vMerge w:val="restart"/>
            <w:textDirection w:val="lrTb"/>
            <w:noWrap w:val="false"/>
          </w:tcPr>
          <w:p>
            <w:pPr>
              <w:pStyle w:val="843"/>
              <w:jc w:val="center"/>
              <w:widowControl/>
              <w:rPr>
                <w:rFonts w:ascii="宋体" w:hAnsi="宋体" w:cs="宋体"/>
                <w:b/>
                <w:color w:val="000000"/>
                <w:sz w:val="18"/>
                <w:szCs w:val="18"/>
                <w:highlight w:val="none"/>
              </w:rPr>
            </w:pPr>
            <w:r>
              <w:rPr>
                <w:rFonts w:hint="eastAsia" w:ascii="宋体" w:hAnsi="宋体" w:cs="宋体"/>
                <w:b/>
                <w:color w:val="000000"/>
                <w:sz w:val="18"/>
                <w:szCs w:val="18"/>
                <w:highlight w:val="none"/>
              </w:rPr>
              <w:t xml:space="preserve">分值</w:t>
            </w:r>
            <w:r>
              <w:rPr>
                <w:rFonts w:ascii="宋体" w:hAnsi="宋体" w:cs="宋体"/>
                <w:b/>
                <w:color w:val="000000"/>
                <w:sz w:val="18"/>
                <w:szCs w:val="18"/>
                <w:highlight w:val="none"/>
              </w:rPr>
            </w:r>
            <w:r/>
          </w:p>
          <w:p>
            <w:pPr>
              <w:pStyle w:val="843"/>
              <w:jc w:val="center"/>
              <w:widowControl/>
              <w:rPr>
                <w:rFonts w:ascii="宋体" w:hAnsi="宋体" w:cs="宋体"/>
                <w:b/>
                <w:color w:val="000000"/>
                <w:sz w:val="18"/>
                <w:szCs w:val="18"/>
                <w:highlight w:val="none"/>
              </w:rPr>
            </w:pPr>
            <w:r>
              <w:rPr>
                <w:rFonts w:hint="eastAsia" w:ascii="宋体" w:hAnsi="宋体" w:cs="宋体"/>
                <w:b/>
                <w:color w:val="000000"/>
                <w:sz w:val="18"/>
                <w:szCs w:val="18"/>
                <w:highlight w:val="none"/>
              </w:rPr>
              <w:t xml:space="preserve">（100）</w:t>
            </w:r>
            <w:r>
              <w:rPr>
                <w:rFonts w:ascii="宋体" w:hAnsi="宋体" w:cs="宋体"/>
                <w:b/>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vMerge w:val="restart"/>
            <w:textDirection w:val="lrTb"/>
            <w:noWrap/>
          </w:tcPr>
          <w:p>
            <w:pPr>
              <w:pStyle w:val="843"/>
              <w:jc w:val="center"/>
              <w:widowControl/>
              <w:rPr>
                <w:rFonts w:ascii="宋体" w:hAnsi="宋体" w:cs="宋体"/>
                <w:b/>
                <w:color w:val="000000"/>
                <w:sz w:val="18"/>
                <w:szCs w:val="18"/>
                <w:highlight w:val="none"/>
              </w:rPr>
            </w:pPr>
            <w:r>
              <w:rPr>
                <w:rFonts w:hint="eastAsia" w:ascii="宋体" w:hAnsi="宋体" w:cs="宋体"/>
                <w:b/>
                <w:color w:val="000000"/>
                <w:sz w:val="18"/>
                <w:szCs w:val="18"/>
                <w:highlight w:val="none"/>
              </w:rPr>
              <w:t xml:space="preserve">监管考评标准</w:t>
            </w:r>
            <w:r>
              <w:rPr>
                <w:rFonts w:ascii="宋体" w:hAnsi="宋体" w:cs="宋体"/>
                <w:b/>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pStyle w:val="843"/>
              <w:jc w:val="center"/>
              <w:widowControl/>
              <w:rPr>
                <w:rFonts w:ascii="宋体" w:hAnsi="宋体" w:cs="宋体"/>
                <w:b/>
                <w:color w:val="000000"/>
                <w:sz w:val="18"/>
                <w:szCs w:val="18"/>
                <w:highlight w:val="none"/>
              </w:rPr>
            </w:pPr>
            <w:r>
              <w:rPr>
                <w:rFonts w:hint="eastAsia" w:ascii="宋体" w:hAnsi="宋体" w:cs="宋体"/>
                <w:b/>
                <w:color w:val="000000"/>
                <w:sz w:val="18"/>
                <w:szCs w:val="18"/>
                <w:highlight w:val="none"/>
              </w:rPr>
              <w:t xml:space="preserve">得分</w:t>
            </w:r>
            <w:r>
              <w:rPr>
                <w:rFonts w:ascii="宋体" w:hAnsi="宋体" w:cs="宋体"/>
                <w:b/>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tcPr>
          <w:p>
            <w:pPr>
              <w:pStyle w:val="843"/>
              <w:jc w:val="center"/>
              <w:widowControl/>
              <w:rPr>
                <w:rFonts w:ascii="宋体" w:hAnsi="宋体" w:cs="宋体"/>
                <w:b/>
                <w:color w:val="000000"/>
                <w:sz w:val="18"/>
                <w:szCs w:val="18"/>
                <w:highlight w:val="none"/>
              </w:rPr>
            </w:pPr>
            <w:r>
              <w:rPr>
                <w:rFonts w:hint="eastAsia" w:ascii="宋体" w:hAnsi="宋体" w:cs="宋体"/>
                <w:b/>
                <w:color w:val="000000"/>
                <w:sz w:val="18"/>
                <w:szCs w:val="18"/>
                <w:highlight w:val="none"/>
              </w:rPr>
              <w:t xml:space="preserve">扣分原因说明</w:t>
            </w:r>
            <w:r>
              <w:rPr>
                <w:rFonts w:ascii="宋体" w:hAnsi="宋体" w:cs="宋体"/>
                <w:b/>
                <w:color w:val="000000"/>
                <w:sz w:val="18"/>
                <w:szCs w:val="18"/>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1126" w:type="dxa"/>
            <w:vAlign w:val="center"/>
            <w:vMerge w:val="restart"/>
            <w:textDirection w:val="lrTb"/>
            <w:noWrap w:val="false"/>
          </w:tcPr>
          <w:p>
            <w:pPr>
              <w:pStyle w:val="843"/>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人员管理</w:t>
            </w:r>
            <w:r>
              <w:rPr>
                <w:rFonts w:hint="eastAsia" w:ascii="宋体" w:hAnsi="宋体" w:cs="宋体"/>
                <w:color w:val="000000"/>
                <w:sz w:val="18"/>
                <w:szCs w:val="18"/>
                <w:highlight w:val="none"/>
              </w:rPr>
              <w:br w:type="textWrapping" w:clear="all"/>
            </w:r>
            <w:r>
              <w:rPr>
                <w:rFonts w:hint="eastAsia" w:ascii="宋体" w:hAnsi="宋体" w:cs="宋体"/>
                <w:color w:val="000000"/>
                <w:sz w:val="18"/>
                <w:szCs w:val="18"/>
                <w:highlight w:val="none"/>
              </w:rPr>
              <w:t xml:space="preserve">（15分）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保安人员年龄结构应按照招标文件合理配置。</w:t>
            </w:r>
            <w:r>
              <w:rPr>
                <w:rFonts w:ascii="宋体" w:hAnsi="宋体" w:cs="宋体"/>
                <w:color w:val="000000"/>
                <w:sz w:val="18"/>
                <w:szCs w:val="18"/>
                <w:highlight w:val="none"/>
              </w:rPr>
            </w:r>
            <w:r/>
          </w:p>
        </w:tc>
        <w:tc>
          <w:tcPr>
            <w:tcBorders>
              <w:top w:val="single" w:color="000000" w:sz="4" w:space="0"/>
              <w:left w:val="single" w:color="000000" w:sz="4" w:space="0"/>
              <w:bottom w:val="none" w:color="000000" w:sz="0" w:space="0"/>
              <w:right w:val="single" w:color="000000" w:sz="4" w:space="0"/>
            </w:tcBorders>
            <w:tcW w:w="1030" w:type="dxa"/>
            <w:vAlign w:val="center"/>
            <w:vMerge w:val="restart"/>
            <w:textDirection w:val="lrTb"/>
            <w:noWrap/>
          </w:tcPr>
          <w:p>
            <w:pPr>
              <w:pStyle w:val="843"/>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15</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bookmarkStart w:id="62" w:name="OLE_LINK17"/>
            <w:r/>
            <w:bookmarkStart w:id="63" w:name="OLE_LINK16"/>
            <w:r>
              <w:rPr>
                <w:rFonts w:hint="eastAsia" w:ascii="宋体" w:hAnsi="宋体" w:cs="宋体"/>
                <w:color w:val="000000"/>
                <w:sz w:val="18"/>
                <w:szCs w:val="18"/>
                <w:highlight w:val="none"/>
              </w:rPr>
              <w:t xml:space="preserve">保安人员年龄满足人员素质基本条件，其中20-40周岁占比≥20%，40-50周岁占比≥30%，50-60周岁≤50%，不得大于57周岁。</w:t>
            </w:r>
            <w:bookmarkEnd w:id="62"/>
            <w:r/>
            <w:bookmarkEnd w:id="63"/>
            <w:r>
              <w:rPr>
                <w:rFonts w:hint="eastAsia" w:ascii="宋体" w:hAnsi="宋体" w:cs="宋体"/>
                <w:color w:val="000000"/>
                <w:sz w:val="18"/>
                <w:szCs w:val="18"/>
                <w:highlight w:val="none"/>
              </w:rPr>
              <w:t xml:space="preserve">每差距2%扣1分。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保安管理人员学历、素质、能力要求应按照招标文件合理配置</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班组长、队长、项目经理、特勤等管理人员配置，1人次不符合招标文件要求扣2分。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保安人员劳动纪律应符合国家、各部门的法律法规及院方相关制度和招标文件要求内容</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保安人员每违反一条国家相关法律法规或招标文件等劳动纪律，扣0.5分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保安人数应按标书要求配备充足。根据医院安全保卫特点定岗定职，布局合理，结构合理，无缺岗缺位，确保响应及时、行动迅速。保安队员月流动率不得超过5%。</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1、保安人员应持证上岗（消控证、保安员证、安检员证）每缺少一证，扣0.2分                              </w:t>
            </w:r>
            <w:r>
              <w:rPr>
                <w:rFonts w:hint="eastAsia" w:ascii="宋体" w:hAnsi="宋体" w:cs="宋体"/>
                <w:color w:val="000000"/>
                <w:sz w:val="18"/>
                <w:szCs w:val="18"/>
                <w:highlight w:val="none"/>
              </w:rPr>
              <w:br w:type="textWrapping" w:clear="all"/>
            </w:r>
            <w:r>
              <w:rPr>
                <w:rFonts w:hint="eastAsia" w:ascii="宋体" w:hAnsi="宋体" w:cs="宋体"/>
                <w:color w:val="000000"/>
                <w:sz w:val="18"/>
                <w:szCs w:val="18"/>
                <w:highlight w:val="none"/>
              </w:rPr>
              <w:t xml:space="preserve">2、人员流动率超过一个百分点，扣1分，超过两个百分点，扣2分，依此类推。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保安服务人员应满足甲方需求人员，如不满足需求人数将按实进行服务费扣除，并进行服务质量考核。</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保安人员每缺少1人，扣1个人头费</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做好重大活动、会议、接待的保卫工作，建立各级安全警戒方案确保安全稳定，圆满完成院方交代的其他任务。</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1、达不到安全要求，无安全工作方案每次(项)扣1分，造成不良影响扣2分，并视情况进行处理。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出勤人员：须持证上岗，提前十分钟到岗，在下一班岗人员到位，并在岗位上交接班后，换便装下班</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Style w:val="915"/>
                <w:color w:val="000000"/>
                <w:highlight w:val="none"/>
              </w:rPr>
              <w:t xml:space="preserve">上班迟到、早退（30分钟内）发现一例扣2分，超过30分钟以上、半天以下按旷工半天计算，发现一例扣5分，全天旷工的，发现一例扣10分；保安员、消控员未持相对应有效上岗证的，在总分值100分内每发现1例扣2分；保安员配置不达招标要求的，在总分值100分内每发现1例扣0.5分。同一人发生中夜连班、夜早连班现象，每发现一例扣1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仪表仪容：注重警容风貌，上岗不按规定着装、配备警用器材、通讯工具的</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不按规定着装、佩戴警用器材、通讯工具的，按情节轻重扣1-5分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在岗期间做到既礼貌待人又严格把关、坐姿、站姿、谈吐等行为须端正</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在岗期间未能做到既礼貌待人又严格把关、坐姿、站姿、谈吐等行为不端正，有损医院形象的视情节轻重扣1-5分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严格遵守保安纪律，工作态度端正，服从管理，不迟到、早退，岗位上不看手机、书刊、杂志、私自会客、喝酒抽烟、脱岗、睡觉，不打架滋事和散布谣言。</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上班期间不严格遵守保安纪律（如上班串岗闲聊、吸烟喝酒、赌博睡觉等），工作散漫、无理由不服从队长合理安排，对队长或采购人等上级领导部门要求整改之事项无动于衷，视其情节轻重扣2-10分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675"/>
        </w:trPr>
        <w:tc>
          <w:tcPr>
            <w:tcBorders>
              <w:top w:val="single" w:color="000000" w:sz="4" w:space="0"/>
              <w:left w:val="single" w:color="000000" w:sz="4" w:space="0"/>
              <w:bottom w:val="none" w:color="000000" w:sz="0" w:space="0"/>
              <w:right w:val="single" w:color="000000" w:sz="4" w:space="0"/>
            </w:tcBorders>
            <w:tcW w:w="1126" w:type="dxa"/>
            <w:vAlign w:val="center"/>
            <w:vMerge w:val="restart"/>
            <w:textDirection w:val="lrTb"/>
            <w:noWrap w:val="false"/>
          </w:tcPr>
          <w:p>
            <w:pPr>
              <w:pStyle w:val="843"/>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门卫管理</w:t>
            </w:r>
            <w:r>
              <w:rPr>
                <w:rFonts w:ascii="宋体" w:hAnsi="宋体" w:cs="宋体"/>
                <w:color w:val="000000"/>
                <w:sz w:val="18"/>
                <w:szCs w:val="18"/>
                <w:highlight w:val="none"/>
              </w:rPr>
            </w:r>
            <w:r/>
          </w:p>
          <w:p>
            <w:pPr>
              <w:pStyle w:val="843"/>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（15分）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门卫等各岗位保持在岗在位、门前卫生三包</w:t>
            </w:r>
            <w:r>
              <w:rPr>
                <w:rFonts w:ascii="宋体" w:hAnsi="宋体" w:cs="宋体"/>
                <w:color w:val="000000"/>
                <w:sz w:val="18"/>
                <w:szCs w:val="18"/>
                <w:highlight w:val="none"/>
              </w:rPr>
            </w:r>
            <w:r/>
          </w:p>
        </w:tc>
        <w:tc>
          <w:tcPr>
            <w:tcBorders>
              <w:top w:val="single" w:color="000000" w:sz="4" w:space="0"/>
              <w:left w:val="single" w:color="000000" w:sz="4" w:space="0"/>
              <w:bottom w:val="none" w:color="000000" w:sz="0" w:space="0"/>
              <w:right w:val="single" w:color="000000" w:sz="4" w:space="0"/>
            </w:tcBorders>
            <w:tcW w:w="1030" w:type="dxa"/>
            <w:vAlign w:val="center"/>
            <w:vMerge w:val="restart"/>
            <w:textDirection w:val="lrTb"/>
            <w:noWrap/>
          </w:tcPr>
          <w:p>
            <w:pPr>
              <w:pStyle w:val="843"/>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15</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以次为计，发现未穿工作服或仪容不整上岗的一次扣0.1分，漏岗一次扣4分，脱岗30分钟以下一次扣1-3分，30分钟以上按漏岗扣分；卫生脏乱差扣0.1-2分。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675"/>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大门岗保持出入口良好秩序、确保畅通</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大门出入不畅、堵塞的，一次扣0.2分，出入口乱停乱放的，一次扣0.1分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675"/>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大门岗遇有来访来询，做到服务热情周到，文明执勤，有问必答</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口出脏话、故意刁难的，接打电话不文明的，一次扣0.5-3分。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675"/>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大门岗提高警惕、做好出入行人车辆排查登记，防止医院财物流失或社会闲杂人员出入医院。</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门卫未经盘查、登记，造成医院财物经门卫流失的，携有危险品、可疑人员车辆出入院造成医院损失的，发生一次视情扣0.5-3分；着工作服病人经门卫逃离出院一次扣1-3分。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675"/>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室外规定位置立岗。南门卫保持1人立岗，北门卫晚8点前立岗。</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违规一次扣0.2-3分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675"/>
        </w:trPr>
        <w:tc>
          <w:tcPr>
            <w:tcBorders>
              <w:top w:val="none" w:color="000000" w:sz="0"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做好当班治安、会议和出入登记记录台账，月初整理资料并将上月台账资料提交医院保卫处</w:t>
            </w:r>
            <w:r>
              <w:rPr>
                <w:rFonts w:ascii="宋体" w:hAnsi="宋体" w:cs="宋体"/>
                <w:color w:val="000000"/>
                <w:sz w:val="18"/>
                <w:szCs w:val="18"/>
                <w:highlight w:val="none"/>
              </w:rPr>
            </w:r>
            <w:r/>
          </w:p>
        </w:tc>
        <w:tc>
          <w:tcPr>
            <w:tcBorders>
              <w:top w:val="none" w:color="000000" w:sz="0" w:space="0"/>
              <w:left w:val="single" w:color="000000" w:sz="4" w:space="0"/>
              <w:bottom w:val="single" w:color="000000" w:sz="4" w:space="0"/>
              <w:right w:val="single" w:color="000000" w:sz="4" w:space="0"/>
            </w:tcBorders>
            <w:tcW w:w="1030" w:type="dxa"/>
            <w:vAlign w:val="center"/>
            <w:vMerge w:val="continue"/>
            <w:textDirection w:val="lrTb"/>
            <w:noWrap/>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以次为计，当日不健全一次扣0.1分，未整理不及时提交一次扣0.5分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1126" w:type="dxa"/>
            <w:vAlign w:val="center"/>
            <w:vMerge w:val="restart"/>
            <w:textDirection w:val="lrTb"/>
            <w:noWrap w:val="false"/>
          </w:tcPr>
          <w:p>
            <w:pPr>
              <w:pStyle w:val="843"/>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巡防及治安管理</w:t>
            </w:r>
            <w:r>
              <w:rPr>
                <w:rFonts w:hint="eastAsia" w:ascii="宋体" w:hAnsi="宋体" w:cs="宋体"/>
                <w:color w:val="000000"/>
                <w:sz w:val="18"/>
                <w:szCs w:val="18"/>
                <w:highlight w:val="none"/>
              </w:rPr>
              <w:br w:type="textWrapping" w:clear="all"/>
            </w:r>
            <w:r>
              <w:rPr>
                <w:rFonts w:hint="eastAsia" w:ascii="宋体" w:hAnsi="宋体" w:cs="宋体"/>
                <w:color w:val="000000"/>
                <w:sz w:val="18"/>
                <w:szCs w:val="18"/>
                <w:highlight w:val="none"/>
              </w:rPr>
              <w:t xml:space="preserve">（15分）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结合医院特点制订安全防范措施及各项管理制度、规定，突发事件的应急措施、方案，并不断完善。确保医院无重大治安刑事案件和火灾事故发生，保持良好的医疗秩序。</w:t>
            </w:r>
            <w:r>
              <w:rPr>
                <w:rFonts w:ascii="宋体" w:hAnsi="宋体" w:cs="宋体"/>
                <w:color w:val="000000"/>
                <w:sz w:val="18"/>
                <w:szCs w:val="18"/>
                <w:highlight w:val="none"/>
              </w:rPr>
            </w:r>
            <w:r/>
          </w:p>
        </w:tc>
        <w:tc>
          <w:tcPr>
            <w:tcBorders>
              <w:top w:val="single" w:color="000000" w:sz="4" w:space="0"/>
              <w:left w:val="single" w:color="000000" w:sz="4" w:space="0"/>
              <w:bottom w:val="none" w:color="000000" w:sz="0" w:space="0"/>
              <w:right w:val="single" w:color="000000" w:sz="4" w:space="0"/>
            </w:tcBorders>
            <w:tcW w:w="1030" w:type="dxa"/>
            <w:vAlign w:val="center"/>
            <w:vMerge w:val="restart"/>
            <w:textDirection w:val="lrTb"/>
            <w:noWrap/>
          </w:tcPr>
          <w:p>
            <w:pPr>
              <w:pStyle w:val="843"/>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15</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1、制度、措施、方案不健全。每项扣1分</w:t>
            </w:r>
            <w:r>
              <w:rPr>
                <w:rFonts w:hint="eastAsia" w:ascii="宋体" w:hAnsi="宋体" w:cs="宋体"/>
                <w:color w:val="000000"/>
                <w:sz w:val="18"/>
                <w:szCs w:val="18"/>
                <w:highlight w:val="none"/>
              </w:rPr>
              <w:br w:type="textWrapping" w:clear="all"/>
            </w:r>
            <w:r>
              <w:rPr>
                <w:rFonts w:hint="eastAsia" w:ascii="宋体" w:hAnsi="宋体" w:cs="宋体"/>
                <w:color w:val="000000"/>
                <w:sz w:val="18"/>
                <w:szCs w:val="18"/>
                <w:highlight w:val="none"/>
              </w:rPr>
              <w:t xml:space="preserve">2、岗位管理不到位每次扣1分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575"/>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实行24小时保安值班及巡逻制度，每两小时进行一次安全巡查并进行台账记录；保安人员熟悉医院的环境，按规定着装和佩带装备，文明执勤，训练有素，机动灵活，言语规范，认真履行职责，不能与医院职工、患者及家属发生无谓冲突。</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1、值班及巡逻不规范，每次扣0.5分           2、着装不整、不规范使用文明用语扣0.5分</w:t>
            </w:r>
            <w:r>
              <w:rPr>
                <w:rFonts w:hint="eastAsia" w:ascii="宋体" w:hAnsi="宋体" w:cs="宋体"/>
                <w:color w:val="000000"/>
                <w:sz w:val="18"/>
                <w:szCs w:val="18"/>
                <w:highlight w:val="none"/>
              </w:rPr>
              <w:br w:type="textWrapping" w:clear="all"/>
            </w:r>
            <w:r>
              <w:rPr>
                <w:rFonts w:hint="eastAsia" w:ascii="宋体" w:hAnsi="宋体" w:cs="宋体"/>
                <w:color w:val="000000"/>
                <w:sz w:val="18"/>
                <w:szCs w:val="18"/>
                <w:highlight w:val="none"/>
              </w:rPr>
              <w:t xml:space="preserve">3、与他人发生冲突，扣1分，视情节进行处理   4、凡因为现场无人管理或管理不当，造成设施及建筑物(地面）损坏或人身伤害，一次扣2分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125"/>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医院的重点岗位及主要出入口要落实保安固定岗位值守，门急诊大厅、候诊区等重点部位制订相应的安全措施，确保发生突发事件处置及时。</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1、对特殊的部位要有相应的防范措施，每发现一处无防范措施，扣1分                        2、执勤保安员严禁脱岗，必须确保24小时人员在岗在位，因擅离职守1岗1人扣1分，造成后果视情节另行处理，并追究责任。</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575"/>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执行医院的各项安全工作管理规定，对可疑人员要进行检查询问，严禁推销、商贩、发小广告、医托等无关人员进出医院，及时发现报告和解决院区发生的各种突发情况，规范医院的秩序管理，确保正常的就医环境。</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1、院内有推销、商贩、发小广告、医托等类似无关人员出现，无保安劝离的，扣1分  </w:t>
            </w:r>
            <w:r>
              <w:rPr>
                <w:rFonts w:ascii="宋体" w:hAnsi="宋体" w:cs="宋体"/>
                <w:color w:val="000000"/>
                <w:sz w:val="18"/>
                <w:szCs w:val="18"/>
                <w:highlight w:val="none"/>
              </w:rPr>
            </w:r>
            <w:r/>
          </w:p>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2、因擅离职守，在岗不履职发生有责偷盗、抢劫事件扣2-5分                                3、发生突发事件处理不及时，扣2分，造成事故及影响较大的，扣5分，并追究责任。</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350"/>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定期组织安全教育培训，整改各类隐患，保护医院和病人财产安全和人身安全，加强纠纷处置能力培训和治安应急小分队等成员进行反恐防暴应急演练，及时制止平息纠纷和恐怖袭击事件。</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1、发生打砸、殴打医护人员事件时，保安员没有及时制止，每次扣2-4分                      2、发生内部人员自盗、打架斗殴扣4分，并追究领导责任。                                      3、每月至少组织一次治安反恐演练以及培训，未完成扣2分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督促协助维护保养单位定期开展监控、门禁、一键紧急报警按钮、红外报警器等技防设施检查、维护、清洁工作，确保设施设备性能良好，运行正常。</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1、未落实检查制度，发现一次扣2分            2、发现一处设备故障超过48小时，扣1分。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院内无重大治安案件，一般治安案件每月不超过1起。</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1、一般案件超过1起扣1分                    2、发生重大案件扣4分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125"/>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确保保安服务所用器材设备完好齐全，正常使用</w:t>
            </w:r>
            <w:r>
              <w:rPr>
                <w:rFonts w:ascii="宋体" w:hAnsi="宋体" w:cs="宋体"/>
                <w:color w:val="000000"/>
                <w:sz w:val="18"/>
                <w:szCs w:val="18"/>
                <w:highlight w:val="none"/>
              </w:rPr>
            </w:r>
            <w:r/>
          </w:p>
        </w:tc>
        <w:tc>
          <w:tcPr>
            <w:tcBorders>
              <w:top w:val="none" w:color="000000" w:sz="0" w:space="0"/>
              <w:left w:val="single" w:color="000000" w:sz="4" w:space="0"/>
              <w:bottom w:val="single" w:color="000000" w:sz="4" w:space="0"/>
              <w:right w:val="single" w:color="000000" w:sz="4" w:space="0"/>
            </w:tcBorders>
            <w:tcW w:w="1030" w:type="dxa"/>
            <w:vAlign w:val="center"/>
            <w:vMerge w:val="continue"/>
            <w:textDirection w:val="lrTb"/>
            <w:noWrap w:val="false"/>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1.所有投标文件配备器材应按文件数量配备，根据配备情况扣1-2分</w:t>
            </w:r>
            <w:r>
              <w:rPr>
                <w:rFonts w:hint="eastAsia" w:ascii="宋体" w:hAnsi="宋体" w:cs="宋体"/>
                <w:color w:val="000000"/>
                <w:sz w:val="18"/>
                <w:szCs w:val="18"/>
                <w:highlight w:val="none"/>
              </w:rPr>
              <w:br w:type="textWrapping" w:clear="all"/>
            </w:r>
            <w:r>
              <w:rPr>
                <w:rFonts w:hint="eastAsia" w:ascii="宋体" w:hAnsi="宋体" w:cs="宋体"/>
                <w:color w:val="000000"/>
                <w:sz w:val="18"/>
                <w:szCs w:val="18"/>
                <w:highlight w:val="none"/>
              </w:rPr>
              <w:t xml:space="preserve">2.所有配备器材应保证完好正常使用，如发生损坏应由公司提供备用器材继续使用并及时修复，根据使用情况扣1-2分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125"/>
        </w:trPr>
        <w:tc>
          <w:tcPr>
            <w:tcBorders>
              <w:top w:val="single" w:color="000000" w:sz="4" w:space="0"/>
              <w:left w:val="single" w:color="000000" w:sz="4" w:space="0"/>
              <w:bottom w:val="none" w:color="000000" w:sz="0" w:space="0"/>
              <w:right w:val="single" w:color="000000" w:sz="4" w:space="0"/>
            </w:tcBorders>
            <w:tcW w:w="1126" w:type="dxa"/>
            <w:vAlign w:val="center"/>
            <w:vMerge w:val="restart"/>
            <w:textDirection w:val="lrTb"/>
            <w:noWrap w:val="false"/>
          </w:tcPr>
          <w:p>
            <w:pPr>
              <w:pStyle w:val="843"/>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车辆（收费）管理</w:t>
            </w:r>
            <w:r>
              <w:rPr>
                <w:rFonts w:hint="eastAsia" w:ascii="宋体" w:hAnsi="宋体" w:cs="宋体"/>
                <w:color w:val="000000"/>
                <w:sz w:val="18"/>
                <w:szCs w:val="18"/>
                <w:highlight w:val="none"/>
              </w:rPr>
              <w:br w:type="textWrapping" w:clear="all"/>
            </w:r>
            <w:r>
              <w:rPr>
                <w:rFonts w:hint="eastAsia" w:ascii="宋体" w:hAnsi="宋体" w:cs="宋体"/>
                <w:color w:val="000000"/>
                <w:sz w:val="18"/>
                <w:szCs w:val="18"/>
                <w:highlight w:val="none"/>
              </w:rPr>
              <w:t xml:space="preserve">（10分）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收费停车场（包括停车道闸系统设备设施）有专人管理，维护好院内停车秩序；车辆停放整齐，场地整洁，交通畅通。严禁违规停车，发现拥堵及时疏导。有交通突发情况应对预案，处置得力。确保院内停车秩序，维护好院内道路畅通和停车安全。</w:t>
            </w:r>
            <w:r>
              <w:rPr>
                <w:rFonts w:ascii="宋体" w:hAnsi="宋体" w:cs="宋体"/>
                <w:color w:val="000000"/>
                <w:sz w:val="18"/>
                <w:szCs w:val="18"/>
                <w:highlight w:val="none"/>
              </w:rPr>
            </w:r>
            <w:r/>
          </w:p>
        </w:tc>
        <w:tc>
          <w:tcPr>
            <w:tcBorders>
              <w:top w:val="single" w:color="000000" w:sz="4" w:space="0"/>
              <w:left w:val="single" w:color="000000" w:sz="4" w:space="0"/>
              <w:bottom w:val="none" w:color="000000" w:sz="0" w:space="0"/>
              <w:right w:val="single" w:color="000000" w:sz="4" w:space="0"/>
            </w:tcBorders>
            <w:tcW w:w="1030" w:type="dxa"/>
            <w:vAlign w:val="center"/>
            <w:vMerge w:val="restart"/>
            <w:textDirection w:val="lrTb"/>
            <w:noWrap w:val="false"/>
          </w:tcPr>
          <w:p>
            <w:pPr>
              <w:pStyle w:val="843"/>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1、消防通道，急救通道及严禁停车的区段发现停车或乱停乱放每辆次扣0.5分                  2、因交通管理不力造成拥堵及突发情况处置不力每次扣2分 </w:t>
            </w:r>
            <w:r>
              <w:rPr>
                <w:rFonts w:ascii="宋体" w:hAnsi="宋体" w:cs="宋体"/>
                <w:color w:val="000000"/>
                <w:sz w:val="18"/>
                <w:szCs w:val="18"/>
                <w:highlight w:val="none"/>
              </w:rPr>
            </w:r>
            <w:r/>
          </w:p>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3、车辆道闸系统设施无法正常使用，无人报修、跟踪修复故障系统设施，每次扣1分，且因此发生的停车收费账面不平部分从服务费中扣款补平。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900"/>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非机动车辆集中停放，管理制度落实，非停车场车辆停放整齐，场地整洁，确保安全，严防损坏丢失；加强电瓶车充电安全管理，禁止电动自行车入地库或室内充电，以及私拉乱接电源及其他违章用电现象。</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1、电动自行车入地库或室内充电，非机动车未停放在划定区域，发现一辆扣0.5分                                         2、电动自行车充电私拉乱接电源现象每起扣2分，并承担由于管理失职造成事故责任</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800"/>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地下职工停车场有专人管理，正确疏导进出各种车辆，泊车安全整齐，严禁收费和未授权车辆进入，定时巡逻，巡查提醒车主关好车窗、锁好车门防止发生车辆碰撞、被盗、堵塞通道，确保院内地下道路畅通和停车安全。保证各类车位合规停放，禁止出现堵塞、占用。</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1、地下消防通道、急救通道及严禁停车的区段发现停车，未及时上报，每辆次扣1分 </w:t>
            </w:r>
            <w:r>
              <w:rPr>
                <w:rFonts w:ascii="宋体" w:hAnsi="宋体" w:cs="宋体"/>
                <w:color w:val="000000"/>
                <w:sz w:val="18"/>
                <w:szCs w:val="18"/>
                <w:highlight w:val="none"/>
              </w:rPr>
            </w:r>
            <w:r/>
          </w:p>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2、因管理不力造成拥堵，违规车辆进出，车辆碰撞、堵塞通道等每次扣2分                    3、因管理不到位发生车辆被盗等情况，扣3-5分</w:t>
            </w:r>
            <w:r>
              <w:rPr>
                <w:rFonts w:hint="eastAsia" w:ascii="宋体" w:hAnsi="宋体" w:cs="宋体"/>
                <w:color w:val="000000"/>
                <w:sz w:val="18"/>
                <w:szCs w:val="18"/>
                <w:highlight w:val="none"/>
              </w:rPr>
              <w:br w:type="textWrapping" w:clear="all"/>
            </w:r>
            <w:r>
              <w:rPr>
                <w:rFonts w:hint="eastAsia" w:ascii="宋体" w:hAnsi="宋体" w:cs="宋体"/>
                <w:color w:val="000000"/>
                <w:sz w:val="18"/>
                <w:szCs w:val="18"/>
                <w:highlight w:val="none"/>
              </w:rPr>
              <w:t xml:space="preserve">4、各类车位每出现一次堵塞、占用投诉扣0.5分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2025"/>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主要出入口早晚高峰期安排固定岗位值守，制订相应的职责和安全措施，车辆收费严格按照医院规定的收费标准收取停车费，并做好收费的交接及对账工作；收费时要注意辨别钞票真伪。谨防假钞；做好日常道闸系统清洁维护工作，发现系统异常及时联系维保单位检修；严禁在车场电脑中更改数据资料、玩游戏，接入其他外接设备，严禁挪用、借用、贪污车场公款。</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val="false"/>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1、对道闸检查维护不及时导致长时间堵塞，</w:t>
            </w:r>
            <w:r>
              <w:rPr>
                <w:rFonts w:hint="eastAsia" w:ascii="宋体" w:hAnsi="宋体" w:cs="宋体"/>
                <w:color w:val="000000"/>
                <w:sz w:val="18"/>
                <w:szCs w:val="18"/>
                <w:highlight w:val="none"/>
              </w:rPr>
              <w:t xml:space="preserve">一起扣2分                                       2、发现不按规定收取停车费、私自更改数据资料、玩游戏，一次扣1分                                        3、发现挪用、借用、贪污公款扣5分，并承担相应法律责任                                 4、实际收费与系统不符，不能做出合理解释的，每次扣2分                                     5、收到假钞由收费员自行承担后果</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2025"/>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收费岗保持人员在岗在位，严禁干与工作无关事情，不因人为因素停止懈怠收费进程</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val="false"/>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无特殊原因，且不能充分证实的，不在岗位或人为停止懈怠收费进程一次扣0.5分/5分钟</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2025"/>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按规程操作收费系统，根据医院收费管理规定进行收费</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val="false"/>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未按操作规程收费一次扣0.5分，未按核定标准收费乱收费一次扣1分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2025"/>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机动车出入口以辆为单位处理发行车辆出院</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val="false"/>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非因采购人主管部门关照和因公到访车队，连续放行车辆一次扣0.5分，依次类推</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2025"/>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爱护收费系统，发生故障及时报告采购人并配合维修恢复</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val="false"/>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人为造成系统设备故障或损害的一次扣1分，发生故障未及时报告采购人的一次扣0.5分，依此类推</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2025"/>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收费人员妥善保管并及时报领停车券等，做好记录。</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val="false"/>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停车券或收费记录等保管不慎丢失或损坏无效一次扣0.1-2分，发票用完不及时报领补充一次扣0.1分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2025"/>
        </w:trPr>
        <w:tc>
          <w:tcPr>
            <w:tcBorders>
              <w:top w:val="none" w:color="000000" w:sz="0"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收费管理，做好账目（停车券、现金）核对和结算工作，及时有效核对账目，月初提交采购人结算</w:t>
            </w:r>
            <w:r>
              <w:rPr>
                <w:rFonts w:ascii="宋体" w:hAnsi="宋体" w:cs="宋体"/>
                <w:color w:val="000000"/>
                <w:sz w:val="18"/>
                <w:szCs w:val="18"/>
                <w:highlight w:val="none"/>
              </w:rPr>
            </w:r>
            <w:r/>
          </w:p>
        </w:tc>
        <w:tc>
          <w:tcPr>
            <w:tcBorders>
              <w:top w:val="none" w:color="000000" w:sz="0" w:space="0"/>
              <w:left w:val="single" w:color="000000" w:sz="4" w:space="0"/>
              <w:bottom w:val="single" w:color="000000" w:sz="4" w:space="0"/>
              <w:right w:val="single" w:color="000000" w:sz="4" w:space="0"/>
            </w:tcBorders>
            <w:tcW w:w="1030" w:type="dxa"/>
            <w:vAlign w:val="center"/>
            <w:vMerge w:val="continue"/>
            <w:textDirection w:val="lrTb"/>
            <w:noWrap w:val="false"/>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账目核对不清，差额100元以下扣0.5分、200元以下扣1分，500元以下扣2分，500-1000元扣4分，1000元以上扣除拨付中标供应商相应金额</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125"/>
        </w:trPr>
        <w:tc>
          <w:tcPr>
            <w:tcBorders>
              <w:top w:val="single" w:color="000000" w:sz="4" w:space="0"/>
              <w:left w:val="single" w:color="000000" w:sz="4" w:space="0"/>
              <w:bottom w:val="single" w:color="000000" w:sz="4" w:space="0"/>
              <w:right w:val="single" w:color="000000" w:sz="4" w:space="0"/>
            </w:tcBorders>
            <w:tcW w:w="1126" w:type="dxa"/>
            <w:vAlign w:val="center"/>
            <w:vMerge w:val="restart"/>
            <w:textDirection w:val="lrTb"/>
            <w:noWrap w:val="false"/>
          </w:tcPr>
          <w:p>
            <w:pPr>
              <w:pStyle w:val="843"/>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消防管理</w:t>
            </w:r>
            <w:r>
              <w:rPr>
                <w:rFonts w:hint="eastAsia" w:ascii="宋体" w:hAnsi="宋体" w:cs="宋体"/>
                <w:color w:val="000000"/>
                <w:sz w:val="18"/>
                <w:szCs w:val="18"/>
                <w:highlight w:val="none"/>
              </w:rPr>
              <w:br w:type="textWrapping" w:clear="all"/>
            </w:r>
            <w:r>
              <w:rPr>
                <w:rFonts w:hint="eastAsia" w:ascii="宋体" w:hAnsi="宋体" w:cs="宋体"/>
                <w:color w:val="000000"/>
                <w:sz w:val="18"/>
                <w:szCs w:val="18"/>
                <w:highlight w:val="none"/>
              </w:rPr>
              <w:t xml:space="preserve">（20分）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组织开展消防法规及消防知识的宣传教育，明确各区域防火责任人。年度有消防培训计划、演练方案，有落实措施，并建立健全消防档案。配合院方开展各类消防安全培训和演练活动。</w:t>
            </w:r>
            <w:r>
              <w:rPr>
                <w:rFonts w:ascii="宋体" w:hAnsi="宋体" w:cs="宋体"/>
                <w:color w:val="000000"/>
                <w:sz w:val="18"/>
                <w:szCs w:val="18"/>
                <w:highlight w:val="none"/>
              </w:rPr>
            </w:r>
            <w:r/>
          </w:p>
        </w:tc>
        <w:tc>
          <w:tcPr>
            <w:tcBorders>
              <w:top w:val="single" w:color="000000" w:sz="4" w:space="0"/>
              <w:left w:val="single" w:color="000000" w:sz="4" w:space="0"/>
              <w:bottom w:val="none" w:color="000000" w:sz="0" w:space="0"/>
              <w:right w:val="single" w:color="000000" w:sz="4" w:space="0"/>
            </w:tcBorders>
            <w:tcW w:w="1030" w:type="dxa"/>
            <w:vAlign w:val="center"/>
            <w:vMerge w:val="restart"/>
            <w:textDirection w:val="lrTb"/>
            <w:noWrap w:val="false"/>
          </w:tcPr>
          <w:p>
            <w:pPr>
              <w:pStyle w:val="843"/>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20</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1、每月至少组织一次消防演练以及培训，未完成扣2分                                       2、员工不了解安全防火应知应会，每人次扣1分                                              3、消防设施操作不熟练，每人次扣1分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350"/>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微型消防站建设及火警处置情况</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1、微型消防站队员在岗在位，每缺少一人扣1分</w:t>
            </w:r>
            <w:r>
              <w:rPr>
                <w:rFonts w:ascii="宋体" w:hAnsi="宋体" w:cs="宋体"/>
                <w:color w:val="000000"/>
                <w:sz w:val="18"/>
                <w:szCs w:val="18"/>
                <w:highlight w:val="none"/>
              </w:rPr>
            </w:r>
            <w:r/>
          </w:p>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2、微型消防站是否按照规定时间到场，每超2分钟扣1分                              3、保安人员处置火警是否及时，响应是否迅速，30秒内需有回应，每超时20秒扣1分</w:t>
            </w:r>
            <w:r>
              <w:rPr>
                <w:rFonts w:ascii="宋体" w:hAnsi="宋体" w:cs="宋体"/>
                <w:color w:val="000000"/>
                <w:sz w:val="18"/>
                <w:szCs w:val="18"/>
                <w:highlight w:val="none"/>
              </w:rPr>
            </w:r>
            <w:r/>
          </w:p>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4、微型消防站成员是否按频次等要求培训演练</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575"/>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严格执行消防工作管理制度，积极巡查，及时正确处理出现的问题。如实填写工作记录，设备使用情况清楚。工作制度，规定、程序，健全各种险情应急方案，确保现场消防设施正常运行，状态良好。无事故、无火灾。</w:t>
            </w:r>
            <w:r>
              <w:rPr>
                <w:rFonts w:ascii="宋体" w:hAnsi="宋体" w:cs="宋体"/>
                <w:color w:val="000000"/>
                <w:sz w:val="18"/>
                <w:szCs w:val="18"/>
                <w:highlight w:val="none"/>
              </w:rPr>
            </w:r>
            <w:r/>
          </w:p>
        </w:tc>
        <w:tc>
          <w:tcPr>
            <w:tcBorders>
              <w:top w:val="none" w:color="000000" w:sz="0" w:space="0"/>
              <w:left w:val="single" w:color="000000" w:sz="4" w:space="0"/>
              <w:bottom w:val="single" w:color="000000" w:sz="4" w:space="0"/>
              <w:right w:val="single" w:color="000000" w:sz="4" w:space="0"/>
            </w:tcBorders>
            <w:tcW w:w="1030" w:type="dxa"/>
            <w:vAlign w:val="center"/>
            <w:vMerge w:val="continue"/>
            <w:textDirection w:val="lrTb"/>
            <w:noWrap w:val="false"/>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1、制度、方案不健全每项扣1分                    2、记录不准确、检查不准时扣1分                        3、未及时发现消防设备缺损、过期，不熟悉应急方案，未按规定履行职责，每次扣2分                              4、造成有责事故扣1-5分，造成重大火灾事故一票否决，并追究相应法律责任</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575"/>
        </w:trPr>
        <w:tc>
          <w:tcPr>
            <w:tcBorders>
              <w:top w:val="single" w:color="000000" w:sz="4" w:space="0"/>
              <w:left w:val="single" w:color="000000" w:sz="4" w:space="0"/>
              <w:bottom w:val="none" w:color="000000" w:sz="0" w:space="0"/>
              <w:right w:val="single" w:color="000000" w:sz="4" w:space="0"/>
            </w:tcBorders>
            <w:tcW w:w="1126" w:type="dxa"/>
            <w:vAlign w:val="center"/>
            <w:vMerge w:val="restart"/>
            <w:textDirection w:val="lrTb"/>
            <w:noWrap w:val="false"/>
          </w:tcPr>
          <w:p>
            <w:pPr>
              <w:pStyle w:val="843"/>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消防监控中心管理</w:t>
            </w:r>
            <w:r>
              <w:rPr>
                <w:rFonts w:ascii="宋体" w:hAnsi="宋体" w:cs="宋体"/>
                <w:color w:val="000000"/>
                <w:sz w:val="18"/>
                <w:szCs w:val="18"/>
                <w:highlight w:val="none"/>
              </w:rPr>
            </w:r>
            <w:r/>
          </w:p>
          <w:p>
            <w:pPr>
              <w:pStyle w:val="843"/>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bookmarkStart w:id="64" w:name="OLE_LINK26"/>
            <w:r/>
            <w:bookmarkStart w:id="65" w:name="OLE_LINK25"/>
            <w:r>
              <w:rPr>
                <w:rFonts w:hint="eastAsia" w:ascii="宋体" w:hAnsi="宋体" w:cs="宋体"/>
                <w:color w:val="000000"/>
                <w:sz w:val="18"/>
                <w:szCs w:val="18"/>
                <w:highlight w:val="none"/>
              </w:rPr>
              <w:t xml:space="preserve">消防监控中心人员</w:t>
            </w:r>
            <w:bookmarkEnd w:id="64"/>
            <w:r/>
            <w:bookmarkEnd w:id="65"/>
            <w:r>
              <w:rPr>
                <w:rFonts w:hint="eastAsia" w:ascii="宋体" w:hAnsi="宋体" w:cs="宋体"/>
                <w:color w:val="000000"/>
                <w:sz w:val="18"/>
                <w:szCs w:val="18"/>
                <w:highlight w:val="none"/>
              </w:rPr>
              <w:t xml:space="preserve">按时上岗，并做好交接班工作，接班人员未到岗前交班人员不得擅自离岗；</w:t>
            </w:r>
            <w:r>
              <w:rPr>
                <w:rFonts w:ascii="宋体" w:hAnsi="宋体" w:cs="宋体"/>
                <w:color w:val="000000"/>
                <w:sz w:val="18"/>
                <w:szCs w:val="18"/>
                <w:highlight w:val="none"/>
              </w:rPr>
            </w:r>
            <w:r/>
          </w:p>
        </w:tc>
        <w:tc>
          <w:tcPr>
            <w:tcBorders>
              <w:top w:val="single" w:color="000000" w:sz="4" w:space="0"/>
              <w:left w:val="single" w:color="000000" w:sz="4" w:space="0"/>
              <w:bottom w:val="none" w:color="000000" w:sz="0" w:space="0"/>
              <w:right w:val="single" w:color="000000" w:sz="4" w:space="0"/>
            </w:tcBorders>
            <w:tcW w:w="1030" w:type="dxa"/>
            <w:vAlign w:val="center"/>
            <w:vMerge w:val="restart"/>
            <w:textDirection w:val="lrTb"/>
            <w:noWrap w:val="false"/>
          </w:tcPr>
          <w:p>
            <w:pPr>
              <w:pStyle w:val="843"/>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10</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扣：单人空岗一次0.5分/5分钟，依次类推，双人离岗一次4分/次/分钟，且扣分不受单项分值额度限制</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575"/>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消防监控中心人员确保在岗在位，不得脱岗、睡岗、看电视，严禁饮酒或进行娱乐活动；</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val="false"/>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扣：单人脱岗一次0.5分/5分钟，依次类推，双人离岗一次2分/次，看电视、睡岗、饮酒或娱乐0.5分/次，扣分不受单项分值额度限制</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575"/>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消防监控中心人员熟悉消防监控系统及联动功能，熟练掌握各类消防控制设备和监控系统操作规程，并能排除一般故障，保证系统正常运行。</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val="false"/>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不熟悉或熟练掌握操作规程，不能排除一般故障，造成系统设备故障恶化的扣0.5分/次</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575"/>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消防监控中心人员出现报警信号，严格按消防报警处置程序进行有效处置。</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val="false"/>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未按程序有效处置，视情扣0.5-3分/次，无故消音或不及时到现场查看处置的，扣分不受单项分值额度限制，造成火灾视情按法规追究个人或公司法人刑事责任。</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575"/>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消防监控中心人员提高警惕，严密监控视频设备，发现可疑情况，立即联系外保人员进行现场确认处置。</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val="false"/>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应监控到却未示到，造成采购人影响损失的视情扣0.5-3分/次</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575"/>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消防监控中心人员加强消防重点部位和公共场所、通道监控密切关注巡查，认真填写值班记录表格，掌握和了解消防、监控设施的运行、误报警等情况，及时处理故障，确保消防、监控系统设施完好有效。月初向医院保卫部门提交上月相应台账资料并随时做好上级迎检准备工作</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val="false"/>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做好常规检查巡视工作，并建立健全台账资料，切实检查巡视到位，未检查巡视到位的，台账资料未建立或不健全的视情扣1-5分，不及时整理提交台账的扣0.5分/次</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575"/>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消防监控中心人员物品放置有序，卫生三包</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val="false"/>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物品放置凌乱、卫生脏乱扣0.2分/次</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575"/>
        </w:trPr>
        <w:tc>
          <w:tcPr>
            <w:tcBorders>
              <w:top w:val="none" w:color="000000" w:sz="0"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消防监控中心人员做好外来人员出入登记及受理工作，严禁无关人员进入消防监控中心、随意触动消防监控等设施，严禁吸烟或动用明火，严禁存放易燃易爆危险物品和堆放与设备运行无关的杂物。</w:t>
            </w:r>
            <w:r>
              <w:rPr>
                <w:rFonts w:ascii="宋体" w:hAnsi="宋体" w:cs="宋体"/>
                <w:color w:val="000000"/>
                <w:sz w:val="18"/>
                <w:szCs w:val="18"/>
                <w:highlight w:val="none"/>
              </w:rPr>
            </w:r>
            <w:r/>
          </w:p>
        </w:tc>
        <w:tc>
          <w:tcPr>
            <w:tcBorders>
              <w:top w:val="none" w:color="000000" w:sz="0" w:space="0"/>
              <w:left w:val="single" w:color="000000" w:sz="4" w:space="0"/>
              <w:bottom w:val="single" w:color="000000" w:sz="4" w:space="0"/>
              <w:right w:val="single" w:color="000000" w:sz="4" w:space="0"/>
            </w:tcBorders>
            <w:tcW w:w="1030" w:type="dxa"/>
            <w:vAlign w:val="center"/>
            <w:vMerge w:val="continue"/>
            <w:textDirection w:val="lrTb"/>
            <w:noWrap w:val="false"/>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私自放无关人员进入触动设备器材、吸烟、动火或携进存放危险品扣1-2分/次</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575"/>
        </w:trPr>
        <w:tc>
          <w:tcPr>
            <w:tcBorders>
              <w:top w:val="none" w:color="000000" w:sz="0" w:space="0"/>
              <w:left w:val="single" w:color="000000" w:sz="4" w:space="0"/>
              <w:bottom w:val="single" w:color="000000" w:sz="4" w:space="0"/>
              <w:right w:val="single" w:color="000000" w:sz="4" w:space="0"/>
            </w:tcBorders>
            <w:tcW w:w="1126" w:type="dxa"/>
            <w:vAlign w:val="center"/>
            <w:textDirection w:val="lrTb"/>
            <w:noWrap w:val="false"/>
          </w:tcPr>
          <w:p>
            <w:pPr>
              <w:pStyle w:val="843"/>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应急处置</w:t>
            </w:r>
            <w:r>
              <w:rPr>
                <w:rFonts w:ascii="宋体" w:hAnsi="宋体" w:cs="宋体"/>
                <w:color w:val="000000"/>
                <w:sz w:val="18"/>
                <w:szCs w:val="18"/>
                <w:highlight w:val="none"/>
              </w:rPr>
            </w:r>
            <w:r/>
          </w:p>
          <w:p>
            <w:pPr>
              <w:pStyle w:val="843"/>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遇有医院发生火情、医疗纠纷或治安事件，做到快速反应，按规定配装“作战服”及要求装备，在要求时间内到达报警现场，及时采取有效措施灭火或维护秩序防止事态扩大，保障院内员工、患者人身和财物安全。</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pStyle w:val="843"/>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10</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对火情、治安等安全突发事件充耳不闻、视而不见、不及时采取任何防扩大事态措施的扣20分；对纠纷处置过程中出兵不出力、态度不积极、临阵退缩的扣15分；对处置过程中保安出勤率不足或不及时联系人员增援，导致事态逐步扩大的，扣10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815"/>
        </w:trPr>
        <w:tc>
          <w:tcPr>
            <w:tcBorders>
              <w:top w:val="single" w:color="000000" w:sz="4" w:space="0"/>
              <w:left w:val="single" w:color="000000" w:sz="4" w:space="0"/>
              <w:bottom w:val="single" w:color="000000" w:sz="4" w:space="0"/>
              <w:right w:val="single" w:color="000000" w:sz="4" w:space="0"/>
            </w:tcBorders>
            <w:tcW w:w="1126" w:type="dxa"/>
            <w:vAlign w:val="center"/>
            <w:vMerge w:val="restart"/>
            <w:textDirection w:val="lrTb"/>
            <w:noWrap w:val="false"/>
          </w:tcPr>
          <w:p>
            <w:pPr>
              <w:pStyle w:val="843"/>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综合服务评价（5分）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1、各方对保安的服务评价</w:t>
            </w:r>
            <w:r>
              <w:rPr>
                <w:rFonts w:ascii="宋体" w:hAnsi="宋体" w:cs="宋体"/>
                <w:color w:val="000000"/>
                <w:sz w:val="18"/>
                <w:szCs w:val="18"/>
                <w:highlight w:val="none"/>
              </w:rPr>
            </w:r>
            <w:r/>
          </w:p>
        </w:tc>
        <w:tc>
          <w:tcPr>
            <w:tcBorders>
              <w:top w:val="single" w:color="000000" w:sz="4" w:space="0"/>
              <w:left w:val="single" w:color="000000" w:sz="4" w:space="0"/>
              <w:bottom w:val="none" w:color="000000" w:sz="0" w:space="0"/>
              <w:right w:val="single" w:color="000000" w:sz="4" w:space="0"/>
            </w:tcBorders>
            <w:tcW w:w="1030" w:type="dxa"/>
            <w:vAlign w:val="center"/>
            <w:vMerge w:val="restart"/>
            <w:textDirection w:val="lrTb"/>
            <w:noWrap w:val="false"/>
          </w:tcPr>
          <w:p>
            <w:pPr>
              <w:pStyle w:val="843"/>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1、受到上级或12345批评投诉的，视情节扣1-3分                                             2、受到舆情批评和投诉的，视情节扣1-2分                                               3、受到上级或12345表扬的，视情节加1-3分     </w:t>
            </w:r>
            <w:r>
              <w:rPr>
                <w:rFonts w:hint="eastAsia" w:ascii="宋体" w:hAnsi="宋体" w:cs="宋体"/>
                <w:color w:val="000000"/>
                <w:sz w:val="18"/>
                <w:szCs w:val="18"/>
                <w:highlight w:val="none"/>
              </w:rPr>
              <w:br w:type="textWrapping" w:clear="all"/>
            </w:r>
            <w:r>
              <w:rPr>
                <w:rFonts w:hint="eastAsia" w:ascii="宋体" w:hAnsi="宋体" w:cs="宋体"/>
                <w:color w:val="000000"/>
                <w:sz w:val="18"/>
                <w:szCs w:val="18"/>
                <w:highlight w:val="none"/>
              </w:rPr>
              <w:t xml:space="preserve">4、受到院内或来院人员表扬的，视情节加1-2分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690"/>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8" w:space="0"/>
              <w:left w:val="single" w:color="000000" w:sz="8" w:space="0"/>
              <w:bottom w:val="single" w:color="000000" w:sz="8"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2、安保整体服务月平均满意度（行政管理、医护、医技人员、）不得低于95%。</w:t>
            </w:r>
            <w:r>
              <w:rPr>
                <w:rFonts w:ascii="宋体" w:hAnsi="宋体" w:cs="宋体"/>
                <w:color w:val="000000"/>
                <w:sz w:val="18"/>
                <w:szCs w:val="18"/>
                <w:highlight w:val="none"/>
              </w:rPr>
            </w:r>
            <w:r/>
          </w:p>
        </w:tc>
        <w:tc>
          <w:tcPr>
            <w:tcBorders>
              <w:top w:val="none" w:color="000000" w:sz="0" w:space="0"/>
              <w:left w:val="single" w:color="000000" w:sz="4" w:space="0"/>
              <w:bottom w:val="single" w:color="000000" w:sz="8" w:space="0"/>
              <w:right w:val="single" w:color="000000" w:sz="4" w:space="0"/>
            </w:tcBorders>
            <w:tcW w:w="1030" w:type="dxa"/>
            <w:vAlign w:val="center"/>
            <w:vMerge w:val="continue"/>
            <w:textDirection w:val="lrTb"/>
            <w:noWrap w:val="false"/>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8" w:space="0"/>
              <w:left w:val="single" w:color="000000" w:sz="4" w:space="0"/>
              <w:bottom w:val="single" w:color="000000" w:sz="8" w:space="0"/>
              <w:right w:val="single" w:color="000000" w:sz="8"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每月进行测评，低于95%，每一个点扣1分，有相关投诉，经查实后，视情况扣1-3分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200"/>
        </w:trPr>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43"/>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奖罚标准</w:t>
            </w:r>
            <w:r>
              <w:rPr>
                <w:rFonts w:ascii="宋体" w:hAnsi="宋体" w:cs="宋体"/>
                <w:color w:val="000000"/>
                <w:sz w:val="18"/>
                <w:szCs w:val="18"/>
                <w:highlight w:val="none"/>
              </w:rPr>
            </w:r>
            <w:r/>
          </w:p>
        </w:tc>
        <w:tc>
          <w:tcPr>
            <w:gridSpan w:val="3"/>
            <w:tcBorders>
              <w:top w:val="single" w:color="000000" w:sz="4" w:space="0"/>
              <w:left w:val="single" w:color="000000" w:sz="4" w:space="0"/>
              <w:bottom w:val="single" w:color="000000" w:sz="4" w:space="0"/>
              <w:right w:val="single" w:color="000000" w:sz="4" w:space="0"/>
            </w:tcBorders>
            <w:tcW w:w="9189" w:type="dxa"/>
            <w:vAlign w:val="center"/>
            <w:textDirection w:val="lrTb"/>
            <w:noWrap w:val="false"/>
          </w:tcPr>
          <w:p>
            <w:pPr>
              <w:pStyle w:val="843"/>
              <w:jc w:val="left"/>
              <w:widowControl/>
              <w:rPr>
                <w:rFonts w:ascii="宋体" w:hAnsi="宋体" w:cs="宋体"/>
                <w:color w:val="000000"/>
                <w:sz w:val="18"/>
                <w:szCs w:val="18"/>
                <w:highlight w:val="none"/>
              </w:rPr>
            </w:pPr>
            <w:r/>
            <w:bookmarkStart w:id="66" w:name="OLE_LINK47"/>
            <w:r/>
            <w:bookmarkStart w:id="67" w:name="OLE_LINK50"/>
            <w:r>
              <w:rPr>
                <w:rFonts w:hint="eastAsia" w:ascii="宋体" w:hAnsi="宋体" w:cs="宋体"/>
                <w:color w:val="000000"/>
                <w:sz w:val="18"/>
                <w:szCs w:val="18"/>
                <w:highlight w:val="none"/>
              </w:rPr>
              <w:t xml:space="preserve">合计总分100分，每月考评。</w:t>
            </w:r>
            <w:r>
              <w:rPr>
                <w:rFonts w:hint="eastAsia" w:ascii="宋体" w:hAnsi="宋体" w:cs="宋体"/>
                <w:color w:val="000000"/>
                <w:sz w:val="18"/>
                <w:szCs w:val="18"/>
                <w:highlight w:val="none"/>
              </w:rPr>
              <w:t xml:space="preserve">考核得分95分(含95分)以上不扣服务费，95分以下每下降1个百分点扣除</w:t>
            </w:r>
            <w:r>
              <w:rPr>
                <w:rFonts w:hint="eastAsia" w:ascii="宋体" w:hAnsi="宋体" w:cs="宋体"/>
                <w:color w:val="000000"/>
                <w:sz w:val="18"/>
                <w:szCs w:val="18"/>
                <w:highlight w:val="none"/>
                <w:lang w:val="en-US" w:eastAsia="zh-CN"/>
              </w:rPr>
              <w:t xml:space="preserve">5</w:t>
            </w:r>
            <w:r>
              <w:rPr>
                <w:rFonts w:hint="eastAsia" w:ascii="宋体" w:hAnsi="宋体" w:cs="宋体"/>
                <w:color w:val="000000"/>
                <w:sz w:val="18"/>
                <w:szCs w:val="18"/>
                <w:highlight w:val="none"/>
              </w:rPr>
              <w:t xml:space="preserve">00元服务费；90分以下每下降1个百分点扣除</w:t>
            </w:r>
            <w:r>
              <w:rPr>
                <w:rFonts w:hint="eastAsia" w:ascii="宋体" w:hAnsi="宋体" w:cs="宋体"/>
                <w:color w:val="000000"/>
                <w:sz w:val="18"/>
                <w:szCs w:val="18"/>
                <w:highlight w:val="none"/>
                <w:lang w:val="en-US" w:eastAsia="zh-CN"/>
              </w:rPr>
              <w:t xml:space="preserve">1</w:t>
            </w:r>
            <w:r>
              <w:rPr>
                <w:rFonts w:hint="eastAsia" w:ascii="宋体" w:hAnsi="宋体" w:cs="宋体"/>
                <w:color w:val="000000"/>
                <w:sz w:val="18"/>
                <w:szCs w:val="18"/>
                <w:highlight w:val="none"/>
              </w:rPr>
              <w:t xml:space="preserve">000元服务费；85分以下每下降1个百分点扣除</w:t>
            </w:r>
            <w:r>
              <w:rPr>
                <w:rFonts w:hint="eastAsia" w:ascii="宋体" w:hAnsi="宋体" w:cs="宋体"/>
                <w:color w:val="000000"/>
                <w:sz w:val="18"/>
                <w:szCs w:val="18"/>
                <w:highlight w:val="none"/>
                <w:lang w:val="en-US" w:eastAsia="zh-CN"/>
              </w:rPr>
              <w:t xml:space="preserve">2</w:t>
            </w:r>
            <w:r>
              <w:rPr>
                <w:rFonts w:hint="eastAsia" w:ascii="宋体" w:hAnsi="宋体" w:cs="宋体"/>
                <w:color w:val="000000"/>
                <w:sz w:val="18"/>
                <w:szCs w:val="18"/>
                <w:highlight w:val="none"/>
              </w:rPr>
              <w:t xml:space="preserve">000元服务费。</w:t>
            </w:r>
            <w:r>
              <w:rPr>
                <w:rFonts w:hint="eastAsia" w:ascii="宋体" w:hAnsi="宋体" w:cs="宋体"/>
                <w:color w:val="000000"/>
                <w:sz w:val="18"/>
                <w:szCs w:val="18"/>
                <w:highlight w:val="none"/>
              </w:rPr>
              <w:t xml:space="preserve">其他单项考核如院内车辆失窃、未按时发放工资等考核，根据采购需求具体规定分值或扣费数值进行考核；采购需求中单项工作未明确扣分或扣费标准的，视情0.5-3分每事件次予以考核。</w:t>
            </w:r>
            <w:bookmarkEnd w:id="66"/>
            <w:r/>
            <w:bookmarkEnd w:id="67"/>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bl>
    <w:p>
      <w:pPr>
        <w:pStyle w:val="843"/>
        <w:ind w:firstLine="480"/>
        <w:spacing w:line="400" w:lineRule="exact"/>
        <w:rPr>
          <w:rFonts w:ascii="宋体" w:hAnsi="宋体"/>
          <w:color w:val="000000"/>
          <w:sz w:val="24"/>
          <w:highlight w:val="none"/>
        </w:rPr>
      </w:pPr>
      <w:r>
        <w:rPr>
          <w:rFonts w:ascii="宋体" w:hAnsi="宋体"/>
          <w:color w:val="000000"/>
          <w:sz w:val="24"/>
          <w:highlight w:val="none"/>
        </w:rPr>
      </w:r>
      <w:r/>
    </w:p>
    <w:p>
      <w:pPr>
        <w:pStyle w:val="843"/>
        <w:ind w:firstLine="420"/>
        <w:spacing w:line="360" w:lineRule="auto"/>
        <w:rPr>
          <w:color w:val="000000"/>
          <w:highlight w:val="none"/>
        </w:rPr>
      </w:pPr>
      <w:r>
        <w:rPr>
          <w:rFonts w:hint="eastAsia"/>
          <w:color w:val="000000"/>
          <w:highlight w:val="none"/>
        </w:rPr>
        <w:t xml:space="preserve">说明：本表未详尽考核内容或标准，以及其他岗位人员服务保障考核，按相应岗位职责及本项目服务要求对照考核实施。</w:t>
      </w:r>
      <w:r>
        <w:rPr>
          <w:color w:val="000000"/>
          <w:highlight w:val="none"/>
        </w:rPr>
      </w:r>
      <w:r/>
    </w:p>
    <w:p>
      <w:pPr>
        <w:pStyle w:val="843"/>
        <w:ind w:firstLine="480"/>
        <w:spacing w:line="400" w:lineRule="exact"/>
        <w:rPr>
          <w:rFonts w:ascii="宋体" w:hAnsi="宋体"/>
          <w:color w:val="000000"/>
          <w:sz w:val="24"/>
          <w:highlight w:val="none"/>
        </w:rPr>
        <w:sectPr>
          <w:footnotePr/>
          <w:endnotePr/>
          <w:type w:val="nextPage"/>
          <w:pgSz w:w="16840" w:h="23814" w:orient="portrait"/>
          <w:pgMar w:top="1843" w:right="1474" w:bottom="1985" w:left="1588" w:header="851" w:footer="992" w:gutter="0"/>
          <w:cols w:num="1" w:sep="0" w:space="1701" w:equalWidth="1"/>
          <w:docGrid w:linePitch="360"/>
        </w:sectPr>
      </w:pP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附件4：</w:t>
      </w:r>
      <w:r>
        <w:rPr>
          <w:rFonts w:ascii="宋体" w:hAnsi="宋体"/>
          <w:color w:val="000000"/>
          <w:sz w:val="24"/>
          <w:highlight w:val="none"/>
        </w:rPr>
      </w:r>
      <w:r/>
    </w:p>
    <w:p>
      <w:pPr>
        <w:pStyle w:val="843"/>
        <w:ind w:firstLine="482"/>
        <w:jc w:val="center"/>
        <w:spacing w:line="400" w:lineRule="exact"/>
        <w:rPr>
          <w:rFonts w:ascii="宋体" w:hAnsi="宋体"/>
          <w:b/>
          <w:bCs/>
          <w:color w:val="000000"/>
          <w:sz w:val="24"/>
          <w:highlight w:val="none"/>
        </w:rPr>
      </w:pPr>
      <w:r>
        <w:rPr>
          <w:rFonts w:hint="eastAsia" w:ascii="宋体" w:hAnsi="宋体"/>
          <w:b/>
          <w:bCs/>
          <w:color w:val="000000"/>
          <w:sz w:val="24"/>
          <w:highlight w:val="none"/>
        </w:rPr>
        <w:t xml:space="preserve">安保服务任务目标及相关岗位</w:t>
      </w:r>
      <w:r>
        <w:rPr>
          <w:rFonts w:ascii="宋体" w:hAnsi="宋体"/>
          <w:b/>
          <w:bCs/>
          <w:color w:val="000000"/>
          <w:sz w:val="24"/>
          <w:highlight w:val="none"/>
        </w:rPr>
        <w:t xml:space="preserve">职责</w:t>
      </w:r>
      <w:r>
        <w:rPr>
          <w:rFonts w:ascii="宋体" w:hAnsi="宋体"/>
          <w:b/>
          <w:bCs/>
          <w:color w:val="000000"/>
          <w:sz w:val="24"/>
          <w:highlight w:val="none"/>
        </w:rPr>
      </w:r>
      <w:r/>
    </w:p>
    <w:p>
      <w:pPr>
        <w:pStyle w:val="907"/>
        <w:ind w:firstLine="480"/>
        <w:spacing w:line="400" w:lineRule="exact"/>
        <w:rPr>
          <w:rFonts w:hAnsi="宋体"/>
          <w:bCs/>
          <w:color w:val="000000"/>
          <w:szCs w:val="24"/>
          <w:highlight w:val="none"/>
        </w:rPr>
      </w:pPr>
      <w:r>
        <w:rPr>
          <w:rFonts w:hint="eastAsia" w:hAnsi="宋体"/>
          <w:bCs/>
          <w:color w:val="000000"/>
          <w:szCs w:val="24"/>
          <w:highlight w:val="none"/>
        </w:rPr>
        <w:t xml:space="preserve">一、任务目标</w:t>
      </w:r>
      <w:r>
        <w:rPr>
          <w:rFonts w:hAnsi="宋体"/>
          <w:bCs/>
          <w:color w:val="000000"/>
          <w:szCs w:val="24"/>
          <w:highlight w:val="none"/>
        </w:rPr>
      </w:r>
      <w:r/>
    </w:p>
    <w:p>
      <w:pPr>
        <w:pStyle w:val="907"/>
        <w:ind w:firstLine="480"/>
        <w:spacing w:line="400" w:lineRule="exact"/>
        <w:rPr>
          <w:rFonts w:hAnsi="宋体"/>
          <w:bCs/>
          <w:color w:val="000000"/>
          <w:szCs w:val="24"/>
          <w:highlight w:val="none"/>
        </w:rPr>
      </w:pPr>
      <w:r>
        <w:rPr>
          <w:rFonts w:hint="eastAsia" w:hAnsi="宋体"/>
          <w:bCs/>
          <w:color w:val="000000"/>
          <w:szCs w:val="24"/>
          <w:highlight w:val="none"/>
        </w:rPr>
        <w:t xml:space="preserve">负责医院门卫、消防监控中心驻场值守，维护医院正常医疗活动秩序，突出消防、治安、停车（收费）管理，按要求开展防火防盗防破坏等巡防巡视工作，保障广大患者职工人身、财物安全；配合临床病区做好住院精神病人约束性保护工作，响应门急诊做好门急诊患者运送住院工作，响应精卫中心临床做好住院患者离院临时性护送外院检查就医工作；加强日常安保人员教育培训演训工作，做好医院消防火情、治安防范等防破坏防事故各类突发事件的应急处置工作，配合医院完成其他临时性服务保障工作。</w:t>
      </w:r>
      <w:r>
        <w:rPr>
          <w:rFonts w:hAnsi="宋体"/>
          <w:bCs/>
          <w:color w:val="000000"/>
          <w:szCs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1.负责所有进出口的开门期间的执勤，对进出口防控检查，根据医院要求实施进出口院感防控(若采购人指令需要)检查，以及各类安全检查。</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3.负责对医院门急诊人员及物品的安全检查工作，利用安检设备设施对进入人员的箱（包）等物品进行安全检查，探测、处理可疑物品，确保安检入口安全有序。</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4.负责车辆进出、车辆停放引导等管理。</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5.负责</w:t>
      </w:r>
      <w:r>
        <w:rPr>
          <w:rFonts w:ascii="宋体" w:hAnsi="宋体"/>
          <w:color w:val="000000"/>
          <w:sz w:val="24"/>
          <w:highlight w:val="none"/>
        </w:rPr>
        <w:t xml:space="preserve">防火、防盗、防爆、防破坏等</w:t>
      </w:r>
      <w:r>
        <w:rPr>
          <w:rFonts w:hint="eastAsia" w:ascii="宋体" w:hAnsi="宋体"/>
          <w:color w:val="000000"/>
          <w:sz w:val="24"/>
          <w:highlight w:val="none"/>
        </w:rPr>
        <w:t xml:space="preserve">四防巡防检查及采取安全防范工作，做好门急诊、住院部等重点区域危险物品安全防范检查工作，确保安全。</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6.落实好住院部精神病人保护性约束和运送住院与离院护送就医。</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7.落实</w:t>
      </w:r>
      <w:r>
        <w:rPr>
          <w:rFonts w:ascii="宋体" w:hAnsi="宋体"/>
          <w:color w:val="000000"/>
          <w:sz w:val="24"/>
          <w:highlight w:val="none"/>
        </w:rPr>
        <w:t xml:space="preserve">做好院内各类突发事件、纠纷处置安保工作</w:t>
      </w:r>
      <w:r>
        <w:rPr>
          <w:rFonts w:hint="eastAsia" w:ascii="宋体" w:hAnsi="宋体"/>
          <w:color w:val="000000"/>
          <w:sz w:val="24"/>
          <w:highlight w:val="none"/>
        </w:rPr>
        <w:t xml:space="preserve">，确保就诊秩序安全有序</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8.在有公共卫生突发事件时，保安对隔离场所每日进行24小时巡逻检查，实行门卫进出管理，确保隔离区人员、物品不得随意外出。</w:t>
      </w:r>
      <w:r>
        <w:rPr>
          <w:rFonts w:ascii="宋体" w:hAnsi="宋体"/>
          <w:color w:val="000000"/>
          <w:sz w:val="24"/>
          <w:highlight w:val="none"/>
        </w:rPr>
      </w:r>
      <w:r/>
    </w:p>
    <w:p>
      <w:pPr>
        <w:pStyle w:val="843"/>
        <w:ind w:firstLine="645"/>
        <w:jc w:val="left"/>
        <w:spacing w:line="400" w:lineRule="exact"/>
        <w:rPr>
          <w:rFonts w:ascii="宋体" w:hAnsi="宋体"/>
          <w:color w:val="000000"/>
          <w:sz w:val="24"/>
          <w:highlight w:val="none"/>
        </w:rPr>
      </w:pPr>
      <w:r>
        <w:rPr>
          <w:rFonts w:hint="eastAsia" w:ascii="宋体" w:hAnsi="宋体"/>
          <w:color w:val="000000"/>
          <w:sz w:val="24"/>
          <w:highlight w:val="none"/>
        </w:rPr>
        <w:t xml:space="preserve">9.对医院区域内举行的各类群体聚集性活动做好安全保卫和应急疏散工作。</w:t>
      </w:r>
      <w:r>
        <w:rPr>
          <w:rFonts w:ascii="宋体" w:hAnsi="宋体"/>
          <w:color w:val="000000"/>
          <w:sz w:val="24"/>
          <w:highlight w:val="none"/>
        </w:rPr>
      </w:r>
      <w:r/>
    </w:p>
    <w:p>
      <w:pPr>
        <w:pStyle w:val="843"/>
        <w:ind w:firstLine="645"/>
        <w:jc w:val="left"/>
        <w:spacing w:line="400" w:lineRule="exact"/>
        <w:rPr>
          <w:rFonts w:ascii="宋体" w:hAnsi="宋体"/>
          <w:color w:val="000000"/>
          <w:sz w:val="24"/>
          <w:highlight w:val="none"/>
        </w:rPr>
      </w:pPr>
      <w:r>
        <w:rPr>
          <w:rFonts w:hint="eastAsia" w:ascii="宋体" w:hAnsi="宋体"/>
          <w:color w:val="000000"/>
          <w:sz w:val="24"/>
          <w:highlight w:val="none"/>
        </w:rPr>
        <w:t xml:space="preserve">10.每班组建不少于6人的消防应急处置组，分担医院“微型消防站”职责；每班组建不少于6人的治安防爆应急处置组，分担医院治安反恐应急小分队职责。每周分别组织开展不少于1次的消防、治安应急处置培训演训活动。</w:t>
      </w:r>
      <w:r>
        <w:rPr>
          <w:rFonts w:ascii="宋体" w:hAnsi="宋体"/>
          <w:color w:val="000000"/>
          <w:sz w:val="24"/>
          <w:highlight w:val="none"/>
        </w:rPr>
      </w:r>
      <w:r/>
    </w:p>
    <w:p>
      <w:pPr>
        <w:pStyle w:val="843"/>
        <w:ind w:firstLine="645"/>
        <w:jc w:val="left"/>
        <w:spacing w:line="400" w:lineRule="exact"/>
        <w:rPr>
          <w:rFonts w:ascii="宋体" w:hAnsi="宋体"/>
          <w:color w:val="000000"/>
          <w:sz w:val="24"/>
          <w:highlight w:val="none"/>
        </w:rPr>
      </w:pPr>
      <w:r>
        <w:rPr>
          <w:rFonts w:hint="eastAsia" w:ascii="宋体" w:hAnsi="宋体"/>
          <w:color w:val="000000"/>
          <w:sz w:val="24"/>
          <w:highlight w:val="none"/>
        </w:rPr>
        <w:t xml:space="preserve">11.按发改委核定的标准对各类车辆收费。</w:t>
      </w:r>
      <w:r>
        <w:rPr>
          <w:rFonts w:ascii="宋体" w:hAnsi="宋体"/>
          <w:color w:val="000000"/>
          <w:sz w:val="24"/>
          <w:highlight w:val="none"/>
        </w:rPr>
      </w:r>
      <w:r/>
    </w:p>
    <w:p>
      <w:pPr>
        <w:pStyle w:val="843"/>
        <w:ind w:firstLine="645"/>
        <w:jc w:val="left"/>
        <w:spacing w:line="400" w:lineRule="exact"/>
        <w:rPr>
          <w:rFonts w:ascii="宋体" w:hAnsi="宋体"/>
          <w:color w:val="000000"/>
          <w:sz w:val="24"/>
          <w:highlight w:val="none"/>
        </w:rPr>
      </w:pPr>
      <w:r>
        <w:rPr>
          <w:rFonts w:hint="eastAsia" w:ascii="宋体" w:hAnsi="宋体"/>
          <w:color w:val="000000"/>
          <w:sz w:val="24"/>
          <w:highlight w:val="none"/>
        </w:rPr>
        <w:t xml:space="preserve">12.若发生各类案件，应积极协助配合公安机关(警务室民警)破案：</w:t>
      </w:r>
      <w:r>
        <w:rPr>
          <w:rFonts w:ascii="宋体" w:hAnsi="宋体"/>
          <w:color w:val="000000"/>
          <w:sz w:val="24"/>
          <w:highlight w:val="none"/>
        </w:rPr>
      </w:r>
      <w:r/>
    </w:p>
    <w:p>
      <w:pPr>
        <w:pStyle w:val="843"/>
        <w:ind w:firstLine="645"/>
        <w:jc w:val="left"/>
        <w:spacing w:line="400" w:lineRule="exact"/>
        <w:rPr>
          <w:rFonts w:ascii="宋体" w:hAnsi="宋体"/>
          <w:color w:val="000000"/>
          <w:sz w:val="24"/>
          <w:highlight w:val="none"/>
        </w:rPr>
      </w:pPr>
      <w:r>
        <w:rPr>
          <w:rFonts w:hint="eastAsia" w:ascii="宋体" w:hAnsi="宋体"/>
          <w:color w:val="000000"/>
          <w:sz w:val="24"/>
          <w:highlight w:val="none"/>
        </w:rPr>
        <w:t xml:space="preserve">13.负责院内外区域巡逻，对所有建筑设施设备及各类资产进行看护。</w:t>
      </w:r>
      <w:r>
        <w:rPr>
          <w:rFonts w:ascii="宋体" w:hAnsi="宋体"/>
          <w:color w:val="000000"/>
          <w:sz w:val="24"/>
          <w:highlight w:val="none"/>
        </w:rPr>
      </w:r>
      <w:r/>
    </w:p>
    <w:p>
      <w:pPr>
        <w:pStyle w:val="843"/>
        <w:ind w:firstLine="645"/>
        <w:jc w:val="left"/>
        <w:spacing w:line="400" w:lineRule="exact"/>
        <w:rPr>
          <w:rFonts w:ascii="宋体" w:hAnsi="宋体"/>
          <w:color w:val="000000"/>
          <w:sz w:val="24"/>
          <w:highlight w:val="none"/>
        </w:rPr>
      </w:pPr>
      <w:r>
        <w:rPr>
          <w:rFonts w:hint="eastAsia" w:ascii="宋体" w:hAnsi="宋体"/>
          <w:color w:val="000000"/>
          <w:sz w:val="24"/>
          <w:highlight w:val="none"/>
        </w:rPr>
        <w:t xml:space="preserve">14.列表细化门卫、收费、消防监控、巡防巡查、教育培训及演练等各类台账目录，并分项建立项目运行三班工作台账</w:t>
      </w:r>
      <w:r>
        <w:rPr>
          <w:rFonts w:ascii="宋体" w:hAnsi="宋体"/>
          <w:color w:val="000000"/>
          <w:sz w:val="24"/>
          <w:highlight w:val="none"/>
        </w:rPr>
        <w:t xml:space="preserve">。</w:t>
      </w:r>
      <w:r>
        <w:rPr>
          <w:rFonts w:ascii="宋体" w:hAnsi="宋体"/>
          <w:color w:val="000000"/>
          <w:sz w:val="24"/>
          <w:highlight w:val="none"/>
        </w:rPr>
      </w:r>
      <w:r/>
    </w:p>
    <w:p>
      <w:pPr>
        <w:pStyle w:val="843"/>
        <w:ind w:firstLine="645"/>
        <w:jc w:val="left"/>
        <w:spacing w:line="400" w:lineRule="exact"/>
        <w:rPr>
          <w:rFonts w:ascii="宋体" w:hAnsi="宋体"/>
          <w:color w:val="000000"/>
          <w:sz w:val="24"/>
          <w:highlight w:val="none"/>
        </w:rPr>
      </w:pPr>
      <w:r>
        <w:rPr>
          <w:rFonts w:hint="eastAsia" w:ascii="宋体" w:hAnsi="宋体"/>
          <w:color w:val="000000"/>
          <w:sz w:val="24"/>
          <w:highlight w:val="none"/>
        </w:rPr>
        <w:t xml:space="preserve">15.根据医院要求提供与安全、保卫相关的其他服务保障工作。</w:t>
      </w:r>
      <w:r>
        <w:rPr>
          <w:rFonts w:ascii="宋体" w:hAnsi="宋体"/>
          <w:color w:val="000000"/>
          <w:sz w:val="24"/>
          <w:highlight w:val="none"/>
        </w:rPr>
      </w:r>
      <w:r/>
    </w:p>
    <w:p>
      <w:pPr>
        <w:pStyle w:val="843"/>
        <w:ind w:firstLine="482"/>
        <w:spacing w:line="400" w:lineRule="exact"/>
        <w:rPr>
          <w:rFonts w:ascii="宋体" w:hAnsi="宋体"/>
          <w:b/>
          <w:bCs/>
          <w:color w:val="000000"/>
          <w:sz w:val="24"/>
          <w:highlight w:val="none"/>
        </w:rPr>
      </w:pPr>
      <w:r>
        <w:rPr>
          <w:rFonts w:hint="eastAsia" w:ascii="宋体" w:hAnsi="宋体"/>
          <w:b/>
          <w:bCs/>
          <w:color w:val="000000"/>
          <w:sz w:val="24"/>
          <w:highlight w:val="none"/>
        </w:rPr>
        <w:t xml:space="preserve">二、相关岗位职责</w:t>
      </w:r>
      <w:r>
        <w:rPr>
          <w:rFonts w:ascii="宋体" w:hAnsi="宋体"/>
          <w:b/>
          <w:bCs/>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1.做好院</w:t>
      </w:r>
      <w:r>
        <w:rPr>
          <w:rFonts w:ascii="宋体" w:hAnsi="宋体"/>
          <w:color w:val="000000"/>
          <w:sz w:val="24"/>
          <w:highlight w:val="none"/>
        </w:rPr>
        <w:t xml:space="preserve">区</w:t>
      </w:r>
      <w:r>
        <w:rPr>
          <w:rFonts w:hint="eastAsia" w:ascii="宋体" w:hAnsi="宋体"/>
          <w:color w:val="000000"/>
          <w:sz w:val="24"/>
          <w:highlight w:val="none"/>
        </w:rPr>
        <w:t xml:space="preserve">治安管理、消防管理、秩序维护、协助医疗纠纷处理、突发事件的应急处置等；同时要严格落实防火、防盗、防破坏等安全防范管理，巡查中发现安全隐患，及时报告并协助予以处理；发现疑人疑物及时进行询问和盘查；对有疑似精神症状的人员、乞讨者、醉酒者、拾破烂者进行盘问，谢绝其进入院内；严厉制止医托、发小广告者、推销人员及其他不法分子在院区内活动。</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加强</w:t>
      </w:r>
      <w:r>
        <w:rPr>
          <w:rFonts w:hint="eastAsia" w:ascii="宋体" w:hAnsi="宋体"/>
          <w:color w:val="000000"/>
          <w:sz w:val="24"/>
          <w:highlight w:val="none"/>
        </w:rPr>
        <w:t xml:space="preserve">对</w:t>
      </w:r>
      <w:r>
        <w:rPr>
          <w:rFonts w:ascii="宋体" w:hAnsi="宋体"/>
          <w:color w:val="000000"/>
          <w:sz w:val="24"/>
          <w:highlight w:val="none"/>
        </w:rPr>
        <w:t xml:space="preserve">出入院门人员、车辆及携带物资进行检查、验证和登记，保障</w:t>
      </w:r>
      <w:r>
        <w:rPr>
          <w:rFonts w:hint="eastAsia" w:ascii="宋体" w:hAnsi="宋体"/>
          <w:color w:val="000000"/>
          <w:sz w:val="24"/>
          <w:highlight w:val="none"/>
        </w:rPr>
        <w:t xml:space="preserve">采购人</w:t>
      </w:r>
      <w:r>
        <w:rPr>
          <w:rFonts w:ascii="宋体" w:hAnsi="宋体"/>
          <w:color w:val="000000"/>
          <w:sz w:val="24"/>
          <w:highlight w:val="none"/>
        </w:rPr>
        <w:t xml:space="preserve">财产安全和职工病员人身安全，防止不法分子进入医院，防止危险物品带入医院。</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认真履职，主动发现医院安全隐患并提出整改意见，遇紧急突发事件发生，必须积极作为，有效控制事态发展。发现盗窃、破坏、火险等突发状况时，保安人员应第一时间采取紧急措施，并立即逐级汇报，抓获的犯罪分子或嫌疑对象应速报</w:t>
      </w:r>
      <w:r>
        <w:rPr>
          <w:rFonts w:hint="eastAsia" w:ascii="宋体" w:hAnsi="宋体"/>
          <w:color w:val="000000"/>
          <w:sz w:val="24"/>
          <w:highlight w:val="none"/>
        </w:rPr>
        <w:t xml:space="preserve">采购人</w:t>
      </w:r>
      <w:r>
        <w:rPr>
          <w:rFonts w:ascii="宋体" w:hAnsi="宋体"/>
          <w:color w:val="000000"/>
          <w:sz w:val="24"/>
          <w:highlight w:val="none"/>
        </w:rPr>
        <w:t xml:space="preserve">分管领导和公安机关查处。</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负责院内消防、防盗设施的管理工作，所有安保人员为我院的义务消防员。</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w:t>
      </w:r>
      <w:r>
        <w:rPr>
          <w:rFonts w:ascii="宋体" w:hAnsi="宋体"/>
          <w:color w:val="000000"/>
          <w:sz w:val="24"/>
          <w:highlight w:val="none"/>
        </w:rPr>
        <w:t xml:space="preserve">门卫把关和守护值守工作</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ascii="宋体" w:hAnsi="宋体"/>
          <w:color w:val="000000"/>
          <w:sz w:val="24"/>
          <w:highlight w:val="none"/>
        </w:rPr>
        <w:t xml:space="preserve">（1）具有良好形象，按规定着装，谈吐文明，做到耐心、热情服务，门前卫生三包。</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门卫（精卫大门岗早中班保持2人室外立岗、进口前1、出口前1，夜班保持室外立岗1人；康复门卫早中班保持室外立岗1人，后门早中班保持室外立岗1人）保安人员要对出入院门的人员、车辆及携带的物资的可疑情况进行检查、验证和登记，保障采购人的财产安全，维护院门秩序，保证道路畅通。夜间按医院要求关闭大小院门、特殊安保时期，对出入人员车辆进行盘查登记，防止不法分子进入医院，防止危险品带入医院，防止精神病人（住院患者）逃跑或被他人擅自带离医院。</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ascii="宋体" w:hAnsi="宋体"/>
          <w:color w:val="000000"/>
          <w:sz w:val="24"/>
          <w:highlight w:val="none"/>
        </w:rPr>
        <w:t xml:space="preserve">（3）建立、填写门卫</w:t>
      </w:r>
      <w:r>
        <w:rPr>
          <w:rFonts w:hint="eastAsia" w:ascii="宋体" w:hAnsi="宋体"/>
          <w:color w:val="000000"/>
          <w:sz w:val="24"/>
          <w:highlight w:val="none"/>
        </w:rPr>
        <w:t xml:space="preserve">台账</w:t>
      </w:r>
      <w:r>
        <w:rPr>
          <w:rFonts w:ascii="宋体" w:hAnsi="宋体"/>
          <w:color w:val="000000"/>
          <w:sz w:val="24"/>
          <w:highlight w:val="none"/>
        </w:rPr>
        <w:t xml:space="preserve">资料[出入院门登记簿、来电来访登记簿、工作日志-交接班本等]，并做好交接班。</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（4）夜班门岗兼职（兼任）停车收费。</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5）精神科门急诊前大门门卫，早、中班保持2人在室外立岗，夜班保持1人立岗；康复门诊前门卫全天保持1人室外立岗；北门岗，每日20:00前做到门前立岗，在关闭大小院门前，做到门前立岗；东侧大门，在每日早晚上下班（根据医院指令）期间开门，保持1人门前立岗。</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w:t>
      </w:r>
      <w:r>
        <w:rPr>
          <w:rFonts w:ascii="宋体" w:hAnsi="宋体"/>
          <w:color w:val="000000"/>
          <w:sz w:val="24"/>
          <w:highlight w:val="none"/>
        </w:rPr>
        <w:t xml:space="preserve">做好全院巡逻、检查、防范工作</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ascii="宋体" w:hAnsi="宋体"/>
          <w:color w:val="000000"/>
          <w:sz w:val="24"/>
          <w:highlight w:val="none"/>
        </w:rPr>
        <w:t xml:space="preserve">（1）保安人员实行每2小时</w:t>
      </w:r>
      <w:r>
        <w:rPr>
          <w:rFonts w:hint="eastAsia" w:ascii="宋体" w:hAnsi="宋体"/>
          <w:color w:val="000000"/>
          <w:sz w:val="24"/>
          <w:highlight w:val="none"/>
        </w:rPr>
        <w:t xml:space="preserve">1</w:t>
      </w:r>
      <w:r>
        <w:rPr>
          <w:rFonts w:ascii="宋体" w:hAnsi="宋体"/>
          <w:color w:val="000000"/>
          <w:sz w:val="24"/>
          <w:highlight w:val="none"/>
        </w:rPr>
        <w:t xml:space="preserve">次全院性和重点部门巡查，及时发现火灾、盗窃、恐怖、破坏和治安隐患；严禁外来人员在院内做买卖和发放非法宣传资料，严防医托；严禁非法和违规张贴、悬挂广告标语物；防止各类不利于医院治安秩序和稳定事件的发生。</w:t>
      </w:r>
      <w:r>
        <w:rPr>
          <w:rFonts w:ascii="宋体" w:hAnsi="宋体"/>
          <w:color w:val="000000"/>
          <w:sz w:val="24"/>
          <w:highlight w:val="none"/>
        </w:rPr>
      </w:r>
      <w:r/>
    </w:p>
    <w:p>
      <w:pPr>
        <w:pStyle w:val="843"/>
        <w:ind w:firstLine="480"/>
        <w:spacing w:line="400" w:lineRule="exact"/>
        <w:rPr>
          <w:rFonts w:ascii="宋体" w:hAnsi="宋体" w:cs="楷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）巡逻保安人员每班除了持巡更棒按规定时间进行巡防检查外，且须24小时在医院内进行不间断巡查，防止火灾、盗窃、破坏和治安灾害事故的发生。主要巡查</w:t>
      </w:r>
      <w:r>
        <w:rPr>
          <w:rFonts w:hint="eastAsia" w:ascii="宋体" w:hAnsi="宋体"/>
          <w:color w:val="000000"/>
          <w:sz w:val="24"/>
          <w:highlight w:val="none"/>
        </w:rPr>
        <w:t xml:space="preserve">医院消防火灾隐患，</w:t>
      </w:r>
      <w:r>
        <w:rPr>
          <w:rFonts w:ascii="宋体" w:hAnsi="宋体"/>
          <w:color w:val="000000"/>
          <w:sz w:val="24"/>
          <w:highlight w:val="none"/>
        </w:rPr>
        <w:t xml:space="preserve">是否存在非法和违规的张贴物、悬挂物；巡查各岗位保安值班在位履职情况，巡查道路、停车场和车辆停放秩序管理，严禁外来人员在院内做买卖和发放非法宣传资料，严防医托；防止各类不利于医院治安秩序和稳定事件的发生。在值勤时发现盗窃、破坏、火险等突发状况，保安人员应第一时间采取紧急措施，并立即逐级汇报，扭获的犯罪分子或嫌疑对象应速报</w:t>
      </w:r>
      <w:r>
        <w:rPr>
          <w:rFonts w:hint="eastAsia" w:ascii="宋体" w:hAnsi="宋体"/>
          <w:color w:val="000000"/>
          <w:sz w:val="24"/>
          <w:highlight w:val="none"/>
        </w:rPr>
        <w:t xml:space="preserve">采购人</w:t>
      </w:r>
      <w:r>
        <w:rPr>
          <w:rFonts w:ascii="宋体" w:hAnsi="宋体"/>
          <w:color w:val="000000"/>
          <w:sz w:val="24"/>
          <w:highlight w:val="none"/>
        </w:rPr>
        <w:t xml:space="preserve">保卫部门和公安机关查处。</w:t>
      </w:r>
      <w:r>
        <w:rPr>
          <w:rFonts w:hint="eastAsia" w:ascii="宋体" w:hAnsi="宋体" w:cs="楷体"/>
          <w:color w:val="000000"/>
          <w:sz w:val="24"/>
          <w:highlight w:val="none"/>
        </w:rPr>
        <w:t xml:space="preserve">巡查医院各区域消防设施设备的安全点检工作，发现问题及时整改并向保卫处汇报，对医院保安人员定期进行消防培训，考核。</w:t>
      </w:r>
      <w:r>
        <w:rPr>
          <w:rFonts w:ascii="宋体" w:hAnsi="宋体" w:cs="楷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（3）建立健全门卫出入台账资料（治安或防火巡查登记簿），认真建立填写巡逻岗的值班登记台账资料。</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w:t>
      </w:r>
      <w:r>
        <w:rPr>
          <w:rFonts w:ascii="宋体" w:hAnsi="宋体"/>
          <w:color w:val="000000"/>
          <w:sz w:val="24"/>
          <w:highlight w:val="none"/>
        </w:rPr>
        <w:t xml:space="preserve">做好全院交通指挥工作：保证医院各车辆出、入口畅通</w:t>
      </w:r>
      <w:r>
        <w:rPr>
          <w:rFonts w:hint="eastAsia" w:ascii="宋体" w:hAnsi="宋体"/>
          <w:color w:val="000000"/>
          <w:sz w:val="24"/>
          <w:highlight w:val="none"/>
        </w:rPr>
        <w:t xml:space="preserve">，</w:t>
      </w:r>
      <w:r>
        <w:rPr>
          <w:rFonts w:ascii="宋体" w:hAnsi="宋体"/>
          <w:color w:val="000000"/>
          <w:sz w:val="24"/>
          <w:highlight w:val="none"/>
        </w:rPr>
        <w:t xml:space="preserve">设点或走动跟踪指挥车辆，</w:t>
      </w:r>
      <w:r>
        <w:rPr>
          <w:rFonts w:hint="eastAsia" w:ascii="宋体" w:hAnsi="宋体"/>
          <w:color w:val="000000"/>
          <w:sz w:val="24"/>
          <w:highlight w:val="none"/>
        </w:rPr>
        <w:t xml:space="preserve">做到</w:t>
      </w:r>
      <w:r>
        <w:rPr>
          <w:rFonts w:ascii="宋体" w:hAnsi="宋体"/>
          <w:color w:val="000000"/>
          <w:sz w:val="24"/>
          <w:highlight w:val="none"/>
        </w:rPr>
        <w:t xml:space="preserve">院区车辆安全合理停放、地下停车场车辆停放的安全管理秩序、保证主干道通畅，杜绝车辆拥堵、违停等现象发生。禁止车辆堵占通道、路口，有效维护医院交通秩序，确保院内、门前畅通无阻。</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w:t>
      </w:r>
      <w:r>
        <w:rPr>
          <w:rFonts w:ascii="宋体" w:hAnsi="宋体"/>
          <w:color w:val="000000"/>
          <w:sz w:val="24"/>
          <w:highlight w:val="none"/>
        </w:rPr>
        <w:t xml:space="preserve">做好停车收费工作：按医院规定收费，对外来车辆出入做到一车一杆放行，做到停车费应收尽收；爱护收费系统机器设备，按规程操作收费系统，发生故障及时报告</w:t>
      </w:r>
      <w:r>
        <w:rPr>
          <w:rFonts w:hint="eastAsia" w:ascii="宋体" w:hAnsi="宋体"/>
          <w:color w:val="000000"/>
          <w:sz w:val="24"/>
          <w:highlight w:val="none"/>
        </w:rPr>
        <w:t xml:space="preserve">采购人</w:t>
      </w:r>
      <w:r>
        <w:rPr>
          <w:rFonts w:ascii="宋体" w:hAnsi="宋体"/>
          <w:color w:val="000000"/>
          <w:sz w:val="24"/>
          <w:highlight w:val="none"/>
        </w:rPr>
        <w:t xml:space="preserve">并配合维修恢复；停车费用做到账目清晰完整，按医院规定做好费用送交和发票、账目等资料保管和交接工作。</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w:t>
      </w:r>
      <w:r>
        <w:rPr>
          <w:rFonts w:ascii="宋体" w:hAnsi="宋体"/>
          <w:color w:val="000000"/>
          <w:sz w:val="24"/>
          <w:highlight w:val="none"/>
        </w:rPr>
        <w:t xml:space="preserve">做好消防、监控中心值班工作</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ascii="宋体" w:hAnsi="宋体"/>
          <w:color w:val="000000"/>
          <w:sz w:val="24"/>
          <w:highlight w:val="none"/>
        </w:rPr>
        <w:t xml:space="preserve">（1）消控岗（</w:t>
      </w:r>
      <w:r>
        <w:rPr>
          <w:rFonts w:hint="eastAsia" w:ascii="宋体" w:hAnsi="宋体"/>
          <w:color w:val="000000"/>
          <w:sz w:val="24"/>
          <w:highlight w:val="none"/>
        </w:rPr>
        <w:t xml:space="preserve">值班长</w:t>
      </w:r>
      <w:r>
        <w:rPr>
          <w:rFonts w:ascii="宋体" w:hAnsi="宋体"/>
          <w:color w:val="000000"/>
          <w:sz w:val="24"/>
          <w:highlight w:val="none"/>
        </w:rPr>
        <w:t xml:space="preserve">）熟悉消防系统设施设备操作规程和火警处置程序，掌握消防主机和消防水泵等系统设施操作流程。出现消防报警信号，能通过操作消防主机系统，通过到现场确认，判断报警性质，出现火情能按火警处置程序正确操作进行有效联动灭火；发生误报或故障报警能作出有效隔离等操作，确保消防系统设施正常，确保解除报警后的消防安全。</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ascii="宋体" w:hAnsi="宋体"/>
          <w:color w:val="000000"/>
          <w:sz w:val="24"/>
          <w:highlight w:val="none"/>
        </w:rPr>
        <w:t xml:space="preserve">（2）监控岗熟悉监控系统设施设备操作规程，掌握监控切换、调阅等设置动作和操作流程。按规定认真对视频画面进行不间断监控巡视，发现可疑情况，能亲自或联络巡逻保安立即到现场确认，及时掌握第一现场信息，并进行有效处置，确保消除安全隐患，防止重大安全事件或事故发生。</w:t>
      </w:r>
      <w:r>
        <w:rPr>
          <w:rFonts w:hint="eastAsia" w:ascii="宋体" w:hAnsi="宋体"/>
          <w:color w:val="000000"/>
          <w:sz w:val="24"/>
          <w:highlight w:val="none"/>
        </w:rPr>
        <w:t xml:space="preserve">每天浏览检查一次各点位监控画面完好性，做好登记，有问题2小时内汇报保卫处。</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3</w:t>
      </w:r>
      <w:r>
        <w:rPr>
          <w:rFonts w:ascii="宋体" w:hAnsi="宋体"/>
          <w:color w:val="000000"/>
          <w:sz w:val="24"/>
          <w:highlight w:val="none"/>
        </w:rPr>
        <w:t xml:space="preserve">）建立值班运行</w:t>
      </w:r>
      <w:r>
        <w:rPr>
          <w:rFonts w:hint="eastAsia" w:ascii="宋体" w:hAnsi="宋体"/>
          <w:color w:val="000000"/>
          <w:sz w:val="24"/>
          <w:highlight w:val="none"/>
        </w:rPr>
        <w:t xml:space="preserve">台账</w:t>
      </w:r>
      <w:r>
        <w:rPr>
          <w:rFonts w:ascii="宋体" w:hAnsi="宋体"/>
          <w:color w:val="000000"/>
          <w:sz w:val="24"/>
          <w:highlight w:val="none"/>
        </w:rPr>
        <w:t xml:space="preserve">资料（消防、监控值班工作相关记录、一键求助等紧急报警记录等），认真记录值班情况，做好交接班工作，并做到工作场所卫生三包。</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3）按规定（每2小时一次）对医院消防泵房等消防设施重点部位进行巡视检查，检查登记消防器材设施设备运行情况，对发现的消防隐患进行记录，在采取有效防范措施和确保安全前提下，第一时间报告采购人保卫处处置。</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（4）按规定做好一键紧急报警系统、红外入侵系统的测试工作；按要求做好日常红外入侵系统布防及撤防工作；联合外围保安做好应急报警响应工作；同时，做好电视播放系统开关运行等工作。</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（5）建立值班运行台账资料（消防、监控值班工作相关记录，院内固话8110、一键求助等紧急报警记录等），认真记录值班情况，做好交接班工作，并做到工作场所卫生三包。</w:t>
      </w:r>
      <w:r>
        <w:rPr>
          <w:rFonts w:ascii="宋体" w:hAnsi="宋体"/>
          <w:color w:val="000000"/>
          <w:sz w:val="24"/>
          <w:highlight w:val="none"/>
        </w:rPr>
      </w:r>
      <w:r/>
    </w:p>
    <w:p>
      <w:pPr>
        <w:pStyle w:val="843"/>
        <w:ind w:firstLine="480"/>
        <w:spacing w:line="400" w:lineRule="exact"/>
        <w:rPr>
          <w:rFonts w:ascii="宋体" w:hAnsi="宋体" w:cs="宋体"/>
          <w:bCs/>
          <w:color w:val="000000"/>
          <w:sz w:val="24"/>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.落实</w:t>
      </w:r>
      <w:r>
        <w:rPr>
          <w:rFonts w:ascii="宋体" w:hAnsi="宋体"/>
          <w:color w:val="000000"/>
          <w:sz w:val="24"/>
          <w:highlight w:val="none"/>
        </w:rPr>
        <w:t xml:space="preserve">重点区域</w:t>
      </w:r>
      <w:r>
        <w:rPr>
          <w:rFonts w:hint="eastAsia" w:ascii="宋体" w:hAnsi="宋体" w:cs="宋体"/>
          <w:bCs/>
          <w:color w:val="000000"/>
          <w:sz w:val="24"/>
          <w:highlight w:val="none"/>
        </w:rPr>
        <w:t xml:space="preserve">安检工作要求</w:t>
      </w:r>
      <w:r>
        <w:rPr>
          <w:rFonts w:ascii="宋体" w:hAnsi="宋体" w:cs="宋体"/>
          <w:bCs/>
          <w:color w:val="000000"/>
          <w:sz w:val="24"/>
          <w:highlight w:val="none"/>
        </w:rPr>
      </w:r>
      <w:r/>
    </w:p>
    <w:p>
      <w:pPr>
        <w:pStyle w:val="843"/>
        <w:ind w:firstLine="480"/>
        <w:spacing w:line="400" w:lineRule="exact"/>
        <w:rPr>
          <w:rFonts w:ascii="宋体" w:hAnsi="宋体"/>
          <w:color w:val="000000"/>
          <w:sz w:val="24"/>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.1安检员</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在执勤工作中，必须做到文明执勤，礼貌待人，处理问题时要坚持原则，分清是非，实事求是。</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w:t>
      </w:r>
      <w:r>
        <w:rPr>
          <w:rFonts w:hint="eastAsia" w:ascii="宋体" w:hAnsi="宋体"/>
          <w:color w:val="000000"/>
          <w:sz w:val="24"/>
          <w:highlight w:val="none"/>
        </w:rPr>
        <w:t xml:space="preserve">在执勤时不得做与工作无关的事情，当班期间严禁缺岗、睡觉、饮食、外出就餐等，对交办任务严格落实。</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统一服装、标志整齐，当班时间必须着制服，佩戴标识要规范，自觉维护安检人员岗位形象。</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w:t>
      </w:r>
      <w:r>
        <w:rPr>
          <w:rFonts w:hint="eastAsia" w:ascii="宋体" w:hAnsi="宋体"/>
          <w:color w:val="000000"/>
          <w:sz w:val="24"/>
          <w:highlight w:val="none"/>
        </w:rPr>
        <w:t xml:space="preserve">认真履行岗位职责，做好每天违禁品数量登记统计工作。</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w:t>
      </w:r>
      <w:r>
        <w:rPr>
          <w:rFonts w:hint="eastAsia" w:ascii="宋体" w:hAnsi="宋体"/>
          <w:color w:val="000000"/>
          <w:sz w:val="24"/>
          <w:highlight w:val="none"/>
        </w:rPr>
        <w:t xml:space="preserve">回答问询，提供相关医院服务，特别是老幼病残孕，涉及专业知识无法回答时，应及时联系医院工作人员。</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w:t>
      </w:r>
      <w:r>
        <w:rPr>
          <w:rFonts w:hint="eastAsia" w:ascii="宋体" w:hAnsi="宋体"/>
          <w:color w:val="000000"/>
          <w:sz w:val="24"/>
          <w:highlight w:val="none"/>
        </w:rPr>
        <w:t xml:space="preserve">保持安检工作区域、安检设备清洁卫生。</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w:t>
      </w:r>
      <w:r>
        <w:rPr>
          <w:rFonts w:hint="eastAsia" w:ascii="宋体" w:hAnsi="宋体"/>
          <w:color w:val="000000"/>
          <w:sz w:val="24"/>
          <w:highlight w:val="none"/>
        </w:rPr>
        <w:t xml:space="preserve">配合突发事件处理、技术培训、演练等工作，听从保卫处安排。</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w:t>
      </w:r>
      <w:r>
        <w:rPr>
          <w:rFonts w:hint="eastAsia" w:ascii="宋体" w:hAnsi="宋体"/>
          <w:color w:val="000000"/>
          <w:sz w:val="24"/>
          <w:highlight w:val="none"/>
        </w:rPr>
        <w:t xml:space="preserve">突发事件情况下，配合公安民警及时进行处置。</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.2值机员（值机位必须有人，做到逢包必检）</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熟练掌握图像识别、易燃、易爆等危险品的外部特征，及时准确观察、识别可疑物。</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w:t>
      </w:r>
      <w:r>
        <w:rPr>
          <w:rFonts w:hint="eastAsia" w:ascii="宋体" w:hAnsi="宋体"/>
          <w:color w:val="000000"/>
          <w:sz w:val="24"/>
          <w:highlight w:val="none"/>
        </w:rPr>
        <w:t xml:space="preserve">值机员对通道式安检仪监视器上受检行李图像进行辨别，将需要开箱（包）检查的行李及重点检查部位通知保卫处。</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如发现可疑物品，需要开箱（包）检查时，应及时告知处置员，并简要描述重点检查的物品名称、所在箱包的大概部位。</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w:t>
      </w:r>
      <w:r>
        <w:rPr>
          <w:rFonts w:hint="eastAsia" w:ascii="宋体" w:hAnsi="宋体"/>
          <w:color w:val="000000"/>
          <w:sz w:val="24"/>
          <w:highlight w:val="none"/>
        </w:rPr>
        <w:t xml:space="preserve">负责开关机及安检仪、显示器、键盘、手持金属探测器、反恐装备等的保管。</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.3手检员（安检员兼职）</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对携带体积大于通道式安检仪检测通道物品的、易碎物品的（例如：玻璃器皿、工艺品）、易损物品的（食品、药品、电脑）、金属工具及尖锐类等不宜机检等物品的乘客，及时进行手检。</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w:t>
      </w:r>
      <w:r>
        <w:rPr>
          <w:rFonts w:hint="eastAsia" w:ascii="宋体" w:hAnsi="宋体"/>
          <w:color w:val="000000"/>
          <w:sz w:val="24"/>
          <w:highlight w:val="none"/>
        </w:rPr>
        <w:t xml:space="preserve">对存在疑点的、认为需进一步检查的物品、液体等，应要求病人及家属自行开包后进行复检。</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病人及家属声明不宜公开检查的物品，应当征得其同意后，单独实施检查。</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w:t>
      </w:r>
      <w:r>
        <w:rPr>
          <w:rFonts w:hint="eastAsia" w:ascii="宋体" w:hAnsi="宋体"/>
          <w:color w:val="000000"/>
          <w:sz w:val="24"/>
          <w:highlight w:val="none"/>
        </w:rPr>
        <w:t xml:space="preserve">遇特殊群体，包括残障人士、孕妇等行动不便的病人及家属主动进行手检。</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.4 特殊人群安检实施原则</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对孕妇、安装心脏起搏器的病人及家属及残障人士进行安检时，应根据其本人要求按照常规安检方法或采取徒手探与直观查相结合的方式实施安检。</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w:t>
      </w:r>
      <w:r>
        <w:rPr>
          <w:rFonts w:hint="eastAsia" w:ascii="宋体" w:hAnsi="宋体"/>
          <w:color w:val="000000"/>
          <w:sz w:val="24"/>
          <w:highlight w:val="none"/>
        </w:rPr>
        <w:t xml:space="preserve">对1.2米以下儿童安检时，安检员应采取直观检查的方法对其人身进行检查；对儿童随身携带箱包进院的，要主动协助将箱包过机安检。</w:t>
      </w:r>
      <w:r>
        <w:rPr>
          <w:rFonts w:ascii="宋体" w:hAnsi="宋体"/>
          <w:color w:val="000000"/>
          <w:sz w:val="24"/>
          <w:highlight w:val="none"/>
        </w:rPr>
      </w:r>
      <w:r/>
    </w:p>
    <w:p>
      <w:pPr>
        <w:pStyle w:val="843"/>
        <w:ind w:firstLine="480"/>
        <w:spacing w:line="400" w:lineRule="exact"/>
        <w:rPr>
          <w:color w:val="000000"/>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s="宋体"/>
          <w:color w:val="000000"/>
          <w:sz w:val="24"/>
          <w:highlight w:val="none"/>
        </w:rPr>
        <w:t xml:space="preserve">遇有携带的特殊物品，不便或无法用安检仪检查的，可采取手工等方法检查。对于孕妇等提出物品手检要求，可采取开包等方法进行安检。</w:t>
      </w:r>
      <w:r>
        <w:rPr>
          <w:color w:val="000000"/>
          <w:highlight w:val="none"/>
        </w:rPr>
      </w:r>
      <w:r/>
    </w:p>
    <w:p>
      <w:pPr>
        <w:pStyle w:val="843"/>
        <w:ind w:firstLine="480"/>
        <w:spacing w:line="400" w:lineRule="exact"/>
        <w:rPr>
          <w:rFonts w:ascii="宋体" w:hAnsi="宋体"/>
          <w:color w:val="000000"/>
          <w:sz w:val="24"/>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.5物品异常情况的处置程序</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箱（包）检查发现疑似违禁物品时，应采取措施控制住携带者，防止其擅离现场，并将箱（包）重新经安全检查或开箱（包）检查，以查清是否藏有违禁物品。确认非疑似违禁物品后，方可放行。</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w:t>
      </w:r>
      <w:r>
        <w:rPr>
          <w:rFonts w:hint="eastAsia" w:ascii="宋体" w:hAnsi="宋体"/>
          <w:color w:val="000000"/>
          <w:sz w:val="24"/>
          <w:highlight w:val="none"/>
        </w:rPr>
        <w:t xml:space="preserve">检查到“枪支弹药、爆炸物品、管制器具等”禁带物品时，安检人员应控制住人和物，立即报告保卫处、现场工作人员，由公安机关依法处理。</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检查发现民用易燃、易爆、腐蚀性、毒害性物质或者传染病病原体及医疗废弃物等禁带物品时，对易燃性物品、传染病病原体及其持有人按照“人、物分离”的原则实施控制，要求持有人不得入院，或自动上缴；对于桶装汽油、煤油、酒精应立即报告工作人员。</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w:t>
      </w:r>
      <w:r>
        <w:rPr>
          <w:rFonts w:hint="eastAsia" w:ascii="宋体" w:hAnsi="宋体"/>
          <w:color w:val="000000"/>
          <w:sz w:val="24"/>
          <w:highlight w:val="none"/>
        </w:rPr>
        <w:t xml:space="preserve">检查发现可能影响医院安全的其他生活物品数量超标时，要求持有人不得入院，或自动上缴。</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w:t>
      </w:r>
      <w:r>
        <w:rPr>
          <w:rFonts w:hint="eastAsia" w:ascii="宋体" w:hAnsi="宋体"/>
          <w:color w:val="000000"/>
          <w:sz w:val="24"/>
          <w:highlight w:val="none"/>
        </w:rPr>
        <w:t xml:space="preserve">对不明液体、物品，安检人员要注意防范，避免直接接触毒害性物品，切忌直接手摸、口尝不明液体；可通知工作人员及保卫处。</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.6不配合安检情况的处置程序</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应认真做好解释和说服工作，促使被安检人员自愿接受安检，尽量避免因安检引发矛盾或者纠纷。</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并告知其法律责任后，被安检人员仍不接受安检的，应拒绝其入院，并劝离出院。</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（3）经劝阻无效，被安检人员仍滞留现场影响安检秩序的，立即通知保卫处处置。</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.7安检点遇下列情况使用报警装置</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查获易燃易爆物品、剧毒化学品、腐蚀化学品、管制刀具、管制器具、枪支弹药等严重危害安全的危险品。</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w:t>
      </w:r>
      <w:r>
        <w:rPr>
          <w:rFonts w:hint="eastAsia" w:ascii="宋体" w:hAnsi="宋体"/>
          <w:color w:val="000000"/>
          <w:sz w:val="24"/>
          <w:highlight w:val="none"/>
        </w:rPr>
        <w:t xml:space="preserve">发现重大可疑人员。</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拒不配合安检，发生肢体冲突，严重影响安检秩序的行为。</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w:t>
      </w:r>
      <w:r>
        <w:rPr>
          <w:rFonts w:hint="eastAsia" w:ascii="宋体" w:hAnsi="宋体"/>
          <w:color w:val="000000"/>
          <w:sz w:val="24"/>
          <w:highlight w:val="none"/>
        </w:rPr>
        <w:t xml:space="preserve">其他危害公共安全、医院运营安全的行为。</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8安检工作中发现下列情形的，应采取应急措施先期处置，并立即报告保卫处。</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（1）发现携带枪支、弹药、管制器具、爆炸物品的。</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w:t>
      </w:r>
      <w:r>
        <w:rPr>
          <w:rFonts w:hint="eastAsia" w:ascii="宋体" w:hAnsi="宋体"/>
          <w:color w:val="000000"/>
          <w:sz w:val="24"/>
          <w:highlight w:val="none"/>
        </w:rPr>
        <w:t xml:space="preserve">声称携带爆炸性、毒害性、放射性、腐蚀性物质或者传染病病原体等违禁物品的。</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拒不接受安检、不听劝阻强行进入等妨碍安检勤务、扰乱现场秩序的。</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w:t>
      </w:r>
      <w:r>
        <w:rPr>
          <w:rFonts w:hint="eastAsia" w:ascii="宋体" w:hAnsi="宋体"/>
          <w:color w:val="000000"/>
          <w:sz w:val="24"/>
          <w:highlight w:val="none"/>
        </w:rPr>
        <w:t xml:space="preserve">检查后不能排除可疑，或神情紧张、言行可疑、表现异常的。</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w:t>
      </w:r>
      <w:r>
        <w:rPr>
          <w:rFonts w:hint="eastAsia" w:ascii="宋体" w:hAnsi="宋体"/>
          <w:color w:val="000000"/>
          <w:sz w:val="24"/>
          <w:highlight w:val="none"/>
        </w:rPr>
        <w:t xml:space="preserve">安检现场发现的无主包裹等物品，且无法找到物主、无法排除可疑的。</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w:t>
      </w:r>
      <w:r>
        <w:rPr>
          <w:rFonts w:hint="eastAsia" w:ascii="宋体" w:hAnsi="宋体"/>
          <w:color w:val="000000"/>
          <w:sz w:val="24"/>
          <w:highlight w:val="none"/>
        </w:rPr>
        <w:t xml:space="preserve">存在其他可能威胁医院安全情形的。</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ascii="宋体" w:hAnsi="宋体"/>
          <w:color w:val="000000"/>
          <w:sz w:val="24"/>
          <w:highlight w:val="none"/>
        </w:rPr>
        <w:t xml:space="preserve">11</w:t>
      </w:r>
      <w:r>
        <w:rPr>
          <w:rFonts w:hint="eastAsia" w:ascii="宋体" w:hAnsi="宋体"/>
          <w:color w:val="000000"/>
          <w:sz w:val="24"/>
          <w:highlight w:val="none"/>
        </w:rPr>
        <w:t xml:space="preserve">.维护好门急诊、医技区域、综合楼大厅、慈善科病区、治疗中心、市门诊等场所区域的工作秩序，确保治安、消防等安全，服从所在区域场所主管科室的管理等，各岗位要求根据服务保障场所或区域岗位职责及说明落实执行。</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12.</w:t>
      </w:r>
      <w:r>
        <w:rPr>
          <w:rFonts w:ascii="宋体" w:hAnsi="宋体"/>
          <w:color w:val="000000"/>
          <w:sz w:val="24"/>
          <w:highlight w:val="none"/>
        </w:rPr>
        <w:t xml:space="preserve">做好突发事件应急处置工作</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）遇有医院发生</w:t>
      </w:r>
      <w:r>
        <w:rPr>
          <w:rFonts w:hint="eastAsia" w:ascii="宋体" w:hAnsi="宋体"/>
          <w:color w:val="000000"/>
          <w:sz w:val="24"/>
          <w:highlight w:val="none"/>
        </w:rPr>
        <w:t xml:space="preserve">刑事案件、治安案件、</w:t>
      </w:r>
      <w:r>
        <w:rPr>
          <w:rFonts w:ascii="宋体" w:hAnsi="宋体"/>
          <w:color w:val="000000"/>
          <w:sz w:val="24"/>
          <w:highlight w:val="none"/>
        </w:rPr>
        <w:t xml:space="preserve">医疗纠纷</w:t>
      </w:r>
      <w:r>
        <w:rPr>
          <w:rFonts w:hint="eastAsia" w:ascii="宋体" w:hAnsi="宋体"/>
          <w:color w:val="000000"/>
          <w:sz w:val="24"/>
          <w:highlight w:val="none"/>
        </w:rPr>
        <w:t xml:space="preserve">、灾害事故，要挺身而出，</w:t>
      </w:r>
      <w:r>
        <w:rPr>
          <w:rFonts w:ascii="宋体" w:hAnsi="宋体"/>
          <w:color w:val="000000"/>
          <w:sz w:val="24"/>
          <w:highlight w:val="none"/>
        </w:rPr>
        <w:t xml:space="preserve">做到快速反应，按规定配装（对讲机、安全帽、橡皮棍、武装带等）</w:t>
      </w:r>
      <w:r>
        <w:rPr>
          <w:rFonts w:hint="eastAsia" w:ascii="宋体" w:hAnsi="宋体"/>
          <w:color w:val="000000"/>
          <w:sz w:val="24"/>
          <w:highlight w:val="none"/>
        </w:rPr>
        <w:t xml:space="preserve">，</w:t>
      </w:r>
      <w:r>
        <w:rPr>
          <w:rFonts w:ascii="宋体" w:hAnsi="宋体"/>
          <w:color w:val="000000"/>
          <w:sz w:val="24"/>
          <w:highlight w:val="none"/>
        </w:rPr>
        <w:t xml:space="preserve">在</w:t>
      </w:r>
      <w:r>
        <w:rPr>
          <w:rFonts w:hint="eastAsia" w:ascii="宋体" w:hAnsi="宋体"/>
          <w:color w:val="000000"/>
          <w:sz w:val="24"/>
          <w:highlight w:val="none"/>
        </w:rPr>
        <w:t xml:space="preserve">三分钟</w:t>
      </w:r>
      <w:r>
        <w:rPr>
          <w:rFonts w:ascii="宋体" w:hAnsi="宋体"/>
          <w:color w:val="000000"/>
          <w:sz w:val="24"/>
          <w:highlight w:val="none"/>
        </w:rPr>
        <w:t xml:space="preserve">内到达报警部门，及时采取有效措施防止事态扩大，保障院内员工、患者人身和财物安全</w:t>
      </w:r>
      <w:r>
        <w:rPr>
          <w:rFonts w:hint="eastAsia" w:ascii="宋体" w:hAnsi="宋体"/>
          <w:color w:val="000000"/>
          <w:sz w:val="24"/>
          <w:highlight w:val="none"/>
        </w:rPr>
        <w:t xml:space="preserve">，维护好医院正常的医疗秩序。</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w:t>
      </w:r>
      <w:r>
        <w:rPr>
          <w:rFonts w:hint="eastAsia" w:ascii="宋体" w:hAnsi="宋体"/>
          <w:color w:val="000000"/>
          <w:sz w:val="24"/>
          <w:highlight w:val="none"/>
        </w:rPr>
        <w:t xml:space="preserve">遇到重大或突发事件要立即报告，并及时采取措施保护发案现场。</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3）</w:t>
      </w:r>
      <w:r>
        <w:rPr>
          <w:rFonts w:hint="eastAsia" w:ascii="宋体" w:hAnsi="宋体"/>
          <w:color w:val="000000"/>
          <w:sz w:val="24"/>
          <w:highlight w:val="none"/>
        </w:rPr>
        <w:t xml:space="preserve">病人或家属与安检人员发生矛盾、纠纷时，应及时予以调解。病人及家属提出合理建议或投诉时，要认真接待和答复。</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4）</w:t>
      </w:r>
      <w:r>
        <w:rPr>
          <w:rFonts w:hint="eastAsia" w:ascii="宋体" w:hAnsi="宋体"/>
          <w:color w:val="000000"/>
          <w:sz w:val="24"/>
          <w:highlight w:val="none"/>
        </w:rPr>
        <w:t xml:space="preserve">发现无人陪护的精神病患者、醉酒不能约束自己行为者，应采取</w:t>
      </w:r>
      <w:r>
        <w:rPr>
          <w:rFonts w:ascii="宋体" w:hAnsi="宋体"/>
          <w:color w:val="000000"/>
          <w:sz w:val="24"/>
          <w:highlight w:val="none"/>
        </w:rPr>
        <w:t xml:space="preserve">陪诊方式，</w:t>
      </w:r>
      <w:r>
        <w:rPr>
          <w:rFonts w:hint="eastAsia" w:ascii="宋体" w:hAnsi="宋体"/>
          <w:color w:val="000000"/>
          <w:sz w:val="24"/>
          <w:highlight w:val="none"/>
        </w:rPr>
        <w:t xml:space="preserve">工作日及时报告保卫处，夜间或节假日报告总值班。</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（5）接有需现场确认的火情信息，安排发生火情附近的保安第一时间响应并到场确认，对已确认的火警，消防微型站人员迅速穿戴消防服、携带灭火器材按规定要求时间到场开展初期灭火行动等。</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13.消防技能</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（1）消防知识：熟悉拨打火警“ll9”的程序，能分清油火、气体火、固体物质火，懂得燃气泄漏的处理方法，熟知医院消防设施位置。</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（2）灭火器使用：能正确使用灭火器。</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（3）消防水带使用：会开阀门，能快速正确的安装水枪结合器，携水带不越线，在一分钟内能完成，懂注意事项。</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（4）掌握疏散、救援、警戒要领。</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s="楷体"/>
          <w:color w:val="000000"/>
          <w:sz w:val="24"/>
          <w:szCs w:val="24"/>
          <w:highlight w:val="none"/>
        </w:rPr>
        <w:t xml:space="preserve">具备消防专业知识，消防退役人员或持有消防设施操作员证书或大专及以上学历</w:t>
      </w:r>
      <w:r>
        <w:rPr>
          <w:rFonts w:hint="eastAsia" w:ascii="宋体" w:hAnsi="宋体" w:cs="宋体"/>
          <w:color w:val="000000"/>
          <w:sz w:val="24"/>
          <w:szCs w:val="24"/>
          <w:highlight w:val="none"/>
        </w:rPr>
        <w:t xml:space="preserve">，能够开展医院消防检查、培训工作并指导医院各部门</w:t>
      </w:r>
      <w:r>
        <w:rPr>
          <w:rFonts w:hint="eastAsia" w:ascii="宋体" w:hAnsi="宋体" w:cs="楷体"/>
          <w:color w:val="000000"/>
          <w:sz w:val="24"/>
          <w:szCs w:val="24"/>
          <w:highlight w:val="none"/>
        </w:rPr>
        <w:t xml:space="preserve">消防工作。</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14.车辆指挥：手臂动作达到规定标准，两手有节奏，会识别转向灯，姿势正确；</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15、车辆管理工作要求</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（1）自觉遵守医院各项规章制度，加强工作责任心，端正工作态度，规范使用礼貌用语，微笑服务。</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（2）严禁未经同意上班迟到、早退、私自外出、换班，严禁将无关人员带入收费亭。</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（3）值班期间严禁脱岗、离岗、睡觉、聊天、使用手机玩游戏或看电影视频等。</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（4）做好交接班工作，规范台账记录；系统不能正常工作启用手动放行时，做到账目明确。</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（5）在收费过程中不多收、少收、漏收，严禁私用、挪用公款，一经发现，将追究个人、公司的责任直至法律责任。</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（6）发现停车场设备故障及时报修，保证设备正常运行。</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ascii="宋体" w:hAnsi="宋体"/>
          <w:color w:val="000000"/>
          <w:sz w:val="24"/>
          <w:highlight w:val="none"/>
        </w:rPr>
      </w:r>
      <w:r/>
    </w:p>
    <w:p>
      <w:pPr>
        <w:pStyle w:val="843"/>
        <w:ind w:firstLine="480"/>
        <w:spacing w:line="400" w:lineRule="exact"/>
        <w:rPr>
          <w:rFonts w:hint="eastAsia" w:ascii="宋体" w:hAnsi="宋体"/>
          <w:color w:val="000000"/>
          <w:sz w:val="24"/>
          <w:highlight w:val="none"/>
        </w:rPr>
        <w:sectPr>
          <w:footnotePr/>
          <w:endnotePr/>
          <w:type w:val="nextPage"/>
          <w:pgSz w:w="11906" w:h="16838" w:orient="portrait"/>
          <w:pgMar w:top="1440" w:right="1440" w:bottom="1440" w:left="1440" w:header="850" w:footer="992" w:gutter="0"/>
          <w:cols w:num="1" w:sep="0" w:space="1701" w:equalWidth="1"/>
          <w:docGrid w:linePitch="360"/>
        </w:sectPr>
      </w:pPr>
      <w:r>
        <w:rPr>
          <w:rFonts w:hint="eastAsia"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附件5：</w:t>
      </w:r>
      <w:r>
        <w:rPr>
          <w:rFonts w:ascii="宋体" w:hAnsi="宋体"/>
          <w:color w:val="000000"/>
          <w:sz w:val="24"/>
          <w:highlight w:val="none"/>
        </w:rPr>
      </w:r>
      <w:r/>
    </w:p>
    <w:p>
      <w:pPr>
        <w:pStyle w:val="843"/>
        <w:ind w:firstLine="482"/>
        <w:jc w:val="center"/>
        <w:spacing w:line="400" w:lineRule="exact"/>
        <w:rPr>
          <w:rFonts w:ascii="宋体" w:hAnsi="宋体"/>
          <w:b/>
          <w:bCs/>
          <w:color w:val="000000"/>
          <w:sz w:val="24"/>
          <w:highlight w:val="none"/>
        </w:rPr>
      </w:pPr>
      <w:r/>
      <w:bookmarkStart w:id="68" w:name="OLE_LINK46"/>
      <w:r/>
      <w:bookmarkStart w:id="69" w:name="OLE_LINK45"/>
      <w:r>
        <w:rPr>
          <w:rFonts w:hint="eastAsia" w:ascii="宋体" w:hAnsi="宋体"/>
          <w:b/>
          <w:bCs/>
          <w:color w:val="000000"/>
          <w:sz w:val="24"/>
          <w:highlight w:val="none"/>
        </w:rPr>
        <w:t xml:space="preserve">安保服务人员工作纪律</w:t>
      </w:r>
      <w:r>
        <w:rPr>
          <w:rFonts w:ascii="宋体" w:hAnsi="宋体"/>
          <w:b/>
          <w:bCs/>
          <w:color w:val="000000"/>
          <w:sz w:val="24"/>
          <w:highlight w:val="none"/>
        </w:rPr>
      </w:r>
      <w:r/>
    </w:p>
    <w:p>
      <w:pPr>
        <w:pStyle w:val="843"/>
        <w:ind w:firstLine="480"/>
        <w:spacing w:line="400" w:lineRule="exact"/>
        <w:rPr>
          <w:rFonts w:ascii="宋体" w:hAnsi="宋体"/>
          <w:color w:val="000000"/>
          <w:sz w:val="24"/>
          <w:highlight w:val="none"/>
        </w:rPr>
      </w:pPr>
      <w:r/>
      <w:bookmarkEnd w:id="68"/>
      <w:r/>
      <w:bookmarkEnd w:id="69"/>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1.遵守国家法律法规，积极维护医院内部治安；</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2.严格履行岗位职责，不做与保安服务无关的事情；</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举止端庄，仪容整洁，不得染彩发，男性保安不得留长发、大鬓角、卷发（自然卷除外），不得剃光头或蓄胡须；不得</w:t>
      </w:r>
      <w:r>
        <w:rPr>
          <w:rFonts w:hint="eastAsia" w:ascii="宋体" w:hAnsi="宋体"/>
          <w:color w:val="000000"/>
          <w:sz w:val="24"/>
          <w:highlight w:val="none"/>
        </w:rPr>
        <w:t xml:space="preserve">纹身</w:t>
      </w:r>
      <w:r>
        <w:rPr>
          <w:rFonts w:ascii="宋体" w:hAnsi="宋体"/>
          <w:color w:val="000000"/>
          <w:sz w:val="24"/>
          <w:highlight w:val="none"/>
        </w:rPr>
        <w:t xml:space="preserve">，</w:t>
      </w:r>
      <w:r>
        <w:rPr>
          <w:rFonts w:hint="eastAsia" w:ascii="宋体" w:hAnsi="宋体"/>
          <w:color w:val="000000"/>
          <w:sz w:val="24"/>
          <w:highlight w:val="none"/>
        </w:rPr>
        <w:t xml:space="preserve">不得穿高跟鞋、裙子，</w:t>
      </w:r>
      <w:r>
        <w:rPr>
          <w:rFonts w:ascii="宋体" w:hAnsi="宋体"/>
          <w:color w:val="000000"/>
          <w:sz w:val="24"/>
          <w:highlight w:val="none"/>
        </w:rPr>
        <w:t xml:space="preserve">不得染指甲、留长指甲、化浓</w:t>
      </w:r>
      <w:r>
        <w:rPr>
          <w:rFonts w:hint="eastAsia" w:ascii="宋体" w:hAnsi="宋体"/>
          <w:color w:val="000000"/>
          <w:sz w:val="24"/>
          <w:highlight w:val="none"/>
        </w:rPr>
        <w:t xml:space="preserve">妆</w:t>
      </w:r>
      <w:r>
        <w:rPr>
          <w:rFonts w:ascii="宋体" w:hAnsi="宋体"/>
          <w:color w:val="000000"/>
          <w:sz w:val="24"/>
          <w:highlight w:val="none"/>
        </w:rPr>
        <w:t xml:space="preserve">等</w:t>
      </w:r>
      <w:r>
        <w:rPr>
          <w:rFonts w:hint="eastAsia" w:ascii="宋体" w:hAnsi="宋体"/>
          <w:color w:val="000000"/>
          <w:sz w:val="24"/>
          <w:highlight w:val="none"/>
        </w:rPr>
        <w:t xml:space="preserve">；</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4.廉洁奉公，爱护公物，不损公肥私；</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5.严守医院的商业秘密和个人隐私；</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6.对发生在执勤区域内的刑事案件、治安案件和治安灾害事故，及时制止并报告；</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7.落实防火、防盗、防爆炸、防破坏等治安防范措施，发现执勤区域内的治安隐患，立即上报，并协助予以处置；</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8.严格在法律规定的范围内开展保安服务工作，不得超越职责权限；</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9.未经允许，不准动用医院物品和接受他人赠送的礼品；</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10.严守劳动纪律，不准脱岗、空岗、睡岗、迟到、早退等；</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11.认真填写值班记录，做好交接班工作，下一班不来上一班不走；</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12.着保安制服时，不得边走边吃东西、扇扇子；不得在工作场所和其他禁止吸烟的场所吸烟，不得袖手、插兜、搭肩、挽臂、揽腰、披衣、敞怀、挽袖、卷裤腿、歪戴帽子、穿拖鞋或赤足等；不得嬉笑打闹、高声喧哗；不得席地而坐等；</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14.着保安制服上岗，统一换装，保安制服不准与便服混穿，不同季节的保安制服不准混穿；</w:t>
      </w:r>
      <w:r>
        <w:rPr>
          <w:rFonts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15.法律、行政法规和规章规定的其他职责；</w:t>
      </w:r>
      <w:r>
        <w:rPr>
          <w:rFonts w:ascii="宋体" w:hAnsi="宋体"/>
          <w:color w:val="000000"/>
          <w:sz w:val="24"/>
          <w:highlight w:val="none"/>
        </w:rPr>
      </w:r>
      <w:r/>
    </w:p>
    <w:p>
      <w:pPr>
        <w:pStyle w:val="843"/>
        <w:ind w:firstLine="480"/>
        <w:jc w:val="left"/>
        <w:spacing w:line="360" w:lineRule="auto"/>
        <w:tabs>
          <w:tab w:val="left" w:pos="313" w:leader="none"/>
        </w:tabs>
        <w:rPr>
          <w:rFonts w:hint="eastAsia" w:ascii="宋体" w:hAnsi="宋体" w:cs="宋体"/>
          <w:color w:val="000000"/>
          <w:sz w:val="24"/>
          <w:szCs w:val="24"/>
          <w:highlight w:val="none"/>
        </w:rPr>
        <w:sectPr>
          <w:footnotePr/>
          <w:endnotePr/>
          <w:type w:val="nextPage"/>
          <w:pgSz w:w="11906" w:h="16838" w:orient="portrait"/>
          <w:pgMar w:top="1440" w:right="1440" w:bottom="1440" w:left="1440" w:header="850" w:footer="992" w:gutter="0"/>
          <w:cols w:num="1" w:sep="0" w:space="1701" w:equalWidth="1"/>
          <w:docGrid w:linePitch="360"/>
        </w:sectPr>
      </w:pPr>
      <w:r>
        <w:rPr>
          <w:rFonts w:hint="eastAsia" w:ascii="宋体" w:hAnsi="宋体" w:cs="宋体"/>
          <w:color w:val="000000"/>
          <w:sz w:val="24"/>
          <w:szCs w:val="24"/>
          <w:highlight w:val="none"/>
        </w:rPr>
      </w:r>
      <w:r/>
    </w:p>
    <w:p>
      <w:pPr>
        <w:pStyle w:val="844"/>
        <w:numPr>
          <w:ilvl w:val="0"/>
          <w:numId w:val="12"/>
        </w:numPr>
        <w:spacing w:line="360" w:lineRule="auto"/>
        <w:rPr>
          <w:rFonts w:hint="eastAsia"/>
          <w:color w:val="000000"/>
          <w:highlight w:val="none"/>
        </w:rPr>
      </w:pPr>
      <w:r>
        <w:rPr>
          <w:rFonts w:hint="eastAsia" w:ascii="宋体" w:hAnsi="宋体" w:cs="宋体"/>
          <w:color w:val="000000"/>
          <w:szCs w:val="24"/>
          <w:highlight w:val="none"/>
        </w:rPr>
        <w:t xml:space="preserve">合同书</w:t>
      </w:r>
      <w:bookmarkEnd w:id="40"/>
      <w:r>
        <w:rPr>
          <w:rFonts w:hint="eastAsia" w:ascii="宋体" w:hAnsi="宋体" w:cs="宋体"/>
          <w:color w:val="000000"/>
          <w:szCs w:val="24"/>
          <w:highlight w:val="none"/>
        </w:rPr>
        <w:t xml:space="preserve">（格式）</w:t>
      </w:r>
      <w:r>
        <w:rPr>
          <w:rFonts w:hint="eastAsia"/>
          <w:color w:val="000000"/>
          <w:highlight w:val="none"/>
        </w:rPr>
      </w:r>
      <w:r/>
    </w:p>
    <w:p>
      <w:pPr>
        <w:pStyle w:val="84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甲方（采购人）：无锡市精神卫生中心</w:t>
      </w:r>
      <w:r>
        <w:rPr>
          <w:rFonts w:hint="eastAsia" w:ascii="宋体" w:hAnsi="宋体" w:cs="宋体"/>
          <w:color w:val="000000"/>
          <w:sz w:val="24"/>
          <w:szCs w:val="24"/>
          <w:highlight w:val="none"/>
        </w:rPr>
      </w:r>
      <w:r/>
    </w:p>
    <w:p>
      <w:pPr>
        <w:pStyle w:val="84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乙方（中标供应商）：</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一、采购项目名称：</w:t>
      </w:r>
      <w:r>
        <w:rPr>
          <w:rFonts w:hint="eastAsia" w:ascii="宋体" w:hAnsi="宋体" w:cs="宋体"/>
          <w:color w:val="000000"/>
          <w:sz w:val="24"/>
          <w:szCs w:val="24"/>
          <w:highlight w:val="none"/>
          <w:u w:val="single"/>
        </w:rPr>
        <w:t xml:space="preserve">无锡市精神卫生中心（无锡市中心康复医院）2026-2027年度安保服务项目</w:t>
      </w:r>
      <w:r>
        <w:rPr>
          <w:rFonts w:hint="eastAsia" w:ascii="宋体" w:hAnsi="宋体" w:cs="宋体"/>
          <w:color w:val="000000"/>
          <w:sz w:val="24"/>
          <w:szCs w:val="24"/>
          <w:highlight w:val="none"/>
          <w:u w:val="single"/>
        </w:rPr>
      </w:r>
      <w:r/>
    </w:p>
    <w:p>
      <w:pPr>
        <w:pStyle w:val="843"/>
        <w:ind w:firstLine="480"/>
        <w:spacing w:line="360" w:lineRule="auto"/>
        <w:rPr>
          <w:rFonts w:hint="eastAsia" w:ascii="宋体" w:hAnsi="宋体" w:cs="宋体"/>
          <w:color w:val="000000"/>
          <w:sz w:val="24"/>
          <w:szCs w:val="24"/>
          <w:highlight w:val="none"/>
          <w:u w:val="single"/>
          <w:lang w:val="en-US" w:eastAsia="zh-CN"/>
        </w:rPr>
      </w:pPr>
      <w:r>
        <w:rPr>
          <w:rFonts w:hint="eastAsia" w:ascii="宋体" w:hAnsi="宋体" w:cs="宋体"/>
          <w:color w:val="000000"/>
          <w:sz w:val="24"/>
          <w:szCs w:val="24"/>
          <w:highlight w:val="none"/>
        </w:rPr>
        <w:t xml:space="preserve">二、项目编号：</w:t>
      </w:r>
      <w:r>
        <w:rPr>
          <w:rFonts w:hint="eastAsia" w:ascii="宋体" w:hAnsi="宋体" w:cs="宋体"/>
          <w:color w:val="000000"/>
          <w:sz w:val="24"/>
          <w:szCs w:val="24"/>
          <w:highlight w:val="none"/>
          <w:u w:val="single"/>
        </w:rPr>
        <w:t xml:space="preserve">JSZC-32020</w:t>
      </w:r>
      <w:r>
        <w:rPr>
          <w:rFonts w:hint="eastAsia" w:ascii="宋体" w:hAnsi="宋体" w:cs="宋体"/>
          <w:color w:val="000000"/>
          <w:sz w:val="24"/>
          <w:szCs w:val="24"/>
          <w:highlight w:val="none"/>
          <w:u w:val="single"/>
          <w:lang w:val="en-US" w:eastAsia="zh-CN"/>
        </w:rPr>
        <w:t xml:space="preserve">0</w:t>
      </w:r>
      <w:r>
        <w:rPr>
          <w:rFonts w:hint="eastAsia" w:ascii="宋体" w:hAnsi="宋体" w:cs="宋体"/>
          <w:color w:val="000000"/>
          <w:sz w:val="24"/>
          <w:szCs w:val="24"/>
          <w:highlight w:val="none"/>
          <w:u w:val="single"/>
        </w:rPr>
        <w:t xml:space="preserve">-BJJZ-G2025-00</w:t>
      </w:r>
      <w:r>
        <w:rPr>
          <w:rFonts w:hint="eastAsia" w:ascii="宋体" w:hAnsi="宋体" w:cs="宋体"/>
          <w:color w:val="000000"/>
          <w:sz w:val="24"/>
          <w:szCs w:val="24"/>
          <w:highlight w:val="none"/>
          <w:u w:val="single"/>
          <w:lang w:val="en-US" w:eastAsia="zh-CN"/>
        </w:rPr>
        <w:t xml:space="preserve">48</w:t>
      </w:r>
      <w:r>
        <w:rPr>
          <w:rFonts w:hint="eastAsia" w:ascii="宋体" w:hAnsi="宋体" w:cs="宋体"/>
          <w:color w:val="000000"/>
          <w:sz w:val="24"/>
          <w:szCs w:val="24"/>
          <w:highlight w:val="none"/>
          <w:u w:val="single"/>
          <w:lang w:val="en-US" w:eastAsia="zh-CN"/>
        </w:rPr>
      </w:r>
      <w:r/>
    </w:p>
    <w:p>
      <w:pPr>
        <w:pStyle w:val="843"/>
        <w:ind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三、项目内容：</w:t>
      </w:r>
      <w:r>
        <w:rPr>
          <w:rFonts w:hint="eastAsia" w:ascii="宋体" w:hAnsi="宋体" w:cs="宋体"/>
          <w:color w:val="000000"/>
          <w:sz w:val="24"/>
          <w:szCs w:val="24"/>
          <w:highlight w:val="none"/>
          <w:u w:val="single"/>
        </w:rPr>
        <w:t xml:space="preserve">无锡市精神卫生中心（无锡市中心康复医院）2026-2027年度安保服务，具体内容详见招标文件三、采购需求；</w:t>
      </w:r>
      <w:r>
        <w:rPr>
          <w:rFonts w:hint="eastAsia" w:ascii="宋体" w:hAnsi="宋体" w:cs="宋体"/>
          <w:color w:val="000000"/>
          <w:sz w:val="24"/>
          <w:szCs w:val="24"/>
          <w:highlight w:val="none"/>
          <w:u w:val="single"/>
        </w:rPr>
      </w:r>
      <w:r/>
    </w:p>
    <w:p>
      <w:pPr>
        <w:pStyle w:val="843"/>
        <w:ind w:firstLine="480"/>
        <w:spacing w:line="360" w:lineRule="auto"/>
        <w:rPr>
          <w:rFonts w:ascii="宋体" w:hAnsi="宋体" w:eastAsia="宋体" w:cs="宋体"/>
          <w:color w:val="000000"/>
          <w:sz w:val="24"/>
          <w:szCs w:val="24"/>
          <w:highlight w:val="none"/>
          <w:u w:val="single"/>
          <w:lang w:val="en-US" w:eastAsia="zh-CN"/>
        </w:rPr>
      </w:pPr>
      <w:r>
        <w:rPr>
          <w:rFonts w:hint="eastAsia" w:ascii="宋体" w:hAnsi="宋体" w:cs="宋体"/>
          <w:color w:val="000000"/>
          <w:sz w:val="24"/>
          <w:szCs w:val="24"/>
          <w:highlight w:val="none"/>
        </w:rPr>
        <w:t xml:space="preserve">四、中标总金额：</w:t>
      </w:r>
      <w:r>
        <w:rPr>
          <w:rFonts w:hint="eastAsia" w:ascii="宋体" w:hAnsi="宋体" w:cs="宋体"/>
          <w:color w:val="000000"/>
          <w:sz w:val="24"/>
          <w:szCs w:val="24"/>
          <w:highlight w:val="none"/>
          <w:u w:val="single"/>
        </w:rPr>
        <w:t xml:space="preserve">（大写）</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；（小写）</w:t>
      </w:r>
      <w:r>
        <w:rPr>
          <w:rFonts w:hint="eastAsia" w:ascii="宋体" w:hAnsi="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u w:val="single"/>
          <w:lang w:val="en-US" w:eastAsia="zh-CN"/>
        </w:rPr>
      </w:r>
      <w:r/>
    </w:p>
    <w:p>
      <w:pPr>
        <w:pStyle w:val="843"/>
        <w:ind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五、服务要求及验收标准：</w:t>
      </w:r>
      <w:r>
        <w:rPr>
          <w:rFonts w:hint="eastAsia" w:ascii="宋体" w:hAnsi="宋体" w:cs="宋体"/>
          <w:color w:val="000000"/>
          <w:sz w:val="24"/>
          <w:szCs w:val="24"/>
          <w:highlight w:val="none"/>
          <w:u w:val="single"/>
        </w:rPr>
        <w:t xml:space="preserve">满足采购文件及采购人需求</w:t>
      </w:r>
      <w:r>
        <w:rPr>
          <w:rFonts w:hint="eastAsia" w:ascii="宋体" w:hAnsi="宋体" w:cs="宋体"/>
          <w:color w:val="000000"/>
          <w:sz w:val="24"/>
          <w:szCs w:val="24"/>
          <w:highlight w:val="none"/>
          <w:u w:val="single"/>
        </w:rPr>
      </w:r>
      <w:r/>
    </w:p>
    <w:p>
      <w:pPr>
        <w:pStyle w:val="843"/>
        <w:ind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六、服务期：</w:t>
      </w:r>
      <w:r>
        <w:rPr>
          <w:rFonts w:hint="eastAsia" w:ascii="宋体" w:hAnsi="宋体" w:cs="宋体"/>
          <w:color w:val="000000"/>
          <w:sz w:val="24"/>
          <w:szCs w:val="24"/>
          <w:highlight w:val="none"/>
          <w:u w:val="single"/>
        </w:rPr>
        <w:t xml:space="preserve">签订合同之日起2年</w:t>
      </w:r>
      <w:r>
        <w:rPr>
          <w:rFonts w:hint="eastAsia" w:ascii="宋体" w:hAnsi="宋体" w:cs="宋体"/>
          <w:color w:val="000000"/>
          <w:sz w:val="24"/>
          <w:szCs w:val="24"/>
          <w:highlight w:val="none"/>
          <w:u w:val="single"/>
        </w:rPr>
      </w:r>
      <w:r/>
    </w:p>
    <w:p>
      <w:pPr>
        <w:pStyle w:val="843"/>
        <w:ind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七、服务地点和方式：</w:t>
      </w:r>
      <w:r>
        <w:rPr>
          <w:rFonts w:hint="eastAsia" w:ascii="宋体" w:hAnsi="宋体" w:cs="宋体"/>
          <w:color w:val="000000"/>
          <w:sz w:val="24"/>
          <w:szCs w:val="24"/>
          <w:highlight w:val="none"/>
          <w:u w:val="single"/>
        </w:rPr>
        <w:t xml:space="preserve">无锡市钱荣路156号、158号，勤学路28号、槐树巷1号</w:t>
      </w:r>
      <w:r>
        <w:rPr>
          <w:rFonts w:hint="eastAsia" w:ascii="宋体" w:hAnsi="宋体" w:cs="宋体"/>
          <w:color w:val="000000"/>
          <w:sz w:val="24"/>
          <w:szCs w:val="24"/>
          <w:highlight w:val="none"/>
          <w:u w:val="single"/>
        </w:rPr>
      </w:r>
      <w:r/>
    </w:p>
    <w:p>
      <w:pPr>
        <w:pStyle w:val="843"/>
        <w:ind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八、货款支付步骤和办法：</w:t>
      </w:r>
      <w:r>
        <w:rPr>
          <w:rFonts w:hint="eastAsia" w:ascii="宋体" w:hAnsi="宋体" w:cs="宋体"/>
          <w:color w:val="000000"/>
          <w:sz w:val="24"/>
          <w:szCs w:val="24"/>
          <w:highlight w:val="none"/>
          <w:u w:val="single"/>
        </w:rPr>
        <w:t xml:space="preserve">服务费结算与医院满意度调查、安保服务内容与质量标准月度考核（详见附件《安保服务考核细则》）挂钩。经采购人考核后，每月服务费按服务人数按实结算，每月对中标供应商进行一次考核，考核采用百分制。合计总分100分，每月考评。</w:t>
      </w:r>
      <w:r>
        <w:rPr>
          <w:rFonts w:hint="eastAsia" w:ascii="宋体" w:hAnsi="宋体" w:cs="宋体"/>
          <w:color w:val="000000"/>
          <w:sz w:val="24"/>
          <w:szCs w:val="24"/>
          <w:highlight w:val="none"/>
          <w:u w:val="single"/>
        </w:rPr>
        <w:t xml:space="preserve">考核得分95分(含95分)以上不扣服务费，95分以下每下降1个百分点扣除</w:t>
      </w:r>
      <w:r>
        <w:rPr>
          <w:rFonts w:hint="eastAsia" w:ascii="宋体" w:hAnsi="宋体" w:cs="宋体"/>
          <w:color w:val="000000"/>
          <w:sz w:val="24"/>
          <w:szCs w:val="24"/>
          <w:highlight w:val="none"/>
          <w:u w:val="single"/>
          <w:lang w:val="en-US" w:eastAsia="zh-CN"/>
        </w:rPr>
        <w:t xml:space="preserve">5</w:t>
      </w:r>
      <w:r>
        <w:rPr>
          <w:rFonts w:hint="eastAsia" w:ascii="宋体" w:hAnsi="宋体" w:cs="宋体"/>
          <w:color w:val="000000"/>
          <w:sz w:val="24"/>
          <w:szCs w:val="24"/>
          <w:highlight w:val="none"/>
          <w:u w:val="single"/>
        </w:rPr>
        <w:t xml:space="preserve">00元服务费；90分以下每下降1个百分点扣除</w:t>
      </w:r>
      <w:r>
        <w:rPr>
          <w:rFonts w:hint="eastAsia" w:ascii="宋体" w:hAnsi="宋体" w:cs="宋体"/>
          <w:color w:val="000000"/>
          <w:sz w:val="24"/>
          <w:szCs w:val="24"/>
          <w:highlight w:val="none"/>
          <w:u w:val="single"/>
          <w:lang w:val="en-US" w:eastAsia="zh-CN"/>
        </w:rPr>
        <w:t xml:space="preserve">1</w:t>
      </w:r>
      <w:r>
        <w:rPr>
          <w:rFonts w:hint="eastAsia" w:ascii="宋体" w:hAnsi="宋体" w:cs="宋体"/>
          <w:color w:val="000000"/>
          <w:sz w:val="24"/>
          <w:szCs w:val="24"/>
          <w:highlight w:val="none"/>
          <w:u w:val="single"/>
        </w:rPr>
        <w:t xml:space="preserve">000元服务费；85分以下每下降1个百分点扣除</w:t>
      </w:r>
      <w:r>
        <w:rPr>
          <w:rFonts w:hint="eastAsia" w:ascii="宋体" w:hAnsi="宋体" w:cs="宋体"/>
          <w:color w:val="000000"/>
          <w:sz w:val="24"/>
          <w:szCs w:val="24"/>
          <w:highlight w:val="none"/>
          <w:u w:val="single"/>
          <w:lang w:val="en-US" w:eastAsia="zh-CN"/>
        </w:rPr>
        <w:t xml:space="preserve">2</w:t>
      </w:r>
      <w:r>
        <w:rPr>
          <w:rFonts w:hint="eastAsia" w:ascii="宋体" w:hAnsi="宋体" w:cs="宋体"/>
          <w:color w:val="000000"/>
          <w:sz w:val="24"/>
          <w:szCs w:val="24"/>
          <w:highlight w:val="none"/>
          <w:u w:val="single"/>
        </w:rPr>
        <w:t xml:space="preserve">000元服务费。</w:t>
      </w:r>
      <w:r>
        <w:rPr>
          <w:rFonts w:hint="eastAsia" w:ascii="宋体" w:hAnsi="宋体" w:cs="宋体"/>
          <w:color w:val="000000"/>
          <w:sz w:val="24"/>
          <w:szCs w:val="24"/>
          <w:highlight w:val="none"/>
          <w:u w:val="single"/>
        </w:rPr>
        <w:t xml:space="preserve">其他单项考核如院内车辆失窃、未按时发放工资等考核，根据采购需求具体规定分值或扣费数值进行考核；采购需求中单项工作未明确扣分或扣费标准的，视情0.5-3分每事件次予以考核。</w:t>
      </w:r>
      <w:r>
        <w:rPr>
          <w:rFonts w:hint="eastAsia" w:ascii="宋体" w:hAnsi="宋体" w:cs="宋体"/>
          <w:color w:val="000000"/>
          <w:sz w:val="24"/>
          <w:szCs w:val="24"/>
          <w:highlight w:val="none"/>
          <w:u w:val="singl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九、售后服务：</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843"/>
        <w:ind w:firstLine="48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十、解决争议的方式：</w:t>
      </w:r>
      <w:r>
        <w:rPr>
          <w:rFonts w:hint="eastAsia" w:ascii="宋体" w:hAnsi="宋体" w:cs="宋体"/>
          <w:color w:val="000000"/>
          <w:sz w:val="24"/>
          <w:szCs w:val="24"/>
          <w:highlight w:val="none"/>
          <w:u w:val="single"/>
        </w:rPr>
        <w:t xml:space="preserve">详见合同条款</w:t>
      </w:r>
      <w:r>
        <w:rPr>
          <w:rFonts w:ascii="宋体" w:hAnsi="宋体" w:cs="宋体"/>
          <w:color w:val="000000"/>
          <w:sz w:val="24"/>
          <w:szCs w:val="24"/>
          <w:highlight w:val="none"/>
          <w:u w:val="singl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十一、其他事项：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十二、合同不可分割部分：</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招标文件、投标文件、合同条款及中标通知书，中标供应商在报价、评审过程中所作其他有关承诺、声明、书面澄清等均为合同不可分割的部分，与主合同具有同等法律效力。</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十三、合同备案：</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合同一式伍份，供需双方各执贰份，见证方壹份。</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十四、合同生效：</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合同经供需双方代表签字盖章并经招标代理见证后生效。</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需方（招标人）：（盖章）               供方（中标供应商）：（盖章）</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法定（授权）代表人：                   法定（授权）代表人：</w:t>
      </w:r>
      <w:r>
        <w:rPr>
          <w:rFonts w:hint="eastAsia" w:ascii="宋体" w:hAnsi="宋体" w:cs="宋体"/>
          <w:color w:val="000000"/>
          <w:sz w:val="24"/>
          <w:szCs w:val="24"/>
          <w:highlight w:val="none"/>
        </w:rPr>
      </w:r>
      <w:r/>
    </w:p>
    <w:p>
      <w:pPr>
        <w:pStyle w:val="843"/>
        <w:ind w:firstLine="9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  月  日                                 年   月   日</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见证方：北京建智达工程管理股份有限公司（盖章）</w:t>
      </w: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★备注：供需双方必须以本格式文本，按照合同条款拟订合同。</w:t>
      </w:r>
      <w:r>
        <w:rPr>
          <w:rFonts w:hint="eastAsia" w:ascii="宋体" w:hAnsi="宋体" w:cs="宋体"/>
          <w:color w:val="000000"/>
          <w:sz w:val="24"/>
          <w:szCs w:val="24"/>
          <w:highlight w:val="none"/>
        </w:rPr>
      </w:r>
      <w:r/>
    </w:p>
    <w:p>
      <w:pPr>
        <w:pStyle w:val="843"/>
        <w:ind w:firstLine="562"/>
        <w:jc w:val="center"/>
        <w:spacing w:after="120" w:line="360" w:lineRule="auto"/>
        <w:rPr>
          <w:rFonts w:hint="eastAsia" w:ascii="宋体" w:hAnsi="宋体" w:cs="宋体"/>
          <w:b/>
          <w:bCs/>
          <w:color w:val="000000"/>
          <w:sz w:val="28"/>
          <w:szCs w:val="28"/>
          <w:highlight w:val="none"/>
        </w:rPr>
      </w:pPr>
      <w:r/>
      <w:bookmarkStart w:id="70" w:name="_Toc86134314"/>
      <w:r>
        <w:rPr>
          <w:rFonts w:hint="eastAsia" w:ascii="宋体" w:hAnsi="宋体" w:cs="宋体"/>
          <w:b/>
          <w:bCs/>
          <w:color w:val="000000"/>
          <w:sz w:val="28"/>
          <w:szCs w:val="28"/>
          <w:highlight w:val="none"/>
        </w:rPr>
        <w:br w:type="page" w:clear="all"/>
      </w:r>
      <w:r>
        <w:rPr>
          <w:rFonts w:hint="eastAsia" w:ascii="宋体" w:hAnsi="宋体" w:cs="宋体"/>
          <w:b/>
          <w:bCs/>
          <w:color w:val="000000"/>
          <w:sz w:val="28"/>
          <w:szCs w:val="28"/>
          <w:highlight w:val="none"/>
        </w:rPr>
        <w:t xml:space="preserve">合同条款</w:t>
      </w:r>
      <w:bookmarkEnd w:id="70"/>
      <w:r>
        <w:rPr>
          <w:rFonts w:hint="eastAsia" w:ascii="宋体" w:hAnsi="宋体" w:cs="宋体"/>
          <w:b/>
          <w:bCs/>
          <w:color w:val="000000"/>
          <w:sz w:val="28"/>
          <w:szCs w:val="28"/>
          <w:highlight w:val="none"/>
        </w:rPr>
      </w:r>
      <w:r/>
    </w:p>
    <w:p>
      <w:pPr>
        <w:pStyle w:val="843"/>
        <w:ind w:firstLine="482"/>
        <w:keepLines/>
        <w:keepNex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一、项目内容</w:t>
      </w:r>
      <w:r>
        <w:rPr>
          <w:rFonts w:hint="eastAsia" w:ascii="宋体" w:hAnsi="宋体" w:cs="宋体"/>
          <w:b/>
          <w:bCs/>
          <w:color w:val="000000"/>
          <w:sz w:val="24"/>
          <w:szCs w:val="24"/>
          <w:highlight w:val="none"/>
        </w:rPr>
      </w:r>
      <w:r/>
    </w:p>
    <w:p>
      <w:pPr>
        <w:pStyle w:val="843"/>
        <w:ind w:firstLine="480"/>
        <w:spacing w:line="360" w:lineRule="auto"/>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1.1 项目名称：</w:t>
      </w:r>
      <w:r>
        <w:rPr>
          <w:rFonts w:hint="eastAsia" w:ascii="宋体" w:hAnsi="宋体" w:cs="宋体"/>
          <w:bCs/>
          <w:color w:val="000000"/>
          <w:sz w:val="24"/>
          <w:szCs w:val="24"/>
          <w:highlight w:val="none"/>
          <w:u w:val="single"/>
        </w:rPr>
        <w:t xml:space="preserve">无锡市精神卫生中心（无锡市中心康复医院）2026-2027年度安保服务项目</w:t>
      </w:r>
      <w:r>
        <w:rPr>
          <w:rFonts w:hint="eastAsia" w:ascii="宋体" w:hAnsi="宋体" w:cs="宋体"/>
          <w:bCs/>
          <w:color w:val="000000"/>
          <w:sz w:val="24"/>
          <w:szCs w:val="24"/>
          <w:highlight w:val="none"/>
          <w:u w:val="single"/>
        </w:rPr>
      </w:r>
      <w:r/>
    </w:p>
    <w:p>
      <w:pPr>
        <w:pStyle w:val="843"/>
        <w:ind w:firstLine="480"/>
        <w:spacing w:line="360" w:lineRule="auto"/>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1.2服务期限：</w:t>
      </w:r>
      <w:r>
        <w:rPr>
          <w:rFonts w:hint="eastAsia" w:ascii="宋体" w:hAnsi="宋体" w:cs="宋体"/>
          <w:bCs/>
          <w:color w:val="000000"/>
          <w:sz w:val="24"/>
          <w:szCs w:val="24"/>
          <w:highlight w:val="none"/>
          <w:u w:val="single"/>
        </w:rPr>
        <w:t xml:space="preserve">签订合同之日起2年。</w:t>
      </w:r>
      <w:r>
        <w:rPr>
          <w:rFonts w:hint="eastAsia" w:ascii="宋体" w:hAnsi="宋体" w:cs="宋体"/>
          <w:bCs/>
          <w:color w:val="000000"/>
          <w:sz w:val="24"/>
          <w:szCs w:val="24"/>
          <w:highlight w:val="none"/>
          <w:u w:val="single"/>
        </w:rPr>
      </w:r>
      <w:r/>
    </w:p>
    <w:p>
      <w:pPr>
        <w:pStyle w:val="843"/>
        <w:ind w:firstLine="482"/>
        <w:keepLines/>
        <w:keepNex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二、合同金额</w:t>
      </w:r>
      <w:r>
        <w:rPr>
          <w:rFonts w:hint="eastAsia" w:ascii="宋体" w:hAnsi="宋体" w:cs="宋体"/>
          <w:b/>
          <w:bCs/>
          <w:color w:val="000000"/>
          <w:sz w:val="24"/>
          <w:szCs w:val="24"/>
          <w:highlight w:val="none"/>
        </w:rPr>
      </w:r>
      <w:r/>
    </w:p>
    <w:p>
      <w:pPr>
        <w:pStyle w:val="843"/>
        <w:ind w:firstLine="480"/>
        <w:spacing w:line="360" w:lineRule="auto"/>
        <w:tabs>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2.1 本合同价款采用按实结算，经甲方考核后合格、按实际结算后支付款项，结算款不超过合同总价。</w:t>
      </w:r>
      <w:r>
        <w:rPr>
          <w:rFonts w:hint="eastAsia" w:ascii="宋体" w:hAnsi="宋体" w:cs="宋体"/>
          <w:bCs/>
          <w:color w:val="000000"/>
          <w:sz w:val="24"/>
          <w:szCs w:val="24"/>
          <w:highlight w:val="none"/>
        </w:rPr>
      </w:r>
      <w:r/>
    </w:p>
    <w:p>
      <w:pPr>
        <w:pStyle w:val="843"/>
        <w:ind w:firstLine="480"/>
        <w:spacing w:line="360" w:lineRule="auto"/>
        <w:tabs>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该总价为完成本合同范围内所有工作所需的总价款，包括项目所有服务人员的年度工资预算（员工用工应该遵守劳动法相关规定；工资不得低于无锡市最低工资标准)；总价是中标供应商完成本项目采购需求中所有工作内容的全部费用，包含人员工资（加班费、福利、高温补贴、政策性工资调整）、服装费、利润、税费、管理费等一切有关费用。中标供应商需为其所有工作人员购买公众责任险和员工意外保险（保额不低于150万元（如中标供应商有更优惠的承诺，则按承诺为准））。</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总价应包含完成本合同发生的所有含税费用、支付给员工的工资和国家强制缴纳的各种社会保障资金，为所有工作人员购买公众责任险和员工意外保险（保额不低于150万元（如中标供应商有更优惠的承诺，则按承诺为准））以及为完成本合同所有项目可能发生的费用，中标供应商必须提供各单项人员工资组成明细、配置工具、设备明细表，提供各项物耗明细表。合同金额还应考虑招标文件合同专用条款和其他要求条款中注明的相关内容可能产生的费用。</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4、合同金额应充分考虑所有可能影响政策等风险因素，人员工资单价固定，一律不予调整。</w:t>
      </w:r>
      <w:r>
        <w:rPr>
          <w:rFonts w:hint="eastAsia" w:ascii="宋体" w:hAnsi="宋体" w:cs="宋体"/>
          <w:bCs/>
          <w:color w:val="000000"/>
          <w:sz w:val="24"/>
          <w:szCs w:val="24"/>
          <w:highlight w:val="none"/>
        </w:rPr>
      </w:r>
      <w:r/>
    </w:p>
    <w:p>
      <w:pPr>
        <w:pStyle w:val="843"/>
        <w:ind w:firstLine="480"/>
        <w:spacing w:line="360" w:lineRule="auto"/>
        <w:tabs>
          <w:tab w:val="left" w:pos="525"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合同金额还应包括保障该项目服务正常运行应当具有的物资和服务，对项目服务正常运行应当具有的物资和服务理解不一致的以甲方理解为准。中标供应商的任何错漏、优惠不得作为减轻责任、减少服务、增加收费、降低质量的理由。</w:t>
      </w:r>
      <w:r>
        <w:rPr>
          <w:rFonts w:hint="eastAsia" w:ascii="宋体" w:hAnsi="宋体" w:cs="宋体"/>
          <w:bCs/>
          <w:color w:val="000000"/>
          <w:sz w:val="24"/>
          <w:szCs w:val="24"/>
          <w:highlight w:val="none"/>
        </w:rPr>
      </w:r>
      <w:r/>
    </w:p>
    <w:p>
      <w:pPr>
        <w:pStyle w:val="843"/>
        <w:ind w:firstLine="482"/>
        <w:keepLines/>
        <w:keepNex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三、甲方的权利和义务</w:t>
      </w:r>
      <w:r>
        <w:rPr>
          <w:rFonts w:hint="eastAsia" w:ascii="宋体" w:hAnsi="宋体" w:cs="宋体"/>
          <w:b/>
          <w:bCs/>
          <w:color w:val="000000"/>
          <w:sz w:val="24"/>
          <w:szCs w:val="24"/>
          <w:highlight w:val="none"/>
        </w:rPr>
      </w:r>
      <w:r/>
    </w:p>
    <w:p>
      <w:pPr>
        <w:pStyle w:val="843"/>
        <w:ind w:firstLine="480"/>
        <w:spacing w:line="360" w:lineRule="auto"/>
        <w:tabs>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3.1甲方应当主要负责项目所有外部关系的联系与协调，为乙方工作提供良好的外部条件。</w:t>
      </w:r>
      <w:r>
        <w:rPr>
          <w:rFonts w:hint="eastAsia" w:ascii="宋体" w:hAnsi="宋体" w:cs="宋体"/>
          <w:bCs/>
          <w:color w:val="000000"/>
          <w:sz w:val="24"/>
          <w:szCs w:val="24"/>
          <w:highlight w:val="none"/>
        </w:rPr>
      </w:r>
      <w:r/>
    </w:p>
    <w:p>
      <w:pPr>
        <w:pStyle w:val="843"/>
        <w:ind w:firstLine="480"/>
        <w:spacing w:line="360" w:lineRule="auto"/>
        <w:tabs>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3.2甲方应当按双方约定的内容和时间，向乙方提供与项目有关的资料。</w:t>
      </w:r>
      <w:r>
        <w:rPr>
          <w:rFonts w:hint="eastAsia" w:ascii="宋体" w:hAnsi="宋体" w:cs="宋体"/>
          <w:bCs/>
          <w:color w:val="000000"/>
          <w:sz w:val="24"/>
          <w:szCs w:val="24"/>
          <w:highlight w:val="none"/>
        </w:rPr>
      </w:r>
      <w:r/>
    </w:p>
    <w:p>
      <w:pPr>
        <w:pStyle w:val="843"/>
        <w:ind w:firstLine="482"/>
        <w:keepLines/>
        <w:keepNex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四、乙方的责任和义务</w:t>
      </w:r>
      <w:r>
        <w:rPr>
          <w:rFonts w:hint="eastAsia" w:ascii="宋体" w:hAnsi="宋体" w:cs="宋体"/>
          <w:b/>
          <w:bCs/>
          <w:color w:val="000000"/>
          <w:sz w:val="24"/>
          <w:szCs w:val="24"/>
          <w:highlight w:val="none"/>
        </w:rPr>
      </w:r>
      <w:r/>
    </w:p>
    <w:p>
      <w:pPr>
        <w:pStyle w:val="843"/>
        <w:ind w:firstLine="480"/>
        <w:spacing w:line="360" w:lineRule="auto"/>
        <w:tabs>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4.1根据投标文件的承诺组建项目组人员，并确定项目负责人（联系方式；【】）与甲方保持联系、沟通。乙方对乙方项目负责人的授权：行使完成本项目要求的一切权利，在服务过程中乙方代表签收的任何文件均视为有效送达乙方，乙方代表签字认可的协议、补充协议、会议纪要等均视为已获得乙方的合法授权。</w:t>
      </w:r>
      <w:r>
        <w:rPr>
          <w:rFonts w:hint="eastAsia" w:ascii="宋体" w:hAnsi="宋体" w:cs="宋体"/>
          <w:bCs/>
          <w:color w:val="000000"/>
          <w:sz w:val="24"/>
          <w:szCs w:val="24"/>
          <w:highlight w:val="none"/>
        </w:rPr>
      </w:r>
      <w:r/>
    </w:p>
    <w:p>
      <w:pPr>
        <w:pStyle w:val="843"/>
        <w:ind w:firstLine="480"/>
        <w:spacing w:line="360" w:lineRule="auto"/>
        <w:tabs>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4.2乙方在履行本合同义务的期间，应尽心尽责完成所有的工作。</w:t>
      </w:r>
      <w:r>
        <w:rPr>
          <w:rFonts w:hint="eastAsia" w:ascii="宋体" w:hAnsi="宋体" w:cs="宋体"/>
          <w:bCs/>
          <w:color w:val="000000"/>
          <w:sz w:val="24"/>
          <w:szCs w:val="24"/>
          <w:highlight w:val="none"/>
        </w:rPr>
      </w:r>
      <w:r/>
    </w:p>
    <w:p>
      <w:pPr>
        <w:pStyle w:val="843"/>
        <w:ind w:firstLine="480"/>
        <w:spacing w:line="360" w:lineRule="auto"/>
        <w:tabs>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4.3在本合同期内或合同终止后，未征得有关方同意，乙方不得泄露与本项目、本合同有关的技术、资料等，不得以任何形式侵害甲方的知识产权。如乙方提供服务过程中存在侵害第三方知识产权的，承担全部赔偿责任，如甲方不得已先行承担的，有权向乙方追偿。</w:t>
      </w:r>
      <w:r>
        <w:rPr>
          <w:rFonts w:hint="eastAsia" w:ascii="宋体" w:hAnsi="宋体" w:cs="宋体"/>
          <w:bCs/>
          <w:color w:val="000000"/>
          <w:sz w:val="24"/>
          <w:szCs w:val="24"/>
          <w:highlight w:val="none"/>
        </w:rPr>
      </w:r>
      <w:r/>
    </w:p>
    <w:p>
      <w:pPr>
        <w:pStyle w:val="843"/>
        <w:ind w:firstLine="480"/>
        <w:spacing w:line="360" w:lineRule="auto"/>
        <w:tabs>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4.4乙方负责处理好与相关项目实施单位的协调工作。</w:t>
      </w:r>
      <w:r>
        <w:rPr>
          <w:rFonts w:hint="eastAsia" w:ascii="宋体" w:hAnsi="宋体" w:cs="宋体"/>
          <w:bCs/>
          <w:color w:val="000000"/>
          <w:sz w:val="24"/>
          <w:szCs w:val="24"/>
          <w:highlight w:val="none"/>
        </w:rPr>
      </w:r>
      <w:r/>
    </w:p>
    <w:p>
      <w:pPr>
        <w:pStyle w:val="843"/>
        <w:ind w:firstLine="480"/>
        <w:spacing w:line="360" w:lineRule="auto"/>
        <w:tabs>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4.5如上级主管部门或招标人认为需要进行方案调整，乙方应配合执行。</w:t>
      </w:r>
      <w:r>
        <w:rPr>
          <w:rFonts w:hint="eastAsia" w:ascii="宋体" w:hAnsi="宋体" w:cs="宋体"/>
          <w:bCs/>
          <w:color w:val="000000"/>
          <w:sz w:val="24"/>
          <w:szCs w:val="24"/>
          <w:highlight w:val="none"/>
        </w:rPr>
      </w:r>
      <w:r/>
    </w:p>
    <w:p>
      <w:pPr>
        <w:pStyle w:val="843"/>
        <w:ind w:firstLine="480"/>
        <w:spacing w:line="360" w:lineRule="auto"/>
        <w:tabs>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4.6乙方严格执行有关活动现场管理的规定。</w:t>
      </w:r>
      <w:r>
        <w:rPr>
          <w:rFonts w:hint="eastAsia" w:ascii="宋体" w:hAnsi="宋体" w:cs="宋体"/>
          <w:bCs/>
          <w:color w:val="000000"/>
          <w:sz w:val="24"/>
          <w:szCs w:val="24"/>
          <w:highlight w:val="none"/>
        </w:rPr>
      </w:r>
      <w:r/>
    </w:p>
    <w:p>
      <w:pPr>
        <w:pStyle w:val="843"/>
        <w:ind w:firstLine="480"/>
        <w:spacing w:line="360" w:lineRule="auto"/>
        <w:tabs>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4.7乙方负责采购项目所需的所有材料、设备、设施，并应保证产品质量合格。保管费用由乙方自行承担。</w:t>
      </w:r>
      <w:r>
        <w:rPr>
          <w:rFonts w:hint="eastAsia" w:ascii="宋体" w:hAnsi="宋体" w:cs="宋体"/>
          <w:bCs/>
          <w:color w:val="000000"/>
          <w:sz w:val="24"/>
          <w:szCs w:val="24"/>
          <w:highlight w:val="none"/>
        </w:rPr>
      </w:r>
      <w:r/>
    </w:p>
    <w:p>
      <w:pPr>
        <w:pStyle w:val="843"/>
        <w:ind w:firstLine="480"/>
        <w:spacing w:line="360" w:lineRule="auto"/>
        <w:tabs>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4.8活动期间，乙方应加强安全管理，有责任教育所有人员遵纪守法、严格执行操作规程、文明安全、防火防盗，不发生人身伤亡和火灾等事故，并应参加人身保险，活动中发生的质量、安全、人身伤亡等事故其责任和经济损失均由乙方负责，且不得因此影响活动进度。</w:t>
      </w:r>
      <w:r>
        <w:rPr>
          <w:rFonts w:hint="eastAsia" w:ascii="宋体" w:hAnsi="宋体" w:cs="宋体"/>
          <w:bCs/>
          <w:color w:val="000000"/>
          <w:sz w:val="24"/>
          <w:szCs w:val="24"/>
          <w:highlight w:val="none"/>
        </w:rPr>
      </w:r>
      <w:r/>
    </w:p>
    <w:p>
      <w:pPr>
        <w:pStyle w:val="843"/>
        <w:ind w:firstLine="480"/>
        <w:spacing w:line="360" w:lineRule="auto"/>
        <w:tabs>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4.9乙方应与其工作人员建立合法的用工关系，不得使用社会闲、散、游及身份不明的人员，所有人员凭身份证造册登记，入场工作时应佩戴工作凭证，因乙方工作人员与乙方发生用工纠纷或工作人员发生人身、财产损害的，均由乙方负责处理并承担由此产生的全部责任。如因此导致甲方承担责任的，由此给甲方造成的损失全部由乙方承担。</w:t>
      </w:r>
      <w:r>
        <w:rPr>
          <w:rFonts w:hint="eastAsia" w:ascii="宋体" w:hAnsi="宋体" w:cs="宋体"/>
          <w:bCs/>
          <w:color w:val="000000"/>
          <w:sz w:val="24"/>
          <w:szCs w:val="24"/>
          <w:highlight w:val="none"/>
        </w:rPr>
      </w:r>
      <w:r/>
    </w:p>
    <w:p>
      <w:pPr>
        <w:pStyle w:val="843"/>
        <w:ind w:firstLine="480"/>
        <w:spacing w:line="360" w:lineRule="auto"/>
        <w:tabs>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4.10未经甲方书面同意，乙方不得将本项目进行转包或分包。</w:t>
      </w:r>
      <w:r>
        <w:rPr>
          <w:rFonts w:hint="eastAsia" w:ascii="宋体" w:hAnsi="宋体" w:cs="宋体"/>
          <w:bCs/>
          <w:color w:val="000000"/>
          <w:sz w:val="24"/>
          <w:szCs w:val="24"/>
          <w:highlight w:val="none"/>
        </w:rPr>
      </w:r>
      <w:r/>
    </w:p>
    <w:p>
      <w:pPr>
        <w:pStyle w:val="843"/>
        <w:ind w:firstLine="480"/>
        <w:spacing w:line="360" w:lineRule="auto"/>
        <w:tabs>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4.11乙方应保证其按照本合同约定履行义务，不存在违反中国的相关法律、法规或者侵犯第三方的知识产权、在先权利或其他权益。如乙方违反本条款的，由乙方负责处理并承担由此产生的责任；如果因此给甲方造成损失的，乙方还应当赔偿由此给甲方造成的全部损失。</w:t>
      </w:r>
      <w:r>
        <w:rPr>
          <w:rFonts w:hint="eastAsia" w:ascii="宋体" w:hAnsi="宋体" w:cs="宋体"/>
          <w:bCs/>
          <w:color w:val="000000"/>
          <w:sz w:val="24"/>
          <w:szCs w:val="24"/>
          <w:highlight w:val="none"/>
        </w:rPr>
      </w:r>
      <w:r/>
    </w:p>
    <w:p>
      <w:pPr>
        <w:pStyle w:val="843"/>
        <w:ind w:firstLine="482"/>
        <w:keepLines/>
        <w:keepNex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五、付款方式</w:t>
      </w:r>
      <w:r>
        <w:rPr>
          <w:rFonts w:hint="eastAsia" w:ascii="宋体" w:hAnsi="宋体" w:cs="宋体"/>
          <w:b/>
          <w:bCs/>
          <w:color w:val="000000"/>
          <w:sz w:val="24"/>
          <w:szCs w:val="24"/>
          <w:highlight w:val="none"/>
        </w:rPr>
      </w:r>
      <w:r/>
    </w:p>
    <w:p>
      <w:pPr>
        <w:pStyle w:val="843"/>
        <w:ind w:firstLine="480"/>
        <w:spacing w:line="360" w:lineRule="auto"/>
        <w:tabs>
          <w:tab w:val="left" w:pos="1365" w:leader="none"/>
        </w:tabs>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服务费结算与医院满意度调查、安保服务内容与质量标准月度考核（详见附件3《安保服务考核细则》）挂钩。经采购人考核后，每月服务费按服务人数按实结算，每月对中标供应商进行一次考核，考核采用百分制。合计总分100分，每月考评。</w:t>
      </w:r>
      <w:r>
        <w:rPr>
          <w:rFonts w:hint="eastAsia" w:ascii="宋体" w:hAnsi="宋体" w:cs="宋体"/>
          <w:color w:val="000000"/>
          <w:sz w:val="24"/>
          <w:szCs w:val="24"/>
          <w:highlight w:val="none"/>
        </w:rPr>
        <w:t xml:space="preserve">考核得分95分(含95分)以上不扣服务费，95分以下每下降1个百分点扣除</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00元服务费；90分以下每下降1个百分点扣除</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000元服务费；85分以下每下降1个百分点扣除</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000元服务费。</w:t>
      </w:r>
      <w:r>
        <w:rPr>
          <w:rFonts w:hint="eastAsia" w:ascii="宋体" w:hAnsi="宋体" w:cs="宋体"/>
          <w:color w:val="000000"/>
          <w:sz w:val="24"/>
          <w:szCs w:val="24"/>
          <w:highlight w:val="none"/>
        </w:rPr>
        <w:t xml:space="preserve">其他单项考核如院内车辆失窃、未按时发放工资等考核，根据采购需求具体规定分值或扣费数值进行考核；采购需求中单项工作未明确扣分或扣费标准的，视情0.5-3分每事件次予以考核。</w:t>
      </w:r>
      <w:r>
        <w:rPr>
          <w:rFonts w:hint="eastAsia" w:ascii="宋体" w:hAnsi="宋体" w:cs="宋体"/>
          <w:bCs/>
          <w:color w:val="000000"/>
          <w:sz w:val="24"/>
          <w:szCs w:val="24"/>
          <w:highlight w:val="none"/>
        </w:rPr>
      </w:r>
      <w:r/>
    </w:p>
    <w:p>
      <w:pPr>
        <w:pStyle w:val="843"/>
        <w:ind w:firstLine="482"/>
        <w:keepLines/>
        <w:keepNex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六、违约责任</w:t>
      </w:r>
      <w:r>
        <w:rPr>
          <w:rFonts w:hint="eastAsia" w:ascii="宋体" w:hAnsi="宋体" w:cs="宋体"/>
          <w:b/>
          <w:bCs/>
          <w:color w:val="000000"/>
          <w:sz w:val="24"/>
          <w:szCs w:val="24"/>
          <w:highlight w:val="none"/>
        </w:rPr>
      </w:r>
      <w:r/>
    </w:p>
    <w:p>
      <w:pPr>
        <w:pStyle w:val="843"/>
        <w:ind w:firstLine="480"/>
        <w:spacing w:line="360" w:lineRule="auto"/>
        <w:tabs>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6.1乙方未能按约定的时间完成合同约定的工作，应全额退还甲方已付费用，并按签约合同价的10％的标准向甲方支付违约金。如违约金不足以弥补甲方损失的，乙方还需对损失全额赔偿。</w:t>
      </w:r>
      <w:r>
        <w:rPr>
          <w:rFonts w:hint="eastAsia" w:ascii="宋体" w:hAnsi="宋体" w:cs="宋体"/>
          <w:bCs/>
          <w:color w:val="000000"/>
          <w:sz w:val="24"/>
          <w:szCs w:val="24"/>
          <w:highlight w:val="none"/>
        </w:rPr>
      </w:r>
      <w:r/>
    </w:p>
    <w:p>
      <w:pPr>
        <w:pStyle w:val="843"/>
        <w:ind w:firstLine="480"/>
        <w:spacing w:line="360" w:lineRule="auto"/>
        <w:tabs>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6.2因乙方原因导致甲方项目无法正常开展的，甲方有权解除合同，乙方应向甲方支付签约合同价20%的违约金。</w:t>
      </w:r>
      <w:r>
        <w:rPr>
          <w:rFonts w:hint="eastAsia" w:ascii="宋体" w:hAnsi="宋体" w:cs="宋体"/>
          <w:bCs/>
          <w:color w:val="000000"/>
          <w:sz w:val="24"/>
          <w:szCs w:val="24"/>
          <w:highlight w:val="none"/>
        </w:rPr>
      </w:r>
      <w:r/>
    </w:p>
    <w:p>
      <w:pPr>
        <w:pStyle w:val="843"/>
        <w:ind w:firstLine="480"/>
        <w:spacing w:line="360" w:lineRule="auto"/>
        <w:tabs>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6.3因质量的原因给甲方和/或第三方造成人身损害或财产的损失的，乙方应负责全额赔偿，如导致甲方承担责任的，由此给甲方造成的损失全部由乙方承担。</w:t>
      </w:r>
      <w:r>
        <w:rPr>
          <w:rFonts w:hint="eastAsia" w:ascii="宋体" w:hAnsi="宋体" w:cs="宋体"/>
          <w:bCs/>
          <w:color w:val="000000"/>
          <w:sz w:val="24"/>
          <w:szCs w:val="24"/>
          <w:highlight w:val="none"/>
        </w:rPr>
      </w:r>
      <w:r/>
    </w:p>
    <w:p>
      <w:pPr>
        <w:pStyle w:val="843"/>
        <w:ind w:firstLine="480"/>
        <w:spacing w:line="360" w:lineRule="auto"/>
        <w:tabs>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6.4乙方违反合同约定采购和使用不合格的材料的，乙方需向甲方支付违约金10000元/次，且需更换符合要求且合格的材料和设备，若因此造成活动延误的，责任由乙方承担。</w:t>
      </w:r>
      <w:r>
        <w:rPr>
          <w:rFonts w:hint="eastAsia" w:ascii="宋体" w:hAnsi="宋体" w:cs="宋体"/>
          <w:bCs/>
          <w:color w:val="000000"/>
          <w:sz w:val="24"/>
          <w:szCs w:val="24"/>
          <w:highlight w:val="none"/>
        </w:rPr>
      </w:r>
      <w:r/>
    </w:p>
    <w:p>
      <w:pPr>
        <w:pStyle w:val="843"/>
        <w:ind w:firstLine="480"/>
        <w:spacing w:line="360" w:lineRule="auto"/>
        <w:tabs>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6.5如乙方擅自终止或解除合同，乙方应退还甲方已支付的全部费用，同时向甲方支付相当于签约合同价20%的违约金，就已施工部分，乙方同意不向甲方要求补偿。</w:t>
      </w:r>
      <w:r>
        <w:rPr>
          <w:rFonts w:hint="eastAsia" w:ascii="宋体" w:hAnsi="宋体" w:cs="宋体"/>
          <w:bCs/>
          <w:color w:val="000000"/>
          <w:sz w:val="24"/>
          <w:szCs w:val="24"/>
          <w:highlight w:val="none"/>
        </w:rPr>
      </w:r>
      <w:r/>
    </w:p>
    <w:p>
      <w:pPr>
        <w:pStyle w:val="843"/>
        <w:ind w:firstLine="480"/>
        <w:spacing w:line="360" w:lineRule="auto"/>
        <w:tabs>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6.6乙方擅自将本项目转包或分包的，甲方有权解除合同，乙方除应向甲方退还甲方支付的全部费用外，还应向甲方支付签约合同价20%的违约金。</w:t>
      </w:r>
      <w:r>
        <w:rPr>
          <w:rFonts w:hint="eastAsia" w:ascii="宋体" w:hAnsi="宋体" w:cs="宋体"/>
          <w:bCs/>
          <w:color w:val="000000"/>
          <w:sz w:val="24"/>
          <w:szCs w:val="24"/>
          <w:highlight w:val="none"/>
        </w:rPr>
      </w:r>
      <w:r/>
    </w:p>
    <w:p>
      <w:pPr>
        <w:pStyle w:val="843"/>
        <w:ind w:firstLine="480"/>
        <w:spacing w:line="360" w:lineRule="auto"/>
        <w:tabs>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6.7乙方依据本合同需要向甲方支付违约金的情形下，若乙方支付的违约金不足以弥补甲方损失（包括但不限于甲方对第三方作出的赔偿、甲方的直接损失、间接损失），甲方还有权要求乙方承担赔偿责任。</w:t>
      </w:r>
      <w:r>
        <w:rPr>
          <w:rFonts w:hint="eastAsia" w:ascii="宋体" w:hAnsi="宋体" w:cs="宋体"/>
          <w:bCs/>
          <w:color w:val="000000"/>
          <w:sz w:val="24"/>
          <w:szCs w:val="24"/>
          <w:highlight w:val="none"/>
        </w:rPr>
      </w:r>
      <w:r/>
    </w:p>
    <w:p>
      <w:pPr>
        <w:pStyle w:val="843"/>
        <w:ind w:firstLine="480"/>
        <w:spacing w:line="360" w:lineRule="auto"/>
        <w:tabs>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6.8因乙方违约给甲方造成损害的，甲方为主张、维护其合法权利而产生的一切费用（包括但不限于诉讼费、仲裁费、律师费、财产保全费、财产保全担保费、差旅费、评估费、公证费、公告费等）均由乙方承担。</w:t>
      </w:r>
      <w:r>
        <w:rPr>
          <w:rFonts w:hint="eastAsia" w:ascii="宋体" w:hAnsi="宋体" w:cs="宋体"/>
          <w:bCs/>
          <w:color w:val="000000"/>
          <w:sz w:val="24"/>
          <w:szCs w:val="24"/>
          <w:highlight w:val="none"/>
        </w:rPr>
      </w:r>
      <w:r/>
    </w:p>
    <w:p>
      <w:pPr>
        <w:pStyle w:val="843"/>
        <w:ind w:firstLine="480"/>
        <w:spacing w:line="360" w:lineRule="auto"/>
        <w:tabs>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6.9如出现以下情况之一，采购人有权解除合同，并追究中标供应商的违约责任：</w:t>
      </w:r>
      <w:r>
        <w:rPr>
          <w:rFonts w:hint="eastAsia" w:ascii="宋体" w:hAnsi="宋体" w:cs="宋体"/>
          <w:bCs/>
          <w:color w:val="000000"/>
          <w:sz w:val="24"/>
          <w:szCs w:val="24"/>
          <w:highlight w:val="none"/>
        </w:rPr>
      </w:r>
      <w:r/>
    </w:p>
    <w:p>
      <w:pPr>
        <w:pStyle w:val="843"/>
        <w:ind w:firstLine="480"/>
        <w:spacing w:line="360" w:lineRule="auto"/>
        <w:tabs>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未经采购人确认同意的员工流失率连续三个月大于等于5%；2、员工最低工资低于无锡市最低工资标准，且经敦促后拒不调整、补发；3、连续三个月考核得分低于80分的。发生前述合同终止情形的，采购人有权终止合同，且不承担任何违约责任。考虑到采购人的特殊性质，采购人可以要求原供应商继续服务，在采购人签订新的保安合同后，原供应商按要求撤场（此种情形，原供应商最后一个月应结算费用按60%结算，继续服务的费用按照投标应结算费用的70%结算，原供应商撤场后可退回50%履约保证金）。</w:t>
      </w:r>
      <w:r>
        <w:rPr>
          <w:rFonts w:hint="eastAsia" w:ascii="宋体" w:hAnsi="宋体" w:cs="宋体"/>
          <w:bCs/>
          <w:color w:val="000000"/>
          <w:sz w:val="24"/>
          <w:szCs w:val="24"/>
          <w:highlight w:val="none"/>
        </w:rPr>
      </w:r>
      <w:r/>
    </w:p>
    <w:p>
      <w:pPr>
        <w:pStyle w:val="843"/>
        <w:ind w:firstLine="480"/>
        <w:spacing w:line="360" w:lineRule="auto"/>
        <w:tabs>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如原供应商确无法满足采购需求，采购人有权聘请其他保安公司提供临时安保服务、确保院内人身财产安全，原供应商最后一个月应结算费用按60%结算（此种情形，原供应商履约保证金不予退回）。</w:t>
      </w:r>
      <w:r>
        <w:rPr>
          <w:rFonts w:hint="eastAsia" w:ascii="宋体" w:hAnsi="宋体" w:cs="宋体"/>
          <w:bCs/>
          <w:color w:val="000000"/>
          <w:sz w:val="24"/>
          <w:szCs w:val="24"/>
          <w:highlight w:val="none"/>
        </w:rPr>
      </w:r>
      <w:r/>
    </w:p>
    <w:p>
      <w:pPr>
        <w:pStyle w:val="843"/>
        <w:ind w:firstLine="482"/>
        <w:jc w:val="left"/>
        <w:spacing w:line="360" w:lineRule="auto"/>
        <w:widowControl/>
        <w:rPr>
          <w:rFonts w:ascii="宋体" w:hAnsi="宋体"/>
          <w:b/>
          <w:bCs/>
          <w:color w:val="000000"/>
          <w:sz w:val="24"/>
          <w:highlight w:val="none"/>
          <w:lang w:bidi="ar"/>
        </w:rPr>
      </w:pPr>
      <w:r>
        <w:rPr>
          <w:rFonts w:hint="eastAsia" w:ascii="宋体" w:hAnsi="宋体"/>
          <w:b/>
          <w:bCs/>
          <w:color w:val="000000"/>
          <w:sz w:val="24"/>
          <w:highlight w:val="none"/>
          <w:lang w:bidi="ar"/>
        </w:rPr>
        <w:t xml:space="preserve">七、履约验收</w:t>
      </w:r>
      <w:r>
        <w:rPr>
          <w:rFonts w:ascii="宋体" w:hAnsi="宋体"/>
          <w:b/>
          <w:bCs/>
          <w:color w:val="000000"/>
          <w:sz w:val="24"/>
          <w:highlight w:val="none"/>
          <w:lang w:bidi="ar"/>
        </w:rPr>
      </w:r>
      <w:r/>
    </w:p>
    <w:p>
      <w:pPr>
        <w:pStyle w:val="843"/>
        <w:ind w:firstLine="480"/>
        <w:jc w:val="left"/>
        <w:spacing w:line="360" w:lineRule="auto"/>
        <w:widowControl/>
        <w:rPr>
          <w:rFonts w:hint="eastAsia" w:ascii="宋体" w:hAnsi="宋体"/>
          <w:color w:val="000000"/>
          <w:sz w:val="24"/>
          <w:highlight w:val="none"/>
          <w:lang w:bidi="ar"/>
        </w:rPr>
      </w:pPr>
      <w:r>
        <w:rPr>
          <w:rFonts w:hint="eastAsia" w:ascii="宋体" w:hAnsi="宋体"/>
          <w:color w:val="000000"/>
          <w:sz w:val="24"/>
          <w:highlight w:val="none"/>
          <w:lang w:bidi="ar"/>
        </w:rPr>
        <w:t xml:space="preserve">7.1验收组织方式：自行组织</w:t>
      </w:r>
      <w:r>
        <w:rPr>
          <w:rFonts w:hint="eastAsia" w:ascii="宋体" w:hAnsi="宋体"/>
          <w:color w:val="000000"/>
          <w:sz w:val="24"/>
          <w:highlight w:val="none"/>
          <w:lang w:bidi="ar"/>
        </w:rPr>
      </w:r>
      <w:r/>
    </w:p>
    <w:p>
      <w:pPr>
        <w:pStyle w:val="843"/>
        <w:ind w:firstLine="480"/>
        <w:jc w:val="left"/>
        <w:spacing w:line="360" w:lineRule="auto"/>
        <w:widowControl/>
        <w:rPr>
          <w:rFonts w:ascii="宋体" w:hAnsi="宋体"/>
          <w:color w:val="000000"/>
          <w:sz w:val="24"/>
          <w:highlight w:val="none"/>
          <w:lang w:bidi="ar"/>
        </w:rPr>
      </w:pPr>
      <w:r>
        <w:rPr>
          <w:rFonts w:hint="eastAsia" w:ascii="宋体" w:hAnsi="宋体"/>
          <w:color w:val="000000"/>
          <w:sz w:val="24"/>
          <w:highlight w:val="none"/>
          <w:lang w:bidi="ar"/>
        </w:rPr>
        <w:t xml:space="preserve">7.2验收主体：无锡市精神卫生中心</w:t>
      </w:r>
      <w:r>
        <w:rPr>
          <w:rFonts w:ascii="宋体" w:hAnsi="宋体"/>
          <w:color w:val="000000"/>
          <w:sz w:val="24"/>
          <w:highlight w:val="none"/>
          <w:lang w:bidi="ar"/>
        </w:rPr>
      </w:r>
      <w:r/>
    </w:p>
    <w:p>
      <w:pPr>
        <w:pStyle w:val="843"/>
        <w:ind w:firstLine="480"/>
        <w:jc w:val="left"/>
        <w:spacing w:line="360" w:lineRule="auto"/>
        <w:widowControl/>
        <w:rPr>
          <w:rFonts w:hint="eastAsia" w:ascii="宋体" w:hAnsi="宋体"/>
          <w:color w:val="000000"/>
          <w:sz w:val="24"/>
          <w:highlight w:val="none"/>
          <w:lang w:bidi="ar"/>
        </w:rPr>
      </w:pPr>
      <w:r>
        <w:rPr>
          <w:rFonts w:hint="eastAsia" w:ascii="宋体" w:hAnsi="宋体"/>
          <w:color w:val="000000"/>
          <w:sz w:val="24"/>
          <w:highlight w:val="none"/>
          <w:lang w:bidi="ar"/>
        </w:rPr>
        <w:t xml:space="preserve">7.3履约验收时间：  年  月</w:t>
      </w:r>
      <w:r>
        <w:rPr>
          <w:rFonts w:hint="eastAsia" w:ascii="宋体" w:hAnsi="宋体"/>
          <w:color w:val="000000"/>
          <w:sz w:val="24"/>
          <w:highlight w:val="none"/>
          <w:lang w:bidi="ar"/>
        </w:rPr>
      </w:r>
      <w:r/>
    </w:p>
    <w:p>
      <w:pPr>
        <w:pStyle w:val="843"/>
        <w:ind w:firstLine="480"/>
        <w:jc w:val="left"/>
        <w:spacing w:line="360" w:lineRule="auto"/>
        <w:widowControl/>
        <w:rPr>
          <w:rFonts w:hint="eastAsia" w:ascii="宋体" w:hAnsi="宋体"/>
          <w:color w:val="000000"/>
          <w:sz w:val="24"/>
          <w:highlight w:val="none"/>
          <w:lang w:bidi="ar"/>
        </w:rPr>
      </w:pPr>
      <w:r>
        <w:rPr>
          <w:rFonts w:hint="eastAsia" w:ascii="宋体" w:hAnsi="宋体"/>
          <w:color w:val="000000"/>
          <w:sz w:val="24"/>
          <w:highlight w:val="none"/>
          <w:lang w:bidi="ar"/>
        </w:rPr>
        <w:t xml:space="preserve">7.4履约验收方式：一次性验收</w:t>
      </w:r>
      <w:r>
        <w:rPr>
          <w:rFonts w:hint="eastAsia" w:ascii="宋体" w:hAnsi="宋体"/>
          <w:color w:val="000000"/>
          <w:sz w:val="24"/>
          <w:highlight w:val="none"/>
          <w:lang w:bidi="ar"/>
        </w:rPr>
      </w:r>
      <w:r/>
    </w:p>
    <w:p>
      <w:pPr>
        <w:pStyle w:val="843"/>
        <w:ind w:firstLine="480"/>
        <w:jc w:val="left"/>
        <w:spacing w:line="360" w:lineRule="auto"/>
        <w:widowControl/>
        <w:rPr>
          <w:rFonts w:hint="eastAsia" w:ascii="宋体" w:hAnsi="宋体"/>
          <w:color w:val="000000"/>
          <w:sz w:val="24"/>
          <w:highlight w:val="none"/>
          <w:lang w:bidi="ar"/>
        </w:rPr>
      </w:pPr>
      <w:r>
        <w:rPr>
          <w:rFonts w:hint="eastAsia" w:ascii="宋体" w:hAnsi="宋体"/>
          <w:color w:val="000000"/>
          <w:sz w:val="24"/>
          <w:highlight w:val="none"/>
          <w:lang w:bidi="ar"/>
        </w:rPr>
        <w:t xml:space="preserve">7.5履约验收程序：依照《江苏省政府采购履约验收管理办法》（苏财规〔2024〕7号）相关规定执行。</w:t>
      </w:r>
      <w:r>
        <w:rPr>
          <w:rFonts w:hint="eastAsia" w:ascii="宋体" w:hAnsi="宋体"/>
          <w:color w:val="000000"/>
          <w:sz w:val="24"/>
          <w:highlight w:val="none"/>
          <w:lang w:bidi="ar"/>
        </w:rPr>
      </w:r>
      <w:r/>
    </w:p>
    <w:p>
      <w:pPr>
        <w:pStyle w:val="843"/>
        <w:ind w:firstLine="480"/>
        <w:jc w:val="left"/>
        <w:spacing w:line="360" w:lineRule="auto"/>
        <w:widowControl/>
        <w:rPr>
          <w:rFonts w:hint="eastAsia" w:ascii="宋体" w:hAnsi="宋体"/>
          <w:color w:val="000000"/>
          <w:sz w:val="24"/>
          <w:highlight w:val="none"/>
          <w:lang w:bidi="ar"/>
        </w:rPr>
      </w:pPr>
      <w:r>
        <w:rPr>
          <w:rFonts w:hint="eastAsia" w:ascii="宋体" w:hAnsi="宋体"/>
          <w:color w:val="000000"/>
          <w:sz w:val="24"/>
          <w:highlight w:val="none"/>
          <w:lang w:bidi="ar"/>
        </w:rPr>
        <w:t xml:space="preserve">7.6履约验收内容：依照采购文件执行</w:t>
      </w:r>
      <w:r>
        <w:rPr>
          <w:rFonts w:hint="eastAsia" w:ascii="宋体" w:hAnsi="宋体"/>
          <w:color w:val="000000"/>
          <w:sz w:val="24"/>
          <w:highlight w:val="none"/>
          <w:lang w:bidi="ar"/>
        </w:rPr>
      </w:r>
      <w:r/>
    </w:p>
    <w:p>
      <w:pPr>
        <w:pStyle w:val="843"/>
        <w:ind w:firstLine="480"/>
        <w:keepLines/>
        <w:keepNext/>
        <w:spacing w:line="360" w:lineRule="auto"/>
        <w:rPr>
          <w:rFonts w:hint="eastAsia" w:ascii="宋体" w:hAnsi="宋体" w:cs="宋体"/>
          <w:color w:val="000000"/>
          <w:sz w:val="24"/>
          <w:highlight w:val="none"/>
        </w:rPr>
      </w:pPr>
      <w:r>
        <w:rPr>
          <w:rFonts w:hint="eastAsia" w:ascii="宋体" w:hAnsi="宋体"/>
          <w:color w:val="000000"/>
          <w:sz w:val="24"/>
          <w:highlight w:val="none"/>
          <w:lang w:bidi="ar"/>
        </w:rPr>
        <w:t xml:space="preserve">7.7履约验收标准：</w:t>
      </w:r>
      <w:r>
        <w:rPr>
          <w:rFonts w:hint="eastAsia" w:ascii="宋体" w:hAnsi="宋体" w:cs="宋体"/>
          <w:color w:val="000000"/>
          <w:sz w:val="24"/>
          <w:highlight w:val="none"/>
        </w:rPr>
        <w:t xml:space="preserve">合格，符合采购人需求</w:t>
      </w:r>
      <w:r>
        <w:rPr>
          <w:rFonts w:hint="eastAsia" w:ascii="宋体" w:hAnsi="宋体" w:cs="宋体"/>
          <w:color w:val="000000"/>
          <w:sz w:val="24"/>
          <w:highlight w:val="none"/>
        </w:rPr>
      </w:r>
      <w:r/>
    </w:p>
    <w:p>
      <w:pPr>
        <w:pStyle w:val="843"/>
        <w:ind w:left="525"/>
        <w:spacing w:line="360" w:lineRule="auto"/>
        <w:tabs>
          <w:tab w:val="left" w:pos="945" w:leader="none"/>
          <w:tab w:val="left" w:pos="2100" w:leader="none"/>
        </w:tabs>
        <w:rPr>
          <w:rFonts w:ascii="宋体"/>
          <w:bCs/>
          <w:color w:val="000000"/>
          <w:sz w:val="24"/>
          <w:szCs w:val="24"/>
          <w:highlight w:val="none"/>
        </w:rPr>
      </w:pPr>
      <w:r>
        <w:rPr>
          <w:rFonts w:hint="eastAsia" w:ascii="宋体" w:hAnsi="宋体"/>
          <w:bCs/>
          <w:color w:val="000000"/>
          <w:sz w:val="24"/>
          <w:szCs w:val="24"/>
          <w:highlight w:val="none"/>
        </w:rPr>
        <w:t xml:space="preserve">7.8履约保证金的缴纳和退付：</w:t>
      </w:r>
      <w:r>
        <w:rPr>
          <w:rFonts w:ascii="宋体"/>
          <w:bCs/>
          <w:color w:val="000000"/>
          <w:sz w:val="24"/>
          <w:szCs w:val="24"/>
          <w:highlight w:val="none"/>
        </w:rPr>
      </w:r>
      <w:r/>
    </w:p>
    <w:p>
      <w:pPr>
        <w:pStyle w:val="843"/>
        <w:ind w:firstLine="480"/>
        <w:spacing w:line="360" w:lineRule="auto"/>
        <w:tabs>
          <w:tab w:val="left" w:pos="945" w:leader="none"/>
          <w:tab w:val="left" w:pos="21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本项目是/否向采购人缴纳履约保证金：</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843"/>
        <w:ind w:firstLine="480"/>
        <w:spacing w:line="360" w:lineRule="auto"/>
        <w:tabs>
          <w:tab w:val="left" w:pos="945" w:leader="none"/>
          <w:tab w:val="left" w:pos="21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履约保证金缴纳金额：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元。</w:t>
      </w:r>
      <w:r>
        <w:rPr>
          <w:rFonts w:ascii="宋体" w:hAnsi="宋体"/>
          <w:bCs/>
          <w:color w:val="000000"/>
          <w:sz w:val="24"/>
          <w:szCs w:val="24"/>
          <w:highlight w:val="none"/>
        </w:rPr>
      </w:r>
      <w:r/>
    </w:p>
    <w:p>
      <w:pPr>
        <w:pStyle w:val="843"/>
        <w:ind w:firstLine="480"/>
        <w:spacing w:line="360" w:lineRule="auto"/>
        <w:tabs>
          <w:tab w:val="left" w:pos="945" w:leader="none"/>
          <w:tab w:val="left" w:pos="2100" w:leader="none"/>
        </w:tabs>
        <w:rPr>
          <w:rFonts w:ascii="宋体" w:hAnsi="宋体"/>
          <w:bCs/>
          <w:color w:val="000000"/>
          <w:sz w:val="24"/>
          <w:highlight w:val="none"/>
        </w:rPr>
      </w:pPr>
      <w:r>
        <w:rPr>
          <w:rFonts w:hint="eastAsia" w:ascii="宋体" w:hAnsi="宋体"/>
          <w:bCs/>
          <w:color w:val="000000"/>
          <w:sz w:val="24"/>
          <w:szCs w:val="24"/>
          <w:highlight w:val="none"/>
        </w:rPr>
        <w:t xml:space="preserve">履约保证金的缴纳时间：</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，缴纳形式：</w:t>
      </w:r>
      <w:r>
        <w:rPr>
          <w:rFonts w:hint="eastAsia" w:ascii="宋体" w:hAnsi="宋体"/>
          <w:bCs/>
          <w:color w:val="000000"/>
          <w:sz w:val="24"/>
          <w:szCs w:val="24"/>
          <w:highlight w:val="none"/>
          <w:u w:val="single"/>
        </w:rPr>
        <w:t xml:space="preserve">        </w:t>
      </w:r>
      <w:r>
        <w:rPr>
          <w:rFonts w:hint="eastAsia" w:ascii="宋体" w:hAnsi="宋体"/>
          <w:bCs/>
          <w:color w:val="000000"/>
          <w:sz w:val="24"/>
          <w:highlight w:val="none"/>
        </w:rPr>
        <w:t xml:space="preserve">。</w:t>
      </w:r>
      <w:r>
        <w:rPr>
          <w:rFonts w:ascii="宋体" w:hAnsi="宋体"/>
          <w:bCs/>
          <w:color w:val="000000"/>
          <w:sz w:val="24"/>
          <w:highlight w:val="none"/>
        </w:rPr>
      </w:r>
      <w:r/>
    </w:p>
    <w:p>
      <w:pPr>
        <w:pStyle w:val="843"/>
        <w:ind w:firstLine="480"/>
        <w:spacing w:line="360" w:lineRule="auto"/>
        <w:tabs>
          <w:tab w:val="left" w:pos="945" w:leader="none"/>
          <w:tab w:val="left" w:pos="2100" w:leader="none"/>
        </w:tabs>
        <w:rPr>
          <w:rFonts w:ascii="宋体" w:hAnsi="宋体"/>
          <w:bCs/>
          <w:color w:val="000000"/>
          <w:sz w:val="24"/>
          <w:highlight w:val="none"/>
        </w:rPr>
      </w:pPr>
      <w:r>
        <w:rPr>
          <w:rFonts w:hint="eastAsia" w:ascii="宋体" w:hAnsi="宋体"/>
          <w:bCs/>
          <w:color w:val="000000"/>
          <w:sz w:val="24"/>
          <w:szCs w:val="24"/>
          <w:highlight w:val="none"/>
        </w:rPr>
        <w:t xml:space="preserve">履约保证金的退付时间：</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，退付办法：</w:t>
      </w:r>
      <w:r>
        <w:rPr>
          <w:rFonts w:hint="eastAsia" w:ascii="宋体" w:hAnsi="宋体"/>
          <w:bCs/>
          <w:color w:val="000000"/>
          <w:sz w:val="24"/>
          <w:szCs w:val="24"/>
          <w:highlight w:val="none"/>
          <w:u w:val="single"/>
        </w:rPr>
        <w:t xml:space="preserve">        </w:t>
      </w:r>
      <w:r>
        <w:rPr>
          <w:rFonts w:hint="eastAsia" w:ascii="宋体" w:hAnsi="宋体"/>
          <w:bCs/>
          <w:color w:val="000000"/>
          <w:sz w:val="24"/>
          <w:highlight w:val="none"/>
        </w:rPr>
        <w:t xml:space="preserve">。</w:t>
      </w:r>
      <w:r>
        <w:rPr>
          <w:rFonts w:ascii="宋体" w:hAnsi="宋体"/>
          <w:bCs/>
          <w:color w:val="000000"/>
          <w:sz w:val="24"/>
          <w:highlight w:val="none"/>
        </w:rPr>
      </w:r>
      <w:r/>
    </w:p>
    <w:p>
      <w:pPr>
        <w:pStyle w:val="843"/>
        <w:ind w:firstLine="480"/>
        <w:spacing w:line="360" w:lineRule="auto"/>
        <w:tabs>
          <w:tab w:val="left" w:pos="945" w:leader="none"/>
          <w:tab w:val="left" w:pos="2100" w:leader="none"/>
        </w:tabs>
        <w:rPr>
          <w:rFonts w:ascii="宋体" w:hAnsi="宋体"/>
          <w:bCs/>
          <w:color w:val="000000"/>
          <w:sz w:val="24"/>
          <w:highlight w:val="none"/>
        </w:rPr>
      </w:pPr>
      <w:r>
        <w:rPr>
          <w:rFonts w:hint="eastAsia" w:ascii="宋体" w:hAnsi="宋体"/>
          <w:bCs/>
          <w:color w:val="000000"/>
          <w:sz w:val="24"/>
          <w:highlight w:val="none"/>
        </w:rPr>
        <w:t xml:space="preserve">履约保证金不予退还的情形：</w:t>
      </w:r>
      <w:r>
        <w:rPr>
          <w:rFonts w:hint="eastAsia" w:ascii="宋体" w:hAnsi="宋体"/>
          <w:bCs/>
          <w:color w:val="000000"/>
          <w:sz w:val="24"/>
          <w:szCs w:val="24"/>
          <w:highlight w:val="none"/>
          <w:u w:val="single"/>
        </w:rPr>
        <w:t xml:space="preserve">                        </w:t>
      </w:r>
      <w:r>
        <w:rPr>
          <w:rFonts w:hint="eastAsia" w:ascii="宋体" w:hAnsi="宋体"/>
          <w:bCs/>
          <w:color w:val="000000"/>
          <w:sz w:val="24"/>
          <w:highlight w:val="none"/>
        </w:rPr>
        <w:t xml:space="preserve">。</w:t>
      </w:r>
      <w:r>
        <w:rPr>
          <w:rFonts w:ascii="宋体" w:hAnsi="宋体"/>
          <w:bCs/>
          <w:color w:val="000000"/>
          <w:sz w:val="24"/>
          <w:highlight w:val="none"/>
        </w:rPr>
      </w:r>
      <w:r/>
    </w:p>
    <w:p>
      <w:pPr>
        <w:pStyle w:val="843"/>
        <w:ind w:firstLine="480"/>
        <w:spacing w:line="360" w:lineRule="auto"/>
        <w:tabs>
          <w:tab w:val="left" w:pos="945" w:leader="none"/>
          <w:tab w:val="left" w:pos="2100" w:leader="none"/>
        </w:tabs>
        <w:rPr>
          <w:rFonts w:ascii="宋体"/>
          <w:bCs/>
          <w:color w:val="000000"/>
          <w:sz w:val="24"/>
          <w:szCs w:val="24"/>
          <w:highlight w:val="none"/>
        </w:rPr>
      </w:pPr>
      <w:r>
        <w:rPr>
          <w:rFonts w:hint="eastAsia" w:ascii="宋体" w:hAnsi="宋体"/>
          <w:bCs/>
          <w:color w:val="000000"/>
          <w:sz w:val="24"/>
          <w:highlight w:val="none"/>
        </w:rPr>
        <w:t xml:space="preserve">逾期退还履约保证金的违约责任：</w:t>
      </w:r>
      <w:r>
        <w:rPr>
          <w:rFonts w:hint="eastAsia" w:ascii="宋体" w:hAnsi="宋体"/>
          <w:bCs/>
          <w:color w:val="000000"/>
          <w:sz w:val="24"/>
          <w:szCs w:val="24"/>
          <w:highlight w:val="none"/>
          <w:u w:val="single"/>
        </w:rPr>
        <w:t xml:space="preserve">                    </w:t>
      </w:r>
      <w:r>
        <w:rPr>
          <w:rFonts w:hint="eastAsia" w:ascii="宋体" w:hAnsi="宋体"/>
          <w:bCs/>
          <w:color w:val="000000"/>
          <w:sz w:val="24"/>
          <w:highlight w:val="none"/>
        </w:rPr>
        <w:t xml:space="preserve">。</w:t>
      </w:r>
      <w:r>
        <w:rPr>
          <w:rFonts w:ascii="宋体"/>
          <w:bCs/>
          <w:color w:val="000000"/>
          <w:sz w:val="24"/>
          <w:szCs w:val="24"/>
          <w:highlight w:val="none"/>
        </w:rPr>
      </w:r>
      <w:r/>
    </w:p>
    <w:p>
      <w:pPr>
        <w:pStyle w:val="847"/>
        <w:rPr>
          <w:rFonts w:hint="eastAsia"/>
          <w:color w:val="000000"/>
          <w:highlight w:val="none"/>
          <w:lang w:val="en-US" w:eastAsia="zh-CN"/>
        </w:rPr>
      </w:pPr>
      <w:r>
        <w:rPr>
          <w:rFonts w:hint="eastAsia"/>
          <w:color w:val="000000"/>
          <w:highlight w:val="none"/>
          <w:lang w:val="en-US" w:eastAsia="zh-CN"/>
        </w:rPr>
      </w:r>
      <w:r/>
    </w:p>
    <w:p>
      <w:pPr>
        <w:pStyle w:val="843"/>
        <w:ind w:firstLine="482"/>
        <w:keepLines/>
        <w:keepNex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八、不可抗力</w:t>
      </w:r>
      <w:r>
        <w:rPr>
          <w:rFonts w:hint="eastAsia" w:ascii="宋体" w:hAnsi="宋体" w:cs="宋体"/>
          <w:b/>
          <w:bCs/>
          <w:color w:val="000000"/>
          <w:sz w:val="24"/>
          <w:szCs w:val="24"/>
          <w:highlight w:val="none"/>
        </w:rPr>
      </w:r>
      <w:r/>
    </w:p>
    <w:p>
      <w:pPr>
        <w:pStyle w:val="843"/>
        <w:ind w:firstLine="480"/>
        <w:spacing w:line="360" w:lineRule="auto"/>
        <w:tabs>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8.1如遭遇不可抗力事件，甲方应尽快以书面形式将不可抗力的原因和情况通知乙方，乙方应积极采取措施防止损失扩大。甲方有权利因此暂时中止合同，待不可抗力事件消除后再恢复和履行。若不可抗力导致合同无法履行的，甲方有权解除合同，乙方因此造成的实际损失由甲方审计部门审计结果为准。</w:t>
      </w:r>
      <w:r>
        <w:rPr>
          <w:rFonts w:hint="eastAsia" w:ascii="宋体" w:hAnsi="宋体" w:cs="宋体"/>
          <w:bCs/>
          <w:color w:val="000000"/>
          <w:sz w:val="24"/>
          <w:szCs w:val="24"/>
          <w:highlight w:val="none"/>
        </w:rPr>
      </w:r>
      <w:r/>
    </w:p>
    <w:p>
      <w:pPr>
        <w:pStyle w:val="843"/>
        <w:ind w:firstLine="480"/>
        <w:spacing w:line="360" w:lineRule="auto"/>
        <w:tabs>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8.2本合同中所述之“不可抗力”系指不可预见、不可避免、不可克服的事件，包括但不限于：疫情、战争、洪水、台风、地震及其他法律法规规定的事件。</w:t>
      </w:r>
      <w:r>
        <w:rPr>
          <w:rFonts w:hint="eastAsia" w:ascii="宋体" w:hAnsi="宋体" w:cs="宋体"/>
          <w:bCs/>
          <w:color w:val="000000"/>
          <w:sz w:val="24"/>
          <w:szCs w:val="24"/>
          <w:highlight w:val="none"/>
        </w:rPr>
      </w:r>
      <w:r/>
    </w:p>
    <w:p>
      <w:pPr>
        <w:pStyle w:val="843"/>
        <w:ind w:firstLine="482"/>
        <w:keepLines/>
        <w:keepNex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九、争议解决</w:t>
      </w:r>
      <w:r>
        <w:rPr>
          <w:rFonts w:hint="eastAsia" w:ascii="宋体" w:hAnsi="宋体" w:cs="宋体"/>
          <w:b/>
          <w:bCs/>
          <w:color w:val="000000"/>
          <w:sz w:val="24"/>
          <w:szCs w:val="24"/>
          <w:highlight w:val="none"/>
        </w:rPr>
      </w:r>
      <w:r/>
    </w:p>
    <w:p>
      <w:pPr>
        <w:pStyle w:val="843"/>
        <w:ind w:firstLine="480"/>
        <w:spacing w:line="360" w:lineRule="auto"/>
        <w:tabs>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双方在执行合同中所发生的一切争议，应通过协商解决。如协商不成，可向合同签订地法院起诉，合同签订地在此约定为无锡市滨湖区。</w:t>
      </w:r>
      <w:r>
        <w:rPr>
          <w:rFonts w:hint="eastAsia" w:ascii="宋体" w:hAnsi="宋体" w:cs="宋体"/>
          <w:bCs/>
          <w:color w:val="000000"/>
          <w:sz w:val="24"/>
          <w:szCs w:val="24"/>
          <w:highlight w:val="none"/>
        </w:rPr>
      </w:r>
      <w:r/>
    </w:p>
    <w:p>
      <w:pPr>
        <w:pStyle w:val="843"/>
        <w:ind w:firstLine="482"/>
        <w:keepLines/>
        <w:keepNex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十、附则</w:t>
      </w:r>
      <w:r>
        <w:rPr>
          <w:rFonts w:hint="eastAsia" w:ascii="宋体" w:hAnsi="宋体" w:cs="宋体"/>
          <w:b/>
          <w:bCs/>
          <w:color w:val="000000"/>
          <w:sz w:val="24"/>
          <w:szCs w:val="24"/>
          <w:highlight w:val="none"/>
        </w:rPr>
      </w:r>
      <w:r/>
    </w:p>
    <w:p>
      <w:pPr>
        <w:pStyle w:val="843"/>
        <w:ind w:firstLine="480"/>
        <w:spacing w:line="360" w:lineRule="auto"/>
        <w:tabs>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10.1 甲、乙双方对本合同有保密责任。</w:t>
      </w:r>
      <w:r>
        <w:rPr>
          <w:rFonts w:hint="eastAsia" w:ascii="宋体" w:hAnsi="宋体" w:cs="宋体"/>
          <w:bCs/>
          <w:color w:val="000000"/>
          <w:sz w:val="24"/>
          <w:szCs w:val="24"/>
          <w:highlight w:val="none"/>
        </w:rPr>
      </w:r>
      <w:r/>
    </w:p>
    <w:p>
      <w:pPr>
        <w:pStyle w:val="843"/>
        <w:ind w:firstLine="480"/>
        <w:spacing w:line="360" w:lineRule="auto"/>
        <w:tabs>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10.2招标文件、投标文件、合同条款及中标通知书，中标供应商在报价、评审过程中所作其他有关承诺、声明、书面澄清等均为合同不可分割的部分，与主合同具有同等法律效力。</w:t>
      </w:r>
      <w:r>
        <w:rPr>
          <w:rFonts w:hint="eastAsia" w:ascii="宋体" w:hAnsi="宋体" w:cs="宋体"/>
          <w:bCs/>
          <w:color w:val="000000"/>
          <w:sz w:val="24"/>
          <w:szCs w:val="24"/>
          <w:highlight w:val="none"/>
        </w:rPr>
      </w:r>
      <w:r/>
    </w:p>
    <w:p>
      <w:pPr>
        <w:pStyle w:val="84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10.3 本合同条款如对特别情况尚有未说尽事宜，双方可根据具体情况结合有关规定订立补充协议，与本合同具有同等效力。</w:t>
      </w:r>
      <w:r>
        <w:rPr>
          <w:rFonts w:hint="eastAsia" w:ascii="宋体" w:hAnsi="宋体" w:cs="宋体"/>
          <w:color w:val="000000"/>
          <w:sz w:val="24"/>
          <w:szCs w:val="24"/>
          <w:highlight w:val="none"/>
        </w:rPr>
      </w:r>
      <w:r/>
    </w:p>
    <w:p>
      <w:pPr>
        <w:pStyle w:val="843"/>
        <w:spacing w:line="400" w:lineRule="exact"/>
        <w:rPr>
          <w:rFonts w:hint="eastAsia" w:ascii="宋体" w:hAnsi="宋体"/>
          <w:color w:val="000000"/>
          <w:sz w:val="24"/>
          <w:highlight w:val="none"/>
        </w:rPr>
        <w:sectPr>
          <w:footnotePr/>
          <w:endnotePr/>
          <w:type w:val="nextPage"/>
          <w:pgSz w:w="11906" w:h="16838" w:orient="portrait"/>
          <w:pgMar w:top="1440" w:right="1440" w:bottom="1440" w:left="1440" w:header="850" w:footer="992" w:gutter="0"/>
          <w:cols w:num="1" w:sep="0" w:space="1701" w:equalWidth="1"/>
          <w:docGrid w:linePitch="360"/>
        </w:sectPr>
      </w:pPr>
      <w:r>
        <w:rPr>
          <w:rFonts w:hint="eastAsia" w:ascii="宋体" w:hAnsi="宋体"/>
          <w:color w:val="000000"/>
          <w:sz w:val="24"/>
          <w:highlight w:val="none"/>
        </w:rPr>
      </w:r>
      <w:r/>
    </w:p>
    <w:p>
      <w:pPr>
        <w:pStyle w:val="84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附件：</w:t>
      </w:r>
      <w:r>
        <w:rPr>
          <w:rFonts w:ascii="宋体" w:hAnsi="宋体"/>
          <w:color w:val="000000"/>
          <w:sz w:val="24"/>
          <w:highlight w:val="none"/>
        </w:rPr>
      </w:r>
      <w:r/>
    </w:p>
    <w:p>
      <w:pPr>
        <w:pStyle w:val="843"/>
        <w:ind w:firstLine="643"/>
        <w:jc w:val="center"/>
        <w:spacing w:line="400" w:lineRule="exact"/>
        <w:rPr>
          <w:rFonts w:ascii="宋体" w:hAnsi="宋体"/>
          <w:color w:val="000000"/>
          <w:sz w:val="24"/>
          <w:highlight w:val="none"/>
        </w:rPr>
      </w:pPr>
      <w:r>
        <w:rPr>
          <w:rFonts w:hint="eastAsia" w:ascii="宋体" w:hAnsi="宋体" w:cs="宋体"/>
          <w:b/>
          <w:color w:val="000000"/>
          <w:sz w:val="32"/>
          <w:szCs w:val="32"/>
          <w:highlight w:val="none"/>
        </w:rPr>
        <w:t xml:space="preserve">医院安保服务考核细则</w:t>
      </w:r>
      <w:r>
        <w:rPr>
          <w:rFonts w:ascii="宋体" w:hAnsi="宋体"/>
          <w:color w:val="000000"/>
          <w:sz w:val="24"/>
          <w:highlight w:val="none"/>
        </w:rPr>
      </w:r>
      <w:r/>
    </w:p>
    <w:tbl>
      <w:tblPr>
        <w:tblW w:w="125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26"/>
        <w:gridCol w:w="4739"/>
        <w:gridCol w:w="1030"/>
        <w:gridCol w:w="3420"/>
        <w:gridCol w:w="756"/>
        <w:gridCol w:w="1476"/>
      </w:tblGrid>
      <w:tr>
        <w:trPr>
          <w:trHeight w:val="480"/>
        </w:trPr>
        <w:tc>
          <w:tcPr>
            <w:tcBorders>
              <w:top w:val="single" w:color="000000" w:sz="4" w:space="0"/>
              <w:left w:val="single" w:color="000000" w:sz="4" w:space="0"/>
              <w:bottom w:val="single" w:color="000000" w:sz="4" w:space="0"/>
              <w:right w:val="single" w:color="000000" w:sz="4" w:space="0"/>
            </w:tcBorders>
            <w:tcW w:w="1126" w:type="dxa"/>
            <w:vAlign w:val="center"/>
            <w:vMerge w:val="restart"/>
            <w:textDirection w:val="lrTb"/>
            <w:noWrap w:val="false"/>
          </w:tcPr>
          <w:p>
            <w:pPr>
              <w:pStyle w:val="843"/>
              <w:jc w:val="center"/>
              <w:widowControl/>
              <w:rPr>
                <w:rFonts w:ascii="宋体" w:hAnsi="宋体" w:cs="宋体"/>
                <w:b/>
                <w:color w:val="000000"/>
                <w:sz w:val="18"/>
                <w:szCs w:val="18"/>
                <w:highlight w:val="none"/>
              </w:rPr>
            </w:pPr>
            <w:r>
              <w:rPr>
                <w:rFonts w:hint="eastAsia" w:ascii="宋体" w:hAnsi="宋体" w:cs="宋体"/>
                <w:b/>
                <w:color w:val="000000"/>
                <w:sz w:val="18"/>
                <w:szCs w:val="18"/>
                <w:highlight w:val="none"/>
              </w:rPr>
              <w:t xml:space="preserve">分项</w:t>
            </w:r>
            <w:r>
              <w:rPr>
                <w:rFonts w:ascii="宋体" w:hAnsi="宋体" w:cs="宋体"/>
                <w:b/>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vMerge w:val="restart"/>
            <w:textDirection w:val="lrTb"/>
            <w:noWrap/>
          </w:tcPr>
          <w:p>
            <w:pPr>
              <w:pStyle w:val="843"/>
              <w:jc w:val="center"/>
              <w:widowControl/>
              <w:rPr>
                <w:rFonts w:ascii="宋体" w:hAnsi="宋体" w:cs="宋体"/>
                <w:b/>
                <w:color w:val="000000"/>
                <w:sz w:val="18"/>
                <w:szCs w:val="18"/>
                <w:highlight w:val="none"/>
              </w:rPr>
            </w:pPr>
            <w:r>
              <w:rPr>
                <w:rFonts w:hint="eastAsia" w:ascii="宋体" w:hAnsi="宋体" w:cs="宋体"/>
                <w:b/>
                <w:color w:val="000000"/>
                <w:sz w:val="18"/>
                <w:szCs w:val="18"/>
                <w:highlight w:val="none"/>
              </w:rPr>
              <w:t xml:space="preserve">服务质量标准</w:t>
            </w:r>
            <w:r>
              <w:rPr>
                <w:rFonts w:ascii="宋体" w:hAnsi="宋体" w:cs="宋体"/>
                <w:b/>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30" w:type="dxa"/>
            <w:vAlign w:val="center"/>
            <w:vMerge w:val="restart"/>
            <w:textDirection w:val="lrTb"/>
            <w:noWrap w:val="false"/>
          </w:tcPr>
          <w:p>
            <w:pPr>
              <w:pStyle w:val="843"/>
              <w:jc w:val="center"/>
              <w:widowControl/>
              <w:rPr>
                <w:rFonts w:ascii="宋体" w:hAnsi="宋体" w:cs="宋体"/>
                <w:b/>
                <w:color w:val="000000"/>
                <w:sz w:val="18"/>
                <w:szCs w:val="18"/>
                <w:highlight w:val="none"/>
              </w:rPr>
            </w:pPr>
            <w:r>
              <w:rPr>
                <w:rFonts w:hint="eastAsia" w:ascii="宋体" w:hAnsi="宋体" w:cs="宋体"/>
                <w:b/>
                <w:color w:val="000000"/>
                <w:sz w:val="18"/>
                <w:szCs w:val="18"/>
                <w:highlight w:val="none"/>
              </w:rPr>
              <w:t xml:space="preserve">分值</w:t>
            </w:r>
            <w:r>
              <w:rPr>
                <w:rFonts w:ascii="宋体" w:hAnsi="宋体" w:cs="宋体"/>
                <w:b/>
                <w:color w:val="000000"/>
                <w:sz w:val="18"/>
                <w:szCs w:val="18"/>
                <w:highlight w:val="none"/>
              </w:rPr>
            </w:r>
            <w:r/>
          </w:p>
          <w:p>
            <w:pPr>
              <w:pStyle w:val="843"/>
              <w:jc w:val="center"/>
              <w:widowControl/>
              <w:rPr>
                <w:rFonts w:ascii="宋体" w:hAnsi="宋体" w:cs="宋体"/>
                <w:b/>
                <w:color w:val="000000"/>
                <w:sz w:val="18"/>
                <w:szCs w:val="18"/>
                <w:highlight w:val="none"/>
              </w:rPr>
            </w:pPr>
            <w:r>
              <w:rPr>
                <w:rFonts w:hint="eastAsia" w:ascii="宋体" w:hAnsi="宋体" w:cs="宋体"/>
                <w:b/>
                <w:color w:val="000000"/>
                <w:sz w:val="18"/>
                <w:szCs w:val="18"/>
                <w:highlight w:val="none"/>
              </w:rPr>
              <w:t xml:space="preserve">（100）</w:t>
            </w:r>
            <w:r>
              <w:rPr>
                <w:rFonts w:ascii="宋体" w:hAnsi="宋体" w:cs="宋体"/>
                <w:b/>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vMerge w:val="restart"/>
            <w:textDirection w:val="lrTb"/>
            <w:noWrap/>
          </w:tcPr>
          <w:p>
            <w:pPr>
              <w:pStyle w:val="843"/>
              <w:jc w:val="center"/>
              <w:widowControl/>
              <w:rPr>
                <w:rFonts w:ascii="宋体" w:hAnsi="宋体" w:cs="宋体"/>
                <w:b/>
                <w:color w:val="000000"/>
                <w:sz w:val="18"/>
                <w:szCs w:val="18"/>
                <w:highlight w:val="none"/>
              </w:rPr>
            </w:pPr>
            <w:r>
              <w:rPr>
                <w:rFonts w:hint="eastAsia" w:ascii="宋体" w:hAnsi="宋体" w:cs="宋体"/>
                <w:b/>
                <w:color w:val="000000"/>
                <w:sz w:val="18"/>
                <w:szCs w:val="18"/>
                <w:highlight w:val="none"/>
              </w:rPr>
              <w:t xml:space="preserve">监管考评标准</w:t>
            </w:r>
            <w:r>
              <w:rPr>
                <w:rFonts w:ascii="宋体" w:hAnsi="宋体" w:cs="宋体"/>
                <w:b/>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pStyle w:val="843"/>
              <w:jc w:val="center"/>
              <w:widowControl/>
              <w:rPr>
                <w:rFonts w:ascii="宋体" w:hAnsi="宋体" w:cs="宋体"/>
                <w:b/>
                <w:color w:val="000000"/>
                <w:sz w:val="18"/>
                <w:szCs w:val="18"/>
                <w:highlight w:val="none"/>
              </w:rPr>
            </w:pPr>
            <w:r>
              <w:rPr>
                <w:rFonts w:hint="eastAsia" w:ascii="宋体" w:hAnsi="宋体" w:cs="宋体"/>
                <w:b/>
                <w:color w:val="000000"/>
                <w:sz w:val="18"/>
                <w:szCs w:val="18"/>
                <w:highlight w:val="none"/>
              </w:rPr>
              <w:t xml:space="preserve">得分</w:t>
            </w:r>
            <w:r>
              <w:rPr>
                <w:rFonts w:ascii="宋体" w:hAnsi="宋体" w:cs="宋体"/>
                <w:b/>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tcPr>
          <w:p>
            <w:pPr>
              <w:pStyle w:val="843"/>
              <w:jc w:val="center"/>
              <w:widowControl/>
              <w:rPr>
                <w:rFonts w:ascii="宋体" w:hAnsi="宋体" w:cs="宋体"/>
                <w:b/>
                <w:color w:val="000000"/>
                <w:sz w:val="18"/>
                <w:szCs w:val="18"/>
                <w:highlight w:val="none"/>
              </w:rPr>
            </w:pPr>
            <w:r>
              <w:rPr>
                <w:rFonts w:hint="eastAsia" w:ascii="宋体" w:hAnsi="宋体" w:cs="宋体"/>
                <w:b/>
                <w:color w:val="000000"/>
                <w:sz w:val="18"/>
                <w:szCs w:val="18"/>
                <w:highlight w:val="none"/>
              </w:rPr>
              <w:t xml:space="preserve">扣分原因说明</w:t>
            </w:r>
            <w:r>
              <w:rPr>
                <w:rFonts w:ascii="宋体" w:hAnsi="宋体" w:cs="宋体"/>
                <w:b/>
                <w:color w:val="000000"/>
                <w:sz w:val="18"/>
                <w:szCs w:val="18"/>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1126" w:type="dxa"/>
            <w:vAlign w:val="center"/>
            <w:vMerge w:val="restart"/>
            <w:textDirection w:val="lrTb"/>
            <w:noWrap w:val="false"/>
          </w:tcPr>
          <w:p>
            <w:pPr>
              <w:pStyle w:val="843"/>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人员管理</w:t>
            </w:r>
            <w:r>
              <w:rPr>
                <w:rFonts w:hint="eastAsia" w:ascii="宋体" w:hAnsi="宋体" w:cs="宋体"/>
                <w:color w:val="000000"/>
                <w:sz w:val="18"/>
                <w:szCs w:val="18"/>
                <w:highlight w:val="none"/>
              </w:rPr>
              <w:br w:type="textWrapping" w:clear="all"/>
            </w:r>
            <w:r>
              <w:rPr>
                <w:rFonts w:hint="eastAsia" w:ascii="宋体" w:hAnsi="宋体" w:cs="宋体"/>
                <w:color w:val="000000"/>
                <w:sz w:val="18"/>
                <w:szCs w:val="18"/>
                <w:highlight w:val="none"/>
              </w:rPr>
              <w:t xml:space="preserve">（15分）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保安人员年龄结构应按照招标文件合理配置。</w:t>
            </w:r>
            <w:r>
              <w:rPr>
                <w:rFonts w:ascii="宋体" w:hAnsi="宋体" w:cs="宋体"/>
                <w:color w:val="000000"/>
                <w:sz w:val="18"/>
                <w:szCs w:val="18"/>
                <w:highlight w:val="none"/>
              </w:rPr>
            </w:r>
            <w:r/>
          </w:p>
        </w:tc>
        <w:tc>
          <w:tcPr>
            <w:tcBorders>
              <w:top w:val="single" w:color="000000" w:sz="4" w:space="0"/>
              <w:left w:val="single" w:color="000000" w:sz="4" w:space="0"/>
              <w:bottom w:val="none" w:color="000000" w:sz="0" w:space="0"/>
              <w:right w:val="single" w:color="000000" w:sz="4" w:space="0"/>
            </w:tcBorders>
            <w:tcW w:w="1030" w:type="dxa"/>
            <w:vAlign w:val="center"/>
            <w:vMerge w:val="restart"/>
            <w:textDirection w:val="lrTb"/>
            <w:noWrap/>
          </w:tcPr>
          <w:p>
            <w:pPr>
              <w:pStyle w:val="843"/>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15</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保安人员年龄满足人员素质基本条件，其中20-40周岁占比≥20%，40-50周岁占比≥30%，50-60周岁≤50%，不得大于57周岁。每差距2%扣1分。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保安管理人员学历、素质、能力要求应按照招标文件合理配置</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班组长、队长、项目经理、特勤等管理人员配置，1人次不符合招标文件要求扣2分。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保安人员劳动纪律应符合国家、各部门的法律法规及院方相关制度和招标文件要求内容</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保安人员每违反一条国家相关法律法规或招标文件等劳动纪律，扣0.5分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保安人数应按标书要求配备充足。根据医院安全保卫特点定岗定职，布局合理，结构合理，无缺岗缺位，确保响应及时、行动迅速。保安队员月流动率不得超过5%。</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1、保安人员应持证上岗（消控证、保安员证、安检员证）每缺少一证，扣0.2分                              </w:t>
            </w:r>
            <w:r>
              <w:rPr>
                <w:rFonts w:hint="eastAsia" w:ascii="宋体" w:hAnsi="宋体" w:cs="宋体"/>
                <w:color w:val="000000"/>
                <w:sz w:val="18"/>
                <w:szCs w:val="18"/>
                <w:highlight w:val="none"/>
              </w:rPr>
              <w:br w:type="textWrapping" w:clear="all"/>
            </w:r>
            <w:r>
              <w:rPr>
                <w:rFonts w:hint="eastAsia" w:ascii="宋体" w:hAnsi="宋体" w:cs="宋体"/>
                <w:color w:val="000000"/>
                <w:sz w:val="18"/>
                <w:szCs w:val="18"/>
                <w:highlight w:val="none"/>
              </w:rPr>
              <w:t xml:space="preserve">2、人员流动率超过一个百分点，扣1分，超过两个百分点，扣2分，依此类推。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保安服务人员应满足甲方需求人员，如不满足需求人数将按实进行服务费扣除，并进行服务质量考核。</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保安人员每缺少1人，扣1个人头费</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做好重大活动、会议、接待的保卫工作，建立各级安全警戒方案确保安全稳定，圆满完成院方交代的其他任务。</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1、达不到安全要求，无安全工作方案每次(项)扣1分，造成不良影响扣2分，并视情况进行处理。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出勤人员：须持证上岗，提前十分钟到岗，在下一班岗人员到位，并在岗位上交接班后，换便装下班</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Style w:val="915"/>
                <w:color w:val="000000"/>
                <w:highlight w:val="none"/>
              </w:rPr>
              <w:t xml:space="preserve">上班迟到、早退（30分钟内）发现一例扣2分，超过30分钟以上、半天以下按旷工半天计算，发现一例扣5分，全天旷工的，发现一例扣10分；保安员、消控员未持相对应有效上岗证的，在总分值100分内每发现1例扣2分；保安员配置不达招标要求的，在总分值100分内每发现1例扣0.5分。同一人发生中夜连班、夜早连班现象，每发现一例扣1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仪表仪容：注重警容风貌，上岗不按规定着装、配备警用器材、通讯工具的</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不按规定着装、佩戴警用器材、通讯工具的，按情节轻重扣1-5分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在岗期间做到既礼貌待人又严格把关、坐姿、站姿、谈吐等行为须端正</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在岗期间未能做到既礼貌待人又严格把关、坐姿、站姿、谈吐等行为不端正，有损医院形象的视情节轻重扣1-5分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严格遵守保安纪律，工作态度端正，服从管理，不迟到、早退，岗位上不看手机、书刊、杂志、私自会客、喝酒抽烟、脱岗、睡觉，不打架滋事和散布谣言。</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上班期间不严格遵守保安纪律（如上班串岗闲聊、吸烟喝酒、赌博睡觉等），工作散漫、无理由不服从队长合理安排，对队长或采购人等上级领导部门要求整改之事项无动于衷，视其情节轻重扣2-10分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675"/>
        </w:trPr>
        <w:tc>
          <w:tcPr>
            <w:tcBorders>
              <w:top w:val="single" w:color="000000" w:sz="4" w:space="0"/>
              <w:left w:val="single" w:color="000000" w:sz="4" w:space="0"/>
              <w:bottom w:val="none" w:color="000000" w:sz="0" w:space="0"/>
              <w:right w:val="single" w:color="000000" w:sz="4" w:space="0"/>
            </w:tcBorders>
            <w:tcW w:w="1126" w:type="dxa"/>
            <w:vAlign w:val="center"/>
            <w:vMerge w:val="restart"/>
            <w:textDirection w:val="lrTb"/>
            <w:noWrap w:val="false"/>
          </w:tcPr>
          <w:p>
            <w:pPr>
              <w:pStyle w:val="843"/>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门卫管理</w:t>
            </w:r>
            <w:r>
              <w:rPr>
                <w:rFonts w:ascii="宋体" w:hAnsi="宋体" w:cs="宋体"/>
                <w:color w:val="000000"/>
                <w:sz w:val="18"/>
                <w:szCs w:val="18"/>
                <w:highlight w:val="none"/>
              </w:rPr>
            </w:r>
            <w:r/>
          </w:p>
          <w:p>
            <w:pPr>
              <w:pStyle w:val="843"/>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（15分）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门卫等各岗位保持在岗在位、门前卫生三包</w:t>
            </w:r>
            <w:r>
              <w:rPr>
                <w:rFonts w:ascii="宋体" w:hAnsi="宋体" w:cs="宋体"/>
                <w:color w:val="000000"/>
                <w:sz w:val="18"/>
                <w:szCs w:val="18"/>
                <w:highlight w:val="none"/>
              </w:rPr>
            </w:r>
            <w:r/>
          </w:p>
        </w:tc>
        <w:tc>
          <w:tcPr>
            <w:tcBorders>
              <w:top w:val="single" w:color="000000" w:sz="4" w:space="0"/>
              <w:left w:val="single" w:color="000000" w:sz="4" w:space="0"/>
              <w:bottom w:val="none" w:color="000000" w:sz="0" w:space="0"/>
              <w:right w:val="single" w:color="000000" w:sz="4" w:space="0"/>
            </w:tcBorders>
            <w:tcW w:w="1030" w:type="dxa"/>
            <w:vAlign w:val="center"/>
            <w:vMerge w:val="restart"/>
            <w:textDirection w:val="lrTb"/>
            <w:noWrap/>
          </w:tcPr>
          <w:p>
            <w:pPr>
              <w:pStyle w:val="843"/>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15</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以次为计，发现未穿工作服或仪容不整上岗的一次扣0.1分，漏岗一次扣4分，脱岗30分钟以下一次扣1-3分，30分钟以上按漏岗扣分；卫生脏乱差扣0.1-2分。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675"/>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大门岗保持出入口良好秩序、确保畅通</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大门出入不畅、堵塞的，一次扣0.2分，出入口乱停乱放的，一次扣0.1分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675"/>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大门岗遇有来访来询，做到服务热情周到，文明执勤，有问必答</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口出脏话、故意刁难的，接打电话不文明的，一次扣0.5-3分。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675"/>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大门岗提高警惕、做好出入行人车辆排查登记，防止医院财物流失或社会闲杂人员出入医院。</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门卫未经盘查、登记，造成医院财物经门卫流失的，携有危险品、可疑人员车辆出入院造成医院损失的，发生一次视情扣0.5-3分；着工作服病人经门卫逃离出院一次扣1-3分。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675"/>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室外规定位置立岗。南门卫保持1人立岗，北门卫晚8点前立岗。</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违规一次扣0.2-3分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675"/>
        </w:trPr>
        <w:tc>
          <w:tcPr>
            <w:tcBorders>
              <w:top w:val="none" w:color="000000" w:sz="0"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做好当班治安、会议和出入登记记录台账，月初整理资料并将上月台账资料提交医院保卫处</w:t>
            </w:r>
            <w:r>
              <w:rPr>
                <w:rFonts w:ascii="宋体" w:hAnsi="宋体" w:cs="宋体"/>
                <w:color w:val="000000"/>
                <w:sz w:val="18"/>
                <w:szCs w:val="18"/>
                <w:highlight w:val="none"/>
              </w:rPr>
            </w:r>
            <w:r/>
          </w:p>
        </w:tc>
        <w:tc>
          <w:tcPr>
            <w:tcBorders>
              <w:top w:val="none" w:color="000000" w:sz="0" w:space="0"/>
              <w:left w:val="single" w:color="000000" w:sz="4" w:space="0"/>
              <w:bottom w:val="single" w:color="000000" w:sz="4" w:space="0"/>
              <w:right w:val="single" w:color="000000" w:sz="4" w:space="0"/>
            </w:tcBorders>
            <w:tcW w:w="1030" w:type="dxa"/>
            <w:vAlign w:val="center"/>
            <w:vMerge w:val="continue"/>
            <w:textDirection w:val="lrTb"/>
            <w:noWrap/>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以次为计，当日不健全一次扣0.1分，未整理不及时提交一次扣0.5分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1126" w:type="dxa"/>
            <w:vAlign w:val="center"/>
            <w:vMerge w:val="restart"/>
            <w:textDirection w:val="lrTb"/>
            <w:noWrap w:val="false"/>
          </w:tcPr>
          <w:p>
            <w:pPr>
              <w:pStyle w:val="843"/>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巡防及治安管理</w:t>
            </w:r>
            <w:r>
              <w:rPr>
                <w:rFonts w:hint="eastAsia" w:ascii="宋体" w:hAnsi="宋体" w:cs="宋体"/>
                <w:color w:val="000000"/>
                <w:sz w:val="18"/>
                <w:szCs w:val="18"/>
                <w:highlight w:val="none"/>
              </w:rPr>
              <w:br w:type="textWrapping" w:clear="all"/>
            </w:r>
            <w:r>
              <w:rPr>
                <w:rFonts w:hint="eastAsia" w:ascii="宋体" w:hAnsi="宋体" w:cs="宋体"/>
                <w:color w:val="000000"/>
                <w:sz w:val="18"/>
                <w:szCs w:val="18"/>
                <w:highlight w:val="none"/>
              </w:rPr>
              <w:t xml:space="preserve">（15分）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结合医院特点制订安全防范措施及各项管理制度、规定，突发事件的应急措施、方案，并不断完善。确保医院无重大治安刑事案件和火灾事故发生，保持良好的医疗秩序。</w:t>
            </w:r>
            <w:r>
              <w:rPr>
                <w:rFonts w:ascii="宋体" w:hAnsi="宋体" w:cs="宋体"/>
                <w:color w:val="000000"/>
                <w:sz w:val="18"/>
                <w:szCs w:val="18"/>
                <w:highlight w:val="none"/>
              </w:rPr>
            </w:r>
            <w:r/>
          </w:p>
        </w:tc>
        <w:tc>
          <w:tcPr>
            <w:tcBorders>
              <w:top w:val="single" w:color="000000" w:sz="4" w:space="0"/>
              <w:left w:val="single" w:color="000000" w:sz="4" w:space="0"/>
              <w:bottom w:val="none" w:color="000000" w:sz="0" w:space="0"/>
              <w:right w:val="single" w:color="000000" w:sz="4" w:space="0"/>
            </w:tcBorders>
            <w:tcW w:w="1030" w:type="dxa"/>
            <w:vAlign w:val="center"/>
            <w:vMerge w:val="restart"/>
            <w:textDirection w:val="lrTb"/>
            <w:noWrap/>
          </w:tcPr>
          <w:p>
            <w:pPr>
              <w:pStyle w:val="843"/>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15</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1、制度、措施、方案不健全。每项扣1分</w:t>
            </w:r>
            <w:r>
              <w:rPr>
                <w:rFonts w:hint="eastAsia" w:ascii="宋体" w:hAnsi="宋体" w:cs="宋体"/>
                <w:color w:val="000000"/>
                <w:sz w:val="18"/>
                <w:szCs w:val="18"/>
                <w:highlight w:val="none"/>
              </w:rPr>
              <w:br w:type="textWrapping" w:clear="all"/>
            </w:r>
            <w:r>
              <w:rPr>
                <w:rFonts w:hint="eastAsia" w:ascii="宋体" w:hAnsi="宋体" w:cs="宋体"/>
                <w:color w:val="000000"/>
                <w:sz w:val="18"/>
                <w:szCs w:val="18"/>
                <w:highlight w:val="none"/>
              </w:rPr>
              <w:t xml:space="preserve">2、岗位管理不到位每次扣1分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575"/>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实行24小时保安值班及巡逻制度，每两小时进行一次安全巡查并进行台账记录；保安人员熟悉医院的环境，按规定着装和佩带装备，文明执勤，训练有素，机动灵活，言语规范，认真履行职责，不能与医院职工、患者及家属发生无谓冲突。</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1、值班及巡逻不规范，每次扣0.5分           2、着装不整、不规范使用文明用语扣0.5分</w:t>
            </w:r>
            <w:r>
              <w:rPr>
                <w:rFonts w:hint="eastAsia" w:ascii="宋体" w:hAnsi="宋体" w:cs="宋体"/>
                <w:color w:val="000000"/>
                <w:sz w:val="18"/>
                <w:szCs w:val="18"/>
                <w:highlight w:val="none"/>
              </w:rPr>
              <w:br w:type="textWrapping" w:clear="all"/>
            </w:r>
            <w:r>
              <w:rPr>
                <w:rFonts w:hint="eastAsia" w:ascii="宋体" w:hAnsi="宋体" w:cs="宋体"/>
                <w:color w:val="000000"/>
                <w:sz w:val="18"/>
                <w:szCs w:val="18"/>
                <w:highlight w:val="none"/>
              </w:rPr>
              <w:t xml:space="preserve">3、与他人发生冲突，扣1分，视情节进行处理   4、凡因为现场无人管理或管理不当，造成设施及建筑物(地面）损坏或人身伤害，一次扣2分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125"/>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医院的重点岗位及主要出入口要落实保安固定岗位值守，门急诊大厅、候诊区等重点部位制订相应的安全措施，确保发生突发事件处置及时。</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1、对特殊的部位要有相应的防范措施，每发现一处无防范措施，扣1分                        2、执勤保安员严禁脱岗，必须确保24小时人员在岗在位，因擅离职守1岗1人扣1分，造成后果视情节另行处理，并追究责任。</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575"/>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执行医院的各项安全工作管理规定，对可疑人员要进行检查询问，严禁推销、商贩、发小广告、医托等无关人员进出医院，及时发现报告和解决院区发生的各种突发情况，规范医院的秩序管理，确保正常的就医环境。</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1、院内有推销、商贩、发小广告、医托等类似无关人员出现，无保安劝离的，扣1分  </w:t>
            </w:r>
            <w:r>
              <w:rPr>
                <w:rFonts w:ascii="宋体" w:hAnsi="宋体" w:cs="宋体"/>
                <w:color w:val="000000"/>
                <w:sz w:val="18"/>
                <w:szCs w:val="18"/>
                <w:highlight w:val="none"/>
              </w:rPr>
            </w:r>
            <w:r/>
          </w:p>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2、因擅离职守，在岗不履职发生有责偷盗、抢劫事件扣2-5分                                3、发生突发事件处理不及时，扣2分，造成事故及影响较大的，扣5分，并追究责任。</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350"/>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定期组织安全教育培训，整改各类隐患，保护医院和病人财产安全和人身安全，加强纠纷处置能力培训和治安应急小分队等成员进行反恐防暴应急演练，及时制止平息纠纷和恐怖袭击事件。</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1、发生打砸、殴打医护人员事件时，保安员没有及时制止，每次扣2-4分                      2、发生内部人员自盗、打架斗殴扣4分，并追究领导责任。                                      3、每月至少组织一次治安反恐演练以及培训，未完成扣2分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督促协助维护保养单位定期开展监控、门禁、一键紧急报警按钮、红外报警器等技防设施检查、维护、清洁工作，确保设施设备性能良好，运行正常。</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1、未落实检查制度，发现一次扣2分            2、发现一处设备故障超过48小时，扣1分。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院内无重大治安案件，一般治安案件每月不超过1起。</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1、一般案件超过1起扣1分                    2、发生重大案件扣4分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125"/>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确保保安服务所用器材设备完好齐全，正常使用</w:t>
            </w:r>
            <w:r>
              <w:rPr>
                <w:rFonts w:ascii="宋体" w:hAnsi="宋体" w:cs="宋体"/>
                <w:color w:val="000000"/>
                <w:sz w:val="18"/>
                <w:szCs w:val="18"/>
                <w:highlight w:val="none"/>
              </w:rPr>
            </w:r>
            <w:r/>
          </w:p>
        </w:tc>
        <w:tc>
          <w:tcPr>
            <w:tcBorders>
              <w:top w:val="none" w:color="000000" w:sz="0" w:space="0"/>
              <w:left w:val="single" w:color="000000" w:sz="4" w:space="0"/>
              <w:bottom w:val="single" w:color="000000" w:sz="4" w:space="0"/>
              <w:right w:val="single" w:color="000000" w:sz="4" w:space="0"/>
            </w:tcBorders>
            <w:tcW w:w="1030" w:type="dxa"/>
            <w:vAlign w:val="center"/>
            <w:vMerge w:val="continue"/>
            <w:textDirection w:val="lrTb"/>
            <w:noWrap w:val="false"/>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1.所有投标文件配备器材应按文件数量配备，根据配备情况扣1-2分</w:t>
            </w:r>
            <w:r>
              <w:rPr>
                <w:rFonts w:hint="eastAsia" w:ascii="宋体" w:hAnsi="宋体" w:cs="宋体"/>
                <w:color w:val="000000"/>
                <w:sz w:val="18"/>
                <w:szCs w:val="18"/>
                <w:highlight w:val="none"/>
              </w:rPr>
              <w:br w:type="textWrapping" w:clear="all"/>
            </w:r>
            <w:r>
              <w:rPr>
                <w:rFonts w:hint="eastAsia" w:ascii="宋体" w:hAnsi="宋体" w:cs="宋体"/>
                <w:color w:val="000000"/>
                <w:sz w:val="18"/>
                <w:szCs w:val="18"/>
                <w:highlight w:val="none"/>
              </w:rPr>
              <w:t xml:space="preserve">2.所有配备器材应保证完好正常使用，如发生损坏应由公司提供备用器材继续使用并及时修复，根据使用情况扣1-2分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125"/>
        </w:trPr>
        <w:tc>
          <w:tcPr>
            <w:tcBorders>
              <w:top w:val="single" w:color="000000" w:sz="4" w:space="0"/>
              <w:left w:val="single" w:color="000000" w:sz="4" w:space="0"/>
              <w:bottom w:val="none" w:color="000000" w:sz="0" w:space="0"/>
              <w:right w:val="single" w:color="000000" w:sz="4" w:space="0"/>
            </w:tcBorders>
            <w:tcW w:w="1126" w:type="dxa"/>
            <w:vAlign w:val="center"/>
            <w:vMerge w:val="restart"/>
            <w:textDirection w:val="lrTb"/>
            <w:noWrap w:val="false"/>
          </w:tcPr>
          <w:p>
            <w:pPr>
              <w:pStyle w:val="843"/>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车辆（收费）管理</w:t>
            </w:r>
            <w:r>
              <w:rPr>
                <w:rFonts w:hint="eastAsia" w:ascii="宋体" w:hAnsi="宋体" w:cs="宋体"/>
                <w:color w:val="000000"/>
                <w:sz w:val="18"/>
                <w:szCs w:val="18"/>
                <w:highlight w:val="none"/>
              </w:rPr>
              <w:br w:type="textWrapping" w:clear="all"/>
            </w:r>
            <w:r>
              <w:rPr>
                <w:rFonts w:hint="eastAsia" w:ascii="宋体" w:hAnsi="宋体" w:cs="宋体"/>
                <w:color w:val="000000"/>
                <w:sz w:val="18"/>
                <w:szCs w:val="18"/>
                <w:highlight w:val="none"/>
              </w:rPr>
              <w:t xml:space="preserve">（10分）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收费停车场（包括停车道闸系统设备设施）有专人管理，维护好院内停车秩序；车辆停放整齐，场地整洁，交通畅通。严禁违规停车，发现拥堵及时疏导。有交通突发情况应对预案，处置得力。确保院内停车秩序，维护好院内道路畅通和停车安全。</w:t>
            </w:r>
            <w:r>
              <w:rPr>
                <w:rFonts w:ascii="宋体" w:hAnsi="宋体" w:cs="宋体"/>
                <w:color w:val="000000"/>
                <w:sz w:val="18"/>
                <w:szCs w:val="18"/>
                <w:highlight w:val="none"/>
              </w:rPr>
            </w:r>
            <w:r/>
          </w:p>
        </w:tc>
        <w:tc>
          <w:tcPr>
            <w:tcBorders>
              <w:top w:val="single" w:color="000000" w:sz="4" w:space="0"/>
              <w:left w:val="single" w:color="000000" w:sz="4" w:space="0"/>
              <w:bottom w:val="none" w:color="000000" w:sz="0" w:space="0"/>
              <w:right w:val="single" w:color="000000" w:sz="4" w:space="0"/>
            </w:tcBorders>
            <w:tcW w:w="1030" w:type="dxa"/>
            <w:vAlign w:val="center"/>
            <w:vMerge w:val="restart"/>
            <w:textDirection w:val="lrTb"/>
            <w:noWrap w:val="false"/>
          </w:tcPr>
          <w:p>
            <w:pPr>
              <w:pStyle w:val="843"/>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1、消防通道，急救通道及严禁停车的区段发现停车或乱停乱放每辆次扣0.5分                  2、因交通管理不力造成拥堵及突发情况处置不力每次扣2分 </w:t>
            </w:r>
            <w:r>
              <w:rPr>
                <w:rFonts w:ascii="宋体" w:hAnsi="宋体" w:cs="宋体"/>
                <w:color w:val="000000"/>
                <w:sz w:val="18"/>
                <w:szCs w:val="18"/>
                <w:highlight w:val="none"/>
              </w:rPr>
            </w:r>
            <w:r/>
          </w:p>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3、车辆道闸系统设施无法正常使用，无人报修、跟踪修复故障系统设施，每次扣1分，且因此发生的停车收费账面不平部分从服务费中扣款补平。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900"/>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非机动车辆集中停放，管理制度落实，非停车场车辆停放整齐，场地整洁，确保安全，严防损坏丢失；加强电瓶车充电安全管理，禁止电动自行车入地库或室内充电，以及私拉乱接电源及其他违章用电现象。</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1、电动自行车入地库或室内充电，非机动车未停放在划定区域，发现一辆扣0.5分                                         2、电动自行车充电私拉乱接电源现象每起扣2分，并承担由于管理失职造成事故责任</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800"/>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地下职工停车场有专人管理，正确疏导进出各种车辆，泊车安全整齐，严禁收费和未授权车辆进入，定时巡逻，巡查提醒车主关好车窗、锁好车门防止发生车辆碰撞、被盗、堵塞通道，确保院内地下道路畅通和停车安全。保证各类车位合规停放，禁止出现堵塞、占用。</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1、地下消防通道、急救通道及严禁停车的区段发现停车，未及时上报，每辆次扣1分 </w:t>
            </w:r>
            <w:r>
              <w:rPr>
                <w:rFonts w:ascii="宋体" w:hAnsi="宋体" w:cs="宋体"/>
                <w:color w:val="000000"/>
                <w:sz w:val="18"/>
                <w:szCs w:val="18"/>
                <w:highlight w:val="none"/>
              </w:rPr>
            </w:r>
            <w:r/>
          </w:p>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2、因管理不力造成拥堵，违规车辆进出，车辆碰撞、堵塞通道等每次扣2分                    3、因管理不到位发生车辆被盗等情况，扣3-5分</w:t>
            </w:r>
            <w:r>
              <w:rPr>
                <w:rFonts w:hint="eastAsia" w:ascii="宋体" w:hAnsi="宋体" w:cs="宋体"/>
                <w:color w:val="000000"/>
                <w:sz w:val="18"/>
                <w:szCs w:val="18"/>
                <w:highlight w:val="none"/>
              </w:rPr>
              <w:br w:type="textWrapping" w:clear="all"/>
            </w:r>
            <w:r>
              <w:rPr>
                <w:rFonts w:hint="eastAsia" w:ascii="宋体" w:hAnsi="宋体" w:cs="宋体"/>
                <w:color w:val="000000"/>
                <w:sz w:val="18"/>
                <w:szCs w:val="18"/>
                <w:highlight w:val="none"/>
              </w:rPr>
              <w:t xml:space="preserve">4、各类车位每出现一次堵塞、占用投诉扣0.5分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2025"/>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主要出入口早晚高峰期安排固定岗位值守，制订相应的职责和安全措施，车辆收费严格按照医院规定的收费标准收取停车费，并做好收费的交接及对账工作；收费时要注意辨别钞票真伪。谨防假钞；做好日常道闸系统清洁维护工作，发现系统异常及时联系维保单位检修；严禁在车场电脑中更改数据资料、玩游戏，接入其他外接设备，严禁挪用、借用、贪污车场公款。</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val="false"/>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1、对道闸检查维护不及时导致长时间堵塞，</w:t>
            </w:r>
            <w:r>
              <w:rPr>
                <w:rFonts w:hint="eastAsia" w:ascii="宋体" w:hAnsi="宋体" w:cs="宋体"/>
                <w:color w:val="000000"/>
                <w:sz w:val="18"/>
                <w:szCs w:val="18"/>
                <w:highlight w:val="none"/>
              </w:rPr>
              <w:t xml:space="preserve">一起扣2分                                       2、发现不按规定收取停车费、私自更改数据资料、玩游戏，一次扣1分                                        3、发现挪用、借用、贪污公款扣5分，并承担相应法律责任                                 4、实际收费与系统不符，不能做出合理解释的，每次扣2分                                     5、收到假钞由收费员自行承担后果</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2025"/>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收费岗保持人员在岗在位，严禁干与工作无关事情，不因人为因素停止懈怠收费进程</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val="false"/>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无特殊原因，且不能充分证实的，不在岗位或人为停止懈怠收费进程一次扣0.5分/5分钟</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2025"/>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按规程操作收费系统，根据医院收费管理规定进行收费</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val="false"/>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未按操作规程收费一次扣0.5分，未按核定标准收费乱收费一次扣1分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2025"/>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机动车出入口以辆为单位处理发行车辆出院</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val="false"/>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非因采购人主管部门关照和因公到访车队，连续放行车辆一次扣0.5分，依次类推</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2025"/>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爱护收费系统，发生故障及时报告采购人并配合维修恢复</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val="false"/>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人为造成系统设备故障或损害的一次扣1分，发生故障未及时报告采购人的一次扣0.5分，依此类推</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2025"/>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收费人员妥善保管并及时报领停车券等，做好记录。</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val="false"/>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停车券或收费记录等保管不慎丢失或损坏无效一次扣0.1-2分，发票用完不及时报领补充一次扣0.1分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2025"/>
        </w:trPr>
        <w:tc>
          <w:tcPr>
            <w:tcBorders>
              <w:top w:val="none" w:color="000000" w:sz="0"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收费管理，做好账目（停车券、现金）核对和结算工作，及时有效核对账目，月初提交采购人结算</w:t>
            </w:r>
            <w:r>
              <w:rPr>
                <w:rFonts w:ascii="宋体" w:hAnsi="宋体" w:cs="宋体"/>
                <w:color w:val="000000"/>
                <w:sz w:val="18"/>
                <w:szCs w:val="18"/>
                <w:highlight w:val="none"/>
              </w:rPr>
            </w:r>
            <w:r/>
          </w:p>
        </w:tc>
        <w:tc>
          <w:tcPr>
            <w:tcBorders>
              <w:top w:val="none" w:color="000000" w:sz="0" w:space="0"/>
              <w:left w:val="single" w:color="000000" w:sz="4" w:space="0"/>
              <w:bottom w:val="single" w:color="000000" w:sz="4" w:space="0"/>
              <w:right w:val="single" w:color="000000" w:sz="4" w:space="0"/>
            </w:tcBorders>
            <w:tcW w:w="1030" w:type="dxa"/>
            <w:vAlign w:val="center"/>
            <w:vMerge w:val="continue"/>
            <w:textDirection w:val="lrTb"/>
            <w:noWrap w:val="false"/>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账目核对不清，差额100元以下扣0.5分、200元以下扣1分，500元以下扣2分，500-1000元扣4分，1000元以上扣除拨付中标供应商相应金额</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125"/>
        </w:trPr>
        <w:tc>
          <w:tcPr>
            <w:tcBorders>
              <w:top w:val="single" w:color="000000" w:sz="4" w:space="0"/>
              <w:left w:val="single" w:color="000000" w:sz="4" w:space="0"/>
              <w:bottom w:val="single" w:color="000000" w:sz="4" w:space="0"/>
              <w:right w:val="single" w:color="000000" w:sz="4" w:space="0"/>
            </w:tcBorders>
            <w:tcW w:w="1126" w:type="dxa"/>
            <w:vAlign w:val="center"/>
            <w:vMerge w:val="restart"/>
            <w:textDirection w:val="lrTb"/>
            <w:noWrap w:val="false"/>
          </w:tcPr>
          <w:p>
            <w:pPr>
              <w:pStyle w:val="843"/>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消防管理</w:t>
            </w:r>
            <w:r>
              <w:rPr>
                <w:rFonts w:hint="eastAsia" w:ascii="宋体" w:hAnsi="宋体" w:cs="宋体"/>
                <w:color w:val="000000"/>
                <w:sz w:val="18"/>
                <w:szCs w:val="18"/>
                <w:highlight w:val="none"/>
              </w:rPr>
              <w:br w:type="textWrapping" w:clear="all"/>
            </w:r>
            <w:r>
              <w:rPr>
                <w:rFonts w:hint="eastAsia" w:ascii="宋体" w:hAnsi="宋体" w:cs="宋体"/>
                <w:color w:val="000000"/>
                <w:sz w:val="18"/>
                <w:szCs w:val="18"/>
                <w:highlight w:val="none"/>
              </w:rPr>
              <w:t xml:space="preserve">（20分）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组织开展消防法规及消防知识的宣传教育，明确各区域防火责任人。年度有消防培训计划、演练方案，有落实措施，并建立健全消防档案。配合院方开展各类消防安全培训和演练活动。</w:t>
            </w:r>
            <w:r>
              <w:rPr>
                <w:rFonts w:ascii="宋体" w:hAnsi="宋体" w:cs="宋体"/>
                <w:color w:val="000000"/>
                <w:sz w:val="18"/>
                <w:szCs w:val="18"/>
                <w:highlight w:val="none"/>
              </w:rPr>
            </w:r>
            <w:r/>
          </w:p>
        </w:tc>
        <w:tc>
          <w:tcPr>
            <w:tcBorders>
              <w:top w:val="single" w:color="000000" w:sz="4" w:space="0"/>
              <w:left w:val="single" w:color="000000" w:sz="4" w:space="0"/>
              <w:bottom w:val="none" w:color="000000" w:sz="0" w:space="0"/>
              <w:right w:val="single" w:color="000000" w:sz="4" w:space="0"/>
            </w:tcBorders>
            <w:tcW w:w="1030" w:type="dxa"/>
            <w:vAlign w:val="center"/>
            <w:vMerge w:val="restart"/>
            <w:textDirection w:val="lrTb"/>
            <w:noWrap w:val="false"/>
          </w:tcPr>
          <w:p>
            <w:pPr>
              <w:pStyle w:val="843"/>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20</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1、每月至少组织一次消防演练以及培训，未完成扣2分                                       2、员工不了解安全防火应知应会，每人次扣1分                                              3、消防设施操作不熟练，每人次扣1分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350"/>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微型消防站建设及火警处置情况</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1、微型消防站队员在岗在位，每缺少一人扣1分</w:t>
            </w:r>
            <w:r>
              <w:rPr>
                <w:rFonts w:ascii="宋体" w:hAnsi="宋体" w:cs="宋体"/>
                <w:color w:val="000000"/>
                <w:sz w:val="18"/>
                <w:szCs w:val="18"/>
                <w:highlight w:val="none"/>
              </w:rPr>
            </w:r>
            <w:r/>
          </w:p>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2、微型消防站是否按照规定时间到场，每超2分钟扣1分                              3、保安人员处置火警是否及时，响应是否迅速，30秒内需有回应，每超时20秒扣1分</w:t>
            </w:r>
            <w:r>
              <w:rPr>
                <w:rFonts w:ascii="宋体" w:hAnsi="宋体" w:cs="宋体"/>
                <w:color w:val="000000"/>
                <w:sz w:val="18"/>
                <w:szCs w:val="18"/>
                <w:highlight w:val="none"/>
              </w:rPr>
            </w:r>
            <w:r/>
          </w:p>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4、微型消防站成员是否按频次等要求培训演练</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575"/>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严格执行消防工作管理制度，积极巡查，及时正确处理出现的问题。如实填写工作记录，设备使用情况清楚。工作制度，规定、程序，健全各种险情应急方案，确保现场消防设施正常运行，状态良好。无事故、无火灾。</w:t>
            </w:r>
            <w:r>
              <w:rPr>
                <w:rFonts w:ascii="宋体" w:hAnsi="宋体" w:cs="宋体"/>
                <w:color w:val="000000"/>
                <w:sz w:val="18"/>
                <w:szCs w:val="18"/>
                <w:highlight w:val="none"/>
              </w:rPr>
            </w:r>
            <w:r/>
          </w:p>
        </w:tc>
        <w:tc>
          <w:tcPr>
            <w:tcBorders>
              <w:top w:val="none" w:color="000000" w:sz="0" w:space="0"/>
              <w:left w:val="single" w:color="000000" w:sz="4" w:space="0"/>
              <w:bottom w:val="single" w:color="000000" w:sz="4" w:space="0"/>
              <w:right w:val="single" w:color="000000" w:sz="4" w:space="0"/>
            </w:tcBorders>
            <w:tcW w:w="1030" w:type="dxa"/>
            <w:vAlign w:val="center"/>
            <w:vMerge w:val="continue"/>
            <w:textDirection w:val="lrTb"/>
            <w:noWrap w:val="false"/>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1、制度、方案不健全每项扣1分                    2、记录不准确、检查不准时扣1分                        3、未及时发现消防设备缺损、过期，不熟悉应急方案，未按规定履行职责，每次扣2分                              4、造成有责事故扣1-5分，造成重大火灾事故一票否决，并追究相应法律责任</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575"/>
        </w:trPr>
        <w:tc>
          <w:tcPr>
            <w:tcBorders>
              <w:top w:val="single" w:color="000000" w:sz="4" w:space="0"/>
              <w:left w:val="single" w:color="000000" w:sz="4" w:space="0"/>
              <w:bottom w:val="none" w:color="000000" w:sz="0" w:space="0"/>
              <w:right w:val="single" w:color="000000" w:sz="4" w:space="0"/>
            </w:tcBorders>
            <w:tcW w:w="1126" w:type="dxa"/>
            <w:vAlign w:val="center"/>
            <w:vMerge w:val="restart"/>
            <w:textDirection w:val="lrTb"/>
            <w:noWrap w:val="false"/>
          </w:tcPr>
          <w:p>
            <w:pPr>
              <w:pStyle w:val="843"/>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消防监控中心管理</w:t>
            </w:r>
            <w:r>
              <w:rPr>
                <w:rFonts w:ascii="宋体" w:hAnsi="宋体" w:cs="宋体"/>
                <w:color w:val="000000"/>
                <w:sz w:val="18"/>
                <w:szCs w:val="18"/>
                <w:highlight w:val="none"/>
              </w:rPr>
            </w:r>
            <w:r/>
          </w:p>
          <w:p>
            <w:pPr>
              <w:pStyle w:val="843"/>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消防监控中心人员按时上岗，并做好交接班工作，接班人员未到岗前交班人员不得擅自离岗；</w:t>
            </w:r>
            <w:r>
              <w:rPr>
                <w:rFonts w:ascii="宋体" w:hAnsi="宋体" w:cs="宋体"/>
                <w:color w:val="000000"/>
                <w:sz w:val="18"/>
                <w:szCs w:val="18"/>
                <w:highlight w:val="none"/>
              </w:rPr>
            </w:r>
            <w:r/>
          </w:p>
        </w:tc>
        <w:tc>
          <w:tcPr>
            <w:tcBorders>
              <w:top w:val="single" w:color="000000" w:sz="4" w:space="0"/>
              <w:left w:val="single" w:color="000000" w:sz="4" w:space="0"/>
              <w:bottom w:val="none" w:color="000000" w:sz="0" w:space="0"/>
              <w:right w:val="single" w:color="000000" w:sz="4" w:space="0"/>
            </w:tcBorders>
            <w:tcW w:w="1030" w:type="dxa"/>
            <w:vAlign w:val="center"/>
            <w:vMerge w:val="restart"/>
            <w:textDirection w:val="lrTb"/>
            <w:noWrap w:val="false"/>
          </w:tcPr>
          <w:p>
            <w:pPr>
              <w:pStyle w:val="843"/>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10</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扣：单人空岗一次0.5分/5分钟，依次类推，双人离岗一次4分/次/分钟，且扣分不受单项分值额度限制</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575"/>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消防监控中心人员确保在岗在位，不得脱岗、睡岗、看电视，严禁饮酒或进行娱乐活动；</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val="false"/>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扣：单人脱岗一次0.5分/5分钟，依次类推，双人离岗一次2分/次，看电视、睡岗、饮酒或娱乐0.5分/次，扣分不受单项分值额度限制</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575"/>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消防监控中心人员熟悉消防监控系统及联动功能，熟练掌握各类消防控制设备和监控系统操作规程，并能排除一般故障，保证系统正常运行。</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val="false"/>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不熟悉或熟练掌握操作规程，不能排除一般故障，造成系统设备故障恶化的扣0.5分/次</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575"/>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消防监控中心人员出现报警信号，严格按消防报警处置程序进行有效处置。</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val="false"/>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未按程序有效处置，视情扣0.5-3分/次，无故消音或不及时到现场查看处置的，扣分不受单项分值额度限制，造成火灾视情按法规追究个人或公司法人刑事责任。</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575"/>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消防监控中心人员提高警惕，严密监控视频设备，发现可疑情况，立即联系外保人员进行现场确认处置。</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val="false"/>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应监控到却未示到，造成采购人影响损失的视情扣0.5-3分/次</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575"/>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消防监控中心人员加强消防重点部位和公共场所、通道监控密切关注巡查，认真填写值班记录表格，掌握和了解消防、监控设施的运行、误报警等情况，及时处理故障，确保消防、监控系统设施完好有效。月初向医院保卫部门提交上月相应台账资料并随时做好上级迎检准备工作</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val="false"/>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做好常规检查巡视工作，并建立健全台账资料，切实检查巡视到位，未检查巡视到位的，台账资料未建立或不健全的视情扣1-5分，不及时整理提交台账的扣0.5分/次</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575"/>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消防监控中心人员物品放置有序，卫生三包</w:t>
            </w:r>
            <w:r>
              <w:rPr>
                <w:rFonts w:ascii="宋体" w:hAnsi="宋体" w:cs="宋体"/>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1030" w:type="dxa"/>
            <w:vAlign w:val="center"/>
            <w:vMerge w:val="continue"/>
            <w:textDirection w:val="lrTb"/>
            <w:noWrap w:val="false"/>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物品放置凌乱、卫生脏乱扣0.2分/次</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575"/>
        </w:trPr>
        <w:tc>
          <w:tcPr>
            <w:tcBorders>
              <w:top w:val="none" w:color="000000" w:sz="0"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消防监控中心人员做好外来人员出入登记及受理工作，严禁无关人员进入消防监控中心、随意触动消防监控等设施，严禁吸烟或动用明火，严禁存放易燃易爆危险物品和堆放与设备运行无关的杂物。</w:t>
            </w:r>
            <w:r>
              <w:rPr>
                <w:rFonts w:ascii="宋体" w:hAnsi="宋体" w:cs="宋体"/>
                <w:color w:val="000000"/>
                <w:sz w:val="18"/>
                <w:szCs w:val="18"/>
                <w:highlight w:val="none"/>
              </w:rPr>
            </w:r>
            <w:r/>
          </w:p>
        </w:tc>
        <w:tc>
          <w:tcPr>
            <w:tcBorders>
              <w:top w:val="none" w:color="000000" w:sz="0" w:space="0"/>
              <w:left w:val="single" w:color="000000" w:sz="4" w:space="0"/>
              <w:bottom w:val="single" w:color="000000" w:sz="4" w:space="0"/>
              <w:right w:val="single" w:color="000000" w:sz="4" w:space="0"/>
            </w:tcBorders>
            <w:tcW w:w="1030" w:type="dxa"/>
            <w:vAlign w:val="center"/>
            <w:vMerge w:val="continue"/>
            <w:textDirection w:val="lrTb"/>
            <w:noWrap w:val="false"/>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私自放无关人员进入触动设备器材、吸烟、动火或携进存放危险品扣1-2分/次</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575"/>
        </w:trPr>
        <w:tc>
          <w:tcPr>
            <w:tcBorders>
              <w:top w:val="none" w:color="000000" w:sz="0" w:space="0"/>
              <w:left w:val="single" w:color="000000" w:sz="4" w:space="0"/>
              <w:bottom w:val="single" w:color="000000" w:sz="4" w:space="0"/>
              <w:right w:val="single" w:color="000000" w:sz="4" w:space="0"/>
            </w:tcBorders>
            <w:tcW w:w="1126" w:type="dxa"/>
            <w:vAlign w:val="center"/>
            <w:textDirection w:val="lrTb"/>
            <w:noWrap w:val="false"/>
          </w:tcPr>
          <w:p>
            <w:pPr>
              <w:pStyle w:val="843"/>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应急处置</w:t>
            </w:r>
            <w:r>
              <w:rPr>
                <w:rFonts w:ascii="宋体" w:hAnsi="宋体" w:cs="宋体"/>
                <w:color w:val="000000"/>
                <w:sz w:val="18"/>
                <w:szCs w:val="18"/>
                <w:highlight w:val="none"/>
              </w:rPr>
            </w:r>
            <w:r/>
          </w:p>
          <w:p>
            <w:pPr>
              <w:pStyle w:val="843"/>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遇有医院发生火情、医疗纠纷或治安事件，做到快速反应，按规定配装“作战服”及要求装备，在要求时间内到达报警现场，及时采取有效措施灭火或维护秩序防止事态扩大，保障院内员工、患者人身和财物安全。</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pStyle w:val="843"/>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10</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对火情、治安等安全突发事件充耳不闻、视而不见、不及时采取任何防扩大事态措施的扣20分；对纠纷处置过程中出兵不出力、态度不积极、临阵退缩的扣15分；对处置过程中保安出勤率不足或不及时联系人员增援，导致事态逐步扩大的，扣10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815"/>
        </w:trPr>
        <w:tc>
          <w:tcPr>
            <w:tcBorders>
              <w:top w:val="single" w:color="000000" w:sz="4" w:space="0"/>
              <w:left w:val="single" w:color="000000" w:sz="4" w:space="0"/>
              <w:bottom w:val="single" w:color="000000" w:sz="4" w:space="0"/>
              <w:right w:val="single" w:color="000000" w:sz="4" w:space="0"/>
            </w:tcBorders>
            <w:tcW w:w="1126" w:type="dxa"/>
            <w:vAlign w:val="center"/>
            <w:vMerge w:val="restart"/>
            <w:textDirection w:val="lrTb"/>
            <w:noWrap w:val="false"/>
          </w:tcPr>
          <w:p>
            <w:pPr>
              <w:pStyle w:val="843"/>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综合服务评价（5分）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1、各方对保安的服务评价</w:t>
            </w:r>
            <w:r>
              <w:rPr>
                <w:rFonts w:ascii="宋体" w:hAnsi="宋体" w:cs="宋体"/>
                <w:color w:val="000000"/>
                <w:sz w:val="18"/>
                <w:szCs w:val="18"/>
                <w:highlight w:val="none"/>
              </w:rPr>
            </w:r>
            <w:r/>
          </w:p>
        </w:tc>
        <w:tc>
          <w:tcPr>
            <w:tcBorders>
              <w:top w:val="single" w:color="000000" w:sz="4" w:space="0"/>
              <w:left w:val="single" w:color="000000" w:sz="4" w:space="0"/>
              <w:bottom w:val="none" w:color="000000" w:sz="0" w:space="0"/>
              <w:right w:val="single" w:color="000000" w:sz="4" w:space="0"/>
            </w:tcBorders>
            <w:tcW w:w="1030" w:type="dxa"/>
            <w:vAlign w:val="center"/>
            <w:vMerge w:val="restart"/>
            <w:textDirection w:val="lrTb"/>
            <w:noWrap w:val="false"/>
          </w:tcPr>
          <w:p>
            <w:pPr>
              <w:pStyle w:val="843"/>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1、受到上级或12345批评投诉的，视情节扣1-3分                                             2、受到舆情批评和投诉的，视情节扣1-2分                                               3、受到上级或12345表扬的，视情节加1-3分     </w:t>
            </w:r>
            <w:r>
              <w:rPr>
                <w:rFonts w:hint="eastAsia" w:ascii="宋体" w:hAnsi="宋体" w:cs="宋体"/>
                <w:color w:val="000000"/>
                <w:sz w:val="18"/>
                <w:szCs w:val="18"/>
                <w:highlight w:val="none"/>
              </w:rPr>
              <w:br w:type="textWrapping" w:clear="all"/>
            </w:r>
            <w:r>
              <w:rPr>
                <w:rFonts w:hint="eastAsia" w:ascii="宋体" w:hAnsi="宋体" w:cs="宋体"/>
                <w:color w:val="000000"/>
                <w:sz w:val="18"/>
                <w:szCs w:val="18"/>
                <w:highlight w:val="none"/>
              </w:rPr>
              <w:t xml:space="preserve">4、受到院内或来院人员表扬的，视情节加1-2分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690"/>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8" w:space="0"/>
              <w:left w:val="single" w:color="000000" w:sz="8" w:space="0"/>
              <w:bottom w:val="single" w:color="000000" w:sz="8" w:space="0"/>
              <w:right w:val="single" w:color="000000" w:sz="4" w:space="0"/>
            </w:tcBorders>
            <w:tcW w:w="473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2、安保整体服务月平均满意度（行政管理、医护、医技人员、）不得低于95%。</w:t>
            </w:r>
            <w:r>
              <w:rPr>
                <w:rFonts w:ascii="宋体" w:hAnsi="宋体" w:cs="宋体"/>
                <w:color w:val="000000"/>
                <w:sz w:val="18"/>
                <w:szCs w:val="18"/>
                <w:highlight w:val="none"/>
              </w:rPr>
            </w:r>
            <w:r/>
          </w:p>
        </w:tc>
        <w:tc>
          <w:tcPr>
            <w:tcBorders>
              <w:top w:val="none" w:color="000000" w:sz="0" w:space="0"/>
              <w:left w:val="single" w:color="000000" w:sz="4" w:space="0"/>
              <w:bottom w:val="single" w:color="000000" w:sz="8" w:space="0"/>
              <w:right w:val="single" w:color="000000" w:sz="4" w:space="0"/>
            </w:tcBorders>
            <w:tcW w:w="1030" w:type="dxa"/>
            <w:vAlign w:val="center"/>
            <w:vMerge w:val="continue"/>
            <w:textDirection w:val="lrTb"/>
            <w:noWrap w:val="false"/>
          </w:tcPr>
          <w:p>
            <w:pPr>
              <w:pStyle w:val="843"/>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8" w:space="0"/>
              <w:left w:val="single" w:color="000000" w:sz="4" w:space="0"/>
              <w:bottom w:val="single" w:color="000000" w:sz="8" w:space="0"/>
              <w:right w:val="single" w:color="000000" w:sz="8" w:space="0"/>
            </w:tcBorders>
            <w:tcW w:w="3420"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每月进行测评，低于95%，每一个点扣1分，有相关投诉，经查实后，视情况扣1-3分</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200"/>
        </w:trPr>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43"/>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奖罚标准</w:t>
            </w:r>
            <w:r>
              <w:rPr>
                <w:rFonts w:ascii="宋体" w:hAnsi="宋体" w:cs="宋体"/>
                <w:color w:val="000000"/>
                <w:sz w:val="18"/>
                <w:szCs w:val="18"/>
                <w:highlight w:val="none"/>
              </w:rPr>
            </w:r>
            <w:r/>
          </w:p>
        </w:tc>
        <w:tc>
          <w:tcPr>
            <w:gridSpan w:val="3"/>
            <w:tcBorders>
              <w:top w:val="single" w:color="000000" w:sz="4" w:space="0"/>
              <w:left w:val="single" w:color="000000" w:sz="4" w:space="0"/>
              <w:bottom w:val="single" w:color="000000" w:sz="4" w:space="0"/>
              <w:right w:val="single" w:color="000000" w:sz="4" w:space="0"/>
            </w:tcBorders>
            <w:tcW w:w="9189" w:type="dxa"/>
            <w:vAlign w:val="center"/>
            <w:textDirection w:val="lrTb"/>
            <w:noWrap w:val="false"/>
          </w:tcPr>
          <w:p>
            <w:pPr>
              <w:pStyle w:val="843"/>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合计总分100分，每月考评。</w:t>
            </w:r>
            <w:r>
              <w:rPr>
                <w:rFonts w:hint="eastAsia" w:ascii="宋体" w:hAnsi="宋体" w:cs="宋体"/>
                <w:color w:val="000000"/>
                <w:sz w:val="18"/>
                <w:szCs w:val="18"/>
                <w:highlight w:val="none"/>
              </w:rPr>
              <w:t xml:space="preserve">考核得分95分(含95分)以上不扣服务费，95分以下每下降1个百分点扣除</w:t>
            </w:r>
            <w:r>
              <w:rPr>
                <w:rFonts w:hint="eastAsia" w:ascii="宋体" w:hAnsi="宋体" w:cs="宋体"/>
                <w:color w:val="000000"/>
                <w:sz w:val="18"/>
                <w:szCs w:val="18"/>
                <w:highlight w:val="none"/>
                <w:lang w:val="en-US" w:eastAsia="zh-CN"/>
              </w:rPr>
              <w:t xml:space="preserve">5</w:t>
            </w:r>
            <w:r>
              <w:rPr>
                <w:rFonts w:hint="eastAsia" w:ascii="宋体" w:hAnsi="宋体" w:cs="宋体"/>
                <w:color w:val="000000"/>
                <w:sz w:val="18"/>
                <w:szCs w:val="18"/>
                <w:highlight w:val="none"/>
              </w:rPr>
              <w:t xml:space="preserve">00元服务费；90分以下每下降1个百分点扣除</w:t>
            </w:r>
            <w:r>
              <w:rPr>
                <w:rFonts w:hint="eastAsia" w:ascii="宋体" w:hAnsi="宋体" w:cs="宋体"/>
                <w:color w:val="000000"/>
                <w:sz w:val="18"/>
                <w:szCs w:val="18"/>
                <w:highlight w:val="none"/>
                <w:lang w:val="en-US" w:eastAsia="zh-CN"/>
              </w:rPr>
              <w:t xml:space="preserve">1</w:t>
            </w:r>
            <w:r>
              <w:rPr>
                <w:rFonts w:hint="eastAsia" w:ascii="宋体" w:hAnsi="宋体" w:cs="宋体"/>
                <w:color w:val="000000"/>
                <w:sz w:val="18"/>
                <w:szCs w:val="18"/>
                <w:highlight w:val="none"/>
              </w:rPr>
              <w:t xml:space="preserve">000元服务费；85分以下每下降1个百分点扣除</w:t>
            </w:r>
            <w:r>
              <w:rPr>
                <w:rFonts w:hint="eastAsia" w:ascii="宋体" w:hAnsi="宋体" w:cs="宋体"/>
                <w:color w:val="000000"/>
                <w:sz w:val="18"/>
                <w:szCs w:val="18"/>
                <w:highlight w:val="none"/>
                <w:lang w:val="en-US" w:eastAsia="zh-CN"/>
              </w:rPr>
              <w:t xml:space="preserve">2</w:t>
            </w:r>
            <w:r>
              <w:rPr>
                <w:rFonts w:hint="eastAsia" w:ascii="宋体" w:hAnsi="宋体" w:cs="宋体"/>
                <w:color w:val="000000"/>
                <w:sz w:val="18"/>
                <w:szCs w:val="18"/>
                <w:highlight w:val="none"/>
              </w:rPr>
              <w:t xml:space="preserve">000元服务费。</w:t>
            </w:r>
            <w:r>
              <w:rPr>
                <w:rFonts w:hint="eastAsia" w:ascii="宋体" w:hAnsi="宋体" w:cs="宋体"/>
                <w:color w:val="000000"/>
                <w:sz w:val="18"/>
                <w:szCs w:val="18"/>
                <w:highlight w:val="none"/>
              </w:rPr>
              <w:t xml:space="preserve">其他单项考核如院内车辆失窃、未按时发放工资等考核，根据采购需求具体规定分值或扣费数值进行考核；采购需求中单项工作未明确扣分或扣费标准的，视情0.5-3分每事件次予以考核。</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843"/>
              <w:rPr>
                <w:rFonts w:ascii="宋体" w:hAnsi="宋体" w:cs="宋体"/>
                <w:color w:val="000000"/>
                <w:sz w:val="18"/>
                <w:szCs w:val="18"/>
                <w:highlight w:val="none"/>
              </w:rPr>
            </w:pPr>
            <w:r>
              <w:rPr>
                <w:rFonts w:ascii="宋体" w:hAnsi="宋体" w:cs="宋体"/>
                <w:color w:val="000000"/>
                <w:sz w:val="18"/>
                <w:szCs w:val="18"/>
                <w:highlight w:val="none"/>
              </w:rPr>
            </w:r>
            <w:r/>
          </w:p>
        </w:tc>
      </w:tr>
    </w:tbl>
    <w:p>
      <w:pPr>
        <w:pStyle w:val="843"/>
        <w:ind w:firstLine="480"/>
        <w:spacing w:line="400" w:lineRule="exact"/>
        <w:rPr>
          <w:rFonts w:ascii="宋体" w:hAnsi="宋体"/>
          <w:color w:val="000000"/>
          <w:sz w:val="24"/>
          <w:highlight w:val="none"/>
        </w:rPr>
      </w:pPr>
      <w:r>
        <w:rPr>
          <w:rFonts w:ascii="宋体" w:hAnsi="宋体"/>
          <w:color w:val="000000"/>
          <w:sz w:val="24"/>
          <w:highlight w:val="none"/>
        </w:rPr>
      </w:r>
      <w:r/>
    </w:p>
    <w:p>
      <w:pPr>
        <w:pStyle w:val="843"/>
        <w:ind w:firstLine="420"/>
        <w:spacing w:line="360" w:lineRule="auto"/>
        <w:rPr>
          <w:rFonts w:hint="eastAsia" w:ascii="宋体" w:hAnsi="宋体" w:cs="宋体"/>
          <w:color w:val="000000"/>
          <w:sz w:val="24"/>
          <w:szCs w:val="24"/>
          <w:highlight w:val="none"/>
        </w:rPr>
      </w:pPr>
      <w:r>
        <w:rPr>
          <w:rFonts w:hint="eastAsia"/>
          <w:color w:val="000000"/>
          <w:highlight w:val="none"/>
        </w:rPr>
        <w:t xml:space="preserve">说明：本表未详尽考核内容或标准，以及其他岗位人员服务保障考核，按相应岗位职责及本项目服务要求对照考核实施。</w:t>
      </w:r>
      <w:r>
        <w:rPr>
          <w:rFonts w:hint="eastAsia" w:ascii="宋体" w:hAnsi="宋体" w:cs="宋体"/>
          <w:color w:val="000000"/>
          <w:sz w:val="24"/>
          <w:szCs w:val="24"/>
          <w:highlight w:val="none"/>
        </w:rPr>
      </w:r>
      <w:r/>
    </w:p>
    <w:p>
      <w:pPr>
        <w:pStyle w:val="843"/>
        <w:ind w:firstLine="480"/>
        <w:spacing w:line="360" w:lineRule="auto"/>
        <w:tabs>
          <w:tab w:val="left" w:pos="1050" w:leader="none"/>
          <w:tab w:val="left" w:pos="1155" w:leader="none"/>
        </w:tabs>
        <w:rPr>
          <w:rFonts w:hint="eastAsia" w:ascii="宋体" w:hAnsi="宋体" w:cs="宋体"/>
          <w:color w:val="000000"/>
          <w:sz w:val="24"/>
          <w:szCs w:val="24"/>
          <w:highlight w:val="none"/>
        </w:rPr>
      </w:pPr>
      <w:r/>
      <w:bookmarkStart w:id="71" w:name="_Toc66735306"/>
      <w:r>
        <w:rPr>
          <w:rFonts w:hint="eastAsia" w:ascii="宋体" w:hAnsi="宋体" w:cs="宋体"/>
          <w:color w:val="000000"/>
          <w:sz w:val="24"/>
          <w:szCs w:val="24"/>
          <w:highlight w:val="none"/>
        </w:rPr>
      </w:r>
      <w:r/>
    </w:p>
    <w:p>
      <w:pPr>
        <w:pStyle w:val="843"/>
        <w:ind w:firstLine="480"/>
        <w:spacing w:line="360" w:lineRule="auto"/>
        <w:tabs>
          <w:tab w:val="left" w:pos="1050" w:leader="none"/>
          <w:tab w:val="left" w:pos="1155" w:leader="none"/>
        </w:tabs>
        <w:rPr>
          <w:rFonts w:hint="eastAsia" w:ascii="宋体" w:hAnsi="宋体" w:cs="宋体"/>
          <w:color w:val="000000"/>
          <w:sz w:val="24"/>
          <w:szCs w:val="24"/>
          <w:highlight w:val="none"/>
        </w:rPr>
        <w:sectPr>
          <w:footnotePr/>
          <w:endnotePr/>
          <w:type w:val="nextPage"/>
          <w:pgSz w:w="16838" w:h="11906" w:orient="landscape"/>
          <w:pgMar w:top="1440" w:right="1440" w:bottom="1440" w:left="1440" w:header="850" w:footer="992" w:gutter="0"/>
          <w:cols w:num="1" w:sep="0" w:space="1701" w:equalWidth="1"/>
          <w:docGrid w:linePitch="360"/>
        </w:sectPr>
      </w:pPr>
      <w:r>
        <w:rPr>
          <w:rFonts w:hint="eastAsia" w:ascii="宋体" w:hAnsi="宋体" w:cs="宋体"/>
          <w:color w:val="000000"/>
          <w:sz w:val="24"/>
          <w:szCs w:val="24"/>
          <w:highlight w:val="none"/>
        </w:rPr>
      </w:r>
      <w:r/>
    </w:p>
    <w:p>
      <w:pPr>
        <w:pStyle w:val="843"/>
        <w:ind w:left="479"/>
        <w:jc w:val="left"/>
        <w:spacing w:line="360" w:lineRule="auto"/>
        <w:shd w:val="clear" w:color="auto" w:fill="ffffff"/>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843"/>
        <w:ind w:firstLine="784"/>
        <w:jc w:val="center"/>
        <w:spacing w:line="360" w:lineRule="auto"/>
        <w:tabs>
          <w:tab w:val="left" w:pos="1050" w:leader="none"/>
          <w:tab w:val="left" w:pos="1155" w:leader="none"/>
        </w:tabs>
        <w:rPr>
          <w:rFonts w:hint="eastAsia" w:ascii="宋体" w:hAnsi="宋体" w:cs="宋体"/>
          <w:color w:val="000000"/>
          <w:szCs w:val="24"/>
          <w:highlight w:val="none"/>
        </w:rPr>
      </w:pPr>
      <w:r>
        <w:rPr>
          <w:rFonts w:hint="eastAsia" w:ascii="宋体" w:hAnsi="宋体" w:cs="宋体"/>
          <w:b/>
          <w:bCs/>
          <w:color w:val="000000"/>
          <w:sz w:val="36"/>
          <w:szCs w:val="24"/>
          <w:highlight w:val="none"/>
        </w:rPr>
        <w:t xml:space="preserve">五、 附件（投标文件部分格式）</w:t>
      </w:r>
      <w:bookmarkEnd w:id="71"/>
      <w:r>
        <w:rPr>
          <w:rFonts w:hint="eastAsia" w:ascii="宋体" w:hAnsi="宋体" w:cs="宋体"/>
          <w:color w:val="000000"/>
          <w:szCs w:val="24"/>
          <w:highlight w:val="none"/>
        </w:rPr>
      </w:r>
      <w:r/>
    </w:p>
    <w:p>
      <w:pPr>
        <w:pStyle w:val="891"/>
        <w:rPr>
          <w:rFonts w:hint="eastAsia" w:ascii="宋体" w:hAnsi="宋体" w:cs="宋体"/>
          <w:color w:val="000000"/>
          <w:highlight w:val="none"/>
        </w:rPr>
      </w:pPr>
      <w:r>
        <w:rPr>
          <w:rFonts w:hint="eastAsia" w:ascii="宋体" w:hAnsi="宋体" w:cs="宋体"/>
          <w:color w:val="000000"/>
          <w:highlight w:val="none"/>
        </w:rPr>
      </w:r>
      <w:r/>
    </w:p>
    <w:p>
      <w:pPr>
        <w:pStyle w:val="843"/>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43"/>
        <w:rPr>
          <w:rFonts w:hint="eastAsia" w:ascii="宋体" w:hAnsi="宋体" w:cs="宋体"/>
          <w:bCs/>
          <w:color w:val="000000"/>
          <w:sz w:val="32"/>
          <w:highlight w:val="none"/>
        </w:rPr>
      </w:pPr>
      <w:r>
        <w:rPr>
          <w:rFonts w:hint="eastAsia" w:ascii="宋体" w:hAnsi="宋体" w:cs="宋体"/>
          <w:bCs/>
          <w:color w:val="000000"/>
          <w:sz w:val="32"/>
          <w:highlight w:val="none"/>
        </w:rPr>
      </w:r>
      <w:r/>
    </w:p>
    <w:p>
      <w:pPr>
        <w:pStyle w:val="843"/>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rPr>
          <w:rFonts w:hint="eastAsia" w:ascii="宋体" w:hAnsi="宋体" w:cs="宋体"/>
          <w:bCs/>
          <w:color w:val="000000"/>
          <w:sz w:val="52"/>
          <w:szCs w:val="52"/>
          <w:highlight w:val="none"/>
        </w:rPr>
      </w:r>
      <w:r/>
    </w:p>
    <w:p>
      <w:pPr>
        <w:pStyle w:val="843"/>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r>
      <w:r/>
    </w:p>
    <w:p>
      <w:pPr>
        <w:pStyle w:val="843"/>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rPr>
          <w:rFonts w:hint="eastAsia" w:ascii="宋体" w:hAnsi="宋体" w:cs="宋体"/>
          <w:bCs/>
          <w:color w:val="000000"/>
          <w:sz w:val="52"/>
          <w:szCs w:val="52"/>
          <w:highlight w:val="none"/>
        </w:rPr>
      </w:r>
      <w:r/>
    </w:p>
    <w:p>
      <w:pPr>
        <w:pStyle w:val="843"/>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r>
      <w:r/>
    </w:p>
    <w:p>
      <w:pPr>
        <w:pStyle w:val="843"/>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rPr>
          <w:rFonts w:hint="eastAsia" w:ascii="宋体" w:hAnsi="宋体" w:cs="宋体"/>
          <w:bCs/>
          <w:color w:val="000000"/>
          <w:sz w:val="52"/>
          <w:szCs w:val="52"/>
          <w:highlight w:val="none"/>
        </w:rPr>
      </w:r>
      <w:r/>
    </w:p>
    <w:p>
      <w:pPr>
        <w:pStyle w:val="843"/>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r>
      <w:r/>
    </w:p>
    <w:p>
      <w:pPr>
        <w:pStyle w:val="843"/>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件</w:t>
      </w:r>
      <w:r>
        <w:rPr>
          <w:rFonts w:hint="eastAsia" w:ascii="宋体" w:hAnsi="宋体" w:cs="宋体"/>
          <w:bCs/>
          <w:color w:val="000000"/>
          <w:sz w:val="52"/>
          <w:szCs w:val="52"/>
          <w:highlight w:val="none"/>
        </w:rPr>
      </w:r>
      <w:r/>
    </w:p>
    <w:p>
      <w:pPr>
        <w:pStyle w:val="862"/>
        <w:ind w:left="1260"/>
        <w:rPr>
          <w:rFonts w:hint="eastAsia" w:ascii="宋体" w:hAnsi="宋体" w:cs="宋体"/>
          <w:color w:val="000000"/>
          <w:highlight w:val="none"/>
        </w:rPr>
      </w:pPr>
      <w:r>
        <w:rPr>
          <w:rFonts w:hint="eastAsia" w:ascii="宋体" w:hAnsi="宋体" w:cs="宋体"/>
          <w:color w:val="000000"/>
          <w:highlight w:val="none"/>
        </w:rPr>
      </w:r>
      <w:r/>
    </w:p>
    <w:p>
      <w:pPr>
        <w:pStyle w:val="843"/>
        <w:rPr>
          <w:rFonts w:hint="eastAsia" w:ascii="宋体" w:hAnsi="宋体" w:cs="宋体"/>
          <w:color w:val="000000"/>
          <w:highlight w:val="none"/>
        </w:rPr>
      </w:pPr>
      <w:r>
        <w:rPr>
          <w:rFonts w:hint="eastAsia" w:ascii="宋体" w:hAnsi="宋体" w:cs="宋体"/>
          <w:color w:val="000000"/>
          <w:highlight w:val="none"/>
        </w:rPr>
      </w:r>
      <w:r/>
    </w:p>
    <w:p>
      <w:pPr>
        <w:pStyle w:val="862"/>
        <w:ind w:left="1260"/>
        <w:rPr>
          <w:rFonts w:hint="eastAsia" w:ascii="宋体" w:hAnsi="宋体" w:cs="宋体"/>
          <w:color w:val="000000"/>
          <w:highlight w:val="none"/>
        </w:rPr>
      </w:pPr>
      <w:r>
        <w:rPr>
          <w:rFonts w:hint="eastAsia" w:ascii="宋体" w:hAnsi="宋体" w:cs="宋体"/>
          <w:color w:val="000000"/>
          <w:highlight w:val="none"/>
        </w:rPr>
      </w:r>
      <w:r/>
    </w:p>
    <w:p>
      <w:pPr>
        <w:pStyle w:val="843"/>
        <w:ind w:firstLine="2715"/>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政府采购编号：  </w:t>
      </w:r>
      <w:r>
        <w:rPr>
          <w:rFonts w:hint="eastAsia" w:ascii="宋体" w:hAnsi="宋体" w:cs="宋体"/>
          <w:bCs/>
          <w:color w:val="000000"/>
          <w:sz w:val="28"/>
          <w:szCs w:val="28"/>
          <w:highlight w:val="none"/>
        </w:rPr>
      </w:r>
      <w:r/>
    </w:p>
    <w:p>
      <w:pPr>
        <w:pStyle w:val="843"/>
        <w:ind w:firstLine="2703"/>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采购项目名称：</w:t>
      </w:r>
      <w:r>
        <w:rPr>
          <w:rFonts w:hint="eastAsia" w:ascii="宋体" w:hAnsi="宋体" w:cs="宋体"/>
          <w:bCs/>
          <w:color w:val="000000"/>
          <w:sz w:val="28"/>
          <w:szCs w:val="28"/>
          <w:highlight w:val="none"/>
        </w:rPr>
      </w:r>
      <w:r/>
    </w:p>
    <w:p>
      <w:pPr>
        <w:pStyle w:val="843"/>
        <w:ind w:firstLine="2703"/>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投标供应商：</w:t>
      </w:r>
      <w:r>
        <w:rPr>
          <w:rFonts w:hint="eastAsia" w:ascii="宋体" w:hAnsi="宋体" w:cs="宋体"/>
          <w:bCs/>
          <w:color w:val="000000"/>
          <w:sz w:val="28"/>
          <w:szCs w:val="28"/>
          <w:highlight w:val="none"/>
        </w:rPr>
      </w:r>
      <w:r/>
    </w:p>
    <w:p>
      <w:pPr>
        <w:pStyle w:val="843"/>
        <w:rPr>
          <w:rFonts w:hint="eastAsia" w:ascii="宋体" w:hAnsi="宋体" w:cs="宋体"/>
          <w:bCs/>
          <w:color w:val="000000"/>
          <w:sz w:val="32"/>
          <w:highlight w:val="none"/>
        </w:rPr>
      </w:pPr>
      <w:r>
        <w:rPr>
          <w:rFonts w:hint="eastAsia" w:ascii="宋体" w:hAnsi="宋体" w:cs="宋体"/>
          <w:bCs/>
          <w:color w:val="000000"/>
          <w:sz w:val="32"/>
          <w:highlight w:val="none"/>
        </w:rPr>
      </w:r>
      <w:r/>
    </w:p>
    <w:p>
      <w:pPr>
        <w:pStyle w:val="843"/>
        <w:jc w:val="center"/>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二〇   年  月  日</w:t>
      </w:r>
      <w:r>
        <w:rPr>
          <w:rFonts w:hint="eastAsia" w:ascii="宋体" w:hAnsi="宋体" w:cs="宋体"/>
          <w:bCs/>
          <w:color w:val="000000"/>
          <w:sz w:val="36"/>
          <w:szCs w:val="36"/>
          <w:highlight w:val="none"/>
        </w:rPr>
      </w:r>
      <w:r/>
    </w:p>
    <w:p>
      <w:pPr>
        <w:pStyle w:val="843"/>
        <w:jc w:val="left"/>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br w:type="page" w:clear="all"/>
      </w:r>
      <w:r>
        <w:rPr>
          <w:rFonts w:hint="eastAsia" w:ascii="宋体" w:hAnsi="宋体" w:cs="宋体"/>
          <w:bCs/>
          <w:color w:val="000000"/>
          <w:sz w:val="36"/>
          <w:szCs w:val="36"/>
          <w:highlight w:val="none"/>
        </w:rPr>
      </w:r>
      <w:r/>
    </w:p>
    <w:p>
      <w:pPr>
        <w:pStyle w:val="843"/>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1.证明文件部分</w:t>
      </w:r>
      <w:r>
        <w:rPr>
          <w:rFonts w:hint="eastAsia" w:ascii="宋体" w:hAnsi="宋体" w:cs="宋体"/>
          <w:b/>
          <w:color w:val="000000"/>
          <w:sz w:val="24"/>
          <w:szCs w:val="24"/>
          <w:highlight w:val="none"/>
        </w:rPr>
      </w:r>
      <w:r/>
    </w:p>
    <w:p>
      <w:pPr>
        <w:pStyle w:val="846"/>
        <w:jc w:val="left"/>
        <w:spacing w:before="120" w:after="1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（1）（投标供应商）法定代表人身份证明书（格式）：</w:t>
      </w:r>
      <w:r>
        <w:rPr>
          <w:rFonts w:hint="eastAsia" w:ascii="宋体" w:hAnsi="宋体" w:eastAsia="宋体" w:cs="宋体"/>
          <w:color w:val="000000"/>
          <w:sz w:val="28"/>
          <w:szCs w:val="28"/>
          <w:highlight w:val="none"/>
        </w:rPr>
      </w:r>
      <w:r/>
    </w:p>
    <w:p>
      <w:pPr>
        <w:pStyle w:val="843"/>
        <w:ind w:left="420"/>
        <w:spacing w:line="600" w:lineRule="exact"/>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投标供应商名称：</w:t>
      </w:r>
      <w:r>
        <w:rPr>
          <w:rFonts w:hint="eastAsia" w:ascii="宋体" w:hAnsi="宋体" w:cs="宋体"/>
          <w:bCs/>
          <w:color w:val="000000"/>
          <w:sz w:val="24"/>
          <w:szCs w:val="24"/>
          <w:highlight w:val="none"/>
          <w:u w:val="single"/>
        </w:rPr>
      </w:r>
      <w:r/>
    </w:p>
    <w:p>
      <w:pPr>
        <w:pStyle w:val="843"/>
        <w:ind w:left="420"/>
        <w:spacing w:line="6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单位性质：</w:t>
      </w:r>
      <w:r>
        <w:rPr>
          <w:rFonts w:hint="eastAsia" w:ascii="宋体" w:hAnsi="宋体" w:cs="宋体"/>
          <w:bCs/>
          <w:color w:val="000000"/>
          <w:sz w:val="24"/>
          <w:szCs w:val="24"/>
          <w:highlight w:val="none"/>
        </w:rPr>
      </w:r>
      <w:r/>
    </w:p>
    <w:p>
      <w:pPr>
        <w:pStyle w:val="843"/>
        <w:ind w:left="420"/>
        <w:spacing w:line="6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成立时间：年月日</w:t>
      </w:r>
      <w:r>
        <w:rPr>
          <w:rFonts w:hint="eastAsia" w:ascii="宋体" w:hAnsi="宋体" w:cs="宋体"/>
          <w:bCs/>
          <w:color w:val="000000"/>
          <w:sz w:val="24"/>
          <w:szCs w:val="24"/>
          <w:highlight w:val="none"/>
        </w:rPr>
      </w:r>
      <w:r/>
    </w:p>
    <w:p>
      <w:pPr>
        <w:pStyle w:val="843"/>
        <w:ind w:left="420"/>
        <w:spacing w:line="6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经营期限：</w:t>
      </w:r>
      <w:r>
        <w:rPr>
          <w:rFonts w:hint="eastAsia" w:ascii="宋体" w:hAnsi="宋体" w:cs="宋体"/>
          <w:bCs/>
          <w:color w:val="000000"/>
          <w:sz w:val="24"/>
          <w:szCs w:val="24"/>
          <w:highlight w:val="none"/>
        </w:rPr>
      </w:r>
      <w:r/>
    </w:p>
    <w:p>
      <w:pPr>
        <w:pStyle w:val="843"/>
        <w:ind w:left="420"/>
        <w:spacing w:line="600" w:lineRule="exact"/>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姓名：性别：年龄：职务：</w:t>
      </w:r>
      <w:r>
        <w:rPr>
          <w:rFonts w:hint="eastAsia" w:ascii="宋体" w:hAnsi="宋体" w:cs="宋体"/>
          <w:bCs/>
          <w:color w:val="000000"/>
          <w:sz w:val="24"/>
          <w:szCs w:val="24"/>
          <w:highlight w:val="none"/>
          <w:u w:val="single"/>
        </w:rPr>
      </w:r>
      <w:r/>
    </w:p>
    <w:p>
      <w:pPr>
        <w:pStyle w:val="843"/>
        <w:ind w:left="420"/>
        <w:spacing w:line="6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系（投标供应商名称）的法定代表人。</w:t>
      </w:r>
      <w:r>
        <w:rPr>
          <w:rFonts w:hint="eastAsia" w:ascii="宋体" w:hAnsi="宋体" w:cs="宋体"/>
          <w:bCs/>
          <w:color w:val="000000"/>
          <w:sz w:val="24"/>
          <w:szCs w:val="24"/>
          <w:highlight w:val="none"/>
        </w:rPr>
      </w:r>
      <w:r/>
    </w:p>
    <w:p>
      <w:pPr>
        <w:pStyle w:val="843"/>
        <w:ind w:left="420"/>
        <w:spacing w:line="6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特此证明。</w:t>
      </w:r>
      <w:r>
        <w:rPr>
          <w:rFonts w:hint="eastAsia" w:ascii="宋体" w:hAnsi="宋体" w:cs="宋体"/>
          <w:bCs/>
          <w:color w:val="000000"/>
          <w:sz w:val="24"/>
          <w:szCs w:val="24"/>
          <w:highlight w:val="none"/>
        </w:rPr>
      </w:r>
      <w:r/>
    </w:p>
    <w:p>
      <w:pPr>
        <w:pStyle w:val="843"/>
        <w:ind w:left="420"/>
        <w:spacing w:line="440" w:lineRule="exact"/>
        <w:rPr>
          <w:rFonts w:hint="eastAsia" w:ascii="宋体" w:hAnsi="宋体" w:cs="宋体"/>
          <w:color w:val="000000"/>
          <w:highlight w:val="none"/>
        </w:rPr>
      </w:pPr>
      <w:r>
        <w:rPr>
          <w:rFonts w:hint="eastAsia" w:ascii="宋体" w:hAnsi="宋体" w:cs="宋体"/>
          <w:color w:val="000000"/>
          <w:sz w:val="24"/>
          <w:szCs w:val="24"/>
          <w:highlight w:val="none"/>
        </w:rPr>
        <w:t xml:space="preserve">附：法定代表人身份证原件扫描件（需同时提供正面及背面）</w:t>
      </w:r>
      <w:r>
        <w:rPr>
          <w:rFonts w:hint="eastAsia" w:ascii="宋体" w:hAnsi="宋体" w:cs="宋体"/>
          <w:color w:val="000000"/>
          <w:highlight w:val="none"/>
        </w:rPr>
      </w:r>
      <w:r/>
    </w:p>
    <w:p>
      <w:pPr>
        <w:pStyle w:val="843"/>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43"/>
        <w:ind w:left="420"/>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6985</wp:posOffset>
                </wp:positionH>
                <wp:positionV relativeFrom="paragraph">
                  <wp:posOffset>263525</wp:posOffset>
                </wp:positionV>
                <wp:extent cx="2736850" cy="197612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2736850" cy="1976120"/>
                        </a:xfrm>
                        <a:custGeom>
                          <a:avLst>
                            <a:gd name="adj0" fmla="val 2700"/>
                          </a:avLst>
                          <a:gdLst>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fill="norm" stroke="1"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fill="norm" stroke="1" extrusionOk="0"/>
                          </a:pathLst>
                        </a:custGeom>
                        <a:solidFill>
                          <a:srgbClr val="FFFFFF"/>
                        </a:solidFill>
                        <a:ln>
                          <a:solidFill>
                            <a:srgbClr val="000000"/>
                          </a:solidFill>
                        </a:ln>
                      </wps:spPr>
                      <wps:txbx>
                        <w:txbxContent>
                          <w:p>
                            <w:pPr>
                              <w:pStyle w:val="843"/>
                              <w:rPr>
                                <w:szCs w:val="21"/>
                              </w:rPr>
                            </w:pPr>
                            <w:r>
                              <w:rPr>
                                <w:szCs w:val="21"/>
                              </w:rPr>
                            </w:r>
                            <w:r/>
                          </w:p>
                          <w:p>
                            <w:pPr>
                              <w:pStyle w:val="843"/>
                            </w:pPr>
                            <w:r/>
                            <w:r/>
                          </w:p>
                        </w:txbxContent>
                      </wps:txbx>
                      <wps:bodyPr wrap="square" upright="1"/>
                    </wps:wsp>
                  </a:graphicData>
                </a:graphic>
              </wp:anchor>
            </w:drawing>
          </mc:Choice>
          <mc:Fallback>
            <w:pict>
              <v:shape id="shape 4" o:spid="_x0000_s4" style="position:absolute;z-index:524288;o:allowoverlap:true;o:allowincell:true;mso-position-horizontal-relative:text;margin-left:0.5pt;mso-position-horizontal:absolute;mso-position-vertical-relative:text;margin-top:20.8pt;mso-position-vertical:absolute;width:215.5pt;height:155.6pt;mso-wrap-distance-left:9.0pt;mso-wrap-distance-top:0.0pt;mso-wrap-distance-right:9.0pt;mso-wrap-distance-bottom:0.0pt;visibility:visible;" path="m12500,0l12500,0c12500,0,12500,0,12500,0c5643,0,0,5643,0,12500l0,87500l0,87500c0,87500,0,87500,0,87500c0,94357,5643,100000,12500,100000l87500,100000l87500,100000c87500,100000,87500,100000,87500,100000c94357,100000,100000,94357,100000,87500l100000,12500l100000,12500c100000,5643,94357,0,87500,0xee" coordsize="100000,100000" fillcolor="#FFFFFF" strokecolor="#000000">
                <v:path textboxrect="3659,3659,96337,96337"/>
                <v:textbox inset="0,0,0,0">
                  <w:txbxContent>
                    <w:p>
                      <w:pPr>
                        <w:pStyle w:val="843"/>
                        <w:rPr>
                          <w:szCs w:val="21"/>
                        </w:rPr>
                      </w:pPr>
                      <w:r>
                        <w:rPr>
                          <w:szCs w:val="21"/>
                        </w:rPr>
                      </w:r>
                      <w:r/>
                    </w:p>
                    <w:p>
                      <w:pPr>
                        <w:pStyle w:val="843"/>
                      </w:pPr>
                      <w:r/>
                      <w:r/>
                    </w:p>
                  </w:txbxContent>
                </v:textbox>
              </v:shape>
            </w:pict>
          </mc:Fallback>
        </mc:AlternateContent>
      </w:r>
      <w:r>
        <w:rPr>
          <w:rFonts w:hint="eastAsia" w:ascii="宋体" w:hAnsi="宋体" w:cs="宋体"/>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2785745</wp:posOffset>
                </wp:positionH>
                <wp:positionV relativeFrom="paragraph">
                  <wp:posOffset>258445</wp:posOffset>
                </wp:positionV>
                <wp:extent cx="2934335" cy="200152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2934335" cy="2001520"/>
                        </a:xfrm>
                        <a:custGeom>
                          <a:avLst>
                            <a:gd name="adj0" fmla="val 2700"/>
                          </a:avLst>
                          <a:gdLst>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fill="norm" stroke="1"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fill="norm" stroke="1" extrusionOk="0"/>
                          </a:pathLst>
                        </a:custGeom>
                        <a:solidFill>
                          <a:srgbClr val="FFFFFF"/>
                        </a:solidFill>
                        <a:ln>
                          <a:solidFill>
                            <a:srgbClr val="000000"/>
                          </a:solidFill>
                        </a:ln>
                      </wps:spPr>
                      <wps:txbx>
                        <w:txbxContent>
                          <w:p>
                            <w:pPr>
                              <w:pStyle w:val="843"/>
                              <w:jc w:val="center"/>
                              <w:rPr>
                                <w:szCs w:val="21"/>
                              </w:rPr>
                            </w:pPr>
                            <w:r>
                              <w:rPr>
                                <w:szCs w:val="21"/>
                              </w:rPr>
                            </w:r>
                            <w:r/>
                          </w:p>
                          <w:p>
                            <w:pPr>
                              <w:pStyle w:val="843"/>
                            </w:pPr>
                            <w:r/>
                            <w:r/>
                          </w:p>
                        </w:txbxContent>
                      </wps:txbx>
                      <wps:bodyPr wrap="square" upright="1"/>
                    </wps:wsp>
                  </a:graphicData>
                </a:graphic>
              </wp:anchor>
            </w:drawing>
          </mc:Choice>
          <mc:Fallback>
            <w:pict>
              <v:shape id="shape 5" o:spid="_x0000_s5" style="position:absolute;z-index:251658241;o:allowoverlap:true;o:allowincell:true;mso-position-horizontal-relative:text;margin-left:219.3pt;mso-position-horizontal:absolute;mso-position-vertical-relative:text;margin-top:20.3pt;mso-position-vertical:absolute;width:231.0pt;height:157.6pt;mso-wrap-distance-left:9.0pt;mso-wrap-distance-top:0.0pt;mso-wrap-distance-right:9.0pt;mso-wrap-distance-bottom:0.0pt;visibility:visible;" path="m12500,0l12500,0c12500,0,12500,0,12500,0c5643,0,0,5643,0,12500l0,87500l0,87500c0,87500,0,87500,0,87500c0,94357,5643,100000,12500,100000l87500,100000l87500,100000c87500,100000,87500,100000,87500,100000c94357,100000,100000,94357,100000,87500l100000,12500l100000,12500c100000,5643,94357,0,87500,0xee" coordsize="100000,100000" fillcolor="#FFFFFF" strokecolor="#000000">
                <v:path textboxrect="3659,3659,96337,96337"/>
                <v:textbox inset="0,0,0,0">
                  <w:txbxContent>
                    <w:p>
                      <w:pPr>
                        <w:pStyle w:val="843"/>
                        <w:jc w:val="center"/>
                        <w:rPr>
                          <w:szCs w:val="21"/>
                        </w:rPr>
                      </w:pPr>
                      <w:r>
                        <w:rPr>
                          <w:szCs w:val="21"/>
                        </w:rPr>
                      </w:r>
                      <w:r/>
                    </w:p>
                    <w:p>
                      <w:pPr>
                        <w:pStyle w:val="843"/>
                      </w:pPr>
                      <w:r/>
                      <w:r/>
                    </w:p>
                  </w:txbxContent>
                </v:textbox>
              </v:shape>
            </w:pict>
          </mc:Fallback>
        </mc:AlternateContent>
      </w:r>
      <w:r>
        <w:rPr>
          <w:rFonts w:hint="eastAsia" w:ascii="宋体" w:hAnsi="宋体" w:cs="宋体"/>
          <w:color w:val="000000"/>
          <w:szCs w:val="21"/>
          <w:highlight w:val="none"/>
        </w:rPr>
      </w:r>
      <w:r/>
    </w:p>
    <w:p>
      <w:pPr>
        <w:pStyle w:val="843"/>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43"/>
        <w:ind w:left="420"/>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43"/>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43"/>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43"/>
        <w:ind w:left="420"/>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43"/>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43"/>
        <w:ind w:left="420"/>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43"/>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43"/>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43"/>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43"/>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43"/>
        <w:ind w:left="420"/>
        <w:jc w:val="righ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投标供应商（盖章）：</w:t>
      </w:r>
      <w:r>
        <w:rPr>
          <w:rFonts w:hint="eastAsia" w:ascii="宋体" w:hAnsi="宋体" w:cs="宋体"/>
          <w:color w:val="000000"/>
          <w:sz w:val="24"/>
          <w:szCs w:val="24"/>
          <w:highlight w:val="none"/>
        </w:rPr>
      </w:r>
      <w:r/>
    </w:p>
    <w:p>
      <w:pPr>
        <w:pStyle w:val="843"/>
        <w:ind w:left="420"/>
        <w:jc w:val="right"/>
        <w:spacing w:line="440" w:lineRule="exact"/>
        <w:rPr>
          <w:rFonts w:hint="eastAsia" w:ascii="宋体" w:hAnsi="宋体" w:cs="宋体"/>
          <w:color w:val="000000"/>
          <w:szCs w:val="21"/>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Cs w:val="21"/>
          <w:highlight w:val="none"/>
        </w:rPr>
        <w:br w:type="page" w:clear="all"/>
      </w:r>
      <w:r>
        <w:rPr>
          <w:rFonts w:hint="eastAsia" w:ascii="宋体" w:hAnsi="宋体" w:cs="宋体"/>
          <w:color w:val="000000"/>
          <w:szCs w:val="21"/>
          <w:highlight w:val="none"/>
        </w:rPr>
      </w:r>
      <w:r/>
    </w:p>
    <w:p>
      <w:pPr>
        <w:pStyle w:val="846"/>
        <w:jc w:val="left"/>
        <w:spacing w:before="120" w:after="1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（2）（投标供应商）法定代表人授权委托书（格式）：</w:t>
      </w:r>
      <w:r>
        <w:rPr>
          <w:rFonts w:hint="eastAsia" w:ascii="宋体" w:hAnsi="宋体" w:eastAsia="宋体" w:cs="宋体"/>
          <w:color w:val="000000"/>
          <w:sz w:val="28"/>
          <w:szCs w:val="28"/>
          <w:highlight w:val="none"/>
        </w:rPr>
      </w:r>
      <w:r/>
    </w:p>
    <w:p>
      <w:pPr>
        <w:pStyle w:val="843"/>
        <w:rPr>
          <w:rFonts w:hint="eastAsia" w:ascii="宋体" w:hAnsi="宋体" w:cs="宋体"/>
          <w:color w:val="000000"/>
          <w:highlight w:val="none"/>
        </w:rPr>
      </w:pPr>
      <w:r>
        <w:rPr>
          <w:rFonts w:hint="eastAsia" w:ascii="宋体" w:hAnsi="宋体" w:cs="宋体"/>
          <w:color w:val="000000"/>
          <w:highlight w:val="none"/>
        </w:rPr>
      </w:r>
      <w:r/>
    </w:p>
    <w:p>
      <w:pPr>
        <w:pStyle w:val="843"/>
        <w:jc w:val="center"/>
        <w:rPr>
          <w:rFonts w:hint="eastAsia" w:ascii="宋体" w:hAnsi="宋体" w:cs="宋体"/>
          <w:b/>
          <w:color w:val="000000"/>
          <w:sz w:val="28"/>
          <w:highlight w:val="none"/>
        </w:rPr>
      </w:pPr>
      <w:r>
        <w:rPr>
          <w:rFonts w:hint="eastAsia" w:ascii="宋体" w:hAnsi="宋体" w:cs="宋体"/>
          <w:b/>
          <w:color w:val="000000"/>
          <w:sz w:val="28"/>
          <w:highlight w:val="none"/>
        </w:rPr>
        <w:t xml:space="preserve">法定代表人授权委托书</w:t>
      </w:r>
      <w:r>
        <w:rPr>
          <w:rFonts w:hint="eastAsia" w:ascii="宋体" w:hAnsi="宋体" w:cs="宋体"/>
          <w:b/>
          <w:color w:val="000000"/>
          <w:sz w:val="28"/>
          <w:highlight w:val="none"/>
        </w:rPr>
      </w:r>
      <w:r/>
    </w:p>
    <w:p>
      <w:pPr>
        <w:pStyle w:val="843"/>
        <w:jc w:val="center"/>
        <w:spacing w:line="360" w:lineRule="auto"/>
        <w:rPr>
          <w:rFonts w:hint="eastAsia" w:ascii="宋体" w:hAnsi="宋体" w:cs="宋体"/>
          <w:bCs/>
          <w:color w:val="000000"/>
          <w:sz w:val="36"/>
          <w:highlight w:val="none"/>
        </w:rPr>
      </w:pPr>
      <w:r>
        <w:rPr>
          <w:rFonts w:hint="eastAsia" w:ascii="宋体" w:hAnsi="宋体" w:cs="宋体"/>
          <w:bCs/>
          <w:color w:val="000000"/>
          <w:sz w:val="36"/>
          <w:highlight w:val="none"/>
        </w:rPr>
      </w:r>
      <w:r/>
    </w:p>
    <w:p>
      <w:pPr>
        <w:pStyle w:val="843"/>
        <w:jc w:val="left"/>
        <w:spacing w:line="48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（采购代理机构）：</w:t>
      </w:r>
      <w:r>
        <w:rPr>
          <w:rFonts w:hint="eastAsia" w:ascii="宋体" w:hAnsi="宋体" w:cs="宋体"/>
          <w:bCs/>
          <w:color w:val="000000"/>
          <w:sz w:val="24"/>
          <w:szCs w:val="24"/>
          <w:highlight w:val="none"/>
        </w:rPr>
      </w:r>
      <w:r/>
    </w:p>
    <w:p>
      <w:pPr>
        <w:pStyle w:val="843"/>
        <w:ind w:firstLine="480"/>
        <w:spacing w:line="58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u w:val="single"/>
        </w:rPr>
        <w:t xml:space="preserve">（单位名称）</w:t>
      </w:r>
      <w:r>
        <w:rPr>
          <w:rFonts w:hint="eastAsia" w:ascii="宋体" w:hAnsi="宋体" w:cs="宋体"/>
          <w:bCs/>
          <w:color w:val="000000"/>
          <w:sz w:val="24"/>
          <w:szCs w:val="24"/>
          <w:highlight w:val="none"/>
        </w:rPr>
        <w:t xml:space="preserve">系中华人民共和国合法单位，特授权代表我公司</w:t>
      </w:r>
      <w:r>
        <w:rPr>
          <w:rFonts w:hint="eastAsia" w:ascii="宋体" w:hAnsi="宋体" w:cs="宋体"/>
          <w:bCs/>
          <w:color w:val="000000"/>
          <w:sz w:val="24"/>
          <w:szCs w:val="24"/>
          <w:highlight w:val="none"/>
          <w:u w:val="single"/>
        </w:rPr>
        <w:t xml:space="preserve">（授权代表姓名）</w:t>
      </w:r>
      <w:r>
        <w:rPr>
          <w:rFonts w:hint="eastAsia" w:ascii="宋体" w:hAnsi="宋体" w:cs="宋体"/>
          <w:bCs/>
          <w:color w:val="000000"/>
          <w:sz w:val="24"/>
          <w:szCs w:val="24"/>
          <w:highlight w:val="none"/>
        </w:rPr>
        <w:t xml:space="preserve">全权办理针对</w:t>
      </w:r>
      <w:r>
        <w:rPr>
          <w:rFonts w:hint="eastAsia" w:ascii="宋体" w:hAnsi="宋体" w:cs="宋体"/>
          <w:bCs/>
          <w:color w:val="000000"/>
          <w:sz w:val="24"/>
          <w:szCs w:val="24"/>
          <w:highlight w:val="none"/>
          <w:u w:val="single"/>
        </w:rPr>
        <w:t xml:space="preserve">（项目名称）</w:t>
      </w:r>
      <w:r>
        <w:rPr>
          <w:rFonts w:hint="eastAsia" w:ascii="宋体" w:hAnsi="宋体" w:cs="宋体"/>
          <w:bCs/>
          <w:color w:val="000000"/>
          <w:sz w:val="24"/>
          <w:szCs w:val="24"/>
          <w:highlight w:val="none"/>
        </w:rPr>
        <w:t xml:space="preserve">项目（编号： ）的投标、参与开标、评标、签约等具体工作，并签署全部有关的文件、协议及合同。</w:t>
      </w:r>
      <w:r>
        <w:rPr>
          <w:rFonts w:hint="eastAsia" w:ascii="宋体" w:hAnsi="宋体" w:cs="宋体"/>
          <w:bCs/>
          <w:color w:val="000000"/>
          <w:sz w:val="24"/>
          <w:szCs w:val="24"/>
          <w:highlight w:val="none"/>
        </w:rPr>
      </w:r>
      <w:r/>
    </w:p>
    <w:p>
      <w:pPr>
        <w:pStyle w:val="843"/>
        <w:ind w:firstLine="480"/>
        <w:spacing w:line="58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我公司（单位）对被授权代表的签名负全部责任。</w:t>
      </w:r>
      <w:r>
        <w:rPr>
          <w:rFonts w:hint="eastAsia" w:ascii="宋体" w:hAnsi="宋体" w:cs="宋体"/>
          <w:bCs/>
          <w:color w:val="000000"/>
          <w:sz w:val="24"/>
          <w:szCs w:val="24"/>
          <w:highlight w:val="none"/>
        </w:rPr>
      </w:r>
      <w:r/>
    </w:p>
    <w:p>
      <w:pPr>
        <w:pStyle w:val="843"/>
        <w:ind w:firstLine="480"/>
        <w:spacing w:line="58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在撤销授权的书面通知送达你处以前，本授权书一直有效，被授权代表签署的所有文件（在授权书有效期内签署的）不因授权的撤销而失效。</w:t>
      </w:r>
      <w:r>
        <w:rPr>
          <w:rFonts w:hint="eastAsia" w:ascii="宋体" w:hAnsi="宋体" w:cs="宋体"/>
          <w:bCs/>
          <w:color w:val="000000"/>
          <w:sz w:val="24"/>
          <w:szCs w:val="24"/>
          <w:highlight w:val="none"/>
        </w:rPr>
      </w:r>
      <w:r/>
    </w:p>
    <w:p>
      <w:pPr>
        <w:pStyle w:val="843"/>
        <w:ind w:firstLine="480"/>
        <w:spacing w:line="58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被授权代表情况：</w:t>
      </w:r>
      <w:r>
        <w:rPr>
          <w:rFonts w:hint="eastAsia" w:ascii="宋体" w:hAnsi="宋体" w:cs="宋体"/>
          <w:bCs/>
          <w:color w:val="000000"/>
          <w:sz w:val="24"/>
          <w:szCs w:val="24"/>
          <w:highlight w:val="none"/>
        </w:rPr>
      </w:r>
      <w:r/>
    </w:p>
    <w:p>
      <w:pPr>
        <w:pStyle w:val="843"/>
        <w:ind w:firstLine="525"/>
        <w:spacing w:line="58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姓名：         性别：       电话：</w:t>
      </w:r>
      <w:r>
        <w:rPr>
          <w:rFonts w:hint="eastAsia" w:ascii="宋体" w:hAnsi="宋体" w:cs="宋体"/>
          <w:bCs/>
          <w:color w:val="000000"/>
          <w:sz w:val="24"/>
          <w:szCs w:val="24"/>
          <w:highlight w:val="none"/>
        </w:rPr>
      </w:r>
      <w:r/>
    </w:p>
    <w:p>
      <w:pPr>
        <w:pStyle w:val="843"/>
        <w:ind w:firstLine="3240"/>
        <w:spacing w:line="58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43"/>
        <w:ind w:firstLine="482"/>
        <w:spacing w:line="58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后附授权代表身份证原件扫描件（正反面）加盖公章。</w:t>
      </w:r>
      <w:r>
        <w:rPr>
          <w:rFonts w:hint="eastAsia" w:ascii="宋体" w:hAnsi="宋体" w:cs="宋体"/>
          <w:b/>
          <w:bCs/>
          <w:color w:val="000000"/>
          <w:sz w:val="24"/>
          <w:szCs w:val="24"/>
          <w:highlight w:val="none"/>
        </w:rPr>
      </w:r>
      <w:r/>
    </w:p>
    <w:p>
      <w:pPr>
        <w:pStyle w:val="843"/>
        <w:ind w:firstLine="480"/>
        <w:spacing w:line="58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43"/>
        <w:ind w:firstLine="480"/>
        <w:spacing w:line="58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43"/>
        <w:ind w:firstLine="3240"/>
        <w:spacing w:line="58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投标供应商（公章）：</w:t>
      </w:r>
      <w:r>
        <w:rPr>
          <w:rFonts w:hint="eastAsia" w:ascii="宋体" w:hAnsi="宋体" w:cs="宋体"/>
          <w:bCs/>
          <w:color w:val="000000"/>
          <w:sz w:val="24"/>
          <w:szCs w:val="24"/>
          <w:highlight w:val="none"/>
        </w:rPr>
      </w:r>
      <w:r/>
    </w:p>
    <w:p>
      <w:pPr>
        <w:pStyle w:val="843"/>
        <w:ind w:firstLine="4320"/>
        <w:spacing w:line="58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法定代表人（签字或盖章）：</w:t>
      </w:r>
      <w:r>
        <w:rPr>
          <w:rFonts w:hint="eastAsia" w:ascii="宋体" w:hAnsi="宋体" w:cs="宋体"/>
          <w:bCs/>
          <w:color w:val="000000"/>
          <w:sz w:val="24"/>
          <w:szCs w:val="24"/>
          <w:highlight w:val="none"/>
        </w:rPr>
      </w:r>
      <w:r/>
    </w:p>
    <w:p>
      <w:pPr>
        <w:pStyle w:val="843"/>
        <w:ind w:firstLine="420"/>
        <w:jc w:val="center"/>
        <w:spacing w:line="58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日期：</w:t>
      </w:r>
      <w:r>
        <w:rPr>
          <w:rFonts w:hint="eastAsia" w:ascii="宋体" w:hAnsi="宋体" w:cs="宋体"/>
          <w:bCs/>
          <w:color w:val="000000"/>
          <w:sz w:val="24"/>
          <w:szCs w:val="24"/>
          <w:highlight w:val="none"/>
        </w:rPr>
        <w:br w:type="page" w:clear="all"/>
      </w:r>
      <w:r>
        <w:rPr>
          <w:rFonts w:hint="eastAsia" w:ascii="宋体" w:hAnsi="宋体" w:cs="宋体"/>
          <w:bCs/>
          <w:color w:val="000000"/>
          <w:sz w:val="24"/>
          <w:szCs w:val="24"/>
          <w:highlight w:val="none"/>
        </w:rPr>
      </w:r>
      <w:r/>
    </w:p>
    <w:p>
      <w:pPr>
        <w:pStyle w:val="846"/>
        <w:jc w:val="left"/>
        <w:spacing w:before="120" w:after="1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（3）承诺书（格式）</w:t>
      </w:r>
      <w:r>
        <w:rPr>
          <w:rFonts w:hint="eastAsia" w:ascii="宋体" w:hAnsi="宋体" w:eastAsia="宋体" w:cs="宋体"/>
          <w:color w:val="000000"/>
          <w:sz w:val="28"/>
          <w:szCs w:val="28"/>
          <w:highlight w:val="none"/>
        </w:rPr>
      </w:r>
      <w:r/>
    </w:p>
    <w:p>
      <w:pPr>
        <w:pStyle w:val="843"/>
        <w:jc w:val="center"/>
        <w:rPr>
          <w:rFonts w:hint="eastAsia" w:ascii="宋体" w:hAnsi="宋体" w:cs="宋体"/>
          <w:color w:val="000000"/>
          <w:sz w:val="28"/>
          <w:szCs w:val="28"/>
          <w:highlight w:val="none"/>
        </w:rPr>
      </w:pPr>
      <w:r>
        <w:rPr>
          <w:rFonts w:hint="eastAsia" w:ascii="宋体" w:hAnsi="宋体" w:cs="宋体"/>
          <w:b/>
          <w:color w:val="000000"/>
          <w:sz w:val="28"/>
          <w:szCs w:val="28"/>
          <w:highlight w:val="none"/>
        </w:rPr>
        <w:t xml:space="preserve">承诺书（廉洁承诺书）</w:t>
      </w:r>
      <w:r>
        <w:rPr>
          <w:rFonts w:hint="eastAsia" w:ascii="宋体" w:hAnsi="宋体" w:cs="宋体"/>
          <w:color w:val="000000"/>
          <w:sz w:val="28"/>
          <w:szCs w:val="28"/>
          <w:highlight w:val="none"/>
        </w:rPr>
      </w:r>
      <w:r/>
    </w:p>
    <w:p>
      <w:pPr>
        <w:pStyle w:val="843"/>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为了积极配合贵单位的招标工作，有效遏制不公平竞争和违规违纪问题的发生，确保招标工作的公平、公正、公开，我们保证认真贯彻《中华人民共和国政府采购法》等相关规定以及相关廉洁要求，特向贵单位承诺如下事项：</w:t>
      </w:r>
      <w:r>
        <w:rPr>
          <w:rFonts w:hint="eastAsia" w:ascii="宋体" w:hAnsi="宋体" w:cs="宋体"/>
          <w:color w:val="000000"/>
          <w:sz w:val="24"/>
          <w:highlight w:val="none"/>
        </w:rPr>
      </w:r>
      <w:r/>
    </w:p>
    <w:p>
      <w:pPr>
        <w:pStyle w:val="843"/>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1、自觉遵守国家法律法规及有关廉政建设制度。</w:t>
      </w:r>
      <w:r>
        <w:rPr>
          <w:rFonts w:hint="eastAsia" w:ascii="宋体" w:hAnsi="宋体" w:cs="宋体"/>
          <w:color w:val="000000"/>
          <w:sz w:val="24"/>
          <w:highlight w:val="none"/>
        </w:rPr>
      </w:r>
      <w:r/>
    </w:p>
    <w:p>
      <w:pPr>
        <w:pStyle w:val="843"/>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2、主动了解贵单位招投标纪律，积极配合贵单位执行招投标廉政建设的有关规定。</w:t>
      </w:r>
      <w:r>
        <w:rPr>
          <w:rFonts w:hint="eastAsia" w:ascii="宋体" w:hAnsi="宋体" w:cs="宋体"/>
          <w:color w:val="000000"/>
          <w:sz w:val="24"/>
          <w:highlight w:val="none"/>
        </w:rPr>
      </w:r>
      <w:r/>
    </w:p>
    <w:p>
      <w:pPr>
        <w:pStyle w:val="843"/>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3、不使用不正当手段妨碍、排挤其他投标供应商或串通投标。</w:t>
      </w:r>
      <w:r>
        <w:rPr>
          <w:rFonts w:hint="eastAsia" w:ascii="宋体" w:hAnsi="宋体" w:cs="宋体"/>
          <w:color w:val="000000"/>
          <w:sz w:val="24"/>
          <w:highlight w:val="none"/>
        </w:rPr>
      </w:r>
      <w:r/>
    </w:p>
    <w:p>
      <w:pPr>
        <w:pStyle w:val="843"/>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4、按照招标文件规定的方式进行投标，不隐瞒本单位投标资质的真实情况，投标资质符合规定。</w:t>
      </w:r>
      <w:r>
        <w:rPr>
          <w:rFonts w:hint="eastAsia" w:ascii="宋体" w:hAnsi="宋体" w:cs="宋体"/>
          <w:color w:val="000000"/>
          <w:sz w:val="24"/>
          <w:highlight w:val="none"/>
        </w:rPr>
      </w:r>
      <w:r/>
    </w:p>
    <w:p>
      <w:pPr>
        <w:pStyle w:val="843"/>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rPr>
          <w:rFonts w:hint="eastAsia" w:ascii="宋体" w:hAnsi="宋体" w:cs="宋体"/>
          <w:color w:val="000000"/>
          <w:sz w:val="24"/>
          <w:highlight w:val="none"/>
        </w:rPr>
      </w:r>
      <w:r/>
    </w:p>
    <w:p>
      <w:pPr>
        <w:pStyle w:val="843"/>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6、不向涉及招标的单位及个人购置或提供通信工具、交通工具和高档办公用品等。</w:t>
      </w:r>
      <w:r>
        <w:rPr>
          <w:rFonts w:hint="eastAsia" w:ascii="宋体" w:hAnsi="宋体" w:cs="宋体"/>
          <w:color w:val="000000"/>
          <w:sz w:val="24"/>
          <w:highlight w:val="none"/>
        </w:rPr>
      </w:r>
      <w:r/>
    </w:p>
    <w:p>
      <w:pPr>
        <w:pStyle w:val="843"/>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7、不向涉及招标的单位及个人的配偶、子女、亲属分包此次招标项目。</w:t>
      </w:r>
      <w:r>
        <w:rPr>
          <w:rFonts w:hint="eastAsia" w:ascii="宋体" w:hAnsi="宋体" w:cs="宋体"/>
          <w:color w:val="000000"/>
          <w:sz w:val="24"/>
          <w:highlight w:val="none"/>
        </w:rPr>
      </w:r>
      <w:r/>
    </w:p>
    <w:p>
      <w:pPr>
        <w:pStyle w:val="843"/>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8、不向涉及招标的单位及个人支付好处费、介绍费。</w:t>
      </w:r>
      <w:r>
        <w:rPr>
          <w:rFonts w:hint="eastAsia" w:ascii="宋体" w:hAnsi="宋体" w:cs="宋体"/>
          <w:color w:val="000000"/>
          <w:sz w:val="24"/>
          <w:highlight w:val="none"/>
        </w:rPr>
      </w:r>
      <w:r/>
    </w:p>
    <w:p>
      <w:pPr>
        <w:pStyle w:val="843"/>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9、一旦发现相关人员在招标过程中有索要财物等不廉洁行为，坚决予以抵制，并及时向贵单位纪检监察室举报。</w:t>
      </w:r>
      <w:r>
        <w:rPr>
          <w:rFonts w:hint="eastAsia" w:ascii="宋体" w:hAnsi="宋体" w:cs="宋体"/>
          <w:color w:val="000000"/>
          <w:sz w:val="24"/>
          <w:highlight w:val="none"/>
        </w:rPr>
      </w:r>
      <w:r/>
    </w:p>
    <w:p>
      <w:pPr>
        <w:pStyle w:val="843"/>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我们若违反上述承诺，愿接受取消投标资格及其他任何形式的处理。</w:t>
      </w:r>
      <w:r>
        <w:rPr>
          <w:rFonts w:hint="eastAsia" w:ascii="宋体" w:hAnsi="宋体" w:cs="宋体"/>
          <w:color w:val="000000"/>
          <w:sz w:val="24"/>
          <w:highlight w:val="none"/>
        </w:rPr>
      </w:r>
      <w:r/>
    </w:p>
    <w:p>
      <w:pPr>
        <w:pStyle w:val="843"/>
        <w:ind w:right="480"/>
        <w:spacing w:before="24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投标供应商：（公章）</w:t>
      </w:r>
      <w:r>
        <w:rPr>
          <w:rFonts w:hint="eastAsia" w:ascii="宋体" w:hAnsi="宋体" w:cs="宋体"/>
          <w:color w:val="000000"/>
          <w:sz w:val="24"/>
          <w:highlight w:val="none"/>
        </w:rPr>
      </w:r>
      <w:r/>
    </w:p>
    <w:p>
      <w:pPr>
        <w:pStyle w:val="843"/>
        <w:spacing w:before="24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法定代表人或其授权代理人：   （签字或盖章）</w:t>
      </w:r>
      <w:r>
        <w:rPr>
          <w:rFonts w:hint="eastAsia" w:ascii="宋体" w:hAnsi="宋体" w:cs="宋体"/>
          <w:color w:val="000000"/>
          <w:sz w:val="24"/>
          <w:highlight w:val="none"/>
        </w:rPr>
      </w:r>
      <w:r/>
    </w:p>
    <w:p>
      <w:pPr>
        <w:pStyle w:val="843"/>
        <w:ind w:right="480"/>
        <w:spacing w:before="24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846"/>
        <w:jc w:val="left"/>
        <w:spacing w:before="120" w:after="1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（4）（投标供应商）关于资格的声明函（格式）：</w:t>
      </w:r>
      <w:r>
        <w:rPr>
          <w:rFonts w:hint="eastAsia" w:ascii="宋体" w:hAnsi="宋体" w:eastAsia="宋体" w:cs="宋体"/>
          <w:color w:val="000000"/>
          <w:sz w:val="28"/>
          <w:szCs w:val="28"/>
          <w:highlight w:val="none"/>
        </w:rPr>
      </w:r>
      <w:r/>
    </w:p>
    <w:p>
      <w:pPr>
        <w:pStyle w:val="843"/>
        <w:rPr>
          <w:rFonts w:hint="eastAsia" w:ascii="宋体" w:hAnsi="宋体" w:cs="宋体"/>
          <w:color w:val="000000"/>
          <w:highlight w:val="none"/>
        </w:rPr>
      </w:pPr>
      <w:r>
        <w:rPr>
          <w:rFonts w:hint="eastAsia" w:ascii="宋体" w:hAnsi="宋体" w:cs="宋体"/>
          <w:color w:val="000000"/>
          <w:highlight w:val="none"/>
        </w:rPr>
      </w:r>
      <w:r/>
    </w:p>
    <w:p>
      <w:pPr>
        <w:pStyle w:val="843"/>
        <w:jc w:val="center"/>
        <w:rPr>
          <w:rFonts w:hint="eastAsia" w:ascii="宋体" w:hAnsi="宋体" w:cs="宋体"/>
          <w:b/>
          <w:color w:val="000000"/>
          <w:sz w:val="28"/>
          <w:highlight w:val="none"/>
        </w:rPr>
      </w:pPr>
      <w:r>
        <w:rPr>
          <w:rFonts w:hint="eastAsia" w:ascii="宋体" w:hAnsi="宋体" w:cs="宋体"/>
          <w:b/>
          <w:color w:val="000000"/>
          <w:sz w:val="28"/>
          <w:highlight w:val="none"/>
        </w:rPr>
        <w:t xml:space="preserve">关于资格的声明函</w:t>
      </w:r>
      <w:r>
        <w:rPr>
          <w:rFonts w:hint="eastAsia" w:ascii="宋体" w:hAnsi="宋体" w:cs="宋体"/>
          <w:b/>
          <w:color w:val="000000"/>
          <w:sz w:val="28"/>
          <w:highlight w:val="none"/>
        </w:rPr>
      </w:r>
      <w:r/>
    </w:p>
    <w:p>
      <w:pPr>
        <w:pStyle w:val="843"/>
        <w:jc w:val="center"/>
        <w:rPr>
          <w:rFonts w:hint="eastAsia" w:ascii="宋体" w:hAnsi="宋体" w:cs="宋体"/>
          <w:bCs/>
          <w:color w:val="000000"/>
          <w:sz w:val="32"/>
          <w:highlight w:val="none"/>
        </w:rPr>
      </w:pPr>
      <w:r>
        <w:rPr>
          <w:rFonts w:hint="eastAsia" w:ascii="宋体" w:hAnsi="宋体" w:cs="宋体"/>
          <w:bCs/>
          <w:color w:val="000000"/>
          <w:sz w:val="32"/>
          <w:highlight w:val="none"/>
        </w:rPr>
      </w:r>
      <w:r/>
    </w:p>
    <w:p>
      <w:pPr>
        <w:pStyle w:val="843"/>
        <w:jc w:val="center"/>
        <w:spacing w:line="480" w:lineRule="auto"/>
        <w:tabs>
          <w:tab w:val="left" w:pos="63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43"/>
        <w:spacing w:line="48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u w:val="single"/>
        </w:rPr>
        <w:t xml:space="preserve">     （采购人）         </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843"/>
        <w:spacing w:line="48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43"/>
        <w:ind w:firstLine="480"/>
        <w:spacing w:line="48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我公司（单位）参加本次项目（编号：________）政府采购活动前三年内，在经营活动中没有重大违法记录。</w:t>
      </w:r>
      <w:r>
        <w:rPr>
          <w:rFonts w:hint="eastAsia" w:ascii="宋体" w:hAnsi="宋体" w:cs="宋体"/>
          <w:bCs/>
          <w:color w:val="000000"/>
          <w:sz w:val="24"/>
          <w:szCs w:val="24"/>
          <w:highlight w:val="none"/>
        </w:rPr>
      </w:r>
      <w:r/>
    </w:p>
    <w:p>
      <w:pPr>
        <w:pStyle w:val="843"/>
        <w:ind w:firstLine="480"/>
        <w:spacing w:line="48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我公司（单位）愿针对本次项目（编号：________）进行投标，投标文件中所有关于投标资格的文件、证明、陈述均是真实的、准确的。若有违背，我公司（单位）愿意承担由此而产生的一切后果。</w:t>
      </w:r>
      <w:r>
        <w:rPr>
          <w:rFonts w:hint="eastAsia" w:ascii="宋体" w:hAnsi="宋体" w:cs="宋体"/>
          <w:bCs/>
          <w:color w:val="000000"/>
          <w:sz w:val="24"/>
          <w:szCs w:val="24"/>
          <w:highlight w:val="none"/>
        </w:rPr>
      </w:r>
      <w:r/>
    </w:p>
    <w:p>
      <w:pPr>
        <w:pStyle w:val="880"/>
        <w:ind w:firstLine="482"/>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43"/>
        <w:spacing w:line="48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43"/>
        <w:spacing w:line="48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投标供应商（盖章）： </w:t>
      </w:r>
      <w:r>
        <w:rPr>
          <w:rFonts w:hint="eastAsia" w:ascii="宋体" w:hAnsi="宋体" w:cs="宋体"/>
          <w:bCs/>
          <w:color w:val="000000"/>
          <w:sz w:val="24"/>
          <w:szCs w:val="24"/>
          <w:highlight w:val="none"/>
        </w:rPr>
      </w:r>
      <w:r/>
    </w:p>
    <w:p>
      <w:pPr>
        <w:pStyle w:val="843"/>
        <w:spacing w:line="48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法定代表人（签字或签章）：</w:t>
      </w:r>
      <w:r>
        <w:rPr>
          <w:rFonts w:hint="eastAsia" w:ascii="宋体" w:hAnsi="宋体" w:cs="宋体"/>
          <w:bCs/>
          <w:color w:val="000000"/>
          <w:sz w:val="24"/>
          <w:szCs w:val="24"/>
          <w:highlight w:val="none"/>
        </w:rPr>
      </w:r>
      <w:r/>
    </w:p>
    <w:p>
      <w:pPr>
        <w:pStyle w:val="843"/>
        <w:jc w:val="center"/>
        <w:spacing w:line="480" w:lineRule="auto"/>
        <w:tabs>
          <w:tab w:val="left" w:pos="63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日期：</w:t>
      </w:r>
      <w:r>
        <w:rPr>
          <w:rFonts w:hint="eastAsia" w:ascii="宋体" w:hAnsi="宋体" w:cs="宋体"/>
          <w:bCs/>
          <w:color w:val="000000"/>
          <w:sz w:val="24"/>
          <w:szCs w:val="24"/>
          <w:highlight w:val="none"/>
        </w:rPr>
      </w:r>
      <w:r/>
    </w:p>
    <w:p>
      <w:pPr>
        <w:pStyle w:val="843"/>
        <w:jc w:val="left"/>
        <w:spacing w:line="480" w:lineRule="auto"/>
        <w:tabs>
          <w:tab w:val="left" w:pos="63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43"/>
        <w:ind w:firstLine="480"/>
        <w:jc w:val="left"/>
        <w:spacing w:line="480" w:lineRule="auto"/>
        <w:tabs>
          <w:tab w:val="left" w:pos="6300" w:leader="none"/>
        </w:tabs>
        <w:rPr>
          <w:rFonts w:hint="eastAsia" w:ascii="宋体" w:hAnsi="宋体" w:cs="宋体"/>
          <w:color w:val="000000"/>
          <w:sz w:val="28"/>
          <w:szCs w:val="28"/>
          <w:highlight w:val="none"/>
        </w:rPr>
      </w:pPr>
      <w:r>
        <w:rPr>
          <w:rFonts w:hint="eastAsia" w:ascii="宋体" w:hAnsi="宋体" w:cs="宋体"/>
          <w:color w:val="000000"/>
          <w:sz w:val="24"/>
          <w:szCs w:val="24"/>
          <w:highlight w:val="none"/>
        </w:rPr>
        <w:t xml:space="preserve">注：“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r>
        <w:rPr>
          <w:rFonts w:hint="eastAsia" w:ascii="宋体" w:hAnsi="宋体" w:cs="宋体"/>
          <w:color w:val="000000"/>
          <w:sz w:val="28"/>
          <w:szCs w:val="28"/>
          <w:highlight w:val="none"/>
        </w:rPr>
      </w:r>
      <w:r/>
    </w:p>
    <w:p>
      <w:pPr>
        <w:pStyle w:val="846"/>
        <w:jc w:val="left"/>
        <w:spacing w:before="120" w:after="120"/>
        <w:rPr>
          <w:rFonts w:hint="eastAsia" w:ascii="宋体" w:hAnsi="宋体" w:eastAsia="宋体" w:cs="宋体"/>
          <w:color w:val="000000"/>
          <w:sz w:val="28"/>
          <w:szCs w:val="28"/>
          <w:highlight w:val="none"/>
        </w:rPr>
        <w:sectPr>
          <w:footnotePr/>
          <w:endnotePr/>
          <w:type w:val="nextPage"/>
          <w:pgSz w:w="11906" w:h="16838" w:orient="portrait"/>
          <w:pgMar w:top="1440" w:right="1440" w:bottom="1440" w:left="1440" w:header="850" w:footer="992" w:gutter="0"/>
          <w:cols w:num="1" w:sep="0" w:space="1701" w:equalWidth="1"/>
          <w:docGrid w:linePitch="360"/>
        </w:sectPr>
      </w:pPr>
      <w:r>
        <w:rPr>
          <w:rFonts w:hint="eastAsia" w:ascii="宋体" w:hAnsi="宋体" w:eastAsia="宋体" w:cs="宋体"/>
          <w:color w:val="000000"/>
          <w:sz w:val="28"/>
          <w:szCs w:val="28"/>
          <w:highlight w:val="none"/>
        </w:rPr>
      </w:r>
      <w:r/>
    </w:p>
    <w:p>
      <w:pPr>
        <w:pStyle w:val="846"/>
        <w:jc w:val="left"/>
        <w:spacing w:before="120" w:after="1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（5）（投标供应商）中小企业声明函（格式）：</w:t>
      </w:r>
      <w:r>
        <w:rPr>
          <w:rFonts w:hint="eastAsia" w:ascii="宋体" w:hAnsi="宋体" w:eastAsia="宋体" w:cs="宋体"/>
          <w:color w:val="000000"/>
          <w:sz w:val="28"/>
          <w:szCs w:val="28"/>
          <w:highlight w:val="none"/>
        </w:rPr>
      </w:r>
      <w:r/>
    </w:p>
    <w:p>
      <w:pPr>
        <w:pStyle w:val="861"/>
        <w:ind w:right="0"/>
        <w:spacing w:line="360" w:lineRule="auto"/>
        <w:rPr>
          <w:rFonts w:hint="eastAsia" w:ascii="宋体" w:hAnsi="宋体" w:cs="宋体"/>
          <w:color w:val="000000"/>
          <w:highlight w:val="none"/>
        </w:rPr>
      </w:pPr>
      <w:r>
        <w:rPr>
          <w:rFonts w:hint="eastAsia" w:ascii="宋体" w:hAnsi="宋体" w:cs="宋体"/>
          <w:color w:val="000000"/>
          <w:highlight w:val="none"/>
        </w:rPr>
        <w:t xml:space="preserve">一、常规说明：</w:t>
      </w:r>
      <w:r>
        <w:rPr>
          <w:rFonts w:hint="eastAsia" w:ascii="宋体" w:hAnsi="宋体" w:cs="宋体"/>
          <w:color w:val="000000"/>
          <w:highlight w:val="none"/>
        </w:rPr>
      </w:r>
      <w:r/>
    </w:p>
    <w:p>
      <w:pPr>
        <w:pStyle w:val="861"/>
        <w:ind w:left="0" w:right="0"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参与政府采购活动的供应商对其企业规模实行承诺制，并对其声明的真实性承担法律责任，在资格审查和评审过程中无需提供证明其企业规模的其他材料。</w:t>
      </w:r>
      <w:r>
        <w:rPr>
          <w:rFonts w:hint="eastAsia" w:ascii="宋体" w:hAnsi="宋体" w:cs="宋体"/>
          <w:color w:val="000000"/>
          <w:highlight w:val="none"/>
        </w:rPr>
      </w:r>
      <w:r/>
    </w:p>
    <w:p>
      <w:pPr>
        <w:pStyle w:val="861"/>
        <w:ind w:left="0" w:right="0"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2、中小企业声明函</w:t>
      </w:r>
      <w:r>
        <w:rPr>
          <w:rFonts w:hint="eastAsia" w:ascii="宋体" w:hAnsi="宋体" w:cs="宋体"/>
          <w:b/>
          <w:bCs/>
          <w:i/>
          <w:iCs/>
          <w:color w:val="000000"/>
          <w:sz w:val="32"/>
          <w:szCs w:val="22"/>
          <w:highlight w:val="none"/>
          <w:u w:val="single"/>
        </w:rPr>
        <w:t xml:space="preserve">不可删除</w:t>
      </w:r>
      <w:r>
        <w:rPr>
          <w:rFonts w:hint="eastAsia" w:ascii="宋体" w:hAnsi="宋体" w:cs="宋体"/>
          <w:color w:val="000000"/>
          <w:highlight w:val="none"/>
        </w:rPr>
        <w:t xml:space="preserve">。</w:t>
      </w:r>
      <w:r>
        <w:rPr>
          <w:rFonts w:hint="eastAsia" w:ascii="宋体" w:hAnsi="宋体" w:cs="宋体"/>
          <w:color w:val="000000"/>
          <w:highlight w:val="none"/>
        </w:rPr>
      </w:r>
      <w:r/>
    </w:p>
    <w:p>
      <w:pPr>
        <w:pStyle w:val="861"/>
        <w:ind w:left="0" w:right="0"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3、从业人员、营业收入、资产总额填报上一年度数据，无上一年度数据的新成立企业可不填报。</w:t>
      </w:r>
      <w:r>
        <w:rPr>
          <w:rFonts w:hint="eastAsia" w:ascii="宋体" w:hAnsi="宋体" w:cs="宋体"/>
          <w:color w:val="000000"/>
          <w:highlight w:val="none"/>
        </w:rPr>
      </w:r>
      <w:r/>
    </w:p>
    <w:p>
      <w:pPr>
        <w:pStyle w:val="861"/>
        <w:ind w:left="0" w:right="0"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4、投标供应商需提供《中小企业声明函》方可享受政府采购相关政策。</w:t>
      </w:r>
      <w:r>
        <w:rPr>
          <w:rFonts w:hint="eastAsia" w:ascii="宋体" w:hAnsi="宋体" w:cs="宋体"/>
          <w:color w:val="000000"/>
          <w:highlight w:val="none"/>
        </w:rPr>
      </w:r>
      <w:r/>
    </w:p>
    <w:p>
      <w:pPr>
        <w:pStyle w:val="861"/>
        <w:ind w:left="0" w:right="0"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5、在货物采购项目中，供应商提供的货物既有中小企业制造的货物，也有大型企业制造的货物的，不享受本办法规定的中小企业扶持政策。</w:t>
      </w:r>
      <w:r>
        <w:rPr>
          <w:rFonts w:hint="eastAsia" w:ascii="宋体" w:hAnsi="宋体" w:cs="宋体"/>
          <w:color w:val="000000"/>
          <w:highlight w:val="none"/>
        </w:rPr>
      </w:r>
      <w:r/>
    </w:p>
    <w:p>
      <w:pPr>
        <w:pStyle w:val="861"/>
        <w:ind w:left="0" w:right="0"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6、中标、</w:t>
      </w:r>
      <w:r>
        <w:rPr>
          <w:rFonts w:hint="eastAsia" w:ascii="宋体" w:hAnsi="宋体" w:cs="宋体"/>
          <w:color w:val="000000"/>
          <w:highlight w:val="none"/>
        </w:rPr>
        <w:t xml:space="preserve">成交</w:t>
      </w:r>
      <w:r>
        <w:rPr>
          <w:rFonts w:hint="eastAsia" w:ascii="宋体" w:hAnsi="宋体" w:cs="宋体"/>
          <w:color w:val="000000"/>
          <w:highlight w:val="none"/>
        </w:rPr>
        <w:t xml:space="preserve">供应商的《中小企业声明函》将随中标、成交公告进行公示。供应商提供的声明函内容不实的，属于提供虚假材料谋取中标、成交，依照《中华人民共和国政府采购法》等国家有关规定追究相应责任。</w:t>
      </w:r>
      <w:r>
        <w:rPr>
          <w:rFonts w:hint="eastAsia" w:ascii="宋体" w:hAnsi="宋体" w:cs="宋体"/>
          <w:color w:val="000000"/>
          <w:highlight w:val="none"/>
        </w:rPr>
      </w:r>
      <w:r/>
    </w:p>
    <w:p>
      <w:pPr>
        <w:pStyle w:val="843"/>
        <w:jc w:val="center"/>
        <w:spacing w:line="480" w:lineRule="auto"/>
        <w:rPr>
          <w:rFonts w:hint="eastAsia" w:ascii="宋体" w:hAnsi="宋体" w:cs="宋体"/>
          <w:bCs/>
          <w:color w:val="000000"/>
          <w:sz w:val="28"/>
          <w:szCs w:val="28"/>
          <w:highlight w:val="none"/>
        </w:rPr>
      </w:pPr>
      <w:r>
        <w:rPr>
          <w:rFonts w:hint="eastAsia" w:ascii="宋体" w:hAnsi="宋体" w:cs="宋体"/>
          <w:b/>
          <w:bCs/>
          <w:color w:val="000000"/>
          <w:highlight w:val="none"/>
        </w:rPr>
        <w:br w:type="column"/>
      </w:r>
      <w:r>
        <w:rPr>
          <w:rFonts w:hint="eastAsia" w:ascii="宋体" w:hAnsi="宋体" w:cs="宋体"/>
          <w:bCs/>
          <w:color w:val="000000"/>
          <w:sz w:val="28"/>
          <w:szCs w:val="28"/>
          <w:highlight w:val="none"/>
        </w:rPr>
        <w:t xml:space="preserve">（5-1）中小企业声明函</w:t>
      </w:r>
      <w:r>
        <w:rPr>
          <w:rFonts w:hint="eastAsia" w:ascii="宋体" w:hAnsi="宋体" w:cs="宋体"/>
          <w:bCs/>
          <w:color w:val="000000"/>
          <w:sz w:val="28"/>
          <w:szCs w:val="28"/>
          <w:highlight w:val="none"/>
        </w:rPr>
      </w:r>
      <w:r/>
    </w:p>
    <w:p>
      <w:pPr>
        <w:pStyle w:val="843"/>
        <w:ind w:firstLine="480"/>
        <w:spacing w:line="360" w:lineRule="auto"/>
        <w:rPr>
          <w:rFonts w:hint="eastAsia" w:ascii="宋体" w:hAnsi="宋体" w:cs="宋体"/>
          <w:bCs/>
          <w:color w:val="000000"/>
          <w:sz w:val="24"/>
          <w:szCs w:val="24"/>
          <w:highlight w:val="none"/>
        </w:rPr>
      </w:pPr>
      <w:r>
        <w:rPr>
          <w:rFonts w:hint="eastAsia" w:ascii="宋体" w:hAnsi="宋体" w:cs="宋体"/>
          <w:color w:val="000000"/>
          <w:sz w:val="24"/>
          <w:highlight w:val="none"/>
        </w:rPr>
        <w:t xml:space="preserve">     </w:t>
      </w:r>
      <w:r>
        <w:rPr>
          <w:rFonts w:hint="eastAsia" w:ascii="宋体" w:hAnsi="宋体" w:cs="宋体"/>
          <w:bCs/>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cs="宋体"/>
          <w:bCs/>
          <w:color w:val="000000"/>
          <w:sz w:val="24"/>
          <w:szCs w:val="24"/>
          <w:highlight w:val="none"/>
          <w:u w:val="single"/>
        </w:rPr>
        <w:t xml:space="preserve">（单位名称）</w:t>
      </w:r>
      <w:r>
        <w:rPr>
          <w:rFonts w:hint="eastAsia" w:ascii="宋体" w:hAnsi="宋体" w:cs="宋体"/>
          <w:bCs/>
          <w:color w:val="000000"/>
          <w:sz w:val="24"/>
          <w:szCs w:val="24"/>
          <w:highlight w:val="none"/>
        </w:rPr>
        <w:t xml:space="preserve">的</w:t>
      </w:r>
      <w:r>
        <w:rPr>
          <w:rFonts w:hint="eastAsia" w:ascii="宋体" w:hAnsi="宋体" w:cs="宋体"/>
          <w:bCs/>
          <w:color w:val="000000"/>
          <w:sz w:val="24"/>
          <w:szCs w:val="24"/>
          <w:highlight w:val="none"/>
          <w:u w:val="single"/>
        </w:rPr>
        <w:t xml:space="preserve">（项目名称）</w:t>
      </w:r>
      <w:r>
        <w:rPr>
          <w:rFonts w:hint="eastAsia" w:ascii="宋体" w:hAnsi="宋体" w:cs="宋体"/>
          <w:bCs/>
          <w:color w:val="000000"/>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bCs/>
          <w:color w:val="000000"/>
          <w:sz w:val="24"/>
          <w:szCs w:val="24"/>
          <w:highlight w:val="none"/>
        </w:rPr>
      </w:r>
      <w:r/>
    </w:p>
    <w:p>
      <w:pPr>
        <w:pStyle w:val="843"/>
        <w:ind w:firstLine="7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（招标文件中明确的所属行业）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843"/>
        <w:ind w:firstLine="7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u w:val="single"/>
        </w:rPr>
        <w:t xml:space="preserve">（标的名称）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（招标文件中明确的所属行业）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84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84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ascii="宋体" w:hAnsi="宋体" w:cs="宋体"/>
          <w:bCs/>
          <w:color w:val="000000"/>
          <w:sz w:val="24"/>
          <w:szCs w:val="24"/>
          <w:highlight w:val="none"/>
        </w:rPr>
      </w:r>
      <w:r/>
    </w:p>
    <w:p>
      <w:pPr>
        <w:pStyle w:val="843"/>
        <w:ind w:firstLine="480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企业名称（盖章）：</w:t>
      </w:r>
      <w:r>
        <w:rPr>
          <w:rFonts w:hint="eastAsia" w:ascii="宋体" w:hAnsi="宋体" w:cs="宋体"/>
          <w:bCs/>
          <w:color w:val="000000"/>
          <w:sz w:val="24"/>
          <w:szCs w:val="24"/>
          <w:highlight w:val="none"/>
        </w:rPr>
      </w:r>
      <w:r/>
    </w:p>
    <w:p>
      <w:pPr>
        <w:pStyle w:val="843"/>
        <w:ind w:firstLine="480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43"/>
        <w:ind w:firstLine="480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843"/>
        <w:ind w:firstLine="48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4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4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注：1.从业人员、营业收入、资产总额填报上一年度数据，无上一年度数据的新成立企业可不填报。</w:t>
      </w:r>
      <w:r>
        <w:rPr>
          <w:rFonts w:hint="eastAsia" w:ascii="宋体" w:hAnsi="宋体" w:eastAsia="宋体" w:cs="宋体"/>
          <w:color w:val="000000"/>
          <w:sz w:val="24"/>
          <w:highlight w:val="none"/>
        </w:rPr>
      </w:r>
      <w:r/>
    </w:p>
    <w:p>
      <w:pPr>
        <w:pStyle w:val="84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z w:val="24"/>
          <w:highlight w:val="none"/>
        </w:rPr>
      </w:r>
      <w:r/>
    </w:p>
    <w:p>
      <w:pPr>
        <w:pStyle w:val="846"/>
        <w:spacing w:before="120" w:after="120"/>
        <w:rPr>
          <w:rFonts w:hint="eastAsia" w:ascii="宋体" w:hAnsi="宋体" w:eastAsia="宋体" w:cs="宋体"/>
          <w:b w:val="0"/>
          <w:color w:val="000000"/>
          <w:sz w:val="28"/>
          <w:szCs w:val="28"/>
          <w:highlight w:val="none"/>
        </w:rPr>
      </w:pPr>
      <w:r>
        <w:rPr>
          <w:rFonts w:hint="eastAsia" w:ascii="宋体" w:hAnsi="宋体" w:eastAsia="宋体" w:cs="宋体"/>
          <w:b w:val="0"/>
          <w:color w:val="000000"/>
          <w:sz w:val="28"/>
          <w:szCs w:val="28"/>
          <w:highlight w:val="none"/>
        </w:rPr>
        <w:t xml:space="preserve">（5-2）残疾人福利性单位声明函</w:t>
      </w:r>
      <w:r>
        <w:rPr>
          <w:rFonts w:hint="eastAsia" w:ascii="宋体" w:hAnsi="宋体" w:eastAsia="宋体" w:cs="宋体"/>
          <w:b w:val="0"/>
          <w:color w:val="000000"/>
          <w:sz w:val="28"/>
          <w:szCs w:val="28"/>
          <w:highlight w:val="none"/>
        </w:rPr>
      </w:r>
      <w:r/>
    </w:p>
    <w:p>
      <w:pPr>
        <w:pStyle w:val="843"/>
        <w:jc w:val="center"/>
        <w:spacing w:line="588" w:lineRule="exact"/>
        <w:rPr>
          <w:rFonts w:hint="eastAsia" w:ascii="宋体" w:hAnsi="宋体" w:cs="宋体"/>
          <w:b/>
          <w:color w:val="000000"/>
          <w:spacing w:val="6"/>
          <w:sz w:val="24"/>
          <w:szCs w:val="24"/>
          <w:highlight w:val="none"/>
        </w:rPr>
      </w:pPr>
      <w:r>
        <w:rPr>
          <w:rFonts w:hint="eastAsia" w:ascii="宋体" w:hAnsi="宋体" w:cs="宋体"/>
          <w:b/>
          <w:color w:val="000000"/>
          <w:spacing w:val="6"/>
          <w:sz w:val="24"/>
          <w:szCs w:val="24"/>
          <w:highlight w:val="none"/>
        </w:rPr>
        <w:t xml:space="preserve">残疾人福利性单位声明函</w:t>
      </w:r>
      <w:r>
        <w:rPr>
          <w:rFonts w:hint="eastAsia" w:ascii="宋体" w:hAnsi="宋体" w:cs="宋体"/>
          <w:b/>
          <w:color w:val="000000"/>
          <w:spacing w:val="6"/>
          <w:sz w:val="24"/>
          <w:szCs w:val="24"/>
          <w:highlight w:val="none"/>
        </w:rPr>
      </w:r>
      <w:r/>
    </w:p>
    <w:p>
      <w:pPr>
        <w:pStyle w:val="843"/>
        <w:spacing w:line="588" w:lineRule="exact"/>
        <w:rPr>
          <w:rFonts w:hint="eastAsia" w:ascii="宋体" w:hAnsi="宋体" w:cs="宋体"/>
          <w:b/>
          <w:color w:val="000000"/>
          <w:spacing w:val="6"/>
          <w:sz w:val="24"/>
          <w:szCs w:val="24"/>
          <w:highlight w:val="none"/>
        </w:rPr>
      </w:pPr>
      <w:r>
        <w:rPr>
          <w:rFonts w:hint="eastAsia" w:ascii="宋体" w:hAnsi="宋体" w:cs="宋体"/>
          <w:b/>
          <w:color w:val="000000"/>
          <w:spacing w:val="6"/>
          <w:sz w:val="24"/>
          <w:szCs w:val="24"/>
          <w:highlight w:val="none"/>
        </w:rPr>
      </w:r>
      <w:r/>
    </w:p>
    <w:p>
      <w:pPr>
        <w:pStyle w:val="843"/>
        <w:ind w:firstLine="504"/>
        <w:spacing w:line="588" w:lineRule="exact"/>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szCs w:val="24"/>
          <w:highlight w:val="none"/>
        </w:rPr>
        <w:t xml:space="preserve">〔2017〕141</w:t>
      </w:r>
      <w:r>
        <w:rPr>
          <w:rFonts w:hint="eastAsia" w:ascii="宋体" w:hAnsi="宋体" w:cs="宋体"/>
          <w:color w:val="000000"/>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szCs w:val="24"/>
          <w:highlight w:val="none"/>
        </w:rPr>
      </w:r>
      <w:r/>
    </w:p>
    <w:p>
      <w:pPr>
        <w:pStyle w:val="843"/>
        <w:ind w:firstLine="504"/>
        <w:spacing w:line="588" w:lineRule="exact"/>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本单位对上述声明的真实性负责。如有虚假，将依法承担相应责任。</w:t>
      </w:r>
      <w:r>
        <w:rPr>
          <w:rFonts w:hint="eastAsia" w:ascii="宋体" w:hAnsi="宋体" w:cs="宋体"/>
          <w:color w:val="000000"/>
          <w:spacing w:val="6"/>
          <w:sz w:val="24"/>
          <w:szCs w:val="24"/>
          <w:highlight w:val="none"/>
        </w:rPr>
      </w:r>
      <w:r/>
    </w:p>
    <w:p>
      <w:pPr>
        <w:pStyle w:val="843"/>
        <w:ind w:firstLine="504"/>
        <w:spacing w:line="588" w:lineRule="exact"/>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r>
      <w:r/>
    </w:p>
    <w:p>
      <w:pPr>
        <w:pStyle w:val="843"/>
        <w:ind w:firstLine="504"/>
        <w:spacing w:line="588" w:lineRule="exact"/>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r>
      <w:r/>
    </w:p>
    <w:p>
      <w:pPr>
        <w:pStyle w:val="843"/>
        <w:ind w:right="1560" w:firstLine="480"/>
        <w:jc w:val="center"/>
        <w:spacing w:line="588" w:lineRule="exact"/>
        <w:tabs>
          <w:tab w:val="left" w:pos="4860" w:leader="none"/>
        </w:tabs>
        <w:rPr>
          <w:rFonts w:hint="eastAsia" w:ascii="宋体" w:hAnsi="宋体" w:cs="宋体"/>
          <w:color w:val="000000"/>
          <w:spacing w:val="6"/>
          <w:sz w:val="24"/>
          <w:szCs w:val="24"/>
          <w:highlight w:val="none"/>
        </w:rPr>
      </w:pPr>
      <w:r>
        <w:rPr>
          <w:rFonts w:hint="eastAsia" w:ascii="宋体" w:hAnsi="宋体" w:cs="宋体"/>
          <w:bCs/>
          <w:color w:val="000000"/>
          <w:sz w:val="24"/>
          <w:highlight w:val="none"/>
        </w:rPr>
        <w:t xml:space="preserve">投标供应商</w:t>
      </w:r>
      <w:r>
        <w:rPr>
          <w:rFonts w:hint="eastAsia" w:ascii="宋体" w:hAnsi="宋体" w:cs="宋体"/>
          <w:color w:val="000000"/>
          <w:spacing w:val="6"/>
          <w:sz w:val="24"/>
          <w:szCs w:val="24"/>
          <w:highlight w:val="none"/>
        </w:rPr>
        <w:t xml:space="preserve">（盖章）：</w:t>
      </w:r>
      <w:r>
        <w:rPr>
          <w:rFonts w:hint="eastAsia" w:ascii="宋体" w:hAnsi="宋体" w:cs="宋体"/>
          <w:color w:val="000000"/>
          <w:spacing w:val="6"/>
          <w:sz w:val="24"/>
          <w:szCs w:val="24"/>
          <w:highlight w:val="none"/>
        </w:rPr>
      </w:r>
      <w:r/>
    </w:p>
    <w:p>
      <w:pPr>
        <w:pStyle w:val="843"/>
        <w:ind w:right="1560" w:firstLine="504"/>
        <w:jc w:val="center"/>
        <w:spacing w:line="588" w:lineRule="exact"/>
        <w:tabs>
          <w:tab w:val="left" w:pos="4860" w:leader="none"/>
        </w:tabs>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       日  期：</w:t>
      </w:r>
      <w:r>
        <w:rPr>
          <w:rFonts w:hint="eastAsia" w:ascii="宋体" w:hAnsi="宋体" w:cs="宋体"/>
          <w:color w:val="000000"/>
          <w:spacing w:val="6"/>
          <w:sz w:val="24"/>
          <w:szCs w:val="24"/>
          <w:highlight w:val="none"/>
        </w:rPr>
      </w:r>
      <w:r/>
    </w:p>
    <w:p>
      <w:pPr>
        <w:pStyle w:val="843"/>
        <w:rPr>
          <w:rFonts w:hint="eastAsia" w:ascii="宋体" w:hAnsi="宋体" w:cs="宋体"/>
          <w:color w:val="000000"/>
          <w:highlight w:val="none"/>
        </w:rPr>
      </w:pPr>
      <w:r>
        <w:rPr>
          <w:rFonts w:hint="eastAsia" w:ascii="宋体" w:hAnsi="宋体" w:cs="宋体"/>
          <w:color w:val="000000"/>
          <w:highlight w:val="none"/>
        </w:rPr>
      </w:r>
      <w:r/>
    </w:p>
    <w:p>
      <w:pPr>
        <w:pStyle w:val="843"/>
        <w:rPr>
          <w:rFonts w:hint="eastAsia" w:ascii="宋体" w:hAnsi="宋体" w:cs="宋体"/>
          <w:color w:val="000000"/>
          <w:highlight w:val="none"/>
        </w:rPr>
      </w:pPr>
      <w:r>
        <w:rPr>
          <w:rFonts w:hint="eastAsia" w:ascii="宋体" w:hAnsi="宋体" w:cs="宋体"/>
          <w:color w:val="000000"/>
          <w:highlight w:val="none"/>
        </w:rPr>
      </w:r>
      <w:r/>
    </w:p>
    <w:p>
      <w:pPr>
        <w:pStyle w:val="843"/>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如投标供应商不符合相关标准，本表可删除，无需列入投标文件。</w:t>
      </w:r>
      <w:r>
        <w:rPr>
          <w:rFonts w:hint="eastAsia" w:ascii="宋体" w:hAnsi="宋体" w:cs="宋体"/>
          <w:color w:val="000000"/>
          <w:highlight w:val="none"/>
        </w:rPr>
        <w:br w:type="page" w:clear="all"/>
      </w:r>
      <w:r>
        <w:rPr>
          <w:rFonts w:hint="eastAsia" w:ascii="宋体" w:hAnsi="宋体" w:cs="宋体"/>
          <w:bCs/>
          <w:color w:val="000000"/>
          <w:sz w:val="24"/>
          <w:szCs w:val="24"/>
          <w:highlight w:val="none"/>
        </w:rPr>
      </w:r>
      <w:r/>
    </w:p>
    <w:p>
      <w:pPr>
        <w:pStyle w:val="890"/>
        <w:ind w:firstLine="0"/>
        <w:rPr>
          <w:rFonts w:hint="eastAsia" w:ascii="宋体" w:hAnsi="宋体" w:cs="宋体"/>
          <w:bCs/>
          <w:color w:val="000000"/>
          <w:sz w:val="36"/>
          <w:szCs w:val="24"/>
          <w:highlight w:val="none"/>
        </w:rPr>
        <w:outlineLvl w:val="0"/>
      </w:pPr>
      <w:r/>
      <w:bookmarkStart w:id="72" w:name="_Toc66735308"/>
      <w:r>
        <w:rPr>
          <w:rFonts w:hint="eastAsia" w:ascii="宋体" w:hAnsi="宋体" w:cs="宋体"/>
          <w:b/>
          <w:color w:val="000000"/>
          <w:sz w:val="24"/>
          <w:szCs w:val="24"/>
          <w:highlight w:val="none"/>
        </w:rPr>
        <w:t xml:space="preserve">2.投标函部分</w:t>
      </w:r>
      <w:bookmarkEnd w:id="72"/>
      <w:r>
        <w:rPr>
          <w:rFonts w:hint="eastAsia" w:ascii="宋体" w:hAnsi="宋体" w:cs="宋体"/>
          <w:bCs/>
          <w:color w:val="000000"/>
          <w:sz w:val="36"/>
          <w:szCs w:val="24"/>
          <w:highlight w:val="none"/>
        </w:rPr>
      </w:r>
      <w:r/>
    </w:p>
    <w:p>
      <w:pPr>
        <w:pStyle w:val="843"/>
        <w:rPr>
          <w:rFonts w:hint="eastAsia" w:ascii="宋体" w:hAnsi="宋体" w:cs="宋体"/>
          <w:color w:val="000000"/>
          <w:highlight w:val="none"/>
        </w:rPr>
      </w:pPr>
      <w:r>
        <w:rPr>
          <w:rFonts w:hint="eastAsia" w:ascii="宋体" w:hAnsi="宋体" w:cs="宋体"/>
          <w:color w:val="000000"/>
          <w:highlight w:val="none"/>
        </w:rPr>
      </w:r>
      <w:r/>
    </w:p>
    <w:p>
      <w:pPr>
        <w:pStyle w:val="846"/>
        <w:jc w:val="left"/>
        <w:spacing w:before="120" w:after="120"/>
        <w:rPr>
          <w:rFonts w:hint="eastAsia" w:ascii="宋体" w:hAnsi="宋体" w:eastAsia="宋体" w:cs="宋体"/>
          <w:color w:val="000000"/>
          <w:sz w:val="28"/>
          <w:szCs w:val="28"/>
          <w:highlight w:val="none"/>
        </w:rPr>
      </w:pPr>
      <w:r/>
      <w:bookmarkStart w:id="73" w:name="_Toc60301604"/>
      <w:r/>
      <w:bookmarkStart w:id="74" w:name="_Toc64989714"/>
      <w:r/>
      <w:bookmarkStart w:id="75" w:name="_Toc55324260"/>
      <w:r/>
      <w:bookmarkStart w:id="76" w:name="_Toc57380469"/>
      <w:r/>
      <w:bookmarkStart w:id="77" w:name="_Toc60236192"/>
      <w:r>
        <w:rPr>
          <w:rFonts w:hint="eastAsia" w:ascii="宋体" w:hAnsi="宋体" w:eastAsia="宋体" w:cs="宋体"/>
          <w:color w:val="000000"/>
          <w:sz w:val="28"/>
          <w:szCs w:val="28"/>
          <w:highlight w:val="none"/>
        </w:rPr>
        <w:t xml:space="preserve">（1）投标函（格式）：</w:t>
      </w:r>
      <w:r>
        <w:rPr>
          <w:rFonts w:hint="eastAsia" w:ascii="宋体" w:hAnsi="宋体" w:eastAsia="宋体" w:cs="宋体"/>
          <w:color w:val="000000"/>
          <w:sz w:val="28"/>
          <w:szCs w:val="28"/>
          <w:highlight w:val="none"/>
        </w:rPr>
      </w:r>
      <w:r/>
    </w:p>
    <w:p>
      <w:pPr>
        <w:pStyle w:val="843"/>
        <w:rPr>
          <w:rFonts w:hint="eastAsia" w:ascii="宋体" w:hAnsi="宋体" w:cs="宋体"/>
          <w:color w:val="000000"/>
          <w:highlight w:val="none"/>
        </w:rPr>
      </w:pPr>
      <w:r>
        <w:rPr>
          <w:rFonts w:hint="eastAsia" w:ascii="宋体" w:hAnsi="宋体" w:cs="宋体"/>
          <w:color w:val="000000"/>
          <w:highlight w:val="none"/>
        </w:rPr>
      </w:r>
      <w:r/>
    </w:p>
    <w:p>
      <w:pPr>
        <w:pStyle w:val="843"/>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投标函</w:t>
      </w:r>
      <w:r>
        <w:rPr>
          <w:rFonts w:hint="eastAsia" w:ascii="宋体" w:hAnsi="宋体" w:cs="宋体"/>
          <w:bCs/>
          <w:color w:val="000000"/>
          <w:sz w:val="28"/>
          <w:szCs w:val="28"/>
          <w:highlight w:val="none"/>
        </w:rPr>
      </w:r>
      <w:r/>
    </w:p>
    <w:p>
      <w:pPr>
        <w:pStyle w:val="843"/>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致无锡市精神卫生中心：</w:t>
      </w:r>
      <w:r>
        <w:rPr>
          <w:rFonts w:hint="eastAsia" w:ascii="宋体" w:hAnsi="宋体" w:cs="宋体"/>
          <w:bCs/>
          <w:color w:val="000000"/>
          <w:sz w:val="24"/>
          <w:szCs w:val="24"/>
          <w:highlight w:val="none"/>
        </w:rPr>
      </w:r>
      <w:r/>
    </w:p>
    <w:p>
      <w:pPr>
        <w:pStyle w:val="84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一、根据已收到的采购编号为</w:t>
      </w: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rPr>
        <w:t xml:space="preserve">的</w:t>
      </w:r>
      <w:r>
        <w:rPr>
          <w:rFonts w:hint="eastAsia" w:ascii="宋体" w:hAnsi="宋体" w:cs="宋体"/>
          <w:b/>
          <w:color w:val="000000"/>
          <w:sz w:val="24"/>
          <w:highlight w:val="none"/>
          <w:u w:val="single"/>
        </w:rPr>
        <w:t xml:space="preserve">   （采购项目名称 ）   </w:t>
      </w:r>
      <w:r>
        <w:rPr>
          <w:rFonts w:hint="eastAsia" w:ascii="宋体" w:hAnsi="宋体" w:cs="宋体"/>
          <w:color w:val="000000"/>
          <w:sz w:val="24"/>
          <w:highlight w:val="none"/>
        </w:rPr>
        <w:t xml:space="preserve">的公开招标文件，遵照国家法律、法规和规章的有关规定，我方经过对招标文件等所有文件的研究后，我方愿承接本项目。</w:t>
      </w:r>
      <w:r>
        <w:rPr>
          <w:rFonts w:hint="eastAsia" w:ascii="宋体" w:hAnsi="宋体" w:cs="宋体"/>
          <w:color w:val="000000"/>
          <w:sz w:val="24"/>
          <w:highlight w:val="none"/>
        </w:rPr>
      </w:r>
      <w:r/>
    </w:p>
    <w:p>
      <w:pPr>
        <w:pStyle w:val="84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二、我方已详细审核全部招标文件，包括修改文件（如有）及有关附件，并响应招标文件各条款。</w:t>
      </w:r>
      <w:r>
        <w:rPr>
          <w:rFonts w:hint="eastAsia" w:ascii="宋体" w:hAnsi="宋体" w:cs="宋体"/>
          <w:color w:val="000000"/>
          <w:sz w:val="24"/>
          <w:highlight w:val="none"/>
        </w:rPr>
      </w:r>
      <w:r/>
    </w:p>
    <w:p>
      <w:pPr>
        <w:pStyle w:val="84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三、一旦我方中标，我方将按照招标文件的规定，严格履行合同期限，保证于承诺的时间内完成，并交付采购人验收、使用。</w:t>
      </w:r>
      <w:r>
        <w:rPr>
          <w:rFonts w:hint="eastAsia" w:ascii="宋体" w:hAnsi="宋体" w:cs="宋体"/>
          <w:color w:val="000000"/>
          <w:sz w:val="24"/>
          <w:highlight w:val="none"/>
        </w:rPr>
      </w:r>
      <w:r/>
    </w:p>
    <w:p>
      <w:pPr>
        <w:pStyle w:val="84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四、除非另外达成协议并生效，你方的中标通知书和本投标文件将成为约束双方的合同文件的组成部分；</w:t>
      </w:r>
      <w:r>
        <w:rPr>
          <w:rFonts w:hint="eastAsia" w:ascii="宋体" w:hAnsi="宋体" w:cs="宋体"/>
          <w:color w:val="000000"/>
          <w:sz w:val="24"/>
          <w:highlight w:val="none"/>
        </w:rPr>
      </w:r>
      <w:r/>
    </w:p>
    <w:p>
      <w:pPr>
        <w:pStyle w:val="843"/>
        <w:ind w:firstLine="480"/>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五、我方愿意提供北京建智达工程管理股份有限公司在招标文件中要求的文件、资料。</w:t>
      </w:r>
      <w:r>
        <w:rPr>
          <w:rFonts w:hint="eastAsia" w:ascii="宋体" w:hAnsi="宋体" w:cs="宋体"/>
          <w:color w:val="000000"/>
          <w:sz w:val="24"/>
          <w:highlight w:val="none"/>
        </w:rPr>
      </w:r>
      <w:r/>
    </w:p>
    <w:p>
      <w:pPr>
        <w:pStyle w:val="843"/>
        <w:ind w:firstLine="480"/>
        <w:spacing w:line="360" w:lineRule="auto"/>
        <w:tabs>
          <w:tab w:val="left" w:pos="315" w:leader="none"/>
          <w:tab w:val="left" w:pos="525" w:leader="none"/>
          <w:tab w:val="left" w:pos="840" w:leader="none"/>
          <w:tab w:val="left" w:pos="945"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六、我方同意按招标文件中的规定，本投标文件投标的有效期限为投标截止之日起90天。</w:t>
      </w:r>
      <w:r>
        <w:rPr>
          <w:rFonts w:hint="eastAsia" w:ascii="宋体" w:hAnsi="宋体" w:cs="宋体"/>
          <w:bCs/>
          <w:color w:val="000000"/>
          <w:sz w:val="24"/>
          <w:szCs w:val="24"/>
          <w:highlight w:val="none"/>
        </w:rPr>
      </w:r>
      <w:r/>
    </w:p>
    <w:p>
      <w:pPr>
        <w:pStyle w:val="843"/>
        <w:ind w:firstLine="480"/>
        <w:spacing w:line="360" w:lineRule="auto"/>
        <w:tabs>
          <w:tab w:val="left" w:pos="315" w:leader="none"/>
          <w:tab w:val="left" w:pos="525" w:leader="none"/>
          <w:tab w:val="left" w:pos="840" w:leader="none"/>
          <w:tab w:val="left" w:pos="945"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七、如果我方的投标文件被接受，我方将履行招标文件中规定的每一项要求，按期、按质、按量，完成任务。</w:t>
      </w:r>
      <w:r>
        <w:rPr>
          <w:rFonts w:hint="eastAsia" w:ascii="宋体" w:hAnsi="宋体" w:cs="宋体"/>
          <w:bCs/>
          <w:color w:val="000000"/>
          <w:sz w:val="24"/>
          <w:szCs w:val="24"/>
          <w:highlight w:val="none"/>
        </w:rPr>
      </w:r>
      <w:r/>
    </w:p>
    <w:p>
      <w:pPr>
        <w:pStyle w:val="843"/>
        <w:ind w:firstLine="480"/>
        <w:spacing w:line="360" w:lineRule="auto"/>
        <w:tabs>
          <w:tab w:val="left" w:pos="315" w:leader="none"/>
          <w:tab w:val="left" w:pos="525" w:leader="none"/>
          <w:tab w:val="left" w:pos="840" w:leader="none"/>
          <w:tab w:val="left" w:pos="945"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八、我方认为贵单位有权决定中标者。</w:t>
      </w:r>
      <w:r>
        <w:rPr>
          <w:rFonts w:hint="eastAsia" w:ascii="宋体" w:hAnsi="宋体" w:cs="宋体"/>
          <w:bCs/>
          <w:color w:val="000000"/>
          <w:sz w:val="24"/>
          <w:szCs w:val="24"/>
          <w:highlight w:val="none"/>
        </w:rPr>
      </w:r>
      <w:r/>
    </w:p>
    <w:p>
      <w:pPr>
        <w:pStyle w:val="843"/>
        <w:ind w:firstLine="480"/>
        <w:spacing w:line="360" w:lineRule="auto"/>
        <w:tabs>
          <w:tab w:val="left" w:pos="315" w:leader="none"/>
          <w:tab w:val="left" w:pos="525" w:leader="none"/>
          <w:tab w:val="left" w:pos="840" w:leader="none"/>
          <w:tab w:val="left" w:pos="945"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九、我方愿意遵守《中华人民共和国政府采购法》，并按《中华人民共和国民法典》、财政部《政府采购货物和服务招标投标管理办法》和合同条款履行自己的全部责任。在合同履行过程中，双方如有争议，按相关法规和有关文件规定处理。</w:t>
      </w:r>
      <w:r>
        <w:rPr>
          <w:rFonts w:hint="eastAsia" w:ascii="宋体" w:hAnsi="宋体" w:cs="宋体"/>
          <w:bCs/>
          <w:color w:val="000000"/>
          <w:sz w:val="24"/>
          <w:szCs w:val="24"/>
          <w:highlight w:val="none"/>
        </w:rPr>
      </w:r>
      <w:r/>
    </w:p>
    <w:p>
      <w:pPr>
        <w:pStyle w:val="843"/>
        <w:ind w:firstLine="480"/>
        <w:spacing w:line="360" w:lineRule="auto"/>
        <w:tabs>
          <w:tab w:val="left" w:pos="315" w:leader="none"/>
          <w:tab w:val="left" w:pos="525" w:leader="none"/>
          <w:tab w:val="left" w:pos="840" w:leader="none"/>
          <w:tab w:val="left" w:pos="945"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十、我方认可并遵守招标文件的所有规定，放弃对招标文件提出质疑的权利。</w:t>
      </w:r>
      <w:r>
        <w:rPr>
          <w:rFonts w:hint="eastAsia" w:ascii="宋体" w:hAnsi="宋体" w:cs="宋体"/>
          <w:bCs/>
          <w:color w:val="000000"/>
          <w:sz w:val="24"/>
          <w:szCs w:val="24"/>
          <w:highlight w:val="none"/>
        </w:rPr>
      </w:r>
      <w:r/>
    </w:p>
    <w:p>
      <w:pPr>
        <w:pStyle w:val="843"/>
        <w:ind w:firstLine="480"/>
        <w:spacing w:line="360" w:lineRule="auto"/>
        <w:tabs>
          <w:tab w:val="left" w:pos="315" w:leader="none"/>
          <w:tab w:val="left" w:pos="525" w:leader="none"/>
          <w:tab w:val="left" w:pos="840" w:leader="none"/>
          <w:tab w:val="left" w:pos="945"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十一、如果我方被确定为中标供应商且我方如无不可抗力，在投标截止期后撤回投标或中标后拒绝遵守投标承诺或拒绝在规定时间内与采购人签订合同或未履行招标文件、投标文件和合同条款的，一经查实，我方愿意赔偿由此而造成的一切损失，并同意接受按招标文件的相关要求对我方进行的处理。</w:t>
      </w:r>
      <w:r>
        <w:rPr>
          <w:rFonts w:hint="eastAsia" w:ascii="宋体" w:hAnsi="宋体" w:cs="宋体"/>
          <w:bCs/>
          <w:color w:val="000000"/>
          <w:sz w:val="24"/>
          <w:szCs w:val="24"/>
          <w:highlight w:val="none"/>
        </w:rPr>
      </w:r>
      <w:r/>
    </w:p>
    <w:p>
      <w:pPr>
        <w:pStyle w:val="843"/>
        <w:ind w:firstLine="7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43"/>
        <w:ind w:firstLine="480"/>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投标供应商（公章）：     </w:t>
      </w:r>
      <w:r>
        <w:rPr>
          <w:rFonts w:hint="eastAsia" w:ascii="宋体" w:hAnsi="宋体" w:cs="宋体"/>
          <w:bCs/>
          <w:color w:val="000000"/>
          <w:sz w:val="24"/>
          <w:szCs w:val="24"/>
          <w:highlight w:val="none"/>
        </w:rPr>
      </w:r>
      <w:r/>
    </w:p>
    <w:p>
      <w:pPr>
        <w:pStyle w:val="843"/>
        <w:ind w:firstLine="480"/>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843"/>
        <w:ind w:firstLine="480"/>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电话：                              传真：</w:t>
      </w:r>
      <w:r>
        <w:rPr>
          <w:rFonts w:hint="eastAsia" w:ascii="宋体" w:hAnsi="宋体" w:cs="宋体"/>
          <w:bCs/>
          <w:color w:val="000000"/>
          <w:sz w:val="24"/>
          <w:szCs w:val="24"/>
          <w:highlight w:val="none"/>
        </w:rPr>
      </w:r>
      <w:r/>
    </w:p>
    <w:p>
      <w:pPr>
        <w:pStyle w:val="843"/>
        <w:ind w:firstLine="480"/>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通讯地址：                          邮编：</w:t>
      </w:r>
      <w:r>
        <w:rPr>
          <w:rFonts w:hint="eastAsia" w:ascii="宋体" w:hAnsi="宋体" w:cs="宋体"/>
          <w:bCs/>
          <w:color w:val="000000"/>
          <w:sz w:val="24"/>
          <w:szCs w:val="24"/>
          <w:highlight w:val="none"/>
        </w:rPr>
        <w:br w:type="page" w:clear="all"/>
      </w:r>
      <w:r>
        <w:rPr>
          <w:rFonts w:hint="eastAsia" w:ascii="宋体" w:hAnsi="宋体" w:cs="宋体"/>
          <w:bCs/>
          <w:color w:val="000000"/>
          <w:sz w:val="24"/>
          <w:szCs w:val="24"/>
          <w:highlight w:val="none"/>
        </w:rPr>
      </w:r>
      <w:r/>
    </w:p>
    <w:p>
      <w:pPr>
        <w:pStyle w:val="846"/>
        <w:jc w:val="left"/>
        <w:spacing w:before="120" w:after="1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（2）开标一览表（格式）：</w:t>
      </w:r>
      <w:r>
        <w:rPr>
          <w:rFonts w:hint="eastAsia" w:ascii="宋体" w:hAnsi="宋体" w:eastAsia="宋体" w:cs="宋体"/>
          <w:color w:val="000000"/>
          <w:sz w:val="28"/>
          <w:szCs w:val="28"/>
          <w:highlight w:val="none"/>
        </w:rPr>
      </w:r>
      <w:r/>
    </w:p>
    <w:p>
      <w:pPr>
        <w:pStyle w:val="843"/>
        <w:jc w:val="center"/>
        <w:rPr>
          <w:rFonts w:hint="eastAsia" w:ascii="宋体" w:hAnsi="宋体" w:cs="宋体"/>
          <w:b/>
          <w:color w:val="000000"/>
          <w:sz w:val="28"/>
          <w:highlight w:val="none"/>
        </w:rPr>
      </w:pPr>
      <w:r>
        <w:rPr>
          <w:rFonts w:hint="eastAsia" w:ascii="宋体" w:hAnsi="宋体" w:cs="宋体"/>
          <w:b/>
          <w:color w:val="000000"/>
          <w:sz w:val="28"/>
          <w:highlight w:val="none"/>
        </w:rPr>
        <w:t xml:space="preserve">开标一览表</w:t>
      </w:r>
      <w:r>
        <w:rPr>
          <w:rFonts w:hint="eastAsia" w:ascii="宋体" w:hAnsi="宋体" w:cs="宋体"/>
          <w:b/>
          <w:color w:val="000000"/>
          <w:sz w:val="28"/>
          <w:highlight w:val="none"/>
        </w:rPr>
      </w:r>
      <w:r/>
    </w:p>
    <w:p>
      <w:pPr>
        <w:pStyle w:val="843"/>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项目名称：</w:t>
      </w:r>
      <w:r>
        <w:rPr>
          <w:rFonts w:hint="eastAsia" w:ascii="宋体" w:hAnsi="宋体" w:cs="宋体"/>
          <w:bCs/>
          <w:color w:val="000000"/>
          <w:sz w:val="24"/>
          <w:szCs w:val="24"/>
          <w:highlight w:val="none"/>
        </w:rPr>
      </w:r>
      <w:r/>
    </w:p>
    <w:p>
      <w:pPr>
        <w:pStyle w:val="843"/>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项目编号：</w:t>
      </w:r>
      <w:r>
        <w:rPr>
          <w:rFonts w:hint="eastAsia" w:ascii="宋体" w:hAnsi="宋体" w:cs="宋体"/>
          <w:bCs/>
          <w:color w:val="000000"/>
          <w:sz w:val="24"/>
          <w:szCs w:val="24"/>
          <w:highlight w:val="none"/>
        </w:rPr>
      </w:r>
      <w:r/>
    </w:p>
    <w:tbl>
      <w:tblPr>
        <w:tblW w:w="91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3"/>
        <w:gridCol w:w="2461"/>
        <w:gridCol w:w="6087"/>
      </w:tblGrid>
      <w:tr>
        <w:trPr>
          <w:trHeight w:val="17"/>
        </w:trPr>
        <w:tc>
          <w:tcPr>
            <w:tcW w:w="633" w:type="dxa"/>
            <w:vAlign w:val="center"/>
            <w:textDirection w:val="lrTb"/>
            <w:noWrap w:val="false"/>
          </w:tcPr>
          <w:p>
            <w:pPr>
              <w:pStyle w:val="843"/>
              <w:jc w:val="center"/>
              <w:spacing w:line="40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序号</w:t>
            </w:r>
            <w:r>
              <w:rPr>
                <w:rFonts w:hint="eastAsia" w:ascii="宋体" w:hAnsi="宋体" w:cs="宋体"/>
                <w:color w:val="000000"/>
                <w:sz w:val="24"/>
                <w:szCs w:val="24"/>
                <w:highlight w:val="none"/>
              </w:rPr>
            </w:r>
            <w:r/>
          </w:p>
        </w:tc>
        <w:tc>
          <w:tcPr>
            <w:tcW w:w="2461" w:type="dxa"/>
            <w:vAlign w:val="center"/>
            <w:textDirection w:val="lrTb"/>
            <w:noWrap w:val="false"/>
          </w:tcPr>
          <w:p>
            <w:pPr>
              <w:pStyle w:val="843"/>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投标内容</w:t>
            </w:r>
            <w:r>
              <w:rPr>
                <w:rFonts w:hint="eastAsia" w:ascii="宋体" w:hAnsi="宋体" w:cs="宋体"/>
                <w:color w:val="000000"/>
                <w:sz w:val="24"/>
                <w:szCs w:val="24"/>
                <w:highlight w:val="none"/>
              </w:rPr>
            </w:r>
            <w:r/>
          </w:p>
        </w:tc>
        <w:tc>
          <w:tcPr>
            <w:tcW w:w="6087" w:type="dxa"/>
            <w:vAlign w:val="center"/>
            <w:textDirection w:val="lrTb"/>
            <w:noWrap w:val="false"/>
          </w:tcPr>
          <w:p>
            <w:pPr>
              <w:pStyle w:val="843"/>
              <w:jc w:val="center"/>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投标明细</w:t>
            </w:r>
            <w:r>
              <w:rPr>
                <w:rFonts w:hint="eastAsia" w:ascii="宋体" w:hAnsi="宋体" w:cs="宋体"/>
                <w:bCs/>
                <w:color w:val="000000"/>
                <w:sz w:val="24"/>
                <w:szCs w:val="24"/>
                <w:highlight w:val="none"/>
              </w:rPr>
            </w:r>
            <w:r/>
          </w:p>
        </w:tc>
      </w:tr>
      <w:tr>
        <w:trPr>
          <w:cantSplit/>
          <w:trHeight w:val="1469"/>
        </w:trPr>
        <w:tc>
          <w:tcPr>
            <w:tcW w:w="633" w:type="dxa"/>
            <w:vAlign w:val="center"/>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2461" w:type="dxa"/>
            <w:vAlign w:val="center"/>
            <w:textDirection w:val="lrTb"/>
            <w:noWrap w:val="false"/>
          </w:tcPr>
          <w:p>
            <w:pPr>
              <w:pStyle w:val="843"/>
              <w:jc w:val="center"/>
              <w:widowControl/>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投标报价</w:t>
            </w:r>
            <w:r>
              <w:rPr>
                <w:rFonts w:hint="eastAsia" w:ascii="宋体" w:hAnsi="宋体" w:cs="宋体"/>
                <w:color w:val="000000"/>
                <w:sz w:val="24"/>
                <w:szCs w:val="24"/>
                <w:highlight w:val="none"/>
              </w:rPr>
            </w:r>
            <w:r/>
          </w:p>
        </w:tc>
        <w:tc>
          <w:tcPr>
            <w:tcW w:w="6087" w:type="dxa"/>
            <w:vAlign w:val="center"/>
            <w:textDirection w:val="lrTb"/>
            <w:noWrap w:val="false"/>
          </w:tcPr>
          <w:p>
            <w:pPr>
              <w:pStyle w:val="907"/>
              <w:jc w:val="left"/>
              <w:rPr>
                <w:rFonts w:hint="eastAsia" w:hAnsi="宋体" w:cs="宋体"/>
                <w:bCs/>
                <w:color w:val="000000"/>
                <w:szCs w:val="24"/>
                <w:highlight w:val="none"/>
              </w:rPr>
            </w:pPr>
            <w:r>
              <w:rPr>
                <w:rFonts w:hint="eastAsia" w:hAnsi="宋体" w:cs="宋体"/>
                <w:bCs/>
                <w:color w:val="000000"/>
                <w:szCs w:val="24"/>
                <w:highlight w:val="none"/>
              </w:rPr>
              <w:t xml:space="preserve">大写：</w:t>
            </w:r>
            <w:r>
              <w:rPr>
                <w:rFonts w:hint="eastAsia" w:hAnsi="宋体" w:cs="宋体"/>
                <w:bCs/>
                <w:color w:val="000000"/>
                <w:szCs w:val="24"/>
                <w:highlight w:val="none"/>
              </w:rPr>
            </w:r>
            <w:r/>
          </w:p>
          <w:p>
            <w:pPr>
              <w:pStyle w:val="843"/>
              <w:rPr>
                <w:rFonts w:hint="eastAsia" w:ascii="宋体" w:hAnsi="宋体" w:cs="宋体"/>
                <w:color w:val="000000"/>
                <w:highlight w:val="none"/>
              </w:rPr>
            </w:pPr>
            <w:r>
              <w:rPr>
                <w:rFonts w:hint="eastAsia" w:ascii="宋体" w:hAnsi="宋体" w:cs="宋体"/>
                <w:color w:val="000000"/>
                <w:highlight w:val="none"/>
              </w:rPr>
            </w:r>
            <w:r/>
          </w:p>
          <w:p>
            <w:pPr>
              <w:pStyle w:val="843"/>
              <w:spacing w:line="40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小写：</w:t>
            </w:r>
            <w:r>
              <w:rPr>
                <w:rFonts w:hint="eastAsia" w:ascii="宋体" w:hAnsi="宋体" w:cs="宋体"/>
                <w:color w:val="000000"/>
                <w:sz w:val="24"/>
                <w:szCs w:val="24"/>
                <w:highlight w:val="none"/>
              </w:rPr>
            </w:r>
            <w:r/>
          </w:p>
        </w:tc>
      </w:tr>
      <w:tr>
        <w:trPr>
          <w:cantSplit/>
          <w:trHeight w:val="1469"/>
        </w:trPr>
        <w:tc>
          <w:tcPr>
            <w:tcW w:w="633" w:type="dxa"/>
            <w:vAlign w:val="center"/>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2461" w:type="dxa"/>
            <w:vAlign w:val="center"/>
            <w:textDirection w:val="lrTb"/>
            <w:noWrap w:val="false"/>
          </w:tcPr>
          <w:p>
            <w:pPr>
              <w:pStyle w:val="84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服务期限</w:t>
            </w:r>
            <w:r>
              <w:rPr>
                <w:rFonts w:hint="eastAsia" w:ascii="宋体" w:hAnsi="宋体" w:cs="宋体"/>
                <w:color w:val="000000"/>
                <w:sz w:val="24"/>
                <w:szCs w:val="24"/>
                <w:highlight w:val="none"/>
              </w:rPr>
            </w:r>
            <w:r/>
          </w:p>
        </w:tc>
        <w:tc>
          <w:tcPr>
            <w:tcW w:w="6087" w:type="dxa"/>
            <w:vAlign w:val="center"/>
            <w:textDirection w:val="lrTb"/>
            <w:noWrap w:val="false"/>
          </w:tcPr>
          <w:p>
            <w:pPr>
              <w:pStyle w:val="843"/>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1469"/>
        </w:trPr>
        <w:tc>
          <w:tcPr>
            <w:tcW w:w="633" w:type="dxa"/>
            <w:vAlign w:val="center"/>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2461" w:type="dxa"/>
            <w:vAlign w:val="center"/>
            <w:textDirection w:val="lrTb"/>
            <w:noWrap w:val="false"/>
          </w:tcPr>
          <w:p>
            <w:pPr>
              <w:pStyle w:val="84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质量标准</w:t>
            </w:r>
            <w:r>
              <w:rPr>
                <w:rFonts w:hint="eastAsia" w:ascii="宋体" w:hAnsi="宋体" w:cs="宋体"/>
                <w:color w:val="000000"/>
                <w:sz w:val="24"/>
                <w:szCs w:val="24"/>
                <w:highlight w:val="none"/>
              </w:rPr>
            </w:r>
            <w:r/>
          </w:p>
        </w:tc>
        <w:tc>
          <w:tcPr>
            <w:tcW w:w="6087" w:type="dxa"/>
            <w:vAlign w:val="center"/>
            <w:textDirection w:val="lrTb"/>
            <w:noWrap w:val="false"/>
          </w:tcPr>
          <w:p>
            <w:pPr>
              <w:pStyle w:val="843"/>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1469"/>
        </w:trPr>
        <w:tc>
          <w:tcPr>
            <w:tcW w:w="633" w:type="dxa"/>
            <w:vAlign w:val="center"/>
            <w:textDirection w:val="lrTb"/>
            <w:noWrap w:val="false"/>
          </w:tcPr>
          <w:p>
            <w:pPr>
              <w:pStyle w:val="84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2461" w:type="dxa"/>
            <w:vAlign w:val="center"/>
            <w:textDirection w:val="lrTb"/>
            <w:noWrap w:val="false"/>
          </w:tcPr>
          <w:p>
            <w:pPr>
              <w:pStyle w:val="843"/>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项目负责人</w:t>
            </w:r>
            <w:r>
              <w:rPr>
                <w:rFonts w:ascii="宋体" w:hAnsi="宋体" w:cs="宋体"/>
                <w:color w:val="000000"/>
                <w:sz w:val="24"/>
                <w:szCs w:val="24"/>
                <w:highlight w:val="none"/>
              </w:rPr>
            </w:r>
            <w:r/>
          </w:p>
        </w:tc>
        <w:tc>
          <w:tcPr>
            <w:tcW w:w="6087" w:type="dxa"/>
            <w:vAlign w:val="center"/>
            <w:textDirection w:val="lrTb"/>
            <w:noWrap w:val="false"/>
          </w:tcPr>
          <w:p>
            <w:pPr>
              <w:pStyle w:val="843"/>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43"/>
        <w:spacing w:before="5"/>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43"/>
        <w:spacing w:before="5"/>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投标供应商名称（公章）：                </w:t>
      </w:r>
      <w:r>
        <w:rPr>
          <w:rFonts w:hint="eastAsia" w:ascii="宋体" w:hAnsi="宋体" w:cs="宋体"/>
          <w:b/>
          <w:bCs/>
          <w:color w:val="000000"/>
          <w:sz w:val="24"/>
          <w:szCs w:val="24"/>
          <w:highlight w:val="none"/>
        </w:rPr>
      </w:r>
      <w:r/>
    </w:p>
    <w:p>
      <w:pPr>
        <w:pStyle w:val="891"/>
        <w:rPr>
          <w:rFonts w:hint="eastAsia" w:ascii="宋体" w:hAnsi="宋体" w:cs="宋体"/>
          <w:color w:val="000000"/>
          <w:highlight w:val="none"/>
        </w:rPr>
      </w:pPr>
      <w:r>
        <w:rPr>
          <w:rFonts w:hint="eastAsia" w:ascii="宋体" w:hAnsi="宋体" w:cs="宋体"/>
          <w:color w:val="000000"/>
          <w:highlight w:val="none"/>
        </w:rPr>
      </w:r>
      <w:r/>
    </w:p>
    <w:p>
      <w:pPr>
        <w:pStyle w:val="843"/>
        <w:spacing w:before="5"/>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法定代表人或法定代表人授权代表签字或盖章：</w:t>
      </w:r>
      <w:r>
        <w:rPr>
          <w:rFonts w:hint="eastAsia" w:ascii="宋体" w:hAnsi="宋体" w:cs="宋体"/>
          <w:b/>
          <w:bCs/>
          <w:color w:val="000000"/>
          <w:sz w:val="24"/>
          <w:szCs w:val="24"/>
          <w:highlight w:val="none"/>
        </w:rPr>
      </w:r>
      <w:r/>
    </w:p>
    <w:p>
      <w:pPr>
        <w:pStyle w:val="89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9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日期：</w:t>
      </w:r>
      <w:r>
        <w:rPr>
          <w:rFonts w:hint="eastAsia" w:ascii="宋体" w:hAnsi="宋体" w:cs="宋体"/>
          <w:b/>
          <w:bCs/>
          <w:color w:val="000000"/>
          <w:sz w:val="24"/>
          <w:szCs w:val="24"/>
          <w:highlight w:val="none"/>
        </w:rPr>
        <w:br w:type="page" w:clear="all"/>
      </w:r>
      <w:r>
        <w:rPr>
          <w:rFonts w:hint="eastAsia" w:ascii="宋体" w:hAnsi="宋体" w:cs="宋体"/>
          <w:b/>
          <w:bCs/>
          <w:color w:val="000000"/>
          <w:sz w:val="24"/>
          <w:szCs w:val="24"/>
          <w:highlight w:val="none"/>
        </w:rPr>
      </w:r>
      <w:r/>
    </w:p>
    <w:p>
      <w:pPr>
        <w:pStyle w:val="843"/>
        <w:rPr>
          <w:rFonts w:hint="eastAsia" w:ascii="宋体" w:hAnsi="宋体" w:cs="宋体"/>
          <w:b/>
          <w:bCs/>
          <w:color w:val="000000"/>
          <w:sz w:val="28"/>
          <w:szCs w:val="28"/>
          <w:highlight w:val="none"/>
        </w:rPr>
        <w:outlineLvl w:val="0"/>
      </w:pPr>
      <w:r>
        <w:rPr>
          <w:rFonts w:hint="eastAsia" w:ascii="宋体" w:hAnsi="宋体" w:cs="宋体"/>
          <w:b/>
          <w:bCs/>
          <w:color w:val="000000"/>
          <w:sz w:val="28"/>
          <w:szCs w:val="28"/>
          <w:highlight w:val="none"/>
        </w:rPr>
        <w:t xml:space="preserve">（3）投标供应商类似业绩一览表（格式）：</w:t>
      </w:r>
      <w:r>
        <w:rPr>
          <w:rFonts w:hint="eastAsia" w:ascii="宋体" w:hAnsi="宋体" w:cs="宋体"/>
          <w:b/>
          <w:bCs/>
          <w:color w:val="000000"/>
          <w:sz w:val="28"/>
          <w:szCs w:val="28"/>
          <w:highlight w:val="none"/>
        </w:rPr>
      </w:r>
      <w:r/>
    </w:p>
    <w:p>
      <w:pPr>
        <w:pStyle w:val="890"/>
        <w:ind w:firstLine="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90"/>
        <w:ind w:firstLine="0"/>
        <w:jc w:val="center"/>
        <w:rPr>
          <w:rFonts w:hint="eastAsia" w:ascii="宋体" w:hAnsi="宋体" w:cs="宋体"/>
          <w:b/>
          <w:color w:val="000000"/>
          <w:sz w:val="28"/>
          <w:szCs w:val="24"/>
          <w:highlight w:val="none"/>
        </w:rPr>
      </w:pPr>
      <w:r>
        <w:rPr>
          <w:rFonts w:hint="eastAsia" w:ascii="宋体" w:hAnsi="宋体" w:cs="宋体"/>
          <w:b/>
          <w:color w:val="000000"/>
          <w:sz w:val="28"/>
          <w:szCs w:val="24"/>
          <w:highlight w:val="none"/>
        </w:rPr>
        <w:t xml:space="preserve">投标供应商类似业绩一览表</w:t>
      </w:r>
      <w:r>
        <w:rPr>
          <w:rFonts w:hint="eastAsia" w:ascii="宋体" w:hAnsi="宋体" w:cs="宋体"/>
          <w:b/>
          <w:color w:val="000000"/>
          <w:sz w:val="28"/>
          <w:szCs w:val="24"/>
          <w:highlight w:val="none"/>
        </w:rPr>
      </w:r>
      <w:r/>
    </w:p>
    <w:tbl>
      <w:tblPr>
        <w:tblpPr w:horzAnchor="text" w:tblpXSpec="left" w:vertAnchor="text" w:tblpY="77" w:leftFromText="180" w:topFromText="0" w:rightFromText="180" w:bottomFromText="0"/>
        <w:tblW w:w="457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22"/>
        <w:gridCol w:w="1804"/>
        <w:gridCol w:w="1687"/>
        <w:gridCol w:w="2645"/>
      </w:tblGrid>
      <w:tr>
        <w:trPr>
          <w:trHeight w:val="924"/>
        </w:trPr>
        <w:tc>
          <w:tcPr>
            <w:tcW w:w="1373" w:type="dxa"/>
            <w:vAlign w:val="center"/>
            <w:textDirection w:val="lrTb"/>
            <w:noWrap w:val="false"/>
          </w:tcPr>
          <w:p>
            <w:pPr>
              <w:pStyle w:val="843"/>
              <w:jc w:val="center"/>
              <w:spacing w:line="276" w:lineRule="auto"/>
              <w:rPr>
                <w:rFonts w:hint="eastAsia" w:ascii="宋体" w:hAnsi="宋体" w:cs="宋体"/>
                <w:bCs/>
                <w:color w:val="000000"/>
                <w:sz w:val="24"/>
                <w:szCs w:val="22"/>
                <w:highlight w:val="none"/>
              </w:rPr>
              <w:framePr w:vAnchor="margin" w:hAnchor="page" w:y="77"/>
            </w:pPr>
            <w:r>
              <w:rPr>
                <w:rFonts w:hint="eastAsia" w:ascii="宋体" w:hAnsi="宋体" w:cs="宋体"/>
                <w:bCs/>
                <w:color w:val="000000"/>
                <w:sz w:val="24"/>
                <w:szCs w:val="22"/>
                <w:highlight w:val="none"/>
              </w:rPr>
              <w:t xml:space="preserve">项目名称</w:t>
            </w:r>
            <w:r>
              <w:rPr>
                <w:rFonts w:hint="eastAsia" w:ascii="宋体" w:hAnsi="宋体" w:cs="宋体"/>
                <w:bCs/>
                <w:color w:val="000000"/>
                <w:sz w:val="24"/>
                <w:szCs w:val="22"/>
                <w:highlight w:val="none"/>
              </w:rPr>
            </w:r>
            <w:r/>
          </w:p>
        </w:tc>
        <w:tc>
          <w:tcPr>
            <w:tcW w:w="1066" w:type="dxa"/>
            <w:vAlign w:val="center"/>
            <w:textDirection w:val="lrTb"/>
            <w:noWrap w:val="false"/>
          </w:tcPr>
          <w:p>
            <w:pPr>
              <w:pStyle w:val="843"/>
              <w:jc w:val="center"/>
              <w:spacing w:line="276" w:lineRule="auto"/>
              <w:rPr>
                <w:rFonts w:hint="eastAsia" w:ascii="宋体" w:hAnsi="宋体" w:cs="宋体"/>
                <w:bCs/>
                <w:color w:val="000000"/>
                <w:sz w:val="24"/>
                <w:szCs w:val="22"/>
                <w:highlight w:val="none"/>
              </w:rPr>
              <w:framePr w:vAnchor="margin" w:hAnchor="page" w:y="77"/>
            </w:pPr>
            <w:r>
              <w:rPr>
                <w:rFonts w:hint="eastAsia" w:ascii="宋体" w:hAnsi="宋体" w:cs="宋体"/>
                <w:bCs/>
                <w:color w:val="000000"/>
                <w:sz w:val="24"/>
                <w:szCs w:val="22"/>
                <w:highlight w:val="none"/>
              </w:rPr>
              <w:t xml:space="preserve">项目内容概述</w:t>
            </w:r>
            <w:r>
              <w:rPr>
                <w:rFonts w:hint="eastAsia" w:ascii="宋体" w:hAnsi="宋体" w:cs="宋体"/>
                <w:bCs/>
                <w:color w:val="000000"/>
                <w:sz w:val="24"/>
                <w:szCs w:val="22"/>
                <w:highlight w:val="none"/>
              </w:rPr>
            </w:r>
            <w:r/>
          </w:p>
        </w:tc>
        <w:tc>
          <w:tcPr>
            <w:tcW w:w="997" w:type="dxa"/>
            <w:vAlign w:val="center"/>
            <w:textDirection w:val="lrTb"/>
            <w:noWrap w:val="false"/>
          </w:tcPr>
          <w:p>
            <w:pPr>
              <w:pStyle w:val="843"/>
              <w:jc w:val="center"/>
              <w:spacing w:line="276" w:lineRule="auto"/>
              <w:rPr>
                <w:rFonts w:hint="eastAsia" w:ascii="宋体" w:hAnsi="宋体" w:cs="宋体"/>
                <w:bCs/>
                <w:color w:val="000000"/>
                <w:sz w:val="24"/>
                <w:szCs w:val="22"/>
                <w:highlight w:val="none"/>
              </w:rPr>
              <w:framePr w:vAnchor="margin" w:hAnchor="page" w:y="77"/>
            </w:pPr>
            <w:r>
              <w:rPr>
                <w:rFonts w:hint="eastAsia" w:ascii="宋体" w:hAnsi="宋体" w:cs="宋体"/>
                <w:bCs/>
                <w:color w:val="000000"/>
                <w:sz w:val="24"/>
                <w:szCs w:val="22"/>
                <w:highlight w:val="none"/>
              </w:rPr>
              <w:t xml:space="preserve">业主单位</w:t>
            </w:r>
            <w:r>
              <w:rPr>
                <w:rFonts w:hint="eastAsia" w:ascii="宋体" w:hAnsi="宋体" w:cs="宋体"/>
                <w:bCs/>
                <w:color w:val="000000"/>
                <w:sz w:val="24"/>
                <w:szCs w:val="22"/>
                <w:highlight w:val="none"/>
              </w:rPr>
            </w:r>
            <w:r/>
          </w:p>
        </w:tc>
        <w:tc>
          <w:tcPr>
            <w:tcW w:w="1563" w:type="dxa"/>
            <w:vAlign w:val="center"/>
            <w:textDirection w:val="lrTb"/>
            <w:noWrap w:val="false"/>
          </w:tcPr>
          <w:p>
            <w:pPr>
              <w:pStyle w:val="843"/>
              <w:jc w:val="center"/>
              <w:spacing w:line="276" w:lineRule="auto"/>
              <w:rPr>
                <w:rFonts w:hint="eastAsia" w:ascii="宋体" w:hAnsi="宋体" w:cs="宋体"/>
                <w:bCs/>
                <w:color w:val="000000"/>
                <w:sz w:val="24"/>
                <w:szCs w:val="22"/>
                <w:highlight w:val="none"/>
              </w:rPr>
              <w:framePr w:vAnchor="margin" w:hAnchor="page" w:y="77"/>
            </w:pPr>
            <w:r>
              <w:rPr>
                <w:rFonts w:hint="eastAsia" w:ascii="宋体" w:hAnsi="宋体" w:cs="宋体"/>
                <w:bCs/>
                <w:color w:val="000000"/>
                <w:sz w:val="24"/>
                <w:szCs w:val="22"/>
                <w:highlight w:val="none"/>
              </w:rPr>
              <w:t xml:space="preserve">项目起止时间</w:t>
            </w:r>
            <w:r>
              <w:rPr>
                <w:rFonts w:hint="eastAsia" w:ascii="宋体" w:hAnsi="宋体" w:cs="宋体"/>
                <w:bCs/>
                <w:color w:val="000000"/>
                <w:sz w:val="24"/>
                <w:szCs w:val="22"/>
                <w:highlight w:val="none"/>
              </w:rPr>
            </w:r>
            <w:r/>
          </w:p>
        </w:tc>
      </w:tr>
      <w:tr>
        <w:trPr>
          <w:trHeight w:val="907"/>
        </w:trPr>
        <w:tc>
          <w:tcPr>
            <w:tcW w:w="1373" w:type="dxa"/>
            <w:vAlign w:val="center"/>
            <w:textDirection w:val="lrTb"/>
            <w:noWrap w:val="false"/>
          </w:tcPr>
          <w:p>
            <w:pPr>
              <w:pStyle w:val="843"/>
              <w:spacing w:after="93"/>
              <w:rPr>
                <w:rFonts w:hint="eastAsia" w:ascii="宋体" w:hAnsi="宋体" w:cs="宋体"/>
                <w:bCs/>
                <w:color w:val="000000"/>
                <w:highlight w:val="none"/>
              </w:rPr>
              <w:framePr w:vAnchor="margin" w:hAnchor="page" w:y="77"/>
            </w:pPr>
            <w:r>
              <w:rPr>
                <w:rFonts w:hint="eastAsia" w:ascii="宋体" w:hAnsi="宋体" w:cs="宋体"/>
                <w:bCs/>
                <w:color w:val="000000"/>
                <w:highlight w:val="none"/>
              </w:rPr>
            </w:r>
            <w:r/>
          </w:p>
          <w:p>
            <w:pPr>
              <w:pStyle w:val="843"/>
              <w:spacing w:after="93"/>
              <w:rPr>
                <w:rFonts w:hint="eastAsia" w:ascii="宋体" w:hAnsi="宋体" w:cs="宋体"/>
                <w:bCs/>
                <w:color w:val="000000"/>
                <w:highlight w:val="none"/>
              </w:rPr>
              <w:framePr w:vAnchor="margin" w:hAnchor="page" w:y="77"/>
            </w:pPr>
            <w:r>
              <w:rPr>
                <w:rFonts w:hint="eastAsia" w:ascii="宋体" w:hAnsi="宋体" w:cs="宋体"/>
                <w:bCs/>
                <w:color w:val="000000"/>
                <w:highlight w:val="none"/>
              </w:rPr>
            </w:r>
            <w:r/>
          </w:p>
        </w:tc>
        <w:tc>
          <w:tcPr>
            <w:tcW w:w="1066" w:type="dxa"/>
            <w:vAlign w:val="center"/>
            <w:textDirection w:val="lrTb"/>
            <w:noWrap w:val="false"/>
          </w:tcPr>
          <w:p>
            <w:pPr>
              <w:pStyle w:val="843"/>
              <w:spacing w:after="93"/>
              <w:rPr>
                <w:rFonts w:hint="eastAsia" w:ascii="宋体" w:hAnsi="宋体" w:cs="宋体"/>
                <w:bCs/>
                <w:color w:val="000000"/>
                <w:highlight w:val="none"/>
              </w:rPr>
              <w:framePr w:vAnchor="margin" w:hAnchor="page" w:y="77"/>
            </w:pPr>
            <w:r>
              <w:rPr>
                <w:rFonts w:hint="eastAsia" w:ascii="宋体" w:hAnsi="宋体" w:cs="宋体"/>
                <w:bCs/>
                <w:color w:val="000000"/>
                <w:highlight w:val="none"/>
              </w:rPr>
            </w:r>
            <w:r/>
          </w:p>
        </w:tc>
        <w:tc>
          <w:tcPr>
            <w:tcW w:w="997" w:type="dxa"/>
            <w:vAlign w:val="center"/>
            <w:textDirection w:val="lrTb"/>
            <w:noWrap w:val="false"/>
          </w:tcPr>
          <w:p>
            <w:pPr>
              <w:pStyle w:val="843"/>
              <w:spacing w:after="93"/>
              <w:rPr>
                <w:rFonts w:hint="eastAsia" w:ascii="宋体" w:hAnsi="宋体" w:cs="宋体"/>
                <w:bCs/>
                <w:color w:val="000000"/>
                <w:highlight w:val="none"/>
              </w:rPr>
              <w:framePr w:vAnchor="margin" w:hAnchor="page" w:y="77"/>
            </w:pPr>
            <w:r>
              <w:rPr>
                <w:rFonts w:hint="eastAsia" w:ascii="宋体" w:hAnsi="宋体" w:cs="宋体"/>
                <w:bCs/>
                <w:color w:val="000000"/>
                <w:highlight w:val="none"/>
              </w:rPr>
            </w:r>
            <w:r/>
          </w:p>
        </w:tc>
        <w:tc>
          <w:tcPr>
            <w:tcW w:w="1563" w:type="dxa"/>
            <w:vAlign w:val="center"/>
            <w:textDirection w:val="lrTb"/>
            <w:noWrap w:val="false"/>
          </w:tcPr>
          <w:p>
            <w:pPr>
              <w:pStyle w:val="843"/>
              <w:spacing w:after="93"/>
              <w:rPr>
                <w:rFonts w:hint="eastAsia" w:ascii="宋体" w:hAnsi="宋体" w:cs="宋体"/>
                <w:bCs/>
                <w:color w:val="000000"/>
                <w:highlight w:val="none"/>
              </w:rPr>
              <w:framePr w:vAnchor="margin" w:hAnchor="page" w:y="77"/>
            </w:pPr>
            <w:r>
              <w:rPr>
                <w:rFonts w:hint="eastAsia" w:ascii="宋体" w:hAnsi="宋体" w:cs="宋体"/>
                <w:bCs/>
                <w:color w:val="000000"/>
                <w:highlight w:val="none"/>
              </w:rPr>
            </w:r>
            <w:r/>
          </w:p>
        </w:tc>
      </w:tr>
      <w:tr>
        <w:trPr>
          <w:trHeight w:val="907"/>
        </w:trPr>
        <w:tc>
          <w:tcPr>
            <w:tcW w:w="1373" w:type="dxa"/>
            <w:vAlign w:val="center"/>
            <w:textDirection w:val="lrTb"/>
            <w:noWrap w:val="false"/>
          </w:tcPr>
          <w:p>
            <w:pPr>
              <w:pStyle w:val="843"/>
              <w:spacing w:after="93"/>
              <w:rPr>
                <w:rFonts w:hint="eastAsia" w:ascii="宋体" w:hAnsi="宋体" w:cs="宋体"/>
                <w:color w:val="000000"/>
                <w:highlight w:val="none"/>
              </w:rPr>
              <w:framePr w:vAnchor="margin" w:hAnchor="page" w:y="77"/>
            </w:pPr>
            <w:r>
              <w:rPr>
                <w:rFonts w:hint="eastAsia" w:ascii="宋体" w:hAnsi="宋体" w:cs="宋体"/>
                <w:color w:val="000000"/>
                <w:highlight w:val="none"/>
              </w:rPr>
            </w:r>
            <w:r/>
          </w:p>
          <w:p>
            <w:pPr>
              <w:pStyle w:val="843"/>
              <w:spacing w:after="93"/>
              <w:rPr>
                <w:rFonts w:hint="eastAsia" w:ascii="宋体" w:hAnsi="宋体" w:cs="宋体"/>
                <w:color w:val="000000"/>
                <w:highlight w:val="none"/>
              </w:rPr>
              <w:framePr w:vAnchor="margin" w:hAnchor="page" w:y="77"/>
            </w:pPr>
            <w:r>
              <w:rPr>
                <w:rFonts w:hint="eastAsia" w:ascii="宋体" w:hAnsi="宋体" w:cs="宋体"/>
                <w:color w:val="000000"/>
                <w:highlight w:val="none"/>
              </w:rPr>
            </w:r>
            <w:r/>
          </w:p>
        </w:tc>
        <w:tc>
          <w:tcPr>
            <w:tcW w:w="1066" w:type="dxa"/>
            <w:vAlign w:val="center"/>
            <w:textDirection w:val="lrTb"/>
            <w:noWrap w:val="false"/>
          </w:tcPr>
          <w:p>
            <w:pPr>
              <w:pStyle w:val="843"/>
              <w:spacing w:after="93"/>
              <w:rPr>
                <w:rFonts w:hint="eastAsia" w:ascii="宋体" w:hAnsi="宋体" w:cs="宋体"/>
                <w:color w:val="000000"/>
                <w:highlight w:val="none"/>
              </w:rPr>
              <w:framePr w:vAnchor="margin" w:hAnchor="page" w:y="77"/>
            </w:pPr>
            <w:r>
              <w:rPr>
                <w:rFonts w:hint="eastAsia" w:ascii="宋体" w:hAnsi="宋体" w:cs="宋体"/>
                <w:color w:val="000000"/>
                <w:highlight w:val="none"/>
              </w:rPr>
            </w:r>
            <w:r/>
          </w:p>
        </w:tc>
        <w:tc>
          <w:tcPr>
            <w:tcW w:w="997" w:type="dxa"/>
            <w:vAlign w:val="center"/>
            <w:textDirection w:val="lrTb"/>
            <w:noWrap w:val="false"/>
          </w:tcPr>
          <w:p>
            <w:pPr>
              <w:pStyle w:val="843"/>
              <w:spacing w:after="93"/>
              <w:rPr>
                <w:rFonts w:hint="eastAsia" w:ascii="宋体" w:hAnsi="宋体" w:cs="宋体"/>
                <w:color w:val="000000"/>
                <w:highlight w:val="none"/>
              </w:rPr>
              <w:framePr w:vAnchor="margin" w:hAnchor="page" w:y="77"/>
            </w:pPr>
            <w:r>
              <w:rPr>
                <w:rFonts w:hint="eastAsia" w:ascii="宋体" w:hAnsi="宋体" w:cs="宋体"/>
                <w:color w:val="000000"/>
                <w:highlight w:val="none"/>
              </w:rPr>
            </w:r>
            <w:r/>
          </w:p>
        </w:tc>
        <w:tc>
          <w:tcPr>
            <w:tcW w:w="1563" w:type="dxa"/>
            <w:vAlign w:val="center"/>
            <w:textDirection w:val="lrTb"/>
            <w:noWrap w:val="false"/>
          </w:tcPr>
          <w:p>
            <w:pPr>
              <w:pStyle w:val="843"/>
              <w:spacing w:after="93"/>
              <w:rPr>
                <w:rFonts w:hint="eastAsia" w:ascii="宋体" w:hAnsi="宋体" w:cs="宋体"/>
                <w:color w:val="000000"/>
                <w:highlight w:val="none"/>
              </w:rPr>
              <w:framePr w:vAnchor="margin" w:hAnchor="page" w:y="77"/>
            </w:pPr>
            <w:r>
              <w:rPr>
                <w:rFonts w:hint="eastAsia" w:ascii="宋体" w:hAnsi="宋体" w:cs="宋体"/>
                <w:color w:val="000000"/>
                <w:highlight w:val="none"/>
              </w:rPr>
            </w:r>
            <w:r/>
          </w:p>
        </w:tc>
      </w:tr>
      <w:tr>
        <w:trPr>
          <w:trHeight w:val="907"/>
        </w:trPr>
        <w:tc>
          <w:tcPr>
            <w:tcW w:w="1373" w:type="dxa"/>
            <w:vAlign w:val="center"/>
            <w:textDirection w:val="lrTb"/>
            <w:noWrap w:val="false"/>
          </w:tcPr>
          <w:p>
            <w:pPr>
              <w:pStyle w:val="843"/>
              <w:spacing w:after="93"/>
              <w:rPr>
                <w:rFonts w:hint="eastAsia" w:ascii="宋体" w:hAnsi="宋体" w:cs="宋体"/>
                <w:color w:val="000000"/>
                <w:highlight w:val="none"/>
              </w:rPr>
              <w:framePr w:vAnchor="margin" w:hAnchor="page" w:y="77"/>
            </w:pPr>
            <w:r>
              <w:rPr>
                <w:rFonts w:hint="eastAsia" w:ascii="宋体" w:hAnsi="宋体" w:cs="宋体"/>
                <w:color w:val="000000"/>
                <w:highlight w:val="none"/>
              </w:rPr>
            </w:r>
            <w:r/>
          </w:p>
          <w:p>
            <w:pPr>
              <w:pStyle w:val="843"/>
              <w:spacing w:after="93"/>
              <w:rPr>
                <w:rFonts w:hint="eastAsia" w:ascii="宋体" w:hAnsi="宋体" w:cs="宋体"/>
                <w:color w:val="000000"/>
                <w:highlight w:val="none"/>
              </w:rPr>
              <w:framePr w:vAnchor="margin" w:hAnchor="page" w:y="77"/>
            </w:pPr>
            <w:r>
              <w:rPr>
                <w:rFonts w:hint="eastAsia" w:ascii="宋体" w:hAnsi="宋体" w:cs="宋体"/>
                <w:color w:val="000000"/>
                <w:highlight w:val="none"/>
              </w:rPr>
            </w:r>
            <w:r/>
          </w:p>
        </w:tc>
        <w:tc>
          <w:tcPr>
            <w:tcW w:w="1066" w:type="dxa"/>
            <w:vAlign w:val="center"/>
            <w:textDirection w:val="lrTb"/>
            <w:noWrap w:val="false"/>
          </w:tcPr>
          <w:p>
            <w:pPr>
              <w:pStyle w:val="843"/>
              <w:spacing w:after="93"/>
              <w:rPr>
                <w:rFonts w:hint="eastAsia" w:ascii="宋体" w:hAnsi="宋体" w:cs="宋体"/>
                <w:color w:val="000000"/>
                <w:highlight w:val="none"/>
              </w:rPr>
              <w:framePr w:vAnchor="margin" w:hAnchor="page" w:y="77"/>
            </w:pPr>
            <w:r>
              <w:rPr>
                <w:rFonts w:hint="eastAsia" w:ascii="宋体" w:hAnsi="宋体" w:cs="宋体"/>
                <w:color w:val="000000"/>
                <w:highlight w:val="none"/>
              </w:rPr>
            </w:r>
            <w:r/>
          </w:p>
        </w:tc>
        <w:tc>
          <w:tcPr>
            <w:tcW w:w="997" w:type="dxa"/>
            <w:vAlign w:val="center"/>
            <w:textDirection w:val="lrTb"/>
            <w:noWrap w:val="false"/>
          </w:tcPr>
          <w:p>
            <w:pPr>
              <w:pStyle w:val="843"/>
              <w:spacing w:after="93"/>
              <w:rPr>
                <w:rFonts w:hint="eastAsia" w:ascii="宋体" w:hAnsi="宋体" w:cs="宋体"/>
                <w:color w:val="000000"/>
                <w:highlight w:val="none"/>
              </w:rPr>
              <w:framePr w:vAnchor="margin" w:hAnchor="page" w:y="77"/>
            </w:pPr>
            <w:r>
              <w:rPr>
                <w:rFonts w:hint="eastAsia" w:ascii="宋体" w:hAnsi="宋体" w:cs="宋体"/>
                <w:color w:val="000000"/>
                <w:highlight w:val="none"/>
              </w:rPr>
            </w:r>
            <w:r/>
          </w:p>
        </w:tc>
        <w:tc>
          <w:tcPr>
            <w:tcW w:w="1563" w:type="dxa"/>
            <w:vAlign w:val="center"/>
            <w:textDirection w:val="lrTb"/>
            <w:noWrap w:val="false"/>
          </w:tcPr>
          <w:p>
            <w:pPr>
              <w:pStyle w:val="843"/>
              <w:spacing w:after="93"/>
              <w:rPr>
                <w:rFonts w:hint="eastAsia" w:ascii="宋体" w:hAnsi="宋体" w:cs="宋体"/>
                <w:color w:val="000000"/>
                <w:highlight w:val="none"/>
              </w:rPr>
              <w:framePr w:vAnchor="margin" w:hAnchor="page" w:y="77"/>
            </w:pPr>
            <w:r>
              <w:rPr>
                <w:rFonts w:hint="eastAsia" w:ascii="宋体" w:hAnsi="宋体" w:cs="宋体"/>
                <w:color w:val="000000"/>
                <w:highlight w:val="none"/>
              </w:rPr>
            </w:r>
            <w:r/>
          </w:p>
        </w:tc>
      </w:tr>
      <w:tr>
        <w:trPr>
          <w:trHeight w:val="907"/>
        </w:trPr>
        <w:tc>
          <w:tcPr>
            <w:tcW w:w="1373" w:type="dxa"/>
            <w:vAlign w:val="center"/>
            <w:textDirection w:val="lrTb"/>
            <w:noWrap w:val="false"/>
          </w:tcPr>
          <w:p>
            <w:pPr>
              <w:pStyle w:val="843"/>
              <w:spacing w:after="93"/>
              <w:rPr>
                <w:rFonts w:hint="eastAsia" w:ascii="宋体" w:hAnsi="宋体" w:cs="宋体"/>
                <w:color w:val="000000"/>
                <w:highlight w:val="none"/>
              </w:rPr>
              <w:framePr w:vAnchor="margin" w:hAnchor="page" w:y="77"/>
            </w:pPr>
            <w:r>
              <w:rPr>
                <w:rFonts w:hint="eastAsia" w:ascii="宋体" w:hAnsi="宋体" w:cs="宋体"/>
                <w:color w:val="000000"/>
                <w:highlight w:val="none"/>
              </w:rPr>
            </w:r>
            <w:r/>
          </w:p>
          <w:p>
            <w:pPr>
              <w:pStyle w:val="843"/>
              <w:spacing w:after="93"/>
              <w:rPr>
                <w:rFonts w:hint="eastAsia" w:ascii="宋体" w:hAnsi="宋体" w:cs="宋体"/>
                <w:color w:val="000000"/>
                <w:highlight w:val="none"/>
              </w:rPr>
              <w:framePr w:vAnchor="margin" w:hAnchor="page" w:y="77"/>
            </w:pPr>
            <w:r>
              <w:rPr>
                <w:rFonts w:hint="eastAsia" w:ascii="宋体" w:hAnsi="宋体" w:cs="宋体"/>
                <w:color w:val="000000"/>
                <w:highlight w:val="none"/>
              </w:rPr>
            </w:r>
            <w:r/>
          </w:p>
        </w:tc>
        <w:tc>
          <w:tcPr>
            <w:tcW w:w="1066" w:type="dxa"/>
            <w:vAlign w:val="center"/>
            <w:textDirection w:val="lrTb"/>
            <w:noWrap w:val="false"/>
          </w:tcPr>
          <w:p>
            <w:pPr>
              <w:pStyle w:val="843"/>
              <w:spacing w:after="93"/>
              <w:rPr>
                <w:rFonts w:hint="eastAsia" w:ascii="宋体" w:hAnsi="宋体" w:cs="宋体"/>
                <w:color w:val="000000"/>
                <w:highlight w:val="none"/>
              </w:rPr>
              <w:framePr w:vAnchor="margin" w:hAnchor="page" w:y="77"/>
            </w:pPr>
            <w:r>
              <w:rPr>
                <w:rFonts w:hint="eastAsia" w:ascii="宋体" w:hAnsi="宋体" w:cs="宋体"/>
                <w:color w:val="000000"/>
                <w:highlight w:val="none"/>
              </w:rPr>
            </w:r>
            <w:r/>
          </w:p>
        </w:tc>
        <w:tc>
          <w:tcPr>
            <w:tcW w:w="997" w:type="dxa"/>
            <w:vAlign w:val="center"/>
            <w:textDirection w:val="lrTb"/>
            <w:noWrap w:val="false"/>
          </w:tcPr>
          <w:p>
            <w:pPr>
              <w:pStyle w:val="843"/>
              <w:spacing w:after="93"/>
              <w:rPr>
                <w:rFonts w:hint="eastAsia" w:ascii="宋体" w:hAnsi="宋体" w:cs="宋体"/>
                <w:color w:val="000000"/>
                <w:highlight w:val="none"/>
              </w:rPr>
              <w:framePr w:vAnchor="margin" w:hAnchor="page" w:y="77"/>
            </w:pPr>
            <w:r>
              <w:rPr>
                <w:rFonts w:hint="eastAsia" w:ascii="宋体" w:hAnsi="宋体" w:cs="宋体"/>
                <w:color w:val="000000"/>
                <w:highlight w:val="none"/>
              </w:rPr>
            </w:r>
            <w:r/>
          </w:p>
        </w:tc>
        <w:tc>
          <w:tcPr>
            <w:tcW w:w="1563" w:type="dxa"/>
            <w:vAlign w:val="center"/>
            <w:textDirection w:val="lrTb"/>
            <w:noWrap w:val="false"/>
          </w:tcPr>
          <w:p>
            <w:pPr>
              <w:pStyle w:val="843"/>
              <w:spacing w:after="93"/>
              <w:rPr>
                <w:rFonts w:hint="eastAsia" w:ascii="宋体" w:hAnsi="宋体" w:cs="宋体"/>
                <w:color w:val="000000"/>
                <w:highlight w:val="none"/>
              </w:rPr>
              <w:framePr w:vAnchor="margin" w:hAnchor="page" w:y="77"/>
            </w:pPr>
            <w:r>
              <w:rPr>
                <w:rFonts w:hint="eastAsia" w:ascii="宋体" w:hAnsi="宋体" w:cs="宋体"/>
                <w:color w:val="000000"/>
                <w:highlight w:val="none"/>
              </w:rPr>
            </w:r>
            <w:r/>
          </w:p>
        </w:tc>
      </w:tr>
      <w:tr>
        <w:trPr>
          <w:trHeight w:val="918"/>
        </w:trPr>
        <w:tc>
          <w:tcPr>
            <w:tcW w:w="1373" w:type="dxa"/>
            <w:vAlign w:val="center"/>
            <w:textDirection w:val="lrTb"/>
            <w:noWrap w:val="false"/>
          </w:tcPr>
          <w:p>
            <w:pPr>
              <w:pStyle w:val="843"/>
              <w:spacing w:after="93"/>
              <w:rPr>
                <w:rFonts w:hint="eastAsia" w:ascii="宋体" w:hAnsi="宋体" w:cs="宋体"/>
                <w:color w:val="000000"/>
                <w:highlight w:val="none"/>
              </w:rPr>
              <w:framePr w:vAnchor="margin" w:hAnchor="page" w:y="77"/>
            </w:pPr>
            <w:r>
              <w:rPr>
                <w:rFonts w:hint="eastAsia" w:ascii="宋体" w:hAnsi="宋体" w:cs="宋体"/>
                <w:color w:val="000000"/>
                <w:highlight w:val="none"/>
              </w:rPr>
            </w:r>
            <w:r/>
          </w:p>
          <w:p>
            <w:pPr>
              <w:pStyle w:val="843"/>
              <w:spacing w:after="93"/>
              <w:rPr>
                <w:rFonts w:hint="eastAsia" w:ascii="宋体" w:hAnsi="宋体" w:cs="宋体"/>
                <w:color w:val="000000"/>
                <w:highlight w:val="none"/>
              </w:rPr>
              <w:framePr w:vAnchor="margin" w:hAnchor="page" w:y="77"/>
            </w:pPr>
            <w:r>
              <w:rPr>
                <w:rFonts w:hint="eastAsia" w:ascii="宋体" w:hAnsi="宋体" w:cs="宋体"/>
                <w:color w:val="000000"/>
                <w:highlight w:val="none"/>
              </w:rPr>
            </w:r>
            <w:r/>
          </w:p>
        </w:tc>
        <w:tc>
          <w:tcPr>
            <w:tcW w:w="1066" w:type="dxa"/>
            <w:vAlign w:val="center"/>
            <w:textDirection w:val="lrTb"/>
            <w:noWrap w:val="false"/>
          </w:tcPr>
          <w:p>
            <w:pPr>
              <w:pStyle w:val="843"/>
              <w:spacing w:after="93"/>
              <w:rPr>
                <w:rFonts w:hint="eastAsia" w:ascii="宋体" w:hAnsi="宋体" w:cs="宋体"/>
                <w:color w:val="000000"/>
                <w:highlight w:val="none"/>
              </w:rPr>
              <w:framePr w:vAnchor="margin" w:hAnchor="page" w:y="77"/>
            </w:pPr>
            <w:r>
              <w:rPr>
                <w:rFonts w:hint="eastAsia" w:ascii="宋体" w:hAnsi="宋体" w:cs="宋体"/>
                <w:color w:val="000000"/>
                <w:highlight w:val="none"/>
              </w:rPr>
            </w:r>
            <w:r/>
          </w:p>
        </w:tc>
        <w:tc>
          <w:tcPr>
            <w:tcW w:w="997" w:type="dxa"/>
            <w:vAlign w:val="center"/>
            <w:textDirection w:val="lrTb"/>
            <w:noWrap w:val="false"/>
          </w:tcPr>
          <w:p>
            <w:pPr>
              <w:pStyle w:val="843"/>
              <w:spacing w:after="93"/>
              <w:rPr>
                <w:rFonts w:hint="eastAsia" w:ascii="宋体" w:hAnsi="宋体" w:cs="宋体"/>
                <w:color w:val="000000"/>
                <w:highlight w:val="none"/>
              </w:rPr>
              <w:framePr w:vAnchor="margin" w:hAnchor="page" w:y="77"/>
            </w:pPr>
            <w:r>
              <w:rPr>
                <w:rFonts w:hint="eastAsia" w:ascii="宋体" w:hAnsi="宋体" w:cs="宋体"/>
                <w:color w:val="000000"/>
                <w:highlight w:val="none"/>
              </w:rPr>
            </w:r>
            <w:r/>
          </w:p>
        </w:tc>
        <w:tc>
          <w:tcPr>
            <w:tcW w:w="1563" w:type="dxa"/>
            <w:vAlign w:val="center"/>
            <w:textDirection w:val="lrTb"/>
            <w:noWrap w:val="false"/>
          </w:tcPr>
          <w:p>
            <w:pPr>
              <w:pStyle w:val="843"/>
              <w:spacing w:after="93"/>
              <w:rPr>
                <w:rFonts w:hint="eastAsia" w:ascii="宋体" w:hAnsi="宋体" w:cs="宋体"/>
                <w:color w:val="000000"/>
                <w:highlight w:val="none"/>
              </w:rPr>
              <w:framePr w:vAnchor="margin" w:hAnchor="page" w:y="77"/>
            </w:pPr>
            <w:r>
              <w:rPr>
                <w:rFonts w:hint="eastAsia" w:ascii="宋体" w:hAnsi="宋体" w:cs="宋体"/>
                <w:color w:val="000000"/>
                <w:highlight w:val="none"/>
              </w:rPr>
            </w:r>
            <w:r/>
          </w:p>
        </w:tc>
      </w:tr>
    </w:tbl>
    <w:p>
      <w:pPr>
        <w:pStyle w:val="843"/>
        <w:spacing w:after="93"/>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43"/>
        <w:jc w:val="lef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62"/>
        <w:ind w:left="126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62"/>
        <w:ind w:left="126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43"/>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62"/>
        <w:ind w:left="126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43"/>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62"/>
        <w:ind w:left="126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43"/>
        <w:spacing w:before="5" w:line="560" w:lineRule="atLeas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43"/>
        <w:spacing w:before="5" w:line="560" w:lineRule="atLeas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43"/>
        <w:spacing w:before="5" w:line="560" w:lineRule="atLeas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43"/>
        <w:spacing w:before="5" w:line="560" w:lineRule="atLeas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43"/>
        <w:spacing w:before="5" w:line="560" w:lineRule="atLeas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43"/>
        <w:spacing w:before="5" w:line="560" w:lineRule="atLeas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43"/>
        <w:rPr>
          <w:rFonts w:hint="eastAsia" w:ascii="宋体" w:hAnsi="宋体" w:cs="宋体"/>
          <w:b/>
          <w:bCs/>
          <w:color w:val="000000"/>
          <w:sz w:val="28"/>
          <w:szCs w:val="28"/>
          <w:highlight w:val="none"/>
        </w:rPr>
        <w:outlineLvl w:val="0"/>
      </w:pPr>
      <w:r>
        <w:rPr>
          <w:rFonts w:hint="eastAsia" w:ascii="宋体" w:hAnsi="宋体" w:cs="宋体"/>
          <w:bCs/>
          <w:color w:val="000000"/>
          <w:sz w:val="24"/>
          <w:szCs w:val="24"/>
          <w:highlight w:val="none"/>
        </w:rPr>
        <w:br w:type="page" w:clear="all"/>
      </w:r>
      <w:r>
        <w:rPr>
          <w:rFonts w:hint="eastAsia" w:ascii="宋体" w:hAnsi="宋体" w:cs="宋体"/>
          <w:b/>
          <w:bCs/>
          <w:color w:val="000000"/>
          <w:sz w:val="28"/>
          <w:szCs w:val="28"/>
          <w:highlight w:val="none"/>
        </w:rPr>
        <w:t xml:space="preserve">（4）明细报价表（格式）：</w:t>
      </w:r>
      <w:r>
        <w:rPr>
          <w:rFonts w:hint="eastAsia" w:ascii="宋体" w:hAnsi="宋体" w:cs="宋体"/>
          <w:b/>
          <w:bCs/>
          <w:color w:val="000000"/>
          <w:sz w:val="28"/>
          <w:szCs w:val="28"/>
          <w:highlight w:val="none"/>
        </w:rPr>
      </w:r>
      <w:r/>
    </w:p>
    <w:p>
      <w:pPr>
        <w:pStyle w:val="843"/>
        <w:spacing w:line="460" w:lineRule="exact"/>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843"/>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投标供应商名称（盖章）                                  项目编号：</w:t>
      </w:r>
      <w:r>
        <w:rPr>
          <w:rFonts w:hint="eastAsia" w:ascii="黑体" w:eastAsia="黑体"/>
          <w:bCs/>
          <w:color w:val="000000"/>
          <w:sz w:val="24"/>
          <w:szCs w:val="24"/>
          <w:highlight w:val="none"/>
        </w:rPr>
      </w:r>
      <w:r/>
    </w:p>
    <w:tbl>
      <w:tblPr>
        <w:tblW w:w="96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3886"/>
        <w:gridCol w:w="1802"/>
        <w:gridCol w:w="1707"/>
        <w:gridCol w:w="1420"/>
      </w:tblGrid>
      <w:tr>
        <w:trPr>
          <w:trHeight w:val="607"/>
        </w:trPr>
        <w:tc>
          <w:tcPr>
            <w:tcW w:w="787" w:type="dxa"/>
            <w:vAlign w:val="center"/>
            <w:textDirection w:val="lrTb"/>
            <w:noWrap w:val="false"/>
          </w:tcPr>
          <w:p>
            <w:pPr>
              <w:pStyle w:val="843"/>
              <w:jc w:val="center"/>
              <w:spacing w:line="360" w:lineRule="auto"/>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3574" w:type="dxa"/>
            <w:vAlign w:val="center"/>
            <w:textDirection w:val="lrTb"/>
            <w:noWrap w:val="false"/>
          </w:tcPr>
          <w:p>
            <w:pPr>
              <w:pStyle w:val="843"/>
              <w:jc w:val="center"/>
              <w:spacing w:line="360" w:lineRule="auto"/>
              <w:rPr>
                <w:rFonts w:ascii="宋体" w:hAnsi="宋体"/>
                <w:color w:val="000000"/>
                <w:sz w:val="24"/>
                <w:highlight w:val="none"/>
              </w:rPr>
            </w:pPr>
            <w:r>
              <w:rPr>
                <w:rFonts w:hint="eastAsia" w:ascii="宋体" w:hAnsi="宋体"/>
                <w:color w:val="000000"/>
                <w:sz w:val="24"/>
                <w:highlight w:val="none"/>
              </w:rPr>
              <w:t xml:space="preserve">项目名称</w:t>
            </w:r>
            <w:r>
              <w:rPr>
                <w:rFonts w:ascii="宋体" w:hAnsi="宋体"/>
                <w:color w:val="000000"/>
                <w:sz w:val="24"/>
                <w:highlight w:val="none"/>
              </w:rPr>
            </w:r>
            <w:r/>
          </w:p>
        </w:tc>
        <w:tc>
          <w:tcPr>
            <w:tcW w:w="1657" w:type="dxa"/>
            <w:vAlign w:val="center"/>
            <w:textDirection w:val="lrTb"/>
            <w:noWrap w:val="false"/>
          </w:tcPr>
          <w:p>
            <w:pPr>
              <w:pStyle w:val="843"/>
              <w:jc w:val="center"/>
              <w:spacing w:line="360" w:lineRule="auto"/>
              <w:rPr>
                <w:rFonts w:ascii="宋体" w:hAnsi="宋体"/>
                <w:color w:val="000000"/>
                <w:sz w:val="24"/>
                <w:highlight w:val="none"/>
              </w:rPr>
            </w:pPr>
            <w:r>
              <w:rPr>
                <w:rFonts w:hint="eastAsia" w:ascii="宋体" w:hAnsi="宋体"/>
                <w:color w:val="000000"/>
                <w:sz w:val="24"/>
                <w:highlight w:val="none"/>
              </w:rPr>
              <w:t xml:space="preserve">报价（元/月）</w:t>
            </w:r>
            <w:r>
              <w:rPr>
                <w:rFonts w:ascii="宋体" w:hAnsi="宋体"/>
                <w:color w:val="000000"/>
                <w:sz w:val="24"/>
                <w:highlight w:val="none"/>
              </w:rPr>
            </w:r>
            <w:r/>
          </w:p>
        </w:tc>
        <w:tc>
          <w:tcPr>
            <w:tcW w:w="1570" w:type="dxa"/>
            <w:vAlign w:val="center"/>
            <w:textDirection w:val="lrTb"/>
            <w:noWrap w:val="false"/>
          </w:tcPr>
          <w:p>
            <w:pPr>
              <w:pStyle w:val="843"/>
              <w:jc w:val="center"/>
              <w:spacing w:line="360" w:lineRule="auto"/>
              <w:rPr>
                <w:rFonts w:ascii="宋体" w:hAnsi="宋体"/>
                <w:color w:val="000000"/>
                <w:sz w:val="24"/>
                <w:highlight w:val="none"/>
              </w:rPr>
            </w:pPr>
            <w:r>
              <w:rPr>
                <w:rFonts w:hint="eastAsia" w:ascii="宋体" w:hAnsi="宋体"/>
                <w:color w:val="000000"/>
                <w:sz w:val="24"/>
                <w:highlight w:val="none"/>
              </w:rPr>
              <w:t xml:space="preserve">报价（元/年）</w:t>
            </w:r>
            <w:r>
              <w:rPr>
                <w:rFonts w:ascii="宋体" w:hAnsi="宋体"/>
                <w:color w:val="000000"/>
                <w:sz w:val="24"/>
                <w:highlight w:val="none"/>
              </w:rPr>
            </w:r>
            <w:r/>
          </w:p>
        </w:tc>
        <w:tc>
          <w:tcPr>
            <w:tcW w:w="1306" w:type="dxa"/>
            <w:vAlign w:val="center"/>
            <w:textDirection w:val="lrTb"/>
            <w:noWrap w:val="false"/>
          </w:tcPr>
          <w:p>
            <w:pPr>
              <w:pStyle w:val="843"/>
              <w:jc w:val="center"/>
              <w:spacing w:line="360" w:lineRule="auto"/>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r>
            <w:r/>
          </w:p>
        </w:tc>
      </w:tr>
      <w:tr>
        <w:trPr>
          <w:trHeight w:val="436"/>
        </w:trPr>
        <w:tc>
          <w:tcPr>
            <w:tcW w:w="787" w:type="dxa"/>
            <w:vAlign w:val="center"/>
            <w:textDirection w:val="lrTb"/>
            <w:noWrap w:val="false"/>
          </w:tcPr>
          <w:p>
            <w:pPr>
              <w:pStyle w:val="843"/>
              <w:jc w:val="center"/>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3574" w:type="dxa"/>
            <w:vAlign w:val="center"/>
            <w:textDirection w:val="lrTb"/>
            <w:noWrap w:val="false"/>
          </w:tcPr>
          <w:p>
            <w:pPr>
              <w:pStyle w:val="843"/>
              <w:jc w:val="left"/>
              <w:spacing w:line="360" w:lineRule="auto"/>
              <w:rPr>
                <w:rFonts w:ascii="宋体" w:hAnsi="宋体"/>
                <w:color w:val="000000"/>
                <w:sz w:val="24"/>
                <w:highlight w:val="none"/>
              </w:rPr>
            </w:pPr>
            <w:r>
              <w:rPr>
                <w:rFonts w:hint="eastAsia" w:ascii="宋体" w:hAnsi="宋体"/>
                <w:color w:val="000000"/>
                <w:sz w:val="24"/>
                <w:highlight w:val="none"/>
              </w:rPr>
              <w:t xml:space="preserve">员工工资、福利、法定计提费用</w:t>
            </w:r>
            <w:r>
              <w:rPr>
                <w:rFonts w:ascii="宋体" w:hAnsi="宋体"/>
                <w:color w:val="000000"/>
                <w:sz w:val="24"/>
                <w:highlight w:val="none"/>
              </w:rPr>
            </w:r>
            <w:r/>
          </w:p>
        </w:tc>
        <w:tc>
          <w:tcPr>
            <w:tcW w:w="1657" w:type="dxa"/>
            <w:vAlign w:val="center"/>
            <w:textDirection w:val="lrTb"/>
            <w:noWrap w:val="false"/>
          </w:tcPr>
          <w:p>
            <w:pPr>
              <w:pStyle w:val="843"/>
              <w:jc w:val="center"/>
              <w:spacing w:line="360" w:lineRule="auto"/>
              <w:rPr>
                <w:rFonts w:ascii="宋体" w:hAnsi="宋体"/>
                <w:color w:val="000000"/>
                <w:sz w:val="24"/>
                <w:highlight w:val="none"/>
              </w:rPr>
            </w:pPr>
            <w:r>
              <w:rPr>
                <w:rFonts w:ascii="宋体" w:hAnsi="宋体"/>
                <w:color w:val="000000"/>
                <w:sz w:val="24"/>
                <w:highlight w:val="none"/>
              </w:rPr>
            </w:r>
            <w:r/>
          </w:p>
        </w:tc>
        <w:tc>
          <w:tcPr>
            <w:tcW w:w="1570" w:type="dxa"/>
            <w:vAlign w:val="center"/>
            <w:textDirection w:val="lrTb"/>
            <w:noWrap w:val="false"/>
          </w:tcPr>
          <w:p>
            <w:pPr>
              <w:pStyle w:val="843"/>
              <w:jc w:val="center"/>
              <w:spacing w:line="360" w:lineRule="auto"/>
              <w:rPr>
                <w:rFonts w:ascii="宋体" w:hAnsi="宋体"/>
                <w:color w:val="000000"/>
                <w:sz w:val="24"/>
                <w:highlight w:val="none"/>
              </w:rPr>
            </w:pPr>
            <w:r>
              <w:rPr>
                <w:rFonts w:ascii="宋体" w:hAnsi="宋体"/>
                <w:color w:val="000000"/>
                <w:sz w:val="24"/>
                <w:highlight w:val="none"/>
              </w:rPr>
            </w:r>
            <w:r/>
          </w:p>
        </w:tc>
        <w:tc>
          <w:tcPr>
            <w:tcW w:w="1306" w:type="dxa"/>
            <w:vAlign w:val="center"/>
            <w:textDirection w:val="lrTb"/>
            <w:noWrap w:val="false"/>
          </w:tcPr>
          <w:p>
            <w:pPr>
              <w:pStyle w:val="843"/>
              <w:jc w:val="center"/>
              <w:spacing w:line="360" w:lineRule="auto"/>
              <w:rPr>
                <w:rFonts w:ascii="宋体" w:hAnsi="宋体"/>
                <w:color w:val="000000"/>
                <w:sz w:val="24"/>
                <w:highlight w:val="none"/>
              </w:rPr>
            </w:pPr>
            <w:r>
              <w:rPr>
                <w:rFonts w:hint="eastAsia" w:ascii="宋体" w:hAnsi="宋体"/>
                <w:color w:val="000000"/>
                <w:sz w:val="24"/>
                <w:highlight w:val="none"/>
              </w:rPr>
              <w:t xml:space="preserve">参照表（1）</w:t>
            </w:r>
            <w:r>
              <w:rPr>
                <w:rFonts w:ascii="宋体" w:hAnsi="宋体"/>
                <w:color w:val="000000"/>
                <w:sz w:val="24"/>
                <w:highlight w:val="none"/>
              </w:rPr>
            </w:r>
            <w:r/>
          </w:p>
        </w:tc>
      </w:tr>
      <w:tr>
        <w:trPr>
          <w:trHeight w:val="457"/>
        </w:trPr>
        <w:tc>
          <w:tcPr>
            <w:tcW w:w="787" w:type="dxa"/>
            <w:vAlign w:val="center"/>
            <w:textDirection w:val="lrTb"/>
            <w:noWrap w:val="false"/>
          </w:tcPr>
          <w:p>
            <w:pPr>
              <w:pStyle w:val="843"/>
              <w:jc w:val="center"/>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3574" w:type="dxa"/>
            <w:vAlign w:val="center"/>
            <w:textDirection w:val="lrTb"/>
            <w:noWrap w:val="false"/>
          </w:tcPr>
          <w:p>
            <w:pPr>
              <w:pStyle w:val="843"/>
              <w:jc w:val="left"/>
              <w:spacing w:line="360" w:lineRule="auto"/>
              <w:rPr>
                <w:rFonts w:ascii="宋体" w:hAnsi="宋体"/>
                <w:color w:val="000000"/>
                <w:sz w:val="24"/>
                <w:highlight w:val="none"/>
              </w:rPr>
            </w:pPr>
            <w:r>
              <w:rPr>
                <w:rFonts w:hint="eastAsia" w:ascii="宋体" w:hAnsi="宋体"/>
                <w:color w:val="000000"/>
                <w:sz w:val="24"/>
                <w:highlight w:val="none"/>
              </w:rPr>
              <w:t xml:space="preserve">行政办公费用</w:t>
            </w:r>
            <w:r>
              <w:rPr>
                <w:rFonts w:ascii="宋体" w:hAnsi="宋体"/>
                <w:color w:val="000000"/>
                <w:sz w:val="24"/>
                <w:highlight w:val="none"/>
              </w:rPr>
            </w:r>
            <w:r/>
          </w:p>
        </w:tc>
        <w:tc>
          <w:tcPr>
            <w:tcW w:w="1657" w:type="dxa"/>
            <w:vAlign w:val="center"/>
            <w:textDirection w:val="lrTb"/>
            <w:noWrap w:val="false"/>
          </w:tcPr>
          <w:p>
            <w:pPr>
              <w:pStyle w:val="843"/>
              <w:jc w:val="center"/>
              <w:spacing w:line="360" w:lineRule="auto"/>
              <w:rPr>
                <w:rFonts w:ascii="宋体" w:hAnsi="宋体"/>
                <w:color w:val="000000"/>
                <w:sz w:val="24"/>
                <w:highlight w:val="none"/>
              </w:rPr>
            </w:pPr>
            <w:r>
              <w:rPr>
                <w:rFonts w:ascii="宋体" w:hAnsi="宋体"/>
                <w:color w:val="000000"/>
                <w:sz w:val="24"/>
                <w:highlight w:val="none"/>
              </w:rPr>
            </w:r>
            <w:r/>
          </w:p>
        </w:tc>
        <w:tc>
          <w:tcPr>
            <w:tcW w:w="1570" w:type="dxa"/>
            <w:vAlign w:val="center"/>
            <w:textDirection w:val="lrTb"/>
            <w:noWrap w:val="false"/>
          </w:tcPr>
          <w:p>
            <w:pPr>
              <w:pStyle w:val="843"/>
              <w:jc w:val="center"/>
              <w:spacing w:line="360" w:lineRule="auto"/>
              <w:rPr>
                <w:rFonts w:ascii="宋体" w:hAnsi="宋体"/>
                <w:color w:val="000000"/>
                <w:sz w:val="24"/>
                <w:highlight w:val="none"/>
              </w:rPr>
            </w:pPr>
            <w:r>
              <w:rPr>
                <w:rFonts w:ascii="宋体" w:hAnsi="宋体"/>
                <w:color w:val="000000"/>
                <w:sz w:val="24"/>
                <w:highlight w:val="none"/>
              </w:rPr>
            </w:r>
            <w:r/>
          </w:p>
        </w:tc>
        <w:tc>
          <w:tcPr>
            <w:tcW w:w="1306" w:type="dxa"/>
            <w:vAlign w:val="center"/>
            <w:textDirection w:val="lrTb"/>
            <w:noWrap w:val="false"/>
          </w:tcPr>
          <w:p>
            <w:pPr>
              <w:pStyle w:val="843"/>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503"/>
        </w:trPr>
        <w:tc>
          <w:tcPr>
            <w:tcW w:w="787" w:type="dxa"/>
            <w:vAlign w:val="center"/>
            <w:textDirection w:val="lrTb"/>
            <w:noWrap w:val="false"/>
          </w:tcPr>
          <w:p>
            <w:pPr>
              <w:pStyle w:val="843"/>
              <w:jc w:val="center"/>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3574" w:type="dxa"/>
            <w:vAlign w:val="center"/>
            <w:textDirection w:val="lrTb"/>
            <w:noWrap w:val="false"/>
          </w:tcPr>
          <w:p>
            <w:pPr>
              <w:pStyle w:val="843"/>
              <w:jc w:val="left"/>
              <w:spacing w:line="360" w:lineRule="auto"/>
              <w:rPr>
                <w:rFonts w:ascii="宋体" w:hAnsi="宋体"/>
                <w:color w:val="000000"/>
                <w:sz w:val="24"/>
                <w:highlight w:val="none"/>
              </w:rPr>
            </w:pPr>
            <w:r>
              <w:rPr>
                <w:rFonts w:hint="eastAsia" w:ascii="宋体" w:hAnsi="宋体"/>
                <w:color w:val="000000"/>
                <w:sz w:val="24"/>
                <w:highlight w:val="none"/>
              </w:rPr>
              <w:t xml:space="preserve">安保器械装备费</w:t>
            </w:r>
            <w:r>
              <w:rPr>
                <w:rFonts w:ascii="宋体" w:hAnsi="宋体"/>
                <w:color w:val="000000"/>
                <w:sz w:val="24"/>
                <w:highlight w:val="none"/>
              </w:rPr>
            </w:r>
            <w:r/>
          </w:p>
        </w:tc>
        <w:tc>
          <w:tcPr>
            <w:tcW w:w="1657" w:type="dxa"/>
            <w:vAlign w:val="center"/>
            <w:textDirection w:val="lrTb"/>
            <w:noWrap w:val="false"/>
          </w:tcPr>
          <w:p>
            <w:pPr>
              <w:pStyle w:val="843"/>
              <w:jc w:val="center"/>
              <w:spacing w:line="360" w:lineRule="auto"/>
              <w:rPr>
                <w:rFonts w:ascii="宋体" w:hAnsi="宋体"/>
                <w:color w:val="000000"/>
                <w:sz w:val="24"/>
                <w:highlight w:val="none"/>
              </w:rPr>
            </w:pPr>
            <w:r>
              <w:rPr>
                <w:rFonts w:ascii="宋体" w:hAnsi="宋体"/>
                <w:color w:val="000000"/>
                <w:sz w:val="24"/>
                <w:highlight w:val="none"/>
              </w:rPr>
            </w:r>
            <w:r/>
          </w:p>
        </w:tc>
        <w:tc>
          <w:tcPr>
            <w:tcW w:w="1570" w:type="dxa"/>
            <w:vAlign w:val="center"/>
            <w:textDirection w:val="lrTb"/>
            <w:noWrap w:val="false"/>
          </w:tcPr>
          <w:p>
            <w:pPr>
              <w:pStyle w:val="843"/>
              <w:jc w:val="center"/>
              <w:spacing w:line="360" w:lineRule="auto"/>
              <w:rPr>
                <w:rFonts w:ascii="宋体" w:hAnsi="宋体"/>
                <w:color w:val="000000"/>
                <w:sz w:val="24"/>
                <w:highlight w:val="none"/>
              </w:rPr>
            </w:pPr>
            <w:r>
              <w:rPr>
                <w:rFonts w:ascii="宋体" w:hAnsi="宋体"/>
                <w:color w:val="000000"/>
                <w:sz w:val="24"/>
                <w:highlight w:val="none"/>
              </w:rPr>
            </w:r>
            <w:r/>
          </w:p>
        </w:tc>
        <w:tc>
          <w:tcPr>
            <w:tcW w:w="1306" w:type="dxa"/>
            <w:vAlign w:val="center"/>
            <w:textDirection w:val="lrTb"/>
            <w:noWrap w:val="false"/>
          </w:tcPr>
          <w:p>
            <w:pPr>
              <w:pStyle w:val="843"/>
              <w:jc w:val="center"/>
              <w:spacing w:line="360" w:lineRule="auto"/>
              <w:rPr>
                <w:rFonts w:ascii="宋体" w:hAnsi="宋体"/>
                <w:color w:val="000000"/>
                <w:sz w:val="24"/>
                <w:highlight w:val="none"/>
              </w:rPr>
            </w:pPr>
            <w:r>
              <w:rPr>
                <w:rFonts w:hint="eastAsia" w:ascii="宋体" w:hAnsi="宋体"/>
                <w:color w:val="000000"/>
                <w:sz w:val="24"/>
                <w:highlight w:val="none"/>
              </w:rPr>
              <w:t xml:space="preserve">参照表（2）</w:t>
            </w:r>
            <w:r>
              <w:rPr>
                <w:rFonts w:ascii="宋体" w:hAnsi="宋体"/>
                <w:color w:val="000000"/>
                <w:sz w:val="24"/>
                <w:highlight w:val="none"/>
              </w:rPr>
            </w:r>
            <w:r/>
          </w:p>
        </w:tc>
      </w:tr>
      <w:tr>
        <w:trPr>
          <w:trHeight w:val="534"/>
        </w:trPr>
        <w:tc>
          <w:tcPr>
            <w:tcW w:w="787" w:type="dxa"/>
            <w:vAlign w:val="center"/>
            <w:textDirection w:val="lrTb"/>
            <w:noWrap w:val="false"/>
          </w:tcPr>
          <w:p>
            <w:pPr>
              <w:pStyle w:val="843"/>
              <w:jc w:val="center"/>
              <w:spacing w:line="360" w:lineRule="auto"/>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3574" w:type="dxa"/>
            <w:vAlign w:val="center"/>
            <w:textDirection w:val="lrTb"/>
            <w:noWrap w:val="false"/>
          </w:tcPr>
          <w:p>
            <w:pPr>
              <w:pStyle w:val="843"/>
              <w:jc w:val="left"/>
              <w:spacing w:line="360" w:lineRule="auto"/>
              <w:rPr>
                <w:rFonts w:ascii="宋体" w:hAnsi="宋体"/>
                <w:color w:val="000000"/>
                <w:sz w:val="24"/>
                <w:highlight w:val="none"/>
              </w:rPr>
            </w:pPr>
            <w:r>
              <w:rPr>
                <w:rFonts w:hint="eastAsia" w:ascii="宋体" w:hAnsi="宋体"/>
                <w:color w:val="000000"/>
                <w:sz w:val="24"/>
                <w:highlight w:val="none"/>
              </w:rPr>
              <w:t xml:space="preserve">服装费</w:t>
            </w:r>
            <w:r>
              <w:rPr>
                <w:rFonts w:ascii="宋体" w:hAnsi="宋体"/>
                <w:color w:val="000000"/>
                <w:sz w:val="24"/>
                <w:highlight w:val="none"/>
              </w:rPr>
            </w:r>
            <w:r/>
          </w:p>
        </w:tc>
        <w:tc>
          <w:tcPr>
            <w:tcW w:w="1657" w:type="dxa"/>
            <w:vAlign w:val="center"/>
            <w:textDirection w:val="lrTb"/>
            <w:noWrap w:val="false"/>
          </w:tcPr>
          <w:p>
            <w:pPr>
              <w:pStyle w:val="843"/>
              <w:jc w:val="center"/>
              <w:spacing w:line="360" w:lineRule="auto"/>
              <w:rPr>
                <w:rFonts w:ascii="宋体" w:hAnsi="宋体"/>
                <w:color w:val="000000"/>
                <w:sz w:val="24"/>
                <w:highlight w:val="none"/>
              </w:rPr>
            </w:pPr>
            <w:r>
              <w:rPr>
                <w:rFonts w:ascii="宋体" w:hAnsi="宋体"/>
                <w:color w:val="000000"/>
                <w:sz w:val="24"/>
                <w:highlight w:val="none"/>
              </w:rPr>
            </w:r>
            <w:r/>
          </w:p>
        </w:tc>
        <w:tc>
          <w:tcPr>
            <w:tcW w:w="1570" w:type="dxa"/>
            <w:vAlign w:val="center"/>
            <w:textDirection w:val="lrTb"/>
            <w:noWrap w:val="false"/>
          </w:tcPr>
          <w:p>
            <w:pPr>
              <w:pStyle w:val="843"/>
              <w:jc w:val="center"/>
              <w:spacing w:line="360" w:lineRule="auto"/>
              <w:rPr>
                <w:rFonts w:ascii="宋体" w:hAnsi="宋体"/>
                <w:color w:val="000000"/>
                <w:sz w:val="24"/>
                <w:highlight w:val="none"/>
              </w:rPr>
            </w:pPr>
            <w:r>
              <w:rPr>
                <w:rFonts w:ascii="宋体" w:hAnsi="宋体"/>
                <w:color w:val="000000"/>
                <w:sz w:val="24"/>
                <w:highlight w:val="none"/>
              </w:rPr>
            </w:r>
            <w:r/>
          </w:p>
        </w:tc>
        <w:tc>
          <w:tcPr>
            <w:tcW w:w="1306" w:type="dxa"/>
            <w:vAlign w:val="center"/>
            <w:textDirection w:val="lrTb"/>
            <w:noWrap w:val="false"/>
          </w:tcPr>
          <w:p>
            <w:pPr>
              <w:pStyle w:val="843"/>
              <w:jc w:val="center"/>
              <w:spacing w:line="360" w:lineRule="auto"/>
              <w:rPr>
                <w:rFonts w:ascii="宋体" w:hAnsi="宋体"/>
                <w:color w:val="000000"/>
                <w:sz w:val="24"/>
                <w:highlight w:val="none"/>
              </w:rPr>
            </w:pPr>
            <w:r>
              <w:rPr>
                <w:rFonts w:hint="eastAsia" w:ascii="宋体" w:hAnsi="宋体"/>
                <w:color w:val="000000"/>
                <w:sz w:val="24"/>
                <w:highlight w:val="none"/>
              </w:rPr>
              <w:t xml:space="preserve">参照表（2）</w:t>
            </w:r>
            <w:r>
              <w:rPr>
                <w:rFonts w:ascii="宋体" w:hAnsi="宋体"/>
                <w:color w:val="000000"/>
                <w:sz w:val="24"/>
                <w:highlight w:val="none"/>
              </w:rPr>
            </w:r>
            <w:r/>
          </w:p>
        </w:tc>
      </w:tr>
      <w:tr>
        <w:trPr>
          <w:trHeight w:val="555"/>
        </w:trPr>
        <w:tc>
          <w:tcPr>
            <w:tcW w:w="787" w:type="dxa"/>
            <w:vAlign w:val="center"/>
            <w:textDirection w:val="lrTb"/>
            <w:noWrap w:val="false"/>
          </w:tcPr>
          <w:p>
            <w:pPr>
              <w:pStyle w:val="843"/>
              <w:jc w:val="center"/>
              <w:spacing w:line="360" w:lineRule="auto"/>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r>
            <w:r/>
          </w:p>
        </w:tc>
        <w:tc>
          <w:tcPr>
            <w:tcW w:w="3574" w:type="dxa"/>
            <w:vAlign w:val="center"/>
            <w:textDirection w:val="lrTb"/>
            <w:noWrap w:val="false"/>
          </w:tcPr>
          <w:p>
            <w:pPr>
              <w:pStyle w:val="843"/>
              <w:jc w:val="left"/>
              <w:spacing w:line="360" w:lineRule="auto"/>
              <w:rPr>
                <w:rFonts w:ascii="宋体" w:hAnsi="宋体"/>
                <w:color w:val="000000"/>
                <w:sz w:val="24"/>
                <w:highlight w:val="none"/>
              </w:rPr>
            </w:pPr>
            <w:r>
              <w:rPr>
                <w:rFonts w:hint="eastAsia" w:ascii="宋体" w:hAnsi="宋体"/>
                <w:color w:val="000000"/>
                <w:sz w:val="24"/>
                <w:highlight w:val="none"/>
              </w:rPr>
              <w:t xml:space="preserve">管理费</w:t>
            </w:r>
            <w:r>
              <w:rPr>
                <w:rFonts w:ascii="宋体" w:hAnsi="宋体"/>
                <w:color w:val="000000"/>
                <w:sz w:val="24"/>
                <w:highlight w:val="none"/>
              </w:rPr>
            </w:r>
            <w:r/>
          </w:p>
        </w:tc>
        <w:tc>
          <w:tcPr>
            <w:tcW w:w="1657" w:type="dxa"/>
            <w:vAlign w:val="center"/>
            <w:textDirection w:val="lrTb"/>
            <w:noWrap w:val="false"/>
          </w:tcPr>
          <w:p>
            <w:pPr>
              <w:pStyle w:val="843"/>
              <w:jc w:val="center"/>
              <w:spacing w:line="360" w:lineRule="auto"/>
              <w:rPr>
                <w:rFonts w:ascii="宋体" w:hAnsi="宋体"/>
                <w:color w:val="000000"/>
                <w:sz w:val="24"/>
                <w:highlight w:val="none"/>
              </w:rPr>
            </w:pPr>
            <w:r>
              <w:rPr>
                <w:rFonts w:ascii="宋体" w:hAnsi="宋体"/>
                <w:color w:val="000000"/>
                <w:sz w:val="24"/>
                <w:highlight w:val="none"/>
              </w:rPr>
            </w:r>
            <w:r/>
          </w:p>
        </w:tc>
        <w:tc>
          <w:tcPr>
            <w:tcW w:w="1570" w:type="dxa"/>
            <w:vAlign w:val="center"/>
            <w:textDirection w:val="lrTb"/>
            <w:noWrap w:val="false"/>
          </w:tcPr>
          <w:p>
            <w:pPr>
              <w:pStyle w:val="843"/>
              <w:jc w:val="center"/>
              <w:spacing w:line="360" w:lineRule="auto"/>
              <w:rPr>
                <w:rFonts w:ascii="宋体" w:hAnsi="宋体"/>
                <w:color w:val="000000"/>
                <w:sz w:val="24"/>
                <w:highlight w:val="none"/>
              </w:rPr>
            </w:pPr>
            <w:r>
              <w:rPr>
                <w:rFonts w:ascii="宋体" w:hAnsi="宋体"/>
                <w:color w:val="000000"/>
                <w:sz w:val="24"/>
                <w:highlight w:val="none"/>
              </w:rPr>
            </w:r>
            <w:r/>
          </w:p>
        </w:tc>
        <w:tc>
          <w:tcPr>
            <w:tcW w:w="1306" w:type="dxa"/>
            <w:vAlign w:val="center"/>
            <w:textDirection w:val="lrTb"/>
            <w:noWrap w:val="false"/>
          </w:tcPr>
          <w:p>
            <w:pPr>
              <w:pStyle w:val="843"/>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559"/>
        </w:trPr>
        <w:tc>
          <w:tcPr>
            <w:tcW w:w="787" w:type="dxa"/>
            <w:vAlign w:val="center"/>
            <w:textDirection w:val="lrTb"/>
            <w:noWrap w:val="false"/>
          </w:tcPr>
          <w:p>
            <w:pPr>
              <w:pStyle w:val="843"/>
              <w:jc w:val="center"/>
              <w:spacing w:line="360" w:lineRule="auto"/>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r>
            <w:r/>
          </w:p>
        </w:tc>
        <w:tc>
          <w:tcPr>
            <w:tcW w:w="3574" w:type="dxa"/>
            <w:vAlign w:val="center"/>
            <w:textDirection w:val="lrTb"/>
            <w:noWrap w:val="false"/>
          </w:tcPr>
          <w:p>
            <w:pPr>
              <w:pStyle w:val="843"/>
              <w:jc w:val="left"/>
              <w:spacing w:line="360" w:lineRule="auto"/>
              <w:rPr>
                <w:rFonts w:ascii="宋体" w:hAnsi="宋体"/>
                <w:color w:val="000000"/>
                <w:sz w:val="24"/>
                <w:highlight w:val="none"/>
              </w:rPr>
            </w:pPr>
            <w:r>
              <w:rPr>
                <w:rFonts w:hint="eastAsia" w:ascii="宋体" w:hAnsi="宋体"/>
                <w:color w:val="000000"/>
                <w:sz w:val="24"/>
                <w:highlight w:val="none"/>
              </w:rPr>
              <w:t xml:space="preserve">公众责任险</w:t>
            </w:r>
            <w:r>
              <w:rPr>
                <w:rFonts w:ascii="宋体" w:hAnsi="宋体"/>
                <w:color w:val="000000"/>
                <w:sz w:val="24"/>
                <w:highlight w:val="none"/>
              </w:rPr>
            </w:r>
            <w:r/>
          </w:p>
        </w:tc>
        <w:tc>
          <w:tcPr>
            <w:tcW w:w="1657" w:type="dxa"/>
            <w:vAlign w:val="center"/>
            <w:textDirection w:val="lrTb"/>
            <w:noWrap w:val="false"/>
          </w:tcPr>
          <w:p>
            <w:pPr>
              <w:pStyle w:val="843"/>
              <w:jc w:val="center"/>
              <w:spacing w:line="360" w:lineRule="auto"/>
              <w:rPr>
                <w:rFonts w:ascii="宋体" w:hAnsi="宋体"/>
                <w:color w:val="000000"/>
                <w:sz w:val="24"/>
                <w:highlight w:val="none"/>
              </w:rPr>
            </w:pPr>
            <w:r>
              <w:rPr>
                <w:rFonts w:ascii="宋体" w:hAnsi="宋体"/>
                <w:color w:val="000000"/>
                <w:sz w:val="24"/>
                <w:highlight w:val="none"/>
              </w:rPr>
            </w:r>
            <w:r/>
          </w:p>
        </w:tc>
        <w:tc>
          <w:tcPr>
            <w:tcW w:w="1570" w:type="dxa"/>
            <w:vAlign w:val="center"/>
            <w:textDirection w:val="lrTb"/>
            <w:noWrap w:val="false"/>
          </w:tcPr>
          <w:p>
            <w:pPr>
              <w:pStyle w:val="843"/>
              <w:jc w:val="center"/>
              <w:spacing w:line="360" w:lineRule="auto"/>
              <w:rPr>
                <w:rFonts w:ascii="宋体" w:hAnsi="宋体"/>
                <w:color w:val="000000"/>
                <w:sz w:val="24"/>
                <w:highlight w:val="none"/>
              </w:rPr>
            </w:pPr>
            <w:r>
              <w:rPr>
                <w:rFonts w:ascii="宋体" w:hAnsi="宋体"/>
                <w:color w:val="000000"/>
                <w:sz w:val="24"/>
                <w:highlight w:val="none"/>
              </w:rPr>
            </w:r>
            <w:r/>
          </w:p>
        </w:tc>
        <w:tc>
          <w:tcPr>
            <w:tcW w:w="1306" w:type="dxa"/>
            <w:vAlign w:val="center"/>
            <w:textDirection w:val="lrTb"/>
            <w:noWrap w:val="false"/>
          </w:tcPr>
          <w:p>
            <w:pPr>
              <w:pStyle w:val="843"/>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529"/>
        </w:trPr>
        <w:tc>
          <w:tcPr>
            <w:tcW w:w="787" w:type="dxa"/>
            <w:vAlign w:val="center"/>
            <w:textDirection w:val="lrTb"/>
            <w:noWrap w:val="false"/>
          </w:tcPr>
          <w:p>
            <w:pPr>
              <w:pStyle w:val="843"/>
              <w:jc w:val="center"/>
              <w:spacing w:line="360" w:lineRule="auto"/>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r>
            <w:r/>
          </w:p>
        </w:tc>
        <w:tc>
          <w:tcPr>
            <w:tcW w:w="3574" w:type="dxa"/>
            <w:vAlign w:val="center"/>
            <w:textDirection w:val="lrTb"/>
            <w:noWrap w:val="false"/>
          </w:tcPr>
          <w:p>
            <w:pPr>
              <w:pStyle w:val="843"/>
              <w:jc w:val="left"/>
              <w:spacing w:line="360" w:lineRule="auto"/>
              <w:rPr>
                <w:rFonts w:ascii="宋体" w:hAnsi="宋体"/>
                <w:color w:val="000000"/>
                <w:sz w:val="24"/>
                <w:highlight w:val="none"/>
              </w:rPr>
            </w:pPr>
            <w:r>
              <w:rPr>
                <w:rFonts w:hint="eastAsia" w:ascii="宋体" w:hAnsi="宋体"/>
                <w:color w:val="000000"/>
                <w:sz w:val="24"/>
                <w:highlight w:val="none"/>
              </w:rPr>
              <w:t xml:space="preserve">合理利润</w:t>
            </w:r>
            <w:r>
              <w:rPr>
                <w:rFonts w:ascii="宋体" w:hAnsi="宋体"/>
                <w:color w:val="000000"/>
                <w:sz w:val="24"/>
                <w:highlight w:val="none"/>
              </w:rPr>
            </w:r>
            <w:r/>
          </w:p>
        </w:tc>
        <w:tc>
          <w:tcPr>
            <w:tcW w:w="1657" w:type="dxa"/>
            <w:vAlign w:val="center"/>
            <w:textDirection w:val="lrTb"/>
            <w:noWrap w:val="false"/>
          </w:tcPr>
          <w:p>
            <w:pPr>
              <w:pStyle w:val="843"/>
              <w:jc w:val="center"/>
              <w:spacing w:line="360" w:lineRule="auto"/>
              <w:rPr>
                <w:rFonts w:ascii="宋体" w:hAnsi="宋体"/>
                <w:color w:val="000000"/>
                <w:sz w:val="24"/>
                <w:highlight w:val="none"/>
              </w:rPr>
            </w:pPr>
            <w:r>
              <w:rPr>
                <w:rFonts w:ascii="宋体" w:hAnsi="宋体"/>
                <w:color w:val="000000"/>
                <w:sz w:val="24"/>
                <w:highlight w:val="none"/>
              </w:rPr>
            </w:r>
            <w:r/>
          </w:p>
        </w:tc>
        <w:tc>
          <w:tcPr>
            <w:tcW w:w="1570" w:type="dxa"/>
            <w:vAlign w:val="center"/>
            <w:textDirection w:val="lrTb"/>
            <w:noWrap w:val="false"/>
          </w:tcPr>
          <w:p>
            <w:pPr>
              <w:pStyle w:val="843"/>
              <w:jc w:val="center"/>
              <w:spacing w:line="360" w:lineRule="auto"/>
              <w:rPr>
                <w:rFonts w:ascii="宋体" w:hAnsi="宋体"/>
                <w:color w:val="000000"/>
                <w:sz w:val="24"/>
                <w:highlight w:val="none"/>
              </w:rPr>
            </w:pPr>
            <w:r>
              <w:rPr>
                <w:rFonts w:ascii="宋体" w:hAnsi="宋体"/>
                <w:color w:val="000000"/>
                <w:sz w:val="24"/>
                <w:highlight w:val="none"/>
              </w:rPr>
            </w:r>
            <w:r/>
          </w:p>
        </w:tc>
        <w:tc>
          <w:tcPr>
            <w:tcW w:w="1306" w:type="dxa"/>
            <w:vAlign w:val="center"/>
            <w:textDirection w:val="lrTb"/>
            <w:noWrap w:val="false"/>
          </w:tcPr>
          <w:p>
            <w:pPr>
              <w:pStyle w:val="843"/>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510"/>
        </w:trPr>
        <w:tc>
          <w:tcPr>
            <w:tcW w:w="787" w:type="dxa"/>
            <w:vAlign w:val="center"/>
            <w:textDirection w:val="lrTb"/>
            <w:noWrap w:val="false"/>
          </w:tcPr>
          <w:p>
            <w:pPr>
              <w:pStyle w:val="843"/>
              <w:jc w:val="center"/>
              <w:spacing w:line="360" w:lineRule="auto"/>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r>
            <w:r/>
          </w:p>
        </w:tc>
        <w:tc>
          <w:tcPr>
            <w:tcW w:w="3574" w:type="dxa"/>
            <w:vAlign w:val="center"/>
            <w:textDirection w:val="lrTb"/>
            <w:noWrap w:val="false"/>
          </w:tcPr>
          <w:p>
            <w:pPr>
              <w:pStyle w:val="843"/>
              <w:jc w:val="left"/>
              <w:spacing w:line="360" w:lineRule="auto"/>
              <w:rPr>
                <w:rFonts w:ascii="宋体" w:hAnsi="宋体"/>
                <w:color w:val="000000"/>
                <w:sz w:val="24"/>
                <w:highlight w:val="none"/>
              </w:rPr>
            </w:pPr>
            <w:r>
              <w:rPr>
                <w:rFonts w:hint="eastAsia" w:ascii="宋体" w:hAnsi="宋体"/>
                <w:color w:val="000000"/>
                <w:sz w:val="24"/>
                <w:highlight w:val="none"/>
              </w:rPr>
              <w:t xml:space="preserve">税金</w:t>
            </w:r>
            <w:r>
              <w:rPr>
                <w:rFonts w:ascii="宋体" w:hAnsi="宋体"/>
                <w:color w:val="000000"/>
                <w:sz w:val="24"/>
                <w:highlight w:val="none"/>
              </w:rPr>
            </w:r>
            <w:r/>
          </w:p>
        </w:tc>
        <w:tc>
          <w:tcPr>
            <w:tcW w:w="1657" w:type="dxa"/>
            <w:vAlign w:val="center"/>
            <w:textDirection w:val="lrTb"/>
            <w:noWrap w:val="false"/>
          </w:tcPr>
          <w:p>
            <w:pPr>
              <w:pStyle w:val="843"/>
              <w:jc w:val="center"/>
              <w:spacing w:line="360" w:lineRule="auto"/>
              <w:rPr>
                <w:rFonts w:ascii="宋体" w:hAnsi="宋体"/>
                <w:color w:val="000000"/>
                <w:sz w:val="24"/>
                <w:highlight w:val="none"/>
              </w:rPr>
            </w:pPr>
            <w:r>
              <w:rPr>
                <w:rFonts w:ascii="宋体" w:hAnsi="宋体"/>
                <w:color w:val="000000"/>
                <w:sz w:val="24"/>
                <w:highlight w:val="none"/>
              </w:rPr>
            </w:r>
            <w:r/>
          </w:p>
        </w:tc>
        <w:tc>
          <w:tcPr>
            <w:tcW w:w="1570" w:type="dxa"/>
            <w:vAlign w:val="center"/>
            <w:textDirection w:val="lrTb"/>
            <w:noWrap w:val="false"/>
          </w:tcPr>
          <w:p>
            <w:pPr>
              <w:pStyle w:val="843"/>
              <w:jc w:val="center"/>
              <w:spacing w:line="360" w:lineRule="auto"/>
              <w:rPr>
                <w:rFonts w:ascii="宋体" w:hAnsi="宋体"/>
                <w:color w:val="000000"/>
                <w:sz w:val="24"/>
                <w:highlight w:val="none"/>
              </w:rPr>
            </w:pPr>
            <w:r>
              <w:rPr>
                <w:rFonts w:ascii="宋体" w:hAnsi="宋体"/>
                <w:color w:val="000000"/>
                <w:sz w:val="24"/>
                <w:highlight w:val="none"/>
              </w:rPr>
            </w:r>
            <w:r/>
          </w:p>
        </w:tc>
        <w:tc>
          <w:tcPr>
            <w:tcW w:w="1306" w:type="dxa"/>
            <w:vAlign w:val="center"/>
            <w:textDirection w:val="lrTb"/>
            <w:noWrap w:val="false"/>
          </w:tcPr>
          <w:p>
            <w:pPr>
              <w:pStyle w:val="843"/>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561"/>
        </w:trPr>
        <w:tc>
          <w:tcPr>
            <w:tcW w:w="787" w:type="dxa"/>
            <w:vAlign w:val="center"/>
            <w:textDirection w:val="lrTb"/>
            <w:noWrap w:val="false"/>
          </w:tcPr>
          <w:p>
            <w:pPr>
              <w:pStyle w:val="843"/>
              <w:jc w:val="center"/>
              <w:spacing w:line="360" w:lineRule="auto"/>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r>
            <w:r/>
          </w:p>
        </w:tc>
        <w:tc>
          <w:tcPr>
            <w:tcW w:w="3574" w:type="dxa"/>
            <w:vAlign w:val="center"/>
            <w:textDirection w:val="lrTb"/>
            <w:noWrap w:val="false"/>
          </w:tcPr>
          <w:p>
            <w:pPr>
              <w:pStyle w:val="843"/>
              <w:jc w:val="left"/>
              <w:spacing w:line="360" w:lineRule="auto"/>
              <w:rPr>
                <w:rFonts w:ascii="宋体" w:hAnsi="宋体"/>
                <w:color w:val="000000"/>
                <w:sz w:val="24"/>
                <w:highlight w:val="none"/>
              </w:rPr>
            </w:pPr>
            <w:r>
              <w:rPr>
                <w:rFonts w:hint="eastAsia" w:ascii="宋体" w:hAnsi="宋体"/>
                <w:color w:val="000000"/>
                <w:sz w:val="24"/>
                <w:highlight w:val="none"/>
              </w:rPr>
              <w:t xml:space="preserve">其他支出</w:t>
            </w:r>
            <w:r>
              <w:rPr>
                <w:rFonts w:ascii="宋体" w:hAnsi="宋体"/>
                <w:color w:val="000000"/>
                <w:sz w:val="24"/>
                <w:highlight w:val="none"/>
              </w:rPr>
            </w:r>
            <w:r/>
          </w:p>
        </w:tc>
        <w:tc>
          <w:tcPr>
            <w:tcW w:w="1657" w:type="dxa"/>
            <w:vAlign w:val="center"/>
            <w:textDirection w:val="lrTb"/>
            <w:noWrap w:val="false"/>
          </w:tcPr>
          <w:p>
            <w:pPr>
              <w:pStyle w:val="843"/>
              <w:jc w:val="center"/>
              <w:spacing w:line="360" w:lineRule="auto"/>
              <w:rPr>
                <w:rFonts w:ascii="宋体" w:hAnsi="宋体"/>
                <w:color w:val="000000"/>
                <w:sz w:val="24"/>
                <w:highlight w:val="none"/>
              </w:rPr>
            </w:pPr>
            <w:r>
              <w:rPr>
                <w:rFonts w:ascii="宋体" w:hAnsi="宋体"/>
                <w:color w:val="000000"/>
                <w:sz w:val="24"/>
                <w:highlight w:val="none"/>
              </w:rPr>
            </w:r>
            <w:r/>
          </w:p>
        </w:tc>
        <w:tc>
          <w:tcPr>
            <w:tcW w:w="1570" w:type="dxa"/>
            <w:vAlign w:val="center"/>
            <w:textDirection w:val="lrTb"/>
            <w:noWrap w:val="false"/>
          </w:tcPr>
          <w:p>
            <w:pPr>
              <w:pStyle w:val="843"/>
              <w:jc w:val="center"/>
              <w:spacing w:line="360" w:lineRule="auto"/>
              <w:rPr>
                <w:rFonts w:ascii="宋体" w:hAnsi="宋体"/>
                <w:color w:val="000000"/>
                <w:sz w:val="24"/>
                <w:highlight w:val="none"/>
              </w:rPr>
            </w:pPr>
            <w:r>
              <w:rPr>
                <w:rFonts w:ascii="宋体" w:hAnsi="宋体"/>
                <w:color w:val="000000"/>
                <w:sz w:val="24"/>
                <w:highlight w:val="none"/>
              </w:rPr>
            </w:r>
            <w:r/>
          </w:p>
        </w:tc>
        <w:tc>
          <w:tcPr>
            <w:tcW w:w="1306" w:type="dxa"/>
            <w:vAlign w:val="center"/>
            <w:textDirection w:val="lrTb"/>
            <w:noWrap w:val="false"/>
          </w:tcPr>
          <w:p>
            <w:pPr>
              <w:pStyle w:val="843"/>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521"/>
        </w:trPr>
        <w:tc>
          <w:tcPr>
            <w:tcW w:w="787" w:type="dxa"/>
            <w:vAlign w:val="center"/>
            <w:textDirection w:val="lrTb"/>
            <w:noWrap w:val="false"/>
          </w:tcPr>
          <w:p>
            <w:pPr>
              <w:pStyle w:val="843"/>
              <w:jc w:val="center"/>
              <w:spacing w:line="360" w:lineRule="auto"/>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 </w:t>
            </w:r>
            <w:r>
              <w:rPr>
                <w:rFonts w:ascii="宋体" w:hAnsi="宋体"/>
                <w:color w:val="000000"/>
                <w:sz w:val="24"/>
                <w:highlight w:val="none"/>
              </w:rPr>
              <w:t xml:space="preserve">…</w:t>
            </w:r>
            <w:r>
              <w:rPr>
                <w:rFonts w:ascii="宋体" w:hAnsi="宋体"/>
                <w:color w:val="000000"/>
                <w:sz w:val="24"/>
                <w:highlight w:val="none"/>
              </w:rPr>
            </w:r>
            <w:r/>
          </w:p>
        </w:tc>
        <w:tc>
          <w:tcPr>
            <w:tcW w:w="3574" w:type="dxa"/>
            <w:vAlign w:val="center"/>
            <w:textDirection w:val="lrTb"/>
            <w:noWrap w:val="false"/>
          </w:tcPr>
          <w:p>
            <w:pPr>
              <w:pStyle w:val="843"/>
              <w:jc w:val="center"/>
              <w:spacing w:line="360" w:lineRule="auto"/>
              <w:rPr>
                <w:rFonts w:ascii="宋体" w:hAnsi="宋体"/>
                <w:color w:val="000000"/>
                <w:sz w:val="24"/>
                <w:highlight w:val="none"/>
              </w:rPr>
            </w:pPr>
            <w:r>
              <w:rPr>
                <w:rFonts w:ascii="宋体" w:hAnsi="宋体"/>
                <w:color w:val="000000"/>
                <w:sz w:val="24"/>
                <w:highlight w:val="none"/>
              </w:rPr>
            </w:r>
            <w:r/>
          </w:p>
        </w:tc>
        <w:tc>
          <w:tcPr>
            <w:tcW w:w="1657" w:type="dxa"/>
            <w:vAlign w:val="center"/>
            <w:textDirection w:val="lrTb"/>
            <w:noWrap w:val="false"/>
          </w:tcPr>
          <w:p>
            <w:pPr>
              <w:pStyle w:val="843"/>
              <w:jc w:val="center"/>
              <w:spacing w:line="360" w:lineRule="auto"/>
              <w:rPr>
                <w:rFonts w:ascii="宋体" w:hAnsi="宋体"/>
                <w:color w:val="000000"/>
                <w:sz w:val="24"/>
                <w:highlight w:val="none"/>
              </w:rPr>
            </w:pPr>
            <w:r>
              <w:rPr>
                <w:rFonts w:ascii="宋体" w:hAnsi="宋体"/>
                <w:color w:val="000000"/>
                <w:sz w:val="24"/>
                <w:highlight w:val="none"/>
              </w:rPr>
            </w:r>
            <w:r/>
          </w:p>
        </w:tc>
        <w:tc>
          <w:tcPr>
            <w:tcW w:w="1570" w:type="dxa"/>
            <w:vAlign w:val="center"/>
            <w:textDirection w:val="lrTb"/>
            <w:noWrap w:val="false"/>
          </w:tcPr>
          <w:p>
            <w:pPr>
              <w:pStyle w:val="843"/>
              <w:jc w:val="center"/>
              <w:spacing w:line="360" w:lineRule="auto"/>
              <w:rPr>
                <w:rFonts w:ascii="宋体" w:hAnsi="宋体"/>
                <w:color w:val="000000"/>
                <w:sz w:val="24"/>
                <w:highlight w:val="none"/>
              </w:rPr>
            </w:pPr>
            <w:r>
              <w:rPr>
                <w:rFonts w:ascii="宋体" w:hAnsi="宋体"/>
                <w:color w:val="000000"/>
                <w:sz w:val="24"/>
                <w:highlight w:val="none"/>
              </w:rPr>
            </w:r>
            <w:r/>
          </w:p>
        </w:tc>
        <w:tc>
          <w:tcPr>
            <w:tcW w:w="1306" w:type="dxa"/>
            <w:vAlign w:val="center"/>
            <w:textDirection w:val="lrTb"/>
            <w:noWrap w:val="false"/>
          </w:tcPr>
          <w:p>
            <w:pPr>
              <w:pStyle w:val="843"/>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505"/>
        </w:trPr>
        <w:tc>
          <w:tcPr>
            <w:gridSpan w:val="2"/>
            <w:tcW w:w="4742" w:type="dxa"/>
            <w:vAlign w:val="center"/>
            <w:textDirection w:val="lrTb"/>
            <w:noWrap w:val="false"/>
          </w:tcPr>
          <w:p>
            <w:pPr>
              <w:pStyle w:val="843"/>
              <w:jc w:val="center"/>
              <w:spacing w:line="360" w:lineRule="auto"/>
              <w:rPr>
                <w:rFonts w:ascii="宋体" w:hAnsi="宋体"/>
                <w:color w:val="000000"/>
                <w:sz w:val="24"/>
                <w:highlight w:val="none"/>
              </w:rPr>
            </w:pPr>
            <w:r>
              <w:rPr>
                <w:rFonts w:hint="eastAsia" w:ascii="宋体" w:hAnsi="宋体"/>
                <w:color w:val="000000"/>
                <w:sz w:val="24"/>
                <w:highlight w:val="none"/>
              </w:rPr>
              <w:t xml:space="preserve">合计：</w:t>
            </w:r>
            <w:r>
              <w:rPr>
                <w:rFonts w:ascii="宋体" w:hAnsi="宋体"/>
                <w:color w:val="000000"/>
                <w:sz w:val="24"/>
                <w:highlight w:val="none"/>
              </w:rPr>
            </w:r>
            <w:r/>
          </w:p>
        </w:tc>
        <w:tc>
          <w:tcPr>
            <w:tcW w:w="1657" w:type="dxa"/>
            <w:vAlign w:val="center"/>
            <w:textDirection w:val="lrTb"/>
            <w:noWrap w:val="false"/>
          </w:tcPr>
          <w:p>
            <w:pPr>
              <w:pStyle w:val="843"/>
              <w:jc w:val="center"/>
              <w:spacing w:line="360" w:lineRule="auto"/>
              <w:rPr>
                <w:rFonts w:ascii="宋体" w:hAnsi="宋体"/>
                <w:color w:val="000000"/>
                <w:sz w:val="24"/>
                <w:highlight w:val="none"/>
              </w:rPr>
            </w:pPr>
            <w:r>
              <w:rPr>
                <w:rFonts w:ascii="宋体" w:hAnsi="宋体"/>
                <w:color w:val="000000"/>
                <w:sz w:val="24"/>
                <w:highlight w:val="none"/>
              </w:rPr>
            </w:r>
            <w:r/>
          </w:p>
        </w:tc>
        <w:tc>
          <w:tcPr>
            <w:tcW w:w="1570" w:type="dxa"/>
            <w:vAlign w:val="center"/>
            <w:textDirection w:val="lrTb"/>
            <w:noWrap w:val="false"/>
          </w:tcPr>
          <w:p>
            <w:pPr>
              <w:pStyle w:val="843"/>
              <w:jc w:val="center"/>
              <w:spacing w:line="360" w:lineRule="auto"/>
              <w:rPr>
                <w:rFonts w:ascii="宋体" w:hAnsi="宋体"/>
                <w:color w:val="000000"/>
                <w:sz w:val="24"/>
                <w:highlight w:val="none"/>
              </w:rPr>
            </w:pPr>
            <w:r>
              <w:rPr>
                <w:rFonts w:ascii="宋体" w:hAnsi="宋体"/>
                <w:color w:val="000000"/>
                <w:sz w:val="24"/>
                <w:highlight w:val="none"/>
              </w:rPr>
            </w:r>
            <w:r/>
          </w:p>
        </w:tc>
        <w:tc>
          <w:tcPr>
            <w:tcW w:w="1306" w:type="dxa"/>
            <w:vAlign w:val="center"/>
            <w:textDirection w:val="lrTb"/>
            <w:noWrap w:val="false"/>
          </w:tcPr>
          <w:p>
            <w:pPr>
              <w:pStyle w:val="843"/>
              <w:jc w:val="center"/>
              <w:spacing w:line="360" w:lineRule="auto"/>
              <w:rPr>
                <w:rFonts w:ascii="宋体" w:hAnsi="宋体"/>
                <w:color w:val="000000"/>
                <w:sz w:val="24"/>
                <w:highlight w:val="none"/>
              </w:rPr>
            </w:pPr>
            <w:r>
              <w:rPr>
                <w:rFonts w:ascii="宋体" w:hAnsi="宋体"/>
                <w:color w:val="000000"/>
                <w:sz w:val="24"/>
                <w:highlight w:val="none"/>
              </w:rPr>
            </w:r>
            <w:r/>
          </w:p>
        </w:tc>
      </w:tr>
    </w:tbl>
    <w:p>
      <w:pPr>
        <w:pStyle w:val="843"/>
        <w:spacing w:before="5" w:line="560" w:lineRule="atLeast"/>
        <w:rPr>
          <w:rFonts w:hint="eastAsia"/>
          <w:b/>
          <w:bCs/>
          <w:color w:val="000000"/>
          <w:sz w:val="24"/>
          <w:szCs w:val="24"/>
          <w:highlight w:val="none"/>
        </w:rPr>
      </w:pPr>
      <w:r>
        <w:rPr>
          <w:rFonts w:hint="eastAsia"/>
          <w:b/>
          <w:bCs/>
          <w:color w:val="000000"/>
          <w:sz w:val="24"/>
          <w:szCs w:val="24"/>
          <w:highlight w:val="none"/>
        </w:rPr>
      </w:r>
      <w:r/>
    </w:p>
    <w:p>
      <w:pPr>
        <w:pStyle w:val="843"/>
        <w:spacing w:before="5" w:line="560" w:lineRule="atLeast"/>
        <w:rPr>
          <w:color w:val="000000"/>
          <w:highlight w:val="none"/>
        </w:rPr>
      </w:pPr>
      <w:r>
        <w:rPr>
          <w:rFonts w:hint="eastAsia"/>
          <w:b/>
          <w:bCs/>
          <w:color w:val="000000"/>
          <w:sz w:val="24"/>
          <w:szCs w:val="24"/>
          <w:highlight w:val="none"/>
        </w:rPr>
        <w:t xml:space="preserve">法定代表人或法定代表人授权代表签字或盖章：</w:t>
      </w:r>
      <w:r>
        <w:rPr>
          <w:color w:val="000000"/>
          <w:highlight w:val="none"/>
        </w:rPr>
      </w:r>
      <w:r/>
    </w:p>
    <w:p>
      <w:pPr>
        <w:pStyle w:val="894"/>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843"/>
        <w:ind w:firstLine="482"/>
        <w:rPr>
          <w:b/>
          <w:bCs/>
          <w:color w:val="000000"/>
          <w:sz w:val="24"/>
          <w:szCs w:val="24"/>
          <w:highlight w:val="none"/>
        </w:rPr>
        <w:outlineLvl w:val="0"/>
      </w:pPr>
      <w:r>
        <w:rPr>
          <w:rFonts w:hint="eastAsia"/>
          <w:b/>
          <w:bCs/>
          <w:color w:val="000000"/>
          <w:sz w:val="24"/>
          <w:szCs w:val="24"/>
          <w:highlight w:val="none"/>
        </w:rPr>
        <w:t xml:space="preserve">供应商需按采购需求自拟明细内容，未列明在明细表中的但应由供应商负责的内容视为供应商让利，包含在总价中。</w:t>
      </w:r>
      <w:r>
        <w:rPr>
          <w:b/>
          <w:bCs/>
          <w:color w:val="000000"/>
          <w:sz w:val="24"/>
          <w:szCs w:val="24"/>
          <w:highlight w:val="none"/>
        </w:rPr>
      </w:r>
      <w:r/>
    </w:p>
    <w:p>
      <w:pPr>
        <w:pStyle w:val="879"/>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843"/>
        <w:rPr>
          <w:rFonts w:ascii="宋体" w:hAnsi="宋体"/>
          <w:bCs/>
          <w:color w:val="000000"/>
          <w:sz w:val="24"/>
          <w:highlight w:val="none"/>
        </w:rPr>
      </w:pPr>
      <w:r>
        <w:rPr>
          <w:rFonts w:hint="eastAsia" w:eastAsia="楷体_GB2312"/>
          <w:b/>
          <w:bCs/>
          <w:color w:val="000000"/>
          <w:sz w:val="28"/>
          <w:szCs w:val="28"/>
          <w:highlight w:val="none"/>
        </w:rPr>
        <w:br w:type="page" w:clear="all"/>
      </w:r>
      <w:r>
        <w:rPr>
          <w:rFonts w:hint="eastAsia" w:ascii="宋体" w:hAnsi="宋体"/>
          <w:bCs/>
          <w:color w:val="000000"/>
          <w:sz w:val="24"/>
          <w:highlight w:val="none"/>
        </w:rPr>
        <w:t xml:space="preserve">（1）员工工资福利及法定计提费用明细表</w:t>
      </w:r>
      <w:r>
        <w:rPr>
          <w:rFonts w:ascii="宋体" w:hAnsi="宋体"/>
          <w:bCs/>
          <w:color w:val="000000"/>
          <w:sz w:val="24"/>
          <w:highlight w:val="none"/>
        </w:rPr>
      </w:r>
      <w:r/>
    </w:p>
    <w:p>
      <w:pPr>
        <w:pStyle w:val="843"/>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投标供应商名称（盖章）                                  项目编号：</w:t>
      </w:r>
      <w:r>
        <w:rPr>
          <w:rFonts w:hint="eastAsia" w:ascii="黑体" w:eastAsia="黑体"/>
          <w:bCs/>
          <w:color w:val="000000"/>
          <w:sz w:val="24"/>
          <w:szCs w:val="24"/>
          <w:highlight w:val="none"/>
        </w:rPr>
      </w:r>
      <w:r/>
    </w:p>
    <w:tbl>
      <w:tblPr>
        <w:tblW w:w="96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2400"/>
        <w:gridCol w:w="781"/>
        <w:gridCol w:w="1539"/>
        <w:gridCol w:w="1701"/>
        <w:gridCol w:w="1701"/>
        <w:gridCol w:w="658"/>
      </w:tblGrid>
      <w:tr>
        <w:trPr>
          <w:trHeight w:val="1119"/>
        </w:trPr>
        <w:tc>
          <w:tcPr>
            <w:tcW w:w="917" w:type="dxa"/>
            <w:vAlign w:val="center"/>
            <w:textDirection w:val="lrTb"/>
            <w:noWrap w:val="false"/>
          </w:tcPr>
          <w:p>
            <w:pPr>
              <w:pStyle w:val="843"/>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序号</w:t>
            </w:r>
            <w:r>
              <w:rPr>
                <w:rFonts w:hint="eastAsia" w:ascii="宋体" w:hAnsi="宋体" w:cs="宋体"/>
                <w:b/>
                <w:color w:val="000000"/>
                <w:sz w:val="24"/>
                <w:szCs w:val="24"/>
                <w:highlight w:val="none"/>
              </w:rPr>
            </w:r>
            <w:r/>
          </w:p>
        </w:tc>
        <w:tc>
          <w:tcPr>
            <w:tcW w:w="2400" w:type="dxa"/>
            <w:vAlign w:val="center"/>
            <w:textDirection w:val="lrTb"/>
            <w:noWrap w:val="false"/>
          </w:tcPr>
          <w:p>
            <w:pPr>
              <w:pStyle w:val="843"/>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项目名称</w:t>
            </w:r>
            <w:r>
              <w:rPr>
                <w:rFonts w:hint="eastAsia" w:ascii="宋体" w:hAnsi="宋体" w:cs="宋体"/>
                <w:b/>
                <w:color w:val="000000"/>
                <w:sz w:val="24"/>
                <w:szCs w:val="24"/>
                <w:highlight w:val="none"/>
              </w:rPr>
            </w:r>
            <w:r/>
          </w:p>
        </w:tc>
        <w:tc>
          <w:tcPr>
            <w:tcW w:w="781" w:type="dxa"/>
            <w:vAlign w:val="center"/>
            <w:textDirection w:val="lrTb"/>
            <w:noWrap w:val="false"/>
          </w:tcPr>
          <w:p>
            <w:pPr>
              <w:pStyle w:val="843"/>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人数配置</w:t>
            </w:r>
            <w:r>
              <w:rPr>
                <w:rFonts w:hint="eastAsia" w:ascii="宋体" w:hAnsi="宋体" w:cs="宋体"/>
                <w:b/>
                <w:color w:val="000000"/>
                <w:sz w:val="24"/>
                <w:szCs w:val="24"/>
                <w:highlight w:val="none"/>
              </w:rPr>
            </w:r>
            <w:r/>
          </w:p>
        </w:tc>
        <w:tc>
          <w:tcPr>
            <w:tcW w:w="1539" w:type="dxa"/>
            <w:vAlign w:val="center"/>
            <w:textDirection w:val="lrTb"/>
            <w:noWrap w:val="false"/>
          </w:tcPr>
          <w:p>
            <w:pPr>
              <w:pStyle w:val="843"/>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人员费用标准（元/月）</w:t>
            </w:r>
            <w:r>
              <w:rPr>
                <w:rFonts w:hint="eastAsia" w:ascii="宋体" w:hAnsi="宋体" w:cs="宋体"/>
                <w:b/>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合计费用（元/月）</w:t>
            </w:r>
            <w:r>
              <w:rPr>
                <w:rFonts w:hint="eastAsia" w:ascii="宋体" w:hAnsi="宋体" w:cs="宋体"/>
                <w:b/>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合计费用（元/年）</w:t>
            </w:r>
            <w:r>
              <w:rPr>
                <w:rFonts w:hint="eastAsia" w:ascii="宋体" w:hAnsi="宋体" w:cs="宋体"/>
                <w:b/>
                <w:color w:val="000000"/>
                <w:sz w:val="24"/>
                <w:szCs w:val="24"/>
                <w:highlight w:val="none"/>
              </w:rPr>
            </w:r>
            <w:r/>
          </w:p>
        </w:tc>
        <w:tc>
          <w:tcPr>
            <w:tcW w:w="658" w:type="dxa"/>
            <w:vAlign w:val="center"/>
            <w:textDirection w:val="lrTb"/>
            <w:noWrap w:val="false"/>
          </w:tcPr>
          <w:p>
            <w:pPr>
              <w:pStyle w:val="843"/>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备注</w:t>
            </w:r>
            <w:r>
              <w:rPr>
                <w:rFonts w:hint="eastAsia" w:ascii="宋体" w:hAnsi="宋体" w:cs="宋体"/>
                <w:b/>
                <w:color w:val="000000"/>
                <w:sz w:val="24"/>
                <w:szCs w:val="24"/>
                <w:highlight w:val="none"/>
              </w:rPr>
            </w:r>
            <w:r/>
          </w:p>
        </w:tc>
      </w:tr>
      <w:tr>
        <w:trPr>
          <w:trHeight w:val="525"/>
        </w:trPr>
        <w:tc>
          <w:tcPr>
            <w:tcW w:w="917" w:type="dxa"/>
            <w:vAlign w:val="center"/>
            <w:textDirection w:val="lrTb"/>
            <w:noWrap w:val="false"/>
          </w:tcPr>
          <w:p>
            <w:pPr>
              <w:pStyle w:val="843"/>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w:t>
            </w:r>
            <w:r>
              <w:rPr>
                <w:rFonts w:hint="eastAsia" w:ascii="宋体" w:hAnsi="宋体" w:cs="宋体"/>
                <w:b/>
                <w:color w:val="000000"/>
                <w:sz w:val="24"/>
                <w:szCs w:val="24"/>
                <w:highlight w:val="none"/>
              </w:rPr>
            </w:r>
            <w:r/>
          </w:p>
        </w:tc>
        <w:tc>
          <w:tcPr>
            <w:tcW w:w="2400" w:type="dxa"/>
            <w:vAlign w:val="center"/>
            <w:textDirection w:val="lrTb"/>
            <w:noWrap w:val="false"/>
          </w:tcPr>
          <w:p>
            <w:pPr>
              <w:pStyle w:val="843"/>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员工工资及福利</w:t>
            </w:r>
            <w:r>
              <w:rPr>
                <w:rFonts w:hint="eastAsia" w:ascii="宋体" w:hAnsi="宋体" w:cs="宋体"/>
                <w:b/>
                <w:color w:val="000000"/>
                <w:sz w:val="24"/>
                <w:szCs w:val="24"/>
                <w:highlight w:val="none"/>
              </w:rPr>
            </w:r>
            <w:r/>
          </w:p>
        </w:tc>
        <w:tc>
          <w:tcPr>
            <w:tcW w:w="78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3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58"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60"/>
        </w:trPr>
        <w:tc>
          <w:tcPr>
            <w:tcW w:w="917"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2400"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保安队长</w:t>
            </w:r>
            <w:r>
              <w:rPr>
                <w:rFonts w:hint="eastAsia" w:ascii="宋体" w:hAnsi="宋体" w:cs="宋体"/>
                <w:color w:val="000000"/>
                <w:sz w:val="24"/>
                <w:szCs w:val="24"/>
                <w:highlight w:val="none"/>
              </w:rPr>
            </w:r>
            <w:r/>
          </w:p>
        </w:tc>
        <w:tc>
          <w:tcPr>
            <w:tcW w:w="78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3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58"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25"/>
        </w:trPr>
        <w:tc>
          <w:tcPr>
            <w:tcW w:w="917"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2400"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保安员</w:t>
            </w:r>
            <w:r>
              <w:rPr>
                <w:rFonts w:hint="eastAsia" w:ascii="宋体" w:hAnsi="宋体" w:cs="宋体"/>
                <w:color w:val="000000"/>
                <w:sz w:val="24"/>
                <w:szCs w:val="24"/>
                <w:highlight w:val="none"/>
              </w:rPr>
            </w:r>
            <w:r/>
          </w:p>
        </w:tc>
        <w:tc>
          <w:tcPr>
            <w:tcW w:w="78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3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58" w:type="dxa"/>
            <w:vAlign w:val="center"/>
            <w:textDirection w:val="lrTb"/>
            <w:noWrap w:val="false"/>
          </w:tcPr>
          <w:p>
            <w:pPr>
              <w:pStyle w:val="84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66"/>
        </w:trPr>
        <w:tc>
          <w:tcPr>
            <w:tcW w:w="917"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2400"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消控员</w:t>
            </w:r>
            <w:r>
              <w:rPr>
                <w:rFonts w:hint="eastAsia" w:ascii="宋体" w:hAnsi="宋体" w:cs="宋体"/>
                <w:color w:val="000000"/>
                <w:sz w:val="24"/>
                <w:szCs w:val="24"/>
                <w:highlight w:val="none"/>
              </w:rPr>
            </w:r>
            <w:r/>
          </w:p>
        </w:tc>
        <w:tc>
          <w:tcPr>
            <w:tcW w:w="78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3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58" w:type="dxa"/>
            <w:vAlign w:val="center"/>
            <w:textDirection w:val="lrTb"/>
            <w:noWrap w:val="false"/>
          </w:tcPr>
          <w:p>
            <w:pPr>
              <w:pStyle w:val="84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20"/>
        </w:trPr>
        <w:tc>
          <w:tcPr>
            <w:tcW w:w="917"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2400"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法定节假日加班工资</w:t>
            </w:r>
            <w:r>
              <w:rPr>
                <w:rFonts w:hint="eastAsia" w:ascii="宋体" w:hAnsi="宋体" w:cs="宋体"/>
                <w:color w:val="000000"/>
                <w:sz w:val="24"/>
                <w:szCs w:val="24"/>
                <w:highlight w:val="none"/>
              </w:rPr>
            </w:r>
            <w:r/>
          </w:p>
        </w:tc>
        <w:tc>
          <w:tcPr>
            <w:tcW w:w="78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3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58" w:type="dxa"/>
            <w:vAlign w:val="center"/>
            <w:textDirection w:val="lrTb"/>
            <w:noWrap w:val="false"/>
          </w:tcPr>
          <w:p>
            <w:pPr>
              <w:pStyle w:val="84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65"/>
        </w:trPr>
        <w:tc>
          <w:tcPr>
            <w:tcW w:w="917"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W w:w="2400"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员工人身意外保险费</w:t>
            </w:r>
            <w:r>
              <w:rPr>
                <w:rFonts w:hint="eastAsia" w:ascii="宋体" w:hAnsi="宋体" w:cs="宋体"/>
                <w:color w:val="000000"/>
                <w:sz w:val="24"/>
                <w:szCs w:val="24"/>
                <w:highlight w:val="none"/>
              </w:rPr>
            </w:r>
            <w:r/>
          </w:p>
        </w:tc>
        <w:tc>
          <w:tcPr>
            <w:tcW w:w="78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3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58" w:type="dxa"/>
            <w:vAlign w:val="center"/>
            <w:textDirection w:val="lrTb"/>
            <w:noWrap w:val="false"/>
          </w:tcPr>
          <w:p>
            <w:pPr>
              <w:pStyle w:val="84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20"/>
        </w:trPr>
        <w:tc>
          <w:tcPr>
            <w:tcW w:w="917"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W w:w="2400"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高温费</w:t>
            </w:r>
            <w:r>
              <w:rPr>
                <w:rFonts w:hint="eastAsia" w:ascii="宋体" w:hAnsi="宋体" w:cs="宋体"/>
                <w:color w:val="000000"/>
                <w:sz w:val="24"/>
                <w:szCs w:val="24"/>
                <w:highlight w:val="none"/>
              </w:rPr>
            </w:r>
            <w:r/>
          </w:p>
        </w:tc>
        <w:tc>
          <w:tcPr>
            <w:tcW w:w="78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3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58" w:type="dxa"/>
            <w:vAlign w:val="center"/>
            <w:textDirection w:val="lrTb"/>
            <w:noWrap w:val="false"/>
          </w:tcPr>
          <w:p>
            <w:pPr>
              <w:pStyle w:val="84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05"/>
        </w:trPr>
        <w:tc>
          <w:tcPr>
            <w:tcW w:w="917"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tc>
        <w:tc>
          <w:tcPr>
            <w:tcW w:w="2400"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其他员工福利</w:t>
            </w:r>
            <w:r>
              <w:rPr>
                <w:rFonts w:hint="eastAsia" w:ascii="宋体" w:hAnsi="宋体" w:cs="宋体"/>
                <w:color w:val="000000"/>
                <w:sz w:val="24"/>
                <w:szCs w:val="24"/>
                <w:highlight w:val="none"/>
              </w:rPr>
            </w:r>
            <w:r/>
          </w:p>
        </w:tc>
        <w:tc>
          <w:tcPr>
            <w:tcW w:w="78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3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58" w:type="dxa"/>
            <w:vAlign w:val="center"/>
            <w:textDirection w:val="lrTb"/>
            <w:noWrap w:val="false"/>
          </w:tcPr>
          <w:p>
            <w:pPr>
              <w:pStyle w:val="84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61"/>
        </w:trPr>
        <w:tc>
          <w:tcPr>
            <w:tcW w:w="917"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00"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其他加班费</w:t>
            </w:r>
            <w:r>
              <w:rPr>
                <w:rFonts w:hint="eastAsia" w:ascii="宋体" w:hAnsi="宋体" w:cs="宋体"/>
                <w:color w:val="000000"/>
                <w:sz w:val="24"/>
                <w:szCs w:val="24"/>
                <w:highlight w:val="none"/>
              </w:rPr>
            </w:r>
            <w:r/>
          </w:p>
        </w:tc>
        <w:tc>
          <w:tcPr>
            <w:tcW w:w="78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3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58" w:type="dxa"/>
            <w:vAlign w:val="center"/>
            <w:textDirection w:val="lrTb"/>
            <w:noWrap w:val="false"/>
          </w:tcPr>
          <w:p>
            <w:pPr>
              <w:pStyle w:val="84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8"/>
        </w:trPr>
        <w:tc>
          <w:tcPr>
            <w:tcW w:w="917"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W w:w="2400"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8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3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58"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329"/>
        </w:trPr>
        <w:tc>
          <w:tcPr>
            <w:tcW w:w="917" w:type="dxa"/>
            <w:vAlign w:val="center"/>
            <w:textDirection w:val="lrTb"/>
            <w:noWrap w:val="false"/>
          </w:tcPr>
          <w:p>
            <w:pPr>
              <w:pStyle w:val="843"/>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w:t>
            </w:r>
            <w:r>
              <w:rPr>
                <w:rFonts w:hint="eastAsia" w:ascii="宋体" w:hAnsi="宋体" w:cs="宋体"/>
                <w:b/>
                <w:color w:val="000000"/>
                <w:sz w:val="24"/>
                <w:szCs w:val="24"/>
                <w:highlight w:val="none"/>
              </w:rPr>
            </w:r>
            <w:r/>
          </w:p>
        </w:tc>
        <w:tc>
          <w:tcPr>
            <w:tcW w:w="2400" w:type="dxa"/>
            <w:vAlign w:val="center"/>
            <w:textDirection w:val="lrTb"/>
            <w:noWrap w:val="false"/>
          </w:tcPr>
          <w:p>
            <w:pPr>
              <w:pStyle w:val="843"/>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法定计提费用</w:t>
            </w:r>
            <w:r>
              <w:rPr>
                <w:rFonts w:hint="eastAsia" w:ascii="宋体" w:hAnsi="宋体" w:cs="宋体"/>
                <w:b/>
                <w:color w:val="000000"/>
                <w:sz w:val="24"/>
                <w:szCs w:val="24"/>
                <w:highlight w:val="none"/>
              </w:rPr>
            </w:r>
            <w:r/>
          </w:p>
        </w:tc>
        <w:tc>
          <w:tcPr>
            <w:tcW w:w="781" w:type="dxa"/>
            <w:vAlign w:val="center"/>
            <w:textDirection w:val="lrTb"/>
            <w:noWrap w:val="false"/>
          </w:tcPr>
          <w:p>
            <w:pPr>
              <w:pStyle w:val="843"/>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153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58"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34"/>
        </w:trPr>
        <w:tc>
          <w:tcPr>
            <w:tcW w:w="917"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2400"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养老保险</w:t>
            </w:r>
            <w:r>
              <w:rPr>
                <w:rFonts w:hint="eastAsia" w:ascii="宋体" w:hAnsi="宋体" w:cs="宋体"/>
                <w:color w:val="000000"/>
                <w:sz w:val="24"/>
                <w:szCs w:val="24"/>
                <w:highlight w:val="none"/>
              </w:rPr>
            </w:r>
            <w:r/>
          </w:p>
        </w:tc>
        <w:tc>
          <w:tcPr>
            <w:tcW w:w="78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3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58"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389"/>
        </w:trPr>
        <w:tc>
          <w:tcPr>
            <w:tcW w:w="917"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2400"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医疗统筹</w:t>
            </w:r>
            <w:r>
              <w:rPr>
                <w:rFonts w:hint="eastAsia" w:ascii="宋体" w:hAnsi="宋体" w:cs="宋体"/>
                <w:color w:val="000000"/>
                <w:sz w:val="24"/>
                <w:szCs w:val="24"/>
                <w:highlight w:val="none"/>
              </w:rPr>
            </w:r>
            <w:r/>
          </w:p>
        </w:tc>
        <w:tc>
          <w:tcPr>
            <w:tcW w:w="78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3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58"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19"/>
        </w:trPr>
        <w:tc>
          <w:tcPr>
            <w:tcW w:w="917"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2400"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失业</w:t>
            </w:r>
            <w:r>
              <w:rPr>
                <w:rFonts w:hint="eastAsia" w:ascii="宋体" w:hAnsi="宋体" w:cs="宋体"/>
                <w:color w:val="000000"/>
                <w:sz w:val="24"/>
                <w:szCs w:val="24"/>
                <w:highlight w:val="none"/>
              </w:rPr>
            </w:r>
            <w:r/>
          </w:p>
        </w:tc>
        <w:tc>
          <w:tcPr>
            <w:tcW w:w="78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3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58"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12"/>
        </w:trPr>
        <w:tc>
          <w:tcPr>
            <w:tcW w:w="917"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2400"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工伤</w:t>
            </w:r>
            <w:r>
              <w:rPr>
                <w:rFonts w:hint="eastAsia" w:ascii="宋体" w:hAnsi="宋体" w:cs="宋体"/>
                <w:color w:val="000000"/>
                <w:sz w:val="24"/>
                <w:szCs w:val="24"/>
                <w:highlight w:val="none"/>
              </w:rPr>
            </w:r>
            <w:r/>
          </w:p>
        </w:tc>
        <w:tc>
          <w:tcPr>
            <w:tcW w:w="78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3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58"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36"/>
        </w:trPr>
        <w:tc>
          <w:tcPr>
            <w:tcW w:w="917"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W w:w="2400"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生育</w:t>
            </w:r>
            <w:r>
              <w:rPr>
                <w:rFonts w:hint="eastAsia" w:ascii="宋体" w:hAnsi="宋体" w:cs="宋体"/>
                <w:color w:val="000000"/>
                <w:sz w:val="24"/>
                <w:szCs w:val="24"/>
                <w:highlight w:val="none"/>
              </w:rPr>
            </w:r>
            <w:r/>
          </w:p>
        </w:tc>
        <w:tc>
          <w:tcPr>
            <w:tcW w:w="78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3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58"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14"/>
        </w:trPr>
        <w:tc>
          <w:tcPr>
            <w:tcW w:w="917"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W w:w="2400"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其他法定计提费用</w:t>
            </w:r>
            <w:r>
              <w:rPr>
                <w:rFonts w:hint="eastAsia" w:ascii="宋体" w:hAnsi="宋体" w:cs="宋体"/>
                <w:color w:val="000000"/>
                <w:sz w:val="24"/>
                <w:szCs w:val="24"/>
                <w:highlight w:val="none"/>
              </w:rPr>
            </w:r>
            <w:r/>
          </w:p>
        </w:tc>
        <w:tc>
          <w:tcPr>
            <w:tcW w:w="78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3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58"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20"/>
        </w:trPr>
        <w:tc>
          <w:tcPr>
            <w:tcW w:w="917"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W w:w="2400"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8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3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58"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8"/>
        </w:trPr>
        <w:tc>
          <w:tcPr>
            <w:gridSpan w:val="2"/>
            <w:tcW w:w="3317"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合计：</w:t>
            </w:r>
            <w:r>
              <w:rPr>
                <w:rFonts w:hint="eastAsia" w:ascii="宋体" w:hAnsi="宋体" w:cs="宋体"/>
                <w:color w:val="000000"/>
                <w:sz w:val="24"/>
                <w:szCs w:val="24"/>
                <w:highlight w:val="none"/>
              </w:rPr>
            </w:r>
            <w:r/>
          </w:p>
        </w:tc>
        <w:tc>
          <w:tcPr>
            <w:tcW w:w="78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3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58"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43"/>
        <w:ind w:firstLine="360"/>
        <w:spacing w:line="360" w:lineRule="auto"/>
        <w:rPr>
          <w:rFonts w:ascii="宋体" w:hAnsi="宋体"/>
          <w:bCs/>
          <w:color w:val="000000"/>
          <w:highlight w:val="none"/>
        </w:rPr>
        <w:outlineLvl w:val="0"/>
      </w:pPr>
      <w:r>
        <w:rPr>
          <w:rFonts w:ascii="宋体" w:hAnsi="宋体" w:cs="宋体"/>
          <w:color w:val="000000"/>
          <w:sz w:val="24"/>
          <w:szCs w:val="24"/>
          <w:highlight w:val="none"/>
        </w:rPr>
        <w:t xml:space="preserve">法定代表人或法定代表人授权代表</w:t>
      </w:r>
      <w:r>
        <w:rPr>
          <w:rFonts w:hint="eastAsia" w:ascii="宋体" w:hAnsi="宋体" w:cs="宋体"/>
          <w:bCs/>
          <w:color w:val="000000"/>
          <w:sz w:val="24"/>
          <w:highlight w:val="none"/>
        </w:rPr>
        <w:t xml:space="preserve">（签字或盖章）：</w:t>
      </w:r>
      <w:r>
        <w:rPr>
          <w:rFonts w:ascii="宋体" w:hAnsi="宋体"/>
          <w:bCs/>
          <w:color w:val="000000"/>
          <w:highlight w:val="none"/>
        </w:rPr>
      </w:r>
      <w:r/>
    </w:p>
    <w:p>
      <w:pPr>
        <w:pStyle w:val="843"/>
        <w:spacing w:line="360" w:lineRule="auto"/>
        <w:rPr>
          <w:rFonts w:ascii="宋体" w:hAnsi="宋体"/>
          <w:bCs/>
          <w:color w:val="000000"/>
          <w:sz w:val="24"/>
          <w:szCs w:val="22"/>
          <w:highlight w:val="none"/>
        </w:rPr>
      </w:pPr>
      <w:r>
        <w:rPr>
          <w:rFonts w:hint="eastAsia" w:ascii="宋体" w:hAnsi="宋体"/>
          <w:bCs/>
          <w:color w:val="000000"/>
          <w:sz w:val="24"/>
          <w:szCs w:val="22"/>
          <w:highlight w:val="none"/>
        </w:rPr>
        <w:t xml:space="preserve">注：1、以上人员费用包括承包期内服务需要的人员工资（不得低于无锡市最低保障工资）、社保、人员加班工资、高温费、人员餐费、人员服装（统一着装）、管理费、各种税费及政策性文件规定、合同包含的所有风险、责任等各项应有费用。</w:t>
      </w:r>
      <w:r>
        <w:rPr>
          <w:rFonts w:ascii="宋体" w:hAnsi="宋体"/>
          <w:bCs/>
          <w:color w:val="000000"/>
          <w:sz w:val="24"/>
          <w:szCs w:val="22"/>
          <w:highlight w:val="none"/>
        </w:rPr>
      </w:r>
      <w:r/>
    </w:p>
    <w:p>
      <w:pPr>
        <w:pStyle w:val="843"/>
        <w:spacing w:line="360" w:lineRule="auto"/>
        <w:rPr>
          <w:rFonts w:ascii="宋体" w:hAnsi="宋体"/>
          <w:bCs/>
          <w:color w:val="000000"/>
          <w:sz w:val="24"/>
          <w:szCs w:val="22"/>
          <w:highlight w:val="none"/>
        </w:rPr>
      </w:pPr>
      <w:r>
        <w:rPr>
          <w:rFonts w:hint="eastAsia" w:ascii="宋体" w:hAnsi="宋体"/>
          <w:bCs/>
          <w:color w:val="000000"/>
          <w:sz w:val="24"/>
          <w:szCs w:val="22"/>
          <w:highlight w:val="none"/>
        </w:rPr>
        <w:t xml:space="preserve">　　2、上述报价表由投标单位参照，不限于此，可根据采购需求自行添加条目进行投报。</w:t>
      </w:r>
      <w:r>
        <w:rPr>
          <w:rFonts w:ascii="宋体" w:hAnsi="宋体"/>
          <w:bCs/>
          <w:color w:val="000000"/>
          <w:sz w:val="24"/>
          <w:szCs w:val="22"/>
          <w:highlight w:val="none"/>
        </w:rPr>
      </w:r>
      <w:r/>
    </w:p>
    <w:p>
      <w:pPr>
        <w:pStyle w:val="850"/>
        <w:ind w:firstLine="480"/>
        <w:rPr>
          <w:rFonts w:hint="eastAsia"/>
          <w:color w:val="000000"/>
          <w:highlight w:val="none"/>
        </w:rPr>
        <w:sectPr>
          <w:footerReference w:type="default" r:id="rId18"/>
          <w:footerReference w:type="first" r:id="rId19"/>
          <w:footnotePr/>
          <w:endnotePr/>
          <w:type w:val="nextPage"/>
          <w:pgSz w:w="11906" w:h="16838" w:orient="portrait"/>
          <w:pgMar w:top="1440" w:right="1440" w:bottom="1440" w:left="1440" w:header="850" w:footer="992" w:gutter="0"/>
          <w:cols w:num="1" w:sep="0" w:space="1701" w:equalWidth="1"/>
          <w:docGrid w:linePitch="360"/>
        </w:sectPr>
      </w:pPr>
      <w:r>
        <w:rPr>
          <w:rFonts w:hint="eastAsia"/>
          <w:color w:val="000000"/>
          <w:highlight w:val="none"/>
        </w:rPr>
      </w:r>
      <w:r/>
    </w:p>
    <w:p>
      <w:pPr>
        <w:pStyle w:val="843"/>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（2）投入本项目的工具设备物资明细表</w:t>
      </w:r>
      <w:r>
        <w:rPr>
          <w:rFonts w:ascii="宋体" w:hAnsi="宋体"/>
          <w:bCs/>
          <w:color w:val="000000"/>
          <w:sz w:val="24"/>
          <w:highlight w:val="none"/>
        </w:rPr>
      </w:r>
      <w:r/>
    </w:p>
    <w:p>
      <w:pPr>
        <w:pStyle w:val="843"/>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投标供应商名称（盖章）                                  项目编号：</w:t>
      </w:r>
      <w:r>
        <w:rPr>
          <w:rFonts w:hint="eastAsia" w:ascii="黑体" w:eastAsia="黑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530"/>
        <w:gridCol w:w="880"/>
        <w:gridCol w:w="709"/>
        <w:gridCol w:w="708"/>
        <w:gridCol w:w="1418"/>
        <w:gridCol w:w="1559"/>
        <w:gridCol w:w="1559"/>
        <w:gridCol w:w="709"/>
      </w:tblGrid>
      <w:tr>
        <w:trPr>
          <w:trHeight w:val="607"/>
        </w:trPr>
        <w:tc>
          <w:tcPr>
            <w:tcW w:w="817" w:type="dxa"/>
            <w:vAlign w:val="center"/>
            <w:textDirection w:val="lrTb"/>
            <w:noWrap w:val="false"/>
          </w:tcPr>
          <w:p>
            <w:pPr>
              <w:pStyle w:val="843"/>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序号</w:t>
            </w:r>
            <w:r>
              <w:rPr>
                <w:rFonts w:hint="eastAsia" w:ascii="宋体" w:hAnsi="宋体" w:cs="宋体"/>
                <w:b/>
                <w:color w:val="000000"/>
                <w:sz w:val="24"/>
                <w:szCs w:val="24"/>
                <w:highlight w:val="none"/>
              </w:rPr>
            </w:r>
            <w:r/>
          </w:p>
        </w:tc>
        <w:tc>
          <w:tcPr>
            <w:tcW w:w="1530" w:type="dxa"/>
            <w:vAlign w:val="center"/>
            <w:textDirection w:val="lrTb"/>
            <w:noWrap w:val="false"/>
          </w:tcPr>
          <w:p>
            <w:pPr>
              <w:pStyle w:val="843"/>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物品名称</w:t>
            </w:r>
            <w:r>
              <w:rPr>
                <w:rFonts w:hint="eastAsia" w:ascii="宋体" w:hAnsi="宋体" w:cs="宋体"/>
                <w:b/>
                <w:color w:val="000000"/>
                <w:sz w:val="24"/>
                <w:szCs w:val="24"/>
                <w:highlight w:val="none"/>
              </w:rPr>
            </w:r>
            <w:r/>
          </w:p>
        </w:tc>
        <w:tc>
          <w:tcPr>
            <w:tcW w:w="880" w:type="dxa"/>
            <w:vAlign w:val="center"/>
            <w:textDirection w:val="lrTb"/>
            <w:noWrap w:val="false"/>
          </w:tcPr>
          <w:p>
            <w:pPr>
              <w:pStyle w:val="843"/>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品牌</w:t>
            </w:r>
            <w:r>
              <w:rPr>
                <w:rFonts w:hint="eastAsia" w:ascii="宋体" w:hAnsi="宋体" w:cs="宋体"/>
                <w:b/>
                <w:color w:val="000000"/>
                <w:sz w:val="24"/>
                <w:szCs w:val="24"/>
                <w:highlight w:val="none"/>
              </w:rPr>
            </w:r>
            <w:r/>
          </w:p>
          <w:p>
            <w:pPr>
              <w:pStyle w:val="843"/>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型号</w:t>
            </w:r>
            <w:r>
              <w:rPr>
                <w:rFonts w:hint="eastAsia" w:ascii="宋体" w:hAnsi="宋体" w:cs="宋体"/>
                <w:b/>
                <w:color w:val="000000"/>
                <w:sz w:val="24"/>
                <w:szCs w:val="24"/>
                <w:highlight w:val="none"/>
              </w:rPr>
            </w:r>
            <w:r/>
          </w:p>
        </w:tc>
        <w:tc>
          <w:tcPr>
            <w:tcW w:w="709" w:type="dxa"/>
            <w:vAlign w:val="center"/>
            <w:textDirection w:val="lrTb"/>
            <w:noWrap w:val="false"/>
          </w:tcPr>
          <w:p>
            <w:pPr>
              <w:pStyle w:val="843"/>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数量</w:t>
            </w:r>
            <w:r>
              <w:rPr>
                <w:rFonts w:hint="eastAsia" w:ascii="宋体" w:hAnsi="宋体" w:cs="宋体"/>
                <w:b/>
                <w:color w:val="000000"/>
                <w:sz w:val="24"/>
                <w:szCs w:val="24"/>
                <w:highlight w:val="none"/>
              </w:rPr>
            </w:r>
            <w:r/>
          </w:p>
        </w:tc>
        <w:tc>
          <w:tcPr>
            <w:tcW w:w="708" w:type="dxa"/>
            <w:vAlign w:val="center"/>
            <w:textDirection w:val="lrTb"/>
            <w:noWrap w:val="false"/>
          </w:tcPr>
          <w:p>
            <w:pPr>
              <w:pStyle w:val="843"/>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单位</w:t>
            </w:r>
            <w:r>
              <w:rPr>
                <w:rFonts w:hint="eastAsia" w:ascii="宋体" w:hAnsi="宋体" w:cs="宋体"/>
                <w:b/>
                <w:color w:val="000000"/>
                <w:sz w:val="24"/>
                <w:szCs w:val="24"/>
                <w:highlight w:val="none"/>
              </w:rPr>
            </w:r>
            <w:r/>
          </w:p>
        </w:tc>
        <w:tc>
          <w:tcPr>
            <w:tcW w:w="1418" w:type="dxa"/>
            <w:vAlign w:val="center"/>
            <w:textDirection w:val="lrTb"/>
            <w:noWrap w:val="false"/>
          </w:tcPr>
          <w:p>
            <w:pPr>
              <w:pStyle w:val="843"/>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单价（元）</w:t>
            </w:r>
            <w:r>
              <w:rPr>
                <w:rFonts w:hint="eastAsia" w:ascii="宋体" w:hAnsi="宋体" w:cs="宋体"/>
                <w:b/>
                <w:color w:val="000000"/>
                <w:sz w:val="24"/>
                <w:szCs w:val="24"/>
                <w:highlight w:val="none"/>
              </w:rPr>
            </w:r>
            <w:r/>
          </w:p>
        </w:tc>
        <w:tc>
          <w:tcPr>
            <w:tcW w:w="1559" w:type="dxa"/>
            <w:vAlign w:val="center"/>
            <w:textDirection w:val="lrTb"/>
            <w:noWrap w:val="false"/>
          </w:tcPr>
          <w:p>
            <w:pPr>
              <w:pStyle w:val="843"/>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合计费用（元/月）</w:t>
            </w:r>
            <w:r>
              <w:rPr>
                <w:rFonts w:hint="eastAsia" w:ascii="宋体" w:hAnsi="宋体" w:cs="宋体"/>
                <w:b/>
                <w:color w:val="000000"/>
                <w:sz w:val="24"/>
                <w:szCs w:val="24"/>
                <w:highlight w:val="none"/>
              </w:rPr>
            </w:r>
            <w:r/>
          </w:p>
        </w:tc>
        <w:tc>
          <w:tcPr>
            <w:tcW w:w="1559" w:type="dxa"/>
            <w:vAlign w:val="center"/>
            <w:textDirection w:val="lrTb"/>
            <w:noWrap w:val="false"/>
          </w:tcPr>
          <w:p>
            <w:pPr>
              <w:pStyle w:val="843"/>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合计费用（元/年）</w:t>
            </w:r>
            <w:r>
              <w:rPr>
                <w:rFonts w:hint="eastAsia" w:ascii="宋体" w:hAnsi="宋体" w:cs="宋体"/>
                <w:b/>
                <w:color w:val="000000"/>
                <w:sz w:val="24"/>
                <w:szCs w:val="24"/>
                <w:highlight w:val="none"/>
              </w:rPr>
            </w:r>
            <w:r/>
          </w:p>
        </w:tc>
        <w:tc>
          <w:tcPr>
            <w:tcW w:w="709" w:type="dxa"/>
            <w:vAlign w:val="center"/>
            <w:textDirection w:val="lrTb"/>
            <w:noWrap w:val="false"/>
          </w:tcPr>
          <w:p>
            <w:pPr>
              <w:pStyle w:val="843"/>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产地</w:t>
            </w:r>
            <w:r>
              <w:rPr>
                <w:rFonts w:hint="eastAsia" w:ascii="宋体" w:hAnsi="宋体" w:cs="宋体"/>
                <w:b/>
                <w:color w:val="000000"/>
                <w:sz w:val="24"/>
                <w:szCs w:val="24"/>
                <w:highlight w:val="none"/>
              </w:rPr>
            </w:r>
            <w:r/>
          </w:p>
        </w:tc>
      </w:tr>
      <w:tr>
        <w:trPr>
          <w:trHeight w:val="497"/>
        </w:trPr>
        <w:tc>
          <w:tcPr>
            <w:tcW w:w="817"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1530" w:type="dxa"/>
            <w:vAlign w:val="center"/>
            <w:textDirection w:val="lrTb"/>
            <w:noWrap w:val="false"/>
          </w:tcPr>
          <w:p>
            <w:pPr>
              <w:pStyle w:val="843"/>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880" w:type="dxa"/>
            <w:vAlign w:val="center"/>
            <w:textDirection w:val="lrTb"/>
            <w:noWrap w:val="false"/>
          </w:tcPr>
          <w:p>
            <w:pPr>
              <w:pStyle w:val="843"/>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70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8"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18"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5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5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06"/>
        </w:trPr>
        <w:tc>
          <w:tcPr>
            <w:tcW w:w="817"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1530" w:type="dxa"/>
            <w:vAlign w:val="center"/>
            <w:textDirection w:val="lrTb"/>
            <w:noWrap w:val="false"/>
          </w:tcPr>
          <w:p>
            <w:pPr>
              <w:pStyle w:val="843"/>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880" w:type="dxa"/>
            <w:vAlign w:val="center"/>
            <w:textDirection w:val="lrTb"/>
            <w:noWrap w:val="false"/>
          </w:tcPr>
          <w:p>
            <w:pPr>
              <w:pStyle w:val="843"/>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70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8"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18"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5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5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65"/>
        </w:trPr>
        <w:tc>
          <w:tcPr>
            <w:tcW w:w="817"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1530"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80"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8"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18"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5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5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55"/>
        </w:trPr>
        <w:tc>
          <w:tcPr>
            <w:tcW w:w="817"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1530"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80"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8"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18"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5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5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80"/>
        </w:trPr>
        <w:tc>
          <w:tcPr>
            <w:tcW w:w="817"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W w:w="1530"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80"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8"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18"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5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5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35"/>
        </w:trPr>
        <w:tc>
          <w:tcPr>
            <w:tcW w:w="817"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W w:w="1530"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80"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8"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18"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5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5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61"/>
        </w:trPr>
        <w:tc>
          <w:tcPr>
            <w:tcW w:w="817"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W w:w="1530"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80"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8"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18"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5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5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430"/>
        </w:trPr>
        <w:tc>
          <w:tcPr>
            <w:gridSpan w:val="6"/>
            <w:tcW w:w="6062"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合计：</w:t>
            </w:r>
            <w:r>
              <w:rPr>
                <w:rFonts w:hint="eastAsia" w:ascii="宋体" w:hAnsi="宋体" w:cs="宋体"/>
                <w:color w:val="000000"/>
                <w:sz w:val="24"/>
                <w:szCs w:val="24"/>
                <w:highlight w:val="none"/>
              </w:rPr>
            </w:r>
            <w:r/>
          </w:p>
        </w:tc>
        <w:tc>
          <w:tcPr>
            <w:tcW w:w="155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5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val="false"/>
          </w:tcPr>
          <w:p>
            <w:pPr>
              <w:pStyle w:val="84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43"/>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法定代表人或法定代表人授权代表</w:t>
      </w:r>
      <w:r>
        <w:rPr>
          <w:rFonts w:hint="eastAsia" w:ascii="宋体" w:hAnsi="宋体" w:cs="宋体"/>
          <w:bCs/>
          <w:color w:val="000000"/>
          <w:sz w:val="24"/>
          <w:szCs w:val="24"/>
          <w:highlight w:val="none"/>
        </w:rPr>
        <w:t xml:space="preserve">（签字或盖章）：</w:t>
      </w:r>
      <w:r>
        <w:rPr>
          <w:rFonts w:hint="eastAsia" w:ascii="宋体" w:hAnsi="宋体" w:cs="宋体"/>
          <w:bCs/>
          <w:color w:val="000000"/>
          <w:sz w:val="24"/>
          <w:szCs w:val="24"/>
          <w:highlight w:val="none"/>
        </w:rPr>
      </w:r>
      <w:r/>
    </w:p>
    <w:p>
      <w:pPr>
        <w:pStyle w:val="843"/>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注：1、由投标人根据采购需求自行测算含在投标报价中。</w:t>
      </w:r>
      <w:r>
        <w:rPr>
          <w:rFonts w:hint="eastAsia" w:ascii="宋体" w:hAnsi="宋体" w:cs="宋体"/>
          <w:bCs/>
          <w:color w:val="000000"/>
          <w:sz w:val="24"/>
          <w:szCs w:val="24"/>
          <w:highlight w:val="none"/>
        </w:rPr>
      </w:r>
      <w:r/>
    </w:p>
    <w:p>
      <w:pPr>
        <w:pStyle w:val="843"/>
        <w:spacing w:line="460" w:lineRule="exact"/>
        <w:rPr>
          <w:rFonts w:ascii="宋体" w:hAnsi="宋体" w:cs="宋体"/>
          <w:bCs/>
          <w:color w:val="000000"/>
          <w:sz w:val="24"/>
          <w:szCs w:val="24"/>
          <w:highlight w:val="none"/>
        </w:rPr>
        <w:sectPr>
          <w:footnotePr/>
          <w:endnotePr/>
          <w:type w:val="nextPage"/>
          <w:pgSz w:w="11906" w:h="16838" w:orient="portrait"/>
          <w:pgMar w:top="1440" w:right="1440" w:bottom="1440" w:left="1440" w:header="850" w:footer="992" w:gutter="0"/>
          <w:cols w:num="1" w:sep="0" w:space="1701" w:equalWidth="1"/>
          <w:docGrid w:linePitch="360"/>
        </w:sectPr>
      </w:pPr>
      <w:r>
        <w:rPr>
          <w:rFonts w:hint="eastAsia" w:ascii="宋体" w:hAnsi="宋体" w:cs="宋体"/>
          <w:bCs/>
          <w:color w:val="000000"/>
          <w:szCs w:val="24"/>
          <w:highlight w:val="none"/>
        </w:rPr>
        <w:t xml:space="preserve">2、</w:t>
      </w:r>
      <w:r>
        <w:rPr>
          <w:rFonts w:hint="eastAsia" w:ascii="宋体" w:hAnsi="宋体" w:cs="宋体"/>
          <w:color w:val="000000"/>
          <w:szCs w:val="24"/>
          <w:highlight w:val="none"/>
          <w:lang w:val="zh-CN"/>
        </w:rPr>
        <w:t xml:space="preserve">上表可自行延长。</w:t>
      </w:r>
      <w:r>
        <w:rPr>
          <w:rFonts w:ascii="宋体" w:hAnsi="宋体" w:cs="宋体"/>
          <w:bCs/>
          <w:color w:val="000000"/>
          <w:sz w:val="24"/>
          <w:szCs w:val="24"/>
          <w:highlight w:val="none"/>
        </w:rPr>
      </w:r>
      <w:r/>
    </w:p>
    <w:p>
      <w:pPr>
        <w:pStyle w:val="843"/>
        <w:spacing w:line="460" w:lineRule="exact"/>
        <w:rPr>
          <w:rFonts w:hint="eastAsia" w:ascii="宋体" w:hAnsi="宋体" w:cs="宋体"/>
          <w:bCs/>
          <w:color w:val="000000"/>
          <w:sz w:val="28"/>
          <w:szCs w:val="28"/>
          <w:highlight w:val="none"/>
        </w:rPr>
      </w:pPr>
      <w:r>
        <w:rPr>
          <w:rFonts w:hint="eastAsia" w:ascii="宋体" w:hAnsi="宋体" w:cs="宋体"/>
          <w:b/>
          <w:bCs/>
          <w:color w:val="000000"/>
          <w:sz w:val="28"/>
          <w:szCs w:val="28"/>
          <w:highlight w:val="none"/>
        </w:rPr>
        <w:t xml:space="preserve">（5）投标偏离表（格式）：</w:t>
      </w:r>
      <w:r>
        <w:rPr>
          <w:rFonts w:hint="eastAsia" w:ascii="宋体" w:hAnsi="宋体" w:cs="宋体"/>
          <w:bCs/>
          <w:color w:val="000000"/>
          <w:sz w:val="28"/>
          <w:szCs w:val="28"/>
          <w:highlight w:val="none"/>
        </w:rPr>
      </w:r>
      <w:r/>
    </w:p>
    <w:p>
      <w:pPr>
        <w:pStyle w:val="843"/>
        <w:jc w:val="center"/>
        <w:spacing w:line="460" w:lineRule="exact"/>
        <w:rPr>
          <w:rFonts w:hint="eastAsia" w:ascii="宋体" w:hAnsi="宋体" w:cs="宋体"/>
          <w:b/>
          <w:bCs/>
          <w:color w:val="000000"/>
          <w:spacing w:val="20"/>
          <w:sz w:val="28"/>
          <w:szCs w:val="28"/>
          <w:highlight w:val="none"/>
        </w:rPr>
      </w:pPr>
      <w:r>
        <w:rPr>
          <w:rFonts w:hint="eastAsia" w:ascii="宋体" w:hAnsi="宋体" w:cs="宋体"/>
          <w:bCs/>
          <w:color w:val="000000"/>
          <w:sz w:val="28"/>
          <w:szCs w:val="28"/>
          <w:highlight w:val="none"/>
        </w:rPr>
        <w:t xml:space="preserve">投标偏离表</w:t>
      </w:r>
      <w:r>
        <w:rPr>
          <w:rFonts w:hint="eastAsia" w:ascii="宋体" w:hAnsi="宋体" w:cs="宋体"/>
          <w:b/>
          <w:bCs/>
          <w:color w:val="000000"/>
          <w:spacing w:val="20"/>
          <w:sz w:val="28"/>
          <w:szCs w:val="28"/>
          <w:highlight w:val="none"/>
        </w:rPr>
      </w:r>
      <w:r/>
    </w:p>
    <w:p>
      <w:pPr>
        <w:pStyle w:val="843"/>
        <w:ind w:firstLine="2569"/>
        <w:spacing w:line="400" w:lineRule="exact"/>
        <w:rPr>
          <w:rFonts w:hint="eastAsia" w:ascii="宋体" w:hAnsi="宋体" w:cs="宋体"/>
          <w:b/>
          <w:bCs/>
          <w:color w:val="000000"/>
          <w:spacing w:val="20"/>
          <w:sz w:val="28"/>
          <w:szCs w:val="28"/>
          <w:highlight w:val="none"/>
        </w:rPr>
      </w:pPr>
      <w:r>
        <w:rPr>
          <w:rFonts w:hint="eastAsia" w:ascii="宋体" w:hAnsi="宋体" w:cs="宋体"/>
          <w:b/>
          <w:bCs/>
          <w:color w:val="000000"/>
          <w:spacing w:val="2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3023"/>
        <w:gridCol w:w="2298"/>
        <w:gridCol w:w="2558"/>
      </w:tblGrid>
      <w:tr>
        <w:trPr>
          <w:trHeight w:val="805"/>
        </w:trPr>
        <w:tc>
          <w:tcPr>
            <w:tcW w:w="839" w:type="dxa"/>
            <w:vAlign w:val="center"/>
            <w:textDirection w:val="lrTb"/>
            <w:noWrap w:val="false"/>
          </w:tcPr>
          <w:p>
            <w:pPr>
              <w:pStyle w:val="843"/>
              <w:jc w:val="center"/>
              <w:spacing w:line="400" w:lineRule="exact"/>
              <w:rPr>
                <w:rFonts w:hint="eastAsia" w:ascii="宋体" w:hAnsi="宋体" w:cs="宋体"/>
                <w:b/>
                <w:color w:val="000000"/>
                <w:spacing w:val="20"/>
                <w:sz w:val="24"/>
                <w:szCs w:val="24"/>
                <w:highlight w:val="none"/>
              </w:rPr>
            </w:pPr>
            <w:r>
              <w:rPr>
                <w:rFonts w:hint="eastAsia" w:ascii="宋体" w:hAnsi="宋体" w:cs="宋体"/>
                <w:b/>
                <w:color w:val="000000"/>
                <w:spacing w:val="20"/>
                <w:sz w:val="24"/>
                <w:szCs w:val="24"/>
                <w:highlight w:val="none"/>
              </w:rPr>
              <w:t xml:space="preserve">序号</w:t>
            </w:r>
            <w:r>
              <w:rPr>
                <w:rFonts w:hint="eastAsia" w:ascii="宋体" w:hAnsi="宋体" w:cs="宋体"/>
                <w:b/>
                <w:color w:val="000000"/>
                <w:spacing w:val="20"/>
                <w:sz w:val="24"/>
                <w:szCs w:val="24"/>
                <w:highlight w:val="none"/>
              </w:rPr>
            </w:r>
            <w:r/>
          </w:p>
        </w:tc>
        <w:tc>
          <w:tcPr>
            <w:tcW w:w="3023" w:type="dxa"/>
            <w:vAlign w:val="center"/>
            <w:textDirection w:val="lrTb"/>
            <w:noWrap w:val="false"/>
          </w:tcPr>
          <w:p>
            <w:pPr>
              <w:pStyle w:val="843"/>
              <w:jc w:val="center"/>
              <w:spacing w:line="400" w:lineRule="exact"/>
              <w:rPr>
                <w:rFonts w:hint="eastAsia" w:ascii="宋体" w:hAnsi="宋体" w:cs="宋体"/>
                <w:b/>
                <w:color w:val="000000"/>
                <w:spacing w:val="20"/>
                <w:sz w:val="24"/>
                <w:szCs w:val="24"/>
                <w:highlight w:val="none"/>
              </w:rPr>
            </w:pPr>
            <w:r>
              <w:rPr>
                <w:rFonts w:hint="eastAsia" w:ascii="宋体" w:hAnsi="宋体" w:cs="宋体"/>
                <w:b/>
                <w:color w:val="000000"/>
                <w:spacing w:val="20"/>
                <w:sz w:val="24"/>
                <w:szCs w:val="24"/>
                <w:highlight w:val="none"/>
              </w:rPr>
              <w:t xml:space="preserve">招标技术要求</w:t>
            </w:r>
            <w:r>
              <w:rPr>
                <w:rFonts w:hint="eastAsia" w:ascii="宋体" w:hAnsi="宋体" w:cs="宋体"/>
                <w:b/>
                <w:color w:val="000000"/>
                <w:spacing w:val="20"/>
                <w:sz w:val="24"/>
                <w:szCs w:val="24"/>
                <w:highlight w:val="none"/>
              </w:rPr>
            </w:r>
            <w:r/>
          </w:p>
        </w:tc>
        <w:tc>
          <w:tcPr>
            <w:tcW w:w="2298" w:type="dxa"/>
            <w:vAlign w:val="center"/>
            <w:textDirection w:val="lrTb"/>
            <w:noWrap w:val="false"/>
          </w:tcPr>
          <w:p>
            <w:pPr>
              <w:pStyle w:val="843"/>
              <w:jc w:val="center"/>
              <w:spacing w:line="400" w:lineRule="exact"/>
              <w:rPr>
                <w:rFonts w:hint="eastAsia" w:ascii="宋体" w:hAnsi="宋体" w:cs="宋体"/>
                <w:b/>
                <w:color w:val="000000"/>
                <w:spacing w:val="20"/>
                <w:sz w:val="24"/>
                <w:szCs w:val="24"/>
                <w:highlight w:val="none"/>
              </w:rPr>
            </w:pPr>
            <w:r>
              <w:rPr>
                <w:rFonts w:hint="eastAsia" w:ascii="宋体" w:hAnsi="宋体" w:cs="宋体"/>
                <w:b/>
                <w:color w:val="000000"/>
                <w:spacing w:val="20"/>
                <w:sz w:val="24"/>
                <w:szCs w:val="24"/>
                <w:highlight w:val="none"/>
              </w:rPr>
              <w:t xml:space="preserve">投标内容</w:t>
            </w:r>
            <w:r>
              <w:rPr>
                <w:rFonts w:hint="eastAsia" w:ascii="宋体" w:hAnsi="宋体" w:cs="宋体"/>
                <w:b/>
                <w:color w:val="000000"/>
                <w:spacing w:val="20"/>
                <w:sz w:val="24"/>
                <w:szCs w:val="24"/>
                <w:highlight w:val="none"/>
              </w:rPr>
            </w:r>
            <w:r/>
          </w:p>
        </w:tc>
        <w:tc>
          <w:tcPr>
            <w:tcW w:w="2558" w:type="dxa"/>
            <w:vAlign w:val="center"/>
            <w:textDirection w:val="lrTb"/>
            <w:noWrap w:val="false"/>
          </w:tcPr>
          <w:p>
            <w:pPr>
              <w:pStyle w:val="870"/>
              <w:spacing w:line="400" w:lineRule="exact"/>
              <w:tabs>
                <w:tab w:val="clear" w:pos="4153" w:leader="none"/>
                <w:tab w:val="clear" w:pos="8306" w:leader="none"/>
              </w:tabs>
              <w:rPr>
                <w:rFonts w:hint="eastAsia" w:ascii="宋体" w:hAnsi="宋体" w:cs="宋体"/>
                <w:b/>
                <w:color w:val="000000"/>
                <w:spacing w:val="20"/>
                <w:sz w:val="24"/>
                <w:szCs w:val="24"/>
                <w:highlight w:val="none"/>
              </w:rPr>
              <w:pBdr>
                <w:bottom w:val="none" w:color="000000" w:sz="0" w:space="0"/>
              </w:pBdr>
            </w:pPr>
            <w:r>
              <w:rPr>
                <w:rFonts w:hint="eastAsia" w:ascii="宋体" w:hAnsi="宋体" w:cs="宋体"/>
                <w:b/>
                <w:color w:val="000000"/>
                <w:spacing w:val="20"/>
                <w:sz w:val="24"/>
                <w:szCs w:val="24"/>
                <w:highlight w:val="none"/>
              </w:rPr>
              <w:t xml:space="preserve">选择项</w:t>
            </w:r>
            <w:r>
              <w:rPr>
                <w:rFonts w:hint="eastAsia" w:ascii="宋体" w:hAnsi="宋体" w:cs="宋体"/>
                <w:b/>
                <w:color w:val="000000"/>
                <w:spacing w:val="20"/>
                <w:sz w:val="24"/>
                <w:szCs w:val="24"/>
                <w:highlight w:val="none"/>
              </w:rPr>
            </w:r>
            <w:r/>
          </w:p>
          <w:p>
            <w:pPr>
              <w:pStyle w:val="870"/>
              <w:spacing w:line="400" w:lineRule="exact"/>
              <w:tabs>
                <w:tab w:val="clear" w:pos="4153" w:leader="none"/>
                <w:tab w:val="clear" w:pos="8306" w:leader="none"/>
              </w:tabs>
              <w:rPr>
                <w:rFonts w:hint="eastAsia" w:ascii="宋体" w:hAnsi="宋体" w:cs="宋体"/>
                <w:b/>
                <w:color w:val="000000"/>
                <w:spacing w:val="20"/>
                <w:sz w:val="24"/>
                <w:szCs w:val="24"/>
                <w:highlight w:val="none"/>
              </w:rPr>
              <w:pBdr>
                <w:bottom w:val="none" w:color="000000" w:sz="0" w:space="0"/>
              </w:pBdr>
            </w:pPr>
            <w:r>
              <w:rPr>
                <w:rFonts w:hint="eastAsia" w:ascii="宋体" w:hAnsi="宋体" w:cs="宋体"/>
                <w:b/>
                <w:color w:val="000000"/>
                <w:spacing w:val="20"/>
                <w:sz w:val="24"/>
                <w:szCs w:val="24"/>
                <w:highlight w:val="none"/>
              </w:rPr>
              <w:t xml:space="preserve">（偏离或符合）</w:t>
            </w:r>
            <w:r>
              <w:rPr>
                <w:rFonts w:hint="eastAsia" w:ascii="宋体" w:hAnsi="宋体" w:cs="宋体"/>
                <w:b/>
                <w:color w:val="000000"/>
                <w:spacing w:val="20"/>
                <w:sz w:val="24"/>
                <w:szCs w:val="24"/>
                <w:highlight w:val="none"/>
              </w:rPr>
            </w:r>
            <w:r/>
          </w:p>
        </w:tc>
      </w:tr>
      <w:tr>
        <w:trPr>
          <w:cantSplit/>
          <w:trHeight w:val="408"/>
        </w:trPr>
        <w:tc>
          <w:tcPr>
            <w:tcW w:w="839" w:type="dxa"/>
            <w:vAlign w:val="top"/>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3023" w:type="dxa"/>
            <w:vAlign w:val="top"/>
            <w:textDirection w:val="lrTb"/>
            <w:noWrap w:val="false"/>
          </w:tcPr>
          <w:p>
            <w:pPr>
              <w:pStyle w:val="843"/>
              <w:ind w:firstLine="500"/>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29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55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r>
      <w:tr>
        <w:trPr>
          <w:cantSplit/>
          <w:trHeight w:val="408"/>
        </w:trPr>
        <w:tc>
          <w:tcPr>
            <w:tcW w:w="839" w:type="dxa"/>
            <w:vAlign w:val="top"/>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3023" w:type="dxa"/>
            <w:vAlign w:val="center"/>
            <w:textDirection w:val="lrTb"/>
            <w:noWrap w:val="false"/>
          </w:tcPr>
          <w:p>
            <w:pPr>
              <w:pStyle w:val="843"/>
              <w:ind w:firstLine="500"/>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29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55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r>
      <w:tr>
        <w:trPr>
          <w:cantSplit/>
          <w:trHeight w:val="408"/>
        </w:trPr>
        <w:tc>
          <w:tcPr>
            <w:tcW w:w="839" w:type="dxa"/>
            <w:vAlign w:val="top"/>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3023" w:type="dxa"/>
            <w:vAlign w:val="center"/>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29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55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r>
      <w:tr>
        <w:trPr>
          <w:cantSplit/>
          <w:trHeight w:val="408"/>
        </w:trPr>
        <w:tc>
          <w:tcPr>
            <w:tcW w:w="839" w:type="dxa"/>
            <w:vAlign w:val="top"/>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3023" w:type="dxa"/>
            <w:vAlign w:val="center"/>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29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55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r>
      <w:tr>
        <w:trPr>
          <w:cantSplit/>
          <w:trHeight w:val="408"/>
        </w:trPr>
        <w:tc>
          <w:tcPr>
            <w:tcW w:w="839" w:type="dxa"/>
            <w:vAlign w:val="top"/>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3023" w:type="dxa"/>
            <w:vAlign w:val="center"/>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29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55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r>
      <w:tr>
        <w:trPr>
          <w:cantSplit/>
          <w:trHeight w:val="408"/>
        </w:trPr>
        <w:tc>
          <w:tcPr>
            <w:tcW w:w="839" w:type="dxa"/>
            <w:vAlign w:val="top"/>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3023" w:type="dxa"/>
            <w:vAlign w:val="center"/>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29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55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r>
      <w:tr>
        <w:trPr>
          <w:cantSplit/>
          <w:trHeight w:val="408"/>
        </w:trPr>
        <w:tc>
          <w:tcPr>
            <w:tcW w:w="839" w:type="dxa"/>
            <w:vAlign w:val="top"/>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3023" w:type="dxa"/>
            <w:vAlign w:val="center"/>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29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55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r>
      <w:tr>
        <w:trPr>
          <w:cantSplit/>
          <w:trHeight w:val="408"/>
        </w:trPr>
        <w:tc>
          <w:tcPr>
            <w:tcW w:w="839" w:type="dxa"/>
            <w:vAlign w:val="top"/>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3023" w:type="dxa"/>
            <w:vAlign w:val="center"/>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29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55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r>
      <w:tr>
        <w:trPr>
          <w:cantSplit/>
          <w:trHeight w:val="408"/>
        </w:trPr>
        <w:tc>
          <w:tcPr>
            <w:tcW w:w="839" w:type="dxa"/>
            <w:vAlign w:val="top"/>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3023" w:type="dxa"/>
            <w:vAlign w:val="center"/>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29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55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r>
      <w:tr>
        <w:trPr>
          <w:cantSplit/>
          <w:trHeight w:val="408"/>
        </w:trPr>
        <w:tc>
          <w:tcPr>
            <w:tcW w:w="839" w:type="dxa"/>
            <w:vAlign w:val="top"/>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3023" w:type="dxa"/>
            <w:vAlign w:val="center"/>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29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55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r>
      <w:tr>
        <w:trPr>
          <w:cantSplit/>
          <w:trHeight w:val="408"/>
        </w:trPr>
        <w:tc>
          <w:tcPr>
            <w:tcW w:w="839" w:type="dxa"/>
            <w:vAlign w:val="top"/>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3023" w:type="dxa"/>
            <w:vAlign w:val="center"/>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29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55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r>
      <w:tr>
        <w:trPr>
          <w:cantSplit/>
          <w:trHeight w:val="408"/>
        </w:trPr>
        <w:tc>
          <w:tcPr>
            <w:tcW w:w="839" w:type="dxa"/>
            <w:vAlign w:val="top"/>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3023" w:type="dxa"/>
            <w:vAlign w:val="center"/>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29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55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r>
      <w:tr>
        <w:trPr>
          <w:cantSplit/>
          <w:trHeight w:val="408"/>
        </w:trPr>
        <w:tc>
          <w:tcPr>
            <w:tcW w:w="839" w:type="dxa"/>
            <w:vAlign w:val="top"/>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3023" w:type="dxa"/>
            <w:vAlign w:val="center"/>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29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55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r>
      <w:tr>
        <w:trPr>
          <w:cantSplit/>
          <w:trHeight w:val="408"/>
        </w:trPr>
        <w:tc>
          <w:tcPr>
            <w:tcW w:w="839" w:type="dxa"/>
            <w:vAlign w:val="top"/>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3023" w:type="dxa"/>
            <w:vAlign w:val="center"/>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29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55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r>
      <w:tr>
        <w:trPr>
          <w:cantSplit/>
          <w:trHeight w:val="408"/>
        </w:trPr>
        <w:tc>
          <w:tcPr>
            <w:tcW w:w="839" w:type="dxa"/>
            <w:vAlign w:val="top"/>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3023" w:type="dxa"/>
            <w:vAlign w:val="center"/>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29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55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r>
      <w:tr>
        <w:trPr>
          <w:cantSplit/>
          <w:trHeight w:val="408"/>
        </w:trPr>
        <w:tc>
          <w:tcPr>
            <w:tcW w:w="839" w:type="dxa"/>
            <w:vAlign w:val="top"/>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3023" w:type="dxa"/>
            <w:vAlign w:val="center"/>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29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55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r>
      <w:tr>
        <w:trPr>
          <w:cantSplit/>
          <w:trHeight w:val="408"/>
        </w:trPr>
        <w:tc>
          <w:tcPr>
            <w:tcW w:w="839" w:type="dxa"/>
            <w:vAlign w:val="top"/>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3023" w:type="dxa"/>
            <w:vAlign w:val="center"/>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29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55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r>
      <w:tr>
        <w:trPr>
          <w:cantSplit/>
          <w:trHeight w:val="408"/>
        </w:trPr>
        <w:tc>
          <w:tcPr>
            <w:tcW w:w="839" w:type="dxa"/>
            <w:vAlign w:val="top"/>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3023" w:type="dxa"/>
            <w:vAlign w:val="center"/>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29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55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r>
      <w:tr>
        <w:trPr>
          <w:cantSplit/>
          <w:trHeight w:val="418"/>
        </w:trPr>
        <w:tc>
          <w:tcPr>
            <w:tcW w:w="839" w:type="dxa"/>
            <w:vAlign w:val="top"/>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3023" w:type="dxa"/>
            <w:vAlign w:val="center"/>
            <w:textDirection w:val="lrTb"/>
            <w:noWrap w:val="false"/>
          </w:tcPr>
          <w:p>
            <w:pPr>
              <w:pStyle w:val="843"/>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29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c>
          <w:tcPr>
            <w:tcW w:w="2558" w:type="dxa"/>
            <w:vAlign w:val="center"/>
            <w:textDirection w:val="lrTb"/>
            <w:noWrap w:val="false"/>
          </w:tcPr>
          <w:p>
            <w:pPr>
              <w:pStyle w:val="843"/>
              <w:ind w:firstLine="500"/>
              <w:jc w:val="center"/>
              <w:spacing w:line="4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r>
    </w:tbl>
    <w:p>
      <w:pPr>
        <w:pStyle w:val="843"/>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rPr>
      </w:r>
      <w:r/>
    </w:p>
    <w:p>
      <w:pPr>
        <w:pStyle w:val="843"/>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1、本表根据招标文件第三章采购需求制作。</w:t>
      </w:r>
      <w:r>
        <w:rPr>
          <w:rFonts w:hint="eastAsia" w:ascii="宋体" w:hAnsi="宋体" w:cs="宋体"/>
          <w:color w:val="000000"/>
          <w:sz w:val="24"/>
          <w:szCs w:val="24"/>
          <w:highlight w:val="none"/>
        </w:rPr>
      </w:r>
      <w:r/>
    </w:p>
    <w:p>
      <w:pPr>
        <w:pStyle w:val="843"/>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2、本表不得删除。</w:t>
      </w:r>
      <w:r>
        <w:rPr>
          <w:rFonts w:hint="eastAsia" w:ascii="宋体" w:hAnsi="宋体" w:cs="宋体"/>
          <w:color w:val="000000"/>
          <w:sz w:val="24"/>
          <w:szCs w:val="24"/>
          <w:highlight w:val="none"/>
        </w:rPr>
      </w:r>
      <w:r/>
    </w:p>
    <w:p>
      <w:pPr>
        <w:pStyle w:val="843"/>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color w:val="000000"/>
          <w:sz w:val="24"/>
          <w:highlight w:val="none"/>
        </w:rPr>
        <w:t xml:space="preserve">如有偏离项，请于本表中列明偏离内容，如需要可自行延长，其余无偏离内容不须赘述。</w:t>
      </w:r>
      <w:r>
        <w:rPr>
          <w:rFonts w:hint="eastAsia" w:ascii="宋体" w:hAnsi="宋体" w:cs="宋体"/>
          <w:color w:val="000000"/>
          <w:sz w:val="24"/>
          <w:szCs w:val="24"/>
          <w:highlight w:val="none"/>
        </w:rPr>
      </w:r>
      <w:r/>
    </w:p>
    <w:p>
      <w:pPr>
        <w:pStyle w:val="843"/>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color w:val="000000"/>
          <w:sz w:val="24"/>
          <w:highlight w:val="none"/>
        </w:rPr>
        <w:t xml:space="preserve">如无任何技术偏离，在“偏离说明”中注明“无偏离”</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r>
      <w:r/>
    </w:p>
    <w:p>
      <w:pPr>
        <w:pStyle w:val="843"/>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投标方：（单位盖章）</w:t>
      </w:r>
      <w:r>
        <w:rPr>
          <w:rFonts w:hint="eastAsia" w:ascii="宋体" w:hAnsi="宋体" w:cs="宋体"/>
          <w:color w:val="000000"/>
          <w:sz w:val="24"/>
          <w:szCs w:val="24"/>
          <w:highlight w:val="none"/>
        </w:rPr>
      </w:r>
      <w:r/>
    </w:p>
    <w:p>
      <w:pPr>
        <w:pStyle w:val="843"/>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法定代表人或代理人：（签字或盖章）</w:t>
      </w:r>
      <w:r>
        <w:rPr>
          <w:rFonts w:hint="eastAsia" w:ascii="宋体" w:hAnsi="宋体" w:cs="宋体"/>
          <w:color w:val="000000"/>
          <w:sz w:val="24"/>
          <w:szCs w:val="24"/>
          <w:highlight w:val="none"/>
        </w:rPr>
      </w:r>
      <w:r/>
    </w:p>
    <w:p>
      <w:pPr>
        <w:pStyle w:val="843"/>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bookmarkEnd w:id="73"/>
      <w:r/>
      <w:bookmarkEnd w:id="74"/>
      <w:r/>
      <w:bookmarkEnd w:id="75"/>
      <w:r/>
      <w:bookmarkEnd w:id="76"/>
      <w:r/>
      <w:bookmarkEnd w:id="77"/>
      <w:r>
        <w:rPr>
          <w:rFonts w:hint="eastAsia" w:ascii="宋体" w:hAnsi="宋体" w:cs="宋体"/>
          <w:color w:val="000000"/>
          <w:sz w:val="24"/>
          <w:szCs w:val="24"/>
          <w:highlight w:val="none"/>
        </w:rPr>
      </w:r>
      <w:r/>
    </w:p>
    <w:sectPr>
      <w:footnotePr/>
      <w:endnotePr/>
      <w:type w:val="nextPage"/>
      <w:pgSz w:w="11906" w:h="16838" w:orient="portrait"/>
      <w:pgMar w:top="1440" w:right="1440" w:bottom="1440" w:left="144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MS Mincho">
    <w:panose1 w:val="02020603050405090304"/>
  </w:font>
  <w:font w:name="方正楷体_GBK">
    <w:panose1 w:val="020B0503020202020204"/>
  </w:font>
  <w:font w:name="方正仿宋_GBK">
    <w:panose1 w:val="020B0503020202020204"/>
  </w:font>
  <w:font w:name="方正小标宋_GBK">
    <w:panose1 w:val="020B0503020202020204"/>
  </w:font>
  <w:font w:name="Symbol">
    <w:panose1 w:val="05050102010706020507"/>
  </w:font>
  <w:font w:name="仿宋">
    <w:panose1 w:val="02010609060101010101"/>
  </w:font>
  <w:font w:name="等线">
    <w:panose1 w:val="02010600030101010101"/>
  </w:font>
  <w:font w:name="Wingdings">
    <w:panose1 w:val="05000000000000000000"/>
  </w:font>
  <w:font w:name="Cambria">
    <w:panose1 w:val="02040503050406030204"/>
  </w:font>
  <w:font w:name="Mongolian Baiti">
    <w:panose1 w:val="03000500000000000000"/>
  </w:font>
  <w:font w:name="Courier New">
    <w:panose1 w:val="02070309020205020404"/>
  </w:font>
  <w:font w:name="DFKai-SB">
    <w:panose1 w:val="03050502040202030202"/>
  </w:font>
  <w:font w:name="华文中宋">
    <w:panose1 w:val="02010600040101010101"/>
  </w:font>
  <w:font w:name="仿宋_GB2312">
    <w:panose1 w:val="02010609060101010101"/>
  </w:font>
  <w:font w:name="黑体">
    <w:panose1 w:val="02010609060101010101"/>
  </w:font>
  <w:font w:name="Calibri">
    <w:panose1 w:val="020F0502020204030204"/>
  </w:font>
  <w:font w:name="楷体_GB2312">
    <w:panose1 w:val="02010609060101010101"/>
  </w:font>
  <w:font w:name="Calibri Light">
    <w:panose1 w:val="020F0302020204030204"/>
  </w:font>
  <w:font w:name="MingLiU">
    <w:panose1 w:val="02020500000000000000"/>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843"/>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84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4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43"/>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75</w:t>
                          </w:r>
                          <w:r>
                            <w:fldChar w:fldCharType="end"/>
                          </w:r>
                          <w:r/>
                        </w:p>
                        <w:p>
                          <w:pPr>
                            <w:pStyle w:val="84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75</w:t>
                    </w:r>
                    <w:r>
                      <w:fldChar w:fldCharType="end"/>
                    </w:r>
                    <w:r/>
                  </w:p>
                  <w:p>
                    <w:pPr>
                      <w:pStyle w:val="843"/>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843"/>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84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rPr>
        <w:sz w:val="20"/>
      </w:rPr>
    </w:pPr>
    <w:r>
      <w:rPr>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tabs>
        <w:tab w:val="center" w:pos="4153" w:leader="none"/>
        <w:tab w:val="right" w:pos="8306" w:leader="none"/>
      </w:tabs>
      <w:rPr>
        <w:u w:val="single"/>
      </w:rPr>
      <w:pBdr>
        <w:bottom w:val="none" w:color="000000" w:sz="0" w:space="0"/>
      </w:pBdr>
    </w:pPr>
    <w:r>
      <w:rPr>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84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43"/>
        <w:ind w:left="630" w:hanging="420"/>
        <w:tabs>
          <w:tab w:val="num" w:pos="630" w:leader="none"/>
        </w:tabs>
      </w:pPr>
    </w:lvl>
    <w:lvl w:ilvl="1">
      <w:start w:val="1"/>
      <w:numFmt w:val="lowerLetter"/>
      <w:isLgl w:val="false"/>
      <w:suff w:val="tab"/>
      <w:lvlText w:val="%2)"/>
      <w:lvlJc w:val="left"/>
      <w:pPr>
        <w:pStyle w:val="843"/>
        <w:ind w:left="1050" w:hanging="420"/>
        <w:tabs>
          <w:tab w:val="num" w:pos="1050" w:leader="none"/>
        </w:tabs>
      </w:pPr>
    </w:lvl>
    <w:lvl w:ilvl="2">
      <w:start w:val="1"/>
      <w:numFmt w:val="lowerRoman"/>
      <w:isLgl w:val="false"/>
      <w:suff w:val="tab"/>
      <w:lvlText w:val="%3."/>
      <w:lvlJc w:val="right"/>
      <w:pPr>
        <w:pStyle w:val="843"/>
        <w:ind w:left="1470" w:hanging="420"/>
        <w:tabs>
          <w:tab w:val="num" w:pos="1470" w:leader="none"/>
        </w:tabs>
      </w:pPr>
    </w:lvl>
    <w:lvl w:ilvl="3">
      <w:start w:val="1"/>
      <w:numFmt w:val="decimal"/>
      <w:isLgl w:val="false"/>
      <w:suff w:val="tab"/>
      <w:lvlText w:val="%4."/>
      <w:lvlJc w:val="left"/>
      <w:pPr>
        <w:pStyle w:val="843"/>
        <w:ind w:left="1890" w:hanging="420"/>
        <w:tabs>
          <w:tab w:val="num" w:pos="1890" w:leader="none"/>
        </w:tabs>
      </w:pPr>
    </w:lvl>
    <w:lvl w:ilvl="4">
      <w:start w:val="1"/>
      <w:numFmt w:val="lowerLetter"/>
      <w:isLgl w:val="false"/>
      <w:suff w:val="tab"/>
      <w:lvlText w:val="%5)"/>
      <w:lvlJc w:val="left"/>
      <w:pPr>
        <w:pStyle w:val="843"/>
        <w:ind w:left="2310" w:hanging="420"/>
        <w:tabs>
          <w:tab w:val="num" w:pos="2310" w:leader="none"/>
        </w:tabs>
      </w:pPr>
    </w:lvl>
    <w:lvl w:ilvl="5">
      <w:start w:val="1"/>
      <w:numFmt w:val="lowerRoman"/>
      <w:isLgl w:val="false"/>
      <w:suff w:val="tab"/>
      <w:lvlText w:val="%6."/>
      <w:lvlJc w:val="right"/>
      <w:pPr>
        <w:pStyle w:val="843"/>
        <w:ind w:left="2730" w:hanging="420"/>
        <w:tabs>
          <w:tab w:val="num" w:pos="2730" w:leader="none"/>
        </w:tabs>
      </w:pPr>
    </w:lvl>
    <w:lvl w:ilvl="6">
      <w:start w:val="1"/>
      <w:numFmt w:val="decimal"/>
      <w:isLgl w:val="false"/>
      <w:suff w:val="tab"/>
      <w:lvlText w:val="%7."/>
      <w:lvlJc w:val="left"/>
      <w:pPr>
        <w:pStyle w:val="843"/>
        <w:ind w:left="3150" w:hanging="420"/>
        <w:tabs>
          <w:tab w:val="num" w:pos="3150" w:leader="none"/>
        </w:tabs>
      </w:pPr>
    </w:lvl>
    <w:lvl w:ilvl="7">
      <w:start w:val="1"/>
      <w:numFmt w:val="lowerLetter"/>
      <w:isLgl w:val="false"/>
      <w:suff w:val="tab"/>
      <w:lvlText w:val="%8)"/>
      <w:lvlJc w:val="left"/>
      <w:pPr>
        <w:pStyle w:val="843"/>
        <w:ind w:left="3570" w:hanging="420"/>
        <w:tabs>
          <w:tab w:val="num" w:pos="3570" w:leader="none"/>
        </w:tabs>
      </w:pPr>
    </w:lvl>
    <w:lvl w:ilvl="8">
      <w:start w:val="1"/>
      <w:numFmt w:val="lowerRoman"/>
      <w:isLgl w:val="false"/>
      <w:suff w:val="tab"/>
      <w:lvlText w:val="%9."/>
      <w:lvlJc w:val="right"/>
      <w:pPr>
        <w:pStyle w:val="843"/>
        <w:ind w:left="3990" w:hanging="420"/>
        <w:tabs>
          <w:tab w:val="num" w:pos="3990" w:leader="none"/>
        </w:tabs>
      </w:pPr>
    </w:lvl>
  </w:abstractNum>
  <w:abstractNum w:abstractNumId="2">
    <w:multiLevelType w:val="hybridMultilevel"/>
    <w:lvl w:ilvl="0">
      <w:start w:val="1"/>
      <w:numFmt w:val="japaneseCounting"/>
      <w:isLgl w:val="false"/>
      <w:suff w:val="tab"/>
      <w:lvlText w:val="（%1）"/>
      <w:lvlJc w:val="left"/>
      <w:pPr>
        <w:pStyle w:val="843"/>
        <w:ind w:left="1380" w:hanging="855"/>
        <w:tabs>
          <w:tab w:val="num" w:pos="1380" w:leader="none"/>
        </w:tabs>
      </w:pPr>
      <w:rPr>
        <w:rFonts w:hint="eastAsia"/>
      </w:rPr>
    </w:lvl>
    <w:lvl w:ilvl="1">
      <w:start w:val="3"/>
      <w:numFmt w:val="decimal"/>
      <w:isLgl w:val="false"/>
      <w:suff w:val="tab"/>
      <w:lvlText w:val="%2."/>
      <w:lvlJc w:val="left"/>
      <w:pPr>
        <w:pStyle w:val="843"/>
        <w:ind w:left="1650" w:hanging="705"/>
        <w:tabs>
          <w:tab w:val="num" w:pos="1650" w:leader="none"/>
        </w:tabs>
      </w:pPr>
    </w:lvl>
    <w:lvl w:ilvl="2">
      <w:start w:val="1"/>
      <w:numFmt w:val="decimal"/>
      <w:isLgl w:val="false"/>
      <w:suff w:val="tab"/>
      <w:lvlText w:val="%3."/>
      <w:lvlJc w:val="left"/>
      <w:pPr>
        <w:pStyle w:val="843"/>
        <w:ind w:left="2265" w:hanging="900"/>
        <w:tabs>
          <w:tab w:val="num" w:pos="2265" w:leader="none"/>
        </w:tabs>
      </w:pPr>
      <w:rPr>
        <w:rFonts w:hint="eastAsia"/>
      </w:rPr>
    </w:lvl>
    <w:lvl w:ilvl="3">
      <w:start w:val="1"/>
      <w:numFmt w:val="decimal"/>
      <w:isLgl w:val="false"/>
      <w:suff w:val="tab"/>
      <w:lvlText w:val="（%4）"/>
      <w:lvlJc w:val="left"/>
      <w:pPr>
        <w:pStyle w:val="843"/>
        <w:ind w:left="2505" w:hanging="720"/>
        <w:tabs>
          <w:tab w:val="num" w:pos="2505" w:leader="none"/>
        </w:tabs>
      </w:pPr>
      <w:rPr>
        <w:rFonts w:hint="eastAsia" w:ascii="宋体" w:hAnsi="宋体" w:eastAsia="宋体"/>
        <w:sz w:val="24"/>
        <w:szCs w:val="24"/>
      </w:rPr>
    </w:lvl>
    <w:lvl w:ilvl="4">
      <w:start w:val="1"/>
      <w:numFmt w:val="lowerLetter"/>
      <w:isLgl w:val="false"/>
      <w:suff w:val="tab"/>
      <w:lvlText w:val="%5."/>
      <w:lvlJc w:val="left"/>
      <w:pPr>
        <w:pStyle w:val="843"/>
        <w:ind w:left="2565" w:hanging="360"/>
        <w:tabs>
          <w:tab w:val="num" w:pos="2565" w:leader="none"/>
        </w:tabs>
      </w:pPr>
      <w:rPr>
        <w:rFonts w:hint="eastAsia"/>
      </w:rPr>
    </w:lvl>
    <w:lvl w:ilvl="5">
      <w:start w:val="1"/>
      <w:numFmt w:val="decimal"/>
      <w:isLgl w:val="false"/>
      <w:suff w:val="tab"/>
      <w:lvlText w:val="%6．"/>
      <w:lvlJc w:val="left"/>
      <w:pPr>
        <w:pStyle w:val="843"/>
        <w:ind w:left="3345" w:hanging="720"/>
        <w:tabs>
          <w:tab w:val="num" w:pos="3345" w:leader="none"/>
        </w:tabs>
      </w:pPr>
      <w:rPr>
        <w:rFonts w:hint="eastAsia"/>
      </w:rPr>
    </w:lvl>
    <w:lvl w:ilvl="6">
      <w:start w:val="1"/>
      <w:numFmt w:val="decimal"/>
      <w:isLgl w:val="false"/>
      <w:suff w:val="tab"/>
      <w:lvlText w:val="%7."/>
      <w:lvlJc w:val="left"/>
      <w:pPr>
        <w:pStyle w:val="843"/>
        <w:ind w:left="3465" w:hanging="420"/>
        <w:tabs>
          <w:tab w:val="num" w:pos="3465" w:leader="none"/>
        </w:tabs>
      </w:pPr>
    </w:lvl>
    <w:lvl w:ilvl="7">
      <w:start w:val="1"/>
      <w:numFmt w:val="lowerLetter"/>
      <w:isLgl w:val="false"/>
      <w:suff w:val="tab"/>
      <w:lvlText w:val="%8)"/>
      <w:lvlJc w:val="left"/>
      <w:pPr>
        <w:pStyle w:val="843"/>
        <w:ind w:left="3885" w:hanging="420"/>
        <w:tabs>
          <w:tab w:val="num" w:pos="3885" w:leader="none"/>
        </w:tabs>
      </w:pPr>
    </w:lvl>
    <w:lvl w:ilvl="8">
      <w:start w:val="1"/>
      <w:numFmt w:val="lowerRoman"/>
      <w:isLgl w:val="false"/>
      <w:suff w:val="tab"/>
      <w:lvlText w:val="%9."/>
      <w:lvlJc w:val="right"/>
      <w:pPr>
        <w:pStyle w:val="843"/>
        <w:ind w:left="4305" w:hanging="420"/>
        <w:tabs>
          <w:tab w:val="num" w:pos="4305" w:leader="none"/>
        </w:tabs>
      </w:pPr>
    </w:lvl>
  </w:abstractNum>
  <w:abstractNum w:abstractNumId="3">
    <w:multiLevelType w:val="hybridMultilevel"/>
    <w:lvl w:ilvl="0">
      <w:start w:val="1"/>
      <w:numFmt w:val="decimal"/>
      <w:isLgl w:val="false"/>
      <w:suff w:val="tab"/>
      <w:lvlText w:val="%1．"/>
      <w:lvlJc w:val="left"/>
      <w:pPr>
        <w:pStyle w:val="843"/>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843"/>
      </w:pPr>
    </w:lvl>
    <w:lvl w:ilvl="1">
      <w:start w:val="1"/>
      <w:numFmt w:val="bullet"/>
      <w:isLgl w:val="false"/>
      <w:suff w:val="tab"/>
      <w:lvlText w:val="o"/>
      <w:lvlJc w:val="left"/>
      <w:pPr>
        <w:pStyle w:val="843"/>
        <w:ind w:left="1440" w:hanging="360"/>
      </w:pPr>
      <w:rPr>
        <w:rFonts w:ascii="Courier New" w:hAnsi="Courier New" w:eastAsia="Courier New" w:cs="Courier New"/>
      </w:rPr>
    </w:lvl>
    <w:lvl w:ilvl="2">
      <w:start w:val="1"/>
      <w:numFmt w:val="bullet"/>
      <w:isLgl w:val="false"/>
      <w:suff w:val="tab"/>
      <w:lvlText w:val="§"/>
      <w:lvlJc w:val="left"/>
      <w:pPr>
        <w:pStyle w:val="843"/>
        <w:ind w:left="2160" w:hanging="360"/>
      </w:pPr>
      <w:rPr>
        <w:rFonts w:ascii="Wingdings" w:hAnsi="Wingdings" w:eastAsia="Wingdings" w:cs="Wingdings"/>
      </w:rPr>
    </w:lvl>
    <w:lvl w:ilvl="3">
      <w:start w:val="1"/>
      <w:numFmt w:val="bullet"/>
      <w:isLgl w:val="false"/>
      <w:suff w:val="tab"/>
      <w:lvlText w:val="·"/>
      <w:lvlJc w:val="left"/>
      <w:pPr>
        <w:pStyle w:val="843"/>
        <w:ind w:left="2880" w:hanging="360"/>
      </w:pPr>
      <w:rPr>
        <w:rFonts w:ascii="Symbol" w:hAnsi="Symbol" w:eastAsia="Symbol" w:cs="Symbol"/>
      </w:rPr>
    </w:lvl>
    <w:lvl w:ilvl="4">
      <w:start w:val="1"/>
      <w:numFmt w:val="bullet"/>
      <w:isLgl w:val="false"/>
      <w:suff w:val="tab"/>
      <w:lvlText w:val="o"/>
      <w:lvlJc w:val="left"/>
      <w:pPr>
        <w:pStyle w:val="843"/>
        <w:ind w:left="3600" w:hanging="360"/>
      </w:pPr>
      <w:rPr>
        <w:rFonts w:ascii="Courier New" w:hAnsi="Courier New" w:eastAsia="Courier New" w:cs="Courier New"/>
      </w:rPr>
    </w:lvl>
    <w:lvl w:ilvl="5">
      <w:start w:val="1"/>
      <w:numFmt w:val="bullet"/>
      <w:isLgl w:val="false"/>
      <w:suff w:val="tab"/>
      <w:lvlText w:val="§"/>
      <w:lvlJc w:val="left"/>
      <w:pPr>
        <w:pStyle w:val="843"/>
        <w:ind w:left="4320" w:hanging="360"/>
      </w:pPr>
      <w:rPr>
        <w:rFonts w:ascii="Wingdings" w:hAnsi="Wingdings" w:eastAsia="Wingdings" w:cs="Wingdings"/>
      </w:rPr>
    </w:lvl>
    <w:lvl w:ilvl="6">
      <w:start w:val="1"/>
      <w:numFmt w:val="bullet"/>
      <w:isLgl w:val="false"/>
      <w:suff w:val="tab"/>
      <w:lvlText w:val="·"/>
      <w:lvlJc w:val="left"/>
      <w:pPr>
        <w:pStyle w:val="843"/>
        <w:ind w:left="5040" w:hanging="360"/>
      </w:pPr>
      <w:rPr>
        <w:rFonts w:ascii="Symbol" w:hAnsi="Symbol" w:eastAsia="Symbol" w:cs="Symbol"/>
      </w:rPr>
    </w:lvl>
    <w:lvl w:ilvl="7">
      <w:start w:val="1"/>
      <w:numFmt w:val="bullet"/>
      <w:isLgl w:val="false"/>
      <w:suff w:val="tab"/>
      <w:lvlText w:val="o"/>
      <w:lvlJc w:val="left"/>
      <w:pPr>
        <w:pStyle w:val="843"/>
        <w:ind w:left="5760" w:hanging="360"/>
      </w:pPr>
      <w:rPr>
        <w:rFonts w:ascii="Courier New" w:hAnsi="Courier New" w:eastAsia="Courier New" w:cs="Courier New"/>
      </w:rPr>
    </w:lvl>
    <w:lvl w:ilvl="8">
      <w:start w:val="1"/>
      <w:numFmt w:val="bullet"/>
      <w:isLgl w:val="false"/>
      <w:suff w:val="tab"/>
      <w:lvlText w:val="§"/>
      <w:lvlJc w:val="left"/>
      <w:pPr>
        <w:pStyle w:val="843"/>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843"/>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843"/>
        <w:ind w:left="898" w:hanging="720"/>
        <w:tabs>
          <w:tab w:val="num" w:pos="898" w:leader="none"/>
        </w:tabs>
      </w:pPr>
      <w:rPr>
        <w:rFonts w:hint="eastAsia"/>
      </w:rPr>
    </w:lvl>
    <w:lvl w:ilvl="1">
      <w:start w:val="3"/>
      <w:numFmt w:val="decimal"/>
      <w:isLgl w:val="false"/>
      <w:suff w:val="tab"/>
      <w:lvlText w:val="%2."/>
      <w:lvlJc w:val="left"/>
      <w:pPr>
        <w:pStyle w:val="843"/>
        <w:ind w:left="958" w:hanging="360"/>
        <w:tabs>
          <w:tab w:val="num" w:pos="958" w:leader="none"/>
        </w:tabs>
      </w:pPr>
    </w:lvl>
    <w:lvl w:ilvl="2">
      <w:start w:val="1"/>
      <w:numFmt w:val="decimalEnclosedCircle"/>
      <w:isLgl w:val="false"/>
      <w:suff w:val="tab"/>
      <w:lvlText w:val="%3"/>
      <w:lvlJc w:val="left"/>
      <w:pPr>
        <w:pStyle w:val="843"/>
        <w:ind w:left="1378" w:hanging="360"/>
        <w:tabs>
          <w:tab w:val="num" w:pos="1378" w:leader="none"/>
        </w:tabs>
      </w:pPr>
      <w:rPr>
        <w:color w:val="ff0000"/>
      </w:rPr>
    </w:lvl>
    <w:lvl w:ilvl="3">
      <w:start w:val="1"/>
      <w:numFmt w:val="decimal"/>
      <w:isLgl w:val="false"/>
      <w:suff w:val="tab"/>
      <w:lvlText w:val="%4."/>
      <w:lvlJc w:val="left"/>
      <w:pPr>
        <w:pStyle w:val="843"/>
        <w:ind w:left="1858" w:hanging="420"/>
        <w:tabs>
          <w:tab w:val="num" w:pos="1858" w:leader="none"/>
        </w:tabs>
      </w:pPr>
    </w:lvl>
    <w:lvl w:ilvl="4">
      <w:start w:val="1"/>
      <w:numFmt w:val="lowerLetter"/>
      <w:isLgl w:val="false"/>
      <w:suff w:val="tab"/>
      <w:lvlText w:val="%5)"/>
      <w:lvlJc w:val="left"/>
      <w:pPr>
        <w:pStyle w:val="843"/>
        <w:ind w:left="2278" w:hanging="420"/>
        <w:tabs>
          <w:tab w:val="num" w:pos="2278" w:leader="none"/>
        </w:tabs>
      </w:pPr>
    </w:lvl>
    <w:lvl w:ilvl="5">
      <w:start w:val="1"/>
      <w:numFmt w:val="lowerRoman"/>
      <w:isLgl w:val="false"/>
      <w:suff w:val="tab"/>
      <w:lvlText w:val="%6."/>
      <w:lvlJc w:val="right"/>
      <w:pPr>
        <w:pStyle w:val="843"/>
        <w:ind w:left="2698" w:hanging="420"/>
        <w:tabs>
          <w:tab w:val="num" w:pos="2698" w:leader="none"/>
        </w:tabs>
      </w:pPr>
    </w:lvl>
    <w:lvl w:ilvl="6">
      <w:start w:val="1"/>
      <w:numFmt w:val="decimal"/>
      <w:isLgl w:val="false"/>
      <w:suff w:val="tab"/>
      <w:lvlText w:val="%7."/>
      <w:lvlJc w:val="left"/>
      <w:pPr>
        <w:pStyle w:val="843"/>
        <w:ind w:left="3118" w:hanging="420"/>
        <w:tabs>
          <w:tab w:val="num" w:pos="3118" w:leader="none"/>
        </w:tabs>
      </w:pPr>
    </w:lvl>
    <w:lvl w:ilvl="7">
      <w:start w:val="1"/>
      <w:numFmt w:val="lowerLetter"/>
      <w:isLgl w:val="false"/>
      <w:suff w:val="tab"/>
      <w:lvlText w:val="%8)"/>
      <w:lvlJc w:val="left"/>
      <w:pPr>
        <w:pStyle w:val="843"/>
        <w:ind w:left="3538" w:hanging="420"/>
        <w:tabs>
          <w:tab w:val="num" w:pos="3538" w:leader="none"/>
        </w:tabs>
      </w:pPr>
    </w:lvl>
    <w:lvl w:ilvl="8">
      <w:start w:val="1"/>
      <w:numFmt w:val="lowerRoman"/>
      <w:isLgl w:val="false"/>
      <w:suff w:val="tab"/>
      <w:lvlText w:val="%9."/>
      <w:lvlJc w:val="right"/>
      <w:pPr>
        <w:pStyle w:val="843"/>
        <w:ind w:left="3958" w:hanging="420"/>
        <w:tabs>
          <w:tab w:val="num" w:pos="3958" w:leader="none"/>
        </w:tabs>
      </w:pPr>
    </w:lvl>
  </w:abstractNum>
  <w:abstractNum w:abstractNumId="7">
    <w:multiLevelType w:val="hybridMultilevel"/>
    <w:lvl w:ilvl="0">
      <w:start w:val="1"/>
      <w:numFmt w:val="decimal"/>
      <w:isLgl w:val="false"/>
      <w:suff w:val="tab"/>
      <w:lvlText w:val="%1."/>
      <w:lvlJc w:val="left"/>
      <w:pPr>
        <w:pStyle w:val="843"/>
        <w:ind w:left="510" w:hanging="360"/>
        <w:tabs>
          <w:tab w:val="num" w:pos="510" w:leader="none"/>
        </w:tabs>
      </w:pPr>
      <w:rPr>
        <w:rFonts w:hint="eastAsia"/>
      </w:rPr>
    </w:lvl>
    <w:lvl w:ilvl="1">
      <w:start w:val="1"/>
      <w:numFmt w:val="decimal"/>
      <w:isLgl w:val="false"/>
      <w:suff w:val="tab"/>
      <w:lvlText w:val="%2．"/>
      <w:lvlJc w:val="left"/>
      <w:pPr>
        <w:pStyle w:val="843"/>
        <w:ind w:left="1290" w:hanging="720"/>
        <w:tabs>
          <w:tab w:val="num" w:pos="1290" w:leader="none"/>
        </w:tabs>
      </w:pPr>
      <w:rPr>
        <w:rFonts w:hint="eastAsia"/>
      </w:rPr>
    </w:lvl>
    <w:lvl w:ilvl="2">
      <w:start w:val="3"/>
      <w:numFmt w:val="decimal"/>
      <w:isLgl w:val="false"/>
      <w:suff w:val="tab"/>
      <w:lvlText w:val="（%3）"/>
      <w:lvlJc w:val="left"/>
      <w:pPr>
        <w:pStyle w:val="843"/>
        <w:ind w:left="1140" w:hanging="720"/>
        <w:tabs>
          <w:tab w:val="num" w:pos="1140" w:leader="none"/>
        </w:tabs>
      </w:pPr>
      <w:rPr>
        <w:rFonts w:hint="eastAsia"/>
        <w:lang w:val="en-US"/>
      </w:rPr>
    </w:lvl>
    <w:lvl w:ilvl="3">
      <w:start w:val="1"/>
      <w:numFmt w:val="decimal"/>
      <w:isLgl w:val="false"/>
      <w:suff w:val="tab"/>
      <w:lvlText w:val="（%4）"/>
      <w:lvlJc w:val="left"/>
      <w:pPr>
        <w:pStyle w:val="84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43"/>
        <w:ind w:left="2250" w:hanging="420"/>
        <w:tabs>
          <w:tab w:val="num" w:pos="2250" w:leader="none"/>
        </w:tabs>
      </w:pPr>
      <w:rPr>
        <w:rFonts w:hint="eastAsia"/>
      </w:rPr>
    </w:lvl>
    <w:lvl w:ilvl="5">
      <w:start w:val="1"/>
      <w:numFmt w:val="lowerRoman"/>
      <w:isLgl w:val="false"/>
      <w:suff w:val="tab"/>
      <w:lvlText w:val="%6."/>
      <w:lvlJc w:val="right"/>
      <w:pPr>
        <w:pStyle w:val="843"/>
        <w:ind w:left="2670" w:hanging="420"/>
        <w:tabs>
          <w:tab w:val="num" w:pos="2670" w:leader="none"/>
        </w:tabs>
      </w:pPr>
    </w:lvl>
    <w:lvl w:ilvl="6">
      <w:start w:val="1"/>
      <w:numFmt w:val="decimal"/>
      <w:isLgl w:val="false"/>
      <w:suff w:val="tab"/>
      <w:lvlText w:val="%7."/>
      <w:lvlJc w:val="left"/>
      <w:pPr>
        <w:pStyle w:val="843"/>
        <w:ind w:left="3090" w:hanging="420"/>
        <w:tabs>
          <w:tab w:val="num" w:pos="3090" w:leader="none"/>
        </w:tabs>
      </w:pPr>
    </w:lvl>
    <w:lvl w:ilvl="7">
      <w:start w:val="1"/>
      <w:numFmt w:val="lowerLetter"/>
      <w:isLgl w:val="false"/>
      <w:suff w:val="tab"/>
      <w:lvlText w:val="%8)"/>
      <w:lvlJc w:val="left"/>
      <w:pPr>
        <w:pStyle w:val="843"/>
        <w:ind w:left="3510" w:hanging="420"/>
        <w:tabs>
          <w:tab w:val="num" w:pos="3510" w:leader="none"/>
        </w:tabs>
      </w:pPr>
    </w:lvl>
    <w:lvl w:ilvl="8">
      <w:start w:val="1"/>
      <w:numFmt w:val="lowerRoman"/>
      <w:isLgl w:val="false"/>
      <w:suff w:val="tab"/>
      <w:lvlText w:val="%9."/>
      <w:lvlJc w:val="right"/>
      <w:pPr>
        <w:pStyle w:val="843"/>
        <w:ind w:left="3930" w:hanging="420"/>
        <w:tabs>
          <w:tab w:val="num" w:pos="3930" w:leader="none"/>
        </w:tabs>
      </w:pPr>
    </w:lvl>
  </w:abstractNum>
  <w:abstractNum w:abstractNumId="8">
    <w:multiLevelType w:val="hybridMultilevel"/>
    <w:lvl w:ilvl="0">
      <w:start w:val="1"/>
      <w:numFmt w:val="bullet"/>
      <w:pStyle w:val="864"/>
      <w:isLgl w:val="false"/>
      <w:suff w:val="tab"/>
      <w:lvlText w:val=""/>
      <w:lvlJc w:val="left"/>
      <w:pPr>
        <w:pStyle w:val="843"/>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843"/>
        <w:ind w:left="1710" w:hanging="720"/>
        <w:tabs>
          <w:tab w:val="num" w:pos="1710" w:leader="none"/>
        </w:tabs>
      </w:pPr>
      <w:rPr>
        <w:rFonts w:hint="eastAsia"/>
      </w:rPr>
    </w:lvl>
    <w:lvl w:ilvl="1">
      <w:start w:val="2"/>
      <w:numFmt w:val="decimal"/>
      <w:isLgl w:val="false"/>
      <w:suff w:val="tab"/>
      <w:lvlText w:val="%2."/>
      <w:lvlJc w:val="left"/>
      <w:pPr>
        <w:pStyle w:val="843"/>
        <w:ind w:left="1770" w:hanging="360"/>
        <w:tabs>
          <w:tab w:val="num" w:pos="1770" w:leader="none"/>
        </w:tabs>
      </w:pPr>
    </w:lvl>
    <w:lvl w:ilvl="2">
      <w:start w:val="1"/>
      <w:numFmt w:val="lowerRoman"/>
      <w:isLgl w:val="false"/>
      <w:suff w:val="tab"/>
      <w:lvlText w:val="%3."/>
      <w:lvlJc w:val="right"/>
      <w:pPr>
        <w:pStyle w:val="843"/>
        <w:ind w:left="2250" w:hanging="420"/>
        <w:tabs>
          <w:tab w:val="num" w:pos="2250" w:leader="none"/>
        </w:tabs>
      </w:pPr>
    </w:lvl>
    <w:lvl w:ilvl="3">
      <w:start w:val="1"/>
      <w:numFmt w:val="decimal"/>
      <w:isLgl w:val="false"/>
      <w:suff w:val="tab"/>
      <w:lvlText w:val="%4."/>
      <w:lvlJc w:val="left"/>
      <w:pPr>
        <w:pStyle w:val="843"/>
        <w:ind w:left="2670" w:hanging="420"/>
        <w:tabs>
          <w:tab w:val="num" w:pos="2670" w:leader="none"/>
        </w:tabs>
      </w:pPr>
    </w:lvl>
    <w:lvl w:ilvl="4">
      <w:start w:val="1"/>
      <w:numFmt w:val="lowerLetter"/>
      <w:isLgl w:val="false"/>
      <w:suff w:val="tab"/>
      <w:lvlText w:val="%5)"/>
      <w:lvlJc w:val="left"/>
      <w:pPr>
        <w:pStyle w:val="843"/>
        <w:ind w:left="3090" w:hanging="420"/>
        <w:tabs>
          <w:tab w:val="num" w:pos="3090" w:leader="none"/>
        </w:tabs>
      </w:pPr>
    </w:lvl>
    <w:lvl w:ilvl="5">
      <w:start w:val="1"/>
      <w:numFmt w:val="lowerRoman"/>
      <w:isLgl w:val="false"/>
      <w:suff w:val="tab"/>
      <w:lvlText w:val="%6."/>
      <w:lvlJc w:val="right"/>
      <w:pPr>
        <w:pStyle w:val="843"/>
        <w:ind w:left="3510" w:hanging="420"/>
        <w:tabs>
          <w:tab w:val="num" w:pos="3510" w:leader="none"/>
        </w:tabs>
      </w:pPr>
    </w:lvl>
    <w:lvl w:ilvl="6">
      <w:start w:val="1"/>
      <w:numFmt w:val="decimal"/>
      <w:isLgl w:val="false"/>
      <w:suff w:val="tab"/>
      <w:lvlText w:val="%7."/>
      <w:lvlJc w:val="left"/>
      <w:pPr>
        <w:pStyle w:val="843"/>
        <w:ind w:left="3930" w:hanging="420"/>
        <w:tabs>
          <w:tab w:val="num" w:pos="3930" w:leader="none"/>
        </w:tabs>
      </w:pPr>
    </w:lvl>
    <w:lvl w:ilvl="7">
      <w:start w:val="1"/>
      <w:numFmt w:val="lowerLetter"/>
      <w:isLgl w:val="false"/>
      <w:suff w:val="tab"/>
      <w:lvlText w:val="%8)"/>
      <w:lvlJc w:val="left"/>
      <w:pPr>
        <w:pStyle w:val="843"/>
        <w:ind w:left="4350" w:hanging="420"/>
        <w:tabs>
          <w:tab w:val="num" w:pos="4350" w:leader="none"/>
        </w:tabs>
      </w:pPr>
    </w:lvl>
    <w:lvl w:ilvl="8">
      <w:start w:val="1"/>
      <w:numFmt w:val="lowerRoman"/>
      <w:isLgl w:val="false"/>
      <w:suff w:val="tab"/>
      <w:lvlText w:val="%9."/>
      <w:lvlJc w:val="right"/>
      <w:pPr>
        <w:pStyle w:val="843"/>
        <w:ind w:left="4770" w:hanging="420"/>
        <w:tabs>
          <w:tab w:val="num" w:pos="4770" w:leader="none"/>
        </w:tabs>
      </w:pPr>
    </w:lvl>
  </w:abstractNum>
  <w:abstractNum w:abstractNumId="10">
    <w:multiLevelType w:val="hybridMultilevel"/>
    <w:lvl w:ilvl="0">
      <w:start w:val="1"/>
      <w:numFmt w:val="decimal"/>
      <w:isLgl w:val="false"/>
      <w:suff w:val="nothing"/>
      <w:lvlText w:val="%1、"/>
      <w:lvlJc w:val="left"/>
      <w:pPr>
        <w:pStyle w:val="8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843"/>
        <w:ind w:left="570" w:hanging="420"/>
        <w:tabs>
          <w:tab w:val="num"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0"/>
  </w:num>
  <w:num w:numId="3">
    <w:abstractNumId w:val="3"/>
  </w:num>
  <w:num w:numId="4">
    <w:abstractNumId w:val="2"/>
  </w:num>
  <w:num w:numId="5">
    <w:abstractNumId w:val="6"/>
  </w:num>
  <w:num w:numId="6">
    <w:abstractNumId w:val="1"/>
  </w:num>
  <w:num w:numId="7">
    <w:abstractNumId w:val="7"/>
  </w:num>
  <w:num w:numId="8">
    <w:abstractNumId w:val="4"/>
  </w:num>
  <w:num w:numId="9">
    <w:abstractNumId w:val="5"/>
  </w:num>
  <w:num w:numId="10">
    <w:abstractNumId w:val="11"/>
  </w:num>
  <w:num w:numId="11">
    <w:abstractNumId w:val="9"/>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43"/>
    <w:next w:val="84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43"/>
    <w:next w:val="84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43"/>
    <w:next w:val="84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43"/>
    <w:next w:val="84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43"/>
    <w:next w:val="84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43"/>
    <w:next w:val="84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43"/>
    <w:next w:val="84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43"/>
    <w:next w:val="84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43"/>
    <w:next w:val="84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4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43"/>
    <w:next w:val="84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43"/>
    <w:next w:val="84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43"/>
    <w:next w:val="843"/>
    <w:link w:val="38"/>
    <w:uiPriority w:val="29"/>
    <w:qFormat/>
    <w:pPr>
      <w:ind w:left="720" w:right="720"/>
    </w:pPr>
    <w:rPr>
      <w:i/>
    </w:rPr>
  </w:style>
  <w:style w:type="character" w:styleId="38">
    <w:name w:val="Quote Char"/>
    <w:link w:val="37"/>
    <w:uiPriority w:val="29"/>
    <w:rPr>
      <w:i/>
    </w:rPr>
  </w:style>
  <w:style w:type="paragraph" w:styleId="39">
    <w:name w:val="Intense Quote"/>
    <w:basedOn w:val="843"/>
    <w:next w:val="84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4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4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43"/>
    <w:next w:val="84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4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4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43"/>
    <w:next w:val="843"/>
    <w:uiPriority w:val="39"/>
    <w:unhideWhenUsed/>
    <w:pPr>
      <w:ind w:left="0" w:right="0" w:firstLine="0"/>
      <w:spacing w:after="57"/>
    </w:pPr>
  </w:style>
  <w:style w:type="paragraph" w:styleId="181">
    <w:name w:val="toc 2"/>
    <w:basedOn w:val="843"/>
    <w:next w:val="843"/>
    <w:uiPriority w:val="39"/>
    <w:unhideWhenUsed/>
    <w:pPr>
      <w:ind w:left="283" w:right="0" w:firstLine="0"/>
      <w:spacing w:after="57"/>
    </w:pPr>
  </w:style>
  <w:style w:type="paragraph" w:styleId="182">
    <w:name w:val="toc 3"/>
    <w:basedOn w:val="843"/>
    <w:next w:val="843"/>
    <w:uiPriority w:val="39"/>
    <w:unhideWhenUsed/>
    <w:pPr>
      <w:ind w:left="567" w:right="0" w:firstLine="0"/>
      <w:spacing w:after="57"/>
    </w:pPr>
  </w:style>
  <w:style w:type="paragraph" w:styleId="183">
    <w:name w:val="toc 4"/>
    <w:basedOn w:val="843"/>
    <w:next w:val="843"/>
    <w:uiPriority w:val="39"/>
    <w:unhideWhenUsed/>
    <w:pPr>
      <w:ind w:left="850" w:right="0" w:firstLine="0"/>
      <w:spacing w:after="57"/>
    </w:pPr>
  </w:style>
  <w:style w:type="paragraph" w:styleId="184">
    <w:name w:val="toc 5"/>
    <w:basedOn w:val="843"/>
    <w:next w:val="843"/>
    <w:uiPriority w:val="39"/>
    <w:unhideWhenUsed/>
    <w:pPr>
      <w:ind w:left="1134" w:right="0" w:firstLine="0"/>
      <w:spacing w:after="57"/>
    </w:pPr>
  </w:style>
  <w:style w:type="paragraph" w:styleId="185">
    <w:name w:val="toc 6"/>
    <w:basedOn w:val="843"/>
    <w:next w:val="843"/>
    <w:uiPriority w:val="39"/>
    <w:unhideWhenUsed/>
    <w:pPr>
      <w:ind w:left="1417" w:right="0" w:firstLine="0"/>
      <w:spacing w:after="57"/>
    </w:pPr>
  </w:style>
  <w:style w:type="paragraph" w:styleId="186">
    <w:name w:val="toc 7"/>
    <w:basedOn w:val="843"/>
    <w:next w:val="843"/>
    <w:uiPriority w:val="39"/>
    <w:unhideWhenUsed/>
    <w:pPr>
      <w:ind w:left="1701" w:right="0" w:firstLine="0"/>
      <w:spacing w:after="57"/>
    </w:pPr>
  </w:style>
  <w:style w:type="paragraph" w:styleId="187">
    <w:name w:val="toc 8"/>
    <w:basedOn w:val="843"/>
    <w:next w:val="843"/>
    <w:uiPriority w:val="39"/>
    <w:unhideWhenUsed/>
    <w:pPr>
      <w:ind w:left="1984" w:right="0" w:firstLine="0"/>
      <w:spacing w:after="57"/>
    </w:pPr>
  </w:style>
  <w:style w:type="paragraph" w:styleId="188">
    <w:name w:val="toc 9"/>
    <w:basedOn w:val="843"/>
    <w:next w:val="84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43"/>
    <w:next w:val="843"/>
    <w:uiPriority w:val="99"/>
    <w:unhideWhenUsed/>
    <w:pPr>
      <w:spacing w:after="0" w:afterAutospacing="0"/>
    </w:pPr>
  </w:style>
  <w:style w:type="paragraph" w:styleId="843" w:default="1">
    <w:name w:val="Normal"/>
    <w:next w:val="850"/>
    <w:link w:val="843"/>
    <w:qFormat/>
    <w:pPr>
      <w:jc w:val="both"/>
      <w:widowControl w:val="off"/>
    </w:pPr>
    <w:rPr>
      <w:sz w:val="21"/>
      <w:lang w:val="en-US" w:eastAsia="zh-CN" w:bidi="ar-SA"/>
    </w:rPr>
  </w:style>
  <w:style w:type="paragraph" w:styleId="844">
    <w:name w:val="标题 1"/>
    <w:basedOn w:val="843"/>
    <w:next w:val="843"/>
    <w:link w:val="851"/>
    <w:qFormat/>
    <w:pPr>
      <w:jc w:val="center"/>
      <w:keepLines/>
      <w:keepNext/>
      <w:spacing w:before="340" w:after="330" w:line="578" w:lineRule="auto"/>
      <w:outlineLvl w:val="0"/>
    </w:pPr>
    <w:rPr>
      <w:b/>
      <w:bCs/>
      <w:sz w:val="36"/>
      <w:szCs w:val="44"/>
    </w:rPr>
  </w:style>
  <w:style w:type="paragraph" w:styleId="845">
    <w:name w:val="标题 2"/>
    <w:basedOn w:val="843"/>
    <w:next w:val="843"/>
    <w:link w:val="852"/>
    <w:uiPriority w:val="9"/>
    <w:qFormat/>
    <w:pPr>
      <w:jc w:val="left"/>
      <w:keepLines/>
      <w:keepNext/>
      <w:spacing w:before="260" w:after="260" w:line="416" w:lineRule="auto"/>
      <w:outlineLvl w:val="1"/>
    </w:pPr>
    <w:rPr>
      <w:rFonts w:ascii="Calibri Light" w:hAnsi="Calibri Light" w:eastAsia="宋体" w:cs="Times New Roman"/>
      <w:b/>
      <w:bCs/>
      <w:sz w:val="30"/>
      <w:szCs w:val="32"/>
    </w:rPr>
  </w:style>
  <w:style w:type="paragraph" w:styleId="846">
    <w:name w:val="标题 3"/>
    <w:basedOn w:val="843"/>
    <w:next w:val="843"/>
    <w:link w:val="843"/>
    <w:qFormat/>
    <w:pPr>
      <w:jc w:val="center"/>
      <w:keepNext/>
      <w:outlineLvl w:val="2"/>
    </w:pPr>
    <w:rPr>
      <w:rFonts w:eastAsia="楷体_GB2312"/>
      <w:b/>
      <w:bCs/>
      <w:sz w:val="15"/>
    </w:rPr>
  </w:style>
  <w:style w:type="paragraph" w:styleId="847">
    <w:name w:val="标题 4"/>
    <w:basedOn w:val="843"/>
    <w:next w:val="843"/>
    <w:link w:val="853"/>
    <w:qFormat/>
    <w:pPr>
      <w:jc w:val="center"/>
      <w:keepNext/>
      <w:outlineLvl w:val="3"/>
    </w:pPr>
    <w:rPr>
      <w:rFonts w:eastAsia="楷体_GB2312"/>
      <w:b/>
      <w:bCs/>
      <w:sz w:val="13"/>
    </w:rPr>
  </w:style>
  <w:style w:type="character" w:styleId="848">
    <w:name w:val="默认段落字体"/>
    <w:next w:val="848"/>
    <w:link w:val="843"/>
    <w:uiPriority w:val="1"/>
    <w:unhideWhenUsed/>
    <w:qFormat/>
  </w:style>
  <w:style w:type="table" w:styleId="849">
    <w:name w:val="普通表格"/>
    <w:next w:val="849"/>
    <w:link w:val="843"/>
    <w:uiPriority w:val="99"/>
    <w:unhideWhenUsed/>
    <w:qFormat/>
    <w:tblPr/>
  </w:style>
  <w:style w:type="paragraph" w:styleId="850">
    <w:name w:val="_Style 1"/>
    <w:basedOn w:val="843"/>
    <w:next w:val="850"/>
    <w:link w:val="843"/>
    <w:qFormat/>
    <w:pPr>
      <w:ind w:firstLine="420"/>
      <w:spacing w:line="360" w:lineRule="auto"/>
    </w:pPr>
    <w:rPr>
      <w:rFonts w:ascii="Calibri" w:hAnsi="Calibri"/>
      <w:sz w:val="24"/>
      <w:szCs w:val="22"/>
    </w:rPr>
  </w:style>
  <w:style w:type="character" w:styleId="851">
    <w:name w:val="标题 1 Char"/>
    <w:basedOn w:val="848"/>
    <w:next w:val="851"/>
    <w:link w:val="844"/>
    <w:qFormat/>
    <w:rPr>
      <w:b/>
      <w:bCs/>
      <w:sz w:val="36"/>
      <w:szCs w:val="44"/>
    </w:rPr>
  </w:style>
  <w:style w:type="character" w:styleId="852">
    <w:name w:val="标题 2 Char"/>
    <w:basedOn w:val="848"/>
    <w:next w:val="852"/>
    <w:link w:val="845"/>
    <w:qFormat/>
    <w:rPr>
      <w:rFonts w:ascii="Calibri Light" w:hAnsi="Calibri Light" w:eastAsia="宋体" w:cs="Times New Roman"/>
      <w:b/>
      <w:bCs/>
      <w:sz w:val="30"/>
      <w:szCs w:val="32"/>
    </w:rPr>
  </w:style>
  <w:style w:type="character" w:styleId="853">
    <w:name w:val="标题 4 Char"/>
    <w:next w:val="853"/>
    <w:link w:val="847"/>
    <w:qFormat/>
    <w:rPr>
      <w:rFonts w:eastAsia="楷体_GB2312"/>
      <w:b/>
      <w:bCs/>
      <w:sz w:val="13"/>
    </w:rPr>
  </w:style>
  <w:style w:type="paragraph" w:styleId="854">
    <w:name w:val="文档结构图"/>
    <w:basedOn w:val="843"/>
    <w:next w:val="854"/>
    <w:link w:val="855"/>
    <w:unhideWhenUsed/>
    <w:qFormat/>
    <w:rPr>
      <w:rFonts w:ascii="宋体"/>
      <w:sz w:val="18"/>
      <w:szCs w:val="18"/>
    </w:rPr>
  </w:style>
  <w:style w:type="character" w:styleId="855">
    <w:name w:val="文档结构图 Char"/>
    <w:basedOn w:val="848"/>
    <w:next w:val="855"/>
    <w:link w:val="854"/>
    <w:semiHidden/>
    <w:qFormat/>
    <w:rPr>
      <w:rFonts w:ascii="宋体"/>
      <w:sz w:val="18"/>
      <w:szCs w:val="18"/>
    </w:rPr>
  </w:style>
  <w:style w:type="paragraph" w:styleId="856">
    <w:name w:val="批注文字"/>
    <w:basedOn w:val="843"/>
    <w:next w:val="856"/>
    <w:link w:val="857"/>
    <w:qFormat/>
    <w:pPr>
      <w:jc w:val="left"/>
    </w:pPr>
  </w:style>
  <w:style w:type="character" w:styleId="857">
    <w:name w:val="批注文字 Char"/>
    <w:basedOn w:val="848"/>
    <w:next w:val="857"/>
    <w:link w:val="856"/>
    <w:qFormat/>
    <w:rPr>
      <w:sz w:val="21"/>
    </w:rPr>
  </w:style>
  <w:style w:type="paragraph" w:styleId="858">
    <w:name w:val="正文文本"/>
    <w:basedOn w:val="843"/>
    <w:next w:val="858"/>
    <w:link w:val="843"/>
    <w:qFormat/>
    <w:rPr>
      <w:rFonts w:ascii="华文中宋" w:eastAsia="华文中宋"/>
      <w:bCs/>
      <w:sz w:val="28"/>
    </w:rPr>
  </w:style>
  <w:style w:type="paragraph" w:styleId="859">
    <w:name w:val="正文文本缩进"/>
    <w:basedOn w:val="843"/>
    <w:next w:val="860"/>
    <w:link w:val="843"/>
    <w:qFormat/>
    <w:pPr>
      <w:ind w:firstLine="576"/>
    </w:pPr>
    <w:rPr>
      <w:b/>
      <w:sz w:val="30"/>
    </w:rPr>
  </w:style>
  <w:style w:type="paragraph" w:styleId="860">
    <w:name w:val="寄信人地址"/>
    <w:basedOn w:val="843"/>
    <w:next w:val="860"/>
    <w:link w:val="843"/>
    <w:qFormat/>
    <w:pPr>
      <w:jc w:val="left"/>
      <w:tabs>
        <w:tab w:val="left" w:pos="1630" w:leader="none"/>
      </w:tabs>
    </w:pPr>
    <w:rPr>
      <w:rFonts w:ascii="Arial" w:hAnsi="Arial" w:eastAsia="DFKai-SB" w:cs="Arial"/>
      <w:sz w:val="28"/>
      <w:lang w:eastAsia="zh-TW"/>
    </w:rPr>
  </w:style>
  <w:style w:type="paragraph" w:styleId="861">
    <w:name w:val="文本块"/>
    <w:basedOn w:val="843"/>
    <w:next w:val="861"/>
    <w:link w:val="843"/>
    <w:qFormat/>
    <w:pPr>
      <w:ind w:left="420" w:right="33"/>
      <w:jc w:val="left"/>
    </w:pPr>
    <w:rPr>
      <w:sz w:val="24"/>
    </w:rPr>
  </w:style>
  <w:style w:type="paragraph" w:styleId="862">
    <w:name w:val="索引 4"/>
    <w:basedOn w:val="843"/>
    <w:next w:val="843"/>
    <w:link w:val="843"/>
    <w:qFormat/>
    <w:pPr>
      <w:ind w:left="600"/>
    </w:pPr>
  </w:style>
  <w:style w:type="paragraph" w:styleId="863">
    <w:name w:val="纯文本"/>
    <w:basedOn w:val="843"/>
    <w:next w:val="863"/>
    <w:link w:val="843"/>
    <w:qFormat/>
    <w:rPr>
      <w:rFonts w:ascii="宋体" w:hAnsi="Courier New" w:eastAsia="楷体_GB2312"/>
      <w:sz w:val="26"/>
    </w:rPr>
  </w:style>
  <w:style w:type="paragraph" w:styleId="864">
    <w:name w:val="列表项目符号 5"/>
    <w:basedOn w:val="843"/>
    <w:next w:val="864"/>
    <w:link w:val="843"/>
    <w:unhideWhenUsed/>
    <w:qFormat/>
    <w:pPr>
      <w:numPr>
        <w:ilvl w:val="0"/>
        <w:numId w:val="1"/>
      </w:numPr>
      <w:tabs>
        <w:tab w:val="left" w:pos="2040" w:leader="none"/>
      </w:tabs>
    </w:pPr>
  </w:style>
  <w:style w:type="paragraph" w:styleId="865">
    <w:name w:val="目录 8"/>
    <w:basedOn w:val="843"/>
    <w:next w:val="843"/>
    <w:link w:val="843"/>
    <w:qFormat/>
    <w:pPr>
      <w:ind w:left="2940"/>
    </w:pPr>
    <w:rPr>
      <w:rFonts w:eastAsia="楷体_GB2312"/>
      <w:sz w:val="26"/>
    </w:rPr>
  </w:style>
  <w:style w:type="paragraph" w:styleId="866">
    <w:name w:val="批注框文本"/>
    <w:basedOn w:val="843"/>
    <w:next w:val="866"/>
    <w:link w:val="867"/>
    <w:qFormat/>
    <w:rPr>
      <w:sz w:val="18"/>
      <w:szCs w:val="18"/>
    </w:rPr>
  </w:style>
  <w:style w:type="character" w:styleId="867">
    <w:name w:val="批注框文本 Char"/>
    <w:basedOn w:val="848"/>
    <w:next w:val="867"/>
    <w:link w:val="866"/>
    <w:qFormat/>
    <w:rPr>
      <w:sz w:val="18"/>
      <w:szCs w:val="18"/>
    </w:rPr>
  </w:style>
  <w:style w:type="paragraph" w:styleId="868">
    <w:name w:val="页脚"/>
    <w:basedOn w:val="843"/>
    <w:next w:val="868"/>
    <w:link w:val="869"/>
    <w:uiPriority w:val="99"/>
    <w:qFormat/>
    <w:pPr>
      <w:jc w:val="left"/>
      <w:tabs>
        <w:tab w:val="center" w:pos="4153" w:leader="none"/>
        <w:tab w:val="right" w:pos="8306" w:leader="none"/>
      </w:tabs>
    </w:pPr>
    <w:rPr>
      <w:sz w:val="18"/>
    </w:rPr>
  </w:style>
  <w:style w:type="character" w:styleId="869">
    <w:name w:val="页脚 Char"/>
    <w:next w:val="869"/>
    <w:link w:val="868"/>
    <w:uiPriority w:val="99"/>
    <w:qFormat/>
    <w:rPr>
      <w:sz w:val="18"/>
    </w:rPr>
  </w:style>
  <w:style w:type="paragraph" w:styleId="870">
    <w:name w:val="页眉"/>
    <w:basedOn w:val="843"/>
    <w:next w:val="870"/>
    <w:link w:val="843"/>
    <w:qFormat/>
    <w:pPr>
      <w:jc w:val="center"/>
      <w:tabs>
        <w:tab w:val="center" w:pos="4153" w:leader="none"/>
        <w:tab w:val="right" w:pos="8306" w:leader="none"/>
      </w:tabs>
      <w:pBdr>
        <w:bottom w:val="single" w:color="000000" w:sz="6" w:space="1"/>
      </w:pBdr>
    </w:pPr>
    <w:rPr>
      <w:sz w:val="18"/>
    </w:rPr>
  </w:style>
  <w:style w:type="paragraph" w:styleId="871">
    <w:name w:val="目录 1"/>
    <w:basedOn w:val="843"/>
    <w:next w:val="843"/>
    <w:link w:val="843"/>
    <w:uiPriority w:val="39"/>
    <w:qFormat/>
  </w:style>
  <w:style w:type="paragraph" w:styleId="872">
    <w:name w:val="目录 2"/>
    <w:basedOn w:val="843"/>
    <w:next w:val="843"/>
    <w:link w:val="843"/>
    <w:uiPriority w:val="39"/>
    <w:qFormat/>
    <w:pPr>
      <w:ind w:left="420"/>
    </w:pPr>
  </w:style>
  <w:style w:type="paragraph" w:styleId="873">
    <w:name w:val="正文文本 2"/>
    <w:basedOn w:val="843"/>
    <w:next w:val="873"/>
    <w:link w:val="843"/>
    <w:qFormat/>
    <w:pPr>
      <w:spacing w:after="120" w:line="480" w:lineRule="auto"/>
    </w:pPr>
  </w:style>
  <w:style w:type="paragraph" w:styleId="874">
    <w:name w:val="HTML 预设格式"/>
    <w:basedOn w:val="843"/>
    <w:next w:val="874"/>
    <w:link w:val="84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875">
    <w:name w:val="普通(网站)"/>
    <w:basedOn w:val="843"/>
    <w:next w:val="875"/>
    <w:link w:val="843"/>
    <w:qFormat/>
    <w:pPr>
      <w:jc w:val="left"/>
      <w:spacing w:before="100" w:beforeAutospacing="1" w:after="100" w:afterAutospacing="1"/>
      <w:widowControl/>
    </w:pPr>
    <w:rPr>
      <w:rFonts w:ascii="宋体" w:hAnsi="宋体" w:cs="宋体"/>
      <w:sz w:val="24"/>
    </w:rPr>
  </w:style>
  <w:style w:type="paragraph" w:styleId="876">
    <w:name w:val="标题"/>
    <w:basedOn w:val="843"/>
    <w:next w:val="843"/>
    <w:link w:val="843"/>
    <w:qFormat/>
    <w:pPr>
      <w:jc w:val="center"/>
      <w:spacing w:before="240" w:after="60"/>
      <w:outlineLvl w:val="0"/>
    </w:pPr>
    <w:rPr>
      <w:rFonts w:ascii="Cambria" w:hAnsi="Cambria" w:cs="Mongolian Baiti"/>
      <w:b/>
      <w:bCs/>
      <w:sz w:val="32"/>
      <w:szCs w:val="32"/>
    </w:rPr>
  </w:style>
  <w:style w:type="paragraph" w:styleId="877">
    <w:name w:val="批注主题"/>
    <w:basedOn w:val="856"/>
    <w:next w:val="856"/>
    <w:link w:val="878"/>
    <w:qFormat/>
    <w:rPr>
      <w:b/>
      <w:bCs/>
    </w:rPr>
  </w:style>
  <w:style w:type="character" w:styleId="878">
    <w:name w:val="批注主题 Char"/>
    <w:basedOn w:val="857"/>
    <w:next w:val="878"/>
    <w:link w:val="877"/>
    <w:qFormat/>
    <w:rPr>
      <w:b/>
      <w:bCs/>
      <w:sz w:val="21"/>
    </w:rPr>
  </w:style>
  <w:style w:type="paragraph" w:styleId="879">
    <w:name w:val="正文首行缩进"/>
    <w:basedOn w:val="858"/>
    <w:next w:val="879"/>
    <w:link w:val="843"/>
    <w:qFormat/>
    <w:pPr>
      <w:jc w:val="left"/>
    </w:pPr>
  </w:style>
  <w:style w:type="paragraph" w:styleId="880">
    <w:name w:val="正文首行缩进 2"/>
    <w:basedOn w:val="859"/>
    <w:next w:val="880"/>
    <w:link w:val="843"/>
    <w:uiPriority w:val="99"/>
    <w:unhideWhenUsed/>
    <w:qFormat/>
    <w:pPr>
      <w:ind w:firstLine="420"/>
    </w:pPr>
  </w:style>
  <w:style w:type="table" w:styleId="881">
    <w:name w:val="网格型"/>
    <w:basedOn w:val="849"/>
    <w:next w:val="881"/>
    <w:link w:val="843"/>
    <w:uiPriority w:val="39"/>
    <w:unhideWhenUsed/>
    <w:qFormat/>
    <w:pPr>
      <w:jc w:val="both"/>
      <w:widowControl w:val="off"/>
    </w:pPr>
    <w:tblPr/>
  </w:style>
  <w:style w:type="character" w:styleId="882">
    <w:name w:val="要点"/>
    <w:next w:val="882"/>
    <w:link w:val="843"/>
    <w:uiPriority w:val="22"/>
    <w:qFormat/>
    <w:rPr>
      <w:b/>
      <w:bCs/>
    </w:rPr>
  </w:style>
  <w:style w:type="character" w:styleId="883">
    <w:name w:val="页码"/>
    <w:next w:val="883"/>
    <w:link w:val="843"/>
    <w:qFormat/>
  </w:style>
  <w:style w:type="character" w:styleId="884">
    <w:name w:val="已访问的超链接"/>
    <w:basedOn w:val="848"/>
    <w:next w:val="884"/>
    <w:link w:val="843"/>
    <w:qFormat/>
    <w:rPr>
      <w:color w:val="000000"/>
      <w:u w:val="none"/>
    </w:rPr>
  </w:style>
  <w:style w:type="character" w:styleId="885">
    <w:name w:val="超链接"/>
    <w:basedOn w:val="848"/>
    <w:next w:val="885"/>
    <w:link w:val="843"/>
    <w:uiPriority w:val="99"/>
    <w:unhideWhenUsed/>
    <w:qFormat/>
    <w:rPr>
      <w:color w:val="0563c1"/>
      <w:u w:val="single"/>
    </w:rPr>
  </w:style>
  <w:style w:type="character" w:styleId="886">
    <w:name w:val="批注引用"/>
    <w:basedOn w:val="848"/>
    <w:next w:val="886"/>
    <w:link w:val="843"/>
    <w:uiPriority w:val="99"/>
    <w:qFormat/>
    <w:rPr>
      <w:sz w:val="21"/>
      <w:szCs w:val="21"/>
    </w:rPr>
  </w:style>
  <w:style w:type="paragraph" w:styleId="887">
    <w:name w:val="正文（缩进）"/>
    <w:next w:val="887"/>
    <w:link w:val="843"/>
    <w:qFormat/>
    <w:pPr>
      <w:ind w:firstLine="200"/>
      <w:jc w:val="both"/>
      <w:spacing w:line="360" w:lineRule="auto"/>
      <w:widowControl w:val="off"/>
    </w:pPr>
    <w:rPr>
      <w:rFonts w:ascii="宋体" w:hAnsi="宋体"/>
      <w:sz w:val="21"/>
      <w:szCs w:val="22"/>
      <w:lang w:val="en-US" w:eastAsia="zh-CN" w:bidi="ar-SA"/>
    </w:rPr>
  </w:style>
  <w:style w:type="paragraph" w:styleId="888">
    <w:name w:val="目录 21"/>
    <w:basedOn w:val="843"/>
    <w:next w:val="843"/>
    <w:link w:val="843"/>
    <w:semiHidden/>
    <w:qFormat/>
    <w:pPr>
      <w:ind w:left="210"/>
      <w:jc w:val="left"/>
    </w:pPr>
    <w:rPr>
      <w:smallCaps/>
      <w:szCs w:val="24"/>
    </w:rPr>
  </w:style>
  <w:style w:type="paragraph" w:styleId="889">
    <w:name w:val="索引 41"/>
    <w:basedOn w:val="843"/>
    <w:next w:val="843"/>
    <w:link w:val="843"/>
    <w:qFormat/>
    <w:pPr>
      <w:ind w:left="1260"/>
    </w:pPr>
    <w:rPr>
      <w:rFonts w:eastAsia="楷体_GB2312"/>
      <w:sz w:val="26"/>
    </w:rPr>
  </w:style>
  <w:style w:type="paragraph" w:styleId="890">
    <w:name w:val="列出段落"/>
    <w:basedOn w:val="843"/>
    <w:next w:val="890"/>
    <w:link w:val="843"/>
    <w:uiPriority w:val="34"/>
    <w:qFormat/>
    <w:pPr>
      <w:ind w:firstLine="420"/>
    </w:pPr>
    <w:rPr>
      <w:rFonts w:ascii="Calibri" w:hAnsi="Calibri"/>
      <w:szCs w:val="22"/>
    </w:rPr>
  </w:style>
  <w:style w:type="paragraph" w:styleId="891">
    <w:name w:val="无间隔1"/>
    <w:next w:val="891"/>
    <w:link w:val="843"/>
    <w:uiPriority w:val="99"/>
    <w:qFormat/>
    <w:pPr>
      <w:jc w:val="both"/>
      <w:widowControl w:val="off"/>
    </w:pPr>
    <w:rPr>
      <w:rFonts w:ascii="Calibri" w:hAnsi="Calibri" w:cs="Calibri"/>
      <w:sz w:val="21"/>
      <w:szCs w:val="21"/>
      <w:lang w:val="en-US" w:eastAsia="zh-CN" w:bidi="ar-SA"/>
    </w:rPr>
  </w:style>
  <w:style w:type="paragraph" w:styleId="892">
    <w:name w:val="列出段落1"/>
    <w:basedOn w:val="843"/>
    <w:next w:val="892"/>
    <w:link w:val="843"/>
    <w:uiPriority w:val="34"/>
    <w:qFormat/>
    <w:pPr>
      <w:ind w:firstLine="420"/>
    </w:pPr>
  </w:style>
  <w:style w:type="paragraph" w:styleId="893">
    <w:name w:val="_Style 37"/>
    <w:basedOn w:val="843"/>
    <w:next w:val="890"/>
    <w:link w:val="843"/>
    <w:uiPriority w:val="99"/>
    <w:qFormat/>
    <w:pPr>
      <w:ind w:firstLine="420"/>
    </w:pPr>
    <w:rPr>
      <w:szCs w:val="24"/>
    </w:rPr>
  </w:style>
  <w:style w:type="paragraph" w:styleId="894">
    <w:name w:val="正文1"/>
    <w:basedOn w:val="843"/>
    <w:next w:val="843"/>
    <w:link w:val="843"/>
    <w:qFormat/>
    <w:rPr>
      <w:rFonts w:ascii="宋体" w:hAnsi="宋体" w:cs="宋体"/>
      <w:sz w:val="24"/>
      <w:lang w:eastAsia="en-US"/>
    </w:rPr>
  </w:style>
  <w:style w:type="character" w:styleId="895">
    <w:name w:val="NormalCharacter1"/>
    <w:next w:val="895"/>
    <w:link w:val="843"/>
    <w:uiPriority w:val="99"/>
    <w:qFormat/>
  </w:style>
  <w:style w:type="paragraph" w:styleId="896">
    <w:name w:val="UserStyle_4"/>
    <w:basedOn w:val="843"/>
    <w:next w:val="896"/>
    <w:link w:val="897"/>
    <w:qFormat/>
    <w:rPr>
      <w:sz w:val="20"/>
    </w:rPr>
  </w:style>
  <w:style w:type="character" w:styleId="897">
    <w:name w:val="NormalCharacter1"/>
    <w:next w:val="897"/>
    <w:link w:val="896"/>
    <w:qFormat/>
    <w:rPr>
      <w:sz w:val="20"/>
    </w:rPr>
  </w:style>
  <w:style w:type="paragraph" w:styleId="898">
    <w:name w:val="UserStyle_11"/>
    <w:basedOn w:val="843"/>
    <w:next w:val="898"/>
    <w:link w:val="843"/>
    <w:uiPriority w:val="99"/>
    <w:qFormat/>
    <w:pPr>
      <w:ind w:firstLine="420"/>
    </w:pPr>
  </w:style>
  <w:style w:type="paragraph" w:styleId="899">
    <w:name w:val="UserStyle_10"/>
    <w:basedOn w:val="843"/>
    <w:next w:val="899"/>
    <w:link w:val="843"/>
    <w:uiPriority w:val="99"/>
    <w:qFormat/>
    <w:pPr>
      <w:ind w:firstLine="420"/>
    </w:pPr>
    <w:rPr>
      <w:rFonts w:ascii="Calibri" w:hAnsi="Calibri"/>
      <w:sz w:val="22"/>
      <w:szCs w:val="22"/>
    </w:rPr>
  </w:style>
  <w:style w:type="paragraph" w:styleId="900">
    <w:name w:val="Default"/>
    <w:next w:val="900"/>
    <w:link w:val="843"/>
    <w:qFormat/>
    <w:pPr>
      <w:widowControl w:val="off"/>
    </w:pPr>
    <w:rPr>
      <w:rFonts w:ascii="Wingdings" w:hAnsi="Wingdings" w:cs="Wingdings"/>
      <w:color w:val="000000"/>
      <w:sz w:val="24"/>
      <w:szCs w:val="24"/>
      <w:lang w:val="en-US" w:eastAsia="zh-CN" w:bidi="ar-SA"/>
    </w:rPr>
  </w:style>
  <w:style w:type="paragraph" w:styleId="901">
    <w:name w:val="正文文本 (3)"/>
    <w:basedOn w:val="843"/>
    <w:next w:val="901"/>
    <w:link w:val="843"/>
    <w:qFormat/>
    <w:pPr>
      <w:jc w:val="both"/>
      <w:spacing w:before="7380" w:line="619" w:lineRule="exact"/>
      <w:shd w:val="clear" w:color="auto" w:fill="ffffff"/>
    </w:pPr>
    <w:rPr>
      <w:rFonts w:ascii="MingLiU" w:hAnsi="MingLiU" w:eastAsia="MingLiU" w:cs="MingLiU"/>
      <w:sz w:val="30"/>
      <w:szCs w:val="30"/>
    </w:rPr>
  </w:style>
  <w:style w:type="paragraph" w:styleId="902">
    <w:name w:val="修订1"/>
    <w:next w:val="902"/>
    <w:link w:val="843"/>
    <w:uiPriority w:val="99"/>
    <w:semiHidden/>
    <w:qFormat/>
    <w:rPr>
      <w:sz w:val="21"/>
      <w:lang w:val="en-US" w:eastAsia="zh-CN" w:bidi="ar-SA"/>
    </w:rPr>
  </w:style>
  <w:style w:type="paragraph" w:styleId="903">
    <w:name w:val="正文2"/>
    <w:next w:val="903"/>
    <w:link w:val="843"/>
    <w:qFormat/>
    <w:pPr>
      <w:jc w:val="both"/>
      <w:spacing w:line="312" w:lineRule="atLeast"/>
      <w:widowControl w:val="off"/>
    </w:pPr>
    <w:rPr>
      <w:rFonts w:ascii="宋体"/>
      <w:sz w:val="34"/>
      <w:lang w:val="en-US" w:eastAsia="zh-CN" w:bidi="ar-SA"/>
    </w:rPr>
  </w:style>
  <w:style w:type="paragraph" w:styleId="904">
    <w:name w:val="修订2"/>
    <w:next w:val="904"/>
    <w:link w:val="843"/>
    <w:uiPriority w:val="99"/>
    <w:unhideWhenUsed/>
    <w:qFormat/>
    <w:rPr>
      <w:sz w:val="21"/>
      <w:lang w:val="en-US" w:eastAsia="zh-CN" w:bidi="ar-SA"/>
    </w:rPr>
  </w:style>
  <w:style w:type="paragraph" w:styleId="905">
    <w:name w:val="标题 11"/>
    <w:basedOn w:val="843"/>
    <w:next w:val="843"/>
    <w:link w:val="843"/>
    <w:qFormat/>
    <w:pPr>
      <w:jc w:val="center"/>
      <w:keepNext/>
      <w:outlineLvl w:val="0"/>
    </w:pPr>
    <w:rPr>
      <w:rFonts w:ascii="楷体_GB2312" w:eastAsia="楷体_GB2312"/>
      <w:b/>
      <w:sz w:val="28"/>
    </w:rPr>
  </w:style>
  <w:style w:type="paragraph" w:styleId="906">
    <w:name w:val="列出段落2"/>
    <w:basedOn w:val="843"/>
    <w:next w:val="906"/>
    <w:link w:val="843"/>
    <w:uiPriority w:val="34"/>
    <w:qFormat/>
    <w:pPr>
      <w:ind w:firstLine="420"/>
    </w:pPr>
  </w:style>
  <w:style w:type="paragraph" w:styleId="907">
    <w:name w:val="普通文字"/>
    <w:basedOn w:val="843"/>
    <w:next w:val="843"/>
    <w:link w:val="843"/>
    <w:qFormat/>
    <w:rPr>
      <w:rFonts w:ascii="宋体"/>
      <w:sz w:val="24"/>
    </w:rPr>
  </w:style>
  <w:style w:type="paragraph" w:styleId="908">
    <w:name w:val="正文文本11"/>
    <w:basedOn w:val="843"/>
    <w:next w:val="843"/>
    <w:link w:val="843"/>
    <w:uiPriority w:val="99"/>
    <w:qFormat/>
    <w:rPr>
      <w:rFonts w:ascii="仿宋_GB2312" w:eastAsia="仿宋_GB2312"/>
      <w:sz w:val="28"/>
      <w:szCs w:val="20"/>
    </w:rPr>
  </w:style>
  <w:style w:type="paragraph" w:styleId="909">
    <w:name w:val="页脚1"/>
    <w:basedOn w:val="843"/>
    <w:next w:val="910"/>
    <w:link w:val="843"/>
    <w:uiPriority w:val="99"/>
    <w:qFormat/>
    <w:pPr>
      <w:jc w:val="left"/>
      <w:tabs>
        <w:tab w:val="center" w:pos="4153" w:leader="none"/>
        <w:tab w:val="right" w:pos="8306" w:leader="none"/>
      </w:tabs>
    </w:pPr>
    <w:rPr>
      <w:sz w:val="18"/>
      <w:szCs w:val="18"/>
    </w:rPr>
  </w:style>
  <w:style w:type="paragraph" w:styleId="910">
    <w:name w:val="TOC Heading1"/>
    <w:next w:val="843"/>
    <w:link w:val="843"/>
    <w:qFormat/>
    <w:rPr>
      <w:sz w:val="32"/>
      <w:lang w:val="en-US" w:eastAsia="zh-CN" w:bidi="ar-SA"/>
    </w:rPr>
  </w:style>
  <w:style w:type="character" w:styleId="911">
    <w:name w:val="页码1"/>
    <w:basedOn w:val="912"/>
    <w:next w:val="911"/>
    <w:link w:val="843"/>
    <w:qFormat/>
    <w:rPr>
      <w:sz w:val="21"/>
      <w:lang w:val="en-US" w:eastAsia="zh-CN" w:bidi="ar-SA"/>
    </w:rPr>
  </w:style>
  <w:style w:type="character" w:styleId="912">
    <w:name w:val="默认段落字体1"/>
    <w:next w:val="912"/>
    <w:link w:val="843"/>
    <w:uiPriority w:val="1"/>
    <w:unhideWhenUsed/>
    <w:qFormat/>
  </w:style>
  <w:style w:type="paragraph" w:styleId="913">
    <w:name w:val="_Style 13"/>
    <w:next w:val="913"/>
    <w:link w:val="843"/>
    <w:qFormat/>
    <w:pPr>
      <w:spacing w:before="120" w:after="120" w:line="288" w:lineRule="auto"/>
    </w:pPr>
    <w:rPr>
      <w:rFonts w:ascii="Arial" w:hAnsi="Arial" w:eastAsia="等线" w:cs="Arial"/>
      <w:sz w:val="22"/>
      <w:szCs w:val="22"/>
      <w:lang w:val="en-US" w:eastAsia="zh-CN" w:bidi="ar-SA"/>
    </w:rPr>
  </w:style>
  <w:style w:type="paragraph" w:styleId="914">
    <w:name w:val="纯文本1"/>
    <w:basedOn w:val="843"/>
    <w:next w:val="914"/>
    <w:link w:val="843"/>
    <w:qFormat/>
    <w:rPr>
      <w:rFonts w:ascii="宋体" w:hAnsi="Courier New" w:eastAsia="仿宋"/>
      <w:szCs w:val="21"/>
    </w:rPr>
  </w:style>
  <w:style w:type="character" w:styleId="915">
    <w:name w:val="font01"/>
    <w:basedOn w:val="848"/>
    <w:next w:val="915"/>
    <w:link w:val="843"/>
    <w:qFormat/>
    <w:rPr>
      <w:rFonts w:hint="eastAsia" w:ascii="宋体" w:hAnsi="宋体" w:eastAsia="宋体" w:cs="宋体"/>
      <w:color w:val="000000"/>
      <w:sz w:val="18"/>
      <w:szCs w:val="18"/>
      <w:u w:val="none"/>
    </w:rPr>
  </w:style>
  <w:style w:type="character" w:styleId="21285" w:default="1">
    <w:name w:val="Default Paragraph Font"/>
    <w:uiPriority w:val="1"/>
    <w:semiHidden/>
    <w:unhideWhenUsed/>
  </w:style>
  <w:style w:type="numbering" w:styleId="21286" w:default="1">
    <w:name w:val="No List"/>
    <w:uiPriority w:val="99"/>
    <w:semiHidden/>
    <w:unhideWhenUsed/>
  </w:style>
  <w:style w:type="table" w:styleId="212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861</dc:creator>
  <cp:lastModifiedBy>杨亚丁</cp:lastModifiedBy>
  <cp:revision>10</cp:revision>
  <dcterms:created xsi:type="dcterms:W3CDTF">2025-04-26T23:42:00Z</dcterms:created>
  <dcterms:modified xsi:type="dcterms:W3CDTF">2025-11-05T01:13:18Z</dcterms:modified>
</cp:coreProperties>
</file>