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AD84">
      <w:pPr>
        <w:jc w:val="center"/>
        <w:rPr>
          <w:rFonts w:hint="eastAsia"/>
          <w:b/>
          <w:bCs/>
          <w:sz w:val="36"/>
          <w:szCs w:val="36"/>
          <w:lang w:val="en-US" w:eastAsia="zh-CN"/>
        </w:rPr>
      </w:pPr>
      <w:r>
        <w:rPr>
          <w:rFonts w:hint="eastAsia"/>
          <w:b/>
          <w:bCs/>
          <w:sz w:val="36"/>
          <w:szCs w:val="36"/>
          <w:lang w:val="en-US" w:eastAsia="zh-CN"/>
        </w:rPr>
        <w:t>安防等公共安全项目相关标准</w:t>
      </w:r>
    </w:p>
    <w:tbl>
      <w:tblPr>
        <w:tblStyle w:val="4"/>
        <w:tblW w:w="14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0"/>
        <w:gridCol w:w="3579"/>
        <w:gridCol w:w="1885"/>
        <w:gridCol w:w="1266"/>
        <w:gridCol w:w="4255"/>
        <w:gridCol w:w="2960"/>
      </w:tblGrid>
      <w:tr w14:paraId="14DF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0" w:type="dxa"/>
            <w:shd w:val="clear" w:color="auto" w:fill="auto"/>
            <w:vAlign w:val="center"/>
          </w:tcPr>
          <w:p w14:paraId="35C98994">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3579" w:type="dxa"/>
            <w:shd w:val="clear" w:color="auto" w:fill="auto"/>
            <w:vAlign w:val="center"/>
          </w:tcPr>
          <w:p w14:paraId="6C3BA897">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标准名称</w:t>
            </w:r>
          </w:p>
        </w:tc>
        <w:tc>
          <w:tcPr>
            <w:tcW w:w="1885" w:type="dxa"/>
            <w:shd w:val="clear" w:color="auto" w:fill="auto"/>
            <w:vAlign w:val="center"/>
          </w:tcPr>
          <w:p w14:paraId="548D15BD">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标准编号</w:t>
            </w:r>
          </w:p>
        </w:tc>
        <w:tc>
          <w:tcPr>
            <w:tcW w:w="1266" w:type="dxa"/>
            <w:shd w:val="clear" w:color="auto" w:fill="auto"/>
            <w:vAlign w:val="center"/>
          </w:tcPr>
          <w:p w14:paraId="2E96F082">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标准状态</w:t>
            </w:r>
          </w:p>
        </w:tc>
        <w:tc>
          <w:tcPr>
            <w:tcW w:w="4255" w:type="dxa"/>
            <w:shd w:val="clear" w:color="auto" w:fill="auto"/>
            <w:vAlign w:val="center"/>
          </w:tcPr>
          <w:p w14:paraId="30C8D777">
            <w:pPr>
              <w:spacing w:line="240" w:lineRule="auto"/>
              <w:jc w:val="center"/>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对应产品或适用情况</w:t>
            </w:r>
          </w:p>
        </w:tc>
        <w:tc>
          <w:tcPr>
            <w:tcW w:w="2960" w:type="dxa"/>
            <w:shd w:val="clear" w:color="auto" w:fill="auto"/>
            <w:vAlign w:val="center"/>
          </w:tcPr>
          <w:p w14:paraId="2A9F0EC9">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相关标准</w:t>
            </w:r>
          </w:p>
        </w:tc>
      </w:tr>
      <w:tr w14:paraId="412C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4DE70A7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3579" w:type="dxa"/>
            <w:shd w:val="clear" w:color="auto" w:fill="auto"/>
            <w:vAlign w:val="center"/>
          </w:tcPr>
          <w:p w14:paraId="605C58E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 入侵和紧急报警系统 入侵探测器</w:t>
            </w:r>
          </w:p>
        </w:tc>
        <w:tc>
          <w:tcPr>
            <w:tcW w:w="1885" w:type="dxa"/>
            <w:shd w:val="clear" w:color="auto" w:fill="auto"/>
            <w:vAlign w:val="center"/>
          </w:tcPr>
          <w:p w14:paraId="0F133C2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 10408-2025</w:t>
            </w:r>
          </w:p>
        </w:tc>
        <w:tc>
          <w:tcPr>
            <w:tcW w:w="1266" w:type="dxa"/>
            <w:shd w:val="clear" w:color="auto" w:fill="auto"/>
            <w:vAlign w:val="center"/>
          </w:tcPr>
          <w:p w14:paraId="528AEE7B">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2026-03-01 即将实施</w:t>
            </w:r>
          </w:p>
        </w:tc>
        <w:tc>
          <w:tcPr>
            <w:tcW w:w="4255" w:type="dxa"/>
            <w:shd w:val="clear" w:color="auto" w:fill="auto"/>
            <w:vAlign w:val="center"/>
          </w:tcPr>
          <w:p w14:paraId="3177152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本文件规定了用于入侵和紧急报警系统中的入侵探测器的产品分类、分级与标识、技术要求、产品说明书、标志、包装、运输和贮存要求，确立了检验规则，描述了试验方法。 </w:t>
            </w:r>
          </w:p>
          <w:p w14:paraId="4ACB7B94">
            <w:pPr>
              <w:spacing w:line="240" w:lineRule="auto"/>
              <w:jc w:val="center"/>
              <w:rPr>
                <w:rFonts w:hint="eastAsia" w:ascii="宋体" w:hAnsi="宋体" w:eastAsia="宋体" w:cs="宋体"/>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本文件适用于入侵和紧急报警系统中的入侵探测器的设计、制造和检验。</w:t>
            </w:r>
          </w:p>
        </w:tc>
        <w:tc>
          <w:tcPr>
            <w:tcW w:w="2960" w:type="dxa"/>
            <w:shd w:val="clear" w:color="auto" w:fill="auto"/>
            <w:vAlign w:val="center"/>
          </w:tcPr>
          <w:p w14:paraId="0B951F13">
            <w:pPr>
              <w:spacing w:line="240" w:lineRule="auto"/>
              <w:jc w:val="center"/>
              <w:rPr>
                <w:rFonts w:hint="eastAsia" w:ascii="仿宋" w:hAnsi="仿宋" w:eastAsia="仿宋" w:cs="仿宋"/>
                <w:color w:val="auto"/>
                <w:sz w:val="21"/>
                <w:szCs w:val="21"/>
                <w:highlight w:val="none"/>
                <w:vertAlign w:val="baseline"/>
              </w:rPr>
            </w:pPr>
          </w:p>
        </w:tc>
      </w:tr>
      <w:tr w14:paraId="287A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6A3FDEB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w:t>
            </w:r>
          </w:p>
        </w:tc>
        <w:tc>
          <w:tcPr>
            <w:tcW w:w="3579" w:type="dxa"/>
            <w:shd w:val="clear" w:color="auto" w:fill="auto"/>
            <w:vAlign w:val="center"/>
          </w:tcPr>
          <w:p w14:paraId="2B3F565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音视频、信息技术和通信技术设备 第1部分：安全要求</w:t>
            </w:r>
          </w:p>
        </w:tc>
        <w:tc>
          <w:tcPr>
            <w:tcW w:w="1885" w:type="dxa"/>
            <w:shd w:val="clear" w:color="auto" w:fill="auto"/>
            <w:vAlign w:val="center"/>
          </w:tcPr>
          <w:p w14:paraId="283DEEE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GB 4943.1-2022 </w:t>
            </w:r>
          </w:p>
        </w:tc>
        <w:tc>
          <w:tcPr>
            <w:tcW w:w="1266" w:type="dxa"/>
            <w:shd w:val="clear" w:color="auto" w:fill="auto"/>
            <w:vAlign w:val="center"/>
          </w:tcPr>
          <w:p w14:paraId="322071F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E28F12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本文件规定了对音频、视频、信息技术和通信技术、商务和办公机器领域内的电气和电子设备的安全要求。不包括设备的性能或功能特性的要求。 </w:t>
            </w:r>
          </w:p>
          <w:p w14:paraId="1779C44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本文件适用于额定电压不超过600V的上述电气和电子设备。　</w:t>
            </w:r>
          </w:p>
        </w:tc>
        <w:tc>
          <w:tcPr>
            <w:tcW w:w="2960" w:type="dxa"/>
            <w:shd w:val="clear" w:color="auto" w:fill="auto"/>
            <w:vAlign w:val="center"/>
          </w:tcPr>
          <w:p w14:paraId="703815F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本标准修改采用IEC国际标准：IEC 62368-1:2018</w:t>
            </w:r>
          </w:p>
        </w:tc>
      </w:tr>
      <w:tr w14:paraId="4331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9112E9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w:t>
            </w:r>
          </w:p>
        </w:tc>
        <w:tc>
          <w:tcPr>
            <w:tcW w:w="3579" w:type="dxa"/>
            <w:shd w:val="clear" w:color="auto" w:fill="auto"/>
            <w:vAlign w:val="center"/>
          </w:tcPr>
          <w:p w14:paraId="5FB7A10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安全防范报警设备 安全要求和试验方法</w:t>
            </w:r>
          </w:p>
        </w:tc>
        <w:tc>
          <w:tcPr>
            <w:tcW w:w="1885" w:type="dxa"/>
            <w:shd w:val="clear" w:color="auto" w:fill="auto"/>
            <w:vAlign w:val="center"/>
          </w:tcPr>
          <w:p w14:paraId="16830152">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16796-2022</w:t>
            </w:r>
          </w:p>
        </w:tc>
        <w:tc>
          <w:tcPr>
            <w:tcW w:w="1266" w:type="dxa"/>
            <w:shd w:val="clear" w:color="auto" w:fill="auto"/>
            <w:vAlign w:val="center"/>
          </w:tcPr>
          <w:p w14:paraId="1F0A139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285EAF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本文件确立了安全防范报警设备的安全防护设计原则，规定防电击要求、防机械伤害要求、防热灼伤要求、防着火要求、防辐射要求、安全防护的指示性要求、标志和说明书，并描述了各相应要求的试验方法。 </w:t>
            </w:r>
          </w:p>
          <w:p w14:paraId="35E3B7E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本文件适用于安全防范系统中各类设备的设计、制造、检验和应用等。 </w:t>
            </w:r>
          </w:p>
          <w:p w14:paraId="706C89D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注：各类设备包括但不限于入侵和紧急报警、视频监控、出入口控制、停车场（库）安全管理、防爆安全检查、电子巡查、楼寓对讲、实体防护和人体生物特征识别等系统中的设备。</w:t>
            </w:r>
          </w:p>
        </w:tc>
        <w:tc>
          <w:tcPr>
            <w:tcW w:w="2960" w:type="dxa"/>
            <w:shd w:val="clear" w:color="auto" w:fill="auto"/>
            <w:vAlign w:val="center"/>
          </w:tcPr>
          <w:p w14:paraId="71ABC5A4">
            <w:pPr>
              <w:spacing w:line="240" w:lineRule="auto"/>
              <w:jc w:val="center"/>
              <w:rPr>
                <w:rFonts w:hint="eastAsia" w:ascii="仿宋" w:hAnsi="仿宋" w:eastAsia="仿宋" w:cs="仿宋"/>
                <w:color w:val="auto"/>
                <w:sz w:val="21"/>
                <w:szCs w:val="21"/>
                <w:highlight w:val="none"/>
                <w:vertAlign w:val="baseline"/>
              </w:rPr>
            </w:pPr>
          </w:p>
        </w:tc>
      </w:tr>
      <w:tr w14:paraId="4711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756ECD5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w:t>
            </w:r>
          </w:p>
        </w:tc>
        <w:tc>
          <w:tcPr>
            <w:tcW w:w="3579" w:type="dxa"/>
            <w:shd w:val="clear" w:color="auto" w:fill="auto"/>
            <w:vAlign w:val="center"/>
          </w:tcPr>
          <w:p w14:paraId="1330B50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微剂量X 射线安全检查设备  第1部分：通用技术要求</w:t>
            </w:r>
          </w:p>
        </w:tc>
        <w:tc>
          <w:tcPr>
            <w:tcW w:w="1885" w:type="dxa"/>
            <w:shd w:val="clear" w:color="auto" w:fill="auto"/>
            <w:vAlign w:val="center"/>
          </w:tcPr>
          <w:p w14:paraId="31B16EE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GB 15208.1—2018 </w:t>
            </w:r>
          </w:p>
        </w:tc>
        <w:tc>
          <w:tcPr>
            <w:tcW w:w="1266" w:type="dxa"/>
            <w:shd w:val="clear" w:color="auto" w:fill="auto"/>
            <w:vAlign w:val="center"/>
          </w:tcPr>
          <w:p w14:paraId="553D3AB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bookmarkStart w:id="0" w:name="_GoBack"/>
            <w:bookmarkEnd w:id="0"/>
          </w:p>
        </w:tc>
        <w:tc>
          <w:tcPr>
            <w:tcW w:w="4255" w:type="dxa"/>
            <w:shd w:val="clear" w:color="auto" w:fill="auto"/>
            <w:vAlign w:val="center"/>
          </w:tcPr>
          <w:p w14:paraId="6034D89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人体安全检查设备等</w:t>
            </w:r>
          </w:p>
        </w:tc>
        <w:tc>
          <w:tcPr>
            <w:tcW w:w="2960" w:type="dxa"/>
            <w:shd w:val="clear" w:color="auto" w:fill="auto"/>
            <w:vAlign w:val="center"/>
          </w:tcPr>
          <w:p w14:paraId="65239D7F">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5773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73A493F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5</w:t>
            </w:r>
          </w:p>
        </w:tc>
        <w:tc>
          <w:tcPr>
            <w:tcW w:w="3579" w:type="dxa"/>
            <w:shd w:val="clear" w:color="auto" w:fill="auto"/>
            <w:vAlign w:val="center"/>
          </w:tcPr>
          <w:p w14:paraId="7A410EE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公共安全重点区域视频图像信息采集规范</w:t>
            </w:r>
          </w:p>
        </w:tc>
        <w:tc>
          <w:tcPr>
            <w:tcW w:w="1885" w:type="dxa"/>
            <w:shd w:val="clear" w:color="auto" w:fill="auto"/>
            <w:vAlign w:val="center"/>
          </w:tcPr>
          <w:p w14:paraId="2DCABE7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37300-2018</w:t>
            </w:r>
          </w:p>
        </w:tc>
        <w:tc>
          <w:tcPr>
            <w:tcW w:w="1266" w:type="dxa"/>
            <w:shd w:val="clear" w:color="auto" w:fill="auto"/>
            <w:vAlign w:val="center"/>
          </w:tcPr>
          <w:p w14:paraId="2F75829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04A982F">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本标准规定了公共安全重点区域视频图像信息采集部位和采集种类、技术要求和采集设备要求。</w:t>
            </w:r>
          </w:p>
          <w:p w14:paraId="6B38BE66">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本标准适用于公共安全视频监控联网系统中重点公共区域和重点行业、领域涉及公共区域的视频图像信息采集与管理。</w:t>
            </w:r>
          </w:p>
        </w:tc>
        <w:tc>
          <w:tcPr>
            <w:tcW w:w="2960" w:type="dxa"/>
            <w:shd w:val="clear" w:color="auto" w:fill="auto"/>
            <w:vAlign w:val="center"/>
          </w:tcPr>
          <w:p w14:paraId="6ADDB34A">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0DE7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51A5123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6</w:t>
            </w:r>
          </w:p>
        </w:tc>
        <w:tc>
          <w:tcPr>
            <w:tcW w:w="3579" w:type="dxa"/>
            <w:shd w:val="clear" w:color="auto" w:fill="auto"/>
            <w:vAlign w:val="center"/>
          </w:tcPr>
          <w:p w14:paraId="736C1D8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视频安防监控数字录像设备</w:t>
            </w:r>
          </w:p>
        </w:tc>
        <w:tc>
          <w:tcPr>
            <w:tcW w:w="1885" w:type="dxa"/>
            <w:shd w:val="clear" w:color="auto" w:fill="auto"/>
            <w:vAlign w:val="center"/>
          </w:tcPr>
          <w:p w14:paraId="6D2E8D4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20815-2006</w:t>
            </w:r>
          </w:p>
        </w:tc>
        <w:tc>
          <w:tcPr>
            <w:tcW w:w="1266" w:type="dxa"/>
            <w:shd w:val="clear" w:color="auto" w:fill="auto"/>
            <w:vAlign w:val="center"/>
          </w:tcPr>
          <w:p w14:paraId="5633318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15F5247C">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本标准规定了视频安全防范监控系统中数字录像设备的通用技术要求、试验方法、检验规则、对文件要求及标志、包装、运输和存储，适用于以安全防范监控为目的的视（音）频数字录像设备的生产和检验。</w:t>
            </w:r>
          </w:p>
        </w:tc>
        <w:tc>
          <w:tcPr>
            <w:tcW w:w="2960" w:type="dxa"/>
            <w:shd w:val="clear" w:color="auto" w:fill="auto"/>
            <w:vAlign w:val="center"/>
          </w:tcPr>
          <w:p w14:paraId="6451EC4F">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2D0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4D87C14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7</w:t>
            </w:r>
          </w:p>
        </w:tc>
        <w:tc>
          <w:tcPr>
            <w:tcW w:w="3579" w:type="dxa"/>
            <w:shd w:val="clear" w:color="auto" w:fill="auto"/>
            <w:vAlign w:val="center"/>
          </w:tcPr>
          <w:p w14:paraId="1F6A08D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外壳防护等级（IP代码）</w:t>
            </w:r>
          </w:p>
        </w:tc>
        <w:tc>
          <w:tcPr>
            <w:tcW w:w="1885" w:type="dxa"/>
            <w:shd w:val="clear" w:color="auto" w:fill="auto"/>
            <w:vAlign w:val="center"/>
          </w:tcPr>
          <w:p w14:paraId="4805CB8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4208-2017</w:t>
            </w:r>
          </w:p>
        </w:tc>
        <w:tc>
          <w:tcPr>
            <w:tcW w:w="1266" w:type="dxa"/>
            <w:shd w:val="clear" w:color="auto" w:fill="auto"/>
            <w:vAlign w:val="center"/>
          </w:tcPr>
          <w:p w14:paraId="56E9E19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A81EAB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本标准适用于额定电压不超过72.5 kV，借助外壳防护的电气设备的防护分级。不与外壳连接的隔板以及专门为人身安全设置的阻挡物，不看作外壳的一部分，本标准不予研究。 </w:t>
            </w:r>
          </w:p>
        </w:tc>
        <w:tc>
          <w:tcPr>
            <w:tcW w:w="2960" w:type="dxa"/>
            <w:shd w:val="clear" w:color="auto" w:fill="auto"/>
            <w:vAlign w:val="center"/>
          </w:tcPr>
          <w:p w14:paraId="181297FB">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C17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trPr>
        <w:tc>
          <w:tcPr>
            <w:tcW w:w="700" w:type="dxa"/>
            <w:shd w:val="clear" w:color="auto" w:fill="auto"/>
            <w:vAlign w:val="center"/>
          </w:tcPr>
          <w:p w14:paraId="58801C5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8</w:t>
            </w:r>
          </w:p>
        </w:tc>
        <w:tc>
          <w:tcPr>
            <w:tcW w:w="3579" w:type="dxa"/>
            <w:shd w:val="clear" w:color="auto" w:fill="auto"/>
            <w:vAlign w:val="center"/>
          </w:tcPr>
          <w:p w14:paraId="437C7DA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安全防范报警设备 环境适应性要求和试验方法</w:t>
            </w:r>
          </w:p>
        </w:tc>
        <w:tc>
          <w:tcPr>
            <w:tcW w:w="1885" w:type="dxa"/>
            <w:shd w:val="clear" w:color="auto" w:fill="auto"/>
            <w:vAlign w:val="center"/>
          </w:tcPr>
          <w:p w14:paraId="7E729F9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GB/T 15211-2013 </w:t>
            </w:r>
          </w:p>
        </w:tc>
        <w:tc>
          <w:tcPr>
            <w:tcW w:w="1266" w:type="dxa"/>
            <w:shd w:val="clear" w:color="auto" w:fill="auto"/>
            <w:vAlign w:val="center"/>
          </w:tcPr>
          <w:p w14:paraId="7BB873D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4430A0B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本标准规定了安全防范报警设备环境适应性的试验目的、试验方式、试验设备和试验程序。 </w:t>
            </w:r>
          </w:p>
          <w:p w14:paraId="3146221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本标准适用于以下安全防范报警系统中的设备: </w:t>
            </w:r>
          </w:p>
          <w:p w14:paraId="0896308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a) 入侵报警系统; </w:t>
            </w:r>
          </w:p>
          <w:p w14:paraId="1174438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b) 视频监控系统; </w:t>
            </w:r>
          </w:p>
          <w:p w14:paraId="24B7113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c) 出入口控制系统(包括楼宇对讲系统、电子巡查系统、停车场(库)安全管理系统等); </w:t>
            </w:r>
          </w:p>
          <w:p w14:paraId="0E6F936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d) 公众求助系统; </w:t>
            </w:r>
          </w:p>
          <w:p w14:paraId="3BFBB09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e) 远程接收和/或监控中心; </w:t>
            </w:r>
          </w:p>
          <w:p w14:paraId="092626C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f) a)~e)各子系统的组合和/或集成系统; </w:t>
            </w:r>
          </w:p>
          <w:p w14:paraId="38DA64E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g) 含有电子装置的实体防护设备; </w:t>
            </w:r>
          </w:p>
          <w:p w14:paraId="399CDD9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h) 人体生物特征识别应用设备。</w:t>
            </w:r>
          </w:p>
        </w:tc>
        <w:tc>
          <w:tcPr>
            <w:tcW w:w="2960" w:type="dxa"/>
            <w:shd w:val="clear" w:color="auto" w:fill="auto"/>
            <w:vAlign w:val="center"/>
          </w:tcPr>
          <w:p w14:paraId="02150A8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本标准修改采用IEC国际标准：IEC 62599-1:2010</w:t>
            </w:r>
          </w:p>
        </w:tc>
      </w:tr>
      <w:tr w14:paraId="48F8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6AC06BA7">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9</w:t>
            </w:r>
          </w:p>
        </w:tc>
        <w:tc>
          <w:tcPr>
            <w:tcW w:w="3579" w:type="dxa"/>
            <w:shd w:val="clear" w:color="auto" w:fill="auto"/>
            <w:vAlign w:val="center"/>
          </w:tcPr>
          <w:p w14:paraId="6AA3140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公共安全视频监控联网系统信息传输、交换、控制技术要求</w:t>
            </w:r>
          </w:p>
        </w:tc>
        <w:tc>
          <w:tcPr>
            <w:tcW w:w="1885" w:type="dxa"/>
            <w:shd w:val="clear" w:color="auto" w:fill="auto"/>
            <w:vAlign w:val="center"/>
          </w:tcPr>
          <w:p w14:paraId="561B055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GB/T28181-2022</w:t>
            </w:r>
          </w:p>
        </w:tc>
        <w:tc>
          <w:tcPr>
            <w:tcW w:w="1266" w:type="dxa"/>
            <w:shd w:val="clear" w:color="auto" w:fill="auto"/>
            <w:vAlign w:val="center"/>
          </w:tcPr>
          <w:p w14:paraId="70B3737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49D0A2A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本文件规定了公共安全视频监控联网系统（以下简称“联网系统”）的互联结构，传输、交换、控制的基本要求和安全性要求，以及控制、传输流程和协议接口等技术要求。 </w:t>
            </w:r>
          </w:p>
          <w:p w14:paraId="61B0F99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本文件适用于公共安全视频监控联网系统的方案设计、系统检测、验收以及与之相关的设备研发、生产。其他视频监控联网系统可参照执行。</w:t>
            </w:r>
          </w:p>
        </w:tc>
        <w:tc>
          <w:tcPr>
            <w:tcW w:w="2960" w:type="dxa"/>
            <w:shd w:val="clear" w:color="auto" w:fill="auto"/>
            <w:vAlign w:val="center"/>
          </w:tcPr>
          <w:p w14:paraId="52E0C908">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2776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19AD4EE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10</w:t>
            </w:r>
          </w:p>
        </w:tc>
        <w:tc>
          <w:tcPr>
            <w:tcW w:w="3579" w:type="dxa"/>
            <w:shd w:val="clear" w:color="auto" w:fill="auto"/>
            <w:vAlign w:val="center"/>
          </w:tcPr>
          <w:p w14:paraId="7CCC1A5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 信息安全技术 交换机安全技术要求</w:t>
            </w:r>
          </w:p>
        </w:tc>
        <w:tc>
          <w:tcPr>
            <w:tcW w:w="1885" w:type="dxa"/>
            <w:shd w:val="clear" w:color="auto" w:fill="auto"/>
            <w:vAlign w:val="center"/>
          </w:tcPr>
          <w:p w14:paraId="4A0B538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GA</w:t>
            </w:r>
            <w:r>
              <w:rPr>
                <w:rFonts w:hint="eastAsia" w:ascii="仿宋" w:hAnsi="仿宋" w:eastAsia="仿宋" w:cs="仿宋"/>
                <w:color w:val="auto"/>
                <w:sz w:val="21"/>
                <w:szCs w:val="21"/>
                <w:highlight w:val="none"/>
                <w:vertAlign w:val="baseline"/>
                <w:lang w:val="en-US" w:eastAsia="zh-CN"/>
              </w:rPr>
              <w:t>/</w:t>
            </w:r>
            <w:r>
              <w:rPr>
                <w:rFonts w:hint="eastAsia" w:ascii="仿宋" w:hAnsi="仿宋" w:eastAsia="仿宋" w:cs="仿宋"/>
                <w:color w:val="auto"/>
                <w:sz w:val="21"/>
                <w:szCs w:val="21"/>
                <w:highlight w:val="none"/>
                <w:vertAlign w:val="baseline"/>
              </w:rPr>
              <w:t>T 684-2007</w:t>
            </w:r>
          </w:p>
        </w:tc>
        <w:tc>
          <w:tcPr>
            <w:tcW w:w="1266" w:type="dxa"/>
            <w:shd w:val="clear" w:color="auto" w:fill="auto"/>
            <w:vAlign w:val="center"/>
          </w:tcPr>
          <w:p w14:paraId="0D4E714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18EC5682">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2960" w:type="dxa"/>
            <w:shd w:val="clear" w:color="auto" w:fill="auto"/>
            <w:vAlign w:val="center"/>
          </w:tcPr>
          <w:p w14:paraId="635C8F26">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44D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5F9D9AD6">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11</w:t>
            </w:r>
          </w:p>
        </w:tc>
        <w:tc>
          <w:tcPr>
            <w:tcW w:w="3579" w:type="dxa"/>
            <w:shd w:val="clear" w:color="auto" w:fill="auto"/>
            <w:vAlign w:val="center"/>
          </w:tcPr>
          <w:p w14:paraId="1EC2586E">
            <w:pPr>
              <w:spacing w:line="240" w:lineRule="auto"/>
              <w:jc w:val="both"/>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安全防范视频监控摄像机通用技术要求</w:t>
            </w:r>
          </w:p>
        </w:tc>
        <w:tc>
          <w:tcPr>
            <w:tcW w:w="1885" w:type="dxa"/>
            <w:shd w:val="clear" w:color="auto" w:fill="auto"/>
            <w:vAlign w:val="center"/>
          </w:tcPr>
          <w:p w14:paraId="2F56C22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GA/T 1127-2013</w:t>
            </w:r>
          </w:p>
        </w:tc>
        <w:tc>
          <w:tcPr>
            <w:tcW w:w="1266" w:type="dxa"/>
            <w:shd w:val="clear" w:color="auto" w:fill="auto"/>
            <w:vAlign w:val="center"/>
          </w:tcPr>
          <w:p w14:paraId="1594B3D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03A399E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本标准规定了安全防范视频监控摄像机的分类与标识、技术要求、试验方法、检验规则、标志、包装、运输和贮存等技术要求。 </w:t>
            </w:r>
          </w:p>
          <w:p w14:paraId="1B97429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本标准适用于安全防范视频监控系统中使用的摄像机,其他领域应用的摄像机可参考采用。</w:t>
            </w:r>
          </w:p>
        </w:tc>
        <w:tc>
          <w:tcPr>
            <w:tcW w:w="2960" w:type="dxa"/>
            <w:shd w:val="clear" w:color="auto" w:fill="auto"/>
            <w:vAlign w:val="center"/>
          </w:tcPr>
          <w:p w14:paraId="570E180C">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034B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B1E64F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12</w:t>
            </w:r>
          </w:p>
        </w:tc>
        <w:tc>
          <w:tcPr>
            <w:tcW w:w="3579" w:type="dxa"/>
            <w:shd w:val="clear" w:color="auto" w:fill="auto"/>
            <w:vAlign w:val="center"/>
          </w:tcPr>
          <w:p w14:paraId="2B080674">
            <w:pPr>
              <w:spacing w:line="240" w:lineRule="auto"/>
              <w:jc w:val="both"/>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安全防范监控变速球型摄像机</w:t>
            </w:r>
          </w:p>
        </w:tc>
        <w:tc>
          <w:tcPr>
            <w:tcW w:w="1885" w:type="dxa"/>
            <w:shd w:val="clear" w:color="auto" w:fill="auto"/>
            <w:vAlign w:val="center"/>
          </w:tcPr>
          <w:p w14:paraId="4904355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ascii="宋体" w:hAnsi="宋体" w:cs="宋体"/>
                <w:color w:val="FF0000"/>
                <w:kern w:val="0"/>
                <w:szCs w:val="21"/>
                <w:lang w:bidi="ar"/>
              </w:rPr>
              <w:t>GA/T 645-2014</w:t>
            </w:r>
          </w:p>
        </w:tc>
        <w:tc>
          <w:tcPr>
            <w:tcW w:w="1266" w:type="dxa"/>
            <w:shd w:val="clear" w:color="auto" w:fill="auto"/>
            <w:vAlign w:val="center"/>
          </w:tcPr>
          <w:p w14:paraId="5539866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D1BFF0F">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本标准规定了安全防范视频监控系统中变速球型摄像机的分类及标识、技术要求、试验方法、检验规则和标志、包装、运输、贮存等技术要求。</w:t>
            </w:r>
          </w:p>
          <w:p w14:paraId="0DF65E57">
            <w:pPr>
              <w:spacing w:line="240" w:lineRule="auto"/>
              <w:jc w:val="left"/>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本标准适用于安全防范视频监控系统中的变速球型摄像机。</w:t>
            </w:r>
          </w:p>
        </w:tc>
        <w:tc>
          <w:tcPr>
            <w:tcW w:w="2960" w:type="dxa"/>
            <w:shd w:val="clear" w:color="auto" w:fill="auto"/>
            <w:vAlign w:val="center"/>
          </w:tcPr>
          <w:p w14:paraId="32AA71E0">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6D06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6A91E54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13</w:t>
            </w:r>
          </w:p>
        </w:tc>
        <w:tc>
          <w:tcPr>
            <w:tcW w:w="3579" w:type="dxa"/>
            <w:shd w:val="clear" w:color="auto" w:fill="auto"/>
            <w:vAlign w:val="center"/>
          </w:tcPr>
          <w:p w14:paraId="5794BF7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中小学、幼儿园安全防范要求2022</w:t>
            </w:r>
          </w:p>
        </w:tc>
        <w:tc>
          <w:tcPr>
            <w:tcW w:w="1885" w:type="dxa"/>
            <w:shd w:val="clear" w:color="auto" w:fill="auto"/>
            <w:vAlign w:val="center"/>
          </w:tcPr>
          <w:p w14:paraId="6CBB38E5">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GB/T 29315-2022</w:t>
            </w:r>
          </w:p>
        </w:tc>
        <w:tc>
          <w:tcPr>
            <w:tcW w:w="1266" w:type="dxa"/>
            <w:shd w:val="clear" w:color="auto" w:fill="auto"/>
            <w:vAlign w:val="center"/>
          </w:tcPr>
          <w:p w14:paraId="4B7C9A5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024516C1">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2960" w:type="dxa"/>
            <w:shd w:val="clear" w:color="auto" w:fill="auto"/>
            <w:vAlign w:val="center"/>
          </w:tcPr>
          <w:p w14:paraId="516ABED3">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r>
      <w:tr w14:paraId="4F5D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2DB0A5DA">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14</w:t>
            </w:r>
          </w:p>
        </w:tc>
        <w:tc>
          <w:tcPr>
            <w:tcW w:w="3579" w:type="dxa"/>
            <w:shd w:val="clear" w:color="auto" w:fill="auto"/>
            <w:vAlign w:val="center"/>
          </w:tcPr>
          <w:p w14:paraId="553B03F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张力式电子围栏通用技术要求</w:t>
            </w:r>
          </w:p>
        </w:tc>
        <w:tc>
          <w:tcPr>
            <w:tcW w:w="1885" w:type="dxa"/>
            <w:shd w:val="clear" w:color="auto" w:fill="auto"/>
            <w:vAlign w:val="center"/>
          </w:tcPr>
          <w:p w14:paraId="05C2FBDF">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GA/T 1032-2013</w:t>
            </w:r>
          </w:p>
        </w:tc>
        <w:tc>
          <w:tcPr>
            <w:tcW w:w="1266" w:type="dxa"/>
            <w:shd w:val="clear" w:color="auto" w:fill="auto"/>
            <w:vAlign w:val="center"/>
          </w:tcPr>
          <w:p w14:paraId="52424A3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199160C4">
            <w:pPr>
              <w:spacing w:line="240" w:lineRule="auto"/>
              <w:jc w:val="center"/>
              <w:rPr>
                <w:rFonts w:hint="eastAsia" w:ascii="仿宋" w:hAnsi="仿宋" w:eastAsia="仿宋" w:cs="仿宋"/>
                <w:color w:val="auto"/>
                <w:kern w:val="2"/>
                <w:sz w:val="21"/>
                <w:szCs w:val="21"/>
                <w:highlight w:val="none"/>
                <w:vertAlign w:val="baseline"/>
                <w:lang w:val="en-US" w:eastAsia="zh-CN" w:bidi="ar-SA"/>
              </w:rPr>
            </w:pPr>
          </w:p>
        </w:tc>
        <w:tc>
          <w:tcPr>
            <w:tcW w:w="2960" w:type="dxa"/>
            <w:shd w:val="clear" w:color="auto" w:fill="auto"/>
            <w:vAlign w:val="center"/>
          </w:tcPr>
          <w:p w14:paraId="532B7331">
            <w:pPr>
              <w:spacing w:line="240" w:lineRule="auto"/>
              <w:jc w:val="center"/>
              <w:rPr>
                <w:rFonts w:hint="default" w:ascii="仿宋" w:hAnsi="仿宋" w:eastAsia="仿宋" w:cs="仿宋"/>
                <w:color w:val="auto"/>
                <w:kern w:val="2"/>
                <w:sz w:val="21"/>
                <w:szCs w:val="21"/>
                <w:highlight w:val="none"/>
                <w:vertAlign w:val="baseline"/>
                <w:lang w:val="en-US" w:eastAsia="zh-CN" w:bidi="ar-SA"/>
              </w:rPr>
            </w:pPr>
          </w:p>
        </w:tc>
      </w:tr>
      <w:tr w14:paraId="490F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39D9A40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15</w:t>
            </w:r>
          </w:p>
        </w:tc>
        <w:tc>
          <w:tcPr>
            <w:tcW w:w="3579" w:type="dxa"/>
            <w:shd w:val="clear" w:color="auto" w:fill="auto"/>
            <w:vAlign w:val="center"/>
          </w:tcPr>
          <w:p w14:paraId="67BBB66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人员密集场所消防安全管理</w:t>
            </w:r>
          </w:p>
        </w:tc>
        <w:tc>
          <w:tcPr>
            <w:tcW w:w="1885" w:type="dxa"/>
            <w:shd w:val="clear" w:color="auto" w:fill="auto"/>
            <w:vAlign w:val="center"/>
          </w:tcPr>
          <w:p w14:paraId="15EE47C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rPr>
              <w:t>GB/T 40248-2021</w:t>
            </w:r>
          </w:p>
        </w:tc>
        <w:tc>
          <w:tcPr>
            <w:tcW w:w="1266" w:type="dxa"/>
            <w:shd w:val="clear" w:color="auto" w:fill="auto"/>
            <w:vAlign w:val="center"/>
          </w:tcPr>
          <w:p w14:paraId="5929D47B">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146483B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主要内容是规定了人员密集场所的消防安全管理要求和措施</w:t>
            </w:r>
          </w:p>
        </w:tc>
        <w:tc>
          <w:tcPr>
            <w:tcW w:w="2960" w:type="dxa"/>
            <w:shd w:val="clear" w:color="auto" w:fill="auto"/>
            <w:vAlign w:val="center"/>
          </w:tcPr>
          <w:p w14:paraId="16BC2F5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FF0000"/>
                <w:sz w:val="21"/>
                <w:szCs w:val="21"/>
                <w:highlight w:val="none"/>
                <w:vertAlign w:val="baseline"/>
                <w:lang w:val="en-US" w:eastAsia="zh-CN"/>
              </w:rPr>
              <w:t>替代GA 654-2006《人员密集场所消防安全管理》</w:t>
            </w:r>
          </w:p>
        </w:tc>
      </w:tr>
      <w:tr w14:paraId="1955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77C771DD">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16</w:t>
            </w:r>
          </w:p>
        </w:tc>
        <w:tc>
          <w:tcPr>
            <w:tcW w:w="3579" w:type="dxa"/>
            <w:shd w:val="clear" w:color="auto" w:fill="auto"/>
            <w:vAlign w:val="center"/>
          </w:tcPr>
          <w:p w14:paraId="3CA4EB3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视频监控系统主动照明部件光辐射安全要求</w:t>
            </w:r>
          </w:p>
        </w:tc>
        <w:tc>
          <w:tcPr>
            <w:tcW w:w="1885" w:type="dxa"/>
            <w:shd w:val="clear" w:color="auto" w:fill="auto"/>
            <w:vAlign w:val="center"/>
          </w:tcPr>
          <w:p w14:paraId="2E83860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37958-2019</w:t>
            </w:r>
          </w:p>
        </w:tc>
        <w:tc>
          <w:tcPr>
            <w:tcW w:w="1266" w:type="dxa"/>
            <w:shd w:val="clear" w:color="auto" w:fill="auto"/>
            <w:vAlign w:val="center"/>
          </w:tcPr>
          <w:p w14:paraId="4AC09E3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0607ACB3">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5F7C31ED">
            <w:pPr>
              <w:spacing w:line="240" w:lineRule="auto"/>
              <w:jc w:val="center"/>
              <w:rPr>
                <w:rFonts w:hint="eastAsia" w:ascii="仿宋" w:hAnsi="仿宋" w:eastAsia="仿宋" w:cs="仿宋"/>
                <w:color w:val="auto"/>
                <w:sz w:val="21"/>
                <w:szCs w:val="21"/>
                <w:highlight w:val="none"/>
                <w:vertAlign w:val="baseline"/>
                <w:lang w:val="en-US" w:eastAsia="zh-CN"/>
              </w:rPr>
            </w:pPr>
          </w:p>
        </w:tc>
      </w:tr>
      <w:tr w14:paraId="1995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54EAC78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17</w:t>
            </w:r>
          </w:p>
        </w:tc>
        <w:tc>
          <w:tcPr>
            <w:tcW w:w="3579" w:type="dxa"/>
            <w:shd w:val="clear" w:color="auto" w:fill="auto"/>
            <w:vAlign w:val="center"/>
          </w:tcPr>
          <w:p w14:paraId="136BD72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中国制定的集成电路卡相关标准</w:t>
            </w:r>
          </w:p>
        </w:tc>
        <w:tc>
          <w:tcPr>
            <w:tcW w:w="1885" w:type="dxa"/>
            <w:shd w:val="clear" w:color="auto" w:fill="auto"/>
            <w:vAlign w:val="center"/>
          </w:tcPr>
          <w:p w14:paraId="227CA4D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16649</w:t>
            </w:r>
          </w:p>
        </w:tc>
        <w:tc>
          <w:tcPr>
            <w:tcW w:w="1266" w:type="dxa"/>
            <w:shd w:val="clear" w:color="auto" w:fill="auto"/>
            <w:vAlign w:val="center"/>
          </w:tcPr>
          <w:p w14:paraId="2C1BDDE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72064D6">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4FDA327C">
            <w:pPr>
              <w:spacing w:line="240" w:lineRule="auto"/>
              <w:jc w:val="center"/>
              <w:rPr>
                <w:rFonts w:hint="eastAsia" w:ascii="仿宋" w:hAnsi="仿宋" w:eastAsia="仿宋" w:cs="仿宋"/>
                <w:color w:val="auto"/>
                <w:sz w:val="21"/>
                <w:szCs w:val="21"/>
                <w:highlight w:val="none"/>
                <w:vertAlign w:val="baseline"/>
                <w:lang w:val="en-US" w:eastAsia="zh-CN"/>
              </w:rPr>
            </w:pPr>
          </w:p>
        </w:tc>
      </w:tr>
      <w:tr w14:paraId="166C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BC96C72">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18</w:t>
            </w:r>
          </w:p>
        </w:tc>
        <w:tc>
          <w:tcPr>
            <w:tcW w:w="3579" w:type="dxa"/>
            <w:shd w:val="clear" w:color="auto" w:fill="auto"/>
            <w:vAlign w:val="center"/>
          </w:tcPr>
          <w:p w14:paraId="06B1E5F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智能运输系统 通用术语</w:t>
            </w:r>
          </w:p>
        </w:tc>
        <w:tc>
          <w:tcPr>
            <w:tcW w:w="1885" w:type="dxa"/>
            <w:shd w:val="clear" w:color="auto" w:fill="auto"/>
            <w:vAlign w:val="center"/>
          </w:tcPr>
          <w:p w14:paraId="2A0745F1">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GB/T 20839</w:t>
            </w:r>
            <w:r>
              <w:rPr>
                <w:rFonts w:hint="eastAsia" w:ascii="仿宋" w:hAnsi="仿宋" w:eastAsia="仿宋" w:cs="仿宋"/>
                <w:color w:val="auto"/>
                <w:sz w:val="21"/>
                <w:szCs w:val="21"/>
                <w:highlight w:val="none"/>
                <w:vertAlign w:val="baseline"/>
                <w:lang w:val="en-US" w:eastAsia="zh-CN"/>
              </w:rPr>
              <w:t>-2007</w:t>
            </w:r>
          </w:p>
        </w:tc>
        <w:tc>
          <w:tcPr>
            <w:tcW w:w="1266" w:type="dxa"/>
            <w:shd w:val="clear" w:color="auto" w:fill="auto"/>
            <w:vAlign w:val="center"/>
          </w:tcPr>
          <w:p w14:paraId="20DDCFD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1A3E1E9">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4888054D">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A8B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19206177">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19</w:t>
            </w:r>
          </w:p>
        </w:tc>
        <w:tc>
          <w:tcPr>
            <w:tcW w:w="3579" w:type="dxa"/>
            <w:shd w:val="clear" w:color="auto" w:fill="auto"/>
            <w:vAlign w:val="center"/>
          </w:tcPr>
          <w:p w14:paraId="6D61D28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出入口控制系统技术要求 </w:t>
            </w:r>
          </w:p>
        </w:tc>
        <w:tc>
          <w:tcPr>
            <w:tcW w:w="1885" w:type="dxa"/>
            <w:shd w:val="clear" w:color="auto" w:fill="auto"/>
            <w:vAlign w:val="center"/>
          </w:tcPr>
          <w:p w14:paraId="54D4DD5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394-2002</w:t>
            </w:r>
          </w:p>
        </w:tc>
        <w:tc>
          <w:tcPr>
            <w:tcW w:w="1266" w:type="dxa"/>
            <w:shd w:val="clear" w:color="auto" w:fill="auto"/>
            <w:vAlign w:val="center"/>
          </w:tcPr>
          <w:p w14:paraId="4303D93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CAB3E4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出入口控制系统的技术要求，是设计、验收出入口控制系统的基本依据。本标准适用于以安全防范为目的，对规定目标信息进行登录、识别和控制的出入口控制系统或设备。其他出入口控制系统或设备[如：楼宇对讲（可视）系统、防盗安全门等]由相应的技术做出规定。</w:t>
            </w:r>
          </w:p>
        </w:tc>
        <w:tc>
          <w:tcPr>
            <w:tcW w:w="2960" w:type="dxa"/>
            <w:shd w:val="clear" w:color="auto" w:fill="auto"/>
            <w:vAlign w:val="center"/>
          </w:tcPr>
          <w:p w14:paraId="25EB4C0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7AC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6DFE3B6">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20</w:t>
            </w:r>
          </w:p>
        </w:tc>
        <w:tc>
          <w:tcPr>
            <w:tcW w:w="3579" w:type="dxa"/>
            <w:shd w:val="clear" w:color="auto" w:fill="auto"/>
            <w:vAlign w:val="center"/>
          </w:tcPr>
          <w:p w14:paraId="3DB1C1B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eastAsia="zh-CN"/>
              </w:rPr>
              <w:t>停车库(场)安全管理系统技术要求</w:t>
            </w:r>
          </w:p>
        </w:tc>
        <w:tc>
          <w:tcPr>
            <w:tcW w:w="1885" w:type="dxa"/>
            <w:shd w:val="clear" w:color="auto" w:fill="auto"/>
            <w:vAlign w:val="center"/>
          </w:tcPr>
          <w:p w14:paraId="3C18B31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761-2024</w:t>
            </w:r>
          </w:p>
        </w:tc>
        <w:tc>
          <w:tcPr>
            <w:tcW w:w="1266" w:type="dxa"/>
            <w:shd w:val="clear" w:color="auto" w:fill="auto"/>
            <w:vAlign w:val="center"/>
          </w:tcPr>
          <w:p w14:paraId="5EE81FD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CD1A3F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本文件规定了停车库(场)安全管理系统的系统组成、安全等级、功能及性能、外壳防护等级及可靠性、安全性、电磁兼容性、环境适应性及供电、标志以及系统检验与验收等要求。 </w:t>
            </w:r>
          </w:p>
          <w:p w14:paraId="3129F88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本文件适用于停车库(场)安全管理系统的设计、检验和验收。</w:t>
            </w:r>
          </w:p>
        </w:tc>
        <w:tc>
          <w:tcPr>
            <w:tcW w:w="2960" w:type="dxa"/>
            <w:shd w:val="clear" w:color="auto" w:fill="auto"/>
            <w:vAlign w:val="center"/>
          </w:tcPr>
          <w:p w14:paraId="2792A74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557B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23FE894B">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21</w:t>
            </w:r>
          </w:p>
        </w:tc>
        <w:tc>
          <w:tcPr>
            <w:tcW w:w="3579" w:type="dxa"/>
            <w:shd w:val="clear" w:color="auto" w:fill="auto"/>
            <w:vAlign w:val="center"/>
          </w:tcPr>
          <w:p w14:paraId="34BF90D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《安全防范工程技术标准》</w:t>
            </w:r>
          </w:p>
        </w:tc>
        <w:tc>
          <w:tcPr>
            <w:tcW w:w="1885" w:type="dxa"/>
            <w:shd w:val="clear" w:color="auto" w:fill="auto"/>
            <w:vAlign w:val="center"/>
          </w:tcPr>
          <w:p w14:paraId="3983C580">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GB 50348</w:t>
            </w:r>
            <w:r>
              <w:rPr>
                <w:rFonts w:hint="eastAsia" w:ascii="仿宋" w:hAnsi="仿宋" w:eastAsia="仿宋" w:cs="仿宋"/>
                <w:color w:val="auto"/>
                <w:sz w:val="21"/>
                <w:szCs w:val="21"/>
                <w:highlight w:val="none"/>
                <w:vertAlign w:val="baseline"/>
                <w:lang w:val="en-US" w:eastAsia="zh-CN"/>
              </w:rPr>
              <w:t>-2018</w:t>
            </w:r>
          </w:p>
        </w:tc>
        <w:tc>
          <w:tcPr>
            <w:tcW w:w="1266" w:type="dxa"/>
            <w:shd w:val="clear" w:color="auto" w:fill="auto"/>
            <w:vAlign w:val="center"/>
          </w:tcPr>
          <w:p w14:paraId="54CEE06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337149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本标准适用于新建、改建和扩建的建(构)筑物的安全防范工程的建设以及系统运行与维护。 </w:t>
            </w:r>
          </w:p>
        </w:tc>
        <w:tc>
          <w:tcPr>
            <w:tcW w:w="2960" w:type="dxa"/>
            <w:shd w:val="clear" w:color="auto" w:fill="auto"/>
            <w:vAlign w:val="center"/>
          </w:tcPr>
          <w:p w14:paraId="733379E3">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CC7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B9ECE6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22</w:t>
            </w:r>
          </w:p>
        </w:tc>
        <w:tc>
          <w:tcPr>
            <w:tcW w:w="3579" w:type="dxa"/>
            <w:shd w:val="clear" w:color="auto" w:fill="auto"/>
            <w:vAlign w:val="center"/>
          </w:tcPr>
          <w:p w14:paraId="1F21BD2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出入口控制系统工程设计规范</w:t>
            </w:r>
          </w:p>
        </w:tc>
        <w:tc>
          <w:tcPr>
            <w:tcW w:w="1885" w:type="dxa"/>
            <w:shd w:val="clear" w:color="auto" w:fill="auto"/>
            <w:vAlign w:val="center"/>
          </w:tcPr>
          <w:p w14:paraId="3170A6AE">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GB 50396</w:t>
            </w:r>
            <w:r>
              <w:rPr>
                <w:rFonts w:hint="eastAsia" w:ascii="仿宋" w:hAnsi="仿宋" w:eastAsia="仿宋" w:cs="仿宋"/>
                <w:color w:val="auto"/>
                <w:sz w:val="21"/>
                <w:szCs w:val="21"/>
                <w:highlight w:val="none"/>
                <w:vertAlign w:val="baseline"/>
                <w:lang w:val="en-US" w:eastAsia="zh-CN"/>
              </w:rPr>
              <w:t>-2007</w:t>
            </w:r>
          </w:p>
        </w:tc>
        <w:tc>
          <w:tcPr>
            <w:tcW w:w="1266" w:type="dxa"/>
            <w:shd w:val="clear" w:color="auto" w:fill="auto"/>
            <w:vAlign w:val="center"/>
          </w:tcPr>
          <w:p w14:paraId="41736A3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40040F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本规范适用于以安全防范为目的的新建、改建、扩建的各类建筑物（构筑物）及其群体的出入口控制系统工程的设计。</w:t>
            </w:r>
          </w:p>
        </w:tc>
        <w:tc>
          <w:tcPr>
            <w:tcW w:w="2960" w:type="dxa"/>
            <w:shd w:val="clear" w:color="auto" w:fill="auto"/>
            <w:vAlign w:val="center"/>
          </w:tcPr>
          <w:p w14:paraId="6CB9719A">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E1E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71F1B311">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23</w:t>
            </w:r>
          </w:p>
        </w:tc>
        <w:tc>
          <w:tcPr>
            <w:tcW w:w="3579" w:type="dxa"/>
            <w:shd w:val="clear" w:color="auto" w:fill="auto"/>
            <w:vAlign w:val="center"/>
          </w:tcPr>
          <w:p w14:paraId="5DB7B77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可靠性试验 第1部分：试验条件和统计检验原理</w:t>
            </w:r>
          </w:p>
        </w:tc>
        <w:tc>
          <w:tcPr>
            <w:tcW w:w="1885" w:type="dxa"/>
            <w:shd w:val="clear" w:color="auto" w:fill="auto"/>
            <w:vAlign w:val="center"/>
          </w:tcPr>
          <w:p w14:paraId="28EC652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5080.1-2012</w:t>
            </w:r>
          </w:p>
        </w:tc>
        <w:tc>
          <w:tcPr>
            <w:tcW w:w="1266" w:type="dxa"/>
            <w:shd w:val="clear" w:color="auto" w:fill="auto"/>
            <w:vAlign w:val="center"/>
          </w:tcPr>
          <w:p w14:paraId="02797DE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2E3A2F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GB/T5080的本部分为可靠性试验设计、实施和利用统计方法分析试验数据提供指南。</w:t>
            </w:r>
          </w:p>
          <w:p w14:paraId="3D8F043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阐述的试验涉及修理产品和不修理产品,以及检验产品是否具有恒定失效强度或失效率。本部分适用于:当根据合同明确或隐含的要求进行可靠性试验时;当设计可靠性试验时;在可靠性试验期间;当对可靠性试验数据进行分析和编制可靠性试验报告时。</w:t>
            </w:r>
          </w:p>
          <w:p w14:paraId="053D0CB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当合同或试验方案指定使用统计方法的国家标准,而没有指定参考特定的标准时,本部分也适用。</w:t>
            </w:r>
          </w:p>
          <w:p w14:paraId="48A9C2A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在一个新产品研制、设计验证、设计定型期间,需要进行不同的试验。这些试验的目的是发现产品在设计中存在的缺陷,并且消除这些缺陷,从而提高产品的性能、质量、安全性、健壮性、可靠性、可用性,同时降低费用。虽然有关试验条件、试验设计和试验文件编制等指南均适用于大多数试验,但本部分仅涉及使用统计方法分析试验数据的内容。</w:t>
            </w:r>
          </w:p>
        </w:tc>
        <w:tc>
          <w:tcPr>
            <w:tcW w:w="2960" w:type="dxa"/>
            <w:shd w:val="clear" w:color="auto" w:fill="auto"/>
            <w:vAlign w:val="center"/>
          </w:tcPr>
          <w:p w14:paraId="1DDDEA36">
            <w:pPr>
              <w:spacing w:line="240" w:lineRule="auto"/>
              <w:jc w:val="center"/>
              <w:rPr>
                <w:rFonts w:hint="eastAsia" w:ascii="仿宋" w:hAnsi="仿宋" w:eastAsia="仿宋" w:cs="仿宋"/>
                <w:color w:val="auto"/>
                <w:sz w:val="21"/>
                <w:szCs w:val="21"/>
                <w:highlight w:val="none"/>
                <w:vertAlign w:val="baseline"/>
                <w:lang w:val="en-US" w:eastAsia="zh-CN"/>
              </w:rPr>
            </w:pPr>
          </w:p>
        </w:tc>
      </w:tr>
      <w:tr w14:paraId="5D0B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31B2261E">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24</w:t>
            </w:r>
          </w:p>
        </w:tc>
        <w:tc>
          <w:tcPr>
            <w:tcW w:w="3579" w:type="dxa"/>
            <w:shd w:val="clear" w:color="auto" w:fill="auto"/>
            <w:vAlign w:val="center"/>
          </w:tcPr>
          <w:p w14:paraId="760D4C3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5080.2-2012</w:t>
            </w:r>
          </w:p>
        </w:tc>
        <w:tc>
          <w:tcPr>
            <w:tcW w:w="1885" w:type="dxa"/>
            <w:shd w:val="clear" w:color="auto" w:fill="auto"/>
            <w:vAlign w:val="center"/>
          </w:tcPr>
          <w:p w14:paraId="79FAFDD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5080.2-2012</w:t>
            </w:r>
          </w:p>
        </w:tc>
        <w:tc>
          <w:tcPr>
            <w:tcW w:w="1266" w:type="dxa"/>
            <w:shd w:val="clear" w:color="auto" w:fill="auto"/>
            <w:vAlign w:val="center"/>
          </w:tcPr>
          <w:p w14:paraId="372B2BD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077780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本部分适用于GB/T5080.1—2012中8.1和8.2所述的不修理产品或修理产品可靠性试验工作与环境条件试验周期的设计。</w:t>
            </w:r>
          </w:p>
          <w:p w14:paraId="1F3ADAB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推荐的试验条件见GB/T7288—1987《设备可靠性试验 推荐的试验条件》。当“推荐的试验条件”不适用时,本部分给出了试验周期设计的一般程序,它为需要精确模拟实际使用条件的特定产品可靠性试验的试验周期设计规定了详细的步骤和方法。</w:t>
            </w:r>
          </w:p>
          <w:p w14:paraId="64F5B97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按本部分设计的试验,一般不能代替通常的功能特性试验、环境试验和鉴定试验。</w:t>
            </w:r>
          </w:p>
          <w:p w14:paraId="34ED69B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某些情况下,在应用以本部分所述方法设计的试验周期进行试验之前有必要进行预先暴露试验,而判定是否要进行预先暴露试验的根据并不在本部分描述。</w:t>
            </w:r>
          </w:p>
        </w:tc>
        <w:tc>
          <w:tcPr>
            <w:tcW w:w="2960" w:type="dxa"/>
            <w:shd w:val="clear" w:color="auto" w:fill="auto"/>
            <w:vAlign w:val="center"/>
          </w:tcPr>
          <w:p w14:paraId="40CADA3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8D3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752AAC1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25</w:t>
            </w:r>
          </w:p>
        </w:tc>
        <w:tc>
          <w:tcPr>
            <w:tcW w:w="3579" w:type="dxa"/>
            <w:shd w:val="clear" w:color="auto" w:fill="auto"/>
            <w:vAlign w:val="center"/>
          </w:tcPr>
          <w:p w14:paraId="75099A4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稳态可用性验证试验方法</w:t>
            </w:r>
          </w:p>
        </w:tc>
        <w:tc>
          <w:tcPr>
            <w:tcW w:w="1885" w:type="dxa"/>
            <w:shd w:val="clear" w:color="auto" w:fill="auto"/>
            <w:vAlign w:val="center"/>
          </w:tcPr>
          <w:p w14:paraId="6F17B88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15647-1995</w:t>
            </w:r>
          </w:p>
        </w:tc>
        <w:tc>
          <w:tcPr>
            <w:tcW w:w="1266" w:type="dxa"/>
            <w:shd w:val="clear" w:color="auto" w:fill="auto"/>
            <w:vAlign w:val="center"/>
          </w:tcPr>
          <w:p w14:paraId="29646BB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AE0261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以稳态可用性或稳态不可用性为可用性指标、能经常维修的产品的可用性验证试验方法。本标准适用于满足下述条件、只有可用和不可用这两种状态的产品进行稳态可用性验证试验：a.单个可修理产品；b.所有可用时间服从同一指数分布；c.尽管预防维修时间有可能影响可用性，但它不算入不可用时间内；d.所有不可用时间的项目须在要求或试验规范中清楚地陈述；e.可靠性很高的产品需要特别长的时间去做验证试验；f.验证试验方法采用稳态不可用性作补充。</w:t>
            </w:r>
          </w:p>
        </w:tc>
        <w:tc>
          <w:tcPr>
            <w:tcW w:w="2960" w:type="dxa"/>
            <w:shd w:val="clear" w:color="auto" w:fill="auto"/>
            <w:vAlign w:val="center"/>
          </w:tcPr>
          <w:p w14:paraId="53466200">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856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197E644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26</w:t>
            </w:r>
          </w:p>
        </w:tc>
        <w:tc>
          <w:tcPr>
            <w:tcW w:w="3579" w:type="dxa"/>
            <w:shd w:val="clear" w:color="auto" w:fill="auto"/>
            <w:vAlign w:val="center"/>
          </w:tcPr>
          <w:p w14:paraId="002A30F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设备可靠性试验 恒定失效率假设下的失效率与平均无故障时间的验证试验方案</w:t>
            </w:r>
          </w:p>
        </w:tc>
        <w:tc>
          <w:tcPr>
            <w:tcW w:w="1885" w:type="dxa"/>
            <w:shd w:val="clear" w:color="auto" w:fill="auto"/>
            <w:vAlign w:val="center"/>
          </w:tcPr>
          <w:p w14:paraId="0A9EAF4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5080.7-1986</w:t>
            </w:r>
          </w:p>
        </w:tc>
        <w:tc>
          <w:tcPr>
            <w:tcW w:w="1266" w:type="dxa"/>
            <w:shd w:val="clear" w:color="auto" w:fill="auto"/>
            <w:vAlign w:val="center"/>
          </w:tcPr>
          <w:p w14:paraId="30AD48FC">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E54616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本部分假定相邻失效间时间（对可修复设备）或失效前时间（对不可修复设备）的统计分布是服从指数分布的，即失效率为常数。</w:t>
            </w:r>
          </w:p>
        </w:tc>
        <w:tc>
          <w:tcPr>
            <w:tcW w:w="2960" w:type="dxa"/>
            <w:shd w:val="clear" w:color="auto" w:fill="auto"/>
            <w:vAlign w:val="center"/>
          </w:tcPr>
          <w:p w14:paraId="309D7784">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16A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073792E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27</w:t>
            </w:r>
          </w:p>
        </w:tc>
        <w:tc>
          <w:tcPr>
            <w:tcW w:w="3579" w:type="dxa"/>
            <w:shd w:val="clear" w:color="auto" w:fill="auto"/>
            <w:vAlign w:val="center"/>
          </w:tcPr>
          <w:p w14:paraId="4A266B0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ab/>
            </w:r>
            <w:r>
              <w:rPr>
                <w:rFonts w:hint="eastAsia" w:ascii="仿宋" w:hAnsi="仿宋" w:eastAsia="仿宋" w:cs="仿宋"/>
                <w:color w:val="auto"/>
                <w:sz w:val="21"/>
                <w:szCs w:val="21"/>
                <w:highlight w:val="none"/>
                <w:vertAlign w:val="baseline"/>
              </w:rPr>
              <w:t>公安视频图像信息应用系统 第1部分：通用技术要求</w:t>
            </w:r>
          </w:p>
        </w:tc>
        <w:tc>
          <w:tcPr>
            <w:tcW w:w="1885" w:type="dxa"/>
            <w:shd w:val="clear" w:color="auto" w:fill="auto"/>
            <w:vAlign w:val="center"/>
          </w:tcPr>
          <w:p w14:paraId="48CCE3CA">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GA/T 1400.1-2017  </w:t>
            </w:r>
          </w:p>
        </w:tc>
        <w:tc>
          <w:tcPr>
            <w:tcW w:w="1266" w:type="dxa"/>
            <w:shd w:val="clear" w:color="auto" w:fill="auto"/>
            <w:vAlign w:val="center"/>
          </w:tcPr>
          <w:p w14:paraId="1FC4D3B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Merge w:val="restart"/>
            <w:shd w:val="clear" w:color="auto" w:fill="auto"/>
            <w:vAlign w:val="center"/>
          </w:tcPr>
          <w:p w14:paraId="4D733C8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行业标准《公安视频图像信息应用系统 第1部分：通用技术要求》由全国安全防范报警系统标准化技术委员会（SAC/TC100）归口上报，主管部门为公安部。</w:t>
            </w:r>
          </w:p>
        </w:tc>
        <w:tc>
          <w:tcPr>
            <w:tcW w:w="2960" w:type="dxa"/>
            <w:shd w:val="clear" w:color="auto" w:fill="auto"/>
            <w:vAlign w:val="center"/>
          </w:tcPr>
          <w:p w14:paraId="426CA46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17E7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072320B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28</w:t>
            </w:r>
          </w:p>
        </w:tc>
        <w:tc>
          <w:tcPr>
            <w:tcW w:w="3579" w:type="dxa"/>
            <w:shd w:val="clear" w:color="auto" w:fill="auto"/>
            <w:vAlign w:val="center"/>
          </w:tcPr>
          <w:p w14:paraId="582EE0E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公安视频图像信息应用系统 第2部分：应用平台技术要求</w:t>
            </w:r>
          </w:p>
        </w:tc>
        <w:tc>
          <w:tcPr>
            <w:tcW w:w="1885" w:type="dxa"/>
            <w:shd w:val="clear" w:color="auto" w:fill="auto"/>
            <w:vAlign w:val="center"/>
          </w:tcPr>
          <w:p w14:paraId="07BADA44">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GA/T 1400.2-2017 </w:t>
            </w:r>
          </w:p>
        </w:tc>
        <w:tc>
          <w:tcPr>
            <w:tcW w:w="1266" w:type="dxa"/>
            <w:shd w:val="clear" w:color="auto" w:fill="auto"/>
            <w:vAlign w:val="center"/>
          </w:tcPr>
          <w:p w14:paraId="60EFB86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Merge w:val="continue"/>
            <w:shd w:val="clear" w:color="auto" w:fill="auto"/>
            <w:vAlign w:val="center"/>
          </w:tcPr>
          <w:p w14:paraId="3F24B864">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7EC531D5">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E49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AD4BF51">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29</w:t>
            </w:r>
          </w:p>
        </w:tc>
        <w:tc>
          <w:tcPr>
            <w:tcW w:w="3579" w:type="dxa"/>
            <w:shd w:val="clear" w:color="auto" w:fill="auto"/>
            <w:vAlign w:val="center"/>
          </w:tcPr>
          <w:p w14:paraId="43BD25A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公安视频图像信息应用系统 第3部分：数据库技术要求</w:t>
            </w:r>
          </w:p>
        </w:tc>
        <w:tc>
          <w:tcPr>
            <w:tcW w:w="1885" w:type="dxa"/>
            <w:shd w:val="clear" w:color="auto" w:fill="auto"/>
            <w:vAlign w:val="center"/>
          </w:tcPr>
          <w:p w14:paraId="48263EF5">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GA/T 1400.3-2017 </w:t>
            </w:r>
          </w:p>
        </w:tc>
        <w:tc>
          <w:tcPr>
            <w:tcW w:w="1266" w:type="dxa"/>
            <w:shd w:val="clear" w:color="auto" w:fill="auto"/>
            <w:vAlign w:val="center"/>
          </w:tcPr>
          <w:p w14:paraId="0C4F547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Merge w:val="continue"/>
            <w:shd w:val="clear" w:color="auto" w:fill="auto"/>
            <w:vAlign w:val="center"/>
          </w:tcPr>
          <w:p w14:paraId="1F42FABB">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46156966">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D3E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7BB87CC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30</w:t>
            </w:r>
          </w:p>
        </w:tc>
        <w:tc>
          <w:tcPr>
            <w:tcW w:w="3579" w:type="dxa"/>
            <w:shd w:val="clear" w:color="auto" w:fill="auto"/>
            <w:vAlign w:val="center"/>
          </w:tcPr>
          <w:p w14:paraId="3D308D6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公安视频图像信息应用系统 第4部分：接口协议要求</w:t>
            </w:r>
          </w:p>
        </w:tc>
        <w:tc>
          <w:tcPr>
            <w:tcW w:w="1885" w:type="dxa"/>
            <w:shd w:val="clear" w:color="auto" w:fill="auto"/>
            <w:vAlign w:val="center"/>
          </w:tcPr>
          <w:p w14:paraId="63965702">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GA/T 1400.4-2017 </w:t>
            </w:r>
          </w:p>
        </w:tc>
        <w:tc>
          <w:tcPr>
            <w:tcW w:w="1266" w:type="dxa"/>
            <w:shd w:val="clear" w:color="auto" w:fill="auto"/>
            <w:vAlign w:val="center"/>
          </w:tcPr>
          <w:p w14:paraId="7E5F01A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vMerge w:val="continue"/>
            <w:shd w:val="clear" w:color="auto" w:fill="auto"/>
            <w:vAlign w:val="center"/>
          </w:tcPr>
          <w:p w14:paraId="74CCB114">
            <w:pPr>
              <w:spacing w:line="240" w:lineRule="auto"/>
              <w:jc w:val="center"/>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363DA2E3">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F98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4C6474F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31</w:t>
            </w:r>
          </w:p>
        </w:tc>
        <w:tc>
          <w:tcPr>
            <w:tcW w:w="3579" w:type="dxa"/>
            <w:shd w:val="clear" w:color="auto" w:fill="auto"/>
            <w:vAlign w:val="center"/>
          </w:tcPr>
          <w:p w14:paraId="086D4DF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公共安全视频监控联网信息安全技术要求</w:t>
            </w:r>
          </w:p>
        </w:tc>
        <w:tc>
          <w:tcPr>
            <w:tcW w:w="1885" w:type="dxa"/>
            <w:shd w:val="clear" w:color="auto" w:fill="auto"/>
            <w:vAlign w:val="center"/>
          </w:tcPr>
          <w:p w14:paraId="4EFBD452">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 xml:space="preserve">GB 35114-2017 </w:t>
            </w:r>
          </w:p>
        </w:tc>
        <w:tc>
          <w:tcPr>
            <w:tcW w:w="1266" w:type="dxa"/>
            <w:shd w:val="clear" w:color="auto" w:fill="auto"/>
            <w:vAlign w:val="center"/>
          </w:tcPr>
          <w:p w14:paraId="629D1DF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06E2EA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国家标准《公共安全视频监控联网信息安全技术要求》 由312（公安部）归口，委托TC100（全国安全防范报警系统标准化技术委员会）执行 。</w:t>
            </w:r>
          </w:p>
        </w:tc>
        <w:tc>
          <w:tcPr>
            <w:tcW w:w="2960" w:type="dxa"/>
            <w:shd w:val="clear" w:color="auto" w:fill="auto"/>
            <w:vAlign w:val="center"/>
          </w:tcPr>
          <w:p w14:paraId="087DAC87">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794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162D559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32</w:t>
            </w:r>
          </w:p>
        </w:tc>
        <w:tc>
          <w:tcPr>
            <w:tcW w:w="3579" w:type="dxa"/>
            <w:shd w:val="clear" w:color="auto" w:fill="auto"/>
            <w:vAlign w:val="center"/>
          </w:tcPr>
          <w:p w14:paraId="5BC2B35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Telcordia SR-332</w:t>
            </w:r>
          </w:p>
        </w:tc>
        <w:tc>
          <w:tcPr>
            <w:tcW w:w="1885" w:type="dxa"/>
            <w:shd w:val="clear" w:color="auto" w:fill="auto"/>
            <w:vAlign w:val="center"/>
          </w:tcPr>
          <w:p w14:paraId="1E1928DC">
            <w:pPr>
              <w:spacing w:line="240" w:lineRule="auto"/>
              <w:jc w:val="center"/>
              <w:rPr>
                <w:rFonts w:hint="eastAsia" w:ascii="仿宋" w:hAnsi="仿宋" w:eastAsia="仿宋" w:cs="仿宋"/>
                <w:color w:val="auto"/>
                <w:sz w:val="21"/>
                <w:szCs w:val="21"/>
                <w:highlight w:val="none"/>
                <w:vertAlign w:val="baseline"/>
              </w:rPr>
            </w:pPr>
          </w:p>
        </w:tc>
        <w:tc>
          <w:tcPr>
            <w:tcW w:w="1266" w:type="dxa"/>
            <w:shd w:val="clear" w:color="auto" w:fill="auto"/>
            <w:vAlign w:val="center"/>
          </w:tcPr>
          <w:p w14:paraId="4FD7F4C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美国通信行业（原贝尔实验室体系） 制定的可靠性预测方法标准，虽无国际/国家强制力，但因电信巨头（如AT&amp;T、Verizon）的合同要求，已成为全球高可靠电子设备的 事实行业标准。</w:t>
            </w:r>
          </w:p>
        </w:tc>
        <w:tc>
          <w:tcPr>
            <w:tcW w:w="4255" w:type="dxa"/>
            <w:shd w:val="clear" w:color="auto" w:fill="auto"/>
            <w:vAlign w:val="center"/>
          </w:tcPr>
          <w:p w14:paraId="783BC12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SR-332 是电子可靠性工程的“动态数学仿真工具”——通过量化应力、工艺、环境的影响，在设计阶段预判硬件失效风险，尤其擅长优化高可靠、长寿命设备的成本与性能平衡。通过数学模型预测电子设备/组件的失效率（单位：FIT）和平均无故障时间（MTTF）。</w:t>
            </w:r>
          </w:p>
        </w:tc>
        <w:tc>
          <w:tcPr>
            <w:tcW w:w="2960" w:type="dxa"/>
            <w:shd w:val="clear" w:color="auto" w:fill="auto"/>
            <w:vAlign w:val="center"/>
          </w:tcPr>
          <w:p w14:paraId="7F07807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848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0620B03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33</w:t>
            </w:r>
          </w:p>
        </w:tc>
        <w:tc>
          <w:tcPr>
            <w:tcW w:w="3579" w:type="dxa"/>
            <w:shd w:val="clear" w:color="auto" w:fill="auto"/>
            <w:vAlign w:val="center"/>
          </w:tcPr>
          <w:p w14:paraId="330B640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国家标准《信息技术 计算机图形 与图形设备会话的接口技术（CGI） 功能说明 第5部分:输入和应答》</w:t>
            </w:r>
          </w:p>
        </w:tc>
        <w:tc>
          <w:tcPr>
            <w:tcW w:w="1885" w:type="dxa"/>
            <w:shd w:val="clear" w:color="auto" w:fill="auto"/>
            <w:vAlign w:val="center"/>
          </w:tcPr>
          <w:p w14:paraId="18DF753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ab/>
            </w:r>
            <w:r>
              <w:rPr>
                <w:rFonts w:hint="eastAsia" w:ascii="仿宋" w:hAnsi="仿宋" w:eastAsia="仿宋" w:cs="仿宋"/>
                <w:color w:val="auto"/>
                <w:sz w:val="21"/>
                <w:szCs w:val="21"/>
                <w:highlight w:val="none"/>
                <w:vertAlign w:val="baseline"/>
              </w:rPr>
              <w:t>GB/T 17192.5-2000</w:t>
            </w:r>
          </w:p>
        </w:tc>
        <w:tc>
          <w:tcPr>
            <w:tcW w:w="1266" w:type="dxa"/>
            <w:shd w:val="clear" w:color="auto" w:fill="auto"/>
            <w:vAlign w:val="center"/>
          </w:tcPr>
          <w:p w14:paraId="2813CEC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4413014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国家标准《信息技术 计算机图形 与图形设备会话的接口技术（CGI） 功能说明 第5部分:输入和应答》 由TC28（全国信息技术标准化技术委员会）归口，TC28SC24（全国信息技术标准化技术委员会计算机图形图像处理及环境数据表示分会）执行 ，主管部门为国家标准委。</w:t>
            </w:r>
          </w:p>
        </w:tc>
        <w:tc>
          <w:tcPr>
            <w:tcW w:w="2960" w:type="dxa"/>
            <w:shd w:val="clear" w:color="auto" w:fill="auto"/>
            <w:vAlign w:val="center"/>
          </w:tcPr>
          <w:p w14:paraId="14FDAD37">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D3F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6A9498E7">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34</w:t>
            </w:r>
          </w:p>
        </w:tc>
        <w:tc>
          <w:tcPr>
            <w:tcW w:w="3579" w:type="dxa"/>
            <w:shd w:val="clear" w:color="auto" w:fill="auto"/>
            <w:vAlign w:val="center"/>
          </w:tcPr>
          <w:p w14:paraId="11BDA58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国际安防标准化组织 ONVIF 制定的设备互操作性规范，旨在简化不同厂商设备的集成与管理。</w:t>
            </w:r>
          </w:p>
        </w:tc>
        <w:tc>
          <w:tcPr>
            <w:tcW w:w="1885" w:type="dxa"/>
            <w:shd w:val="clear" w:color="auto" w:fill="auto"/>
            <w:vAlign w:val="center"/>
          </w:tcPr>
          <w:p w14:paraId="4925F44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ONVIF（Profile S/Profile G/Profile T）</w:t>
            </w:r>
          </w:p>
        </w:tc>
        <w:tc>
          <w:tcPr>
            <w:tcW w:w="1266" w:type="dxa"/>
            <w:shd w:val="clear" w:color="auto" w:fill="auto"/>
            <w:vAlign w:val="center"/>
          </w:tcPr>
          <w:p w14:paraId="14FDACB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1BFED5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演进路径：Profile S（基础流媒体）→ Profile G（存储管理）→ Profile T（智能压缩与分析）</w:t>
            </w:r>
          </w:p>
          <w:p w14:paraId="08A1170A">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实时监控项目：Profile S（必选）。</w:t>
            </w:r>
          </w:p>
          <w:p w14:paraId="245EB49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录像回溯系统：Profile G（搭配 S 使用）。</w:t>
            </w:r>
          </w:p>
          <w:p w14:paraId="23DFACEB">
            <w:pPr>
              <w:spacing w:line="240" w:lineRule="auto"/>
              <w:jc w:val="left"/>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rPr>
              <w:t>智能安防升级：Profile T（支持 H.265/AI 元数据）。</w:t>
            </w:r>
          </w:p>
          <w:p w14:paraId="10921ED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ONVIF Profiles 通过模块化设计，显著降低系统集成复杂度，推动安防设备走向开放生态。截至 2024 年，主流厂商设备已普遍支持多 Profile 组合，用户可根据项目需求灵活选型</w:t>
            </w:r>
          </w:p>
        </w:tc>
        <w:tc>
          <w:tcPr>
            <w:tcW w:w="2960" w:type="dxa"/>
            <w:shd w:val="clear" w:color="auto" w:fill="auto"/>
            <w:vAlign w:val="center"/>
          </w:tcPr>
          <w:p w14:paraId="76AED94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767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27922E8A">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35</w:t>
            </w:r>
          </w:p>
        </w:tc>
        <w:tc>
          <w:tcPr>
            <w:tcW w:w="3579" w:type="dxa"/>
            <w:shd w:val="clear" w:color="auto" w:fill="auto"/>
            <w:vAlign w:val="center"/>
          </w:tcPr>
          <w:p w14:paraId="2237E3C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信息技术 大数据存储与处理系统功能要求</w:t>
            </w:r>
          </w:p>
        </w:tc>
        <w:tc>
          <w:tcPr>
            <w:tcW w:w="1885" w:type="dxa"/>
            <w:shd w:val="clear" w:color="auto" w:fill="auto"/>
            <w:vAlign w:val="center"/>
          </w:tcPr>
          <w:p w14:paraId="23A7F46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37722-2019</w:t>
            </w:r>
          </w:p>
        </w:tc>
        <w:tc>
          <w:tcPr>
            <w:tcW w:w="1266" w:type="dxa"/>
            <w:shd w:val="clear" w:color="auto" w:fill="auto"/>
            <w:vAlign w:val="center"/>
          </w:tcPr>
          <w:p w14:paraId="62FAAB1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412A4B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大数据存储与处理系统的分布式文件存储、分布式结构化数据存储、分布式列式数据存储、分布式图数据存储、批处理框架、流处理框架、图计算框架、内存计算框架和批流融合计算框架等的功能要求。本标准适用于大数据存储与处理系统的设计、开发和应用部署。</w:t>
            </w:r>
          </w:p>
        </w:tc>
        <w:tc>
          <w:tcPr>
            <w:tcW w:w="2960" w:type="dxa"/>
            <w:shd w:val="clear" w:color="auto" w:fill="auto"/>
            <w:vAlign w:val="center"/>
          </w:tcPr>
          <w:p w14:paraId="2B16908B">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798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210A9EFE">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36</w:t>
            </w:r>
          </w:p>
        </w:tc>
        <w:tc>
          <w:tcPr>
            <w:tcW w:w="3579" w:type="dxa"/>
            <w:shd w:val="clear" w:color="auto" w:fill="auto"/>
            <w:vAlign w:val="center"/>
          </w:tcPr>
          <w:p w14:paraId="6A911E5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信息技术 云计算 分布式块存储系统总体技术要求</w:t>
            </w:r>
          </w:p>
        </w:tc>
        <w:tc>
          <w:tcPr>
            <w:tcW w:w="1885" w:type="dxa"/>
            <w:shd w:val="clear" w:color="auto" w:fill="auto"/>
            <w:vAlign w:val="center"/>
          </w:tcPr>
          <w:p w14:paraId="0707EC6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37737-2019</w:t>
            </w:r>
          </w:p>
        </w:tc>
        <w:tc>
          <w:tcPr>
            <w:tcW w:w="1266" w:type="dxa"/>
            <w:shd w:val="clear" w:color="auto" w:fill="auto"/>
            <w:vAlign w:val="center"/>
          </w:tcPr>
          <w:p w14:paraId="745EA416">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810FC0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本标准规定了分布式块存储系统的资源管理功能要求、系统管理功能要求、可扩展要求、兼容性要求和安全性要求。</w:t>
            </w:r>
          </w:p>
          <w:p w14:paraId="4C86D89E">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本标准适用于分布式块存储系统的研发和应用。</w:t>
            </w:r>
          </w:p>
        </w:tc>
        <w:tc>
          <w:tcPr>
            <w:tcW w:w="2960" w:type="dxa"/>
            <w:shd w:val="clear" w:color="auto" w:fill="auto"/>
            <w:vAlign w:val="center"/>
          </w:tcPr>
          <w:p w14:paraId="6DA948C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07F5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0AB78C18">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37</w:t>
            </w:r>
          </w:p>
        </w:tc>
        <w:tc>
          <w:tcPr>
            <w:tcW w:w="3579" w:type="dxa"/>
            <w:shd w:val="clear" w:color="auto" w:fill="auto"/>
            <w:vAlign w:val="center"/>
          </w:tcPr>
          <w:p w14:paraId="7973F3F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城市监控报警联网系统技术标准 第7部分：管理平台技术要求</w:t>
            </w:r>
          </w:p>
        </w:tc>
        <w:tc>
          <w:tcPr>
            <w:tcW w:w="1885" w:type="dxa"/>
            <w:shd w:val="clear" w:color="auto" w:fill="auto"/>
            <w:vAlign w:val="center"/>
          </w:tcPr>
          <w:p w14:paraId="5F91BC6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669.7-2008</w:t>
            </w:r>
          </w:p>
        </w:tc>
        <w:tc>
          <w:tcPr>
            <w:tcW w:w="1266" w:type="dxa"/>
            <w:shd w:val="clear" w:color="auto" w:fill="auto"/>
            <w:vAlign w:val="center"/>
          </w:tcPr>
          <w:p w14:paraId="16FCFC3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62D254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669《城市监控报警联网系统 技术标准》分为11个部分，本部分为GA/T 669的第7部分。</w:t>
            </w:r>
          </w:p>
          <w:p w14:paraId="6355332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669的本部分规定了城市监控报警联网系统管理平台的设计原则、构成、功能、性能、接口、运行管理、维护以及联网系统的统一编码。</w:t>
            </w:r>
          </w:p>
          <w:p w14:paraId="6D1C468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669的本部分适用于联网系统管理平台的总体规划、方案设计、工程实施、项目验收、运行维护以及与之相关的系统设备开发、生产和质量控制。</w:t>
            </w:r>
          </w:p>
        </w:tc>
        <w:tc>
          <w:tcPr>
            <w:tcW w:w="2960" w:type="dxa"/>
            <w:shd w:val="clear" w:color="auto" w:fill="auto"/>
            <w:vAlign w:val="center"/>
          </w:tcPr>
          <w:p w14:paraId="66D17BE2">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09B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3A2E6FE1">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38</w:t>
            </w:r>
          </w:p>
        </w:tc>
        <w:tc>
          <w:tcPr>
            <w:tcW w:w="3579" w:type="dxa"/>
            <w:shd w:val="clear" w:color="auto" w:fill="auto"/>
            <w:vAlign w:val="center"/>
          </w:tcPr>
          <w:p w14:paraId="6DC9799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视频图像分析仪　第4部分：人脸分析技术要求</w:t>
            </w:r>
          </w:p>
        </w:tc>
        <w:tc>
          <w:tcPr>
            <w:tcW w:w="1885" w:type="dxa"/>
            <w:shd w:val="clear" w:color="auto" w:fill="auto"/>
            <w:vAlign w:val="center"/>
          </w:tcPr>
          <w:p w14:paraId="4614B66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1154.4-2018</w:t>
            </w:r>
          </w:p>
        </w:tc>
        <w:tc>
          <w:tcPr>
            <w:tcW w:w="1266" w:type="dxa"/>
            <w:shd w:val="clear" w:color="auto" w:fill="auto"/>
            <w:vAlign w:val="center"/>
          </w:tcPr>
          <w:p w14:paraId="3210E1F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445B8BF">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FF0000"/>
                <w:sz w:val="21"/>
                <w:szCs w:val="21"/>
                <w:highlight w:val="none"/>
                <w:vertAlign w:val="baseline"/>
              </w:rPr>
              <w:t>GA/T 1154</w:t>
            </w:r>
            <w:r>
              <w:rPr>
                <w:rFonts w:hint="eastAsia" w:ascii="仿宋" w:hAnsi="仿宋" w:eastAsia="仿宋" w:cs="仿宋"/>
                <w:color w:val="auto"/>
                <w:sz w:val="21"/>
                <w:szCs w:val="21"/>
                <w:highlight w:val="none"/>
                <w:vertAlign w:val="baseline"/>
              </w:rPr>
              <w:t>的本部分规定了视频图像分析仪有关人脸分析的技术要求、试验方法和检验规则。</w:t>
            </w:r>
          </w:p>
          <w:p w14:paraId="7ACDCE13">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本部分适用于具备视频图像人脸分析功能的视频图像分析仪的研发、生产和检验。</w:t>
            </w:r>
          </w:p>
        </w:tc>
        <w:tc>
          <w:tcPr>
            <w:tcW w:w="2960" w:type="dxa"/>
            <w:shd w:val="clear" w:color="auto" w:fill="auto"/>
            <w:vAlign w:val="center"/>
          </w:tcPr>
          <w:p w14:paraId="3008FF04">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AC2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1962E80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39</w:t>
            </w:r>
          </w:p>
        </w:tc>
        <w:tc>
          <w:tcPr>
            <w:tcW w:w="3579" w:type="dxa"/>
            <w:shd w:val="clear" w:color="auto" w:fill="auto"/>
            <w:vAlign w:val="center"/>
          </w:tcPr>
          <w:p w14:paraId="1785DE0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通过式金属探测门通用技术规范</w:t>
            </w:r>
          </w:p>
        </w:tc>
        <w:tc>
          <w:tcPr>
            <w:tcW w:w="1885" w:type="dxa"/>
            <w:shd w:val="clear" w:color="auto" w:fill="auto"/>
            <w:vAlign w:val="center"/>
          </w:tcPr>
          <w:p w14:paraId="7134042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15210-2018</w:t>
            </w:r>
          </w:p>
        </w:tc>
        <w:tc>
          <w:tcPr>
            <w:tcW w:w="1266" w:type="dxa"/>
            <w:shd w:val="clear" w:color="auto" w:fill="auto"/>
            <w:vAlign w:val="center"/>
          </w:tcPr>
          <w:p w14:paraId="5E819556">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5E4BCD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本标准规定了通过式金属探测门的技术要求、试验方法、检验规则、标识、标志、标签和包装、随机技术文件等。</w:t>
            </w:r>
          </w:p>
          <w:p w14:paraId="4527D280">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本标准适用于检查金属武器和金属违禁品的通过式金属探测门，其它用途的通过式金属探测门可参照执行。</w:t>
            </w:r>
          </w:p>
        </w:tc>
        <w:tc>
          <w:tcPr>
            <w:tcW w:w="2960" w:type="dxa"/>
            <w:shd w:val="clear" w:color="auto" w:fill="auto"/>
            <w:vAlign w:val="center"/>
          </w:tcPr>
          <w:p w14:paraId="0456E1B3">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659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6BFF34D0">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40</w:t>
            </w:r>
          </w:p>
        </w:tc>
        <w:tc>
          <w:tcPr>
            <w:tcW w:w="3579" w:type="dxa"/>
            <w:shd w:val="clear" w:color="auto" w:fill="auto"/>
            <w:vAlign w:val="center"/>
          </w:tcPr>
          <w:p w14:paraId="04E71D3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出入口控制系统技术要求</w:t>
            </w:r>
          </w:p>
        </w:tc>
        <w:tc>
          <w:tcPr>
            <w:tcW w:w="1885" w:type="dxa"/>
            <w:shd w:val="clear" w:color="auto" w:fill="auto"/>
            <w:vAlign w:val="center"/>
          </w:tcPr>
          <w:p w14:paraId="29FC038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37078-2018</w:t>
            </w:r>
          </w:p>
        </w:tc>
        <w:tc>
          <w:tcPr>
            <w:tcW w:w="1266" w:type="dxa"/>
            <w:shd w:val="clear" w:color="auto" w:fill="auto"/>
            <w:vAlign w:val="center"/>
          </w:tcPr>
          <w:p w14:paraId="1DADC8D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6B7F4DB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本标准规定了出入口控制系统的构成与应用模式、安全等级、功能与性能要求、安全性要求、电磁兼容性要求、可靠性要求、环境适应性要求、标志以及文件提供。</w:t>
            </w:r>
          </w:p>
          <w:p w14:paraId="2236631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本标准适用于以安全防范为目的，对指定目标进行授权、识别和控制的，单独的出入口控制系统；也适用于其他电子系统中所包含的出入口控制系统。</w:t>
            </w:r>
          </w:p>
          <w:p w14:paraId="0CB6865E">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注：本标准可作为设计、检测和验收出入口控制系统的基本依据。</w:t>
            </w:r>
          </w:p>
        </w:tc>
        <w:tc>
          <w:tcPr>
            <w:tcW w:w="2960" w:type="dxa"/>
            <w:shd w:val="clear" w:color="auto" w:fill="auto"/>
            <w:vAlign w:val="center"/>
          </w:tcPr>
          <w:p w14:paraId="68B91F4C">
            <w:pPr>
              <w:spacing w:line="240" w:lineRule="auto"/>
              <w:jc w:val="center"/>
              <w:rPr>
                <w:rFonts w:hint="eastAsia" w:ascii="仿宋" w:hAnsi="仿宋" w:eastAsia="仿宋" w:cs="仿宋"/>
                <w:color w:val="auto"/>
                <w:sz w:val="21"/>
                <w:szCs w:val="21"/>
                <w:highlight w:val="none"/>
                <w:vertAlign w:val="baseline"/>
                <w:lang w:val="en-US" w:eastAsia="zh-CN"/>
              </w:rPr>
            </w:pPr>
          </w:p>
        </w:tc>
      </w:tr>
      <w:tr w14:paraId="3484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6AFA314D">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41</w:t>
            </w:r>
          </w:p>
        </w:tc>
        <w:tc>
          <w:tcPr>
            <w:tcW w:w="3579" w:type="dxa"/>
            <w:shd w:val="clear" w:color="auto" w:fill="auto"/>
            <w:vAlign w:val="center"/>
          </w:tcPr>
          <w:p w14:paraId="0640311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出入囗控制系统 编码识读设备</w:t>
            </w:r>
          </w:p>
        </w:tc>
        <w:tc>
          <w:tcPr>
            <w:tcW w:w="1885" w:type="dxa"/>
            <w:shd w:val="clear" w:color="auto" w:fill="auto"/>
            <w:vAlign w:val="center"/>
          </w:tcPr>
          <w:p w14:paraId="2793A1F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1738-2020</w:t>
            </w:r>
          </w:p>
        </w:tc>
        <w:tc>
          <w:tcPr>
            <w:tcW w:w="1266" w:type="dxa"/>
            <w:shd w:val="clear" w:color="auto" w:fill="auto"/>
            <w:vAlign w:val="center"/>
          </w:tcPr>
          <w:p w14:paraId="3905789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3A0E6FD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本标准规定了出入口控制系统中编码识读设备的构成、分类分级和标识、功能及性能、供电、电气安全性、环境适应性、电磁兼容性、试验方法、检验规则、文件提供，以及标志、包装、运输和贮存。</w:t>
            </w:r>
          </w:p>
          <w:p w14:paraId="7A671F4B">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本标准适用于出入口控制系统编码识读设备的设计、制造和检验。</w:t>
            </w:r>
          </w:p>
        </w:tc>
        <w:tc>
          <w:tcPr>
            <w:tcW w:w="2960" w:type="dxa"/>
            <w:shd w:val="clear" w:color="auto" w:fill="auto"/>
            <w:vAlign w:val="center"/>
          </w:tcPr>
          <w:p w14:paraId="0EF7822C">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C4A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21D4DB6D">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42</w:t>
            </w:r>
          </w:p>
        </w:tc>
        <w:tc>
          <w:tcPr>
            <w:tcW w:w="3579" w:type="dxa"/>
            <w:shd w:val="clear" w:color="auto" w:fill="auto"/>
            <w:vAlign w:val="center"/>
          </w:tcPr>
          <w:p w14:paraId="02066DE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安全防范 人脸识别应用 出入口控制人脸识别技术要求</w:t>
            </w:r>
          </w:p>
        </w:tc>
        <w:tc>
          <w:tcPr>
            <w:tcW w:w="1885" w:type="dxa"/>
            <w:shd w:val="clear" w:color="auto" w:fill="auto"/>
            <w:vAlign w:val="center"/>
          </w:tcPr>
          <w:p w14:paraId="6D1F2CD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1093-20</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3</w:t>
            </w:r>
          </w:p>
        </w:tc>
        <w:tc>
          <w:tcPr>
            <w:tcW w:w="1266" w:type="dxa"/>
            <w:shd w:val="clear" w:color="auto" w:fill="auto"/>
            <w:vAlign w:val="center"/>
          </w:tcPr>
          <w:p w14:paraId="503A049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7BAE5EA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本文件规定了基于人脸识别技术的出入口控制人脸识别系统的系统构成、功能要求、性能要求、安全要求和标志，描述了试验方法。</w:t>
            </w:r>
          </w:p>
          <w:p w14:paraId="59401B2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本文件适用于以人脸识别为识读控制的出入口控制系统、楼寓对讲系统等出入口控制产品以及人脸识别模块的设计、生产、检验。</w:t>
            </w:r>
          </w:p>
        </w:tc>
        <w:tc>
          <w:tcPr>
            <w:tcW w:w="2960" w:type="dxa"/>
            <w:shd w:val="clear" w:color="auto" w:fill="auto"/>
            <w:vAlign w:val="center"/>
          </w:tcPr>
          <w:p w14:paraId="472F5DB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4C09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2128BB30">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43</w:t>
            </w:r>
          </w:p>
        </w:tc>
        <w:tc>
          <w:tcPr>
            <w:tcW w:w="3579" w:type="dxa"/>
            <w:shd w:val="clear" w:color="auto" w:fill="auto"/>
            <w:vAlign w:val="center"/>
          </w:tcPr>
          <w:p w14:paraId="5603402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出入口控制系统 控制器</w:t>
            </w:r>
          </w:p>
        </w:tc>
        <w:tc>
          <w:tcPr>
            <w:tcW w:w="1885" w:type="dxa"/>
            <w:shd w:val="clear" w:color="auto" w:fill="auto"/>
            <w:vAlign w:val="center"/>
          </w:tcPr>
          <w:p w14:paraId="5880E00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1739-2020</w:t>
            </w:r>
          </w:p>
        </w:tc>
        <w:tc>
          <w:tcPr>
            <w:tcW w:w="1266" w:type="dxa"/>
            <w:shd w:val="clear" w:color="auto" w:fill="auto"/>
            <w:vAlign w:val="center"/>
          </w:tcPr>
          <w:p w14:paraId="74EC6FD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2FC3A0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本标准规定了出入口控制器的设备构成、分类分级与标识、功能及性能、供电、电气安全性、环境适应性、电磁兼容性、试验方法、检验规则、文件提供，以及标志、包装、运输和贮存。</w:t>
            </w:r>
          </w:p>
          <w:p w14:paraId="2D2BD39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本标准适用于出入口控制器的设计、制造和检验。</w:t>
            </w:r>
          </w:p>
        </w:tc>
        <w:tc>
          <w:tcPr>
            <w:tcW w:w="2960" w:type="dxa"/>
            <w:shd w:val="clear" w:color="auto" w:fill="auto"/>
            <w:vAlign w:val="center"/>
          </w:tcPr>
          <w:p w14:paraId="0A75513B">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60A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0460B07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44</w:t>
            </w:r>
          </w:p>
        </w:tc>
        <w:tc>
          <w:tcPr>
            <w:tcW w:w="3579" w:type="dxa"/>
            <w:shd w:val="clear" w:color="auto" w:fill="auto"/>
            <w:vAlign w:val="center"/>
          </w:tcPr>
          <w:p w14:paraId="53C24CB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信息安全技术 交换机安全技术要求</w:t>
            </w:r>
          </w:p>
        </w:tc>
        <w:tc>
          <w:tcPr>
            <w:tcW w:w="1885" w:type="dxa"/>
            <w:shd w:val="clear" w:color="auto" w:fill="auto"/>
            <w:vAlign w:val="center"/>
          </w:tcPr>
          <w:p w14:paraId="59E17CE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GA/T 684-2007</w:t>
            </w:r>
          </w:p>
        </w:tc>
        <w:tc>
          <w:tcPr>
            <w:tcW w:w="1266" w:type="dxa"/>
            <w:shd w:val="clear" w:color="auto" w:fill="auto"/>
            <w:vAlign w:val="center"/>
          </w:tcPr>
          <w:p w14:paraId="7378AE8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FC6AA1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本标准是从信息技术方面详细规定了各安全保护级别的交换机所应具有的安全功能要求和安全保证要求。</w:t>
            </w:r>
          </w:p>
        </w:tc>
        <w:tc>
          <w:tcPr>
            <w:tcW w:w="2960" w:type="dxa"/>
            <w:shd w:val="clear" w:color="auto" w:fill="auto"/>
            <w:vAlign w:val="center"/>
          </w:tcPr>
          <w:p w14:paraId="353B6D61">
            <w:pPr>
              <w:spacing w:line="240" w:lineRule="auto"/>
              <w:jc w:val="center"/>
              <w:rPr>
                <w:rFonts w:hint="eastAsia" w:ascii="仿宋" w:hAnsi="仿宋" w:eastAsia="仿宋" w:cs="仿宋"/>
                <w:color w:val="auto"/>
                <w:sz w:val="21"/>
                <w:szCs w:val="21"/>
                <w:highlight w:val="none"/>
                <w:vertAlign w:val="baseline"/>
                <w:lang w:val="en-US" w:eastAsia="zh-CN"/>
              </w:rPr>
            </w:pPr>
          </w:p>
        </w:tc>
      </w:tr>
      <w:tr w14:paraId="28FD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23830DF9">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45</w:t>
            </w:r>
          </w:p>
        </w:tc>
        <w:tc>
          <w:tcPr>
            <w:tcW w:w="3579" w:type="dxa"/>
            <w:shd w:val="clear" w:color="auto" w:fill="auto"/>
            <w:vAlign w:val="center"/>
          </w:tcPr>
          <w:p w14:paraId="69061C5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公共安全视频监控数字视音频编解码技术要求</w:t>
            </w:r>
          </w:p>
        </w:tc>
        <w:tc>
          <w:tcPr>
            <w:tcW w:w="1885" w:type="dxa"/>
            <w:shd w:val="clear" w:color="auto" w:fill="auto"/>
            <w:vAlign w:val="center"/>
          </w:tcPr>
          <w:p w14:paraId="3C07587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25724-2017</w:t>
            </w:r>
          </w:p>
        </w:tc>
        <w:tc>
          <w:tcPr>
            <w:tcW w:w="1266" w:type="dxa"/>
            <w:shd w:val="clear" w:color="auto" w:fill="auto"/>
            <w:vAlign w:val="center"/>
          </w:tcPr>
          <w:p w14:paraId="125A96D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565975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本标准规定了公共安全视频监控应用的数字视音频压缩编码的解码过程。</w:t>
            </w:r>
          </w:p>
          <w:p w14:paraId="5855647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本标准适用于公共安全领域的视音频实时压缩、传输、播放和存储等业务，其他需要视音频编解码的领域也可参考采用。</w:t>
            </w:r>
          </w:p>
        </w:tc>
        <w:tc>
          <w:tcPr>
            <w:tcW w:w="2960" w:type="dxa"/>
            <w:shd w:val="clear" w:color="auto" w:fill="auto"/>
            <w:vAlign w:val="center"/>
          </w:tcPr>
          <w:p w14:paraId="490ABE89">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261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0" w:type="dxa"/>
            <w:shd w:val="clear" w:color="auto" w:fill="auto"/>
            <w:vAlign w:val="center"/>
          </w:tcPr>
          <w:p w14:paraId="3D45680A">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46</w:t>
            </w:r>
          </w:p>
        </w:tc>
        <w:tc>
          <w:tcPr>
            <w:tcW w:w="3579" w:type="dxa"/>
            <w:shd w:val="clear" w:color="auto" w:fill="auto"/>
            <w:vAlign w:val="center"/>
          </w:tcPr>
          <w:p w14:paraId="097B6FC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《脉冲电子围栏及其安装和安全运行》</w:t>
            </w:r>
          </w:p>
        </w:tc>
        <w:tc>
          <w:tcPr>
            <w:tcW w:w="1885" w:type="dxa"/>
            <w:shd w:val="clear" w:color="auto" w:fill="auto"/>
            <w:vAlign w:val="center"/>
          </w:tcPr>
          <w:p w14:paraId="68F7C08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GB/T 7946-2015</w:t>
            </w:r>
          </w:p>
        </w:tc>
        <w:tc>
          <w:tcPr>
            <w:tcW w:w="1266" w:type="dxa"/>
            <w:shd w:val="clear" w:color="auto" w:fill="auto"/>
            <w:vAlign w:val="center"/>
          </w:tcPr>
          <w:p w14:paraId="2AFFD09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02D0A7A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本标准规定了脉冲电子围栏系统的环境条件、型式、基本参数和技术要求、安装与验收、标志、包装、运输及贮存、运行、使用与维护。 </w:t>
            </w:r>
          </w:p>
          <w:p w14:paraId="0FEE42D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本标准还规定了脉冲电子围栏系统主机的技术要求、试验方法、检验规则。 </w:t>
            </w:r>
          </w:p>
          <w:p w14:paraId="6F19DD2B">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本标准适用于脉冲电子围栏系统。</w:t>
            </w:r>
          </w:p>
        </w:tc>
        <w:tc>
          <w:tcPr>
            <w:tcW w:w="2960" w:type="dxa"/>
            <w:shd w:val="clear" w:color="auto" w:fill="auto"/>
            <w:vAlign w:val="center"/>
          </w:tcPr>
          <w:p w14:paraId="3FDB27A0">
            <w:pPr>
              <w:spacing w:line="240" w:lineRule="auto"/>
              <w:jc w:val="center"/>
              <w:rPr>
                <w:rFonts w:hint="eastAsia" w:ascii="仿宋" w:hAnsi="仿宋" w:eastAsia="仿宋" w:cs="仿宋"/>
                <w:color w:val="auto"/>
                <w:sz w:val="21"/>
                <w:szCs w:val="21"/>
                <w:highlight w:val="none"/>
                <w:vertAlign w:val="baseline"/>
                <w:lang w:val="en-US" w:eastAsia="zh-CN"/>
              </w:rPr>
            </w:pPr>
          </w:p>
        </w:tc>
      </w:tr>
      <w:tr w14:paraId="6E0F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1595EDEF">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47</w:t>
            </w:r>
          </w:p>
        </w:tc>
        <w:tc>
          <w:tcPr>
            <w:tcW w:w="3579" w:type="dxa"/>
            <w:shd w:val="clear" w:color="auto" w:fill="auto"/>
            <w:vAlign w:val="center"/>
          </w:tcPr>
          <w:p w14:paraId="11D4358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入侵和紧急报警系统 控制指示设备</w:t>
            </w:r>
          </w:p>
        </w:tc>
        <w:tc>
          <w:tcPr>
            <w:tcW w:w="1885" w:type="dxa"/>
            <w:shd w:val="clear" w:color="auto" w:fill="auto"/>
            <w:vAlign w:val="center"/>
          </w:tcPr>
          <w:p w14:paraId="7C7921C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12663-2019</w:t>
            </w:r>
          </w:p>
        </w:tc>
        <w:tc>
          <w:tcPr>
            <w:tcW w:w="1266" w:type="dxa"/>
            <w:shd w:val="clear" w:color="auto" w:fill="auto"/>
            <w:vAlign w:val="center"/>
          </w:tcPr>
          <w:p w14:paraId="253DFCA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2B00CBEC">
            <w:pPr>
              <w:spacing w:line="240" w:lineRule="auto"/>
              <w:jc w:val="left"/>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57474148">
            <w:pPr>
              <w:spacing w:line="240" w:lineRule="auto"/>
              <w:jc w:val="center"/>
              <w:rPr>
                <w:rFonts w:hint="eastAsia" w:ascii="仿宋" w:hAnsi="仿宋" w:eastAsia="仿宋" w:cs="仿宋"/>
                <w:color w:val="auto"/>
                <w:sz w:val="21"/>
                <w:szCs w:val="21"/>
                <w:highlight w:val="none"/>
                <w:vertAlign w:val="baseline"/>
                <w:lang w:val="en-US" w:eastAsia="zh-CN"/>
              </w:rPr>
            </w:pPr>
          </w:p>
        </w:tc>
      </w:tr>
      <w:tr w14:paraId="77CB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shd w:val="clear" w:color="auto" w:fill="auto"/>
            <w:vAlign w:val="center"/>
          </w:tcPr>
          <w:p w14:paraId="52D6B849">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48</w:t>
            </w:r>
          </w:p>
        </w:tc>
        <w:tc>
          <w:tcPr>
            <w:tcW w:w="3579" w:type="dxa"/>
            <w:shd w:val="clear" w:color="auto" w:fill="auto"/>
            <w:vAlign w:val="center"/>
          </w:tcPr>
          <w:p w14:paraId="3C338B1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电磁兼容 试验和测量技术 浪涌（冲击）抗扰度试验</w:t>
            </w:r>
          </w:p>
        </w:tc>
        <w:tc>
          <w:tcPr>
            <w:tcW w:w="1885" w:type="dxa"/>
            <w:shd w:val="clear" w:color="auto" w:fill="auto"/>
            <w:vAlign w:val="center"/>
          </w:tcPr>
          <w:p w14:paraId="64DD077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17626.5-2019</w:t>
            </w:r>
          </w:p>
        </w:tc>
        <w:tc>
          <w:tcPr>
            <w:tcW w:w="1266" w:type="dxa"/>
            <w:shd w:val="clear" w:color="auto" w:fill="auto"/>
            <w:vAlign w:val="center"/>
          </w:tcPr>
          <w:p w14:paraId="7CEECC0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255" w:type="dxa"/>
            <w:shd w:val="clear" w:color="auto" w:fill="auto"/>
            <w:vAlign w:val="center"/>
          </w:tcPr>
          <w:p w14:paraId="58576291">
            <w:pPr>
              <w:spacing w:line="240" w:lineRule="auto"/>
              <w:jc w:val="left"/>
              <w:rPr>
                <w:rFonts w:hint="eastAsia" w:ascii="仿宋" w:hAnsi="仿宋" w:eastAsia="仿宋" w:cs="仿宋"/>
                <w:color w:val="auto"/>
                <w:sz w:val="21"/>
                <w:szCs w:val="21"/>
                <w:highlight w:val="none"/>
                <w:vertAlign w:val="baseline"/>
              </w:rPr>
            </w:pPr>
          </w:p>
        </w:tc>
        <w:tc>
          <w:tcPr>
            <w:tcW w:w="2960" w:type="dxa"/>
            <w:shd w:val="clear" w:color="auto" w:fill="auto"/>
            <w:vAlign w:val="center"/>
          </w:tcPr>
          <w:p w14:paraId="7BA8D8B0">
            <w:pPr>
              <w:spacing w:line="240" w:lineRule="auto"/>
              <w:jc w:val="center"/>
              <w:rPr>
                <w:rFonts w:hint="eastAsia" w:ascii="仿宋" w:hAnsi="仿宋" w:eastAsia="仿宋" w:cs="仿宋"/>
                <w:color w:val="auto"/>
                <w:sz w:val="21"/>
                <w:szCs w:val="21"/>
                <w:highlight w:val="none"/>
                <w:vertAlign w:val="baseline"/>
                <w:lang w:val="en-US" w:eastAsia="zh-CN"/>
              </w:rPr>
            </w:pPr>
          </w:p>
        </w:tc>
      </w:tr>
    </w:tbl>
    <w:p w14:paraId="7932EF1E">
      <w:pPr>
        <w:rPr>
          <w:rFonts w:hint="default"/>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71B72"/>
    <w:rsid w:val="014A7AD2"/>
    <w:rsid w:val="049820AD"/>
    <w:rsid w:val="0F7D7428"/>
    <w:rsid w:val="0FAE26E9"/>
    <w:rsid w:val="10154AA8"/>
    <w:rsid w:val="18FE139B"/>
    <w:rsid w:val="1E1F2BF8"/>
    <w:rsid w:val="21FA44D9"/>
    <w:rsid w:val="233204D6"/>
    <w:rsid w:val="24286981"/>
    <w:rsid w:val="26797B39"/>
    <w:rsid w:val="297A7E25"/>
    <w:rsid w:val="2B153F44"/>
    <w:rsid w:val="2B312332"/>
    <w:rsid w:val="2C0C4151"/>
    <w:rsid w:val="34F0546A"/>
    <w:rsid w:val="35D95EFE"/>
    <w:rsid w:val="3FD17678"/>
    <w:rsid w:val="441052AE"/>
    <w:rsid w:val="472F10FD"/>
    <w:rsid w:val="49666B88"/>
    <w:rsid w:val="54A97A16"/>
    <w:rsid w:val="5D101A09"/>
    <w:rsid w:val="5E107AD5"/>
    <w:rsid w:val="5EBB3DE6"/>
    <w:rsid w:val="61D1078E"/>
    <w:rsid w:val="65871B72"/>
    <w:rsid w:val="65A6615E"/>
    <w:rsid w:val="664C74D8"/>
    <w:rsid w:val="66E71979"/>
    <w:rsid w:val="672C0A3A"/>
    <w:rsid w:val="6FE60EE8"/>
    <w:rsid w:val="7232422E"/>
    <w:rsid w:val="78E6342F"/>
    <w:rsid w:val="79C8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5439</Words>
  <Characters>6301</Characters>
  <Lines>0</Lines>
  <Paragraphs>0</Paragraphs>
  <TotalTime>2</TotalTime>
  <ScaleCrop>false</ScaleCrop>
  <LinksUpToDate>false</LinksUpToDate>
  <CharactersWithSpaces>6484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2025-06-19T01:40:00Z</dcterms:created>
  <dc:creator>彭文华</dc:creator>
  <cp:lastModifiedBy>彭文华</cp:lastModifiedBy>
  <dcterms:modified xsi:type="dcterms:W3CDTF">2025-09-26T14:02:43Z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789C14DFE4AA4C3AA265041F44E10B16_13</vt:lpwstr>
  </property>
  <property fmtid="{D5CDD505-2E9C-101B-9397-08002B2CF9AE}" pid="4" name="KSOTemplateDocerSaveRecord">
    <vt:lpwstr>eyJoZGlkIjoiYWQxMGJjMDMzN2FlMzJiNjdhMzQ4ODE1ZjYxNWVmNDUiLCJ1c2VySWQiOiIxNjcxOTk3NTUzIn0=</vt:lpwstr>
  </property>
</Properties>
</file>