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8E44">
      <w:pPr>
        <w:jc w:val="center"/>
        <w:rPr>
          <w:rFonts w:hint="eastAsia" w:eastAsiaTheme="minorEastAsia"/>
          <w:lang w:eastAsia="zh-CN"/>
        </w:rPr>
      </w:pPr>
    </w:p>
    <w:p w14:paraId="5DFE16ED">
      <w:pPr>
        <w:jc w:val="center"/>
        <w:rPr>
          <w:rFonts w:hint="eastAsia" w:eastAsiaTheme="minorEastAsia"/>
          <w:lang w:eastAsia="zh-CN"/>
        </w:rPr>
      </w:pPr>
    </w:p>
    <w:p w14:paraId="0CB00DC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bd9ad6fb793643c18cd8ec318e59d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9ad6fb793643c18cd8ec318e59da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DC80">
      <w:pPr>
        <w:jc w:val="center"/>
        <w:rPr>
          <w:rFonts w:hint="eastAsia" w:eastAsiaTheme="minorEastAsia"/>
          <w:lang w:eastAsia="zh-CN"/>
        </w:rPr>
      </w:pPr>
    </w:p>
    <w:p w14:paraId="4CC2D329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01685" cy="1950720"/>
            <wp:effectExtent l="0" t="0" r="1079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168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0E1F27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01543"/>
    <w:rsid w:val="5F0679B3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2025-11-06T03:50:26Z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