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3409A">
      <w:pPr>
        <w:jc w:val="center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/>
          <w:b/>
          <w:sz w:val="30"/>
          <w:szCs w:val="30"/>
        </w:rPr>
        <w:t>丹阳市交警“320”监控点位更新采购项目变更内容</w:t>
      </w:r>
    </w:p>
    <w:tbl>
      <w:tblPr>
        <w:tblStyle w:val="6"/>
        <w:tblpPr w:leftFromText="180" w:rightFromText="180" w:vertAnchor="text" w:horzAnchor="page" w:tblpX="1692" w:tblpY="370"/>
        <w:tblOverlap w:val="never"/>
        <w:tblW w:w="46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04"/>
        <w:gridCol w:w="2858"/>
        <w:gridCol w:w="2858"/>
      </w:tblGrid>
      <w:tr w14:paraId="15A4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22" w:type="pct"/>
            <w:vAlign w:val="top"/>
          </w:tcPr>
          <w:p w14:paraId="487E225C">
            <w:pPr>
              <w:spacing w:line="240" w:lineRule="auto"/>
              <w:jc w:val="both"/>
              <w:rPr>
                <w:rFonts w:cs="宋体" w:asciiTheme="minorEastAsia" w:hAnsiTheme="minorEastAsia"/>
                <w:b w:val="0"/>
                <w:bCs w:val="0"/>
                <w:kern w:val="0"/>
                <w:sz w:val="16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kern w:val="0"/>
                <w:sz w:val="16"/>
                <w:szCs w:val="18"/>
              </w:rPr>
              <w:t>序号</w:t>
            </w:r>
          </w:p>
        </w:tc>
        <w:tc>
          <w:tcPr>
            <w:tcW w:w="1074" w:type="pct"/>
            <w:vAlign w:val="top"/>
          </w:tcPr>
          <w:p w14:paraId="0C024B3B">
            <w:pPr>
              <w:spacing w:line="240" w:lineRule="auto"/>
              <w:jc w:val="both"/>
              <w:rPr>
                <w:rFonts w:cs="宋体" w:asciiTheme="minorEastAsia" w:hAnsiTheme="minorEastAsia"/>
                <w:b w:val="0"/>
                <w:bCs w:val="0"/>
                <w:kern w:val="0"/>
                <w:sz w:val="16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kern w:val="0"/>
                <w:sz w:val="16"/>
                <w:szCs w:val="18"/>
              </w:rPr>
              <w:t>更正项</w:t>
            </w:r>
          </w:p>
        </w:tc>
        <w:tc>
          <w:tcPr>
            <w:tcW w:w="1801" w:type="pct"/>
            <w:vAlign w:val="top"/>
          </w:tcPr>
          <w:p w14:paraId="30A60FC5">
            <w:pPr>
              <w:spacing w:line="240" w:lineRule="auto"/>
              <w:jc w:val="both"/>
              <w:rPr>
                <w:rFonts w:cs="宋体" w:asciiTheme="minorEastAsia" w:hAnsiTheme="minorEastAsia"/>
                <w:b w:val="0"/>
                <w:bCs w:val="0"/>
                <w:kern w:val="0"/>
                <w:sz w:val="16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kern w:val="0"/>
                <w:sz w:val="16"/>
                <w:szCs w:val="18"/>
              </w:rPr>
              <w:t>更正前内容</w:t>
            </w:r>
          </w:p>
        </w:tc>
        <w:tc>
          <w:tcPr>
            <w:tcW w:w="1801" w:type="pct"/>
            <w:vAlign w:val="top"/>
          </w:tcPr>
          <w:p w14:paraId="2105B261">
            <w:pPr>
              <w:spacing w:line="240" w:lineRule="auto"/>
              <w:jc w:val="both"/>
              <w:rPr>
                <w:rFonts w:cs="宋体" w:asciiTheme="minorEastAsia" w:hAnsiTheme="minorEastAsia"/>
                <w:b w:val="0"/>
                <w:bCs w:val="0"/>
                <w:kern w:val="0"/>
                <w:sz w:val="16"/>
                <w:szCs w:val="18"/>
              </w:rPr>
            </w:pPr>
            <w:r>
              <w:rPr>
                <w:rFonts w:hint="eastAsia" w:asciiTheme="minorEastAsia" w:hAnsiTheme="minorEastAsia"/>
                <w:b w:val="0"/>
                <w:bCs w:val="0"/>
                <w:kern w:val="0"/>
                <w:sz w:val="16"/>
                <w:szCs w:val="18"/>
              </w:rPr>
              <w:t>更正后内容</w:t>
            </w:r>
          </w:p>
        </w:tc>
      </w:tr>
      <w:tr w14:paraId="210A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22" w:type="pct"/>
            <w:vAlign w:val="top"/>
          </w:tcPr>
          <w:p w14:paraId="4F41976A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74" w:type="pct"/>
            <w:vAlign w:val="top"/>
          </w:tcPr>
          <w:p w14:paraId="4A61DCB2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  <w:t>招标文件“第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  <w:t xml:space="preserve">部分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eastAsia="zh-CN"/>
              </w:rPr>
              <w:t>采购需求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  <w:t>”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  <w:t>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val="en-US" w:eastAsia="zh-CN"/>
              </w:rPr>
              <w:t>主要功能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  <w:t>”</w:t>
            </w:r>
          </w:p>
        </w:tc>
        <w:tc>
          <w:tcPr>
            <w:tcW w:w="1801" w:type="pct"/>
            <w:vAlign w:val="top"/>
          </w:tcPr>
          <w:p w14:paraId="77128472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★（五）系统功能对接</w:t>
            </w:r>
          </w:p>
          <w:p w14:paraId="331F54E5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系统具备远程参数设置、时间同步、远程升级、远程重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启等功能。图片、视频、数据、时间、软件等功能均应按照省厅“3.20”统一数据标准和统一数据接口、传输、控制要求接入（需详细列出完整数据项），并与公安交通集成指挥平台、道路交通综合管控等平台无缝对接，实现信息交换与共享、快速反应决策与统一调度指挥。</w:t>
            </w:r>
          </w:p>
          <w:p w14:paraId="6411B8A4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图片（过车、违法等）统一采用 JPEG 格式，图片编码符合 ISO/IEC 15444:2000 要求，并具有防篡改功能。合成违法图片尺寸不大于 2M（即四合一或六合一图片），图片修改时间与实际时间（通过时间或违法时间）相一致；合成图片编排格式应根据交警部门需求灵活调整。</w:t>
            </w:r>
          </w:p>
          <w:p w14:paraId="759BE45D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前端感知的车、人等全项数据，具备上传道路交通综合管控等平台功能，具备直传集成指挥平台功能。</w:t>
            </w:r>
          </w:p>
          <w:p w14:paraId="72BD2463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801" w:type="pct"/>
            <w:vAlign w:val="top"/>
          </w:tcPr>
          <w:p w14:paraId="21434007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（五）系统功能对接</w:t>
            </w:r>
          </w:p>
          <w:p w14:paraId="176F8851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系统具备远程参数设置、时间同步、远程升级、远程重启等功能。图片、视频、数据、时间、软件等功能均应按照省厅“3.20”统一数据标准和统一数据接口、传输、控制要求接入（需详细列出完整数据项），并与公安交通集成指挥平台、道路交通综合管控等平台无缝对接，实现信息交换与共享、快速反应决策与统一调度指挥。</w:t>
            </w:r>
          </w:p>
          <w:p w14:paraId="5AE1EAC8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图片（过车、违法等）统一采用 JPEG 格式，图片编码符合 ISO/IEC 15444:2000 要求，并具有防篡改功能。合成违法图片尺寸不大于 2M（即四合一或六合一图片），图片修改时间与实际时间（通过时间或违法时间）相一致；合成图片编排格式应根据交警部门需求灵活调整。</w:t>
            </w:r>
          </w:p>
          <w:p w14:paraId="140E4409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前端感知的车、人等全项数据，具备上传道路交通综合管控等平台功能，具备直传集成指挥平台功能。</w:t>
            </w:r>
          </w:p>
        </w:tc>
      </w:tr>
      <w:tr w14:paraId="037F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22" w:type="pct"/>
            <w:vAlign w:val="top"/>
          </w:tcPr>
          <w:p w14:paraId="3A9563DE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74" w:type="pct"/>
            <w:vAlign w:val="top"/>
          </w:tcPr>
          <w:p w14:paraId="6822F371">
            <w:pPr>
              <w:widowControl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  <w:t>招标文件“第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  <w:t xml:space="preserve">部分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eastAsia="zh-CN"/>
              </w:rPr>
              <w:t>采购需求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  <w:t>四、系统要求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eastAsia="zh-CN"/>
              </w:rPr>
              <w:t>”</w:t>
            </w:r>
          </w:p>
          <w:p w14:paraId="2914958A">
            <w:pPr>
              <w:pStyle w:val="10"/>
              <w:spacing w:before="69" w:line="240" w:lineRule="auto"/>
              <w:ind w:left="214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801" w:type="pct"/>
            <w:vAlign w:val="top"/>
          </w:tcPr>
          <w:p w14:paraId="6E376780"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★2、系统对接</w:t>
            </w:r>
          </w:p>
          <w:p w14:paraId="52AF3EBC"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本项目建设涉及的产品和系统均应免费开放接口协议，并与公安交通集成指挥、道路交通综合管控等平台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涉及平台接口为国标或部标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实现无缝对接。系统间的对接应符合《安全防范视频监控联网系统信息传输、交换、控制技术要求》（GB/T28181-2016）、《全省“3.20 工程”道路监控系统数据和图像采集标准及传输规范》（苏公厅 2010 第 526 号）等标准规范和文件要求，并根据不同时期交警业务应用需求灵活调整。若对接过程中发生争议，由招标人委托权威机构或专家组进行评估，评估费用由违约方承担；如违约方在限定期限内无法完成对接，由招标人委托第三方完成，产生的费用由违约方承担（费用按市场行情计算）。</w:t>
            </w:r>
          </w:p>
        </w:tc>
        <w:tc>
          <w:tcPr>
            <w:tcW w:w="1801" w:type="pct"/>
            <w:vAlign w:val="top"/>
          </w:tcPr>
          <w:p w14:paraId="7A7BEC32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2、系统对接</w:t>
            </w:r>
          </w:p>
          <w:p w14:paraId="092F596B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本项目建设涉及的产品和系统均应免费开放接口协议，并与公安交通集成指挥、道路交通综合管控等平台（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涉及平台接口为国标或部标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）实现无缝对接。系统间的对接应符合《安全防范视频监控联网系统信息传输、交换、控制技术要求》（GB/T28181-2016）、《全省“3.20 工程”道路监控系统数据和图像采集标准及传输规范》（苏公厅 2010 第 526 号）等标准规范和文件要求，并根据不同时期交警业务应用需求灵活调整。若对接过程中发生争议，由招标人委托权威机构或专家组进行评估，评估费用由违约方承担；如违约方在限定期限内无法完成对接，由招标人委托第三方完成，产生的费用由违约方承担（费用按市场行情计算）。</w:t>
            </w:r>
          </w:p>
        </w:tc>
      </w:tr>
      <w:tr w14:paraId="3E9E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2" w:hRule="atLeast"/>
        </w:trPr>
        <w:tc>
          <w:tcPr>
            <w:tcW w:w="322" w:type="pct"/>
            <w:vAlign w:val="top"/>
          </w:tcPr>
          <w:p w14:paraId="19696DC3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074" w:type="pct"/>
            <w:vAlign w:val="top"/>
          </w:tcPr>
          <w:p w14:paraId="4BB73B26">
            <w:pPr>
              <w:widowControl/>
              <w:numPr>
                <w:ilvl w:val="0"/>
                <w:numId w:val="0"/>
              </w:numPr>
              <w:spacing w:beforeLines="50" w:afterLines="50"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eastAsia="zh-CN"/>
              </w:rPr>
              <w:t>招标文件“第四部分 采购需求”“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eastAsia="zh-CN"/>
              </w:rPr>
              <w:t>第三章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  <w:lang w:eastAsia="zh-CN"/>
              </w:rPr>
              <w:t>商务要求”</w:t>
            </w:r>
          </w:p>
        </w:tc>
        <w:tc>
          <w:tcPr>
            <w:tcW w:w="1801" w:type="pct"/>
            <w:vAlign w:val="top"/>
          </w:tcPr>
          <w:p w14:paraId="2D960783"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★2、质保维保服务团队</w:t>
            </w:r>
          </w:p>
          <w:p w14:paraId="3D277952"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本项目质保维保期内投标人应设立专业团队，至少配备 6 名工程人员（其中至少 1名人员具有高空作业证、1 名人员具有电工证）和 2 名具备专项业务技能的技术工程师、2台以上用于维护的工程车（至少 1 台专项作业工程车），配备前端调试终端2台、公安交通指挥中心工作站2台。此外，至少派遣 1 名技术工程师 （因特殊原因需更换工程师时，应书面报交警部门核准），常驻交通指挥中心服从交警部门管理（工作日、节假日均应派人值守）；技术工程师每天至少应对前端设备和系统运行质态 巡视 1 次，及时统计、分析、汇总存在问题，全程跟踪存在问题的维修、整改、验收、反馈等，次日上班前应提交前端当日维护事项和前一天维护情况，每周一提交上周工作小结、《巡视工作记录表》等；每月 5 日提交上月工作小结；每年提交一次年度工作总结。</w:t>
            </w:r>
          </w:p>
          <w:p w14:paraId="10B140F9">
            <w:pPr>
              <w:pStyle w:val="10"/>
              <w:spacing w:before="69" w:line="240" w:lineRule="auto"/>
              <w:ind w:left="214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801" w:type="pct"/>
            <w:vAlign w:val="top"/>
          </w:tcPr>
          <w:p w14:paraId="2AE722AF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2、质保维保服务团队</w:t>
            </w:r>
          </w:p>
          <w:p w14:paraId="279B5314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★（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）本项目质保维保期内投标人应设立专业团队，至少配备 6 名工程人员（其中至少 1名人员具有高空作业证、1 名人员具有电工证）和 2 名具备专项业务技能的技术工程师、2台以上用于维护的工程车（至少 1 台专项作业工程车），配备前端调试终端2台、公安交通指挥中心工作站2台。此外，至少派遣 1 名技术工程师 （因特殊原因需更换工程师时，应书面报交警部门核准），常驻交通指挥中心服从交警部门管理（工作日、节假日均应派人值守）；</w:t>
            </w:r>
          </w:p>
          <w:p w14:paraId="40B18022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）技术工程师每天至少应对前端设备和系统运行质态 巡视 1 次，及时统计、分析、汇总存在问题，全程跟踪存在问题的维修、整改、验收、反馈等，次日上班前应提交前端当日维护事项和前一天维护情况，每周一提交上周工作小结、《巡视工作记录表》等；每月 5 日提交上月工作小结；每年提交一次年度工作总结。</w:t>
            </w:r>
          </w:p>
          <w:p w14:paraId="6D6C1060">
            <w:pPr>
              <w:pStyle w:val="10"/>
              <w:spacing w:before="69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E63F32">
      <w:pP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</w:p>
    <w:p w14:paraId="54DEAB4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55731132"/>
    </w:sdtPr>
    <w:sdtContent>
      <w:p w14:paraId="0ABF1B7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21"/>
    <w:rsid w:val="00077A65"/>
    <w:rsid w:val="00146ACF"/>
    <w:rsid w:val="00281621"/>
    <w:rsid w:val="00426C1A"/>
    <w:rsid w:val="004C0B16"/>
    <w:rsid w:val="006F4033"/>
    <w:rsid w:val="00CB4E53"/>
    <w:rsid w:val="1BF40050"/>
    <w:rsid w:val="22EC52E4"/>
    <w:rsid w:val="231C4C45"/>
    <w:rsid w:val="313B4368"/>
    <w:rsid w:val="37DD1207"/>
    <w:rsid w:val="39B822CE"/>
    <w:rsid w:val="457A5096"/>
    <w:rsid w:val="47246F9A"/>
    <w:rsid w:val="4C6F6A75"/>
    <w:rsid w:val="5B392E17"/>
    <w:rsid w:val="5E865EFB"/>
    <w:rsid w:val="610453CB"/>
    <w:rsid w:val="633330CC"/>
    <w:rsid w:val="688C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1979</Words>
  <Characters>2069</Characters>
  <Lines>8</Lines>
  <Paragraphs>2</Paragraphs>
  <TotalTime>6</TotalTime>
  <ScaleCrop>false</ScaleCrop>
  <LinksUpToDate>false</LinksUpToDate>
  <CharactersWithSpaces>2128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2025-04-08T01:45:00Z</dcterms:created>
  <dc:creator>_xffff_</dc:creator>
  <cp:lastModifiedBy>心悦成福</cp:lastModifiedBy>
  <cp:lastPrinted>2025-11-25T00:11:00Z</cp:lastPrinted>
  <dcterms:modified xsi:type="dcterms:W3CDTF">2025-12-19T08:37:30Z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eyJoZGlkIjoiOWU2MzU2MDU2NzBkYTg5OGQ2ZmQ3OGE1N2VhNDhmYTkiLCJ1c2VySWQiOiI0MjE3NzE5OTYifQ==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80FCC6126B90479A96DF7D5091842804_13</vt:lpwstr>
  </property>
</Properties>
</file>