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835"/>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835"/>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pStyle w:val="835"/>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835"/>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835"/>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JSZC-320200-WXJY-G2025-0023</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东南大学集成电路学院（无锡）基础实验室教学配套采购项目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无锡高等教育发展服务中心</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83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3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3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35"/>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采购代理机构：无锡市教育信息化和装备管理服务中心</w:t>
      </w:r>
      <w:r/>
    </w:p>
    <w:p>
      <w:pPr>
        <w:pStyle w:val="835"/>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二〇二五年</w:t>
      </w:r>
      <w:r>
        <w:rPr>
          <w:rFonts w:hint="eastAsia" w:ascii="黑体" w:hAnsi="华文中宋" w:eastAsia="黑体"/>
          <w:bCs/>
          <w:color w:val="auto"/>
          <w:sz w:val="32"/>
          <w:szCs w:val="32"/>
          <w:highlight w:val="none"/>
          <w:lang w:val="en-US" w:eastAsia="zh-CN"/>
        </w:rPr>
        <w:t xml:space="preserve">十</w:t>
      </w:r>
      <w:r>
        <w:rPr>
          <w:rFonts w:hint="eastAsia" w:ascii="黑体" w:hAnsi="华文中宋" w:eastAsia="黑体"/>
          <w:bCs/>
          <w:color w:val="auto"/>
          <w:sz w:val="32"/>
          <w:szCs w:val="32"/>
          <w:highlight w:val="none"/>
        </w:rPr>
        <w:t xml:space="preserve">月</w:t>
      </w:r>
      <w:r/>
    </w:p>
    <w:p>
      <w:pPr>
        <w:pStyle w:val="835"/>
        <w:ind w:firstLine="0"/>
        <w:jc w:val="center"/>
        <w:rPr>
          <w:rFonts w:hint="eastAsia" w:ascii="黑体" w:hAnsi="黑体" w:eastAsia="黑体"/>
          <w:color w:val="auto"/>
          <w:sz w:val="36"/>
          <w:szCs w:val="36"/>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479757206"/>
      <w:r/>
      <w:bookmarkStart w:id="3" w:name="_Toc20823272"/>
      <w:r/>
      <w:bookmarkStart w:id="4" w:name="_Toc513029200"/>
      <w:r/>
      <w:bookmarkStart w:id="5" w:name="_Toc16938516"/>
      <w:r/>
      <w:r/>
    </w:p>
    <w:p>
      <w:pPr>
        <w:pStyle w:val="835"/>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投标邀请--------------------------------（2）</w:t>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投标人须知------------------------------（6）</w:t>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1</w:t>
      </w:r>
      <w:r>
        <w:rPr>
          <w:rFonts w:hint="eastAsia" w:ascii="宋体" w:hAnsi="宋体"/>
          <w:color w:val="auto"/>
          <w:sz w:val="30"/>
          <w:szCs w:val="30"/>
          <w:highlight w:val="none"/>
        </w:rPr>
        <w:t xml:space="preserve">）</w:t>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rPr>
        <w:t xml:space="preserve">）</w:t>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38</w:t>
      </w:r>
      <w:r>
        <w:rPr>
          <w:rFonts w:hint="eastAsia" w:ascii="宋体" w:hAnsi="宋体"/>
          <w:color w:val="auto"/>
          <w:sz w:val="30"/>
          <w:szCs w:val="30"/>
          <w:highlight w:val="none"/>
        </w:rPr>
        <w:t xml:space="preserve">）</w:t>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46</w:t>
      </w:r>
      <w:r>
        <w:rPr>
          <w:rFonts w:hint="eastAsia" w:ascii="宋体" w:hAnsi="宋体"/>
          <w:color w:val="auto"/>
          <w:sz w:val="30"/>
          <w:szCs w:val="30"/>
          <w:highlight w:val="none"/>
        </w:rPr>
        <w:t xml:space="preserve">）</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无锡高等教育发展服务中心</w:t>
      </w:r>
      <w:r>
        <w:rPr>
          <w:rFonts w:hint="eastAsia" w:ascii="宋体" w:hAnsi="宋体"/>
          <w:color w:val="auto"/>
          <w:sz w:val="24"/>
          <w:szCs w:val="24"/>
          <w:highlight w:val="none"/>
        </w:rPr>
        <w:t xml:space="preserve">的委托，无锡市教育信息化和装备管理服务中心就</w:t>
      </w:r>
      <w:r>
        <w:rPr>
          <w:rFonts w:hint="eastAsia" w:ascii="宋体" w:hAnsi="宋体"/>
          <w:color w:val="auto"/>
          <w:sz w:val="24"/>
          <w:szCs w:val="24"/>
          <w:highlight w:val="none"/>
          <w:lang w:eastAsia="zh-CN"/>
        </w:rPr>
        <w:t xml:space="preserve">东南大学集成电路学院（无锡）基础实验室教学配套采购项目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JSZC-320200-WXJY-G2025-0023</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东南大学集成电路学院（无锡）基础实验室教学配套采购项目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下载的方式依法获取招标文件，并于2025年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51"/>
        <w:ind w:firstLine="452"/>
        <w:keepLines w:val="0"/>
        <w:keepNext w:val="0"/>
        <w:spacing w:before="0" w:after="0" w:line="500" w:lineRule="exact"/>
        <w:rPr>
          <w:color w:val="auto"/>
          <w:sz w:val="30"/>
          <w:szCs w:val="30"/>
          <w:highlight w:val="none"/>
          <w:lang w:eastAsia="zh-CN"/>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JSZC-320200-WXJY-G2025-0023</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东南大学集成电路学院（无锡）基础实验室教学配套采购项目</w:t>
      </w:r>
      <w:bookmarkEnd w:id="11"/>
      <w:r/>
      <w:r/>
    </w:p>
    <w:p>
      <w:pPr>
        <w:ind w:firstLine="480"/>
        <w:spacing w:line="500" w:lineRule="exact"/>
        <w:rPr>
          <w:rFonts w:hint="eastAsia" w:ascii="宋体" w:hAnsi="宋体" w:cs="Times New Roman"/>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151.0083</w:t>
      </w:r>
      <w:r>
        <w:rPr>
          <w:rFonts w:hint="eastAsia" w:ascii="宋体" w:hAnsi="宋体" w:cs="Times New Roman"/>
          <w:color w:val="auto"/>
          <w:sz w:val="24"/>
          <w:szCs w:val="24"/>
          <w:highlight w:val="none"/>
        </w:rPr>
        <w:t xml:space="preserve">万元</w:t>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4.项目最高限价：</w:t>
      </w:r>
      <w:r>
        <w:rPr>
          <w:rFonts w:hint="eastAsia" w:ascii="宋体" w:hAnsi="宋体" w:cs="Times New Roman"/>
          <w:color w:val="auto"/>
          <w:sz w:val="24"/>
          <w:szCs w:val="24"/>
          <w:highlight w:val="none"/>
          <w:lang w:val="en-US" w:eastAsia="zh-CN"/>
        </w:rPr>
        <w:t xml:space="preserve">151.0083</w:t>
      </w:r>
      <w:r>
        <w:rPr>
          <w:rFonts w:hint="eastAsia" w:ascii="宋体" w:hAnsi="宋体" w:cs="Times New Roman"/>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5.采购需求：详见招标文件第四章《</w:t>
      </w:r>
      <w:r>
        <w:rPr>
          <w:rFonts w:hint="eastAsia" w:ascii="宋体" w:hAnsi="宋体" w:cs="宋体"/>
          <w:color w:val="auto"/>
          <w:sz w:val="24"/>
          <w:szCs w:val="24"/>
          <w:highlight w:val="none"/>
        </w:rPr>
        <w:t xml:space="preserve">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7.本项目所属行业：工业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8.本项目专门面向中小企业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9.本项目不接受联合体投标。</w:t>
      </w:r>
      <w:r/>
    </w:p>
    <w:p>
      <w:pPr>
        <w:pStyle w:val="651"/>
        <w:ind w:firstLine="452"/>
        <w:keepLines w:val="0"/>
        <w:keepNext w:val="0"/>
        <w:spacing w:before="0" w:after="0" w:line="500" w:lineRule="exact"/>
        <w:rPr>
          <w:color w:val="auto"/>
          <w:sz w:val="30"/>
          <w:szCs w:val="30"/>
          <w:highlight w:val="none"/>
          <w:lang w:eastAsia="zh-CN"/>
        </w:rPr>
      </w:pPr>
      <w:r/>
      <w:bookmarkStart w:id="12" w:name="_Toc38985264"/>
      <w:r/>
      <w:bookmarkStart w:id="13" w:name="_Toc28359080"/>
      <w:r/>
      <w:bookmarkStart w:id="14" w:name="_Toc28359003"/>
      <w:r/>
      <w:bookmarkStart w:id="15" w:name="_Toc35393622"/>
      <w:r/>
      <w:bookmarkStart w:id="16" w:name="_Toc35393791"/>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auto"/>
          <w:sz w:val="24"/>
          <w:szCs w:val="24"/>
          <w:highlight w:val="none"/>
        </w:rPr>
      </w:pPr>
      <w:r/>
      <w:bookmarkStart w:id="17" w:name="_Toc28359004"/>
      <w:r/>
      <w:bookmarkStart w:id="18" w:name="_Toc35393623"/>
      <w:r/>
      <w:bookmarkStart w:id="19" w:name="_Toc38985265"/>
      <w:r/>
      <w:bookmarkStart w:id="20" w:name="_Toc35393792"/>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3.落实政府采购政策需满足的资格要求：</w:t>
      </w:r>
      <w:r>
        <w:rPr>
          <w:rFonts w:hint="eastAsia" w:ascii="宋体" w:hAnsi="宋体" w:cs="宋体"/>
          <w:color w:val="auto"/>
          <w:sz w:val="24"/>
          <w:szCs w:val="24"/>
          <w:highlight w:val="none"/>
        </w:rPr>
        <w:t xml:space="preserve">供应商为中型企业/小型企业/微型企业（监狱企业/残疾人福利性单位视同小微企业）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4.本项目的特定资格要求：无</w:t>
      </w:r>
      <w:r/>
    </w:p>
    <w:p>
      <w:pPr>
        <w:pStyle w:val="65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highlight w:val="none"/>
        </w:rPr>
        <w:t xml:space="preserve">1.</w:t>
      </w:r>
      <w:r>
        <w:rPr>
          <w:rFonts w:hint="eastAsia"/>
          <w:color w:val="auto"/>
          <w:highlight w:val="none"/>
        </w:rPr>
        <w:t xml:space="preserve"> </w:t>
      </w:r>
      <w:r>
        <w:rPr>
          <w:rFonts w:hint="eastAsia" w:ascii="宋体" w:hAnsi="宋体" w:cs="宋体"/>
          <w:color w:val="auto"/>
          <w:sz w:val="24"/>
          <w:szCs w:val="24"/>
          <w:highlight w:val="none"/>
        </w:rPr>
        <w:t xml:space="preserve">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68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5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rPr>
        <w:t xml:space="preserve">2025年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w:t>
      </w:r>
      <w:r>
        <w:rPr>
          <w:rFonts w:hint="eastAsia" w:ascii="宋体" w:hAnsi="宋体"/>
          <w:bCs/>
          <w:color w:val="auto"/>
          <w:sz w:val="24"/>
          <w:szCs w:val="24"/>
          <w:highlight w:val="none"/>
        </w:rPr>
        <w:t xml:space="preserve">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51"/>
        <w:ind w:firstLine="452"/>
        <w:keepLines w:val="0"/>
        <w:keepNext w:val="0"/>
        <w:spacing w:before="0" w:after="0" w:line="500" w:lineRule="exact"/>
        <w:rPr>
          <w:color w:val="auto"/>
          <w:sz w:val="30"/>
          <w:szCs w:val="30"/>
          <w:highlight w:val="none"/>
          <w:lang w:eastAsia="zh-CN"/>
        </w:rPr>
      </w:pPr>
      <w:r/>
      <w:bookmarkStart w:id="27" w:name="_Toc28359007"/>
      <w:r/>
      <w:bookmarkStart w:id="28" w:name="_Toc35393794"/>
      <w:r/>
      <w:bookmarkStart w:id="29" w:name="_Toc28359084"/>
      <w:r/>
      <w:bookmarkStart w:id="30" w:name="_Toc38985267"/>
      <w:r/>
      <w:bookmarkStart w:id="31" w:name="_Toc35393625"/>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65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51"/>
        <w:ind w:firstLine="452"/>
        <w:keepLines w:val="0"/>
        <w:keepNext w:val="0"/>
        <w:spacing w:before="0" w:after="0" w:line="500" w:lineRule="exact"/>
        <w:rPr>
          <w:color w:val="auto"/>
          <w:sz w:val="30"/>
          <w:szCs w:val="30"/>
          <w:highlight w:val="none"/>
          <w:lang w:eastAsia="zh-CN"/>
        </w:rPr>
      </w:pPr>
      <w:r/>
      <w:bookmarkStart w:id="35" w:name="_Toc38985269"/>
      <w:r/>
      <w:bookmarkStart w:id="36" w:name="_Toc28359085"/>
      <w:r/>
      <w:bookmarkStart w:id="37" w:name="_Toc28359008"/>
      <w:r/>
      <w:bookmarkStart w:id="38" w:name="_Toc35393627"/>
      <w:r/>
      <w:bookmarkStart w:id="39" w:name="_Toc35393796"/>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无锡高等教育发展服务中心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址：无锡市学前街2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称：无锡市教育信息化和装备管理服务中心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址：无锡市学前街2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号4楼</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采购人项目咨询联系人：王东；电话：0510-85178585</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采购人质疑受理联系人：王东；电话：0510-85178585</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无锡市教育信息化和装备管理服务中心项目联系人：陈旻晔；电话：0510-</w:t>
      </w:r>
      <w:r>
        <w:rPr>
          <w:rFonts w:ascii="宋体" w:hAnsi="宋体" w:cs="宋体"/>
          <w:color w:val="auto"/>
          <w:sz w:val="24"/>
          <w:szCs w:val="24"/>
          <w:highlight w:val="none"/>
        </w:rPr>
        <w:t xml:space="preserve">82730672</w:t>
      </w:r>
      <w:r/>
    </w:p>
    <w:p>
      <w:pPr>
        <w:pStyle w:val="65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（三）有关本次采购的事项若存在变动或修改，敬请及时关注无锡市教育信息化和装备管理服务中心在“江苏政府采购网”发布的更正公告。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651"/>
        <w:ind w:firstLine="452"/>
        <w:keepLines w:val="0"/>
        <w:keepNext w:val="0"/>
        <w:spacing w:before="0" w:after="0" w:line="500" w:lineRule="exact"/>
        <w:rPr>
          <w:color w:val="auto"/>
          <w:sz w:val="30"/>
          <w:szCs w:val="30"/>
          <w:highlight w:val="none"/>
          <w:lang w:eastAsia="zh-CN"/>
        </w:rPr>
      </w:pPr>
      <w:r/>
      <w:bookmarkStart w:id="47" w:name="_Toc120614214"/>
      <w:r/>
      <w:bookmarkStart w:id="48" w:name="_Toc513029203"/>
      <w:r/>
      <w:bookmarkStart w:id="49" w:name="_Toc16938519"/>
      <w:r/>
      <w:bookmarkStart w:id="50" w:name="_Toc20823275"/>
      <w:r>
        <w:rPr>
          <w:rFonts w:hint="eastAsia"/>
          <w:color w:val="auto"/>
          <w:sz w:val="30"/>
          <w:szCs w:val="30"/>
          <w:highlight w:val="none"/>
          <w:lang w:eastAsia="zh-CN"/>
        </w:rPr>
        <w:t xml:space="preserve">一、总则</w:t>
      </w:r>
      <w:bookmarkEnd w:id="47"/>
      <w:r/>
      <w:bookmarkEnd w:id="48"/>
      <w:r/>
      <w:bookmarkEnd w:id="49"/>
      <w:r/>
      <w:bookmarkEnd w:id="50"/>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55" w:name="_Toc513029205"/>
      <w:r/>
      <w:bookmarkStart w:id="56" w:name="_Toc20823277"/>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58" w:name="_Toc513029206"/>
      <w:r/>
      <w:bookmarkStart w:id="59" w:name="_Toc16938522"/>
      <w:r/>
      <w:bookmarkStart w:id="60" w:name="_Toc20823278"/>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61" w:name="_Toc20823279"/>
      <w:r/>
      <w:bookmarkStart w:id="62" w:name="_Toc462564067"/>
      <w:r/>
      <w:bookmarkStart w:id="63" w:name="_Toc513029207"/>
      <w:r/>
      <w:bookmarkStart w:id="64" w:name="_Toc16938523"/>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教育信息化和装备管理服务中心（以下简称无锡市教育信息化和装备管理服务中心）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651"/>
        <w:ind w:firstLine="452"/>
        <w:keepLines w:val="0"/>
        <w:keepNext w:val="0"/>
        <w:spacing w:before="0" w:after="0" w:line="500" w:lineRule="exact"/>
        <w:rPr>
          <w:color w:val="auto"/>
          <w:sz w:val="30"/>
          <w:szCs w:val="30"/>
          <w:highlight w:val="none"/>
          <w:lang w:eastAsia="zh-CN"/>
        </w:rPr>
      </w:pPr>
      <w:r/>
      <w:bookmarkStart w:id="65" w:name="_Toc20823281"/>
      <w:r/>
      <w:bookmarkStart w:id="66" w:name="_Toc120614215"/>
      <w:r/>
      <w:bookmarkStart w:id="67" w:name="_Toc513029209"/>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69" w:name="_Toc16938526"/>
      <w:r/>
      <w:bookmarkStart w:id="70" w:name="_Toc513029210"/>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请仔细检查招标文件是否齐全，如有缺漏请立即与无锡市教育信息化和装备管理服务中心联系解决。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72" w:name="_Toc513029211"/>
      <w:r/>
      <w:bookmarkStart w:id="73" w:name="_Toc16938527"/>
      <w:r/>
      <w:bookmarkStart w:id="74" w:name="_Toc20823283"/>
      <w:r/>
      <w:bookmarkStart w:id="75" w:name="_Toc462564070"/>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教育信息化和装备管理服务中心以书面形式提出。</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76" w:name="_Toc513029212"/>
      <w:r/>
      <w:bookmarkStart w:id="77" w:name="_Toc16938528"/>
      <w:r/>
      <w:bookmarkStart w:id="78" w:name="_Toc462564071"/>
      <w:r/>
      <w:bookmarkStart w:id="79" w:name="_Toc20823284"/>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8.1无锡市教育信息化和装备管理服务中心可在投标截止时间十五日前对招标文件进行必要的澄清或者修改，不足十五日的，将顺延提交投标文件的截止时间和开标日期。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如需对招标文件进行澄清或修改，无锡市教育信息化和装备管理服务中心将在江苏政府采购网发布更正公告，澄清或修改的内容为招标文件的组成部分，并对投标人具有约束力。投标人应在投标截止时间前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651"/>
        <w:ind w:firstLine="452"/>
        <w:keepLines w:val="0"/>
        <w:keepNext w:val="0"/>
        <w:spacing w:before="0" w:after="0" w:line="500" w:lineRule="exact"/>
        <w:rPr>
          <w:color w:val="auto"/>
          <w:sz w:val="30"/>
          <w:szCs w:val="30"/>
          <w:highlight w:val="none"/>
          <w:lang w:eastAsia="zh-CN"/>
        </w:rPr>
      </w:pPr>
      <w:r/>
      <w:bookmarkStart w:id="80" w:name="_Toc120614216"/>
      <w:r/>
      <w:bookmarkStart w:id="81" w:name="_Toc462564072"/>
      <w:r/>
      <w:bookmarkStart w:id="82" w:name="_Toc513029213"/>
      <w:r/>
      <w:bookmarkStart w:id="83" w:name="_Toc16938529"/>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85" w:name="_Toc513029214"/>
      <w:r/>
      <w:bookmarkStart w:id="86" w:name="_Toc462564073"/>
      <w:r/>
      <w:bookmarkStart w:id="87" w:name="_Toc16938530"/>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投标人提交的投标文件以及投标人与无锡市教育信息化和装备管理服务中心就有关投标的所有来往通知、函件和文件均应使用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89" w:name="_Toc462564074"/>
      <w:r/>
      <w:bookmarkStart w:id="90" w:name="_Toc513029215"/>
      <w:r/>
      <w:bookmarkStart w:id="91" w:name="_Toc20823287"/>
      <w:r/>
      <w:bookmarkStart w:id="92" w:name="_Toc16938531"/>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资格证明文件、承诺书、开标一览表、明细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93" w:name="_Hlt26670360"/>
      <w:r/>
      <w:bookmarkEnd w:id="93"/>
      <w:r/>
      <w:bookmarkStart w:id="94" w:name="_Hlt26954838"/>
      <w:r/>
      <w:bookmarkEnd w:id="94"/>
      <w:r/>
      <w:bookmarkStart w:id="95" w:name="_Hlt26668975"/>
      <w:r/>
      <w:bookmarkEnd w:id="95"/>
      <w:r/>
      <w:bookmarkStart w:id="96" w:name="_Toc513029219"/>
      <w:r/>
      <w:bookmarkStart w:id="97" w:name="_Toc49090509"/>
      <w:r/>
      <w:bookmarkStart w:id="98" w:name="_Toc14577354"/>
      <w:r/>
      <w:bookmarkStart w:id="99" w:name="_Toc14577357"/>
      <w:r/>
      <w:bookmarkStart w:id="100" w:name="_Toc49090507"/>
      <w:r/>
      <w:bookmarkStart w:id="101" w:name="_Toc513029216"/>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12.2对于采用货币报价的项目，开标一览表中的投标总报价应与明细报价表的总额一致，如不一致，不作为无效投标处理，但评标时按开标一览表中价格为准。</w:t>
      </w:r>
      <w:bookmarkEnd w:id="104"/>
      <w:r/>
      <w:bookmarkEnd w:id="105"/>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明细报价表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明细报价表。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08" w:name="_Hlt26954731"/>
      <w:r/>
      <w:bookmarkEnd w:id="108"/>
      <w:r/>
      <w:bookmarkStart w:id="109" w:name="_Hlt26668983"/>
      <w:r/>
      <w:bookmarkEnd w:id="109"/>
      <w:r/>
      <w:bookmarkStart w:id="110" w:name="_Hlt26954846"/>
      <w:r/>
      <w:bookmarkEnd w:id="110"/>
      <w:r/>
      <w:bookmarkStart w:id="111" w:name="_Hlt26954848"/>
      <w:r/>
      <w:bookmarkEnd w:id="111"/>
      <w:r/>
      <w:bookmarkStart w:id="112" w:name="_Hlt26670482"/>
      <w:r/>
      <w:bookmarkEnd w:id="112"/>
      <w:r/>
      <w:bookmarkStart w:id="113" w:name="_Hlt26670403"/>
      <w:r/>
      <w:bookmarkEnd w:id="113"/>
      <w:r/>
      <w:bookmarkStart w:id="114" w:name="_Hlt26954842"/>
      <w:r/>
      <w:bookmarkEnd w:id="114"/>
      <w:r/>
      <w:bookmarkStart w:id="115" w:name="_Hlt26670425"/>
      <w:r/>
      <w:bookmarkEnd w:id="115"/>
      <w:r/>
      <w:bookmarkStart w:id="116" w:name="_Hlt26954844"/>
      <w:r/>
      <w:bookmarkEnd w:id="116"/>
      <w:r/>
      <w:bookmarkStart w:id="117" w:name="_Hlt26670486"/>
      <w:r/>
      <w:bookmarkEnd w:id="117"/>
      <w:r>
        <w:rPr>
          <w:rFonts w:hint="eastAsia" w:ascii="宋体" w:hAnsi="宋体" w:eastAsia="宋体"/>
          <w:bCs w:val="0"/>
          <w:color w:val="auto"/>
          <w:highlight w:val="none"/>
          <w:lang w:eastAsia="zh-CN"/>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教育信息化和装备管理服务中心于原投标有效期满之前，可向投标人提出延长投标有效期的要求。这种要求与答复均应采用书面形式。投标人可以拒绝无锡市教育信息化和装备管理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651"/>
        <w:ind w:firstLine="452"/>
        <w:keepLines w:val="0"/>
        <w:keepNext w:val="0"/>
        <w:spacing w:before="0" w:after="0" w:line="500" w:lineRule="exact"/>
        <w:rPr>
          <w:color w:val="auto"/>
          <w:sz w:val="30"/>
          <w:szCs w:val="30"/>
          <w:highlight w:val="none"/>
          <w:lang w:eastAsia="zh-CN"/>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29" w:name="_Toc513029225"/>
      <w:r/>
      <w:bookmarkStart w:id="130" w:name="_Toc462564084"/>
      <w:r/>
      <w:bookmarkStart w:id="131" w:name="_Toc16938541"/>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836"/>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513029226"/>
      <w:r/>
      <w:bookmarkStart w:id="135" w:name="_Toc16938542"/>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无锡市教育信息化和装备管理服务中心可以按照规定，通过更正公告修改投标截止时间，投标人的所有权利和义务以及投标人受制的截止时间均应以延长后新的截止时间为准。</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无锡市教育信息化和装备管理服务中心拒绝接收在其规定的投标截止时间后上传的任何投标文件。</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39" w:name="_Toc16938544"/>
      <w:r/>
      <w:bookmarkStart w:id="140" w:name="_Toc513029228"/>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651"/>
        <w:ind w:firstLine="452"/>
        <w:keepLines w:val="0"/>
        <w:keepNext w:val="0"/>
        <w:spacing w:before="0" w:after="0" w:line="500" w:lineRule="exact"/>
        <w:rPr>
          <w:color w:val="auto"/>
          <w:sz w:val="30"/>
          <w:szCs w:val="30"/>
          <w:highlight w:val="none"/>
          <w:lang w:eastAsia="zh-CN"/>
        </w:rPr>
      </w:pPr>
      <w:r/>
      <w:bookmarkStart w:id="142" w:name="_Toc513029229"/>
      <w:r/>
      <w:bookmarkStart w:id="143" w:name="_Toc120614218"/>
      <w:r/>
      <w:bookmarkStart w:id="144" w:name="_Toc20823301"/>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spacing w:line="500" w:lineRule="exact"/>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无锡市教育信息化和装备管理服务中心将在招标公告中规定的时间和地点组织公开开标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21.2开标仪式由无锡市教育信息化和装备管理服务中心组织。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49" w:name="_Toc20823303"/>
      <w:r/>
      <w:bookmarkStart w:id="150" w:name="_Toc513029231"/>
      <w:r/>
      <w:bookmarkStart w:id="151" w:name="_Toc16938547"/>
      <w:r>
        <w:rPr>
          <w:rFonts w:hint="eastAsia" w:ascii="宋体" w:hAnsi="宋体" w:eastAsia="宋体"/>
          <w:bCs w:val="0"/>
          <w:color w:val="auto"/>
          <w:highlight w:val="none"/>
          <w:lang w:eastAsia="zh-CN"/>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22.1开标后，无锡市教育信息化和装备管理服务中心将立即组织评标委员会（以下简称评委会）进行评标。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凡是与审查、澄清、评价和比较投标的有关资料以及投标建议等，采购人、评委、无锡市教育信息化和装备管理服务中心均不得向投标人或与评标无关的其他人员透露。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无锡市教育信息化和装备管理服务中心和评标委员会不向未中标的投标人解释未中标原因，也不公布评标过程中的相关细节。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55" w:name="_Toc16938549"/>
      <w:r/>
      <w:bookmarkStart w:id="156" w:name="_Toc20823305"/>
      <w:r/>
      <w:bookmarkStart w:id="157" w:name="_Toc513029233"/>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25.1.1资格审查：依据法律法规和招标文件的规定，由采购人或采购代理机构对投标文件中的资格证明文件进行审查。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w:t>
      </w:r>
      <w:r>
        <w:rPr>
          <w:rFonts w:hint="eastAsia" w:ascii="宋体" w:hAnsi="宋体"/>
          <w:bCs/>
          <w:color w:val="auto"/>
          <w:sz w:val="24"/>
          <w:highlight w:val="none"/>
        </w:rPr>
        <w:t xml:space="preserve">或采购代理机构</w:t>
      </w:r>
      <w:r>
        <w:rPr>
          <w:rFonts w:hint="eastAsia" w:ascii="宋体" w:hAnsi="宋体" w:cs="宋体"/>
          <w:bCs/>
          <w:color w:val="auto"/>
          <w:sz w:val="24"/>
          <w:highlight w:val="none"/>
        </w:rPr>
        <w:t xml:space="preserve">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教育信息化和装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25.6投标人在开、评标全过程中应保持通信畅通，及时登录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spacing w:line="500" w:lineRule="exact"/>
        <w:rPr>
          <w:rFonts w:hint="eastAsia" w:ascii="宋体" w:hAnsi="宋体"/>
          <w:bCs/>
          <w:color w:val="auto"/>
          <w:sz w:val="24"/>
          <w:highlight w:val="none"/>
        </w:rPr>
      </w:pPr>
      <w:r/>
      <w:bookmarkStart w:id="161" w:name="_Toc513029235"/>
      <w:r/>
      <w:bookmarkStart w:id="162" w:name="_Toc20823307"/>
      <w:r/>
      <w:bookmarkStart w:id="163" w:name="_Toc16938551"/>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auto"/>
          <w:sz w:val="24"/>
          <w:szCs w:val="24"/>
          <w:highlight w:val="none"/>
          <w:lang w:val="en-US"/>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color w:val="auto"/>
          <w:sz w:val="24"/>
          <w:highlight w:val="none"/>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评标</w:t>
      </w:r>
      <w:r>
        <w:rPr>
          <w:rFonts w:hint="eastAsia" w:ascii="宋体" w:hAnsi="宋体"/>
          <w:bCs/>
          <w:color w:val="auto"/>
          <w:sz w:val="24"/>
          <w:szCs w:val="24"/>
          <w:highlight w:val="none"/>
        </w:rPr>
        <w:t xml:space="preserve">委员会启动异常低价投标（响应）审查的情形和具体要求，包括：</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应当启动异常低价投标（响应）审查程序：</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①投标（响应）报价低于采购项目预算50%的，即投标（响应）报价&lt;采购项目预算×50%；</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②投标（响应）报价低于采购项目最高限价45%的，即投标（响应）报价&lt;采购项目最高限价×45%；</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③</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认定的供应商报价过低、有可能影响产品质量或者不能诚信履约的其他情形。</w:t>
      </w:r>
      <w:r/>
    </w:p>
    <w:p>
      <w:pPr>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（2）启动异常低价投标（响应）审查后，</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应当将其作为无效投标（响应）处理。审查相关情况应当在评标报告中进行记录。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26.2.1符合专业条件的供应商或者对招标文件做实质响应的供应商不足三家的。26.2.2出现影响采购公正的违法、违规行为的。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651"/>
        <w:ind w:firstLine="452"/>
        <w:keepLines w:val="0"/>
        <w:keepNext w:val="0"/>
        <w:spacing w:before="0" w:after="0" w:line="500" w:lineRule="exact"/>
        <w:rPr>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27.2采购人应根据评委会推荐的中标候选人名单中按排名先后顺序确定第一名投标人为中标单位。联合体中标的，联合体各方应当共同与采购人签订合同，就中标项目向采购人承担连带责任。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无锡市教育信息化和装备管理服务中心将在“江苏政府采购网”发布中标公告，公告期限为1个工作日。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27.4.2向采购人、无锡市教育信息化和装备管理服务中心行贿或者提供其他不正当利益的。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无锡市教育信息化和装备管理服务中心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质疑。供应商如在法定期限内对同一采购程序环节提出多次质疑的，无锡市教育信息化和装备管理服务中心、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教育信息化和装备管理服务中心提出，由无锡市教育信息化和装备管理服务中心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采购人、无锡市教育信息化和装备管理服务中心只接收以纸质原件形式送达的质疑，质疑供应商可通过面交或邮寄方式送达（采购人和无锡市教育信息化和装备管理服务中心不接受未填写快递运单的快件）。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采购人、无锡市教育信息化和装备管理服务中心联系人、联系方式、通信地址见招标文件第一章。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一经查实，无锡市教育信息化和装备管理服务中心有权依据政府采购的有关规定，报请政府采购监管部门对该供应商进行相应的行政处罚和记录该供应商的失信信息。</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29.l中标结果确定后，无锡市教育信息化和装备管理服务中心将向中标人发出中标通知书。请中标人在中标结果公告届满之日起30日内，使用CA数字证书登录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651"/>
        <w:ind w:firstLine="452"/>
        <w:keepLines w:val="0"/>
        <w:keepNext w:val="0"/>
        <w:spacing w:before="0" w:after="0" w:line="500" w:lineRule="exact"/>
        <w:rPr>
          <w:color w:val="auto"/>
          <w:sz w:val="30"/>
          <w:szCs w:val="30"/>
          <w:highlight w:val="none"/>
          <w:lang w:eastAsia="zh-CN"/>
        </w:rPr>
      </w:pPr>
      <w:r/>
      <w:bookmarkStart w:id="169" w:name="_Toc513029236"/>
      <w:r/>
      <w:bookmarkStart w:id="170" w:name="_Toc120614220"/>
      <w:r/>
      <w:bookmarkStart w:id="171" w:name="_Toc20823308"/>
      <w:r/>
      <w:bookmarkStart w:id="172" w:name="_Toc16938552"/>
      <w:r>
        <w:rPr>
          <w:rFonts w:hint="eastAsia"/>
          <w:color w:val="auto"/>
          <w:sz w:val="30"/>
          <w:szCs w:val="30"/>
          <w:highlight w:val="none"/>
          <w:lang w:eastAsia="zh-CN"/>
        </w:rPr>
        <w:t xml:space="preserve">七、授予合同</w:t>
      </w:r>
      <w:bookmarkEnd w:id="169"/>
      <w:r/>
      <w:bookmarkEnd w:id="170"/>
      <w:r/>
      <w:bookmarkEnd w:id="171"/>
      <w:r/>
      <w:bookmarkEnd w:id="172"/>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bookmarkStart w:id="173" w:name="_Toc20823309"/>
      <w:r/>
      <w:bookmarkStart w:id="174" w:name="_Toc16938553"/>
      <w:r/>
      <w:bookmarkStart w:id="175" w:name="_Toc513029237"/>
      <w:r>
        <w:rPr>
          <w:rFonts w:hint="eastAsia" w:ascii="宋体" w:hAnsi="宋体" w:eastAsia="宋体"/>
          <w:bCs w:val="0"/>
          <w:color w:val="auto"/>
          <w:highlight w:val="none"/>
          <w:lang w:eastAsia="zh-CN"/>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30.2中标人非因不可抗力未履行招、投标文件和合同规定的义务，一经查实，无锡市教育信息化和装备管理服务中心将根据具体情况提请政府采购管理部门作出相应处理。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52"/>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pStyle w:val="660"/>
        <w:jc w:val="center"/>
        <w:spacing w:line="500" w:lineRule="exact"/>
        <w:rPr>
          <w:rFonts w:ascii="黑体" w:eastAsia="黑体"/>
          <w:bCs/>
          <w:color w:val="auto"/>
          <w:sz w:val="36"/>
          <w:szCs w:val="36"/>
          <w:highlight w:val="none"/>
          <w:lang w:eastAsia="zh-CN"/>
        </w:rPr>
      </w:pPr>
      <w:r/>
      <w:bookmarkStart w:id="176" w:name="_Toc20823314"/>
      <w:r/>
      <w:bookmarkStart w:id="177" w:name="_Toc513029242"/>
      <w:r/>
      <w:bookmarkStart w:id="178" w:name="_Toc120614221"/>
      <w:r/>
      <w:bookmarkStart w:id="179" w:name="_Toc479757207"/>
      <w:r/>
      <w:bookmarkStart w:id="180" w:name="_Toc16938558"/>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lang w:eastAsia="zh-CN"/>
        </w:rPr>
        <w:t xml:space="preserve">文本</w:t>
      </w:r>
      <w:r/>
    </w:p>
    <w:p>
      <w:pPr>
        <w:ind w:firstLine="480"/>
        <w:spacing w:line="400" w:lineRule="exact"/>
        <w:rPr>
          <w:rFonts w:hint="eastAsia" w:ascii="宋体" w:hAnsi="宋体"/>
          <w:bCs/>
          <w:color w:val="auto"/>
          <w:sz w:val="24"/>
          <w:highlight w:val="none"/>
        </w:rPr>
      </w:pPr>
      <w:r/>
      <w:bookmarkStart w:id="181" w:name="_Toc20823315"/>
      <w:r/>
      <w:bookmarkStart w:id="182" w:name="_Toc16938559"/>
      <w:r/>
      <w:bookmarkStart w:id="183" w:name="_Toc513029243"/>
      <w:r>
        <w:rPr>
          <w:rFonts w:hint="eastAsia" w:ascii="宋体" w:hAnsi="宋体"/>
          <w:bCs/>
          <w:color w:val="auto"/>
          <w:sz w:val="24"/>
          <w:highlight w:val="none"/>
        </w:rPr>
        <w:t xml:space="preserve">以下为中标后签订本项目合同的通用条款，中标人不得提出实质性的修改。</w:t>
      </w:r>
      <w:r/>
    </w:p>
    <w:p>
      <w:pPr>
        <w:ind w:firstLine="602"/>
        <w:jc w:val="center"/>
        <w:spacing w:line="400" w:lineRule="exact"/>
        <w:rPr>
          <w:rFonts w:hint="eastAsia" w:ascii="宋体" w:hAnsi="宋体"/>
          <w:b/>
          <w:bCs/>
          <w:color w:val="auto"/>
          <w:sz w:val="30"/>
          <w:szCs w:val="20"/>
          <w:highlight w:val="none"/>
        </w:rPr>
      </w:pPr>
      <w:r>
        <w:rPr>
          <w:rFonts w:hint="eastAsia" w:ascii="宋体" w:hAnsi="宋体"/>
          <w:b/>
          <w:color w:val="auto"/>
          <w:sz w:val="30"/>
          <w:highlight w:val="none"/>
        </w:rPr>
        <w:t xml:space="preserve">江苏省政府采购合同</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00" w:lineRule="exact"/>
        <w:rPr>
          <w:rFonts w:hint="eastAsia"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无锡市公共资源交易中心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00" w:lineRule="exact"/>
        <w:rPr>
          <w:rFonts w:hint="eastAsia"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乙方交纳人民币__元作为本合同的履约保证金。</w:t>
      </w:r>
      <w:r>
        <w:rPr>
          <w:rFonts w:hint="eastAsia" w:ascii="宋体" w:hAnsi="宋体" w:cs="Courier New"/>
          <w:color w:val="auto"/>
          <w:sz w:val="24"/>
          <w:szCs w:val="24"/>
          <w:highlight w:val="none"/>
        </w:rPr>
        <w:t xml:space="preserve">（不得超过合同金额的10%）</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6.2.4履约保证金不予退还的情形：</w:t>
      </w:r>
      <w:r/>
    </w:p>
    <w:p>
      <w:pPr>
        <w:ind w:firstLine="482"/>
        <w:spacing w:line="400" w:lineRule="exact"/>
        <w:rPr>
          <w:rFonts w:hint="eastAsia"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hint="eastAsia"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eastAsia" w:ascii="Times New Roman" w:hAnsi="宋体" w:cs="Times New Roman"/>
          <w:bCs/>
          <w:color w:val="auto"/>
          <w:sz w:val="24"/>
          <w:szCs w:val="24"/>
          <w:highlight w:val="none"/>
        </w:rPr>
      </w:pPr>
      <w:r>
        <w:rPr>
          <w:rFonts w:hint="eastAsia" w:ascii="Times New Roman" w:hAnsi="宋体" w:cs="Times New Roman"/>
          <w:bCs/>
          <w:color w:val="auto"/>
          <w:sz w:val="24"/>
          <w:szCs w:val="24"/>
          <w:highlight w:val="none"/>
        </w:rPr>
        <w:t xml:space="preserve">合同签订生效后，采购单位于10个日历天内向中标方支付合同总价的30%作为预付款；全部货物运至现场，并经采购单位验</w:t>
      </w:r>
      <w:r>
        <w:rPr>
          <w:rFonts w:hint="eastAsia" w:ascii="Times New Roman" w:hAnsi="宋体" w:cs="Times New Roman"/>
          <w:bCs/>
          <w:color w:val="auto"/>
          <w:sz w:val="24"/>
          <w:szCs w:val="24"/>
          <w:highlight w:val="none"/>
          <w:lang w:val="en-US" w:eastAsia="zh-CN"/>
        </w:rPr>
        <w:t xml:space="preserve">货</w:t>
      </w:r>
      <w:r>
        <w:rPr>
          <w:rFonts w:hint="eastAsia" w:ascii="Times New Roman" w:hAnsi="宋体" w:cs="Times New Roman"/>
          <w:bCs/>
          <w:color w:val="auto"/>
          <w:sz w:val="24"/>
          <w:szCs w:val="24"/>
          <w:highlight w:val="none"/>
        </w:rPr>
        <w:t xml:space="preserve">确认后付至合同总价的</w:t>
      </w:r>
      <w:r>
        <w:rPr>
          <w:rFonts w:hint="eastAsia" w:ascii="Times New Roman" w:hAnsi="宋体" w:cs="Times New Roman"/>
          <w:bCs/>
          <w:color w:val="auto"/>
          <w:sz w:val="24"/>
          <w:szCs w:val="24"/>
          <w:highlight w:val="none"/>
          <w:lang w:val="en-US" w:eastAsia="zh-CN"/>
        </w:rPr>
        <w:t xml:space="preserve">5</w:t>
      </w:r>
      <w:r>
        <w:rPr>
          <w:rFonts w:hint="eastAsia" w:ascii="Times New Roman" w:hAnsi="宋体" w:cs="Times New Roman"/>
          <w:bCs/>
          <w:color w:val="auto"/>
          <w:sz w:val="24"/>
          <w:szCs w:val="24"/>
          <w:highlight w:val="none"/>
        </w:rPr>
        <w:t xml:space="preserve">0%；所有货物全部安装调试结束，提交所需单据，并经采购单位组织验收合格后10个日历天内付至合同总价的</w:t>
      </w:r>
      <w:r>
        <w:rPr>
          <w:rFonts w:hint="eastAsia" w:ascii="Times New Roman" w:hAnsi="宋体" w:cs="Times New Roman"/>
          <w:bCs/>
          <w:color w:val="auto"/>
          <w:sz w:val="24"/>
          <w:szCs w:val="24"/>
          <w:highlight w:val="none"/>
          <w:lang w:val="en-US" w:eastAsia="zh-CN"/>
        </w:rPr>
        <w:t xml:space="preserve">70</w:t>
      </w:r>
      <w:r>
        <w:rPr>
          <w:rFonts w:hint="eastAsia" w:ascii="Times New Roman" w:hAnsi="宋体" w:cs="Times New Roman"/>
          <w:bCs/>
          <w:color w:val="auto"/>
          <w:sz w:val="24"/>
          <w:szCs w:val="24"/>
          <w:highlight w:val="none"/>
        </w:rPr>
        <w:t xml:space="preserve">%；</w:t>
      </w:r>
      <w:r>
        <w:rPr>
          <w:rFonts w:hint="eastAsia" w:ascii="Times New Roman" w:hAnsi="宋体" w:cs="Times New Roman"/>
          <w:bCs/>
          <w:color w:val="auto"/>
          <w:sz w:val="24"/>
          <w:szCs w:val="24"/>
          <w:highlight w:val="none"/>
          <w:lang w:val="en-US" w:eastAsia="zh-CN"/>
        </w:rPr>
        <w:t xml:space="preserve">结算审计结束付至审定金额的90%；待质保期满后采购单位在一个月内付清余款。</w:t>
      </w:r>
      <w:r/>
    </w:p>
    <w:p>
      <w:pPr>
        <w:ind w:firstLine="480"/>
        <w:spacing w:line="400" w:lineRule="exact"/>
        <w:rPr>
          <w:rFonts w:hint="eastAsia" w:ascii="宋体" w:hAnsi="宋体" w:cs="Courier New"/>
          <w:bCs/>
          <w:color w:val="auto"/>
          <w:sz w:val="24"/>
          <w:szCs w:val="24"/>
          <w:highlight w:val="none"/>
        </w:rPr>
      </w:pPr>
      <w:r>
        <w:rPr>
          <w:rFonts w:hint="eastAsia" w:hAnsi="宋体"/>
          <w:bCs/>
          <w:color w:val="auto"/>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00" w:lineRule="exact"/>
        <w:rPr>
          <w:rFonts w:hint="eastAsia"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hint="eastAsia"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00" w:lineRule="exact"/>
        <w:rPr>
          <w:rFonts w:hint="eastAsia"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w:t>
      </w:r>
      <w:r>
        <w:rPr>
          <w:rFonts w:hint="eastAsia" w:ascii="宋体" w:hAnsi="宋体" w:cs="Courier New"/>
          <w:color w:val="auto"/>
          <w:sz w:val="24"/>
          <w:szCs w:val="24"/>
          <w:highlight w:val="none"/>
        </w:rPr>
        <w:t xml:space="preserve">终身维修</w:t>
      </w:r>
      <w:r>
        <w:rPr>
          <w:rFonts w:ascii="宋体" w:hAnsi="宋体" w:cs="Courier New"/>
          <w:color w:val="auto"/>
          <w:sz w:val="24"/>
          <w:szCs w:val="24"/>
          <w:highlight w:val="none"/>
        </w:rPr>
        <w:t xml:space="preserve">，维修时只收部件成本费。</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乙方对货物的包装应符合《商品包装政府采购需求标准（试行）》《快递包装政府采购需求标准（试行）》的规定。</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w:t>
      </w:r>
      <w:r>
        <w:rPr>
          <w:rFonts w:hint="eastAsia" w:ascii="宋体" w:hAnsi="宋体" w:cs="Courier New"/>
          <w:b/>
          <w:color w:val="auto"/>
          <w:sz w:val="24"/>
          <w:szCs w:val="24"/>
          <w:highlight w:val="none"/>
        </w:rPr>
        <w:t xml:space="preserve">其他</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w:t>
      </w:r>
      <w:r>
        <w:rPr>
          <w:rFonts w:ascii="宋体" w:hAnsi="宋体" w:cs="Courier New"/>
          <w:color w:val="auto"/>
          <w:sz w:val="24"/>
          <w:szCs w:val="24"/>
          <w:highlight w:val="none"/>
        </w:rPr>
        <w:t xml:space="preserve">有关条文执行。</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jc w:val="center"/>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bCs/>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400" w:lineRule="exact"/>
        <w:rPr>
          <w:rFonts w:ascii="黑体" w:eastAsia="黑体"/>
          <w:bCs/>
          <w:color w:val="auto"/>
          <w:sz w:val="36"/>
          <w:szCs w:val="36"/>
          <w:highlight w:val="none"/>
        </w:rPr>
        <w:outlineLvl w:val="0"/>
      </w:pPr>
      <w:r>
        <w:rPr>
          <w:rFonts w:ascii="宋体" w:hAnsi="宋体"/>
          <w:bCs/>
          <w:color w:val="auto"/>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r/>
    </w:p>
    <w:p>
      <w:pPr>
        <w:ind w:firstLine="720"/>
        <w:jc w:val="center"/>
        <w:spacing w:line="288" w:lineRule="auto"/>
        <w:rPr>
          <w:rFonts w:hint="eastAsia" w:hAnsi="宋体"/>
          <w:color w:val="auto"/>
          <w:sz w:val="36"/>
          <w:szCs w:val="36"/>
          <w:highlight w:val="none"/>
        </w:rPr>
      </w:pPr>
      <w:r>
        <w:rPr>
          <w:rFonts w:hint="eastAsia" w:ascii="黑体" w:eastAsia="黑体"/>
          <w:bCs/>
          <w:color w:val="auto"/>
          <w:sz w:val="36"/>
          <w:szCs w:val="36"/>
          <w:highlight w:val="none"/>
        </w:rPr>
        <w:t xml:space="preserve">第</w:t>
      </w:r>
      <w:bookmarkEnd w:id="185"/>
      <w:r>
        <w:rPr>
          <w:rFonts w:hint="eastAsia" w:ascii="黑体" w:eastAsia="黑体"/>
          <w:bCs/>
          <w:color w:val="auto"/>
          <w:sz w:val="36"/>
          <w:szCs w:val="36"/>
          <w:highlight w:val="none"/>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本项目属性：货物类项目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本项目标的物所属行业：工业</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核心</w:t>
      </w:r>
      <w:r>
        <w:rPr>
          <w:rFonts w:hint="eastAsia" w:ascii="宋体" w:hAnsi="宋体"/>
          <w:color w:val="auto"/>
          <w:sz w:val="24"/>
          <w:szCs w:val="24"/>
          <w:highlight w:val="none"/>
        </w:rPr>
        <w:t xml:space="preserve">产品：</w:t>
      </w:r>
      <w:r>
        <w:rPr>
          <w:rFonts w:hint="eastAsia"/>
          <w:bCs/>
          <w:color w:val="auto"/>
          <w:sz w:val="24"/>
          <w:highlight w:val="none"/>
        </w:rPr>
        <w:t xml:space="preserve">通风柜</w:t>
      </w:r>
      <w:r/>
    </w:p>
    <w:p>
      <w:pPr>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（一）</w:t>
      </w:r>
      <w:r>
        <w:rPr>
          <w:rFonts w:hint="eastAsia" w:ascii="宋体" w:hAnsi="宋体"/>
          <w:color w:val="auto"/>
          <w:sz w:val="24"/>
          <w:szCs w:val="24"/>
          <w:highlight w:val="none"/>
        </w:rPr>
        <w:t xml:space="preserve">项目概况</w:t>
      </w:r>
      <w:r/>
    </w:p>
    <w:p>
      <w:pPr>
        <w:ind w:left="0" w:firstLine="480"/>
        <w:spacing w:line="360" w:lineRule="auto"/>
        <w:widowControl/>
        <w:rPr>
          <w:rStyle w:val="838"/>
          <w:rFonts w:ascii="宋体" w:hAnsi="宋体"/>
          <w:b/>
          <w:color w:val="auto"/>
          <w:sz w:val="24"/>
          <w:szCs w:val="24"/>
          <w:highlight w:val="none"/>
        </w:rPr>
      </w:pPr>
      <w:r>
        <w:rPr>
          <w:rStyle w:val="838"/>
          <w:rFonts w:ascii="宋体" w:hAnsi="宋体"/>
          <w:color w:val="auto"/>
          <w:sz w:val="24"/>
          <w:szCs w:val="24"/>
          <w:highlight w:val="none"/>
        </w:rPr>
        <w:t xml:space="preserve">本项目是</w:t>
      </w:r>
      <w:r>
        <w:rPr>
          <w:rStyle w:val="838"/>
          <w:rFonts w:hint="eastAsia" w:ascii="宋体" w:hAnsi="宋体"/>
          <w:color w:val="auto"/>
          <w:sz w:val="24"/>
          <w:szCs w:val="24"/>
          <w:highlight w:val="none"/>
          <w:lang w:eastAsia="zh-CN"/>
        </w:rPr>
        <w:t xml:space="preserve">东南大学集成电路学院（无锡）基础实验室教学配套采购项目</w:t>
      </w:r>
      <w:r>
        <w:rPr>
          <w:rStyle w:val="838"/>
          <w:rFonts w:hint="eastAsia" w:ascii="宋体" w:hAnsi="宋体"/>
          <w:color w:val="auto"/>
          <w:sz w:val="24"/>
          <w:szCs w:val="24"/>
          <w:highlight w:val="none"/>
        </w:rPr>
        <w:t xml:space="preserve">。</w:t>
      </w:r>
      <w:r>
        <w:rPr>
          <w:rStyle w:val="838"/>
          <w:rFonts w:hint="eastAsia" w:ascii="宋体" w:hAnsi="宋体"/>
          <w:color w:val="auto"/>
          <w:sz w:val="24"/>
          <w:szCs w:val="24"/>
          <w:highlight w:val="none"/>
          <w:lang w:val="en-US" w:eastAsia="zh-CN"/>
        </w:rPr>
        <w:t xml:space="preserve">四楼</w:t>
      </w:r>
      <w:r>
        <w:rPr>
          <w:rStyle w:val="838"/>
          <w:rFonts w:hint="eastAsia" w:ascii="宋体" w:hAnsi="宋体"/>
          <w:color w:val="auto"/>
          <w:sz w:val="24"/>
          <w:szCs w:val="24"/>
          <w:highlight w:val="none"/>
        </w:rPr>
        <w:t xml:space="preserve">分布</w:t>
      </w:r>
      <w:r>
        <w:rPr>
          <w:rStyle w:val="838"/>
          <w:rFonts w:hint="eastAsia" w:ascii="宋体" w:hAnsi="宋体"/>
          <w:color w:val="auto"/>
          <w:sz w:val="24"/>
          <w:szCs w:val="24"/>
          <w:highlight w:val="none"/>
          <w:lang w:val="en-US" w:eastAsia="zh-CN"/>
        </w:rPr>
        <w:t xml:space="preserve">了</w:t>
      </w:r>
      <w:r>
        <w:rPr>
          <w:rStyle w:val="838"/>
          <w:rFonts w:hint="eastAsia" w:ascii="宋体" w:hAnsi="宋体"/>
          <w:color w:val="auto"/>
          <w:sz w:val="24"/>
          <w:szCs w:val="24"/>
          <w:highlight w:val="none"/>
        </w:rPr>
        <w:t xml:space="preserve">合成室</w:t>
      </w:r>
      <w:r>
        <w:rPr>
          <w:rStyle w:val="838"/>
          <w:rFonts w:hint="eastAsia" w:ascii="宋体" w:hAnsi="宋体"/>
          <w:color w:val="auto"/>
          <w:sz w:val="24"/>
          <w:szCs w:val="24"/>
          <w:highlight w:val="none"/>
          <w:lang w:eastAsia="zh-CN"/>
        </w:rPr>
        <w:t xml:space="preserve">、</w:t>
      </w:r>
      <w:r>
        <w:rPr>
          <w:rStyle w:val="838"/>
          <w:rFonts w:hint="eastAsia" w:ascii="宋体" w:hAnsi="宋体"/>
          <w:color w:val="auto"/>
          <w:sz w:val="24"/>
          <w:szCs w:val="24"/>
          <w:highlight w:val="none"/>
        </w:rPr>
        <w:t xml:space="preserve">手套箱室</w:t>
      </w:r>
      <w:r>
        <w:rPr>
          <w:rStyle w:val="838"/>
          <w:rFonts w:hint="eastAsia" w:ascii="宋体" w:hAnsi="宋体"/>
          <w:color w:val="auto"/>
          <w:sz w:val="24"/>
          <w:szCs w:val="24"/>
          <w:highlight w:val="none"/>
          <w:lang w:eastAsia="zh-CN"/>
        </w:rPr>
        <w:t xml:space="preserve">、</w:t>
      </w:r>
      <w:r>
        <w:rPr>
          <w:rStyle w:val="838"/>
          <w:rFonts w:hint="eastAsia" w:ascii="宋体" w:hAnsi="宋体"/>
          <w:color w:val="auto"/>
          <w:sz w:val="24"/>
          <w:szCs w:val="24"/>
          <w:highlight w:val="none"/>
        </w:rPr>
        <w:t xml:space="preserve">高温</w:t>
      </w:r>
      <w:r>
        <w:rPr>
          <w:rStyle w:val="838"/>
          <w:rFonts w:hint="eastAsia" w:ascii="宋体" w:hAnsi="宋体"/>
          <w:color w:val="auto"/>
          <w:sz w:val="24"/>
          <w:szCs w:val="24"/>
          <w:highlight w:val="none"/>
          <w:lang w:val="en-US" w:eastAsia="zh-CN"/>
        </w:rPr>
        <w:t xml:space="preserve">室、</w:t>
      </w:r>
      <w:r>
        <w:rPr>
          <w:rStyle w:val="838"/>
          <w:rFonts w:hint="eastAsia" w:ascii="宋体" w:hAnsi="宋体"/>
          <w:color w:val="auto"/>
          <w:sz w:val="24"/>
          <w:szCs w:val="24"/>
          <w:highlight w:val="none"/>
        </w:rPr>
        <w:t xml:space="preserve">PI</w:t>
      </w:r>
      <w:r>
        <w:rPr>
          <w:rStyle w:val="838"/>
          <w:rFonts w:hint="eastAsia" w:ascii="宋体" w:hAnsi="宋体"/>
          <w:color w:val="auto"/>
          <w:sz w:val="24"/>
          <w:szCs w:val="24"/>
          <w:highlight w:val="none"/>
          <w:lang w:val="en-US" w:eastAsia="zh-CN"/>
        </w:rPr>
        <w:t xml:space="preserve">C、</w:t>
      </w:r>
      <w:r>
        <w:rPr>
          <w:rStyle w:val="838"/>
          <w:rFonts w:hint="eastAsia" w:ascii="宋体" w:hAnsi="宋体"/>
          <w:color w:val="auto"/>
          <w:sz w:val="24"/>
          <w:szCs w:val="24"/>
          <w:highlight w:val="none"/>
        </w:rPr>
        <w:t xml:space="preserve">微能源</w:t>
      </w:r>
      <w:r>
        <w:rPr>
          <w:rStyle w:val="838"/>
          <w:rFonts w:hint="eastAsia" w:ascii="宋体" w:hAnsi="宋体"/>
          <w:color w:val="auto"/>
          <w:sz w:val="24"/>
          <w:szCs w:val="24"/>
          <w:highlight w:val="none"/>
          <w:lang w:eastAsia="zh-CN"/>
        </w:rPr>
        <w:t xml:space="preserve">、</w:t>
      </w:r>
      <w:r>
        <w:rPr>
          <w:rStyle w:val="838"/>
          <w:rFonts w:hint="eastAsia" w:ascii="宋体" w:hAnsi="宋体"/>
          <w:color w:val="auto"/>
          <w:sz w:val="24"/>
          <w:szCs w:val="24"/>
          <w:highlight w:val="none"/>
        </w:rPr>
        <w:t xml:space="preserve">独立PI共用区</w:t>
      </w:r>
      <w:r>
        <w:rPr>
          <w:rStyle w:val="838"/>
          <w:rFonts w:hint="eastAsia" w:ascii="宋体" w:hAnsi="宋体"/>
          <w:color w:val="auto"/>
          <w:sz w:val="24"/>
          <w:szCs w:val="24"/>
          <w:highlight w:val="none"/>
          <w:lang w:eastAsia="zh-CN"/>
        </w:rPr>
        <w:t xml:space="preserve">、</w:t>
      </w:r>
      <w:r>
        <w:rPr>
          <w:rStyle w:val="838"/>
          <w:rFonts w:hint="eastAsia" w:ascii="宋体" w:hAnsi="宋体"/>
          <w:color w:val="auto"/>
          <w:sz w:val="24"/>
          <w:szCs w:val="24"/>
          <w:highlight w:val="none"/>
        </w:rPr>
        <w:t xml:space="preserve">3D封测</w:t>
      </w:r>
      <w:r>
        <w:rPr>
          <w:rStyle w:val="838"/>
          <w:rFonts w:hint="eastAsia" w:ascii="宋体" w:hAnsi="宋体"/>
          <w:color w:val="auto"/>
          <w:sz w:val="24"/>
          <w:szCs w:val="24"/>
          <w:highlight w:val="none"/>
          <w:lang w:eastAsia="zh-CN"/>
        </w:rPr>
        <w:t xml:space="preserve">、</w:t>
      </w:r>
      <w:r>
        <w:rPr>
          <w:rStyle w:val="838"/>
          <w:rFonts w:hint="eastAsia" w:ascii="宋体" w:hAnsi="宋体"/>
          <w:color w:val="auto"/>
          <w:sz w:val="24"/>
          <w:szCs w:val="24"/>
          <w:highlight w:val="none"/>
        </w:rPr>
        <w:t xml:space="preserve">微系统微传感</w:t>
      </w:r>
      <w:r>
        <w:rPr>
          <w:rStyle w:val="838"/>
          <w:rFonts w:hint="eastAsia" w:ascii="宋体" w:hAnsi="宋体"/>
          <w:color w:val="auto"/>
          <w:sz w:val="24"/>
          <w:szCs w:val="24"/>
          <w:highlight w:val="none"/>
          <w:lang w:eastAsia="zh-CN"/>
        </w:rPr>
        <w:t xml:space="preserve">、</w:t>
      </w:r>
      <w:r>
        <w:rPr>
          <w:rStyle w:val="838"/>
          <w:rFonts w:hint="eastAsia" w:ascii="宋体" w:hAnsi="宋体"/>
          <w:color w:val="auto"/>
          <w:sz w:val="24"/>
          <w:szCs w:val="24"/>
          <w:highlight w:val="none"/>
        </w:rPr>
        <w:t xml:space="preserve">二维材料</w:t>
      </w:r>
      <w:r>
        <w:rPr>
          <w:rStyle w:val="838"/>
          <w:rFonts w:hint="eastAsia" w:ascii="宋体" w:hAnsi="宋体"/>
          <w:color w:val="auto"/>
          <w:sz w:val="24"/>
          <w:szCs w:val="24"/>
          <w:highlight w:val="none"/>
          <w:lang w:val="en-US" w:eastAsia="zh-CN"/>
        </w:rPr>
        <w:t xml:space="preserve">等实验室</w:t>
      </w:r>
      <w:r>
        <w:rPr>
          <w:rStyle w:val="838"/>
          <w:rFonts w:hint="eastAsia" w:ascii="宋体" w:hAnsi="宋体"/>
          <w:color w:val="auto"/>
          <w:sz w:val="24"/>
          <w:szCs w:val="24"/>
          <w:highlight w:val="none"/>
        </w:rPr>
        <w:t xml:space="preserve">。</w:t>
      </w:r>
      <w:r/>
    </w:p>
    <w:p>
      <w:pPr>
        <w:ind w:left="480"/>
        <w:spacing w:line="360" w:lineRule="auto"/>
        <w:widowControl/>
        <w:rPr>
          <w:rStyle w:val="838"/>
          <w:rFonts w:hint="eastAsia" w:ascii="宋体" w:hAnsi="宋体"/>
          <w:color w:val="auto"/>
          <w:sz w:val="24"/>
          <w:szCs w:val="24"/>
          <w:highlight w:val="none"/>
        </w:rPr>
      </w:pPr>
      <w:r>
        <w:rPr>
          <w:rStyle w:val="838"/>
          <w:rFonts w:hint="eastAsia" w:ascii="宋体" w:hAnsi="宋体"/>
          <w:color w:val="auto"/>
          <w:sz w:val="24"/>
          <w:szCs w:val="24"/>
          <w:highlight w:val="none"/>
        </w:rPr>
        <w:t xml:space="preserve">实验室内合理布置实验配套设备，满足实验人员的使用要求。</w:t>
      </w:r>
      <w:r/>
    </w:p>
    <w:p>
      <w:pPr>
        <w:pStyle w:val="837"/>
        <w:ind w:left="1230" w:hanging="750"/>
        <w:spacing w:line="85"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（二）</w:t>
      </w:r>
      <w:r>
        <w:rPr>
          <w:rFonts w:hint="eastAsia" w:ascii="宋体" w:hAnsi="宋体" w:cs="宋体"/>
          <w:b/>
          <w:bCs/>
          <w:color w:val="auto"/>
          <w:sz w:val="24"/>
          <w:szCs w:val="24"/>
          <w:highlight w:val="none"/>
        </w:rPr>
        <w:t xml:space="preserve">设备清单及技术要求</w:t>
      </w:r>
      <w:r/>
    </w:p>
    <w:tbl>
      <w:tblPr>
        <w:tblStyle w:val="659"/>
        <w:tblpPr w:horzAnchor="page" w:tblpX="1597" w:vertAnchor="text" w:tblpY="657" w:leftFromText="180" w:topFromText="0" w:rightFromText="180" w:bottomFromText="0"/>
        <w:tblW w:w="90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5"/>
        <w:gridCol w:w="1125"/>
        <w:gridCol w:w="5730"/>
        <w:gridCol w:w="885"/>
        <w:gridCol w:w="750"/>
      </w:tblGrid>
      <w:tr>
        <w:trPr>
          <w:trHeight w:val="303"/>
        </w:trPr>
        <w:tc>
          <w:tcPr>
            <w:gridSpan w:val="3"/>
            <w:shd w:val="clear" w:color="auto" w:fill="auto"/>
            <w:tcBorders>
              <w:top w:val="none" w:color="000000" w:sz="4" w:space="0"/>
              <w:left w:val="none" w:color="000000" w:sz="4" w:space="0"/>
              <w:bottom w:val="single" w:color="000000" w:sz="8" w:space="0"/>
              <w:right w:val="none" w:color="000000" w:sz="4" w:space="0"/>
            </w:tcBorders>
            <w:tcW w:w="7380" w:type="dxa"/>
            <w:vAlign w:val="center"/>
            <w:textDirection w:val="lrTb"/>
            <w:noWrap w:val="false"/>
          </w:tcPr>
          <w:p>
            <w:pPr>
              <w:jc w:val="left"/>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项目名称：东南大学集成电路学院（无锡）基础实验室教学配套采购</w:t>
            </w:r>
            <w:r/>
          </w:p>
        </w:tc>
        <w:tc>
          <w:tcPr>
            <w:gridSpan w:val="2"/>
            <w:shd w:val="clear" w:color="auto" w:fill="auto"/>
            <w:tcBorders>
              <w:top w:val="none" w:color="000000" w:sz="4" w:space="0"/>
              <w:left w:val="none" w:color="000000" w:sz="4" w:space="0"/>
              <w:bottom w:val="single" w:color="000000" w:sz="8" w:space="0"/>
              <w:right w:val="none" w:color="000000" w:sz="4" w:space="0"/>
            </w:tcBorders>
            <w:tcW w:w="1635"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r>
      <w:tr>
        <w:trPr>
          <w:trHeight w:val="303"/>
        </w:trPr>
        <w:tc>
          <w:tcPr>
            <w:shd w:val="clear" w:color="auto" w:fill="auto"/>
            <w:tcBorders>
              <w:top w:val="single" w:color="000000" w:sz="8"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5730"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rPr>
                <w:rFonts w:hint="eastAsia" w:ascii="黑体" w:hAnsi="宋体" w:eastAsia="黑体" w:cs="黑体"/>
                <w:i w:val="0"/>
                <w:iCs w:val="0"/>
                <w:color w:val="auto"/>
                <w:sz w:val="21"/>
                <w:szCs w:val="21"/>
                <w:highlight w:val="none"/>
                <w:u w:val="none"/>
                <w:lang w:val="en-US" w:eastAsia="zh-CN" w:bidi="ar"/>
              </w:rPr>
              <w:br/>
            </w:r>
            <w:r>
              <w:rPr>
                <w:rFonts w:hint="eastAsia" w:ascii="黑体" w:hAnsi="宋体" w:eastAsia="黑体" w:cs="黑体"/>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数量</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合成室1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靠边实验台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spacing w:after="21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16050</w:t>
            </w:r>
            <w:r>
              <w:rPr>
                <w:rFonts w:hint="eastAsia" w:ascii="宋体" w:hAnsi="宋体" w:eastAsia="宋体" w:cs="宋体"/>
                <w:i w:val="0"/>
                <w:iCs w:val="0"/>
                <w:color w:val="auto"/>
                <w:sz w:val="21"/>
                <w:szCs w:val="21"/>
                <w:highlight w:val="none"/>
                <w:u w:val="none"/>
                <w:lang w:val="en-US" w:eastAsia="zh-CN" w:bidi="ar"/>
              </w:rPr>
              <w:t xml:space="preserve">*750*850mm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3、铝合金线槽含1.5延米4个插座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台面采用厚度≥13mm耐腐蚀实心理化板，耐酸碱耐冲击，边缘采用同质板材加厚度为≥26mm。</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20250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4、每跨（置物架）五孔电源插座4个，共11跨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5、实验室专用</w:t>
            </w:r>
            <w:r>
              <w:rPr>
                <w:rFonts w:hint="eastAsia" w:ascii="宋体" w:hAnsi="宋体" w:cs="宋体"/>
                <w:i w:val="0"/>
                <w:iCs w:val="0"/>
                <w:color w:val="auto"/>
                <w:sz w:val="21"/>
                <w:szCs w:val="21"/>
                <w:highlight w:val="none"/>
                <w:u w:val="none"/>
                <w:lang w:val="en-US" w:eastAsia="zh-CN" w:bidi="ar"/>
              </w:rPr>
              <w:t xml:space="preserve">清洗装置</w:t>
            </w: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定制功能架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19050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2、样式：立柱结构，采用1.5mm及以上镀锌冷轧钢板制作，表面经环氧树脂喷涂防腐处理，两侧快装孔采用激光一次精准冲孔，双立柱与台面采用M10螺栓连接；立面配套插座</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42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PP大号水槽</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规格：800*456*320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高密度黑色PP一体成型，耐强腐蚀，受力边厚7mm，平整不变形，水槽底部由水槽柜内支架加强支撑。内部附有滤水垫片、滤水提笼及塑料止水盖，另附PP材质组合式水槽落水头堵臭装置，耐腐蚀，抗高温，易清洁，</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桌上型洗眼器</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手柄为内铜质，外PP，高亮度环氧树脂喷涂层，单喷淋头，配防尘盖，有控水阀</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单面滴水架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规格：550*400*108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2、单面，轻质量，高强度，容易组装和拆卸，可放在水槽边，PP材质，滴水架PP棒倾角为40°，用于置放各种实验室玻璃器皿。提供至少27个滴水架PP棒以及安装孔，用双手就能够拆装，插空防水。</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45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strike/>
                <w:color w:val="auto"/>
                <w:sz w:val="21"/>
                <w:szCs w:val="21"/>
                <w:highlight w:val="none"/>
              </w:rPr>
              <w:suppressLineNumbers w:val="0"/>
            </w:pPr>
            <w:r>
              <w:rPr>
                <w:rFonts w:hint="eastAsia" w:ascii="宋体" w:hAnsi="宋体" w:eastAsia="宋体" w:cs="宋体"/>
                <w:i w:val="0"/>
                <w:iCs w:val="0"/>
                <w:strike/>
                <w:color w:val="auto"/>
                <w:sz w:val="21"/>
                <w:szCs w:val="21"/>
                <w:highlight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规格：1500*900*2350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、类型：台式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、基础要求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台面为陶瓷台面；主体材质≥1.2</w:t>
            </w:r>
            <w:r>
              <w:rPr>
                <w:rFonts w:hint="eastAsia" w:ascii="宋体" w:hAnsi="宋体" w:cs="宋体"/>
                <w:i w:val="0"/>
                <w:iCs w:val="0"/>
                <w:color w:val="auto"/>
                <w:sz w:val="21"/>
                <w:szCs w:val="21"/>
                <w:highlight w:val="none"/>
                <w:u w:val="none"/>
                <w:lang w:val="en-US" w:eastAsia="zh-CN" w:bidi="ar"/>
              </w:rPr>
              <w:t xml:space="preserve">冷轧</w:t>
            </w:r>
            <w:r>
              <w:rPr>
                <w:rFonts w:hint="eastAsia" w:ascii="宋体" w:hAnsi="宋体" w:eastAsia="宋体" w:cs="宋体"/>
                <w:i w:val="0"/>
                <w:iCs w:val="0"/>
                <w:color w:val="auto"/>
                <w:sz w:val="21"/>
                <w:szCs w:val="21"/>
                <w:highlight w:val="none"/>
                <w:u w:val="none"/>
                <w:lang w:val="en-US" w:eastAsia="zh-CN" w:bidi="ar"/>
              </w:rPr>
              <w:t xml:space="preserve">钢板，表面经酸洗磷化烘干抛光打磨处理，环氧树脂粉末喷涂≥80μm，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220V/380V电箱控制系统，防水、过载、漏电保护系统，液晶控制面板，多功能3孔防水插座；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内胆两侧一体成型卡扣式可拆卸水电气路维修窗；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任意无级停同步控制平衡门，视窗玻璃采用3+3mm夹胶防爆安全玻璃，配置消音密封毛条、同步开关LED三防灯；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每组通风柜含10A*3、16A*1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通风柜顶部封板</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规格：1500*900*H（600＜H＜800，视现场层高而定）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2、遮挡通风柜顶部阀门风管，便于拆卸维修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3、与通风柜造型搭配，样式美观</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6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产品整体材质使用高密度聚乙烯（HDPE）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2、完全焊接的盛漏槽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3、搁板在76mm中心处可调，使用灵活。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4、柜体无金属部件裸露，不会产生零部件腐蚀风险。能够耐受实验室常用的酸、碱和溶剂。 颜色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、外形尺寸：611*550*889</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、柜子背面设置通风孔，可根据需要外接通风系统。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443"/>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防火安全柜下柜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1.产品设计符合使用方相关要求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2、1.2mm 钢制双壁结 ，38mm的隔气空间。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3、采用环氧和聚酯纤维混合的涂料涂饰耐化学腐蚀，而且防紫外线。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4、容量22加仑约83L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5、外形尺寸：889x559x889MM.内部配备承重达159KG钢制托盘以及防腐蚀HDPE 托盘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6、设有液体密封围堵槽，可容纳泄漏液体；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7、内置消焰器的双排气口，有目的地置于底部及其相对的顶部。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杯槽</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规格：260*140*170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钢制器材柜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2、材质：全钢结构</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3、带排风</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钢制更衣柜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3、上下开门结构，带锁</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落地式紧急冲淋器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落地式安装，不锈钢制作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高亮度环氧树脂烤漆涂层，有效抵御化学物质的腐蚀和紫外线的照射；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2、冲淋器：SUS304 不锈钢，用于冲洗全身，冲淋开关阀球阀能 1S 内快速启动；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合成室</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靠边实验台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8850</w:t>
            </w:r>
            <w:r>
              <w:rPr>
                <w:rFonts w:hint="eastAsia" w:ascii="宋体" w:hAnsi="宋体" w:eastAsia="宋体" w:cs="宋体"/>
                <w:i w:val="0"/>
                <w:iCs w:val="0"/>
                <w:color w:val="auto"/>
                <w:sz w:val="21"/>
                <w:szCs w:val="21"/>
                <w:highlight w:val="none"/>
                <w:u w:val="none"/>
                <w:lang w:val="en-US" w:eastAsia="zh-CN" w:bidi="ar"/>
              </w:rPr>
              <w:t xml:space="preserve">*750*850mm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3、铝合金线槽含1.5延米4个插座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4、台面采用厚度≥13mm耐腐蚀</w:t>
            </w:r>
            <w:r>
              <w:rPr>
                <w:rFonts w:hint="eastAsia" w:ascii="宋体" w:hAnsi="宋体" w:cs="宋体"/>
                <w:i w:val="0"/>
                <w:iCs w:val="0"/>
                <w:color w:val="auto"/>
                <w:sz w:val="21"/>
                <w:szCs w:val="21"/>
                <w:highlight w:val="none"/>
                <w:u w:val="none"/>
                <w:lang w:val="en-US" w:eastAsia="zh-CN" w:bidi="ar"/>
              </w:rPr>
              <w:t xml:space="preserve">实心</w:t>
            </w:r>
            <w:r>
              <w:rPr>
                <w:rFonts w:hint="eastAsia" w:ascii="宋体" w:hAnsi="宋体" w:eastAsia="宋体" w:cs="宋体"/>
                <w:i w:val="0"/>
                <w:iCs w:val="0"/>
                <w:color w:val="auto"/>
                <w:sz w:val="21"/>
                <w:szCs w:val="21"/>
                <w:highlight w:val="none"/>
                <w:u w:val="none"/>
                <w:lang w:val="en-US" w:eastAsia="zh-CN" w:bidi="ar"/>
              </w:rPr>
              <w:t xml:space="preserve">理化板，耐酸碱耐冲击</w:t>
            </w:r>
            <w:r>
              <w:rPr>
                <w:rFonts w:hint="eastAsia" w:ascii="宋体" w:hAnsi="宋体" w:cs="宋体"/>
                <w:i w:val="0"/>
                <w:iCs w:val="0"/>
                <w:color w:val="auto"/>
                <w:sz w:val="21"/>
                <w:szCs w:val="21"/>
                <w:highlight w:val="none"/>
                <w:u w:val="none"/>
                <w:lang w:val="en-US" w:eastAsia="zh-CN" w:bidi="ar"/>
              </w:rPr>
              <w:t xml:space="preserve">，</w:t>
            </w:r>
            <w:r>
              <w:rPr>
                <w:rFonts w:hint="eastAsia"/>
                <w:color w:val="auto"/>
                <w:highlight w:val="none"/>
              </w:rPr>
              <w:t xml:space="preserve">边缘采用同质板材加厚度为≥26mm。</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3000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4、每跨（置物架）五孔电源插座4个，共1跨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5、实验室专用</w:t>
            </w:r>
            <w:r>
              <w:rPr>
                <w:rFonts w:hint="eastAsia" w:ascii="宋体" w:hAnsi="宋体" w:cs="宋体"/>
                <w:i w:val="0"/>
                <w:iCs w:val="0"/>
                <w:color w:val="auto"/>
                <w:sz w:val="21"/>
                <w:szCs w:val="21"/>
                <w:highlight w:val="none"/>
                <w:u w:val="none"/>
                <w:lang w:val="en-US" w:eastAsia="zh-CN" w:bidi="ar"/>
              </w:rPr>
              <w:t xml:space="preserve">清洗装置</w:t>
            </w: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strike/>
                <w:color w:val="auto"/>
                <w:sz w:val="21"/>
                <w:szCs w:val="21"/>
                <w:highlight w:val="none"/>
              </w:rPr>
              <w:suppressLineNumbers w:val="0"/>
            </w:pPr>
            <w:r>
              <w:rPr>
                <w:rFonts w:hint="eastAsia" w:ascii="宋体" w:hAnsi="宋体" w:eastAsia="宋体" w:cs="宋体"/>
                <w:i w:val="0"/>
                <w:iCs w:val="0"/>
                <w:strike/>
                <w:color w:val="auto"/>
                <w:sz w:val="21"/>
                <w:szCs w:val="21"/>
                <w:highlight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定制功能架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1350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2、样式：立柱结构，采用1.5mm及以上镀锌冷轧钢板制作，表面经环氧树脂喷涂防腐处理，两侧快装孔采用激光一次精准冲孔，双立柱与台面采用M10螺栓连接；立面配套插座</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PP大号水槽</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规格：800*456*320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高密度黑色PP一体成型，耐强腐蚀，受力边厚7mm，平整不变形，水槽底部由水槽柜内支架加强支撑。内部附有滤水垫片、滤水提笼及塑料止水盖，另附PP材质组合式水槽落水头堵臭装置，耐腐蚀，抗高温，易清洁，</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桌上型洗眼器</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手柄为内铜质，外PP，高亮度环氧树脂喷涂层，单喷淋头，配防尘盖，有控水阀</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单面滴水架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规格：550*400*108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2、单面，轻质量，高强度，容易组装和拆卸，可放在水槽边，PP材质，滴水架PP棒倾角为40°，用于置放各种实验室玻璃器皿。提供至少27个滴水架PP棒以及安装孔，用双手就能够拆装，插空防水。</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345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strike/>
                <w:color w:val="auto"/>
                <w:sz w:val="21"/>
                <w:szCs w:val="21"/>
                <w:highlight w:val="none"/>
              </w:rPr>
              <w:suppressLineNumbers w:val="0"/>
            </w:pPr>
            <w:r>
              <w:rPr>
                <w:rFonts w:hint="eastAsia" w:ascii="宋体" w:hAnsi="宋体" w:eastAsia="宋体" w:cs="宋体"/>
                <w:i w:val="0"/>
                <w:iCs w:val="0"/>
                <w:strike/>
                <w:color w:val="auto"/>
                <w:sz w:val="21"/>
                <w:szCs w:val="21"/>
                <w:highlight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规格：1500*900*2350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、类型：台式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、基础要求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台面为陶瓷台面；主体材质≥1.2</w:t>
            </w:r>
            <w:r>
              <w:rPr>
                <w:rFonts w:hint="eastAsia" w:ascii="宋体" w:hAnsi="宋体" w:cs="宋体"/>
                <w:i w:val="0"/>
                <w:iCs w:val="0"/>
                <w:color w:val="auto"/>
                <w:sz w:val="21"/>
                <w:szCs w:val="21"/>
                <w:highlight w:val="none"/>
                <w:u w:val="none"/>
                <w:lang w:val="en-US" w:eastAsia="zh-CN" w:bidi="ar"/>
              </w:rPr>
              <w:t xml:space="preserve">冷轧</w:t>
            </w:r>
            <w:r>
              <w:rPr>
                <w:rFonts w:hint="eastAsia" w:ascii="宋体" w:hAnsi="宋体" w:eastAsia="宋体" w:cs="宋体"/>
                <w:i w:val="0"/>
                <w:iCs w:val="0"/>
                <w:color w:val="auto"/>
                <w:sz w:val="21"/>
                <w:szCs w:val="21"/>
                <w:highlight w:val="none"/>
                <w:u w:val="none"/>
                <w:lang w:val="en-US" w:eastAsia="zh-CN" w:bidi="ar"/>
              </w:rPr>
              <w:t xml:space="preserve">钢板，表面经酸洗磷化烘干抛光打磨处理，环氧树脂粉末喷涂≥80μm，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220V/380V电箱控制系统，防水、过载、漏电保护系统，液晶控制面板，多功能3孔防水插座；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内胆两侧一体成型卡扣式可拆卸水电气路维修窗；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任意无级停同步控制平衡门，视窗玻璃采用3+3mm夹胶防爆安全玻璃，配置消音密封毛条、同步开关LED三防灯；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每组通风柜含10A*3、16A*1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通风柜顶部封板</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规格：1500*900*H（600＜H＜800，视现场层高而定）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2、遮挡通风柜顶部阀门风管，便于拆卸维修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3、与通风柜造型搭配，样式美观</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585"/>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产品整体材质使用高密度聚乙烯（HDPE）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2、完全焊接的盛漏槽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搁板在76mm中心处可调，使用灵活。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4、柜体无金属部件裸露，不会产生零部件腐蚀风险。能够耐受实验室常用的酸、碱和溶剂。 颜色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、外形尺寸：611*550*889MM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、柜子背面设置通风孔，可根据需要外接通风系统。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353"/>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防火安全柜下柜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1.产品设计符合使用方相关要求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2、1.2mm 钢制双壁结 ，38mm的隔气空间。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3、采用环氧和聚酯纤维混合的涂料涂饰耐化学腐蚀，而且防紫外线。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4、容量22加仑约83L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5、外形尺寸：889x559x889MM.内部配备承重达159KG钢制托盘以及防腐蚀HDPE 托盘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6、设有液体密封围堵槽，可容纳泄漏液体；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7、内置消焰器的双排气口，有目的地置于底部及其相对的顶部。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杯槽</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规格：260*140*170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钢制器材柜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2、材质：全钢结构</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3、带排风</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钢制更衣柜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3、上下开门结构，带锁</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落地式紧急冲淋器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落地式安装，不锈钢制作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高亮度环氧树脂烤漆涂层，有效抵御化学物质的腐蚀和紫外线的照射；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2、冲淋器：SUS304 不锈钢，用于冲洗全身，冲淋开关阀球阀能1S内快速启动；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手套箱室</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1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strike/>
                <w:color w:val="auto"/>
                <w:sz w:val="21"/>
                <w:szCs w:val="21"/>
                <w:highlight w:val="none"/>
              </w:rPr>
              <w:suppressLineNumbers w:val="0"/>
            </w:pPr>
            <w:r>
              <w:rPr>
                <w:rFonts w:hint="eastAsia" w:ascii="宋体" w:hAnsi="宋体" w:eastAsia="宋体" w:cs="宋体"/>
                <w:i w:val="0"/>
                <w:iCs w:val="0"/>
                <w:strike/>
                <w:color w:val="auto"/>
                <w:sz w:val="21"/>
                <w:szCs w:val="21"/>
                <w:highlight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规格：1500*900*2350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、类型：台式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、基础要求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台面为陶瓷台面；主体材质≥1.2</w:t>
            </w:r>
            <w:r>
              <w:rPr>
                <w:rFonts w:hint="eastAsia" w:ascii="宋体" w:hAnsi="宋体" w:cs="宋体"/>
                <w:i w:val="0"/>
                <w:iCs w:val="0"/>
                <w:color w:val="auto"/>
                <w:sz w:val="21"/>
                <w:szCs w:val="21"/>
                <w:highlight w:val="none"/>
                <w:u w:val="none"/>
                <w:lang w:val="en-US" w:eastAsia="zh-CN" w:bidi="ar"/>
              </w:rPr>
              <w:t xml:space="preserve">冷轧</w:t>
            </w:r>
            <w:r>
              <w:rPr>
                <w:rFonts w:hint="eastAsia" w:ascii="宋体" w:hAnsi="宋体" w:eastAsia="宋体" w:cs="宋体"/>
                <w:i w:val="0"/>
                <w:iCs w:val="0"/>
                <w:color w:val="auto"/>
                <w:sz w:val="21"/>
                <w:szCs w:val="21"/>
                <w:highlight w:val="none"/>
                <w:u w:val="none"/>
                <w:lang w:val="en-US" w:eastAsia="zh-CN" w:bidi="ar"/>
              </w:rPr>
              <w:t xml:space="preserve">钢板，表面经酸洗磷化烘干抛光打磨处理，环氧树脂粉末喷涂≥80μm，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220V/380V电箱控制系统，防水、过载、漏电保护系统，液晶控制面板，多功能3孔防水插座；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内胆两侧一体成型卡扣式可拆卸水电气路维修窗；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任意无级停同步控制平衡门，视窗玻璃采用3+3mm夹胶防爆安全玻璃，配置消音密封毛条、同步开关LED三防灯；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每组通风柜含10A*3、16A*1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通风柜顶部封板</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规格：1500*900*H（600＜H＜800，视现场层高而定）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2、遮挡通风柜顶部阀门风管，便于拆卸维修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3、与通风柜造型搭配，样式美观</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45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产品整体材质使用高密度聚乙烯（HDPE）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2、完全焊接的盛漏槽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3、搁板在76 mm 中心处可调，使用灵活。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4、柜体无金属部件裸露，不会产生零部件腐蚀风险。能够耐受实验室常用的酸、碱和溶剂。 颜色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、外形尺寸：611*550*889MM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、柜子背面设置通风孔，可根据需要外接通风系统。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563"/>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防火安全柜下柜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1.产品设计符合使用方相关要求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2、1.2mm 钢制双壁结 ，38mm的隔气空间。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3、采用环氧和聚酯纤维混合的涂料涂饰耐化学腐蚀，而且防紫外线。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4、容量22加仑约83L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5、外形尺寸：889x559x889MM.内部配备承重达159KG钢制托盘以及防腐蚀HDPE 托盘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6、设有液体密封围堵槽，可容纳泄漏液体；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7、内置消焰器的双排气口，有目的地置于底部及其相对的顶部。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杯槽</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规格：260*140*170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落地式紧急冲淋器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落地式安装，不锈钢制作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高亮度环氧树脂烤漆涂层，有效抵御化学物质的腐蚀和紫外线的照射；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2、冲淋器：SUS304 不锈钢，用于冲洗全身，冲淋开关阀球阀能1S内快速启动；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高温室</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15000</w:t>
            </w:r>
            <w:r>
              <w:rPr>
                <w:rFonts w:hint="eastAsia" w:ascii="宋体" w:hAnsi="宋体" w:eastAsia="宋体" w:cs="宋体"/>
                <w:i w:val="0"/>
                <w:iCs w:val="0"/>
                <w:color w:val="auto"/>
                <w:sz w:val="21"/>
                <w:szCs w:val="21"/>
                <w:highlight w:val="none"/>
                <w:u w:val="none"/>
                <w:lang w:val="en-US" w:eastAsia="zh-CN" w:bidi="ar"/>
              </w:rPr>
              <w:t xml:space="preserve">*800*600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3、台面：20mm厚大理石台面</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不锈钢原子吸收罩</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规格：400*400*H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2、材质：1.2mmTHSUS304制作而成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3、罩口高低可调范围300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500mm</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耗材库</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钢制样品柜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危化品暂存</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防火安全柜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1.产品设计符合使用方相关要求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2、1mm钢制双壁结，38mm的隔气空间。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3、采用环氧和聚酯纤维混合 的涂料涂饰耐化学腐蚀，而且防紫外线。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4、容量45加仑约170L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5、外形尺寸、1651x1092x457MM.内尺寸、1537x1003x370MM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高x宽x深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6、设有液体密封围堵槽，可容纳泄漏液体。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7、内置消焰器的双排气口，有目的地置于底部及其相对的顶部。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345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毒品安全柜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1.产品具备防火能力，实现双人双锁管理；用于毒品类危险品存储。</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2.产品设计符合招标人使用要求</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1mm钢制双壁结，38mm的隔气空间。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4、内外壁全部采用环氧粉末烤漆涂层，具有更强的耐化学腐蚀性。该涂料经过专门配制，能够耐受实验室常用的酸、碱和溶剂。 颜色、白色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5、容量45加仑约170L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6、外形尺寸、1651x1092x457</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.内尺寸、1537x1003x370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高x宽x深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7、设有液体密封围堵槽，可容纳泄漏液体；安全柜内镀锌钢搁板上安装了聚乙烯底盘，并在底部盛漏槽中加设了独立的聚乙烯衬套。 衬套可拆除，便于清理滴落和泄漏的液体。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8、内置消焰器的双排气口，有目的地置于底部及其相对的顶部。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酸碱安全柜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产品整体材质使用高密度聚乙烯（HDPE）。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2、完全焊接的盛漏槽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3、搁板在76 mm 中心处可调，使用灵活。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、柜体无金属部件裸露，不会产生零部件腐蚀风险。能够耐受实验室常用的酸、碱和溶剂。 颜色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、外形尺寸：1651 x 1092 x 457 mm，内部尺寸：1610 x 1066 x 431 mm （高*宽*深）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、内置消焰器的双排气口，有目的地置于背面。</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PIC+三江院B一楼区</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11000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4、每跨（置物架）五孔电源插座4个，共5跨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11000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钢制货架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规格：1200*515*2000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微能源</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73"/>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靠边实验台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spacing w:after="21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5450</w:t>
            </w:r>
            <w:r>
              <w:rPr>
                <w:rFonts w:hint="eastAsia" w:ascii="宋体" w:hAnsi="宋体" w:eastAsia="宋体" w:cs="宋体"/>
                <w:i w:val="0"/>
                <w:iCs w:val="0"/>
                <w:color w:val="auto"/>
                <w:sz w:val="21"/>
                <w:szCs w:val="21"/>
                <w:highlight w:val="none"/>
                <w:u w:val="none"/>
                <w:lang w:val="en-US" w:eastAsia="zh-CN" w:bidi="ar"/>
              </w:rPr>
              <w:t xml:space="preserve">*750*850mm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3、铝合金线槽含1.5延米4个插座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台面采用厚度≥13mm耐腐蚀实心理化板，耐酸碱耐冲击，边缘采用同质板材加厚度为≥26mm。</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7950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4、每跨（置物架）五孔电源插座2个，共5跨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5450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钢制器材柜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独立PI共用区</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7450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4、每跨（置物架）五孔电源插座2个，共5跨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7450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钢制货架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规格：1200*515*2000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3D封测</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7350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4、每跨（置物架）五孔电源插座4个，共5跨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41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7200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钢制货架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规格：1200*515*2000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微系统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5400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4、每跨（置物架）五孔电源插座4个，共3跨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5400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钢制器材柜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微传感+三江院C一楼</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靠边实验台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7400</w:t>
            </w:r>
            <w:r>
              <w:rPr>
                <w:rFonts w:hint="eastAsia" w:ascii="宋体" w:hAnsi="宋体" w:eastAsia="宋体" w:cs="宋体"/>
                <w:i w:val="0"/>
                <w:iCs w:val="0"/>
                <w:color w:val="auto"/>
                <w:sz w:val="21"/>
                <w:szCs w:val="21"/>
                <w:highlight w:val="none"/>
                <w:u w:val="none"/>
                <w:lang w:val="en-US" w:eastAsia="zh-CN" w:bidi="ar"/>
              </w:rPr>
              <w:t xml:space="preserve">*750*850mm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3、铝合金线槽含1.5延米4个插座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台面采用厚度≥13mm耐腐蚀实心理化板，耐酸碱耐冲击，边缘采用同质板材加厚度为≥26mm。</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5400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4、每跨（置物架）五孔电源插座8个，共3跨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15150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二维材料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7350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4、每跨（置物架）五孔电源插座5个，共4跨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7200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钢制货架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规格：1200*515*2000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4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bl>
    <w:p>
      <w:pPr>
        <w:rPr>
          <w:b/>
          <w:bCs/>
          <w:color w:val="auto"/>
          <w:sz w:val="24"/>
          <w:szCs w:val="24"/>
          <w:highlight w:val="none"/>
        </w:rPr>
      </w:pPr>
      <w:r>
        <w:rPr>
          <w:b/>
          <w:bCs/>
          <w:color w:val="auto"/>
          <w:sz w:val="24"/>
          <w:szCs w:val="24"/>
          <w:highlight w:val="none"/>
        </w:rPr>
      </w:r>
      <w:r/>
    </w:p>
    <w:p>
      <w:pPr>
        <w:pStyle w:val="837"/>
        <w:numPr>
          <w:ilvl w:val="0"/>
          <w:numId w:val="0"/>
        </w:numPr>
        <w:spacing w:line="360" w:lineRule="auto"/>
        <w:rPr>
          <w:b/>
          <w:bCs/>
          <w:color w:val="auto"/>
          <w:sz w:val="24"/>
          <w:szCs w:val="24"/>
          <w:highlight w:val="none"/>
        </w:rPr>
      </w:pPr>
      <w:r>
        <w:rPr>
          <w:rFonts w:ascii="宋体" w:hAnsi="宋体"/>
          <w:b/>
          <w:color w:val="auto"/>
          <w:sz w:val="24"/>
          <w:szCs w:val="24"/>
          <w:highlight w:val="none"/>
        </w:rPr>
        <w:t xml:space="preserve">注：最终按实际供货数量*固定单价进行结算。</w:t>
      </w:r>
      <w:r/>
    </w:p>
    <w:p>
      <w:pPr>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通过中国海关报关验放进入中国境内且产自境外的产品不在本项目的报价范围。</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hint="eastAsia" w:ascii="宋体" w:hAnsi="Times New Roman" w:cs="Times New Roman"/>
          <w:bCs/>
          <w:color w:val="auto"/>
          <w:sz w:val="24"/>
          <w:szCs w:val="24"/>
          <w:highlight w:val="none"/>
        </w:rPr>
      </w:pPr>
      <w:r>
        <w:rPr>
          <w:rFonts w:hint="eastAsia" w:ascii="宋体"/>
          <w:bCs/>
          <w:color w:val="auto"/>
          <w:sz w:val="24"/>
          <w:szCs w:val="24"/>
          <w:highlight w:val="none"/>
        </w:rPr>
        <w:t xml:space="preserve">5.</w:t>
      </w:r>
      <w:r>
        <w:rPr>
          <w:rFonts w:hint="eastAsia" w:ascii="宋体" w:hAnsi="Times New Roman" w:cs="Times New Roman"/>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6.项目工期：合同签订之日起</w:t>
      </w:r>
      <w:r>
        <w:rPr>
          <w:rFonts w:hint="eastAsia" w:ascii="宋体" w:hAnsi="Times New Roman" w:cs="Times New Roman"/>
          <w:bCs/>
          <w:color w:val="auto"/>
          <w:sz w:val="24"/>
          <w:szCs w:val="24"/>
          <w:highlight w:val="none"/>
          <w:lang w:val="en-US" w:eastAsia="zh-CN"/>
        </w:rPr>
        <w:t xml:space="preserve">45</w:t>
      </w:r>
      <w:r>
        <w:rPr>
          <w:rFonts w:hint="eastAsia" w:ascii="宋体" w:hAnsi="Times New Roman" w:cs="Times New Roman"/>
          <w:bCs/>
          <w:color w:val="auto"/>
          <w:sz w:val="24"/>
          <w:szCs w:val="24"/>
          <w:highlight w:val="none"/>
        </w:rPr>
        <w:t xml:space="preserve">天内完成本项目的供货、安装、调试。</w:t>
      </w:r>
      <w:r/>
    </w:p>
    <w:p>
      <w:pPr>
        <w:numPr>
          <w:ilvl w:val="1"/>
          <w:numId w:val="0"/>
        </w:numPr>
        <w:ind w:firstLine="480"/>
        <w:spacing w:line="360" w:lineRule="auto"/>
        <w:tabs>
          <w:tab w:val="left" w:pos="525"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7.项目整体质保期：自最终验收合格之日起两年。</w:t>
      </w:r>
      <w:r/>
    </w:p>
    <w:p>
      <w:pPr>
        <w:numPr>
          <w:ilvl w:val="1"/>
          <w:numId w:val="0"/>
        </w:numPr>
        <w:ind w:firstLine="480"/>
        <w:spacing w:line="360" w:lineRule="auto"/>
        <w:tabs>
          <w:tab w:val="left" w:pos="525"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8.付款方式：合同签订生效后，采购单位于10个日历天内向中标方支付合同总价的30%作为预付款；全部货物运至现场，并经采购单位验</w:t>
      </w:r>
      <w:r>
        <w:rPr>
          <w:rFonts w:hint="eastAsia" w:ascii="宋体" w:hAnsi="Times New Roman" w:cs="Times New Roman"/>
          <w:bCs/>
          <w:color w:val="auto"/>
          <w:sz w:val="24"/>
          <w:szCs w:val="24"/>
          <w:highlight w:val="none"/>
          <w:lang w:val="en-US" w:eastAsia="zh-CN"/>
        </w:rPr>
        <w:t xml:space="preserve">货</w:t>
      </w:r>
      <w:r>
        <w:rPr>
          <w:rFonts w:hint="eastAsia" w:ascii="宋体" w:hAnsi="Times New Roman" w:cs="Times New Roman"/>
          <w:bCs/>
          <w:color w:val="auto"/>
          <w:sz w:val="24"/>
          <w:szCs w:val="24"/>
          <w:highlight w:val="none"/>
        </w:rPr>
        <w:t xml:space="preserve">确认后付至合同总价的</w:t>
      </w:r>
      <w:r>
        <w:rPr>
          <w:rFonts w:hint="eastAsia" w:ascii="宋体" w:hAnsi="Times New Roman" w:cs="Times New Roman"/>
          <w:bCs/>
          <w:color w:val="auto"/>
          <w:sz w:val="24"/>
          <w:szCs w:val="24"/>
          <w:highlight w:val="none"/>
          <w:lang w:val="en-US" w:eastAsia="zh-CN"/>
        </w:rPr>
        <w:t xml:space="preserve">5</w:t>
      </w:r>
      <w:r>
        <w:rPr>
          <w:rFonts w:hint="eastAsia" w:ascii="宋体" w:hAnsi="Times New Roman" w:cs="Times New Roman"/>
          <w:bCs/>
          <w:color w:val="auto"/>
          <w:sz w:val="24"/>
          <w:szCs w:val="24"/>
          <w:highlight w:val="none"/>
        </w:rPr>
        <w:t xml:space="preserve">0%；所有货物全部安装调试结束，提交所需单据，并经采购单位组织验收合格后10个日历天内付至合同总价的</w:t>
      </w:r>
      <w:r>
        <w:rPr>
          <w:rFonts w:hint="eastAsia" w:ascii="宋体" w:hAnsi="Times New Roman" w:cs="Times New Roman"/>
          <w:bCs/>
          <w:color w:val="auto"/>
          <w:sz w:val="24"/>
          <w:szCs w:val="24"/>
          <w:highlight w:val="none"/>
          <w:lang w:val="en-US" w:eastAsia="zh-CN"/>
        </w:rPr>
        <w:t xml:space="preserve">70</w:t>
      </w:r>
      <w:r>
        <w:rPr>
          <w:rFonts w:hint="eastAsia" w:ascii="宋体" w:hAnsi="Times New Roman" w:cs="Times New Roman"/>
          <w:bCs/>
          <w:color w:val="auto"/>
          <w:sz w:val="24"/>
          <w:szCs w:val="24"/>
          <w:highlight w:val="none"/>
        </w:rPr>
        <w:t xml:space="preserve">%；</w:t>
      </w:r>
      <w:r>
        <w:rPr>
          <w:rFonts w:hint="eastAsia" w:ascii="宋体" w:hAnsi="Times New Roman" w:cs="Times New Roman"/>
          <w:bCs/>
          <w:color w:val="auto"/>
          <w:sz w:val="24"/>
          <w:szCs w:val="24"/>
          <w:highlight w:val="none"/>
          <w:lang w:val="en-US" w:eastAsia="zh-CN"/>
        </w:rPr>
        <w:t xml:space="preserve">结算审计结束付至审定金额的90%；待质保期满后采购单位在一个月内付清余款。</w:t>
      </w:r>
      <w:r/>
    </w:p>
    <w:p>
      <w:pPr>
        <w:numPr>
          <w:ilvl w:val="1"/>
          <w:numId w:val="0"/>
        </w:numPr>
        <w:ind w:firstLine="480"/>
        <w:spacing w:line="360" w:lineRule="auto"/>
        <w:tabs>
          <w:tab w:val="left" w:pos="426" w:leader="none"/>
          <w:tab w:val="left" w:pos="52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9.本项目合同履行地点：</w:t>
      </w:r>
      <w:r>
        <w:rPr>
          <w:rFonts w:hint="eastAsia" w:ascii="宋体" w:hAnsi="宋体"/>
          <w:bCs/>
          <w:color w:val="auto"/>
          <w:sz w:val="24"/>
          <w:szCs w:val="24"/>
          <w:highlight w:val="none"/>
          <w:lang w:eastAsia="zh-CN"/>
        </w:rPr>
        <w:t xml:space="preserve">无锡</w:t>
      </w:r>
      <w:r>
        <w:rPr>
          <w:rFonts w:hint="eastAsia" w:ascii="宋体" w:hAnsi="宋体"/>
          <w:bCs/>
          <w:color w:val="auto"/>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10.</w:t>
      </w: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11.</w:t>
      </w:r>
      <w:r>
        <w:rPr>
          <w:rFonts w:hint="eastAsia"/>
          <w:color w:val="auto"/>
          <w:sz w:val="24"/>
          <w:highlight w:val="none"/>
        </w:rPr>
        <w:t xml:space="preserve">维修响应时间：接到电话后立即响应，需现场维修的，接报后</w:t>
      </w:r>
      <w:r>
        <w:rPr>
          <w:rFonts w:hint="eastAsia"/>
          <w:color w:val="auto"/>
          <w:sz w:val="24"/>
          <w:highlight w:val="none"/>
          <w:lang w:val="en-US" w:eastAsia="zh-CN"/>
        </w:rPr>
        <w:t xml:space="preserve">12</w:t>
      </w:r>
      <w:r>
        <w:rPr>
          <w:rFonts w:hint="eastAsia"/>
          <w:color w:val="auto"/>
          <w:sz w:val="24"/>
          <w:highlight w:val="none"/>
        </w:rPr>
        <w:t xml:space="preserve">小时内到达现场，并于</w:t>
      </w:r>
      <w:r>
        <w:rPr>
          <w:rFonts w:hint="eastAsia"/>
          <w:color w:val="auto"/>
          <w:sz w:val="24"/>
          <w:highlight w:val="none"/>
          <w:lang w:val="en-US" w:eastAsia="zh-CN"/>
        </w:rPr>
        <w:t xml:space="preserve">24</w:t>
      </w:r>
      <w:r>
        <w:rPr>
          <w:rFonts w:hint="eastAsia"/>
          <w:color w:val="auto"/>
          <w:sz w:val="24"/>
          <w:highlight w:val="none"/>
        </w:rPr>
        <w:t xml:space="preserve">小时内维修完毕，如</w:t>
      </w:r>
      <w:r>
        <w:rPr>
          <w:rFonts w:hint="eastAsia"/>
          <w:color w:val="auto"/>
          <w:sz w:val="24"/>
          <w:highlight w:val="none"/>
          <w:lang w:val="en-US" w:eastAsia="zh-CN"/>
        </w:rPr>
        <w:t xml:space="preserve">24</w:t>
      </w:r>
      <w:r>
        <w:rPr>
          <w:rFonts w:hint="eastAsia"/>
          <w:color w:val="auto"/>
          <w:sz w:val="24"/>
          <w:highlight w:val="none"/>
        </w:rPr>
        <w:t xml:space="preserve">小时内无法修复，采购方有权选择要求供应商继续维修，并在产品维修期间提供备用产品或另行委托第三方进行维修，由此产生的所有费用由供应商承担。未尽事宜按产品说明的保修承诺执行。</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12.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13.依据《政府采购促进中小企业发展管理办法》规定享受扶持政策获得政府采购合同的，小微企业不得将合同分包给大中型企业，中型企业不得将合同分包给大型企业。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14.</w:t>
      </w: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rPr>
          <w:rFonts w:hint="eastAsia" w:ascii="宋体" w:hAnsi="宋体"/>
          <w:b/>
          <w:color w:val="auto"/>
          <w:sz w:val="30"/>
          <w:szCs w:val="30"/>
          <w:highlight w:val="none"/>
        </w:rPr>
      </w:pPr>
      <w:r>
        <w:rPr>
          <w:rFonts w:ascii="宋体" w:hAnsi="宋体"/>
          <w:bCs/>
          <w:color w:val="auto"/>
          <w:sz w:val="24"/>
          <w:highlight w:val="none"/>
        </w:rPr>
        <w:br w:type="page" w:clear="all"/>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第三部分  政府采购政策（包括但不限于下列具体政策要求）</w:t>
      </w:r>
      <w:r/>
    </w:p>
    <w:p>
      <w:pPr>
        <w:numPr>
          <w:ilvl w:val="1"/>
          <w:numId w:val="2"/>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2"/>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2"/>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根据国家扶持中小企业的有关政策，在我中心组织的采购项目中标的供应商，如需要政府采购合同融资，请按锡财购〔2022〕7号文件执行。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凭政府采购中标、成交通知书或政府采购合同向采购人提出此合同有融资需求，采购人在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1"/>
          <w:numId w:val="2"/>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中标、成交供应商可以根据自身情况，自行决定是否采用电子履约保函形式，具体操作可登录江苏政府采购网的保险保函模块进行办理。</w:t>
      </w:r>
      <w:r/>
    </w:p>
    <w:p>
      <w:pPr>
        <w:numPr>
          <w:ilvl w:val="1"/>
          <w:numId w:val="2"/>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2"/>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835"/>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835"/>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835"/>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835"/>
        <w:spacing w:before="0" w:after="0" w:line="500" w:lineRule="exact"/>
        <w:rPr>
          <w:rStyle w:val="838"/>
          <w:rFonts w:hint="eastAsia" w:ascii="宋体" w:hAnsi="宋体"/>
          <w:color w:val="auto"/>
          <w:highlight w:val="none"/>
        </w:rPr>
      </w:pPr>
      <w:r>
        <w:rPr>
          <w:rStyle w:val="838"/>
          <w:rFonts w:ascii="宋体" w:hAnsi="宋体"/>
          <w:color w:val="auto"/>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最高得分并列则按技术指标得分高的投标人为中标单位。</w:t>
      </w:r>
      <w:r/>
    </w:p>
    <w:p>
      <w:pPr>
        <w:pStyle w:val="835"/>
        <w:spacing w:before="0" w:after="0" w:line="500" w:lineRule="exact"/>
        <w:rPr>
          <w:rStyle w:val="687"/>
          <w:rFonts w:hint="eastAsia" w:ascii="宋体" w:hAnsi="宋体"/>
          <w:color w:val="auto"/>
          <w:sz w:val="24"/>
          <w:szCs w:val="24"/>
          <w:highlight w:val="none"/>
        </w:rPr>
      </w:pPr>
      <w:r>
        <w:rPr>
          <w:rStyle w:val="838"/>
          <w:rFonts w:ascii="宋体" w:hAnsi="宋体"/>
          <w:color w:val="auto"/>
          <w:highlight w:val="none"/>
        </w:rPr>
        <w:t xml:space="preserve">提供相同品牌产品且通过资格审查、符合性审查的不同投标人参加同一合同项下投标的，按一家投标人计算</w:t>
      </w:r>
      <w:r>
        <w:rPr>
          <w:rStyle w:val="838"/>
          <w:rFonts w:hint="eastAsia" w:ascii="宋体" w:hAnsi="宋体"/>
          <w:color w:val="auto"/>
          <w:highlight w:val="none"/>
        </w:rPr>
        <w:t xml:space="preserve">，</w:t>
      </w:r>
      <w:r>
        <w:rPr>
          <w:rStyle w:val="838"/>
          <w:rFonts w:ascii="宋体" w:hAnsi="宋体"/>
          <w:color w:val="auto"/>
          <w:highlight w:val="none"/>
        </w:rPr>
        <w:t xml:space="preserve">评审</w:t>
      </w:r>
      <w:bookmarkStart w:id="189" w:name="_Hlk167442400"/>
      <w:r>
        <w:rPr>
          <w:rStyle w:val="838"/>
          <w:rFonts w:ascii="宋体" w:hAnsi="宋体"/>
          <w:color w:val="auto"/>
          <w:highlight w:val="none"/>
        </w:rPr>
        <w:t xml:space="preserve">后得分最高</w:t>
      </w:r>
      <w:bookmarkEnd w:id="189"/>
      <w:r>
        <w:rPr>
          <w:rStyle w:val="838"/>
          <w:rFonts w:ascii="宋体" w:hAnsi="宋体"/>
          <w:color w:val="auto"/>
          <w:highlight w:val="none"/>
        </w:rPr>
        <w:t xml:space="preserve">的投标人获得评审排名资格</w:t>
      </w:r>
      <w:r>
        <w:rPr>
          <w:rStyle w:val="838"/>
          <w:rFonts w:hint="eastAsia" w:ascii="宋体" w:hAnsi="宋体"/>
          <w:color w:val="auto"/>
          <w:highlight w:val="none"/>
        </w:rPr>
        <w:t xml:space="preserve">，</w:t>
      </w:r>
      <w:r>
        <w:rPr>
          <w:rStyle w:val="838"/>
          <w:rFonts w:ascii="宋体" w:hAnsi="宋体"/>
          <w:color w:val="auto"/>
          <w:highlight w:val="none"/>
        </w:rPr>
        <w:t xml:space="preserve">其他同品牌投标人无评审排名资格</w:t>
      </w:r>
      <w:r>
        <w:rPr>
          <w:rStyle w:val="838"/>
          <w:rFonts w:hint="eastAsia" w:ascii="宋体" w:hAnsi="宋体"/>
          <w:color w:val="auto"/>
          <w:highlight w:val="none"/>
        </w:rPr>
        <w:t xml:space="preserve">。</w:t>
      </w:r>
      <w:bookmarkStart w:id="190" w:name="_Hlk167442455"/>
      <w:r>
        <w:rPr>
          <w:rStyle w:val="838"/>
          <w:rFonts w:ascii="宋体" w:hAnsi="宋体"/>
          <w:color w:val="auto"/>
          <w:highlight w:val="none"/>
        </w:rPr>
        <w:t xml:space="preserve">评审后最高得分相同</w:t>
      </w:r>
      <w:bookmarkEnd w:id="190"/>
      <w:r>
        <w:rPr>
          <w:rStyle w:val="838"/>
          <w:rFonts w:ascii="宋体" w:hAnsi="宋体"/>
          <w:color w:val="auto"/>
          <w:highlight w:val="none"/>
        </w:rPr>
        <w:t xml:space="preserve">的，</w:t>
      </w:r>
      <w:r>
        <w:rPr>
          <w:rStyle w:val="838"/>
          <w:rFonts w:hint="eastAsia" w:ascii="宋体" w:hAnsi="宋体"/>
          <w:color w:val="auto"/>
          <w:highlight w:val="none"/>
        </w:rPr>
        <w:t xml:space="preserve">投标报价低的投标人</w:t>
      </w:r>
      <w:r>
        <w:rPr>
          <w:rStyle w:val="838"/>
          <w:rFonts w:ascii="宋体" w:hAnsi="宋体"/>
          <w:color w:val="auto"/>
          <w:highlight w:val="none"/>
        </w:rPr>
        <w:t xml:space="preserve">获得评审排名资格</w:t>
      </w:r>
      <w:r>
        <w:rPr>
          <w:rStyle w:val="838"/>
          <w:rFonts w:hint="eastAsia" w:ascii="宋体" w:hAnsi="宋体"/>
          <w:color w:val="auto"/>
          <w:highlight w:val="none"/>
        </w:rPr>
        <w:t xml:space="preserve">，</w:t>
      </w:r>
      <w:bookmarkStart w:id="191" w:name="_Hlk167442289"/>
      <w:r>
        <w:rPr>
          <w:rStyle w:val="838"/>
          <w:rFonts w:ascii="宋体" w:hAnsi="宋体"/>
          <w:color w:val="auto"/>
          <w:highlight w:val="none"/>
        </w:rPr>
        <w:t xml:space="preserve">其他同品牌投标人无评审排名资格</w:t>
      </w:r>
      <w:bookmarkEnd w:id="191"/>
      <w:r>
        <w:rPr>
          <w:rStyle w:val="838"/>
          <w:rFonts w:ascii="宋体" w:hAnsi="宋体"/>
          <w:color w:val="auto"/>
          <w:highlight w:val="none"/>
        </w:rPr>
        <w:t xml:space="preserve">。评审后最高得分相同</w:t>
      </w:r>
      <w:r>
        <w:rPr>
          <w:rStyle w:val="838"/>
          <w:rFonts w:hint="eastAsia" w:ascii="宋体" w:hAnsi="宋体"/>
          <w:color w:val="auto"/>
          <w:highlight w:val="none"/>
        </w:rPr>
        <w:t xml:space="preserve">且投标报价相同的投标人，则</w:t>
      </w:r>
      <w:r>
        <w:rPr>
          <w:rStyle w:val="838"/>
          <w:rFonts w:ascii="宋体" w:hAnsi="宋体"/>
          <w:color w:val="auto"/>
          <w:highlight w:val="none"/>
        </w:rPr>
        <w:t xml:space="preserve">技术指标得分高的投标人获得评审排名资格</w:t>
      </w:r>
      <w:r>
        <w:rPr>
          <w:rStyle w:val="838"/>
          <w:rFonts w:hint="eastAsia" w:ascii="宋体" w:hAnsi="宋体"/>
          <w:color w:val="auto"/>
          <w:highlight w:val="none"/>
        </w:rPr>
        <w:t xml:space="preserve">，</w:t>
      </w:r>
      <w:r>
        <w:rPr>
          <w:rStyle w:val="838"/>
          <w:rFonts w:ascii="宋体" w:hAnsi="宋体"/>
          <w:color w:val="auto"/>
          <w:highlight w:val="none"/>
        </w:rPr>
        <w:t xml:space="preserve">其他同品牌投标人无评审排名资格。非单一产品采购项目，多家投标人提供的核心产品（如有）品牌相同的，同上处理。</w:t>
      </w:r>
      <w:r/>
    </w:p>
    <w:p>
      <w:pPr>
        <w:pStyle w:val="835"/>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835"/>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835"/>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left="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1.价格（30分）</w:t>
      </w:r>
      <w:r/>
    </w:p>
    <w:p>
      <w:pPr>
        <w:ind w:firstLine="482"/>
        <w:spacing w:line="360"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2"/>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left="480"/>
        <w:spacing w:line="360" w:lineRule="auto"/>
        <w:tabs>
          <w:tab w:val="left" w:pos="945" w:leader="none"/>
          <w:tab w:val="left" w:pos="1155" w:leader="none"/>
          <w:tab w:val="left" w:pos="3823"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cs="宋体"/>
          <w:b/>
          <w:bCs/>
          <w:color w:val="auto"/>
          <w:sz w:val="24"/>
          <w:szCs w:val="24"/>
          <w:highlight w:val="none"/>
        </w:rPr>
        <w:t xml:space="preserve">技术部分（5</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left="0" w:right="0" w:firstLine="482"/>
        <w:jc w:val="left"/>
        <w:spacing w:beforeAutospacing="0" w:afterAutospacing="0" w:line="360" w:lineRule="auto"/>
        <w:rPr>
          <w:rFonts w:ascii="宋体" w:hAnsi="宋体" w:eastAsia="宋体"/>
          <w:b/>
          <w:bCs/>
          <w:color w:val="auto"/>
          <w:sz w:val="24"/>
          <w:szCs w:val="24"/>
          <w:highlight w:val="none"/>
        </w:rPr>
      </w:pPr>
      <w:r>
        <w:rPr>
          <w:rFonts w:hint="eastAsia" w:ascii="宋体" w:hAnsi="宋体" w:cs="宋体"/>
          <w:b/>
          <w:color w:val="auto"/>
          <w:sz w:val="24"/>
          <w:szCs w:val="24"/>
          <w:highlight w:val="none"/>
        </w:rPr>
        <w:t xml:space="preserve">2.1 </w:t>
      </w:r>
      <w:r>
        <w:rPr>
          <w:rFonts w:hint="eastAsia" w:ascii="宋体" w:hAnsi="宋体" w:eastAsia="宋体"/>
          <w:b/>
          <w:bCs/>
          <w:color w:val="auto"/>
          <w:sz w:val="24"/>
          <w:szCs w:val="24"/>
          <w:highlight w:val="none"/>
        </w:rPr>
        <w:t xml:space="preserve">项目</w:t>
      </w:r>
      <w:r>
        <w:rPr>
          <w:rFonts w:hint="eastAsia" w:ascii="宋体" w:hAnsi="宋体" w:eastAsia="宋体"/>
          <w:b/>
          <w:bCs/>
          <w:color w:val="auto"/>
          <w:sz w:val="24"/>
          <w:szCs w:val="24"/>
          <w:highlight w:val="none"/>
          <w:lang w:val="en-US" w:eastAsia="zh-CN"/>
        </w:rPr>
        <w:t xml:space="preserve">安装</w:t>
      </w:r>
      <w:r>
        <w:rPr>
          <w:rFonts w:hint="eastAsia" w:ascii="宋体" w:hAnsi="宋体" w:eastAsia="宋体"/>
          <w:b/>
          <w:bCs/>
          <w:color w:val="auto"/>
          <w:sz w:val="24"/>
          <w:szCs w:val="24"/>
          <w:highlight w:val="none"/>
        </w:rPr>
        <w:t xml:space="preserve">方案（</w:t>
      </w:r>
      <w:r>
        <w:rPr>
          <w:rFonts w:hint="eastAsia" w:ascii="宋体" w:hAnsi="宋体"/>
          <w:b/>
          <w:bCs/>
          <w:color w:val="auto"/>
          <w:sz w:val="24"/>
          <w:szCs w:val="24"/>
          <w:highlight w:val="none"/>
          <w:lang w:val="en-US" w:eastAsia="zh-CN"/>
        </w:rPr>
        <w:t xml:space="preserve">21</w:t>
      </w:r>
      <w:r>
        <w:rPr>
          <w:rFonts w:hint="eastAsia" w:ascii="宋体" w:hAnsi="宋体" w:eastAsia="宋体"/>
          <w:b/>
          <w:bCs/>
          <w:color w:val="auto"/>
          <w:sz w:val="24"/>
          <w:szCs w:val="24"/>
          <w:highlight w:val="none"/>
        </w:rPr>
        <w:t xml:space="preserve">分）</w:t>
      </w:r>
      <w:r/>
    </w:p>
    <w:p>
      <w:pPr>
        <w:ind w:left="0" w:right="0" w:firstLine="480"/>
        <w:jc w:val="left"/>
        <w:spacing w:beforeAutospacing="0" w:afterAutospacing="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1.1</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人员配置方案（</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分）：项目组人员专业配置完整，职责明确，类似项目工作经验丰富，完全满足项目实施</w:t>
      </w:r>
      <w:r>
        <w:rPr>
          <w:rFonts w:hint="eastAsia" w:ascii="宋体" w:hAnsi="宋体"/>
          <w:color w:val="auto"/>
          <w:sz w:val="24"/>
          <w:szCs w:val="24"/>
          <w:highlight w:val="none"/>
          <w:lang w:eastAsia="zh-CN"/>
        </w:rPr>
        <w:t xml:space="preserve">需要</w:t>
      </w:r>
      <w:r>
        <w:rPr>
          <w:rFonts w:hint="eastAsia" w:ascii="宋体" w:hAnsi="宋体" w:eastAsia="宋体"/>
          <w:color w:val="auto"/>
          <w:sz w:val="24"/>
          <w:szCs w:val="24"/>
          <w:highlight w:val="none"/>
        </w:rPr>
        <w:t xml:space="preserve">。方案完整、合理</w:t>
      </w:r>
      <w:r>
        <w:rPr>
          <w:rFonts w:hint="eastAsia" w:ascii="宋体" w:hAnsi="宋体" w:eastAsia="宋体" w:cs="宋体"/>
          <w:bCs/>
          <w:color w:val="auto"/>
          <w:sz w:val="24"/>
          <w:szCs w:val="24"/>
          <w:highlight w:val="none"/>
        </w:rPr>
        <w:t xml:space="preserve">，完全满足本项目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分；方案较为完整、较为合理，基本响应项目要求的，得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分；方案简略或不合理的，得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分；未作</w:t>
      </w:r>
      <w:r>
        <w:rPr>
          <w:rFonts w:hint="eastAsia" w:ascii="宋体" w:hAnsi="宋体" w:eastAsia="宋体"/>
          <w:color w:val="auto"/>
          <w:sz w:val="24"/>
          <w:szCs w:val="24"/>
          <w:highlight w:val="none"/>
        </w:rPr>
        <w:t xml:space="preserve">说明的本项不得分。</w:t>
      </w:r>
      <w:r/>
    </w:p>
    <w:p>
      <w:pPr>
        <w:ind w:left="0" w:right="0" w:firstLine="480"/>
        <w:jc w:val="left"/>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olor w:val="auto"/>
          <w:sz w:val="24"/>
          <w:szCs w:val="24"/>
          <w:highlight w:val="none"/>
          <w:lang w:val="en-US" w:eastAsia="zh-CN"/>
        </w:rPr>
        <w:t xml:space="preserve">2.1.2</w:t>
      </w:r>
      <w:r>
        <w:rPr>
          <w:rFonts w:hint="eastAsia" w:ascii="宋体" w:hAnsi="宋体" w:eastAsia="宋体"/>
          <w:color w:val="auto"/>
          <w:sz w:val="24"/>
          <w:szCs w:val="24"/>
          <w:highlight w:val="none"/>
        </w:rPr>
        <w:t xml:space="preserve"> 安装组织方案（</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分）：围绕实验台、通风橱、存储柜的工厂预制、包装运输、现场安装、成品保护、调试交付等环节制定方案。方案完整、合理</w:t>
      </w:r>
      <w:r>
        <w:rPr>
          <w:rFonts w:hint="eastAsia" w:ascii="宋体" w:hAnsi="宋体" w:eastAsia="宋体" w:cs="宋体"/>
          <w:bCs/>
          <w:color w:val="auto"/>
          <w:sz w:val="24"/>
          <w:szCs w:val="24"/>
          <w:highlight w:val="none"/>
        </w:rPr>
        <w:t xml:space="preserve">，完全满足本项目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分；方案较为完整、较为合理，基本响应项目要求的，得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分；方案简略或不合理的，得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分；未作说明的本项不得分。</w:t>
      </w:r>
      <w:r/>
    </w:p>
    <w:p>
      <w:pPr>
        <w:ind w:left="0" w:right="0" w:firstLine="480"/>
        <w:jc w:val="left"/>
        <w:spacing w:beforeAutospacing="0" w:afterAutospacing="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2.1.3</w:t>
      </w:r>
      <w:r>
        <w:rPr>
          <w:rFonts w:hint="eastAsia" w:ascii="宋体" w:hAnsi="宋体" w:eastAsia="宋体"/>
          <w:color w:val="auto"/>
          <w:sz w:val="24"/>
          <w:szCs w:val="24"/>
          <w:highlight w:val="none"/>
        </w:rPr>
        <w:t xml:space="preserve">项目重点难点与</w:t>
      </w:r>
      <w:r>
        <w:rPr>
          <w:rFonts w:hint="eastAsia" w:ascii="宋体" w:hAnsi="宋体" w:eastAsia="宋体" w:cs="宋体"/>
          <w:bCs/>
          <w:color w:val="auto"/>
          <w:sz w:val="24"/>
          <w:szCs w:val="24"/>
          <w:highlight w:val="none"/>
        </w:rPr>
        <w:t xml:space="preserve">解决措施（5 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应结合实</w:t>
      </w:r>
      <w:r>
        <w:rPr>
          <w:rFonts w:hint="eastAsia" w:ascii="宋体" w:hAnsi="宋体" w:eastAsia="宋体"/>
          <w:color w:val="auto"/>
          <w:sz w:val="24"/>
          <w:szCs w:val="24"/>
          <w:highlight w:val="none"/>
        </w:rPr>
        <w:t xml:space="preserve">验室</w:t>
      </w:r>
      <w:r>
        <w:rPr>
          <w:rFonts w:hint="eastAsia" w:ascii="宋体" w:hAnsi="宋体" w:eastAsia="宋体"/>
          <w:color w:val="auto"/>
          <w:sz w:val="24"/>
          <w:szCs w:val="24"/>
          <w:highlight w:val="none"/>
          <w:lang w:val="en-US" w:eastAsia="zh-CN"/>
        </w:rPr>
        <w:t xml:space="preserve">台柜设备</w:t>
      </w:r>
      <w:r>
        <w:rPr>
          <w:rFonts w:hint="eastAsia" w:ascii="宋体" w:hAnsi="宋体" w:eastAsia="宋体"/>
          <w:color w:val="auto"/>
          <w:sz w:val="24"/>
          <w:szCs w:val="24"/>
          <w:highlight w:val="none"/>
        </w:rPr>
        <w:t xml:space="preserve">特点，</w:t>
      </w:r>
      <w:r>
        <w:rPr>
          <w:rFonts w:hint="eastAsia" w:ascii="宋体" w:hAnsi="宋体" w:eastAsia="宋体"/>
          <w:color w:val="auto"/>
          <w:sz w:val="24"/>
          <w:szCs w:val="24"/>
          <w:highlight w:val="none"/>
          <w:lang w:val="en-US" w:eastAsia="zh-CN"/>
        </w:rPr>
        <w:t xml:space="preserve">进行专项的项目重难点分析，</w:t>
      </w:r>
      <w:r>
        <w:rPr>
          <w:rFonts w:hint="eastAsia" w:ascii="宋体" w:hAnsi="宋体"/>
          <w:color w:val="auto"/>
          <w:sz w:val="24"/>
          <w:szCs w:val="24"/>
          <w:highlight w:val="none"/>
          <w:lang w:val="en-US" w:eastAsia="zh-CN"/>
        </w:rPr>
        <w:t xml:space="preserve">包括</w:t>
      </w:r>
      <w:r>
        <w:rPr>
          <w:rFonts w:hint="eastAsia" w:ascii="宋体" w:hAnsi="宋体" w:eastAsia="宋体"/>
          <w:color w:val="auto"/>
          <w:sz w:val="24"/>
          <w:szCs w:val="24"/>
          <w:highlight w:val="none"/>
          <w:lang w:val="en-US" w:eastAsia="zh-CN"/>
        </w:rPr>
        <w:t xml:space="preserve">但不限于</w:t>
      </w:r>
      <w:r>
        <w:rPr>
          <w:rFonts w:hint="eastAsia" w:ascii="宋体" w:hAnsi="宋体" w:eastAsia="宋体"/>
          <w:color w:val="auto"/>
          <w:sz w:val="24"/>
          <w:szCs w:val="24"/>
          <w:highlight w:val="none"/>
        </w:rPr>
        <w:t xml:space="preserve">：① 通风橱风量控制</w:t>
      </w:r>
      <w:r>
        <w:rPr>
          <w:rFonts w:hint="eastAsia" w:ascii="宋体" w:hAnsi="宋体"/>
          <w:color w:val="auto"/>
          <w:sz w:val="24"/>
          <w:szCs w:val="24"/>
          <w:highlight w:val="none"/>
          <w:lang w:eastAsia="zh-CN"/>
        </w:rPr>
        <w:t xml:space="preserve">与</w:t>
      </w:r>
      <w:r>
        <w:rPr>
          <w:rFonts w:hint="eastAsia" w:ascii="宋体" w:hAnsi="宋体" w:eastAsia="宋体"/>
          <w:color w:val="auto"/>
          <w:sz w:val="24"/>
          <w:szCs w:val="24"/>
          <w:highlight w:val="none"/>
        </w:rPr>
        <w:t xml:space="preserve">实验室排风系统的匹配；② 实验台</w:t>
      </w:r>
      <w:r>
        <w:rPr>
          <w:rFonts w:hint="eastAsia" w:ascii="宋体" w:hAnsi="宋体" w:eastAsia="宋体"/>
          <w:color w:val="auto"/>
          <w:sz w:val="24"/>
          <w:szCs w:val="24"/>
          <w:highlight w:val="none"/>
          <w:lang w:val="en-US" w:eastAsia="zh-CN"/>
        </w:rPr>
        <w:t xml:space="preserve">安装定位与现场现有水电、气路等系统的匹配</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③</w:t>
      </w:r>
      <w:r>
        <w:rPr>
          <w:rFonts w:hint="eastAsia" w:ascii="宋体" w:hAnsi="宋体" w:eastAsia="宋体"/>
          <w:color w:val="auto"/>
          <w:sz w:val="24"/>
          <w:szCs w:val="24"/>
          <w:highlight w:val="none"/>
        </w:rPr>
        <w:t xml:space="preserve"> 现场安装空间受限、成品二次搬运保护。</w:t>
      </w:r>
      <w:r/>
    </w:p>
    <w:p>
      <w:pPr>
        <w:ind w:right="0" w:firstLine="480"/>
        <w:jc w:val="left"/>
        <w:spacing w:beforeAutospacing="0" w:afterAutospacing="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难点分析到位，解决措施具体、可验证，得 5 分；  </w:t>
      </w:r>
      <w:r/>
    </w:p>
    <w:p>
      <w:pPr>
        <w:ind w:left="0" w:right="0" w:firstLine="480"/>
        <w:jc w:val="left"/>
        <w:spacing w:beforeAutospacing="0" w:afterAutospacing="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分析或措施一般，得 3 分；  </w:t>
      </w:r>
      <w:r/>
    </w:p>
    <w:p>
      <w:pPr>
        <w:ind w:left="0" w:right="0" w:firstLine="480"/>
        <w:jc w:val="left"/>
        <w:spacing w:beforeAutospacing="0" w:afterAutospacing="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分析浅显或措施不可行，得 1 分；  </w:t>
      </w:r>
      <w:r/>
    </w:p>
    <w:p>
      <w:pPr>
        <w:ind w:left="0" w:right="0" w:firstLine="480"/>
        <w:jc w:val="left"/>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未作说明的本项不得分。</w:t>
      </w:r>
      <w:r/>
    </w:p>
    <w:p>
      <w:pPr>
        <w:ind w:left="0" w:right="0" w:firstLine="480"/>
        <w:jc w:val="left"/>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olor w:val="auto"/>
          <w:sz w:val="24"/>
          <w:szCs w:val="24"/>
          <w:highlight w:val="none"/>
          <w:lang w:val="en-US" w:eastAsia="zh-CN"/>
        </w:rPr>
        <w:t xml:space="preserve">2.1.4</w:t>
      </w:r>
      <w:r>
        <w:rPr>
          <w:rFonts w:hint="eastAsia" w:ascii="宋体" w:hAnsi="宋体" w:eastAsia="宋体"/>
          <w:color w:val="auto"/>
          <w:sz w:val="24"/>
          <w:szCs w:val="24"/>
          <w:highlight w:val="none"/>
        </w:rPr>
        <w:t xml:space="preserve">现场环境与既有成品保护方案（</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针对实验室既有地面、墙面、天花、已安装设备，以及实验台、通风橱、存储柜本身，提出防划伤、防污染、防碰撞的具体措施。</w:t>
      </w:r>
      <w:r>
        <w:rPr>
          <w:rFonts w:hint="eastAsia" w:ascii="宋体" w:hAnsi="宋体" w:eastAsia="宋体"/>
          <w:color w:val="auto"/>
          <w:sz w:val="24"/>
          <w:szCs w:val="24"/>
          <w:highlight w:val="none"/>
          <w:lang w:val="en-US" w:eastAsia="zh-CN"/>
        </w:rPr>
        <w:t xml:space="preserve">方</w:t>
      </w:r>
      <w:r>
        <w:rPr>
          <w:rFonts w:hint="eastAsia" w:ascii="宋体" w:hAnsi="宋体" w:eastAsia="宋体"/>
          <w:color w:val="auto"/>
          <w:sz w:val="24"/>
          <w:szCs w:val="24"/>
          <w:highlight w:val="none"/>
        </w:rPr>
        <w:t xml:space="preserve">案完整、合理，完全满足本项目</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得</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分；方案较为完整、较为</w:t>
      </w:r>
      <w:r>
        <w:rPr>
          <w:rFonts w:hint="eastAsia" w:ascii="宋体" w:hAnsi="宋体" w:eastAsia="宋体" w:cs="宋体"/>
          <w:bCs/>
          <w:color w:val="auto"/>
          <w:sz w:val="24"/>
          <w:szCs w:val="24"/>
          <w:highlight w:val="none"/>
        </w:rPr>
        <w:t xml:space="preserve">合理，基本响应项目要求的，得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分；方案简略或不合理的，得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分；未作说明的本项不得分。</w:t>
      </w:r>
      <w:r/>
    </w:p>
    <w:p>
      <w:pPr>
        <w:ind w:left="0" w:right="0" w:firstLine="482"/>
        <w:jc w:val="left"/>
        <w:spacing w:beforeAutospacing="0" w:afterAutospacing="0"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2.2</w:t>
      </w:r>
      <w:r>
        <w:rPr>
          <w:rFonts w:hint="eastAsia" w:ascii="宋体" w:hAnsi="宋体" w:eastAsia="宋体" w:cs="宋体"/>
          <w:b/>
          <w:bCs w:val="0"/>
          <w:color w:val="auto"/>
          <w:sz w:val="24"/>
          <w:szCs w:val="24"/>
          <w:highlight w:val="none"/>
        </w:rPr>
        <w:t xml:space="preserve">工作进度方案（</w:t>
      </w:r>
      <w:r>
        <w:rPr>
          <w:rFonts w:hint="eastAsia" w:ascii="宋体" w:hAnsi="宋体" w:eastAsia="宋体" w:cs="宋体"/>
          <w:b/>
          <w:bCs w:val="0"/>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分）</w:t>
      </w:r>
      <w:r/>
    </w:p>
    <w:p>
      <w:pPr>
        <w:ind w:firstLine="482"/>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2.2.1安装进度计划与保障措施（</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提供包含</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设计深化、原材料采购、工厂预制、出厂检验、运输、现场安装</w:t>
      </w:r>
      <w:r>
        <w:rPr>
          <w:rFonts w:hint="eastAsia" w:ascii="宋体" w:hAnsi="宋体" w:eastAsia="宋体" w:cs="宋体"/>
          <w:bCs/>
          <w:color w:val="auto"/>
          <w:sz w:val="24"/>
          <w:szCs w:val="24"/>
          <w:highlight w:val="none"/>
          <w:lang w:val="en-US" w:eastAsia="zh-CN"/>
        </w:rPr>
        <w:t xml:space="preserve">等环节的进度安排计划</w:t>
      </w:r>
      <w:r>
        <w:rPr>
          <w:rFonts w:hint="eastAsia" w:ascii="宋体" w:hAnsi="宋体" w:cs="宋体"/>
          <w:bCs/>
          <w:color w:val="auto"/>
          <w:sz w:val="24"/>
          <w:szCs w:val="24"/>
          <w:highlight w:val="none"/>
          <w:lang w:val="en-US" w:eastAsia="zh-CN"/>
        </w:rPr>
        <w:t xml:space="preserve">。</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方案完整、合理、可操作性强，得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分；方案较为完整、较为合理，可操作性较强，得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分；方案简略或不合理的，得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分；未作说明的本项不得分。</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2.2.2设备进场计划与保障措施（</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结合项目实际情况，安排</w:t>
      </w:r>
      <w:r>
        <w:rPr>
          <w:rFonts w:hint="eastAsia" w:ascii="宋体" w:hAnsi="宋体" w:eastAsia="宋体" w:cs="宋体"/>
          <w:bCs/>
          <w:color w:val="auto"/>
          <w:sz w:val="24"/>
          <w:szCs w:val="24"/>
          <w:highlight w:val="none"/>
        </w:rPr>
        <w:t xml:space="preserve">实验台、通风橱、存储柜</w:t>
      </w:r>
      <w:r>
        <w:rPr>
          <w:rFonts w:hint="eastAsia" w:ascii="宋体" w:hAnsi="宋体" w:eastAsia="宋体" w:cs="宋体"/>
          <w:bCs/>
          <w:color w:val="auto"/>
          <w:sz w:val="24"/>
          <w:szCs w:val="24"/>
          <w:highlight w:val="none"/>
          <w:lang w:val="en-US" w:eastAsia="zh-CN"/>
        </w:rPr>
        <w:t xml:space="preserve">等设备的</w:t>
      </w:r>
      <w:r>
        <w:rPr>
          <w:rFonts w:hint="eastAsia" w:ascii="宋体" w:hAnsi="宋体" w:eastAsia="宋体" w:cs="宋体"/>
          <w:bCs/>
          <w:color w:val="auto"/>
          <w:sz w:val="24"/>
          <w:szCs w:val="24"/>
          <w:highlight w:val="none"/>
        </w:rPr>
        <w:t xml:space="preserve">进场批次、运输路线、卸货点位、叉车/人工搬运路径、防雨防潮措施。方案完整、合理、可操作性强，得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分；方案较为完整、较为合理，可操作性较强，得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分；方案简略或不合理的，得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分；未作说明的本项不得分。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2.3售后</w:t>
      </w:r>
      <w:r>
        <w:rPr>
          <w:rFonts w:hint="eastAsia" w:ascii="宋体" w:hAnsi="宋体" w:cs="宋体"/>
          <w:b/>
          <w:bCs/>
          <w:color w:val="auto"/>
          <w:sz w:val="24"/>
          <w:highlight w:val="none"/>
          <w:lang w:val="en-US" w:eastAsia="zh-CN"/>
        </w:rPr>
        <w:t xml:space="preserve">保障</w:t>
      </w:r>
      <w:r>
        <w:rPr>
          <w:rFonts w:hint="eastAsia" w:ascii="宋体" w:hAnsi="宋体" w:cs="宋体"/>
          <w:b/>
          <w:bCs/>
          <w:color w:val="auto"/>
          <w:sz w:val="24"/>
          <w:highlight w:val="none"/>
        </w:rPr>
        <w:t xml:space="preserve">（10分）</w:t>
      </w:r>
      <w:r/>
    </w:p>
    <w:p>
      <w:pPr>
        <w:ind w:firstLine="482"/>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2.3.1售后服务体系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5分</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：投标人针对此项目的售后服务组织架构。售后服务体系完整、合理，得5分；售后服务体系较完整、较合理，得3分；售后服务体系不完整、不合理，得1分；未作</w:t>
      </w:r>
      <w:r>
        <w:rPr>
          <w:rFonts w:hint="eastAsia" w:ascii="宋体" w:hAnsi="宋体" w:eastAsia="宋体" w:cs="宋体"/>
          <w:bCs/>
          <w:color w:val="auto"/>
          <w:sz w:val="24"/>
          <w:szCs w:val="24"/>
          <w:highlight w:val="none"/>
        </w:rPr>
        <w:t xml:space="preserve">说明的本项不得分。</w:t>
      </w:r>
      <w:r>
        <w:rPr>
          <w:rFonts w:hint="eastAsia" w:ascii="宋体" w:hAnsi="宋体" w:eastAsia="宋体" w:cs="宋体"/>
          <w:bCs/>
          <w:color w:val="auto"/>
          <w:sz w:val="24"/>
          <w:szCs w:val="24"/>
          <w:highlight w:val="none"/>
          <w:lang w:val="en-US" w:eastAsia="zh-CN"/>
        </w:rPr>
        <w:t xml:space="preserve"> </w:t>
      </w:r>
      <w:r/>
    </w:p>
    <w:p>
      <w:pPr>
        <w:ind w:firstLine="482"/>
        <w:spacing w:line="360" w:lineRule="auto"/>
        <w:rPr>
          <w:rFonts w:hint="eastAsia" w:ascii="宋体" w:hAnsi="宋体" w:cs="宋体"/>
          <w:b/>
          <w:bCs/>
          <w:color w:val="auto"/>
          <w:sz w:val="24"/>
          <w:highlight w:val="none"/>
        </w:rPr>
      </w:pPr>
      <w:r>
        <w:rPr>
          <w:rFonts w:hint="eastAsia" w:ascii="宋体" w:hAnsi="宋体" w:eastAsia="宋体" w:cs="宋体"/>
          <w:bCs/>
          <w:color w:val="auto"/>
          <w:sz w:val="24"/>
          <w:szCs w:val="24"/>
          <w:highlight w:val="none"/>
        </w:rPr>
        <w:t xml:space="preserve">2.3.2售后服务方</w:t>
      </w:r>
      <w:r>
        <w:rPr>
          <w:rFonts w:hint="eastAsia" w:ascii="宋体" w:hAnsi="宋体" w:cs="宋体"/>
          <w:bCs/>
          <w:color w:val="auto"/>
          <w:sz w:val="24"/>
          <w:szCs w:val="24"/>
          <w:highlight w:val="none"/>
          <w:lang w:val="en-US" w:eastAsia="zh-CN"/>
        </w:rPr>
        <w:t xml:space="preserve">案（5分）：投标人针对此项目的售后服务方案，包括但不限于：质保期限、响应时间、售后巡检、备品备件等相关内容。售后服务方案完整、合理、可操作性强，得5分；方案较为完整</w:t>
      </w:r>
      <w:r>
        <w:rPr>
          <w:rFonts w:hint="eastAsia" w:ascii="宋体" w:hAnsi="宋体" w:eastAsia="宋体" w:cs="宋体"/>
          <w:bCs/>
          <w:color w:val="auto"/>
          <w:sz w:val="24"/>
          <w:szCs w:val="24"/>
          <w:highlight w:val="none"/>
        </w:rPr>
        <w:t xml:space="preserve">、较为合理，可操作性较强，得3分；方案简略或不合理的，得1分；未作说明的本项不得分。</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2.4设备培训服务方案（</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eastAsia="宋体" w:cs="宋体"/>
          <w:bCs/>
          <w:color w:val="auto"/>
          <w:sz w:val="24"/>
          <w:szCs w:val="24"/>
          <w:highlight w:val="none"/>
        </w:rPr>
        <w:t xml:space="preserve">培训对象、培训内容全面（设备原</w:t>
      </w:r>
      <w:r>
        <w:rPr>
          <w:rFonts w:hint="eastAsia" w:ascii="宋体" w:hAnsi="宋体" w:cs="宋体"/>
          <w:b w:val="0"/>
          <w:bCs w:val="0"/>
          <w:color w:val="auto"/>
          <w:sz w:val="24"/>
          <w:highlight w:val="none"/>
        </w:rPr>
        <w:t xml:space="preserve">理、操作规程、安全事项、日常维护）、培训方式多样（现场实操、演示、视频等）、培训资料（操作手册、视频教程）、后续技术支持完整具体，可操作性强。得7分；培训内容与方式基本齐全，但资料或后续支持缺项，可操作性一般，</w:t>
      </w:r>
      <w:r>
        <w:rPr>
          <w:rFonts w:hint="eastAsia" w:ascii="宋体" w:hAnsi="宋体" w:cs="宋体"/>
          <w:b w:val="0"/>
          <w:bCs w:val="0"/>
          <w:color w:val="auto"/>
          <w:sz w:val="24"/>
          <w:highlight w:val="none"/>
          <w:lang w:eastAsia="zh-CN"/>
        </w:rPr>
        <w:t xml:space="preserve">得</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分；仅提供简易培训资料，无具体内容或安排，未提供实际操作培训或不具备可操作性，得</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分；未提供培训方案本项目不得分。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 </w:t>
      </w:r>
      <w:r>
        <w:rPr>
          <w:rFonts w:hint="eastAsia" w:ascii="宋体" w:hAnsi="宋体" w:eastAsia="宋体" w:cs="宋体"/>
          <w:b/>
          <w:bCs/>
          <w:color w:val="auto"/>
          <w:sz w:val="24"/>
          <w:szCs w:val="24"/>
          <w:highlight w:val="none"/>
        </w:rPr>
        <w:t xml:space="preserve">检测报告及证书（</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b/>
          <w:color w:val="auto"/>
          <w:sz w:val="24"/>
          <w:szCs w:val="24"/>
          <w:highlight w:val="none"/>
        </w:rPr>
        <w:t xml:space="preserve">以下检测报告</w:t>
      </w:r>
      <w:r>
        <w:rPr>
          <w:rFonts w:hint="eastAsia" w:ascii="宋体" w:hAnsi="宋体" w:eastAsia="宋体" w:cs="宋体"/>
          <w:b/>
          <w:color w:val="auto"/>
          <w:sz w:val="24"/>
          <w:szCs w:val="24"/>
          <w:highlight w:val="none"/>
          <w:lang w:val="en-US" w:eastAsia="zh-CN"/>
        </w:rPr>
        <w:t xml:space="preserve">或者证明文件</w:t>
      </w:r>
      <w:r>
        <w:rPr>
          <w:rFonts w:hint="eastAsia" w:ascii="宋体" w:hAnsi="宋体" w:eastAsia="宋体" w:cs="宋体"/>
          <w:b/>
          <w:color w:val="auto"/>
          <w:sz w:val="24"/>
          <w:szCs w:val="24"/>
          <w:highlight w:val="none"/>
        </w:rPr>
        <w:t xml:space="preserve">每提供一个得</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分，不提供或者检测内容缺失不得分，最高得</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分。（投标文件中提供第三方检测机构出具的检测报告扫描件</w:t>
      </w:r>
      <w:r>
        <w:rPr>
          <w:rFonts w:hint="eastAsia" w:ascii="宋体" w:hAnsi="宋体" w:cs="宋体"/>
          <w:b/>
          <w:color w:val="auto"/>
          <w:sz w:val="24"/>
          <w:szCs w:val="24"/>
          <w:highlight w:val="none"/>
          <w:lang w:val="en-US" w:eastAsia="zh-CN"/>
        </w:rPr>
        <w:t xml:space="preserve">或者证明文件扫描件并加盖公章</w:t>
      </w:r>
      <w:r>
        <w:rPr>
          <w:rFonts w:hint="eastAsia" w:ascii="宋体" w:hAnsi="宋体" w:eastAsia="宋体" w:cs="宋体"/>
          <w:b/>
          <w:color w:val="auto"/>
          <w:sz w:val="24"/>
          <w:szCs w:val="24"/>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2.5.1</w:t>
      </w:r>
      <w:r>
        <w:rPr>
          <w:rFonts w:hint="eastAsia" w:ascii="宋体" w:hAnsi="宋体" w:eastAsia="宋体" w:cs="宋体"/>
          <w:b w:val="0"/>
          <w:bCs w:val="0"/>
          <w:color w:val="auto"/>
          <w:sz w:val="24"/>
          <w:szCs w:val="24"/>
          <w:highlight w:val="none"/>
        </w:rPr>
        <w:t xml:space="preserve">实验</w:t>
      </w:r>
      <w:r>
        <w:rPr>
          <w:rFonts w:hint="eastAsia" w:ascii="宋体" w:hAnsi="宋体" w:eastAsia="宋体" w:cs="宋体"/>
          <w:b w:val="0"/>
          <w:bCs w:val="0"/>
          <w:color w:val="auto"/>
          <w:sz w:val="24"/>
          <w:szCs w:val="24"/>
          <w:highlight w:val="none"/>
          <w:lang w:val="en-US" w:eastAsia="zh-CN"/>
        </w:rPr>
        <w:t xml:space="preserve">台（中央台、边台）</w:t>
      </w:r>
      <w:r/>
    </w:p>
    <w:p>
      <w:pPr>
        <w:ind w:left="0" w:right="0" w:firstLine="480"/>
        <w:jc w:val="left"/>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台面</w:t>
      </w:r>
      <w:r>
        <w:rPr>
          <w:rFonts w:hint="eastAsia" w:ascii="宋体" w:hAnsi="宋体" w:cs="宋体"/>
          <w:color w:val="auto"/>
          <w:sz w:val="24"/>
          <w:szCs w:val="24"/>
          <w:highlight w:val="none"/>
          <w:lang w:val="en-US" w:eastAsia="zh-CN"/>
        </w:rPr>
        <w:t xml:space="preserve">具备抗静电性能并且</w:t>
      </w:r>
      <w:r>
        <w:rPr>
          <w:rFonts w:hint="eastAsia" w:ascii="宋体" w:hAnsi="宋体" w:eastAsia="宋体" w:cs="宋体"/>
          <w:color w:val="auto"/>
          <w:sz w:val="24"/>
          <w:szCs w:val="24"/>
          <w:highlight w:val="none"/>
        </w:rPr>
        <w:t xml:space="preserve">耐腐蚀性能优越，按“GB/T 17657-2022”标准测试，测试项目包括硫酸98%、盐酸37%、硝酸65%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氢氧化钠40%、磷酸85%、氯化镁10%、硫酸铜10%、硫化钠饱和液、四氯化碳、苯、甲苯、丙酮、石脑油、正乙烷、二甲苯等以上实验室常用化学试剂</w:t>
      </w: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提供第三方检测机构出具的检测报告扫描件</w:t>
      </w:r>
      <w:r>
        <w:rPr>
          <w:rFonts w:hint="eastAsia" w:ascii="宋体" w:hAnsi="宋体" w:cs="宋体"/>
          <w:b/>
          <w:color w:val="auto"/>
          <w:sz w:val="24"/>
          <w:szCs w:val="24"/>
          <w:highlight w:val="none"/>
          <w:lang w:val="en-US" w:eastAsia="zh-CN"/>
        </w:rPr>
        <w:t xml:space="preserve">并加盖公章。（1分）</w:t>
      </w:r>
      <w:r/>
    </w:p>
    <w:p>
      <w:pPr>
        <w:ind w:left="0" w:right="0" w:firstLine="480"/>
        <w:jc w:val="left"/>
        <w:spacing w:beforeAutospacing="0" w:afterAutospacing="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2.5.2</w:t>
      </w:r>
      <w:r>
        <w:rPr>
          <w:rFonts w:hint="eastAsia" w:ascii="宋体" w:hAnsi="宋体" w:eastAsia="宋体" w:cs="宋体"/>
          <w:b w:val="0"/>
          <w:bCs w:val="0"/>
          <w:color w:val="auto"/>
          <w:sz w:val="24"/>
          <w:szCs w:val="24"/>
          <w:highlight w:val="none"/>
          <w:lang w:val="en-US" w:eastAsia="zh-CN"/>
        </w:rPr>
        <w:t xml:space="preserve">通风柜</w:t>
      </w:r>
      <w:r/>
    </w:p>
    <w:p>
      <w:pPr>
        <w:numPr>
          <w:ilvl w:val="0"/>
          <w:numId w:val="0"/>
        </w:numPr>
        <w:ind w:right="0" w:firstLine="480"/>
        <w:jc w:val="left"/>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通风柜内衬及导流板：采用通风柜专用的弗纤板，厚度不小于5mm，抗腐蚀性能极佳，耐高温阻燃抗爆，表面光滑而且内外均为白色。</w:t>
      </w:r>
      <w:r>
        <w:rPr>
          <w:rFonts w:hint="eastAsia" w:ascii="宋体" w:hAnsi="宋体" w:eastAsia="宋体" w:cs="宋体"/>
          <w:b/>
          <w:color w:val="auto"/>
          <w:sz w:val="24"/>
          <w:szCs w:val="24"/>
          <w:highlight w:val="none"/>
        </w:rPr>
        <w:t xml:space="preserve">提供第三方检测机构出具的检测报告扫描件</w:t>
      </w:r>
      <w:r>
        <w:rPr>
          <w:rFonts w:hint="eastAsia" w:ascii="宋体" w:hAnsi="宋体" w:cs="宋体"/>
          <w:b/>
          <w:color w:val="auto"/>
          <w:sz w:val="24"/>
          <w:szCs w:val="24"/>
          <w:highlight w:val="none"/>
          <w:lang w:val="en-US" w:eastAsia="zh-CN"/>
        </w:rPr>
        <w:t xml:space="preserve">并加盖公章。（1分）</w:t>
      </w:r>
      <w:r/>
    </w:p>
    <w:p>
      <w:pPr>
        <w:ind w:left="0" w:right="0" w:firstLine="480"/>
        <w:jc w:val="left"/>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2.5.3</w:t>
      </w:r>
      <w:r>
        <w:rPr>
          <w:rFonts w:hint="eastAsia" w:ascii="宋体" w:hAnsi="宋体" w:eastAsia="宋体" w:cs="宋体"/>
          <w:b w:val="0"/>
          <w:bCs w:val="0"/>
          <w:color w:val="auto"/>
          <w:sz w:val="24"/>
          <w:szCs w:val="24"/>
          <w:highlight w:val="none"/>
          <w:lang w:val="en-US" w:eastAsia="zh-CN"/>
        </w:rPr>
        <w:t xml:space="preserve">通风柜台面</w:t>
      </w:r>
      <w:r/>
    </w:p>
    <w:p>
      <w:pPr>
        <w:numPr>
          <w:ilvl w:val="0"/>
          <w:numId w:val="0"/>
        </w:numPr>
        <w:ind w:right="0" w:firstLine="480"/>
        <w:jc w:val="left"/>
        <w:spacing w:beforeAutospacing="0" w:afterAutospacing="0"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采用25mm实验室专用陶瓷碟型台面</w:t>
      </w:r>
      <w:r>
        <w:rPr>
          <w:rFonts w:hint="eastAsia" w:ascii="宋体" w:hAnsi="宋体" w:cs="宋体"/>
          <w:color w:val="auto"/>
          <w:sz w:val="24"/>
          <w:szCs w:val="24"/>
          <w:highlight w:val="none"/>
          <w:lang w:val="en-US" w:eastAsia="zh-CN"/>
        </w:rPr>
        <w:t xml:space="preserve">配备陶瓷接水杯</w:t>
      </w:r>
      <w:r>
        <w:rPr>
          <w:rFonts w:hint="default" w:ascii="宋体" w:hAnsi="宋体" w:eastAsia="宋体" w:cs="宋体"/>
          <w:color w:val="auto"/>
          <w:sz w:val="24"/>
          <w:szCs w:val="24"/>
          <w:highlight w:val="none"/>
          <w:lang w:val="en-US" w:eastAsia="zh-CN"/>
        </w:rPr>
        <w:t xml:space="preserve">，参数满足以下所有指标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确保碟型台面一体成型（非后期</w:t>
      </w:r>
      <w:r>
        <w:rPr>
          <w:rFonts w:hint="eastAsia" w:ascii="宋体" w:hAnsi="宋体" w:cs="宋体"/>
          <w:color w:val="auto"/>
          <w:sz w:val="24"/>
          <w:szCs w:val="24"/>
          <w:highlight w:val="none"/>
          <w:lang w:val="en-US" w:eastAsia="zh-CN"/>
        </w:rPr>
        <w:t xml:space="preserve">粘贴</w:t>
      </w:r>
      <w:r>
        <w:rPr>
          <w:rFonts w:hint="default" w:ascii="宋体" w:hAnsi="宋体" w:eastAsia="宋体" w:cs="宋体"/>
          <w:color w:val="auto"/>
          <w:sz w:val="24"/>
          <w:szCs w:val="24"/>
          <w:highlight w:val="none"/>
          <w:lang w:val="en-US" w:eastAsia="zh-CN"/>
        </w:rPr>
        <w:t xml:space="preserve">）阻水边阻水效果</w:t>
      </w:r>
      <w:r>
        <w:rPr>
          <w:rFonts w:hint="eastAsia" w:ascii="宋体" w:hAnsi="宋体" w:cs="宋体"/>
          <w:color w:val="auto"/>
          <w:sz w:val="24"/>
          <w:szCs w:val="24"/>
          <w:highlight w:val="none"/>
          <w:lang w:val="en-US" w:eastAsia="zh-CN"/>
        </w:rPr>
        <w:t xml:space="preserve">，产</w:t>
      </w:r>
      <w:r>
        <w:rPr>
          <w:rFonts w:hint="default" w:ascii="宋体" w:hAnsi="宋体" w:eastAsia="宋体" w:cs="宋体"/>
          <w:color w:val="auto"/>
          <w:sz w:val="24"/>
          <w:szCs w:val="24"/>
          <w:highlight w:val="none"/>
          <w:lang w:val="en-US" w:eastAsia="zh-CN"/>
        </w:rPr>
        <w:t xml:space="preserve">品釉面与胚体之间无脱层，釉面与胚体成一体结构，釉面为烧成颜色</w:t>
      </w:r>
      <w:r>
        <w:rPr>
          <w:rFonts w:hint="eastAsia" w:ascii="宋体" w:hAnsi="宋体" w:cs="宋体"/>
          <w:color w:val="auto"/>
          <w:sz w:val="24"/>
          <w:szCs w:val="24"/>
          <w:highlight w:val="none"/>
          <w:lang w:val="en-US" w:eastAsia="zh-CN"/>
        </w:rPr>
        <w:t xml:space="preserve">，</w:t>
      </w:r>
      <w:r>
        <w:rPr>
          <w:rFonts w:hint="default" w:ascii="宋体" w:hAnsi="宋体" w:eastAsia="宋体" w:cs="宋体"/>
          <w:b w:val="0"/>
          <w:bCs w:val="0"/>
          <w:iCs/>
          <w:color w:val="auto"/>
          <w:sz w:val="24"/>
          <w:szCs w:val="24"/>
          <w:highlight w:val="none"/>
          <w:u w:val="none"/>
          <w:lang w:val="en-US" w:eastAsia="zh-CN" w:bidi="ar-SA"/>
        </w:rPr>
        <w:t xml:space="preserve">陶瓷水杯化学</w:t>
      </w:r>
      <w:r>
        <w:rPr>
          <w:rFonts w:hint="eastAsia" w:ascii="宋体" w:hAnsi="宋体" w:eastAsia="宋体" w:cs="宋体"/>
          <w:b w:val="0"/>
          <w:bCs w:val="0"/>
          <w:iCs/>
          <w:color w:val="auto"/>
          <w:sz w:val="24"/>
          <w:szCs w:val="24"/>
          <w:highlight w:val="none"/>
          <w:u w:val="none"/>
          <w:lang w:val="en-US" w:eastAsia="zh-CN" w:bidi="ar-SA"/>
        </w:rPr>
        <w:t xml:space="preserve">性能要求：依据GB/T 17657-2022标准，检测报告至少包含有：乙酸乙酯99%、氢氧化钠40%、盐酸37%、硝酸65%、硫酸98%、王水、甲醛37%、二氯甲烷99%、氨水28%、乙醇99%等化学试剂，检测报告结果为无明显变化。</w:t>
      </w:r>
      <w:r>
        <w:rPr>
          <w:rFonts w:hint="eastAsia" w:ascii="宋体" w:hAnsi="宋体" w:eastAsia="宋体" w:cs="宋体"/>
          <w:b/>
          <w:color w:val="auto"/>
          <w:sz w:val="24"/>
          <w:szCs w:val="24"/>
          <w:highlight w:val="none"/>
        </w:rPr>
        <w:t xml:space="preserve">提供第三方检测机构出具的检测报告扫描件</w:t>
      </w:r>
      <w:r>
        <w:rPr>
          <w:rFonts w:hint="eastAsia" w:ascii="宋体" w:hAnsi="宋体" w:cs="宋体"/>
          <w:b/>
          <w:color w:val="auto"/>
          <w:sz w:val="24"/>
          <w:szCs w:val="24"/>
          <w:highlight w:val="none"/>
          <w:lang w:val="en-US" w:eastAsia="zh-CN"/>
        </w:rPr>
        <w:t xml:space="preserve">并加盖公章。（1分）</w:t>
      </w:r>
      <w:r/>
    </w:p>
    <w:p>
      <w:pPr>
        <w:ind w:left="0" w:right="0" w:firstLine="480"/>
        <w:jc w:val="left"/>
        <w:spacing w:beforeAutospacing="0" w:afterAutospacing="0" w:line="360" w:lineRule="auto"/>
        <w:rPr>
          <w:rFonts w:hint="default" w:ascii="宋体" w:hAnsi="宋体" w:eastAsia="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2.5.4</w:t>
      </w:r>
      <w:r>
        <w:rPr>
          <w:rFonts w:hint="eastAsia" w:ascii="宋体" w:hAnsi="宋体" w:eastAsia="宋体"/>
          <w:b w:val="0"/>
          <w:bCs w:val="0"/>
          <w:color w:val="auto"/>
          <w:sz w:val="24"/>
          <w:szCs w:val="24"/>
          <w:highlight w:val="none"/>
          <w:lang w:val="en-US" w:eastAsia="zh-CN"/>
        </w:rPr>
        <w:t xml:space="preserve">通风柜酸碱柜下柜</w:t>
      </w:r>
      <w:r/>
    </w:p>
    <w:p>
      <w:pPr>
        <w:ind w:right="0" w:firstLine="480"/>
        <w:jc w:val="left"/>
        <w:spacing w:beforeAutospacing="0" w:afterAutospacing="0" w:line="360" w:lineRule="auto"/>
        <w:rPr>
          <w:rFonts w:hint="eastAsia" w:ascii="宋体" w:hAnsi="宋体" w:cs="宋体"/>
          <w:b/>
          <w:bCs/>
          <w:color w:val="auto"/>
          <w:sz w:val="24"/>
          <w:szCs w:val="24"/>
          <w:highlight w:val="none"/>
          <w:lang w:eastAsia="zh-CN"/>
        </w:rPr>
      </w:pPr>
      <w:r>
        <w:rPr>
          <w:rFonts w:hint="eastAsia" w:ascii="宋体" w:hAnsi="宋体"/>
          <w:color w:val="auto"/>
          <w:sz w:val="24"/>
          <w:szCs w:val="24"/>
          <w:highlight w:val="none"/>
          <w:lang w:val="en-US" w:eastAsia="zh-CN"/>
        </w:rPr>
        <w:t xml:space="preserve">酸碱柜</w:t>
      </w:r>
      <w:r>
        <w:rPr>
          <w:rFonts w:hint="eastAsia" w:ascii="宋体" w:hAnsi="宋体" w:eastAsia="宋体"/>
          <w:color w:val="auto"/>
          <w:sz w:val="24"/>
          <w:szCs w:val="24"/>
          <w:highlight w:val="none"/>
        </w:rPr>
        <w:t xml:space="preserve">产品整体材质使用高密度聚乙烯（HDPE），材料厚度须满足12</w:t>
      </w:r>
      <w:r>
        <w:rPr>
          <w:rFonts w:hint="eastAsia" w:ascii="宋体" w:hAnsi="宋体"/>
          <w:color w:val="auto"/>
          <w:sz w:val="24"/>
          <w:szCs w:val="24"/>
          <w:highlight w:val="none"/>
          <w:lang w:val="en-US" w:eastAsia="zh-CN"/>
        </w:rPr>
        <w:t xml:space="preserve">mm</w:t>
      </w:r>
      <w:r>
        <w:rPr>
          <w:rFonts w:hint="eastAsia" w:ascii="宋体" w:hAnsi="宋体" w:eastAsia="宋体"/>
          <w:color w:val="auto"/>
          <w:sz w:val="24"/>
          <w:szCs w:val="24"/>
          <w:highlight w:val="none"/>
        </w:rPr>
        <w:t xml:space="preserve">以上，</w:t>
      </w:r>
      <w:r>
        <w:rPr>
          <w:rFonts w:hint="eastAsia" w:ascii="宋体" w:hAnsi="宋体" w:eastAsia="宋体"/>
          <w:b/>
          <w:bCs/>
          <w:color w:val="auto"/>
          <w:sz w:val="24"/>
          <w:szCs w:val="24"/>
          <w:highlight w:val="none"/>
          <w:lang w:val="en-US" w:eastAsia="zh-CN"/>
        </w:rPr>
        <w:t xml:space="preserve">提供证明文件</w:t>
      </w:r>
      <w:r>
        <w:rPr>
          <w:rFonts w:hint="eastAsia" w:ascii="宋体" w:hAnsi="宋体"/>
          <w:b/>
          <w:bCs/>
          <w:color w:val="auto"/>
          <w:sz w:val="24"/>
          <w:szCs w:val="24"/>
          <w:highlight w:val="none"/>
          <w:lang w:val="en-US" w:eastAsia="zh-CN"/>
        </w:rPr>
        <w:t xml:space="preserve">扫描件并加盖公章</w:t>
      </w:r>
      <w:r>
        <w:rPr>
          <w:rFonts w:hint="eastAsia" w:ascii="宋体" w:hAnsi="宋体" w:eastAsia="宋体"/>
          <w:b/>
          <w:bCs/>
          <w:color w:val="auto"/>
          <w:sz w:val="24"/>
          <w:szCs w:val="24"/>
          <w:highlight w:val="none"/>
        </w:rPr>
        <w:t xml:space="preserve">。</w:t>
      </w:r>
      <w:r>
        <w:rPr>
          <w:rFonts w:hint="eastAsia" w:ascii="宋体" w:hAnsi="宋体" w:cs="宋体"/>
          <w:b/>
          <w:color w:val="auto"/>
          <w:sz w:val="24"/>
          <w:szCs w:val="24"/>
          <w:highlight w:val="none"/>
          <w:lang w:val="en-US" w:eastAsia="zh-CN"/>
        </w:rPr>
        <w:t xml:space="preserve">（1分）</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3.</w:t>
      </w:r>
      <w:r>
        <w:rPr>
          <w:rFonts w:hint="eastAsia" w:ascii="宋体" w:hAnsi="宋体" w:cs="宋体"/>
          <w:b/>
          <w:bCs/>
          <w:color w:val="auto"/>
          <w:sz w:val="24"/>
          <w:szCs w:val="24"/>
          <w:highlight w:val="none"/>
        </w:rPr>
        <w:t xml:space="preserve">商务部分（1</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3.1认证证书（</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ind w:firstLine="480"/>
        <w:jc w:val="left"/>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val="en-US" w:eastAsia="zh-CN"/>
        </w:rPr>
        <w:t xml:space="preserve">人</w:t>
      </w:r>
      <w:r>
        <w:rPr>
          <w:rFonts w:hint="eastAsia" w:ascii="宋体" w:hAnsi="宋体" w:cs="宋体"/>
          <w:b w:val="0"/>
          <w:bCs w:val="0"/>
          <w:color w:val="auto"/>
          <w:sz w:val="24"/>
          <w:szCs w:val="24"/>
          <w:highlight w:val="none"/>
        </w:rPr>
        <w:t xml:space="preserve">具有质量管理体系认证证书、职业健康与安全管理体系认证证书、环境管理体系认证证书且在有效期内的，有一个得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。（投标文件中提供</w:t>
      </w:r>
      <w:r>
        <w:rPr>
          <w:rFonts w:hint="eastAsia" w:ascii="宋体" w:hAnsi="宋体" w:cs="宋体"/>
          <w:b w:val="0"/>
          <w:bCs w:val="0"/>
          <w:color w:val="auto"/>
          <w:sz w:val="24"/>
          <w:szCs w:val="24"/>
          <w:highlight w:val="none"/>
          <w:lang w:val="en-US" w:eastAsia="zh-CN"/>
        </w:rPr>
        <w:t xml:space="preserve">认证证书</w:t>
      </w:r>
      <w:r>
        <w:rPr>
          <w:rFonts w:hint="eastAsia" w:ascii="宋体" w:hAnsi="宋体" w:cs="宋体"/>
          <w:b w:val="0"/>
          <w:bCs w:val="0"/>
          <w:color w:val="auto"/>
          <w:sz w:val="24"/>
          <w:szCs w:val="24"/>
          <w:highlight w:val="none"/>
          <w:lang w:eastAsia="zh-CN"/>
        </w:rPr>
        <w:t xml:space="preserve">扫描件</w:t>
      </w:r>
      <w:r>
        <w:rPr>
          <w:rFonts w:hint="eastAsia" w:ascii="宋体" w:hAnsi="宋体" w:cs="宋体"/>
          <w:b w:val="0"/>
          <w:bCs w:val="0"/>
          <w:color w:val="auto"/>
          <w:sz w:val="24"/>
          <w:szCs w:val="24"/>
          <w:highlight w:val="none"/>
          <w:lang w:val="en-US" w:eastAsia="zh-CN"/>
        </w:rPr>
        <w:t xml:space="preserve">并加盖公章</w:t>
      </w:r>
      <w:r>
        <w:rPr>
          <w:rFonts w:hint="eastAsia" w:ascii="宋体" w:hAnsi="宋体" w:cs="宋体"/>
          <w:b w:val="0"/>
          <w:bCs w:val="0"/>
          <w:color w:val="auto"/>
          <w:sz w:val="24"/>
          <w:szCs w:val="24"/>
          <w:highlight w:val="none"/>
          <w:lang w:eastAsia="zh-CN"/>
        </w:rPr>
        <w:t xml:space="preserve">）</w:t>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3.2业绩（6分）</w:t>
      </w:r>
      <w:r/>
    </w:p>
    <w:p>
      <w:pPr>
        <w:ind w:left="0" w:right="0" w:firstLine="480"/>
        <w:jc w:val="left"/>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cs="宋体"/>
          <w:bCs/>
          <w:color w:val="auto"/>
          <w:sz w:val="24"/>
          <w:szCs w:val="24"/>
          <w:highlight w:val="none"/>
          <w:lang w:val="en-US" w:eastAsia="zh-CN"/>
        </w:rPr>
        <w:t xml:space="preserve">具有自</w:t>
      </w:r>
      <w:r>
        <w:rPr>
          <w:rFonts w:hint="eastAsia" w:ascii="宋体" w:hAnsi="宋体" w:eastAsia="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年1月1日以来（以合同签订时间为准）与本次采购相同或类似的</w:t>
      </w:r>
      <w:r>
        <w:rPr>
          <w:rFonts w:hint="eastAsia" w:ascii="宋体" w:hAnsi="宋体" w:cs="宋体"/>
          <w:bCs/>
          <w:color w:val="auto"/>
          <w:sz w:val="24"/>
          <w:szCs w:val="24"/>
          <w:highlight w:val="none"/>
          <w:lang w:val="en-US" w:eastAsia="zh-CN"/>
        </w:rPr>
        <w:t xml:space="preserve">业绩</w:t>
      </w:r>
      <w:r>
        <w:rPr>
          <w:rFonts w:hint="eastAsia" w:ascii="宋体" w:hAnsi="宋体" w:eastAsia="宋体" w:cs="宋体"/>
          <w:bCs/>
          <w:color w:val="auto"/>
          <w:sz w:val="24"/>
          <w:szCs w:val="24"/>
          <w:highlight w:val="none"/>
        </w:rPr>
        <w:t xml:space="preserve">，每提供1</w:t>
      </w:r>
      <w:r>
        <w:rPr>
          <w:rFonts w:hint="eastAsia" w:ascii="宋体" w:hAnsi="宋体" w:cs="宋体"/>
          <w:bCs/>
          <w:color w:val="auto"/>
          <w:sz w:val="24"/>
          <w:szCs w:val="24"/>
          <w:highlight w:val="none"/>
          <w:lang w:val="en-US" w:eastAsia="zh-CN"/>
        </w:rPr>
        <w:t xml:space="preserve">个</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分。（投标文件中提供合同</w:t>
      </w:r>
      <w:r>
        <w:rPr>
          <w:rFonts w:hint="eastAsia" w:ascii="宋体" w:hAnsi="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并加盖公章）</w:t>
      </w:r>
      <w:r/>
    </w:p>
    <w:p>
      <w:pPr>
        <w:ind w:firstLine="482"/>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3.3质保期（1分）</w:t>
      </w:r>
      <w:r/>
    </w:p>
    <w:p>
      <w:pPr>
        <w:ind w:firstLine="480"/>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项目整体质保期每增加一年</w:t>
      </w:r>
      <w:r>
        <w:rPr>
          <w:rFonts w:hint="eastAsia" w:ascii="宋体" w:hAnsi="宋体" w:cs="宋体"/>
          <w:b w:val="0"/>
          <w:bCs w:val="0"/>
          <w:color w:val="auto"/>
          <w:sz w:val="24"/>
          <w:szCs w:val="24"/>
          <w:highlight w:val="none"/>
          <w:lang w:val="en-US" w:eastAsia="zh-CN"/>
        </w:rPr>
        <w:t xml:space="preserve">得</w:t>
      </w:r>
      <w:r>
        <w:rPr>
          <w:rFonts w:hint="eastAsia" w:ascii="宋体" w:hAnsi="宋体" w:eastAsia="宋体" w:cs="宋体"/>
          <w:b w:val="0"/>
          <w:bCs w:val="0"/>
          <w:color w:val="auto"/>
          <w:sz w:val="24"/>
          <w:szCs w:val="24"/>
          <w:highlight w:val="none"/>
          <w:lang w:val="en-US" w:eastAsia="zh-CN"/>
        </w:rPr>
        <w:t xml:space="preserve">1分</w:t>
      </w:r>
      <w:r>
        <w:rPr>
          <w:rFonts w:hint="eastAsia" w:ascii="宋体" w:hAnsi="宋体" w:cs="宋体"/>
          <w:b w:val="0"/>
          <w:bCs w:val="0"/>
          <w:color w:val="auto"/>
          <w:sz w:val="24"/>
          <w:szCs w:val="24"/>
          <w:highlight w:val="none"/>
          <w:lang w:val="en-US" w:eastAsia="zh-CN"/>
        </w:rPr>
        <w:t xml:space="preserve">，最高得1分。（投标文件中提供《质保承诺书》（格式自拟））</w:t>
      </w:r>
      <w:r/>
    </w:p>
    <w:p>
      <w:pPr>
        <w:ind w:firstLine="482"/>
        <w:jc w:val="left"/>
        <w:spacing w:line="50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4.节能、环保产品</w:t>
      </w:r>
      <w:r>
        <w:rPr>
          <w:rFonts w:ascii="宋体" w:hAnsi="宋体"/>
          <w:b/>
          <w:bCs/>
          <w:color w:val="auto"/>
          <w:sz w:val="24"/>
          <w:szCs w:val="24"/>
          <w:highlight w:val="none"/>
        </w:rPr>
        <w:t xml:space="preserve">（3分）</w:t>
      </w:r>
      <w:r>
        <w:rPr>
          <w:rFonts w:hint="eastAsia" w:ascii="宋体" w:hAnsi="宋体"/>
          <w:bCs/>
          <w:color w:val="auto"/>
          <w:sz w:val="24"/>
          <w:szCs w:val="24"/>
          <w:highlight w:val="none"/>
        </w:rPr>
        <w:t xml:space="preserve">：依据财政部、发展改革委发布的《节能产品政府采购品目清单》和财政部、生态环境部发布的《</w:t>
      </w:r>
      <w:r>
        <w:rPr>
          <w:rFonts w:ascii="宋体" w:hAnsi="宋体"/>
          <w:bCs/>
          <w:color w:val="auto"/>
          <w:sz w:val="24"/>
          <w:szCs w:val="24"/>
          <w:highlight w:val="none"/>
        </w:rPr>
        <w:t xml:space="preserve">环境标志产品政府采购品目清单</w:t>
      </w:r>
      <w:r>
        <w:rPr>
          <w:rFonts w:hint="eastAsia" w:ascii="宋体" w:hAnsi="宋体"/>
          <w:bCs/>
          <w:color w:val="auto"/>
          <w:sz w:val="24"/>
          <w:szCs w:val="24"/>
          <w:highlight w:val="none"/>
        </w:rPr>
        <w:t xml:space="preserve">》，投标人能够提供所投产品为政府采购节能（政府强制采购节能产品除外）产品的得1分、能够提供所投产品为环保产品的得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分（投标时须提供所投产品由国家确定的认证机构出具的、处于有效期之内的节能产品认证证书复印件、环境标志产品认证证书复印件，否则不得分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ascii="宋体" w:hAnsi="宋体" w:cs="仿宋"/>
          <w:bCs/>
          <w:color w:val="auto"/>
          <w:sz w:val="24"/>
          <w:highlight w:val="none"/>
        </w:rPr>
        <w:t xml:space="preserve">依据《江苏省财政厅关于加强政府绿色采购有关事项的通知》（苏财购〔2024〕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ascii="黑体" w:eastAsia="黑体"/>
          <w:bCs/>
          <w:color w:val="auto"/>
          <w:sz w:val="24"/>
          <w:szCs w:val="24"/>
          <w:highlight w:val="none"/>
        </w:rPr>
      </w:pPr>
      <w:r>
        <w:rPr>
          <w:rFonts w:ascii="黑体" w:eastAsia="黑体"/>
          <w:bCs/>
          <w:color w:val="auto"/>
          <w:sz w:val="24"/>
          <w:szCs w:val="24"/>
          <w:highlight w:val="none"/>
        </w:rPr>
      </w:r>
      <w:r/>
    </w:p>
    <w:p>
      <w:pPr>
        <w:rPr>
          <w:rFonts w:ascii="黑体" w:eastAsia="黑体"/>
          <w:bCs/>
          <w:color w:val="auto"/>
          <w:sz w:val="24"/>
          <w:szCs w:val="24"/>
          <w:highlight w:val="none"/>
        </w:rPr>
      </w:pPr>
      <w:r>
        <w:rPr>
          <w:rFonts w:ascii="黑体" w:eastAsia="黑体"/>
          <w:bCs/>
          <w:color w:val="auto"/>
          <w:sz w:val="24"/>
          <w:szCs w:val="24"/>
          <w:highlight w:val="none"/>
        </w:rPr>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835"/>
        <w:ind w:firstLine="602"/>
        <w:spacing w:before="0" w:after="0" w:line="500" w:lineRule="exact"/>
        <w:rPr>
          <w:rFonts w:cs="Arial"/>
          <w:b/>
          <w:color w:val="auto"/>
          <w:sz w:val="30"/>
          <w:szCs w:val="30"/>
          <w:highlight w:val="none"/>
        </w:rPr>
      </w:pPr>
      <w:r/>
      <w:bookmarkStart w:id="192" w:name="_Hlt26955039"/>
      <w:r/>
      <w:bookmarkEnd w:id="192"/>
      <w:r/>
      <w:bookmarkStart w:id="193" w:name="_Hlt26671244"/>
      <w:r/>
      <w:bookmarkEnd w:id="193"/>
      <w:r/>
      <w:bookmarkStart w:id="194" w:name="_Toc26554094"/>
      <w:r/>
      <w:bookmarkStart w:id="195" w:name="_Toc120614282"/>
      <w:r/>
      <w:bookmarkStart w:id="196" w:name="_Toc49090576"/>
      <w:r>
        <w:rPr>
          <w:rFonts w:hint="eastAsia" w:cs="Arial"/>
          <w:b/>
          <w:color w:val="auto"/>
          <w:sz w:val="30"/>
          <w:szCs w:val="30"/>
          <w:highlight w:val="none"/>
        </w:rPr>
        <w:t xml:space="preserve">第一部分  投标文件内容</w:t>
      </w:r>
      <w:r/>
    </w:p>
    <w:p>
      <w:pPr>
        <w:pStyle w:val="835"/>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5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3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835"/>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83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83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83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3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83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83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83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83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83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87"/>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83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83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83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3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83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83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3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83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83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83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83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落实政府采购政策需满足的资格要求的证明文件（如有）</w:t>
            </w:r>
            <w:r/>
          </w:p>
        </w:tc>
        <w:tc>
          <w:tcPr>
            <w:tcW w:w="2449" w:type="dxa"/>
            <w:vAlign w:val="center"/>
            <w:vMerge w:val="continue"/>
            <w:textDirection w:val="lrTb"/>
            <w:noWrap w:val="false"/>
          </w:tcPr>
          <w:p>
            <w:pPr>
              <w:pStyle w:val="83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835"/>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835"/>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835"/>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835"/>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835"/>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835"/>
              <w:ind w:firstLine="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3"/>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确实无法提供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3"/>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3"/>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3"/>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6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835"/>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835"/>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835"/>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835"/>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835"/>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835"/>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835"/>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835"/>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835"/>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83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835"/>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835"/>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83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835"/>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明细报价表（给定格式）</w:t>
            </w:r>
            <w:r/>
          </w:p>
        </w:tc>
        <w:tc>
          <w:tcPr>
            <w:tcW w:w="1979" w:type="dxa"/>
            <w:vAlign w:val="center"/>
            <w:vMerge w:val="continue"/>
            <w:textDirection w:val="lrTb"/>
            <w:noWrap w:val="false"/>
          </w:tcPr>
          <w:p>
            <w:pPr>
              <w:pStyle w:val="835"/>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83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835"/>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835"/>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83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835"/>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《采购需求》中如有要求须提供的证明文件</w:t>
            </w:r>
            <w:r/>
          </w:p>
        </w:tc>
        <w:tc>
          <w:tcPr>
            <w:tcW w:w="1979" w:type="dxa"/>
            <w:vAlign w:val="center"/>
            <w:vMerge w:val="continue"/>
            <w:textDirection w:val="lrTb"/>
            <w:noWrap w:val="false"/>
          </w:tcPr>
          <w:p>
            <w:pPr>
              <w:pStyle w:val="835"/>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83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835"/>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835"/>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83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835"/>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835"/>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4"/>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4"/>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835"/>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JSZC-320200-WXJY-G2025-0023</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东南大学集成电路学院（无锡）基础实验室教学配套采购项目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839"/>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ascii="宋体" w:hAnsi="宋体"/>
          <w:bCs/>
          <w:color w:val="auto"/>
          <w:sz w:val="24"/>
          <w:szCs w:val="24"/>
          <w:highlight w:val="none"/>
          <w:lang w:eastAsia="zh-CN"/>
        </w:rPr>
        <w:t xml:space="preserve">JSZC-320200-WXJY-G2025-0023</w:t>
      </w:r>
      <w:r>
        <w:rPr>
          <w:rFonts w:hint="eastAsia" w:ascii="宋体" w:hAnsi="宋体"/>
          <w:bCs/>
          <w:color w:val="auto"/>
          <w:sz w:val="24"/>
          <w:szCs w:val="24"/>
          <w:highlight w:val="none"/>
        </w:rPr>
        <w:t xml:space="preserve">项目，兹授权：</w:t>
      </w:r>
      <w:r/>
    </w:p>
    <w:p>
      <w:pPr>
        <w:pStyle w:val="839"/>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839"/>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839"/>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839"/>
        <w:ind w:firstLine="480"/>
        <w:spacing w:line="360" w:lineRule="auto"/>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839"/>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839"/>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839"/>
        <w:ind w:firstLine="0"/>
        <w:spacing w:line="360" w:lineRule="auto"/>
        <w:rPr>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839"/>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839"/>
        <w:ind w:firstLine="0"/>
        <w:spacing w:line="360" w:lineRule="auto"/>
        <w:rPr>
          <w:color w:val="auto"/>
          <w:sz w:val="24"/>
          <w:szCs w:val="24"/>
          <w:highlight w:val="none"/>
        </w:rPr>
      </w:pPr>
      <w:r>
        <w:rPr>
          <w:rFonts w:hint="eastAsia"/>
          <w:color w:val="auto"/>
          <w:sz w:val="24"/>
          <w:szCs w:val="24"/>
          <w:highlight w:val="none"/>
        </w:rPr>
        <w:t xml:space="preserve">说明：</w:t>
      </w:r>
      <w:r/>
    </w:p>
    <w:p>
      <w:pPr>
        <w:pStyle w:val="839"/>
        <w:numPr>
          <w:ilvl w:val="0"/>
          <w:numId w:val="5"/>
        </w:numPr>
        <w:ind w:firstLine="480"/>
        <w:spacing w:line="360" w:lineRule="auto"/>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839"/>
        <w:numPr>
          <w:ilvl w:val="0"/>
          <w:numId w:val="5"/>
        </w:numPr>
        <w:ind w:firstLine="480"/>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处签字或盖章即可。</w:t>
      </w:r>
      <w:r/>
    </w:p>
    <w:p>
      <w:pPr>
        <w:pStyle w:val="839"/>
        <w:numPr>
          <w:ilvl w:val="0"/>
          <w:numId w:val="5"/>
        </w:numPr>
        <w:ind w:firstLine="480"/>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839"/>
        <w:numPr>
          <w:ilvl w:val="0"/>
          <w:numId w:val="5"/>
        </w:numPr>
        <w:ind w:firstLine="480"/>
        <w:spacing w:line="360" w:lineRule="auto"/>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839"/>
        <w:ind w:firstLine="0"/>
        <w:spacing w:line="360" w:lineRule="auto"/>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7" w:name="报价方关于资格的声明函（格式）"/>
      <w:r/>
      <w:bookmarkEnd w:id="197"/>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无锡市教育信息化和装备管理服务中心：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JSZC-320200-WXJY-G2025-0023</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黑体" w:eastAsia="黑体"/>
          <w:bCs/>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致无锡市教育信息化和装备管理服务中心：</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JSZC-320200-WXJY-G2025-0023</w:t>
      </w:r>
      <w:r>
        <w:rPr>
          <w:rFonts w:hint="eastAsia" w:ascii="宋体" w:hAnsi="宋体"/>
          <w:bCs/>
          <w:color w:val="auto"/>
          <w:sz w:val="24"/>
          <w:szCs w:val="24"/>
          <w:highlight w:val="none"/>
        </w:rPr>
        <w:t xml:space="preserve">招标文件，经仔细阅读和研究，我方决定参加此项目的投标。</w:t>
      </w:r>
      <w:r/>
    </w:p>
    <w:p>
      <w:pPr>
        <w:numPr>
          <w:ilvl w:val="0"/>
          <w:numId w:val="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685"/>
          <w:rFonts w:hint="eastAsia"/>
          <w:bCs/>
          <w:color w:val="auto"/>
          <w:highlight w:val="none"/>
        </w:rPr>
      </w:pPr>
      <w:r>
        <w:rPr>
          <w:rFonts w:hint="eastAsia" w:ascii="宋体" w:hAnsi="宋体"/>
          <w:bCs/>
          <w:color w:val="auto"/>
          <w:sz w:val="24"/>
          <w:szCs w:val="24"/>
          <w:highlight w:val="none"/>
        </w:rPr>
        <w:t xml:space="preserve">我方愿意提供无锡市教育信息化和装备管理服务中心在招标文件中要求的文件、资料。</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无锡市教育信息化和装备管理服务中心恶意串通、决不向采购人、无锡市教育信息化和装备管理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 xml:space="preserve">七、承诺书（给定格式）：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JSZC-320200-WXJY-G2025-0023</w:t>
      </w:r>
      <w:r>
        <w:rPr>
          <w:rFonts w:hint="eastAsia" w:ascii="宋体" w:hAnsi="宋体"/>
          <w:color w:val="auto"/>
          <w:sz w:val="24"/>
          <w:szCs w:val="24"/>
          <w:highlight w:val="none"/>
        </w:rPr>
        <w:t xml:space="preserve">在此承诺：</w:t>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hint="eastAsia"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JSZC-320200-WXJY-G2025-0023</w:t>
      </w:r>
      <w:r/>
    </w:p>
    <w:tbl>
      <w:tblPr>
        <w:tblStyle w:val="65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840"/>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东南大学集成电路学院（无锡）基础实验室教学配套采购项目</w:t>
            </w:r>
            <w:r/>
          </w:p>
        </w:tc>
        <w:tc>
          <w:tcPr>
            <w:tcW w:w="3188" w:type="dxa"/>
            <w:vAlign w:val="center"/>
            <w:textDirection w:val="lrTb"/>
            <w:noWrap w:val="false"/>
          </w:tcPr>
          <w:p>
            <w:pPr>
              <w:pStyle w:val="840"/>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 xml:space="preserve">九、明细报价表（给定格式）：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明细报价表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JSZC-320200-WXJY-G2025-0023</w:t>
      </w:r>
      <w:r/>
    </w:p>
    <w:tbl>
      <w:tblPr>
        <w:tblStyle w:val="659"/>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71"/>
              <w:spacing w:before="5"/>
              <w:tabs>
                <w:tab w:val="clear" w:pos="4153" w:leader="none"/>
                <w:tab w:val="clear" w:pos="8306" w:leader="none"/>
              </w:tabs>
              <w:rPr>
                <w:rFonts w:ascii="宋体"/>
                <w:color w:val="auto"/>
                <w:highlight w:val="none"/>
                <w:lang w:eastAsia="zh-CN"/>
              </w:rPr>
              <w:pBdr>
                <w:bottom w:val="none" w:color="000000" w:sz="0" w:space="0"/>
              </w:pBdr>
            </w:pPr>
            <w:r>
              <w:rPr>
                <w:rFonts w:hint="eastAsia" w:ascii="宋体"/>
                <w:color w:val="auto"/>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671"/>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945" w:type="dxa"/>
            <w:vAlign w:val="center"/>
            <w:textDirection w:val="lrTb"/>
            <w:noWrap w:val="false"/>
          </w:tcPr>
          <w:p>
            <w:pPr>
              <w:pStyle w:val="671"/>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3045" w:type="dxa"/>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671"/>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671"/>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auto"/>
                <w:highlight w:val="none"/>
              </w:rPr>
            </w:pPr>
            <w:r>
              <w:rPr>
                <w:rFonts w:ascii="黑体" w:eastAsia="黑体"/>
                <w:b/>
                <w:bCs/>
                <w:color w:val="auto"/>
                <w:highlight w:val="none"/>
              </w:rPr>
            </w:r>
            <w:r/>
          </w:p>
        </w:tc>
        <w:tc>
          <w:tcPr>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auto"/>
                <w:highlight w:val="none"/>
              </w:rPr>
            </w:pPr>
            <w:r>
              <w:rPr>
                <w:rFonts w:ascii="黑体" w:eastAsia="黑体"/>
                <w:b/>
                <w:bCs/>
                <w:color w:val="auto"/>
                <w:highlight w:val="none"/>
              </w:rPr>
            </w:r>
            <w:r/>
          </w:p>
        </w:tc>
        <w:tc>
          <w:tcPr>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hint="eastAsia" w:ascii="宋体" w:hAnsi="宋体"/>
          <w:b/>
          <w:color w:val="auto"/>
          <w:highlight w:val="none"/>
        </w:rPr>
        <w:outlineLvl w:val="0"/>
      </w:pPr>
      <w:r>
        <w:rPr>
          <w:rFonts w:hint="eastAsia"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投标人为本项目提供的货物全部由符合政策要求的中小企业制造的，须提供按格式填写的《中小企业声明函》（货物）（《中小企业声明函》（货物</w:t>
      </w:r>
      <w:bookmarkStart w:id="203" w:name="_GoBack"/>
      <w:r>
        <w:rPr>
          <w:rFonts w:hint="eastAsia" w:ascii="宋体"/>
          <w:bCs/>
          <w:color w:val="auto"/>
          <w:highlight w:val="none"/>
        </w:rPr>
        <w:t xml:space="preserve">）</w:t>
      </w:r>
      <w:bookmarkEnd w:id="203"/>
      <w:r>
        <w:rPr>
          <w:rFonts w:hint="eastAsia" w:ascii="宋体"/>
          <w:bCs/>
          <w:color w:val="auto"/>
          <w:highlight w:val="none"/>
        </w:rPr>
        <w:t xml:space="preserve">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装备管理服务中心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bookmarkEnd w:id="194"/>
      <w:r/>
      <w:bookmarkEnd w:id="195"/>
      <w:r/>
      <w:bookmarkEnd w:id="196"/>
      <w:r/>
      <w:bookmarkStart w:id="198" w:name="_Toc120614284"/>
      <w:r/>
      <w:r/>
    </w:p>
    <w:p>
      <w:pPr>
        <w:jc w:val="center"/>
        <w:spacing w:line="400" w:lineRule="exact"/>
        <w:rPr>
          <w:b/>
          <w:color w:val="auto"/>
          <w:sz w:val="30"/>
          <w:szCs w:val="30"/>
          <w:highlight w:val="none"/>
        </w:rPr>
        <w:outlineLvl w:val="0"/>
      </w:pPr>
      <w:r>
        <w:rPr>
          <w:rFonts w:hint="eastAsia"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JSZC-320200-WXJY-G2025-0023</w:t>
      </w:r>
      <w:r/>
    </w:p>
    <w:tbl>
      <w:tblPr>
        <w:tblStyle w:val="65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hint="eastAsia"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98"/>
      <w:r/>
      <w:bookmarkStart w:id="199" w:name="_Hlt26955066"/>
      <w:r/>
      <w:bookmarkEnd w:id="199"/>
      <w:r/>
      <w:bookmarkStart w:id="200" w:name="_格式2__法定代表人授权书"/>
      <w:r/>
      <w:bookmarkEnd w:id="200"/>
      <w:r/>
      <w:bookmarkStart w:id="201" w:name="_Hlt26609389"/>
      <w:r/>
      <w:bookmarkEnd w:id="201"/>
      <w:r/>
      <w:bookmarkStart w:id="202" w:name="_Hlt26671374"/>
      <w:r/>
      <w:bookmarkEnd w:id="202"/>
      <w:r/>
      <w:r/>
    </w:p>
    <w:p>
      <w:pPr>
        <w:rPr>
          <w:color w:val="auto"/>
          <w:highlight w:val="none"/>
        </w:rPr>
      </w:pPr>
      <w:r>
        <w:rPr>
          <w:color w:val="auto"/>
          <w:highlight w:val="none"/>
        </w:rPr>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pPr>
    <w:r>
      <w:fldChar w:fldCharType="begin"/>
    </w:r>
    <w:r>
      <w:instrText xml:space="preserve">PAGE \* MERGEFORMAT</w:instrText>
    </w:r>
    <w:r>
      <w:fldChar w:fldCharType="separate"/>
    </w:r>
    <w:r>
      <w:t xml:space="preserve">1</w:t>
    </w:r>
    <w:r>
      <w:fldChar w:fldCharType="end"/>
    </w:r>
    <w:r/>
  </w:p>
  <w:p>
    <w:pPr>
      <w:pStyle w:val="6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49">
    <w:name w:val="Heading 1"/>
    <w:basedOn w:val="648"/>
    <w:next w:val="648"/>
    <w:link w:val="689"/>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90"/>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60"/>
    <w:uiPriority w:val="0"/>
    <w:qFormat/>
    <w:pPr>
      <w:keepLines/>
      <w:keepNext/>
      <w:spacing w:before="260" w:after="260" w:line="416" w:lineRule="auto"/>
      <w:outlineLvl w:val="2"/>
    </w:pPr>
    <w:rPr>
      <w:b/>
      <w:bCs/>
      <w:sz w:val="32"/>
      <w:szCs w:val="32"/>
      <w:lang w:eastAsia="en-US"/>
    </w:rPr>
  </w:style>
  <w:style w:type="paragraph" w:styleId="652">
    <w:name w:val="Heading 4"/>
    <w:basedOn w:val="648"/>
    <w:next w:val="660"/>
    <w:uiPriority w:val="0"/>
    <w:qFormat/>
    <w:pPr>
      <w:keepLines/>
      <w:keepNext/>
      <w:spacing w:before="280" w:after="290" w:line="376" w:lineRule="auto"/>
      <w:outlineLvl w:val="3"/>
    </w:pPr>
    <w:rPr>
      <w:rFonts w:ascii="Arial" w:hAnsi="Arial" w:eastAsia="黑体"/>
      <w:b/>
      <w:bCs/>
      <w:sz w:val="28"/>
      <w:szCs w:val="28"/>
      <w:lang w:eastAsia="en-US"/>
    </w:rPr>
  </w:style>
  <w:style w:type="paragraph" w:styleId="653">
    <w:name w:val="Heading 5"/>
    <w:basedOn w:val="648"/>
    <w:next w:val="648"/>
    <w:link w:val="693"/>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4"/>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6"/>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7"/>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Normal Indent"/>
    <w:basedOn w:val="648"/>
    <w:uiPriority w:val="0"/>
    <w:qFormat/>
    <w:pPr>
      <w:ind w:firstLine="420"/>
    </w:pPr>
    <w:rPr>
      <w:sz w:val="20"/>
      <w:lang w:eastAsia="en-US"/>
    </w:r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63">
    <w:name w:val="annotation text"/>
    <w:basedOn w:val="648"/>
    <w:uiPriority w:val="0"/>
    <w:semiHidden/>
    <w:qFormat/>
    <w:pPr>
      <w:jc w:val="left"/>
    </w:pPr>
    <w:rPr>
      <w:sz w:val="20"/>
      <w:lang w:eastAsia="en-US"/>
    </w:rPr>
  </w:style>
  <w:style w:type="paragraph" w:styleId="664">
    <w:name w:val="Body Text"/>
    <w:basedOn w:val="648"/>
    <w:uiPriority w:val="99"/>
    <w:qFormat/>
    <w:rPr>
      <w:rFonts w:ascii="楷体_GB2312" w:hAnsi="Arial" w:eastAsia="楷体_GB2312"/>
      <w:sz w:val="28"/>
      <w:szCs w:val="28"/>
      <w:lang w:eastAsia="en-US"/>
    </w:rPr>
  </w:style>
  <w:style w:type="paragraph" w:styleId="665">
    <w:name w:val="Body Text Indent"/>
    <w:basedOn w:val="648"/>
    <w:uiPriority w:val="0"/>
    <w:qFormat/>
    <w:pPr>
      <w:ind w:firstLine="645"/>
    </w:pPr>
    <w:rPr>
      <w:rFonts w:ascii="楷体_GB2312" w:eastAsia="楷体_GB2312"/>
      <w:sz w:val="32"/>
      <w:szCs w:val="32"/>
      <w:lang w:eastAsia="en-US"/>
    </w:rPr>
  </w:style>
  <w:style w:type="paragraph" w:styleId="666">
    <w:name w:val="toc 5"/>
    <w:basedOn w:val="648"/>
    <w:next w:val="648"/>
    <w:uiPriority w:val="39"/>
    <w:unhideWhenUsed/>
    <w:qFormat/>
    <w:pPr>
      <w:ind w:left="1134" w:right="0" w:firstLine="0"/>
      <w:spacing w:after="57"/>
    </w:pPr>
  </w:style>
  <w:style w:type="paragraph" w:styleId="667">
    <w:name w:val="toc 3"/>
    <w:basedOn w:val="648"/>
    <w:next w:val="648"/>
    <w:uiPriority w:val="39"/>
    <w:unhideWhenUsed/>
    <w:qFormat/>
    <w:pPr>
      <w:ind w:left="567" w:right="0" w:firstLine="0"/>
      <w:spacing w:after="57"/>
    </w:pPr>
  </w:style>
  <w:style w:type="paragraph" w:styleId="668">
    <w:name w:val="toc 8"/>
    <w:basedOn w:val="648"/>
    <w:next w:val="648"/>
    <w:uiPriority w:val="39"/>
    <w:unhideWhenUsed/>
    <w:qFormat/>
    <w:pPr>
      <w:ind w:left="1984" w:right="0" w:firstLine="0"/>
      <w:spacing w:after="57"/>
    </w:pPr>
  </w:style>
  <w:style w:type="paragraph" w:styleId="669">
    <w:name w:val="endnote text"/>
    <w:basedOn w:val="648"/>
    <w:link w:val="833"/>
    <w:uiPriority w:val="99"/>
    <w:semiHidden/>
    <w:unhideWhenUsed/>
    <w:qFormat/>
    <w:pPr>
      <w:spacing w:after="0" w:line="240" w:lineRule="auto"/>
    </w:pPr>
    <w:rPr>
      <w:sz w:val="20"/>
    </w:rPr>
  </w:style>
  <w:style w:type="paragraph" w:styleId="670">
    <w:name w:val="Footer"/>
    <w:basedOn w:val="648"/>
    <w:uiPriority w:val="0"/>
    <w:qFormat/>
    <w:pPr>
      <w:jc w:val="left"/>
      <w:tabs>
        <w:tab w:val="center" w:pos="4153" w:leader="none"/>
        <w:tab w:val="right" w:pos="8306" w:leader="none"/>
      </w:tabs>
    </w:pPr>
    <w:rPr>
      <w:sz w:val="18"/>
      <w:szCs w:val="18"/>
      <w:lang w:eastAsia="en-US"/>
    </w:rPr>
  </w:style>
  <w:style w:type="paragraph" w:styleId="671">
    <w:name w:val="Header"/>
    <w:basedOn w:val="648"/>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672">
    <w:name w:val="toc 1"/>
    <w:basedOn w:val="648"/>
    <w:next w:val="648"/>
    <w:uiPriority w:val="39"/>
    <w:unhideWhenUsed/>
    <w:qFormat/>
    <w:pPr>
      <w:ind w:left="0" w:right="0" w:firstLine="0"/>
      <w:spacing w:after="57"/>
    </w:pPr>
  </w:style>
  <w:style w:type="paragraph" w:styleId="673">
    <w:name w:val="toc 4"/>
    <w:basedOn w:val="648"/>
    <w:next w:val="648"/>
    <w:uiPriority w:val="39"/>
    <w:unhideWhenUsed/>
    <w:qFormat/>
    <w:pPr>
      <w:ind w:left="850" w:right="0" w:firstLine="0"/>
      <w:spacing w:after="57"/>
    </w:pPr>
  </w:style>
  <w:style w:type="paragraph" w:styleId="674">
    <w:name w:val="Subtitle"/>
    <w:basedOn w:val="648"/>
    <w:next w:val="648"/>
    <w:link w:val="699"/>
    <w:uiPriority w:val="11"/>
    <w:qFormat/>
    <w:pPr>
      <w:spacing w:before="200" w:after="200"/>
    </w:pPr>
    <w:rPr>
      <w:sz w:val="24"/>
      <w:szCs w:val="24"/>
    </w:rPr>
  </w:style>
  <w:style w:type="paragraph" w:styleId="675">
    <w:name w:val="footnote text"/>
    <w:basedOn w:val="648"/>
    <w:link w:val="832"/>
    <w:uiPriority w:val="99"/>
    <w:semiHidden/>
    <w:unhideWhenUsed/>
    <w:qFormat/>
    <w:pPr>
      <w:spacing w:after="40" w:line="240" w:lineRule="auto"/>
    </w:pPr>
    <w:rPr>
      <w:sz w:val="18"/>
    </w:rPr>
  </w:style>
  <w:style w:type="paragraph" w:styleId="676">
    <w:name w:val="toc 6"/>
    <w:basedOn w:val="648"/>
    <w:next w:val="648"/>
    <w:uiPriority w:val="39"/>
    <w:unhideWhenUsed/>
    <w:qFormat/>
    <w:pPr>
      <w:ind w:left="1417" w:right="0" w:firstLine="0"/>
      <w:spacing w:after="57"/>
    </w:pPr>
  </w:style>
  <w:style w:type="paragraph" w:styleId="677">
    <w:name w:val="table of figures"/>
    <w:basedOn w:val="648"/>
    <w:next w:val="648"/>
    <w:uiPriority w:val="99"/>
    <w:unhideWhenUsed/>
    <w:qFormat/>
    <w:pPr>
      <w:spacing w:after="0" w:afterAutospacing="0"/>
    </w:pPr>
  </w:style>
  <w:style w:type="paragraph" w:styleId="678">
    <w:name w:val="toc 2"/>
    <w:basedOn w:val="648"/>
    <w:next w:val="648"/>
    <w:uiPriority w:val="39"/>
    <w:unhideWhenUsed/>
    <w:qFormat/>
    <w:pPr>
      <w:ind w:left="283" w:right="0" w:firstLine="0"/>
      <w:spacing w:after="57"/>
    </w:pPr>
  </w:style>
  <w:style w:type="paragraph" w:styleId="679">
    <w:name w:val="toc 9"/>
    <w:basedOn w:val="648"/>
    <w:next w:val="648"/>
    <w:uiPriority w:val="39"/>
    <w:unhideWhenUsed/>
    <w:qFormat/>
    <w:pPr>
      <w:ind w:left="2268" w:right="0" w:firstLine="0"/>
      <w:spacing w:after="57"/>
    </w:pPr>
  </w:style>
  <w:style w:type="paragraph" w:styleId="680">
    <w:name w:val="Title"/>
    <w:basedOn w:val="648"/>
    <w:next w:val="648"/>
    <w:link w:val="698"/>
    <w:uiPriority w:val="10"/>
    <w:qFormat/>
    <w:pPr>
      <w:contextualSpacing/>
      <w:spacing w:before="300" w:after="200"/>
    </w:pPr>
    <w:rPr>
      <w:sz w:val="48"/>
      <w:szCs w:val="48"/>
    </w:rPr>
  </w:style>
  <w:style w:type="paragraph" w:styleId="681">
    <w:name w:val="Body Text First Indent 2"/>
    <w:basedOn w:val="665"/>
    <w:uiPriority w:val="99"/>
    <w:semiHidden/>
    <w:unhideWhenUsed/>
    <w:qFormat/>
    <w:pPr>
      <w:ind w:left="420" w:firstLine="420"/>
      <w:spacing w:after="120"/>
    </w:pPr>
    <w:rPr>
      <w:rFonts w:ascii="Times New Roman" w:eastAsia="宋体"/>
      <w:sz w:val="21"/>
      <w:szCs w:val="21"/>
      <w:lang w:eastAsia="zh-CN"/>
    </w:rPr>
  </w:style>
  <w:style w:type="table" w:styleId="682">
    <w:name w:val="Table Grid"/>
    <w:basedOn w:val="65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basedOn w:val="658"/>
    <w:uiPriority w:val="99"/>
    <w:semiHidden/>
    <w:unhideWhenUsed/>
    <w:qFormat/>
    <w:rPr>
      <w:vertAlign w:val="superscript"/>
    </w:rPr>
  </w:style>
  <w:style w:type="character" w:styleId="684">
    <w:name w:val="page number"/>
    <w:uiPriority w:val="0"/>
    <w:qFormat/>
  </w:style>
  <w:style w:type="character" w:styleId="685">
    <w:name w:val="HTML Typewriter"/>
    <w:uiPriority w:val="99"/>
    <w:qFormat/>
    <w:rPr>
      <w:rFonts w:ascii="宋体" w:hAnsi="宋体" w:eastAsia="宋体" w:cs="宋体"/>
      <w:sz w:val="24"/>
      <w:szCs w:val="24"/>
    </w:rPr>
  </w:style>
  <w:style w:type="character" w:styleId="686">
    <w:name w:val="Hyperlink"/>
    <w:basedOn w:val="658"/>
    <w:uiPriority w:val="0"/>
    <w:qFormat/>
    <w:rPr>
      <w:color w:val="0000ff"/>
      <w:u w:val="single"/>
    </w:rPr>
  </w:style>
  <w:style w:type="character" w:styleId="687">
    <w:name w:val="annotation reference"/>
    <w:uiPriority w:val="0"/>
    <w:semiHidden/>
    <w:qFormat/>
    <w:rPr>
      <w:sz w:val="21"/>
      <w:szCs w:val="21"/>
    </w:rPr>
  </w:style>
  <w:style w:type="character" w:styleId="688">
    <w:name w:val="footnote reference"/>
    <w:basedOn w:val="658"/>
    <w:uiPriority w:val="99"/>
    <w:unhideWhenUsed/>
    <w:qFormat/>
    <w:rPr>
      <w:vertAlign w:val="superscript"/>
    </w:rPr>
  </w:style>
  <w:style w:type="character" w:styleId="689" w:customStyle="1">
    <w:name w:val="Heading 1 Char"/>
    <w:basedOn w:val="658"/>
    <w:link w:val="649"/>
    <w:uiPriority w:val="9"/>
    <w:rPr>
      <w:rFonts w:ascii="Arial" w:hAnsi="Arial" w:eastAsia="Arial" w:cs="Arial"/>
      <w:sz w:val="40"/>
      <w:szCs w:val="40"/>
    </w:rPr>
  </w:style>
  <w:style w:type="character" w:styleId="690" w:customStyle="1">
    <w:name w:val="Heading 2 Char"/>
    <w:basedOn w:val="658"/>
    <w:link w:val="650"/>
    <w:uiPriority w:val="9"/>
    <w:rPr>
      <w:rFonts w:ascii="Arial" w:hAnsi="Arial" w:eastAsia="Arial" w:cs="Arial"/>
      <w:sz w:val="34"/>
    </w:rPr>
  </w:style>
  <w:style w:type="character" w:styleId="691" w:customStyle="1">
    <w:name w:val="Heading 3 Char"/>
    <w:basedOn w:val="658"/>
    <w:uiPriority w:val="9"/>
    <w:qFormat/>
    <w:rPr>
      <w:rFonts w:ascii="Arial" w:hAnsi="Arial" w:eastAsia="Arial" w:cs="Arial"/>
      <w:sz w:val="30"/>
      <w:szCs w:val="30"/>
    </w:rPr>
  </w:style>
  <w:style w:type="character" w:styleId="692" w:customStyle="1">
    <w:name w:val="Heading 4 Char"/>
    <w:basedOn w:val="658"/>
    <w:uiPriority w:val="9"/>
    <w:rPr>
      <w:rFonts w:ascii="Arial" w:hAnsi="Arial" w:eastAsia="Arial" w:cs="Arial"/>
      <w:b/>
      <w:bCs/>
      <w:sz w:val="26"/>
      <w:szCs w:val="26"/>
    </w:rPr>
  </w:style>
  <w:style w:type="character" w:styleId="693" w:customStyle="1">
    <w:name w:val="Heading 5 Char"/>
    <w:basedOn w:val="658"/>
    <w:link w:val="653"/>
    <w:uiPriority w:val="9"/>
    <w:qFormat/>
    <w:rPr>
      <w:rFonts w:ascii="Arial" w:hAnsi="Arial" w:eastAsia="Arial" w:cs="Arial"/>
      <w:b/>
      <w:bCs/>
      <w:sz w:val="24"/>
      <w:szCs w:val="24"/>
    </w:rPr>
  </w:style>
  <w:style w:type="character" w:styleId="694" w:customStyle="1">
    <w:name w:val="Heading 6 Char"/>
    <w:basedOn w:val="658"/>
    <w:link w:val="654"/>
    <w:uiPriority w:val="9"/>
    <w:qFormat/>
    <w:rPr>
      <w:rFonts w:ascii="Arial" w:hAnsi="Arial" w:eastAsia="Arial" w:cs="Arial"/>
      <w:b/>
      <w:bCs/>
      <w:sz w:val="22"/>
      <w:szCs w:val="22"/>
    </w:rPr>
  </w:style>
  <w:style w:type="character" w:styleId="695" w:customStyle="1">
    <w:name w:val="Heading 7 Char"/>
    <w:basedOn w:val="658"/>
    <w:link w:val="655"/>
    <w:uiPriority w:val="9"/>
    <w:qFormat/>
    <w:rPr>
      <w:rFonts w:ascii="Arial" w:hAnsi="Arial" w:eastAsia="Arial" w:cs="Arial"/>
      <w:b/>
      <w:bCs/>
      <w:i/>
      <w:iCs/>
      <w:sz w:val="22"/>
      <w:szCs w:val="22"/>
    </w:rPr>
  </w:style>
  <w:style w:type="character" w:styleId="696" w:customStyle="1">
    <w:name w:val="Heading 8 Char"/>
    <w:basedOn w:val="658"/>
    <w:link w:val="656"/>
    <w:uiPriority w:val="9"/>
    <w:qFormat/>
    <w:rPr>
      <w:rFonts w:ascii="Arial" w:hAnsi="Arial" w:eastAsia="Arial" w:cs="Arial"/>
      <w:i/>
      <w:iCs/>
      <w:sz w:val="22"/>
      <w:szCs w:val="22"/>
    </w:rPr>
  </w:style>
  <w:style w:type="character" w:styleId="697" w:customStyle="1">
    <w:name w:val="Heading 9 Char"/>
    <w:basedOn w:val="658"/>
    <w:link w:val="657"/>
    <w:uiPriority w:val="9"/>
    <w:rPr>
      <w:rFonts w:ascii="Arial" w:hAnsi="Arial" w:eastAsia="Arial" w:cs="Arial"/>
      <w:i/>
      <w:iCs/>
      <w:sz w:val="21"/>
      <w:szCs w:val="21"/>
    </w:rPr>
  </w:style>
  <w:style w:type="character" w:styleId="698" w:customStyle="1">
    <w:name w:val="Title Char"/>
    <w:basedOn w:val="658"/>
    <w:link w:val="680"/>
    <w:uiPriority w:val="10"/>
    <w:rPr>
      <w:sz w:val="48"/>
      <w:szCs w:val="48"/>
    </w:rPr>
  </w:style>
  <w:style w:type="character" w:styleId="699" w:customStyle="1">
    <w:name w:val="Subtitle Char"/>
    <w:basedOn w:val="658"/>
    <w:link w:val="674"/>
    <w:uiPriority w:val="11"/>
    <w:qFormat/>
    <w:rPr>
      <w:sz w:val="24"/>
      <w:szCs w:val="24"/>
    </w:rPr>
  </w:style>
  <w:style w:type="paragraph" w:styleId="700">
    <w:name w:val="Quote"/>
    <w:basedOn w:val="648"/>
    <w:next w:val="648"/>
    <w:link w:val="701"/>
    <w:uiPriority w:val="29"/>
    <w:qFormat/>
    <w:pPr>
      <w:ind w:left="720" w:right="720"/>
    </w:pPr>
    <w:rPr>
      <w:i/>
    </w:rPr>
  </w:style>
  <w:style w:type="character" w:styleId="701" w:customStyle="1">
    <w:name w:val="Quote Char"/>
    <w:link w:val="700"/>
    <w:uiPriority w:val="29"/>
    <w:qFormat/>
    <w:rPr>
      <w:i/>
    </w:rPr>
  </w:style>
  <w:style w:type="paragraph" w:styleId="702">
    <w:name w:val="Intense Quote"/>
    <w:basedOn w:val="648"/>
    <w:next w:val="648"/>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Intense Quote Char"/>
    <w:link w:val="702"/>
    <w:uiPriority w:val="30"/>
    <w:qFormat/>
    <w:rPr>
      <w:i/>
    </w:rPr>
  </w:style>
  <w:style w:type="character" w:styleId="704" w:customStyle="1">
    <w:name w:val="Header Char"/>
    <w:basedOn w:val="658"/>
    <w:uiPriority w:val="99"/>
    <w:qFormat/>
  </w:style>
  <w:style w:type="character" w:styleId="705" w:customStyle="1">
    <w:name w:val="Footer Char"/>
    <w:basedOn w:val="658"/>
    <w:uiPriority w:val="99"/>
    <w:qFormat/>
  </w:style>
  <w:style w:type="character" w:styleId="706" w:customStyle="1">
    <w:name w:val="Caption Char"/>
    <w:uiPriority w:val="99"/>
  </w:style>
  <w:style w:type="table" w:styleId="707" w:customStyle="1">
    <w:name w:val="Table Grid Light"/>
    <w:basedOn w:val="65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8"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3"/>
    <w:basedOn w:val="65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Plain Table 4"/>
    <w:basedOn w:val="65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Plain Table 5"/>
    <w:basedOn w:val="65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basedOn w:val="6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basedOn w:val="659"/>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basedOn w:val="659"/>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basedOn w:val="659"/>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basedOn w:val="659"/>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basedOn w:val="6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20" w:customStyle="1">
    <w:name w:val="Grid Table 2"/>
    <w:basedOn w:val="65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basedOn w:val="65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basedOn w:val="6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basedOn w:val="659"/>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basedOn w:val="6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basedOn w:val="6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6" w:customStyle="1">
    <w:name w:val="Grid Table 2 - Accent 6"/>
    <w:basedOn w:val="65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7"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basedOn w:val="65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basedOn w:val="659"/>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basedOn w:val="6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basedOn w:val="6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basedOn w:val="6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basedOn w:val="65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65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basedOn w:val="659"/>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6" w:customStyle="1">
    <w:name w:val="Grid Table 4 - Accent 2"/>
    <w:basedOn w:val="659"/>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7" w:customStyle="1">
    <w:name w:val="Grid Table 4 - Accent 3"/>
    <w:basedOn w:val="65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8" w:customStyle="1">
    <w:name w:val="Grid Table 4 - Accent 4"/>
    <w:basedOn w:val="65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9" w:customStyle="1">
    <w:name w:val="Grid Table 4 - Accent 5"/>
    <w:basedOn w:val="65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40" w:customStyle="1">
    <w:name w:val="Grid Table 4 - Accent 6"/>
    <w:basedOn w:val="65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41"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43" w:customStyle="1">
    <w:name w:val="Grid Table 5 Dark - Accent 2"/>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44" w:customStyle="1">
    <w:name w:val="Grid Table 5 Dark - Accent 3"/>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45" w:customStyle="1">
    <w:name w:val="Grid Table 5 Dark- Accent 4"/>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46" w:customStyle="1">
    <w:name w:val="Grid Table 5 Dark - Accent 5"/>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47" w:customStyle="1">
    <w:name w:val="Grid Table 5 Dark - Accent 6"/>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48"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6 Colorful - Accent 1"/>
    <w:basedOn w:val="659"/>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50" w:customStyle="1">
    <w:name w:val="Grid Table 6 Colorful - Accent 2"/>
    <w:basedOn w:val="6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51" w:customStyle="1">
    <w:name w:val="Grid Table 6 Colorful - Accent 3"/>
    <w:basedOn w:val="65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52" w:customStyle="1">
    <w:name w:val="Grid Table 6 Colorful - Accent 4"/>
    <w:basedOn w:val="6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53" w:customStyle="1">
    <w:name w:val="Grid Table 6 Colorful - Accent 5"/>
    <w:basedOn w:val="65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4" w:customStyle="1">
    <w:name w:val="Grid Table 6 Colorful - Accent 6"/>
    <w:basedOn w:val="65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5"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basedOn w:val="65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basedOn w:val="65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basedOn w:val="65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basedOn w:val="65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basedOn w:val="65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basedOn w:val="65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62"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basedOn w:val="65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64" w:customStyle="1">
    <w:name w:val="List Table 1 Light - Accent 2"/>
    <w:basedOn w:val="65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65" w:customStyle="1">
    <w:name w:val="List Table 1 Light - Accent 3"/>
    <w:basedOn w:val="65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6" w:customStyle="1">
    <w:name w:val="List Table 1 Light - Accent 4"/>
    <w:basedOn w:val="659"/>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7" w:customStyle="1">
    <w:name w:val="List Table 1 Light - Accent 5"/>
    <w:basedOn w:val="65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8" w:customStyle="1">
    <w:name w:val="List Table 1 Light - Accent 6"/>
    <w:basedOn w:val="65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9"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basedOn w:val="65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71" w:customStyle="1">
    <w:name w:val="List Table 2 - Accent 2"/>
    <w:basedOn w:val="65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72" w:customStyle="1">
    <w:name w:val="List Table 2 - Accent 3"/>
    <w:basedOn w:val="65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73" w:customStyle="1">
    <w:name w:val="List Table 2 - Accent 4"/>
    <w:basedOn w:val="65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74" w:customStyle="1">
    <w:name w:val="List Table 2 - Accent 5"/>
    <w:basedOn w:val="65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75" w:customStyle="1">
    <w:name w:val="List Table 2 - Accent 6"/>
    <w:basedOn w:val="65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6"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basedOn w:val="65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8" w:customStyle="1">
    <w:name w:val="List Table 3 - Accent 2"/>
    <w:basedOn w:val="6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9" w:customStyle="1">
    <w:name w:val="List Table 3 - Accent 3"/>
    <w:basedOn w:val="65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80" w:customStyle="1">
    <w:name w:val="List Table 3 - Accent 4"/>
    <w:basedOn w:val="6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81" w:customStyle="1">
    <w:name w:val="List Table 3 - Accent 5"/>
    <w:basedOn w:val="65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82" w:customStyle="1">
    <w:name w:val="List Table 3 - Accent 6"/>
    <w:basedOn w:val="65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83"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basedOn w:val="65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5" w:customStyle="1">
    <w:name w:val="List Table 4 - Accent 2"/>
    <w:basedOn w:val="65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6" w:customStyle="1">
    <w:name w:val="List Table 4 - Accent 3"/>
    <w:basedOn w:val="65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7" w:customStyle="1">
    <w:name w:val="List Table 4 - Accent 4"/>
    <w:basedOn w:val="65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8" w:customStyle="1">
    <w:name w:val="List Table 4 - Accent 5"/>
    <w:basedOn w:val="65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9" w:customStyle="1">
    <w:name w:val="List Table 4 - Accent 6"/>
    <w:basedOn w:val="65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90"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1"/>
    <w:basedOn w:val="65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2"/>
    <w:basedOn w:val="65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3"/>
    <w:basedOn w:val="65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4"/>
    <w:basedOn w:val="65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5"/>
    <w:basedOn w:val="65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6"/>
    <w:basedOn w:val="65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6 Colorful - Accent 1"/>
    <w:basedOn w:val="65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9" w:customStyle="1">
    <w:name w:val="List Table 6 Colorful - Accent 2"/>
    <w:basedOn w:val="65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00" w:customStyle="1">
    <w:name w:val="List Table 6 Colorful - Accent 3"/>
    <w:basedOn w:val="65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01" w:customStyle="1">
    <w:name w:val="List Table 6 Colorful - Accent 4"/>
    <w:basedOn w:val="65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02" w:customStyle="1">
    <w:name w:val="List Table 6 Colorful - Accent 5"/>
    <w:basedOn w:val="65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03" w:customStyle="1">
    <w:name w:val="List Table 6 Colorful - Accent 6"/>
    <w:basedOn w:val="65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04"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basedOn w:val="65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basedOn w:val="65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basedOn w:val="65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basedOn w:val="65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basedOn w:val="65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basedOn w:val="65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11" w:customStyle="1">
    <w:name w:val="Lined - Accent"/>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Lined - Accent 1"/>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3" w:customStyle="1">
    <w:name w:val="Lined - Accent 2"/>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4" w:customStyle="1">
    <w:name w:val="Lined - Accent 3"/>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5" w:customStyle="1">
    <w:name w:val="Lined - Accent 4"/>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6" w:customStyle="1">
    <w:name w:val="Lined - Accent 5"/>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7" w:customStyle="1">
    <w:name w:val="Lined - Accent 6"/>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8" w:customStyle="1">
    <w:name w:val="Bordered &amp; Lined - Accent"/>
    <w:basedOn w:val="6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Bordered &amp; Lined - Accent 1"/>
    <w:basedOn w:val="65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0" w:customStyle="1">
    <w:name w:val="Bordered &amp; Lined - Accent 2"/>
    <w:basedOn w:val="65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1" w:customStyle="1">
    <w:name w:val="Bordered &amp; Lined - Accent 3"/>
    <w:basedOn w:val="65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2" w:customStyle="1">
    <w:name w:val="Bordered &amp; Lined - Accent 4"/>
    <w:basedOn w:val="65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3" w:customStyle="1">
    <w:name w:val="Bordered &amp; Lined - Accent 5"/>
    <w:basedOn w:val="65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4" w:customStyle="1">
    <w:name w:val="Bordered &amp; Lined - Accent 6"/>
    <w:basedOn w:val="65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5" w:customStyle="1">
    <w:name w:val="Bordered"/>
    <w:basedOn w:val="6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basedOn w:val="6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7" w:customStyle="1">
    <w:name w:val="Bordered - Accent 2"/>
    <w:basedOn w:val="6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8" w:customStyle="1">
    <w:name w:val="Bordered - Accent 3"/>
    <w:basedOn w:val="6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9" w:customStyle="1">
    <w:name w:val="Bordered - Accent 4"/>
    <w:basedOn w:val="6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30" w:customStyle="1">
    <w:name w:val="Bordered - Accent 5"/>
    <w:basedOn w:val="6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31" w:customStyle="1">
    <w:name w:val="Bordered - Accent 6"/>
    <w:basedOn w:val="6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32" w:customStyle="1">
    <w:name w:val="Footnote Text Char"/>
    <w:link w:val="675"/>
    <w:uiPriority w:val="99"/>
    <w:qFormat/>
    <w:rPr>
      <w:sz w:val="18"/>
    </w:rPr>
  </w:style>
  <w:style w:type="character" w:styleId="833" w:customStyle="1">
    <w:name w:val="Endnote Text Char"/>
    <w:link w:val="669"/>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普通正文"/>
    <w:basedOn w:val="648"/>
    <w:uiPriority w:val="0"/>
    <w:qFormat/>
    <w:pPr>
      <w:ind w:firstLine="480"/>
      <w:jc w:val="left"/>
      <w:spacing w:before="120" w:after="120" w:line="360" w:lineRule="auto"/>
    </w:pPr>
    <w:rPr>
      <w:rFonts w:ascii="Arial" w:hAnsi="Arial"/>
      <w:sz w:val="24"/>
      <w:szCs w:val="24"/>
    </w:rPr>
  </w:style>
  <w:style w:type="paragraph" w:styleId="836">
    <w:name w:val="No Spacing"/>
    <w:uiPriority w:val="1"/>
    <w:qFormat/>
    <w:pPr>
      <w:jc w:val="both"/>
      <w:widowControl w:val="off"/>
    </w:pPr>
    <w:rPr>
      <w:rFonts w:hint="default" w:ascii="Times New Roman" w:hAnsi="Times New Roman" w:eastAsia="宋体" w:cs="Times New Roman"/>
      <w:sz w:val="21"/>
      <w:szCs w:val="21"/>
      <w:lang w:val="en-US" w:eastAsia="zh-CN" w:bidi="ar-SA"/>
    </w:rPr>
  </w:style>
  <w:style w:type="paragraph" w:styleId="837">
    <w:name w:val="List Paragraph"/>
    <w:basedOn w:val="648"/>
    <w:uiPriority w:val="34"/>
    <w:qFormat/>
    <w:pPr>
      <w:contextualSpacing/>
      <w:ind w:left="720"/>
    </w:pPr>
  </w:style>
  <w:style w:type="character" w:styleId="838" w:customStyle="1">
    <w:name w:val="NormalCharacter"/>
    <w:uiPriority w:val="0"/>
    <w:qFormat/>
  </w:style>
  <w:style w:type="paragraph" w:styleId="839" w:customStyle="1">
    <w:name w:val="Char"/>
    <w:basedOn w:val="648"/>
    <w:uiPriority w:val="0"/>
    <w:qFormat/>
    <w:pPr>
      <w:ind w:firstLine="200"/>
      <w:tabs>
        <w:tab w:val="left" w:pos="360" w:leader="none"/>
      </w:tabs>
    </w:pPr>
    <w:rPr>
      <w:sz w:val="28"/>
      <w:szCs w:val="30"/>
    </w:rPr>
  </w:style>
  <w:style w:type="paragraph" w:styleId="840" w:customStyle="1">
    <w:name w:val="普通文字"/>
    <w:basedOn w:val="648"/>
    <w:next w:val="648"/>
    <w:uiPriority w:val="99"/>
    <w:qFormat/>
    <w:rPr>
      <w:rFonts w:ascii="宋体"/>
      <w:sz w:val="24"/>
      <w:szCs w:val="20"/>
    </w:rPr>
  </w:style>
  <w:style w:type="paragraph" w:styleId="841" w:customStyle="1">
    <w:name w:val="Default"/>
    <w:uiPriority w:val="99"/>
    <w:qFormat/>
    <w:pPr>
      <w:widowControl w:val="off"/>
    </w:pPr>
    <w:rPr>
      <w:rFonts w:hint="default" w:ascii="Arial" w:hAnsi="Arial" w:eastAsia="宋体" w:cs="Arial"/>
      <w:color w:val="000000"/>
      <w:sz w:val="24"/>
      <w:szCs w:val="24"/>
      <w:lang w:val="en-US" w:eastAsia="zh-CN" w:bidi="ar-SA"/>
    </w:rPr>
  </w:style>
  <w:style w:type="numbering" w:styleId="12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4</cp:revision>
  <dcterms:created xsi:type="dcterms:W3CDTF">2025-08-19T03:18:00Z</dcterms:created>
  <dcterms:modified xsi:type="dcterms:W3CDTF">2025-09-29T03:12:14Z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456B56B4B990420DA1A01D8CF2010BCC_13</vt:lpwstr>
  </property>
  <property fmtid="{D5CDD505-2E9C-101B-9397-08002B2CF9AE}" pid="4" name="KSOTemplateDocerSaveRecord">
    <vt:lpwstr>eyJoZGlkIjoiNDkxYTU0MTlhN2JkMTg2ZDJjNDBmNDY3Y2MxZGM4YTYiLCJ1c2VySWQiOiIxNjM3ODE2NDMwIn0=</vt:lpwstr>
  </property>
</Properties>
</file>