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99"/>
        <w:rPr>
          <w:rFonts w:hint="eastAsia" w:ascii="宋体" w:hAnsi="宋体" w:eastAsia="宋体" w:cs="宋体"/>
          <w:b/>
          <w:sz w:val="52"/>
          <w:szCs w:val="52"/>
        </w:rPr>
      </w:pPr>
      <w:r>
        <w:rPr>
          <w:rFonts w:hint="eastAsia" w:ascii="宋体" w:hAnsi="宋体" w:eastAsia="宋体" w:cs="宋体"/>
          <w:b/>
          <w:sz w:val="52"/>
          <w:szCs w:val="52"/>
        </w:rPr>
      </w:r>
      <w:r/>
    </w:p>
    <w:p>
      <w:pPr>
        <w:pStyle w:val="1199"/>
        <w:rPr>
          <w:rFonts w:hint="eastAsia" w:ascii="宋体" w:hAnsi="宋体" w:eastAsia="宋体" w:cs="宋体"/>
          <w:b/>
          <w:sz w:val="52"/>
          <w:szCs w:val="52"/>
        </w:rPr>
      </w:pPr>
      <w:r>
        <w:rPr>
          <w:rFonts w:hint="eastAsia" w:ascii="宋体" w:hAnsi="宋体" w:eastAsia="宋体" w:cs="宋体"/>
          <w:b/>
          <w:sz w:val="52"/>
          <w:szCs w:val="52"/>
        </w:rPr>
      </w:r>
      <w:r/>
    </w:p>
    <w:p>
      <w:pPr>
        <w:pStyle w:val="1199"/>
        <w:rPr>
          <w:rFonts w:hint="eastAsia" w:ascii="宋体" w:hAnsi="宋体" w:eastAsia="宋体" w:cs="宋体"/>
          <w:b/>
          <w:sz w:val="52"/>
          <w:szCs w:val="52"/>
        </w:rPr>
      </w:pPr>
      <w:r>
        <w:rPr>
          <w:rFonts w:hint="eastAsia" w:ascii="宋体" w:hAnsi="宋体" w:eastAsia="宋体" w:cs="宋体"/>
          <w:b/>
          <w:sz w:val="52"/>
          <w:szCs w:val="52"/>
        </w:rPr>
      </w:r>
      <w:r/>
    </w:p>
    <w:p>
      <w:pPr>
        <w:pStyle w:val="1245"/>
        <w:rPr>
          <w:rFonts w:hint="eastAsia" w:ascii="宋体" w:hAnsi="宋体" w:eastAsia="宋体" w:cs="宋体"/>
          <w:sz w:val="56"/>
          <w:szCs w:val="56"/>
          <w:lang w:eastAsia="zh-CN"/>
        </w:rPr>
      </w:pPr>
      <w:r>
        <w:rPr>
          <w:rFonts w:hint="eastAsia" w:ascii="宋体" w:hAnsi="宋体" w:eastAsia="宋体" w:cs="宋体"/>
          <w:sz w:val="56"/>
          <w:szCs w:val="56"/>
          <w:lang w:eastAsia="zh-CN"/>
        </w:rPr>
        <w:t xml:space="preserve">丰县残疾人团体专属保险项目</w:t>
      </w:r>
      <w:r/>
    </w:p>
    <w:p>
      <w:pPr>
        <w:pStyle w:val="1199"/>
        <w:rPr>
          <w:rFonts w:hint="eastAsia" w:ascii="宋体" w:hAnsi="宋体" w:eastAsia="宋体" w:cs="宋体"/>
          <w:b/>
          <w:sz w:val="52"/>
          <w:szCs w:val="52"/>
        </w:rPr>
      </w:pPr>
      <w:r>
        <w:rPr>
          <w:rFonts w:hint="eastAsia" w:ascii="宋体" w:hAnsi="宋体" w:eastAsia="宋体" w:cs="宋体"/>
          <w:b/>
          <w:sz w:val="52"/>
          <w:szCs w:val="52"/>
        </w:rPr>
      </w:r>
      <w:r/>
    </w:p>
    <w:p>
      <w:pPr>
        <w:pStyle w:val="1199"/>
        <w:rPr>
          <w:rFonts w:hint="eastAsia" w:ascii="宋体" w:hAnsi="宋体" w:eastAsia="宋体" w:cs="宋体"/>
          <w:b/>
          <w:sz w:val="52"/>
          <w:szCs w:val="52"/>
        </w:rPr>
      </w:pPr>
      <w:r>
        <w:rPr>
          <w:rFonts w:hint="eastAsia" w:ascii="宋体" w:hAnsi="宋体" w:eastAsia="宋体" w:cs="宋体"/>
          <w:b/>
          <w:sz w:val="52"/>
          <w:szCs w:val="52"/>
        </w:rPr>
      </w:r>
      <w:r/>
    </w:p>
    <w:p>
      <w:pPr>
        <w:pStyle w:val="1199"/>
        <w:rPr>
          <w:rFonts w:hint="eastAsia" w:ascii="宋体" w:hAnsi="宋体" w:eastAsia="宋体" w:cs="宋体"/>
          <w:b/>
          <w:sz w:val="52"/>
          <w:szCs w:val="52"/>
        </w:rPr>
      </w:pPr>
      <w:r>
        <w:rPr>
          <w:rFonts w:hint="eastAsia" w:ascii="宋体" w:hAnsi="宋体" w:eastAsia="宋体" w:cs="宋体"/>
          <w:b/>
          <w:sz w:val="52"/>
          <w:szCs w:val="52"/>
        </w:rPr>
      </w:r>
      <w:r/>
    </w:p>
    <w:p>
      <w:pPr>
        <w:pStyle w:val="1235"/>
        <w:rPr>
          <w:rFonts w:hint="eastAsia" w:ascii="宋体" w:hAnsi="宋体" w:eastAsia="宋体" w:cs="宋体"/>
        </w:rPr>
      </w:pPr>
      <w:r>
        <w:rPr>
          <w:rFonts w:hint="eastAsia" w:ascii="宋体" w:hAnsi="宋体" w:eastAsia="宋体" w:cs="宋体"/>
        </w:rPr>
        <w:t xml:space="preserve">招标文件</w:t>
      </w:r>
      <w:r/>
    </w:p>
    <w:p>
      <w:pPr>
        <w:pStyle w:val="1241"/>
        <w:rPr>
          <w:rFonts w:hint="eastAsia" w:ascii="宋体" w:hAnsi="宋体" w:eastAsia="宋体" w:cs="宋体"/>
          <w:lang w:eastAsia="zh-CN"/>
        </w:rPr>
      </w:pPr>
      <w:r>
        <w:rPr>
          <w:rFonts w:hint="eastAsia" w:ascii="宋体" w:hAnsi="宋体" w:eastAsia="宋体" w:cs="宋体"/>
        </w:rPr>
        <w:t xml:space="preserve">项目编号：</w:t>
      </w:r>
      <w:r>
        <w:rPr>
          <w:rFonts w:hint="eastAsia" w:ascii="宋体" w:hAnsi="宋体" w:cs="宋体"/>
          <w:lang w:eastAsia="zh-CN"/>
        </w:rPr>
        <w:t xml:space="preserve">JSZC-320321-XZZX-G2025-0012</w:t>
      </w:r>
      <w:r/>
    </w:p>
    <w:p>
      <w:pPr>
        <w:pStyle w:val="1199"/>
        <w:jc w:val="center"/>
        <w:rPr>
          <w:rFonts w:hint="eastAsia" w:ascii="宋体" w:hAnsi="宋体" w:eastAsia="宋体" w:cs="宋体"/>
          <w:b/>
          <w:sz w:val="52"/>
          <w:szCs w:val="52"/>
        </w:rPr>
      </w:pPr>
      <w:r>
        <w:rPr>
          <w:rFonts w:hint="eastAsia" w:ascii="宋体" w:hAnsi="宋体" w:eastAsia="宋体" w:cs="宋体"/>
          <w:b/>
          <w:sz w:val="52"/>
          <w:szCs w:val="52"/>
        </w:rPr>
      </w:r>
      <w:r/>
    </w:p>
    <w:p>
      <w:pPr>
        <w:pStyle w:val="1199"/>
        <w:rPr>
          <w:rFonts w:hint="eastAsia" w:ascii="宋体" w:hAnsi="宋体" w:eastAsia="宋体" w:cs="宋体"/>
        </w:rPr>
      </w:pPr>
      <w:r>
        <w:rPr>
          <w:rFonts w:hint="eastAsia" w:ascii="宋体" w:hAnsi="宋体" w:eastAsia="宋体" w:cs="宋体"/>
        </w:rPr>
      </w:r>
      <w:r/>
    </w:p>
    <w:p>
      <w:pPr>
        <w:pStyle w:val="1199"/>
        <w:jc w:val="center"/>
        <w:rPr>
          <w:rFonts w:hint="eastAsia" w:ascii="宋体" w:hAnsi="宋体" w:eastAsia="宋体" w:cs="宋体"/>
        </w:rPr>
      </w:pPr>
      <w:r>
        <w:rPr>
          <w:rFonts w:hint="eastAsia" w:ascii="宋体" w:hAnsi="宋体" w:eastAsia="宋体" w:cs="宋体"/>
        </w:rPr>
      </w:r>
      <w:r/>
    </w:p>
    <w:p>
      <w:pPr>
        <w:pStyle w:val="1199"/>
        <w:rPr>
          <w:rFonts w:hint="eastAsia" w:ascii="宋体" w:hAnsi="宋体" w:eastAsia="宋体" w:cs="宋体"/>
        </w:rPr>
      </w:pPr>
      <w:r>
        <w:rPr>
          <w:rFonts w:hint="eastAsia" w:ascii="宋体" w:hAnsi="宋体" w:eastAsia="宋体" w:cs="宋体"/>
        </w:rPr>
      </w:r>
      <w:r/>
    </w:p>
    <w:p>
      <w:pPr>
        <w:pStyle w:val="1199"/>
        <w:jc w:val="center"/>
        <w:rPr>
          <w:rFonts w:hint="eastAsia" w:ascii="宋体" w:hAnsi="宋体" w:eastAsia="宋体" w:cs="宋体"/>
        </w:rPr>
      </w:pPr>
      <w:r>
        <w:rPr>
          <w:rFonts w:hint="eastAsia" w:ascii="宋体" w:hAnsi="宋体" w:eastAsia="宋体" w:cs="宋体"/>
        </w:rPr>
      </w:r>
      <w:r/>
    </w:p>
    <w:p>
      <w:pPr>
        <w:pStyle w:val="1199"/>
        <w:jc w:val="center"/>
        <w:rPr>
          <w:rFonts w:hint="eastAsia" w:ascii="宋体" w:hAnsi="宋体" w:eastAsia="宋体" w:cs="宋体"/>
        </w:rPr>
      </w:pPr>
      <w:r>
        <w:rPr>
          <w:rFonts w:hint="eastAsia" w:ascii="宋体" w:hAnsi="宋体" w:eastAsia="宋体" w:cs="宋体"/>
        </w:rPr>
      </w:r>
      <w:r/>
    </w:p>
    <w:p>
      <w:pPr>
        <w:pStyle w:val="1199"/>
        <w:rPr>
          <w:rFonts w:hint="eastAsia" w:ascii="宋体" w:hAnsi="宋体" w:eastAsia="宋体" w:cs="宋体"/>
        </w:rPr>
      </w:pPr>
      <w:r>
        <w:rPr>
          <w:rFonts w:hint="eastAsia" w:ascii="宋体" w:hAnsi="宋体" w:eastAsia="宋体" w:cs="宋体"/>
        </w:rPr>
      </w:r>
      <w:r/>
    </w:p>
    <w:p>
      <w:pPr>
        <w:pStyle w:val="1250"/>
        <w:ind w:firstLine="1606"/>
        <w:jc w:val="both"/>
        <w:rPr>
          <w:rFonts w:hint="eastAsia" w:ascii="宋体" w:hAnsi="宋体" w:eastAsia="宋体" w:cs="宋体"/>
          <w:sz w:val="32"/>
          <w:lang w:eastAsia="zh-CN"/>
        </w:rPr>
      </w:pPr>
      <w:r>
        <w:rPr>
          <w:rFonts w:hint="eastAsia" w:ascii="宋体" w:hAnsi="宋体" w:eastAsia="宋体" w:cs="宋体"/>
          <w:sz w:val="32"/>
        </w:rPr>
        <w:t xml:space="preserve">采购人：</w:t>
      </w:r>
      <w:r>
        <w:rPr>
          <w:rFonts w:hint="eastAsia" w:ascii="宋体" w:hAnsi="宋体" w:eastAsia="宋体" w:cs="宋体"/>
          <w:sz w:val="32"/>
          <w:lang w:eastAsia="zh-CN"/>
        </w:rPr>
        <w:t xml:space="preserve">丰县残疾人联合会</w:t>
      </w:r>
      <w:r/>
    </w:p>
    <w:p>
      <w:pPr>
        <w:pStyle w:val="1250"/>
        <w:rPr>
          <w:rFonts w:hint="eastAsia" w:ascii="宋体" w:hAnsi="宋体" w:eastAsia="宋体" w:cs="宋体"/>
          <w:sz w:val="32"/>
          <w:lang w:eastAsia="zh-CN"/>
        </w:rPr>
      </w:pPr>
      <w:r>
        <w:rPr>
          <w:rFonts w:hint="eastAsia" w:ascii="宋体" w:hAnsi="宋体" w:eastAsia="宋体" w:cs="宋体"/>
          <w:sz w:val="32"/>
        </w:rPr>
        <w:t xml:space="preserve">  采购代理机构：</w:t>
      </w:r>
      <w:r>
        <w:rPr>
          <w:rFonts w:hint="eastAsia" w:ascii="宋体" w:hAnsi="宋体" w:eastAsia="宋体" w:cs="宋体"/>
          <w:sz w:val="32"/>
          <w:lang w:eastAsia="zh-CN"/>
        </w:rPr>
        <w:t xml:space="preserve">徐州众信项目管理咨询有限公司</w:t>
      </w:r>
      <w:r/>
    </w:p>
    <w:p>
      <w:pPr>
        <w:pStyle w:val="1250"/>
        <w:rPr>
          <w:rFonts w:hint="eastAsia" w:ascii="宋体" w:hAnsi="宋体" w:eastAsia="宋体" w:cs="宋体"/>
          <w:sz w:val="32"/>
        </w:rPr>
      </w:pPr>
      <w:r>
        <w:rPr>
          <w:rFonts w:hint="eastAsia" w:ascii="宋体" w:hAnsi="宋体" w:eastAsia="宋体" w:cs="宋体"/>
          <w:sz w:val="32"/>
          <w:lang w:eastAsia="zh-CN"/>
        </w:rPr>
        <w:t xml:space="preserve">二〇二</w:t>
      </w:r>
      <w:r>
        <w:rPr>
          <w:rFonts w:hint="eastAsia" w:ascii="宋体" w:hAnsi="宋体" w:cs="宋体"/>
          <w:sz w:val="32"/>
          <w:lang w:val="en-US" w:eastAsia="zh-CN"/>
        </w:rPr>
        <w:t xml:space="preserve">五</w:t>
      </w:r>
      <w:r>
        <w:rPr>
          <w:rFonts w:hint="eastAsia" w:ascii="宋体" w:hAnsi="宋体" w:eastAsia="宋体" w:cs="宋体"/>
          <w:sz w:val="32"/>
        </w:rPr>
        <w:t xml:space="preserve">年</w:t>
      </w:r>
      <w:r>
        <w:rPr>
          <w:rFonts w:hint="eastAsia" w:ascii="宋体" w:hAnsi="宋体" w:cs="宋体"/>
          <w:sz w:val="32"/>
          <w:lang w:val="en-US" w:eastAsia="zh-CN"/>
        </w:rPr>
        <w:t xml:space="preserve">八</w:t>
      </w:r>
      <w:r>
        <w:rPr>
          <w:rFonts w:hint="eastAsia" w:ascii="宋体" w:hAnsi="宋体" w:eastAsia="宋体" w:cs="宋体"/>
          <w:sz w:val="32"/>
        </w:rPr>
        <w:t xml:space="preserve">月</w:t>
      </w:r>
      <w:r/>
    </w:p>
    <w:p>
      <w:pPr>
        <w:pStyle w:val="1199"/>
        <w:jc w:val="left"/>
        <w:widowControl/>
        <w:rPr>
          <w:rFonts w:hint="eastAsia" w:ascii="宋体" w:hAnsi="宋体" w:eastAsia="宋体" w:cs="宋体"/>
          <w:sz w:val="32"/>
          <w:szCs w:val="32"/>
        </w:rPr>
        <w:sectPr>
          <w:headerReference w:type="default" r:id="rId9"/>
          <w:footnotePr/>
          <w:endnotePr/>
          <w:type w:val="nextPage"/>
          <w:pgSz w:w="11906" w:h="16838" w:orient="portrait"/>
          <w:pgMar w:top="1440" w:right="1800" w:bottom="1440" w:left="1800" w:header="851" w:footer="992" w:gutter="0"/>
          <w:rtlGutter/>
          <w:cols w:num="1" w:sep="0" w:space="1701" w:equalWidth="1"/>
          <w:docGrid w:linePitch="360"/>
        </w:sectPr>
      </w:pPr>
      <w:r>
        <w:rPr>
          <w:rFonts w:hint="eastAsia" w:ascii="宋体" w:hAnsi="宋体" w:eastAsia="宋体" w:cs="宋体"/>
          <w:sz w:val="32"/>
          <w:szCs w:val="32"/>
        </w:rPr>
      </w:r>
      <w:r/>
    </w:p>
    <w:p>
      <w:pPr>
        <w:pStyle w:val="1205"/>
        <w:ind w:left="0" w:firstLine="0"/>
        <w:jc w:val="center"/>
        <w:keepLines w:val="0"/>
        <w:keepNext w:val="0"/>
        <w:pageBreakBefore w:val="0"/>
        <w:spacing w:line="480" w:lineRule="auto"/>
        <w:widowControl w:val="off"/>
        <w:rPr>
          <w:rFonts w:hint="eastAsia" w:ascii="宋体" w:hAnsi="宋体" w:eastAsia="宋体" w:cs="宋体"/>
          <w:b/>
          <w:bCs/>
          <w:sz w:val="44"/>
        </w:rPr>
        <w:outlineLvl w:val="9"/>
      </w:pPr>
      <w:r>
        <w:rPr>
          <w:rFonts w:hint="eastAsia" w:ascii="宋体" w:hAnsi="宋体" w:eastAsia="宋体" w:cs="宋体"/>
          <w:b/>
          <w:bCs/>
          <w:sz w:val="44"/>
        </w:rPr>
        <w:t xml:space="preserve">目录</w:t>
      </w:r>
      <w:r/>
    </w:p>
    <w:p>
      <w:pPr>
        <w:pStyle w:val="1254"/>
        <w:keepLines w:val="0"/>
        <w:keepNext w:val="0"/>
        <w:pageBreakBefore w:val="0"/>
        <w:spacing w:line="360" w:lineRule="auto"/>
        <w:widowControl/>
        <w:tabs>
          <w:tab w:val="right" w:pos="8306" w:leader="dot"/>
        </w:tabs>
        <w:rPr>
          <w:rFonts w:hint="eastAsia" w:ascii="宋体" w:hAnsi="宋体" w:eastAsia="宋体" w:cs="宋体"/>
          <w:sz w:val="28"/>
          <w:szCs w:val="28"/>
        </w:rPr>
        <w:outlineLvl w:val="9"/>
      </w:pPr>
      <w:r/>
      <w:bookmarkStart w:id="0" w:name="_Toc16615_WPSOffice_Type1"/>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_Toc30293_WPSOffice_Level1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第一章 投标邀请</w:t>
      </w:r>
      <w:r>
        <w:rPr>
          <w:rFonts w:hint="eastAsia" w:ascii="宋体" w:hAnsi="宋体" w:eastAsia="宋体" w:cs="宋体"/>
          <w:sz w:val="28"/>
          <w:szCs w:val="28"/>
        </w:rPr>
        <w:fldChar w:fldCharType="end"/>
      </w:r>
      <w:r/>
    </w:p>
    <w:p>
      <w:pPr>
        <w:pStyle w:val="1254"/>
        <w:keepLines w:val="0"/>
        <w:keepNext w:val="0"/>
        <w:pageBreakBefore w:val="0"/>
        <w:spacing w:line="360" w:lineRule="auto"/>
        <w:widowControl/>
        <w:tabs>
          <w:tab w:val="right" w:pos="8306" w:leader="dot"/>
        </w:tabs>
        <w:rPr>
          <w:rFonts w:hint="eastAsia" w:ascii="宋体" w:hAnsi="宋体" w:eastAsia="宋体" w:cs="宋体"/>
          <w:sz w:val="28"/>
          <w:szCs w:val="28"/>
        </w:rPr>
        <w:outlineLvl w:val="9"/>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_Toc28899_WPSOffice_Level1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第二章 投标人须知</w:t>
      </w:r>
      <w:r>
        <w:rPr>
          <w:rFonts w:hint="eastAsia" w:ascii="宋体" w:hAnsi="宋体" w:eastAsia="宋体" w:cs="宋体"/>
          <w:sz w:val="28"/>
          <w:szCs w:val="28"/>
        </w:rPr>
        <w:fldChar w:fldCharType="end"/>
      </w:r>
      <w:r/>
    </w:p>
    <w:p>
      <w:pPr>
        <w:pStyle w:val="1254"/>
        <w:keepLines w:val="0"/>
        <w:keepNext w:val="0"/>
        <w:pageBreakBefore w:val="0"/>
        <w:spacing w:line="360" w:lineRule="auto"/>
        <w:widowControl/>
        <w:tabs>
          <w:tab w:val="right" w:pos="8306" w:leader="dot"/>
        </w:tabs>
        <w:rPr>
          <w:rFonts w:hint="eastAsia" w:ascii="宋体" w:hAnsi="宋体" w:eastAsia="宋体" w:cs="宋体"/>
          <w:sz w:val="28"/>
          <w:szCs w:val="28"/>
        </w:rPr>
        <w:outlineLvl w:val="9"/>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_Toc18616_WPSOffice_Level1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第三章 投标资料表</w:t>
      </w:r>
      <w:r>
        <w:rPr>
          <w:rFonts w:hint="eastAsia" w:ascii="宋体" w:hAnsi="宋体" w:eastAsia="宋体" w:cs="宋体"/>
          <w:sz w:val="28"/>
          <w:szCs w:val="28"/>
        </w:rPr>
        <w:fldChar w:fldCharType="end"/>
      </w:r>
      <w:r/>
    </w:p>
    <w:p>
      <w:pPr>
        <w:pStyle w:val="1254"/>
        <w:keepLines w:val="0"/>
        <w:keepNext w:val="0"/>
        <w:pageBreakBefore w:val="0"/>
        <w:spacing w:line="360" w:lineRule="auto"/>
        <w:widowControl/>
        <w:tabs>
          <w:tab w:val="right" w:pos="8306" w:leader="dot"/>
        </w:tabs>
        <w:rPr>
          <w:rFonts w:hint="eastAsia" w:ascii="宋体" w:hAnsi="宋体" w:eastAsia="宋体" w:cs="宋体"/>
          <w:sz w:val="28"/>
          <w:szCs w:val="28"/>
        </w:rPr>
        <w:outlineLvl w:val="9"/>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_Toc29938_WPSOffice_Level1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第四章 评标标准</w:t>
      </w:r>
      <w:r>
        <w:rPr>
          <w:rFonts w:hint="eastAsia" w:ascii="宋体" w:hAnsi="宋体" w:eastAsia="宋体" w:cs="宋体"/>
          <w:sz w:val="28"/>
          <w:szCs w:val="28"/>
        </w:rPr>
        <w:fldChar w:fldCharType="end"/>
      </w:r>
      <w:r/>
    </w:p>
    <w:p>
      <w:pPr>
        <w:pStyle w:val="1254"/>
        <w:keepLines w:val="0"/>
        <w:keepNext w:val="0"/>
        <w:pageBreakBefore w:val="0"/>
        <w:spacing w:line="360" w:lineRule="auto"/>
        <w:widowControl/>
        <w:tabs>
          <w:tab w:val="right" w:pos="8306" w:leader="dot"/>
        </w:tabs>
        <w:rPr>
          <w:rFonts w:hint="eastAsia" w:ascii="宋体" w:hAnsi="宋体" w:eastAsia="宋体" w:cs="宋体"/>
          <w:sz w:val="28"/>
          <w:szCs w:val="28"/>
        </w:rPr>
        <w:outlineLvl w:val="9"/>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_Toc30342_WPSOffice_Level1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第五章 拟签订的合同文本</w:t>
      </w:r>
      <w:r>
        <w:rPr>
          <w:rFonts w:hint="eastAsia" w:ascii="宋体" w:hAnsi="宋体" w:eastAsia="宋体" w:cs="宋体"/>
          <w:sz w:val="28"/>
          <w:szCs w:val="28"/>
        </w:rPr>
        <w:fldChar w:fldCharType="end"/>
      </w:r>
      <w:r/>
    </w:p>
    <w:p>
      <w:pPr>
        <w:pStyle w:val="1254"/>
        <w:keepLines w:val="0"/>
        <w:keepNext w:val="0"/>
        <w:pageBreakBefore w:val="0"/>
        <w:spacing w:line="360" w:lineRule="auto"/>
        <w:widowControl/>
        <w:tabs>
          <w:tab w:val="right" w:pos="8306" w:leader="dot"/>
        </w:tabs>
        <w:rPr>
          <w:rFonts w:hint="eastAsia" w:ascii="宋体" w:hAnsi="宋体" w:eastAsia="宋体" w:cs="宋体"/>
          <w:sz w:val="28"/>
          <w:szCs w:val="28"/>
          <w:lang w:val="en-US" w:eastAsia="zh-CN"/>
        </w:rPr>
        <w:outlineLvl w:val="9"/>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_Toc15025_WPSOffice_Level1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第六章 采购需求</w:t>
      </w:r>
      <w:r>
        <w:rPr>
          <w:rFonts w:hint="eastAsia" w:ascii="宋体" w:hAnsi="宋体" w:eastAsia="宋体" w:cs="宋体"/>
          <w:sz w:val="28"/>
          <w:szCs w:val="28"/>
        </w:rPr>
        <w:fldChar w:fldCharType="end"/>
      </w:r>
      <w:r/>
    </w:p>
    <w:p>
      <w:pPr>
        <w:pStyle w:val="1254"/>
        <w:keepLines w:val="0"/>
        <w:keepNext w:val="0"/>
        <w:pageBreakBefore w:val="0"/>
        <w:spacing w:line="360" w:lineRule="auto"/>
        <w:widowControl/>
        <w:tabs>
          <w:tab w:val="right" w:pos="8306" w:leader="dot"/>
        </w:tabs>
        <w:rPr>
          <w:rFonts w:hint="eastAsia" w:ascii="宋体" w:hAnsi="宋体" w:eastAsia="宋体" w:cs="宋体"/>
          <w:sz w:val="28"/>
          <w:szCs w:val="28"/>
          <w:lang w:val="en-US" w:eastAsia="zh-CN"/>
        </w:rPr>
        <w:outlineLvl w:val="9"/>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_Toc16492_WPSOffice_Level1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第七章 投标文件相关格式</w:t>
      </w:r>
      <w:r>
        <w:rPr>
          <w:rFonts w:hint="eastAsia" w:ascii="宋体" w:hAnsi="宋体" w:eastAsia="宋体" w:cs="宋体"/>
          <w:sz w:val="28"/>
          <w:szCs w:val="28"/>
        </w:rPr>
        <w:fldChar w:fldCharType="end"/>
      </w:r>
      <w:bookmarkEnd w:id="0"/>
      <w:r/>
      <w:r/>
    </w:p>
    <w:p>
      <w:pPr>
        <w:pStyle w:val="1199"/>
        <w:rPr>
          <w:rFonts w:hint="eastAsia" w:ascii="宋体" w:hAnsi="宋体" w:eastAsia="宋体" w:cs="宋体"/>
          <w:sz w:val="30"/>
          <w:szCs w:val="30"/>
        </w:rPr>
      </w:pPr>
      <w:r>
        <w:rPr>
          <w:rFonts w:hint="eastAsia" w:ascii="宋体" w:hAnsi="宋体" w:eastAsia="宋体" w:cs="宋体"/>
          <w:sz w:val="30"/>
          <w:szCs w:val="30"/>
        </w:rPr>
      </w:r>
      <w:r/>
    </w:p>
    <w:p>
      <w:pPr>
        <w:pStyle w:val="1199"/>
        <w:rPr>
          <w:rFonts w:hint="eastAsia" w:ascii="宋体" w:hAnsi="宋体" w:eastAsia="宋体" w:cs="宋体"/>
          <w:sz w:val="30"/>
          <w:szCs w:val="30"/>
        </w:rPr>
      </w:pPr>
      <w:r>
        <w:rPr>
          <w:rFonts w:hint="eastAsia" w:ascii="宋体" w:hAnsi="宋体" w:eastAsia="宋体" w:cs="宋体"/>
          <w:sz w:val="30"/>
          <w:szCs w:val="30"/>
        </w:rPr>
      </w:r>
      <w:r/>
    </w:p>
    <w:p>
      <w:pPr>
        <w:pStyle w:val="1199"/>
        <w:rPr>
          <w:rFonts w:hint="eastAsia" w:ascii="宋体" w:hAnsi="宋体" w:eastAsia="宋体" w:cs="宋体"/>
          <w:sz w:val="30"/>
          <w:szCs w:val="30"/>
        </w:rPr>
      </w:pPr>
      <w:r>
        <w:rPr>
          <w:rFonts w:hint="eastAsia" w:ascii="宋体" w:hAnsi="宋体" w:eastAsia="宋体" w:cs="宋体"/>
          <w:sz w:val="30"/>
          <w:szCs w:val="30"/>
        </w:rPr>
      </w:r>
      <w:r/>
    </w:p>
    <w:p>
      <w:pPr>
        <w:pStyle w:val="1199"/>
        <w:rPr>
          <w:rFonts w:hint="eastAsia" w:ascii="宋体" w:hAnsi="宋体" w:eastAsia="宋体" w:cs="宋体"/>
          <w:sz w:val="30"/>
          <w:szCs w:val="30"/>
        </w:rPr>
      </w:pPr>
      <w:r>
        <w:rPr>
          <w:rFonts w:hint="eastAsia" w:ascii="宋体" w:hAnsi="宋体" w:eastAsia="宋体" w:cs="宋体"/>
          <w:sz w:val="30"/>
          <w:szCs w:val="30"/>
        </w:rPr>
      </w:r>
      <w:r/>
    </w:p>
    <w:p>
      <w:pPr>
        <w:pStyle w:val="1199"/>
        <w:rPr>
          <w:rFonts w:hint="eastAsia" w:ascii="宋体" w:hAnsi="宋体" w:eastAsia="宋体" w:cs="宋体"/>
          <w:sz w:val="30"/>
          <w:szCs w:val="30"/>
        </w:rPr>
      </w:pPr>
      <w:r>
        <w:rPr>
          <w:rFonts w:hint="eastAsia" w:ascii="宋体" w:hAnsi="宋体" w:eastAsia="宋体" w:cs="宋体"/>
          <w:sz w:val="30"/>
          <w:szCs w:val="30"/>
        </w:rPr>
      </w:r>
      <w:r/>
    </w:p>
    <w:p>
      <w:pPr>
        <w:pStyle w:val="1201"/>
        <w:pageBreakBefore w:val="0"/>
        <w:rPr>
          <w:rFonts w:hint="eastAsia" w:ascii="宋体" w:hAnsi="宋体" w:eastAsia="宋体" w:cs="宋体"/>
        </w:rPr>
        <w:sectPr>
          <w:headerReference w:type="default" r:id="rId10"/>
          <w:footerReference w:type="default" r:id="rId11"/>
          <w:footnotePr/>
          <w:endnotePr/>
          <w:type w:val="nextPage"/>
          <w:pgSz w:w="11906" w:h="16838" w:orient="portrait"/>
          <w:pgMar w:top="1440" w:right="1800" w:bottom="1440" w:left="1800" w:header="851" w:footer="992" w:gutter="0"/>
          <w:pgNumType w:start="1"/>
          <w:rtlGutter/>
          <w:cols w:num="1" w:sep="0" w:space="1701" w:equalWidth="1"/>
          <w:docGrid w:linePitch="360"/>
        </w:sectPr>
      </w:pPr>
      <w:r/>
      <w:bookmarkStart w:id="1" w:name="_Toc4420"/>
      <w:r/>
      <w:bookmarkStart w:id="2" w:name="_Toc21111"/>
      <w:r/>
      <w:bookmarkStart w:id="3" w:name="_Toc22519"/>
      <w:r/>
      <w:bookmarkStart w:id="4" w:name="_Toc11760"/>
      <w:r/>
      <w:r/>
    </w:p>
    <w:p>
      <w:pPr>
        <w:pStyle w:val="1201"/>
        <w:pageBreakBefore w:val="0"/>
        <w:rPr>
          <w:rFonts w:hint="eastAsia" w:ascii="宋体" w:hAnsi="宋体" w:eastAsia="宋体" w:cs="宋体"/>
        </w:rPr>
      </w:pPr>
      <w:r/>
      <w:bookmarkStart w:id="5" w:name="_Toc30293_WPSOffice_Level1"/>
      <w:r>
        <w:rPr>
          <w:rFonts w:hint="eastAsia" w:ascii="宋体" w:hAnsi="宋体" w:eastAsia="宋体" w:cs="宋体"/>
        </w:rPr>
        <w:t xml:space="preserve">第一章 投标邀请</w:t>
      </w:r>
      <w:bookmarkEnd w:id="1"/>
      <w:r/>
      <w:bookmarkEnd w:id="2"/>
      <w:r/>
      <w:bookmarkEnd w:id="3"/>
      <w:r/>
      <w:bookmarkEnd w:id="4"/>
      <w:r/>
      <w:bookmarkEnd w:id="5"/>
      <w:r/>
      <w:r/>
    </w:p>
    <w:p>
      <w:pPr>
        <w:pStyle w:val="1199"/>
        <w:ind w:firstLine="480"/>
        <w:rPr>
          <w:rFonts w:hint="eastAsia" w:ascii="宋体" w:hAnsi="宋体" w:eastAsia="宋体" w:cs="宋体"/>
          <w:sz w:val="24"/>
        </w:rPr>
      </w:pPr>
      <w:r>
        <w:rPr>
          <w:rFonts w:hint="eastAsia" w:ascii="宋体" w:hAnsi="宋体" w:eastAsia="宋体" w:cs="宋体"/>
          <w:sz w:val="24"/>
          <w:lang w:eastAsia="zh-CN"/>
        </w:rPr>
        <w:t xml:space="preserve">徐州众信项目管理咨询有限公司</w:t>
      </w:r>
      <w:r>
        <w:rPr>
          <w:rFonts w:hint="eastAsia" w:ascii="宋体" w:hAnsi="宋体" w:eastAsia="宋体" w:cs="宋体"/>
          <w:sz w:val="24"/>
        </w:rPr>
        <w:t xml:space="preserve">受</w:t>
      </w:r>
      <w:r>
        <w:rPr>
          <w:rFonts w:hint="eastAsia" w:ascii="宋体" w:hAnsi="宋体" w:eastAsia="宋体" w:cs="宋体"/>
          <w:sz w:val="24"/>
          <w:lang w:eastAsia="zh-CN"/>
        </w:rPr>
        <w:t xml:space="preserve">丰县残疾人联合会</w:t>
      </w:r>
      <w:r>
        <w:rPr>
          <w:rFonts w:hint="eastAsia" w:ascii="宋体" w:hAnsi="宋体" w:eastAsia="宋体" w:cs="宋体"/>
          <w:sz w:val="24"/>
        </w:rPr>
        <w:t xml:space="preserve">委托对</w:t>
      </w:r>
      <w:r>
        <w:rPr>
          <w:rFonts w:hint="eastAsia" w:ascii="宋体" w:hAnsi="宋体" w:cs="宋体"/>
          <w:sz w:val="24"/>
          <w:lang w:eastAsia="zh-CN"/>
        </w:rPr>
        <w:t xml:space="preserve">丰县残疾人团体专属保险</w:t>
      </w:r>
      <w:r>
        <w:rPr>
          <w:rFonts w:hint="eastAsia" w:ascii="宋体" w:hAnsi="宋体" w:eastAsia="宋体" w:cs="宋体"/>
          <w:sz w:val="24"/>
        </w:rPr>
        <w:t xml:space="preserve">项目进行公开招标采购。欢迎符合相关条件的供应商投标。</w:t>
      </w:r>
      <w:r/>
    </w:p>
    <w:p>
      <w:pPr>
        <w:pStyle w:val="1199"/>
        <w:ind w:firstLine="480"/>
        <w:rPr>
          <w:rFonts w:hint="eastAsia" w:ascii="宋体" w:hAnsi="宋体" w:eastAsia="宋体" w:cs="宋体"/>
          <w:sz w:val="24"/>
        </w:rPr>
      </w:pPr>
      <w:r>
        <w:rPr>
          <w:rFonts w:hint="eastAsia" w:ascii="宋体" w:hAnsi="宋体" w:eastAsia="宋体" w:cs="宋体"/>
          <w:sz w:val="24"/>
        </w:rPr>
        <w:t xml:space="preserve">一、项目名称和项目编号</w:t>
      </w:r>
      <w:r/>
    </w:p>
    <w:p>
      <w:pPr>
        <w:pStyle w:val="1199"/>
        <w:ind w:firstLine="480"/>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丰县残疾人团体专属保险项目</w:t>
      </w:r>
      <w:r/>
    </w:p>
    <w:p>
      <w:pPr>
        <w:pStyle w:val="1199"/>
        <w:ind w:firstLine="480"/>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cs="宋体"/>
          <w:sz w:val="24"/>
          <w:lang w:eastAsia="zh-CN"/>
        </w:rPr>
        <w:t xml:space="preserve">JSZC-320321-XZZX-G2025-0012</w:t>
      </w:r>
      <w:r/>
    </w:p>
    <w:p>
      <w:pPr>
        <w:pStyle w:val="1199"/>
        <w:ind w:firstLine="480"/>
        <w:rPr>
          <w:rFonts w:hint="eastAsia" w:ascii="宋体" w:hAnsi="宋体" w:eastAsia="宋体" w:cs="宋体"/>
          <w:sz w:val="24"/>
        </w:rPr>
      </w:pPr>
      <w:r>
        <w:rPr>
          <w:rFonts w:hint="eastAsia" w:ascii="宋体" w:hAnsi="宋体" w:eastAsia="宋体" w:cs="宋体"/>
          <w:sz w:val="24"/>
        </w:rPr>
        <w:t xml:space="preserve">二、投标人的资格要求</w:t>
      </w:r>
      <w:r/>
    </w:p>
    <w:p>
      <w:pPr>
        <w:pStyle w:val="1199"/>
        <w:ind w:firstLine="480"/>
        <w:rPr>
          <w:rFonts w:hint="eastAsia" w:ascii="宋体" w:hAnsi="宋体" w:eastAsia="宋体" w:cs="宋体"/>
          <w:sz w:val="24"/>
        </w:rPr>
      </w:pPr>
      <w:r>
        <w:rPr>
          <w:rFonts w:hint="eastAsia" w:ascii="宋体" w:hAnsi="宋体" w:eastAsia="宋体" w:cs="宋体"/>
          <w:sz w:val="24"/>
        </w:rPr>
        <w:t xml:space="preserve">见本项目公开招标公告。</w:t>
      </w:r>
      <w:r/>
    </w:p>
    <w:p>
      <w:pPr>
        <w:pStyle w:val="1199"/>
        <w:ind w:firstLine="480"/>
        <w:rPr>
          <w:rFonts w:hint="eastAsia" w:ascii="宋体" w:hAnsi="宋体" w:eastAsia="宋体" w:cs="宋体"/>
          <w:sz w:val="24"/>
        </w:rPr>
      </w:pPr>
      <w:r>
        <w:rPr>
          <w:rFonts w:hint="eastAsia" w:ascii="宋体" w:hAnsi="宋体" w:eastAsia="宋体" w:cs="宋体"/>
          <w:sz w:val="24"/>
        </w:rPr>
        <w:t xml:space="preserve">三、获取招标文件</w:t>
      </w:r>
      <w:r/>
    </w:p>
    <w:p>
      <w:pPr>
        <w:pStyle w:val="1199"/>
        <w:ind w:firstLine="480"/>
        <w:rPr>
          <w:rFonts w:hint="eastAsia" w:ascii="宋体" w:hAnsi="宋体" w:eastAsia="宋体" w:cs="宋体"/>
          <w:sz w:val="24"/>
        </w:rPr>
      </w:pPr>
      <w:r>
        <w:rPr>
          <w:rFonts w:hint="eastAsia" w:ascii="宋体" w:hAnsi="宋体" w:eastAsia="宋体" w:cs="宋体"/>
          <w:sz w:val="24"/>
        </w:rPr>
        <w:t xml:space="preserve">（1）潜在供应商访问电子招标投标交易平台的网络地址和方法：</w:t>
      </w:r>
      <w:r/>
    </w:p>
    <w:p>
      <w:pPr>
        <w:pStyle w:val="1199"/>
        <w:ind w:firstLine="480"/>
        <w:rPr>
          <w:rFonts w:hint="eastAsia" w:ascii="宋体" w:hAnsi="宋体" w:eastAsia="宋体" w:cs="宋体"/>
          <w:sz w:val="24"/>
        </w:rPr>
      </w:pPr>
      <w:r>
        <w:rPr>
          <w:rFonts w:hint="eastAsia" w:ascii="宋体" w:hAnsi="宋体" w:eastAsia="宋体" w:cs="宋体"/>
          <w:sz w:val="24"/>
        </w:rPr>
        <w:t xml:space="preserve">①登录http://jszfcg.jsczt.cn/，或进入徐州政府采购网--业务工作--用户登录，点击“苏采云”进入系统。</w:t>
      </w:r>
      <w:r/>
    </w:p>
    <w:p>
      <w:pPr>
        <w:pStyle w:val="1199"/>
        <w:ind w:firstLine="480"/>
        <w:rPr>
          <w:rFonts w:hint="eastAsia" w:ascii="宋体" w:hAnsi="宋体" w:eastAsia="宋体" w:cs="宋体"/>
          <w:sz w:val="24"/>
        </w:rPr>
      </w:pPr>
      <w:r>
        <w:rPr>
          <w:rFonts w:hint="eastAsia" w:ascii="宋体" w:hAnsi="宋体" w:eastAsia="宋体" w:cs="宋体"/>
          <w:sz w:val="24"/>
        </w:rPr>
        <w:t xml:space="preserve">②“CA数字证书”的获取：供应商需办理CA锁，（“苏采云”系统目前仅支持“苏采云”系统下的国信CA，省内各地区办理的“苏采云”系统下的国信CA全省通用。CA数字证书及电子签章办理指南详见附件）。投标客户端工具及供应商操作手册可访问徐州市政府采购网，选中“业务工作”，“下载专区”进行下载《江苏省政府采购管理交易系统（苏采云）供应商操作手册及政府采购客户端》。</w:t>
      </w:r>
      <w:r/>
    </w:p>
    <w:p>
      <w:pPr>
        <w:pStyle w:val="1199"/>
        <w:ind w:firstLine="480"/>
        <w:rPr>
          <w:rFonts w:hint="eastAsia" w:ascii="宋体" w:hAnsi="宋体" w:eastAsia="宋体" w:cs="宋体"/>
          <w:sz w:val="24"/>
        </w:rPr>
      </w:pPr>
      <w:r>
        <w:rPr>
          <w:rFonts w:hint="eastAsia" w:ascii="宋体" w:hAnsi="宋体" w:eastAsia="宋体" w:cs="宋体"/>
          <w:sz w:val="24"/>
        </w:rPr>
        <w:t xml:space="preserve">（2）采购代理机构将数据电文形式的招标文件加载至电子招标投标交易平台，供潜在供应商下载或者查阅。</w:t>
      </w:r>
      <w:r/>
    </w:p>
    <w:p>
      <w:pPr>
        <w:pStyle w:val="1199"/>
        <w:ind w:firstLine="480"/>
        <w:rPr>
          <w:rFonts w:hint="eastAsia" w:ascii="宋体" w:hAnsi="宋体" w:eastAsia="宋体" w:cs="宋体"/>
          <w:sz w:val="24"/>
        </w:rPr>
      </w:pPr>
      <w:r>
        <w:rPr>
          <w:rFonts w:hint="eastAsia" w:ascii="宋体" w:hAnsi="宋体" w:eastAsia="宋体" w:cs="宋体"/>
          <w:sz w:val="24"/>
        </w:rPr>
        <w:t xml:space="preserve">（3）售价：免费。 </w:t>
      </w:r>
      <w:r/>
    </w:p>
    <w:p>
      <w:pPr>
        <w:pStyle w:val="1199"/>
        <w:ind w:firstLine="480"/>
        <w:rPr>
          <w:rFonts w:hint="eastAsia" w:ascii="宋体" w:hAnsi="宋体" w:eastAsia="宋体" w:cs="宋体"/>
          <w:color w:val="000000"/>
          <w:sz w:val="24"/>
          <w:highlight w:val="white"/>
        </w:rPr>
      </w:pPr>
      <w:r>
        <w:rPr>
          <w:rFonts w:hint="eastAsia" w:ascii="宋体" w:hAnsi="宋体" w:eastAsia="宋体" w:cs="宋体"/>
          <w:color w:val="000000"/>
          <w:sz w:val="24"/>
        </w:rPr>
        <w:t xml:space="preserve">四、投标有关信</w:t>
      </w:r>
      <w:r>
        <w:rPr>
          <w:rFonts w:hint="eastAsia" w:ascii="宋体" w:hAnsi="宋体" w:eastAsia="宋体" w:cs="宋体"/>
          <w:color w:val="000000"/>
          <w:sz w:val="24"/>
          <w:highlight w:val="white"/>
        </w:rPr>
        <w:t xml:space="preserve">息</w:t>
      </w:r>
      <w:r>
        <w:rPr>
          <w:highlight w:val="white"/>
        </w:rPr>
      </w:r>
    </w:p>
    <w:p>
      <w:pPr>
        <w:pStyle w:val="1199"/>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1.投标截止时</w:t>
      </w:r>
      <w:r>
        <w:rPr>
          <w:rFonts w:hint="eastAsia" w:ascii="宋体" w:hAnsi="宋体" w:eastAsia="宋体" w:cs="宋体"/>
          <w:color w:val="000000"/>
          <w:sz w:val="24"/>
          <w:highlight w:val="white"/>
        </w:rPr>
        <w:t xml:space="preserve">间：</w:t>
      </w:r>
      <w:bookmarkStart w:id="164" w:name="_GoBack"/>
      <w:r>
        <w:rPr>
          <w:rFonts w:hint="eastAsia" w:ascii="宋体" w:hAnsi="宋体" w:cs="宋体"/>
          <w:color w:val="000000"/>
          <w:sz w:val="24"/>
          <w:highlight w:val="white"/>
          <w:lang w:eastAsia="zh-CN"/>
        </w:rPr>
        <w:t xml:space="preserve">2025年8月</w:t>
      </w:r>
      <w:bookmarkEnd w:id="164"/>
      <w:r>
        <w:rPr>
          <w:rFonts w:hint="eastAsia" w:ascii="宋体" w:hAnsi="宋体" w:cs="宋体"/>
          <w:color w:val="000000"/>
          <w:sz w:val="24"/>
          <w:highlight w:val="white"/>
          <w:lang w:val="en-US" w:eastAsia="zh-CN"/>
        </w:rPr>
        <w:t xml:space="preserve">29</w:t>
      </w:r>
      <w:r>
        <w:rPr>
          <w:rFonts w:hint="eastAsia" w:ascii="宋体" w:hAnsi="宋体" w:cs="宋体"/>
          <w:color w:val="000000"/>
          <w:sz w:val="24"/>
          <w:highlight w:val="white"/>
          <w:lang w:eastAsia="zh-CN"/>
        </w:rPr>
        <w:t xml:space="preserve">日</w:t>
      </w:r>
      <w:r>
        <w:rPr>
          <w:rFonts w:hint="eastAsia" w:ascii="宋体" w:hAnsi="宋体" w:eastAsia="宋体" w:cs="宋体"/>
          <w:color w:val="000000"/>
          <w:sz w:val="24"/>
          <w:highlight w:val="white"/>
          <w:lang w:eastAsia="zh-CN"/>
        </w:rPr>
        <w:t xml:space="preserve">09:30（北京时间）</w:t>
      </w:r>
      <w:r>
        <w:rPr>
          <w:highlight w:val="white"/>
        </w:rPr>
      </w:r>
    </w:p>
    <w:p>
      <w:pPr>
        <w:pStyle w:val="1199"/>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2.开标时间：</w:t>
      </w:r>
      <w:r>
        <w:rPr>
          <w:rFonts w:hint="eastAsia" w:ascii="宋体" w:hAnsi="宋体" w:cs="宋体"/>
          <w:color w:val="000000"/>
          <w:sz w:val="24"/>
          <w:highlight w:val="white"/>
          <w:lang w:eastAsia="zh-CN"/>
        </w:rPr>
        <w:t xml:space="preserve">2025年8月</w:t>
      </w:r>
      <w:r>
        <w:rPr>
          <w:rFonts w:hint="eastAsia" w:ascii="宋体" w:hAnsi="宋体" w:cs="宋体"/>
          <w:color w:val="000000"/>
          <w:sz w:val="24"/>
          <w:highlight w:val="white"/>
          <w:lang w:val="en-US" w:eastAsia="zh-CN"/>
        </w:rPr>
        <w:t xml:space="preserve">29</w:t>
      </w:r>
      <w:r>
        <w:rPr>
          <w:rFonts w:hint="eastAsia" w:ascii="宋体" w:hAnsi="宋体" w:cs="宋体"/>
          <w:color w:val="000000"/>
          <w:sz w:val="24"/>
          <w:highlight w:val="white"/>
          <w:lang w:eastAsia="zh-CN"/>
        </w:rPr>
        <w:t xml:space="preserve">日</w:t>
      </w:r>
      <w:r>
        <w:rPr>
          <w:rFonts w:hint="eastAsia" w:ascii="宋体" w:hAnsi="宋体" w:eastAsia="宋体" w:cs="宋体"/>
          <w:color w:val="000000"/>
          <w:sz w:val="24"/>
          <w:highlight w:val="white"/>
          <w:lang w:eastAsia="zh-CN"/>
        </w:rPr>
        <w:t xml:space="preserve">09:30（北京时间）</w:t>
      </w:r>
      <w:r>
        <w:rPr>
          <w:highlight w:val="white"/>
        </w:rPr>
      </w:r>
    </w:p>
    <w:p>
      <w:pPr>
        <w:pStyle w:val="1199"/>
        <w:ind w:firstLine="480"/>
        <w:rPr>
          <w:rFonts w:hint="eastAsia" w:ascii="宋体" w:hAnsi="宋体" w:eastAsia="宋体" w:cs="宋体"/>
          <w:color w:val="000000"/>
          <w:sz w:val="24"/>
        </w:rPr>
      </w:pPr>
      <w:r>
        <w:rPr>
          <w:rFonts w:hint="eastAsia" w:ascii="宋体" w:hAnsi="宋体" w:eastAsia="宋体" w:cs="宋体"/>
          <w:color w:val="000000"/>
          <w:sz w:val="24"/>
          <w:highlight w:val="white"/>
        </w:rPr>
        <w:t xml:space="preserve">3.开标地点：“苏采云”系统（网址： http://jszfcg.jsczt.cn/）“开标大厅”或进入徐州政府采购网</w:t>
      </w:r>
      <w:r>
        <w:rPr>
          <w:rFonts w:hint="eastAsia" w:ascii="宋体" w:hAnsi="宋体" w:eastAsia="宋体" w:cs="宋体"/>
          <w:color w:val="000000"/>
          <w:sz w:val="24"/>
        </w:rPr>
        <w:t xml:space="preserve">（网址：http://czj.xz.gov.cn/Home/HomeIndex）-业务工作 -用户登录，点击“苏采云”进入系统“开标大厅”。</w:t>
      </w:r>
      <w:r/>
    </w:p>
    <w:p>
      <w:pPr>
        <w:pStyle w:val="1199"/>
        <w:ind w:left="479"/>
        <w:rPr>
          <w:rFonts w:hint="eastAsia" w:ascii="宋体" w:hAnsi="宋体" w:eastAsia="宋体" w:cs="宋体"/>
          <w:color w:val="000000"/>
          <w:sz w:val="24"/>
        </w:rPr>
      </w:pPr>
      <w:r>
        <w:rPr>
          <w:rFonts w:hint="eastAsia" w:ascii="宋体" w:hAnsi="宋体" w:eastAsia="宋体" w:cs="宋体"/>
          <w:color w:val="000000"/>
          <w:sz w:val="24"/>
        </w:rPr>
        <w:t xml:space="preserve">五、采购人</w:t>
      </w:r>
      <w:r/>
    </w:p>
    <w:p>
      <w:pPr>
        <w:pStyle w:val="1199"/>
        <w:ind w:firstLine="480"/>
        <w:rPr>
          <w:rFonts w:hint="eastAsia" w:ascii="宋体" w:hAnsi="宋体" w:eastAsia="宋体" w:cs="宋体"/>
          <w:color w:val="000000"/>
          <w:sz w:val="24"/>
          <w:lang w:eastAsia="zh-CN"/>
        </w:rPr>
      </w:pPr>
      <w:r>
        <w:rPr>
          <w:rFonts w:hint="eastAsia" w:ascii="宋体" w:hAnsi="宋体" w:eastAsia="宋体" w:cs="宋体"/>
          <w:color w:val="000000"/>
          <w:sz w:val="24"/>
        </w:rPr>
        <w:t xml:space="preserve">1．名称：</w:t>
      </w:r>
      <w:r>
        <w:rPr>
          <w:rFonts w:hint="eastAsia" w:ascii="宋体" w:hAnsi="宋体" w:eastAsia="宋体" w:cs="宋体"/>
          <w:color w:val="000000"/>
          <w:sz w:val="24"/>
          <w:lang w:eastAsia="zh-CN"/>
        </w:rPr>
        <w:t xml:space="preserve">丰县残疾人联合会</w:t>
      </w:r>
      <w:r/>
    </w:p>
    <w:p>
      <w:pPr>
        <w:pStyle w:val="1199"/>
        <w:ind w:firstLine="480"/>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2．地址：丰县开发区丰邑大道与建康路交汇处公共卫生服务中心</w:t>
      </w:r>
      <w:r/>
    </w:p>
    <w:p>
      <w:pPr>
        <w:pStyle w:val="1199"/>
        <w:ind w:firstLine="480"/>
        <w:rPr>
          <w:rFonts w:hint="eastAsia" w:ascii="宋体" w:hAnsi="宋体" w:eastAsia="宋体" w:cs="宋体"/>
          <w:color w:val="000000"/>
          <w:sz w:val="24"/>
          <w:lang w:val="en-US"/>
        </w:rPr>
      </w:pPr>
      <w:r>
        <w:rPr>
          <w:rFonts w:hint="eastAsia" w:ascii="宋体" w:hAnsi="宋体" w:eastAsia="宋体" w:cs="宋体"/>
          <w:color w:val="000000"/>
          <w:sz w:val="24"/>
        </w:rPr>
        <w:t xml:space="preserve">3．联系方法：</w:t>
      </w:r>
      <w:r>
        <w:rPr>
          <w:rFonts w:hint="eastAsia" w:ascii="宋体" w:hAnsi="宋体" w:eastAsia="宋体" w:cs="宋体"/>
          <w:b w:val="0"/>
          <w:i w:val="0"/>
          <w:caps w:val="0"/>
          <w:color w:val="000000"/>
          <w:spacing w:val="0"/>
          <w:sz w:val="24"/>
          <w:szCs w:val="24"/>
          <w:lang w:val="en-US" w:eastAsia="zh-CN" w:bidi="en-US"/>
        </w:rPr>
        <w:t xml:space="preserve">0516-89223001</w:t>
      </w:r>
      <w:r/>
    </w:p>
    <w:p>
      <w:pPr>
        <w:pStyle w:val="1199"/>
        <w:ind w:firstLine="480"/>
        <w:rPr>
          <w:rFonts w:hint="eastAsia" w:ascii="宋体" w:hAnsi="宋体" w:eastAsia="宋体" w:cs="宋体"/>
          <w:color w:val="000000"/>
          <w:sz w:val="24"/>
        </w:rPr>
      </w:pPr>
      <w:r>
        <w:rPr>
          <w:rFonts w:hint="eastAsia" w:ascii="宋体" w:hAnsi="宋体" w:eastAsia="宋体" w:cs="宋体"/>
          <w:color w:val="000000"/>
          <w:sz w:val="24"/>
        </w:rPr>
        <w:t xml:space="preserve">4.采购项目联系人：</w:t>
      </w:r>
      <w:r>
        <w:rPr>
          <w:rFonts w:hint="eastAsia" w:ascii="宋体" w:hAnsi="宋体" w:eastAsia="宋体" w:cs="宋体"/>
          <w:color w:val="000000"/>
          <w:sz w:val="24"/>
          <w:lang w:val="en-US" w:eastAsia="zh-CN"/>
        </w:rPr>
        <w:t xml:space="preserve">王佩</w:t>
      </w:r>
      <w:r/>
    </w:p>
    <w:p>
      <w:pPr>
        <w:pStyle w:val="1199"/>
        <w:ind w:firstLine="480"/>
        <w:rPr>
          <w:rFonts w:hint="eastAsia" w:ascii="宋体" w:hAnsi="宋体" w:eastAsia="宋体" w:cs="宋体"/>
          <w:color w:val="000000"/>
          <w:sz w:val="24"/>
        </w:rPr>
      </w:pPr>
      <w:r>
        <w:rPr>
          <w:rFonts w:hint="eastAsia" w:ascii="宋体" w:hAnsi="宋体" w:eastAsia="宋体" w:cs="宋体"/>
          <w:color w:val="000000"/>
          <w:sz w:val="24"/>
        </w:rPr>
        <w:t xml:space="preserve">六、采购代理机构</w:t>
      </w:r>
      <w:r/>
    </w:p>
    <w:p>
      <w:pPr>
        <w:pStyle w:val="1199"/>
        <w:ind w:firstLine="480"/>
        <w:rPr>
          <w:rFonts w:hint="eastAsia" w:ascii="宋体" w:hAnsi="宋体" w:eastAsia="宋体" w:cs="宋体"/>
          <w:color w:val="000000"/>
          <w:sz w:val="24"/>
          <w:lang w:eastAsia="zh-CN"/>
        </w:rPr>
      </w:pPr>
      <w:r>
        <w:rPr>
          <w:rFonts w:hint="eastAsia" w:ascii="宋体" w:hAnsi="宋体" w:eastAsia="宋体" w:cs="宋体"/>
          <w:color w:val="000000"/>
          <w:sz w:val="24"/>
        </w:rPr>
        <w:t xml:space="preserve">1．名称：</w:t>
      </w:r>
      <w:r>
        <w:rPr>
          <w:rFonts w:hint="eastAsia" w:ascii="宋体" w:hAnsi="宋体" w:eastAsia="宋体" w:cs="宋体"/>
          <w:color w:val="000000"/>
          <w:sz w:val="24"/>
          <w:lang w:eastAsia="zh-CN"/>
        </w:rPr>
        <w:t xml:space="preserve">徐州众信项目管理咨询有限公司</w:t>
      </w:r>
      <w:r/>
    </w:p>
    <w:p>
      <w:pPr>
        <w:pStyle w:val="1199"/>
        <w:ind w:firstLine="480"/>
        <w:jc w:val="left"/>
        <w:rPr>
          <w:rFonts w:hint="eastAsia" w:ascii="宋体" w:hAnsi="宋体" w:eastAsia="宋体" w:cs="宋体"/>
          <w:color w:val="000000"/>
          <w:sz w:val="24"/>
          <w:lang w:eastAsia="zh-CN"/>
        </w:rPr>
      </w:pPr>
      <w:r>
        <w:rPr>
          <w:rFonts w:hint="eastAsia" w:ascii="宋体" w:hAnsi="宋体" w:eastAsia="宋体" w:cs="宋体"/>
          <w:color w:val="000000"/>
          <w:sz w:val="24"/>
        </w:rPr>
        <w:t xml:space="preserve">2．地址：</w:t>
      </w:r>
      <w:r>
        <w:rPr>
          <w:rFonts w:hint="eastAsia" w:ascii="宋体" w:hAnsi="宋体" w:cs="宋体"/>
          <w:color w:val="000000"/>
          <w:sz w:val="24"/>
          <w:lang w:eastAsia="zh-CN"/>
        </w:rPr>
        <w:t xml:space="preserve">丰县东城路1号（原森宝门窗办公楼）三楼</w:t>
      </w:r>
      <w:r/>
    </w:p>
    <w:p>
      <w:pPr>
        <w:pStyle w:val="1199"/>
        <w:ind w:firstLine="480"/>
        <w:rPr>
          <w:rFonts w:hint="eastAsia" w:ascii="宋体" w:hAnsi="宋体" w:eastAsia="宋体" w:cs="宋体"/>
          <w:color w:val="000000"/>
          <w:sz w:val="24"/>
          <w:lang w:eastAsia="zh-CN"/>
        </w:rPr>
      </w:pPr>
      <w:r>
        <w:rPr>
          <w:rFonts w:hint="eastAsia" w:ascii="宋体" w:hAnsi="宋体" w:eastAsia="宋体" w:cs="宋体"/>
          <w:color w:val="000000"/>
          <w:sz w:val="24"/>
        </w:rPr>
        <w:t xml:space="preserve">3．联系方法：</w:t>
      </w:r>
      <w:r>
        <w:rPr>
          <w:rFonts w:hint="eastAsia" w:ascii="宋体" w:hAnsi="宋体" w:cs="宋体"/>
          <w:color w:val="000000"/>
          <w:sz w:val="24"/>
          <w:lang w:eastAsia="zh-CN"/>
        </w:rPr>
        <w:t xml:space="preserve">0516-89288668</w:t>
      </w:r>
      <w:r/>
    </w:p>
    <w:p>
      <w:pPr>
        <w:pStyle w:val="1199"/>
        <w:ind w:firstLine="480"/>
        <w:rPr>
          <w:rFonts w:hint="eastAsia" w:ascii="宋体" w:hAnsi="宋体" w:eastAsia="宋体" w:cs="宋体"/>
          <w:color w:val="000000"/>
          <w:sz w:val="24"/>
          <w:lang w:eastAsia="zh-CN"/>
        </w:rPr>
      </w:pPr>
      <w:r>
        <w:rPr>
          <w:rFonts w:hint="eastAsia" w:ascii="宋体" w:hAnsi="宋体" w:eastAsia="宋体" w:cs="宋体"/>
          <w:color w:val="000000"/>
          <w:sz w:val="24"/>
        </w:rPr>
        <w:t xml:space="preserve">4．采购项目联系人：</w:t>
      </w:r>
      <w:r>
        <w:rPr>
          <w:rFonts w:hint="eastAsia" w:ascii="宋体" w:hAnsi="宋体" w:cs="宋体"/>
          <w:color w:val="000000"/>
          <w:sz w:val="24"/>
          <w:lang w:eastAsia="zh-CN"/>
        </w:rPr>
        <w:t xml:space="preserve">郭志云</w:t>
      </w:r>
      <w:r>
        <w:rPr>
          <w:rFonts w:hint="eastAsia" w:ascii="宋体" w:hAnsi="宋体" w:eastAsia="宋体" w:cs="宋体"/>
          <w:color w:val="000000"/>
          <w:sz w:val="24"/>
        </w:rPr>
        <w:t xml:space="preserve">  电话：</w:t>
      </w:r>
      <w:r>
        <w:rPr>
          <w:rFonts w:hint="eastAsia" w:ascii="宋体" w:hAnsi="宋体" w:cs="宋体"/>
          <w:color w:val="000000"/>
          <w:sz w:val="24"/>
          <w:lang w:eastAsia="zh-CN"/>
        </w:rPr>
        <w:t xml:space="preserve">18752713695</w:t>
      </w:r>
      <w:r/>
    </w:p>
    <w:p>
      <w:pPr>
        <w:pStyle w:val="1199"/>
        <w:ind w:firstLine="600"/>
        <w:rPr>
          <w:rFonts w:hint="eastAsia" w:ascii="宋体" w:hAnsi="宋体" w:eastAsia="宋体" w:cs="宋体"/>
          <w:color w:val="000000"/>
          <w:sz w:val="24"/>
        </w:rPr>
      </w:pPr>
      <w:r>
        <w:rPr>
          <w:rFonts w:hint="eastAsia" w:ascii="宋体" w:hAnsi="宋体" w:eastAsia="宋体" w:cs="宋体"/>
          <w:color w:val="000000"/>
          <w:sz w:val="24"/>
        </w:rPr>
      </w:r>
      <w:r/>
    </w:p>
    <w:p>
      <w:pPr>
        <w:pStyle w:val="1199"/>
        <w:ind w:firstLine="600"/>
        <w:rPr>
          <w:rFonts w:hint="eastAsia" w:ascii="宋体" w:hAnsi="宋体" w:eastAsia="宋体" w:cs="宋体"/>
          <w:color w:val="000000"/>
          <w:sz w:val="24"/>
        </w:rPr>
      </w:pPr>
      <w:r>
        <w:rPr>
          <w:rFonts w:hint="eastAsia" w:ascii="宋体" w:hAnsi="宋体" w:eastAsia="宋体" w:cs="宋体"/>
          <w:color w:val="000000"/>
          <w:sz w:val="24"/>
        </w:rPr>
      </w:r>
      <w:r/>
    </w:p>
    <w:p>
      <w:pPr>
        <w:pStyle w:val="1201"/>
        <w:keepLines/>
        <w:keepNext/>
        <w:pageBreakBefore/>
        <w:spacing w:line="579" w:lineRule="auto"/>
        <w:widowControl w:val="off"/>
        <w:rPr>
          <w:rFonts w:hint="eastAsia" w:ascii="宋体" w:hAnsi="宋体" w:eastAsia="宋体" w:cs="宋体"/>
        </w:rPr>
      </w:pPr>
      <w:r/>
      <w:bookmarkStart w:id="6" w:name="_Toc28899_WPSOffice_Level1"/>
      <w:r/>
      <w:bookmarkStart w:id="7" w:name="_Toc15221"/>
      <w:r/>
      <w:bookmarkStart w:id="8" w:name="_Toc14081"/>
      <w:r/>
      <w:bookmarkStart w:id="9" w:name="_Toc5438"/>
      <w:r/>
      <w:bookmarkStart w:id="10" w:name="_Toc8965"/>
      <w:r>
        <w:rPr>
          <w:rFonts w:hint="eastAsia" w:ascii="宋体" w:hAnsi="宋体" w:eastAsia="宋体" w:cs="宋体"/>
        </w:rPr>
        <w:t xml:space="preserve">第二章 投标人须知</w:t>
      </w:r>
      <w:bookmarkEnd w:id="6"/>
      <w:r/>
      <w:bookmarkEnd w:id="7"/>
      <w:r/>
      <w:bookmarkEnd w:id="8"/>
      <w:r/>
      <w:bookmarkEnd w:id="9"/>
      <w:r/>
      <w:bookmarkEnd w:id="10"/>
      <w:r/>
      <w:r/>
    </w:p>
    <w:p>
      <w:pPr>
        <w:pStyle w:val="1199"/>
        <w:jc w:val="left"/>
        <w:keepLines w:val="0"/>
        <w:keepNext w:val="0"/>
        <w:pageBreakBefore w:val="0"/>
        <w:spacing w:line="500" w:lineRule="exact"/>
        <w:widowControl w:val="off"/>
        <w:rPr>
          <w:rFonts w:hint="eastAsia" w:ascii="宋体" w:hAnsi="宋体" w:eastAsia="宋体" w:cs="宋体"/>
          <w:sz w:val="28"/>
          <w:szCs w:val="28"/>
        </w:rPr>
      </w:pPr>
      <w:r/>
      <w:bookmarkStart w:id="11" w:name="_Toc20377"/>
      <w:r/>
      <w:bookmarkStart w:id="12" w:name="_Toc30782"/>
      <w:r/>
      <w:bookmarkStart w:id="13" w:name="_Toc11692"/>
      <w:r>
        <w:rPr>
          <w:rFonts w:hint="eastAsia" w:ascii="宋体" w:hAnsi="宋体" w:eastAsia="宋体" w:cs="宋体"/>
          <w:sz w:val="28"/>
          <w:szCs w:val="28"/>
        </w:rPr>
        <w:t xml:space="preserve">一、总则</w:t>
      </w:r>
      <w:r/>
    </w:p>
    <w:p>
      <w:pPr>
        <w:pStyle w:val="1199"/>
        <w:ind w:firstLine="480"/>
        <w:rPr>
          <w:rFonts w:hint="eastAsia" w:ascii="宋体" w:hAnsi="宋体" w:eastAsia="宋体" w:cs="宋体"/>
          <w:sz w:val="24"/>
        </w:rPr>
      </w:pPr>
      <w:r>
        <w:rPr>
          <w:rFonts w:hint="eastAsia" w:ascii="宋体" w:hAnsi="宋体" w:eastAsia="宋体" w:cs="宋体"/>
          <w:sz w:val="24"/>
        </w:rPr>
        <w:t xml:space="preserve">1.采购人</w:t>
      </w:r>
      <w:r/>
    </w:p>
    <w:p>
      <w:pPr>
        <w:pStyle w:val="1199"/>
        <w:ind w:firstLine="480"/>
        <w:rPr>
          <w:rFonts w:hint="eastAsia" w:ascii="宋体" w:hAnsi="宋体" w:eastAsia="宋体" w:cs="宋体"/>
          <w:sz w:val="24"/>
        </w:rPr>
      </w:pPr>
      <w:r>
        <w:rPr>
          <w:rFonts w:hint="eastAsia" w:ascii="宋体" w:hAnsi="宋体" w:eastAsia="宋体" w:cs="宋体"/>
          <w:sz w:val="24"/>
        </w:rPr>
        <w:t xml:space="preserve">1.1采购人是指依法进行政府采购的国家机关、事业单位、团体组织。本项目采购人：见招标文件第三章《投标资料表》。</w:t>
      </w:r>
      <w:r/>
    </w:p>
    <w:p>
      <w:pPr>
        <w:pStyle w:val="1199"/>
        <w:ind w:firstLine="480"/>
        <w:rPr>
          <w:rFonts w:hint="eastAsia" w:ascii="宋体" w:hAnsi="宋体" w:eastAsia="宋体" w:cs="宋体"/>
          <w:sz w:val="24"/>
        </w:rPr>
      </w:pPr>
      <w:r>
        <w:rPr>
          <w:rFonts w:hint="eastAsia" w:ascii="宋体" w:hAnsi="宋体" w:eastAsia="宋体" w:cs="宋体"/>
          <w:sz w:val="24"/>
        </w:rPr>
        <w:t xml:space="preserve">2.政府采购方式</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2.1保险服务招标分为公开招标和邀请招标。本次采购采用的政府采购方式：见招标文件第三章《投标资料表》。</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3.采购人应当在保险服务招标投标活动中落实节约能源、保护环境、扶持不发达地区和少数民族地区、促进中小企业发展等政府采购政策。</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4.采购人应当按照财政部制定的《政府采购品目分类目录》确定采购项目属性。按照《政府采购品目分类目录》无法确定的，按照有利于采购项目实施的原则确定。采购人确定的采购项目属性：见招标文件第三章《投标资料》。</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5.采购人委托采购代理机构代理招标的，采购代理机构应当在采购人委托的范围内依法开展采购活动。本项目采购代理机构：见招标文件第三章《投标资料表》。</w:t>
      </w:r>
      <w:r/>
    </w:p>
    <w:p>
      <w:pPr>
        <w:pStyle w:val="1199"/>
        <w:ind w:firstLine="480"/>
        <w:rPr>
          <w:rFonts w:hint="eastAsia" w:ascii="宋体" w:hAnsi="宋体" w:eastAsia="宋体" w:cs="宋体"/>
          <w:sz w:val="24"/>
        </w:rPr>
      </w:pPr>
      <w:r>
        <w:rPr>
          <w:rFonts w:hint="eastAsia" w:ascii="宋体" w:hAnsi="宋体" w:eastAsia="宋体" w:cs="宋体"/>
          <w:sz w:val="24"/>
        </w:rPr>
        <w:t xml:space="preserve">6.投标费用</w:t>
      </w:r>
      <w:r/>
    </w:p>
    <w:p>
      <w:pPr>
        <w:pStyle w:val="1199"/>
        <w:ind w:firstLine="480"/>
        <w:rPr>
          <w:rFonts w:hint="eastAsia" w:ascii="宋体" w:hAnsi="宋体" w:eastAsia="宋体" w:cs="宋体"/>
          <w:sz w:val="24"/>
        </w:rPr>
      </w:pPr>
      <w:r>
        <w:rPr>
          <w:rFonts w:hint="eastAsia" w:ascii="宋体" w:hAnsi="宋体" w:eastAsia="宋体" w:cs="宋体"/>
          <w:sz w:val="24"/>
        </w:rPr>
        <w:t xml:space="preserve">6.1投标人应承担所有与准备和参加投标有关的费用，无论投标的结果如何，采购人和采购代理机构对上述费用不承担任何责任和义务。</w:t>
      </w:r>
      <w:r/>
    </w:p>
    <w:p>
      <w:pPr>
        <w:pStyle w:val="1199"/>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二、招标</w:t>
      </w:r>
      <w:r/>
    </w:p>
    <w:p>
      <w:pPr>
        <w:pStyle w:val="1199"/>
        <w:ind w:firstLine="480"/>
        <w:rPr>
          <w:rFonts w:hint="eastAsia" w:ascii="宋体" w:hAnsi="宋体" w:eastAsia="宋体" w:cs="宋体"/>
          <w:sz w:val="24"/>
        </w:rPr>
      </w:pPr>
      <w:r>
        <w:rPr>
          <w:rFonts w:hint="eastAsia" w:ascii="宋体" w:hAnsi="宋体" w:eastAsia="宋体" w:cs="宋体"/>
          <w:sz w:val="24"/>
        </w:rPr>
        <w:t xml:space="preserve">7.招标文件的内容</w:t>
      </w:r>
      <w:r/>
    </w:p>
    <w:p>
      <w:pPr>
        <w:pStyle w:val="1199"/>
        <w:ind w:firstLine="480"/>
        <w:rPr>
          <w:rFonts w:hint="eastAsia" w:ascii="宋体" w:hAnsi="宋体" w:eastAsia="宋体" w:cs="宋体"/>
          <w:sz w:val="24"/>
        </w:rPr>
      </w:pPr>
      <w:r>
        <w:rPr>
          <w:rFonts w:hint="eastAsia" w:ascii="宋体" w:hAnsi="宋体" w:eastAsia="宋体" w:cs="宋体"/>
          <w:sz w:val="24"/>
        </w:rPr>
        <w:t xml:space="preserve">7.1招标文件包括以下内容：</w:t>
      </w:r>
      <w:r/>
    </w:p>
    <w:p>
      <w:pPr>
        <w:pStyle w:val="1199"/>
        <w:ind w:firstLine="480"/>
        <w:rPr>
          <w:rFonts w:hint="eastAsia" w:ascii="宋体" w:hAnsi="宋体" w:eastAsia="宋体" w:cs="宋体"/>
          <w:sz w:val="24"/>
        </w:rPr>
      </w:pPr>
      <w:r>
        <w:rPr>
          <w:rFonts w:hint="eastAsia" w:ascii="宋体" w:hAnsi="宋体" w:eastAsia="宋体" w:cs="宋体"/>
          <w:sz w:val="24"/>
        </w:rPr>
        <w:t xml:space="preserve">第一章 投标邀请</w:t>
      </w:r>
      <w:r/>
    </w:p>
    <w:p>
      <w:pPr>
        <w:pStyle w:val="1199"/>
        <w:ind w:firstLine="480"/>
        <w:rPr>
          <w:rFonts w:hint="eastAsia" w:ascii="宋体" w:hAnsi="宋体" w:eastAsia="宋体" w:cs="宋体"/>
          <w:sz w:val="24"/>
        </w:rPr>
      </w:pPr>
      <w:r>
        <w:rPr>
          <w:rFonts w:hint="eastAsia" w:ascii="宋体" w:hAnsi="宋体" w:eastAsia="宋体" w:cs="宋体"/>
          <w:sz w:val="24"/>
        </w:rPr>
        <w:t xml:space="preserve">第二章 投标人须知</w:t>
      </w:r>
      <w:r/>
    </w:p>
    <w:p>
      <w:pPr>
        <w:pStyle w:val="1199"/>
        <w:ind w:firstLine="480"/>
        <w:rPr>
          <w:rFonts w:hint="eastAsia" w:ascii="宋体" w:hAnsi="宋体" w:eastAsia="宋体" w:cs="宋体"/>
          <w:sz w:val="24"/>
        </w:rPr>
      </w:pPr>
      <w:r>
        <w:rPr>
          <w:rFonts w:hint="eastAsia" w:ascii="宋体" w:hAnsi="宋体" w:eastAsia="宋体" w:cs="宋体"/>
          <w:sz w:val="24"/>
        </w:rPr>
        <w:t xml:space="preserve">第三章 投标资料表</w:t>
      </w:r>
      <w:r/>
    </w:p>
    <w:p>
      <w:pPr>
        <w:pStyle w:val="1199"/>
        <w:ind w:firstLine="480"/>
        <w:rPr>
          <w:rFonts w:hint="eastAsia" w:ascii="宋体" w:hAnsi="宋体" w:eastAsia="宋体" w:cs="宋体"/>
          <w:sz w:val="24"/>
        </w:rPr>
      </w:pPr>
      <w:r>
        <w:rPr>
          <w:rFonts w:hint="eastAsia" w:ascii="宋体" w:hAnsi="宋体" w:eastAsia="宋体" w:cs="宋体"/>
          <w:sz w:val="24"/>
        </w:rPr>
        <w:t xml:space="preserve">第四章 评标标准</w:t>
      </w:r>
      <w:r/>
    </w:p>
    <w:p>
      <w:pPr>
        <w:pStyle w:val="1199"/>
        <w:ind w:firstLine="480"/>
        <w:rPr>
          <w:rFonts w:hint="eastAsia" w:ascii="宋体" w:hAnsi="宋体" w:eastAsia="宋体" w:cs="宋体"/>
          <w:sz w:val="24"/>
        </w:rPr>
      </w:pPr>
      <w:r>
        <w:rPr>
          <w:rFonts w:hint="eastAsia" w:ascii="宋体" w:hAnsi="宋体" w:eastAsia="宋体" w:cs="宋体"/>
          <w:sz w:val="24"/>
        </w:rPr>
        <w:t xml:space="preserve">第五章 拟签订的合同文本</w:t>
      </w:r>
      <w:r/>
    </w:p>
    <w:p>
      <w:pPr>
        <w:pStyle w:val="1199"/>
        <w:ind w:firstLine="480"/>
        <w:rPr>
          <w:rFonts w:hint="eastAsia" w:ascii="宋体" w:hAnsi="宋体" w:eastAsia="宋体" w:cs="宋体"/>
          <w:sz w:val="24"/>
        </w:rPr>
      </w:pPr>
      <w:r>
        <w:rPr>
          <w:rFonts w:hint="eastAsia" w:ascii="宋体" w:hAnsi="宋体" w:eastAsia="宋体" w:cs="宋体"/>
          <w:sz w:val="24"/>
        </w:rPr>
        <w:t xml:space="preserve">第六章 采购需求</w:t>
      </w:r>
      <w:r/>
    </w:p>
    <w:p>
      <w:pPr>
        <w:pStyle w:val="1199"/>
        <w:ind w:firstLine="480"/>
        <w:rPr>
          <w:rFonts w:hint="eastAsia" w:ascii="宋体" w:hAnsi="宋体" w:eastAsia="宋体" w:cs="宋体"/>
          <w:sz w:val="24"/>
        </w:rPr>
      </w:pPr>
      <w:r>
        <w:rPr>
          <w:rFonts w:hint="eastAsia" w:ascii="宋体" w:hAnsi="宋体" w:eastAsia="宋体" w:cs="宋体"/>
          <w:sz w:val="24"/>
        </w:rPr>
        <w:t xml:space="preserve">第七章 投标文件相关格式</w:t>
      </w:r>
      <w:r/>
    </w:p>
    <w:p>
      <w:pPr>
        <w:pStyle w:val="1199"/>
        <w:ind w:firstLine="480"/>
        <w:rPr>
          <w:rFonts w:hint="eastAsia" w:ascii="宋体" w:hAnsi="宋体" w:eastAsia="宋体" w:cs="宋体"/>
          <w:sz w:val="24"/>
        </w:rPr>
      </w:pPr>
      <w:r>
        <w:rPr>
          <w:rFonts w:hint="eastAsia" w:ascii="宋体" w:hAnsi="宋体" w:eastAsia="宋体" w:cs="宋体"/>
          <w:sz w:val="24"/>
        </w:rPr>
        <w:t xml:space="preserve">8.采购需求：见招标文件第六章《采购需求》。</w:t>
      </w:r>
      <w:r/>
    </w:p>
    <w:p>
      <w:pPr>
        <w:pStyle w:val="1199"/>
        <w:ind w:firstLine="480"/>
        <w:rPr>
          <w:rFonts w:hint="eastAsia" w:ascii="宋体" w:hAnsi="宋体" w:eastAsia="宋体" w:cs="宋体"/>
          <w:sz w:val="24"/>
        </w:rPr>
      </w:pPr>
      <w:r>
        <w:rPr>
          <w:rFonts w:hint="eastAsia" w:ascii="宋体" w:hAnsi="宋体" w:eastAsia="宋体" w:cs="宋体"/>
          <w:sz w:val="24"/>
        </w:rPr>
        <w:t xml:space="preserve">9.采购项目预算金额、最高限价</w:t>
      </w:r>
      <w:r/>
    </w:p>
    <w:p>
      <w:pPr>
        <w:pStyle w:val="1199"/>
        <w:ind w:firstLine="480"/>
        <w:rPr>
          <w:rFonts w:hint="eastAsia" w:ascii="宋体" w:hAnsi="宋体" w:eastAsia="宋体" w:cs="宋体"/>
          <w:sz w:val="24"/>
        </w:rPr>
      </w:pPr>
      <w:r>
        <w:rPr>
          <w:rFonts w:hint="eastAsia" w:ascii="宋体" w:hAnsi="宋体" w:eastAsia="宋体" w:cs="宋体"/>
          <w:sz w:val="24"/>
        </w:rPr>
        <w:t xml:space="preserve">9.1采购项目预算金额、最高限价：见招标文件第三章《投标资料表》。</w:t>
      </w:r>
      <w:r/>
    </w:p>
    <w:p>
      <w:pPr>
        <w:pStyle w:val="1199"/>
        <w:ind w:firstLine="480"/>
        <w:rPr>
          <w:rFonts w:hint="eastAsia" w:ascii="宋体" w:hAnsi="宋体" w:eastAsia="宋体" w:cs="宋体"/>
          <w:sz w:val="24"/>
        </w:rPr>
      </w:pPr>
      <w:r>
        <w:rPr>
          <w:rFonts w:hint="eastAsia" w:ascii="宋体" w:hAnsi="宋体" w:eastAsia="宋体" w:cs="宋体"/>
          <w:sz w:val="24"/>
        </w:rPr>
        <w:t xml:space="preserve">10.险种</w:t>
      </w:r>
      <w:r/>
    </w:p>
    <w:p>
      <w:pPr>
        <w:pStyle w:val="1199"/>
        <w:ind w:firstLine="480"/>
        <w:rPr>
          <w:rFonts w:hint="eastAsia" w:ascii="宋体" w:hAnsi="宋体" w:eastAsia="宋体" w:cs="宋体"/>
          <w:sz w:val="24"/>
        </w:rPr>
      </w:pPr>
      <w:r>
        <w:rPr>
          <w:rFonts w:hint="eastAsia" w:ascii="宋体" w:hAnsi="宋体" w:eastAsia="宋体" w:cs="宋体"/>
          <w:sz w:val="24"/>
        </w:rPr>
        <w:t xml:space="preserve">10.1本项目对险种的要求：见招标文件第三章《投标资料表》。</w:t>
      </w:r>
      <w:r/>
    </w:p>
    <w:p>
      <w:pPr>
        <w:pStyle w:val="1199"/>
        <w:ind w:firstLine="480"/>
        <w:rPr>
          <w:rFonts w:hint="eastAsia" w:ascii="宋体" w:hAnsi="宋体" w:eastAsia="宋体" w:cs="宋体"/>
          <w:sz w:val="24"/>
        </w:rPr>
      </w:pPr>
      <w:r>
        <w:rPr>
          <w:rFonts w:hint="eastAsia" w:ascii="宋体" w:hAnsi="宋体" w:eastAsia="宋体" w:cs="宋体"/>
          <w:sz w:val="24"/>
        </w:rPr>
        <w:t xml:space="preserve">11.投标有效期</w:t>
      </w:r>
      <w:r/>
    </w:p>
    <w:p>
      <w:pPr>
        <w:pStyle w:val="1199"/>
        <w:ind w:firstLine="480"/>
        <w:rPr>
          <w:rFonts w:hint="eastAsia" w:ascii="宋体" w:hAnsi="宋体" w:eastAsia="宋体" w:cs="宋体"/>
          <w:sz w:val="24"/>
        </w:rPr>
      </w:pPr>
      <w:r>
        <w:rPr>
          <w:rFonts w:hint="eastAsia" w:ascii="宋体" w:hAnsi="宋体" w:eastAsia="宋体" w:cs="宋体"/>
          <w:sz w:val="24"/>
          <w:lang w:val="en-US" w:eastAsia="zh-CN"/>
        </w:rPr>
        <w:t xml:space="preserve">11.</w:t>
      </w:r>
      <w:r>
        <w:rPr>
          <w:rFonts w:hint="eastAsia" w:ascii="宋体" w:hAnsi="宋体" w:eastAsia="宋体" w:cs="宋体"/>
          <w:sz w:val="24"/>
        </w:rPr>
        <w:t xml:space="preserve">1投标有效期为开标之日后90天。采购人可以要求对投标有效期延长一次，但该延长期最长不得超过30天。</w:t>
      </w:r>
      <w:r/>
    </w:p>
    <w:p>
      <w:pPr>
        <w:pStyle w:val="1199"/>
        <w:ind w:firstLine="480"/>
        <w:rPr>
          <w:rFonts w:hint="eastAsia" w:ascii="宋体" w:hAnsi="宋体" w:eastAsia="宋体" w:cs="宋体"/>
          <w:sz w:val="24"/>
        </w:rPr>
      </w:pPr>
      <w:r>
        <w:rPr>
          <w:rFonts w:hint="eastAsia" w:ascii="宋体" w:hAnsi="宋体" w:eastAsia="宋体" w:cs="宋体"/>
          <w:sz w:val="24"/>
          <w:lang w:val="en-US" w:eastAsia="zh-CN"/>
        </w:rPr>
        <w:t xml:space="preserve">11.</w:t>
      </w:r>
      <w:r>
        <w:rPr>
          <w:rFonts w:hint="eastAsia" w:ascii="宋体" w:hAnsi="宋体" w:eastAsia="宋体" w:cs="宋体"/>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1199"/>
        <w:ind w:firstLine="480"/>
        <w:rPr>
          <w:rFonts w:hint="eastAsia" w:ascii="宋体" w:hAnsi="宋体" w:eastAsia="宋体" w:cs="宋体"/>
          <w:sz w:val="24"/>
        </w:rPr>
      </w:pPr>
      <w:r>
        <w:rPr>
          <w:rFonts w:hint="eastAsia" w:ascii="宋体" w:hAnsi="宋体" w:eastAsia="宋体" w:cs="宋体"/>
          <w:sz w:val="24"/>
          <w:lang w:val="en-US" w:eastAsia="zh-CN"/>
        </w:rPr>
        <w:t xml:space="preserve">11.</w:t>
      </w:r>
      <w:r>
        <w:rPr>
          <w:rFonts w:hint="eastAsia" w:ascii="宋体" w:hAnsi="宋体" w:eastAsia="宋体" w:cs="宋体"/>
          <w:sz w:val="24"/>
        </w:rPr>
        <w:t xml:space="preserve">3如果采购人发出要求延长投标有效期的通知，并在投标有效期届满前，没有收到投标人同意的书面通知，则视为该投标人不接受上述延期的要求。</w:t>
      </w:r>
      <w:r/>
    </w:p>
    <w:p>
      <w:pPr>
        <w:pStyle w:val="1199"/>
        <w:ind w:firstLine="480"/>
        <w:rPr>
          <w:rFonts w:hint="eastAsia" w:ascii="宋体" w:hAnsi="宋体" w:eastAsia="宋体" w:cs="宋体"/>
          <w:sz w:val="24"/>
        </w:rPr>
      </w:pPr>
      <w:r>
        <w:rPr>
          <w:rFonts w:hint="eastAsia" w:ascii="宋体" w:hAnsi="宋体" w:eastAsia="宋体" w:cs="宋体"/>
          <w:sz w:val="24"/>
        </w:rPr>
        <w:t xml:space="preserve">12.招标文件售价</w:t>
      </w:r>
      <w:r/>
    </w:p>
    <w:p>
      <w:pPr>
        <w:pStyle w:val="1199"/>
        <w:ind w:firstLine="480"/>
        <w:rPr>
          <w:rFonts w:hint="eastAsia" w:ascii="宋体" w:hAnsi="宋体" w:eastAsia="宋体" w:cs="宋体"/>
          <w:sz w:val="24"/>
        </w:rPr>
      </w:pPr>
      <w:r>
        <w:rPr>
          <w:rFonts w:hint="eastAsia" w:ascii="宋体" w:hAnsi="宋体" w:eastAsia="宋体" w:cs="宋体"/>
          <w:sz w:val="24"/>
        </w:rPr>
        <w:t xml:space="preserve">12.1招标文件售价：见招标文件第三章《投标资料表》。</w:t>
      </w:r>
      <w:r/>
    </w:p>
    <w:p>
      <w:pPr>
        <w:pStyle w:val="1199"/>
        <w:ind w:firstLine="480"/>
        <w:rPr>
          <w:rFonts w:hint="eastAsia" w:ascii="宋体" w:hAnsi="宋体" w:eastAsia="宋体" w:cs="宋体"/>
          <w:sz w:val="24"/>
        </w:rPr>
      </w:pPr>
      <w:r>
        <w:rPr>
          <w:rFonts w:hint="eastAsia" w:ascii="宋体" w:hAnsi="宋体" w:eastAsia="宋体" w:cs="宋体"/>
          <w:sz w:val="24"/>
        </w:rPr>
        <w:t xml:space="preserve">13.采购代理机构代理费用的收取标准和方式</w:t>
      </w:r>
      <w:r/>
    </w:p>
    <w:p>
      <w:pPr>
        <w:pStyle w:val="1199"/>
        <w:ind w:firstLine="480"/>
        <w:rPr>
          <w:rFonts w:hint="eastAsia" w:ascii="宋体" w:hAnsi="宋体" w:eastAsia="宋体" w:cs="宋体"/>
          <w:sz w:val="24"/>
        </w:rPr>
      </w:pPr>
      <w:r>
        <w:rPr>
          <w:rFonts w:hint="eastAsia" w:ascii="宋体" w:hAnsi="宋体" w:eastAsia="宋体" w:cs="宋体"/>
          <w:sz w:val="24"/>
        </w:rPr>
        <w:t xml:space="preserve">13.1采购代理机构代理费用的收取标准和方式：见招标文件第三章《投标资料表》。</w:t>
      </w:r>
      <w:r/>
    </w:p>
    <w:p>
      <w:pPr>
        <w:pStyle w:val="1199"/>
        <w:ind w:firstLine="480"/>
        <w:rPr>
          <w:rFonts w:hint="eastAsia" w:ascii="宋体" w:hAnsi="宋体" w:eastAsia="宋体" w:cs="宋体"/>
          <w:sz w:val="24"/>
        </w:rPr>
      </w:pPr>
      <w:r>
        <w:rPr>
          <w:rFonts w:hint="eastAsia" w:ascii="宋体" w:hAnsi="宋体" w:eastAsia="宋体" w:cs="宋体"/>
          <w:sz w:val="24"/>
        </w:rPr>
        <w:t xml:space="preserve">14.现场考察或者开标前答疑会</w:t>
      </w:r>
      <w:r/>
    </w:p>
    <w:p>
      <w:pPr>
        <w:pStyle w:val="1199"/>
        <w:ind w:firstLine="480"/>
        <w:rPr>
          <w:rFonts w:hint="eastAsia" w:ascii="宋体" w:hAnsi="宋体" w:eastAsia="宋体" w:cs="宋体"/>
          <w:sz w:val="24"/>
        </w:rPr>
      </w:pPr>
      <w:r>
        <w:rPr>
          <w:rFonts w:hint="eastAsia" w:ascii="宋体" w:hAnsi="宋体" w:eastAsia="宋体" w:cs="宋体"/>
          <w:sz w:val="24"/>
        </w:rPr>
        <w:t xml:space="preserve">14.1在招标文件提供期限截止后。</w:t>
      </w:r>
      <w:r/>
    </w:p>
    <w:p>
      <w:pPr>
        <w:pStyle w:val="1199"/>
        <w:ind w:firstLine="480"/>
        <w:rPr>
          <w:rFonts w:hint="eastAsia" w:ascii="宋体" w:hAnsi="宋体" w:eastAsia="宋体" w:cs="宋体"/>
          <w:sz w:val="24"/>
        </w:rPr>
      </w:pPr>
      <w:r>
        <w:rPr>
          <w:rFonts w:hint="eastAsia" w:ascii="宋体" w:hAnsi="宋体" w:eastAsia="宋体" w:cs="宋体"/>
          <w:sz w:val="24"/>
        </w:rPr>
        <w:t xml:space="preserve">14.2现场考察：见招标文件第三章《投标资料表》。</w:t>
      </w:r>
      <w:r/>
    </w:p>
    <w:p>
      <w:pPr>
        <w:pStyle w:val="1199"/>
        <w:ind w:firstLine="480"/>
        <w:rPr>
          <w:rFonts w:hint="eastAsia" w:ascii="宋体" w:hAnsi="宋体" w:eastAsia="宋体" w:cs="宋体"/>
          <w:sz w:val="24"/>
        </w:rPr>
      </w:pPr>
      <w:r>
        <w:rPr>
          <w:rFonts w:hint="eastAsia" w:ascii="宋体" w:hAnsi="宋体" w:eastAsia="宋体" w:cs="宋体"/>
          <w:sz w:val="24"/>
        </w:rPr>
        <w:t xml:space="preserve">14.3开标前答疑会：见招标文件第三章《投标资料表》。</w:t>
      </w:r>
      <w:r/>
    </w:p>
    <w:p>
      <w:pPr>
        <w:pStyle w:val="1199"/>
        <w:ind w:firstLine="480"/>
        <w:rPr>
          <w:rFonts w:hint="eastAsia" w:ascii="宋体" w:hAnsi="宋体" w:eastAsia="宋体" w:cs="宋体"/>
          <w:sz w:val="24"/>
        </w:rPr>
      </w:pPr>
      <w:r>
        <w:rPr>
          <w:rFonts w:hint="eastAsia" w:ascii="宋体" w:hAnsi="宋体" w:eastAsia="宋体" w:cs="宋体"/>
          <w:sz w:val="24"/>
        </w:rPr>
        <w:t xml:space="preserve">15.招标文件的澄清或者修改</w:t>
      </w:r>
      <w:r/>
    </w:p>
    <w:p>
      <w:pPr>
        <w:pStyle w:val="1199"/>
        <w:ind w:firstLine="480"/>
        <w:rPr>
          <w:rFonts w:hint="eastAsia" w:ascii="宋体" w:hAnsi="宋体" w:eastAsia="宋体" w:cs="宋体"/>
          <w:sz w:val="24"/>
        </w:rPr>
      </w:pPr>
      <w:r>
        <w:rPr>
          <w:rFonts w:hint="eastAsia" w:ascii="宋体" w:hAnsi="宋体" w:eastAsia="宋体" w:cs="宋体"/>
          <w:sz w:val="24"/>
        </w:rPr>
        <w:t xml:space="preserve">15.1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具体规定：见招标文件第三章《投标资料表》。</w:t>
      </w:r>
      <w:r/>
    </w:p>
    <w:p>
      <w:pPr>
        <w:pStyle w:val="1199"/>
        <w:ind w:firstLine="480"/>
        <w:rPr>
          <w:rFonts w:hint="eastAsia" w:ascii="宋体" w:hAnsi="宋体" w:eastAsia="宋体" w:cs="宋体"/>
          <w:sz w:val="24"/>
        </w:rPr>
      </w:pPr>
      <w:r>
        <w:rPr>
          <w:rFonts w:hint="eastAsia" w:ascii="宋体" w:hAnsi="宋体" w:eastAsia="宋体"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16.终止招标</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pStyle w:val="1199"/>
        <w:ind w:firstLine="480"/>
        <w:rPr>
          <w:rFonts w:hint="eastAsia" w:ascii="宋体" w:hAnsi="宋体" w:eastAsia="宋体" w:cs="宋体"/>
          <w:sz w:val="24"/>
        </w:rPr>
      </w:pPr>
      <w:r>
        <w:rPr>
          <w:rFonts w:hint="eastAsia" w:ascii="宋体" w:hAnsi="宋体" w:eastAsia="宋体" w:cs="宋体"/>
          <w:sz w:val="24"/>
        </w:rPr>
        <w:t xml:space="preserve">17.投标人信用信息查询渠道及截止时点、信用信息查询记录和证据留存的具体方式、信用信息的使用规则等：见招标文件第三章《投标资料表》。</w:t>
      </w:r>
      <w:r/>
    </w:p>
    <w:p>
      <w:pPr>
        <w:pStyle w:val="1199"/>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三、投标</w:t>
      </w:r>
      <w:r/>
    </w:p>
    <w:p>
      <w:pPr>
        <w:pStyle w:val="1199"/>
        <w:ind w:firstLine="480"/>
        <w:rPr>
          <w:rFonts w:hint="eastAsia" w:ascii="宋体" w:hAnsi="宋体" w:eastAsia="宋体" w:cs="宋体"/>
          <w:sz w:val="24"/>
        </w:rPr>
      </w:pPr>
      <w:r>
        <w:rPr>
          <w:rFonts w:hint="eastAsia" w:ascii="宋体" w:hAnsi="宋体" w:eastAsia="宋体" w:cs="宋体"/>
          <w:sz w:val="24"/>
        </w:rPr>
        <w:t xml:space="preserve">18.投标人</w:t>
      </w:r>
      <w:r/>
    </w:p>
    <w:p>
      <w:pPr>
        <w:pStyle w:val="1199"/>
        <w:ind w:firstLine="480"/>
        <w:rPr>
          <w:rFonts w:hint="eastAsia" w:ascii="宋体" w:hAnsi="宋体" w:eastAsia="宋体" w:cs="宋体"/>
          <w:sz w:val="24"/>
        </w:rPr>
      </w:pPr>
      <w:r>
        <w:rPr>
          <w:rFonts w:hint="eastAsia" w:ascii="宋体" w:hAnsi="宋体" w:eastAsia="宋体" w:cs="宋体"/>
          <w:sz w:val="24"/>
        </w:rPr>
        <w:t xml:space="preserve">18.1投标人，是指响应招标、参加投标竞争的法人、其他组织或者自然人。</w:t>
      </w:r>
      <w:r/>
    </w:p>
    <w:p>
      <w:pPr>
        <w:pStyle w:val="1199"/>
        <w:ind w:firstLine="465"/>
        <w:jc w:val="left"/>
        <w:widowControl/>
        <w:rPr>
          <w:rFonts w:hint="eastAsia" w:ascii="宋体" w:hAnsi="宋体" w:eastAsia="宋体" w:cs="宋体"/>
          <w:sz w:val="24"/>
        </w:rPr>
      </w:pPr>
      <w:r>
        <w:rPr>
          <w:rFonts w:hint="eastAsia" w:ascii="宋体" w:hAnsi="宋体" w:eastAsia="宋体" w:cs="宋体"/>
          <w:sz w:val="24"/>
        </w:rPr>
        <w:t xml:space="preserve">18.2投标人应当遵循公平竞争的原则，不得恶意串通，不得妨碍其他投标人的竞争行为，不得损害采购人或者其他投标人的合法权益。</w:t>
      </w:r>
      <w:r/>
    </w:p>
    <w:p>
      <w:pPr>
        <w:pStyle w:val="1199"/>
        <w:ind w:firstLine="480"/>
        <w:rPr>
          <w:rFonts w:hint="eastAsia" w:ascii="宋体" w:hAnsi="宋体" w:eastAsia="宋体" w:cs="宋体"/>
          <w:sz w:val="24"/>
        </w:rPr>
      </w:pPr>
      <w:r>
        <w:rPr>
          <w:rFonts w:hint="eastAsia" w:ascii="宋体" w:hAnsi="宋体" w:eastAsia="宋体" w:cs="宋体"/>
          <w:sz w:val="24"/>
        </w:rPr>
        <w:t xml:space="preserve">18.3投标人的资格要求：见招标文件第三章《投标资料表》。</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19.投标文件</w:t>
      </w:r>
      <w:r/>
    </w:p>
    <w:p>
      <w:pPr>
        <w:pStyle w:val="1199"/>
        <w:ind w:firstLine="480"/>
        <w:jc w:val="left"/>
        <w:widowControl/>
        <w:rPr>
          <w:rFonts w:hint="eastAsia" w:ascii="宋体" w:hAnsi="宋体" w:eastAsia="宋体" w:cs="宋体"/>
          <w:b w:val="0"/>
          <w:bCs w:val="0"/>
          <w:sz w:val="24"/>
        </w:rPr>
      </w:pPr>
      <w:r>
        <w:rPr>
          <w:rFonts w:hint="eastAsia" w:ascii="宋体" w:hAnsi="宋体" w:eastAsia="宋体" w:cs="宋体"/>
          <w:sz w:val="24"/>
        </w:rPr>
        <w:t xml:space="preserve">19.1投标人</w:t>
      </w:r>
      <w:r>
        <w:rPr>
          <w:rFonts w:hint="eastAsia" w:ascii="宋体" w:hAnsi="宋体" w:eastAsia="宋体" w:cs="宋体"/>
          <w:sz w:val="24"/>
          <w:lang w:val="en-US" w:eastAsia="zh-CN"/>
        </w:rPr>
        <w:t xml:space="preserve">的</w:t>
      </w:r>
      <w:r>
        <w:rPr>
          <w:rFonts w:hint="eastAsia" w:ascii="宋体" w:hAnsi="宋体" w:eastAsia="宋体" w:cs="宋体"/>
          <w:sz w:val="24"/>
        </w:rPr>
        <w:t xml:space="preserve">投标文件以及投标人与采购代理机构就有关投标的往来函电均应使用本</w:t>
      </w:r>
      <w:r>
        <w:rPr>
          <w:rFonts w:hint="eastAsia" w:ascii="宋体" w:hAnsi="宋体" w:eastAsia="宋体" w:cs="宋体"/>
          <w:sz w:val="24"/>
          <w:lang w:val="en-US" w:eastAsia="zh-CN"/>
        </w:rPr>
        <w:t xml:space="preserve">中文并按照</w:t>
      </w:r>
      <w:r>
        <w:rPr>
          <w:rFonts w:hint="eastAsia" w:ascii="宋体" w:hAnsi="宋体" w:eastAsia="宋体" w:cs="宋体"/>
          <w:sz w:val="24"/>
        </w:rPr>
        <w:t xml:space="preserve">招标文件的要求编制投标文件</w:t>
      </w:r>
      <w:r>
        <w:rPr>
          <w:rFonts w:hint="eastAsia" w:ascii="宋体" w:hAnsi="宋体" w:eastAsia="宋体" w:cs="宋体"/>
          <w:sz w:val="24"/>
          <w:lang w:eastAsia="zh-CN"/>
        </w:rPr>
        <w:t xml:space="preserve">，</w:t>
      </w:r>
      <w:r>
        <w:rPr>
          <w:rFonts w:hint="eastAsia" w:ascii="宋体" w:hAnsi="宋体" w:eastAsia="宋体" w:cs="宋体"/>
          <w:sz w:val="24"/>
        </w:rPr>
        <w:t xml:space="preserve">投标文件应对招标文</w:t>
      </w:r>
      <w:r>
        <w:rPr>
          <w:rFonts w:hint="eastAsia" w:ascii="宋体" w:hAnsi="宋体" w:eastAsia="宋体" w:cs="宋体"/>
          <w:b w:val="0"/>
          <w:bCs w:val="0"/>
          <w:sz w:val="24"/>
        </w:rPr>
        <w:t xml:space="preserve">件提出的要求和条件作出</w:t>
      </w:r>
      <w:r>
        <w:rPr>
          <w:rFonts w:hint="eastAsia" w:ascii="宋体" w:hAnsi="宋体" w:eastAsia="宋体" w:cs="宋体"/>
          <w:sz w:val="24"/>
        </w:rPr>
        <w:t xml:space="preserve">明确响应。</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19.2 投标文件编制要求：见招标文件第三章《投标资料表》。</w:t>
      </w:r>
      <w:r/>
    </w:p>
    <w:p>
      <w:pPr>
        <w:pStyle w:val="1050"/>
        <w:ind w:firstLine="240"/>
        <w:jc w:val="left"/>
        <w:widowControl/>
        <w:rPr>
          <w:rFonts w:hint="eastAsia" w:ascii="宋体" w:hAnsi="宋体" w:eastAsia="宋体" w:cs="宋体"/>
          <w:sz w:val="24"/>
        </w:rPr>
      </w:pPr>
      <w:r>
        <w:rPr>
          <w:rFonts w:hint="eastAsia" w:ascii="宋体" w:hAnsi="宋体" w:eastAsia="宋体" w:cs="宋体"/>
          <w:sz w:val="24"/>
        </w:rPr>
        <w:t xml:space="preserve">  19.3 投标文件的份数：见招标文件第三章《投标资料表》。</w:t>
      </w:r>
      <w:r/>
    </w:p>
    <w:p>
      <w:pPr>
        <w:pStyle w:val="1050"/>
        <w:ind w:firstLine="240"/>
        <w:jc w:val="left"/>
        <w:widowControl/>
        <w:rPr>
          <w:rFonts w:hint="eastAsia" w:ascii="宋体" w:hAnsi="宋体" w:eastAsia="宋体" w:cs="宋体"/>
          <w:sz w:val="24"/>
        </w:rPr>
      </w:pPr>
      <w:r>
        <w:rPr>
          <w:rFonts w:hint="eastAsia" w:ascii="宋体" w:hAnsi="宋体" w:eastAsia="宋体" w:cs="宋体"/>
          <w:sz w:val="24"/>
        </w:rPr>
        <w:t xml:space="preserve">  19.4 投标文件的退还：见招标文件第三章《投标资料表》。</w:t>
      </w:r>
      <w:r/>
    </w:p>
    <w:p>
      <w:pPr>
        <w:pStyle w:val="1050"/>
        <w:ind w:firstLine="480"/>
        <w:rPr>
          <w:rFonts w:hint="eastAsia" w:ascii="宋体" w:hAnsi="宋体" w:eastAsia="宋体" w:cs="宋体"/>
          <w:sz w:val="24"/>
        </w:rPr>
      </w:pPr>
      <w:r>
        <w:rPr>
          <w:rFonts w:hint="eastAsia" w:ascii="宋体" w:hAnsi="宋体" w:eastAsia="宋体" w:cs="宋体"/>
          <w:sz w:val="24"/>
        </w:rPr>
        <w:t xml:space="preserve">19.5投标文件的密封、签署、盖章要求：见招标文件第三章《投标资料表》。</w:t>
      </w:r>
      <w:r/>
    </w:p>
    <w:p>
      <w:pPr>
        <w:pStyle w:val="1050"/>
        <w:ind w:firstLine="480"/>
        <w:rPr>
          <w:rFonts w:hint="eastAsia" w:ascii="宋体" w:hAnsi="宋体" w:eastAsia="宋体" w:cs="宋体"/>
          <w:sz w:val="24"/>
        </w:rPr>
      </w:pPr>
      <w:r>
        <w:rPr>
          <w:rFonts w:hint="eastAsia" w:ascii="宋体" w:hAnsi="宋体" w:eastAsia="宋体" w:cs="宋体"/>
          <w:sz w:val="24"/>
        </w:rPr>
        <w:t xml:space="preserve">19.6提交电子投标文件的截止时间注意事项。投标人应在招标文件要求的提交投标文件的截止时间前，将投标文件提交至“苏采云”系统。</w:t>
      </w:r>
      <w:r/>
    </w:p>
    <w:p>
      <w:pPr>
        <w:pStyle w:val="1050"/>
        <w:ind w:firstLine="240"/>
        <w:jc w:val="left"/>
        <w:widowControl/>
        <w:rPr>
          <w:rFonts w:hint="eastAsia" w:ascii="宋体" w:hAnsi="宋体" w:eastAsia="宋体" w:cs="宋体"/>
          <w:sz w:val="24"/>
        </w:rPr>
      </w:pPr>
      <w:r>
        <w:rPr>
          <w:rFonts w:hint="eastAsia" w:ascii="宋体" w:hAnsi="宋体" w:eastAsia="宋体" w:cs="宋体"/>
          <w:sz w:val="24"/>
        </w:rPr>
        <w:t xml:space="preserve">  19.7 凡在招标文件要求提交投标文件的截止时间之后提交的投标文件，均为无效投标文件，“苏采云”系统将自动拒收。各投标人应在规定时间内通过CA锁进行网上解密。</w:t>
      </w:r>
      <w:r/>
    </w:p>
    <w:p>
      <w:pPr>
        <w:pStyle w:val="1199"/>
        <w:ind w:firstLine="480"/>
        <w:rPr>
          <w:rFonts w:hint="eastAsia" w:ascii="宋体" w:hAnsi="宋体" w:eastAsia="宋体" w:cs="宋体"/>
          <w:sz w:val="24"/>
        </w:rPr>
      </w:pPr>
      <w:r>
        <w:rPr>
          <w:rFonts w:hint="eastAsia" w:ascii="宋体" w:hAnsi="宋体" w:eastAsia="宋体" w:cs="宋体"/>
          <w:sz w:val="24"/>
        </w:rPr>
        <w:t xml:space="preserve">19.8 投标人在投标截止时间前，可以对所递交的投标文件进行补充、修改或者撤回，但应书面通知采购代理机构。其所进行补充、修改的内容，应当按照招标文件要求进行电子签章，然后纳为投标文件的组成部分。</w:t>
      </w:r>
      <w:r/>
    </w:p>
    <w:p>
      <w:pPr>
        <w:pStyle w:val="1050"/>
        <w:ind w:firstLine="360"/>
        <w:jc w:val="left"/>
        <w:widowControl/>
        <w:rPr>
          <w:rFonts w:hint="eastAsia" w:ascii="宋体" w:hAnsi="宋体" w:eastAsia="宋体" w:cs="宋体"/>
          <w:sz w:val="24"/>
        </w:rPr>
      </w:pPr>
      <w:r>
        <w:rPr>
          <w:rFonts w:hint="eastAsia" w:ascii="宋体" w:hAnsi="宋体" w:eastAsia="宋体" w:cs="宋体"/>
          <w:sz w:val="24"/>
        </w:rPr>
        <w:t xml:space="preserve"> 20. 投标报价要求</w:t>
      </w:r>
      <w:r/>
    </w:p>
    <w:p>
      <w:pPr>
        <w:pStyle w:val="1050"/>
        <w:ind w:firstLine="480"/>
        <w:rPr>
          <w:rFonts w:hint="eastAsia" w:ascii="宋体" w:hAnsi="宋体" w:eastAsia="宋体" w:cs="宋体"/>
          <w:sz w:val="24"/>
        </w:rPr>
      </w:pPr>
      <w:r>
        <w:rPr>
          <w:rFonts w:hint="eastAsia" w:ascii="宋体" w:hAnsi="宋体" w:eastAsia="宋体" w:cs="宋体"/>
          <w:sz w:val="24"/>
        </w:rPr>
        <w:t xml:space="preserve">20.1 投标人应按照招标文件的要求报出分项价格和总价。</w:t>
      </w:r>
      <w:r/>
    </w:p>
    <w:p>
      <w:pPr>
        <w:pStyle w:val="1050"/>
        <w:ind w:firstLine="480"/>
        <w:rPr>
          <w:rFonts w:hint="eastAsia" w:ascii="宋体" w:hAnsi="宋体" w:eastAsia="宋体" w:cs="宋体"/>
          <w:sz w:val="24"/>
        </w:rPr>
      </w:pPr>
      <w:r>
        <w:rPr>
          <w:rFonts w:hint="eastAsia" w:ascii="宋体" w:hAnsi="宋体" w:eastAsia="宋体" w:cs="宋体"/>
          <w:sz w:val="24"/>
        </w:rPr>
        <w:t xml:space="preserve">20.2投标人应按照招标文件的要求进行报价，如有偏离，应在《偏离表》中列出。</w:t>
      </w:r>
      <w:r/>
    </w:p>
    <w:p>
      <w:pPr>
        <w:pStyle w:val="1050"/>
        <w:ind w:firstLine="480"/>
        <w:rPr>
          <w:rFonts w:hint="eastAsia" w:ascii="宋体" w:hAnsi="宋体" w:eastAsia="宋体" w:cs="宋体"/>
          <w:sz w:val="24"/>
        </w:rPr>
      </w:pPr>
      <w:r>
        <w:rPr>
          <w:rFonts w:hint="eastAsia" w:ascii="宋体" w:hAnsi="宋体" w:eastAsia="宋体" w:cs="宋体"/>
          <w:sz w:val="24"/>
        </w:rPr>
        <w:t xml:space="preserve">20.3 </w:t>
      </w:r>
      <w:r>
        <w:rPr>
          <w:rFonts w:hint="eastAsia" w:ascii="宋体" w:hAnsi="宋体" w:eastAsia="宋体" w:cs="宋体"/>
          <w:bCs/>
          <w:sz w:val="24"/>
        </w:rPr>
        <w:t xml:space="preserve">采购人不支付报价以外的任何费用。</w:t>
      </w:r>
      <w:r/>
    </w:p>
    <w:p>
      <w:pPr>
        <w:pStyle w:val="1050"/>
        <w:ind w:firstLine="480"/>
        <w:rPr>
          <w:rFonts w:hint="eastAsia" w:ascii="宋体" w:hAnsi="宋体" w:eastAsia="宋体" w:cs="宋体"/>
          <w:sz w:val="24"/>
        </w:rPr>
      </w:pPr>
      <w:r>
        <w:rPr>
          <w:rFonts w:hint="eastAsia" w:ascii="宋体" w:hAnsi="宋体" w:eastAsia="宋体" w:cs="宋体"/>
          <w:sz w:val="24"/>
        </w:rPr>
        <w:t xml:space="preserve">20.4 投标人的投标报价在合同执行过程中是固定的，不得以任何理由予以变更。投标人提交滑动价格的投标文件，在资格性、符合性检查时按照无效投标处理。</w:t>
      </w:r>
      <w:r/>
    </w:p>
    <w:p>
      <w:pPr>
        <w:pStyle w:val="1050"/>
        <w:ind w:firstLine="480"/>
        <w:rPr>
          <w:rFonts w:hint="eastAsia" w:ascii="宋体" w:hAnsi="宋体" w:eastAsia="宋体" w:cs="宋体"/>
          <w:sz w:val="24"/>
        </w:rPr>
      </w:pPr>
      <w:r>
        <w:rPr>
          <w:rFonts w:hint="eastAsia" w:ascii="宋体" w:hAnsi="宋体" w:eastAsia="宋体" w:cs="宋体"/>
          <w:sz w:val="24"/>
        </w:rPr>
        <w:t xml:space="preserve">20.5投标人只能提交一个投标价格，投标人提交多个价格的投标文件，在资格性、符合性检查时按照无效投标处理。</w:t>
      </w:r>
      <w:r/>
    </w:p>
    <w:p>
      <w:pPr>
        <w:pStyle w:val="1050"/>
        <w:ind w:firstLine="480"/>
        <w:rPr>
          <w:rFonts w:hint="eastAsia" w:ascii="宋体" w:hAnsi="宋体" w:eastAsia="宋体" w:cs="宋体"/>
          <w:bCs/>
          <w:sz w:val="24"/>
        </w:rPr>
      </w:pPr>
      <w:r>
        <w:rPr>
          <w:rFonts w:hint="eastAsia" w:ascii="宋体" w:hAnsi="宋体" w:eastAsia="宋体" w:cs="宋体"/>
          <w:sz w:val="24"/>
        </w:rPr>
        <w:t xml:space="preserve">20.6</w:t>
      </w:r>
      <w:r>
        <w:rPr>
          <w:rFonts w:hint="eastAsia" w:ascii="宋体" w:hAnsi="宋体" w:eastAsia="宋体" w:cs="宋体"/>
          <w:bCs/>
          <w:sz w:val="24"/>
        </w:rPr>
        <w:t xml:space="preserve">不接受超过采购项目预算金额的投标报价。具体</w:t>
      </w:r>
      <w:r>
        <w:rPr>
          <w:rFonts w:hint="eastAsia" w:ascii="宋体" w:hAnsi="宋体" w:eastAsia="宋体" w:cs="宋体"/>
          <w:sz w:val="24"/>
        </w:rPr>
        <w:t xml:space="preserve">见招标文件第三章《投标资料表》</w:t>
      </w:r>
      <w:r>
        <w:rPr>
          <w:rFonts w:hint="eastAsia" w:ascii="宋体" w:hAnsi="宋体" w:eastAsia="宋体" w:cs="宋体"/>
          <w:bCs/>
          <w:sz w:val="24"/>
        </w:rPr>
        <w:t xml:space="preserve">。</w:t>
      </w:r>
      <w:r/>
    </w:p>
    <w:p>
      <w:pPr>
        <w:pStyle w:val="1199"/>
        <w:ind w:firstLine="480"/>
        <w:rPr>
          <w:rFonts w:hint="eastAsia" w:ascii="宋体" w:hAnsi="宋体" w:eastAsia="宋体" w:cs="宋体"/>
          <w:sz w:val="24"/>
        </w:rPr>
      </w:pPr>
      <w:r>
        <w:rPr>
          <w:rFonts w:hint="eastAsia" w:ascii="宋体" w:hAnsi="宋体" w:eastAsia="宋体" w:cs="宋体"/>
          <w:sz w:val="24"/>
        </w:rPr>
        <w:t xml:space="preserve">21.投标人不需交纳投标保证金。</w:t>
      </w:r>
      <w:r/>
    </w:p>
    <w:p>
      <w:pPr>
        <w:pStyle w:val="1050"/>
        <w:ind w:firstLine="480"/>
        <w:jc w:val="left"/>
        <w:widowControl/>
        <w:rPr>
          <w:rFonts w:hint="eastAsia" w:ascii="宋体" w:hAnsi="宋体" w:eastAsia="宋体" w:cs="宋体"/>
          <w:sz w:val="24"/>
        </w:rPr>
      </w:pPr>
      <w:r>
        <w:rPr>
          <w:rFonts w:hint="eastAsia" w:ascii="宋体" w:hAnsi="宋体" w:eastAsia="宋体" w:cs="宋体"/>
          <w:sz w:val="24"/>
        </w:rPr>
        <w:t xml:space="preserve">22.投标截止时间、投标文件的递交</w:t>
      </w:r>
      <w:r/>
    </w:p>
    <w:p>
      <w:pPr>
        <w:pStyle w:val="1050"/>
        <w:ind w:firstLine="480"/>
        <w:rPr>
          <w:rFonts w:hint="eastAsia" w:ascii="宋体" w:hAnsi="宋体" w:eastAsia="宋体" w:cs="宋体"/>
          <w:sz w:val="24"/>
        </w:rPr>
      </w:pPr>
      <w:r>
        <w:rPr>
          <w:rFonts w:hint="eastAsia" w:ascii="宋体" w:hAnsi="宋体" w:eastAsia="宋体" w:cs="宋体"/>
          <w:sz w:val="24"/>
        </w:rPr>
        <w:t xml:space="preserve">22.1投标截止时间：见招标文件第三章《投标资料表》。</w:t>
      </w:r>
      <w:r/>
    </w:p>
    <w:p>
      <w:pPr>
        <w:pStyle w:val="1050"/>
        <w:ind w:firstLine="480"/>
        <w:jc w:val="left"/>
        <w:widowControl/>
        <w:rPr>
          <w:rFonts w:hint="eastAsia" w:ascii="宋体" w:hAnsi="宋体" w:eastAsia="宋体" w:cs="宋体"/>
          <w:sz w:val="24"/>
        </w:rPr>
      </w:pPr>
      <w:r>
        <w:rPr>
          <w:rFonts w:hint="eastAsia" w:ascii="宋体" w:hAnsi="宋体" w:eastAsia="宋体" w:cs="宋体"/>
          <w:sz w:val="24"/>
        </w:rPr>
        <w:t xml:space="preserve">22.2投标文件的递交：</w:t>
      </w:r>
      <w:r>
        <w:rPr>
          <w:rFonts w:hint="eastAsia" w:ascii="宋体" w:hAnsi="宋体" w:eastAsia="宋体" w:cs="宋体"/>
          <w:bCs/>
          <w:sz w:val="24"/>
        </w:rPr>
        <w:t xml:space="preserve">具体</w:t>
      </w:r>
      <w:r>
        <w:rPr>
          <w:rFonts w:hint="eastAsia" w:ascii="宋体" w:hAnsi="宋体" w:eastAsia="宋体" w:cs="宋体"/>
          <w:sz w:val="24"/>
        </w:rPr>
        <w:t xml:space="preserve">见招标文件第三章《投标资料表》。</w:t>
      </w:r>
      <w:r/>
    </w:p>
    <w:p>
      <w:pPr>
        <w:pStyle w:val="1199"/>
        <w:ind w:firstLine="480"/>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3</w:t>
      </w:r>
      <w:r>
        <w:rPr>
          <w:rFonts w:hint="eastAsia" w:ascii="宋体" w:hAnsi="宋体" w:eastAsia="宋体" w:cs="宋体"/>
          <w:sz w:val="24"/>
        </w:rPr>
        <w:t xml:space="preserve">.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pStyle w:val="1199"/>
        <w:ind w:firstLine="480"/>
        <w:rPr>
          <w:rFonts w:hint="eastAsia" w:ascii="宋体" w:hAnsi="宋体" w:eastAsia="宋体" w:cs="宋体"/>
          <w:b w:val="0"/>
          <w:bCs w:val="0"/>
          <w:sz w:val="24"/>
        </w:rPr>
      </w:pPr>
      <w:r>
        <w:rPr>
          <w:rFonts w:hint="eastAsia" w:ascii="宋体" w:hAnsi="宋体" w:eastAsia="宋体" w:cs="宋体"/>
          <w:b w:val="0"/>
          <w:bCs w:val="0"/>
          <w:sz w:val="24"/>
        </w:rPr>
        <w:t xml:space="preserve">投标人存在下列情况之一的，投标无效:</w:t>
      </w:r>
      <w:r/>
    </w:p>
    <w:p>
      <w:pPr>
        <w:pStyle w:val="1199"/>
        <w:ind w:firstLine="480"/>
        <w:jc w:val="left"/>
        <w:widowControl/>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（1）不同投标人的投标文件，由同一单位或者个人编制；</w:t>
      </w:r>
      <w:r/>
    </w:p>
    <w:p>
      <w:pPr>
        <w:pStyle w:val="1199"/>
        <w:ind w:firstLine="480"/>
        <w:jc w:val="left"/>
        <w:widowControl/>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（2）不同投标人委托同一单位或者个人办理投标事宜；</w:t>
      </w:r>
      <w:r/>
    </w:p>
    <w:p>
      <w:pPr>
        <w:pStyle w:val="1199"/>
        <w:ind w:firstLine="480"/>
        <w:jc w:val="left"/>
        <w:widowControl/>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（3）不同投标人的投标文件中，所载明的项目管理成员或联系人为同一人；</w:t>
      </w:r>
      <w:r/>
    </w:p>
    <w:p>
      <w:pPr>
        <w:pStyle w:val="1199"/>
        <w:ind w:firstLine="480"/>
        <w:jc w:val="left"/>
        <w:widowControl/>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（4）不同投标人的投标文件，异常一致或者投标报价呈规律性差异；</w:t>
      </w:r>
      <w:r/>
    </w:p>
    <w:p>
      <w:pPr>
        <w:pStyle w:val="1199"/>
        <w:ind w:firstLine="480"/>
        <w:jc w:val="left"/>
        <w:widowControl/>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（5）不同投标人的投标文件相互混装；</w:t>
      </w:r>
      <w:r/>
    </w:p>
    <w:p>
      <w:pPr>
        <w:pStyle w:val="1199"/>
        <w:ind w:firstLine="480"/>
        <w:jc w:val="left"/>
        <w:widowControl/>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（6）不同投标人投标文件内容存在非正常一致、项目组成员出现同一人、投标文件中错误（或异常）一致或雷同、电子文档信息一致或雷同的、投标报价呈规律性差异的；</w:t>
      </w:r>
      <w:r/>
    </w:p>
    <w:p>
      <w:pPr>
        <w:pStyle w:val="1199"/>
        <w:ind w:firstLine="480"/>
        <w:jc w:val="left"/>
        <w:widowControl/>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（7）电子投标文件未按规定期限投标的；</w:t>
      </w:r>
      <w:r/>
    </w:p>
    <w:p>
      <w:pPr>
        <w:pStyle w:val="1199"/>
        <w:ind w:firstLine="480"/>
        <w:jc w:val="left"/>
        <w:widowControl/>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（8）电子投标文件未按招标文件要求签署、签章的；</w:t>
      </w:r>
      <w:r/>
    </w:p>
    <w:p>
      <w:pPr>
        <w:pStyle w:val="1199"/>
        <w:ind w:firstLine="480"/>
        <w:jc w:val="left"/>
        <w:widowControl/>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（9）投标人未在规定时间内解密电子投标文件的；</w:t>
      </w:r>
      <w:r/>
    </w:p>
    <w:p>
      <w:pPr>
        <w:pStyle w:val="1199"/>
        <w:ind w:firstLine="480"/>
        <w:jc w:val="left"/>
        <w:widowControl/>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（10）投标文件未按招标文件规定的内容和要求填写的；没有在投标系统指定位置上传对应文件、材料的。</w:t>
      </w:r>
      <w:r/>
    </w:p>
    <w:p>
      <w:pPr>
        <w:pStyle w:val="1199"/>
        <w:ind w:firstLine="480"/>
        <w:jc w:val="left"/>
        <w:widowControl/>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（11）不具备招标文件中规定的资格要求的；</w:t>
      </w:r>
      <w:r/>
    </w:p>
    <w:p>
      <w:pPr>
        <w:pStyle w:val="1199"/>
        <w:ind w:firstLine="480"/>
        <w:jc w:val="left"/>
        <w:widowControl/>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（12）报价超过招标文件中规定的预算金额或者最高限价的；</w:t>
      </w:r>
      <w:r/>
    </w:p>
    <w:p>
      <w:pPr>
        <w:pStyle w:val="1199"/>
        <w:ind w:firstLine="480"/>
        <w:jc w:val="left"/>
        <w:widowControl/>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（13）投标文件含有采购人不能接受的附加条件的；</w:t>
      </w:r>
      <w:r/>
    </w:p>
    <w:p>
      <w:pPr>
        <w:pStyle w:val="1199"/>
        <w:ind w:firstLine="480"/>
        <w:jc w:val="left"/>
        <w:widowControl/>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（14）法律、法规和招标文件规定的其他无效情形。</w:t>
      </w:r>
      <w:r/>
    </w:p>
    <w:p>
      <w:pPr>
        <w:pStyle w:val="1199"/>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四、开标、评标</w:t>
      </w:r>
      <w:r/>
    </w:p>
    <w:p>
      <w:pPr>
        <w:pStyle w:val="1050"/>
        <w:ind w:firstLine="480"/>
        <w:jc w:val="left"/>
        <w:widowControl/>
        <w:rPr>
          <w:rFonts w:hint="eastAsia" w:ascii="宋体" w:hAnsi="宋体" w:eastAsia="宋体" w:cs="宋体"/>
          <w:sz w:val="24"/>
        </w:rPr>
      </w:pPr>
      <w:r>
        <w:rPr>
          <w:rFonts w:hint="eastAsia" w:ascii="宋体" w:hAnsi="宋体" w:eastAsia="宋体" w:cs="宋体"/>
          <w:sz w:val="24"/>
          <w:lang w:eastAsia="zh-CN"/>
        </w:rPr>
        <w:t xml:space="preserve">24</w:t>
      </w:r>
      <w:r>
        <w:rPr>
          <w:rFonts w:hint="eastAsia" w:ascii="宋体" w:hAnsi="宋体" w:eastAsia="宋体" w:cs="宋体"/>
          <w:sz w:val="24"/>
        </w:rPr>
        <w:t xml:space="preserve">. 开标</w:t>
      </w:r>
      <w:r/>
    </w:p>
    <w:p>
      <w:pPr>
        <w:pStyle w:val="1050"/>
        <w:ind w:firstLine="480"/>
        <w:jc w:val="left"/>
        <w:widowControl/>
        <w:rPr>
          <w:rFonts w:hint="eastAsia" w:ascii="宋体" w:hAnsi="宋体" w:eastAsia="宋体" w:cs="宋体"/>
          <w:sz w:val="24"/>
        </w:rPr>
      </w:pPr>
      <w:r>
        <w:rPr>
          <w:rFonts w:hint="eastAsia" w:ascii="宋体" w:hAnsi="宋体" w:eastAsia="宋体" w:cs="宋体"/>
          <w:sz w:val="24"/>
          <w:lang w:eastAsia="zh-CN"/>
        </w:rPr>
        <w:t xml:space="preserve">24</w:t>
      </w:r>
      <w:r>
        <w:rPr>
          <w:rFonts w:hint="eastAsia" w:ascii="宋体" w:hAnsi="宋体" w:eastAsia="宋体" w:cs="宋体"/>
          <w:sz w:val="24"/>
        </w:rPr>
        <w:t xml:space="preserve">.1 开标应当在招标文件确定的提交投标文件截止时间的同一时间进行。开标地点应当为招标文件中预先确定的地点。开标时间及地点：见招标文件第三章《投标资料表》。</w:t>
      </w:r>
      <w:r/>
    </w:p>
    <w:p>
      <w:pPr>
        <w:pStyle w:val="1050"/>
        <w:ind w:firstLine="480"/>
        <w:jc w:val="left"/>
        <w:widowControl/>
        <w:rPr>
          <w:rFonts w:hint="eastAsia" w:ascii="宋体" w:hAnsi="宋体" w:eastAsia="宋体" w:cs="宋体"/>
          <w:sz w:val="24"/>
        </w:rPr>
      </w:pPr>
      <w:r>
        <w:rPr>
          <w:rFonts w:hint="eastAsia" w:ascii="宋体" w:hAnsi="宋体" w:eastAsia="宋体" w:cs="宋体"/>
          <w:sz w:val="24"/>
          <w:lang w:eastAsia="zh-CN"/>
        </w:rPr>
        <w:t xml:space="preserve">24</w:t>
      </w:r>
      <w:r>
        <w:rPr>
          <w:rFonts w:hint="eastAsia" w:ascii="宋体" w:hAnsi="宋体" w:eastAsia="宋体" w:cs="宋体"/>
          <w:sz w:val="24"/>
        </w:rPr>
        <w:t xml:space="preserve">.2 开标由电子招标投标交易平台主持，邀请投标人参加。</w:t>
      </w:r>
      <w:r/>
    </w:p>
    <w:p>
      <w:pPr>
        <w:pStyle w:val="1050"/>
        <w:ind w:firstLine="480"/>
        <w:jc w:val="left"/>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24</w:t>
      </w:r>
      <w:r>
        <w:rPr>
          <w:rFonts w:hint="eastAsia" w:ascii="宋体" w:hAnsi="宋体" w:eastAsia="宋体" w:cs="宋体"/>
          <w:color w:val="000000"/>
          <w:sz w:val="24"/>
        </w:rPr>
        <w:t xml:space="preserve">.3 所有投标单位使用 CA 证书在开标时间时，解密各自投标文件，由工作人员操作系统进行开标，投标人不足3家的，不得评标。</w:t>
      </w:r>
      <w:r>
        <w:rPr>
          <w:rFonts w:hint="eastAsia" w:ascii="宋体" w:hAnsi="宋体" w:eastAsia="宋体" w:cs="宋体"/>
          <w:color w:val="000000"/>
          <w:sz w:val="24"/>
          <w:lang w:val="en-US" w:eastAsia="zh-CN"/>
        </w:rPr>
        <w:t xml:space="preserve">具体</w:t>
      </w:r>
      <w:r>
        <w:rPr>
          <w:rFonts w:hint="eastAsia" w:ascii="宋体" w:hAnsi="宋体" w:eastAsia="宋体" w:cs="宋体"/>
          <w:color w:val="000000"/>
          <w:sz w:val="24"/>
        </w:rPr>
        <w:t xml:space="preserve">见招标文件第三章《投标资料表》。</w:t>
      </w:r>
      <w:r/>
    </w:p>
    <w:p>
      <w:pPr>
        <w:pStyle w:val="1050"/>
        <w:ind w:firstLine="465"/>
        <w:jc w:val="left"/>
        <w:widowControl/>
        <w:rPr>
          <w:rFonts w:hint="eastAsia" w:ascii="宋体" w:hAnsi="宋体" w:eastAsia="宋体" w:cs="宋体"/>
          <w:sz w:val="24"/>
        </w:rPr>
      </w:pPr>
      <w:r>
        <w:rPr>
          <w:rFonts w:hint="eastAsia" w:ascii="宋体" w:hAnsi="宋体" w:eastAsia="宋体" w:cs="宋体"/>
          <w:color w:val="000000"/>
          <w:sz w:val="24"/>
          <w:lang w:eastAsia="zh-CN"/>
        </w:rPr>
        <w:t xml:space="preserve">24</w:t>
      </w:r>
      <w:r>
        <w:rPr>
          <w:rFonts w:hint="eastAsia" w:ascii="宋体" w:hAnsi="宋体" w:eastAsia="宋体" w:cs="宋体"/>
          <w:color w:val="000000"/>
          <w:sz w:val="24"/>
        </w:rPr>
        <w:t xml:space="preserve">.4“苏采云”系统生成开标记录并向社会公众公布后6分钟内，投标人通过“苏采云”系统（使用“CA数字证书”）确认开标过程。在以上时间内投标人没有确认的，视同该投标人认可开标结果。</w:t>
      </w:r>
      <w:r/>
    </w:p>
    <w:p>
      <w:pPr>
        <w:pStyle w:val="1050"/>
        <w:ind w:firstLine="465"/>
        <w:jc w:val="left"/>
        <w:widowControl/>
        <w:rPr>
          <w:rFonts w:hint="eastAsia" w:ascii="宋体" w:hAnsi="宋体" w:eastAsia="宋体" w:cs="宋体"/>
          <w:sz w:val="24"/>
        </w:rPr>
      </w:pPr>
      <w:r>
        <w:rPr>
          <w:rFonts w:hint="eastAsia" w:ascii="宋体" w:hAnsi="宋体" w:eastAsia="宋体" w:cs="宋体"/>
          <w:sz w:val="24"/>
          <w:lang w:eastAsia="zh-CN"/>
        </w:rPr>
        <w:t xml:space="preserve">24</w:t>
      </w:r>
      <w:r>
        <w:rPr>
          <w:rFonts w:hint="eastAsia" w:ascii="宋体" w:hAnsi="宋体" w:eastAsia="宋体" w:cs="宋体"/>
          <w:sz w:val="24"/>
        </w:rPr>
        <w:t xml:space="preserve">.5因投标人原因造成投标文件未解密的，视为撤销其投标文件;因投标人之外的原因造成投标文件未解密的，视为撤回其投标文件。部分投标文件未解密的，其他投标文件的开标可以继续进行。</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25.公开招标采购项目开标结束后，采购人</w:t>
      </w:r>
      <w:r>
        <w:rPr>
          <w:rFonts w:hint="eastAsia" w:ascii="宋体" w:hAnsi="宋体" w:eastAsia="宋体" w:cs="宋体"/>
          <w:sz w:val="24"/>
          <w:lang w:val="en-US" w:eastAsia="zh-CN"/>
        </w:rPr>
        <w:t xml:space="preserve">或评标委员会</w:t>
      </w:r>
      <w:r>
        <w:rPr>
          <w:rFonts w:hint="eastAsia" w:ascii="宋体" w:hAnsi="宋体" w:eastAsia="宋体" w:cs="宋体"/>
          <w:sz w:val="24"/>
        </w:rPr>
        <w:t xml:space="preserve">依法对投标人的资格进行审查。</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26.评标委员会应当对符合资格的投标人的投标文件进行符合性审查，以确定其是否满足招标文件的实质性要求。</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27.评标委员会认为投标人的报价明显</w:t>
      </w:r>
      <w:r>
        <w:rPr>
          <w:rFonts w:hint="eastAsia" w:ascii="宋体" w:hAnsi="宋体" w:eastAsia="宋体" w:cs="宋体"/>
          <w:sz w:val="24"/>
          <w:lang w:val="en-US" w:eastAsia="zh-CN"/>
        </w:rPr>
        <w:t xml:space="preserve">高于</w:t>
      </w:r>
      <w:r>
        <w:rPr>
          <w:rFonts w:hint="eastAsia" w:ascii="宋体" w:hAnsi="宋体" w:eastAsia="宋体" w:cs="宋体"/>
          <w:sz w:val="24"/>
        </w:rPr>
        <w:t xml:space="preserve">其他通过符合性审查投标人的报价，有可能影响服务质量或者不能诚信履约的</w:t>
      </w:r>
      <w:r>
        <w:rPr>
          <w:rFonts w:hint="eastAsia" w:ascii="宋体" w:hAnsi="宋体" w:eastAsia="宋体" w:cs="宋体"/>
          <w:sz w:val="24"/>
          <w:lang w:eastAsia="zh-CN"/>
        </w:rPr>
        <w:t xml:space="preserve">；</w:t>
      </w:r>
      <w:r>
        <w:rPr>
          <w:rFonts w:hint="eastAsia" w:ascii="宋体" w:hAnsi="宋体" w:eastAsia="宋体" w:cs="宋体"/>
          <w:sz w:val="24"/>
        </w:rPr>
        <w:t xml:space="preserve">投标文件中含义不明确、同类问题表述不一致或者有明显文字和计算错误的内容，评标委员会通过“苏采云”系统要求投标人作出必要的说明，并规定回复时间。</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投标人说明应当采用通过“苏采云”系统（使用“CA数字证书”,加盖电子签章）形式。</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投标人不能证明其报价合理性的，评标委员会应当将其作为无效投标处理</w:t>
      </w:r>
      <w:r>
        <w:rPr>
          <w:rFonts w:hint="eastAsia" w:ascii="宋体" w:hAnsi="宋体" w:eastAsia="宋体" w:cs="宋体"/>
          <w:sz w:val="24"/>
          <w:lang w:eastAsia="zh-CN"/>
        </w:rPr>
        <w:t xml:space="preserve">，</w:t>
      </w:r>
      <w:r>
        <w:rPr>
          <w:rFonts w:hint="eastAsia" w:ascii="宋体" w:hAnsi="宋体" w:eastAsia="宋体" w:cs="宋体"/>
          <w:sz w:val="24"/>
        </w:rPr>
        <w:t xml:space="preserve">投标人的澄清、说明或者补正不得超出投标文件的范围或者改变投标文件的实质性内容。</w:t>
      </w:r>
      <w:r>
        <w:rPr>
          <w:rFonts w:hint="eastAsia" w:ascii="宋体" w:hAnsi="宋体" w:eastAsia="宋体" w:cs="宋体"/>
          <w:b w:val="0"/>
          <w:bCs w:val="0"/>
          <w:sz w:val="24"/>
        </w:rPr>
        <w:t xml:space="preserve">在评标期间，请投标人保持在线。</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28.评标委员会应当按照招标文件中规定的评标方法和标准，对符合性审查合格的投标文件进行商务和技术评估，综合比较与评价。</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29.评标方法、评标标准。</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29.1评标方法分为最低评标价法和综合评分法。本项目的评标方法：见招标文件第三章《投标资料表》。</w:t>
      </w:r>
      <w:r/>
    </w:p>
    <w:p>
      <w:pPr>
        <w:pStyle w:val="1199"/>
        <w:ind w:firstLine="480"/>
        <w:rPr>
          <w:rFonts w:hint="eastAsia" w:ascii="宋体" w:hAnsi="宋体" w:eastAsia="宋体" w:cs="宋体"/>
          <w:sz w:val="24"/>
        </w:rPr>
      </w:pPr>
      <w:r>
        <w:rPr>
          <w:rFonts w:hint="eastAsia" w:ascii="宋体" w:hAnsi="宋体" w:eastAsia="宋体" w:cs="宋体"/>
          <w:sz w:val="24"/>
        </w:rPr>
        <w:t xml:space="preserve">29.2本项目的评标标准：见招标文件第四章《评标标准》。</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30.投标文件报价出现前后不一致的，除招标文件另有规定外，按照下列规定修正：</w:t>
      </w:r>
      <w:r/>
    </w:p>
    <w:p>
      <w:pPr>
        <w:pStyle w:val="1199"/>
        <w:jc w:val="left"/>
        <w:widowControl/>
        <w:rPr>
          <w:rFonts w:hint="eastAsia" w:ascii="宋体" w:hAnsi="宋体" w:eastAsia="宋体" w:cs="宋体"/>
          <w:sz w:val="24"/>
        </w:rPr>
      </w:pPr>
      <w:r>
        <w:rPr>
          <w:rFonts w:hint="eastAsia" w:ascii="宋体" w:hAnsi="宋体" w:eastAsia="宋体" w:cs="宋体"/>
          <w:sz w:val="24"/>
        </w:rPr>
        <w:t xml:space="preserve">　　（一）投标</w:t>
      </w:r>
      <w:r>
        <w:rPr>
          <w:rFonts w:hint="eastAsia" w:ascii="宋体" w:hAnsi="宋体" w:eastAsia="宋体" w:cs="宋体"/>
          <w:color w:val="000000"/>
          <w:sz w:val="24"/>
        </w:rPr>
        <w:t xml:space="preserve">文件中</w:t>
      </w:r>
      <w:r>
        <w:rPr>
          <w:rFonts w:hint="eastAsia" w:ascii="宋体" w:hAnsi="宋体" w:eastAsia="宋体" w:cs="宋体"/>
          <w:color w:val="000000"/>
          <w:sz w:val="24"/>
          <w:lang w:eastAsia="zh-CN"/>
        </w:rPr>
        <w:t xml:space="preserve">分项价格表</w:t>
      </w:r>
      <w:r>
        <w:rPr>
          <w:rFonts w:hint="eastAsia" w:ascii="宋体" w:hAnsi="宋体" w:eastAsia="宋体" w:cs="宋体"/>
          <w:color w:val="000000"/>
          <w:sz w:val="24"/>
        </w:rPr>
        <w:t xml:space="preserve">（报价表）内</w:t>
      </w:r>
      <w:r>
        <w:rPr>
          <w:rFonts w:hint="eastAsia" w:ascii="宋体" w:hAnsi="宋体" w:eastAsia="宋体" w:cs="宋体"/>
          <w:sz w:val="24"/>
        </w:rPr>
        <w:t xml:space="preserve">容与投标文件中相应内容不一致的，以</w:t>
      </w:r>
      <w:r>
        <w:rPr>
          <w:rFonts w:hint="eastAsia" w:ascii="宋体" w:hAnsi="宋体" w:eastAsia="宋体" w:cs="宋体"/>
          <w:sz w:val="24"/>
          <w:lang w:eastAsia="zh-CN"/>
        </w:rPr>
        <w:t xml:space="preserve">分项价格表</w:t>
      </w:r>
      <w:r>
        <w:rPr>
          <w:rFonts w:hint="eastAsia" w:ascii="宋体" w:hAnsi="宋体" w:eastAsia="宋体" w:cs="宋体"/>
          <w:sz w:val="24"/>
        </w:rPr>
        <w:t xml:space="preserve">（报价表）为准；</w:t>
      </w:r>
      <w:r/>
    </w:p>
    <w:p>
      <w:pPr>
        <w:pStyle w:val="1199"/>
        <w:jc w:val="left"/>
        <w:widowControl/>
        <w:rPr>
          <w:rFonts w:hint="eastAsia" w:ascii="宋体" w:hAnsi="宋体" w:eastAsia="宋体" w:cs="宋体"/>
          <w:sz w:val="24"/>
        </w:rPr>
      </w:pPr>
      <w:r>
        <w:rPr>
          <w:rFonts w:hint="eastAsia" w:ascii="宋体" w:hAnsi="宋体" w:eastAsia="宋体" w:cs="宋体"/>
          <w:sz w:val="24"/>
        </w:rPr>
        <w:t xml:space="preserve">　　（二）大写金额和小写金额不一致的，以大写金额为准；</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（三）单价金额小数点或者百分比有明显错位的，以</w:t>
      </w:r>
      <w:r>
        <w:rPr>
          <w:rFonts w:hint="eastAsia" w:ascii="宋体" w:hAnsi="宋体" w:eastAsia="宋体" w:cs="宋体"/>
          <w:sz w:val="24"/>
          <w:lang w:eastAsia="zh-CN"/>
        </w:rPr>
        <w:t xml:space="preserve">分项价格表</w:t>
      </w:r>
      <w:r>
        <w:rPr>
          <w:rFonts w:hint="eastAsia" w:ascii="宋体" w:hAnsi="宋体" w:eastAsia="宋体" w:cs="宋体"/>
          <w:sz w:val="24"/>
        </w:rPr>
        <w:t xml:space="preserve">的总价为准，并修改单价；</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（四）总价金额与按单价汇总金额不一致的，以单价金额计算结果为准。</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同时出现两种以上不一致的，按照前款规定的顺序修正。</w:t>
      </w:r>
      <w:r/>
    </w:p>
    <w:p>
      <w:pPr>
        <w:pStyle w:val="1199"/>
        <w:ind w:firstLine="480"/>
        <w:jc w:val="left"/>
        <w:widowControl/>
        <w:rPr>
          <w:rFonts w:hint="eastAsia" w:ascii="宋体" w:hAnsi="宋体" w:eastAsia="宋体" w:cs="宋体"/>
          <w:b w:val="0"/>
          <w:bCs w:val="0"/>
          <w:sz w:val="24"/>
        </w:rPr>
      </w:pPr>
      <w:r>
        <w:rPr>
          <w:rFonts w:hint="eastAsia" w:ascii="宋体" w:hAnsi="宋体" w:eastAsia="宋体" w:cs="宋体"/>
          <w:sz w:val="24"/>
        </w:rPr>
        <w:t xml:space="preserve">修正后的报价按照</w:t>
      </w:r>
      <w:r>
        <w:rPr>
          <w:rFonts w:hint="eastAsia" w:ascii="宋体" w:hAnsi="宋体" w:eastAsia="宋体" w:cs="宋体"/>
          <w:b w:val="0"/>
          <w:bCs w:val="0"/>
          <w:color w:val="000000"/>
          <w:sz w:val="24"/>
          <w:highlight w:val="none"/>
        </w:rPr>
        <w:t xml:space="preserve">第27条</w:t>
      </w:r>
      <w:r>
        <w:rPr>
          <w:rFonts w:hint="eastAsia" w:ascii="宋体" w:hAnsi="宋体" w:eastAsia="宋体" w:cs="宋体"/>
          <w:b w:val="0"/>
          <w:bCs w:val="0"/>
          <w:sz w:val="24"/>
          <w:highlight w:val="none"/>
        </w:rPr>
        <w:t xml:space="preserve">第二</w:t>
      </w:r>
      <w:r>
        <w:rPr>
          <w:rFonts w:hint="eastAsia" w:ascii="宋体" w:hAnsi="宋体" w:eastAsia="宋体" w:cs="宋体"/>
          <w:b w:val="0"/>
          <w:bCs w:val="0"/>
          <w:sz w:val="24"/>
        </w:rPr>
        <w:t xml:space="preserve">段的规定经投标人确认后产生约束力，投标人不确认的，其投标无效。</w:t>
      </w:r>
      <w:r/>
    </w:p>
    <w:p>
      <w:pPr>
        <w:pStyle w:val="1199"/>
        <w:ind w:firstLine="480"/>
        <w:jc w:val="left"/>
        <w:widowControl/>
        <w:rPr>
          <w:rFonts w:hint="eastAsia" w:ascii="宋体" w:hAnsi="宋体" w:eastAsia="宋体" w:cs="宋体"/>
          <w:b w:val="0"/>
          <w:bCs w:val="0"/>
          <w:sz w:val="24"/>
          <w:lang w:val="en-US" w:eastAsia="zh-CN"/>
        </w:rPr>
      </w:pPr>
      <w:r>
        <w:rPr>
          <w:rFonts w:hint="eastAsia" w:ascii="宋体" w:hAnsi="宋体" w:eastAsia="宋体" w:cs="宋体"/>
          <w:sz w:val="24"/>
        </w:rPr>
        <w:t xml:space="preserve">31.</w:t>
      </w:r>
      <w:r>
        <w:rPr>
          <w:rFonts w:hint="eastAsia" w:ascii="宋体" w:hAnsi="宋体" w:eastAsia="宋体" w:cs="宋体"/>
          <w:b w:val="0"/>
          <w:bCs w:val="0"/>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99"/>
        <w:ind w:firstLine="480"/>
        <w:rPr>
          <w:rFonts w:hint="eastAsia" w:ascii="宋体" w:hAnsi="宋体" w:eastAsia="宋体" w:cs="宋体"/>
          <w:sz w:val="24"/>
        </w:rPr>
      </w:pPr>
      <w:r>
        <w:rPr>
          <w:rFonts w:hint="eastAsia" w:ascii="宋体" w:hAnsi="宋体" w:eastAsia="宋体" w:cs="宋体"/>
          <w:sz w:val="24"/>
          <w:lang w:val="en-US" w:eastAsia="zh-CN"/>
        </w:rPr>
        <w:t xml:space="preserve">32.</w:t>
      </w:r>
      <w:r>
        <w:rPr>
          <w:rFonts w:hint="eastAsia" w:ascii="宋体" w:hAnsi="宋体" w:eastAsia="宋体" w:cs="宋体"/>
          <w:sz w:val="24"/>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33.出现下列情形之一的，应予废标：</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（1)符合专业条件的供应商或者对招标文件作实质响应的供应商不足三家的；</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（2）出现影响采购公正的违法、违规行为的；</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（3）投标人的报价均超过了采购预算，采购人不能支付的；</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（4）因重大变故，采购任务取消的。</w:t>
      </w:r>
      <w:r/>
    </w:p>
    <w:p>
      <w:pPr>
        <w:pStyle w:val="1199"/>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五、中标和合同</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34.确定中标人</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34.1采购代理机构应当在评标结束后2个工作日内将评标报告送采购人。</w:t>
      </w:r>
      <w:r/>
    </w:p>
    <w:p>
      <w:pPr>
        <w:pStyle w:val="1199"/>
        <w:ind w:firstLine="465"/>
        <w:jc w:val="left"/>
        <w:widowControl/>
        <w:rPr>
          <w:rFonts w:hint="eastAsia" w:ascii="宋体" w:hAnsi="宋体" w:eastAsia="宋体" w:cs="宋体"/>
          <w:sz w:val="24"/>
        </w:rPr>
      </w:pPr>
      <w:r>
        <w:rPr>
          <w:rFonts w:hint="eastAsia" w:ascii="宋体" w:hAnsi="宋体" w:eastAsia="宋体" w:cs="宋体"/>
          <w:sz w:val="24"/>
        </w:rPr>
        <w:t xml:space="preserve">34.2采购人应当自收到评标报告之日起</w:t>
      </w:r>
      <w:r>
        <w:rPr>
          <w:rFonts w:hint="eastAsia" w:ascii="宋体" w:hAnsi="宋体" w:cs="宋体"/>
          <w:sz w:val="24"/>
          <w:lang w:val="en-US" w:eastAsia="zh-CN"/>
        </w:rPr>
        <w:t xml:space="preserve">5</w:t>
      </w:r>
      <w:r>
        <w:rPr>
          <w:rFonts w:hint="eastAsia" w:ascii="宋体" w:hAnsi="宋体" w:eastAsia="宋体" w:cs="宋体"/>
          <w:sz w:val="24"/>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pStyle w:val="1199"/>
        <w:ind w:firstLine="480"/>
        <w:jc w:val="left"/>
        <w:widowControl/>
        <w:rPr>
          <w:rFonts w:hint="eastAsia" w:ascii="宋体" w:hAnsi="宋体" w:eastAsia="宋体" w:cs="宋体"/>
          <w:sz w:val="24"/>
        </w:rPr>
      </w:pPr>
      <w:r>
        <w:rPr>
          <w:rFonts w:hint="eastAsia" w:ascii="宋体" w:hAnsi="宋体" w:eastAsia="宋体" w:cs="宋体"/>
          <w:sz w:val="24"/>
          <w:lang w:val="en-US" w:eastAsia="zh-CN"/>
        </w:rPr>
        <w:t xml:space="preserve">34.3</w:t>
      </w:r>
      <w:r>
        <w:rPr>
          <w:rFonts w:hint="eastAsia" w:ascii="宋体" w:hAnsi="宋体" w:eastAsia="宋体" w:cs="宋体"/>
          <w:sz w:val="24"/>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1199"/>
        <w:ind w:firstLine="465"/>
        <w:jc w:val="left"/>
        <w:widowControl/>
        <w:rPr>
          <w:rFonts w:hint="eastAsia" w:ascii="宋体" w:hAnsi="宋体" w:eastAsia="宋体" w:cs="宋体"/>
          <w:sz w:val="24"/>
        </w:rPr>
      </w:pPr>
      <w:r>
        <w:rPr>
          <w:rFonts w:hint="eastAsia" w:ascii="宋体" w:hAnsi="宋体" w:eastAsia="宋体" w:cs="宋体"/>
          <w:sz w:val="24"/>
        </w:rPr>
        <w:t xml:space="preserve">34.</w:t>
      </w:r>
      <w:r>
        <w:rPr>
          <w:rFonts w:hint="eastAsia" w:ascii="宋体" w:hAnsi="宋体" w:eastAsia="宋体" w:cs="宋体"/>
          <w:sz w:val="24"/>
          <w:lang w:val="en-US" w:eastAsia="zh-CN"/>
        </w:rPr>
        <w:t xml:space="preserve">4</w:t>
      </w:r>
      <w:r>
        <w:rPr>
          <w:rFonts w:hint="eastAsia" w:ascii="宋体" w:hAnsi="宋体" w:eastAsia="宋体" w:cs="宋体"/>
          <w:sz w:val="24"/>
        </w:rPr>
        <w:t xml:space="preserve">中标或者成交供应商拒绝与采购人签订合同的，采购人可以按照评审报告推荐的中标或者成交候选人名单排序，确定下一候选人为中标或者成交供应商，也可以重新开展政府采购活动。</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5</w:t>
      </w:r>
      <w:r>
        <w:rPr>
          <w:rFonts w:hint="eastAsia" w:ascii="宋体" w:hAnsi="宋体" w:eastAsia="宋体" w:cs="宋体"/>
          <w:sz w:val="24"/>
        </w:rPr>
        <w:t xml:space="preserve">.中标通知书发出后，采购人不得违法改变中标结果，中标人无正当理由不得放弃中标。</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6</w:t>
      </w:r>
      <w:r>
        <w:rPr>
          <w:rFonts w:hint="eastAsia" w:ascii="宋体" w:hAnsi="宋体" w:eastAsia="宋体" w:cs="宋体"/>
          <w:sz w:val="24"/>
        </w:rPr>
        <w:t xml:space="preserve">.采购人应当自中标通知书发出之日起15日内，按照招标文件和中标人投标文件的规定，与中标人签订书面合同。所签订的合同不得对招标文件确定的事项和中标人投标文件作实质性修改。</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采购人不得向中标人提出任何不合理的要求作为签订合同的条件。</w:t>
      </w:r>
      <w:r/>
    </w:p>
    <w:p>
      <w:pPr>
        <w:pStyle w:val="1199"/>
        <w:ind w:firstLine="480"/>
        <w:jc w:val="lef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7</w:t>
      </w:r>
      <w:r>
        <w:rPr>
          <w:rFonts w:hint="eastAsia" w:ascii="宋体" w:hAnsi="宋体" w:eastAsia="宋体" w:cs="宋体"/>
          <w:sz w:val="24"/>
        </w:rPr>
        <w:t xml:space="preserve">.政府采购合同应当包括采购人与中标人的名称和住所、标的、数量、服务、保费或者盈亏、履行期限及地点和方式、验收要求、违约责任、解决争议的方法等内容。</w:t>
      </w:r>
      <w:r/>
    </w:p>
    <w:p>
      <w:pPr>
        <w:pStyle w:val="1199"/>
        <w:ind w:firstLine="480"/>
        <w:jc w:val="left"/>
        <w:rPr>
          <w:rFonts w:hint="eastAsia" w:ascii="宋体" w:hAnsi="宋体" w:eastAsia="宋体" w:cs="宋体"/>
          <w:sz w:val="24"/>
        </w:rPr>
      </w:pPr>
      <w:r>
        <w:rPr>
          <w:rFonts w:hint="eastAsia" w:ascii="宋体" w:hAnsi="宋体" w:eastAsia="宋体" w:cs="宋体"/>
          <w:sz w:val="24"/>
          <w:lang w:val="en-US" w:eastAsia="zh-CN"/>
        </w:rPr>
        <w:t xml:space="preserve">38.</w:t>
      </w:r>
      <w:r>
        <w:rPr>
          <w:rFonts w:hint="eastAsia" w:ascii="宋体" w:hAnsi="宋体" w:eastAsia="宋体" w:cs="宋体"/>
          <w:sz w:val="24"/>
        </w:rPr>
        <w:t xml:space="preserve">采购人与中标人应当根据合同的约定依法履行合同义务。政府采购合同的履行、违约责任和解决争议的方法等，按《中华人民共和国民法典》相关条款执行。</w:t>
      </w:r>
      <w:r/>
    </w:p>
    <w:p>
      <w:pPr>
        <w:pStyle w:val="1199"/>
        <w:ind w:firstLine="480"/>
        <w:jc w:val="lef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39.腐败和欺诈行为：</w:t>
      </w:r>
      <w:r/>
    </w:p>
    <w:p>
      <w:pPr>
        <w:pStyle w:val="1199"/>
        <w:ind w:firstLine="480"/>
        <w:jc w:val="left"/>
        <w:rPr>
          <w:rFonts w:hint="eastAsia" w:ascii="宋体" w:hAnsi="宋体" w:eastAsia="宋体" w:cs="宋体"/>
          <w:color w:val="000000"/>
          <w:sz w:val="24"/>
        </w:rPr>
      </w:pPr>
      <w:r>
        <w:rPr>
          <w:rFonts w:hint="eastAsia" w:ascii="宋体" w:hAnsi="宋体" w:eastAsia="宋体" w:cs="宋体"/>
          <w:color w:val="000000"/>
          <w:sz w:val="24"/>
        </w:rPr>
        <w:t xml:space="preserve">采购代理机构、采购人、投标人等参与招投标的各方，均应在招标、采购、合同执行等过程中保持廉洁和最高的道德水准。</w:t>
      </w:r>
      <w:r/>
    </w:p>
    <w:p>
      <w:pPr>
        <w:pStyle w:val="1199"/>
        <w:ind w:firstLine="480"/>
        <w:jc w:val="left"/>
        <w:rPr>
          <w:rFonts w:hint="eastAsia" w:ascii="宋体" w:hAnsi="宋体" w:eastAsia="宋体" w:cs="宋体"/>
          <w:color w:val="000000"/>
          <w:sz w:val="24"/>
        </w:rPr>
      </w:pPr>
      <w:r>
        <w:rPr>
          <w:rFonts w:hint="eastAsia" w:ascii="宋体" w:hAnsi="宋体" w:eastAsia="宋体" w:cs="宋体"/>
          <w:color w:val="000000"/>
          <w:sz w:val="24"/>
        </w:rPr>
        <w:t xml:space="preserve">（1）腐败和欺诈行为的含义：</w:t>
      </w:r>
      <w:r/>
    </w:p>
    <w:p>
      <w:pPr>
        <w:pStyle w:val="1199"/>
        <w:ind w:firstLine="360"/>
        <w:jc w:val="left"/>
        <w:rPr>
          <w:rFonts w:hint="eastAsia" w:ascii="宋体" w:hAnsi="宋体" w:eastAsia="宋体" w:cs="宋体"/>
          <w:color w:val="000000"/>
          <w:sz w:val="24"/>
        </w:rPr>
      </w:pPr>
      <w:r>
        <w:rPr>
          <w:rFonts w:hint="eastAsia" w:ascii="宋体" w:hAnsi="宋体" w:eastAsia="宋体" w:cs="宋体"/>
          <w:color w:val="000000"/>
          <w:sz w:val="18"/>
          <w:szCs w:val="18"/>
        </w:rPr>
        <w:t xml:space="preserve">①</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腐败行为</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系指在招标、采购和合同执行等过程中，为了谋求私利，影响相关人员提供、给予、接受或索取有价物品，并导致损害买方、卖方、采购代理机构和他人利益的行为。</w:t>
      </w:r>
      <w:r/>
    </w:p>
    <w:p>
      <w:pPr>
        <w:pStyle w:val="1199"/>
        <w:ind w:firstLine="360"/>
        <w:jc w:val="left"/>
        <w:rPr>
          <w:rFonts w:hint="eastAsia" w:ascii="宋体" w:hAnsi="宋体" w:eastAsia="宋体" w:cs="宋体"/>
          <w:color w:val="000000"/>
          <w:sz w:val="24"/>
        </w:rPr>
      </w:pPr>
      <w:r>
        <w:rPr>
          <w:rFonts w:hint="eastAsia" w:ascii="宋体" w:hAnsi="宋体" w:eastAsia="宋体" w:cs="宋体"/>
          <w:color w:val="000000"/>
          <w:sz w:val="18"/>
          <w:szCs w:val="18"/>
        </w:rPr>
        <w:t xml:space="preserve">②</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欺诈行为</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系指为了影响招标、采购和合同执行等过程，隐瞒事实真相，给买方、卖方、采购代理机构及他人造成损害的行为，其中包括投标人之间的串通行为。</w:t>
      </w:r>
      <w:r/>
    </w:p>
    <w:p>
      <w:pPr>
        <w:pStyle w:val="1199"/>
        <w:ind w:firstLine="480"/>
        <w:jc w:val="left"/>
        <w:rPr>
          <w:rFonts w:hint="eastAsia" w:ascii="宋体" w:hAnsi="宋体" w:eastAsia="宋体" w:cs="宋体"/>
          <w:color w:val="000000"/>
          <w:sz w:val="24"/>
        </w:rPr>
      </w:pPr>
      <w:r>
        <w:rPr>
          <w:rFonts w:hint="eastAsia" w:ascii="宋体" w:hAnsi="宋体" w:eastAsia="宋体" w:cs="宋体"/>
          <w:color w:val="000000"/>
          <w:sz w:val="24"/>
        </w:rPr>
        <w:t xml:space="preserve">（2）如果被推荐的中标人有腐败和欺诈行为，将取消其中标资格。</w:t>
      </w:r>
      <w:r/>
    </w:p>
    <w:p>
      <w:pPr>
        <w:pStyle w:val="1199"/>
        <w:ind w:firstLine="480"/>
        <w:jc w:val="left"/>
        <w:rPr>
          <w:rFonts w:hint="eastAsia" w:ascii="宋体" w:hAnsi="宋体" w:eastAsia="宋体" w:cs="宋体"/>
          <w:color w:val="000000"/>
        </w:rPr>
      </w:pPr>
      <w:r>
        <w:rPr>
          <w:rFonts w:hint="eastAsia" w:ascii="宋体" w:hAnsi="宋体" w:eastAsia="宋体" w:cs="宋体"/>
          <w:color w:val="000000"/>
          <w:sz w:val="24"/>
        </w:rPr>
        <w:t xml:space="preserve">（3）如果投标人在任何时候，被法院及政府有关管理部门认定为有腐败和欺诈行为，采购代理机构有权拒绝其投标、取消其中标资格和撤销其已签署的合同。</w:t>
      </w:r>
      <w:r/>
    </w:p>
    <w:p>
      <w:pPr>
        <w:pStyle w:val="1199"/>
        <w:jc w:val="left"/>
        <w:keepLines w:val="0"/>
        <w:keepNext w:val="0"/>
        <w:pageBreakBefore w:val="0"/>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六、询问和质疑</w:t>
      </w:r>
      <w:r/>
    </w:p>
    <w:p>
      <w:pPr>
        <w:pStyle w:val="1199"/>
        <w:ind w:firstLine="480"/>
        <w:jc w:val="lef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40.询问和质疑：</w:t>
      </w:r>
      <w:r>
        <w:rPr>
          <w:rFonts w:hint="eastAsia" w:ascii="宋体" w:hAnsi="宋体" w:eastAsia="宋体" w:cs="宋体"/>
          <w:color w:val="000000"/>
          <w:sz w:val="24"/>
        </w:rPr>
        <w:t xml:space="preserve">见招标文件第三章《投标资料表》。</w:t>
      </w:r>
      <w:r/>
    </w:p>
    <w:p>
      <w:pPr>
        <w:pStyle w:val="1199"/>
        <w:jc w:val="left"/>
        <w:keepLines w:val="0"/>
        <w:keepNext w:val="0"/>
        <w:pageBreakBefore w:val="0"/>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七、电子招标投标交易平台</w:t>
      </w:r>
      <w:r/>
    </w:p>
    <w:p>
      <w:pPr>
        <w:pStyle w:val="1199"/>
        <w:ind w:firstLine="480"/>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41.电子招标投标交易平台（即“苏采云”系统，网址：</w:t>
      </w:r>
      <w:r>
        <w:rPr>
          <w:rFonts w:hint="eastAsia" w:ascii="宋体" w:hAnsi="宋体" w:eastAsia="宋体" w:cs="宋体"/>
          <w:color w:val="000000"/>
          <w:sz w:val="24"/>
          <w:lang w:val="en-US" w:eastAsia="zh-CN"/>
        </w:rPr>
        <w:fldChar w:fldCharType="begin"/>
      </w:r>
      <w:r>
        <w:rPr>
          <w:rFonts w:hint="eastAsia" w:ascii="宋体" w:hAnsi="宋体" w:eastAsia="宋体" w:cs="宋体"/>
          <w:color w:val="000000"/>
          <w:sz w:val="24"/>
          <w:lang w:val="en-US" w:eastAsia="zh-CN"/>
        </w:rPr>
        <w:instrText xml:space="preserve">HYPERLINK "http://jszfcg.jsczt.cn/"</w:instrText>
      </w:r>
      <w:r>
        <w:rPr>
          <w:rFonts w:hint="eastAsia" w:ascii="宋体" w:hAnsi="宋体" w:eastAsia="宋体" w:cs="宋体"/>
          <w:color w:val="000000"/>
          <w:sz w:val="24"/>
          <w:lang w:val="en-US" w:eastAsia="zh-CN"/>
        </w:rPr>
        <w:fldChar w:fldCharType="separate"/>
      </w:r>
      <w:r>
        <w:rPr>
          <w:rFonts w:hint="eastAsia" w:ascii="宋体" w:hAnsi="宋体" w:eastAsia="宋体" w:cs="宋体"/>
          <w:color w:val="000000"/>
          <w:sz w:val="24"/>
          <w:lang w:val="en-US" w:eastAsia="zh-CN"/>
        </w:rPr>
        <w:t xml:space="preserve">http://jszfcg.jsczt.cn/</w:t>
      </w:r>
      <w:r>
        <w:rPr>
          <w:rFonts w:hint="eastAsia" w:ascii="宋体" w:hAnsi="宋体" w:eastAsia="宋体" w:cs="宋体"/>
          <w:color w:val="000000"/>
          <w:sz w:val="24"/>
          <w:lang w:val="en-US" w:eastAsia="zh-CN"/>
        </w:rPr>
        <w:fldChar w:fldCharType="end"/>
      </w:r>
      <w:r>
        <w:rPr>
          <w:rFonts w:hint="eastAsia" w:ascii="宋体" w:hAnsi="宋体" w:eastAsia="宋体" w:cs="宋体"/>
          <w:color w:val="000000"/>
          <w:sz w:val="24"/>
          <w:lang w:val="en-US" w:eastAsia="zh-CN"/>
        </w:rPr>
        <w:t xml:space="preserve">）相关要求是本招标文件的组成部分。</w:t>
      </w:r>
      <w:r/>
    </w:p>
    <w:p>
      <w:pPr>
        <w:pStyle w:val="1199"/>
        <w:ind w:firstLine="480"/>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特别说明：“苏采云”系统通过“江苏省政府采购一体化不见面开标大厅”提醒投标人。投标人自行查看，投标人因自身原因不及时查看导致没收到信息，“苏采云”系统和代理机构不承担任何责任。</w:t>
      </w:r>
      <w:r/>
    </w:p>
    <w:p>
      <w:pPr>
        <w:pStyle w:val="1199"/>
        <w:ind w:firstLine="480"/>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1199"/>
        <w:ind w:firstLine="48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1201"/>
        <w:keepLines/>
        <w:keepNext/>
        <w:pageBreakBefore/>
        <w:spacing w:line="579" w:lineRule="auto"/>
        <w:widowControl w:val="off"/>
        <w:rPr>
          <w:rFonts w:hint="eastAsia" w:ascii="宋体" w:hAnsi="宋体" w:eastAsia="宋体" w:cs="宋体"/>
        </w:rPr>
        <w:outlineLvl w:val="0"/>
      </w:pPr>
      <w:r/>
      <w:bookmarkStart w:id="14" w:name="_Toc18616_WPSOffice_Level1"/>
      <w:r>
        <w:rPr>
          <w:rFonts w:hint="eastAsia" w:ascii="宋体" w:hAnsi="宋体" w:eastAsia="宋体" w:cs="宋体"/>
        </w:rPr>
        <w:t xml:space="preserve">第三章 投标资料表</w:t>
      </w:r>
      <w:bookmarkEnd w:id="11"/>
      <w:r/>
      <w:bookmarkEnd w:id="12"/>
      <w:r/>
      <w:bookmarkEnd w:id="13"/>
      <w:r/>
      <w:bookmarkEnd w:id="14"/>
      <w:r/>
      <w:r/>
    </w:p>
    <w:p>
      <w:pPr>
        <w:pStyle w:val="1213"/>
        <w:ind w:firstLine="480"/>
        <w:rPr>
          <w:rFonts w:hint="eastAsia" w:ascii="宋体" w:hAnsi="宋体" w:eastAsia="宋体" w:cs="宋体"/>
        </w:rPr>
      </w:pPr>
      <w:r>
        <w:rPr>
          <w:rFonts w:hint="eastAsia" w:ascii="宋体" w:hAnsi="宋体" w:eastAsia="宋体" w:cs="宋体"/>
          <w:sz w:val="24"/>
        </w:rPr>
        <w:t xml:space="preserve">该资料表的条款项号是与《投标人须知》中条款项号对应的，或增加的条款，是对《投标人须知》的补充、修改和完善，如果有矛盾的话，应以本资料表为准。</w:t>
      </w:r>
      <w:r/>
    </w:p>
    <w:tbl>
      <w:tblPr>
        <w:tblStyle w:val="1025"/>
        <w:tblW w:w="860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4"/>
        <w:gridCol w:w="7896"/>
      </w:tblGrid>
      <w:tr>
        <w:trPr>
          <w:jc w:val="center"/>
          <w:trHeight w:val="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条款项号</w:t>
            </w:r>
            <w:r/>
          </w:p>
        </w:tc>
        <w:tc>
          <w:tcPr>
            <w:tcBorders>
              <w:top w:val="single" w:color="000000" w:sz="4" w:space="0"/>
              <w:left w:val="single" w:color="000000" w:sz="4" w:space="0"/>
              <w:bottom w:val="single" w:color="000000" w:sz="4" w:space="0"/>
              <w:right w:val="single" w:color="000000" w:sz="4" w:space="0"/>
            </w:tcBorders>
            <w:tcW w:w="7896" w:type="dxa"/>
            <w:vAlign w:val="center"/>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内容</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一、总则</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rPr>
                <w:rFonts w:hint="eastAsia" w:ascii="宋体" w:hAnsi="宋体" w:eastAsia="宋体" w:cs="宋体"/>
                <w:sz w:val="24"/>
                <w:lang w:eastAsia="zh-CN"/>
              </w:rPr>
            </w:pPr>
            <w:r>
              <w:rPr>
                <w:rFonts w:hint="eastAsia" w:ascii="宋体" w:hAnsi="宋体" w:eastAsia="宋体" w:cs="宋体"/>
                <w:sz w:val="24"/>
              </w:rPr>
              <w:t xml:space="preserve">本项目采购人：</w:t>
            </w:r>
            <w:r>
              <w:rPr>
                <w:rFonts w:hint="eastAsia" w:ascii="宋体" w:hAnsi="宋体" w:eastAsia="宋体" w:cs="宋体"/>
                <w:sz w:val="24"/>
                <w:lang w:eastAsia="zh-CN"/>
              </w:rPr>
              <w:t xml:space="preserve">丰县残疾人联合会</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2.1</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rPr>
                <w:rFonts w:hint="eastAsia" w:ascii="宋体" w:hAnsi="宋体" w:eastAsia="宋体" w:cs="宋体"/>
                <w:sz w:val="24"/>
              </w:rPr>
            </w:pPr>
            <w:r>
              <w:rPr>
                <w:rFonts w:hint="eastAsia" w:ascii="宋体" w:hAnsi="宋体" w:eastAsia="宋体" w:cs="宋体"/>
                <w:sz w:val="24"/>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rPr>
                <w:rFonts w:hint="eastAsia" w:ascii="宋体" w:hAnsi="宋体" w:eastAsia="宋体" w:cs="宋体"/>
                <w:sz w:val="24"/>
              </w:rPr>
            </w:pPr>
            <w:r>
              <w:rPr>
                <w:rFonts w:hint="eastAsia" w:ascii="宋体" w:hAnsi="宋体" w:eastAsia="宋体" w:cs="宋体"/>
                <w:sz w:val="24"/>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rPr>
                <w:rFonts w:hint="eastAsia" w:ascii="宋体" w:hAnsi="宋体" w:eastAsia="宋体" w:cs="宋体"/>
                <w:sz w:val="24"/>
              </w:rPr>
            </w:pPr>
            <w:r>
              <w:rPr>
                <w:rFonts w:hint="eastAsia" w:ascii="宋体" w:hAnsi="宋体" w:eastAsia="宋体" w:cs="宋体"/>
                <w:sz w:val="24"/>
              </w:rPr>
              <w:t xml:space="preserve">本项目采购代理机构：</w:t>
            </w:r>
            <w:r>
              <w:rPr>
                <w:rFonts w:hint="eastAsia" w:ascii="宋体" w:hAnsi="宋体" w:eastAsia="宋体" w:cs="宋体"/>
                <w:sz w:val="24"/>
                <w:lang w:eastAsia="zh-CN"/>
              </w:rPr>
              <w:t xml:space="preserve">徐州众信项目管理咨询有限公司</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二、招标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9.1</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rPr>
                <w:rFonts w:hint="eastAsia" w:ascii="宋体" w:hAnsi="宋体" w:eastAsia="宋体" w:cs="宋体"/>
                <w:sz w:val="24"/>
              </w:rPr>
            </w:pPr>
            <w:r>
              <w:rPr>
                <w:rFonts w:hint="eastAsia" w:ascii="宋体" w:hAnsi="宋体" w:eastAsia="宋体" w:cs="宋体"/>
                <w:sz w:val="24"/>
              </w:rPr>
              <w:t xml:space="preserve">采购项目预算金额：</w:t>
            </w:r>
            <w:r>
              <w:rPr>
                <w:rFonts w:hint="eastAsia" w:ascii="宋体" w:hAnsi="宋体" w:cs="宋体"/>
                <w:sz w:val="24"/>
                <w:lang w:val="en-US" w:eastAsia="zh-CN"/>
              </w:rPr>
              <w:t xml:space="preserve">70</w:t>
            </w:r>
            <w:r>
              <w:rPr>
                <w:rFonts w:hint="eastAsia" w:ascii="宋体" w:hAnsi="宋体" w:eastAsia="宋体" w:cs="宋体"/>
                <w:sz w:val="24"/>
                <w:lang w:val="en-US" w:eastAsia="zh-CN"/>
              </w:rPr>
              <w:t xml:space="preserve">万元</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10.1</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rPr>
                <w:rFonts w:hint="eastAsia" w:ascii="宋体" w:hAnsi="宋体" w:eastAsia="宋体" w:cs="宋体"/>
                <w:sz w:val="24"/>
              </w:rPr>
            </w:pPr>
            <w:r>
              <w:rPr>
                <w:rFonts w:hint="eastAsia" w:ascii="宋体" w:hAnsi="宋体" w:eastAsia="宋体" w:cs="宋体"/>
                <w:sz w:val="24"/>
              </w:rPr>
              <w:t xml:space="preserve">本项目对险种的要求：团体意外伤害保险和重大疾病保险。</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11.2</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rPr>
                <w:rFonts w:hint="eastAsia" w:ascii="宋体" w:hAnsi="宋体" w:eastAsia="宋体" w:cs="宋体"/>
                <w:sz w:val="24"/>
              </w:rPr>
            </w:pPr>
            <w:r>
              <w:rPr>
                <w:rFonts w:hint="eastAsia" w:ascii="宋体" w:hAnsi="宋体" w:eastAsia="宋体" w:cs="宋体"/>
                <w:sz w:val="24"/>
              </w:rPr>
              <w:t xml:space="preserve">投标有效期:90天。</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12.1</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rPr>
                <w:rFonts w:hint="eastAsia" w:ascii="宋体" w:hAnsi="宋体" w:eastAsia="宋体" w:cs="宋体"/>
                <w:sz w:val="24"/>
              </w:rPr>
            </w:pPr>
            <w:r>
              <w:rPr>
                <w:rFonts w:hint="eastAsia" w:ascii="宋体" w:hAnsi="宋体" w:eastAsia="宋体" w:cs="宋体"/>
                <w:sz w:val="24"/>
              </w:rPr>
              <w:t xml:space="preserve">招标文件售价：免费。</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13.1</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jc w:val="left"/>
              <w:keepLines w:val="0"/>
              <w:keepNext w:val="0"/>
              <w:widowControl/>
              <w:rPr>
                <w:rFonts w:hint="eastAsia" w:ascii="宋体" w:hAnsi="宋体" w:eastAsia="宋体" w:cs="宋体"/>
                <w:sz w:val="24"/>
                <w:lang w:eastAsia="zh-CN"/>
              </w:rPr>
              <w:suppressLineNumbers w:val="0"/>
            </w:pPr>
            <w:r>
              <w:rPr>
                <w:rFonts w:hint="eastAsia" w:ascii="宋体" w:hAnsi="宋体" w:eastAsia="宋体" w:cs="宋体"/>
                <w:sz w:val="24"/>
              </w:rPr>
              <w:t xml:space="preserve">采购代理机构代理费用由中标人</w:t>
            </w:r>
            <w:r>
              <w:rPr>
                <w:rFonts w:hint="eastAsia" w:ascii="宋体" w:hAnsi="宋体" w:eastAsia="宋体" w:cs="宋体"/>
                <w:sz w:val="24"/>
                <w:lang w:val="en-US" w:eastAsia="zh-CN"/>
              </w:rPr>
              <w:t xml:space="preserve">签订政府采购合同后30日内</w:t>
            </w:r>
            <w:r>
              <w:rPr>
                <w:rFonts w:hint="eastAsia" w:ascii="宋体" w:hAnsi="宋体" w:eastAsia="宋体" w:cs="宋体"/>
                <w:sz w:val="24"/>
              </w:rPr>
              <w:t xml:space="preserve">支付</w:t>
            </w:r>
            <w:r>
              <w:rPr>
                <w:rFonts w:hint="eastAsia" w:ascii="宋体" w:hAnsi="宋体" w:eastAsia="宋体" w:cs="宋体"/>
                <w:sz w:val="24"/>
                <w:lang w:eastAsia="zh-CN"/>
              </w:rPr>
              <w:t xml:space="preserve">，</w:t>
            </w:r>
            <w:r>
              <w:rPr>
                <w:rFonts w:hint="eastAsia" w:ascii="宋体" w:hAnsi="宋体" w:cs="宋体"/>
                <w:sz w:val="24"/>
                <w:highlight w:val="none"/>
              </w:rPr>
              <w:t xml:space="preserve">收费标准执</w:t>
            </w:r>
            <w:r>
              <w:rPr>
                <w:rFonts w:hint="eastAsia" w:ascii="宋体" w:hAnsi="宋体" w:eastAsia="宋体" w:cs="宋体"/>
                <w:sz w:val="24"/>
              </w:rPr>
              <w:t xml:space="preserve">行</w:t>
            </w:r>
            <w:r>
              <w:rPr>
                <w:rFonts w:hint="default" w:ascii="宋体" w:hAnsi="宋体" w:eastAsia="宋体" w:cs="宋体"/>
                <w:sz w:val="24"/>
                <w:lang w:val="en-US" w:eastAsia="zh-CN"/>
              </w:rPr>
              <w:t xml:space="preserve">《徐州市政府采购业务代理服务费行业指</w:t>
            </w:r>
            <w:r>
              <w:rPr>
                <w:rFonts w:hint="eastAsia" w:ascii="宋体" w:hAnsi="宋体" w:eastAsia="宋体" w:cs="宋体"/>
                <w:sz w:val="24"/>
                <w:lang w:val="en-US" w:eastAsia="zh-CN"/>
              </w:rPr>
              <w:t xml:space="preserve">导价格标准》的82%</w:t>
            </w:r>
            <w:r>
              <w:rPr>
                <w:rFonts w:hint="eastAsia" w:ascii="宋体" w:hAnsi="宋体" w:eastAsia="宋体" w:cs="宋体"/>
                <w:sz w:val="24"/>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14.2</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rPr>
                <w:rFonts w:hint="eastAsia" w:ascii="宋体" w:hAnsi="宋体" w:eastAsia="宋体" w:cs="宋体"/>
                <w:sz w:val="24"/>
              </w:rPr>
            </w:pPr>
            <w:r>
              <w:rPr>
                <w:rFonts w:hint="eastAsia" w:ascii="宋体" w:hAnsi="宋体" w:eastAsia="宋体" w:cs="宋体"/>
                <w:sz w:val="24"/>
              </w:rPr>
              <w:t xml:space="preserve">现场考察：不组织现场考察。</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14.3</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rPr>
                <w:rFonts w:hint="eastAsia" w:ascii="宋体" w:hAnsi="宋体" w:eastAsia="宋体" w:cs="宋体"/>
                <w:sz w:val="24"/>
              </w:rPr>
            </w:pPr>
            <w:r>
              <w:rPr>
                <w:rFonts w:hint="eastAsia" w:ascii="宋体" w:hAnsi="宋体" w:eastAsia="宋体" w:cs="宋体"/>
                <w:sz w:val="24"/>
              </w:rPr>
              <w:t xml:space="preserve">开标前答疑会：不组织开标前答疑会。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15.1</w:t>
            </w:r>
            <w:r/>
          </w:p>
          <w:p>
            <w:pPr>
              <w:pStyle w:val="1199"/>
              <w:jc w:val="center"/>
              <w:rPr>
                <w:rFonts w:hint="eastAsia" w:ascii="宋体" w:hAnsi="宋体" w:eastAsia="宋体" w:cs="宋体"/>
                <w:sz w:val="24"/>
              </w:rPr>
            </w:pPr>
            <w:r>
              <w:rPr>
                <w:rFonts w:hint="eastAsia" w:ascii="宋体" w:hAnsi="宋体" w:eastAsia="宋体" w:cs="宋体"/>
                <w:sz w:val="24"/>
              </w:rPr>
              <w:t xml:space="preserve">15.2</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eastAsia="宋体" w:cs="宋体"/>
                <w:bCs/>
                <w:sz w:val="24"/>
              </w:rPr>
              <w:t xml:space="preserve">并通过“苏采云”系统重新下载更正（澄清）后的采购文件（后缀名为“.kedt”），离线编制投标文件，</w:t>
            </w:r>
            <w:r>
              <w:rPr>
                <w:rFonts w:hint="eastAsia" w:ascii="宋体" w:hAnsi="宋体" w:eastAsia="宋体" w:cs="宋体"/>
                <w:sz w:val="24"/>
              </w:rPr>
              <w:t xml:space="preserve">否则，将自行承担相应的风险。</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50"/>
              <w:jc w:val="center"/>
              <w:rPr>
                <w:rFonts w:hint="eastAsia" w:ascii="宋体" w:hAnsi="宋体" w:eastAsia="宋体" w:cs="宋体"/>
                <w:sz w:val="24"/>
                <w:szCs w:val="24"/>
                <w:lang w:val="en-US" w:eastAsia="zh-CN" w:bidi="ar-SA"/>
              </w:rPr>
            </w:pPr>
            <w:r>
              <w:rPr>
                <w:rFonts w:hint="eastAsia" w:ascii="宋体" w:hAnsi="宋体" w:eastAsia="宋体" w:cs="宋体"/>
                <w:sz w:val="24"/>
              </w:rPr>
              <w:t xml:space="preserve">16.1</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050"/>
              <w:ind w:firstLine="480"/>
              <w:jc w:val="left"/>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tc>
      </w:tr>
      <w:tr>
        <w:trPr>
          <w:jc w:val="center"/>
          <w:trHeight w:val="871"/>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17.</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ind w:firstLine="480"/>
              <w:rPr>
                <w:rFonts w:hint="eastAsia" w:ascii="宋体" w:hAnsi="宋体" w:eastAsia="宋体" w:cs="宋体"/>
                <w:bCs/>
                <w:color w:val="000000"/>
                <w:sz w:val="24"/>
              </w:rPr>
            </w:pPr>
            <w:r>
              <w:rPr>
                <w:rFonts w:hint="eastAsia" w:ascii="宋体" w:hAnsi="宋体" w:eastAsia="宋体" w:cs="宋体"/>
                <w:color w:val="000000"/>
                <w:sz w:val="24"/>
              </w:rPr>
              <w:t xml:space="preserve">投标人信用信息查询渠道及截止时点、信用信息查询记录和证据留存的具体方式、信用信息的使用规则等：</w:t>
            </w:r>
            <w:r/>
          </w:p>
          <w:p>
            <w:pPr>
              <w:pStyle w:val="1199"/>
              <w:ind w:firstLine="480"/>
              <w:rPr>
                <w:rFonts w:hint="eastAsia" w:ascii="宋体" w:hAnsi="宋体" w:eastAsia="宋体" w:cs="宋体"/>
                <w:color w:val="000000"/>
                <w:sz w:val="24"/>
              </w:rPr>
            </w:pPr>
            <w:r>
              <w:rPr>
                <w:rFonts w:hint="eastAsia" w:ascii="宋体" w:hAnsi="宋体" w:eastAsia="宋体" w:cs="宋体"/>
                <w:bCs/>
                <w:color w:val="000000"/>
                <w:sz w:val="24"/>
              </w:rPr>
              <w:t xml:space="preserve">一、</w:t>
            </w:r>
            <w:r>
              <w:rPr>
                <w:rFonts w:hint="eastAsia" w:ascii="宋体" w:hAnsi="宋体" w:eastAsia="宋体" w:cs="宋体"/>
                <w:color w:val="000000"/>
                <w:sz w:val="24"/>
              </w:rPr>
              <w:t xml:space="preserve">由采购人查询信用信息。</w:t>
            </w:r>
            <w:r/>
          </w:p>
          <w:p>
            <w:pPr>
              <w:pStyle w:val="1199"/>
              <w:ind w:firstLine="480"/>
              <w:rPr>
                <w:rFonts w:hint="eastAsia" w:ascii="宋体" w:hAnsi="宋体" w:eastAsia="宋体" w:cs="宋体"/>
                <w:color w:val="000000"/>
                <w:sz w:val="24"/>
              </w:rPr>
            </w:pPr>
            <w:r>
              <w:rPr>
                <w:rFonts w:hint="eastAsia" w:ascii="宋体" w:hAnsi="宋体" w:eastAsia="宋体" w:cs="宋体"/>
                <w:color w:val="000000"/>
                <w:sz w:val="24"/>
              </w:rPr>
              <w:t xml:space="preserve">二、查询渠道包括：</w:t>
            </w:r>
            <w:r/>
          </w:p>
          <w:p>
            <w:pPr>
              <w:pStyle w:val="1050"/>
              <w:ind w:firstLine="600"/>
              <w:rPr>
                <w:rFonts w:hint="eastAsia" w:ascii="宋体" w:hAnsi="宋体" w:eastAsia="宋体" w:cs="宋体"/>
                <w:sz w:val="24"/>
              </w:rPr>
            </w:pPr>
            <w:r>
              <w:rPr>
                <w:rFonts w:hint="eastAsia" w:ascii="宋体" w:hAnsi="宋体" w:eastAsia="宋体" w:cs="宋体"/>
                <w:sz w:val="24"/>
              </w:rPr>
              <w:t xml:space="preserve">1.“信用中国”网（</w:t>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HYPERLINK "http://www.creditchina.gov.cn/"</w:instrText>
            </w:r>
            <w:r>
              <w:rPr>
                <w:rFonts w:hint="eastAsia" w:ascii="宋体" w:hAnsi="宋体" w:eastAsia="宋体" w:cs="宋体"/>
                <w:sz w:val="22"/>
                <w:szCs w:val="22"/>
              </w:rPr>
              <w:fldChar w:fldCharType="separate"/>
            </w:r>
            <w:r>
              <w:rPr>
                <w:rFonts w:hint="eastAsia" w:ascii="宋体" w:hAnsi="宋体" w:eastAsia="宋体" w:cs="宋体"/>
                <w:sz w:val="24"/>
              </w:rPr>
              <w:t xml:space="preserve">www.creditchina.gov.cn</w:t>
            </w:r>
            <w:r>
              <w:rPr>
                <w:rFonts w:hint="eastAsia" w:ascii="宋体" w:hAnsi="宋体" w:eastAsia="宋体" w:cs="宋体"/>
                <w:sz w:val="22"/>
                <w:szCs w:val="22"/>
              </w:rPr>
              <w:fldChar w:fldCharType="end"/>
            </w:r>
            <w:r>
              <w:rPr>
                <w:rFonts w:hint="eastAsia" w:ascii="宋体" w:hAnsi="宋体" w:eastAsia="宋体" w:cs="宋体"/>
                <w:sz w:val="24"/>
              </w:rPr>
              <w:t xml:space="preserve">）；</w:t>
            </w:r>
            <w:r/>
          </w:p>
          <w:p>
            <w:pPr>
              <w:pStyle w:val="1050"/>
              <w:ind w:firstLine="600"/>
              <w:rPr>
                <w:rFonts w:hint="eastAsia" w:ascii="宋体" w:hAnsi="宋体" w:eastAsia="宋体" w:cs="宋体"/>
                <w:sz w:val="24"/>
              </w:rPr>
            </w:pPr>
            <w:r>
              <w:rPr>
                <w:rFonts w:hint="eastAsia" w:ascii="宋体" w:hAnsi="宋体" w:eastAsia="宋体" w:cs="宋体"/>
                <w:sz w:val="24"/>
              </w:rPr>
              <w:t xml:space="preserve">2.“中国政府采购”网（</w:t>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HYPERLINK "http://www.ccgp.gov.cn/"</w:instrText>
            </w:r>
            <w:r>
              <w:rPr>
                <w:rFonts w:hint="eastAsia" w:ascii="宋体" w:hAnsi="宋体" w:eastAsia="宋体" w:cs="宋体"/>
                <w:sz w:val="22"/>
                <w:szCs w:val="22"/>
              </w:rPr>
              <w:fldChar w:fldCharType="separate"/>
            </w:r>
            <w:r>
              <w:rPr>
                <w:rFonts w:hint="eastAsia" w:ascii="宋体" w:hAnsi="宋体" w:eastAsia="宋体" w:cs="宋体"/>
                <w:sz w:val="24"/>
              </w:rPr>
              <w:t xml:space="preserve">www.ccgp.gov.cn</w:t>
            </w:r>
            <w:r>
              <w:rPr>
                <w:rFonts w:hint="eastAsia" w:ascii="宋体" w:hAnsi="宋体" w:eastAsia="宋体" w:cs="宋体"/>
                <w:sz w:val="22"/>
                <w:szCs w:val="22"/>
              </w:rPr>
              <w:fldChar w:fldCharType="end"/>
            </w:r>
            <w:r>
              <w:rPr>
                <w:rFonts w:hint="eastAsia" w:ascii="宋体" w:hAnsi="宋体" w:eastAsia="宋体" w:cs="宋体"/>
                <w:sz w:val="24"/>
              </w:rPr>
              <w:t xml:space="preserve">）；</w:t>
            </w:r>
            <w:r/>
          </w:p>
          <w:p>
            <w:pPr>
              <w:pStyle w:val="1050"/>
              <w:ind w:firstLine="600"/>
              <w:jc w:val="left"/>
              <w:rPr>
                <w:rFonts w:hint="eastAsia" w:ascii="宋体" w:hAnsi="宋体" w:eastAsia="宋体" w:cs="宋体"/>
                <w:bCs/>
                <w:sz w:val="24"/>
              </w:rPr>
            </w:pPr>
            <w:r>
              <w:rPr>
                <w:rFonts w:hint="eastAsia" w:ascii="宋体" w:hAnsi="宋体" w:eastAsia="宋体" w:cs="宋体"/>
                <w:bCs/>
                <w:sz w:val="24"/>
              </w:rPr>
              <w:t xml:space="preserve">3.“信用江苏”网</w:t>
            </w:r>
            <w:r>
              <w:rPr>
                <w:rFonts w:hint="eastAsia" w:ascii="宋体" w:hAnsi="宋体" w:eastAsia="宋体" w:cs="宋体"/>
                <w:sz w:val="24"/>
              </w:rPr>
              <w:t xml:space="preserve">（http://credit.jiangsu.gov.cn/）。</w:t>
            </w:r>
            <w:r/>
          </w:p>
          <w:p>
            <w:pPr>
              <w:pStyle w:val="1199"/>
              <w:ind w:firstLine="480"/>
              <w:rPr>
                <w:rFonts w:hint="eastAsia" w:ascii="宋体" w:hAnsi="宋体" w:eastAsia="宋体" w:cs="宋体"/>
                <w:bCs/>
                <w:sz w:val="24"/>
              </w:rPr>
            </w:pPr>
            <w:r>
              <w:rPr>
                <w:rFonts w:hint="eastAsia" w:ascii="宋体" w:hAnsi="宋体" w:eastAsia="宋体" w:cs="宋体"/>
                <w:bCs/>
                <w:sz w:val="24"/>
              </w:rPr>
              <w:t xml:space="preserve">三、截止时点（查询环节）：开标后资格审查结束前。</w:t>
            </w:r>
            <w:r/>
          </w:p>
          <w:p>
            <w:pPr>
              <w:pStyle w:val="1199"/>
              <w:ind w:firstLine="480"/>
              <w:rPr>
                <w:rFonts w:hint="eastAsia" w:ascii="宋体" w:hAnsi="宋体" w:eastAsia="宋体" w:cs="宋体"/>
                <w:bCs/>
                <w:sz w:val="24"/>
              </w:rPr>
            </w:pPr>
            <w:r>
              <w:rPr>
                <w:rFonts w:hint="eastAsia" w:ascii="宋体" w:hAnsi="宋体" w:eastAsia="宋体" w:cs="宋体"/>
                <w:bCs/>
                <w:sz w:val="24"/>
              </w:rPr>
              <w:t xml:space="preserve">四、信用信息查询记录和证据留存的具体方式：</w:t>
            </w:r>
            <w:r/>
          </w:p>
          <w:p>
            <w:pPr>
              <w:pStyle w:val="1199"/>
              <w:ind w:firstLine="480"/>
              <w:rPr>
                <w:rFonts w:hint="eastAsia" w:ascii="宋体" w:hAnsi="宋体" w:eastAsia="宋体" w:cs="宋体"/>
                <w:sz w:val="24"/>
              </w:rPr>
            </w:pPr>
            <w:r>
              <w:rPr>
                <w:rFonts w:hint="eastAsia" w:ascii="宋体" w:hAnsi="宋体" w:eastAsia="宋体" w:cs="宋体"/>
                <w:sz w:val="24"/>
              </w:rPr>
              <w:t xml:space="preserve">网页截屏打印，与其他采购文件一并保存。</w:t>
            </w:r>
            <w:r/>
          </w:p>
          <w:p>
            <w:pPr>
              <w:pStyle w:val="1199"/>
              <w:ind w:firstLine="480"/>
              <w:rPr>
                <w:rFonts w:hint="eastAsia" w:ascii="宋体" w:hAnsi="宋体" w:eastAsia="宋体" w:cs="宋体"/>
                <w:bCs/>
                <w:sz w:val="24"/>
              </w:rPr>
            </w:pPr>
            <w:r>
              <w:rPr>
                <w:rFonts w:hint="eastAsia" w:ascii="宋体" w:hAnsi="宋体" w:eastAsia="宋体" w:cs="宋体"/>
                <w:bCs/>
                <w:sz w:val="24"/>
              </w:rPr>
              <w:t xml:space="preserve">五、信用信息的使用规则：</w:t>
            </w:r>
            <w:r/>
          </w:p>
          <w:p>
            <w:pPr>
              <w:pStyle w:val="1199"/>
              <w:ind w:firstLine="480"/>
              <w:rPr>
                <w:rFonts w:hint="eastAsia" w:ascii="宋体" w:hAnsi="宋体" w:eastAsia="宋体" w:cs="宋体"/>
                <w:bCs/>
                <w:sz w:val="24"/>
              </w:rPr>
            </w:pPr>
            <w:r>
              <w:rPr>
                <w:rFonts w:hint="eastAsia" w:ascii="宋体" w:hAnsi="宋体" w:eastAsia="宋体" w:cs="宋体"/>
                <w:bCs/>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bCs/>
                <w:sz w:val="24"/>
              </w:rPr>
              <w:t xml:space="preserve">三、投标</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18.3</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rPr>
                <w:rFonts w:hint="eastAsia" w:ascii="宋体" w:hAnsi="宋体" w:eastAsia="宋体" w:cs="宋体"/>
                <w:sz w:val="24"/>
              </w:rPr>
            </w:pPr>
            <w:r>
              <w:rPr>
                <w:rFonts w:hint="eastAsia" w:ascii="宋体" w:hAnsi="宋体" w:eastAsia="宋体" w:cs="宋体"/>
                <w:sz w:val="24"/>
              </w:rPr>
              <w:t xml:space="preserve">投标人的资格要求：见本项目公开招标公告。</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50"/>
              <w:jc w:val="center"/>
              <w:rPr>
                <w:rFonts w:hint="eastAsia" w:ascii="宋体" w:hAnsi="宋体" w:eastAsia="宋体" w:cs="宋体"/>
                <w:sz w:val="24"/>
                <w:szCs w:val="24"/>
                <w:lang w:val="en-US" w:eastAsia="zh-CN" w:bidi="ar-SA"/>
              </w:rPr>
            </w:pPr>
            <w:r>
              <w:rPr>
                <w:rFonts w:hint="eastAsia" w:ascii="宋体" w:hAnsi="宋体" w:eastAsia="宋体" w:cs="宋体"/>
                <w:sz w:val="24"/>
              </w:rPr>
              <w:t xml:space="preserve">19.1</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050"/>
              <w:ind w:firstLine="480"/>
              <w:rPr>
                <w:rFonts w:hint="eastAsia" w:ascii="宋体" w:hAnsi="宋体" w:eastAsia="宋体" w:cs="宋体"/>
                <w:sz w:val="24"/>
                <w:szCs w:val="24"/>
                <w:lang w:val="en-US" w:eastAsia="zh-CN" w:bidi="ar-SA"/>
              </w:rPr>
            </w:pPr>
            <w:r>
              <w:rPr>
                <w:rFonts w:hint="eastAsia" w:ascii="宋体" w:hAnsi="宋体" w:eastAsia="宋体" w:cs="宋体"/>
                <w:bCs/>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rPr>
                <w:rFonts w:hint="eastAsia" w:ascii="宋体" w:hAnsi="宋体" w:eastAsia="宋体" w:cs="宋体"/>
                <w:bCs/>
                <w:sz w:val="24"/>
              </w:rPr>
              <w:fldChar w:fldCharType="begin"/>
            </w:r>
            <w:r>
              <w:rPr>
                <w:rFonts w:hint="eastAsia" w:ascii="宋体" w:hAnsi="宋体" w:eastAsia="宋体" w:cs="宋体"/>
                <w:bCs/>
                <w:sz w:val="24"/>
              </w:rPr>
              <w:instrText xml:space="preserve"> HYPERLINK "http://jszfcg.jsczt.cn/" </w:instrText>
            </w:r>
            <w:r>
              <w:rPr>
                <w:rFonts w:hint="eastAsia" w:ascii="宋体" w:hAnsi="宋体" w:eastAsia="宋体" w:cs="宋体"/>
                <w:bCs/>
                <w:sz w:val="24"/>
              </w:rPr>
              <w:fldChar w:fldCharType="separate"/>
            </w:r>
            <w:r>
              <w:rPr>
                <w:rFonts w:hint="eastAsia" w:ascii="宋体" w:hAnsi="宋体" w:eastAsia="宋体" w:cs="宋体"/>
                <w:bCs/>
                <w:sz w:val="24"/>
              </w:rPr>
              <w:t xml:space="preserve">http://jszfcg.jsc</w:t>
            </w:r>
            <w:bookmarkStart w:id="15" w:name="_Hlt91509264"/>
            <w:r/>
            <w:bookmarkStart w:id="16" w:name="_Hlt91509263"/>
            <w:r>
              <w:rPr>
                <w:rFonts w:hint="eastAsia" w:ascii="宋体" w:hAnsi="宋体" w:eastAsia="宋体" w:cs="宋体"/>
                <w:bCs/>
                <w:sz w:val="24"/>
              </w:rPr>
              <w:t xml:space="preserve">z</w:t>
            </w:r>
            <w:bookmarkEnd w:id="15"/>
            <w:r/>
            <w:bookmarkEnd w:id="16"/>
            <w:r>
              <w:rPr>
                <w:rFonts w:hint="eastAsia" w:ascii="宋体" w:hAnsi="宋体" w:eastAsia="宋体" w:cs="宋体"/>
                <w:bCs/>
                <w:sz w:val="24"/>
              </w:rPr>
              <w:t xml:space="preserve">t.cn/</w:t>
            </w:r>
            <w:r>
              <w:rPr>
                <w:rFonts w:hint="eastAsia" w:ascii="宋体" w:hAnsi="宋体" w:eastAsia="宋体" w:cs="宋体"/>
                <w:bCs/>
                <w:sz w:val="24"/>
              </w:rPr>
              <w:fldChar w:fldCharType="end"/>
            </w:r>
            <w:r>
              <w:rPr>
                <w:rFonts w:hint="eastAsia" w:ascii="宋体" w:hAnsi="宋体" w:eastAsia="宋体" w:cs="宋体"/>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19.2</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050"/>
              <w:ind w:firstLine="482"/>
              <w:rPr>
                <w:rFonts w:hint="eastAsia" w:ascii="宋体" w:hAnsi="宋体" w:eastAsia="宋体" w:cs="宋体"/>
                <w:sz w:val="24"/>
              </w:rPr>
            </w:pPr>
            <w:r>
              <w:rPr>
                <w:rFonts w:hint="eastAsia" w:ascii="宋体" w:hAnsi="宋体" w:eastAsia="宋体" w:cs="宋体"/>
                <w:b/>
                <w:bCs/>
                <w:sz w:val="24"/>
              </w:rPr>
              <w:t xml:space="preserve">投标文件编制要求</w:t>
            </w:r>
            <w:r>
              <w:rPr>
                <w:rFonts w:hint="eastAsia" w:ascii="宋体" w:hAnsi="宋体" w:eastAsia="宋体" w:cs="宋体"/>
                <w:sz w:val="24"/>
              </w:rPr>
              <w:t xml:space="preserve">：</w:t>
            </w:r>
            <w:r/>
          </w:p>
          <w:p>
            <w:pPr>
              <w:pStyle w:val="1050"/>
              <w:ind w:firstLine="480"/>
              <w:rPr>
                <w:rFonts w:hint="eastAsia" w:ascii="宋体" w:hAnsi="宋体" w:eastAsia="宋体" w:cs="宋体"/>
                <w:sz w:val="24"/>
              </w:rPr>
            </w:pPr>
            <w:r>
              <w:rPr>
                <w:rFonts w:hint="eastAsia" w:ascii="宋体" w:hAnsi="宋体" w:eastAsia="宋体" w:cs="宋体"/>
                <w:sz w:val="24"/>
              </w:rPr>
              <w:t xml:space="preserve">请按照以下要求（包括但不限于以下要求）制作：</w:t>
            </w:r>
            <w:r/>
          </w:p>
          <w:p>
            <w:pPr>
              <w:pStyle w:val="1050"/>
              <w:ind w:firstLine="482"/>
              <w:rPr>
                <w:rFonts w:hint="eastAsia" w:ascii="宋体" w:hAnsi="宋体" w:eastAsia="宋体" w:cs="宋体"/>
                <w:b/>
                <w:sz w:val="24"/>
                <w:highlight w:val="none"/>
              </w:rPr>
            </w:pPr>
            <w:r>
              <w:rPr>
                <w:rFonts w:hint="eastAsia" w:ascii="宋体" w:hAnsi="宋体" w:eastAsia="宋体" w:cs="宋体"/>
                <w:b/>
                <w:sz w:val="24"/>
                <w:highlight w:val="none"/>
              </w:rPr>
              <w:t xml:space="preserve">一、基本目录</w:t>
            </w:r>
            <w:r/>
          </w:p>
          <w:p>
            <w:pPr>
              <w:pStyle w:val="1050"/>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目录</w:t>
            </w:r>
            <w:r>
              <w:rPr>
                <w:rFonts w:hint="eastAsia" w:ascii="宋体" w:hAnsi="宋体" w:eastAsia="宋体" w:cs="宋体"/>
                <w:sz w:val="24"/>
                <w:highlight w:val="none"/>
                <w:lang w:eastAsia="zh-CN"/>
              </w:rPr>
              <w:t xml:space="preserve">；</w:t>
            </w:r>
            <w:r/>
          </w:p>
          <w:p>
            <w:pPr>
              <w:pStyle w:val="1050"/>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.《开标一览表》（加盖电子签章，政府采购客户端工具输入报价自动生成）</w:t>
            </w:r>
            <w:r/>
          </w:p>
          <w:p>
            <w:pPr>
              <w:pStyle w:val="1050"/>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.《授权委托书》（提供原件的扫描件，格式见招标文件第七章《投标文件相关格式》）；</w:t>
            </w:r>
            <w:r/>
          </w:p>
          <w:p>
            <w:pPr>
              <w:pStyle w:val="1050"/>
              <w:ind w:firstLine="480"/>
              <w:widowControl/>
              <w:rPr>
                <w:rFonts w:hint="eastAsia" w:ascii="宋体" w:hAnsi="宋体" w:eastAsia="宋体" w:cs="宋体"/>
                <w:sz w:val="24"/>
                <w:highlight w:val="none"/>
              </w:rPr>
              <w:outlineLvl w:val="2"/>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投标人基本信息</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（加盖电子签章，格式见招标文件第七章《投标文件相关格式》）；</w:t>
            </w:r>
            <w:r/>
          </w:p>
          <w:p>
            <w:pPr>
              <w:pStyle w:val="1050"/>
              <w:ind w:firstLine="482"/>
              <w:rPr>
                <w:rFonts w:hint="eastAsia" w:ascii="宋体" w:hAnsi="宋体" w:eastAsia="宋体" w:cs="宋体"/>
                <w:b/>
                <w:sz w:val="24"/>
                <w:highlight w:val="none"/>
              </w:rPr>
            </w:pPr>
            <w:r>
              <w:rPr>
                <w:rFonts w:hint="eastAsia" w:ascii="宋体" w:hAnsi="宋体" w:eastAsia="宋体" w:cs="宋体"/>
                <w:b/>
                <w:sz w:val="24"/>
                <w:highlight w:val="none"/>
              </w:rPr>
              <w:t xml:space="preserve">二、资格条件（必须提供，否则投标无效）</w:t>
            </w:r>
            <w:r/>
          </w:p>
          <w:p>
            <w:pPr>
              <w:pStyle w:val="1050"/>
              <w:ind w:firstLine="480"/>
              <w:rPr>
                <w:rFonts w:hint="eastAsia" w:ascii="宋体" w:hAnsi="宋体" w:eastAsia="宋体" w:cs="宋体"/>
                <w:sz w:val="24"/>
                <w:highlight w:val="none"/>
              </w:rPr>
            </w:pPr>
            <w:r>
              <w:rPr>
                <w:rFonts w:hint="eastAsia" w:ascii="宋体" w:hAnsi="宋体" w:eastAsia="宋体" w:cs="宋体"/>
                <w:sz w:val="24"/>
                <w:highlight w:val="none"/>
              </w:rPr>
              <w:t xml:space="preserve">1.投标人合法有效的营业执照</w:t>
            </w:r>
            <w:r>
              <w:rPr>
                <w:rFonts w:hint="eastAsia" w:ascii="宋体" w:hAnsi="宋体" w:eastAsia="宋体" w:cs="宋体"/>
                <w:sz w:val="24"/>
                <w:highlight w:val="none"/>
                <w:lang w:eastAsia="zh-CN"/>
              </w:rPr>
              <w:t xml:space="preserve">及保险经营业务许可证</w:t>
            </w:r>
            <w:r>
              <w:rPr>
                <w:rFonts w:hint="eastAsia" w:ascii="宋体" w:hAnsi="宋体" w:eastAsia="宋体" w:cs="宋体"/>
                <w:sz w:val="24"/>
                <w:highlight w:val="none"/>
              </w:rPr>
              <w:t xml:space="preserve">。以上证明文件提供原件的扫描件。</w:t>
            </w:r>
            <w:r/>
          </w:p>
          <w:p>
            <w:pPr>
              <w:pStyle w:val="1050"/>
              <w:ind w:right="26" w:firstLine="480"/>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2.财务状况报告（即提供投标人的本项目开标时间前6个月内任何时间的资产负债表、利润表复印件各一份或提供投标人上年度财务报告或投标人的本项目开标时间前6个月内银行出具的资信证明复印件或提供财政部门认可的政府采购专业担保机构出具的投标担保函复印件）。</w:t>
            </w:r>
            <w:r/>
          </w:p>
          <w:p>
            <w:pPr>
              <w:pStyle w:val="1050"/>
              <w:ind w:right="26" w:firstLine="480"/>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3.投标人的本项目开标时间前6个月内任何1个月的依法缴纳税收和社会保障资金的相关材料复印件（依法免税或不需要缴纳社会保障资金的供应商,提供相应文件证明其依法免税或不需要缴纳社会保障资金)。</w:t>
            </w:r>
            <w:r/>
          </w:p>
          <w:p>
            <w:pPr>
              <w:pStyle w:val="1050"/>
              <w:ind w:right="26" w:firstLine="480"/>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4.具备履行合同所必需的设备和专业技术能力的证明材料。投标文件中提供《具备履行合同所必需的设备和专业技术能力的书面声明》（加盖电子签章，格式见招标文件第七章《投标文件相关格式》,所附证明材料可不加盖电子签章）。</w:t>
            </w:r>
            <w:r/>
          </w:p>
          <w:p>
            <w:pPr>
              <w:pStyle w:val="1050"/>
              <w:ind w:firstLine="480"/>
              <w:rPr>
                <w:rFonts w:hint="eastAsia" w:ascii="宋体" w:hAnsi="宋体" w:eastAsia="宋体" w:cs="宋体"/>
                <w:sz w:val="24"/>
                <w:highlight w:val="none"/>
              </w:rPr>
            </w:pPr>
            <w:r>
              <w:rPr>
                <w:rFonts w:hint="eastAsia" w:ascii="宋体" w:hAnsi="宋体" w:eastAsia="宋体" w:cs="宋体"/>
                <w:sz w:val="24"/>
                <w:highlight w:val="none"/>
              </w:rPr>
              <w:t xml:space="preserve">5.投标人参加政府采购活动前3年内在经营活动中没有重大违法记录的书面声明（加盖电子签章，格式见招标文件第七章《投标文件相关格式》）。</w:t>
            </w:r>
            <w:r/>
          </w:p>
          <w:p>
            <w:pPr>
              <w:pStyle w:val="1050"/>
              <w:ind w:right="26" w:firstLine="480"/>
              <w:jc w:val="left"/>
              <w:widowControl/>
              <w:rPr>
                <w:rFonts w:hint="eastAsia" w:ascii="宋体" w:hAnsi="宋体" w:eastAsia="宋体" w:cs="宋体"/>
                <w:b/>
                <w:sz w:val="24"/>
                <w:highlight w:val="none"/>
              </w:rPr>
            </w:pPr>
            <w:r>
              <w:rPr>
                <w:rFonts w:hint="eastAsia" w:ascii="宋体" w:hAnsi="宋体" w:eastAsia="宋体" w:cs="宋体"/>
                <w:sz w:val="24"/>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b/>
                <w:sz w:val="24"/>
                <w:highlight w:val="none"/>
              </w:rPr>
              <w:t xml:space="preserve">。</w:t>
            </w:r>
            <w:r/>
          </w:p>
          <w:p>
            <w:pPr>
              <w:pStyle w:val="1050"/>
              <w:ind w:firstLine="482"/>
              <w:rPr>
                <w:rFonts w:hint="eastAsia" w:ascii="宋体" w:hAnsi="宋体" w:eastAsia="宋体" w:cs="宋体"/>
                <w:sz w:val="24"/>
                <w:highlight w:val="none"/>
              </w:rPr>
            </w:pPr>
            <w:r>
              <w:rPr>
                <w:rFonts w:hint="eastAsia" w:ascii="宋体" w:hAnsi="宋体" w:eastAsia="宋体" w:cs="宋体"/>
                <w:b/>
                <w:sz w:val="24"/>
                <w:highlight w:val="none"/>
              </w:rPr>
              <w:t xml:space="preserve">三、符合条件</w:t>
            </w:r>
            <w:r>
              <w:rPr>
                <w:rFonts w:hint="eastAsia" w:ascii="宋体" w:hAnsi="宋体" w:eastAsia="宋体" w:cs="宋体"/>
                <w:sz w:val="24"/>
                <w:highlight w:val="none"/>
              </w:rPr>
              <w:t xml:space="preserve">（</w:t>
            </w:r>
            <w:r>
              <w:rPr>
                <w:rFonts w:hint="eastAsia" w:ascii="宋体" w:hAnsi="宋体" w:eastAsia="宋体" w:cs="宋体"/>
                <w:b/>
                <w:sz w:val="24"/>
                <w:highlight w:val="none"/>
              </w:rPr>
              <w:t xml:space="preserve">必须提供，否则投标无效</w:t>
            </w:r>
            <w:r>
              <w:rPr>
                <w:rFonts w:hint="eastAsia" w:ascii="宋体" w:hAnsi="宋体" w:eastAsia="宋体" w:cs="宋体"/>
                <w:sz w:val="24"/>
                <w:highlight w:val="none"/>
              </w:rPr>
              <w:t xml:space="preserve">）</w:t>
            </w:r>
            <w:r/>
          </w:p>
          <w:p>
            <w:pPr>
              <w:pStyle w:val="1050"/>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.《分项价格表》（加盖电子签章，格式见招标文件第七章《投标文件相关格式》）；</w:t>
            </w:r>
            <w:r/>
          </w:p>
          <w:p>
            <w:pPr>
              <w:pStyle w:val="1050"/>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szCs w:val="24"/>
                <w:highlight w:val="none"/>
                <w:lang w:val="en-US" w:eastAsia="zh-CN"/>
              </w:rPr>
              <w:t xml:space="preserve">《报价承诺书》（加盖电子签章，格式见招标文件第七章《投标文件相关格式》）</w:t>
            </w:r>
            <w:r>
              <w:rPr>
                <w:rFonts w:hint="eastAsia" w:ascii="宋体" w:hAnsi="宋体" w:eastAsia="宋体" w:cs="宋体"/>
                <w:sz w:val="24"/>
                <w:highlight w:val="none"/>
              </w:rPr>
              <w:t xml:space="preserve">；</w:t>
            </w:r>
            <w:bookmarkStart w:id="17" w:name="2_1"/>
            <w:r/>
            <w:bookmarkEnd w:id="17"/>
            <w:r/>
            <w:r/>
          </w:p>
          <w:p>
            <w:pPr>
              <w:pStyle w:val="1050"/>
              <w:ind w:firstLine="480"/>
              <w:rPr>
                <w:rFonts w:hint="eastAsia" w:ascii="宋体" w:hAnsi="宋体" w:eastAsia="宋体" w:cs="宋体"/>
                <w:lang w:val="en-US"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.《投标函》（加盖电子签章，格式见招标文件第七章《投标文件相关格式》）；</w:t>
            </w:r>
            <w:r/>
          </w:p>
          <w:p>
            <w:pPr>
              <w:pStyle w:val="1050"/>
              <w:ind w:firstLine="480"/>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.《偏离表》（加盖电子签章，格式见招标文件第七章《投标文件相关格式》）</w:t>
            </w:r>
            <w:r>
              <w:rPr>
                <w:rFonts w:hint="eastAsia" w:ascii="宋体" w:hAnsi="宋体" w:eastAsia="宋体" w:cs="宋体"/>
                <w:sz w:val="24"/>
                <w:highlight w:val="none"/>
                <w:lang w:eastAsia="zh-CN"/>
              </w:rPr>
              <w:t xml:space="preserve">；</w:t>
            </w:r>
            <w:r/>
          </w:p>
          <w:p>
            <w:pPr>
              <w:pStyle w:val="1049"/>
              <w:ind w:firstLine="480"/>
              <w:rPr>
                <w:rFonts w:hint="eastAsia" w:ascii="宋体" w:hAnsi="宋体" w:eastAsia="宋体" w:cs="宋体"/>
                <w:sz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highlight w:val="none"/>
                <w:lang w:val="en-US" w:eastAsia="zh-CN"/>
              </w:rPr>
              <w:t xml:space="preserve">投标保险公司提供已经向保险监管部门报备的保险条款及附加条款</w:t>
            </w:r>
            <w:r>
              <w:rPr>
                <w:rFonts w:hint="eastAsia" w:ascii="宋体" w:hAnsi="宋体" w:eastAsia="宋体" w:cs="宋体"/>
                <w:sz w:val="24"/>
                <w:highlight w:val="none"/>
                <w:lang w:eastAsia="zh-CN"/>
              </w:rPr>
              <w:t xml:space="preserve">。</w:t>
            </w:r>
            <w:r/>
          </w:p>
          <w:p>
            <w:pPr>
              <w:pStyle w:val="1050"/>
              <w:ind w:firstLine="482"/>
              <w:rPr>
                <w:rFonts w:hint="eastAsia" w:ascii="宋体" w:hAnsi="宋体" w:eastAsia="宋体" w:cs="宋体"/>
                <w:b/>
                <w:sz w:val="24"/>
                <w:highlight w:val="none"/>
                <w:lang w:eastAsia="zh-CN"/>
              </w:rPr>
            </w:pPr>
            <w:r>
              <w:rPr>
                <w:rFonts w:hint="eastAsia" w:ascii="宋体" w:hAnsi="宋体" w:eastAsia="宋体" w:cs="宋体"/>
                <w:b/>
                <w:sz w:val="24"/>
                <w:highlight w:val="none"/>
              </w:rPr>
              <w:t xml:space="preserve">四、综合评审评分项</w:t>
            </w:r>
            <w:r/>
          </w:p>
          <w:p>
            <w:pPr>
              <w:pStyle w:val="1050"/>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hint="eastAsia" w:ascii="宋体" w:hAnsi="宋体" w:eastAsia="宋体" w:cs="宋体"/>
                <w:color w:val="000000"/>
                <w:sz w:val="24"/>
                <w:szCs w:val="24"/>
              </w:rPr>
              <w:t xml:space="preserve">重大疾病住院医疗定额补贴</w:t>
            </w:r>
            <w:r>
              <w:rPr>
                <w:rFonts w:hint="eastAsia" w:ascii="宋体" w:hAnsi="宋体" w:eastAsia="宋体" w:cs="宋体"/>
                <w:sz w:val="24"/>
                <w:highlight w:val="none"/>
                <w:lang w:val="en-US" w:eastAsia="zh-CN"/>
              </w:rPr>
              <w:t xml:space="preserve">（《分项价格表》加盖电子签章，格式见招标文件第七章《投标文件相关格式》，</w:t>
            </w:r>
            <w:r>
              <w:rPr>
                <w:rFonts w:hint="eastAsia" w:ascii="宋体" w:hAnsi="宋体" w:eastAsia="宋体" w:cs="宋体"/>
                <w:b/>
                <w:bCs/>
                <w:sz w:val="24"/>
                <w:highlight w:val="none"/>
                <w:lang w:val="en-US" w:eastAsia="zh-CN"/>
              </w:rPr>
              <w:t xml:space="preserve">以便评委打分使用</w:t>
            </w:r>
            <w:r>
              <w:rPr>
                <w:rFonts w:hint="eastAsia" w:ascii="宋体" w:hAnsi="宋体" w:eastAsia="宋体" w:cs="宋体"/>
                <w:sz w:val="24"/>
                <w:highlight w:val="none"/>
                <w:lang w:val="en-US" w:eastAsia="zh-CN"/>
              </w:rPr>
              <w:t xml:space="preserve">）；</w:t>
            </w:r>
            <w:r/>
          </w:p>
          <w:p>
            <w:pPr>
              <w:pStyle w:val="1050"/>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2.条款（要求见招标文件第四章《评标标准》和第六章《采购需求》）；</w:t>
            </w:r>
            <w:r/>
          </w:p>
          <w:p>
            <w:pPr>
              <w:pStyle w:val="1050"/>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3.特别约定（要求见招标文件第四章《评标标准》和第六章《采购需求》）；</w:t>
            </w:r>
            <w:r/>
          </w:p>
          <w:p>
            <w:pPr>
              <w:pStyle w:val="1050"/>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4.服务专员（要求见招标文件第四章《评标标准》和第六章《采购需求》）；</w:t>
            </w:r>
            <w:r/>
          </w:p>
          <w:p>
            <w:pPr>
              <w:pStyle w:val="1050"/>
              <w:ind w:firstLine="480"/>
              <w:rPr>
                <w:rFonts w:hint="eastAsia" w:ascii="宋体" w:hAnsi="宋体" w:eastAsia="宋体" w:cs="宋体"/>
                <w:sz w:val="24"/>
                <w:highlight w:val="none"/>
                <w:lang w:val="en-US" w:eastAsia="zh-CN"/>
              </w:rPr>
            </w:pPr>
            <w:r>
              <w:rPr>
                <w:rFonts w:hint="eastAsia" w:ascii="宋体" w:hAnsi="宋体" w:eastAsia="宋体" w:cs="宋体"/>
                <w:sz w:val="24"/>
                <w:lang w:val="en-US" w:eastAsia="zh-CN"/>
              </w:rPr>
              <w:t xml:space="preserve">5.</w:t>
            </w:r>
            <w:r>
              <w:rPr>
                <w:rFonts w:hint="eastAsia" w:ascii="宋体" w:hAnsi="宋体" w:eastAsia="宋体" w:cs="宋体"/>
                <w:sz w:val="24"/>
                <w:highlight w:val="none"/>
                <w:lang w:val="en-US" w:eastAsia="zh-CN"/>
              </w:rPr>
              <w:t xml:space="preserve">承保服务方案（要求见招标文件第四章《评标标准》和第六章《采购需求》）；</w:t>
            </w:r>
            <w:r/>
          </w:p>
          <w:p>
            <w:pPr>
              <w:pStyle w:val="1050"/>
              <w:ind w:firstLine="480"/>
              <w:rPr>
                <w:rFonts w:hint="eastAsia" w:ascii="宋体" w:hAnsi="宋体" w:eastAsia="宋体" w:cs="宋体"/>
                <w:sz w:val="24"/>
                <w:highlight w:val="none"/>
                <w:lang w:val="zh" w:eastAsia="zh-CN"/>
              </w:rPr>
            </w:pPr>
            <w:r>
              <w:rPr>
                <w:rFonts w:hint="eastAsia" w:ascii="宋体" w:hAnsi="宋体" w:eastAsia="宋体" w:cs="宋体"/>
                <w:sz w:val="24"/>
                <w:highlight w:val="none"/>
                <w:lang w:val="en-US" w:eastAsia="zh-CN"/>
              </w:rPr>
              <w:t xml:space="preserve">6.理赔服务方案（要求见招标文件第四章《评标标准》和第六章《采购需求》）；</w:t>
            </w:r>
            <w:r/>
          </w:p>
          <w:p>
            <w:pPr>
              <w:pStyle w:val="1050"/>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7.宣传服务方案（要求见招标文件第四章《评标标准》）；</w:t>
            </w:r>
            <w:r/>
          </w:p>
          <w:p>
            <w:pPr>
              <w:pStyle w:val="1050"/>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8.培训服务方案（要求见招标文件第四章《评标标准》）；</w:t>
            </w:r>
            <w:r/>
          </w:p>
          <w:p>
            <w:pPr>
              <w:pStyle w:val="1050"/>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8.优惠服务方案（要求见招标文件第四章《评标标准》）；</w:t>
            </w:r>
            <w:r/>
          </w:p>
          <w:p>
            <w:pPr>
              <w:pStyle w:val="1050"/>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9.业务制度（要求见招标文件第四章《评标标准》）。</w:t>
            </w:r>
            <w:r/>
          </w:p>
          <w:p>
            <w:pPr>
              <w:pStyle w:val="1050"/>
              <w:ind w:firstLine="482"/>
              <w:rPr>
                <w:rFonts w:hint="eastAsia" w:ascii="宋体" w:hAnsi="宋体" w:eastAsia="宋体" w:cs="宋体"/>
                <w:b/>
                <w:sz w:val="24"/>
                <w:highlight w:val="none"/>
                <w:lang w:val="en-US" w:eastAsia="zh-CN"/>
              </w:rPr>
            </w:pPr>
            <w:r>
              <w:rPr>
                <w:rFonts w:hint="eastAsia" w:ascii="宋体" w:hAnsi="宋体" w:eastAsia="宋体" w:cs="宋体"/>
                <w:b/>
                <w:sz w:val="24"/>
                <w:highlight w:val="none"/>
              </w:rPr>
              <w:t xml:space="preserve">五、价格折扣文件格式</w:t>
            </w:r>
            <w:r>
              <w:rPr>
                <w:rFonts w:hint="eastAsia" w:ascii="宋体" w:hAnsi="宋体" w:eastAsia="宋体" w:cs="宋体"/>
                <w:b/>
                <w:sz w:val="24"/>
                <w:highlight w:val="none"/>
                <w:lang w:val="en-US" w:eastAsia="zh-CN"/>
              </w:rPr>
              <w:t xml:space="preserve">(不符合可不提供)</w:t>
            </w:r>
            <w:r/>
          </w:p>
          <w:p>
            <w:pPr>
              <w:pStyle w:val="1050"/>
              <w:ind w:firstLine="240"/>
              <w:rPr>
                <w:rFonts w:hint="eastAsia" w:ascii="宋体" w:hAnsi="宋体" w:eastAsia="宋体" w:cs="宋体"/>
                <w:sz w:val="24"/>
                <w:highlight w:val="none"/>
              </w:rPr>
            </w:pPr>
            <w:r>
              <w:rPr>
                <w:rFonts w:hint="eastAsia" w:ascii="宋体" w:hAnsi="宋体" w:eastAsia="宋体" w:cs="宋体"/>
                <w:sz w:val="24"/>
                <w:highlight w:val="none"/>
              </w:rPr>
              <w:t xml:space="preserve">（一）企业报价折扣证明：</w:t>
            </w:r>
            <w:r/>
          </w:p>
          <w:p>
            <w:pPr>
              <w:pStyle w:val="1050"/>
              <w:ind w:firstLine="480"/>
              <w:rPr>
                <w:rFonts w:hint="eastAsia" w:ascii="宋体" w:hAnsi="宋体" w:eastAsia="宋体" w:cs="宋体"/>
                <w:sz w:val="24"/>
                <w:highlight w:val="none"/>
              </w:rPr>
            </w:pPr>
            <w:r>
              <w:rPr>
                <w:rFonts w:hint="eastAsia" w:ascii="宋体" w:hAnsi="宋体" w:eastAsia="宋体" w:cs="宋体"/>
                <w:sz w:val="24"/>
                <w:highlight w:val="none"/>
              </w:rPr>
              <w:t xml:space="preserve">1.投标人提供的货物全部由符合政策要求的中小企业制造的，提供《中小企业声明函》（加盖电子签章，格式见招标文件第七章《投标文件相关格式》）。</w:t>
            </w:r>
            <w:r/>
          </w:p>
          <w:p>
            <w:pPr>
              <w:pStyle w:val="1050"/>
              <w:rPr>
                <w:rFonts w:hint="eastAsia" w:ascii="宋体" w:hAnsi="宋体" w:eastAsia="宋体" w:cs="宋体"/>
                <w:sz w:val="24"/>
                <w:highlight w:val="none"/>
              </w:rPr>
            </w:pPr>
            <w:r>
              <w:rPr>
                <w:rFonts w:hint="eastAsia" w:ascii="宋体" w:hAnsi="宋体" w:eastAsia="宋体" w:cs="宋体"/>
                <w:sz w:val="24"/>
                <w:highlight w:val="none"/>
              </w:rPr>
              <w:t xml:space="preserve">注：具体以《政府采购促进中小企业发展管理办法》（财库[2020]46号）和《关于印发中小企业划型标准规定的通知》（工信部联企业[2011]300号）的规定为准。</w:t>
            </w:r>
            <w:r/>
          </w:p>
          <w:p>
            <w:pPr>
              <w:pStyle w:val="1050"/>
              <w:ind w:firstLine="480"/>
              <w:rPr>
                <w:rFonts w:hint="eastAsia" w:ascii="宋体" w:hAnsi="宋体" w:eastAsia="宋体" w:cs="宋体"/>
                <w:sz w:val="24"/>
                <w:highlight w:val="none"/>
              </w:rPr>
            </w:pPr>
            <w:r>
              <w:rPr>
                <w:rFonts w:hint="eastAsia" w:ascii="宋体" w:hAnsi="宋体" w:eastAsia="宋体" w:cs="宋体"/>
                <w:sz w:val="24"/>
                <w:highlight w:val="none"/>
              </w:rPr>
              <w:t xml:space="preserve">2.投标人为监狱企业的，提供省级以上监狱管理局、戒毒管理局（含新疆生产建设兵团）出具的属于监狱企业的证明文件原件的扫描件。</w:t>
            </w:r>
            <w:r/>
          </w:p>
          <w:p>
            <w:pPr>
              <w:pStyle w:val="1050"/>
              <w:rPr>
                <w:rFonts w:hint="eastAsia" w:ascii="宋体" w:hAnsi="宋体" w:eastAsia="宋体" w:cs="宋体"/>
                <w:sz w:val="24"/>
              </w:rPr>
            </w:pPr>
            <w:r>
              <w:rPr>
                <w:rFonts w:hint="eastAsia" w:ascii="宋体" w:hAnsi="宋体" w:eastAsia="宋体" w:cs="宋体"/>
                <w:sz w:val="24"/>
                <w:highlight w:val="none"/>
              </w:rPr>
              <w:t xml:space="preserve">注：具体以《财政部 司法部关于政府采购支持监狱企业发展有关问题的通知》（财库〔2014〕68</w:t>
            </w:r>
            <w:r>
              <w:rPr>
                <w:rFonts w:hint="eastAsia" w:ascii="宋体" w:hAnsi="宋体" w:eastAsia="宋体" w:cs="宋体"/>
                <w:sz w:val="24"/>
              </w:rPr>
              <w:t xml:space="preserve">号）的规定为准。</w:t>
            </w:r>
            <w:r/>
          </w:p>
          <w:p>
            <w:pPr>
              <w:pStyle w:val="1050"/>
              <w:ind w:firstLine="480"/>
              <w:rPr>
                <w:rFonts w:hint="eastAsia" w:ascii="宋体" w:hAnsi="宋体" w:eastAsia="宋体" w:cs="宋体"/>
                <w:sz w:val="24"/>
              </w:rPr>
            </w:pPr>
            <w:r>
              <w:rPr>
                <w:rFonts w:hint="eastAsia" w:ascii="宋体" w:hAnsi="宋体" w:eastAsia="宋体" w:cs="宋体"/>
                <w:sz w:val="24"/>
              </w:rPr>
              <w:t xml:space="preserve">3.投标人为享受政府采购支持政策的残疾人福利性单位的，提供《残疾人福利性单位声明函》（加盖电子签章，格式见招标文件第七章《投标文件相关格式》）。</w:t>
            </w:r>
            <w:r/>
          </w:p>
          <w:p>
            <w:pPr>
              <w:pStyle w:val="1050"/>
              <w:ind w:firstLine="480"/>
              <w:jc w:val="left"/>
              <w:widowControl/>
              <w:rPr>
                <w:rFonts w:hint="eastAsia" w:ascii="宋体" w:hAnsi="宋体" w:eastAsia="宋体" w:cs="宋体"/>
                <w:sz w:val="24"/>
              </w:rPr>
            </w:pPr>
            <w:r>
              <w:rPr>
                <w:rFonts w:hint="eastAsia" w:ascii="宋体" w:hAnsi="宋体" w:eastAsia="宋体" w:cs="宋体"/>
                <w:sz w:val="24"/>
              </w:rPr>
              <w:t xml:space="preserve">享受政府采购支持政策的残疾人福利性单位应当同时满足以下条件：</w:t>
            </w:r>
            <w:r/>
          </w:p>
          <w:p>
            <w:pPr>
              <w:pStyle w:val="1050"/>
              <w:jc w:val="left"/>
              <w:widowControl/>
              <w:rPr>
                <w:rFonts w:hint="eastAsia" w:ascii="宋体" w:hAnsi="宋体" w:eastAsia="宋体" w:cs="宋体"/>
                <w:sz w:val="24"/>
              </w:rPr>
            </w:pPr>
            <w:r>
              <w:rPr>
                <w:rFonts w:hint="eastAsia" w:ascii="宋体" w:hAnsi="宋体" w:eastAsia="宋体" w:cs="宋体"/>
                <w:sz w:val="24"/>
              </w:rPr>
              <w:t xml:space="preserve">　　①安置的残疾人占本单位在职职工人数的比例不低于25%（含25%），并且安置的残疾人人数不少于10人（含10人）；</w:t>
            </w:r>
            <w:r/>
          </w:p>
          <w:p>
            <w:pPr>
              <w:pStyle w:val="1050"/>
              <w:jc w:val="left"/>
              <w:widowControl/>
              <w:rPr>
                <w:rFonts w:hint="eastAsia" w:ascii="宋体" w:hAnsi="宋体" w:eastAsia="宋体" w:cs="宋体"/>
                <w:sz w:val="24"/>
              </w:rPr>
            </w:pPr>
            <w:r>
              <w:rPr>
                <w:rFonts w:hint="eastAsia" w:ascii="宋体" w:hAnsi="宋体" w:eastAsia="宋体" w:cs="宋体"/>
                <w:sz w:val="24"/>
              </w:rPr>
              <w:t xml:space="preserve">　　②依法与安置的每位残疾人签订了一年以上（含一年）的劳动合同或服务协议；</w:t>
            </w:r>
            <w:r/>
          </w:p>
          <w:p>
            <w:pPr>
              <w:pStyle w:val="1050"/>
              <w:jc w:val="left"/>
              <w:widowControl/>
              <w:rPr>
                <w:rFonts w:hint="eastAsia" w:ascii="宋体" w:hAnsi="宋体" w:eastAsia="宋体" w:cs="宋体"/>
                <w:sz w:val="24"/>
              </w:rPr>
            </w:pPr>
            <w:r>
              <w:rPr>
                <w:rFonts w:hint="eastAsia" w:ascii="宋体" w:hAnsi="宋体" w:eastAsia="宋体" w:cs="宋体"/>
                <w:sz w:val="24"/>
              </w:rPr>
              <w:t xml:space="preserve">　　③为安置的每位残疾人按月足额缴纳了基本养老保险、基本医疗保险、失业保险、工伤保险和生育保险等社会保险费；</w:t>
            </w:r>
            <w:r/>
          </w:p>
          <w:p>
            <w:pPr>
              <w:pStyle w:val="1050"/>
              <w:jc w:val="left"/>
              <w:widowControl/>
              <w:rPr>
                <w:rFonts w:hint="eastAsia" w:ascii="宋体" w:hAnsi="宋体" w:eastAsia="宋体" w:cs="宋体"/>
                <w:sz w:val="24"/>
              </w:rPr>
            </w:pPr>
            <w:r>
              <w:rPr>
                <w:rFonts w:hint="eastAsia" w:ascii="宋体" w:hAnsi="宋体" w:eastAsia="宋体" w:cs="宋体"/>
                <w:sz w:val="24"/>
              </w:rPr>
              <w:t xml:space="preserve">　　④通过银行等金融机构向安置的每位残疾人，按月支付了不低于单位所在区县适用的经省级人民政府批准的月最低工资标准的工资；</w:t>
            </w:r>
            <w:r/>
          </w:p>
          <w:p>
            <w:pPr>
              <w:pStyle w:val="1050"/>
              <w:jc w:val="left"/>
              <w:widowControl/>
              <w:rPr>
                <w:rFonts w:hint="eastAsia" w:ascii="宋体" w:hAnsi="宋体" w:eastAsia="宋体" w:cs="宋体"/>
                <w:sz w:val="24"/>
              </w:rPr>
            </w:pPr>
            <w:r>
              <w:rPr>
                <w:rFonts w:hint="eastAsia" w:ascii="宋体" w:hAnsi="宋体" w:eastAsia="宋体" w:cs="宋体"/>
                <w:sz w:val="24"/>
              </w:rPr>
              <w:t xml:space="preserve">　　⑤提供本单位制造的货物、承担的工程或者服务（以下简称产品），或者提供其他残疾人福利性单位制造的货物（不包括使用非残疾人福利性单位注册商标的货物）。</w:t>
            </w:r>
            <w:r/>
          </w:p>
          <w:p>
            <w:pPr>
              <w:pStyle w:val="1050"/>
              <w:jc w:val="left"/>
              <w:widowControl/>
              <w:rPr>
                <w:rFonts w:hint="eastAsia" w:ascii="宋体" w:hAnsi="宋体" w:eastAsia="宋体" w:cs="宋体"/>
                <w:sz w:val="24"/>
              </w:rPr>
            </w:pPr>
            <w:r>
              <w:rPr>
                <w:rFonts w:hint="eastAsia" w:ascii="宋体" w:hAnsi="宋体" w:eastAsia="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0"/>
              <w:widowControl/>
              <w:rPr>
                <w:rFonts w:hint="eastAsia" w:ascii="宋体" w:hAnsi="宋体" w:eastAsia="宋体" w:cs="宋体"/>
                <w:sz w:val="24"/>
              </w:rPr>
              <w:outlineLvl w:val="2"/>
            </w:pPr>
            <w:r>
              <w:rPr>
                <w:rFonts w:hint="eastAsia" w:ascii="宋体" w:hAnsi="宋体" w:eastAsia="宋体" w:cs="宋体"/>
                <w:sz w:val="24"/>
              </w:rPr>
              <w:t xml:space="preserve">   具体以《三部门联合发布关于促进残疾人就业政府采购政策的通知》（财库〔2017〕141号）规定为准。</w:t>
            </w:r>
            <w:r/>
          </w:p>
          <w:p>
            <w:pPr>
              <w:pStyle w:val="1050"/>
              <w:rPr>
                <w:rFonts w:hint="eastAsia" w:ascii="宋体" w:hAnsi="宋体" w:eastAsia="宋体" w:cs="宋体"/>
                <w:sz w:val="24"/>
              </w:rPr>
            </w:pPr>
            <w:r>
              <w:rPr>
                <w:rFonts w:hint="eastAsia" w:ascii="宋体" w:hAnsi="宋体" w:eastAsia="宋体" w:cs="宋体"/>
                <w:sz w:val="24"/>
              </w:rPr>
              <w:t xml:space="preserve">注：</w:t>
            </w:r>
            <w:r/>
          </w:p>
          <w:p>
            <w:pPr>
              <w:pStyle w:val="1050"/>
              <w:ind w:firstLine="480"/>
              <w:rPr>
                <w:rFonts w:hint="eastAsia" w:ascii="宋体" w:hAnsi="宋体" w:eastAsia="宋体" w:cs="宋体"/>
                <w:sz w:val="24"/>
              </w:rPr>
            </w:pPr>
            <w:r>
              <w:rPr>
                <w:rFonts w:hint="eastAsia" w:ascii="宋体" w:hAnsi="宋体" w:eastAsia="宋体" w:cs="宋体"/>
                <w:sz w:val="24"/>
              </w:rPr>
              <w:t xml:space="preserve">1.投标人应对以上文件的合法性、真实性负责。</w:t>
            </w:r>
            <w:r/>
          </w:p>
          <w:p>
            <w:pPr>
              <w:pStyle w:val="1199"/>
              <w:ind w:firstLine="480"/>
              <w:rPr>
                <w:rFonts w:hint="eastAsia" w:ascii="宋体" w:hAnsi="宋体" w:eastAsia="宋体" w:cs="宋体"/>
                <w:bCs/>
                <w:sz w:val="24"/>
              </w:rPr>
            </w:pPr>
            <w:r>
              <w:rPr>
                <w:rFonts w:hint="eastAsia" w:ascii="宋体" w:hAnsi="宋体" w:eastAsia="宋体" w:cs="宋体"/>
                <w:sz w:val="24"/>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ind w:firstLine="0"/>
              <w:rPr>
                <w:rFonts w:hint="eastAsia" w:ascii="宋体" w:hAnsi="宋体" w:eastAsia="宋体" w:cs="宋体"/>
                <w:sz w:val="24"/>
              </w:rPr>
            </w:pPr>
            <w:r>
              <w:rPr>
                <w:rFonts w:hint="eastAsia" w:ascii="宋体" w:hAnsi="宋体" w:eastAsia="宋体" w:cs="宋体"/>
                <w:sz w:val="24"/>
              </w:rPr>
              <w:t xml:space="preserve">19.3</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050"/>
              <w:ind w:firstLine="480"/>
              <w:jc w:val="left"/>
              <w:widowControl/>
              <w:rPr>
                <w:rFonts w:hint="eastAsia" w:ascii="宋体" w:hAnsi="宋体" w:eastAsia="宋体" w:cs="宋体"/>
                <w:sz w:val="24"/>
              </w:rPr>
            </w:pPr>
            <w:r>
              <w:rPr>
                <w:rFonts w:hint="eastAsia" w:ascii="宋体" w:hAnsi="宋体" w:eastAsia="宋体" w:cs="宋体"/>
                <w:sz w:val="24"/>
              </w:rPr>
              <w:t xml:space="preserve">投标人应当通过“苏采云”系统提交数据电文形式的投标文件（即电子投标）。</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特别说明：通过“苏采云”系统提交政府采购客户端工具导出加密的投标文件（后缀名为zip）。投标文件不得超过</w:t>
            </w:r>
            <w:r>
              <w:rPr>
                <w:rFonts w:hint="eastAsia" w:ascii="宋体" w:hAnsi="宋体" w:eastAsia="宋体" w:cs="宋体"/>
                <w:b/>
                <w:bCs/>
                <w:sz w:val="24"/>
                <w:lang w:val="en-US" w:eastAsia="zh-CN"/>
              </w:rPr>
              <w:t xml:space="preserve">1</w:t>
            </w:r>
            <w:r>
              <w:rPr>
                <w:rFonts w:hint="eastAsia" w:ascii="宋体" w:hAnsi="宋体" w:eastAsia="宋体" w:cs="宋体"/>
                <w:b/>
                <w:bCs/>
                <w:sz w:val="24"/>
              </w:rPr>
              <w:t xml:space="preserve">50M</w:t>
            </w:r>
            <w:r>
              <w:rPr>
                <w:rFonts w:hint="eastAsia" w:ascii="宋体" w:hAnsi="宋体" w:eastAsia="宋体" w:cs="宋体"/>
                <w:sz w:val="24"/>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ind w:firstLine="0"/>
              <w:rPr>
                <w:rFonts w:hint="eastAsia" w:ascii="宋体" w:hAnsi="宋体" w:eastAsia="宋体" w:cs="宋体"/>
                <w:sz w:val="24"/>
              </w:rPr>
            </w:pPr>
            <w:r>
              <w:rPr>
                <w:rFonts w:hint="eastAsia" w:ascii="宋体" w:hAnsi="宋体" w:eastAsia="宋体" w:cs="宋体"/>
                <w:sz w:val="24"/>
              </w:rPr>
              <w:t xml:space="preserve">19.4</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050"/>
              <w:ind w:firstLine="480"/>
              <w:jc w:val="left"/>
              <w:widowControl/>
              <w:rPr>
                <w:rFonts w:hint="eastAsia" w:ascii="宋体" w:hAnsi="宋体" w:eastAsia="宋体" w:cs="宋体"/>
                <w:sz w:val="24"/>
              </w:rPr>
            </w:pPr>
            <w:r>
              <w:rPr>
                <w:rFonts w:hint="eastAsia" w:ascii="宋体" w:hAnsi="宋体" w:eastAsia="宋体" w:cs="宋体"/>
                <w:sz w:val="24"/>
              </w:rPr>
              <w:t xml:space="preserve">投标文件的退还：</w:t>
            </w:r>
            <w:r/>
          </w:p>
          <w:p>
            <w:pPr>
              <w:pStyle w:val="1050"/>
              <w:ind w:firstLine="480"/>
              <w:jc w:val="left"/>
              <w:widowControl/>
              <w:rPr>
                <w:rFonts w:hint="eastAsia" w:ascii="宋体" w:hAnsi="宋体" w:eastAsia="宋体" w:cs="宋体"/>
                <w:sz w:val="24"/>
              </w:rPr>
            </w:pP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ind w:firstLine="0"/>
              <w:rPr>
                <w:rFonts w:hint="eastAsia" w:ascii="宋体" w:hAnsi="宋体" w:eastAsia="宋体" w:cs="宋体"/>
                <w:sz w:val="24"/>
              </w:rPr>
            </w:pPr>
            <w:r>
              <w:rPr>
                <w:rFonts w:hint="eastAsia" w:ascii="宋体" w:hAnsi="宋体" w:eastAsia="宋体" w:cs="宋体"/>
                <w:sz w:val="24"/>
              </w:rPr>
              <w:t xml:space="preserve">19.5</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050"/>
              <w:ind w:firstLine="480"/>
              <w:jc w:val="left"/>
              <w:widowControl/>
              <w:rPr>
                <w:rFonts w:hint="eastAsia" w:ascii="宋体" w:hAnsi="宋体" w:eastAsia="宋体" w:cs="宋体"/>
                <w:sz w:val="24"/>
              </w:rPr>
            </w:pPr>
            <w:r>
              <w:rPr>
                <w:rFonts w:hint="eastAsia" w:ascii="宋体" w:hAnsi="宋体" w:eastAsia="宋体" w:cs="宋体"/>
                <w:sz w:val="24"/>
              </w:rPr>
              <w:t xml:space="preserve">线上投标文件的密封、签署、盖章要求：</w:t>
            </w:r>
            <w:r/>
          </w:p>
          <w:p>
            <w:pPr>
              <w:pStyle w:val="1050"/>
              <w:ind w:firstLine="480"/>
              <w:jc w:val="left"/>
              <w:widowControl/>
              <w:rPr>
                <w:rFonts w:hint="eastAsia" w:ascii="宋体" w:hAnsi="宋体" w:eastAsia="宋体" w:cs="宋体"/>
                <w:sz w:val="24"/>
              </w:rPr>
            </w:pPr>
            <w:r>
              <w:rPr>
                <w:rFonts w:hint="eastAsia" w:ascii="宋体" w:hAnsi="宋体" w:eastAsia="宋体" w:cs="宋体"/>
                <w:sz w:val="24"/>
              </w:rPr>
              <w:t xml:space="preserve">一、投标文件的密封（加密）要求：</w:t>
            </w:r>
            <w:r/>
          </w:p>
          <w:p>
            <w:pPr>
              <w:pStyle w:val="1050"/>
              <w:ind w:firstLine="480"/>
              <w:jc w:val="left"/>
              <w:widowControl/>
              <w:rPr>
                <w:rFonts w:hint="eastAsia" w:ascii="宋体" w:hAnsi="宋体" w:eastAsia="宋体" w:cs="宋体"/>
                <w:sz w:val="24"/>
              </w:rPr>
            </w:pPr>
            <w:r>
              <w:rPr>
                <w:rFonts w:hint="eastAsia" w:ascii="宋体" w:hAnsi="宋体" w:eastAsia="宋体" w:cs="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1050"/>
              <w:ind w:firstLine="480"/>
              <w:jc w:val="left"/>
              <w:widowControl/>
              <w:rPr>
                <w:rFonts w:hint="eastAsia" w:ascii="宋体" w:hAnsi="宋体" w:eastAsia="宋体" w:cs="宋体"/>
                <w:sz w:val="24"/>
              </w:rPr>
            </w:pPr>
            <w:r>
              <w:rPr>
                <w:rFonts w:hint="eastAsia" w:ascii="宋体" w:hAnsi="宋体" w:eastAsia="宋体" w:cs="宋体"/>
                <w:sz w:val="24"/>
              </w:rPr>
              <w:t xml:space="preserve">二、投标文件的签署要求：见招标文件第七章《投标文件相关格式》。</w:t>
            </w:r>
            <w:r/>
          </w:p>
          <w:p>
            <w:pPr>
              <w:pStyle w:val="1199"/>
              <w:ind w:firstLine="480"/>
              <w:jc w:val="left"/>
              <w:widowControl/>
              <w:rPr>
                <w:rFonts w:hint="eastAsia" w:ascii="宋体" w:hAnsi="宋体" w:eastAsia="宋体" w:cs="宋体"/>
                <w:sz w:val="24"/>
              </w:rPr>
            </w:pPr>
            <w:r>
              <w:rPr>
                <w:rFonts w:hint="eastAsia" w:ascii="宋体" w:hAnsi="宋体" w:eastAsia="宋体" w:cs="宋体"/>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50"/>
              <w:jc w:val="center"/>
              <w:rPr>
                <w:rFonts w:hint="eastAsia" w:ascii="宋体" w:hAnsi="宋体" w:eastAsia="宋体" w:cs="宋体"/>
                <w:sz w:val="24"/>
                <w:szCs w:val="24"/>
                <w:lang w:val="en-US" w:eastAsia="zh-CN" w:bidi="ar-SA"/>
              </w:rPr>
            </w:pPr>
            <w:r>
              <w:rPr>
                <w:rFonts w:hint="eastAsia" w:ascii="宋体" w:hAnsi="宋体" w:eastAsia="宋体" w:cs="宋体"/>
                <w:sz w:val="24"/>
              </w:rPr>
              <w:t xml:space="preserve">19.7</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247"/>
              <w:spacing w:before="0" w:beforeAutospacing="0" w:after="0" w:afterAutospacing="0"/>
              <w:shd w:val="clear" w:color="auto" w:fill="ffffff"/>
              <w:rPr>
                <w:rFonts w:hint="eastAsia" w:ascii="宋体" w:hAnsi="宋体" w:eastAsia="宋体" w:cs="宋体"/>
                <w:sz w:val="24"/>
                <w:szCs w:val="24"/>
                <w:lang w:val="en-US" w:eastAsia="zh-CN" w:bidi="ar-SA"/>
              </w:rPr>
            </w:pPr>
            <w:r>
              <w:rPr>
                <w:rFonts w:hint="eastAsia" w:ascii="宋体" w:hAnsi="宋体" w:eastAsia="宋体" w:cs="宋体"/>
              </w:rPr>
              <w:t xml:space="preserve">    投标人未按规定加密的投标文件，“苏采云”系统应当拒收并提示。</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50"/>
              <w:jc w:val="center"/>
              <w:rPr>
                <w:rFonts w:hint="eastAsia" w:ascii="宋体" w:hAnsi="宋体" w:eastAsia="宋体" w:cs="宋体"/>
                <w:sz w:val="24"/>
                <w:szCs w:val="24"/>
                <w:lang w:val="en-US" w:eastAsia="zh-CN" w:bidi="ar-SA"/>
              </w:rPr>
            </w:pPr>
            <w:r>
              <w:rPr>
                <w:rFonts w:hint="eastAsia" w:ascii="宋体" w:hAnsi="宋体" w:eastAsia="宋体" w:cs="宋体"/>
                <w:sz w:val="24"/>
              </w:rPr>
              <w:t xml:space="preserve">19.8</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247"/>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投标人应当在投标截止时间前完成投标文件的传输提交，并可以补充、修改或者撤回投标文件。</w:t>
            </w:r>
            <w:r/>
          </w:p>
          <w:p>
            <w:pPr>
              <w:pStyle w:val="1247"/>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补充、修改投标文件的，须先撤回投标文件，重新编制（即补充、修改）投标文件，在投标截止时间前完成投标文件的传输提交。</w:t>
            </w:r>
            <w:r/>
          </w:p>
          <w:p>
            <w:pPr>
              <w:pStyle w:val="1247"/>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投标截止时间前未完成投标文件传输的，视为撤回投标文件。投标截止时间后送达的投标文件，“苏采云”系统应当拒收。</w:t>
            </w:r>
            <w:r/>
          </w:p>
          <w:p>
            <w:pPr>
              <w:pStyle w:val="1247"/>
              <w:ind w:firstLine="480"/>
              <w:spacing w:before="0" w:beforeAutospacing="0" w:after="0" w:afterAutospacing="0"/>
              <w:shd w:val="clear" w:color="auto" w:fill="ffffff"/>
              <w:rPr>
                <w:rFonts w:hint="eastAsia" w:ascii="宋体" w:hAnsi="宋体" w:eastAsia="宋体" w:cs="宋体"/>
                <w:sz w:val="24"/>
                <w:szCs w:val="24"/>
                <w:lang w:val="en-US" w:eastAsia="zh-CN" w:bidi="ar-SA"/>
              </w:rPr>
            </w:pPr>
            <w:r>
              <w:rPr>
                <w:rFonts w:hint="eastAsia" w:ascii="宋体" w:hAnsi="宋体" w:eastAsia="宋体" w:cs="宋体"/>
                <w:b/>
              </w:rPr>
              <w:t xml:space="preserve">“苏采云”系统收到投标人送达的投标文件，即时向投标人发出确认回执通知（提示），</w:t>
            </w:r>
            <w:r>
              <w:rPr>
                <w:rFonts w:hint="eastAsia" w:ascii="宋体" w:hAnsi="宋体" w:eastAsia="宋体" w:cs="宋体"/>
              </w:rPr>
              <w:t xml:space="preserve">并妥善保存投标文件。在投标截止时间前，除投标人补充、修改或者撤回投标文件外，任何单位和个人不得解密、提取投标文件。</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22.1</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jc w:val="left"/>
              <w:shd w:val="clear" w:color="ffffff" w:themeColor="background1" w:fill="ffffff" w:themeFill="background1"/>
              <w:widowControl/>
              <w:rPr>
                <w:rFonts w:hint="eastAsia" w:ascii="宋体" w:hAnsi="宋体" w:eastAsia="宋体" w:cs="宋体"/>
                <w:sz w:val="24"/>
                <w:highlight w:val="white"/>
              </w:rPr>
            </w:pPr>
            <w:r>
              <w:rPr>
                <w:rFonts w:hint="eastAsia" w:ascii="宋体" w:hAnsi="宋体" w:eastAsia="宋体" w:cs="宋体"/>
                <w:sz w:val="24"/>
                <w:highlight w:val="white"/>
              </w:rPr>
              <w:t xml:space="preserve">投标截止时间：</w:t>
            </w:r>
            <w:r>
              <w:rPr>
                <w:rFonts w:hint="eastAsia" w:ascii="宋体" w:hAnsi="宋体" w:cs="宋体"/>
                <w:sz w:val="24"/>
                <w:highlight w:val="white"/>
                <w:lang w:eastAsia="zh-CN"/>
              </w:rPr>
              <w:t xml:space="preserve">2025年8月</w:t>
            </w:r>
            <w:r>
              <w:rPr>
                <w:rFonts w:hint="eastAsia" w:ascii="宋体" w:hAnsi="宋体" w:cs="宋体"/>
                <w:sz w:val="24"/>
                <w:highlight w:val="white"/>
                <w:lang w:val="en-US" w:eastAsia="zh-CN"/>
              </w:rPr>
              <w:t xml:space="preserve">29</w:t>
            </w:r>
            <w:r>
              <w:rPr>
                <w:rFonts w:hint="eastAsia" w:ascii="宋体" w:hAnsi="宋体" w:cs="宋体"/>
                <w:sz w:val="24"/>
                <w:highlight w:val="white"/>
                <w:lang w:eastAsia="zh-CN"/>
              </w:rPr>
              <w:t xml:space="preserve">日</w:t>
            </w:r>
            <w:r>
              <w:rPr>
                <w:rFonts w:hint="eastAsia" w:ascii="宋体" w:hAnsi="宋体" w:eastAsia="宋体" w:cs="宋体"/>
                <w:sz w:val="24"/>
                <w:highlight w:val="white"/>
                <w:lang w:eastAsia="zh-CN"/>
              </w:rPr>
              <w:t xml:space="preserve">09:30（北京时间）</w:t>
            </w:r>
            <w:r>
              <w:rPr>
                <w:highlight w:val="white"/>
              </w:rP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50"/>
              <w:jc w:val="center"/>
              <w:rPr>
                <w:rFonts w:hint="eastAsia" w:ascii="宋体" w:hAnsi="宋体" w:eastAsia="宋体" w:cs="宋体"/>
                <w:sz w:val="24"/>
              </w:rPr>
            </w:pPr>
            <w:r>
              <w:rPr>
                <w:rFonts w:hint="eastAsia" w:ascii="宋体" w:hAnsi="宋体" w:eastAsia="宋体" w:cs="宋体"/>
                <w:sz w:val="24"/>
              </w:rPr>
              <w:t xml:space="preserve">22.2</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050"/>
              <w:ind w:firstLine="480"/>
              <w:shd w:val="clear" w:color="ffffff" w:themeColor="background1" w:fill="ffffff" w:themeFill="background1"/>
              <w:rPr>
                <w:rFonts w:hint="eastAsia" w:ascii="宋体" w:hAnsi="宋体" w:eastAsia="宋体" w:cs="宋体"/>
                <w:sz w:val="24"/>
                <w:highlight w:val="white"/>
              </w:rPr>
            </w:pPr>
            <w:r>
              <w:rPr>
                <w:rFonts w:hint="eastAsia" w:ascii="宋体" w:hAnsi="宋体" w:eastAsia="宋体" w:cs="宋体"/>
                <w:sz w:val="24"/>
                <w:highlight w:val="white"/>
              </w:rPr>
              <w:t xml:space="preserve">投标文件的递交：</w:t>
            </w:r>
            <w:r>
              <w:rPr>
                <w:highlight w:val="white"/>
              </w:rPr>
            </w:r>
          </w:p>
          <w:p>
            <w:pPr>
              <w:pStyle w:val="1050"/>
              <w:ind w:firstLine="480"/>
              <w:shd w:val="clear" w:color="ffffff" w:themeColor="background1" w:fill="ffffff" w:themeFill="background1"/>
              <w:rPr>
                <w:rFonts w:hint="eastAsia" w:ascii="宋体" w:hAnsi="宋体" w:eastAsia="宋体" w:cs="宋体"/>
                <w:sz w:val="24"/>
                <w:highlight w:val="white"/>
              </w:rPr>
            </w:pPr>
            <w:r>
              <w:rPr>
                <w:rFonts w:hint="eastAsia" w:ascii="宋体" w:hAnsi="宋体" w:eastAsia="宋体" w:cs="宋体"/>
                <w:sz w:val="24"/>
                <w:highlight w:val="white"/>
              </w:rPr>
              <w:t xml:space="preserve">1.投标文件递交截止时间：</w:t>
            </w:r>
            <w:r>
              <w:rPr>
                <w:rFonts w:hint="eastAsia" w:ascii="宋体" w:hAnsi="宋体" w:cs="宋体"/>
                <w:sz w:val="24"/>
                <w:highlight w:val="white"/>
                <w:lang w:eastAsia="zh-CN"/>
              </w:rPr>
              <w:t xml:space="preserve">2025年8月</w:t>
            </w:r>
            <w:r>
              <w:rPr>
                <w:rFonts w:hint="eastAsia" w:ascii="宋体" w:hAnsi="宋体" w:cs="宋体"/>
                <w:sz w:val="24"/>
                <w:highlight w:val="white"/>
                <w:lang w:val="en-US" w:eastAsia="zh-CN"/>
              </w:rPr>
              <w:t xml:space="preserve">29</w:t>
            </w:r>
            <w:r>
              <w:rPr>
                <w:rFonts w:hint="eastAsia" w:ascii="宋体" w:hAnsi="宋体" w:cs="宋体"/>
                <w:sz w:val="24"/>
                <w:highlight w:val="white"/>
                <w:lang w:eastAsia="zh-CN"/>
              </w:rPr>
              <w:t xml:space="preserve">日</w:t>
            </w:r>
            <w:r>
              <w:rPr>
                <w:rFonts w:hint="eastAsia" w:ascii="宋体" w:hAnsi="宋体" w:eastAsia="宋体" w:cs="宋体"/>
                <w:sz w:val="24"/>
                <w:highlight w:val="white"/>
                <w:lang w:eastAsia="zh-CN"/>
              </w:rPr>
              <w:t xml:space="preserve">09:30（北京时间）</w:t>
            </w:r>
            <w:r>
              <w:rPr>
                <w:highlight w:val="white"/>
              </w:rPr>
            </w:r>
          </w:p>
          <w:p>
            <w:pPr>
              <w:pStyle w:val="1050"/>
              <w:ind w:firstLine="480"/>
              <w:jc w:val="left"/>
              <w:shd w:val="clear" w:color="ffffff" w:themeColor="background1" w:fill="ffffff" w:themeFill="background1"/>
              <w:widowControl/>
              <w:rPr>
                <w:rFonts w:hint="eastAsia" w:ascii="宋体" w:hAnsi="宋体" w:eastAsia="宋体" w:cs="宋体"/>
                <w:sz w:val="24"/>
                <w:highlight w:val="white"/>
              </w:rPr>
            </w:pPr>
            <w:r>
              <w:rPr>
                <w:rFonts w:hint="eastAsia" w:ascii="宋体" w:hAnsi="宋体" w:eastAsia="宋体" w:cs="宋体"/>
                <w:sz w:val="24"/>
                <w:highlight w:val="white"/>
              </w:rPr>
              <w:t xml:space="preserve">2.递交：投标人应当通过电子招标投标交易平台递交数据电文形式的投标文件（即电子投标），“苏采云”系统自动接收。</w:t>
            </w:r>
            <w:r>
              <w:rPr>
                <w:highlight w:val="white"/>
              </w:rP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jc w:val="left"/>
              <w:widowControl/>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jc w:val="center"/>
              <w:rPr>
                <w:rFonts w:hint="eastAsia" w:ascii="宋体" w:hAnsi="宋体" w:eastAsia="宋体" w:cs="宋体"/>
                <w:sz w:val="24"/>
                <w:highlight w:val="white"/>
              </w:rPr>
            </w:pPr>
            <w:r>
              <w:rPr>
                <w:rFonts w:hint="eastAsia" w:ascii="宋体" w:hAnsi="宋体" w:eastAsia="宋体" w:cs="宋体"/>
                <w:sz w:val="24"/>
                <w:highlight w:val="white"/>
              </w:rPr>
              <w:t xml:space="preserve">四、开标、评标</w:t>
            </w:r>
            <w:r>
              <w:rPr>
                <w:highlight w:val="white"/>
              </w:rP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24.1</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050"/>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开标时间及地点：</w:t>
            </w:r>
            <w:r>
              <w:rPr>
                <w:highlight w:val="white"/>
              </w:rPr>
            </w:r>
          </w:p>
          <w:p>
            <w:pPr>
              <w:pStyle w:val="1050"/>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1.开标时间</w:t>
            </w:r>
            <w:r>
              <w:rPr>
                <w:rFonts w:hint="eastAsia" w:ascii="宋体" w:hAnsi="宋体" w:eastAsia="宋体" w:cs="宋体"/>
                <w:sz w:val="24"/>
                <w:highlight w:val="white"/>
              </w:rPr>
              <w:t xml:space="preserve">：</w:t>
            </w:r>
            <w:r>
              <w:rPr>
                <w:rFonts w:hint="eastAsia" w:ascii="宋体" w:hAnsi="宋体" w:cs="宋体"/>
                <w:sz w:val="24"/>
                <w:highlight w:val="white"/>
                <w:lang w:eastAsia="zh-CN"/>
              </w:rPr>
              <w:t xml:space="preserve">2025年8月</w:t>
            </w:r>
            <w:r>
              <w:rPr>
                <w:rFonts w:hint="eastAsia" w:ascii="宋体" w:hAnsi="宋体" w:cs="宋体"/>
                <w:sz w:val="24"/>
                <w:highlight w:val="white"/>
                <w:lang w:val="en-US" w:eastAsia="zh-CN"/>
              </w:rPr>
              <w:t xml:space="preserve">29</w:t>
            </w:r>
            <w:r>
              <w:rPr>
                <w:rFonts w:hint="eastAsia" w:ascii="宋体" w:hAnsi="宋体" w:cs="宋体"/>
                <w:sz w:val="24"/>
                <w:highlight w:val="white"/>
                <w:lang w:eastAsia="zh-CN"/>
              </w:rPr>
              <w:t xml:space="preserve">日</w:t>
            </w:r>
            <w:r>
              <w:rPr>
                <w:rFonts w:hint="eastAsia" w:ascii="宋体" w:hAnsi="宋体" w:eastAsia="宋体" w:cs="宋体"/>
                <w:sz w:val="24"/>
                <w:highlight w:val="white"/>
                <w:lang w:eastAsia="zh-CN"/>
              </w:rPr>
              <w:t xml:space="preserve">09:30（北京时间）</w:t>
            </w:r>
            <w:r>
              <w:rPr>
                <w:highlight w:val="white"/>
              </w:rPr>
            </w:r>
          </w:p>
          <w:p>
            <w:pPr>
              <w:pStyle w:val="1199"/>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2.开标地点：“苏采云”系统（网址： http://jszfcg.jsczt.cn/）“开标大厅”或进入徐州政府采购网（网址：http://czj.xz.gov.cn/Home/HomeIndex）--业务工作--用户登录，点击“苏采云”进入系统“开标大厅”。</w:t>
            </w:r>
            <w:r>
              <w:rPr>
                <w:highlight w:val="white"/>
              </w:rP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50"/>
              <w:jc w:val="center"/>
              <w:rPr>
                <w:rFonts w:hint="eastAsia" w:ascii="宋体" w:hAnsi="宋体" w:eastAsia="宋体" w:cs="宋体"/>
                <w:sz w:val="24"/>
                <w:szCs w:val="24"/>
                <w:lang w:val="en-US" w:eastAsia="zh-CN" w:bidi="ar-SA"/>
              </w:rPr>
            </w:pPr>
            <w:r>
              <w:rPr>
                <w:rFonts w:hint="eastAsia" w:ascii="宋体" w:hAnsi="宋体" w:eastAsia="宋体" w:cs="宋体"/>
                <w:sz w:val="24"/>
              </w:rPr>
              <w:t xml:space="preserve">24.</w:t>
            </w:r>
            <w:r>
              <w:rPr>
                <w:rFonts w:hint="eastAsia" w:ascii="宋体" w:hAnsi="宋体" w:eastAsia="宋体" w:cs="宋体"/>
                <w:sz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050"/>
              <w:ind w:firstLine="480"/>
              <w:jc w:val="left"/>
              <w:widowControl/>
              <w:rPr>
                <w:rFonts w:hint="eastAsia" w:ascii="宋体" w:hAnsi="宋体" w:eastAsia="宋体" w:cs="宋体"/>
                <w:sz w:val="24"/>
              </w:rPr>
            </w:pPr>
            <w:r>
              <w:rPr>
                <w:rFonts w:hint="eastAsia" w:ascii="宋体" w:hAnsi="宋体" w:eastAsia="宋体" w:cs="宋体"/>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sz w:val="24"/>
              </w:rPr>
              <w:t xml:space="preserve">开标时间后30分钟内</w:t>
            </w:r>
            <w:r>
              <w:rPr>
                <w:rFonts w:hint="eastAsia" w:ascii="宋体" w:hAnsi="宋体" w:eastAsia="宋体" w:cs="宋体"/>
                <w:sz w:val="24"/>
              </w:rPr>
              <w:t xml:space="preserve">，通过“苏采云”系统（使用“CA数字证书”）解密。</w:t>
            </w:r>
            <w:r/>
          </w:p>
          <w:p>
            <w:pPr>
              <w:pStyle w:val="1050"/>
              <w:ind w:firstLine="480"/>
              <w:jc w:val="left"/>
              <w:widowControl/>
              <w:rPr>
                <w:rFonts w:hint="eastAsia" w:ascii="宋体" w:hAnsi="宋体" w:eastAsia="宋体" w:cs="宋体"/>
                <w:bCs/>
                <w:sz w:val="24"/>
                <w:szCs w:val="24"/>
                <w:lang w:val="en-US" w:eastAsia="zh-CN" w:bidi="ar-SA"/>
              </w:rPr>
            </w:pPr>
            <w:r>
              <w:rPr>
                <w:rFonts w:hint="eastAsia" w:ascii="宋体" w:hAnsi="宋体" w:eastAsia="宋体" w:cs="宋体"/>
                <w:bCs/>
                <w:sz w:val="24"/>
              </w:rPr>
              <w:t xml:space="preserve">“苏采云”系统生成开标记录并向社会公众公布，但依法应当保密的除外。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50"/>
              <w:jc w:val="center"/>
              <w:rPr>
                <w:rFonts w:hint="eastAsia" w:ascii="宋体" w:hAnsi="宋体" w:eastAsia="宋体" w:cs="宋体"/>
                <w:sz w:val="24"/>
                <w:szCs w:val="24"/>
                <w:lang w:val="en-US" w:eastAsia="zh-CN" w:bidi="ar-SA"/>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4</w:t>
            </w: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050"/>
              <w:ind w:firstLine="480"/>
              <w:jc w:val="left"/>
              <w:widowControl/>
              <w:rPr>
                <w:rFonts w:hint="eastAsia" w:ascii="宋体" w:hAnsi="宋体" w:eastAsia="宋体" w:cs="宋体"/>
                <w:sz w:val="24"/>
                <w:szCs w:val="24"/>
                <w:lang w:val="en-US" w:eastAsia="zh-CN" w:bidi="ar-SA"/>
              </w:rPr>
            </w:pPr>
            <w:r>
              <w:rPr>
                <w:rFonts w:hint="eastAsia" w:ascii="宋体" w:hAnsi="宋体" w:eastAsia="宋体" w:cs="宋体"/>
                <w:sz w:val="24"/>
              </w:rPr>
              <w:t xml:space="preserve">“苏采云”系统生成开标记录并</w:t>
            </w:r>
            <w:r>
              <w:rPr>
                <w:rFonts w:hint="eastAsia" w:ascii="宋体" w:hAnsi="宋体" w:eastAsia="宋体" w:cs="宋体"/>
                <w:b/>
                <w:bCs/>
                <w:sz w:val="24"/>
              </w:rPr>
              <w:t xml:space="preserve">向社会公众公布后</w:t>
            </w:r>
            <w:r>
              <w:rPr>
                <w:rFonts w:hint="eastAsia" w:ascii="宋体" w:hAnsi="宋体" w:eastAsia="宋体" w:cs="宋体"/>
                <w:b/>
                <w:bCs/>
                <w:sz w:val="24"/>
                <w:lang w:val="en-US" w:eastAsia="zh-CN"/>
              </w:rPr>
              <w:t xml:space="preserve">5</w:t>
            </w:r>
            <w:r>
              <w:rPr>
                <w:rFonts w:hint="eastAsia" w:ascii="宋体" w:hAnsi="宋体" w:eastAsia="宋体" w:cs="宋体"/>
                <w:b/>
                <w:bCs/>
                <w:sz w:val="24"/>
              </w:rPr>
              <w:t xml:space="preserve">分钟内</w:t>
            </w:r>
            <w:r>
              <w:rPr>
                <w:rFonts w:hint="eastAsia" w:ascii="宋体" w:hAnsi="宋体" w:eastAsia="宋体" w:cs="宋体"/>
                <w:sz w:val="24"/>
              </w:rPr>
              <w:t xml:space="preserve">，投标人通过“苏采云”系统（使用“CA数字证书”）</w:t>
            </w:r>
            <w:r>
              <w:rPr>
                <w:rFonts w:hint="eastAsia" w:ascii="宋体" w:hAnsi="宋体" w:eastAsia="宋体" w:cs="宋体"/>
                <w:b/>
                <w:bCs/>
                <w:sz w:val="24"/>
              </w:rPr>
              <w:t xml:space="preserve">确认开标过程</w:t>
            </w:r>
            <w:r>
              <w:rPr>
                <w:rFonts w:hint="eastAsia" w:ascii="宋体" w:hAnsi="宋体" w:eastAsia="宋体" w:cs="宋体"/>
                <w:sz w:val="24"/>
              </w:rPr>
              <w:t xml:space="preserve">。在以上时间内投标人没有确认的，视同该投标人认可开标结果。</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50"/>
              <w:jc w:val="center"/>
              <w:rPr>
                <w:rFonts w:hint="eastAsia" w:ascii="宋体" w:hAnsi="宋体" w:eastAsia="宋体" w:cs="宋体"/>
                <w:sz w:val="24"/>
                <w:szCs w:val="24"/>
                <w:lang w:val="en-US" w:eastAsia="zh-CN" w:bidi="ar-SA"/>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4</w:t>
            </w:r>
            <w:r>
              <w:rPr>
                <w:rFonts w:hint="eastAsia" w:ascii="宋体" w:hAnsi="宋体" w:eastAsia="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050"/>
              <w:ind w:firstLine="480"/>
              <w:jc w:val="left"/>
              <w:widowControl/>
              <w:rPr>
                <w:rFonts w:hint="eastAsia" w:ascii="宋体" w:hAnsi="宋体" w:eastAsia="宋体" w:cs="宋体"/>
                <w:sz w:val="24"/>
                <w:szCs w:val="24"/>
                <w:lang w:val="en-US" w:eastAsia="zh-CN" w:bidi="ar-SA"/>
              </w:rPr>
            </w:pPr>
            <w:r>
              <w:rPr>
                <w:rFonts w:hint="eastAsia" w:ascii="宋体" w:hAnsi="宋体" w:eastAsia="宋体" w:cs="宋体"/>
                <w:sz w:val="24"/>
              </w:rPr>
              <w:t xml:space="preserve">因投标人原因造成投标文件未解密的，视为撤销其投标文件;因投标人之外的原因造成投标文件未解密的，视为撤回其投标文件。部分投标文件未解密的，其他投标文件的开标可以继续进行。</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50"/>
              <w:jc w:val="center"/>
              <w:rPr>
                <w:rFonts w:hint="eastAsia" w:ascii="宋体" w:hAnsi="宋体" w:eastAsia="宋体" w:cs="宋体"/>
                <w:sz w:val="24"/>
                <w:szCs w:val="24"/>
                <w:lang w:val="en-US" w:eastAsia="zh-CN" w:bidi="ar-SA"/>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4</w:t>
            </w:r>
            <w:r>
              <w:rPr>
                <w:rFonts w:hint="eastAsia" w:ascii="宋体" w:hAnsi="宋体" w:eastAsia="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247"/>
              <w:spacing w:before="0" w:beforeAutospacing="0" w:after="0" w:afterAutospacing="0"/>
              <w:shd w:val="clear" w:color="auto" w:fill="ffffff"/>
              <w:rPr>
                <w:rFonts w:hint="eastAsia" w:ascii="宋体" w:hAnsi="宋体" w:eastAsia="宋体" w:cs="宋体"/>
                <w:sz w:val="24"/>
                <w:szCs w:val="24"/>
                <w:lang w:val="en-US" w:eastAsia="zh-CN" w:bidi="ar-SA"/>
              </w:rPr>
            </w:pPr>
            <w:r>
              <w:rPr>
                <w:rFonts w:hint="eastAsia" w:ascii="宋体" w:hAnsi="宋体" w:eastAsia="宋体" w:cs="宋体"/>
              </w:rPr>
              <w:t xml:space="preserve">投标文件解密失败的补救方案:无。</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50"/>
              <w:jc w:val="center"/>
              <w:rPr>
                <w:rFonts w:hint="eastAsia" w:ascii="宋体" w:hAnsi="宋体" w:eastAsia="宋体" w:cs="宋体"/>
                <w:sz w:val="24"/>
                <w:szCs w:val="24"/>
                <w:lang w:val="en-US" w:eastAsia="zh-CN" w:bidi="ar-SA"/>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7</w:t>
            </w:r>
            <w:r>
              <w:rPr>
                <w:rFonts w:hint="eastAsia" w:ascii="宋体" w:hAnsi="宋体" w:eastAsia="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050"/>
              <w:ind w:firstLine="480"/>
              <w:jc w:val="left"/>
              <w:widowControl/>
              <w:rPr>
                <w:rFonts w:hint="eastAsia" w:ascii="宋体" w:hAnsi="宋体" w:eastAsia="宋体" w:cs="宋体"/>
                <w:sz w:val="24"/>
              </w:rPr>
            </w:pPr>
            <w:r>
              <w:rPr>
                <w:rFonts w:hint="eastAsia" w:ascii="宋体" w:hAnsi="宋体" w:eastAsia="宋体" w:cs="宋体"/>
                <w:sz w:val="24"/>
              </w:rPr>
              <w:t xml:space="preserve">1.评标中需要投标人对投标文件澄清或者说明的，应当通过“苏采云”系统交换数据电文。</w:t>
            </w:r>
            <w:r>
              <w:rPr>
                <w:rFonts w:hint="eastAsia" w:ascii="宋体" w:hAnsi="宋体" w:eastAsia="宋体" w:cs="宋体"/>
                <w:b/>
                <w:bCs/>
                <w:sz w:val="24"/>
              </w:rPr>
              <w:t xml:space="preserve">在评标期间，请投标人保持在线</w:t>
            </w:r>
            <w:r>
              <w:rPr>
                <w:rFonts w:hint="eastAsia" w:ascii="宋体" w:hAnsi="宋体" w:eastAsia="宋体" w:cs="宋体"/>
                <w:sz w:val="24"/>
              </w:rPr>
              <w:t xml:space="preserve">。</w:t>
            </w:r>
            <w:r/>
          </w:p>
          <w:p>
            <w:pPr>
              <w:pStyle w:val="1050"/>
              <w:ind w:firstLine="480"/>
              <w:jc w:val="left"/>
              <w:widowControl/>
              <w:rPr>
                <w:rFonts w:hint="eastAsia" w:ascii="宋体" w:hAnsi="宋体" w:eastAsia="宋体" w:cs="宋体"/>
                <w:sz w:val="24"/>
              </w:rPr>
            </w:pPr>
            <w:r>
              <w:rPr>
                <w:rFonts w:hint="eastAsia" w:ascii="宋体" w:hAnsi="宋体" w:eastAsia="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1050"/>
              <w:ind w:firstLine="480"/>
              <w:jc w:val="left"/>
              <w:widowControl/>
              <w:rPr>
                <w:rFonts w:hint="eastAsia" w:ascii="宋体" w:hAnsi="宋体" w:eastAsia="宋体" w:cs="宋体"/>
                <w:sz w:val="24"/>
              </w:rPr>
            </w:pPr>
            <w:r>
              <w:rPr>
                <w:rFonts w:hint="eastAsia" w:ascii="宋体" w:hAnsi="宋体" w:eastAsia="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1050"/>
              <w:ind w:firstLine="482"/>
              <w:jc w:val="left"/>
              <w:widowControl/>
              <w:rPr>
                <w:rFonts w:hint="eastAsia" w:ascii="宋体" w:hAnsi="宋体" w:eastAsia="宋体" w:cs="宋体"/>
                <w:b/>
                <w:sz w:val="24"/>
                <w:szCs w:val="24"/>
                <w:lang w:val="en-US" w:eastAsia="zh-CN" w:bidi="ar-SA"/>
              </w:rPr>
            </w:pPr>
            <w:r>
              <w:rPr>
                <w:rFonts w:hint="eastAsia" w:ascii="宋体" w:hAnsi="宋体" w:eastAsia="宋体" w:cs="宋体"/>
                <w:b/>
                <w:sz w:val="24"/>
              </w:rPr>
              <w:t xml:space="preserve">特别说明：“苏采云”系统通过“江苏省政府采购一体化不见面开标大厅</w:t>
            </w:r>
            <w:r>
              <w:rPr>
                <w:rFonts w:hint="eastAsia" w:ascii="宋体" w:hAnsi="宋体" w:eastAsia="宋体" w:cs="宋体"/>
                <w:b/>
                <w:bCs/>
                <w:sz w:val="24"/>
              </w:rPr>
              <w:t xml:space="preserve">”</w:t>
            </w:r>
            <w:r>
              <w:rPr>
                <w:rFonts w:hint="eastAsia" w:ascii="宋体" w:hAnsi="宋体" w:eastAsia="宋体" w:cs="宋体"/>
                <w:b/>
                <w:sz w:val="24"/>
              </w:rPr>
              <w:t xml:space="preserve">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29.1</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jc w:val="left"/>
              <w:widowControl/>
              <w:rPr>
                <w:rFonts w:hint="eastAsia" w:ascii="宋体" w:hAnsi="宋体" w:eastAsia="宋体" w:cs="宋体"/>
                <w:sz w:val="24"/>
              </w:rPr>
            </w:pPr>
            <w:r>
              <w:rPr>
                <w:rFonts w:hint="eastAsia" w:ascii="宋体" w:hAnsi="宋体" w:eastAsia="宋体" w:cs="宋体"/>
                <w:sz w:val="24"/>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50"/>
              <w:jc w:val="center"/>
              <w:rPr>
                <w:rFonts w:hint="eastAsia" w:ascii="宋体" w:hAnsi="宋体" w:eastAsia="宋体" w:cs="宋体"/>
                <w:sz w:val="24"/>
                <w:szCs w:val="24"/>
                <w:lang w:val="en-US" w:eastAsia="zh-CN" w:bidi="ar-SA"/>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1</w:t>
            </w:r>
            <w:r>
              <w:rPr>
                <w:rFonts w:hint="eastAsia" w:ascii="宋体" w:hAnsi="宋体" w:eastAsia="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050"/>
              <w:ind w:firstLine="480"/>
              <w:rPr>
                <w:rFonts w:hint="eastAsia" w:ascii="宋体" w:hAnsi="宋体" w:eastAsia="宋体" w:cs="宋体"/>
                <w:sz w:val="24"/>
              </w:rPr>
            </w:pPr>
            <w:r>
              <w:rPr>
                <w:rFonts w:hint="eastAsia" w:ascii="宋体" w:hAnsi="宋体" w:eastAsia="宋体" w:cs="宋体"/>
                <w:sz w:val="24"/>
              </w:rPr>
              <w:t xml:space="preserve">评标委员会认为投</w:t>
            </w:r>
            <w:r>
              <w:rPr>
                <w:rFonts w:hint="eastAsia" w:ascii="宋体" w:hAnsi="宋体" w:eastAsia="宋体" w:cs="宋体"/>
                <w:color w:val="000000"/>
                <w:sz w:val="24"/>
                <w:highlight w:val="none"/>
              </w:rPr>
              <w:t xml:space="preserve">标人的报价明显</w:t>
            </w:r>
            <w:r>
              <w:rPr>
                <w:rFonts w:hint="eastAsia" w:ascii="宋体" w:hAnsi="宋体" w:eastAsia="宋体" w:cs="宋体"/>
                <w:color w:val="000000"/>
                <w:sz w:val="24"/>
                <w:highlight w:val="none"/>
                <w:lang w:val="en-US" w:eastAsia="zh-CN"/>
              </w:rPr>
              <w:t xml:space="preserve">高于</w:t>
            </w:r>
            <w:r>
              <w:rPr>
                <w:rFonts w:hint="eastAsia" w:ascii="宋体" w:hAnsi="宋体" w:eastAsia="宋体" w:cs="宋体"/>
                <w:color w:val="000000"/>
                <w:sz w:val="24"/>
                <w:highlight w:val="none"/>
              </w:rPr>
              <w:t xml:space="preserve">其他通过</w:t>
            </w:r>
            <w:r>
              <w:rPr>
                <w:rFonts w:hint="eastAsia" w:ascii="宋体" w:hAnsi="宋体" w:eastAsia="宋体" w:cs="宋体"/>
                <w:sz w:val="24"/>
              </w:rPr>
              <w:t xml:space="preserve">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pStyle w:val="1050"/>
              <w:ind w:firstLine="482"/>
              <w:rPr>
                <w:rFonts w:hint="eastAsia" w:ascii="宋体" w:hAnsi="宋体" w:eastAsia="宋体" w:cs="宋体"/>
                <w:b/>
                <w:sz w:val="24"/>
                <w:szCs w:val="24"/>
                <w:lang w:val="en-US" w:eastAsia="zh-CN" w:bidi="ar-SA"/>
              </w:rPr>
            </w:pPr>
            <w:r>
              <w:rPr>
                <w:rFonts w:hint="eastAsia" w:ascii="宋体" w:hAnsi="宋体" w:eastAsia="宋体" w:cs="宋体"/>
                <w:b/>
                <w:sz w:val="24"/>
              </w:rPr>
              <w:t xml:space="preserve">特别说明：“苏采云”系统通过“江苏省政府采购一体化不见面开标大厅</w:t>
            </w:r>
            <w:r>
              <w:rPr>
                <w:rFonts w:hint="eastAsia" w:ascii="宋体" w:hAnsi="宋体" w:eastAsia="宋体" w:cs="宋体"/>
                <w:b/>
                <w:bCs/>
                <w:sz w:val="24"/>
              </w:rPr>
              <w:t xml:space="preserve">”</w:t>
            </w:r>
            <w:r>
              <w:rPr>
                <w:rFonts w:hint="eastAsia" w:ascii="宋体" w:hAnsi="宋体" w:eastAsia="宋体" w:cs="宋体"/>
                <w:b/>
                <w:sz w:val="24"/>
              </w:rPr>
              <w:t xml:space="preserve">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五、中标和合同</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t xml:space="preserve">34.2</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050"/>
              <w:ind w:firstLine="480"/>
              <w:jc w:val="left"/>
              <w:rPr>
                <w:rFonts w:hint="eastAsia" w:ascii="宋体" w:hAnsi="宋体" w:eastAsia="宋体" w:cs="宋体"/>
                <w:sz w:val="24"/>
              </w:rPr>
            </w:pPr>
            <w:r>
              <w:rPr>
                <w:rFonts w:hint="eastAsia" w:ascii="宋体" w:hAnsi="宋体" w:eastAsia="宋体" w:cs="宋体"/>
                <w:sz w:val="24"/>
              </w:rPr>
              <w:t xml:space="preserve">由评标委员会按评审后得分由高到低顺序排列推荐中标候选供应商名单。得分相同的，</w:t>
            </w:r>
            <w:r>
              <w:rPr>
                <w:rFonts w:hint="eastAsia" w:ascii="宋体" w:hAnsi="宋体" w:eastAsia="宋体" w:cs="宋体"/>
                <w:sz w:val="24"/>
                <w:lang w:val="en-US" w:eastAsia="zh-CN"/>
              </w:rPr>
              <w:t xml:space="preserve">通过以下方式顺序</w:t>
            </w:r>
            <w:r>
              <w:rPr>
                <w:rFonts w:hint="eastAsia" w:ascii="宋体" w:hAnsi="宋体" w:eastAsia="宋体" w:cs="宋体"/>
                <w:sz w:val="24"/>
              </w:rPr>
              <w:t xml:space="preserve">确定中标人：</w:t>
            </w:r>
            <w:r/>
          </w:p>
          <w:p>
            <w:pPr>
              <w:pStyle w:val="1050"/>
              <w:ind w:firstLine="480"/>
              <w:jc w:val="left"/>
              <w:rPr>
                <w:rFonts w:hint="eastAsia" w:ascii="宋体" w:hAnsi="宋体" w:eastAsia="宋体" w:cs="宋体"/>
                <w:sz w:val="24"/>
                <w:lang w:val="en-US" w:eastAsia="zh-CN"/>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以保额报价高的为中标人。</w:t>
            </w:r>
            <w:r/>
          </w:p>
          <w:p>
            <w:pPr>
              <w:pStyle w:val="1050"/>
              <w:ind w:firstLine="480"/>
              <w:jc w:val="left"/>
              <w:rPr>
                <w:rFonts w:hint="eastAsia" w:ascii="宋体" w:hAnsi="宋体" w:eastAsia="宋体" w:cs="宋体"/>
                <w:sz w:val="24"/>
              </w:rPr>
            </w:pPr>
            <w:r>
              <w:rPr>
                <w:rFonts w:hint="eastAsia" w:ascii="宋体" w:hAnsi="宋体" w:eastAsia="宋体" w:cs="宋体"/>
                <w:sz w:val="24"/>
              </w:rPr>
              <w:t xml:space="preserve">2.都符合第1种情况的，</w:t>
            </w:r>
            <w:r>
              <w:rPr>
                <w:rFonts w:hint="eastAsia" w:ascii="宋体" w:hAnsi="宋体" w:eastAsia="宋体" w:cs="宋体"/>
                <w:sz w:val="24"/>
                <w:lang w:val="en-US" w:eastAsia="zh-CN"/>
              </w:rPr>
              <w:t xml:space="preserve">以理赔服务得分高的为中标人</w:t>
            </w:r>
            <w:r>
              <w:rPr>
                <w:rFonts w:hint="eastAsia" w:ascii="宋体" w:hAnsi="宋体" w:eastAsia="宋体" w:cs="宋体"/>
                <w:sz w:val="24"/>
              </w:rPr>
              <w:t xml:space="preserve">。</w:t>
            </w:r>
            <w:r/>
          </w:p>
          <w:p>
            <w:pPr>
              <w:pStyle w:val="1050"/>
              <w:ind w:firstLine="480"/>
              <w:jc w:val="left"/>
              <w:rPr>
                <w:rFonts w:hint="eastAsia" w:ascii="宋体" w:hAnsi="宋体" w:eastAsia="宋体" w:cs="宋体"/>
                <w:sz w:val="24"/>
              </w:rPr>
            </w:pPr>
            <w:r>
              <w:rPr>
                <w:rFonts w:hint="eastAsia" w:ascii="宋体" w:hAnsi="宋体" w:eastAsia="宋体" w:cs="宋体"/>
                <w:sz w:val="24"/>
              </w:rPr>
              <w:t xml:space="preserve">3.都符合第2种情况的，由采购人</w:t>
            </w:r>
            <w:r>
              <w:rPr>
                <w:rFonts w:hint="eastAsia" w:ascii="宋体" w:hAnsi="宋体" w:eastAsia="宋体" w:cs="宋体"/>
                <w:sz w:val="24"/>
                <w:lang w:val="en-US" w:eastAsia="zh-CN"/>
              </w:rPr>
              <w:t xml:space="preserve">自行</w:t>
            </w:r>
            <w:r>
              <w:rPr>
                <w:rFonts w:hint="eastAsia" w:ascii="宋体" w:hAnsi="宋体" w:eastAsia="宋体" w:cs="宋体"/>
                <w:sz w:val="24"/>
              </w:rPr>
              <w:t xml:space="preserve">确定。</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50"/>
              <w:jc w:val="center"/>
              <w:rPr>
                <w:rFonts w:hint="eastAsia" w:ascii="宋体" w:hAnsi="宋体" w:eastAsia="宋体" w:cs="宋体"/>
                <w:sz w:val="24"/>
                <w:szCs w:val="24"/>
                <w:lang w:val="en-US" w:eastAsia="zh-CN" w:bidi="ar-SA"/>
              </w:rPr>
            </w:pPr>
            <w:r>
              <w:rPr>
                <w:rFonts w:hint="eastAsia" w:ascii="宋体" w:hAnsi="宋体" w:eastAsia="宋体" w:cs="宋体"/>
                <w:sz w:val="24"/>
              </w:rPr>
              <w:t xml:space="preserve">37.1</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050"/>
              <w:ind w:firstLine="482"/>
              <w:jc w:val="left"/>
              <w:rPr>
                <w:rFonts w:hint="eastAsia" w:ascii="宋体" w:hAnsi="宋体" w:eastAsia="宋体" w:cs="宋体"/>
                <w:b/>
                <w:sz w:val="24"/>
                <w:szCs w:val="24"/>
                <w:lang w:val="en-US" w:eastAsia="zh-CN" w:bidi="ar-SA"/>
              </w:rPr>
            </w:pPr>
            <w:r>
              <w:rPr>
                <w:rFonts w:hint="eastAsia" w:ascii="宋体" w:hAnsi="宋体" w:eastAsia="宋体" w:cs="宋体"/>
                <w:b/>
                <w:sz w:val="24"/>
              </w:rPr>
              <w:t xml:space="preserve">确定中标人后，通过“苏采云”系统以数据电文形式向未中标人发出中标结果通知书或通过其他必要的方式以其他形式告知未中标人其评审结果。</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50"/>
              <w:jc w:val="center"/>
              <w:rPr>
                <w:rFonts w:hint="eastAsia" w:ascii="宋体" w:hAnsi="宋体" w:eastAsia="宋体" w:cs="宋体"/>
                <w:sz w:val="24"/>
                <w:szCs w:val="24"/>
                <w:lang w:val="en-US" w:eastAsia="zh-CN" w:bidi="ar-SA"/>
              </w:rPr>
            </w:pPr>
            <w:r>
              <w:rPr>
                <w:rFonts w:hint="eastAsia" w:ascii="宋体" w:hAnsi="宋体" w:eastAsia="宋体" w:cs="宋体"/>
                <w:sz w:val="24"/>
              </w:rPr>
              <w:t xml:space="preserve">37.2</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050"/>
              <w:ind w:firstLine="480"/>
              <w:jc w:val="left"/>
              <w:rPr>
                <w:rFonts w:hint="eastAsia" w:ascii="宋体" w:hAnsi="宋体" w:eastAsia="宋体" w:cs="宋体"/>
                <w:sz w:val="24"/>
                <w:szCs w:val="24"/>
                <w:lang w:val="en-US" w:eastAsia="zh-CN" w:bidi="ar-SA"/>
              </w:rPr>
            </w:pPr>
            <w:r>
              <w:rPr>
                <w:rFonts w:hint="eastAsia" w:ascii="宋体" w:hAnsi="宋体" w:eastAsia="宋体" w:cs="宋体"/>
                <w:sz w:val="24"/>
              </w:rPr>
              <w:t xml:space="preserve">在公告中标结果的同时，依法必须进行招标的项目中标结果在“苏采云”系统进行公示和公布。</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50"/>
              <w:jc w:val="center"/>
              <w:rPr>
                <w:rFonts w:hint="eastAsia" w:ascii="宋体" w:hAnsi="宋体" w:eastAsia="宋体" w:cs="宋体"/>
                <w:sz w:val="24"/>
                <w:szCs w:val="24"/>
                <w:lang w:val="en-US" w:eastAsia="zh-CN" w:bidi="ar-SA"/>
              </w:rPr>
            </w:pPr>
            <w:r>
              <w:rPr>
                <w:rFonts w:hint="eastAsia" w:ascii="宋体" w:hAnsi="宋体" w:eastAsia="宋体" w:cs="宋体"/>
                <w:sz w:val="24"/>
              </w:rPr>
              <w:t xml:space="preserve">38.</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050"/>
              <w:rPr>
                <w:rFonts w:hint="eastAsia" w:ascii="宋体" w:hAnsi="宋体" w:eastAsia="宋体" w:cs="宋体"/>
                <w:sz w:val="24"/>
              </w:rPr>
            </w:pPr>
            <w:r>
              <w:rPr>
                <w:rFonts w:hint="eastAsia" w:ascii="宋体" w:hAnsi="宋体" w:eastAsia="宋体" w:cs="宋体"/>
                <w:sz w:val="24"/>
              </w:rPr>
              <w:t xml:space="preserve">特别说明：</w:t>
            </w:r>
            <w:r/>
          </w:p>
          <w:p>
            <w:pPr>
              <w:pStyle w:val="1050"/>
              <w:ind w:firstLine="480"/>
              <w:rPr>
                <w:rFonts w:hint="eastAsia" w:ascii="宋体" w:hAnsi="宋体" w:eastAsia="宋体" w:cs="宋体"/>
                <w:sz w:val="24"/>
                <w:szCs w:val="24"/>
                <w:lang w:val="en-US" w:eastAsia="zh-CN" w:bidi="ar-SA"/>
              </w:rPr>
            </w:pPr>
            <w:r>
              <w:rPr>
                <w:rFonts w:hint="eastAsia" w:ascii="宋体" w:hAnsi="宋体" w:eastAsia="宋体"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color w:val="000000"/>
                <w:sz w:val="24"/>
              </w:rPr>
              <w:t xml:space="preserve">六、询问和质疑</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199"/>
              <w:jc w:val="center"/>
              <w:rPr>
                <w:rFonts w:hint="eastAsia" w:ascii="宋体" w:hAnsi="宋体" w:eastAsia="宋体" w:cs="宋体"/>
                <w:sz w:val="24"/>
              </w:rPr>
            </w:pPr>
            <w:r>
              <w:rPr>
                <w:rFonts w:hint="eastAsia" w:ascii="宋体" w:hAnsi="宋体" w:eastAsia="宋体" w:cs="宋体"/>
                <w:sz w:val="24"/>
                <w:lang w:val="en-US" w:eastAsia="zh-CN"/>
              </w:rPr>
              <w:t xml:space="preserve">41</w:t>
            </w:r>
            <w:r>
              <w:rPr>
                <w:rFonts w:hint="eastAsia" w:ascii="宋体" w:hAnsi="宋体" w:eastAsia="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7896" w:type="dxa"/>
            <w:vAlign w:val="top"/>
            <w:textDirection w:val="lrTb"/>
            <w:noWrap w:val="false"/>
          </w:tcPr>
          <w:p>
            <w:pPr>
              <w:pStyle w:val="1199"/>
              <w:ind w:firstLine="600"/>
              <w:rPr>
                <w:rFonts w:hint="eastAsia" w:ascii="宋体" w:hAnsi="宋体" w:eastAsia="宋体" w:cs="宋体"/>
                <w:color w:val="000000"/>
                <w:sz w:val="24"/>
              </w:rPr>
            </w:pPr>
            <w:r>
              <w:rPr>
                <w:rFonts w:hint="eastAsia" w:ascii="宋体" w:hAnsi="宋体" w:eastAsia="宋体" w:cs="宋体"/>
                <w:color w:val="000000"/>
                <w:sz w:val="24"/>
              </w:rPr>
              <w:t xml:space="preserve">1、供应商对政府采购活动事项有疑问的，向</w:t>
            </w:r>
            <w:r>
              <w:rPr>
                <w:rFonts w:hint="eastAsia" w:ascii="宋体" w:hAnsi="宋体" w:eastAsia="宋体" w:cs="宋体"/>
                <w:color w:val="000000"/>
                <w:sz w:val="24"/>
                <w:lang w:val="en-US" w:eastAsia="zh-CN"/>
              </w:rPr>
              <w:t xml:space="preserve">徐州众信项目管理咨询有限公司</w:t>
            </w:r>
            <w:r>
              <w:rPr>
                <w:rFonts w:hint="eastAsia" w:ascii="宋体" w:hAnsi="宋体" w:eastAsia="宋体" w:cs="宋体"/>
                <w:color w:val="000000"/>
                <w:sz w:val="24"/>
              </w:rPr>
              <w:t xml:space="preserve">提出询问；供应商认为采购文件、采购过程和中标、成交结果使自己的权益受到损害的，可以在知道或者应知其权益受到损害之日起七个工作日内，以书面形式向</w:t>
            </w:r>
            <w:r>
              <w:rPr>
                <w:rFonts w:hint="eastAsia" w:ascii="宋体" w:hAnsi="宋体" w:eastAsia="宋体" w:cs="宋体"/>
                <w:color w:val="000000"/>
                <w:sz w:val="24"/>
                <w:lang w:val="en-US" w:eastAsia="zh-CN"/>
              </w:rPr>
              <w:t xml:space="preserve">徐州众信项目管理咨询有限公司</w:t>
            </w:r>
            <w:r>
              <w:rPr>
                <w:rFonts w:hint="eastAsia" w:ascii="宋体" w:hAnsi="宋体" w:eastAsia="宋体" w:cs="宋体"/>
                <w:color w:val="000000"/>
                <w:sz w:val="24"/>
              </w:rPr>
              <w:t xml:space="preserve">提出质疑。询问和质疑由</w:t>
            </w:r>
            <w:r>
              <w:rPr>
                <w:rFonts w:hint="eastAsia" w:ascii="宋体" w:hAnsi="宋体" w:eastAsia="宋体" w:cs="宋体"/>
                <w:color w:val="000000"/>
                <w:sz w:val="24"/>
                <w:lang w:val="en-US" w:eastAsia="zh-CN"/>
              </w:rPr>
              <w:t xml:space="preserve">徐州众信项目管理咨询有限公司</w:t>
            </w:r>
            <w:r>
              <w:rPr>
                <w:rFonts w:hint="eastAsia" w:ascii="宋体" w:hAnsi="宋体" w:eastAsia="宋体" w:cs="宋体"/>
                <w:color w:val="000000"/>
                <w:sz w:val="24"/>
              </w:rPr>
              <w:t xml:space="preserve">依法处理。</w:t>
            </w:r>
            <w:r/>
          </w:p>
          <w:p>
            <w:pPr>
              <w:pStyle w:val="1199"/>
              <w:ind w:firstLine="600"/>
              <w:jc w:val="lef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2、供应商在法定质疑期内一次性提出针对同一采购程序环节的质疑。</w:t>
            </w:r>
            <w:r/>
          </w:p>
          <w:p>
            <w:pPr>
              <w:pStyle w:val="1199"/>
              <w:ind w:firstLine="600"/>
              <w:rPr>
                <w:rFonts w:hint="eastAsia" w:ascii="宋体" w:hAnsi="宋体" w:eastAsia="宋体" w:cs="宋体"/>
                <w:color w:val="000000"/>
                <w:sz w:val="24"/>
              </w:rPr>
            </w:pPr>
            <w:r>
              <w:rPr>
                <w:rFonts w:hint="eastAsia" w:ascii="宋体" w:hAnsi="宋体" w:eastAsia="宋体" w:cs="宋体"/>
                <w:color w:val="000000"/>
                <w:sz w:val="24"/>
              </w:rPr>
              <w:t xml:space="preserve">3、质疑函</w:t>
            </w:r>
            <w:r/>
          </w:p>
          <w:p>
            <w:pPr>
              <w:pStyle w:val="1199"/>
              <w:ind w:firstLine="600"/>
              <w:rPr>
                <w:rFonts w:hint="eastAsia" w:ascii="宋体" w:hAnsi="宋体" w:eastAsia="宋体" w:cs="宋体"/>
                <w:color w:val="000000"/>
                <w:sz w:val="24"/>
              </w:rPr>
            </w:pPr>
            <w:r>
              <w:rPr>
                <w:rFonts w:hint="eastAsia" w:ascii="宋体" w:hAnsi="宋体" w:eastAsia="宋体" w:cs="宋体"/>
                <w:color w:val="000000"/>
                <w:sz w:val="24"/>
              </w:rPr>
              <w:t xml:space="preserve">接收质疑函的方式：供应商直接送交或供应商通过EMS邮寄。</w:t>
            </w:r>
            <w:r/>
          </w:p>
          <w:p>
            <w:pPr>
              <w:pStyle w:val="1199"/>
              <w:ind w:firstLine="600"/>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联系部门：</w:t>
            </w:r>
            <w:r>
              <w:rPr>
                <w:rFonts w:hint="eastAsia" w:ascii="宋体" w:hAnsi="宋体" w:eastAsia="宋体" w:cs="宋体"/>
                <w:color w:val="000000"/>
                <w:sz w:val="24"/>
                <w:lang w:val="en-US" w:eastAsia="zh-CN"/>
              </w:rPr>
              <w:t xml:space="preserve">徐州众信项目管理咨询有限公司</w:t>
            </w:r>
            <w:r/>
          </w:p>
          <w:p>
            <w:pPr>
              <w:pStyle w:val="1199"/>
              <w:ind w:firstLine="600"/>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联系电话：</w:t>
            </w:r>
            <w:r>
              <w:rPr>
                <w:rFonts w:hint="eastAsia" w:ascii="宋体" w:hAnsi="宋体" w:cs="宋体"/>
                <w:color w:val="000000"/>
                <w:sz w:val="24"/>
                <w:lang w:eastAsia="zh-CN"/>
              </w:rPr>
              <w:t xml:space="preserve">0516-89288668</w:t>
            </w:r>
            <w:r/>
          </w:p>
          <w:p>
            <w:pPr>
              <w:pStyle w:val="1199"/>
              <w:ind w:firstLine="600"/>
              <w:rPr>
                <w:rFonts w:hint="eastAsia" w:ascii="宋体" w:hAnsi="宋体" w:eastAsia="宋体" w:cs="宋体"/>
                <w:sz w:val="24"/>
                <w:lang w:eastAsia="zh-CN"/>
              </w:rPr>
            </w:pPr>
            <w:r>
              <w:rPr>
                <w:rFonts w:hint="eastAsia" w:ascii="宋体" w:hAnsi="宋体" w:eastAsia="宋体" w:cs="宋体"/>
                <w:color w:val="000000"/>
                <w:sz w:val="24"/>
              </w:rPr>
              <w:t xml:space="preserve">通讯地址：</w:t>
            </w:r>
            <w:r>
              <w:rPr>
                <w:rFonts w:hint="eastAsia" w:ascii="宋体" w:hAnsi="宋体" w:cs="宋体"/>
                <w:color w:val="000000"/>
                <w:sz w:val="24"/>
                <w:lang w:eastAsia="zh-CN"/>
              </w:rPr>
              <w:t xml:space="preserve">丰县东城路1号（原森宝门窗办公楼）三楼</w:t>
            </w:r>
            <w:r/>
          </w:p>
        </w:tc>
      </w:tr>
    </w:tbl>
    <w:p>
      <w:pPr>
        <w:pStyle w:val="1199"/>
        <w:rPr>
          <w:rFonts w:hint="eastAsia" w:ascii="宋体" w:hAnsi="宋体" w:eastAsia="宋体" w:cs="宋体"/>
          <w:sz w:val="24"/>
        </w:rPr>
      </w:pPr>
      <w:r>
        <w:rPr>
          <w:rFonts w:hint="eastAsia" w:ascii="宋体" w:hAnsi="宋体" w:eastAsia="宋体" w:cs="宋体"/>
          <w:sz w:val="24"/>
        </w:rPr>
      </w:r>
      <w:r/>
    </w:p>
    <w:p>
      <w:pPr>
        <w:pStyle w:val="1199"/>
        <w:ind w:left="0" w:right="0" w:firstLine="0"/>
        <w:jc w:val="left"/>
        <w:keepLines w:val="0"/>
        <w:keepNext w:val="0"/>
        <w:pageBreakBefore/>
        <w:spacing w:line="360" w:lineRule="auto"/>
        <w:widowControl w:val="off"/>
        <w:rPr>
          <w:rFonts w:hint="eastAsia" w:ascii="宋体" w:hAnsi="宋体" w:eastAsia="宋体" w:cs="宋体"/>
          <w:b w:val="0"/>
          <w:bCs w:val="0"/>
          <w:sz w:val="32"/>
          <w:szCs w:val="32"/>
          <w:lang w:val="en-US" w:eastAsia="zh-CN"/>
        </w:rPr>
        <w:outlineLvl w:val="9"/>
      </w:pPr>
      <w:r/>
      <w:bookmarkStart w:id="18" w:name="_Toc4554"/>
      <w:r/>
      <w:bookmarkStart w:id="19" w:name="_Toc3724"/>
      <w:r/>
      <w:bookmarkStart w:id="20" w:name="_Toc10035"/>
      <w:r/>
      <w:bookmarkStart w:id="21" w:name="_Toc29938_WPSOffice_Level1"/>
      <w:r/>
      <w:bookmarkStart w:id="22" w:name="_Toc1500"/>
      <w:r>
        <w:rPr>
          <w:rFonts w:hint="eastAsia" w:ascii="宋体" w:hAnsi="宋体" w:eastAsia="宋体" w:cs="宋体"/>
          <w:b w:val="0"/>
          <w:bCs w:val="0"/>
          <w:sz w:val="32"/>
          <w:szCs w:val="32"/>
          <w:lang w:val="en-US" w:eastAsia="zh-CN"/>
        </w:rPr>
        <w:t xml:space="preserve">附件</w:t>
      </w:r>
      <w:r/>
    </w:p>
    <w:p>
      <w:pPr>
        <w:pStyle w:val="1199"/>
        <w:jc w:val="center"/>
        <w:rPr>
          <w:rFonts w:hint="eastAsia" w:ascii="宋体" w:hAnsi="宋体" w:eastAsia="宋体" w:cs="宋体"/>
          <w:b/>
          <w:bCs/>
          <w:sz w:val="30"/>
          <w:szCs w:val="30"/>
        </w:rPr>
      </w:pPr>
      <w:r>
        <w:rPr>
          <w:rFonts w:hint="eastAsia" w:ascii="宋体" w:hAnsi="宋体" w:eastAsia="宋体" w:cs="宋体"/>
          <w:b/>
          <w:bCs/>
          <w:sz w:val="30"/>
          <w:szCs w:val="30"/>
        </w:rPr>
        <w:t xml:space="preserve">招标代理服务收费标准</w:t>
      </w:r>
      <w:r/>
    </w:p>
    <w:p>
      <w:pPr>
        <w:pStyle w:val="1200"/>
        <w:rPr>
          <w:rFonts w:hint="eastAsia" w:ascii="宋体" w:hAnsi="宋体" w:eastAsia="宋体" w:cs="宋体"/>
        </w:rPr>
      </w:pPr>
      <w:r>
        <w:rPr>
          <w:rFonts w:hint="eastAsia" w:ascii="宋体" w:hAnsi="宋体" w:eastAsia="宋体" w:cs="宋体"/>
        </w:rPr>
      </w:r>
      <w:r/>
    </w:p>
    <w:tbl>
      <w:tblPr>
        <w:tblStyle w:val="1258"/>
        <w:tblW w:w="78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32"/>
        <w:gridCol w:w="2347"/>
      </w:tblGrid>
      <w:tr>
        <w:trPr>
          <w:jc w:val="center"/>
          <w:trHeight w:val="448"/>
        </w:trPr>
        <w:tc>
          <w:tcPr>
            <w:tcW w:w="5532" w:type="dxa"/>
            <w:vAlign w:val="top"/>
            <w:textDirection w:val="lrTb"/>
            <w:noWrap w:val="false"/>
          </w:tcPr>
          <w:p>
            <w:pPr>
              <w:jc w:val="center"/>
              <w:spacing w:before="168" w:line="219" w:lineRule="auto"/>
              <w:widowControl/>
              <w:rPr>
                <w:rFonts w:hint="default" w:ascii="宋体" w:hAnsi="宋体" w:eastAsia="宋体" w:cs="宋体"/>
                <w:sz w:val="24"/>
                <w:szCs w:val="24"/>
                <w:lang w:val="en-US" w:eastAsia="en-US" w:bidi="ar-SA"/>
              </w:rPr>
            </w:pPr>
            <w:r>
              <w:rPr>
                <w:rFonts w:hint="default" w:ascii="宋体" w:hAnsi="宋体" w:eastAsia="宋体" w:cs="宋体"/>
                <w:spacing w:val="1"/>
                <w:sz w:val="24"/>
                <w:szCs w:val="24"/>
                <w:lang w:val="en-US" w:eastAsia="en-US" w:bidi="ar-SA"/>
              </w:rPr>
              <w:t xml:space="preserve">中标或者成交金额</w:t>
            </w:r>
            <w:r/>
          </w:p>
        </w:tc>
        <w:tc>
          <w:tcPr>
            <w:tcW w:w="2347" w:type="dxa"/>
            <w:vAlign w:val="top"/>
            <w:textDirection w:val="lrTb"/>
            <w:noWrap w:val="false"/>
          </w:tcPr>
          <w:p>
            <w:pPr>
              <w:jc w:val="center"/>
              <w:spacing w:before="168" w:line="219" w:lineRule="auto"/>
              <w:widowControl/>
              <w:rPr>
                <w:rFonts w:hint="default" w:ascii="宋体" w:hAnsi="宋体" w:eastAsia="宋体" w:cs="宋体"/>
                <w:sz w:val="24"/>
                <w:szCs w:val="24"/>
                <w:lang w:val="en-US" w:eastAsia="en-US" w:bidi="ar-SA"/>
              </w:rPr>
            </w:pPr>
            <w:r>
              <w:rPr>
                <w:rFonts w:hint="default" w:ascii="宋体" w:hAnsi="宋体" w:eastAsia="宋体" w:cs="宋体"/>
                <w:spacing w:val="7"/>
                <w:sz w:val="24"/>
                <w:szCs w:val="24"/>
                <w:lang w:val="en-US" w:eastAsia="en-US" w:bidi="ar-SA"/>
              </w:rPr>
              <w:t xml:space="preserve">费率</w:t>
            </w:r>
            <w:r/>
          </w:p>
        </w:tc>
      </w:tr>
      <w:tr>
        <w:trPr>
          <w:jc w:val="center"/>
          <w:trHeight w:val="437"/>
        </w:trPr>
        <w:tc>
          <w:tcPr>
            <w:tcW w:w="5532" w:type="dxa"/>
            <w:vAlign w:val="top"/>
            <w:textDirection w:val="lrTb"/>
            <w:noWrap w:val="false"/>
          </w:tcPr>
          <w:p>
            <w:pPr>
              <w:jc w:val="center"/>
              <w:spacing w:before="154" w:line="219" w:lineRule="auto"/>
              <w:widowControl/>
              <w:rPr>
                <w:rFonts w:hint="default" w:ascii="宋体" w:hAnsi="宋体" w:eastAsia="宋体" w:cs="宋体"/>
                <w:sz w:val="24"/>
                <w:szCs w:val="24"/>
                <w:lang w:val="en-US" w:eastAsia="en-US" w:bidi="ar-SA"/>
              </w:rPr>
            </w:pPr>
            <w:r>
              <w:rPr>
                <w:rFonts w:hint="default" w:ascii="宋体" w:hAnsi="宋体" w:eastAsia="宋体" w:cs="宋体"/>
                <w:spacing w:val="4"/>
                <w:sz w:val="24"/>
                <w:szCs w:val="24"/>
                <w:lang w:val="en-US" w:eastAsia="en-US" w:bidi="ar-SA"/>
              </w:rPr>
              <w:t xml:space="preserve">最低收费金额(每个委托项目)</w:t>
            </w:r>
            <w:r/>
          </w:p>
        </w:tc>
        <w:tc>
          <w:tcPr>
            <w:tcW w:w="2347" w:type="dxa"/>
            <w:vAlign w:val="top"/>
            <w:textDirection w:val="lrTb"/>
            <w:noWrap w:val="false"/>
          </w:tcPr>
          <w:p>
            <w:pPr>
              <w:jc w:val="center"/>
              <w:spacing w:before="155" w:line="220" w:lineRule="auto"/>
              <w:widowControl/>
              <w:rPr>
                <w:rFonts w:hint="default" w:ascii="宋体" w:hAnsi="宋体" w:eastAsia="宋体" w:cs="宋体"/>
                <w:sz w:val="24"/>
                <w:szCs w:val="24"/>
                <w:lang w:val="en-US" w:eastAsia="en-US" w:bidi="ar-SA"/>
              </w:rPr>
            </w:pPr>
            <w:r>
              <w:rPr>
                <w:rFonts w:hint="default" w:ascii="宋体" w:hAnsi="宋体" w:eastAsia="宋体" w:cs="宋体"/>
                <w:spacing w:val="2"/>
                <w:sz w:val="24"/>
                <w:szCs w:val="24"/>
                <w:lang w:val="en-US" w:eastAsia="en-US" w:bidi="ar-SA"/>
              </w:rPr>
              <w:t xml:space="preserve">5000元</w:t>
            </w:r>
            <w:r/>
          </w:p>
        </w:tc>
      </w:tr>
      <w:tr>
        <w:trPr>
          <w:jc w:val="center"/>
          <w:trHeight w:val="437"/>
        </w:trPr>
        <w:tc>
          <w:tcPr>
            <w:tcW w:w="5532" w:type="dxa"/>
            <w:vAlign w:val="top"/>
            <w:textDirection w:val="lrTb"/>
            <w:noWrap w:val="false"/>
          </w:tcPr>
          <w:p>
            <w:pPr>
              <w:jc w:val="center"/>
              <w:spacing w:before="155" w:line="219" w:lineRule="auto"/>
              <w:widowControl/>
              <w:rPr>
                <w:rFonts w:hint="default" w:ascii="宋体" w:hAnsi="宋体" w:eastAsia="宋体" w:cs="宋体"/>
                <w:sz w:val="24"/>
                <w:szCs w:val="24"/>
                <w:lang w:val="en-US" w:eastAsia="en-US" w:bidi="ar-SA"/>
              </w:rPr>
            </w:pPr>
            <w:r>
              <w:rPr>
                <w:rFonts w:hint="default" w:ascii="宋体" w:hAnsi="宋体" w:eastAsia="宋体" w:cs="宋体"/>
                <w:spacing w:val="5"/>
                <w:sz w:val="24"/>
                <w:szCs w:val="24"/>
                <w:lang w:val="en-US" w:eastAsia="en-US" w:bidi="ar-SA"/>
              </w:rPr>
              <w:t xml:space="preserve">50万元以下(含50万元)</w:t>
            </w:r>
            <w:r/>
          </w:p>
        </w:tc>
        <w:tc>
          <w:tcPr>
            <w:tcW w:w="2347" w:type="dxa"/>
            <w:vAlign w:val="top"/>
            <w:textDirection w:val="lrTb"/>
            <w:noWrap w:val="false"/>
          </w:tcPr>
          <w:p>
            <w:pPr>
              <w:jc w:val="center"/>
              <w:spacing w:before="236" w:line="184" w:lineRule="auto"/>
              <w:widowControl/>
              <w:rPr>
                <w:rFonts w:hint="default" w:ascii="宋体" w:hAnsi="宋体" w:eastAsia="宋体" w:cs="宋体"/>
                <w:sz w:val="24"/>
                <w:szCs w:val="24"/>
                <w:lang w:val="en-US" w:eastAsia="en-US" w:bidi="ar-SA"/>
              </w:rPr>
            </w:pPr>
            <w:r>
              <w:rPr>
                <w:rFonts w:hint="default" w:ascii="宋体" w:hAnsi="宋体" w:eastAsia="宋体" w:cs="宋体"/>
                <w:spacing w:val="-8"/>
                <w:sz w:val="24"/>
                <w:szCs w:val="24"/>
                <w:lang w:val="en-US" w:eastAsia="en-US" w:bidi="ar-SA"/>
              </w:rPr>
              <w:t xml:space="preserve">1.6%</w:t>
            </w:r>
            <w:r/>
          </w:p>
        </w:tc>
      </w:tr>
      <w:tr>
        <w:trPr>
          <w:jc w:val="center"/>
          <w:trHeight w:val="437"/>
        </w:trPr>
        <w:tc>
          <w:tcPr>
            <w:tcW w:w="5532" w:type="dxa"/>
            <w:vAlign w:val="top"/>
            <w:textDirection w:val="lrTb"/>
            <w:noWrap w:val="false"/>
          </w:tcPr>
          <w:p>
            <w:pPr>
              <w:jc w:val="center"/>
              <w:spacing w:before="156" w:line="219" w:lineRule="auto"/>
              <w:widowControl/>
              <w:rPr>
                <w:rFonts w:hint="default" w:ascii="宋体" w:hAnsi="宋体" w:eastAsia="宋体" w:cs="宋体"/>
                <w:sz w:val="24"/>
                <w:szCs w:val="24"/>
                <w:lang w:val="en-US" w:eastAsia="en-US" w:bidi="ar-SA"/>
              </w:rPr>
            </w:pPr>
            <w:r>
              <w:rPr>
                <w:rFonts w:hint="default" w:ascii="宋体" w:hAnsi="宋体" w:eastAsia="宋体" w:cs="宋体"/>
                <w:spacing w:val="4"/>
                <w:sz w:val="24"/>
                <w:szCs w:val="24"/>
                <w:lang w:val="en-US" w:eastAsia="en-US" w:bidi="ar-SA"/>
              </w:rPr>
              <w:t xml:space="preserve">50-400万元(含400万元)</w:t>
            </w:r>
            <w:r/>
          </w:p>
        </w:tc>
        <w:tc>
          <w:tcPr>
            <w:tcW w:w="2347" w:type="dxa"/>
            <w:vAlign w:val="top"/>
            <w:textDirection w:val="lrTb"/>
            <w:noWrap w:val="false"/>
          </w:tcPr>
          <w:p>
            <w:pPr>
              <w:jc w:val="center"/>
              <w:spacing w:before="237" w:line="184" w:lineRule="auto"/>
              <w:widowControl/>
              <w:rPr>
                <w:rFonts w:hint="default" w:ascii="宋体" w:hAnsi="宋体" w:eastAsia="宋体" w:cs="宋体"/>
                <w:sz w:val="24"/>
                <w:szCs w:val="24"/>
                <w:lang w:val="en-US" w:eastAsia="en-US" w:bidi="ar-SA"/>
              </w:rPr>
            </w:pPr>
            <w:r>
              <w:rPr>
                <w:rFonts w:hint="default" w:ascii="宋体" w:hAnsi="宋体" w:eastAsia="宋体" w:cs="宋体"/>
                <w:spacing w:val="-7"/>
                <w:sz w:val="24"/>
                <w:szCs w:val="24"/>
                <w:lang w:val="en-US" w:eastAsia="en-US" w:bidi="ar-SA"/>
              </w:rPr>
              <w:t xml:space="preserve">1.5%</w:t>
            </w:r>
            <w:r/>
          </w:p>
        </w:tc>
      </w:tr>
      <w:tr>
        <w:trPr>
          <w:jc w:val="center"/>
          <w:trHeight w:val="444"/>
        </w:trPr>
        <w:tc>
          <w:tcPr>
            <w:tcW w:w="5532" w:type="dxa"/>
            <w:vAlign w:val="top"/>
            <w:textDirection w:val="lrTb"/>
            <w:noWrap w:val="false"/>
          </w:tcPr>
          <w:p>
            <w:pPr>
              <w:jc w:val="center"/>
              <w:spacing w:before="167" w:line="219" w:lineRule="auto"/>
              <w:widowControl/>
              <w:rPr>
                <w:rFonts w:hint="default" w:ascii="宋体" w:hAnsi="宋体" w:eastAsia="宋体" w:cs="宋体"/>
                <w:sz w:val="24"/>
                <w:szCs w:val="24"/>
                <w:lang w:val="en-US" w:eastAsia="en-US" w:bidi="ar-SA"/>
              </w:rPr>
            </w:pPr>
            <w:r>
              <w:rPr>
                <w:rFonts w:hint="default" w:ascii="宋体" w:hAnsi="宋体" w:eastAsia="宋体" w:cs="宋体"/>
                <w:spacing w:val="3"/>
                <w:sz w:val="24"/>
                <w:szCs w:val="24"/>
                <w:lang w:val="en-US" w:eastAsia="en-US" w:bidi="ar-SA"/>
              </w:rPr>
              <w:t xml:space="preserve">400-1000万元(含1000万元)</w:t>
            </w:r>
            <w:r/>
          </w:p>
        </w:tc>
        <w:tc>
          <w:tcPr>
            <w:tcW w:w="2347" w:type="dxa"/>
            <w:vAlign w:val="top"/>
            <w:textDirection w:val="lrTb"/>
            <w:noWrap w:val="false"/>
          </w:tcPr>
          <w:p>
            <w:pPr>
              <w:jc w:val="center"/>
              <w:spacing w:before="248" w:line="184" w:lineRule="auto"/>
              <w:widowControl/>
              <w:rPr>
                <w:rFonts w:hint="default" w:ascii="宋体" w:hAnsi="宋体" w:eastAsia="宋体" w:cs="宋体"/>
                <w:sz w:val="24"/>
                <w:szCs w:val="24"/>
                <w:lang w:val="en-US" w:eastAsia="en-US" w:bidi="ar-SA"/>
              </w:rPr>
            </w:pPr>
            <w:r>
              <w:rPr>
                <w:rFonts w:hint="default" w:ascii="宋体" w:hAnsi="宋体" w:eastAsia="宋体" w:cs="宋体"/>
                <w:spacing w:val="-5"/>
                <w:sz w:val="24"/>
                <w:szCs w:val="24"/>
                <w:lang w:val="en-US" w:eastAsia="en-US" w:bidi="ar-SA"/>
              </w:rPr>
              <w:t xml:space="preserve">1.1%</w:t>
            </w:r>
            <w:r/>
          </w:p>
        </w:tc>
      </w:tr>
      <w:tr>
        <w:trPr>
          <w:jc w:val="center"/>
          <w:trHeight w:val="437"/>
        </w:trPr>
        <w:tc>
          <w:tcPr>
            <w:tcW w:w="5532" w:type="dxa"/>
            <w:vAlign w:val="top"/>
            <w:textDirection w:val="lrTb"/>
            <w:noWrap w:val="false"/>
          </w:tcPr>
          <w:p>
            <w:pPr>
              <w:jc w:val="center"/>
              <w:spacing w:before="158" w:line="219" w:lineRule="auto"/>
              <w:widowControl/>
              <w:rPr>
                <w:rFonts w:hint="default" w:ascii="宋体" w:hAnsi="宋体" w:eastAsia="宋体" w:cs="宋体"/>
                <w:sz w:val="24"/>
                <w:szCs w:val="24"/>
                <w:lang w:val="en-US" w:eastAsia="en-US" w:bidi="ar-SA"/>
              </w:rPr>
            </w:pPr>
            <w:r>
              <w:rPr>
                <w:rFonts w:hint="default" w:ascii="宋体" w:hAnsi="宋体" w:eastAsia="宋体" w:cs="宋体"/>
                <w:spacing w:val="3"/>
                <w:sz w:val="24"/>
                <w:szCs w:val="24"/>
                <w:lang w:val="en-US" w:eastAsia="en-US" w:bidi="ar-SA"/>
              </w:rPr>
              <w:t xml:space="preserve">1000-5000万元(含5000万元)</w:t>
            </w:r>
            <w:r/>
          </w:p>
        </w:tc>
        <w:tc>
          <w:tcPr>
            <w:tcW w:w="2347" w:type="dxa"/>
            <w:vAlign w:val="top"/>
            <w:textDirection w:val="lrTb"/>
            <w:noWrap w:val="false"/>
          </w:tcPr>
          <w:p>
            <w:pPr>
              <w:jc w:val="center"/>
              <w:spacing w:before="240" w:line="183" w:lineRule="auto"/>
              <w:widowControl/>
              <w:rPr>
                <w:rFonts w:hint="default" w:ascii="宋体" w:hAnsi="宋体" w:eastAsia="宋体" w:cs="宋体"/>
                <w:sz w:val="24"/>
                <w:szCs w:val="24"/>
                <w:lang w:val="en-US" w:eastAsia="en-US" w:bidi="ar-SA"/>
              </w:rPr>
            </w:pPr>
            <w:r>
              <w:rPr>
                <w:rFonts w:hint="default" w:ascii="宋体" w:hAnsi="宋体" w:eastAsia="宋体" w:cs="宋体"/>
                <w:spacing w:val="-3"/>
                <w:sz w:val="24"/>
                <w:szCs w:val="24"/>
                <w:lang w:val="en-US" w:eastAsia="en-US" w:bidi="ar-SA"/>
              </w:rPr>
              <w:t xml:space="preserve">0.8%</w:t>
            </w:r>
            <w:r/>
          </w:p>
        </w:tc>
      </w:tr>
      <w:tr>
        <w:trPr>
          <w:jc w:val="center"/>
          <w:trHeight w:val="437"/>
        </w:trPr>
        <w:tc>
          <w:tcPr>
            <w:tcW w:w="5532" w:type="dxa"/>
            <w:vAlign w:val="top"/>
            <w:textDirection w:val="lrTb"/>
            <w:noWrap w:val="false"/>
          </w:tcPr>
          <w:p>
            <w:pPr>
              <w:jc w:val="center"/>
              <w:spacing w:before="159" w:line="219" w:lineRule="auto"/>
              <w:widowControl/>
              <w:rPr>
                <w:rFonts w:hint="default" w:ascii="宋体" w:hAnsi="宋体" w:eastAsia="宋体" w:cs="宋体"/>
                <w:sz w:val="24"/>
                <w:szCs w:val="24"/>
                <w:lang w:val="en-US" w:eastAsia="en-US" w:bidi="ar-SA"/>
              </w:rPr>
            </w:pPr>
            <w:r>
              <w:rPr>
                <w:rFonts w:hint="default" w:ascii="宋体" w:hAnsi="宋体" w:eastAsia="宋体" w:cs="宋体"/>
                <w:spacing w:val="5"/>
                <w:sz w:val="24"/>
                <w:szCs w:val="24"/>
                <w:lang w:val="en-US" w:eastAsia="en-US" w:bidi="ar-SA"/>
              </w:rPr>
              <w:t xml:space="preserve">5000-1亿元(含1亿元)</w:t>
            </w:r>
            <w:r/>
          </w:p>
        </w:tc>
        <w:tc>
          <w:tcPr>
            <w:tcW w:w="2347" w:type="dxa"/>
            <w:vAlign w:val="top"/>
            <w:textDirection w:val="lrTb"/>
            <w:noWrap w:val="false"/>
          </w:tcPr>
          <w:p>
            <w:pPr>
              <w:jc w:val="center"/>
              <w:spacing w:before="241" w:line="183" w:lineRule="auto"/>
              <w:widowControl/>
              <w:rPr>
                <w:rFonts w:hint="default" w:ascii="宋体" w:hAnsi="宋体" w:eastAsia="宋体" w:cs="宋体"/>
                <w:sz w:val="24"/>
                <w:szCs w:val="24"/>
                <w:lang w:val="en-US" w:eastAsia="en-US" w:bidi="ar-SA"/>
              </w:rPr>
            </w:pPr>
            <w:r>
              <w:rPr>
                <w:rFonts w:hint="default" w:ascii="宋体" w:hAnsi="宋体" w:eastAsia="宋体" w:cs="宋体"/>
                <w:spacing w:val="-2"/>
                <w:sz w:val="24"/>
                <w:szCs w:val="24"/>
                <w:lang w:val="en-US" w:eastAsia="en-US" w:bidi="ar-SA"/>
              </w:rPr>
              <w:t xml:space="preserve">0.25%</w:t>
            </w:r>
            <w:r/>
          </w:p>
        </w:tc>
      </w:tr>
      <w:tr>
        <w:trPr>
          <w:jc w:val="center"/>
          <w:trHeight w:val="444"/>
        </w:trPr>
        <w:tc>
          <w:tcPr>
            <w:tcW w:w="5532" w:type="dxa"/>
            <w:vAlign w:val="top"/>
            <w:textDirection w:val="lrTb"/>
            <w:noWrap w:val="false"/>
          </w:tcPr>
          <w:p>
            <w:pPr>
              <w:jc w:val="center"/>
              <w:spacing w:before="170" w:line="219" w:lineRule="auto"/>
              <w:widowControl/>
              <w:rPr>
                <w:rFonts w:hint="default" w:ascii="宋体" w:hAnsi="宋体" w:eastAsia="宋体" w:cs="宋体"/>
                <w:sz w:val="24"/>
                <w:szCs w:val="24"/>
                <w:lang w:val="en-US" w:eastAsia="en-US" w:bidi="ar-SA"/>
              </w:rPr>
            </w:pPr>
            <w:r>
              <w:rPr>
                <w:rFonts w:hint="default" w:ascii="宋体" w:hAnsi="宋体" w:eastAsia="宋体" w:cs="宋体"/>
                <w:spacing w:val="5"/>
                <w:sz w:val="24"/>
                <w:szCs w:val="24"/>
                <w:lang w:val="en-US" w:eastAsia="en-US" w:bidi="ar-SA"/>
              </w:rPr>
              <w:t xml:space="preserve">1-10亿元(含10亿元)</w:t>
            </w:r>
            <w:r/>
          </w:p>
        </w:tc>
        <w:tc>
          <w:tcPr>
            <w:tcW w:w="2347" w:type="dxa"/>
            <w:vAlign w:val="top"/>
            <w:textDirection w:val="lrTb"/>
            <w:noWrap w:val="false"/>
          </w:tcPr>
          <w:p>
            <w:pPr>
              <w:jc w:val="center"/>
              <w:spacing w:before="252" w:line="183" w:lineRule="auto"/>
              <w:widowControl/>
              <w:rPr>
                <w:rFonts w:hint="default" w:ascii="宋体" w:hAnsi="宋体" w:eastAsia="宋体" w:cs="宋体"/>
                <w:sz w:val="24"/>
                <w:szCs w:val="24"/>
                <w:lang w:val="en-US" w:eastAsia="en-US" w:bidi="ar-SA"/>
              </w:rPr>
            </w:pPr>
            <w:r>
              <w:rPr>
                <w:rFonts w:hint="default" w:ascii="宋体" w:hAnsi="宋体" w:eastAsia="宋体" w:cs="宋体"/>
                <w:spacing w:val="-3"/>
                <w:sz w:val="24"/>
                <w:szCs w:val="24"/>
                <w:lang w:val="en-US" w:eastAsia="en-US" w:bidi="ar-SA"/>
              </w:rPr>
              <w:t xml:space="preserve">0.05%</w:t>
            </w:r>
            <w:r/>
          </w:p>
        </w:tc>
      </w:tr>
      <w:tr>
        <w:trPr>
          <w:jc w:val="center"/>
          <w:trHeight w:val="437"/>
        </w:trPr>
        <w:tc>
          <w:tcPr>
            <w:tcW w:w="5532" w:type="dxa"/>
            <w:vAlign w:val="top"/>
            <w:textDirection w:val="lrTb"/>
            <w:noWrap w:val="false"/>
          </w:tcPr>
          <w:p>
            <w:pPr>
              <w:jc w:val="center"/>
              <w:spacing w:before="162" w:line="219" w:lineRule="auto"/>
              <w:widowControl/>
              <w:rPr>
                <w:rFonts w:hint="default" w:ascii="宋体" w:hAnsi="宋体" w:eastAsia="宋体" w:cs="宋体"/>
                <w:sz w:val="24"/>
                <w:szCs w:val="24"/>
                <w:lang w:val="en-US" w:eastAsia="en-US" w:bidi="ar-SA"/>
              </w:rPr>
            </w:pPr>
            <w:r>
              <w:rPr>
                <w:rFonts w:hint="default" w:ascii="宋体" w:hAnsi="宋体" w:eastAsia="宋体" w:cs="宋体"/>
                <w:spacing w:val="5"/>
                <w:sz w:val="24"/>
                <w:szCs w:val="24"/>
                <w:lang w:val="en-US" w:eastAsia="en-US" w:bidi="ar-SA"/>
              </w:rPr>
              <w:t xml:space="preserve">10-50亿元(含50亿元)</w:t>
            </w:r>
            <w:r/>
          </w:p>
        </w:tc>
        <w:tc>
          <w:tcPr>
            <w:tcW w:w="2347" w:type="dxa"/>
            <w:vAlign w:val="top"/>
            <w:textDirection w:val="lrTb"/>
            <w:noWrap w:val="false"/>
          </w:tcPr>
          <w:p>
            <w:pPr>
              <w:jc w:val="center"/>
              <w:spacing w:before="243" w:line="184" w:lineRule="auto"/>
              <w:widowControl/>
              <w:rPr>
                <w:rFonts w:hint="default" w:ascii="宋体" w:hAnsi="宋体" w:eastAsia="宋体" w:cs="宋体"/>
                <w:sz w:val="24"/>
                <w:szCs w:val="24"/>
                <w:lang w:val="en-US" w:eastAsia="en-US" w:bidi="ar-SA"/>
              </w:rPr>
            </w:pPr>
            <w:r>
              <w:rPr>
                <w:rFonts w:hint="default" w:ascii="宋体" w:hAnsi="宋体" w:eastAsia="宋体" w:cs="宋体"/>
                <w:spacing w:val="-3"/>
                <w:sz w:val="24"/>
                <w:szCs w:val="24"/>
                <w:lang w:val="en-US" w:eastAsia="en-US" w:bidi="ar-SA"/>
              </w:rPr>
              <w:t xml:space="preserve">0.01%</w:t>
            </w:r>
            <w:r/>
          </w:p>
        </w:tc>
      </w:tr>
      <w:tr>
        <w:trPr>
          <w:jc w:val="center"/>
          <w:trHeight w:val="448"/>
        </w:trPr>
        <w:tc>
          <w:tcPr>
            <w:tcW w:w="5532" w:type="dxa"/>
            <w:vAlign w:val="top"/>
            <w:textDirection w:val="lrTb"/>
            <w:noWrap w:val="false"/>
          </w:tcPr>
          <w:p>
            <w:pPr>
              <w:jc w:val="center"/>
              <w:spacing w:before="164" w:line="220" w:lineRule="auto"/>
              <w:widowControl/>
              <w:rPr>
                <w:rFonts w:hint="default" w:ascii="宋体" w:hAnsi="宋体" w:eastAsia="宋体" w:cs="宋体"/>
                <w:sz w:val="24"/>
                <w:szCs w:val="24"/>
                <w:lang w:val="en-US" w:eastAsia="en-US" w:bidi="ar-SA"/>
              </w:rPr>
            </w:pPr>
            <w:r>
              <w:rPr>
                <w:rFonts w:hint="default" w:ascii="宋体" w:hAnsi="宋体" w:eastAsia="宋体" w:cs="宋体"/>
                <w:spacing w:val="2"/>
                <w:sz w:val="24"/>
                <w:szCs w:val="24"/>
                <w:lang w:val="en-US" w:eastAsia="en-US" w:bidi="ar-SA"/>
              </w:rPr>
              <w:t xml:space="preserve">50亿元以上</w:t>
            </w:r>
            <w:r/>
          </w:p>
        </w:tc>
        <w:tc>
          <w:tcPr>
            <w:tcW w:w="2347" w:type="dxa"/>
            <w:vAlign w:val="top"/>
            <w:textDirection w:val="lrTb"/>
            <w:noWrap w:val="false"/>
          </w:tcPr>
          <w:p>
            <w:pPr>
              <w:jc w:val="center"/>
              <w:spacing w:before="245" w:line="183" w:lineRule="auto"/>
              <w:widowControl/>
              <w:rPr>
                <w:rFonts w:hint="default" w:ascii="宋体" w:hAnsi="宋体" w:eastAsia="宋体" w:cs="宋体"/>
                <w:sz w:val="24"/>
                <w:szCs w:val="24"/>
                <w:lang w:val="en-US" w:eastAsia="en-US" w:bidi="ar-SA"/>
              </w:rPr>
            </w:pPr>
            <w:r>
              <w:rPr>
                <w:rFonts w:hint="default" w:ascii="宋体" w:hAnsi="宋体" w:eastAsia="宋体" w:cs="宋体"/>
                <w:spacing w:val="-2"/>
                <w:sz w:val="24"/>
                <w:szCs w:val="24"/>
                <w:lang w:val="en-US" w:eastAsia="en-US" w:bidi="ar-SA"/>
              </w:rPr>
              <w:t xml:space="preserve">0.005%</w:t>
            </w:r>
            <w:r/>
          </w:p>
        </w:tc>
      </w:tr>
    </w:tbl>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说明:</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1.按上表计算的收费为代理服务全过程的收费金额。各社会代理机构不再收取采购文件制作售卖费用。</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2.代理服务费按差额定率累进法计算。</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3.代理服务费基准金额(按差额定率累进法计算的)=中标金额(按差额定率累进法计算的)*费率(%)。</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4.代理服务费应收取金额=代理服务费基准金额(按差额定率累进法计算的)的合计数。</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5.定点类等无金额或事先不能计算出价格总额的项目，按中标(成交)金额100万元计算。</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6.有分包(分标段)的按一个项目计算。</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7.以上价格为协会指导价，双方可根据项目难易程度和优质优价原则协商确定。</w:t>
      </w:r>
      <w:r/>
    </w:p>
    <w:p>
      <w:pPr>
        <w:pStyle w:val="1199"/>
        <w:ind w:firstLine="480"/>
        <w:rPr>
          <w:rFonts w:hint="eastAsia" w:ascii="宋体" w:hAnsi="宋体" w:eastAsia="宋体" w:cs="宋体"/>
          <w:sz w:val="24"/>
        </w:rPr>
      </w:pPr>
      <w:r>
        <w:rPr>
          <w:rFonts w:hint="eastAsia" w:ascii="宋体" w:hAnsi="宋体" w:cs="宋体"/>
          <w:sz w:val="24"/>
          <w:lang w:val="en-US" w:eastAsia="zh-CN"/>
        </w:rPr>
        <w:t xml:space="preserve">8</w:t>
      </w:r>
      <w:r>
        <w:rPr>
          <w:rFonts w:hint="eastAsia" w:ascii="宋体" w:hAnsi="宋体" w:eastAsia="宋体" w:cs="宋体"/>
          <w:sz w:val="24"/>
        </w:rPr>
        <w:t xml:space="preserve">.账户信息：</w:t>
      </w:r>
      <w:r/>
    </w:p>
    <w:p>
      <w:pPr>
        <w:pStyle w:val="1199"/>
        <w:ind w:firstLine="480"/>
        <w:rPr>
          <w:rFonts w:hint="eastAsia" w:ascii="宋体" w:hAnsi="宋体" w:eastAsia="宋体" w:cs="宋体"/>
          <w:sz w:val="24"/>
        </w:rPr>
      </w:pPr>
      <w:r>
        <w:rPr>
          <w:rFonts w:hint="eastAsia" w:ascii="宋体" w:hAnsi="宋体" w:eastAsia="宋体" w:cs="宋体"/>
          <w:sz w:val="24"/>
        </w:rPr>
        <w:t xml:space="preserve">收款人：</w:t>
      </w:r>
      <w:r>
        <w:rPr>
          <w:rFonts w:hint="eastAsia" w:ascii="宋体" w:hAnsi="宋体" w:eastAsia="宋体" w:cs="宋体"/>
          <w:sz w:val="24"/>
          <w:lang w:eastAsia="zh-CN"/>
        </w:rPr>
        <w:t xml:space="preserve">徐州众信项目管理咨询有限公司</w:t>
      </w:r>
      <w:r>
        <w:rPr>
          <w:rFonts w:hint="eastAsia" w:ascii="宋体" w:hAnsi="宋体" w:eastAsia="宋体" w:cs="宋体"/>
          <w:sz w:val="24"/>
        </w:rPr>
        <w:t xml:space="preserve"> </w:t>
      </w:r>
      <w:r/>
    </w:p>
    <w:p>
      <w:pPr>
        <w:pStyle w:val="1199"/>
        <w:ind w:firstLine="480"/>
        <w:rPr>
          <w:rFonts w:hint="eastAsia" w:ascii="宋体" w:hAnsi="宋体" w:eastAsia="宋体" w:cs="宋体"/>
          <w:sz w:val="24"/>
        </w:rPr>
      </w:pPr>
      <w:r>
        <w:rPr>
          <w:rFonts w:hint="eastAsia" w:ascii="宋体" w:hAnsi="宋体" w:eastAsia="宋体" w:cs="宋体"/>
          <w:sz w:val="24"/>
        </w:rPr>
        <w:t xml:space="preserve">开户银行：中国工商银行徐州市鼓楼支行   </w:t>
      </w:r>
      <w:r/>
    </w:p>
    <w:p>
      <w:pPr>
        <w:pStyle w:val="1199"/>
        <w:ind w:firstLine="480"/>
        <w:rPr>
          <w:rFonts w:hint="eastAsia" w:ascii="宋体" w:hAnsi="宋体" w:eastAsia="宋体" w:cs="宋体"/>
          <w:sz w:val="24"/>
        </w:rPr>
      </w:pPr>
      <w:r>
        <w:rPr>
          <w:rFonts w:hint="eastAsia" w:ascii="宋体" w:hAnsi="宋体" w:eastAsia="宋体" w:cs="宋体"/>
          <w:sz w:val="24"/>
        </w:rPr>
        <w:t xml:space="preserve">账号：1106020309211068070</w:t>
      </w:r>
      <w:r/>
    </w:p>
    <w:p>
      <w:pPr>
        <w:pStyle w:val="1199"/>
        <w:jc w:val="both"/>
        <w:rPr>
          <w:rStyle w:val="1212"/>
          <w:rFonts w:hint="eastAsia" w:ascii="宋体" w:hAnsi="宋体" w:eastAsia="宋体" w:cs="宋体"/>
        </w:rPr>
      </w:pPr>
      <w:r>
        <w:rPr>
          <w:rFonts w:hint="eastAsia" w:ascii="宋体" w:hAnsi="宋体" w:eastAsia="宋体" w:cs="宋体"/>
        </w:rPr>
      </w:r>
      <w:r/>
    </w:p>
    <w:p>
      <w:pPr>
        <w:pStyle w:val="1201"/>
        <w:keepLines/>
        <w:keepNext/>
        <w:pageBreakBefore/>
        <w:spacing w:line="579" w:lineRule="auto"/>
        <w:widowControl w:val="off"/>
        <w:rPr>
          <w:rFonts w:hint="eastAsia" w:ascii="宋体" w:hAnsi="宋体" w:eastAsia="宋体" w:cs="宋体"/>
        </w:rPr>
        <w:outlineLvl w:val="0"/>
      </w:pPr>
      <w:r>
        <w:rPr>
          <w:rFonts w:hint="eastAsia" w:ascii="宋体" w:hAnsi="宋体" w:eastAsia="宋体" w:cs="宋体"/>
        </w:rPr>
        <w:t xml:space="preserve">第四章 评标标准</w:t>
      </w:r>
      <w:bookmarkEnd w:id="18"/>
      <w:r/>
      <w:bookmarkEnd w:id="19"/>
      <w:r/>
      <w:bookmarkEnd w:id="20"/>
      <w:r/>
      <w:bookmarkEnd w:id="21"/>
      <w:r/>
      <w:bookmarkEnd w:id="22"/>
      <w:r/>
      <w:r/>
    </w:p>
    <w:tbl>
      <w:tblPr>
        <w:tblStyle w:val="1025"/>
        <w:tblW w:w="9665"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88"/>
        <w:gridCol w:w="1181"/>
        <w:gridCol w:w="6493"/>
        <w:gridCol w:w="803"/>
      </w:tblGrid>
      <w:tr>
        <w:trPr>
          <w:jc w:val="center"/>
          <w:trHeight w:val="717"/>
        </w:trPr>
        <w:tc>
          <w:tcPr>
            <w:gridSpan w:val="2"/>
            <w:tcW w:w="2369" w:type="dxa"/>
            <w:vAlign w:val="center"/>
            <w:textDirection w:val="lrTb"/>
            <w:noWrap w:val="false"/>
          </w:tcPr>
          <w:p>
            <w:pPr>
              <w:pStyle w:val="1199"/>
              <w:jc w:val="center"/>
              <w:rPr>
                <w:rFonts w:hint="eastAsia" w:ascii="宋体" w:hAnsi="宋体" w:eastAsia="宋体" w:cs="宋体"/>
                <w:sz w:val="24"/>
                <w:szCs w:val="24"/>
                <w:lang w:val="zh" w:eastAsia="zh-CN"/>
              </w:rPr>
            </w:pPr>
            <w:r/>
            <w:bookmarkStart w:id="23" w:name="_Toc30342_WPSOffice_Level1"/>
            <w:r/>
            <w:bookmarkStart w:id="24" w:name="_Toc13930"/>
            <w:r/>
            <w:bookmarkStart w:id="25" w:name="_Toc726"/>
            <w:r/>
            <w:bookmarkStart w:id="26" w:name="_Toc12181"/>
            <w:r/>
            <w:bookmarkStart w:id="27" w:name="_Toc16222"/>
            <w:r>
              <w:rPr>
                <w:rFonts w:hint="eastAsia" w:ascii="宋体" w:hAnsi="宋体" w:eastAsia="宋体" w:cs="宋体"/>
                <w:sz w:val="24"/>
                <w:szCs w:val="24"/>
                <w:lang w:val="en-US" w:eastAsia="zh-CN"/>
              </w:rPr>
              <w:t xml:space="preserve">评审因素</w:t>
            </w:r>
            <w:r/>
          </w:p>
        </w:tc>
        <w:tc>
          <w:tcPr>
            <w:tcW w:w="6493"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评审因素细化和量化</w:t>
            </w:r>
            <w:r/>
          </w:p>
        </w:tc>
        <w:tc>
          <w:tcPr>
            <w:tcW w:w="803"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是否为客观分</w:t>
            </w:r>
            <w:r/>
          </w:p>
        </w:tc>
      </w:tr>
      <w:tr>
        <w:trPr>
          <w:jc w:val="center"/>
          <w:trHeight w:val="548"/>
        </w:trPr>
        <w:tc>
          <w:tcPr>
            <w:tcW w:w="1188"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价格部分（1</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分）</w:t>
            </w:r>
            <w:r/>
          </w:p>
        </w:tc>
        <w:tc>
          <w:tcPr>
            <w:tcW w:w="1181" w:type="dxa"/>
            <w:vAlign w:val="center"/>
            <w:textDirection w:val="lrTb"/>
            <w:noWrap w:val="false"/>
          </w:tcPr>
          <w:p>
            <w:pPr>
              <w:pStyle w:val="1199"/>
              <w:jc w:val="center"/>
              <w:rPr>
                <w:rFonts w:hint="eastAsia" w:ascii="宋体" w:hAnsi="宋体" w:eastAsia="宋体" w:cs="宋体"/>
                <w:sz w:val="24"/>
                <w:szCs w:val="24"/>
                <w:lang w:val="zh" w:eastAsia="zh-CN"/>
              </w:rPr>
            </w:pPr>
            <w:r>
              <w:rPr>
                <w:rFonts w:hint="eastAsia" w:ascii="宋体" w:hAnsi="宋体" w:eastAsia="宋体" w:cs="宋体"/>
                <w:sz w:val="24"/>
                <w:szCs w:val="24"/>
              </w:rPr>
              <w:t xml:space="preserve">重大疾病住院医疗定额补贴</w:t>
            </w:r>
            <w:r/>
          </w:p>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zh" w:eastAsia="zh-CN"/>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lang w:val="zh" w:eastAsia="zh-CN"/>
              </w:rPr>
              <w:t xml:space="preserve">分）</w:t>
            </w:r>
            <w:r/>
          </w:p>
        </w:tc>
        <w:tc>
          <w:tcPr>
            <w:tcW w:w="6493" w:type="dxa"/>
            <w:vAlign w:val="center"/>
            <w:textDirection w:val="lrTb"/>
            <w:noWrap w:val="false"/>
          </w:tcPr>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各投标人得分=（投标人的投标报价／有效投标人的最高报价)×1</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w:t>
            </w:r>
            <w:r/>
          </w:p>
        </w:tc>
        <w:tc>
          <w:tcPr>
            <w:tcW w:w="803"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w:t>
            </w:r>
            <w:r/>
          </w:p>
        </w:tc>
      </w:tr>
      <w:tr>
        <w:trPr>
          <w:jc w:val="center"/>
          <w:trHeight w:val="905"/>
        </w:trPr>
        <w:tc>
          <w:tcPr>
            <w:tcW w:w="1188" w:type="dxa"/>
            <w:vAlign w:val="center"/>
            <w:vMerge w:val="restart"/>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保险方案（15分）</w:t>
            </w:r>
            <w:r/>
          </w:p>
        </w:tc>
        <w:tc>
          <w:tcPr>
            <w:tcW w:w="1181"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条款</w:t>
            </w:r>
            <w:r/>
          </w:p>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（10分）</w:t>
            </w:r>
            <w:r/>
          </w:p>
        </w:tc>
        <w:tc>
          <w:tcPr>
            <w:tcW w:w="6493" w:type="dxa"/>
            <w:vAlign w:val="center"/>
            <w:textDirection w:val="lrTb"/>
            <w:noWrap w:val="false"/>
          </w:tcPr>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从保险责任、保险对象、责任免除、被保险人义务、赔偿处理等角度实质性的有利于被保险人的，每项加1分；限制被保险人权利或缩小保险责任范围的，每项扣1分，最高10分。</w:t>
            </w:r>
            <w:r/>
          </w:p>
        </w:tc>
        <w:tc>
          <w:tcPr>
            <w:tcW w:w="803"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w:t>
            </w:r>
            <w:r/>
          </w:p>
        </w:tc>
      </w:tr>
      <w:tr>
        <w:trPr>
          <w:jc w:val="center"/>
          <w:trHeight w:val="727"/>
        </w:trPr>
        <w:tc>
          <w:tcPr>
            <w:tcW w:w="1188" w:type="dxa"/>
            <w:vAlign w:val="center"/>
            <w:vMerge w:val="continue"/>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81"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特别约定（5分）</w:t>
            </w:r>
            <w:r/>
          </w:p>
        </w:tc>
        <w:tc>
          <w:tcPr>
            <w:tcW w:w="6493" w:type="dxa"/>
            <w:vAlign w:val="center"/>
            <w:textDirection w:val="lrTb"/>
            <w:noWrap w:val="false"/>
          </w:tcPr>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特别约定有利于被保险人的，每项加1分；限制被保险人权利或缩小保险责任范围的，每项扣1分，最高5分。</w:t>
            </w:r>
            <w:r/>
          </w:p>
        </w:tc>
        <w:tc>
          <w:tcPr>
            <w:tcW w:w="803"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w:t>
            </w:r>
            <w:r/>
          </w:p>
        </w:tc>
      </w:tr>
      <w:tr>
        <w:trPr>
          <w:jc w:val="center"/>
          <w:trHeight w:val="995"/>
        </w:trPr>
        <w:tc>
          <w:tcPr>
            <w:tcW w:w="1188" w:type="dxa"/>
            <w:vAlign w:val="center"/>
            <w:vMerge w:val="restart"/>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服务部分（7</w:t>
            </w:r>
            <w:r>
              <w:rPr>
                <w:rFonts w:hint="eastAsia" w:ascii="宋体" w:hAnsi="宋体" w:cs="宋体"/>
                <w:sz w:val="24"/>
                <w:szCs w:val="24"/>
                <w:lang w:val="en-US" w:eastAsia="zh-CN"/>
              </w:rPr>
              <w:t xml:space="preserve">0</w:t>
            </w:r>
            <w:r>
              <w:rPr>
                <w:rFonts w:hint="eastAsia" w:ascii="宋体" w:hAnsi="宋体" w:eastAsia="宋体" w:cs="宋体"/>
                <w:sz w:val="24"/>
                <w:szCs w:val="24"/>
                <w:lang w:val="en-US" w:eastAsia="zh-CN"/>
              </w:rPr>
              <w:t xml:space="preserve">分）</w:t>
            </w:r>
            <w:r/>
          </w:p>
        </w:tc>
        <w:tc>
          <w:tcPr>
            <w:tcW w:w="1181"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服务专员（3</w:t>
            </w:r>
            <w:r>
              <w:rPr>
                <w:rFonts w:hint="eastAsia" w:ascii="宋体" w:hAnsi="宋体" w:cs="宋体"/>
                <w:sz w:val="24"/>
                <w:szCs w:val="24"/>
                <w:lang w:val="en-US" w:eastAsia="zh-CN"/>
              </w:rPr>
              <w:t xml:space="preserve">分</w:t>
            </w:r>
            <w:r>
              <w:rPr>
                <w:rFonts w:hint="eastAsia" w:ascii="宋体" w:hAnsi="宋体" w:eastAsia="宋体" w:cs="宋体"/>
                <w:sz w:val="24"/>
                <w:szCs w:val="24"/>
                <w:lang w:val="en-US" w:eastAsia="zh-CN"/>
              </w:rPr>
              <w:t xml:space="preserve">）</w:t>
            </w:r>
            <w:r/>
          </w:p>
        </w:tc>
        <w:tc>
          <w:tcPr>
            <w:tcW w:w="6493" w:type="dxa"/>
            <w:vAlign w:val="center"/>
            <w:textDirection w:val="lrTb"/>
            <w:noWrap w:val="false"/>
          </w:tcPr>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供应商提供的专属服务团队人员组成的合理性、完善性，含过往类似项目服务经验及小组人员的数量、人员职位，以及是否明确联系方式等方案的全面性、针对性、可行性等综合比较评价：</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全面性(3分)：全面具体详实得3分；较全面得2分；基本具备的得1分；存在较大漏项或缺陷得0分。</w:t>
            </w:r>
            <w:r/>
          </w:p>
        </w:tc>
        <w:tc>
          <w:tcPr>
            <w:tcW w:w="803"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否</w:t>
            </w:r>
            <w:r/>
          </w:p>
        </w:tc>
      </w:tr>
      <w:tr>
        <w:trPr>
          <w:cantSplit/>
          <w:jc w:val="center"/>
          <w:trHeight w:val="2094"/>
        </w:trPr>
        <w:tc>
          <w:tcPr>
            <w:tcW w:w="1188" w:type="dxa"/>
            <w:vAlign w:val="center"/>
            <w:vMerge w:val="continue"/>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81"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承保服务方案</w:t>
            </w:r>
            <w:r/>
          </w:p>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（15分）</w:t>
            </w:r>
            <w:r/>
          </w:p>
        </w:tc>
        <w:tc>
          <w:tcPr>
            <w:tcW w:w="6493" w:type="dxa"/>
            <w:vAlign w:val="center"/>
            <w:textDirection w:val="lrTb"/>
            <w:noWrap w:val="false"/>
          </w:tcPr>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（1）根据各投保单位保单实际生效时间和保费缴纳手续，方案包括不限于承保流程、投保时效、完成时间（以出具保单和发票时间为准）。对内容的全面性、针对性、可行性进行评价。</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全面性(3分)：全面具体详实得3分；较全面得2分；基本具备的得1分；存在较大漏项或缺陷得0分。</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针对性(4分)：针对性强得4分；针对性较强得3分；针对性一般的得2分；欠缺针对性的得0分。</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可行性（3分)：符合实际切实可行得3分；较切实可行得2分;可行性欠缺得1分；不具有可行性得0分；</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未提供的不得分。本项最高得10分，最低不得分。</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（2）出单之前投保资料明确并附上投保资料，对内容的针对性进行评价。</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针对性(5分)：针对性强得5分；针对性较强得3分；针对性一般的得2分；欠缺针对性的得0分。</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未提供的不得分。本项最高得5分，最低不得分。</w:t>
            </w:r>
            <w:r/>
          </w:p>
        </w:tc>
        <w:tc>
          <w:tcPr>
            <w:tcW w:w="803"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否</w:t>
            </w:r>
            <w:r/>
          </w:p>
        </w:tc>
      </w:tr>
      <w:tr>
        <w:trPr>
          <w:cantSplit/>
          <w:jc w:val="center"/>
          <w:trHeight w:val="4178"/>
        </w:trPr>
        <w:tc>
          <w:tcPr>
            <w:tcW w:w="1188" w:type="dxa"/>
            <w:vAlign w:val="center"/>
            <w:vMerge w:val="continue"/>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81"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理赔服务方案</w:t>
            </w:r>
            <w:r/>
          </w:p>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0</w:t>
            </w:r>
            <w:r>
              <w:rPr>
                <w:rFonts w:hint="eastAsia" w:ascii="宋体" w:hAnsi="宋体" w:eastAsia="宋体" w:cs="宋体"/>
                <w:sz w:val="24"/>
                <w:szCs w:val="24"/>
                <w:lang w:val="en-US" w:eastAsia="zh-CN"/>
              </w:rPr>
              <w:t xml:space="preserve">分）</w:t>
            </w:r>
            <w:r/>
          </w:p>
        </w:tc>
        <w:tc>
          <w:tcPr>
            <w:tcW w:w="6493" w:type="dxa"/>
            <w:vAlign w:val="center"/>
            <w:textDirection w:val="lrTb"/>
            <w:noWrap w:val="false"/>
          </w:tcPr>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（1）明确表述理赔流程、理赔资料（根据理赔事故不同设置分类）、理赔时效（根据理赔案件金额）等手续简单易懂、实操性强。对内容的全面性、针对性进行评价。</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全面性(4分)：全面具体详实得4分；较全面得3分；基本具备的得2分；存在较大漏项或缺陷得0分。</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针对性(4分)：针对性强得4分；针对性较强得3分；针对性一般的得2分；欠缺针对性的得0分。</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未提供的不得分。本项最高得8分，最低不得分。</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（2）为项目设置具体理赔地址和邮寄地址（含联系人、电话）得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（3）提供其他理赔服务方案，方案优势明显、针对性强得5分，方案一般、针对性较强得3分，方案及针对性较差得1分，未作说明不得分；最高得5分。</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（4）对于不易确定为意外伤害和重大疾病的案例有具体处置方案，方案全面、解决措施合理得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分，方案一般、解决措施欠缺得3分，方案较差、解决措施不贴合实际得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分，未作说明不得分；最高得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（5）承诺可以按照招标文件要求提供理赔清单并为本项目专门建立理赔档案供随时调取得</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分。</w:t>
            </w:r>
            <w:r/>
          </w:p>
        </w:tc>
        <w:tc>
          <w:tcPr>
            <w:tcW w:w="803"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否</w:t>
            </w:r>
            <w:r/>
          </w:p>
        </w:tc>
      </w:tr>
      <w:tr>
        <w:trPr>
          <w:cantSplit/>
          <w:jc w:val="center"/>
          <w:trHeight w:val="1500"/>
        </w:trPr>
        <w:tc>
          <w:tcPr>
            <w:tcW w:w="1188" w:type="dxa"/>
            <w:vAlign w:val="center"/>
            <w:vMerge w:val="continue"/>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81"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宣传服务方案</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（10分）</w:t>
            </w:r>
            <w:r/>
          </w:p>
        </w:tc>
        <w:tc>
          <w:tcPr>
            <w:tcW w:w="6493" w:type="dxa"/>
            <w:vAlign w:val="center"/>
            <w:textDirection w:val="lrTb"/>
            <w:noWrap w:val="false"/>
          </w:tcPr>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投保单位分别设计不同宣传方式、宣传计划、培训方案等，详细、贴合实际并在中标合同签订后以短信、微信、发放告知书、送达服务彩页等方式告知残疾人或监护人。对内容的全面性、针对性、可行性进行评价。</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全面性(3分)：全面具体详实得3分；较全面得2分；基本具备的得1分；存在较大漏项或缺陷得0分。</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针对性(4分)：针对性强得4分；针对性较强得3分；针对性一般的得2分；欠缺针对性的得0分。</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可行性（3分)：符合实际切实可行得3分；较切实可行得2分;可行性欠缺得1分；不具有可行性得0分；</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未提供的不得分。本项最高得10分，最低不得分。</w:t>
            </w:r>
            <w:r/>
          </w:p>
        </w:tc>
        <w:tc>
          <w:tcPr>
            <w:tcW w:w="803"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否</w:t>
            </w:r>
            <w:r/>
          </w:p>
        </w:tc>
      </w:tr>
      <w:tr>
        <w:trPr>
          <w:cantSplit/>
          <w:jc w:val="center"/>
          <w:trHeight w:val="727"/>
        </w:trPr>
        <w:tc>
          <w:tcPr>
            <w:tcW w:w="1188" w:type="dxa"/>
            <w:vAlign w:val="center"/>
            <w:vMerge w:val="continue"/>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81"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培训服务方案（7分）</w:t>
            </w:r>
            <w:r/>
          </w:p>
        </w:tc>
        <w:tc>
          <w:tcPr>
            <w:tcW w:w="6493" w:type="dxa"/>
            <w:vAlign w:val="center"/>
            <w:textDirection w:val="lrTb"/>
            <w:noWrap w:val="false"/>
          </w:tcPr>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针对投保单位、办事员和残疾人分别设计培训方案，对内容的全面性、针对性进行评价。</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全面性(3分)：全面具体详实得3分；较全面得2分；基本具备的得1分；存在较大漏项或缺陷得0分。</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针对性(4分)：针对性强得4分；针对性较强得3分；针对性一般的得2分；欠缺针对性的得0分。</w:t>
            </w:r>
            <w:r/>
          </w:p>
          <w:p>
            <w:pPr>
              <w:pStyle w:val="1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未提供的不得分。本项最高得7分，最低不得分。</w:t>
            </w:r>
            <w:r/>
          </w:p>
        </w:tc>
        <w:tc>
          <w:tcPr>
            <w:tcW w:w="803"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否</w:t>
            </w:r>
            <w:r/>
          </w:p>
        </w:tc>
      </w:tr>
      <w:tr>
        <w:trPr>
          <w:cantSplit/>
          <w:jc w:val="center"/>
          <w:trHeight w:val="374"/>
        </w:trPr>
        <w:tc>
          <w:tcPr>
            <w:tcW w:w="1188" w:type="dxa"/>
            <w:vAlign w:val="center"/>
            <w:vMerge w:val="continue"/>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81"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优惠服务方案</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（10分）</w:t>
            </w:r>
            <w:r/>
          </w:p>
        </w:tc>
        <w:tc>
          <w:tcPr>
            <w:tcW w:w="6493" w:type="dxa"/>
            <w:vAlign w:val="center"/>
            <w:textDirection w:val="lrTb"/>
            <w:noWrap w:val="false"/>
          </w:tcPr>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对内容的全面性、针对性、可行性进行评价。</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全面性(3分)：全面具体详实得3分；较全面得2分；基本具备的得1分；存在较大漏项或缺陷得0分。</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针对性(4分)：针对性强得4分；针对性较强得3分；针对性一般的得2分；欠缺针对性的得0分。</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可行性（3分)：符合实际切实可行得3分；较切实可行得2分;可行性欠缺得1分；不具有可行性得0分；</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未提供的不得分。本项最高得10分，最低不得分。</w:t>
            </w:r>
            <w:r/>
          </w:p>
        </w:tc>
        <w:tc>
          <w:tcPr>
            <w:tcW w:w="803"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否</w:t>
            </w:r>
            <w:r/>
          </w:p>
        </w:tc>
      </w:tr>
      <w:tr>
        <w:trPr>
          <w:cantSplit/>
          <w:jc w:val="center"/>
          <w:trHeight w:val="421"/>
        </w:trPr>
        <w:tc>
          <w:tcPr>
            <w:tcW w:w="1188" w:type="dxa"/>
            <w:vAlign w:val="center"/>
            <w:vMerge w:val="continue"/>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81"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业务制度（5分）</w:t>
            </w:r>
            <w:r/>
          </w:p>
        </w:tc>
        <w:tc>
          <w:tcPr>
            <w:tcW w:w="6493" w:type="dxa"/>
            <w:vAlign w:val="center"/>
            <w:textDirection w:val="lrTb"/>
            <w:noWrap w:val="false"/>
          </w:tcPr>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（1）为本项目制定投诉管理制度根据方案符合实际切实可行得2分；较切实可行得1分;可行性欠缺得0分。</w:t>
            </w:r>
            <w:r/>
          </w:p>
          <w:p>
            <w:pPr>
              <w:pStyle w:val="11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根据本项目实际情况拟定服务过程中可能出现的突发应急预案，应急预案包括但不限于应急事件、应急团队、应急联系方式、应急制度、应急协调和相关保障措施等，根据方案符合实际切实可行得3分；较切实可行得2分;可行性欠缺得0分。</w:t>
            </w:r>
            <w:r/>
          </w:p>
        </w:tc>
        <w:tc>
          <w:tcPr>
            <w:tcW w:w="803" w:type="dxa"/>
            <w:vAlign w:val="center"/>
            <w:textDirection w:val="lrTb"/>
            <w:noWrap w:val="false"/>
          </w:tcPr>
          <w:p>
            <w:pPr>
              <w:pStyle w:val="119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否</w:t>
            </w:r>
            <w:r/>
          </w:p>
        </w:tc>
      </w:tr>
    </w:tbl>
    <w:p>
      <w:pPr>
        <w:pStyle w:val="1199"/>
        <w:ind w:firstLine="480"/>
        <w:keepLines w:val="0"/>
        <w:keepNext w:val="0"/>
        <w:pageBreakBefore w:val="0"/>
        <w:widowControl/>
        <w:rPr>
          <w:rFonts w:hint="eastAsia" w:ascii="宋体" w:hAnsi="宋体" w:eastAsia="宋体" w:cs="宋体"/>
          <w:sz w:val="30"/>
          <w:szCs w:val="30"/>
          <w:lang w:eastAsia="zh-CN"/>
        </w:rPr>
      </w:pPr>
      <w:r>
        <w:rPr>
          <w:rFonts w:hint="eastAsia" w:ascii="宋体" w:hAnsi="宋体" w:eastAsia="宋体" w:cs="宋体"/>
          <w:sz w:val="24"/>
          <w:szCs w:val="24"/>
          <w:lang w:eastAsia="zh-CN"/>
        </w:rPr>
        <w:br/>
      </w:r>
      <w:r/>
    </w:p>
    <w:p>
      <w:pPr>
        <w:pStyle w:val="1199"/>
        <w:ind w:firstLine="480"/>
        <w:keepLines w:val="0"/>
        <w:keepNext w:val="0"/>
        <w:pageBreakBefore w:val="0"/>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本章说明：本项目采用综合评分法（供应商技术部分得分取所有评委的平均值，保留小数点后二位）。</w:t>
      </w:r>
      <w:bookmarkEnd w:id="23"/>
      <w:r/>
      <w:bookmarkEnd w:id="24"/>
      <w:r/>
      <w:bookmarkEnd w:id="25"/>
      <w:r/>
      <w:bookmarkEnd w:id="26"/>
      <w:r/>
      <w:bookmarkEnd w:id="27"/>
      <w:r/>
      <w:r/>
    </w:p>
    <w:p>
      <w:pPr>
        <w:pStyle w:val="1199"/>
        <w:ind w:firstLine="480"/>
        <w:keepLines w:val="0"/>
        <w:keepNext w:val="0"/>
        <w:pageBreakBefore w:val="0"/>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所投产品全部为小微企业制造或投标人及所投产品全部为监狱企业、享受政府采购支持政策的残疾人福利性单位的（以投标人提供的《分项价格表》《中小企业声明函》、监狱企业证明文件和《残疾人福利性单位声明函》等相关材料为准），给予10%的保额增加，用增加后的报价参加评审。</w:t>
      </w:r>
      <w:r/>
    </w:p>
    <w:p>
      <w:pPr>
        <w:pStyle w:val="1199"/>
        <w:ind w:firstLine="480"/>
        <w:keepLines w:val="0"/>
        <w:keepNext w:val="0"/>
        <w:pageBreakBefore w:val="0"/>
        <w:widowControl/>
        <w:rPr>
          <w:rFonts w:hint="eastAsia" w:ascii="宋体" w:hAnsi="宋体" w:eastAsia="宋体" w:cs="宋体"/>
          <w:sz w:val="24"/>
        </w:rPr>
      </w:pPr>
      <w:r>
        <w:rPr>
          <w:rFonts w:hint="eastAsia" w:ascii="宋体" w:hAnsi="宋体" w:eastAsia="宋体" w:cs="宋体"/>
          <w:sz w:val="24"/>
          <w:lang w:val="en-US" w:eastAsia="zh-CN"/>
        </w:rPr>
        <w:t xml:space="preserve">该投标人的评审价格=《分项报价表》中的“总价”*（100%+10%）</w:t>
      </w:r>
      <w:r/>
    </w:p>
    <w:p>
      <w:pPr>
        <w:pStyle w:val="1201"/>
        <w:contextualSpacing w:val="0"/>
        <w:jc w:val="center"/>
        <w:keepLines/>
        <w:keepNext/>
        <w:pageBreakBefore/>
        <w:spacing w:before="120" w:after="0" w:line="360" w:lineRule="auto"/>
        <w:widowControl w:val="off"/>
        <w:rPr>
          <w:rFonts w:hint="eastAsia" w:ascii="宋体" w:hAnsi="宋体" w:eastAsia="宋体" w:cs="宋体"/>
          <w:sz w:val="28"/>
          <w:szCs w:val="28"/>
        </w:rPr>
        <w:outlineLvl w:val="0"/>
        <w:suppressLineNumbers w:val="0"/>
      </w:pPr>
      <w:r/>
      <w:bookmarkStart w:id="28" w:name="_Toc6453"/>
      <w:r/>
      <w:bookmarkStart w:id="29" w:name="_Toc15025_WPSOffice_Level1"/>
      <w:r/>
      <w:bookmarkStart w:id="30" w:name="_Toc721"/>
      <w:r/>
      <w:bookmarkStart w:id="31" w:name="_Toc10407"/>
      <w:r/>
      <w:bookmarkStart w:id="32" w:name="_Toc7855"/>
      <w:r>
        <w:rPr>
          <w:rFonts w:hint="eastAsia" w:ascii="宋体" w:hAnsi="宋体" w:eastAsia="宋体" w:cs="宋体"/>
        </w:rPr>
        <w:t xml:space="preserve">第</w:t>
      </w:r>
      <w:r>
        <w:rPr>
          <w:rFonts w:hint="eastAsia" w:ascii="宋体" w:hAnsi="宋体" w:eastAsia="宋体" w:cs="宋体"/>
          <w:lang w:val="en-US" w:eastAsia="zh-CN"/>
        </w:rPr>
        <w:t xml:space="preserve">五</w:t>
      </w:r>
      <w:r>
        <w:rPr>
          <w:rFonts w:hint="eastAsia" w:ascii="宋体" w:hAnsi="宋体" w:eastAsia="宋体" w:cs="宋体"/>
        </w:rPr>
        <w:t xml:space="preserve">章 拟签订的合同文本</w:t>
      </w:r>
      <w:r>
        <w:rPr>
          <w:rFonts w:hint="eastAsia" w:ascii="宋体" w:hAnsi="宋体" w:eastAsia="宋体" w:cs="宋体"/>
          <w:b/>
          <w:bCs/>
          <w:sz w:val="30"/>
          <w:szCs w:val="30"/>
          <w:lang w:val="en-US" w:eastAsia="zh-CN" w:bidi="ar-SA"/>
        </w:rPr>
        <w:br/>
      </w:r>
      <w:r/>
    </w:p>
    <w:p>
      <w:pPr>
        <w:jc w:val="center"/>
        <w:spacing w:line="360" w:lineRule="auto"/>
        <w:rPr>
          <w:rFonts w:hint="eastAsia" w:ascii="宋体" w:hAnsi="宋体" w:eastAsia="宋体" w:cs="宋体"/>
          <w:sz w:val="24"/>
        </w:rPr>
      </w:pPr>
      <w:r>
        <w:rPr>
          <w:rFonts w:hint="eastAsia" w:ascii="宋体" w:hAnsi="宋体" w:eastAsia="宋体" w:cs="宋体"/>
          <w:sz w:val="24"/>
        </w:rPr>
        <w:t xml:space="preserve"> </w:t>
      </w:r>
      <w:r/>
    </w:p>
    <w:p>
      <w:pPr>
        <w:jc w:val="center"/>
        <w:rPr>
          <w:rFonts w:hint="eastAsia" w:ascii="宋体" w:hAnsi="宋体" w:eastAsia="宋体" w:cs="宋体"/>
          <w:b/>
          <w:bCs/>
          <w:sz w:val="30"/>
          <w:szCs w:val="30"/>
        </w:rPr>
      </w:pPr>
      <w:r>
        <w:rPr>
          <w:rFonts w:hint="eastAsia" w:ascii="宋体" w:hAnsi="宋体" w:eastAsia="宋体" w:cs="宋体"/>
          <w:b/>
          <w:bCs/>
          <w:sz w:val="30"/>
          <w:szCs w:val="30"/>
        </w:rPr>
        <w:t xml:space="preserve">政 府 采 购 合 同</w:t>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spacing w:line="720" w:lineRule="auto"/>
        <w:rPr>
          <w:rFonts w:hint="eastAsia" w:ascii="宋体" w:hAnsi="宋体" w:eastAsia="宋体" w:cs="宋体"/>
          <w:sz w:val="28"/>
          <w:szCs w:val="28"/>
          <w:lang w:eastAsia="zh-CN"/>
        </w:rPr>
      </w:pPr>
      <w:r>
        <w:rPr>
          <w:rFonts w:hint="eastAsia" w:ascii="宋体" w:hAnsi="宋体" w:eastAsia="宋体" w:cs="宋体"/>
          <w:sz w:val="24"/>
        </w:rPr>
        <w:t xml:space="preserve">                </w:t>
      </w:r>
      <w:r>
        <w:rPr>
          <w:rFonts w:hint="eastAsia" w:ascii="宋体" w:hAnsi="宋体" w:eastAsia="宋体" w:cs="宋体"/>
          <w:sz w:val="28"/>
          <w:szCs w:val="28"/>
        </w:rPr>
        <w:t xml:space="preserve">项目编号：</w:t>
      </w:r>
      <w:r>
        <w:rPr>
          <w:rFonts w:hint="eastAsia" w:ascii="宋体" w:hAnsi="宋体" w:cs="宋体"/>
          <w:sz w:val="28"/>
          <w:szCs w:val="28"/>
          <w:lang w:eastAsia="zh-CN"/>
        </w:rPr>
        <w:t xml:space="preserve">JSZC-320321-XZZX-G2025-0012</w:t>
      </w:r>
      <w:r/>
    </w:p>
    <w:p>
      <w:pPr>
        <w:spacing w:line="720" w:lineRule="auto"/>
        <w:rPr>
          <w:rFonts w:hint="eastAsia" w:ascii="宋体" w:hAnsi="宋体" w:eastAsia="宋体" w:cs="宋体"/>
          <w:sz w:val="28"/>
          <w:szCs w:val="28"/>
          <w:lang w:eastAsia="zh-CN"/>
        </w:rPr>
      </w:pPr>
      <w:r>
        <w:rPr>
          <w:rFonts w:hint="eastAsia" w:ascii="宋体" w:hAnsi="宋体" w:eastAsia="宋体" w:cs="宋体"/>
          <w:sz w:val="28"/>
          <w:szCs w:val="28"/>
        </w:rPr>
        <w:t xml:space="preserve">             项目名称：</w:t>
      </w:r>
      <w:r>
        <w:rPr>
          <w:rFonts w:hint="eastAsia" w:ascii="宋体" w:hAnsi="宋体" w:cs="宋体"/>
          <w:sz w:val="28"/>
          <w:szCs w:val="28"/>
          <w:lang w:eastAsia="zh-CN"/>
        </w:rPr>
        <w:t xml:space="preserve">丰县残疾人团体专属保险项目</w:t>
      </w:r>
      <w:r/>
    </w:p>
    <w:p>
      <w:pPr>
        <w:spacing w:line="72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spacing w:line="720" w:lineRule="auto"/>
        <w:rPr>
          <w:rFonts w:hint="eastAsia" w:ascii="宋体" w:hAnsi="宋体" w:eastAsia="宋体" w:cs="宋体"/>
          <w:sz w:val="28"/>
          <w:szCs w:val="28"/>
          <w:lang w:eastAsia="zh-CN"/>
        </w:rPr>
      </w:pPr>
      <w:r>
        <w:rPr>
          <w:rFonts w:hint="eastAsia" w:ascii="宋体" w:hAnsi="宋体" w:eastAsia="宋体" w:cs="宋体"/>
          <w:sz w:val="28"/>
          <w:szCs w:val="28"/>
        </w:rPr>
        <w:t xml:space="preserve">              采 购 人：</w:t>
      </w:r>
      <w:r>
        <w:rPr>
          <w:rFonts w:hint="eastAsia" w:ascii="宋体" w:hAnsi="宋体" w:eastAsia="宋体" w:cs="宋体"/>
          <w:sz w:val="28"/>
          <w:szCs w:val="28"/>
          <w:lang w:eastAsia="zh-CN"/>
        </w:rPr>
        <w:t xml:space="preserve">丰县残疾人联合会</w:t>
      </w:r>
      <w:r/>
    </w:p>
    <w:p>
      <w:pPr>
        <w:spacing w:line="720" w:lineRule="auto"/>
        <w:rPr>
          <w:rFonts w:hint="eastAsia" w:ascii="宋体" w:hAnsi="宋体" w:eastAsia="宋体" w:cs="宋体"/>
          <w:sz w:val="28"/>
          <w:szCs w:val="28"/>
        </w:rPr>
      </w:pPr>
      <w:r>
        <w:rPr>
          <w:rFonts w:hint="eastAsia" w:ascii="宋体" w:hAnsi="宋体" w:eastAsia="宋体" w:cs="宋体"/>
          <w:sz w:val="28"/>
          <w:szCs w:val="28"/>
        </w:rPr>
        <w:t xml:space="preserve">              中 标 人：</w:t>
      </w:r>
      <w:r/>
    </w:p>
    <w:p>
      <w:pPr>
        <w:spacing w:line="720" w:lineRule="auto"/>
        <w:rPr>
          <w:rFonts w:hint="eastAsia" w:ascii="宋体" w:hAnsi="宋体" w:eastAsia="宋体" w:cs="宋体"/>
          <w:sz w:val="32"/>
          <w:szCs w:val="32"/>
        </w:rPr>
      </w:pPr>
      <w:r>
        <w:rPr>
          <w:rFonts w:hint="eastAsia" w:ascii="宋体" w:hAnsi="宋体" w:eastAsia="宋体" w:cs="宋体"/>
          <w:sz w:val="28"/>
          <w:szCs w:val="28"/>
        </w:rPr>
        <w:t xml:space="preserve">              签订日期：    年  月  日</w:t>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 xml:space="preserve">友情提醒：采购人与中标、成交供应商应当在中标、成交通知书发出之日起三十日内，按照采购文件确定的事项签订政府采购合同。</w:t>
      </w:r>
      <w:r/>
    </w:p>
    <w:p>
      <w:pPr>
        <w:spacing w:line="360" w:lineRule="auto"/>
        <w:rPr>
          <w:rFonts w:hint="eastAsia" w:ascii="宋体" w:hAnsi="宋体" w:eastAsia="宋体" w:cs="宋体"/>
          <w:sz w:val="28"/>
          <w:szCs w:val="28"/>
        </w:rPr>
      </w:pPr>
      <w:r>
        <w:rPr>
          <w:rFonts w:hint="eastAsia" w:ascii="宋体" w:hAnsi="宋体" w:eastAsia="宋体" w:cs="宋体"/>
          <w:sz w:val="24"/>
        </w:rPr>
        <w:t xml:space="preserve">    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jc w:val="center"/>
        <w:pageBreakBefore/>
        <w:spacing w:line="400" w:lineRule="exact"/>
        <w:rPr>
          <w:rFonts w:hint="eastAsia" w:ascii="宋体" w:hAnsi="宋体" w:eastAsia="宋体" w:cs="宋体"/>
          <w:sz w:val="24"/>
        </w:rPr>
      </w:pPr>
      <w:r>
        <w:rPr>
          <w:rFonts w:hint="eastAsia" w:ascii="宋体" w:hAnsi="宋体" w:eastAsia="宋体" w:cs="宋体"/>
          <w:sz w:val="28"/>
          <w:szCs w:val="28"/>
        </w:rPr>
        <w:t xml:space="preserve">政府采购合同</w:t>
      </w:r>
      <w:r>
        <w:rPr>
          <w:rFonts w:hint="eastAsia" w:ascii="宋体" w:hAnsi="宋体" w:eastAsia="宋体" w:cs="宋体"/>
          <w:sz w:val="28"/>
          <w:szCs w:val="28"/>
        </w:rPr>
        <w:br/>
      </w:r>
      <w:r/>
    </w:p>
    <w:p>
      <w:pPr>
        <w:ind w:firstLine="360"/>
        <w:rPr>
          <w:rFonts w:hint="eastAsia" w:ascii="宋体" w:hAnsi="宋体" w:eastAsia="宋体" w:cs="宋体"/>
          <w:sz w:val="24"/>
        </w:rPr>
      </w:pPr>
      <w:r>
        <w:rPr>
          <w:rFonts w:hint="eastAsia" w:ascii="宋体" w:hAnsi="宋体" w:eastAsia="宋体" w:cs="宋体"/>
          <w:sz w:val="24"/>
        </w:rPr>
        <w:t xml:space="preserve">甲方：丰县残疾人联合会                                      </w:t>
      </w:r>
      <w:r/>
    </w:p>
    <w:p>
      <w:pPr>
        <w:ind w:firstLine="360"/>
        <w:rPr>
          <w:rFonts w:hint="eastAsia" w:ascii="宋体" w:hAnsi="宋体" w:eastAsia="宋体" w:cs="宋体"/>
          <w:sz w:val="24"/>
        </w:rPr>
      </w:pPr>
      <w:r>
        <w:rPr>
          <w:rFonts w:hint="eastAsia" w:ascii="宋体" w:hAnsi="宋体" w:eastAsia="宋体" w:cs="宋体"/>
          <w:sz w:val="24"/>
        </w:rPr>
        <w:t xml:space="preserve">乙方：                                     </w:t>
      </w:r>
      <w:r/>
    </w:p>
    <w:p>
      <w:pPr>
        <w:ind w:firstLine="360"/>
        <w:rPr>
          <w:rFonts w:hint="eastAsia" w:ascii="宋体" w:hAnsi="宋体" w:eastAsia="宋体" w:cs="宋体"/>
          <w:sz w:val="24"/>
        </w:rPr>
      </w:pPr>
      <w:r>
        <w:rPr>
          <w:rFonts w:hint="eastAsia" w:ascii="宋体" w:hAnsi="宋体" w:eastAsia="宋体" w:cs="宋体"/>
          <w:sz w:val="24"/>
        </w:rPr>
        <w:t xml:space="preserve">根据市残联、市财政《关于印发&lt;主城区持证残疾人及接受省残疾儿童基本康复项目服务对象意外伤害团体险办理工作的实施意见&gt;的通知》（徐残发〔2016〕28号、徐财社〔2016〕27号）和省残联办公室印发《残疾人专属团体综合保险》的精神，甲方与通过公开招标的采购方式确定的乙方经过协商，本着平等协作和诚实信用的原则，签订如下合同：</w:t>
      </w:r>
      <w:r/>
    </w:p>
    <w:p>
      <w:pPr>
        <w:ind w:firstLine="360"/>
        <w:rPr>
          <w:rFonts w:hint="eastAsia" w:ascii="宋体" w:hAnsi="宋体" w:eastAsia="宋体" w:cs="宋体"/>
          <w:sz w:val="24"/>
        </w:rPr>
      </w:pPr>
      <w:r>
        <w:rPr>
          <w:rFonts w:hint="eastAsia" w:ascii="宋体" w:hAnsi="宋体" w:eastAsia="宋体" w:cs="宋体"/>
          <w:sz w:val="24"/>
        </w:rPr>
        <w:t xml:space="preserve">第一条 甲方为持有第二代《中华人民共和国残疾人证》的人员及本年度接受省残疾儿童基本康复项目的服务对象向乙方投保。</w:t>
      </w:r>
      <w:r/>
    </w:p>
    <w:p>
      <w:pPr>
        <w:ind w:firstLine="360"/>
        <w:rPr>
          <w:rFonts w:hint="eastAsia" w:ascii="宋体" w:hAnsi="宋体" w:eastAsia="宋体" w:cs="宋体"/>
          <w:sz w:val="24"/>
        </w:rPr>
      </w:pPr>
      <w:r>
        <w:rPr>
          <w:rFonts w:hint="eastAsia" w:ascii="宋体" w:hAnsi="宋体" w:eastAsia="宋体" w:cs="宋体"/>
          <w:sz w:val="24"/>
        </w:rPr>
        <w:t xml:space="preserve">第二条 残疾人团体专属保险保费为每人每年25元，参保人员数量</w:t>
      </w:r>
      <w:r>
        <w:rPr>
          <w:rFonts w:hint="eastAsia" w:ascii="宋体" w:hAnsi="宋体" w:eastAsia="宋体" w:cs="宋体"/>
          <w:sz w:val="24"/>
          <w:u w:val="single"/>
        </w:rPr>
        <w:t xml:space="preserve">  </w:t>
      </w:r>
      <w:r>
        <w:rPr>
          <w:rFonts w:hint="eastAsia" w:ascii="宋体" w:hAnsi="宋体" w:eastAsia="宋体" w:cs="宋体"/>
          <w:sz w:val="24"/>
        </w:rPr>
        <w:t xml:space="preserve">人，保费</w:t>
      </w:r>
      <w:r>
        <w:rPr>
          <w:rFonts w:hint="eastAsia" w:ascii="宋体" w:hAnsi="宋体" w:eastAsia="宋体" w:cs="宋体"/>
          <w:sz w:val="24"/>
          <w:u w:val="single"/>
        </w:rPr>
        <w:t xml:space="preserve">     </w:t>
      </w:r>
      <w:r>
        <w:rPr>
          <w:rFonts w:hint="eastAsia" w:ascii="宋体" w:hAnsi="宋体" w:eastAsia="宋体" w:cs="宋体"/>
          <w:sz w:val="24"/>
        </w:rPr>
        <w:t xml:space="preserve">元（大写：</w:t>
      </w:r>
      <w:r>
        <w:rPr>
          <w:rFonts w:hint="eastAsia" w:ascii="宋体" w:hAnsi="宋体" w:eastAsia="宋体" w:cs="宋体"/>
          <w:sz w:val="24"/>
          <w:u w:val="single"/>
        </w:rPr>
        <w:t xml:space="preserve">      </w:t>
      </w:r>
      <w:r>
        <w:rPr>
          <w:rFonts w:hint="eastAsia" w:ascii="宋体" w:hAnsi="宋体" w:eastAsia="宋体" w:cs="宋体"/>
          <w:sz w:val="24"/>
        </w:rPr>
        <w:t xml:space="preserve">人民币）。</w:t>
      </w:r>
      <w:r/>
    </w:p>
    <w:p>
      <w:pPr>
        <w:ind w:firstLine="360"/>
        <w:rPr>
          <w:rFonts w:hint="eastAsia" w:ascii="宋体" w:hAnsi="宋体" w:eastAsia="宋体" w:cs="宋体"/>
          <w:sz w:val="24"/>
        </w:rPr>
      </w:pPr>
      <w:r>
        <w:rPr>
          <w:rFonts w:hint="eastAsia" w:ascii="宋体" w:hAnsi="宋体" w:eastAsia="宋体" w:cs="宋体"/>
          <w:sz w:val="24"/>
        </w:rPr>
        <w:t xml:space="preserve">第三条 甲方权利义务</w:t>
      </w:r>
      <w:r/>
    </w:p>
    <w:p>
      <w:pPr>
        <w:ind w:firstLine="360"/>
        <w:rPr>
          <w:rFonts w:hint="eastAsia" w:ascii="宋体" w:hAnsi="宋体" w:eastAsia="宋体" w:cs="宋体"/>
          <w:sz w:val="24"/>
        </w:rPr>
      </w:pPr>
      <w:r>
        <w:rPr>
          <w:rFonts w:hint="eastAsia" w:ascii="宋体" w:hAnsi="宋体" w:eastAsia="宋体" w:cs="宋体"/>
          <w:sz w:val="24"/>
        </w:rPr>
        <w:t xml:space="preserve">1.甲方应协助提供残疾人团体专属保险参保人员的投保资料。</w:t>
      </w:r>
      <w:r/>
    </w:p>
    <w:p>
      <w:pPr>
        <w:ind w:firstLine="360"/>
        <w:rPr>
          <w:rFonts w:hint="eastAsia" w:ascii="宋体" w:hAnsi="宋体" w:eastAsia="宋体" w:cs="宋体"/>
          <w:sz w:val="24"/>
        </w:rPr>
      </w:pPr>
      <w:r>
        <w:rPr>
          <w:rFonts w:hint="eastAsia" w:ascii="宋体" w:hAnsi="宋体" w:eastAsia="宋体" w:cs="宋体"/>
          <w:sz w:val="24"/>
        </w:rPr>
        <w:t xml:space="preserve">2.甲方应协助乙方进行残疾人团体专属保险宣传。</w:t>
      </w:r>
      <w:r/>
    </w:p>
    <w:p>
      <w:pPr>
        <w:ind w:firstLine="360"/>
        <w:rPr>
          <w:rFonts w:hint="eastAsia" w:ascii="宋体" w:hAnsi="宋体" w:eastAsia="宋体" w:cs="宋体"/>
          <w:sz w:val="24"/>
        </w:rPr>
      </w:pPr>
      <w:r>
        <w:rPr>
          <w:rFonts w:hint="eastAsia" w:ascii="宋体" w:hAnsi="宋体" w:eastAsia="宋体" w:cs="宋体"/>
          <w:sz w:val="24"/>
        </w:rPr>
        <w:t xml:space="preserve">3.甲方于签订政府采购后30日内向乙方一次性支付保费，付款前乙方按照实际支付金额向甲方开具发票。</w:t>
      </w:r>
      <w:r/>
    </w:p>
    <w:p>
      <w:pPr>
        <w:ind w:firstLine="360"/>
        <w:rPr>
          <w:rFonts w:hint="eastAsia" w:ascii="宋体" w:hAnsi="宋体" w:eastAsia="宋体" w:cs="宋体"/>
          <w:sz w:val="24"/>
        </w:rPr>
      </w:pPr>
      <w:r>
        <w:rPr>
          <w:rFonts w:hint="eastAsia" w:ascii="宋体" w:hAnsi="宋体" w:eastAsia="宋体" w:cs="宋体"/>
          <w:sz w:val="24"/>
        </w:rPr>
        <w:t xml:space="preserve">4.甲方有权对乙方的服务进行满意度调查，满意度分为：非常满意、满意、基本满意、不满意。调查的主体为部分残疾人。</w:t>
      </w:r>
      <w:r/>
    </w:p>
    <w:p>
      <w:pPr>
        <w:ind w:firstLine="360"/>
        <w:rPr>
          <w:rFonts w:hint="eastAsia" w:ascii="宋体" w:hAnsi="宋体" w:eastAsia="宋体" w:cs="宋体"/>
          <w:sz w:val="24"/>
        </w:rPr>
      </w:pPr>
      <w:r>
        <w:rPr>
          <w:rFonts w:hint="eastAsia" w:ascii="宋体" w:hAnsi="宋体" w:eastAsia="宋体" w:cs="宋体"/>
          <w:sz w:val="24"/>
        </w:rPr>
        <w:t xml:space="preserve">第四条 乙方权利义务</w:t>
      </w:r>
      <w:r/>
    </w:p>
    <w:p>
      <w:pPr>
        <w:ind w:firstLine="360"/>
        <w:rPr>
          <w:rFonts w:hint="eastAsia" w:ascii="宋体" w:hAnsi="宋体" w:eastAsia="宋体" w:cs="宋体"/>
          <w:sz w:val="24"/>
        </w:rPr>
      </w:pPr>
      <w:r>
        <w:rPr>
          <w:rFonts w:hint="eastAsia" w:ascii="宋体" w:hAnsi="宋体" w:eastAsia="宋体" w:cs="宋体"/>
          <w:sz w:val="24"/>
        </w:rPr>
        <w:t xml:space="preserve">1.乙方应对甲方提供的投保资料及时投保，延续上一年度保单，不得提前或延迟。乙方于接收到甲方提供的变更资料2日内进行批改，并开具批单发票，每人的批改保费按照剩余天数收取。</w:t>
      </w:r>
      <w:r/>
    </w:p>
    <w:p>
      <w:pPr>
        <w:ind w:firstLine="360"/>
        <w:rPr>
          <w:rFonts w:hint="eastAsia" w:ascii="宋体" w:hAnsi="宋体" w:eastAsia="宋体" w:cs="宋体"/>
          <w:sz w:val="24"/>
        </w:rPr>
      </w:pPr>
      <w:r>
        <w:rPr>
          <w:rFonts w:hint="eastAsia" w:ascii="宋体" w:hAnsi="宋体" w:eastAsia="宋体" w:cs="宋体"/>
          <w:sz w:val="24"/>
        </w:rPr>
        <w:t xml:space="preserve">2.乙方每年应提供残疾人团体专属保险基本运行和管理必需的设备、政策宣传、业务培训等服务。</w:t>
      </w:r>
      <w:r/>
    </w:p>
    <w:p>
      <w:pPr>
        <w:ind w:firstLine="360"/>
        <w:rPr>
          <w:rFonts w:hint="eastAsia" w:ascii="宋体" w:hAnsi="宋体" w:eastAsia="宋体" w:cs="宋体"/>
          <w:sz w:val="24"/>
        </w:rPr>
      </w:pPr>
      <w:r>
        <w:rPr>
          <w:rFonts w:hint="eastAsia" w:ascii="宋体" w:hAnsi="宋体" w:eastAsia="宋体" w:cs="宋体"/>
          <w:sz w:val="24"/>
        </w:rPr>
        <w:t xml:space="preserve">3.乙方应确保参保地区的残疾人对本项目保险知晓率达70%以上。</w:t>
      </w:r>
      <w:r/>
    </w:p>
    <w:p>
      <w:pPr>
        <w:ind w:firstLine="360"/>
        <w:rPr>
          <w:rFonts w:hint="eastAsia" w:ascii="宋体" w:hAnsi="宋体" w:eastAsia="宋体" w:cs="宋体"/>
          <w:sz w:val="24"/>
        </w:rPr>
      </w:pPr>
      <w:r>
        <w:rPr>
          <w:rFonts w:hint="eastAsia" w:ascii="宋体" w:hAnsi="宋体" w:eastAsia="宋体" w:cs="宋体"/>
          <w:sz w:val="24"/>
        </w:rPr>
        <w:t xml:space="preserve">4.提供的增值配套服务详见乙方乙方的投标文件。乙方在投标文件中承诺的增值配套服务必须按承诺及时履行，若未按投标文件承诺或未及时履行，甲方可视情况严重程度对乙方做出相应处理。</w:t>
      </w:r>
      <w:r/>
    </w:p>
    <w:p>
      <w:pPr>
        <w:ind w:firstLine="360"/>
        <w:rPr>
          <w:rFonts w:hint="eastAsia" w:ascii="宋体" w:hAnsi="宋体" w:eastAsia="宋体" w:cs="宋体"/>
          <w:sz w:val="24"/>
        </w:rPr>
      </w:pPr>
      <w:r>
        <w:rPr>
          <w:rFonts w:hint="eastAsia" w:ascii="宋体" w:hAnsi="宋体" w:eastAsia="宋体" w:cs="宋体"/>
          <w:sz w:val="24"/>
        </w:rPr>
        <w:t xml:space="preserve">5.乙方对甲方提供的参保人信息以及相关资料承担保密责任，不得用于其他用途，不得向第三方泄露。</w:t>
      </w:r>
      <w:r/>
    </w:p>
    <w:p>
      <w:pPr>
        <w:ind w:firstLine="360"/>
        <w:rPr>
          <w:rFonts w:hint="eastAsia" w:ascii="宋体" w:hAnsi="宋体" w:eastAsia="宋体" w:cs="宋体"/>
          <w:sz w:val="24"/>
        </w:rPr>
      </w:pPr>
      <w:r>
        <w:rPr>
          <w:rFonts w:hint="eastAsia" w:ascii="宋体" w:hAnsi="宋体" w:eastAsia="宋体" w:cs="宋体"/>
          <w:sz w:val="24"/>
        </w:rPr>
        <w:t xml:space="preserve">6.每月10日前提供截止到上月底前的统计资料，包括理赔情况、索赔人员联系电话等。</w:t>
      </w:r>
      <w:r/>
    </w:p>
    <w:p>
      <w:pPr>
        <w:ind w:firstLine="360"/>
        <w:rPr>
          <w:rFonts w:hint="eastAsia" w:ascii="宋体" w:hAnsi="宋体" w:eastAsia="宋体" w:cs="宋体"/>
          <w:sz w:val="24"/>
        </w:rPr>
      </w:pPr>
      <w:r>
        <w:rPr>
          <w:rFonts w:hint="eastAsia" w:ascii="宋体" w:hAnsi="宋体" w:eastAsia="宋体" w:cs="宋体"/>
          <w:sz w:val="24"/>
        </w:rPr>
        <w:t xml:space="preserve">第五条 共同责任</w:t>
      </w:r>
      <w:r/>
    </w:p>
    <w:p>
      <w:pPr>
        <w:ind w:firstLine="360"/>
        <w:rPr>
          <w:rFonts w:hint="eastAsia" w:ascii="宋体" w:hAnsi="宋体" w:eastAsia="宋体" w:cs="宋体"/>
          <w:sz w:val="24"/>
        </w:rPr>
      </w:pPr>
      <w:r>
        <w:rPr>
          <w:rFonts w:hint="eastAsia" w:ascii="宋体" w:hAnsi="宋体" w:eastAsia="宋体" w:cs="宋体"/>
          <w:sz w:val="24"/>
        </w:rPr>
        <w:t xml:space="preserve">1.甲乙双方合同履行的情况，以及残疾人团体专属保险赔付情况等按规定接受财政、审计等部门的监督。</w:t>
      </w:r>
      <w:r/>
    </w:p>
    <w:p>
      <w:pPr>
        <w:ind w:firstLine="360"/>
        <w:rPr>
          <w:rFonts w:hint="eastAsia" w:ascii="宋体" w:hAnsi="宋体" w:eastAsia="宋体" w:cs="宋体"/>
          <w:sz w:val="24"/>
        </w:rPr>
      </w:pPr>
      <w:r>
        <w:rPr>
          <w:rFonts w:hint="eastAsia" w:ascii="宋体" w:hAnsi="宋体" w:eastAsia="宋体" w:cs="宋体"/>
          <w:sz w:val="24"/>
        </w:rPr>
        <w:t xml:space="preserve">2.乙方在保险期间内出现新情况或遭遇突发事件，要及时通报甲方,并积极配合甲方协调处置。</w:t>
      </w:r>
      <w:r/>
    </w:p>
    <w:p>
      <w:pPr>
        <w:ind w:firstLine="360"/>
        <w:rPr>
          <w:rFonts w:hint="eastAsia" w:ascii="宋体" w:hAnsi="宋体" w:eastAsia="宋体" w:cs="宋体"/>
          <w:sz w:val="24"/>
        </w:rPr>
      </w:pPr>
      <w:r>
        <w:rPr>
          <w:rFonts w:hint="eastAsia" w:ascii="宋体" w:hAnsi="宋体" w:eastAsia="宋体" w:cs="宋体"/>
          <w:sz w:val="24"/>
        </w:rPr>
        <w:t xml:space="preserve">3.甲乙双方要对相关工作人员进行残疾人团体专属保险保障范围、理赔知识等方面的培训，以利于残疾人索赔。</w:t>
      </w:r>
      <w:r/>
    </w:p>
    <w:p>
      <w:pPr>
        <w:ind w:firstLine="360"/>
        <w:rPr>
          <w:rFonts w:hint="eastAsia" w:ascii="宋体" w:hAnsi="宋体" w:eastAsia="宋体" w:cs="宋体"/>
          <w:sz w:val="24"/>
        </w:rPr>
      </w:pPr>
      <w:r>
        <w:rPr>
          <w:rFonts w:hint="eastAsia" w:ascii="宋体" w:hAnsi="宋体" w:eastAsia="宋体" w:cs="宋体"/>
          <w:sz w:val="24"/>
        </w:rPr>
        <w:t xml:space="preserve">4.合同结束或提前终止前已发生但未结算的残疾人团体专属保险理赔款由乙方支付。甲乙双方协商有效办法，落实结算责任，保障参保人的权益。</w:t>
      </w:r>
      <w:r/>
    </w:p>
    <w:p>
      <w:pPr>
        <w:ind w:firstLine="360"/>
        <w:rPr>
          <w:rFonts w:hint="eastAsia" w:ascii="宋体" w:hAnsi="宋体" w:eastAsia="宋体" w:cs="宋体"/>
          <w:sz w:val="24"/>
        </w:rPr>
      </w:pPr>
      <w:r>
        <w:rPr>
          <w:rFonts w:hint="eastAsia" w:ascii="宋体" w:hAnsi="宋体" w:eastAsia="宋体" w:cs="宋体"/>
          <w:sz w:val="24"/>
        </w:rPr>
        <w:t xml:space="preserve">第六条 管理与评价</w:t>
      </w:r>
      <w:r/>
    </w:p>
    <w:p>
      <w:pPr>
        <w:ind w:firstLine="360"/>
        <w:rPr>
          <w:rFonts w:hint="eastAsia" w:ascii="宋体" w:hAnsi="宋体" w:eastAsia="宋体" w:cs="宋体"/>
          <w:sz w:val="24"/>
          <w:szCs w:val="22"/>
        </w:rPr>
      </w:pPr>
      <w:r>
        <w:rPr>
          <w:rFonts w:hint="eastAsia" w:ascii="宋体" w:hAnsi="宋体" w:eastAsia="宋体" w:cs="宋体"/>
          <w:sz w:val="24"/>
          <w:szCs w:val="22"/>
        </w:rPr>
        <w:t xml:space="preserve">1.乙方接受甲方的工作指导与监督检查。</w:t>
      </w:r>
      <w:r/>
    </w:p>
    <w:p>
      <w:pPr>
        <w:ind w:firstLine="360"/>
        <w:rPr>
          <w:rFonts w:hint="eastAsia" w:ascii="宋体" w:hAnsi="宋体" w:eastAsia="宋体" w:cs="宋体"/>
          <w:sz w:val="24"/>
          <w:szCs w:val="22"/>
        </w:rPr>
      </w:pPr>
      <w:r>
        <w:rPr>
          <w:rFonts w:hint="eastAsia" w:ascii="宋体" w:hAnsi="宋体" w:eastAsia="宋体" w:cs="宋体"/>
          <w:sz w:val="24"/>
          <w:szCs w:val="22"/>
        </w:rPr>
        <w:t xml:space="preserve">2.甲方有权邀请第三方专业机构组成考核小组对乙方相关工作进行评价，内容包括但不限于：本合同履行情况、理赔时限情况、服务质量情况、群众满意度等，乙方须积极配合。</w:t>
      </w:r>
      <w:r/>
    </w:p>
    <w:p>
      <w:pPr>
        <w:ind w:firstLine="360"/>
        <w:rPr>
          <w:rFonts w:hint="eastAsia" w:ascii="宋体" w:hAnsi="宋体" w:eastAsia="宋体" w:cs="宋体"/>
          <w:sz w:val="24"/>
          <w:szCs w:val="22"/>
        </w:rPr>
      </w:pPr>
      <w:r>
        <w:rPr>
          <w:rFonts w:hint="eastAsia" w:ascii="宋体" w:hAnsi="宋体" w:eastAsia="宋体" w:cs="宋体"/>
          <w:sz w:val="24"/>
          <w:szCs w:val="22"/>
        </w:rPr>
        <w:t xml:space="preserve">第七条 违约责任</w:t>
      </w:r>
      <w:r/>
    </w:p>
    <w:p>
      <w:pPr>
        <w:ind w:firstLine="360"/>
        <w:rPr>
          <w:rFonts w:hint="eastAsia" w:ascii="宋体" w:hAnsi="宋体" w:eastAsia="宋体" w:cs="宋体"/>
          <w:sz w:val="24"/>
          <w:szCs w:val="22"/>
        </w:rPr>
      </w:pPr>
      <w:r>
        <w:rPr>
          <w:rFonts w:hint="eastAsia" w:ascii="宋体" w:hAnsi="宋体" w:eastAsia="宋体" w:cs="宋体"/>
          <w:sz w:val="24"/>
          <w:szCs w:val="22"/>
        </w:rPr>
        <w:t xml:space="preserve">甲、乙双方因违反合同约定或发生其他严重损害参保人权益的情况，合同双方可以提前终止或解除合作，并就违约情况提请有关部门依法追究责任。</w:t>
      </w:r>
      <w:r/>
    </w:p>
    <w:p>
      <w:pPr>
        <w:ind w:firstLine="360"/>
        <w:rPr>
          <w:rFonts w:hint="eastAsia" w:ascii="宋体" w:hAnsi="宋体" w:eastAsia="宋体" w:cs="宋体"/>
          <w:sz w:val="24"/>
          <w:szCs w:val="22"/>
        </w:rPr>
      </w:pPr>
      <w:r>
        <w:rPr>
          <w:rFonts w:hint="eastAsia" w:ascii="宋体" w:hAnsi="宋体" w:eastAsia="宋体" w:cs="宋体"/>
          <w:sz w:val="24"/>
          <w:szCs w:val="22"/>
        </w:rPr>
        <w:t xml:space="preserve">乙方利用专业技术和行业信息优势之便，故意隐瞒和掩盖自身过失，违背承诺和未尽义务，甲方均可追究乙方的违约责任并索取赔偿，且不受合同时效的限制。</w:t>
      </w:r>
      <w:r/>
    </w:p>
    <w:p>
      <w:pPr>
        <w:ind w:firstLine="360"/>
        <w:rPr>
          <w:rFonts w:hint="eastAsia" w:ascii="宋体" w:hAnsi="宋体" w:eastAsia="宋体" w:cs="宋体"/>
          <w:sz w:val="24"/>
          <w:szCs w:val="22"/>
        </w:rPr>
      </w:pPr>
      <w:r>
        <w:rPr>
          <w:rFonts w:hint="eastAsia" w:ascii="宋体" w:hAnsi="宋体" w:eastAsia="宋体" w:cs="宋体"/>
          <w:sz w:val="24"/>
          <w:szCs w:val="22"/>
        </w:rPr>
        <w:t xml:space="preserve">第八条 违约处罚</w:t>
      </w:r>
      <w:r/>
    </w:p>
    <w:p>
      <w:pPr>
        <w:ind w:firstLine="360"/>
        <w:rPr>
          <w:rFonts w:hint="eastAsia" w:ascii="宋体" w:hAnsi="宋体" w:eastAsia="宋体" w:cs="宋体"/>
          <w:sz w:val="24"/>
          <w:szCs w:val="22"/>
        </w:rPr>
      </w:pPr>
      <w:r>
        <w:rPr>
          <w:rFonts w:hint="eastAsia" w:ascii="宋体" w:hAnsi="宋体" w:eastAsia="宋体" w:cs="宋体"/>
          <w:sz w:val="24"/>
          <w:szCs w:val="22"/>
        </w:rPr>
        <w:t xml:space="preserve">甲方调查的群众满意度，如不满意率达到总调查人数的20%及以上</w:t>
      </w:r>
      <w:r>
        <w:rPr>
          <w:rFonts w:hint="eastAsia" w:ascii="宋体" w:hAnsi="宋体" w:cs="宋体"/>
          <w:sz w:val="24"/>
          <w:szCs w:val="22"/>
          <w:lang w:val="en-US" w:eastAsia="zh-CN"/>
        </w:rPr>
        <w:t xml:space="preserve">或</w:t>
      </w:r>
      <w:r>
        <w:rPr>
          <w:rFonts w:hint="eastAsia" w:ascii="宋体" w:hAnsi="宋体" w:eastAsia="宋体" w:cs="宋体"/>
          <w:sz w:val="24"/>
          <w:szCs w:val="22"/>
        </w:rPr>
        <w:t xml:space="preserve">发生服务对象群体性上访事件或重大负面舆情，影响保险工作正常推进的，取消其中标资格</w:t>
      </w: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乙方退回剩余保费</w:t>
      </w:r>
      <w:r>
        <w:rPr>
          <w:rFonts w:hint="eastAsia" w:ascii="宋体" w:hAnsi="宋体" w:eastAsia="宋体" w:cs="宋体"/>
          <w:sz w:val="24"/>
          <w:szCs w:val="22"/>
        </w:rPr>
        <w:t xml:space="preserve">外，应当依法赔偿给甲方造成的损失，并报相关部门依法追究其法律责任。</w:t>
      </w:r>
      <w:r/>
    </w:p>
    <w:p>
      <w:pPr>
        <w:ind w:firstLine="360"/>
        <w:rPr>
          <w:rFonts w:hint="eastAsia" w:ascii="宋体" w:hAnsi="宋体" w:eastAsia="宋体" w:cs="宋体"/>
          <w:sz w:val="24"/>
          <w:szCs w:val="22"/>
        </w:rPr>
      </w:pPr>
      <w:r>
        <w:rPr>
          <w:rFonts w:hint="eastAsia" w:ascii="宋体" w:hAnsi="宋体" w:eastAsia="宋体" w:cs="宋体"/>
          <w:sz w:val="24"/>
          <w:szCs w:val="22"/>
        </w:rPr>
        <w:t xml:space="preserve">第九条 甲、乙双方发生有关残疾人团体专属保险争议时，可通过协商解决；协商不成的，</w:t>
      </w:r>
      <w:r>
        <w:rPr>
          <w:rFonts w:hint="eastAsia" w:ascii="宋体" w:hAnsi="宋体" w:eastAsia="宋体" w:cs="宋体"/>
          <w:sz w:val="24"/>
          <w:lang w:val="en-US" w:eastAsia="zh-CN"/>
        </w:rPr>
        <w:t xml:space="preserve">依法向当地人民法院起诉。</w:t>
      </w:r>
      <w:r/>
    </w:p>
    <w:p>
      <w:pPr>
        <w:ind w:firstLine="360"/>
        <w:rPr>
          <w:rFonts w:hint="eastAsia" w:ascii="宋体" w:hAnsi="宋体" w:eastAsia="宋体" w:cs="宋体"/>
          <w:sz w:val="24"/>
          <w:szCs w:val="22"/>
        </w:rPr>
      </w:pPr>
      <w:r>
        <w:rPr>
          <w:rFonts w:hint="eastAsia" w:ascii="宋体" w:hAnsi="宋体" w:eastAsia="宋体" w:cs="宋体"/>
          <w:sz w:val="24"/>
          <w:szCs w:val="22"/>
        </w:rPr>
        <w:t xml:space="preserve">第十条 任何一方由于不可抗力原因不能履行合同时，应在不可抗力事件发生后24小时内向对方通报，以减轻可能给对方造成的损失，在取得有关机构的不可抗力证明或双方谅解确认后，允许延期履行或修订合同，并根据情况可部分或全部免于承担违约责任。</w:t>
      </w:r>
      <w:r/>
    </w:p>
    <w:p>
      <w:pPr>
        <w:ind w:firstLine="360"/>
        <w:rPr>
          <w:rFonts w:hint="eastAsia" w:ascii="宋体" w:hAnsi="宋体" w:eastAsia="宋体" w:cs="宋体"/>
          <w:sz w:val="24"/>
          <w:szCs w:val="22"/>
        </w:rPr>
      </w:pPr>
      <w:r>
        <w:rPr>
          <w:rFonts w:hint="eastAsia" w:ascii="宋体" w:hAnsi="宋体" w:eastAsia="宋体" w:cs="宋体"/>
          <w:sz w:val="24"/>
          <w:szCs w:val="22"/>
        </w:rPr>
        <w:t xml:space="preserve">第十一条 如乙方因非不可抗力原因不能履行合同，影响了参保人权益，甲方有权按照年度总保费</w:t>
      </w:r>
      <w:r>
        <w:rPr>
          <w:rFonts w:hint="eastAsia" w:ascii="宋体" w:hAnsi="宋体" w:eastAsia="宋体" w:cs="宋体"/>
          <w:sz w:val="24"/>
          <w:szCs w:val="22"/>
          <w:lang w:val="en-US" w:eastAsia="zh-CN"/>
        </w:rPr>
        <w:t xml:space="preserve">5</w:t>
      </w:r>
      <w:r>
        <w:rPr>
          <w:rFonts w:hint="eastAsia" w:ascii="宋体" w:hAnsi="宋体" w:eastAsia="宋体" w:cs="宋体"/>
          <w:sz w:val="24"/>
          <w:szCs w:val="22"/>
        </w:rPr>
        <w:t xml:space="preserve">%的比例追回履约保证金</w:t>
      </w:r>
      <w:r>
        <w:rPr>
          <w:rFonts w:hint="eastAsia" w:ascii="宋体" w:hAnsi="宋体" w:eastAsia="宋体" w:cs="宋体"/>
          <w:sz w:val="24"/>
          <w:szCs w:val="22"/>
          <w:lang w:eastAsia="zh-CN"/>
        </w:rPr>
        <w:t xml:space="preserve">，</w:t>
      </w:r>
      <w:r>
        <w:rPr>
          <w:rFonts w:hint="eastAsia" w:ascii="宋体" w:hAnsi="宋体" w:eastAsia="宋体" w:cs="宋体"/>
          <w:sz w:val="24"/>
          <w:szCs w:val="22"/>
        </w:rPr>
        <w:t xml:space="preserve">赔付参保人员的保险费用由乙方承担并报相关部门追究其责任。</w:t>
      </w:r>
      <w:r/>
    </w:p>
    <w:p>
      <w:pPr>
        <w:ind w:firstLine="360"/>
        <w:rPr>
          <w:rFonts w:hint="eastAsia" w:ascii="宋体" w:hAnsi="宋体" w:eastAsia="宋体" w:cs="宋体"/>
          <w:sz w:val="24"/>
          <w:szCs w:val="22"/>
        </w:rPr>
      </w:pPr>
      <w:r>
        <w:rPr>
          <w:rFonts w:hint="eastAsia" w:ascii="宋体" w:hAnsi="宋体" w:eastAsia="宋体" w:cs="宋体"/>
          <w:sz w:val="24"/>
          <w:szCs w:val="22"/>
        </w:rPr>
        <w:t xml:space="preserve">第十二条 本项目招标文件和乙方投标文件均为本合同不可分割的有效组成部分，与本合同具有同等的法律效力和履约义务。本合同解释权归甲方所有，对履行本合同的争议及分歧由甲方按照相关法律法规政策规定及甲方以前的惯例向乙方释明，乙方必须无条件接受。</w:t>
      </w:r>
      <w:r/>
    </w:p>
    <w:p>
      <w:pPr>
        <w:ind w:firstLine="360"/>
        <w:rPr>
          <w:rFonts w:hint="eastAsia" w:ascii="宋体" w:hAnsi="宋体" w:eastAsia="宋体" w:cs="宋体"/>
          <w:sz w:val="24"/>
        </w:rPr>
      </w:pPr>
      <w:r>
        <w:rPr>
          <w:rFonts w:hint="eastAsia" w:ascii="宋体" w:hAnsi="宋体" w:eastAsia="宋体" w:cs="宋体"/>
          <w:sz w:val="24"/>
        </w:rPr>
        <w:t xml:space="preserve">第十三条 保险期限自2025年8月1日至2026年7月31日止。</w:t>
      </w:r>
      <w:r/>
    </w:p>
    <w:p>
      <w:pPr>
        <w:ind w:firstLine="360"/>
        <w:rPr>
          <w:rFonts w:hint="eastAsia" w:ascii="宋体" w:hAnsi="宋体" w:eastAsia="宋体" w:cs="宋体"/>
          <w:sz w:val="24"/>
        </w:rPr>
      </w:pPr>
      <w:r>
        <w:rPr>
          <w:rFonts w:hint="eastAsia" w:ascii="宋体" w:hAnsi="宋体" w:eastAsia="宋体" w:cs="宋体"/>
          <w:sz w:val="24"/>
        </w:rPr>
        <w:t xml:space="preserve">第十四条 本合同在甲乙双方盖章后生效。</w:t>
      </w:r>
      <w:r/>
    </w:p>
    <w:p>
      <w:pPr>
        <w:ind w:firstLine="360"/>
        <w:rPr>
          <w:rFonts w:hint="eastAsia" w:ascii="宋体" w:hAnsi="宋体" w:eastAsia="宋体" w:cs="宋体"/>
          <w:sz w:val="24"/>
        </w:rPr>
      </w:pPr>
      <w:r>
        <w:rPr>
          <w:rFonts w:hint="eastAsia" w:ascii="宋体" w:hAnsi="宋体" w:eastAsia="宋体" w:cs="宋体"/>
          <w:sz w:val="24"/>
        </w:rPr>
        <w:t xml:space="preserve">第十五条 本合同其他未尽事宜由甲乙双方协商，签订补充协议。</w:t>
      </w:r>
      <w:r/>
    </w:p>
    <w:p>
      <w:pPr>
        <w:ind w:firstLine="360"/>
        <w:rPr>
          <w:rFonts w:hint="eastAsia" w:ascii="宋体" w:hAnsi="宋体" w:eastAsia="宋体" w:cs="宋体"/>
          <w:sz w:val="24"/>
        </w:rPr>
      </w:pPr>
      <w:r>
        <w:rPr>
          <w:rFonts w:hint="eastAsia" w:ascii="宋体" w:hAnsi="宋体" w:eastAsia="宋体" w:cs="宋体"/>
          <w:sz w:val="24"/>
        </w:rPr>
        <w:t xml:space="preserve">本合同一式</w:t>
      </w:r>
      <w:r>
        <w:rPr>
          <w:rFonts w:hint="eastAsia" w:ascii="宋体" w:hAnsi="宋体" w:cs="宋体"/>
          <w:sz w:val="24"/>
          <w:lang w:val="en-US" w:eastAsia="zh-CN"/>
        </w:rPr>
        <w:t xml:space="preserve">叁</w:t>
      </w:r>
      <w:r>
        <w:rPr>
          <w:rFonts w:hint="eastAsia" w:ascii="宋体" w:hAnsi="宋体" w:eastAsia="宋体" w:cs="宋体"/>
          <w:sz w:val="24"/>
        </w:rPr>
        <w:t xml:space="preserve">份，甲、乙双方各执壹份，甲方主管部门备案壹份，具有同等法律效力。</w:t>
      </w:r>
      <w:r/>
    </w:p>
    <w:p>
      <w:pPr>
        <w:ind w:firstLine="480"/>
        <w:spacing w:line="360" w:lineRule="exact"/>
        <w:rPr>
          <w:rFonts w:hint="eastAsia" w:ascii="宋体" w:hAnsi="宋体" w:eastAsia="宋体" w:cs="宋体"/>
          <w:sz w:val="24"/>
        </w:rPr>
      </w:pPr>
      <w:r>
        <w:rPr>
          <w:rFonts w:hint="eastAsia" w:ascii="宋体" w:hAnsi="宋体" w:eastAsia="宋体" w:cs="宋体"/>
          <w:sz w:val="24"/>
        </w:rPr>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甲方（盖章）：</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代表：</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组织机构代码：</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联系人：</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电话：</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地址：</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开户名称：</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银行帐号：</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开户行：</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日期：   年   月  日</w:t>
      </w:r>
      <w:r/>
    </w:p>
    <w:p>
      <w:pPr>
        <w:ind w:firstLine="480"/>
        <w:spacing w:line="360" w:lineRule="exact"/>
        <w:rPr>
          <w:rFonts w:hint="eastAsia" w:ascii="宋体" w:hAnsi="宋体" w:eastAsia="宋体" w:cs="宋体"/>
          <w:sz w:val="24"/>
        </w:rPr>
      </w:pPr>
      <w:r>
        <w:rPr>
          <w:rFonts w:hint="eastAsia" w:ascii="宋体" w:hAnsi="宋体" w:eastAsia="宋体" w:cs="宋体"/>
          <w:sz w:val="24"/>
        </w:rPr>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乙方（盖章）：</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代表：</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联系人：</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电话：</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地址：</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开户名称：</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银行帐号：</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开户行：</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业务/投诉电话：</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日期：   年   月  日</w:t>
      </w:r>
      <w:r/>
    </w:p>
    <w:p>
      <w:pPr>
        <w:pStyle w:val="1201"/>
        <w:contextualSpacing w:val="0"/>
        <w:jc w:val="center"/>
        <w:keepLines/>
        <w:keepNext/>
        <w:pageBreakBefore/>
        <w:spacing w:before="120" w:after="0" w:line="360" w:lineRule="auto"/>
        <w:widowControl w:val="off"/>
        <w:rPr>
          <w:rFonts w:hint="eastAsia" w:ascii="宋体" w:hAnsi="宋体" w:eastAsia="宋体" w:cs="宋体"/>
        </w:rPr>
        <w:outlineLvl w:val="0"/>
        <w:suppressLineNumbers w:val="0"/>
      </w:pPr>
      <w:r>
        <w:rPr>
          <w:rFonts w:hint="eastAsia" w:ascii="宋体" w:hAnsi="宋体" w:eastAsia="宋体" w:cs="宋体"/>
        </w:rPr>
        <w:t xml:space="preserve">第六章 采购需求</w:t>
      </w:r>
      <w:bookmarkEnd w:id="28"/>
      <w:r/>
      <w:bookmarkEnd w:id="29"/>
      <w:r/>
      <w:bookmarkEnd w:id="30"/>
      <w:r/>
      <w:bookmarkEnd w:id="31"/>
      <w:r/>
      <w:bookmarkEnd w:id="32"/>
      <w:r/>
      <w:r/>
    </w:p>
    <w:p>
      <w:pPr>
        <w:ind w:firstLine="480"/>
        <w:rPr>
          <w:rFonts w:hint="eastAsia" w:ascii="宋体" w:hAnsi="宋体" w:eastAsia="宋体" w:cs="宋体"/>
          <w:sz w:val="24"/>
        </w:rPr>
      </w:pPr>
      <w:r>
        <w:rPr>
          <w:rFonts w:hint="eastAsia" w:ascii="宋体" w:hAnsi="宋体" w:eastAsia="宋体" w:cs="宋体"/>
          <w:sz w:val="24"/>
        </w:rPr>
        <w:t xml:space="preserve">一、</w:t>
      </w:r>
      <w:r>
        <w:rPr>
          <w:rFonts w:hint="eastAsia" w:ascii="宋体" w:hAnsi="宋体" w:eastAsia="宋体" w:cs="宋体"/>
          <w:sz w:val="24"/>
          <w:lang w:eastAsia="zh-CN"/>
        </w:rPr>
        <w:t xml:space="preserve">政策文件</w:t>
      </w:r>
      <w:r/>
    </w:p>
    <w:p>
      <w:pPr>
        <w:ind w:firstLine="480"/>
        <w:rPr>
          <w:rFonts w:hint="eastAsia" w:ascii="宋体" w:hAnsi="宋体" w:eastAsia="宋体" w:cs="宋体"/>
          <w:sz w:val="24"/>
          <w:lang w:eastAsia="en-US"/>
        </w:rPr>
      </w:pPr>
      <w:r>
        <w:rPr>
          <w:rFonts w:hint="eastAsia" w:ascii="宋体" w:hAnsi="宋体" w:eastAsia="宋体" w:cs="宋体"/>
          <w:sz w:val="24"/>
          <w:lang w:eastAsia="en-US"/>
        </w:rPr>
        <w:t xml:space="preserve">《关于印发&lt;主城区持证残疾人及接受省残疾儿童基本康复项目服务对象意外伤害团体险办理工作的实施意见&gt;的通知》（徐残发〔2016〕28号、徐财社〔2016〕27号）。</w:t>
      </w:r>
      <w:r/>
    </w:p>
    <w:p>
      <w:pPr>
        <w:ind w:firstLine="480"/>
        <w:rPr>
          <w:rFonts w:hint="eastAsia" w:ascii="宋体" w:hAnsi="宋体" w:eastAsia="宋体" w:cs="宋体"/>
          <w:sz w:val="24"/>
        </w:rPr>
      </w:pPr>
      <w:r>
        <w:rPr>
          <w:rFonts w:hint="eastAsia" w:ascii="宋体" w:hAnsi="宋体" w:eastAsia="宋体" w:cs="宋体"/>
          <w:sz w:val="24"/>
        </w:rPr>
        <w:t xml:space="preserve">二、采购预算</w:t>
      </w:r>
      <w:r/>
    </w:p>
    <w:p>
      <w:pPr>
        <w:ind w:firstLine="48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总预算</w:t>
      </w:r>
      <w:r>
        <w:rPr>
          <w:rFonts w:hint="eastAsia" w:ascii="宋体" w:hAnsi="宋体" w:cs="宋体"/>
          <w:color w:val="auto"/>
          <w:sz w:val="24"/>
          <w:lang w:val="en-US" w:eastAsia="zh-CN"/>
        </w:rPr>
        <w:t xml:space="preserve">70</w:t>
      </w:r>
      <w:r>
        <w:rPr>
          <w:rFonts w:hint="eastAsia" w:ascii="宋体" w:hAnsi="宋体" w:eastAsia="宋体" w:cs="宋体"/>
          <w:color w:val="auto"/>
          <w:sz w:val="24"/>
          <w:lang w:val="en-US" w:eastAsia="zh-CN"/>
        </w:rPr>
        <w:t xml:space="preserve">万元</w:t>
      </w:r>
      <w:r>
        <w:rPr>
          <w:rFonts w:hint="eastAsia" w:ascii="宋体" w:hAnsi="宋体" w:eastAsia="宋体" w:cs="宋体"/>
          <w:color w:val="auto"/>
          <w:sz w:val="24"/>
        </w:rPr>
        <w:t xml:space="preserve">。</w:t>
      </w:r>
      <w:r/>
    </w:p>
    <w:p>
      <w:pPr>
        <w:ind w:firstLine="480"/>
        <w:rPr>
          <w:rFonts w:hint="eastAsia" w:ascii="宋体" w:hAnsi="宋体" w:eastAsia="宋体" w:cs="宋体"/>
          <w:b/>
          <w:color w:val="auto"/>
          <w:sz w:val="24"/>
        </w:rPr>
      </w:pPr>
      <w:r>
        <w:rPr>
          <w:rFonts w:hint="eastAsia" w:ascii="宋体" w:hAnsi="宋体" w:eastAsia="宋体" w:cs="宋体"/>
          <w:color w:val="auto"/>
          <w:sz w:val="24"/>
        </w:rPr>
        <w:t xml:space="preserve">三、2022</w:t>
      </w:r>
      <w:r>
        <w:rPr>
          <w:rFonts w:hint="eastAsia" w:ascii="宋体" w:hAnsi="宋体" w:eastAsia="宋体" w:cs="宋体"/>
          <w:color w:val="auto"/>
          <w:sz w:val="24"/>
          <w:lang w:val="en-US" w:eastAsia="zh-CN"/>
        </w:rPr>
        <w:t xml:space="preserve">-202</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年度承保情况统计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2022年度参保人数24464人，保费规模61</w:t>
      </w:r>
      <w:r>
        <w:rPr>
          <w:rFonts w:hint="eastAsia" w:ascii="宋体" w:hAnsi="宋体" w:cs="宋体"/>
          <w:color w:val="auto"/>
          <w:sz w:val="24"/>
          <w:lang w:val="en-US" w:eastAsia="zh-CN"/>
        </w:rPr>
        <w:t xml:space="preserve">.</w:t>
      </w:r>
      <w:r>
        <w:rPr>
          <w:rFonts w:hint="eastAsia" w:ascii="宋体" w:hAnsi="宋体" w:eastAsia="宋体" w:cs="宋体"/>
          <w:color w:val="auto"/>
          <w:sz w:val="24"/>
        </w:rPr>
        <w:t xml:space="preserve">16万元。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2023年度参保人数25190人，保费规模</w:t>
      </w:r>
      <w:r>
        <w:rPr>
          <w:rFonts w:hint="eastAsia" w:ascii="宋体" w:hAnsi="宋体" w:cs="宋体"/>
          <w:color w:val="auto"/>
          <w:sz w:val="24"/>
          <w:lang w:val="en-US" w:eastAsia="zh-CN"/>
        </w:rPr>
        <w:t xml:space="preserve">62.98</w:t>
      </w:r>
      <w:r>
        <w:rPr>
          <w:rFonts w:hint="eastAsia" w:ascii="宋体" w:hAnsi="宋体" w:eastAsia="宋体" w:cs="宋体"/>
          <w:color w:val="auto"/>
          <w:sz w:val="24"/>
        </w:rPr>
        <w:t xml:space="preserve">万元。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202</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年度参保人数</w:t>
      </w:r>
      <w:r>
        <w:rPr>
          <w:rFonts w:hint="eastAsia" w:ascii="宋体" w:hAnsi="宋体" w:cs="宋体"/>
          <w:color w:val="auto"/>
          <w:sz w:val="24"/>
          <w:lang w:val="en-US" w:eastAsia="zh-CN"/>
        </w:rPr>
        <w:t xml:space="preserve">26280</w:t>
      </w:r>
      <w:r>
        <w:rPr>
          <w:rFonts w:hint="eastAsia" w:ascii="宋体" w:hAnsi="宋体" w:eastAsia="宋体" w:cs="宋体"/>
          <w:color w:val="auto"/>
          <w:sz w:val="24"/>
        </w:rPr>
        <w:t xml:space="preserve">人，保费规模</w:t>
      </w:r>
      <w:r>
        <w:rPr>
          <w:rFonts w:hint="eastAsia" w:ascii="宋体" w:hAnsi="宋体" w:cs="宋体"/>
          <w:color w:val="auto"/>
          <w:sz w:val="24"/>
          <w:lang w:val="en-US" w:eastAsia="zh-CN"/>
        </w:rPr>
        <w:t xml:space="preserve">65.7</w:t>
      </w:r>
      <w:r>
        <w:rPr>
          <w:rFonts w:hint="eastAsia" w:ascii="宋体" w:hAnsi="宋体" w:eastAsia="宋体" w:cs="宋体"/>
          <w:color w:val="auto"/>
          <w:sz w:val="24"/>
        </w:rPr>
        <w:t xml:space="preserve">万元。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四、保障内容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1、保障对象</w:t>
      </w:r>
      <w:r/>
    </w:p>
    <w:p>
      <w:pPr>
        <w:ind w:firstLine="480"/>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在</w:t>
      </w:r>
      <w:r>
        <w:rPr>
          <w:rFonts w:hint="eastAsia" w:ascii="宋体" w:hAnsi="宋体" w:cs="宋体"/>
          <w:color w:val="auto"/>
          <w:sz w:val="24"/>
          <w:lang w:val="en-US" w:eastAsia="zh-CN"/>
        </w:rPr>
        <w:t xml:space="preserve">丰县</w:t>
      </w:r>
      <w:r>
        <w:rPr>
          <w:rFonts w:hint="eastAsia" w:ascii="宋体" w:hAnsi="宋体" w:eastAsia="宋体" w:cs="宋体"/>
          <w:color w:val="auto"/>
          <w:sz w:val="24"/>
          <w:lang w:eastAsia="zh-CN"/>
        </w:rPr>
        <w:t xml:space="preserve">保单生效前7天凡持有《中华人民共和国残疾人证》的人员及接受省残疾儿童基本康复项目的服务对象，具体人数以实际参保人数为准，无年龄限制。</w:t>
      </w:r>
      <w:r/>
    </w:p>
    <w:p>
      <w:pPr>
        <w:ind w:firstLine="480"/>
        <w:rPr>
          <w:rFonts w:hint="eastAsia" w:ascii="宋体" w:hAnsi="宋体" w:eastAsia="宋体" w:cs="宋体"/>
          <w:sz w:val="24"/>
        </w:rPr>
      </w:pPr>
      <w:r>
        <w:rPr>
          <w:rFonts w:hint="eastAsia" w:ascii="宋体" w:hAnsi="宋体" w:eastAsia="宋体" w:cs="宋体"/>
          <w:sz w:val="24"/>
        </w:rPr>
        <w:t xml:space="preserve">2、保险年度</w:t>
      </w:r>
      <w:r/>
    </w:p>
    <w:p>
      <w:pPr>
        <w:ind w:firstLine="480"/>
        <w:rPr>
          <w:rFonts w:hint="eastAsia" w:ascii="宋体" w:hAnsi="宋体" w:eastAsia="宋体" w:cs="宋体"/>
          <w:sz w:val="24"/>
        </w:rPr>
      </w:pPr>
      <w:r>
        <w:rPr>
          <w:rFonts w:hint="eastAsia" w:ascii="宋体" w:hAnsi="宋体" w:eastAsia="宋体" w:cs="宋体"/>
          <w:sz w:val="24"/>
        </w:rPr>
        <w:t xml:space="preserve">本项目保险期限1年。</w:t>
      </w:r>
      <w:r/>
    </w:p>
    <w:p>
      <w:pPr>
        <w:ind w:firstLine="480"/>
        <w:rPr>
          <w:rFonts w:hint="eastAsia" w:ascii="宋体" w:hAnsi="宋体" w:eastAsia="宋体" w:cs="宋体"/>
          <w:sz w:val="24"/>
        </w:rPr>
      </w:pPr>
      <w:r>
        <w:rPr>
          <w:rFonts w:hint="eastAsia" w:ascii="宋体" w:hAnsi="宋体" w:eastAsia="宋体" w:cs="宋体"/>
          <w:sz w:val="24"/>
        </w:rPr>
        <w:t xml:space="preserve">3、保费</w:t>
      </w:r>
      <w:r/>
    </w:p>
    <w:p>
      <w:pPr>
        <w:ind w:firstLine="480"/>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）保费为</w:t>
      </w:r>
      <w:r>
        <w:rPr>
          <w:rFonts w:hint="eastAsia" w:ascii="宋体" w:hAnsi="宋体" w:cs="宋体"/>
          <w:sz w:val="24"/>
          <w:lang w:eastAsia="zh-CN"/>
        </w:rPr>
        <w:t xml:space="preserve">25</w:t>
      </w:r>
      <w:r>
        <w:rPr>
          <w:rFonts w:hint="eastAsia" w:ascii="宋体" w:hAnsi="宋体" w:eastAsia="宋体" w:cs="宋体"/>
          <w:sz w:val="24"/>
          <w:lang w:eastAsia="zh-CN"/>
        </w:rPr>
        <w:t xml:space="preserve">元/人/年</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）保费缴纳需</w:t>
      </w:r>
      <w:r>
        <w:rPr>
          <w:rFonts w:hint="eastAsia" w:ascii="宋体" w:hAnsi="宋体" w:cs="宋体"/>
          <w:sz w:val="24"/>
          <w:lang w:val="en-US" w:eastAsia="zh-CN"/>
        </w:rPr>
        <w:t xml:space="preserve">中标供应商</w:t>
      </w:r>
      <w:r>
        <w:rPr>
          <w:rFonts w:hint="eastAsia" w:ascii="宋体" w:hAnsi="宋体" w:eastAsia="宋体" w:cs="宋体"/>
          <w:sz w:val="24"/>
          <w:lang w:eastAsia="zh-CN"/>
        </w:rPr>
        <w:t xml:space="preserve">提供采购合同盖章件、保单、发票走流程支付。</w:t>
      </w:r>
      <w:r/>
    </w:p>
    <w:p>
      <w:pPr>
        <w:ind w:firstLine="480"/>
        <w:rPr>
          <w:rFonts w:hint="eastAsia" w:ascii="宋体" w:hAnsi="宋体" w:eastAsia="宋体" w:cs="宋体"/>
          <w:sz w:val="24"/>
        </w:rPr>
      </w:pPr>
      <w:r>
        <w:rPr>
          <w:rFonts w:hint="eastAsia" w:ascii="宋体" w:hAnsi="宋体" w:eastAsia="宋体" w:cs="宋体"/>
          <w:sz w:val="24"/>
        </w:rPr>
        <w:t xml:space="preserve">4、承保方式：</w:t>
      </w:r>
      <w:r>
        <w:rPr>
          <w:rFonts w:hint="eastAsia" w:ascii="宋体" w:hAnsi="宋体" w:eastAsia="宋体" w:cs="宋体"/>
          <w:sz w:val="24"/>
          <w:lang w:val="en-US" w:eastAsia="zh-CN"/>
        </w:rPr>
        <w:t xml:space="preserve">独家承保</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五、采购需求</w:t>
      </w:r>
      <w:r/>
    </w:p>
    <w:p>
      <w:pPr>
        <w:ind w:firstLine="480"/>
        <w:rPr>
          <w:rFonts w:hint="eastAsia" w:ascii="宋体" w:hAnsi="宋体" w:eastAsia="宋体" w:cs="宋体"/>
          <w:sz w:val="24"/>
        </w:rPr>
      </w:pPr>
      <w:r>
        <w:rPr>
          <w:rFonts w:hint="eastAsia" w:ascii="宋体" w:hAnsi="宋体" w:eastAsia="宋体" w:cs="宋体"/>
          <w:sz w:val="24"/>
        </w:rPr>
        <w:t xml:space="preserve">1、残疾人因意外伤害导致身故、新的残疾或等级加重以及产生的医疗费、住院津贴，承保公司按照保险合同约定的保险金额承担保险责任。</w:t>
      </w:r>
      <w:r/>
    </w:p>
    <w:p>
      <w:pPr>
        <w:ind w:firstLine="480"/>
        <w:rPr>
          <w:rFonts w:hint="eastAsia" w:ascii="宋体" w:hAnsi="宋体" w:eastAsia="宋体" w:cs="宋体"/>
          <w:sz w:val="24"/>
        </w:rPr>
      </w:pPr>
      <w:r>
        <w:rPr>
          <w:rFonts w:hint="eastAsia" w:ascii="宋体" w:hAnsi="宋体" w:eastAsia="宋体" w:cs="宋体"/>
          <w:sz w:val="24"/>
        </w:rPr>
        <w:t xml:space="preserve">2、在承保期间内初次确诊身患符合30种重大疾病+3种轻度疾病，承保公司按照保险合同约定的保险金额承担保险责任。疾病30种重大疾病包括：1、恶性肿瘤——重度2、较重急性心肌梗死3、严重脑中风后遗症4、重大器官移植术或造血干细胞移植术5、冠状动脉搭桥术（或称冠状动脉旁路移植术</w:t>
      </w:r>
      <w:r>
        <w:rPr>
          <w:rFonts w:hint="eastAsia" w:ascii="宋体" w:hAnsi="宋体" w:eastAsia="宋体" w:cs="宋体"/>
          <w:sz w:val="24"/>
        </w:rPr>
        <w:t xml:space="preserve">）6、严重慢性肾衰竭7、多个肢体缺失8、急性重症肝炎或亚急性重症肝炎9、严重非恶性颅内肿瘤10、严重慢性肝衰竭11、严重脑炎后遗症或严重脑膜炎后遗症12、深度昏迷13、双耳失聪14、双目失明15、瘫痪16、心脏瓣膜手术17、严重阿尔茨海默病18、严重脑损伤19、严重原发性帕金森病20、严重Ⅲ度烧伤21、严重特发性肺动脉高压22、严重运动神经元病23、语言能力丧失24、重型再生障碍性贫血25、主动脉手术26、严重慢性呼吸衰竭27、严重克罗恩病28、严重溃疡性结肠炎29、严重原发性心肌病30、严重多发性硬化症。</w:t>
      </w:r>
      <w:r/>
    </w:p>
    <w:p>
      <w:pPr>
        <w:ind w:firstLine="480"/>
        <w:rPr>
          <w:rFonts w:hint="eastAsia" w:ascii="宋体" w:hAnsi="宋体" w:eastAsia="宋体" w:cs="宋体"/>
          <w:color w:val="auto"/>
          <w:sz w:val="24"/>
        </w:rPr>
      </w:pPr>
      <w:r>
        <w:rPr>
          <w:rFonts w:hint="eastAsia" w:ascii="宋体" w:hAnsi="宋体" w:eastAsia="宋体" w:cs="宋体"/>
          <w:sz w:val="24"/>
        </w:rPr>
        <w:t xml:space="preserve">3种轻度疾病包括：1、恶性肿瘤——轻度2、较轻急性心肌梗死3、轻度脑中风后遗症。</w:t>
      </w:r>
      <w:r/>
    </w:p>
    <w:p>
      <w:pPr>
        <w:ind w:firstLine="480"/>
        <w:rPr>
          <w:rFonts w:hint="eastAsia" w:ascii="宋体" w:hAnsi="宋体" w:eastAsia="宋体" w:cs="宋体"/>
          <w:color w:val="auto"/>
          <w:sz w:val="24"/>
          <w:szCs w:val="24"/>
        </w:rPr>
      </w:pPr>
      <w:r/>
      <w:bookmarkStart w:id="33" w:name="_Toc29111_WPSOffice_Level1"/>
      <w:r/>
      <w:bookmarkStart w:id="34" w:name="_Toc6621"/>
      <w:r/>
      <w:bookmarkStart w:id="35" w:name="_Toc21203"/>
      <w:r/>
      <w:bookmarkStart w:id="36" w:name="_Toc10237"/>
      <w:r/>
      <w:bookmarkStart w:id="37" w:name="_Toc31027"/>
      <w:r>
        <w:rPr>
          <w:rFonts w:hint="eastAsia" w:ascii="宋体" w:hAnsi="宋体" w:eastAsia="宋体" w:cs="宋体"/>
          <w:color w:val="auto"/>
          <w:sz w:val="24"/>
          <w:szCs w:val="24"/>
        </w:rPr>
        <w:t xml:space="preserve">六、项目要求</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1、保单及合同生效日期如下：</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自202</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年8月1日至202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年7月31日止</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2、中标人必须在签订合同前在</w:t>
      </w:r>
      <w:r>
        <w:rPr>
          <w:rFonts w:hint="eastAsia" w:ascii="宋体" w:hAnsi="宋体" w:cs="宋体"/>
          <w:color w:val="auto"/>
          <w:sz w:val="24"/>
          <w:szCs w:val="24"/>
          <w:lang w:val="en-US" w:eastAsia="zh-CN"/>
        </w:rPr>
        <w:t xml:space="preserve">丰县</w:t>
      </w:r>
      <w:r>
        <w:rPr>
          <w:rFonts w:hint="eastAsia" w:ascii="宋体" w:hAnsi="宋体" w:eastAsia="宋体" w:cs="宋体"/>
          <w:color w:val="auto"/>
          <w:sz w:val="24"/>
          <w:szCs w:val="24"/>
        </w:rPr>
        <w:t xml:space="preserve">建立专门的服务机构，指定专人负责，确定地点，形成完善的规章制度和服务体系，以便为服务对象办理承保、理赔、保费结算、投保信息汇总等业务。</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3、保险方案</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投标文件中所用各条款需充分响应本招标文件附件中所附要求，考虑到残疾人是社会特殊群体，保险公司应当秉持保本微利的原则，进行</w:t>
      </w:r>
      <w:r>
        <w:rPr>
          <w:rFonts w:hint="eastAsia" w:ascii="宋体" w:hAnsi="宋体" w:eastAsia="宋体" w:cs="宋体"/>
          <w:color w:val="auto"/>
          <w:sz w:val="24"/>
          <w:szCs w:val="24"/>
          <w:lang w:val="en-US" w:eastAsia="zh-CN"/>
        </w:rPr>
        <w:t xml:space="preserve">合理</w:t>
      </w:r>
      <w:r>
        <w:rPr>
          <w:rFonts w:hint="eastAsia" w:ascii="宋体" w:hAnsi="宋体" w:eastAsia="宋体" w:cs="宋体"/>
          <w:color w:val="auto"/>
          <w:sz w:val="24"/>
          <w:szCs w:val="24"/>
        </w:rPr>
        <w:t xml:space="preserve">报价并发挥保险的补偿救助功能，投标文件中所用各条款（含所有特约条款及说明承诺）须充分响应本标书所涵盖的保险责任，若有差异，需要在偏离表中体现，并在投标前自行履行条款报备手续，否则将严重影响标书的实质性响应程度。</w:t>
      </w:r>
      <w:r/>
    </w:p>
    <w:p>
      <w:pPr>
        <w:ind w:firstLine="480"/>
        <w:rPr>
          <w:rFonts w:hint="eastAsia" w:ascii="宋体" w:hAnsi="宋体" w:eastAsia="宋体" w:cs="宋体"/>
          <w:color w:val="auto"/>
          <w:sz w:val="20"/>
          <w:szCs w:val="24"/>
        </w:rPr>
      </w:pPr>
      <w:r>
        <w:rPr>
          <w:rFonts w:hint="eastAsia" w:ascii="宋体" w:hAnsi="宋体" w:eastAsia="宋体" w:cs="宋体"/>
          <w:color w:val="auto"/>
          <w:sz w:val="24"/>
          <w:szCs w:val="24"/>
        </w:rPr>
        <w:t xml:space="preserve">特别约定：（1）投保人员无年龄限制。（2）首次确诊身患符合30种重大疾病+3种轻度疾病无等待期。（3）扩展治疗延长期：因同一保险事故在出险的下一年度保险期限治疗的，约定在出险当期保单内进行赔付，以保险金额为限。（4）重大疾病住院医疗定额补贴为首次确诊，既往疾病不纳入赔付范围（5）理赔时效期为2年，以当期保单到期之日起计算。（6）被保险人的精神和行为障碍纳入承保责任</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本项特别约定为基本要求，不作为评分标准中计算分数。</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4、承保服务</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sz w:val="24"/>
          <w:szCs w:val="24"/>
          <w:lang w:val="en-US" w:eastAsia="zh-CN"/>
        </w:rPr>
        <w:t xml:space="preserve">丰县残联</w:t>
      </w:r>
      <w:r>
        <w:rPr>
          <w:rFonts w:hint="eastAsia" w:ascii="宋体" w:hAnsi="宋体" w:eastAsia="宋体" w:cs="宋体"/>
          <w:color w:val="auto"/>
          <w:sz w:val="24"/>
          <w:szCs w:val="24"/>
        </w:rPr>
        <w:t xml:space="preserve">提供投保清单（含：残疾人姓名、身份证号码、地址、电话、残疾类别、残疾证号），暂无法提供儿童监护人姓名、身份证号码。</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（2）为确保项目的及时正常的运行，投保资料必须在出单前提供，</w:t>
      </w:r>
      <w:r>
        <w:rPr>
          <w:rFonts w:hint="eastAsia" w:ascii="宋体" w:hAnsi="宋体" w:eastAsia="宋体" w:cs="宋体"/>
          <w:color w:val="auto"/>
          <w:sz w:val="24"/>
          <w:szCs w:val="24"/>
          <w:lang w:val="en-US" w:eastAsia="zh-CN"/>
        </w:rPr>
        <w:t xml:space="preserve">残联</w:t>
      </w:r>
      <w:r>
        <w:rPr>
          <w:rFonts w:hint="eastAsia" w:ascii="宋体" w:hAnsi="宋体" w:eastAsia="宋体" w:cs="宋体"/>
          <w:color w:val="auto"/>
          <w:sz w:val="24"/>
          <w:szCs w:val="24"/>
        </w:rPr>
        <w:t xml:space="preserve">一次性盖章，不接受投保资料多次盖章或后补资料盖章。</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5、理赔服务</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（1）如有意外伤亡事件，理赔材料提供医院死亡证明、火化证明、户口注销证明（三个证明提供任意2个证明即可）。</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（2）除涉及因意外伤害赔付伤残外，不得强制要求残疾人提供残疾人证，以在保名单为准。</w:t>
      </w:r>
      <w:r/>
    </w:p>
    <w:p>
      <w:pPr>
        <w:ind w:firstLine="480"/>
        <w:rPr>
          <w:rFonts w:hint="eastAsia" w:ascii="宋体" w:hAnsi="宋体" w:eastAsia="宋体" w:cs="宋体"/>
          <w:color w:val="auto"/>
          <w:sz w:val="20"/>
          <w:szCs w:val="24"/>
        </w:rPr>
      </w:pPr>
      <w:r>
        <w:rPr>
          <w:rFonts w:hint="eastAsia" w:ascii="宋体" w:hAnsi="宋体" w:eastAsia="宋体" w:cs="宋体"/>
          <w:color w:val="auto"/>
          <w:sz w:val="24"/>
          <w:szCs w:val="24"/>
        </w:rPr>
        <w:t xml:space="preserve">（3）投标文件理赔地址不允许中标后修改，直接纳入宣传彩页中。</w:t>
      </w:r>
      <w:r/>
    </w:p>
    <w:p>
      <w:pPr>
        <w:ind w:firstLine="480"/>
        <w:rPr>
          <w:rFonts w:hint="eastAsia" w:ascii="宋体" w:hAnsi="宋体" w:eastAsia="宋体" w:cs="宋体"/>
          <w:color w:val="auto"/>
          <w:sz w:val="20"/>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eastAsia="zh-CN"/>
        </w:rPr>
        <w:t xml:space="preserve">承保机构</w:t>
      </w:r>
      <w:r>
        <w:rPr>
          <w:rFonts w:hint="eastAsia" w:ascii="宋体" w:hAnsi="宋体" w:eastAsia="宋体" w:cs="宋体"/>
          <w:color w:val="auto"/>
          <w:sz w:val="24"/>
          <w:szCs w:val="24"/>
        </w:rPr>
        <w:t xml:space="preserve">每月10日前</w:t>
      </w:r>
      <w:r>
        <w:rPr>
          <w:rFonts w:hint="eastAsia" w:ascii="宋体" w:hAnsi="宋体" w:cs="宋体"/>
          <w:color w:val="auto"/>
          <w:sz w:val="24"/>
          <w:szCs w:val="24"/>
          <w:lang w:val="en-US" w:eastAsia="zh-CN"/>
        </w:rPr>
        <w:t xml:space="preserve">统计</w:t>
      </w:r>
      <w:r>
        <w:rPr>
          <w:rFonts w:hint="eastAsia" w:ascii="宋体" w:hAnsi="宋体" w:eastAsia="宋体" w:cs="宋体"/>
          <w:color w:val="auto"/>
          <w:sz w:val="24"/>
          <w:szCs w:val="24"/>
        </w:rPr>
        <w:t xml:space="preserve">理赔清单至少包括：地区、保险名称、年度、保单号、保额、投保人、被保险人、参保人姓名、身份证号码、家庭地址、申请人、手机号、报案日期、出险日期、结案日期、赔付金额、出险经过[出险经过字段要求对应保障名称，例如意外住院、疾病住院、意外住院津贴]、出险地点）。</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6、服务专员</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（1）除承保服务专员外，其余服务专员及其联系方式皆放入宣传彩页中，不接受中标后修改，如有改动，修改人员不得低于投标文件服务专员的工作年限，以盖章劳动合同为准，未提供不得修改。</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（2）若服务专员被投诉3次及以上，</w:t>
      </w:r>
      <w:r>
        <w:rPr>
          <w:rFonts w:hint="eastAsia" w:ascii="宋体" w:hAnsi="宋体" w:eastAsia="宋体" w:cs="宋体"/>
          <w:color w:val="auto"/>
          <w:sz w:val="24"/>
          <w:szCs w:val="24"/>
          <w:lang w:eastAsia="zh-CN"/>
        </w:rPr>
        <w:t xml:space="preserve">承保机构</w:t>
      </w:r>
      <w:r>
        <w:rPr>
          <w:rFonts w:hint="eastAsia" w:ascii="宋体" w:hAnsi="宋体" w:eastAsia="宋体" w:cs="宋体"/>
          <w:color w:val="auto"/>
          <w:sz w:val="24"/>
          <w:szCs w:val="24"/>
        </w:rPr>
        <w:t xml:space="preserve">需及时更换人员，更换人员不得低于投标文件服务专员的工作年限，以盖章劳动合同为准。</w:t>
      </w:r>
      <w:r/>
    </w:p>
    <w:p>
      <w:pPr>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7、宣传服务：中标人应根据保险政策及其承诺，制定相关残疾人团体专属保险宣传彩页或残疾人服务卡或其他宣传方式并发放到残疾人手中，使残疾人知晓率达到70%以上。</w:t>
      </w:r>
      <w:r>
        <w:rPr>
          <w:rFonts w:hint="eastAsia" w:ascii="宋体" w:hAnsi="宋体" w:eastAsia="宋体" w:cs="宋体"/>
          <w:color w:val="auto"/>
          <w:sz w:val="24"/>
          <w:szCs w:val="24"/>
          <w:lang w:val="en-US" w:eastAsia="zh-CN"/>
        </w:rPr>
        <w:t xml:space="preserve">中标人应对自己的服务专员及按照投保单位的要求进行保险培训。</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8、投标人的承诺不得有违反保险行业相关法律法规内容，否则作为无效投标处理。</w:t>
      </w:r>
      <w:r/>
    </w:p>
    <w:p>
      <w:pPr>
        <w:ind w:firstLine="480"/>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本项目要求为不允许偏离的实质性要求和条件，如有偏离，在符合性审查时按照投标无效处理。</w:t>
      </w:r>
      <w:r/>
    </w:p>
    <w:p>
      <w:pPr>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七、</w:t>
      </w:r>
      <w:r>
        <w:rPr>
          <w:rFonts w:hint="eastAsia" w:ascii="宋体" w:hAnsi="宋体" w:eastAsia="宋体" w:cs="宋体"/>
          <w:color w:val="auto"/>
          <w:sz w:val="24"/>
          <w:szCs w:val="24"/>
        </w:rPr>
        <w:t xml:space="preserve">其他要求：见招标文件第五章《拟签订的合同文本》</w:t>
      </w:r>
      <w:r>
        <w:rPr>
          <w:rFonts w:hint="eastAsia" w:ascii="宋体" w:hAnsi="宋体" w:eastAsia="宋体" w:cs="宋体"/>
          <w:sz w:val="24"/>
          <w:szCs w:val="24"/>
        </w:rPr>
        <w:t xml:space="preserve">、参照附件条款。</w:t>
      </w:r>
      <w:r/>
    </w:p>
    <w:p>
      <w:pPr>
        <w:ind w:firstLine="480"/>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附件：</w:t>
      </w:r>
      <w:r>
        <w:rPr>
          <w:rFonts w:hint="eastAsia" w:ascii="宋体" w:hAnsi="宋体" w:eastAsia="宋体" w:cs="宋体"/>
          <w:b/>
          <w:color w:val="auto"/>
          <w:sz w:val="24"/>
          <w:szCs w:val="24"/>
        </w:rPr>
        <w:t xml:space="preserve"> 保险条款、附加条款</w:t>
      </w:r>
      <w:bookmarkEnd w:id="33"/>
      <w:r/>
      <w:bookmarkEnd w:id="34"/>
      <w:r/>
      <w:bookmarkEnd w:id="35"/>
      <w:r/>
      <w:bookmarkEnd w:id="36"/>
      <w:r/>
      <w:bookmarkEnd w:id="37"/>
      <w:r/>
      <w:r/>
    </w:p>
    <w:p>
      <w:pPr>
        <w:pStyle w:val="1199"/>
        <w:ind w:firstLine="480"/>
        <w:rPr>
          <w:rFonts w:hint="eastAsia" w:ascii="宋体" w:hAnsi="宋体" w:eastAsia="宋体" w:cs="宋体"/>
          <w:sz w:val="24"/>
        </w:rPr>
      </w:pPr>
      <w:r>
        <w:rPr>
          <w:rFonts w:hint="eastAsia" w:ascii="宋体" w:hAnsi="宋体" w:eastAsia="宋体" w:cs="宋体"/>
          <w:sz w:val="24"/>
        </w:rPr>
        <w:t xml:space="preserve">注：本文件中所列条款援引某保险公司报备条款（仅供参考），具体按中标公司承保所报备条款为准。</w:t>
      </w:r>
      <w:r/>
    </w:p>
    <w:p>
      <w:pPr>
        <w:pStyle w:val="1199"/>
        <w:jc w:val="center"/>
        <w:tabs>
          <w:tab w:val="left" w:pos="3501" w:leader="none"/>
        </w:tabs>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t xml:space="preserve">团体意外伤害保险条款</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1总则</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1.1合同构成</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本保险合同由保险条款、投保单、保险单或其他保险凭证、批单组成。凡涉及本保险合同的约定，均应采用书面形式。</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1.2被保险人</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年龄在10周岁（释义见8.1）至65周岁、身体健康、能正常工作或正常生活的投保团体中的成员或其家庭成员可作为本保险合同的被保险人。</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经保险人同意，并在保险合同中约定，被保险人身体健康的配偶（65周岁以下）、子女（指未满18周岁的子女，在全日制学校就读可放宽至23周岁）和父母（65周岁以下）可作为本保险合同的被保险人，但需该部分人员书面同意。</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1.2.1被保资格的获得</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经保险人审核同意并出具保险单或批单，以上人员即可获得被保资格，成为被保险人。获得被保资格的日期为保险单所载的保险期间起始日或批单所载生效日，以两者间较晚的时间为准。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1.2.2被保资格的丧失或终止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在保险期间内，发生下列情况的，被保险人将自动丧失或终止被保资格，保险人对该被保险人所承担的保险责任随即终止：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（1）若某一被保险人因非保险事故身故的，则自其身故之日起该被保险人的被保资格丧失，未发生保险金给付的，保险人将退还该被保险人项下的现金价值（释义见8.2）；</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被保险人不再是投保团体中的成员，该被保险人（及其投保的配偶、子女或父母）被保资格将于其不再是该投保团体中的成员之日24时丧失，保险人将退还该被保险人（及其投保的配偶、子女或父母）项下的现金价值。</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2保障内容</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2.1保险责任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在保险期间内被保险人遭受意外伤害（释义见8.3），并因该意外伤害导致身故、残疾的，保险人依照下列约定给付保险金，且给付各项保险金之和不超过该被保险人的保险金额。</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2.1.1身故保险责任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在保险期间内被保险人遭受意外伤害，并自意外伤害发生之日起180日内因该意外伤害身故的，保险人按保险金额给付身故保险金，对该被保险人的保险责任终止。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因遭受意外伤害且自该意外伤害发生日起下落不明，后经人民法院宣告死亡的，保险人按保险金额给付身故保险金。但若被保险人被宣告死亡后生还的，保险金受领人应于知道或应当知道被保险人生还后30日内退还保险人给付的身故保险金。</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被保险人身故前保险人已给付2.1.2约定的残疾保险金的，身故保险金应扣除已给付的保险金。</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2.1.2残疾保险责任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在保险期间内被保险人遭受意外伤害，并自该意外伤害发生之日起180日内因该意外伤害造成本保险合同所附《人身保险伤残评定标准》（释义见8.4）（简称《评定标准》）所列伤残程度之一的，保险人按《评定标准》所对应伤残等级的给付比例乘以保险金额给付残疾保险金。如第180日治疗仍未结束的，按当日的身体情况进行伤残评定，并据此给付残疾保险金。</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（1）被保险人因同一意外伤害造成两处或两处以上伤残时，保险人根据《评定标准》规定的多处伤残评定原则给付残疾保险金。</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（2）被保险人如在本次意外伤害之前已有残疾，保险人按合并后的残疾程度在《评定标准》中所对应伤残等级的给付比例扣除原有残疾程度在《评定标准》中所对应伤残等级的给付比例，给付残疾保险金。</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2.2责任免除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2.2.1原因除外</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被保险人因下列原因而导致身故或残疾的，保险人不承担给付保险金责任：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（1）投保人的故意行为；</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（2）故意自伤或自杀，但被保险人自杀时为无民事行为能力人的除外；</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（3）因被保险人挑衅或故意行为而导致的打斗、被袭击或被谋杀；</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（4）妊娠、流产、分娩、药物过敏；</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（5）接受包括美容、整容、整形手术在内的任何医疗行为而造成的意外；</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（6）未遵医嘱服用、涂用、注射药物；</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（7）受酒精、毒品、管制药物的影响；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（8）疾病，包括但不限于高原反应、中暑、猝死（释义见8.5）；</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（9）非因意外伤害导致的细菌或病毒感染；</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（10）任何生物、化学、原子能武器，原子能或核能装置所造成的爆炸、灼伤、污染或辐射；</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（11）恐怖袭击。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2.2.2期间除外</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被保险人在下列期间遭受意外伤害导致身故或残疾的，保险人不承担给付保险金责任：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（1）战争、军事行动、武装叛乱或暴乱期间；</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（2）从事违法、犯罪活动期间或被依法拘留、服刑、在逃期间；</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（3）存在精神和行为障碍（以世界卫生组织颁布的《疾病和有关健康问题的国际统计分类（ICD-10）》为准）期间；</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（4）酒后驾驶（释义见8.6）、无有效驾驶证（释义见8.7）驾驶或驾驶无有效行驶证（释义见8.8）的机动交通工具期间；</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（5）从事高风险运动（释义见8.9）期间, 但被保险人作为专业运动员从事其专业运动除外；</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（6）驾驶或搭乘非商业航班期间；</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（7）患有艾滋病（AIDS）或感染艾滋病病毒（HIV）（释义见8.10）期间。</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2.3保险金额</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每一被保险人的保险金额是保险人承担给付该被保险人保险金责任的最高限额。</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保险金额由投保人、保险人双方约定，并在保险单中载明。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若本保险合同设有每次意外伤害限额（释义见8.11）的，保险人对所有被保险人于任一次意外伤害中实际给付的保险金的总额不超过保险单所载的每次意外伤害限额。</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每一被保险人的保险金额和每次意外伤害限额一经确定，在保险期间内不得变更。</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2.4保险期间</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除另有约定外，保险期间为1年，以保险单载明的起讫时间为准。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3投保人、被保险人义务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3.1交费义务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投保人应在保险合同成立时交清保险费。</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3.2如实告知义务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投保人应如实填写投保单并回答保险人提出的询问，履行如实告知义务。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3.3职业或者工种变更通知义务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被保险人变更职业或工种时，投保人或被保险人应在10日内以书面形式通知保险人。</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所变更的职业或工种，依照保险人职业分类其危险性减低的，保险人自接到通知后，自职业变更之日起，退还变更前后职业或工种对应的保险费差额；其危险性增加的，保险人在接到通知后，自职业变更之日起，增收变更前后职业或工种对应的保险费差额。</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被保险人所变更的职业或工种依照保险人职业分类在拒保范围内的，保险人有权终止该被保险人的被保资格。被保资格自保险人接到通知之日的次日零时起终止，保险人退还该被保险人项下的现金价值。</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变更职业或工种且未依照本保险合同约定通知保险人而发生保险事故的，若依照保险人职业分类不在拒保范围内但其危险性增加的，保险人按其原保险费与新职业或工种所对应的保险费的比例计算并给付保险金；若被保险人所变更的职业或工种依照保险人职业分类在拒保范围内的，保险人不承担给付保险金的责任，保险人退还现金价值。</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3.4住址或通讯地址变更通知义务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投保人住所或通讯地址变更时，应及时以书面形式通知保险人。</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3.5被保险人变动通知义务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在保险期间内，投保人因其人员变动，需增加、减少被保险人时，应以书面形式向保险人提出申请。保险人同意后出具批单，并在本保险合同中批注。</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被保险人人数增加时，保险人在审核同意后，于收到申请之日的次日零时开始承担保险责任，并按约定增收相应的保险费。</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人数减少时，保险人在审核同意后，于收到申请之日的次日零时起，对减少的被保险人终止保险责任，并按约定退还相应的保险费。减少后的被保险人人数不足其在职人员75%或人数低于5人时，保险人有权解除本保险合同，并按约定退还现金价值。</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3.6其他内容变更通知义务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在保险期间内，投保人需变更合同其他内容的，应以书面形式向保险人提出申请。保险人同意后出具批单，并在本保险合同中批注。</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3.7保险事故通知义务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发生保险责任范围内的事故后，投保人、被保险人或受益人应及时通知保险人，并书面说明事故发生的原因、经过和损失情况。</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 保险金申请与给付</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4.1保险金申请</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金申请人（释义见8.12）向保险人申请给付保险金时，应填写保险金给付申请书，并提交以下材料。保险人按照本保险合同的约定，认为有关的证明和资料不完整的，应当及时一次性通知保险金申请人补充提供。</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4.1.1身故保险金申请</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（1）保险金给付申请书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（2）保险单原件；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（3）保险金申请人的身份证明；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（4）公安机关或司法部门、二级及二级以上医院或保险人认可的医疗机构出具的被保险人死亡证明或验尸报告。若被保险人为宣告死亡，保险金申请人应提供法院出具的宣告死亡证明文件；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（5）被保险人的户籍注销证明；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（6）保险金申请人所能提供的与确认保险事故的性质、原因、损失程度等有关的其他证明和资料。</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4.1.2残疾保险金申请</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（1）保险金给付申请书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（2）保险单原件；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（3）被保险人身份证明；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（4）司法部门、二级及二级以上医院或保险人认可的医疗机构、保险人认可的其他鉴定机构出具的残疾鉴定诊断书；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（5）保险金申请人所能提供的与确认保险事故的性质、原因、损失程度等有关的其他证明和资料。</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4.2保险金的给付</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保险人在收到保险金申请人提交的本保险条款所列的材料后，应及时就是否属于保险责任做出核定，并将核定结果通知被保险人或受益人。</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5保险合同解除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投保人解除合同的，保险人应当自收到解除合同通知之日起三十日内，按照合同约定退还保险单的现金价值。</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6争议处理和法律适用</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6.1争议处理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合同争议解决方式由当事人在合同约定从下列两种方式中选择一种：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（一）因履行本合同发生的争议，由当事人协商解决，协商不成的，提交保险单载明的仲裁委员会仲裁； </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（二）因履行本合同发生的争议，由当事人协商解决，协商不成的，依法向人民法院起诉。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6.2法律适用</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与本保险合同有关的以及履行本保险合同产生的一切争议处理适用中华人民共和国法律（不包括港澳台地区法律）。</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7合法性保证</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本保险合同约定与《中华人民共和国保险法》等法律规定相悖之处，以法律规定为准。本保险合同未尽事宜，以法律规定为准。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8释义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8.1周岁</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以法定身份证明文件中记载的出生日期为基础计算的实足年龄。</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8.2现金价值</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除另有约定外，现金价值=保险费×[1-(保险单已经过天数/保险期间天数)] ×75%。经过天数不足一天的按一天计算。</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8.3意外伤害</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指以外来的、突发的、非本意的、非疾病的客观事件为直接且单独的原因致使身体受到的伤害。</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8.4《人身保险伤残评定标准》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  指中国保险行业协会发布的人身保险伤残程度评定与保险金给付比例标准，详见《关于印发&lt;人身保险伤残评定标准&gt;的通知》（中保协发【2013】88号）。</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8.5猝死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外表看似健康的人由于潜在的疾病或者功能障碍所引起的突然的出乎意料的死亡。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8.6酒后驾驶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8.7无有效驾驶证</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被保险人存在下列情形之一</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（1）无驾驶证或驾驶证有效期已届满；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（2）驾驶的机动车与驾驶证载明的准驾车型不符；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实习期内驾驶执行任务的警车、消防车、救护车、工程救险车；实习期内驾驶公共汽车、营运客车或者载有爆炸物品、易燃易爆化学物品、剧毒或者放射性等危险物品的机动车，实习期内驾驶的机动车牵引挂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（4）持未按规定审验的驾驶证，以及在暂扣、扣留、吊销、注销驾驶证期间驾驶机动车；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（5）使用各种专用机械车、特种车的人员无国家有关部门核发的有效操作证，驾驶营业性客车的驾驶人无国家有关部门核发的有效资格证书；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（6）依照法律法规或公安机关交通管理部门有关规定不允许驾驶机动车的其他情况下驾车。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8.8无有效行驶证</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8.9高风险运动</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指潜水、跳伞、热气球运动、滑翔机、滑翔翼、滑翔伞、动力伞、攀岩运动、探险活动、武术比赛、摔跤比赛、特技表演、赛马、赛车及保险单载明的其他运动。</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潜水：指以辅助呼吸器材在江、河、湖、海、水库、运河等水域进行的水下运动，但穿着救生衣在水面进行的浮潜活动除外。</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热气球运动：指乘热气球升空飞行的体育活动。</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攀岩活动：指攀登悬崖、楼宇外墙、人造悬崖、冰崖、冰山等运动。</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探险活动：指明知在某种特定的自然条件下有失去生命或使身体受到伤害的危险，而故意使自己置身其中的行为。如江河漂流、非固定路线徒步、徒步穿越沙漠或人迹罕至的原始森林等活动。</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武术比赛：指两人或两人以上对抗性柔道、空手道、跆拳道、散打、拳击等各种拳术及各种使用器械的对抗性比赛。</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特技：指从事马术、杂技、驯兽等特殊技能。</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8.10艾滋病（AIDS）或艾滋病病毒（HIV）</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艾滋病病毒指人类免疫缺陷病毒，英文缩写为HIV。艾滋病指人类免疫缺陷病毒引起的获得性免疫缺陷综合征，英文缩写为AIDS。 </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在人体血液或其它样本中检测到艾滋病病毒或其抗体呈阳性，没有出现临床症状或体征的，为感染艾滋病病毒；如果同时出现了明显临床症状或体征的，为患艾滋病。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8.11每次意外伤害限额</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是指对本保险合同项下发生的任何一次意外伤害而造成被保险人身故，保险人所承担的最高给付限额。若在任何一次的意外伤害中，“每次意外伤害限额”小于在无“每次意外伤害限额”情况下应给付的各被保险人的保险金总额，则保险人根据以下公式计算实际给付每一被保险人的保险金：</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实际给付每一被保险人的保险金＝（每次意外伤害限额÷在无“每次意外伤害限额”情况下应给付的各被保险人的保险金总额）×在无“每次意外伤害限额”情况下应给付的该被保险人的保险金。</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8.12保险金申请人</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身故保险金申请人是指受益人或被保险人的继承人或依法享有保险金请求权的其他自然人；其他保险金申请人是指被保险人。</w:t>
      </w:r>
      <w:r/>
    </w:p>
    <w:p>
      <w:pPr>
        <w:pStyle w:val="1199"/>
        <w:jc w:val="center"/>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br w:type="page" w:clear="all"/>
      </w:r>
      <w:r>
        <w:rPr>
          <w:rFonts w:hint="eastAsia" w:ascii="宋体" w:hAnsi="宋体" w:eastAsia="宋体" w:cs="宋体"/>
          <w:b/>
          <w:bCs/>
          <w:sz w:val="30"/>
          <w:szCs w:val="30"/>
          <w:lang w:val="en-US" w:eastAsia="zh-CN" w:bidi="ar-SA"/>
        </w:rPr>
        <w:t xml:space="preserve">附加意外伤害医疗保险条款</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1总则</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1.1投保附加险的条件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本条款为本保险单约定的意外健康险类主险的附加险条款。只有在投保了主险的基础上，方可投保本附加险。</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1.2主险与附加险关系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凡涉及本附加险合同的约定，均应采用书面形式。主险合同与本附加险合同相抵触之处，以本附加险合同为准；本附加险合同未约定事项，以主险合同为准。主险合同无效，本附加险合同亦无效。</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1.3受益人</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除另有约定外，本附加险合同保险金的受益人为被保险人本人。</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2保障内容</w:t>
      </w:r>
      <w:r/>
    </w:p>
    <w:p>
      <w:pPr>
        <w:pStyle w:val="1199"/>
        <w:ind w:firstLine="480"/>
        <w:tabs>
          <w:tab w:val="left" w:pos="3501" w:leader="none"/>
        </w:tabs>
        <w:rPr>
          <w:rFonts w:hint="eastAsia" w:ascii="宋体" w:hAnsi="宋体" w:eastAsia="宋体" w:cs="宋体"/>
          <w:sz w:val="24"/>
          <w:lang w:val="en-US" w:eastAsia="zh-CN"/>
        </w:rPr>
      </w:pPr>
      <w:r/>
      <w:bookmarkStart w:id="38" w:name="_2.1_保险责任"/>
      <w:r/>
      <w:bookmarkEnd w:id="38"/>
      <w:r>
        <w:rPr>
          <w:rFonts w:hint="eastAsia" w:ascii="宋体" w:hAnsi="宋体" w:eastAsia="宋体" w:cs="宋体"/>
          <w:sz w:val="24"/>
          <w:lang w:val="en-US" w:eastAsia="zh-CN"/>
        </w:rPr>
        <w:t xml:space="preserve">2.1保险责任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被保险人自获得被保资格（见释义）之日起，且在保险期间内遭受意外伤害（见释义），并因该意外伤害在保险期间内在指定医疗机构（见释义）进行治疗，保险人按下列约定给付意外医疗保险金：</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对于被保险人每次遭受意外伤害在保险期间内所支出的必需且合理（见释义）的、符合本保险合同签发地政府颁布的社会基本医疗保险（见释义）报销范围的医疗费用，保险人在扣除社会基本医疗保险、公费医疗和任何第三方（包括任何商业医疗保险）已经补偿或给付部分以及本附加险合同约定的免赔额后，对其余额按本附加险合同约定的给付比例和门诊急诊限额给付意外医疗保险金。免赔额、给付比例和门诊急诊限额由投保人、保险人双方约定，并在保险单中载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期间届满被保险人治疗仍未结束的，保险人所负保险责任期限可按下列约定延长：门诊急诊治疗者，自保险期间届满次日起计算，以门诊急诊延长日数为限；保险期间届满被保险人仍在住院（见释义）治疗的，自保险期间届满次日起计算，至出院之日止，最长以住院延长日数为限。该“门诊急诊延长日数”、“住院延长日数”以保险单载明为准；若保险单未载明的，则该“门诊急诊延长日数”视为15日（含）、“住院延长日数”视为90日（含）。</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人所负给付意外医疗保险金的责任以本附加险合同项下的保险金额为限，对被保险人一次或者累计给付保险金达到本附加险合同项下该被保险人的保险金额时，本附加险合同对该被保险人在本附加险合同项下的保险责任终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2.2补偿原则</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附加险合同适用补偿原则。被保险人通过任何途径所获得的医疗费用补偿金额总和以其实际支出的金额为限。被保险人已经从社会基本医疗保险、公费医疗和任何第三方（包括任何商业医疗保险）获得相关医疗费用补偿的，保险人仅对扣除已获得补偿后的剩余部分医疗费用，按照本附加险合同的约定承担给付保险金的责任。</w:t>
      </w:r>
      <w:r/>
    </w:p>
    <w:p>
      <w:pPr>
        <w:pStyle w:val="1199"/>
        <w:ind w:firstLine="480"/>
        <w:tabs>
          <w:tab w:val="left" w:pos="3501" w:leader="none"/>
        </w:tabs>
        <w:rPr>
          <w:rFonts w:hint="eastAsia" w:ascii="宋体" w:hAnsi="宋体" w:eastAsia="宋体" w:cs="宋体"/>
          <w:sz w:val="24"/>
          <w:lang w:val="en-US" w:eastAsia="zh-CN"/>
        </w:rPr>
      </w:pPr>
      <w:r/>
      <w:bookmarkStart w:id="39" w:name="_2.3_责任免除"/>
      <w:r/>
      <w:bookmarkEnd w:id="39"/>
      <w:r/>
      <w:bookmarkStart w:id="40" w:name="_2.2.1_因下列情形造成被保险人住院治疗的，保险人不承担给付保险金的"/>
      <w:r/>
      <w:bookmarkEnd w:id="40"/>
      <w:r>
        <w:rPr>
          <w:rFonts w:hint="eastAsia" w:ascii="宋体" w:hAnsi="宋体" w:eastAsia="宋体" w:cs="宋体"/>
          <w:sz w:val="24"/>
          <w:lang w:val="en-US" w:eastAsia="zh-CN"/>
        </w:rPr>
        <w:t xml:space="preserve">2.3责任免除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2.3.1因下列情形之一，导致被保险人支出医疗费用的，保险人不承担给付保险金责任：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投保人对被保险人的故意杀害、故意伤害；</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被保险人故意自伤或自杀，但被保险人自杀时为无民事行为能力人的除外；</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被保险人因挑衅或故意行为而导致的打斗、被袭击或被谋杀；</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被保险人妊娠、流产、分娩；</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被保险人接受包括美容、整容、整形手术在内的任何医疗行为而造成的意外；</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被保险人未遵医嘱服用、涂用、注射药物，但按使用说明的规定使用非处方药不在此限；</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被保险人受酒精、毒品、管制药物的影响，但遵医嘱使用药物的情形不在此限；</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任何生物、化学、原子能武器，原子能或核能装置所造成的爆炸、灼伤、污染或辐射；</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战争、军事冲突、暴乱或武装叛乱、恐怖袭击；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被保险人故意犯罪或抗拒依法采取的刑事强制措施；</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被保险人存在精神和行为障碍（以世界卫生组织颁布的《疾病和有关健康问题的国际统计分类（ICD-10）》为准）；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被保险人感染艾滋病病毒或患艾滋病（见释义）；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被保险人从事</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"_4.4_高风险运动"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高风险运动（见释义）</w:t>
      </w: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，但被保险人作为专业运动员从事其专业运动不在此限；</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被保险人酒后驾驶（见释义）、无有效驾驶证（见释义）驾驶或驾驶无有效行驶证（见释义）的机动交通工具；</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疾病，包括但不限于高原反应、中暑、猝死（见释义）；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非因意外伤害导致的细菌、病毒或其他病原体感染；</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过敏及由过敏引发的变态反应性疾病；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被保险人非因意外伤害而进行的整容、整形手术，以及因任何原因进行的美容；</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被保险人非因意外伤害而进行的牙科治疗或手术、视力矫正、因矫正视力而作的眼科验光检查，以及任何原因导致的牙齿修复或牙齿整形、安装及购买残疾用具（如轮椅、假肢、假眼、假牙或者助听器等）；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被保险人进行一般身体检查、疗养、特别护理、静养、康复性治疗、物理治疗、心理治疗或预防性治疗；</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被保险人在获得被保资格前已有残疾的治疗和康复；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被保险人在家自设病床治疗；</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被保险人不符合入院标准住院、挂床住院（见释义）或应当出院但拒不出院而造成的延长住院。</w:t>
      </w:r>
      <w:r/>
    </w:p>
    <w:p>
      <w:pPr>
        <w:pStyle w:val="1199"/>
        <w:ind w:firstLine="480"/>
        <w:tabs>
          <w:tab w:val="left" w:pos="3501" w:leader="none"/>
        </w:tabs>
        <w:rPr>
          <w:rFonts w:hint="eastAsia" w:ascii="宋体" w:hAnsi="宋体" w:eastAsia="宋体" w:cs="宋体"/>
          <w:sz w:val="24"/>
          <w:lang w:val="en-US" w:eastAsia="zh-CN"/>
        </w:rPr>
      </w:pPr>
      <w:r/>
      <w:bookmarkStart w:id="41" w:name="_2.3.2_对于本保险合同载明的免赔额，保险人不承担给付保险金的责任。"/>
      <w:r/>
      <w:bookmarkEnd w:id="41"/>
      <w:r/>
      <w:bookmarkStart w:id="42" w:name="_2.4_保险金额"/>
      <w:r/>
      <w:bookmarkEnd w:id="42"/>
      <w:r>
        <w:rPr>
          <w:rFonts w:hint="eastAsia" w:ascii="宋体" w:hAnsi="宋体" w:eastAsia="宋体" w:cs="宋体"/>
          <w:sz w:val="24"/>
          <w:lang w:val="en-US" w:eastAsia="zh-CN"/>
        </w:rPr>
        <w:t xml:space="preserve">2.3.2对于本附加险合同载明的免赔额，保险人不承担给付保险金的责任。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2.4保险金额</w:t>
      </w:r>
      <w:r/>
    </w:p>
    <w:p>
      <w:pPr>
        <w:pStyle w:val="1199"/>
        <w:ind w:firstLine="480"/>
        <w:tabs>
          <w:tab w:val="left" w:pos="3501" w:leader="none"/>
        </w:tabs>
        <w:rPr>
          <w:rFonts w:hint="eastAsia" w:ascii="宋体" w:hAnsi="宋体" w:eastAsia="宋体" w:cs="宋体"/>
          <w:sz w:val="24"/>
          <w:lang w:val="en-US" w:eastAsia="zh-CN"/>
        </w:rPr>
      </w:pPr>
      <w:r/>
      <w:bookmarkStart w:id="43" w:name="_3_保险金申请"/>
      <w:r/>
      <w:bookmarkEnd w:id="43"/>
      <w:r>
        <w:rPr>
          <w:rFonts w:hint="eastAsia" w:ascii="宋体" w:hAnsi="宋体" w:eastAsia="宋体" w:cs="宋体"/>
          <w:sz w:val="24"/>
          <w:lang w:val="en-US" w:eastAsia="zh-CN"/>
        </w:rPr>
        <w:t xml:space="preserve">每一被保险人的保险金额是保险人承担给付该被保险人保险金责任的最高限额。</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保险金额由投保人、保险人双方约定，并在保险单中载明。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每一被保险人的保险金额一经确定，在保险期间内不得变更。</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3保险金申请</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金申请人（见释义）向保险人申请给付保险金时，应填写保险金给付申请书，并提交以下材料。保险金申请人因特殊原因不能提供以下材料的，应提供其它合法有效的材料。若保险金申请人委托他人申请的，还应提供授权委托书原件、委托人和受托人的身份证明等相关证明文件。保险人按照本保险合同的约定，认为有关的证明和资料不完整的，应当及时一次性通知保险金申请人补充提供。保险金申请人未能提供有关材料，导致保险人无法核实该申请的真实性的，保险人对无法核实部分不承担给付保险金的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保险金给付申请书；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保险单；</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保险金申请人、被保险人身份证明；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指定医疗机构出具的医疗费用发票/收据、费用明细清单/帐、病历、出院小结、诊断证明及其他医疗记录等；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对于已经从社会基本医疗保险、公费医疗和任何第三方（包括任何商业医疗保险）获得相关医疗费用补偿的，应提供社会基本医疗保险机构、商业保险机构或其他第三方的医疗费用分割单或医疗费用结算证明；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保险金申请人所能提供的与确认保险事故的性质、原因、损失程度等有关的其他证明和资料。</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4释义</w:t>
      </w:r>
      <w:r/>
    </w:p>
    <w:p>
      <w:pPr>
        <w:pStyle w:val="1199"/>
        <w:ind w:firstLine="480"/>
        <w:tabs>
          <w:tab w:val="left" w:pos="3501" w:leader="none"/>
        </w:tabs>
        <w:rPr>
          <w:rFonts w:hint="eastAsia" w:ascii="宋体" w:hAnsi="宋体" w:eastAsia="宋体" w:cs="宋体"/>
          <w:sz w:val="24"/>
          <w:lang w:val="en-US" w:eastAsia="zh-CN"/>
        </w:rPr>
      </w:pPr>
      <w:r/>
      <w:bookmarkStart w:id="44" w:name="_4.1_意外伤害"/>
      <w:r/>
      <w:bookmarkEnd w:id="44"/>
      <w:r>
        <w:rPr>
          <w:rFonts w:hint="eastAsia" w:ascii="宋体" w:hAnsi="宋体" w:eastAsia="宋体" w:cs="宋体"/>
          <w:sz w:val="24"/>
          <w:lang w:val="en-US" w:eastAsia="zh-CN"/>
        </w:rPr>
        <w:t xml:space="preserve">4.1被保资格</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无论本附加险合同为首次投保、续保还是非续保的，被保险人获得被保资格的日期均以以下两者中较晚的日期为准：（1）本附加险合同的保险期间起始日；（2）本附加险合同项下增加该被保险人批单所载生效日，有多张批单增加该被保险人的，以最晚批单所载生效日为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被保险人因非保险事故身故的，则自其身故之日起该被保险人的被保资格丧失，保险人对该被保险人所承担的保险责任随即终止。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本附加险合同保险期间终止，则被保险人的被保资格终止，保险人对被保险人所承担的保险责任随即终止。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本附加险合同解除，则自解除之日起被保险人的被保资格终止，保险人对被保险人所承担的保险责任随即终止。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4.2意外伤害</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指以外来的、突发的、非本意的、非疾病的客观事件为直接且单独的原因致使身体受到的伤害。以下情形属于疾病范畴，非本条款所指意外伤害：</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猝死；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过敏及由过敏引发的变态反应性疾病；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高原反应；</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中暑；</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细菌、病毒或其他病原体导致的感染性疾病。</w:t>
      </w:r>
      <w:r/>
    </w:p>
    <w:p>
      <w:pPr>
        <w:pStyle w:val="1199"/>
        <w:ind w:firstLine="480"/>
        <w:tabs>
          <w:tab w:val="left" w:pos="3501" w:leader="none"/>
        </w:tabs>
        <w:rPr>
          <w:rFonts w:hint="eastAsia" w:ascii="宋体" w:hAnsi="宋体" w:eastAsia="宋体" w:cs="宋体"/>
          <w:sz w:val="24"/>
          <w:lang w:val="en-US" w:eastAsia="zh-CN"/>
        </w:rPr>
      </w:pPr>
      <w:r/>
      <w:bookmarkStart w:id="45" w:name="_4.3_住院"/>
      <w:r/>
      <w:bookmarkEnd w:id="45"/>
      <w:r/>
      <w:bookmarkStart w:id="46" w:name="_4.2_医疗机构"/>
      <w:r/>
      <w:bookmarkEnd w:id="46"/>
      <w:r>
        <w:rPr>
          <w:rFonts w:hint="eastAsia" w:ascii="宋体" w:hAnsi="宋体" w:eastAsia="宋体" w:cs="宋体"/>
          <w:sz w:val="24"/>
          <w:lang w:val="en-US" w:eastAsia="zh-CN"/>
        </w:rPr>
        <w:t xml:space="preserve">4.3指定医疗机构</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除另有约定外，指定医疗机构指中华人民共和国境内（不包括香港、澳门、台湾地区）二级（含）及以上医院或保险人认可的医疗机构，且应符合下列所有条件：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拥有合法经营执照；</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设立的主要目的为向受伤者和患病者提供留院治疗和护理服务；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有合格的医生和护士提供全日二十四小时的医疗和护理服务；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非主要作为康复医院、诊所、护理、疗养、戒酒、戒毒或类似的医疗机构。</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投保人和保险人双方还可以约定指定医疗机构的条件、范围等，并在保险单中载明。</w:t>
      </w:r>
      <w:r/>
    </w:p>
    <w:p>
      <w:pPr>
        <w:pStyle w:val="1199"/>
        <w:ind w:firstLine="480"/>
        <w:tabs>
          <w:tab w:val="left" w:pos="3501" w:leader="none"/>
        </w:tabs>
        <w:rPr>
          <w:rFonts w:hint="eastAsia" w:ascii="宋体" w:hAnsi="宋体" w:eastAsia="宋体" w:cs="宋体"/>
          <w:sz w:val="24"/>
          <w:lang w:val="en-US" w:eastAsia="zh-CN"/>
        </w:rPr>
      </w:pPr>
      <w:r/>
      <w:bookmarkStart w:id="47" w:name="_4.3_住院_1"/>
      <w:r/>
      <w:bookmarkEnd w:id="47"/>
      <w:r>
        <w:rPr>
          <w:rFonts w:hint="eastAsia" w:ascii="宋体" w:hAnsi="宋体" w:eastAsia="宋体" w:cs="宋体"/>
          <w:sz w:val="24"/>
          <w:lang w:val="en-US" w:eastAsia="zh-CN"/>
        </w:rPr>
        <w:t xml:space="preserve">4.4必需且合理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指同时符合以下2个条件：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（1）符合通常惯例</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指与接受医疗服务所在地通行治疗规范、通行治疗方法、平均医疗费用价格水平一致的费用。</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对是否符合通常惯例由保险人根据客观、审慎、合理的原则进行审核；如果被保险人对审核结果有不同意见，可由双方认同的权威医学机构或者权威医学专家进行审核鉴定。</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（2）医学必需</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指医疗费用符合下列所有条件：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①治疗意外伤害或者疾病所必需的项目；</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②不超过安全、足量治疗原则的项目；</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③由医生开具的处方药；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④非试验性的、非研究性的项目；</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⑤与接受治疗当地普遍接受的医疗专业实践标准一致的项目。</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对是否医学必需由保险人根据客观、审慎、合理的原则进行审核；如果被保险人对审核结果有不同意见，可由双方认同的权威医学机构或者权威医学专家进行审核鉴定。</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4.5社会基本医疗保险</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指国家最新修订颁布的《社会保险法》规定的基本医疗保险，包括职工基本医疗保险、城镇居民基本医疗保险、新型农村合作医疗等政府举办的基本医疗保险。</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4.6住院</w:t>
      </w:r>
      <w:r/>
    </w:p>
    <w:p>
      <w:pPr>
        <w:pStyle w:val="1199"/>
        <w:ind w:firstLine="480"/>
        <w:tabs>
          <w:tab w:val="left" w:pos="3501" w:leader="none"/>
        </w:tabs>
        <w:rPr>
          <w:rFonts w:hint="eastAsia" w:ascii="宋体" w:hAnsi="宋体" w:eastAsia="宋体" w:cs="宋体"/>
          <w:sz w:val="24"/>
          <w:lang w:val="en-US" w:eastAsia="zh-CN"/>
        </w:rPr>
      </w:pPr>
      <w:r/>
      <w:bookmarkStart w:id="48" w:name="_4.4_高风险运动"/>
      <w:r/>
      <w:bookmarkEnd w:id="48"/>
      <w:r>
        <w:rPr>
          <w:rFonts w:hint="eastAsia" w:ascii="宋体" w:hAnsi="宋体" w:eastAsia="宋体" w:cs="宋体"/>
          <w:sz w:val="24"/>
          <w:lang w:val="en-US" w:eastAsia="zh-CN"/>
        </w:rPr>
        <w:t xml:space="preserve">是指被保险人确因临床需要、经医生诊断必须留院治疗，正式办理入院及出院手续，并确实入住医疗机构正式病房接受治疗的行为过程；被保险人必须连续留院二十四小时以上且由医疗机构收取病房或床位费用，但不包括门诊观察室、急诊观察室、其他非正式病房、联合病房或挂床住院。</w:t>
      </w:r>
      <w:r/>
    </w:p>
    <w:p>
      <w:pPr>
        <w:pStyle w:val="1199"/>
        <w:ind w:firstLine="480"/>
        <w:tabs>
          <w:tab w:val="left" w:pos="3501" w:leader="none"/>
        </w:tabs>
        <w:rPr>
          <w:rFonts w:hint="eastAsia" w:ascii="宋体" w:hAnsi="宋体" w:eastAsia="宋体" w:cs="宋体"/>
          <w:sz w:val="24"/>
          <w:lang w:val="en-US" w:eastAsia="zh-CN"/>
        </w:rPr>
      </w:pPr>
      <w:r/>
      <w:bookmarkStart w:id="49" w:name="_4.4_猝死"/>
      <w:r/>
      <w:bookmarkEnd w:id="49"/>
      <w:r>
        <w:rPr>
          <w:rFonts w:hint="eastAsia" w:ascii="宋体" w:hAnsi="宋体" w:eastAsia="宋体" w:cs="宋体"/>
          <w:sz w:val="24"/>
          <w:lang w:val="en-US" w:eastAsia="zh-CN"/>
        </w:rPr>
        <w:t xml:space="preserve">4.7感染艾滋病病毒或患艾滋病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艾滋病病毒指人类免疫缺陷病毒，英文缩写为HIV。艾滋病指人类免疫缺陷病毒引起的获得性免疫缺陷综合征，英文缩写为AIDS。</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在人体血液或其它样本中检测到艾滋病病毒或其抗体呈阳性，没有出现临床症状或体征的，为感染艾滋病病毒；如果同时出现了明显临床症状或体征的，为患艾滋病。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4.8高风险运动</w:t>
      </w:r>
      <w:r/>
    </w:p>
    <w:p>
      <w:pPr>
        <w:pStyle w:val="1199"/>
        <w:ind w:firstLine="480"/>
        <w:tabs>
          <w:tab w:val="left" w:pos="3501" w:leader="none"/>
        </w:tabs>
        <w:rPr>
          <w:rFonts w:hint="eastAsia" w:ascii="宋体" w:hAnsi="宋体" w:eastAsia="宋体" w:cs="宋体"/>
          <w:sz w:val="24"/>
          <w:lang w:val="en-US" w:eastAsia="zh-CN"/>
        </w:rPr>
      </w:pPr>
      <w:r/>
      <w:bookmarkStart w:id="50" w:name="_4.5_酒后驾驶"/>
      <w:r/>
      <w:bookmarkEnd w:id="50"/>
      <w:r>
        <w:rPr>
          <w:rFonts w:hint="eastAsia" w:ascii="宋体" w:hAnsi="宋体" w:eastAsia="宋体" w:cs="宋体"/>
          <w:sz w:val="24"/>
          <w:lang w:val="en-US" w:eastAsia="zh-CN"/>
        </w:rPr>
        <w:t xml:space="preserve">指运动风险等级高、极易发生人身伤害的运动，包括潜水、滑水、滑雪、滑冰、跳伞、热气球运动、滑翔机、滑翔翼、滑翔伞、动力伞、攀岩运动、探险活动、武术比赛、摔跤比赛、特技表演、赛马、赛车、驾驶卡丁车、蹦极及保险单载明的其他运动。其中：</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（1）潜水：指以辅助呼吸器材在江、河、湖、海、水库、运河等水域进行的水下运动，但穿着救生衣在水面进行的浮潜活动除外。</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（2）热气球运动：指乘坐热气球升空飞行的体育活动。</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（3）攀岩运动：指以攀登悬崖、楼宇外墙、人造悬崖、冰崖、冰山等运动。</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（4）探险活动：指明知在某种特定的自然条件下有失去生命或使身体受到伤害的危险，而故意使自己置身其中的行为。如江河漂流、非固定路线徒步、徒步穿越沙漠或人迹罕至的原始森林等活动。</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（5）武术比赛：指两人或两人以上对抗性柔道、空手道、跆拳道、散打、拳击等各种拳术及各种使用器械的对抗性比赛。</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（6）特技：指从事马术、杂技、驯兽等特殊技能。</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4.9酒后驾驶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199"/>
        <w:ind w:firstLine="480"/>
        <w:tabs>
          <w:tab w:val="left" w:pos="3501" w:leader="none"/>
        </w:tabs>
        <w:rPr>
          <w:rFonts w:hint="eastAsia" w:ascii="宋体" w:hAnsi="宋体" w:eastAsia="宋体" w:cs="宋体"/>
          <w:sz w:val="24"/>
          <w:lang w:val="en-US" w:eastAsia="zh-CN"/>
        </w:rPr>
      </w:pPr>
      <w:r/>
      <w:bookmarkStart w:id="51" w:name="_4.6_无有效驾驶证"/>
      <w:r/>
      <w:bookmarkEnd w:id="51"/>
      <w:r>
        <w:rPr>
          <w:rFonts w:hint="eastAsia" w:ascii="宋体" w:hAnsi="宋体" w:eastAsia="宋体" w:cs="宋体"/>
          <w:sz w:val="24"/>
          <w:lang w:val="en-US" w:eastAsia="zh-CN"/>
        </w:rPr>
        <w:t xml:space="preserve">4.10无有效驾驶证</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被保险人存在下列情形之一：</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无驾驶证或驾驶证有效期已届满；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驾驶的机动车与驾驶证载明的准驾车型不符；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实习期内驾驶公共汽车、营运客车或者载有爆炸物品、易燃易爆化学物品、剧毒或者放射性等危险物品的机动车，实习期内驾驶的机动车牵引挂车；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持未按规定审验的驾驶证，以及在暂扣、扣留、吊销、注销驾驶证期间驾驶机动车；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使用各种专用机械车、特种车的人员无国家有关部门核发的有效操作证，驾驶营业性客车的驾驶人无国家有关部门核发的有效资格证书；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依照法律法规或公安机关交通管理部门有关规定不允许驾驶机动车的其他情况下驾车。</w:t>
      </w:r>
      <w:r/>
    </w:p>
    <w:p>
      <w:pPr>
        <w:pStyle w:val="1199"/>
        <w:ind w:firstLine="480"/>
        <w:tabs>
          <w:tab w:val="left" w:pos="3501" w:leader="none"/>
        </w:tabs>
        <w:rPr>
          <w:rFonts w:hint="eastAsia" w:ascii="宋体" w:hAnsi="宋体" w:eastAsia="宋体" w:cs="宋体"/>
          <w:sz w:val="24"/>
          <w:lang w:val="en-US" w:eastAsia="zh-CN"/>
        </w:rPr>
      </w:pPr>
      <w:r/>
      <w:bookmarkStart w:id="52" w:name="_4.7_无有效行驶证"/>
      <w:r/>
      <w:bookmarkEnd w:id="52"/>
      <w:r>
        <w:rPr>
          <w:rFonts w:hint="eastAsia" w:ascii="宋体" w:hAnsi="宋体" w:eastAsia="宋体" w:cs="宋体"/>
          <w:sz w:val="24"/>
          <w:lang w:val="en-US" w:eastAsia="zh-CN"/>
        </w:rPr>
        <w:t xml:space="preserve">4.11无有效行驶证</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bookmarkStart w:id="53" w:name="_4.8_保险金申请人"/>
      <w:r/>
      <w:bookmarkEnd w:id="53"/>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4.12猝死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指由潜在疾病、身体机能障碍或其他非外来性原因所导致的、在出现急性症状后发生的突然死亡，以医院的诊断或公安、司法机关的鉴定为准。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4.13挂床住院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挂床住院指办理正式住院手续的被保险人，在住院期间每日非24小时在床、在院，包括在住院期间连续若干日无任何治疗，只发生护理费、诊疗费、床位费的情况。</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HYPERLINK  \l "_5_保险金申请"</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4.14保险金申请人</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本附加险合同的保险金申请人是指被保险人本人。</w:t>
      </w:r>
      <w:r/>
    </w:p>
    <w:p>
      <w:pPr>
        <w:pStyle w:val="1199"/>
        <w:jc w:val="center"/>
        <w:tabs>
          <w:tab w:val="left" w:pos="3501" w:leader="none"/>
        </w:tabs>
        <w:rPr>
          <w:rFonts w:hint="eastAsia" w:ascii="宋体" w:hAnsi="宋体" w:eastAsia="宋体" w:cs="宋体"/>
          <w:sz w:val="24"/>
          <w:lang w:val="en-US" w:eastAsia="zh-CN"/>
        </w:rPr>
      </w:pPr>
      <w:r>
        <w:rPr>
          <w:rFonts w:hint="eastAsia" w:ascii="宋体" w:hAnsi="宋体" w:eastAsia="宋体" w:cs="宋体"/>
          <w:sz w:val="24"/>
          <w:lang w:eastAsia="zh-CN"/>
        </w:rPr>
        <w:br w:type="page" w:clear="all"/>
      </w:r>
      <w:r>
        <w:rPr>
          <w:rFonts w:hint="eastAsia" w:ascii="宋体" w:hAnsi="宋体" w:eastAsia="宋体" w:cs="宋体"/>
          <w:b/>
          <w:bCs/>
          <w:sz w:val="30"/>
          <w:szCs w:val="30"/>
          <w:lang w:val="en-US" w:eastAsia="zh-CN" w:bidi="ar-SA"/>
        </w:rPr>
        <w:t xml:space="preserve">附加意外伤害住院津贴保险条款</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1、总则</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1.1投保附加险的条件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本条款为本保险单约定的意外健康险类主险的一般附加险条款。只有在投保了主险的基础上，方可投保本附加险。</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1.2主险与附加险关系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凡涉及本附加险合同的约定，均应采用书面形式。主险合同与本附加险合同相抵触之处，以本附加险合同为准；本附加险合同未约定事项，以主险合同为准。主险合同无效，本附加险合同亦无效。</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1.3受益人</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除另有约定外，本附加险合同保险金的受益人为被保险人本人。</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 保障内容</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2.1保险责任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2.1.1如保险合同中包含多个条款，保险合同双方可约定本附加险合同所适用的具体条款；如未约定所适用的条款的，则视为本附加险合同适用于保险合同中的全部条款。如本附加险合同所适用的条款中包含多项保险责任，还可约定本附加险合同所适用的具体保险责任；如未约定所适用的保险责任的，则视为本附加险合同适用于该条款中的全部保险责任。对于本附加险合同所适用的任一保险责任，保险合同双方还可约定等待期、免赔日数等内容并在保险合同中载明。</w:t>
      </w:r>
      <w:r/>
    </w:p>
    <w:p>
      <w:pPr>
        <w:pStyle w:val="1199"/>
        <w:ind w:firstLine="480"/>
        <w:tabs>
          <w:tab w:val="left" w:pos="3501" w:leader="none"/>
        </w:tabs>
        <w:rPr>
          <w:rFonts w:hint="eastAsia" w:ascii="宋体" w:hAnsi="宋体" w:eastAsia="宋体" w:cs="宋体"/>
          <w:sz w:val="24"/>
          <w:lang w:eastAsia="zh-CN"/>
        </w:rPr>
      </w:pPr>
      <w:r>
        <w:rPr>
          <w:rFonts w:hint="eastAsia" w:ascii="宋体" w:hAnsi="宋体" w:eastAsia="宋体" w:cs="宋体"/>
          <w:sz w:val="24"/>
          <w:lang w:val="en-US" w:eastAsia="zh-CN"/>
        </w:rPr>
        <w:t xml:space="preserve">2.1.2在保险期间内，被保险人遭受</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"_4.1_意外伤害"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意外伤害（见释义）</w:t>
      </w: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并因该意外伤害在保险期间内在</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"_4.2_医疗机构"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指定医疗机构（见释义）</w:t>
      </w: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接受</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"_4.3_住院"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住院（见释义）</w:t>
      </w: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治疗，对于该被保险人的</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"_4.4_实际住院日数"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实际住院日数（见释义）</w:t>
      </w: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，保险人按照《意外伤害住院津贴给付表》的约定给付意外伤害住院津贴保险金。</w:t>
      </w:r>
      <w:r/>
    </w:p>
    <w:p>
      <w:pPr>
        <w:pStyle w:val="1199"/>
        <w:ind w:firstLine="480"/>
        <w:tabs>
          <w:tab w:val="left" w:pos="3501" w:leader="none"/>
        </w:tabs>
        <w:rPr>
          <w:rFonts w:hint="eastAsia" w:ascii="宋体" w:hAnsi="宋体" w:eastAsia="宋体" w:cs="宋体"/>
          <w:sz w:val="24"/>
          <w:lang w:eastAsia="zh-CN"/>
        </w:rPr>
      </w:pPr>
      <w:r>
        <w:rPr>
          <w:rFonts w:hint="eastAsia" w:ascii="宋体" w:hAnsi="宋体" w:eastAsia="宋体" w:cs="宋体"/>
          <w:sz w:val="24"/>
          <w:lang w:eastAsia="zh-CN"/>
        </w:rPr>
        <w:t xml:space="preserve">意外伤害住院津贴给付表</w:t>
      </w:r>
      <w:r/>
    </w:p>
    <w:tbl>
      <w:tblPr>
        <w:tblStyle w:val="1025"/>
        <w:tblW w:w="88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1"/>
        <w:gridCol w:w="6145"/>
      </w:tblGrid>
      <w:tr>
        <w:trPr>
          <w:jc w:val="center"/>
          <w:trHeight w:val="375"/>
        </w:trPr>
        <w:tc>
          <w:tcPr>
            <w:tcW w:w="273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情形</w:t>
            </w:r>
            <w:r/>
          </w:p>
        </w:tc>
        <w:tc>
          <w:tcPr>
            <w:tcW w:w="614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每次意外伤害住院津贴保险金</w:t>
            </w:r>
            <w:r/>
          </w:p>
        </w:tc>
      </w:tr>
      <w:tr>
        <w:trPr>
          <w:jc w:val="center"/>
          <w:trHeight w:val="479"/>
        </w:trPr>
        <w:tc>
          <w:tcPr>
            <w:tcW w:w="273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实际住院日数≤</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意外伤害住院免赔日数</w:t>
            </w:r>
            <w:r/>
          </w:p>
        </w:tc>
        <w:tc>
          <w:tcPr>
            <w:tcW w:w="614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无</w:t>
            </w:r>
            <w:r/>
          </w:p>
        </w:tc>
      </w:tr>
      <w:tr>
        <w:trPr>
          <w:jc w:val="center"/>
          <w:trHeight w:val="1597"/>
        </w:trPr>
        <w:tc>
          <w:tcPr>
            <w:tcW w:w="273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实际住院日数＞</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意外伤害住院免赔日数</w:t>
            </w:r>
            <w:r/>
          </w:p>
        </w:tc>
        <w:tc>
          <w:tcPr>
            <w:tcW w:w="614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如（实际住院日数-意外伤害住院免赔日数）＜每次意外伤害住院最高给付日数，则：</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每次意外伤害住院津贴保险金=每日意外伤害住院津贴金额×（实际住院日数-意外伤害住院免赔日数）</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如（实际住院日数-意外伤害住院免赔日数）≥每次意外伤害住院最高给付日数，则：</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每次意外伤害住院津贴保险金=每日意外伤害住院津贴金额×每次意外伤害最高给付日数</w:t>
            </w:r>
            <w:r/>
          </w:p>
        </w:tc>
      </w:tr>
    </w:tbl>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每日意外伤害住院津贴金额、意外伤害住院免赔日数、每次意外伤害住院给付最高日数以保险合同载明为准；若未载明的，意外伤害住院免赔日数视为0日、每次意外伤害住院给付最高日数视为180日。</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除另有约定外，本附加险合同项下，保险人在保险期间内累计承担的意外伤害住院津贴的给付日数（即意外伤害住院总给付日数）不超过180日（含180日）。</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若被保险人因同一原因多次住院，前次出院与后次住院日期间隔未达90日的，则视为同一次住院。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期间届满被保险人住院治疗仍未结束的，保险人所负保险责任期限可按下列约定延长：保险期间届满被保险人仍在住院治疗的，自保险期间届满次日起计算，至出院之日止，最长以住院延长日数为限。该“住院延长日数”以保险单载明为准；若保险单未载明的，则该 “住院延长日数”视为30日（含）。 </w:t>
      </w:r>
      <w:r/>
    </w:p>
    <w:p>
      <w:pPr>
        <w:pStyle w:val="1199"/>
        <w:ind w:firstLine="480"/>
        <w:tabs>
          <w:tab w:val="left" w:pos="3501" w:leader="none"/>
        </w:tabs>
        <w:rPr>
          <w:rFonts w:hint="eastAsia" w:ascii="宋体" w:hAnsi="宋体" w:eastAsia="宋体" w:cs="宋体"/>
          <w:sz w:val="24"/>
          <w:lang w:val="en-US" w:eastAsia="zh-CN"/>
        </w:rPr>
      </w:pPr>
      <w:r/>
      <w:bookmarkStart w:id="54" w:name="_2.2_责任免除"/>
      <w:r/>
      <w:bookmarkEnd w:id="54"/>
      <w:r>
        <w:rPr>
          <w:rFonts w:hint="eastAsia" w:ascii="宋体" w:hAnsi="宋体" w:eastAsia="宋体" w:cs="宋体"/>
          <w:sz w:val="24"/>
          <w:lang w:val="en-US" w:eastAsia="zh-CN"/>
        </w:rPr>
        <w:t xml:space="preserve">2.2责任免除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2.2.1因下列情形造成被保险人住院治疗的，保险人不承担给付保险金的责任：</w:t>
      </w:r>
      <w:r/>
    </w:p>
    <w:p>
      <w:pPr>
        <w:pStyle w:val="1199"/>
        <w:ind w:firstLine="480"/>
        <w:tabs>
          <w:tab w:val="left" w:pos="3501" w:leader="none"/>
        </w:tabs>
        <w:rPr>
          <w:rFonts w:hint="eastAsia" w:ascii="宋体" w:hAnsi="宋体" w:eastAsia="宋体" w:cs="宋体"/>
          <w:sz w:val="24"/>
          <w:lang w:val="en-US" w:eastAsia="zh-CN"/>
        </w:rPr>
      </w:pPr>
      <w:r/>
      <w:bookmarkStart w:id="55" w:name="_2.2.2_对于以下情形，保险人也不承担给付保险金的责任："/>
      <w:r/>
      <w:bookmarkEnd w:id="55"/>
      <w:r>
        <w:rPr>
          <w:rFonts w:hint="eastAsia" w:ascii="宋体" w:hAnsi="宋体" w:eastAsia="宋体" w:cs="宋体"/>
          <w:sz w:val="24"/>
          <w:lang w:val="en-US" w:eastAsia="zh-CN"/>
        </w:rPr>
        <w:t xml:space="preserve">（1）投保人对被保险人的故意杀害、故意伤害；</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（2）被保险人故意自伤或自杀，但被保险人自杀时为无民事行为能力人的除外；</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（3）被保险人因挑衅或故意行为而导致的打斗、被袭击或被谋杀；</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（4）被保险人接受包括美容、整容、整形手术在内的任何医疗行为而造成的意外；</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（5）被保险人未遵医嘱服用、涂用、注射药物，但按使用说明的规定使用非处方药不在此限；</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（6）被保险人受酒精、毒品、管制药物的影响，但遵医嘱使用药物的情形不在此限；</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（7）任何生物、化学、原子能武器，原子能或核能装置所造成的爆炸、灼伤、污染或辐射；</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（8）战争、军事冲突、暴乱或武装叛乱、恐怖袭击；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（9）被保险人故意犯罪或抗拒依法采取的刑事强制措施；</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（10）被保险人存在精神和行为障碍（以世界卫生组织颁布的《疾病和有关健康问题的国际统计分类（ICD-10）》为准）；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（11）被保险人从事</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"_4.6_高风险运动"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高风险运动（见释义）</w:t>
      </w: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，但被保险人作为专业运动员从事其专业运动不在此限；</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（12）被保险人</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"_4.7_酒后驾驶"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酒后驾驶（见释义）</w:t>
      </w: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"_4.8_无有效驾驶证"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无合法有效驾驶证（见释义）</w:t>
      </w: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驾驶或驾驶</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"_4.9_无有效行驶证"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无合法有效行驶证（见释义）</w:t>
      </w: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的机动交通工具；</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（13）疾病，包括但不限于高原反应、中暑、</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"_4.5_猝死"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猝死（见释义）</w:t>
      </w: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（14）非因意外伤害导致的细菌、病毒或其他病原体导致的感染；</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（15）过敏及由过敏引发的变态反应性疾病；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（16）被保险人非因意外伤害而进行的整容、整形手术，以及因任何原因进行的美容；</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17）被保险人非因意外伤害而进行的牙科治疗或手术、视力矫正、因矫正视力而作的眼科验光检查，以及任何原因导致的牙齿修复或牙齿整形、安装及购买残疾用具（如轮椅、假肢、假眼、假牙或者助听器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（18）被保险人进行一般身体检查、疗养、特别护理、静养、康复性治疗、物理治疗、心理治疗或预防性治疗；</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（19）被保险人妊娠、流产、分娩；</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（20）被保险人在投保前已有残疾的治疗和康复。</w:t>
      </w:r>
      <w:r/>
    </w:p>
    <w:p>
      <w:pPr>
        <w:pStyle w:val="1199"/>
        <w:ind w:firstLine="480"/>
        <w:tabs>
          <w:tab w:val="left" w:pos="3501" w:leader="none"/>
        </w:tabs>
        <w:rPr>
          <w:rFonts w:hint="eastAsia" w:ascii="宋体" w:hAnsi="宋体" w:eastAsia="宋体" w:cs="宋体"/>
          <w:sz w:val="24"/>
          <w:lang w:val="en-US" w:eastAsia="zh-CN"/>
        </w:rPr>
      </w:pPr>
      <w:r/>
      <w:bookmarkStart w:id="56" w:name="_2.2.2_对于以下情形，保险人也不承担给付保险金的责任：_1"/>
      <w:r/>
      <w:bookmarkEnd w:id="56"/>
      <w:r>
        <w:rPr>
          <w:rFonts w:hint="eastAsia" w:ascii="宋体" w:hAnsi="宋体" w:eastAsia="宋体" w:cs="宋体"/>
          <w:sz w:val="24"/>
          <w:lang w:val="en-US" w:eastAsia="zh-CN"/>
        </w:rPr>
        <w:t xml:space="preserve">2.2.2对于以下情形，保险人也不承担给付保险金的责任：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（1）被保险人在家自设病床治疗，或在门诊观察室、急诊观察室、其他非正式病房、联合病房的治疗；</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（2）被保险人不符合入院标准住院、</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"_4.9_挂床住院"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挂床住院（见释义）</w:t>
      </w: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或住院病人应当出院但拒不出院而造成的延长的住院日数。</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2.2.3对于按本附加险合同载明的免赔日数计算出的免赔金额，保险人不承担赔偿责任。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2.3保险金额</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每一被保险人的保险金额是保险人承担给付该被保险人保险金责任的最高限额。</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保险金额由投保人和保险人双方约定，并在保险单中载明。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每一被保险人的保险金额一经确定，在保险期间内不得变更。</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3保险金申请</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"_4.12_保险金申请人"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保险金申请人（见释义）</w:t>
      </w: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向保险人申请给付保险金时，应填写保险金给付申请书，并提交以下材料。保险金申请人因特殊原因不能提供以下材料的，应提供其它合法有效的材料。若保险金申请人委托他人申请的，还应提供授权委托书原件、委托人和受托人的身份证明等相关证明文件。保险人按照本保险合同的约定，认为有关的证明和资料不完整的，应当及时一次性通知保险金申请人补充提供。保险金申请人未能提供有关材料，导致保险人无法核实该申请的真实性的，保险人对无法核实部分不承担给付保险金的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（1）保险金给付申请书；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（2）保险单；</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（3）保险金申请人、被保险人身份证明；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（4）指定医疗机构出具的医疗费用发票/收据、费用明细清单/帐、出院小结、病历、诊断证明、住院志、体温单、医嘱单、护理记录；</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（5）被保险人所能提供的与确认保险事故的性质、原因、损失程度等有关的其他证明和资料。</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4释义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"_2.1_保险责任"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4.1意外伤害</w:t>
      </w:r>
      <w:r>
        <w:rPr>
          <w:rFonts w:hint="eastAsia" w:ascii="宋体" w:hAnsi="宋体" w:eastAsia="宋体" w:cs="宋体"/>
          <w:sz w:val="24"/>
          <w:lang w:val="en-US" w:eastAsia="zh-CN"/>
        </w:rPr>
        <w:fldChar w:fldCharType="end"/>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指以外来的、突发的、非本意的、非疾病的客观事件为直接且单独的原因致使身体受到的伤害。以下情形属于疾病范畴，非本条款所指意外伤害：</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（1）猝死（详见释义“</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"_4.10_猝死"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4.9猝死</w:t>
      </w: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（2）过敏及由过敏引发的变态反应性疾病；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（3）高原反应；</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（4）中暑；</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（5）细菌、病毒或其他病原体导致的感染性疾病。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"_2.1_保险责任"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4.2指定医疗机构</w:t>
      </w:r>
      <w:r>
        <w:rPr>
          <w:rFonts w:hint="eastAsia" w:ascii="宋体" w:hAnsi="宋体" w:eastAsia="宋体" w:cs="宋体"/>
          <w:sz w:val="24"/>
          <w:lang w:val="en-US" w:eastAsia="zh-CN"/>
        </w:rPr>
        <w:fldChar w:fldCharType="end"/>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除另有约定外，指定医疗机构指中华人民共和国境内（不包括香港、澳门、台湾地区）二级（含）及以上医院或保险人认可的医疗机构，且应符合下列所有条件：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拥有合法经营执照；</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设立的主要目的为向受伤者和患病者提供留院治疗和护理服务；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有合格的医生和护士提供全日二十四小时的医疗和护理服务；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非主要作为康复医院、诊所、护理、疗养、戒酒、戒毒或类似的医疗机构。</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投保人和保险人双方还可以约定指定医疗机构的条件、范围等，并在保险单中载明。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"_2.1_保险责任"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4.3住院</w:t>
      </w:r>
      <w:r>
        <w:rPr>
          <w:rFonts w:hint="eastAsia" w:ascii="宋体" w:hAnsi="宋体" w:eastAsia="宋体" w:cs="宋体"/>
          <w:sz w:val="24"/>
          <w:lang w:val="en-US" w:eastAsia="zh-CN"/>
        </w:rPr>
        <w:fldChar w:fldCharType="end"/>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是指被保险人确因临床需要、经医生诊断必须留院治疗，正式办理入院及出院手续，并确实入住医疗机构正式病房接受治疗的行为过程；被保险人必须连续留院二十四小时以上且由医疗机构收取病房或床位费用，但住院并不包括门诊观察室、急诊观察室、其他非正式病房、联合病房或挂床住院。</w:t>
      </w:r>
      <w:r/>
    </w:p>
    <w:p>
      <w:pPr>
        <w:pStyle w:val="1199"/>
        <w:ind w:firstLine="480"/>
        <w:tabs>
          <w:tab w:val="left" w:pos="3501" w:leader="none"/>
        </w:tabs>
        <w:rPr>
          <w:rFonts w:hint="eastAsia" w:ascii="宋体" w:hAnsi="宋体" w:eastAsia="宋体" w:cs="宋体"/>
          <w:sz w:val="24"/>
          <w:lang w:val="en-US" w:eastAsia="zh-CN"/>
        </w:rPr>
      </w:pPr>
      <w:r/>
      <w:bookmarkStart w:id="57" w:name="_4.4_实际住院日数"/>
      <w:r/>
      <w:bookmarkEnd w:id="57"/>
      <w:r/>
      <w:bookmarkStart w:id="58" w:name="_4.5_住院日2.1_保险责任数"/>
      <w:r/>
      <w:bookmarkEnd w:id="58"/>
      <w:r/>
      <w:bookmarkStart w:id="59" w:name="_4.5_住院日数"/>
      <w:r/>
      <w:bookmarkEnd w:id="59"/>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"_2.1_保险责任"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4.4实际住院日数</w:t>
      </w:r>
      <w:r>
        <w:rPr>
          <w:rFonts w:hint="eastAsia" w:ascii="宋体" w:hAnsi="宋体" w:eastAsia="宋体" w:cs="宋体"/>
          <w:sz w:val="24"/>
          <w:lang w:val="en-US" w:eastAsia="zh-CN"/>
        </w:rPr>
        <w:fldChar w:fldCharType="end"/>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是指被保险人在医疗机构住院部病房内实际的住院治疗日数，住院满二十四小时为一日。</w:t>
      </w:r>
      <w:r/>
    </w:p>
    <w:p>
      <w:pPr>
        <w:pStyle w:val="1199"/>
        <w:ind w:firstLine="480"/>
        <w:tabs>
          <w:tab w:val="left" w:pos="3501" w:leader="none"/>
        </w:tabs>
        <w:rPr>
          <w:rFonts w:hint="eastAsia" w:ascii="宋体" w:hAnsi="宋体" w:eastAsia="宋体" w:cs="宋体"/>
          <w:sz w:val="24"/>
          <w:lang w:val="en-US" w:eastAsia="zh-CN"/>
        </w:rPr>
      </w:pPr>
      <w:r/>
      <w:bookmarkStart w:id="60" w:name="_4.5_高风险运动"/>
      <w:r/>
      <w:bookmarkEnd w:id="60"/>
      <w:r/>
      <w:bookmarkStart w:id="61" w:name="_4.6_高风险运动"/>
      <w:r/>
      <w:bookmarkEnd w:id="61"/>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HYPERLINK  \l "_2.2.1_因下列情形造成被保险人住院治疗的，保险人不承担给付保险金的"</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4.5高风险运动</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fldChar w:fldCharType="end"/>
      </w:r>
      <w:bookmarkStart w:id="62" w:name="_4.6_酒后驾驶"/>
      <w:r/>
      <w:bookmarkEnd w:id="62"/>
      <w:r>
        <w:rPr>
          <w:rFonts w:hint="eastAsia" w:ascii="宋体" w:hAnsi="宋体" w:eastAsia="宋体" w:cs="宋体"/>
          <w:sz w:val="24"/>
          <w:lang w:val="en-US" w:eastAsia="zh-CN"/>
        </w:rPr>
        <w:t xml:space="preserve">指运动风险等级高、极易发生人身伤害的运动，包括潜水、滑水、滑雪、滑冰、跳伞、热气球运动、滑翔机、滑翔翼、滑翔伞、动力伞、攀岩运动、探险活动、武术比赛、摔跤比赛、特技表演、赛马、赛车、驾驶卡丁车、蹦极及保险单载明的其他运动。其中：</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（1）潜水：指以辅助呼吸器材在江、河、湖、海、水库、运河等水域进行的水下运动，但穿着救生衣在水面进行的浮潜活动除外。</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（2）热气球运动：指乘坐热气球升空飞行的体育活动。</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（3）攀岩运动：指以攀登悬崖、楼宇外墙、人造悬崖、冰崖、冰山等运动。</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（4）探险活动：指明知在某种特定的自然条件下有失去生命或使身体受到伤害的危险，而故意使自己置身其中的行为。如江河漂流、非固定路线徒步、徒步穿越沙漠或人迹罕至的原始森林等活动。</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（5）武术比赛：指两人或两人以上对抗性柔道、空手道、跆拳道、散打、拳击等各种拳术及各种使用器械的对抗性比赛。</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（6）特技：指从事马术、杂技、驯兽等特殊技能。</w:t>
      </w:r>
      <w:r/>
    </w:p>
    <w:p>
      <w:pPr>
        <w:pStyle w:val="1199"/>
        <w:ind w:firstLine="480"/>
        <w:tabs>
          <w:tab w:val="left" w:pos="3501" w:leader="none"/>
        </w:tabs>
        <w:rPr>
          <w:rFonts w:hint="eastAsia" w:ascii="宋体" w:hAnsi="宋体" w:eastAsia="宋体" w:cs="宋体"/>
          <w:sz w:val="24"/>
          <w:lang w:val="en-US" w:eastAsia="zh-CN"/>
        </w:rPr>
      </w:pPr>
      <w:r/>
      <w:bookmarkStart w:id="63" w:name="_4.7_酒后驾驶"/>
      <w:r/>
      <w:bookmarkEnd w:id="63"/>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HYPERLINK  \l "_2.2.1_因下列情形造成被保险人住院治疗的，保险人不承担给付保险金的"</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4.6酒后驾驶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199"/>
        <w:ind w:firstLine="480"/>
        <w:tabs>
          <w:tab w:val="left" w:pos="3501" w:leader="none"/>
        </w:tabs>
        <w:rPr>
          <w:rFonts w:hint="eastAsia" w:ascii="宋体" w:hAnsi="宋体" w:eastAsia="宋体" w:cs="宋体"/>
          <w:sz w:val="24"/>
          <w:lang w:val="en-US" w:eastAsia="zh-CN"/>
        </w:rPr>
      </w:pPr>
      <w:r/>
      <w:bookmarkStart w:id="64" w:name="_4.8_无有效驾驶证"/>
      <w:r/>
      <w:bookmarkEnd w:id="64"/>
      <w:r/>
      <w:bookmarkStart w:id="65" w:name="_4.7_无有效驾驶证"/>
      <w:r/>
      <w:bookmarkEnd w:id="65"/>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"_2.2.1_因下列情形造成被保险人住院治疗的，保险人不承担给付保险金的"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4.7无合法有效驾驶证</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被保险人存在下列情形之一：</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（1）无驾驶证或驾驶证有效期已届满；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（2）驾驶的机动车与驾驶证载明的准驾车型不符；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实习期内驾驶执行任务的警车、消防车、救护车、工程救险车；实习期内驾驶公共汽车、营运客车或者载有爆炸物品、易燃易爆化学物品、剧毒或者放射性等危险物品的机动车，实习期内驾驶的机动车牵引挂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（4）持未按规定审验的驾驶证，以及在暂扣、扣留、吊销、注销驾驶证期间驾驶机动车；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（5）使用各种专用机械车、特种车的人员无国家有关部门核发的有效操作证，驾驶营业性客车的驾驶人无国家有关部门核发的有效资格证书；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（6）依照法律法规或公安机关交通管理部门有关规定不允许驾驶机动车的其他情况下驾车。</w:t>
      </w:r>
      <w:r/>
    </w:p>
    <w:p>
      <w:pPr>
        <w:pStyle w:val="1199"/>
        <w:ind w:firstLine="480"/>
        <w:tabs>
          <w:tab w:val="left" w:pos="3501" w:leader="none"/>
        </w:tabs>
        <w:rPr>
          <w:rFonts w:hint="eastAsia" w:ascii="宋体" w:hAnsi="宋体" w:eastAsia="宋体" w:cs="宋体"/>
          <w:sz w:val="24"/>
          <w:lang w:val="en-US" w:eastAsia="zh-CN"/>
        </w:rPr>
      </w:pPr>
      <w:r/>
      <w:bookmarkStart w:id="66" w:name="_4.8_无有效行驶证"/>
      <w:r/>
      <w:bookmarkEnd w:id="66"/>
      <w:r/>
      <w:bookmarkStart w:id="67" w:name="_4.9_无有效行驶证"/>
      <w:r/>
      <w:bookmarkEnd w:id="67"/>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"_2.2.1_因下列情形造成被保险人住院治疗的，保险人不承担给付保险金的"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4.8无合法有效行驶证</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r/>
    </w:p>
    <w:p>
      <w:pPr>
        <w:pStyle w:val="1199"/>
        <w:ind w:firstLine="480"/>
        <w:tabs>
          <w:tab w:val="left" w:pos="3501" w:leader="none"/>
        </w:tabs>
        <w:rPr>
          <w:rFonts w:hint="eastAsia" w:ascii="宋体" w:hAnsi="宋体" w:eastAsia="宋体" w:cs="宋体"/>
          <w:sz w:val="24"/>
          <w:lang w:val="en-US" w:eastAsia="zh-CN"/>
        </w:rPr>
      </w:pPr>
      <w:r/>
      <w:bookmarkStart w:id="68" w:name="_4.5_猝死"/>
      <w:r/>
      <w:bookmarkEnd w:id="68"/>
      <w:r/>
      <w:bookmarkStart w:id="69" w:name="_4.10_猝死"/>
      <w:r/>
      <w:bookmarkEnd w:id="69"/>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"_2.2.1_因下列情形造成被保险人住院治疗的，保险人不承担给付保险金的"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4.9猝死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指由潜在疾病、身体机能障碍或其他非外来性原因所导致的、在出现急性症状后发生的突然死亡，以医院的诊断或公安、司法机关的鉴定为准。</w:t>
      </w:r>
      <w:r/>
    </w:p>
    <w:p>
      <w:pPr>
        <w:pStyle w:val="1199"/>
        <w:ind w:firstLine="480"/>
        <w:tabs>
          <w:tab w:val="left" w:pos="3501" w:leader="none"/>
        </w:tabs>
        <w:rPr>
          <w:rFonts w:hint="eastAsia" w:ascii="宋体" w:hAnsi="宋体" w:eastAsia="宋体" w:cs="宋体"/>
          <w:sz w:val="24"/>
          <w:lang w:val="en-US" w:eastAsia="zh-CN"/>
        </w:rPr>
      </w:pPr>
      <w:r/>
      <w:bookmarkStart w:id="70" w:name="_4.9_挂床住院"/>
      <w:r/>
      <w:bookmarkEnd w:id="70"/>
      <w:r/>
      <w:bookmarkStart w:id="71" w:name="_4.9_被保资格、被保资格的获得及对应的被保资格丧失"/>
      <w:r/>
      <w:bookmarkEnd w:id="71"/>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HYPERLINK  \l "_2.2.2_对于以下情形，保险人也不承担给付保险金的责任：_1"</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4.10挂床住院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指办理正式住院手续的被保险人，在住院期间每日非24小时在床、在院，包括在住院期间连续若干日无任何治疗，只发生护理费、诊疗费、床位费的情况。</w:t>
      </w:r>
      <w:r/>
    </w:p>
    <w:p>
      <w:pPr>
        <w:pStyle w:val="1199"/>
        <w:ind w:firstLine="480"/>
        <w:tabs>
          <w:tab w:val="left" w:pos="3501" w:leader="none"/>
        </w:tabs>
        <w:rPr>
          <w:rFonts w:hint="eastAsia" w:ascii="宋体" w:hAnsi="宋体" w:eastAsia="宋体" w:cs="宋体"/>
          <w:sz w:val="24"/>
          <w:lang w:val="en-US" w:eastAsia="zh-CN"/>
        </w:rPr>
      </w:pPr>
      <w:r/>
      <w:bookmarkStart w:id="72" w:name="_4.12_保险金申请人"/>
      <w:r/>
      <w:bookmarkEnd w:id="72"/>
      <w:r/>
      <w:bookmarkStart w:id="73" w:name="_4.10_保险金申请人"/>
      <w:r/>
      <w:bookmarkEnd w:id="73"/>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HYPERLINK  \l "_3_保险金申请"</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4.11保险金申请人</w:t>
      </w:r>
      <w:r/>
    </w:p>
    <w:p>
      <w:pPr>
        <w:pStyle w:val="1199"/>
        <w:ind w:firstLine="480"/>
        <w:tabs>
          <w:tab w:val="left" w:pos="3501" w:leader="none"/>
        </w:tabs>
        <w:rPr>
          <w:rFonts w:hint="eastAsia" w:ascii="宋体" w:hAnsi="宋体" w:eastAsia="宋体" w:cs="宋体"/>
          <w:sz w:val="24"/>
          <w:lang w:eastAsia="zh-CN"/>
        </w:rPr>
      </w:pP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本附加险合同的保险金申请人是指被保险人本人。</w:t>
      </w:r>
      <w:r/>
    </w:p>
    <w:p>
      <w:pPr>
        <w:pStyle w:val="1199"/>
        <w:jc w:val="center"/>
        <w:tabs>
          <w:tab w:val="left" w:pos="3501" w:leader="none"/>
        </w:tabs>
        <w:rPr>
          <w:rFonts w:hint="eastAsia" w:ascii="宋体" w:hAnsi="宋体" w:eastAsia="宋体" w:cs="宋体"/>
          <w:sz w:val="24"/>
          <w:lang w:eastAsia="zh-CN"/>
        </w:rPr>
      </w:pPr>
      <w:r>
        <w:rPr>
          <w:rFonts w:hint="eastAsia" w:ascii="宋体" w:hAnsi="宋体" w:eastAsia="宋体" w:cs="宋体"/>
          <w:sz w:val="24"/>
          <w:lang w:eastAsia="zh-CN"/>
        </w:rPr>
        <w:br w:type="page" w:clear="all"/>
      </w:r>
      <w:bookmarkStart w:id="74" w:name="_Toc30697"/>
      <w:r/>
      <w:bookmarkStart w:id="75" w:name="_Toc17822"/>
      <w:r/>
      <w:bookmarkStart w:id="76" w:name="_Toc29359"/>
      <w:r>
        <w:rPr>
          <w:rFonts w:hint="eastAsia" w:ascii="宋体" w:hAnsi="宋体" w:eastAsia="宋体" w:cs="宋体"/>
          <w:b/>
          <w:bCs/>
          <w:sz w:val="30"/>
          <w:szCs w:val="30"/>
          <w:lang w:val="en-US" w:eastAsia="zh-CN" w:bidi="ar-SA"/>
        </w:rPr>
        <w:t xml:space="preserve">附加重大疾病保险条款</w:t>
      </w:r>
      <w:bookmarkEnd w:id="74"/>
      <w:r/>
      <w:bookmarkEnd w:id="75"/>
      <w:r/>
      <w:bookmarkEnd w:id="76"/>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1总则</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1.1投保附加险的条件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本条款为本保险单约定的意外健康险类主险的附加险条款。只有在投保了主险的基础上，方可投保本附加险。</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1.2主险与附加险关系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凡涉及本附加险合同的约定，均应采用书面形式。主险合同与本附加险合同相抵触之处，以本附加险合同为准；本附加险合同未约定事项，以主险合同为准。主险合同无效，本附加险合同亦无效。</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1.3受益人</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除另有约定外，本附加险合同保险金的受益人为被保险人本人。</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2保障内容</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2.1保险责任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在保险期间内，保险人依照2.1.1、2.1.2的约定给付保险金，其中2.1.1为必选保险责任，2.1.2为可选保险责任。经投保人、保险人双方约定，投保人在选择投保2.1.1的基础上，可以选择投保2.1.2保险责任，并在保险单中载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2.1.1重大疾病保险责任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自获得被保资格（见释义）之日起发生以下情况之一，并在保险期间内被专科医生（见释义）确诊为本附加险合同约定的重大疾病（见释义）中的一种或多种，保险人依照本附加险合同项下该被保险人的重大疾病保险金额给付重大疾病保险金，对该被保险人在本附加险合同项下的保险责任终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被保险人遭受意外伤害（见释义），并在保险期间内因该意外伤害造成本附加险合同约定的一种或多种重大疾病首次发病（见释义）；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被保险人经过本附加险合同约定的等待期（见释义）后，在保险期间内首次发病。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2.1.2轻度疾病保险责任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自获得被保资格之日起发生以下情况之一，并在保险期间内被专科医生确诊为本附加险合同约定的轻度疾病（见释义）中的一种或多种，保险人依照本附加险合同项下该被保险人的轻度疾病保险金额给付轻度疾病保险金，对该被保险人的本项保险责任终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被保险人遭受意外伤害，并在保险期间内因该意外伤害造成本附加险合同约定的一种或多种轻度疾病首次发病；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被保险人经过本附加险合同约定的等待期后，在保险期间内首次发病。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2.2责任免除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2.2.1因下列情形之一，导致被保险人发生疾病、达到疾病状态或进行手术的，保险人不承担保险责任：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投保人对被保险人的故意杀害、故意伤害；</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被保险人故意犯罪或抗拒依法采取的刑事强制措施；</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被保险人故意自伤或自杀，但被保险人自杀时为无民事行为能力人的除外；</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被保险人服用、吸食或注射毒品；</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被保险人酒后驾驶（见释义）、无合法有效驾驶证（见释义）驾驶，或驾驶无合法有效行驶证（见释义）的机动车；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被保险人感染艾滋病病毒或患艾滋病（见释义）；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战争、军事冲突、暴乱或武装叛乱；</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核爆炸、核辐射或核污染；</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遗传性疾病（见释义），先天性畸形、变形或染色体异常（见释义）。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2.2.2被保险人在获得被保资格前已经确诊罹患本附加险合同约定的重大疾病或轻度疾病，或已经出现本附加险合同约定的重大疾病或轻度疾病的前兆、症状或异常的身体状况的，保险人不承担给付保险金责任。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2.2.3被保险人非因意外伤害在等待期内确诊罹患本附加险合同约定的重大疾病或轻度疾病的，或者非因意外伤害在等待期内首次发病、但在等待期后确诊罹患本附加险合同约定的重大疾病或轻度疾病的，保险人不承担给付保险金责任，并退还该被保险人已交纳的保险费，对该被保险人的保险责任终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2.3 保险金额</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每一被保险人的保险金额是保险人承担给付该被保险人保险金责任的最高限额，其中重大疾病保险责任对应重大疾病保险金额、轻度疾病保险责任对应轻度疾病保险金额。</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轻度疾病保险金额不高于重大疾病保险金额的30%，具体保险金额由投保人、保险人双方约定，并在保险单中载明。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每一被保险人的保险金额一经确定，在保险期间内不得变更。</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3保险金申请</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金申请人（见释义）向保险人申请给付保险金时，应填写保险金给付申请书，并提交以下材料。保险金申请人因特殊原因不能提供以下材料的，应提供其它合法有效的材料。若保险金申请人委托他人申请的，还应提供授权委托书原件、委托人和受托人的身份证明等相关证明文件。保险人按照本保险合同的约定，认为有关的证明和资料不完整的，应当及时一次性通知保险金申请人补充提供。保险金申请人未能提供有关材料，导致保险人无法核实该申请的真实性的，保险人对无法核实部分不承担给付保险金的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保险金给付申请书；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保险单；</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保险金申请人、被保险人的身份证明；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专科医生出具的附有病历、必需的病理检验、血液检验及其他科学诊断报告的诊断书或手术证明；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保险金申请人所能提供的与确认保险事故的性质、原因、损失程度等有关的其他证明和资料。</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4释义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4.1被保资格</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无论本附加险合同为首次投保、续保还是非续保的，被保险人获得被保资格的日期均以以下两者中较晚的日期为准：（1）本附加险合同的保险期间起始日；（2）本附加险合同项下增加该被保险人批单所载生效日，有多张批单增加该被保险人的，以最晚批单所载生效日为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被保险人因非保险事故身故的，则自其身故之日起该被保险人的被保资格丧失，保险人对该被保险人所承担的保险责任随即终止。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本附加险合同保险期间终止，则被保险人的被保资格终止，保险人对被保险人所承担的保险责任随即终止。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本附加险合同解除，则自解除之日起被保险人的被保资格终止，保险人对被保险人所承担的保险责任随即终止。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4.2专科医生</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专科医生应当同时满足以下四项资格条件：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具有有效的中华人民共和国《医师资格证书》；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具有有效的中华人民共和国《医师执业证书》，并按期到相关部门登记注册；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具有有效的中华人民共和国主治医师或主治医师以上职称的《医师职称证书》；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在国家《医院分级管理标准》二级或二级以上医院的相应科室从事临床工作三年以上。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4.3重大疾病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是指符合下列定义的疾病或被保险人首次接受符合下列定义的手术：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4.3.1恶性肿瘤——重度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指恶性细胞不受控制的进行性增长和扩散，浸润和破坏周围正常组织，可以经血管、淋巴管和体腔扩散转移到身体其他部位，病灶经组织病理学检查（涵盖骨髓病理学检查）</w:t>
      </w:r>
      <w:r>
        <w:rPr>
          <w:rFonts w:hint="eastAsia" w:ascii="宋体" w:hAnsi="宋体" w:eastAsia="宋体" w:cs="宋体"/>
          <w:sz w:val="24"/>
          <w:lang w:val="en-US" w:eastAsia="zh-CN"/>
        </w:rPr>
        <w:footnoteReference w:id="2"/>
      </w:r>
      <w:r>
        <w:rPr>
          <w:rFonts w:hint="eastAsia" w:ascii="宋体" w:hAnsi="宋体" w:eastAsia="宋体" w:cs="宋体"/>
          <w:sz w:val="24"/>
          <w:lang w:val="en-US" w:eastAsia="zh-CN"/>
        </w:rPr>
        <w:t xml:space="preserve">结果明确诊断，临床诊断属于世界卫生组织（WHO，World Health Organization）《疾病和有关健康问题的国际统计分类》第十次修订版（ICD-10）的恶性肿瘤类别及《国际疾病分类肿瘤学专辑》第三版（ICD-O-3）</w:t>
      </w:r>
      <w:r>
        <w:rPr>
          <w:rFonts w:hint="eastAsia" w:ascii="宋体" w:hAnsi="宋体" w:eastAsia="宋体" w:cs="宋体"/>
          <w:sz w:val="24"/>
          <w:lang w:val="en-US" w:eastAsia="zh-CN"/>
        </w:rPr>
        <w:footnoteReference w:id="3"/>
      </w:r>
      <w:r>
        <w:rPr>
          <w:rFonts w:hint="eastAsia" w:ascii="宋体" w:hAnsi="宋体" w:eastAsia="宋体" w:cs="宋体"/>
          <w:sz w:val="24"/>
          <w:lang w:val="en-US" w:eastAsia="zh-CN"/>
        </w:rPr>
        <w:t xml:space="preserve">的肿瘤形态学编码属于3、6、9（恶性肿瘤）范畴的疾病。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下列疾病不属于“恶性肿瘤——重度”，不在保障范围内：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ICD-O-3肿瘤形态学编码属于0（良性肿瘤）、1（动态未定性肿瘤）、2（原位癌和非侵袭性癌）范畴的疾病，如：</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原位癌，癌前病变，非浸润性癌，非侵袭性癌，肿瘤细胞未侵犯基底层，上皮内瘤变，细胞不典型性增生等；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交界性肿瘤，交界恶性肿瘤，肿瘤低度恶性潜能，潜在低度恶性肿瘤等；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TNM分期为Ⅰ期或更轻分期的甲状腺癌</w:t>
      </w:r>
      <w:r>
        <w:rPr>
          <w:rFonts w:hint="eastAsia" w:ascii="宋体" w:hAnsi="宋体" w:eastAsia="宋体" w:cs="宋体"/>
          <w:sz w:val="24"/>
          <w:lang w:val="en-US" w:eastAsia="zh-CN"/>
        </w:rPr>
        <w:footnoteReference w:id="4"/>
      </w:r>
      <w:r>
        <w:rPr>
          <w:rFonts w:hint="eastAsia" w:ascii="宋体" w:hAnsi="宋体" w:eastAsia="宋体" w:cs="宋体"/>
          <w:sz w:val="24"/>
          <w:lang w:val="en-US" w:eastAsia="zh-CN"/>
        </w:rPr>
        <w:t xml:space="preserve">；</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TNM分期为T1N0M0期或更轻分期的前列腺癌；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黑色素瘤以外的未发生淋巴结和远处转移的皮肤恶性肿瘤；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相当于Binet分期方案A期程度的慢性淋巴细胞白血病；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相当于Ann Arbor分期方案Ⅰ期程度的何杰金氏病；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未发生淋巴结和远处转移且WHO分级为G1级别（核分裂像&lt;10/50HPF和ki-67≤2%）或更轻分级的神经内分泌肿瘤。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4.3.2较重急性心肌梗死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较重急性心肌梗死指依照上述标准被明确诊断为急性心肌梗死，并且必须同时满足下列至少一项条件：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心肌损伤标志物肌钙蛋白（cTn）升高，至少一次检测结果达到该检验正常参考值上限的15倍（含）以上；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肌酸激酶同工酶（CK-MB）升高，至少一次检测结果达到该检验正常参考值上限的2倍（含）以上；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出现左心室收缩功能下降，在确诊6周以后，检测左室射血分数（LVEF）低于50%（不含）；</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影像学检查证实存在新发的乳头肌功能失调或断裂引起的中度（含）以上的二尖瓣反流；</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影像学检查证实存在新出现的室壁瘤；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出现室性心动过速、心室颤动或心源性休克。</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其他非冠状动脉阻塞性疾病所引起的肌钙蛋白（cTn）升高不在保障范围内。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4.3.3严重脑中风后遗症</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脑血管的突发病变引起脑血管出血、栓塞或梗塞，须由头颅断层扫描（CT）、核磁共振检查（MRI）等影像学检查证实，并导致神经系统永久性的功能障碍。神经系统永久性的功能障碍，指疾病确诊180天后，仍遗留下列至少一种障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一肢（含）以上肢体</w:t>
      </w:r>
      <w:r>
        <w:rPr>
          <w:rFonts w:hint="eastAsia" w:ascii="宋体" w:hAnsi="宋体" w:eastAsia="宋体" w:cs="宋体"/>
          <w:sz w:val="24"/>
          <w:lang w:val="en-US" w:eastAsia="zh-CN"/>
        </w:rPr>
        <w:footnoteReference w:id="5"/>
      </w:r>
      <w:r>
        <w:rPr>
          <w:rFonts w:hint="eastAsia" w:ascii="宋体" w:hAnsi="宋体" w:eastAsia="宋体" w:cs="宋体"/>
          <w:sz w:val="24"/>
          <w:lang w:val="en-US" w:eastAsia="zh-CN"/>
        </w:rPr>
        <w:t xml:space="preserve">肌力</w:t>
      </w:r>
      <w:r>
        <w:rPr>
          <w:rFonts w:hint="eastAsia" w:ascii="宋体" w:hAnsi="宋体" w:eastAsia="宋体" w:cs="宋体"/>
          <w:sz w:val="24"/>
          <w:lang w:val="en-US" w:eastAsia="zh-CN"/>
        </w:rPr>
        <w:footnoteReference w:id="6"/>
      </w:r>
      <w:r>
        <w:rPr>
          <w:rFonts w:hint="eastAsia" w:ascii="宋体" w:hAnsi="宋体" w:eastAsia="宋体" w:cs="宋体"/>
          <w:sz w:val="24"/>
          <w:lang w:val="en-US" w:eastAsia="zh-CN"/>
        </w:rPr>
        <w:t xml:space="preserve">2级（含）以下；</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语言能力完全丧失</w:t>
      </w:r>
      <w:r>
        <w:rPr>
          <w:rFonts w:hint="eastAsia" w:ascii="宋体" w:hAnsi="宋体" w:eastAsia="宋体" w:cs="宋体"/>
          <w:sz w:val="24"/>
          <w:lang w:val="en-US" w:eastAsia="zh-CN"/>
        </w:rPr>
        <w:footnoteReference w:id="7"/>
      </w:r>
      <w:r>
        <w:rPr>
          <w:rFonts w:hint="eastAsia" w:ascii="宋体" w:hAnsi="宋体" w:eastAsia="宋体" w:cs="宋体"/>
          <w:sz w:val="24"/>
          <w:lang w:val="en-US" w:eastAsia="zh-CN"/>
        </w:rPr>
        <w:t xml:space="preserve">，或严重咀嚼吞咽功能障碍</w:t>
      </w:r>
      <w:r>
        <w:rPr>
          <w:rFonts w:hint="eastAsia" w:ascii="宋体" w:hAnsi="宋体" w:eastAsia="宋体" w:cs="宋体"/>
          <w:sz w:val="24"/>
          <w:lang w:val="en-US" w:eastAsia="zh-CN"/>
        </w:rPr>
        <w:footnoteReference w:id="8"/>
      </w:r>
      <w:r>
        <w:rPr>
          <w:rFonts w:hint="eastAsia" w:ascii="宋体" w:hAnsi="宋体" w:eastAsia="宋体" w:cs="宋体"/>
          <w:sz w:val="24"/>
          <w:lang w:val="en-US" w:eastAsia="zh-CN"/>
        </w:rPr>
        <w:t xml:space="preserve">；</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自主生活能力完全丧失，无法独立完成六项基本日常生活活动</w:t>
      </w:r>
      <w:r>
        <w:rPr>
          <w:rFonts w:hint="eastAsia" w:ascii="宋体" w:hAnsi="宋体" w:eastAsia="宋体" w:cs="宋体"/>
          <w:sz w:val="24"/>
          <w:lang w:val="en-US" w:eastAsia="zh-CN"/>
        </w:rPr>
        <w:footnoteReference w:id="9"/>
      </w:r>
      <w:r>
        <w:rPr>
          <w:rFonts w:hint="eastAsia" w:ascii="宋体" w:hAnsi="宋体" w:eastAsia="宋体" w:cs="宋体"/>
          <w:sz w:val="24"/>
          <w:lang w:val="en-US" w:eastAsia="zh-CN"/>
        </w:rPr>
        <w:t xml:space="preserve">中的三项或三项以上。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4.3.4重大器官移植术或造血干细胞移植术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重大器官移植术，指因相应器官功能衰竭，已经实施了肾脏、肝脏、心脏、肺脏或小肠的异体移植手术。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造血干细胞移植术，指因造血功能损害或造血系统恶性肿瘤，已经实施了造血干细胞（包括骨髓造血干细胞、外周血造血干细胞和脐血造血干细胞）的移植手术。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4.3.5冠状动脉搭桥术（或称冠状动脉旁路移植术）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指为治疗严重的冠心病，已经实施了切开心包进行的冠状动脉血管旁路移植的手术。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所有未切开心包的冠状动脉介入治疗不在保障范围内。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4.3.6严重慢性肾衰竭</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双肾功能慢性不可逆性衰竭，依据肾脏病预后质量倡议（K/DOQI）制定的指南，分期达到慢性肾脏病5期，且经诊断后已经进行了至少90天的规律性透析治疗。规律性透析是指每周进行血液透析或每天进行腹膜透析。 </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4.3.7多个肢体缺失</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指因疾病或意外伤害导致两个或两个以上肢体自腕关节或踝关节近端（靠近躯干端）以上完全性断离。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4.3.8急性重症肝炎或亚急性重症肝炎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指因肝炎病毒感染引起肝脏组织弥漫性坏死，导致急性肝功能衰竭，且经血清学或病毒学检查证实，并须满足下列全部条件：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重度黄疸或黄疸迅速加重；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肝性脑病；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B超或其他影像学检查显示肝脏体积急速萎缩；</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肝功能指标进行性恶化。</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4.3.9严重非恶性颅内肿瘤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起源于脑、脑神经、脑被膜的非恶性肿瘤，ICD-O-3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已经实施了开颅进行的颅内肿瘤完全或部分切除手术；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已经实施了针对颅内肿瘤的放射治疗，如γ刀、质子重离子治疗等。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下列疾病不在保障范围内：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脑垂体瘤；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脑囊肿；</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颅内血管性疾病（如脑动脉瘤、脑动静脉畸形、海绵状血管瘤、毛细血管扩张症等）。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4.3.10严重慢性肝衰竭</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指因慢性肝脏疾病导致的肝衰竭，且须满足下列全部条件：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持续性黄疸；</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腹水；</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肝性脑病；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充血性脾肿大伴脾功能亢进或食管胃底静脉曲张。</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因酗酒或药物滥用导致的肝衰竭不在保障范围内。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4.3.11严重脑炎后遗症或严重脑膜炎后遗症</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指因患脑炎或脑膜炎导致的神经系统永久性的功能障碍。神经系统永久性的功能障碍，指经相关专科医生确诊疾病180天后，仍遗留下列至少一种障碍：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一肢（含）以上肢体肌力2级（含）以下；</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语言能力完全丧失，或严重咀嚼吞咽功能障碍；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由具有评估资格的专科医生根据临床痴呆评定量表（CDR，Clinical Dementia Rating）评估结果为3分；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自主生活能力完全丧失，无法独立完成六项基本日常生活活动中的三项或三项以上。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4.3.12深度昏迷</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指因疾病或意外伤害导致意识丧失，对外界刺激和体内需求均无反应，昏迷程度按照格拉斯哥昏迷分级（GCS，Glasgow Coma Scale）结果为5分或5分以下，且已经持续使用呼吸机及其他生命维持系统96小时以上。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因酗酒或药物滥用导致的深度昏迷不在保障范围内。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4.3.13双耳失聪</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指因疾病或意外伤害导致双耳听力永久不可逆</w:t>
      </w:r>
      <w:r>
        <w:rPr>
          <w:rFonts w:hint="eastAsia" w:ascii="宋体" w:hAnsi="宋体" w:eastAsia="宋体" w:cs="宋体"/>
          <w:sz w:val="24"/>
          <w:lang w:val="en-US" w:eastAsia="zh-CN"/>
        </w:rPr>
        <w:footnoteReference w:id="10"/>
      </w:r>
      <w:r>
        <w:rPr>
          <w:rFonts w:hint="eastAsia" w:ascii="宋体" w:hAnsi="宋体" w:eastAsia="宋体" w:cs="宋体"/>
          <w:sz w:val="24"/>
          <w:lang w:val="en-US" w:eastAsia="zh-CN"/>
        </w:rPr>
        <w:t xml:space="preserve">性丧失，在500赫兹、1000赫兹和2000赫兹语音频率下，平均听阈大于等于91分贝，且经纯音听力测试、声导抗检测或听觉诱发电位检测等证实。</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4.3.14双目失明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指因疾病或意外伤害导致双眼视力永久不可逆性丧失，双眼中较好眼须满足下列至少一项条件：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眼球缺失或摘除；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矫正视力低于0.02（采用国际标准视力表，如果使用其他视力表应进行换算）；</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视野半径小于5度。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4.3.15瘫痪</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疾病或意外伤害导致两肢或两肢以上肢体随意运动功能永久完全丧失。肢体随意运动功能永久完全丧失，指疾病确诊180天后或意外伤害发生180天后，每肢三大关节中的两大关节仍然完全僵硬，或肢体肌力在2级（含）以下。</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4.3.16心脏瓣膜手术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指为治疗心脏瓣膜疾病，已经实施了切开心脏进行的心脏瓣膜置换或修复的手术。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所有未切开心脏的心脏瓣膜介入手术不在保障范围内。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4.3.17严重阿尔茨海默病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由具有评估资格的专科医生根据临床痴呆评定量表（CDR，Clinical Dementia Rating）评估结果为3分；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自主生活能力完全丧失，无法独立完成六项基本日常生活活动中的三项或三项以上。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阿尔茨海默病之外的其他类型痴呆不在保障范围内。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4.3.18严重脑损伤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头部遭受机械性外力，引起脑重要部位损伤，导致神经系统永久性的功能障碍。须由头颅断层扫描（CT）、核磁共振检查（MRI）或正电子发射断层扫描（PET）等影像学检查证实。神经系统永久性的功能障碍，指脑损伤180天后，仍遗留下列至少一种障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一肢（含）以上肢体肌力2级（含）以下；</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语言能力完全丧失，或严重咀嚼吞咽功能障碍；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自主生活能力完全丧失，无法独立完成六项基本日常生活活动中的三项或三项以上。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4.3.19严重原发性帕金森病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是一种中枢神经系统的退行性疾病，临床表现为运动迟缓、静止性震颤或肌强直等，经相关专科医生确诊，且须满足自主生活能力完全丧失，无法独立完成六项基本日常生活活动中的三项或三项以上。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继发性帕金森综合征、帕金森叠加综合征不在保障范围内。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4.3.20严重Ⅲ度烧伤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指烧伤程度为Ⅲ度，且Ⅲ度烧伤的面积达到全身体表面积的20％或20％以上。体表面积根据《中国新九分法》计算。</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4.3.21严重特发性肺动脉高压</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指不明原因的肺动脉压力持续性增高，进行性发展而导致的慢性疾病，已经造成永久不可逆性的体力活动能力受限，达到美国纽约心脏病学会（New York Heart Association，NYHA）心功能状态分级</w:t>
      </w:r>
      <w:r>
        <w:rPr>
          <w:rFonts w:hint="eastAsia" w:ascii="宋体" w:hAnsi="宋体" w:eastAsia="宋体" w:cs="宋体"/>
          <w:sz w:val="24"/>
          <w:lang w:val="en-US" w:eastAsia="zh-CN"/>
        </w:rPr>
        <w:footnoteReference w:id="11"/>
      </w:r>
      <w:r>
        <w:rPr>
          <w:rFonts w:hint="eastAsia" w:ascii="宋体" w:hAnsi="宋体" w:eastAsia="宋体" w:cs="宋体"/>
          <w:sz w:val="24"/>
          <w:lang w:val="en-US" w:eastAsia="zh-CN"/>
        </w:rPr>
        <w:t xml:space="preserve">IV级，且静息状态下肺动脉平均压在36mmHg（含）以上。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4.3.22严重运动神经元病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是一组中枢神经系统运动神经元的进行性变性疾病，包括进行性脊肌萎缩症、进行性延髓麻痹症、原发性侧索硬化症、肌萎缩性侧索硬化症,经相关专科医生确诊，且须满足下列至少一项条件：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严重咀嚼吞咽功能障碍；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呼吸肌麻痹导致严重呼吸困难，且已经持续使用呼吸机7天（含）以上；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自主生活能力完全丧失，无法独立完成六项基本日常生活活动中的三项或三项以上。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4.3.23语言能力丧失</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指因疾病或意外伤害导致语言能力完全丧失，经过积极治疗至少12个月（声带完全切除不受此时间限制），仍无法通过现有医疗手段恢复。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精神心理因素所致的语言能力丧失不在保障范围内。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4.3.24重型再生障碍性贫血</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指因骨髓造血功能慢性持续性衰竭导致的贫血、中性粒细胞减少及血小板减少，且须满足下列全部条件：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骨髓穿刺检查或骨髓活检结果支持诊断：骨髓细胞增生程度&lt;正常的25%；如≥正常的25%但&lt;50%，则残存的造血细胞应&lt;30%；</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外周血象须具备以下三项条件中的两项：</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中性粒细胞绝对值&lt;0.5×109/L；</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网织红细胞计数&lt;20×109/L；</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血小板绝对值&lt;20×109/L。</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4.3.25主动脉手术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所有未实施开胸或开腹的动脉内介入治疗不在保障范围内。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4.3.26严重慢性呼吸衰竭</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指因慢性呼吸系统疾病导致永久不可逆性的呼吸衰竭，经过积极治疗180天后满足以下所有条件：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静息时出现呼吸困难；</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肺功能第一秒用力呼气容积（FEV1）占预计值的百分比＜30%；</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在静息状态、呼吸空气条件下，动脉血氧分压（PaO2）＜50mmHg。</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4.3.27严重克罗恩病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指一种慢性肉芽肿性肠炎，具有特征性的克罗恩病（Crohn病）病理组织学变化，须根据组织病理学特点诊断，且已经造成瘘管形成并伴有肠梗阻或肠穿孔。 </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4.3.28严重溃疡性结肠炎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指伴有致命性电解质紊乱的急性暴发性溃疡性结肠炎，病变已经累及全结肠，表现为严重的血便和系统性症状体征，须根据组织病理学特点诊断，且已经实施了结肠切除或回肠造瘘术。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上述定义依照中国保险行业协会与中国医师协会联合发布的《重大疾病保险的疾病定义使用规范（2020年修订版）》制定。</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4.4意外伤害</w:t>
      </w:r>
      <w:r/>
    </w:p>
    <w:p>
      <w:pPr>
        <w:pStyle w:val="1199"/>
        <w:ind w:firstLine="480"/>
        <w:tabs>
          <w:tab w:val="left" w:pos="3501" w:leader="none"/>
        </w:tabs>
        <w:rPr>
          <w:rFonts w:hint="eastAsia" w:ascii="宋体" w:hAnsi="宋体" w:eastAsia="宋体" w:cs="宋体"/>
          <w:sz w:val="24"/>
          <w:lang w:val="en-US" w:eastAsia="zh-CN"/>
        </w:rPr>
      </w:pPr>
      <w:r/>
      <w:bookmarkStart w:id="77" w:name="_9.3_重大疾病"/>
      <w:r/>
      <w:bookmarkEnd w:id="77"/>
      <w:r>
        <w:rPr>
          <w:rFonts w:hint="eastAsia" w:ascii="宋体" w:hAnsi="宋体" w:eastAsia="宋体" w:cs="宋体"/>
          <w:sz w:val="24"/>
          <w:lang w:val="en-US" w:eastAsia="zh-CN"/>
        </w:rPr>
        <w:t xml:space="preserve">指以外来的、突发的、非本意的、非疾病的客观事件为直接且单独的原因致使身体受到的伤害。以下情形属于疾病范畴，非本条款所指意外伤害：</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猝死；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过敏及由过敏引发的变态反应性疾病；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高原反应；</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中暑；</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细菌、病毒或其他病原体导致的感染性疾病。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4.5发病、首次发病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发病，是指被保险人出现本附加险合同约定的疾病或接受本附加险合同约定的手术的前兆、症状或异常的身体状况，或已经显现足以促使一般普通谨慎人士引起注意并寻求诊断、治疗或护理的病症。</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首次发病，是指被保险人第一次发生并首次被确诊患上本附加险合同约定的疾病，并且该疾病在该被保险人获得被保资格前并未发病或有任何身体的前兆、症状或异常状况；或被保险人第一次接受本附加险合同约定的手术，并且在该被保险人获得被保资格前未出现该手术对应的任何身体的前兆、症状或异常状况。</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4.6等待期</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是指自被保险人获得被保资格之日起计算的一段时间（该时间以保险单载明为准；若保险单未载明则该时间视为90日），经过该段时间后，保险人才对被保险人承担给付保险金责任；在此期间，尽管保险合同已经生效，但保险人并不承担给付保险金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续保的情况下，等待期为0日。本保险合同期满前，投保人可向保险人申请续保，经保险人审核后予以承保；续保合同保险期间的起始日期与续保对应上一保险合同保险期间的终止日期相连不间断。</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被保险人因意外伤害造成本附加险合同约定的疾病、达到疾病状态或进行手术的，等待期为0日。</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4.7轻度疾病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是指符合下列定义的疾病或被保险人首次接受符合下列定义的手术：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4.7.1恶性肿瘤——轻度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恶性细胞不受控制的进行性增长和扩散，浸润和破坏周围正常组织，可以经血管、淋巴管和体腔扩散转移到身体其他部位，病灶经组织病理学检查（涵盖骨髓病理学检查）结果明确诊断，临床诊断属于世界卫生组织（WHO，World Health Organization）《疾病和有关健康问题的国际统计分类》第十次修订版（ICD-10）的恶性肿瘤类别及《国际疾病分类肿瘤学专辑》第三版（ICD-O-3）的肿瘤形态学编码属于3、6、9（恶性肿瘤）范畴，但不在“恶性肿瘤——重度”保障范围的疾病。且特指下列六项之一：</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TNM分期为Ⅰ期的甲状腺癌；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TNM分期为T1N0M0期的前列腺癌；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黑色素瘤以外的未发生淋巴结和远处转移的皮肤恶性肿瘤；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相当于Binet分期方案A期程度的慢性淋巴细胞白血病；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相当于Ann Arbor分期方案Ⅰ期程度的何杰金氏病；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未发生淋巴结和远处转移且WHO分级为G1级别（核分裂像&lt;10/50HPF和ki-67≤2%）的神经内分泌肿瘤。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下列疾病不属于“恶性肿瘤——轻度”，不在保障范围内：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ICD-O-3肿瘤形态学编码属于0（良性肿瘤）、1（动态未定性肿瘤）、2（原位癌和非侵袭性癌）范畴的疾病，如：</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原位癌，癌前病变，非浸润性癌，非侵袭性癌，肿瘤细胞未侵犯基底层，上皮内瘤变，细胞不典型性增生等；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交界性肿瘤，交界恶性肿瘤，肿瘤低度恶性潜能，潜在低度恶性肿瘤等。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4.7.2较轻急性心肌梗死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较轻急性心肌梗死指依照上述标准被明确诊断为急性心肌梗死，但未达到“较重急性心肌梗死”的给付标准。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其他非冠状动脉阻塞性疾病引起的肌钙蛋白（cTn）升高不在保障范围内。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4.7.3轻度脑中风后遗症</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脑血管的突发病变引起脑血管出血、栓塞或梗塞，须由头颅断层扫描（CT）、核磁共振检查（MRI）等影像学检查证实，并导致神经系统永久性的功能障碍，但未达到“严重脑中风后遗症”的给付标准，在疾病确诊180天后，仍遗留下列至少一种障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一肢（含）以上肢体肌力为3级；</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自主生活能力部分丧失，无法独立完成六项基本日常生活活动中的两项。</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上述疾病定义依照中国保险行业协会与中国医师协会联合发布的《重大疾病保险的疾病定义使用规范（2020年修订版）》制定。</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4.8酒后驾驶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4.9无合法有效驾驶证</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指被保险人存在下列情形之一：</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无驾驶证或驾驶证有效期已届满；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驾驶的机动车与驾驶证载明的准驾车型不符；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实习期内驾驶公共汽车、营运客车或者载有爆炸物品、易燃易爆化学物品、剧毒或者放射性等危险物品的机动车，实习期内驾驶的机动车牵引挂车；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持未按规定审验的驾驶证，以及在暂扣、扣留、吊销、注销驾驶证期间驾驶机动车；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使用各种专用机械车、特种车的人员无国家有关部门核发的有效操作证，驾驶营业性客车的驾驶人无国家有关部门核发的有效资格证书；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依照法律法规或公安机关交通管理部门有关规定不允许驾驶机动车的其他情况下驾车。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4.10无合法有效行驶证</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4.11感染艾滋病病毒或患艾滋病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艾滋病病毒指人类免疫缺陷病毒，英文缩写为HIV。艾滋病指人类免疫缺陷病毒引起的获得性免疫缺陷综合征，英文缩写为AIDS。</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在人体血液或其它样本中检测到艾滋病病毒或其抗体呈阳性，没有出现临床症状或体征的，为感染艾滋病病毒；如果同时出现了明显临床症状或体征的，为患艾滋病。</w:t>
      </w:r>
      <w:r/>
    </w:p>
    <w:p>
      <w:pPr>
        <w:pStyle w:val="1199"/>
        <w:ind w:firstLine="480"/>
        <w:tabs>
          <w:tab w:val="left" w:pos="3501" w:leader="none"/>
        </w:tabs>
        <w:rPr>
          <w:rFonts w:hint="eastAsia" w:ascii="宋体" w:hAnsi="宋体" w:eastAsia="宋体" w:cs="宋体"/>
          <w:sz w:val="24"/>
          <w:lang w:val="en-US" w:eastAsia="zh-CN"/>
        </w:rPr>
      </w:pPr>
      <w:r/>
      <w:bookmarkStart w:id="78" w:name="_4.6_遗传性疾病"/>
      <w:r/>
      <w:bookmarkEnd w:id="78"/>
      <w:r>
        <w:rPr>
          <w:rFonts w:hint="eastAsia" w:ascii="宋体" w:hAnsi="宋体" w:eastAsia="宋体" w:cs="宋体"/>
          <w:sz w:val="24"/>
          <w:lang w:val="en-US" w:eastAsia="zh-CN"/>
        </w:rPr>
        <w:t xml:space="preserve">4.12遗传性疾病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指生殖细胞或受精卵的遗传物质（染色体和基因）发生突变或畸变所引起的疾病，通常具有由亲代传至后代的垂直传递的特征。</w:t>
      </w:r>
      <w:r/>
    </w:p>
    <w:p>
      <w:pPr>
        <w:pStyle w:val="1199"/>
        <w:ind w:firstLine="480"/>
        <w:tabs>
          <w:tab w:val="left" w:pos="3501" w:leader="none"/>
        </w:tabs>
        <w:rPr>
          <w:rFonts w:hint="eastAsia" w:ascii="宋体" w:hAnsi="宋体" w:eastAsia="宋体" w:cs="宋体"/>
          <w:sz w:val="24"/>
          <w:lang w:val="en-US" w:eastAsia="zh-CN"/>
        </w:rPr>
      </w:pPr>
      <w:r/>
      <w:bookmarkStart w:id="79" w:name="_4.7_先天性畸形、变形或染色体异常"/>
      <w:r/>
      <w:bookmarkEnd w:id="79"/>
      <w:r>
        <w:rPr>
          <w:rFonts w:hint="eastAsia" w:ascii="宋体" w:hAnsi="宋体" w:eastAsia="宋体" w:cs="宋体"/>
          <w:sz w:val="24"/>
          <w:lang w:val="en-US" w:eastAsia="zh-CN"/>
        </w:rPr>
        <w:t xml:space="preserve">4.13先天性畸形、变形或染色体异常</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指被保险人出生时就具有的畸形、变形或染色体异常。先天性畸形、变形和染色体异常依照世界卫生组织《疾病和有关健康问题的国际统计分类》（ICD-10）确定。</w:t>
      </w:r>
      <w:bookmarkStart w:id="80" w:name="_4.15_既往症"/>
      <w:r/>
      <w:bookmarkEnd w:id="80"/>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4.14保险金申请人</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除另有约定外，本附加险合同的保险金申请人是指被保险人本人。</w:t>
      </w:r>
      <w:bookmarkStart w:id="81" w:name="_4.9_既往症"/>
      <w:r/>
      <w:bookmarkEnd w:id="81"/>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附录：甲状腺癌的TNM分期定义标准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甲状腺乳头状癌、滤泡癌、低分化癌、Hürthle细胞癌和未分化癌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pTX：原发肿瘤不能评估</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pT0：无肿瘤证据</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pT1：肿瘤局限在甲状腺内，最大径≤2cm</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T1a肿瘤最大径≤1cm</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T1b肿瘤最大径＞1cm，≤2cm</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pT2：肿瘤2～4cm</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pT3：肿瘤&gt;4cm，局限于甲状腺内或大体侵犯甲状腺外带状肌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pT3a：肿瘤&gt;4cm，局限于甲状腺内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pT3b：大体侵犯甲状腺外带状肌，无论肿瘤大小</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带状肌包括：胸骨舌骨肌、胸骨甲状肌、甲状舌骨肌、肩胛舌骨肌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pT4：大体侵犯甲状腺外带状肌外</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pT4a：侵犯喉、气管、食管、喉反神经及皮下软组织</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pT4b：侵犯椎前筋膜，或包裹颈动脉、纵隔血管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甲状腺髓样癌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pTX：原发肿瘤不能评估</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pT0：无肿瘤证据</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pT1：肿瘤局限在甲状腺内，最大径≤2cm</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T1a肿瘤最大径≤1cm</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T1b肿瘤最大径＞1cm，≤2cm</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pT2：肿瘤2～4cm</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pT3：肿瘤&gt;4cm，局限于甲状腺内或大体侵犯甲状腺外带状肌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pT3a：肿瘤&gt;4cm，局限于甲状腺内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pT3b：大体侵犯甲状腺外带状肌，无论肿瘤大小</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带状肌包括：胸骨舌骨肌、胸骨甲状肌、甲状舌骨肌、肩胛舌骨肌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pT4：进展期病变</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pT4a：中度进展，任何大小的肿瘤，侵犯甲状腺外颈部周围器官和软组织，如喉、气管、食管、喉反神经及皮下软组织</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pT4b：重度进展，任何大小的肿瘤，侵犯椎前筋膜，或包裹颈动脉、纵隔血管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区域淋巴结：适用于所有甲状腺癌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pNx：区域淋巴结无法评估</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pN0：无淋巴结转移证据</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pN1：区域淋巴结转移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pN1a：转移至Ⅵ、Ⅶ区（包括气管旁、气管前、喉前/Delphian或上纵隔）淋巴结，可以为单侧或双侧。</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pN1b：单侧、双侧或对侧颈淋巴结转移（包括Ⅰ、Ⅱ、Ⅲ、Ⅳ或Ⅴ区）淋巴结或咽后淋巴结转移。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远处转移：适用于所有甲状腺癌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M0：无远处转移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M1：有远处转移</w:t>
      </w:r>
      <w:r/>
    </w:p>
    <w:tbl>
      <w:tblPr>
        <w:tblStyle w:val="1025"/>
        <w:tblW w:w="7335" w:type="dxa"/>
        <w:jc w:val="center"/>
        <w:tblLayout w:type="fixed"/>
        <w:tblCellMar>
          <w:left w:w="108" w:type="dxa"/>
          <w:top w:w="0" w:type="dxa"/>
          <w:right w:w="108" w:type="dxa"/>
          <w:bottom w:w="0" w:type="dxa"/>
        </w:tblCellMar>
        <w:tblLook w:val="04A0" w:firstRow="1" w:lastRow="0" w:firstColumn="1" w:lastColumn="0" w:noHBand="0" w:noVBand="1"/>
      </w:tblPr>
      <w:tblGrid>
        <w:gridCol w:w="2425"/>
        <w:gridCol w:w="1768"/>
        <w:gridCol w:w="1561"/>
        <w:gridCol w:w="1581"/>
      </w:tblGrid>
      <w:tr>
        <w:trPr>
          <w:jc w:val="center"/>
          <w:trHeight w:val="288"/>
        </w:trPr>
        <w:tc>
          <w:tcPr>
            <w:gridSpan w:val="4"/>
            <w:tcBorders>
              <w:top w:val="single" w:color="000000" w:sz="8" w:space="0"/>
              <w:left w:val="single" w:color="000000" w:sz="8" w:space="0"/>
              <w:bottom w:val="single" w:color="000000" w:sz="4" w:space="0"/>
              <w:right w:val="single" w:color="000000" w:sz="8" w:space="0"/>
            </w:tcBorders>
            <w:tcW w:w="733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乳头状或滤泡状癌（分化型）</w:t>
            </w:r>
            <w:r/>
          </w:p>
        </w:tc>
      </w:tr>
      <w:tr>
        <w:trPr>
          <w:jc w:val="center"/>
          <w:trHeight w:val="260"/>
        </w:trPr>
        <w:tc>
          <w:tcPr>
            <w:gridSpan w:val="4"/>
            <w:tcBorders>
              <w:top w:val="single" w:color="000000" w:sz="4" w:space="0"/>
              <w:left w:val="single" w:color="000000" w:sz="8" w:space="0"/>
              <w:bottom w:val="single" w:color="000000" w:sz="4" w:space="0"/>
              <w:right w:val="single" w:color="000000" w:sz="8" w:space="0"/>
            </w:tcBorders>
            <w:tcW w:w="733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年龄＜55岁</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T</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N</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M</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r>
      <w:tr>
        <w:trPr>
          <w:jc w:val="center"/>
          <w:trHeight w:val="260"/>
        </w:trPr>
        <w:tc>
          <w:tcPr>
            <w:gridSpan w:val="4"/>
            <w:tcBorders>
              <w:top w:val="single" w:color="000000" w:sz="4" w:space="0"/>
              <w:left w:val="single" w:color="000000" w:sz="8" w:space="0"/>
              <w:bottom w:val="single" w:color="000000" w:sz="4" w:space="0"/>
              <w:right w:val="single" w:color="000000" w:sz="8" w:space="0"/>
            </w:tcBorders>
            <w:tcW w:w="733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年龄≥55岁</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1～2</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3a～3b</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Ⅲ期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4a</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4b</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r>
      <w:tr>
        <w:trPr>
          <w:jc w:val="center"/>
          <w:trHeight w:val="288"/>
        </w:trPr>
        <w:tc>
          <w:tcPr>
            <w:gridSpan w:val="4"/>
            <w:tcBorders>
              <w:top w:val="single" w:color="000000" w:sz="4" w:space="0"/>
              <w:left w:val="single" w:color="000000" w:sz="8" w:space="0"/>
              <w:bottom w:val="single" w:color="000000" w:sz="4" w:space="0"/>
              <w:right w:val="single" w:color="000000" w:sz="8" w:space="0"/>
            </w:tcBorders>
            <w:tcW w:w="733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髓样癌（所有年龄组）</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2～3</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Ⅲ期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1a</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4a</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1b</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4b</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ⅣC期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r>
      <w:tr>
        <w:trPr>
          <w:jc w:val="center"/>
          <w:trHeight w:val="288"/>
        </w:trPr>
        <w:tc>
          <w:tcPr>
            <w:gridSpan w:val="4"/>
            <w:tcBorders>
              <w:top w:val="single" w:color="000000" w:sz="4" w:space="0"/>
              <w:left w:val="single" w:color="000000" w:sz="8" w:space="0"/>
              <w:bottom w:val="single" w:color="000000" w:sz="4" w:space="0"/>
              <w:right w:val="single" w:color="000000" w:sz="8" w:space="0"/>
            </w:tcBorders>
            <w:tcW w:w="733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未分化癌（所有年龄组）</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1～3a</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1～3a</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3b～4</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jc w:val="center"/>
          <w:trHeight w:val="274"/>
        </w:trPr>
        <w:tc>
          <w:tcPr>
            <w:tcBorders>
              <w:top w:val="none" w:color="000000" w:sz="4" w:space="0"/>
              <w:left w:val="single" w:color="000000" w:sz="8" w:space="0"/>
              <w:bottom w:val="single" w:color="000000" w:sz="8" w:space="0"/>
              <w:right w:val="single" w:color="000000" w:sz="4" w:space="0"/>
            </w:tcBorders>
            <w:tcW w:w="2425"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ⅣC期</w:t>
            </w:r>
            <w:r/>
          </w:p>
        </w:tc>
        <w:tc>
          <w:tcPr>
            <w:tcBorders>
              <w:top w:val="none" w:color="000000" w:sz="4" w:space="0"/>
              <w:left w:val="none" w:color="000000" w:sz="4" w:space="0"/>
              <w:bottom w:val="single" w:color="000000" w:sz="8" w:space="0"/>
              <w:right w:val="single" w:color="000000" w:sz="4" w:space="0"/>
            </w:tcBorders>
            <w:tcW w:w="1768"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8" w:space="0"/>
              <w:right w:val="single" w:color="000000" w:sz="4" w:space="0"/>
            </w:tcBorders>
            <w:tcW w:w="156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r>
    </w:tbl>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注：以上表格中“年龄”指患者病理组织标本获取日期时的年龄。</w:t>
      </w:r>
      <w:r/>
    </w:p>
    <w:p>
      <w:pPr>
        <w:pStyle w:val="1199"/>
        <w:jc w:val="center"/>
        <w:tabs>
          <w:tab w:val="left" w:pos="3501" w:leader="none"/>
        </w:tabs>
        <w:rPr>
          <w:rFonts w:hint="eastAsia" w:ascii="宋体" w:hAnsi="宋体" w:eastAsia="宋体" w:cs="宋体"/>
          <w:sz w:val="24"/>
          <w:lang w:eastAsia="zh-CN"/>
        </w:rPr>
      </w:pPr>
      <w:r>
        <w:rPr>
          <w:rFonts w:hint="eastAsia" w:ascii="宋体" w:hAnsi="宋体" w:eastAsia="宋体" w:cs="宋体"/>
          <w:sz w:val="24"/>
          <w:lang w:eastAsia="zh-CN"/>
        </w:rPr>
        <w:br w:type="page" w:clear="all"/>
      </w:r>
      <w:r>
        <w:rPr>
          <w:rFonts w:hint="eastAsia" w:ascii="宋体" w:hAnsi="宋体" w:eastAsia="宋体" w:cs="宋体"/>
          <w:b/>
          <w:bCs/>
          <w:sz w:val="30"/>
          <w:szCs w:val="30"/>
          <w:lang w:val="en-US" w:eastAsia="zh-CN" w:bidi="ar-SA"/>
        </w:rPr>
        <w:t xml:space="preserve">附加重大疾病住院津贴保险条款</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1总则</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1.1投保附加险的条件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本条款为本保险单约定的意外健康险类主险的附加险条款。只有在投保了主险的基础上，方可投保本附加险。</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1.2主险与附加险关系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凡涉及本附加险合同的约定，均应采用书面形式。主险合同与本附加险合同相抵触之处，以本附加险合同为准；本附加险合同未约定事项，以主险合同为准。主险合同无效，本附加险合同亦无效。</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1.3受益人</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除另有约定外，本附加险合同保险金的受益人为被保险人本人。</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2保障内容</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2.1疾病范围</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经保险人同意，投保人可以在下列（1）（2）疾病病种范围中选择其中一种投保，并在保险单中载明。保险人仅对所选择投保的疾病病种承担相应的保险责任。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重大疾病：指仅投保重大疾病（见释义）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重大疾病（含轻症）：指投保重大疾病和轻度疾病（见释义）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2.2保险责任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自获得被保资格（见释义）之日起发生以下情况之一，并在保险期间内被专科医生（见释义）首次确诊为上述2.1约定投保的疾病病种中的一种或多种，且被保险人因该疾病在保险期间内在指定医疗机构（见释义）进行住院（见释义）治疗，对于该被保险人的实际住院日数（见释义），保险人按照《住院津贴给付表》的约定给付重大疾病住院津贴保险金。</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被保险人遭受意外伤害（见释义），并在保险期间内因该意外伤害造成所选择投保的疾病病种中的一种或多种首次发病（见释义）；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被保险人经过本附加险合同约定的等待期（见释义）后，在保险期间内首次发病。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《津贴给付表》</w:t>
      </w:r>
      <w:r/>
    </w:p>
    <w:tbl>
      <w:tblPr>
        <w:tblStyle w:val="1025"/>
        <w:tblW w:w="8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6120"/>
      </w:tblGrid>
      <w:tr>
        <w:trPr>
          <w:jc w:val="center"/>
        </w:trPr>
        <w:tc>
          <w:tcPr>
            <w:tcW w:w="2160" w:type="dxa"/>
            <w:vAlign w:val="center"/>
            <w:textDirection w:val="lrTb"/>
            <w:noWrap w:val="false"/>
          </w:tcPr>
          <w:p>
            <w:pPr>
              <w:pStyle w:val="1199"/>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实际住院日数</w:t>
            </w:r>
            <w:r/>
          </w:p>
        </w:tc>
        <w:tc>
          <w:tcPr>
            <w:tcW w:w="6120" w:type="dxa"/>
            <w:vAlign w:val="center"/>
            <w:textDirection w:val="lrTb"/>
            <w:noWrap w:val="false"/>
          </w:tcPr>
          <w:p>
            <w:pPr>
              <w:pStyle w:val="1199"/>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每次重大疾病住院津贴保险金</w:t>
            </w:r>
            <w:r/>
          </w:p>
        </w:tc>
      </w:tr>
      <w:tr>
        <w:trPr>
          <w:jc w:val="center"/>
        </w:trPr>
        <w:tc>
          <w:tcPr>
            <w:tcW w:w="2160" w:type="dxa"/>
            <w:vAlign w:val="center"/>
            <w:textDirection w:val="lrTb"/>
            <w:noWrap w:val="false"/>
          </w:tcPr>
          <w:p>
            <w:pPr>
              <w:pStyle w:val="1199"/>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不超过免赔日数</w:t>
            </w:r>
            <w:r/>
          </w:p>
        </w:tc>
        <w:tc>
          <w:tcPr>
            <w:tcW w:w="6120" w:type="dxa"/>
            <w:vAlign w:val="center"/>
            <w:textDirection w:val="lrTb"/>
            <w:noWrap w:val="false"/>
          </w:tcPr>
          <w:p>
            <w:pPr>
              <w:pStyle w:val="1199"/>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无</w:t>
            </w:r>
            <w:r/>
          </w:p>
        </w:tc>
      </w:tr>
      <w:tr>
        <w:trPr>
          <w:jc w:val="center"/>
        </w:trPr>
        <w:tc>
          <w:tcPr>
            <w:tcW w:w="2160" w:type="dxa"/>
            <w:vAlign w:val="center"/>
            <w:textDirection w:val="lrTb"/>
            <w:noWrap w:val="false"/>
          </w:tcPr>
          <w:p>
            <w:pPr>
              <w:pStyle w:val="1199"/>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超过免赔日数</w:t>
            </w:r>
            <w:r/>
          </w:p>
        </w:tc>
        <w:tc>
          <w:tcPr>
            <w:tcW w:w="6120" w:type="dxa"/>
            <w:vAlign w:val="center"/>
            <w:textDirection w:val="lrTb"/>
            <w:noWrap w:val="false"/>
          </w:tcPr>
          <w:p>
            <w:pPr>
              <w:pStyle w:val="1199"/>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如（实际住院日数-免赔日数）&lt; 每次最高给付日数，则</w:t>
            </w:r>
            <w:r/>
          </w:p>
          <w:p>
            <w:pPr>
              <w:pStyle w:val="1199"/>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每次重大疾病住院津贴保险金 = 每日重大疾病住院津贴金额 × （实际住院日数-免赔日数）</w:t>
            </w:r>
            <w:r/>
          </w:p>
          <w:p>
            <w:pPr>
              <w:pStyle w:val="1199"/>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如（实际住院日数-免赔日数）&gt; 每次最高给付日数，则</w:t>
            </w:r>
            <w:r/>
          </w:p>
          <w:p>
            <w:pPr>
              <w:pStyle w:val="1199"/>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每次重大疾病住院津贴保险金 = 每日重大疾病住院津贴金额 × 每次最高给付日数</w:t>
            </w:r>
            <w:r/>
          </w:p>
        </w:tc>
      </w:tr>
    </w:tbl>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每日住院津贴金额、住院免赔日数、每次住院最高给付日数以保险单载明为准；若未载明的，则住院免赔日数视为0日、每次住院最高给付日数视为180日。</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本附加险合同项下，保险人在保险期间内累计承担的住院津贴的给付日数（即住院总给付日数）不超过180日（含第180日）。</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若被保险人因同一原因多次住院，前次出院与后次住院日期间隔未达90日的，则视为同一次住院。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2.3责任免除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2.3.1因下列情形之一，导致被保险人发生疾病、达到疾病状态或进行手术的，保险人不承担保险责任：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投保人对被保险人的故意杀害、故意伤害；</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被保险人故意犯罪或抗拒依法采取的刑事强制措施；</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被保险人故意自伤或自杀，但被保险人自杀时为无民事行为能力人的除外；</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被保险人服用、吸食或注射毒品；</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被保险人酒后驾驶（见释义）、无合法有被保险人感染艾滋病病毒或患艾滋病（见释义）；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战争、军事冲突、暴乱或武装叛乱；</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核爆炸、核辐射或核污染；效驾驶证（见释义）驾驶，或驾驶无合法有效行驶证（见释义）的机动车；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遗传性疾病（见释义），先天性畸形、变形或染色体异常（见释义）。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2.3.2对于下列治疗行为，保险人不承担给付保险金责任：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被保险人在家自设病床治疗，或在门诊观察室、急诊观察室、其他非正式病房、联合病房的治疗；</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被保险人不符合入院标准住院、</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"_4.9_挂床住院"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挂床住院（见释义）</w:t>
      </w: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或应当出院但拒不出院而造成的延长住院。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2.3.3被保险人在获得被保资格前已经确诊罹患本附加险合同约定的疾病，或已经出现本附加险合同约定的疾病的前兆、症状或异常的身体状况的，保险人不承担给付保险金责任。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2.3.4被保险人非因意外伤害在等待期内确诊罹患本附加险合同约定的疾病，或者非因意外伤害在等待期内首次发病、但在等待期后确诊罹患本附加险合同约定的疾病的，保险人不承担给付保险金责任，并退还该被保险人已交纳的保险费，对该被保险人的保险责任终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3保险金申请</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金申请人（见释义）向保险人申请给付保险金时，应填写保险金给付申请书，并提交以下材料。保险金申请人因特殊原因不能提供以下材料的，应提供其它合法有效的材料。若保险金申请人委托他人申请的，还应提供授权委托书原件、委托人和受托人的身份证明等相关证明文件。保险人按照本保险合同的约定，认为有关的证明和资料不完整的，应当及时一次性通知保险金申请人补充提供。保险金申请人未能提供有关材料，导致保险人无法核实该申请的真实性的，保险人对无法核实部分不承担给付保险金的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保险金给付申请书；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保险单；</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保险金申请人、被保险人的身份证明；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专科医生出具的附有病历、必需的病理检验、血液检验及其他科学诊断报告的诊断书或手术证明；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指定医疗机构出具的医疗费用发票/收据、费用明细清单/帐、病历、出院小结、诊断证明及其他医疗记录等；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保险金申请人所能提供的与确认保险事故的性质、原因、损失程度等有关的其他证明和资料。</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 释义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4.1重大疾病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是指符合下列定义的疾病或被保险人首次接受符合下列定义的手术：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4.1.1恶性肿瘤——重度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指恶性细胞不受控制的进行性增长和扩散，浸润和破坏周围正常组织，可以经血管、淋巴管和体腔扩散转移到身体其他部位，病灶经组织病理学检查（涵盖骨髓病理学检查）</w:t>
      </w:r>
      <w:r>
        <w:rPr>
          <w:rFonts w:hint="eastAsia" w:ascii="宋体" w:hAnsi="宋体" w:eastAsia="宋体" w:cs="宋体"/>
          <w:sz w:val="24"/>
          <w:lang w:val="en-US" w:eastAsia="zh-CN"/>
        </w:rPr>
        <w:footnoteReference w:id="12"/>
      </w:r>
      <w:r>
        <w:rPr>
          <w:rFonts w:hint="eastAsia" w:ascii="宋体" w:hAnsi="宋体" w:eastAsia="宋体" w:cs="宋体"/>
          <w:sz w:val="24"/>
          <w:lang w:val="en-US" w:eastAsia="zh-CN"/>
        </w:rPr>
        <w:t xml:space="preserve">结果明确诊断，临床诊断属于世界卫生组织（WHO，World Health Organization）《疾病和有关健康问题的国际统计分类》第十次修订版（ICD-10）的恶性肿瘤类别及《国际疾病分类肿瘤学专辑》第三版（ICD-O-3）</w:t>
      </w:r>
      <w:r>
        <w:rPr>
          <w:rFonts w:hint="eastAsia" w:ascii="宋体" w:hAnsi="宋体" w:eastAsia="宋体" w:cs="宋体"/>
          <w:sz w:val="24"/>
          <w:lang w:val="en-US" w:eastAsia="zh-CN"/>
        </w:rPr>
        <w:footnoteReference w:id="13"/>
      </w:r>
      <w:r>
        <w:rPr>
          <w:rFonts w:hint="eastAsia" w:ascii="宋体" w:hAnsi="宋体" w:eastAsia="宋体" w:cs="宋体"/>
          <w:sz w:val="24"/>
          <w:lang w:val="en-US" w:eastAsia="zh-CN"/>
        </w:rPr>
        <w:t xml:space="preserve">的肿瘤形态学编码属于3、6、9（恶性肿瘤）范畴的疾病。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下列疾病不属于“恶性肿瘤——重度”，不在保障范围内：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ICD-O-3肿瘤形态学编码属于0（良性肿瘤）、1（动态未定性肿瘤）、2（原位癌和非侵袭性癌）范畴的疾病，如：</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原位癌，癌前病变，非浸润性癌，非侵袭性癌，肿瘤细胞未侵犯基底层，上皮内瘤变，细胞不典型性增生等；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交界性肿瘤，交界恶性肿瘤，肿瘤低度恶性潜能，潜在低度恶性肿瘤等；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TNM分期为Ⅰ期或更轻分期的甲状腺癌</w:t>
      </w:r>
      <w:r>
        <w:rPr>
          <w:rFonts w:hint="eastAsia" w:ascii="宋体" w:hAnsi="宋体" w:eastAsia="宋体" w:cs="宋体"/>
          <w:sz w:val="24"/>
          <w:lang w:val="en-US" w:eastAsia="zh-CN"/>
        </w:rPr>
        <w:footnoteReference w:id="14"/>
      </w:r>
      <w:r>
        <w:rPr>
          <w:rFonts w:hint="eastAsia" w:ascii="宋体" w:hAnsi="宋体" w:eastAsia="宋体" w:cs="宋体"/>
          <w:sz w:val="24"/>
          <w:lang w:val="en-US" w:eastAsia="zh-CN"/>
        </w:rPr>
        <w:t xml:space="preserve">；</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TNM分期为T1N0M0期或更轻分期的前列腺癌；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黑色素瘤以外的未发生淋巴结和远处转移的皮肤恶性肿瘤；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相当于Binet分期方案A期程度的慢性淋巴细胞白血病；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相当于Ann Arbor分期方案Ⅰ期程度的何杰金氏病；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未发生淋巴结和远处转移且WHO分级为G1级别（核分裂像&lt;10/50HPF和ki-67≤2%）或更轻分级的神经内分泌肿瘤。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4.1.2较重急性心肌梗死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较重急性心肌梗死指依照上述标准被明确诊断为急性心肌梗死，并且必须同时满足下列至少一项条件：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心肌损伤标志物肌钙蛋白（cTn）升高，至少一次检测结果达到该检验正常参考值上限的15倍（含）以上；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肌酸激酶同工酶（CK-MB）升高，至少一次检测结果达到该检验正常参考值上限的2倍（含）以上；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出现左心室收缩功能下降，在确诊6周以后，检测左室射血分数（LVEF）低于50%（不含）；</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影像学检查证实存在新发的乳头肌功能失调或断裂引起的中度（含）以上的二尖瓣反流；</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影像学检查证实存在新出现的室壁瘤；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出现室性心动过速、心室颤动或心源性休克。</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其他非冠状动脉阻塞性疾病所引起的肌钙蛋白（cTn）升高不在保障范围内。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4.1.3严重脑中风后遗症</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脑血管的突发病变引起脑血管出血、栓塞或梗塞，须由头颅断层扫描（CT）、核磁共振检查（MRI）等影像学检查证实，并导致神经系统永久性的功能障碍。神经系统永久性的功能障碍，指疾病确诊180天后，仍遗留下列至少一种障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一肢（含）以上肢体</w:t>
      </w:r>
      <w:r>
        <w:rPr>
          <w:rFonts w:hint="eastAsia" w:ascii="宋体" w:hAnsi="宋体" w:eastAsia="宋体" w:cs="宋体"/>
          <w:sz w:val="24"/>
          <w:lang w:val="en-US" w:eastAsia="zh-CN"/>
        </w:rPr>
        <w:footnoteReference w:id="15"/>
      </w:r>
      <w:r>
        <w:rPr>
          <w:rFonts w:hint="eastAsia" w:ascii="宋体" w:hAnsi="宋体" w:eastAsia="宋体" w:cs="宋体"/>
          <w:sz w:val="24"/>
          <w:lang w:val="en-US" w:eastAsia="zh-CN"/>
        </w:rPr>
        <w:t xml:space="preserve">肌力</w:t>
      </w:r>
      <w:r>
        <w:rPr>
          <w:rFonts w:hint="eastAsia" w:ascii="宋体" w:hAnsi="宋体" w:eastAsia="宋体" w:cs="宋体"/>
          <w:sz w:val="24"/>
          <w:lang w:val="en-US" w:eastAsia="zh-CN"/>
        </w:rPr>
        <w:footnoteReference w:id="16"/>
      </w:r>
      <w:r>
        <w:rPr>
          <w:rFonts w:hint="eastAsia" w:ascii="宋体" w:hAnsi="宋体" w:eastAsia="宋体" w:cs="宋体"/>
          <w:sz w:val="24"/>
          <w:lang w:val="en-US" w:eastAsia="zh-CN"/>
        </w:rPr>
        <w:t xml:space="preserve">2级（含）以下；</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语言能力完全丧失</w:t>
      </w:r>
      <w:r>
        <w:rPr>
          <w:rFonts w:hint="eastAsia" w:ascii="宋体" w:hAnsi="宋体" w:eastAsia="宋体" w:cs="宋体"/>
          <w:sz w:val="24"/>
          <w:lang w:val="en-US" w:eastAsia="zh-CN"/>
        </w:rPr>
        <w:footnoteReference w:id="17"/>
      </w:r>
      <w:r>
        <w:rPr>
          <w:rFonts w:hint="eastAsia" w:ascii="宋体" w:hAnsi="宋体" w:eastAsia="宋体" w:cs="宋体"/>
          <w:sz w:val="24"/>
          <w:lang w:val="en-US" w:eastAsia="zh-CN"/>
        </w:rPr>
        <w:t xml:space="preserve">，或严重咀嚼吞咽功能障碍</w:t>
      </w:r>
      <w:r>
        <w:rPr>
          <w:rFonts w:hint="eastAsia" w:ascii="宋体" w:hAnsi="宋体" w:eastAsia="宋体" w:cs="宋体"/>
          <w:sz w:val="24"/>
          <w:lang w:val="en-US" w:eastAsia="zh-CN"/>
        </w:rPr>
        <w:footnoteReference w:id="18"/>
      </w:r>
      <w:r>
        <w:rPr>
          <w:rFonts w:hint="eastAsia" w:ascii="宋体" w:hAnsi="宋体" w:eastAsia="宋体" w:cs="宋体"/>
          <w:sz w:val="24"/>
          <w:lang w:val="en-US" w:eastAsia="zh-CN"/>
        </w:rPr>
        <w:t xml:space="preserve">；</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自主生活能力完全丧失，无法独立完成六项基本日常生活活动</w:t>
      </w:r>
      <w:r>
        <w:rPr>
          <w:rFonts w:hint="eastAsia" w:ascii="宋体" w:hAnsi="宋体" w:eastAsia="宋体" w:cs="宋体"/>
          <w:sz w:val="24"/>
          <w:lang w:val="en-US" w:eastAsia="zh-CN"/>
        </w:rPr>
        <w:footnoteReference w:id="19"/>
      </w:r>
      <w:r>
        <w:rPr>
          <w:rFonts w:hint="eastAsia" w:ascii="宋体" w:hAnsi="宋体" w:eastAsia="宋体" w:cs="宋体"/>
          <w:sz w:val="24"/>
          <w:lang w:val="en-US" w:eastAsia="zh-CN"/>
        </w:rPr>
        <w:t xml:space="preserve">中的三项或三项以上。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4.1.4重大器官移植术或造血干细胞移植术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重大器官移植术，指因相应器官功能衰竭，已经实施了肾脏、肝脏、心脏、肺脏或小肠的异体移植手术。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造血干细胞移植术，指因造血功能损害或造血系统恶性肿瘤，已经实施了造血干细胞（包括骨髓造血干细胞、外周血造血干细胞和脐血造血干细胞）的移植手术。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4.1.5冠状动脉搭桥术（或称冠状动脉旁路移植术）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指为治疗严重的冠心病，已经实施了切开心包进行的冠状动脉血管旁路移植的手术。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所有未切开心包的冠状动脉介入治疗不在保障范围内。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4.1.6严重慢性肾衰竭</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双肾功能慢性不可逆性衰竭，依据肾脏病预后质量倡议（K/DOQI）制定的指南，分期达到慢性肾脏病5期，且经诊断后已经进行了至少90天的规律性透析治疗。规律性透析是指每周进行血液透析或每天进行腹膜透析。 </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4.1.7多个肢体缺失</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指因疾病或意外伤害导致两个或两个以上肢体自腕关节或踝关节近端（靠近躯干端）以上完全性断离。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4.1.8急性重症肝炎或亚急性重症肝炎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指因肝炎病毒感染引起肝脏组织弥漫性坏死，导致急性肝功能衰竭，且经血清学或病毒学检查证实，并须满足下列全部条件：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重度黄疸或黄疸迅速加重；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肝性脑病；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B超或其他影像学检查显示肝脏体积急速萎缩；</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肝功能指标进行性恶化。</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4.1.9严重非恶性颅内肿瘤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起源于脑、脑神经、脑被膜的非恶性肿瘤，ICD-O-3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已经实施了开颅进行的颅内肿瘤完全或部分切除手术；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已经实施了针对颅内肿瘤的放射治疗，如γ刀、质子重离子治疗等。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下列疾病不在保障范围内：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脑垂体瘤；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脑囊肿；</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颅内血管性疾病（如脑动脉瘤、脑动静脉畸形、海绵状血管瘤、毛细血管扩张症等）。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4.1.10严重慢性肝衰竭</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指因慢性肝脏疾病导致的肝衰竭，且须满足下列全部条件：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持续性黄疸；</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腹水；</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肝性脑病；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充血性脾肿大伴脾功能亢进或食管胃底静脉曲张。</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因酗酒或药物滥用导致的肝衰竭不在保障范围内。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4.1.11严重脑炎后遗症或严重脑膜炎后遗症</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指因患脑炎或脑膜炎导致的神经系统永久性的功能障碍。神经系统永久性的功能障碍，指经相关专科医生确诊疾病180天后，仍遗留下列至少一种障碍：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一肢（含）以上肢体肌力2级（含）以下；</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语言能力完全丧失，或严重咀嚼吞咽功能障碍；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由具有评估资格的专科医生根据临床痴呆评定量表（CDR，Clinical Dementia Rating）评估结果为3分；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自主生活能力完全丧失，无法独立完成六项基本日常生活活动中的三项或三项以上。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4.1.12深度昏迷</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指因疾病或意外伤害导致意识丧失，对外界刺激和体内需求均无反应，昏迷程度按照格拉斯哥昏迷分级（GCS，Glasgow Coma Scale）结果为5分或5分以下，且已经持续使用呼吸机及其他生命维持系统96小时以上。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因酗酒或药物滥用导致的深度昏迷不在保障范围内。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4.1.13双耳失聪</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指因疾病或意外伤害导致双耳听力永久不可逆</w:t>
      </w:r>
      <w:r>
        <w:rPr>
          <w:rFonts w:hint="eastAsia" w:ascii="宋体" w:hAnsi="宋体" w:eastAsia="宋体" w:cs="宋体"/>
          <w:sz w:val="24"/>
          <w:lang w:val="en-US" w:eastAsia="zh-CN"/>
        </w:rPr>
        <w:footnoteReference w:id="20"/>
      </w:r>
      <w:r>
        <w:rPr>
          <w:rFonts w:hint="eastAsia" w:ascii="宋体" w:hAnsi="宋体" w:eastAsia="宋体" w:cs="宋体"/>
          <w:sz w:val="24"/>
          <w:lang w:val="en-US" w:eastAsia="zh-CN"/>
        </w:rPr>
        <w:t xml:space="preserve">性丧失，在500赫兹、1000赫兹和2000赫兹语音频率下，平均听阈大于等于91分贝，且经纯音听力测试、声导抗检测或听觉诱发电位检测等证实。</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4.1.14双目失明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指因疾病或意外伤害导致双眼视力永久不可逆性丧失，双眼中较好眼须满足下列至少一项条件：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眼球缺失或摘除；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矫正视力低于0.02（采用国际标准视力表，如果使用其他视力表应进行换算）；</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视野半径小于5度。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4.1.15瘫痪</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疾病或意外伤害导致两肢或两肢以上肢体随意运动功能永久完全丧失。肢体随意运动功能永久完全丧失，指疾病确诊180天后或意外伤害发生180天后，每肢三大关节中的两大关节仍然完全僵硬，或肢体肌力在2级（含）以下。</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4.1.16心脏瓣膜手术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指为治疗心脏瓣膜疾病，已经实施了切开心脏进行的心脏瓣膜置换或修复的手术。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所有未切开心脏的心脏瓣膜介入手术不在保障范围内。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4.1.17严重阿尔茨海默病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由具有评估资格的专科医生根据临床痴呆评定量表（CDR，Clinical Dementia Rating）评估结果为3分；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自主生活能力完全丧失，无法独立完成六项基本日常生活活动中的三项或三项以上。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阿尔茨海默病之外的其他类型痴呆不在保障范围内。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4.1.18严重脑损伤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头部遭受机械性外力，引起脑重要部位损伤，导致神经系统永久性的功能障碍。须由头颅断层扫描（CT）、核磁共振检查（MRI）或正电子发射断层扫描（PET）等影像学检查证实。神经系统永久性的功能障碍，指脑损伤180天后，仍遗留下列至少一种障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一肢（含）以上肢体肌力2级（含）以下；</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语言能力完全丧失，或严重咀嚼吞咽功能障碍；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自主生活能力完全丧失，无法独立完成六项基本日常生活活动中的三项或三项以上。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4.1.19严重原发性帕金森病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是一种中枢神经系统的退行性疾病，临床表现为运动迟缓、静止性震颤或肌强直等，经相关专科医生确诊，且须满足自主生活能力完全丧失，无法独立完成六项基本日常生活活动中的三项或三项以上。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继发性帕金森综合征、帕金森叠加综合征不在保障范围内。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4.1.20严重Ⅲ度烧伤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指烧伤程度为Ⅲ度，且Ⅲ度烧伤的面积达到全身体表面积的20％或20％以上。体表面积根据《中国新九分法》计算。</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4.1.21严重特发性肺动脉高压</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指不明原因的肺动脉压力持续性增高，进行性发展而导致的慢性疾病，已经造成永久不可逆性的体力活动能力受限，达到美国纽约心脏病学会（New York Heart Association，NYHA）心功能状态分级</w:t>
      </w:r>
      <w:r>
        <w:rPr>
          <w:rFonts w:hint="eastAsia" w:ascii="宋体" w:hAnsi="宋体" w:eastAsia="宋体" w:cs="宋体"/>
          <w:sz w:val="24"/>
          <w:lang w:val="en-US" w:eastAsia="zh-CN"/>
        </w:rPr>
        <w:footnoteReference w:id="21"/>
      </w:r>
      <w:r>
        <w:rPr>
          <w:rFonts w:hint="eastAsia" w:ascii="宋体" w:hAnsi="宋体" w:eastAsia="宋体" w:cs="宋体"/>
          <w:sz w:val="24"/>
          <w:lang w:val="en-US" w:eastAsia="zh-CN"/>
        </w:rPr>
        <w:t xml:space="preserve">IV级，且静息状态下肺动脉平均压在36mmHg（含）以上。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4.1.22严重运动神经元病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是一组中枢神经系统运动神经元的进行性变性疾病，包括进行性脊肌萎缩症、进行性延髓麻痹症、原发性侧索硬化症、肌萎缩性侧索硬化症,经相关专科医生确诊，且须满足下列至少一项条件：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严重咀嚼吞咽功能障碍；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呼吸肌麻痹导致严重呼吸困难，且已经持续使用呼吸机7天（含）以上；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自主生活能力完全丧失，无法独立完成六项基本日常生活活动中的三项或三项以上。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4.1.23语言能力丧失</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指因疾病或意外伤害导致语言能力完全丧失，经过积极治疗至少12个月（声带完全切除不受此时间限制），仍无法通过现有医疗手段恢复。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精神心理因素所致的语言能力丧失不在保障范围内。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4.1.24重型再生障碍性贫血</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指因骨髓造血功能慢性持续性衰竭导致的贫血、中性粒细胞减少及血小板减少，且须满足下列全部条件：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骨髓穿刺检查或骨髓活检结果支持诊断：骨髓细胞增生程度&lt;正常的25%；如≥正常的25%但&lt;50%，则残存的造血细胞应&lt;30%；</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外周血象须具备以下三项条件中的两项：</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中性粒细胞绝对值&lt;0.5×109/L；</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网织红细胞计数&lt;20×109/L；</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血小板绝对值&lt;20×109/L。</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4.1.25主动脉手术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所有未实施开胸或开腹的动脉内介入治疗不在保障范围内。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4.1.39严重慢性呼吸衰竭</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指因慢性呼吸系统疾病导致永久不可逆性的呼吸衰竭，经过积极治疗180天后满足以下所有条件：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静息时出现呼吸困难；</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肺功能第一秒用力呼气容积（FEV1）占预计值的百分比＜30%；</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在静息状态、呼吸空气条件下，动脉血氧分压（PaO2）＜50mmHg。</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4.1.27严重克罗恩病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指一种慢性肉芽肿性肠炎，具有特征性的克罗恩病（Crohn病）病理组织学变化，须根据组织病理学特点诊断，且已经造成瘘管形成并伴有肠梗阻或肠穿孔。 </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4.1.28严重溃疡性结肠炎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指伴有致命性电解质紊乱的急性暴发性溃疡性结肠炎，病变已经累及全结肠，表现为严重的血便和系统性症状体征，须根据组织病理学特点诊断，且已经实施了结肠切除或回肠造瘘术。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上述定义依照中国保险行业协会与中国医师协会联合发布的《重大疾病保险的疾病定义使用规范（2020年修订版）》制定。</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4.2轻度疾病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是指符合下列定义的疾病或被保险人首次接受符合下列定义的手术：</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4.2.1恶性肿瘤——轻度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恶性细胞不受控制的进行性增长和扩散，浸润和破坏周围正常组织，可以经血管、淋巴管和体腔扩散转移到身体其他部位，病灶经组织病理学检查（涵盖骨髓病理学检查）结果明确诊断，临床诊断属于世界卫生组织（WHO，World Health Organization）《疾病和有关健康问题的国际统计分类》第十次修订版（ICD-10）的恶性肿瘤类别及《国际疾病分类肿瘤学专辑》第三版（ICD-O-3）的肿瘤形态学编码属于3、6、9（恶性肿瘤）范畴，但不在“恶性肿瘤——重度”保障范围的疾病。且特指下列六项之一：</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TNM分期为Ⅰ期的甲状腺癌；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TNM分期为T1N0M0期的前列腺癌；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黑色素瘤以外的未发生淋巴结和远处转移的皮肤恶性肿瘤；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相当于Binet分期方案A期程度的慢性淋巴细胞白血病；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相当于Ann Arbor分期方案Ⅰ期程度的何杰金氏病；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未发生淋巴结和远处转移且WHO分级为G1级别（核分裂像&lt;10/50HPF和ki-67≤2%）的神经内分泌肿瘤。</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下列疾病不属于“恶性肿瘤——轻度”，不在保障范围内：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ICD-O-3肿瘤形态学编码属于0（良性肿瘤）、1（动态未定性肿瘤）、2（原位癌和非侵袭性癌）范畴的疾病，如：</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原位癌，癌前病变，非浸润性癌，非侵袭性癌，肿瘤细胞未侵犯基底层，上皮内瘤变，细胞不典型性增生等；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交界性肿瘤，交界恶性肿瘤，肿瘤低度恶性潜能，潜在低度恶性肿瘤等。</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4.2.2较轻急性心肌梗死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较轻急性心肌梗死指依照上述标准被明确诊断为急性心肌梗死，但未达到“较重急性心肌梗死”的给付标准。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其他非冠状动脉阻塞性疾病引起的肌钙蛋白（cTn）升高不在保障范围内。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4.2.3轻度脑中风后遗症</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因脑血管的突发病变引起脑血管出血、栓塞或梗塞，须由头颅断层扫描（CT）、核磁共振检查（MRI）等影像学检查证实，并导致神经系统永久性的功能障碍，但未达到“严重脑中风后遗症”的给付标准，在疾病确诊180天后，仍遗留下列至少一种障碍：</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一肢（含）以上肢体肌力为3级；</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自主生活能力部分丧失，无法独立完成六项基本日常生活活动中的两项。</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上述疾病定义依照中国保险行业协会与中国医师协会联合发布的《重大疾病保险的疾病定义使用规范（2020年修订版）》制定。</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4.3被保资格</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无论本附加险合同为首次投保、续保还是非续保的，被保险人获得被保资格的日期均以以下两者中较晚的日期为准：（1）本附加险合同的保险期间起始日；（2）本附加险合同项下增加该被保险人批单所载生效日，有多张批单增加该被保险人的，以最晚批单所载生效日为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被保险人因非保险事故身故的，则自其身故之日起该被保险人的被保资格丧失，保险人对该被保险人所承担的保险责任随即终止。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本附加险合同保险期间终止，则被保险人的被保资格终止，保险人对被保险人所承担的保险责任随即终止。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本附加险合同解除，则自解除之日起被保险人的被保资格终止，保险人对被保险人所承担的保险责任随即终止。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4.4专科医生</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专科医生应当同时满足以下四项资格条件：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具有有效的中华人民共和国《医师资格证书》；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具有有效的中华人民共和国《医师执业证书》，并按期到相关部门登记注册；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具有有效的中华人民共和国主治医师或主治医师以上职称的《医师职称证书》；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在国家《医院分级管理标准》二级或二级以上医院的相应科室从事临床工作三年以上。</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"_2.1_保险责任"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4.5指定医疗机构</w:t>
      </w:r>
      <w:r>
        <w:rPr>
          <w:rFonts w:hint="eastAsia" w:ascii="宋体" w:hAnsi="宋体" w:eastAsia="宋体" w:cs="宋体"/>
          <w:sz w:val="24"/>
          <w:lang w:val="en-US" w:eastAsia="zh-CN"/>
        </w:rPr>
        <w:fldChar w:fldCharType="end"/>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除另有约定外，指定医疗机构指中华人民共和国境内（不包括香港、澳门、台湾地区）二级（含）及以上医院或保险人认可的医疗机构，且应符合下列所有条件：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拥有合法经营执照；</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设立的主要目的为向受伤者和患病者提供留院治疗和护理服务；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有合格的医生和护士提供全日二十四小时的医疗和护理服务；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非主要作为康复医院、诊所、护理、疗养、戒酒、戒毒或类似的医疗机构。</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投保人和保险人双方还可以约定指定医疗机构的条件、范围等，并在保险单中载明。</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HYPERLINK \l "_2.1_保险责任"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4.6住院</w:t>
      </w:r>
      <w:r>
        <w:rPr>
          <w:rFonts w:hint="eastAsia" w:ascii="宋体" w:hAnsi="宋体" w:eastAsia="宋体" w:cs="宋体"/>
          <w:sz w:val="24"/>
          <w:lang w:val="en-US" w:eastAsia="zh-CN"/>
        </w:rPr>
        <w:fldChar w:fldCharType="end"/>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是指被保险人确因临床需要、经医生诊断必须留院治疗，正式办理入院及出院手续，并确实入住医疗机构正式病房接受治疗的行为过程；被保险人必须连续留院24小时以上且由医疗机构收取病房或床位费用，但住院并不包括门诊观察室、急诊观察室、其他非正式病房、联合病房或挂床住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4.7实际住院日数</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是指被保险人在医疗机构住院部病房内实际的住院治疗日数，住院满二十四小时为一日。</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4.8意外伤害</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指以外来的、突发的、非本意的、非疾病的客观事件为直接且单独的原因致使身体受到的伤害。以下情形属于疾病范畴，非本条款所指意外伤害：</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猝死；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过敏及由过敏引发的变态反应性疾病；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高原反应；</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中暑；</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细菌、病毒或其他病原体导致的感染性疾病。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4.9发病、首次发病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发病，是指被保险人出现本附加险合同约定的疾病或接受本附加险合同约定的手术的前兆、症状或异常的身体状况，或已经显现足以促使一般普通谨慎人士引起注意并寻求诊断、治疗或护理的病症。</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首次发病，是指被保险人第一次发生并首次被确诊患上本附加险合同约定的疾病，并且该疾病在该被保险人获得被保资格前并未发病或有任何身体的前兆、症状或异常状况；或被保险人第一次接受本附加险合同约定的手术，并且在该被保险人获得被保资格前未出现该手术对应的任何身体的前兆、症状或异常状况。</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4.10等待期</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是指自被保险人获得被保资格之日起计算的一段时间（该时间以保险单载明为准；若保险单未载明则该时间视为90日），经过该段时间后，保险人才对被保险人承担给付保险金责任；在此期间，尽管保险合同已经生效，但保险人并不承担给付保险金责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续保的情况下，等待期为0日。本保险合同期满前，投保人可向保险人申请续保，经保险人审核后予以承保；续保合同保险期间的起始日期与续保对应上一保险合同保险期间的终止日期相连不间断。</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被保险人因意外伤害造成本附加险合同约定的疾病、达到疾病状态或进行手术的，等待期为0日。</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4.11酒后驾驶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4.12无合法有效驾驶证</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指被保险人存在下列情形之一：</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无驾驶证或驾驶证有效期已届满；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驾驶的机动车与驾驶证载明的准驾车型不符；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实习期内驾驶公共汽车、营运客车或者载有爆炸物品、易燃易爆化学物品、剧毒或者放射性等危险物品的机动车，实习期内驾驶的机动车牵引挂车；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持未按规定审验的驾驶证，以及在暂扣、扣留、吊销、注销驾驶证期间驾驶机动车；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使用各种专用机械车、特种车的人员无国家有关部门核发的有效操作证，驾驶营业性客车的驾驶人无国家有关部门核发的有效资格证书；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依照法律法规或公安机关交通管理部门有关规定不允许驾驶机动车的其他情况下驾车。</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4.13无合法有效行驶证</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4.14感染艾滋病病毒或患艾滋病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4.15遗传性疾病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艾滋病病毒指人类免疫缺陷病毒，英文缩写为HIV。艾滋病指人类免疫缺陷病毒引起的获得性免疫缺陷综合征，英文缩写为AIDS。</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在人体血液或其它样本中检测到艾滋病病毒或其抗体呈阳性，没有出现临床症状或体征的，为感染艾滋病病毒；如果同时出现了明显临床症状或体征的，为患艾滋病。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指生殖细胞或受精卵的遗传物质（染色体和基因）发生突变或畸变所引起的疾病，通常具有由亲代传至后代的垂直传递的特征。</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4.16先天性畸形、变形或染色体异常</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指被保险人出生时就具有的畸形、变形或染色体异常。先天性畸形、变形和染色体异常依照世界卫生组织《疾病和有关健康问题的国际统计分类》（ICD-10）确定。</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HYPERLINK  \l "_2.2.2_被保险人不符合入院标准、挂床住院或住院病人应当出院而拒不出"</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4.17挂床住院</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挂床住院指办理正式住院手续的被保险人，在住院期间每日非24小时在床、在院，包括在住院期间连续若干日无任何治疗，只发生护理费、诊疗费、床位费的情况。</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4.18保险金申请人</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除另有约定外，本附加险合同的保险金申请人是指被保险人本人。</w:t>
      </w:r>
      <w:r/>
    </w:p>
    <w:p>
      <w:pPr>
        <w:pStyle w:val="1199"/>
        <w:ind w:firstLine="480"/>
        <w:tabs>
          <w:tab w:val="left" w:pos="3501" w:leader="none"/>
        </w:tabs>
        <w:rPr>
          <w:rFonts w:hint="eastAsia" w:ascii="宋体" w:hAnsi="宋体" w:eastAsia="宋体" w:cs="宋体"/>
          <w:sz w:val="24"/>
          <w:lang w:eastAsia="zh-CN"/>
        </w:rPr>
      </w:pPr>
      <w:r>
        <w:rPr>
          <w:rFonts w:hint="eastAsia" w:ascii="宋体" w:hAnsi="宋体" w:eastAsia="宋体" w:cs="宋体"/>
          <w:sz w:val="24"/>
          <w:lang w:eastAsia="zh-CN"/>
        </w:rPr>
        <w:br w:type="page" w:clear="all"/>
      </w:r>
      <w:r>
        <w:rPr>
          <w:rFonts w:hint="eastAsia" w:ascii="宋体" w:hAnsi="宋体" w:eastAsia="宋体" w:cs="宋体"/>
          <w:sz w:val="24"/>
          <w:lang w:eastAsia="zh-CN"/>
        </w:rPr>
        <w:t xml:space="preserve">附录：甲状腺癌的TNM分期定义标准</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甲状腺乳头状癌、滤泡癌、低分化癌、Hürthle细胞癌和未分化癌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pTX：原发肿瘤不能评估</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pT0：无肿瘤证据</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pT1：肿瘤局限在甲状腺内，最大径≤2cm</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T1a肿瘤最大径≤1cm</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T1b肿瘤最大径＞1cm，≤2cm</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pT2：肿瘤2～4cm</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pT3：肿瘤&gt;4cm，局限于甲状腺内或大体侵犯甲状腺外带状肌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pT3a：肿瘤&gt;4cm，局限于甲状腺内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pT3b：大体侵犯甲状腺外带状肌，无论肿瘤大小</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带状肌包括：胸骨舌骨肌、胸骨甲状肌、甲状舌骨肌、肩胛舌骨肌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pT4：大体侵犯甲状腺外带状肌外</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pT4a：侵犯喉、气管、食管、喉反神经及皮下软组织</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pT4b：侵犯椎前筋膜，或包裹颈动脉、纵隔血管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甲状腺髓样癌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pTX：原发肿瘤不能评估</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pT0：无肿瘤证据</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pT1：肿瘤局限在甲状腺内，最大径≤2cm</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T1a肿瘤最大径≤1cm</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T1b肿瘤最大径＞1cm，≤2cm</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pT2：肿瘤2～4cm</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pT3：肿瘤&gt;4cm，局限于甲状腺内或大体侵犯甲状腺外带状肌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pT3a：肿瘤&gt;4cm，局限于甲状腺内</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pT3b：大体侵犯甲状腺外带状肌，无论肿瘤大小</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带状肌包括：胸骨舌骨肌、胸骨甲状肌、甲状舌骨肌、肩胛舌骨肌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pT4：进展期病变</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pT4a：中度进展，任何大小的肿瘤，侵犯甲状腺外颈部周围器官和软组织，如喉、气管、食管、喉反神经及皮下软组织</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pT4b：重度进展，任何大小的肿瘤，侵犯椎前筋膜，或包裹颈动脉、纵隔血管</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区域淋巴结：适用于所有甲状腺癌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pNx：区域淋巴结无法评估</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pN0：无淋巴结转移证据</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pN1：区域淋巴结转移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pN1a：转移至Ⅵ、Ⅶ区（包括气管旁、气管前、喉前/Delphian或上纵隔）淋巴结，可以为单侧或双侧。</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pN1b：单侧、双侧或对侧颈淋巴结转移（包括Ⅰ、Ⅱ、Ⅲ、Ⅳ或Ⅴ区）淋巴结或咽后淋巴结转移。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远处转移：适用于所有甲状腺癌</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M0：无远处转移</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M1：有远处转移</w:t>
      </w:r>
      <w:r/>
    </w:p>
    <w:tbl>
      <w:tblPr>
        <w:tblStyle w:val="1025"/>
        <w:tblW w:w="7643" w:type="dxa"/>
        <w:tblInd w:w="589" w:type="dxa"/>
        <w:tblLayout w:type="fixed"/>
        <w:tblCellMar>
          <w:left w:w="108" w:type="dxa"/>
          <w:top w:w="0" w:type="dxa"/>
          <w:right w:w="108" w:type="dxa"/>
          <w:bottom w:w="0" w:type="dxa"/>
        </w:tblCellMar>
        <w:tblLook w:val="04A0" w:firstRow="1" w:lastRow="0" w:firstColumn="1" w:lastColumn="0" w:noHBand="0" w:noVBand="1"/>
      </w:tblPr>
      <w:tblGrid>
        <w:gridCol w:w="2527"/>
        <w:gridCol w:w="1843"/>
        <w:gridCol w:w="1627"/>
        <w:gridCol w:w="1646"/>
      </w:tblGrid>
      <w:tr>
        <w:trPr>
          <w:trHeight w:val="454" w:hRule="exact"/>
        </w:trPr>
        <w:tc>
          <w:tcPr>
            <w:gridSpan w:val="4"/>
            <w:tcBorders>
              <w:top w:val="single" w:color="000000" w:sz="8" w:space="0"/>
              <w:left w:val="single" w:color="000000" w:sz="8" w:space="0"/>
              <w:bottom w:val="single" w:color="000000" w:sz="4" w:space="0"/>
              <w:right w:val="single" w:color="000000" w:sz="8" w:space="0"/>
            </w:tcBorders>
            <w:tcW w:w="76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乳头状或滤泡状癌（分化型）</w:t>
            </w:r>
            <w:r/>
          </w:p>
        </w:tc>
      </w:tr>
      <w:tr>
        <w:trPr>
          <w:trHeight w:val="454" w:hRule="exact"/>
        </w:trPr>
        <w:tc>
          <w:tcPr>
            <w:gridSpan w:val="4"/>
            <w:tcBorders>
              <w:top w:val="single" w:color="000000" w:sz="4" w:space="0"/>
              <w:left w:val="single" w:color="000000" w:sz="8" w:space="0"/>
              <w:bottom w:val="single" w:color="000000" w:sz="4" w:space="0"/>
              <w:right w:val="single" w:color="000000" w:sz="8" w:space="0"/>
            </w:tcBorders>
            <w:tcW w:w="76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年龄＜55岁</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T</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N</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M</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r>
      <w:tr>
        <w:trPr>
          <w:trHeight w:val="454" w:hRule="exact"/>
        </w:trPr>
        <w:tc>
          <w:tcPr>
            <w:gridSpan w:val="4"/>
            <w:tcBorders>
              <w:top w:val="single" w:color="000000" w:sz="4" w:space="0"/>
              <w:left w:val="single" w:color="000000" w:sz="8" w:space="0"/>
              <w:bottom w:val="single" w:color="000000" w:sz="4" w:space="0"/>
              <w:right w:val="single" w:color="000000" w:sz="8" w:space="0"/>
            </w:tcBorders>
            <w:tcW w:w="76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年龄≥55岁</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1～2</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3a～3b</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Ⅲ期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4a</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4b</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r>
      <w:tr>
        <w:trPr>
          <w:trHeight w:val="454" w:hRule="exact"/>
        </w:trPr>
        <w:tc>
          <w:tcPr>
            <w:gridSpan w:val="4"/>
            <w:tcBorders>
              <w:top w:val="single" w:color="000000" w:sz="4" w:space="0"/>
              <w:left w:val="single" w:color="000000" w:sz="8" w:space="0"/>
              <w:bottom w:val="single" w:color="000000" w:sz="4" w:space="0"/>
              <w:right w:val="single" w:color="000000" w:sz="8" w:space="0"/>
            </w:tcBorders>
            <w:tcW w:w="76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髓样癌（所有年龄组）</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2～3</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Ⅲ期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1a</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4a</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1b</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4b</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ⅣC期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r>
      <w:tr>
        <w:trPr>
          <w:trHeight w:val="454" w:hRule="exact"/>
        </w:trPr>
        <w:tc>
          <w:tcPr>
            <w:gridSpan w:val="4"/>
            <w:tcBorders>
              <w:top w:val="single" w:color="000000" w:sz="4" w:space="0"/>
              <w:left w:val="single" w:color="000000" w:sz="8" w:space="0"/>
              <w:bottom w:val="single" w:color="000000" w:sz="4" w:space="0"/>
              <w:right w:val="single" w:color="000000" w:sz="8" w:space="0"/>
            </w:tcBorders>
            <w:tcW w:w="76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未分化癌（所有年龄组）</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1～3a</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1～3a</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3b～4</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0</w:t>
            </w:r>
            <w:r/>
          </w:p>
        </w:tc>
      </w:tr>
      <w:tr>
        <w:trPr>
          <w:trHeight w:val="454" w:hRule="exact"/>
        </w:trPr>
        <w:tc>
          <w:tcPr>
            <w:tcBorders>
              <w:top w:val="none" w:color="000000" w:sz="4" w:space="0"/>
              <w:left w:val="single" w:color="000000" w:sz="8" w:space="0"/>
              <w:bottom w:val="single" w:color="000000" w:sz="8" w:space="0"/>
              <w:right w:val="single" w:color="000000" w:sz="4" w:space="0"/>
            </w:tcBorders>
            <w:tcW w:w="25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ⅣC期</w:t>
            </w:r>
            <w:r/>
          </w:p>
        </w:tc>
        <w:tc>
          <w:tcPr>
            <w:tcBorders>
              <w:top w:val="none" w:color="000000" w:sz="4" w:space="0"/>
              <w:left w:val="none" w:color="000000" w:sz="4" w:space="0"/>
              <w:bottom w:val="single" w:color="000000" w:sz="8" w:space="0"/>
              <w:right w:val="single" w:color="000000" w:sz="4" w:space="0"/>
            </w:tcBorders>
            <w:tcW w:w="1843"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8" w:space="0"/>
              <w:right w:val="single" w:color="000000" w:sz="4" w:space="0"/>
            </w:tcBorders>
            <w:tcW w:w="1627"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任何</w:t>
            </w:r>
            <w:r/>
          </w:p>
        </w:tc>
        <w:tc>
          <w:tcPr>
            <w:tcBorders>
              <w:top w:val="none" w:color="000000" w:sz="4" w:space="0"/>
              <w:left w:val="none" w:color="000000" w:sz="4" w:space="0"/>
              <w:bottom w:val="single" w:color="000000" w:sz="8" w:space="0"/>
              <w:right w:val="single" w:color="000000" w:sz="8" w:space="0"/>
            </w:tcBorders>
            <w:tcW w:w="1646" w:type="dxa"/>
            <w:vAlign w:val="center"/>
            <w:textDirection w:val="lrTb"/>
            <w:noWrap w:val="false"/>
          </w:tcPr>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r>
    </w:tbl>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注：以上表格中“年龄”指患者病理组织标本获取日期时的年龄。</w:t>
      </w:r>
      <w:r/>
    </w:p>
    <w:p>
      <w:pPr>
        <w:pStyle w:val="1199"/>
        <w:ind w:firstLine="480"/>
        <w:tabs>
          <w:tab w:val="left" w:pos="3501" w:leader="none"/>
        </w:tabs>
        <w:rPr>
          <w:rFonts w:hint="eastAsia" w:ascii="宋体" w:hAnsi="宋体" w:eastAsia="宋体" w:cs="宋体"/>
          <w:sz w:val="24"/>
          <w:lang w:val="en-US" w:eastAsia="zh-CN"/>
        </w:rPr>
      </w:pPr>
      <w:r>
        <w:rPr>
          <w:rFonts w:hint="eastAsia" w:ascii="宋体" w:hAnsi="宋体" w:eastAsia="宋体" w:cs="宋体"/>
          <w:sz w:val="24"/>
          <w:lang w:val="en-US" w:eastAsia="zh-CN"/>
        </w:rPr>
      </w:r>
      <w:r/>
    </w:p>
    <w:p>
      <w:pPr>
        <w:pStyle w:val="1201"/>
        <w:jc w:val="both"/>
        <w:rPr>
          <w:rFonts w:hint="eastAsia" w:ascii="宋体" w:hAnsi="宋体" w:eastAsia="宋体" w:cs="宋体"/>
        </w:rPr>
      </w:pPr>
      <w:r/>
      <w:bookmarkStart w:id="82" w:name="_Toc21318"/>
      <w:r/>
      <w:bookmarkStart w:id="83" w:name="_Toc10370_WPSOffice_Level1"/>
      <w:r/>
      <w:bookmarkStart w:id="84" w:name="_Toc12990"/>
      <w:r/>
      <w:bookmarkStart w:id="85" w:name="_Toc9067"/>
      <w:r/>
      <w:bookmarkStart w:id="86" w:name="_Toc32360"/>
      <w:r>
        <w:rPr>
          <w:rFonts w:hint="eastAsia" w:ascii="宋体" w:hAnsi="宋体" w:eastAsia="宋体" w:cs="宋体"/>
        </w:rPr>
        <w:t xml:space="preserve">附件：人身保险伤残评定标准（行业标准）</w:t>
      </w:r>
      <w:bookmarkEnd w:id="82"/>
      <w:r/>
      <w:bookmarkEnd w:id="83"/>
      <w:r/>
      <w:bookmarkEnd w:id="84"/>
      <w:r/>
      <w:bookmarkEnd w:id="85"/>
      <w:r/>
      <w:bookmarkEnd w:id="86"/>
      <w:r/>
      <w:r/>
    </w:p>
    <w:p>
      <w:pPr>
        <w:pStyle w:val="1199"/>
        <w:jc w:val="left"/>
        <w:rPr>
          <w:rFonts w:hint="eastAsia" w:ascii="宋体" w:hAnsi="宋体" w:eastAsia="宋体" w:cs="宋体"/>
          <w:sz w:val="30"/>
          <w:szCs w:val="30"/>
        </w:rPr>
      </w:pPr>
      <w:r>
        <w:rPr>
          <w:rFonts w:hint="eastAsia" w:ascii="宋体" w:hAnsi="宋体" w:eastAsia="宋体" w:cs="宋体"/>
          <w:sz w:val="30"/>
          <w:szCs w:val="30"/>
        </w:rPr>
      </w:r>
      <w:r/>
    </w:p>
    <w:p>
      <w:pPr>
        <w:pStyle w:val="1199"/>
        <w:jc w:val="left"/>
        <w:rPr>
          <w:rFonts w:hint="eastAsia" w:ascii="宋体" w:hAnsi="宋体" w:eastAsia="宋体" w:cs="宋体"/>
          <w:sz w:val="30"/>
          <w:szCs w:val="30"/>
        </w:rPr>
      </w:pPr>
      <w:r>
        <w:rPr>
          <w:rFonts w:hint="eastAsia" w:ascii="宋体" w:hAnsi="宋体" w:eastAsia="宋体" w:cs="宋体"/>
          <w:sz w:val="30"/>
          <w:szCs w:val="30"/>
        </w:rPr>
      </w:r>
      <w:r/>
    </w:p>
    <w:p>
      <w:pPr>
        <w:pStyle w:val="1199"/>
        <w:jc w:val="left"/>
        <w:rPr>
          <w:rFonts w:hint="eastAsia" w:ascii="宋体" w:hAnsi="宋体" w:eastAsia="宋体" w:cs="宋体"/>
          <w:sz w:val="30"/>
          <w:szCs w:val="30"/>
        </w:rPr>
      </w:pPr>
      <w:r>
        <w:rPr>
          <w:rFonts w:hint="eastAsia" w:ascii="宋体" w:hAnsi="宋体" w:eastAsia="宋体" w:cs="宋体"/>
          <w:sz w:val="30"/>
          <w:szCs w:val="30"/>
        </w:rPr>
      </w:r>
      <w:r/>
    </w:p>
    <w:p>
      <w:pPr>
        <w:pStyle w:val="1199"/>
        <w:jc w:val="left"/>
        <w:rPr>
          <w:rFonts w:hint="eastAsia" w:ascii="宋体" w:hAnsi="宋体" w:eastAsia="宋体" w:cs="宋体"/>
          <w:sz w:val="30"/>
          <w:szCs w:val="30"/>
        </w:rPr>
      </w:pPr>
      <w:r>
        <w:rPr>
          <w:rFonts w:hint="eastAsia" w:ascii="宋体" w:hAnsi="宋体" w:eastAsia="宋体" w:cs="宋体"/>
          <w:sz w:val="30"/>
          <w:szCs w:val="30"/>
        </w:rPr>
      </w:r>
      <w:r/>
    </w:p>
    <w:p>
      <w:pPr>
        <w:pStyle w:val="1199"/>
        <w:jc w:val="left"/>
        <w:rPr>
          <w:rFonts w:hint="eastAsia" w:ascii="宋体" w:hAnsi="宋体" w:eastAsia="宋体" w:cs="宋体"/>
          <w:sz w:val="30"/>
          <w:szCs w:val="30"/>
        </w:rPr>
      </w:pPr>
      <w:r>
        <w:rPr>
          <w:rFonts w:hint="eastAsia" w:ascii="宋体" w:hAnsi="宋体" w:eastAsia="宋体" w:cs="宋体"/>
          <w:sz w:val="30"/>
          <w:szCs w:val="30"/>
        </w:rPr>
      </w:r>
      <w:r/>
    </w:p>
    <w:p>
      <w:pPr>
        <w:pStyle w:val="1199"/>
        <w:jc w:val="center"/>
        <w:spacing w:line="360" w:lineRule="auto"/>
        <w:rPr>
          <w:rFonts w:hint="eastAsia" w:ascii="宋体" w:hAnsi="宋体" w:eastAsia="宋体" w:cs="宋体"/>
          <w:bCs/>
          <w:sz w:val="72"/>
          <w:szCs w:val="72"/>
        </w:rPr>
      </w:pPr>
      <w:r/>
      <w:bookmarkStart w:id="87" w:name="_Toc22627_WPSOffice_Level1"/>
      <w:r/>
      <w:bookmarkStart w:id="88" w:name="_Toc1435_WPSOffice_Level1"/>
      <w:r/>
      <w:bookmarkStart w:id="89" w:name="_Toc22729_WPSOffice_Level1"/>
      <w:r/>
      <w:bookmarkStart w:id="90" w:name="_Toc9152_WPSOffice_Level1"/>
      <w:r>
        <w:rPr>
          <w:rFonts w:hint="eastAsia" w:ascii="宋体" w:hAnsi="宋体" w:eastAsia="宋体" w:cs="宋体"/>
          <w:bCs/>
          <w:sz w:val="72"/>
          <w:szCs w:val="72"/>
        </w:rPr>
        <w:t xml:space="preserve">人身保险伤残评定标准</w:t>
      </w:r>
      <w:bookmarkEnd w:id="87"/>
      <w:r/>
      <w:bookmarkEnd w:id="88"/>
      <w:r/>
      <w:bookmarkEnd w:id="89"/>
      <w:r/>
      <w:bookmarkEnd w:id="90"/>
      <w:r/>
      <w:r/>
    </w:p>
    <w:p>
      <w:pPr>
        <w:pStyle w:val="1199"/>
        <w:jc w:val="center"/>
        <w:spacing w:line="360" w:lineRule="auto"/>
        <w:rPr>
          <w:rFonts w:hint="eastAsia" w:ascii="宋体" w:hAnsi="宋体" w:eastAsia="宋体" w:cs="宋体"/>
          <w:bCs/>
          <w:sz w:val="72"/>
          <w:szCs w:val="72"/>
        </w:rPr>
      </w:pPr>
      <w:r>
        <w:rPr>
          <w:rFonts w:hint="eastAsia" w:ascii="宋体" w:hAnsi="宋体" w:eastAsia="宋体" w:cs="宋体"/>
          <w:b/>
          <w:sz w:val="7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wp:posOffset>
                </wp:positionH>
                <wp:positionV relativeFrom="paragraph">
                  <wp:posOffset>182245</wp:posOffset>
                </wp:positionV>
                <wp:extent cx="5448300" cy="0"/>
                <wp:effectExtent l="0" t="0" r="0" b="0"/>
                <wp:wrapNone/>
                <wp:docPr id="1" name="直接连接符 9"/>
                <wp:cNvGraphicFramePr/>
                <a:graphic xmlns:a="http://schemas.openxmlformats.org/drawingml/2006/main">
                  <a:graphicData uri="http://schemas.microsoft.com/office/word/2010/wordprocessingShape">
                    <wps:wsp>
                      <wps:cNvPr id="0" name=""/>
                      <wps:cNvSpPr/>
                      <wps:spPr bwMode="auto">
                        <a:xfrm>
                          <a:off x="0" y="0"/>
                          <a:ext cx="5448300" cy="0"/>
                        </a:xfrm>
                        <a:prstGeom prst="line">
                          <a:avLst/>
                        </a:prstGeom>
                        <a:noFill/>
                        <a:ln w="6350">
                          <a:solidFill>
                            <a:srgbClr val="0070C0"/>
                          </a:solidFill>
                        </a:ln>
                      </wps:spPr>
                      <wps:bodyPr rot="0">
                        <a:prstTxWarp prst="textNoShape">
                          <a:avLst/>
                        </a:prstTxWarp>
                        <a:noAutofit/>
                      </wps:bodyPr>
                    </wps:wsp>
                  </a:graphicData>
                </a:graphic>
              </wp:anchor>
            </w:drawing>
          </mc:Choice>
          <mc:Fallback>
            <w:pict>
              <v:line id="shape 0" o:spid="_x0000_s0" style="position:absolute;left:0;text-align:left;z-index:251661312;mso-wrap-distance-left:9.0pt;mso-wrap-distance-top:0.0pt;mso-wrap-distance-right:9.0pt;mso-wrap-distance-bottom:0.0pt;visibility:visible;" from="19.8pt,14.3pt" to="448.8pt,14.3pt" filled="f" strokecolor="#0070C0" strokeweight="0.50pt"/>
            </w:pict>
          </mc:Fallback>
        </mc:AlternateContent>
      </w:r>
      <w:r/>
    </w:p>
    <w:p>
      <w:pPr>
        <w:pStyle w:val="1199"/>
        <w:rPr>
          <w:rFonts w:hint="eastAsia" w:ascii="宋体" w:hAnsi="宋体" w:eastAsia="宋体" w:cs="宋体"/>
        </w:rPr>
      </w:pPr>
      <w:r>
        <w:rPr>
          <w:rFonts w:hint="eastAsia" w:ascii="宋体" w:hAnsi="宋体" w:eastAsia="宋体" w:cs="宋体"/>
        </w:rPr>
      </w:r>
      <w:r/>
    </w:p>
    <w:p>
      <w:pPr>
        <w:pStyle w:val="1199"/>
        <w:rPr>
          <w:rFonts w:hint="eastAsia" w:ascii="宋体" w:hAnsi="宋体" w:eastAsia="宋体" w:cs="宋体"/>
        </w:rPr>
      </w:pPr>
      <w:r>
        <w:rPr>
          <w:rFonts w:hint="eastAsia" w:ascii="宋体" w:hAnsi="宋体" w:eastAsia="宋体" w:cs="宋体"/>
        </w:rPr>
      </w:r>
      <w:r/>
    </w:p>
    <w:p>
      <w:pPr>
        <w:pStyle w:val="1199"/>
        <w:rPr>
          <w:rFonts w:hint="eastAsia" w:ascii="宋体" w:hAnsi="宋体" w:eastAsia="宋体" w:cs="宋体"/>
        </w:rPr>
      </w:pPr>
      <w:r>
        <w:rPr>
          <w:rFonts w:hint="eastAsia" w:ascii="宋体" w:hAnsi="宋体" w:eastAsia="宋体" w:cs="宋体"/>
        </w:rPr>
      </w:r>
      <w:r/>
    </w:p>
    <w:p>
      <w:pPr>
        <w:pStyle w:val="1199"/>
        <w:rPr>
          <w:rFonts w:hint="eastAsia" w:ascii="宋体" w:hAnsi="宋体" w:eastAsia="宋体" w:cs="宋体"/>
        </w:rPr>
      </w:pPr>
      <w:r>
        <w:rPr>
          <w:rFonts w:hint="eastAsia" w:ascii="宋体" w:hAnsi="宋体" w:eastAsia="宋体" w:cs="宋体"/>
        </w:rPr>
      </w:r>
      <w:r/>
    </w:p>
    <w:p>
      <w:pPr>
        <w:pStyle w:val="1199"/>
        <w:rPr>
          <w:rFonts w:hint="eastAsia" w:ascii="宋体" w:hAnsi="宋体" w:eastAsia="宋体" w:cs="宋体"/>
        </w:rPr>
      </w:pPr>
      <w:r>
        <w:rPr>
          <w:rFonts w:hint="eastAsia" w:ascii="宋体" w:hAnsi="宋体" w:eastAsia="宋体" w:cs="宋体"/>
        </w:rPr>
      </w:r>
      <w:r/>
    </w:p>
    <w:p>
      <w:pPr>
        <w:pStyle w:val="1199"/>
        <w:rPr>
          <w:rFonts w:hint="eastAsia" w:ascii="宋体" w:hAnsi="宋体" w:eastAsia="宋体" w:cs="宋体"/>
        </w:rPr>
      </w:pPr>
      <w:r>
        <w:rPr>
          <w:rFonts w:hint="eastAsia" w:ascii="宋体" w:hAnsi="宋体" w:eastAsia="宋体" w:cs="宋体"/>
        </w:rPr>
      </w:r>
      <w:r/>
    </w:p>
    <w:p>
      <w:pPr>
        <w:pStyle w:val="1199"/>
        <w:rPr>
          <w:rFonts w:hint="eastAsia" w:ascii="宋体" w:hAnsi="宋体" w:eastAsia="宋体" w:cs="宋体"/>
        </w:rPr>
      </w:pPr>
      <w:r>
        <w:rPr>
          <w:rFonts w:hint="eastAsia" w:ascii="宋体" w:hAnsi="宋体" w:eastAsia="宋体" w:cs="宋体"/>
        </w:rPr>
      </w:r>
      <w:r/>
    </w:p>
    <w:p>
      <w:pPr>
        <w:pStyle w:val="1199"/>
        <w:rPr>
          <w:rFonts w:hint="eastAsia" w:ascii="宋体" w:hAnsi="宋体" w:eastAsia="宋体" w:cs="宋体"/>
        </w:rPr>
      </w:pPr>
      <w:r>
        <w:rPr>
          <w:rFonts w:hint="eastAsia" w:ascii="宋体" w:hAnsi="宋体" w:eastAsia="宋体" w:cs="宋体"/>
        </w:rPr>
      </w:r>
      <w:r/>
    </w:p>
    <w:p>
      <w:pPr>
        <w:pStyle w:val="1199"/>
        <w:rPr>
          <w:rFonts w:hint="eastAsia" w:ascii="宋体" w:hAnsi="宋体" w:eastAsia="宋体" w:cs="宋体"/>
        </w:rPr>
      </w:pPr>
      <w:r>
        <w:rPr>
          <w:rFonts w:hint="eastAsia" w:ascii="宋体" w:hAnsi="宋体" w:eastAsia="宋体" w:cs="宋体"/>
        </w:rPr>
      </w:r>
      <w:r/>
    </w:p>
    <w:p>
      <w:pPr>
        <w:pStyle w:val="1199"/>
        <w:jc w:val="center"/>
        <w:spacing w:line="360" w:lineRule="auto"/>
        <w:rPr>
          <w:rFonts w:hint="eastAsia" w:ascii="宋体" w:hAnsi="宋体" w:eastAsia="宋体" w:cs="宋体"/>
          <w:b/>
          <w:sz w:val="44"/>
          <w:szCs w:val="44"/>
        </w:rPr>
      </w:pPr>
      <w:r/>
      <w:bookmarkStart w:id="91" w:name="_Toc9364_WPSOffice_Level1"/>
      <w:r/>
      <w:bookmarkStart w:id="92" w:name="_Toc29443_WPSOffice_Level1"/>
      <w:r/>
      <w:bookmarkStart w:id="93" w:name="_Toc3614_WPSOffice_Level1"/>
      <w:r/>
      <w:bookmarkStart w:id="94" w:name="_Toc4840_WPSOffice_Level1"/>
      <w:r>
        <w:rPr>
          <w:rFonts w:hint="eastAsia" w:ascii="宋体" w:hAnsi="宋体" w:eastAsia="宋体" w:cs="宋体"/>
          <w:b/>
          <w:sz w:val="44"/>
          <w:szCs w:val="44"/>
        </w:rPr>
        <w:t xml:space="preserve">中国保险行业协会、中国法医学会</w:t>
      </w:r>
      <w:bookmarkEnd w:id="91"/>
      <w:r/>
      <w:bookmarkEnd w:id="92"/>
      <w:r/>
      <w:bookmarkEnd w:id="93"/>
      <w:r/>
      <w:bookmarkEnd w:id="94"/>
      <w:r/>
      <w:r/>
    </w:p>
    <w:p>
      <w:pPr>
        <w:pStyle w:val="1199"/>
        <w:jc w:val="center"/>
        <w:spacing w:line="360" w:lineRule="auto"/>
        <w:rPr>
          <w:rFonts w:hint="eastAsia" w:ascii="宋体" w:hAnsi="宋体" w:eastAsia="宋体" w:cs="宋体"/>
          <w:b/>
          <w:sz w:val="44"/>
          <w:szCs w:val="44"/>
        </w:rPr>
      </w:pPr>
      <w:r/>
      <w:bookmarkStart w:id="95" w:name="_Toc14727_WPSOffice_Level1"/>
      <w:r/>
      <w:bookmarkStart w:id="96" w:name="_Toc25170_WPSOffice_Level1"/>
      <w:r/>
      <w:bookmarkStart w:id="97" w:name="_Toc28989_WPSOffice_Level1"/>
      <w:r/>
      <w:bookmarkStart w:id="98" w:name="_Toc20442_WPSOffice_Level1"/>
      <w:r>
        <w:rPr>
          <w:rFonts w:hint="eastAsia" w:ascii="宋体" w:hAnsi="宋体" w:eastAsia="宋体" w:cs="宋体"/>
          <w:b/>
          <w:sz w:val="44"/>
          <w:szCs w:val="44"/>
        </w:rPr>
        <w:t xml:space="preserve">联合发布</w:t>
      </w:r>
      <w:bookmarkEnd w:id="95"/>
      <w:r/>
      <w:bookmarkEnd w:id="96"/>
      <w:r/>
      <w:bookmarkEnd w:id="97"/>
      <w:r/>
      <w:bookmarkEnd w:id="98"/>
      <w:r/>
      <w:r/>
    </w:p>
    <w:p>
      <w:pPr>
        <w:pStyle w:val="1199"/>
        <w:jc w:val="center"/>
        <w:spacing w:line="360" w:lineRule="auto"/>
        <w:rPr>
          <w:rFonts w:hint="eastAsia" w:ascii="宋体" w:hAnsi="宋体" w:eastAsia="宋体" w:cs="宋体"/>
          <w:b/>
          <w:sz w:val="28"/>
        </w:rPr>
      </w:pPr>
      <w:r>
        <w:rPr>
          <w:rFonts w:hint="eastAsia" w:ascii="宋体" w:hAnsi="宋体" w:eastAsia="宋体" w:cs="宋体"/>
          <w:b/>
          <w:sz w:val="28"/>
        </w:rPr>
      </w:r>
      <w:r/>
    </w:p>
    <w:p>
      <w:pPr>
        <w:pStyle w:val="1199"/>
        <w:rPr>
          <w:rFonts w:hint="eastAsia" w:ascii="宋体" w:hAnsi="宋体" w:eastAsia="宋体" w:cs="宋体"/>
        </w:rPr>
      </w:pPr>
      <w:r>
        <w:rPr>
          <w:rFonts w:hint="eastAsia" w:ascii="宋体" w:hAnsi="宋体" w:eastAsia="宋体" w:cs="宋体"/>
        </w:rPr>
      </w:r>
      <w:r/>
    </w:p>
    <w:p>
      <w:pPr>
        <w:pStyle w:val="1199"/>
        <w:rPr>
          <w:rFonts w:hint="eastAsia" w:ascii="宋体" w:hAnsi="宋体" w:eastAsia="宋体" w:cs="宋体"/>
        </w:rPr>
      </w:pPr>
      <w:r>
        <w:rPr>
          <w:rFonts w:hint="eastAsia" w:ascii="宋体" w:hAnsi="宋体" w:eastAsia="宋体" w:cs="宋体"/>
        </w:rPr>
      </w:r>
      <w:r/>
    </w:p>
    <w:p>
      <w:pPr>
        <w:pStyle w:val="1199"/>
        <w:jc w:val="center"/>
        <w:spacing w:line="360" w:lineRule="auto"/>
        <w:rPr>
          <w:rFonts w:hint="eastAsia" w:ascii="宋体" w:hAnsi="宋体" w:eastAsia="宋体" w:cs="宋体"/>
          <w:b/>
          <w:sz w:val="28"/>
        </w:rPr>
      </w:pPr>
      <w:r/>
      <w:bookmarkStart w:id="99" w:name="_Toc13025_WPSOffice_Level1"/>
      <w:r/>
      <w:bookmarkStart w:id="100" w:name="_Toc10116_WPSOffice_Level1"/>
      <w:r/>
      <w:bookmarkStart w:id="101" w:name="_Toc9379_WPSOffice_Level1"/>
      <w:r/>
      <w:bookmarkStart w:id="102" w:name="_Toc20721_WPSOffice_Level1"/>
      <w:r>
        <w:rPr>
          <w:rFonts w:hint="eastAsia" w:ascii="宋体" w:hAnsi="宋体" w:eastAsia="宋体" w:cs="宋体"/>
          <w:b/>
          <w:sz w:val="28"/>
        </w:rPr>
        <w:t xml:space="preserve">二零一三年六月八日</w:t>
      </w:r>
      <w:bookmarkEnd w:id="99"/>
      <w:r/>
      <w:bookmarkEnd w:id="100"/>
      <w:r/>
      <w:bookmarkEnd w:id="101"/>
      <w:r/>
      <w:bookmarkEnd w:id="102"/>
      <w:r/>
      <w:r/>
    </w:p>
    <w:p>
      <w:pPr>
        <w:pStyle w:val="1199"/>
        <w:jc w:val="left"/>
        <w:tabs>
          <w:tab w:val="left" w:pos="3501" w:leader="none"/>
        </w:tabs>
        <w:rPr>
          <w:rFonts w:hint="eastAsia" w:ascii="宋体" w:hAnsi="宋体" w:eastAsia="宋体" w:cs="宋体"/>
          <w:sz w:val="30"/>
          <w:szCs w:val="30"/>
        </w:rPr>
      </w:pPr>
      <w:r>
        <w:rPr>
          <w:rFonts w:hint="eastAsia" w:ascii="宋体" w:hAnsi="宋体" w:eastAsia="宋体" w:cs="宋体"/>
          <w:sz w:val="30"/>
          <w:szCs w:val="30"/>
        </w:rPr>
      </w:r>
      <w:r/>
    </w:p>
    <w:p>
      <w:pPr>
        <w:pStyle w:val="1199"/>
        <w:jc w:val="left"/>
        <w:tabs>
          <w:tab w:val="left" w:pos="3501" w:leader="none"/>
        </w:tabs>
        <w:rPr>
          <w:rFonts w:hint="eastAsia" w:ascii="宋体" w:hAnsi="宋体" w:eastAsia="宋体" w:cs="宋体"/>
          <w:sz w:val="30"/>
          <w:szCs w:val="30"/>
        </w:rPr>
      </w:pPr>
      <w:r>
        <w:rPr>
          <w:rFonts w:hint="eastAsia" w:ascii="宋体" w:hAnsi="宋体" w:eastAsia="宋体" w:cs="宋体"/>
          <w:sz w:val="30"/>
          <w:szCs w:val="30"/>
        </w:rPr>
      </w:r>
      <w:r/>
    </w:p>
    <w:p>
      <w:pPr>
        <w:pStyle w:val="1199"/>
        <w:jc w:val="left"/>
        <w:tabs>
          <w:tab w:val="left" w:pos="3501" w:leader="none"/>
        </w:tabs>
        <w:rPr>
          <w:rFonts w:hint="eastAsia" w:ascii="宋体" w:hAnsi="宋体" w:eastAsia="宋体" w:cs="宋体"/>
          <w:sz w:val="30"/>
          <w:szCs w:val="30"/>
        </w:rPr>
      </w:pPr>
      <w:r>
        <w:rPr>
          <w:rFonts w:hint="eastAsia" w:ascii="宋体" w:hAnsi="宋体" w:eastAsia="宋体" w:cs="宋体"/>
          <w:sz w:val="30"/>
          <w:szCs w:val="30"/>
        </w:rPr>
      </w:r>
      <w:r/>
    </w:p>
    <w:p>
      <w:pPr>
        <w:pStyle w:val="1199"/>
        <w:jc w:val="center"/>
        <w:spacing w:line="360" w:lineRule="auto"/>
        <w:rPr>
          <w:rFonts w:hint="eastAsia" w:ascii="宋体" w:hAnsi="宋体" w:eastAsia="宋体" w:cs="宋体"/>
          <w:b/>
          <w:sz w:val="24"/>
        </w:rPr>
      </w:pPr>
      <w:r/>
      <w:bookmarkStart w:id="103" w:name="_Toc7276_WPSOffice_Level1"/>
      <w:r/>
      <w:bookmarkStart w:id="104" w:name="_Toc5355_WPSOffice_Level1"/>
      <w:r/>
      <w:bookmarkStart w:id="105" w:name="_Toc32629_WPSOffice_Level1"/>
      <w:r/>
      <w:r/>
    </w:p>
    <w:p>
      <w:pPr>
        <w:pStyle w:val="1199"/>
        <w:jc w:val="center"/>
        <w:spacing w:line="360" w:lineRule="auto"/>
        <w:rPr>
          <w:rFonts w:hint="eastAsia" w:ascii="宋体" w:hAnsi="宋体" w:eastAsia="宋体" w:cs="宋体"/>
          <w:b/>
          <w:sz w:val="24"/>
        </w:rPr>
      </w:pPr>
      <w:r/>
      <w:bookmarkStart w:id="106" w:name="_Toc21194_WPSOffice_Level1"/>
      <w:r>
        <w:rPr>
          <w:rFonts w:hint="eastAsia" w:ascii="宋体" w:hAnsi="宋体" w:eastAsia="宋体" w:cs="宋体"/>
          <w:b/>
          <w:sz w:val="24"/>
        </w:rPr>
        <w:t xml:space="preserve">目录</w:t>
      </w:r>
      <w:bookmarkEnd w:id="103"/>
      <w:r/>
      <w:bookmarkEnd w:id="104"/>
      <w:r/>
      <w:bookmarkEnd w:id="105"/>
      <w:r/>
      <w:bookmarkEnd w:id="106"/>
      <w:r/>
      <w:r/>
    </w:p>
    <w:p>
      <w:pPr>
        <w:pStyle w:val="1199"/>
        <w:rPr>
          <w:rFonts w:hint="eastAsia" w:ascii="宋体" w:hAnsi="宋体" w:eastAsia="宋体" w:cs="宋体"/>
          <w:sz w:val="24"/>
        </w:rPr>
      </w:pPr>
      <w:r>
        <w:rPr>
          <w:rFonts w:hint="eastAsia" w:ascii="宋体" w:hAnsi="宋体" w:eastAsia="宋体" w:cs="宋体"/>
          <w:sz w:val="24"/>
        </w:rPr>
        <w:t xml:space="preserve">前言</w:t>
      </w:r>
      <w:r/>
    </w:p>
    <w:p>
      <w:pPr>
        <w:pStyle w:val="1199"/>
        <w:rPr>
          <w:rFonts w:hint="eastAsia" w:ascii="宋体" w:hAnsi="宋体" w:eastAsia="宋体" w:cs="宋体"/>
          <w:sz w:val="24"/>
        </w:rPr>
      </w:pPr>
      <w:r>
        <w:rPr>
          <w:rFonts w:hint="eastAsia" w:ascii="宋体" w:hAnsi="宋体" w:eastAsia="宋体" w:cs="宋体"/>
          <w:sz w:val="24"/>
        </w:rPr>
        <w:t xml:space="preserve">人身保险伤残评定标准（行业标准）</w:t>
      </w:r>
      <w:r/>
    </w:p>
    <w:p>
      <w:pPr>
        <w:pStyle w:val="1199"/>
        <w:rPr>
          <w:rFonts w:hint="eastAsia" w:ascii="宋体" w:hAnsi="宋体" w:eastAsia="宋体" w:cs="宋体"/>
          <w:sz w:val="24"/>
        </w:rPr>
      </w:pPr>
      <w:r>
        <w:rPr>
          <w:rFonts w:hint="eastAsia" w:ascii="宋体" w:hAnsi="宋体" w:eastAsia="宋体" w:cs="宋体"/>
          <w:sz w:val="24"/>
        </w:rPr>
        <w:t xml:space="preserve">1神经系统的结构和精神功能</w:t>
      </w:r>
      <w:r/>
    </w:p>
    <w:p>
      <w:pPr>
        <w:pStyle w:val="1199"/>
        <w:rPr>
          <w:rFonts w:hint="eastAsia" w:ascii="宋体" w:hAnsi="宋体" w:eastAsia="宋体" w:cs="宋体"/>
          <w:sz w:val="24"/>
        </w:rPr>
      </w:pPr>
      <w:r/>
      <w:bookmarkStart w:id="107" w:name="_Toc27161_WPSOffice_Level1"/>
      <w:r/>
      <w:bookmarkStart w:id="108" w:name="_Toc24797_WPSOffice_Level1"/>
      <w:r/>
      <w:bookmarkStart w:id="109" w:name="_Toc24794_WPSOffice_Level1"/>
      <w:r>
        <w:rPr>
          <w:rFonts w:hint="eastAsia" w:ascii="宋体" w:hAnsi="宋体" w:eastAsia="宋体" w:cs="宋体"/>
          <w:sz w:val="24"/>
        </w:rPr>
        <w:t xml:space="preserve">1.1脑膜的结构损伤</w:t>
      </w:r>
      <w:bookmarkEnd w:id="107"/>
      <w:r/>
      <w:bookmarkEnd w:id="108"/>
      <w:r/>
      <w:bookmarkEnd w:id="109"/>
      <w:r/>
      <w:r/>
    </w:p>
    <w:p>
      <w:pPr>
        <w:pStyle w:val="1199"/>
        <w:rPr>
          <w:rFonts w:hint="eastAsia" w:ascii="宋体" w:hAnsi="宋体" w:eastAsia="宋体" w:cs="宋体"/>
          <w:sz w:val="24"/>
        </w:rPr>
      </w:pPr>
      <w:r/>
      <w:bookmarkStart w:id="110" w:name="_Toc20058_WPSOffice_Level1"/>
      <w:r/>
      <w:bookmarkStart w:id="111" w:name="_Toc11428_WPSOffice_Level1"/>
      <w:r/>
      <w:bookmarkStart w:id="112" w:name="_Toc22596_WPSOffice_Level1"/>
      <w:r>
        <w:rPr>
          <w:rFonts w:hint="eastAsia" w:ascii="宋体" w:hAnsi="宋体" w:eastAsia="宋体" w:cs="宋体"/>
          <w:sz w:val="24"/>
        </w:rPr>
        <w:t xml:space="preserve">1.2脑的结构损伤，智力功能障碍</w:t>
      </w:r>
      <w:bookmarkEnd w:id="110"/>
      <w:r/>
      <w:bookmarkEnd w:id="111"/>
      <w:r/>
      <w:bookmarkEnd w:id="112"/>
      <w:r/>
      <w:r/>
    </w:p>
    <w:p>
      <w:pPr>
        <w:pStyle w:val="1199"/>
        <w:rPr>
          <w:rFonts w:hint="eastAsia" w:ascii="宋体" w:hAnsi="宋体" w:eastAsia="宋体" w:cs="宋体"/>
          <w:sz w:val="24"/>
        </w:rPr>
      </w:pPr>
      <w:r/>
      <w:bookmarkStart w:id="113" w:name="_Toc26804_WPSOffice_Level1"/>
      <w:r/>
      <w:bookmarkStart w:id="114" w:name="_Toc568_WPSOffice_Level1"/>
      <w:r/>
      <w:bookmarkStart w:id="115" w:name="_Toc13615_WPSOffice_Level1"/>
      <w:r>
        <w:rPr>
          <w:rFonts w:hint="eastAsia" w:ascii="宋体" w:hAnsi="宋体" w:eastAsia="宋体" w:cs="宋体"/>
          <w:sz w:val="24"/>
        </w:rPr>
        <w:t xml:space="preserve">1.3意识功能障碍</w:t>
      </w:r>
      <w:bookmarkEnd w:id="113"/>
      <w:r/>
      <w:bookmarkEnd w:id="114"/>
      <w:r/>
      <w:bookmarkEnd w:id="115"/>
      <w:r/>
      <w:r/>
    </w:p>
    <w:p>
      <w:pPr>
        <w:pStyle w:val="1199"/>
        <w:rPr>
          <w:rFonts w:hint="eastAsia" w:ascii="宋体" w:hAnsi="宋体" w:eastAsia="宋体" w:cs="宋体"/>
          <w:sz w:val="24"/>
        </w:rPr>
      </w:pPr>
      <w:r>
        <w:rPr>
          <w:rFonts w:hint="eastAsia" w:ascii="宋体" w:hAnsi="宋体" w:eastAsia="宋体" w:cs="宋体"/>
          <w:sz w:val="24"/>
        </w:rPr>
        <w:t xml:space="preserve">2眼，耳和有关的结构和功能</w:t>
      </w:r>
      <w:r/>
    </w:p>
    <w:p>
      <w:pPr>
        <w:pStyle w:val="1199"/>
        <w:rPr>
          <w:rFonts w:hint="eastAsia" w:ascii="宋体" w:hAnsi="宋体" w:eastAsia="宋体" w:cs="宋体"/>
          <w:sz w:val="24"/>
        </w:rPr>
      </w:pPr>
      <w:r/>
      <w:bookmarkStart w:id="116" w:name="_Toc12483_WPSOffice_Level1"/>
      <w:r>
        <w:rPr>
          <w:rFonts w:hint="eastAsia" w:ascii="宋体" w:hAnsi="宋体" w:eastAsia="宋体" w:cs="宋体"/>
          <w:sz w:val="24"/>
        </w:rPr>
        <w:t xml:space="preserve">2.1眼球损伤或视功能障碍</w:t>
      </w:r>
      <w:bookmarkEnd w:id="116"/>
      <w:r/>
      <w:r/>
    </w:p>
    <w:p>
      <w:pPr>
        <w:pStyle w:val="1199"/>
        <w:rPr>
          <w:rFonts w:hint="eastAsia" w:ascii="宋体" w:hAnsi="宋体" w:eastAsia="宋体" w:cs="宋体"/>
          <w:sz w:val="24"/>
        </w:rPr>
      </w:pPr>
      <w:r/>
      <w:bookmarkStart w:id="117" w:name="_Toc25695_WPSOffice_Level1"/>
      <w:r>
        <w:rPr>
          <w:rFonts w:hint="eastAsia" w:ascii="宋体" w:hAnsi="宋体" w:eastAsia="宋体" w:cs="宋体"/>
          <w:sz w:val="24"/>
        </w:rPr>
        <w:t xml:space="preserve">2.2视功能障碍</w:t>
      </w:r>
      <w:bookmarkEnd w:id="117"/>
      <w:r/>
      <w:r/>
    </w:p>
    <w:p>
      <w:pPr>
        <w:pStyle w:val="1199"/>
        <w:rPr>
          <w:rFonts w:hint="eastAsia" w:ascii="宋体" w:hAnsi="宋体" w:eastAsia="宋体" w:cs="宋体"/>
          <w:sz w:val="24"/>
        </w:rPr>
      </w:pPr>
      <w:r/>
      <w:bookmarkStart w:id="118" w:name="_Toc32388_WPSOffice_Level1"/>
      <w:r>
        <w:rPr>
          <w:rFonts w:hint="eastAsia" w:ascii="宋体" w:hAnsi="宋体" w:eastAsia="宋体" w:cs="宋体"/>
          <w:sz w:val="24"/>
        </w:rPr>
        <w:t xml:space="preserve">2.3眼球的晶状体结构损伤</w:t>
      </w:r>
      <w:bookmarkEnd w:id="118"/>
      <w:r/>
      <w:r/>
    </w:p>
    <w:p>
      <w:pPr>
        <w:pStyle w:val="1199"/>
        <w:rPr>
          <w:rFonts w:hint="eastAsia" w:ascii="宋体" w:hAnsi="宋体" w:eastAsia="宋体" w:cs="宋体"/>
          <w:sz w:val="24"/>
        </w:rPr>
      </w:pPr>
      <w:r/>
      <w:bookmarkStart w:id="119" w:name="_Toc31001_WPSOffice_Level1"/>
      <w:r>
        <w:rPr>
          <w:rFonts w:hint="eastAsia" w:ascii="宋体" w:hAnsi="宋体" w:eastAsia="宋体" w:cs="宋体"/>
          <w:sz w:val="24"/>
        </w:rPr>
        <w:t xml:space="preserve">2.4眼睑结构损伤</w:t>
      </w:r>
      <w:bookmarkEnd w:id="119"/>
      <w:r/>
      <w:r/>
    </w:p>
    <w:p>
      <w:pPr>
        <w:pStyle w:val="1199"/>
        <w:rPr>
          <w:rFonts w:hint="eastAsia" w:ascii="宋体" w:hAnsi="宋体" w:eastAsia="宋体" w:cs="宋体"/>
          <w:sz w:val="24"/>
        </w:rPr>
      </w:pPr>
      <w:r/>
      <w:bookmarkStart w:id="120" w:name="_Toc13948_WPSOffice_Level1"/>
      <w:r>
        <w:rPr>
          <w:rFonts w:hint="eastAsia" w:ascii="宋体" w:hAnsi="宋体" w:eastAsia="宋体" w:cs="宋体"/>
          <w:sz w:val="24"/>
        </w:rPr>
        <w:t xml:space="preserve">2.5耳廓结构损伤或听功能障碍</w:t>
      </w:r>
      <w:bookmarkEnd w:id="120"/>
      <w:r/>
      <w:r/>
    </w:p>
    <w:p>
      <w:pPr>
        <w:pStyle w:val="1199"/>
        <w:rPr>
          <w:rFonts w:hint="eastAsia" w:ascii="宋体" w:hAnsi="宋体" w:eastAsia="宋体" w:cs="宋体"/>
          <w:sz w:val="24"/>
        </w:rPr>
      </w:pPr>
      <w:r/>
      <w:bookmarkStart w:id="121" w:name="_Toc7770_WPSOffice_Level1"/>
      <w:r>
        <w:rPr>
          <w:rFonts w:hint="eastAsia" w:ascii="宋体" w:hAnsi="宋体" w:eastAsia="宋体" w:cs="宋体"/>
          <w:sz w:val="24"/>
        </w:rPr>
        <w:t xml:space="preserve">2.6听功能障碍</w:t>
      </w:r>
      <w:bookmarkEnd w:id="121"/>
      <w:r/>
      <w:r/>
    </w:p>
    <w:p>
      <w:pPr>
        <w:pStyle w:val="1199"/>
        <w:rPr>
          <w:rFonts w:hint="eastAsia" w:ascii="宋体" w:hAnsi="宋体" w:eastAsia="宋体" w:cs="宋体"/>
          <w:sz w:val="24"/>
        </w:rPr>
      </w:pPr>
      <w:r>
        <w:rPr>
          <w:rFonts w:hint="eastAsia" w:ascii="宋体" w:hAnsi="宋体" w:eastAsia="宋体" w:cs="宋体"/>
          <w:sz w:val="24"/>
        </w:rPr>
        <w:t xml:space="preserve">3发声和言语的结构和功能</w:t>
      </w:r>
      <w:r/>
    </w:p>
    <w:p>
      <w:pPr>
        <w:pStyle w:val="1199"/>
        <w:rPr>
          <w:rFonts w:hint="eastAsia" w:ascii="宋体" w:hAnsi="宋体" w:eastAsia="宋体" w:cs="宋体"/>
          <w:sz w:val="24"/>
        </w:rPr>
      </w:pPr>
      <w:r/>
      <w:bookmarkStart w:id="122" w:name="_Toc20574_WPSOffice_Level1"/>
      <w:r>
        <w:rPr>
          <w:rFonts w:hint="eastAsia" w:ascii="宋体" w:hAnsi="宋体" w:eastAsia="宋体" w:cs="宋体"/>
          <w:sz w:val="24"/>
        </w:rPr>
        <w:t xml:space="preserve">3.1鼻的结构损伤</w:t>
      </w:r>
      <w:bookmarkEnd w:id="122"/>
      <w:r/>
      <w:r/>
    </w:p>
    <w:p>
      <w:pPr>
        <w:pStyle w:val="1199"/>
        <w:rPr>
          <w:rFonts w:hint="eastAsia" w:ascii="宋体" w:hAnsi="宋体" w:eastAsia="宋体" w:cs="宋体"/>
          <w:sz w:val="24"/>
        </w:rPr>
      </w:pPr>
      <w:r/>
      <w:bookmarkStart w:id="123" w:name="_Toc24686_WPSOffice_Level1"/>
      <w:r>
        <w:rPr>
          <w:rFonts w:hint="eastAsia" w:ascii="宋体" w:hAnsi="宋体" w:eastAsia="宋体" w:cs="宋体"/>
          <w:sz w:val="24"/>
        </w:rPr>
        <w:t xml:space="preserve">3.2口腔的结构损伤</w:t>
      </w:r>
      <w:bookmarkEnd w:id="123"/>
      <w:r/>
      <w:r/>
    </w:p>
    <w:p>
      <w:pPr>
        <w:pStyle w:val="1199"/>
        <w:rPr>
          <w:rFonts w:hint="eastAsia" w:ascii="宋体" w:hAnsi="宋体" w:eastAsia="宋体" w:cs="宋体"/>
          <w:sz w:val="24"/>
        </w:rPr>
      </w:pPr>
      <w:r/>
      <w:bookmarkStart w:id="124" w:name="_Toc21785_WPSOffice_Level1"/>
      <w:r>
        <w:rPr>
          <w:rFonts w:hint="eastAsia" w:ascii="宋体" w:hAnsi="宋体" w:eastAsia="宋体" w:cs="宋体"/>
          <w:sz w:val="24"/>
        </w:rPr>
        <w:t xml:space="preserve">3.3发声和言语的功能障碍</w:t>
      </w:r>
      <w:bookmarkEnd w:id="124"/>
      <w:r/>
      <w:r/>
    </w:p>
    <w:p>
      <w:pPr>
        <w:pStyle w:val="1199"/>
        <w:rPr>
          <w:rFonts w:hint="eastAsia" w:ascii="宋体" w:hAnsi="宋体" w:eastAsia="宋体" w:cs="宋体"/>
          <w:sz w:val="24"/>
        </w:rPr>
      </w:pPr>
      <w:r>
        <w:rPr>
          <w:rFonts w:hint="eastAsia" w:ascii="宋体" w:hAnsi="宋体" w:eastAsia="宋体" w:cs="宋体"/>
          <w:sz w:val="24"/>
        </w:rPr>
        <w:t xml:space="preserve">4心血管，免疫和呼吸系统的结构和功能</w:t>
      </w:r>
      <w:r/>
    </w:p>
    <w:p>
      <w:pPr>
        <w:pStyle w:val="1199"/>
        <w:rPr>
          <w:rFonts w:hint="eastAsia" w:ascii="宋体" w:hAnsi="宋体" w:eastAsia="宋体" w:cs="宋体"/>
          <w:sz w:val="24"/>
        </w:rPr>
      </w:pPr>
      <w:r/>
      <w:bookmarkStart w:id="125" w:name="_Toc757_WPSOffice_Level1"/>
      <w:r>
        <w:rPr>
          <w:rFonts w:hint="eastAsia" w:ascii="宋体" w:hAnsi="宋体" w:eastAsia="宋体" w:cs="宋体"/>
          <w:sz w:val="24"/>
        </w:rPr>
        <w:t xml:space="preserve">4.1心脏的结构损伤或功能障碍</w:t>
      </w:r>
      <w:bookmarkEnd w:id="125"/>
      <w:r/>
      <w:r/>
    </w:p>
    <w:p>
      <w:pPr>
        <w:pStyle w:val="1199"/>
        <w:rPr>
          <w:rFonts w:hint="eastAsia" w:ascii="宋体" w:hAnsi="宋体" w:eastAsia="宋体" w:cs="宋体"/>
          <w:sz w:val="24"/>
        </w:rPr>
      </w:pPr>
      <w:r/>
      <w:bookmarkStart w:id="126" w:name="_Toc9850_WPSOffice_Level1"/>
      <w:r>
        <w:rPr>
          <w:rFonts w:hint="eastAsia" w:ascii="宋体" w:hAnsi="宋体" w:eastAsia="宋体" w:cs="宋体"/>
          <w:sz w:val="24"/>
        </w:rPr>
        <w:t xml:space="preserve">4.2脾结构损伤</w:t>
      </w:r>
      <w:bookmarkEnd w:id="126"/>
      <w:r/>
      <w:r/>
    </w:p>
    <w:p>
      <w:pPr>
        <w:pStyle w:val="1199"/>
        <w:rPr>
          <w:rFonts w:hint="eastAsia" w:ascii="宋体" w:hAnsi="宋体" w:eastAsia="宋体" w:cs="宋体"/>
          <w:sz w:val="24"/>
        </w:rPr>
      </w:pPr>
      <w:r/>
      <w:bookmarkStart w:id="127" w:name="_Toc652_WPSOffice_Level1"/>
      <w:r>
        <w:rPr>
          <w:rFonts w:hint="eastAsia" w:ascii="宋体" w:hAnsi="宋体" w:eastAsia="宋体" w:cs="宋体"/>
          <w:sz w:val="24"/>
        </w:rPr>
        <w:t xml:space="preserve">4.3肺的结构损伤</w:t>
      </w:r>
      <w:bookmarkEnd w:id="127"/>
      <w:r/>
      <w:r/>
    </w:p>
    <w:p>
      <w:pPr>
        <w:pStyle w:val="1199"/>
        <w:rPr>
          <w:rFonts w:hint="eastAsia" w:ascii="宋体" w:hAnsi="宋体" w:eastAsia="宋体" w:cs="宋体"/>
          <w:sz w:val="24"/>
        </w:rPr>
      </w:pPr>
      <w:r/>
      <w:bookmarkStart w:id="128" w:name="_Toc28839_WPSOffice_Level1"/>
      <w:r>
        <w:rPr>
          <w:rFonts w:hint="eastAsia" w:ascii="宋体" w:hAnsi="宋体" w:eastAsia="宋体" w:cs="宋体"/>
          <w:sz w:val="24"/>
        </w:rPr>
        <w:t xml:space="preserve">4.4胸廓的结构损伤</w:t>
      </w:r>
      <w:bookmarkEnd w:id="128"/>
      <w:r/>
      <w:r/>
    </w:p>
    <w:p>
      <w:pPr>
        <w:pStyle w:val="1199"/>
        <w:rPr>
          <w:rFonts w:hint="eastAsia" w:ascii="宋体" w:hAnsi="宋体" w:eastAsia="宋体" w:cs="宋体"/>
          <w:sz w:val="24"/>
        </w:rPr>
      </w:pPr>
      <w:r>
        <w:rPr>
          <w:rFonts w:hint="eastAsia" w:ascii="宋体" w:hAnsi="宋体" w:eastAsia="宋体" w:cs="宋体"/>
          <w:sz w:val="24"/>
        </w:rPr>
        <w:t xml:space="preserve">5消化、代谢和内分泌系统有关的结构和功能</w:t>
      </w:r>
      <w:r/>
    </w:p>
    <w:p>
      <w:pPr>
        <w:pStyle w:val="1199"/>
        <w:rPr>
          <w:rFonts w:hint="eastAsia" w:ascii="宋体" w:hAnsi="宋体" w:eastAsia="宋体" w:cs="宋体"/>
          <w:sz w:val="24"/>
        </w:rPr>
      </w:pPr>
      <w:r/>
      <w:bookmarkStart w:id="129" w:name="_Toc23763_WPSOffice_Level1"/>
      <w:r>
        <w:rPr>
          <w:rFonts w:hint="eastAsia" w:ascii="宋体" w:hAnsi="宋体" w:eastAsia="宋体" w:cs="宋体"/>
          <w:sz w:val="24"/>
        </w:rPr>
        <w:t xml:space="preserve">5.1咀嚼和吞咽功能障碍</w:t>
      </w:r>
      <w:bookmarkEnd w:id="129"/>
      <w:r/>
      <w:r/>
    </w:p>
    <w:p>
      <w:pPr>
        <w:pStyle w:val="1199"/>
        <w:rPr>
          <w:rFonts w:hint="eastAsia" w:ascii="宋体" w:hAnsi="宋体" w:eastAsia="宋体" w:cs="宋体"/>
          <w:sz w:val="24"/>
        </w:rPr>
      </w:pPr>
      <w:r/>
      <w:bookmarkStart w:id="130" w:name="_Toc31876_WPSOffice_Level1"/>
      <w:r>
        <w:rPr>
          <w:rFonts w:hint="eastAsia" w:ascii="宋体" w:hAnsi="宋体" w:eastAsia="宋体" w:cs="宋体"/>
          <w:sz w:val="24"/>
        </w:rPr>
        <w:t xml:space="preserve">5.2肠的结构损伤</w:t>
      </w:r>
      <w:bookmarkEnd w:id="130"/>
      <w:r/>
      <w:r/>
    </w:p>
    <w:p>
      <w:pPr>
        <w:pStyle w:val="1199"/>
        <w:rPr>
          <w:rFonts w:hint="eastAsia" w:ascii="宋体" w:hAnsi="宋体" w:eastAsia="宋体" w:cs="宋体"/>
          <w:sz w:val="24"/>
        </w:rPr>
      </w:pPr>
      <w:r/>
      <w:bookmarkStart w:id="131" w:name="_Toc6593_WPSOffice_Level1"/>
      <w:r>
        <w:rPr>
          <w:rFonts w:hint="eastAsia" w:ascii="宋体" w:hAnsi="宋体" w:eastAsia="宋体" w:cs="宋体"/>
          <w:sz w:val="24"/>
        </w:rPr>
        <w:t xml:space="preserve">5.3胃结构损伤</w:t>
      </w:r>
      <w:bookmarkEnd w:id="131"/>
      <w:r/>
      <w:r/>
    </w:p>
    <w:p>
      <w:pPr>
        <w:pStyle w:val="1199"/>
        <w:rPr>
          <w:rFonts w:hint="eastAsia" w:ascii="宋体" w:hAnsi="宋体" w:eastAsia="宋体" w:cs="宋体"/>
          <w:sz w:val="24"/>
        </w:rPr>
      </w:pPr>
      <w:r/>
      <w:bookmarkStart w:id="132" w:name="_Toc4683_WPSOffice_Level1"/>
      <w:r>
        <w:rPr>
          <w:rFonts w:hint="eastAsia" w:ascii="宋体" w:hAnsi="宋体" w:eastAsia="宋体" w:cs="宋体"/>
          <w:sz w:val="24"/>
        </w:rPr>
        <w:t xml:space="preserve">5.4胰结构损伤或代谢功能障碍</w:t>
      </w:r>
      <w:bookmarkEnd w:id="132"/>
      <w:r/>
      <w:r/>
    </w:p>
    <w:p>
      <w:pPr>
        <w:pStyle w:val="1199"/>
        <w:rPr>
          <w:rFonts w:hint="eastAsia" w:ascii="宋体" w:hAnsi="宋体" w:eastAsia="宋体" w:cs="宋体"/>
          <w:sz w:val="24"/>
        </w:rPr>
      </w:pPr>
      <w:r/>
      <w:bookmarkStart w:id="133" w:name="_Toc10329_WPSOffice_Level1"/>
      <w:r>
        <w:rPr>
          <w:rFonts w:hint="eastAsia" w:ascii="宋体" w:hAnsi="宋体" w:eastAsia="宋体" w:cs="宋体"/>
          <w:sz w:val="24"/>
        </w:rPr>
        <w:t xml:space="preserve">5.5肝结构损伤</w:t>
      </w:r>
      <w:bookmarkEnd w:id="133"/>
      <w:r/>
      <w:r/>
    </w:p>
    <w:p>
      <w:pPr>
        <w:pStyle w:val="1199"/>
        <w:rPr>
          <w:rFonts w:hint="eastAsia" w:ascii="宋体" w:hAnsi="宋体" w:eastAsia="宋体" w:cs="宋体"/>
          <w:sz w:val="24"/>
        </w:rPr>
      </w:pPr>
      <w:r>
        <w:rPr>
          <w:rFonts w:hint="eastAsia" w:ascii="宋体" w:hAnsi="宋体" w:eastAsia="宋体" w:cs="宋体"/>
          <w:sz w:val="24"/>
        </w:rPr>
        <w:t xml:space="preserve">6泌尿和生殖系统有关的结构和功能</w:t>
      </w:r>
      <w:r/>
    </w:p>
    <w:p>
      <w:pPr>
        <w:pStyle w:val="1199"/>
        <w:rPr>
          <w:rFonts w:hint="eastAsia" w:ascii="宋体" w:hAnsi="宋体" w:eastAsia="宋体" w:cs="宋体"/>
          <w:sz w:val="24"/>
        </w:rPr>
      </w:pPr>
      <w:r/>
      <w:bookmarkStart w:id="134" w:name="_Toc21981_WPSOffice_Level1"/>
      <w:r>
        <w:rPr>
          <w:rFonts w:hint="eastAsia" w:ascii="宋体" w:hAnsi="宋体" w:eastAsia="宋体" w:cs="宋体"/>
          <w:sz w:val="24"/>
        </w:rPr>
        <w:t xml:space="preserve">6.1泌尿系统的结构损伤</w:t>
      </w:r>
      <w:bookmarkEnd w:id="134"/>
      <w:r/>
      <w:r/>
    </w:p>
    <w:p>
      <w:pPr>
        <w:pStyle w:val="1199"/>
        <w:rPr>
          <w:rFonts w:hint="eastAsia" w:ascii="宋体" w:hAnsi="宋体" w:eastAsia="宋体" w:cs="宋体"/>
          <w:sz w:val="24"/>
        </w:rPr>
      </w:pPr>
      <w:r/>
      <w:bookmarkStart w:id="135" w:name="_Toc29242_WPSOffice_Level1"/>
      <w:r>
        <w:rPr>
          <w:rFonts w:hint="eastAsia" w:ascii="宋体" w:hAnsi="宋体" w:eastAsia="宋体" w:cs="宋体"/>
          <w:sz w:val="24"/>
        </w:rPr>
        <w:t xml:space="preserve">6.2生殖系统的结构损伤</w:t>
      </w:r>
      <w:bookmarkEnd w:id="135"/>
      <w:r/>
      <w:r/>
    </w:p>
    <w:p>
      <w:pPr>
        <w:pStyle w:val="1199"/>
        <w:rPr>
          <w:rFonts w:hint="eastAsia" w:ascii="宋体" w:hAnsi="宋体" w:eastAsia="宋体" w:cs="宋体"/>
          <w:sz w:val="24"/>
        </w:rPr>
      </w:pPr>
      <w:r>
        <w:rPr>
          <w:rFonts w:hint="eastAsia" w:ascii="宋体" w:hAnsi="宋体" w:eastAsia="宋体" w:cs="宋体"/>
          <w:sz w:val="24"/>
        </w:rPr>
        <w:t xml:space="preserve">7神经肌肉骨骼和运动有关的结构和功能</w:t>
      </w:r>
      <w:r/>
    </w:p>
    <w:p>
      <w:pPr>
        <w:pStyle w:val="1199"/>
        <w:rPr>
          <w:rFonts w:hint="eastAsia" w:ascii="宋体" w:hAnsi="宋体" w:eastAsia="宋体" w:cs="宋体"/>
          <w:sz w:val="24"/>
        </w:rPr>
      </w:pPr>
      <w:r/>
      <w:bookmarkStart w:id="136" w:name="_Toc4754_WPSOffice_Level1"/>
      <w:r>
        <w:rPr>
          <w:rFonts w:hint="eastAsia" w:ascii="宋体" w:hAnsi="宋体" w:eastAsia="宋体" w:cs="宋体"/>
          <w:sz w:val="24"/>
        </w:rPr>
        <w:t xml:space="preserve">7.1头颈部的结构损伤</w:t>
      </w:r>
      <w:bookmarkEnd w:id="136"/>
      <w:r/>
      <w:r/>
    </w:p>
    <w:p>
      <w:pPr>
        <w:pStyle w:val="1199"/>
        <w:rPr>
          <w:rFonts w:hint="eastAsia" w:ascii="宋体" w:hAnsi="宋体" w:eastAsia="宋体" w:cs="宋体"/>
          <w:sz w:val="24"/>
        </w:rPr>
      </w:pPr>
      <w:r/>
      <w:bookmarkStart w:id="137" w:name="_Toc25777_WPSOffice_Level1"/>
      <w:r>
        <w:rPr>
          <w:rFonts w:hint="eastAsia" w:ascii="宋体" w:hAnsi="宋体" w:eastAsia="宋体" w:cs="宋体"/>
          <w:sz w:val="24"/>
        </w:rPr>
        <w:t xml:space="preserve">7.2头颈部关节功能障碍</w:t>
      </w:r>
      <w:bookmarkEnd w:id="137"/>
      <w:r/>
      <w:r/>
    </w:p>
    <w:p>
      <w:pPr>
        <w:pStyle w:val="1199"/>
        <w:rPr>
          <w:rFonts w:hint="eastAsia" w:ascii="宋体" w:hAnsi="宋体" w:eastAsia="宋体" w:cs="宋体"/>
          <w:sz w:val="24"/>
        </w:rPr>
      </w:pPr>
      <w:r/>
      <w:bookmarkStart w:id="138" w:name="_Toc23185_WPSOffice_Level1"/>
      <w:r>
        <w:rPr>
          <w:rFonts w:hint="eastAsia" w:ascii="宋体" w:hAnsi="宋体" w:eastAsia="宋体" w:cs="宋体"/>
          <w:sz w:val="24"/>
        </w:rPr>
        <w:t xml:space="preserve">7.3上肢的结构损伤，手功能或关节功能障碍</w:t>
      </w:r>
      <w:bookmarkEnd w:id="138"/>
      <w:r/>
      <w:r/>
    </w:p>
    <w:p>
      <w:pPr>
        <w:pStyle w:val="1199"/>
        <w:rPr>
          <w:rFonts w:hint="eastAsia" w:ascii="宋体" w:hAnsi="宋体" w:eastAsia="宋体" w:cs="宋体"/>
          <w:sz w:val="24"/>
        </w:rPr>
      </w:pPr>
      <w:r/>
      <w:bookmarkStart w:id="139" w:name="_Toc25380_WPSOffice_Level1"/>
      <w:r>
        <w:rPr>
          <w:rFonts w:hint="eastAsia" w:ascii="宋体" w:hAnsi="宋体" w:eastAsia="宋体" w:cs="宋体"/>
          <w:sz w:val="24"/>
        </w:rPr>
        <w:t xml:space="preserve">7.4骨盆部的结构损伤</w:t>
      </w:r>
      <w:bookmarkEnd w:id="139"/>
      <w:r/>
      <w:r/>
    </w:p>
    <w:p>
      <w:pPr>
        <w:pStyle w:val="1199"/>
        <w:rPr>
          <w:rFonts w:hint="eastAsia" w:ascii="宋体" w:hAnsi="宋体" w:eastAsia="宋体" w:cs="宋体"/>
          <w:sz w:val="24"/>
        </w:rPr>
      </w:pPr>
      <w:r/>
      <w:bookmarkStart w:id="140" w:name="_Toc15874_WPSOffice_Level1"/>
      <w:r>
        <w:rPr>
          <w:rFonts w:hint="eastAsia" w:ascii="宋体" w:hAnsi="宋体" w:eastAsia="宋体" w:cs="宋体"/>
          <w:sz w:val="24"/>
        </w:rPr>
        <w:t xml:space="preserve">7.5下肢的结构损伤，足功能或关节功能障碍</w:t>
      </w:r>
      <w:bookmarkEnd w:id="140"/>
      <w:r/>
      <w:r/>
    </w:p>
    <w:p>
      <w:pPr>
        <w:pStyle w:val="1199"/>
        <w:rPr>
          <w:rFonts w:hint="eastAsia" w:ascii="宋体" w:hAnsi="宋体" w:eastAsia="宋体" w:cs="宋体"/>
          <w:sz w:val="24"/>
        </w:rPr>
      </w:pPr>
      <w:r/>
      <w:bookmarkStart w:id="141" w:name="_Toc30229_WPSOffice_Level1"/>
      <w:r>
        <w:rPr>
          <w:rFonts w:hint="eastAsia" w:ascii="宋体" w:hAnsi="宋体" w:eastAsia="宋体" w:cs="宋体"/>
          <w:sz w:val="24"/>
        </w:rPr>
        <w:t xml:space="preserve">7.6四肢的结构损伤，肢体功能或关节功能障碍</w:t>
      </w:r>
      <w:bookmarkEnd w:id="141"/>
      <w:r/>
      <w:r/>
    </w:p>
    <w:p>
      <w:pPr>
        <w:pStyle w:val="1199"/>
        <w:rPr>
          <w:rFonts w:hint="eastAsia" w:ascii="宋体" w:hAnsi="宋体" w:eastAsia="宋体" w:cs="宋体"/>
          <w:sz w:val="24"/>
        </w:rPr>
      </w:pPr>
      <w:r/>
      <w:bookmarkStart w:id="142" w:name="_Toc16522_WPSOffice_Level1"/>
      <w:r>
        <w:rPr>
          <w:rFonts w:hint="eastAsia" w:ascii="宋体" w:hAnsi="宋体" w:eastAsia="宋体" w:cs="宋体"/>
          <w:sz w:val="24"/>
        </w:rPr>
        <w:t xml:space="preserve">7.7脊柱结构损伤和关节活动功能障碍</w:t>
      </w:r>
      <w:bookmarkEnd w:id="142"/>
      <w:r/>
      <w:r/>
    </w:p>
    <w:p>
      <w:pPr>
        <w:pStyle w:val="1199"/>
        <w:rPr>
          <w:rFonts w:hint="eastAsia" w:ascii="宋体" w:hAnsi="宋体" w:eastAsia="宋体" w:cs="宋体"/>
          <w:sz w:val="24"/>
        </w:rPr>
      </w:pPr>
      <w:r/>
      <w:bookmarkStart w:id="143" w:name="_Toc25362_WPSOffice_Level1"/>
      <w:r>
        <w:rPr>
          <w:rFonts w:hint="eastAsia" w:ascii="宋体" w:hAnsi="宋体" w:eastAsia="宋体" w:cs="宋体"/>
          <w:sz w:val="24"/>
        </w:rPr>
        <w:t xml:space="preserve">7.8肌肉力量功能障碍</w:t>
      </w:r>
      <w:bookmarkEnd w:id="143"/>
      <w:r/>
      <w:r/>
    </w:p>
    <w:p>
      <w:pPr>
        <w:pStyle w:val="1199"/>
        <w:rPr>
          <w:rFonts w:hint="eastAsia" w:ascii="宋体" w:hAnsi="宋体" w:eastAsia="宋体" w:cs="宋体"/>
          <w:sz w:val="24"/>
        </w:rPr>
      </w:pPr>
      <w:r>
        <w:rPr>
          <w:rFonts w:hint="eastAsia" w:ascii="宋体" w:hAnsi="宋体" w:eastAsia="宋体" w:cs="宋体"/>
          <w:sz w:val="24"/>
        </w:rPr>
        <w:t xml:space="preserve">8皮肤和有关的结构和功能</w:t>
      </w:r>
      <w:r/>
    </w:p>
    <w:p>
      <w:pPr>
        <w:pStyle w:val="1199"/>
        <w:rPr>
          <w:rFonts w:hint="eastAsia" w:ascii="宋体" w:hAnsi="宋体" w:eastAsia="宋体" w:cs="宋体"/>
          <w:sz w:val="24"/>
        </w:rPr>
      </w:pPr>
      <w:r/>
      <w:bookmarkStart w:id="144" w:name="_Toc10229_WPSOffice_Level1"/>
      <w:r>
        <w:rPr>
          <w:rFonts w:hint="eastAsia" w:ascii="宋体" w:hAnsi="宋体" w:eastAsia="宋体" w:cs="宋体"/>
          <w:sz w:val="24"/>
        </w:rPr>
        <w:t xml:space="preserve">8.1头颈部皮肤结构损伤和修复功能障碍</w:t>
      </w:r>
      <w:bookmarkEnd w:id="144"/>
      <w:r/>
      <w:r/>
    </w:p>
    <w:p>
      <w:pPr>
        <w:pStyle w:val="1199"/>
        <w:rPr>
          <w:rFonts w:hint="eastAsia" w:ascii="宋体" w:hAnsi="宋体" w:eastAsia="宋体" w:cs="宋体"/>
          <w:sz w:val="24"/>
        </w:rPr>
      </w:pPr>
      <w:r/>
      <w:bookmarkStart w:id="145" w:name="_Toc32074_WPSOffice_Level1"/>
      <w:r>
        <w:rPr>
          <w:rFonts w:hint="eastAsia" w:ascii="宋体" w:hAnsi="宋体" w:eastAsia="宋体" w:cs="宋体"/>
          <w:sz w:val="24"/>
        </w:rPr>
        <w:t xml:space="preserve">8.2各部位皮肤结构损伤和修复功能障碍</w:t>
      </w:r>
      <w:bookmarkEnd w:id="145"/>
      <w:r/>
      <w:r/>
    </w:p>
    <w:p>
      <w:pPr>
        <w:pStyle w:val="1199"/>
        <w:jc w:val="center"/>
        <w:rPr>
          <w:rFonts w:hint="eastAsia" w:ascii="宋体" w:hAnsi="宋体" w:eastAsia="宋体" w:cs="宋体"/>
          <w:b/>
          <w:sz w:val="24"/>
        </w:rPr>
      </w:pPr>
      <w:r/>
      <w:bookmarkStart w:id="146" w:name="_Toc21763_WPSOffice_Level1"/>
      <w:r/>
      <w:bookmarkStart w:id="147" w:name="_Toc5016_WPSOffice_Level1"/>
      <w:r/>
      <w:bookmarkStart w:id="148" w:name="_Toc2986_WPSOffice_Level1"/>
      <w:r/>
      <w:bookmarkStart w:id="149" w:name="_Toc4242_WPSOffice_Level1"/>
      <w:r>
        <w:rPr>
          <w:rFonts w:hint="eastAsia" w:ascii="宋体" w:hAnsi="宋体" w:eastAsia="宋体" w:cs="宋体"/>
          <w:b/>
          <w:sz w:val="24"/>
        </w:rPr>
        <w:t xml:space="preserve">前言</w:t>
      </w:r>
      <w:bookmarkEnd w:id="146"/>
      <w:r/>
      <w:bookmarkEnd w:id="147"/>
      <w:r/>
      <w:bookmarkEnd w:id="148"/>
      <w:r/>
      <w:bookmarkEnd w:id="149"/>
      <w:r/>
      <w:r/>
    </w:p>
    <w:p>
      <w:pPr>
        <w:pStyle w:val="1199"/>
        <w:ind w:firstLine="480"/>
        <w:rPr>
          <w:rFonts w:hint="eastAsia" w:ascii="宋体" w:hAnsi="宋体" w:eastAsia="宋体" w:cs="宋体"/>
          <w:sz w:val="24"/>
        </w:rPr>
      </w:pPr>
      <w:r>
        <w:rPr>
          <w:rFonts w:hint="eastAsia" w:ascii="宋体" w:hAnsi="宋体" w:eastAsia="宋体" w:cs="宋体"/>
          <w:sz w:val="24"/>
        </w:rPr>
        <w:t xml:space="preserve">根据保险行业业务发展要求，制订本标准。</w:t>
      </w:r>
      <w:r/>
    </w:p>
    <w:p>
      <w:pPr>
        <w:pStyle w:val="1199"/>
        <w:ind w:firstLine="480"/>
        <w:rPr>
          <w:rFonts w:hint="eastAsia" w:ascii="宋体" w:hAnsi="宋体" w:eastAsia="宋体" w:cs="宋体"/>
          <w:sz w:val="24"/>
        </w:rPr>
      </w:pPr>
      <w:r>
        <w:rPr>
          <w:rFonts w:hint="eastAsia" w:ascii="宋体" w:hAnsi="宋体" w:eastAsia="宋体" w:cs="宋体"/>
          <w:sz w:val="24"/>
        </w:rPr>
        <w:t xml:space="preserve">本标准制定过程中参照世界卫生组织《国际功能、残疾和健康分类》（以下简称“ICF”）的理论与方法，建立新的残疾标准的理论架构、术语体系和分类方法。</w:t>
      </w:r>
      <w:r/>
    </w:p>
    <w:p>
      <w:pPr>
        <w:pStyle w:val="1199"/>
        <w:ind w:firstLine="480"/>
        <w:rPr>
          <w:rFonts w:hint="eastAsia" w:ascii="宋体" w:hAnsi="宋体" w:eastAsia="宋体" w:cs="宋体"/>
          <w:sz w:val="24"/>
        </w:rPr>
      </w:pPr>
      <w:r>
        <w:rPr>
          <w:rFonts w:hint="eastAsia" w:ascii="宋体" w:hAnsi="宋体" w:eastAsia="宋体" w:cs="宋体"/>
          <w:sz w:val="24"/>
        </w:rPr>
        <w:t xml:space="preserve">本标准制定过程中参考了国内重要的伤残评定标准，如《劳动能力鉴定，职工工伤与职业病致残等级》、</w:t>
      </w:r>
      <w:r/>
    </w:p>
    <w:p>
      <w:pPr>
        <w:pStyle w:val="1199"/>
        <w:ind w:firstLine="480"/>
        <w:rPr>
          <w:rFonts w:hint="eastAsia" w:ascii="宋体" w:hAnsi="宋体" w:eastAsia="宋体" w:cs="宋体"/>
          <w:sz w:val="24"/>
        </w:rPr>
      </w:pPr>
      <w:r>
        <w:rPr>
          <w:rFonts w:hint="eastAsia" w:ascii="宋体" w:hAnsi="宋体" w:eastAsia="宋体" w:cs="宋体"/>
          <w:sz w:val="24"/>
        </w:rPr>
        <w:t xml:space="preserve">《道路交通事故受伤人员伤残评定》等，符合国内相关的残疾政策，同时参考了国际上其他国家地区的伤残分级原则和标准。</w:t>
      </w:r>
      <w:r/>
    </w:p>
    <w:p>
      <w:pPr>
        <w:pStyle w:val="1199"/>
        <w:ind w:firstLine="480"/>
        <w:rPr>
          <w:rFonts w:hint="eastAsia" w:ascii="宋体" w:hAnsi="宋体" w:eastAsia="宋体" w:cs="宋体"/>
          <w:sz w:val="24"/>
        </w:rPr>
      </w:pPr>
      <w:r>
        <w:rPr>
          <w:rFonts w:hint="eastAsia" w:ascii="宋体" w:hAnsi="宋体" w:eastAsia="宋体" w:cs="宋体"/>
          <w:sz w:val="24"/>
        </w:rPr>
        <w:t xml:space="preserve">本标准建立了保险行业人身保险伤残评定和保险金给付比例的基础，各保险公司应根据自身的业务特点，根据本标准的方法、内容和结构，开发保险产品，提供保险服务。</w:t>
      </w:r>
      <w:r/>
    </w:p>
    <w:p>
      <w:pPr>
        <w:pStyle w:val="1199"/>
        <w:ind w:firstLine="480"/>
        <w:rPr>
          <w:rFonts w:hint="eastAsia" w:ascii="宋体" w:hAnsi="宋体" w:eastAsia="宋体" w:cs="宋体"/>
          <w:sz w:val="24"/>
        </w:rPr>
      </w:pPr>
      <w:r>
        <w:rPr>
          <w:rFonts w:hint="eastAsia" w:ascii="宋体" w:hAnsi="宋体" w:eastAsia="宋体" w:cs="宋体"/>
          <w:sz w:val="24"/>
        </w:rPr>
        <w:t xml:space="preserve">本标准负责起草单位：中国保险行业协会。本标准规定了人身保险伤残程度的评定等级以及保险金给付比例的原则和方法，人身保险伤残程度分为</w:t>
      </w:r>
      <w:r/>
    </w:p>
    <w:p>
      <w:pPr>
        <w:pStyle w:val="1199"/>
        <w:ind w:firstLine="480"/>
        <w:rPr>
          <w:rFonts w:hint="eastAsia" w:ascii="宋体" w:hAnsi="宋体" w:eastAsia="宋体" w:cs="宋体"/>
          <w:sz w:val="24"/>
        </w:rPr>
      </w:pPr>
      <w:r>
        <w:rPr>
          <w:rFonts w:hint="eastAsia" w:ascii="宋体" w:hAnsi="宋体" w:eastAsia="宋体" w:cs="宋体"/>
          <w:sz w:val="24"/>
        </w:rPr>
        <w:t xml:space="preserve">一至十级，保险金给付比例分为100%至10%。</w:t>
      </w:r>
      <w:r/>
    </w:p>
    <w:p>
      <w:pPr>
        <w:pStyle w:val="1199"/>
        <w:rPr>
          <w:rFonts w:hint="eastAsia" w:ascii="宋体" w:hAnsi="宋体" w:eastAsia="宋体" w:cs="宋体"/>
          <w:sz w:val="24"/>
        </w:rPr>
      </w:pPr>
      <w:r>
        <w:rPr>
          <w:rFonts w:hint="eastAsia" w:ascii="宋体" w:hAnsi="宋体" w:eastAsia="宋体" w:cs="宋体"/>
          <w:sz w:val="24"/>
        </w:rPr>
        <w:t xml:space="preserve">1适用范围</w:t>
      </w:r>
      <w:r/>
    </w:p>
    <w:p>
      <w:pPr>
        <w:pStyle w:val="1199"/>
        <w:rPr>
          <w:rFonts w:hint="eastAsia" w:ascii="宋体" w:hAnsi="宋体" w:eastAsia="宋体" w:cs="宋体"/>
          <w:sz w:val="24"/>
        </w:rPr>
      </w:pPr>
      <w:r>
        <w:rPr>
          <w:rFonts w:hint="eastAsia" w:ascii="宋体" w:hAnsi="宋体" w:eastAsia="宋体" w:cs="宋体"/>
          <w:sz w:val="24"/>
        </w:rPr>
        <w:t xml:space="preserve">本标准适用于意外险产品或包括意外责任的保险产品中的伤残保障，用于评定由于意外伤害因素引起的伤残程度。</w:t>
      </w:r>
      <w:r/>
    </w:p>
    <w:p>
      <w:pPr>
        <w:pStyle w:val="1199"/>
        <w:rPr>
          <w:rFonts w:hint="eastAsia" w:ascii="宋体" w:hAnsi="宋体" w:eastAsia="宋体" w:cs="宋体"/>
          <w:sz w:val="24"/>
        </w:rPr>
      </w:pPr>
      <w:r>
        <w:rPr>
          <w:rFonts w:hint="eastAsia" w:ascii="宋体" w:hAnsi="宋体" w:eastAsia="宋体" w:cs="宋体"/>
          <w:sz w:val="24"/>
        </w:rPr>
        <w:t xml:space="preserve">2术语和定义</w:t>
      </w:r>
      <w:r/>
    </w:p>
    <w:p>
      <w:pPr>
        <w:pStyle w:val="1199"/>
        <w:rPr>
          <w:rFonts w:hint="eastAsia" w:ascii="宋体" w:hAnsi="宋体" w:eastAsia="宋体" w:cs="宋体"/>
          <w:sz w:val="24"/>
        </w:rPr>
      </w:pPr>
      <w:r>
        <w:rPr>
          <w:rFonts w:hint="eastAsia" w:ascii="宋体" w:hAnsi="宋体" w:eastAsia="宋体" w:cs="宋体"/>
          <w:sz w:val="24"/>
        </w:rPr>
        <w:t xml:space="preserve">下列术语和定义适用于本标准。</w:t>
      </w:r>
      <w:r/>
    </w:p>
    <w:p>
      <w:pPr>
        <w:pStyle w:val="1199"/>
        <w:rPr>
          <w:rFonts w:hint="eastAsia" w:ascii="宋体" w:hAnsi="宋体" w:eastAsia="宋体" w:cs="宋体"/>
          <w:sz w:val="24"/>
        </w:rPr>
      </w:pPr>
      <w:r/>
      <w:bookmarkStart w:id="150" w:name="_Toc15263_WPSOffice_Level1"/>
      <w:r>
        <w:rPr>
          <w:rFonts w:hint="eastAsia" w:ascii="宋体" w:hAnsi="宋体" w:eastAsia="宋体" w:cs="宋体"/>
          <w:sz w:val="24"/>
        </w:rPr>
        <w:t xml:space="preserve">2.1伤残：因意外伤害损伤所致的人体残疾。</w:t>
      </w:r>
      <w:bookmarkEnd w:id="150"/>
      <w:r/>
      <w:r/>
    </w:p>
    <w:p>
      <w:pPr>
        <w:pStyle w:val="1199"/>
        <w:rPr>
          <w:rFonts w:hint="eastAsia" w:ascii="宋体" w:hAnsi="宋体" w:eastAsia="宋体" w:cs="宋体"/>
          <w:sz w:val="24"/>
        </w:rPr>
      </w:pPr>
      <w:r/>
      <w:bookmarkStart w:id="151" w:name="_Toc8103_WPSOffice_Level1"/>
      <w:r>
        <w:rPr>
          <w:rFonts w:hint="eastAsia" w:ascii="宋体" w:hAnsi="宋体" w:eastAsia="宋体" w:cs="宋体"/>
          <w:sz w:val="24"/>
        </w:rPr>
        <w:t xml:space="preserve">2.2身体结构：指身体的解剖部位，如器官、肢体及其组成部分。</w:t>
      </w:r>
      <w:bookmarkEnd w:id="151"/>
      <w:r/>
      <w:r/>
    </w:p>
    <w:p>
      <w:pPr>
        <w:pStyle w:val="1199"/>
        <w:rPr>
          <w:rFonts w:hint="eastAsia" w:ascii="宋体" w:hAnsi="宋体" w:eastAsia="宋体" w:cs="宋体"/>
          <w:sz w:val="24"/>
        </w:rPr>
      </w:pPr>
      <w:r/>
      <w:bookmarkStart w:id="152" w:name="_Toc18538_WPSOffice_Level1"/>
      <w:r>
        <w:rPr>
          <w:rFonts w:hint="eastAsia" w:ascii="宋体" w:hAnsi="宋体" w:eastAsia="宋体" w:cs="宋体"/>
          <w:sz w:val="24"/>
        </w:rPr>
        <w:t xml:space="preserve">2.3身体功能：指身体各系统的生理功能。</w:t>
      </w:r>
      <w:bookmarkEnd w:id="152"/>
      <w:r/>
      <w:r/>
    </w:p>
    <w:p>
      <w:pPr>
        <w:pStyle w:val="1199"/>
        <w:rPr>
          <w:rFonts w:hint="eastAsia" w:ascii="宋体" w:hAnsi="宋体" w:eastAsia="宋体" w:cs="宋体"/>
          <w:sz w:val="24"/>
        </w:rPr>
      </w:pPr>
      <w:r>
        <w:rPr>
          <w:rFonts w:hint="eastAsia" w:ascii="宋体" w:hAnsi="宋体" w:eastAsia="宋体" w:cs="宋体"/>
          <w:sz w:val="24"/>
        </w:rPr>
        <w:t xml:space="preserve">3标准的内容和结构</w:t>
      </w:r>
      <w:r/>
    </w:p>
    <w:p>
      <w:pPr>
        <w:pStyle w:val="1199"/>
        <w:rPr>
          <w:rFonts w:hint="eastAsia" w:ascii="宋体" w:hAnsi="宋体" w:eastAsia="宋体" w:cs="宋体"/>
          <w:sz w:val="24"/>
        </w:rPr>
      </w:pPr>
      <w:r>
        <w:rPr>
          <w:rFonts w:hint="eastAsia" w:ascii="宋体" w:hAnsi="宋体" w:eastAsia="宋体" w:cs="宋体"/>
          <w:sz w:val="24"/>
        </w:rPr>
        <w:t xml:space="preserve">本标准参照ICF有关功能和残疾的分类理论与方法，建立“神经系统的结构和精神功能”、“眼，耳和有关的结构和功能”、“发声和言语的结构和功能”、“心血管，免疫和呼吸系统的结构和功能”、“消化、代谢和内分泌系统有关的结构和功能”、“泌尿和生殖系统有关的结构和功能”、“神经肌肉骨骼和运动有关的结构和功能”和“皮肤和有关的结构和功能”8大类，共281项人身保险伤残条目。</w:t>
      </w:r>
      <w:r/>
    </w:p>
    <w:p>
      <w:pPr>
        <w:pStyle w:val="1199"/>
        <w:rPr>
          <w:rFonts w:hint="eastAsia" w:ascii="宋体" w:hAnsi="宋体" w:eastAsia="宋体" w:cs="宋体"/>
          <w:sz w:val="24"/>
        </w:rPr>
      </w:pPr>
      <w:r>
        <w:rPr>
          <w:rFonts w:hint="eastAsia" w:ascii="宋体" w:hAnsi="宋体" w:eastAsia="宋体" w:cs="宋体"/>
          <w:sz w:val="24"/>
        </w:rPr>
        <w:t xml:space="preserve">本标准对功能和残疾进行了分类和分级，将人身保险伤残程度划分为一至十级，最重为第一级，最轻为第十级。</w:t>
      </w:r>
      <w:r/>
    </w:p>
    <w:p>
      <w:pPr>
        <w:pStyle w:val="1199"/>
        <w:rPr>
          <w:rFonts w:hint="eastAsia" w:ascii="宋体" w:hAnsi="宋体" w:eastAsia="宋体" w:cs="宋体"/>
          <w:sz w:val="24"/>
        </w:rPr>
      </w:pPr>
      <w:r>
        <w:rPr>
          <w:rFonts w:hint="eastAsia" w:ascii="宋体" w:hAnsi="宋体" w:eastAsia="宋体" w:cs="宋体"/>
          <w:sz w:val="24"/>
        </w:rPr>
        <w:t xml:space="preserve">与人身保险伤残程度等级相对应的保险金给付比例分为十档，伤残程度第一级对应的保险金给付比例为100%，伤残程度第十级对应的保险金给付比例为10%，每级相差10%。</w:t>
      </w:r>
      <w:r/>
    </w:p>
    <w:p>
      <w:pPr>
        <w:pStyle w:val="1199"/>
        <w:rPr>
          <w:rFonts w:hint="eastAsia" w:ascii="宋体" w:hAnsi="宋体" w:eastAsia="宋体" w:cs="宋体"/>
          <w:sz w:val="24"/>
        </w:rPr>
      </w:pPr>
      <w:r>
        <w:rPr>
          <w:rFonts w:hint="eastAsia" w:ascii="宋体" w:hAnsi="宋体" w:eastAsia="宋体" w:cs="宋体"/>
          <w:sz w:val="24"/>
        </w:rPr>
        <w:t xml:space="preserve">4伤残的评定原则</w:t>
      </w:r>
      <w:r/>
    </w:p>
    <w:p>
      <w:pPr>
        <w:pStyle w:val="1199"/>
        <w:rPr>
          <w:rFonts w:hint="eastAsia" w:ascii="宋体" w:hAnsi="宋体" w:eastAsia="宋体" w:cs="宋体"/>
          <w:sz w:val="24"/>
        </w:rPr>
      </w:pPr>
      <w:r>
        <w:rPr>
          <w:rFonts w:hint="eastAsia" w:ascii="宋体" w:hAnsi="宋体" w:eastAsia="宋体" w:cs="宋体"/>
          <w:sz w:val="24"/>
        </w:rPr>
        <w:t xml:space="preserve">4.1确定伤残类别：评定伤残时，应根据人体的身体结构与功能损伤情况确定所涉及的伤残类别。</w:t>
      </w:r>
      <w:r/>
    </w:p>
    <w:p>
      <w:pPr>
        <w:pStyle w:val="1199"/>
        <w:rPr>
          <w:rFonts w:hint="eastAsia" w:ascii="宋体" w:hAnsi="宋体" w:eastAsia="宋体" w:cs="宋体"/>
          <w:sz w:val="24"/>
        </w:rPr>
      </w:pPr>
      <w:r>
        <w:rPr>
          <w:rFonts w:hint="eastAsia" w:ascii="宋体" w:hAnsi="宋体" w:eastAsia="宋体" w:cs="宋体"/>
          <w:sz w:val="24"/>
        </w:rPr>
        <w:t xml:space="preserve">4.2确定伤残等级：应根据伤残情况，在同类别伤残下，确定伤残等级。</w:t>
      </w:r>
      <w:r/>
    </w:p>
    <w:p>
      <w:pPr>
        <w:pStyle w:val="1199"/>
        <w:rPr>
          <w:rFonts w:hint="eastAsia" w:ascii="宋体" w:hAnsi="宋体" w:eastAsia="宋体" w:cs="宋体"/>
          <w:sz w:val="24"/>
        </w:rPr>
      </w:pPr>
      <w:r>
        <w:rPr>
          <w:rFonts w:hint="eastAsia" w:ascii="宋体" w:hAnsi="宋体" w:eastAsia="宋体" w:cs="宋体"/>
          <w:sz w:val="24"/>
        </w:rPr>
        <w:t xml:space="preserve">4.3确定保险金给付比例：应根据伤残等级对应的百分比，确定保险金给付比例。</w:t>
      </w:r>
      <w:r/>
    </w:p>
    <w:p>
      <w:pPr>
        <w:pStyle w:val="1199"/>
        <w:rPr>
          <w:rFonts w:hint="eastAsia" w:ascii="宋体" w:hAnsi="宋体" w:eastAsia="宋体" w:cs="宋体"/>
          <w:sz w:val="24"/>
        </w:rPr>
      </w:pPr>
      <w:r>
        <w:rPr>
          <w:rFonts w:hint="eastAsia" w:ascii="宋体" w:hAnsi="宋体" w:eastAsia="宋体" w:cs="宋体"/>
          <w:sz w:val="24"/>
        </w:rPr>
        <w:t xml:space="preserve">4.4多处伤残的评定原则：当同一保险事故造成两处或两处以上伤残时，应首先对各处伤残程度分别进行评定，如果几处伤残等级不同，以最重的伤残等级作为最终的评定结论；如果两处或两处以上伤残等级相同，伤残等级在原评定基础上最多晋升一级，最高晋升至第一级。同一部位和性质的伤残，不应采用本标准条文两条以上或者同一条文两次以上进行评定。</w:t>
      </w:r>
      <w:r/>
    </w:p>
    <w:p>
      <w:pPr>
        <w:pStyle w:val="1199"/>
        <w:rPr>
          <w:rFonts w:hint="eastAsia" w:ascii="宋体" w:hAnsi="宋体" w:eastAsia="宋体" w:cs="宋体"/>
          <w:sz w:val="24"/>
        </w:rPr>
      </w:pPr>
      <w:r>
        <w:rPr>
          <w:rFonts w:hint="eastAsia" w:ascii="宋体" w:hAnsi="宋体" w:eastAsia="宋体" w:cs="宋体"/>
          <w:sz w:val="24"/>
        </w:rPr>
        <w:t xml:space="preserve">5说明</w:t>
      </w:r>
      <w:r/>
    </w:p>
    <w:p>
      <w:pPr>
        <w:pStyle w:val="1199"/>
        <w:rPr>
          <w:rFonts w:hint="eastAsia" w:ascii="宋体" w:hAnsi="宋体" w:eastAsia="宋体" w:cs="宋体"/>
          <w:sz w:val="24"/>
        </w:rPr>
      </w:pPr>
      <w:r>
        <w:rPr>
          <w:rFonts w:hint="eastAsia" w:ascii="宋体" w:hAnsi="宋体" w:eastAsia="宋体" w:cs="宋体"/>
          <w:sz w:val="24"/>
        </w:rPr>
        <w:t xml:space="preserve">本标准中“以上”均包括本数值或本部位。</w:t>
      </w:r>
      <w:r/>
    </w:p>
    <w:p>
      <w:pPr>
        <w:pStyle w:val="1199"/>
        <w:jc w:val="center"/>
        <w:rPr>
          <w:rFonts w:hint="eastAsia" w:ascii="宋体" w:hAnsi="宋体" w:eastAsia="宋体" w:cs="宋体"/>
          <w:b/>
          <w:sz w:val="24"/>
          <w:lang w:val="zh-CN"/>
        </w:rPr>
      </w:pPr>
      <w:r/>
      <w:bookmarkStart w:id="153" w:name="_Toc22124_WPSOffice_Level1"/>
      <w:r/>
      <w:bookmarkStart w:id="154" w:name="_Toc8276_WPSOffice_Level1"/>
      <w:r/>
      <w:bookmarkStart w:id="155" w:name="_Toc15626_WPSOffice_Level1"/>
      <w:r/>
      <w:bookmarkStart w:id="156" w:name="_Toc5778_WPSOffice_Level1"/>
      <w:r>
        <w:rPr>
          <w:rFonts w:hint="eastAsia" w:ascii="宋体" w:hAnsi="宋体" w:eastAsia="宋体" w:cs="宋体"/>
          <w:b/>
          <w:sz w:val="24"/>
          <w:lang w:val="zh-CN"/>
        </w:rPr>
        <w:t xml:space="preserve">人身保险伤残评定标准（行业标准）</w:t>
      </w:r>
      <w:bookmarkEnd w:id="153"/>
      <w:r/>
      <w:bookmarkEnd w:id="154"/>
      <w:r/>
      <w:bookmarkEnd w:id="155"/>
      <w:r/>
      <w:bookmarkEnd w:id="156"/>
      <w:r/>
      <w:r/>
    </w:p>
    <w:p>
      <w:pPr>
        <w:pStyle w:val="1199"/>
        <w:ind w:firstLine="420"/>
        <w:jc w:val="center"/>
        <w:rPr>
          <w:rFonts w:hint="eastAsia" w:ascii="宋体" w:hAnsi="宋体" w:eastAsia="宋体" w:cs="宋体"/>
          <w:sz w:val="24"/>
          <w:lang w:val="zh-CN"/>
        </w:rPr>
      </w:pPr>
      <w:r>
        <w:rPr>
          <w:rFonts w:hint="eastAsia" w:ascii="宋体" w:hAnsi="宋体" w:eastAsia="宋体" w:cs="宋体"/>
          <w:sz w:val="24"/>
          <w:lang w:val="zh-CN"/>
        </w:rPr>
        <w:t xml:space="preserve">（中保协发〔2013〕88号）</w:t>
      </w:r>
      <w:r/>
    </w:p>
    <w:p>
      <w:pPr>
        <w:pStyle w:val="1199"/>
        <w:ind w:firstLine="480"/>
        <w:widowControl/>
        <w:rPr>
          <w:rFonts w:hint="eastAsia" w:ascii="宋体" w:hAnsi="宋体" w:eastAsia="宋体" w:cs="宋体"/>
          <w:sz w:val="24"/>
          <w:lang w:val="zh-CN"/>
        </w:rPr>
      </w:pPr>
      <w:r>
        <w:rPr>
          <w:rFonts w:hint="eastAsia" w:ascii="宋体" w:hAnsi="宋体" w:eastAsia="宋体" w:cs="宋体"/>
          <w:sz w:val="24"/>
          <w:lang w:val="zh-CN"/>
        </w:rPr>
        <w:t xml:space="preserve">说明：本标准对功能和残疾进行了分类和分级，将人身保险伤残程度划分为一至十级，最重为第一级，最轻为第十级。与人身保险伤残程度等级相对应的保险金给付比例分为十档，伤残程度第一级对应的保险金给付比例为100%，伤残程度第十级对应的保险金给付比例为10%，每级相差10%。</w:t>
      </w:r>
      <w:r/>
    </w:p>
    <w:p>
      <w:pPr>
        <w:pStyle w:val="1199"/>
        <w:numPr>
          <w:ilvl w:val="0"/>
          <w:numId w:val="2"/>
        </w:numPr>
        <w:ind w:firstLine="482"/>
        <w:rPr>
          <w:rFonts w:hint="eastAsia" w:ascii="宋体" w:hAnsi="宋体" w:eastAsia="宋体" w:cs="宋体"/>
          <w:b/>
          <w:sz w:val="24"/>
        </w:rPr>
      </w:pPr>
      <w:r>
        <w:rPr>
          <w:rFonts w:hint="eastAsia" w:ascii="宋体" w:hAnsi="宋体" w:eastAsia="宋体" w:cs="宋体"/>
          <w:b/>
          <w:sz w:val="24"/>
          <w:lang w:val="zh-CN"/>
        </w:rPr>
        <w:t xml:space="preserve">神经系统的结构和精神功能</w:t>
      </w:r>
      <w:r/>
    </w:p>
    <w:p>
      <w:pPr>
        <w:pStyle w:val="1199"/>
        <w:numPr>
          <w:ilvl w:val="0"/>
          <w:numId w:val="2"/>
        </w:numPr>
        <w:ind w:firstLine="482"/>
        <w:rPr>
          <w:rFonts w:hint="eastAsia" w:ascii="宋体" w:hAnsi="宋体" w:eastAsia="宋体" w:cs="宋体"/>
          <w:b/>
          <w:sz w:val="24"/>
        </w:rPr>
      </w:pPr>
      <w:r>
        <w:rPr>
          <w:rFonts w:hint="eastAsia" w:ascii="宋体" w:hAnsi="宋体" w:eastAsia="宋体" w:cs="宋体"/>
          <w:b/>
          <w:sz w:val="24"/>
          <w:lang w:val="zh-CN"/>
        </w:rPr>
        <w:t xml:space="preserve">脑膜的结构损伤</w:t>
      </w:r>
      <w:r/>
    </w:p>
    <w:tbl>
      <w:tblPr>
        <w:tblStyle w:val="1025"/>
        <w:tblW w:w="8268" w:type="dxa"/>
        <w:jc w:val="center"/>
        <w:tblLayout w:type="fixed"/>
        <w:tblCellMar>
          <w:left w:w="108" w:type="dxa"/>
          <w:top w:w="0" w:type="dxa"/>
          <w:right w:w="108" w:type="dxa"/>
          <w:bottom w:w="0" w:type="dxa"/>
        </w:tblCellMar>
        <w:tblLook w:val="04A0" w:firstRow="1" w:lastRow="0" w:firstColumn="1" w:lastColumn="0" w:noHBand="0" w:noVBand="1"/>
      </w:tblPr>
      <w:tblGrid>
        <w:gridCol w:w="7208"/>
        <w:gridCol w:w="1060"/>
      </w:tblGrid>
      <w:tr>
        <w:trPr>
          <w:jc w:val="center"/>
          <w:trHeight w:val="284"/>
        </w:trPr>
        <w:tc>
          <w:tcPr>
            <w:tcBorders>
              <w:top w:val="single" w:color="000000" w:sz="2" w:space="0"/>
              <w:left w:val="single" w:color="000000" w:sz="2" w:space="0"/>
              <w:bottom w:val="single" w:color="000000" w:sz="2" w:space="0"/>
              <w:right w:val="single" w:color="000000" w:sz="2" w:space="0"/>
            </w:tcBorders>
            <w:tcW w:w="720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外伤性脑脊液鼻漏或耳漏</w:t>
            </w:r>
            <w:r/>
          </w:p>
        </w:tc>
        <w:tc>
          <w:tcPr>
            <w:tcBorders>
              <w:top w:val="single" w:color="000000" w:sz="2" w:space="0"/>
              <w:left w:val="single" w:color="000000" w:sz="2" w:space="0"/>
              <w:bottom w:val="single" w:color="000000" w:sz="2" w:space="0"/>
              <w:right w:val="single" w:color="000000" w:sz="2" w:space="0"/>
            </w:tcBorders>
            <w:tcW w:w="106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bl>
    <w:p>
      <w:pPr>
        <w:pStyle w:val="1199"/>
        <w:ind w:firstLine="482"/>
        <w:jc w:val="left"/>
        <w:tabs>
          <w:tab w:val="left" w:pos="693" w:leader="none"/>
        </w:tabs>
        <w:rPr>
          <w:rFonts w:hint="eastAsia" w:ascii="宋体" w:hAnsi="宋体" w:eastAsia="宋体" w:cs="宋体"/>
          <w:b/>
          <w:bCs/>
          <w:sz w:val="24"/>
        </w:rPr>
      </w:pPr>
      <w:r>
        <w:rPr>
          <w:rFonts w:hint="eastAsia" w:ascii="宋体" w:hAnsi="宋体" w:eastAsia="宋体" w:cs="宋体"/>
          <w:b/>
          <w:bCs/>
          <w:sz w:val="24"/>
          <w:lang w:val="zh-CN"/>
        </w:rPr>
        <w:t xml:space="preserve">脑的结构损伤，智力功能障碍</w:t>
      </w:r>
      <w:r/>
    </w:p>
    <w:tbl>
      <w:tblPr>
        <w:tblStyle w:val="1025"/>
        <w:tblW w:w="8261" w:type="dxa"/>
        <w:jc w:val="center"/>
        <w:tblLayout w:type="fixed"/>
        <w:tblCellMar>
          <w:left w:w="108" w:type="dxa"/>
          <w:top w:w="0" w:type="dxa"/>
          <w:right w:w="108" w:type="dxa"/>
          <w:bottom w:w="0" w:type="dxa"/>
        </w:tblCellMar>
        <w:tblLook w:val="04A0" w:firstRow="1" w:lastRow="0" w:firstColumn="1" w:lastColumn="0" w:noHBand="0" w:noVBand="1"/>
      </w:tblPr>
      <w:tblGrid>
        <w:gridCol w:w="7205"/>
        <w:gridCol w:w="1056"/>
      </w:tblGrid>
      <w:tr>
        <w:trPr>
          <w:jc w:val="center"/>
          <w:trHeight w:val="510"/>
        </w:trPr>
        <w:tc>
          <w:tcPr>
            <w:tcBorders>
              <w:top w:val="single" w:color="000000" w:sz="2" w:space="0"/>
              <w:left w:val="single" w:color="000000" w:sz="2" w:space="0"/>
              <w:bottom w:val="single" w:color="000000" w:sz="2" w:space="0"/>
              <w:right w:val="single" w:color="000000" w:sz="2" w:space="0"/>
            </w:tcBorders>
            <w:tcW w:w="720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颅脑损伤导致极度智力缺损（智商小于等于20），日常生活完全不能自理，处于完全护理依赖状态</w:t>
            </w:r>
            <w:r/>
          </w:p>
        </w:tc>
        <w:tc>
          <w:tcPr>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1级</w:t>
            </w:r>
            <w:r/>
          </w:p>
        </w:tc>
      </w:tr>
      <w:tr>
        <w:trPr>
          <w:jc w:val="center"/>
          <w:trHeight w:val="510"/>
        </w:trPr>
        <w:tc>
          <w:tcPr>
            <w:tcBorders>
              <w:top w:val="single" w:color="000000" w:sz="2" w:space="0"/>
              <w:left w:val="single" w:color="000000" w:sz="2" w:space="0"/>
              <w:bottom w:val="single" w:color="000000" w:sz="2" w:space="0"/>
              <w:right w:val="single" w:color="000000" w:sz="2" w:space="0"/>
            </w:tcBorders>
            <w:tcW w:w="720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颅脑损伤导致重度智力缺损（智商小于等于34），日常生活需随时有人帮助才能完成，处于完全护理依赖状态</w:t>
            </w:r>
            <w:r/>
          </w:p>
        </w:tc>
        <w:tc>
          <w:tcPr>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2级</w:t>
            </w:r>
            <w:r/>
          </w:p>
        </w:tc>
      </w:tr>
      <w:tr>
        <w:trPr>
          <w:jc w:val="center"/>
          <w:trHeight w:val="510"/>
        </w:trPr>
        <w:tc>
          <w:tcPr>
            <w:tcBorders>
              <w:top w:val="single" w:color="000000" w:sz="2" w:space="0"/>
              <w:left w:val="single" w:color="000000" w:sz="2" w:space="0"/>
              <w:bottom w:val="single" w:color="000000" w:sz="2" w:space="0"/>
              <w:right w:val="single" w:color="000000" w:sz="2" w:space="0"/>
            </w:tcBorders>
            <w:tcW w:w="720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颅脑损伤导致重度智力缺损（智商小于等于34），不能完全独立生活，需经常有人监护，处于大部分护理依赖状态</w:t>
            </w:r>
            <w:r/>
          </w:p>
        </w:tc>
        <w:tc>
          <w:tcPr>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jc w:val="center"/>
          <w:trHeight w:val="510"/>
        </w:trPr>
        <w:tc>
          <w:tcPr>
            <w:tcBorders>
              <w:top w:val="single" w:color="000000" w:sz="2" w:space="0"/>
              <w:left w:val="single" w:color="000000" w:sz="2" w:space="0"/>
              <w:bottom w:val="single" w:color="000000" w:sz="2" w:space="0"/>
              <w:right w:val="single" w:color="000000" w:sz="2" w:space="0"/>
            </w:tcBorders>
            <w:tcW w:w="720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颅脑损伤导致中度智力缺损（智商小于等于49），日常生活能力严重受限，间或需要帮助，处于大部分护理依赖状态</w:t>
            </w:r>
            <w:r/>
          </w:p>
        </w:tc>
        <w:tc>
          <w:tcPr>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bl>
    <w:p>
      <w:pPr>
        <w:pStyle w:val="1199"/>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注：①护理依赖：应用“基本日常生活活动能力”的丧失程度来判断护理依赖程度。</w:t>
      </w:r>
      <w:r/>
    </w:p>
    <w:p>
      <w:pPr>
        <w:pStyle w:val="1199"/>
        <w:ind w:firstLine="480"/>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②基本日常生活活动是指：（1）穿衣：自己能够穿衣及脱衣；（2）移动：自己从一个房间到另一个房间；（3）行动：自己上下床或上下轮椅；（4）如厕：自己控制进行大小便；（5）进食：自己从已准备好的碗或碟中取食物放入口中；（6）洗澡：自己进行淋浴或盆浴。</w:t>
      </w:r>
      <w:r/>
    </w:p>
    <w:p>
      <w:pPr>
        <w:pStyle w:val="1199"/>
        <w:ind w:firstLine="480"/>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③护理依赖的程度分三级：（1）完全护理依赖指生活完全不能自理，上述六项基本日常生活活动均需护理者；（2）大部分护理依赖指生活大部不能自理，上述六项基本日常生活活动中三项或三项以上需要护理者；（3）部分护理依赖指部分生活不能自理，上述六项基本日常生活活动中一项或一项以上需要护理者。</w:t>
      </w:r>
      <w:r/>
    </w:p>
    <w:p>
      <w:pPr>
        <w:pStyle w:val="1199"/>
        <w:numPr>
          <w:ilvl w:val="0"/>
          <w:numId w:val="2"/>
        </w:numPr>
        <w:ind w:firstLine="482"/>
        <w:rPr>
          <w:rFonts w:hint="eastAsia" w:ascii="宋体" w:hAnsi="宋体" w:eastAsia="宋体" w:cs="宋体"/>
          <w:b/>
          <w:sz w:val="24"/>
          <w:lang w:val="zh-CN"/>
        </w:rPr>
      </w:pPr>
      <w:r>
        <w:rPr>
          <w:rFonts w:hint="eastAsia" w:ascii="宋体" w:hAnsi="宋体" w:eastAsia="宋体" w:cs="宋体"/>
          <w:b/>
          <w:sz w:val="24"/>
          <w:lang w:val="zh-CN"/>
        </w:rPr>
        <w:t xml:space="preserve">意识功能障碍</w:t>
      </w:r>
      <w:r/>
    </w:p>
    <w:p>
      <w:pPr>
        <w:pStyle w:val="1199"/>
        <w:ind w:firstLine="480"/>
        <w:widowControl/>
        <w:rPr>
          <w:rFonts w:hint="eastAsia" w:ascii="宋体" w:hAnsi="宋体" w:eastAsia="宋体" w:cs="宋体"/>
          <w:sz w:val="24"/>
        </w:rPr>
      </w:pPr>
      <w:r>
        <w:rPr>
          <w:rFonts w:hint="eastAsia" w:ascii="宋体" w:hAnsi="宋体" w:eastAsia="宋体" w:cs="宋体"/>
          <w:sz w:val="24"/>
          <w:lang w:val="zh-CN"/>
        </w:rPr>
        <w:t xml:space="preserve">意识功能是指意识和警觉状态下的一般精神功能，包括清醒和持续的觉醒状态。本标准中的意识功能障碍是指颅脑损伤导致植物状态。</w:t>
      </w:r>
      <w:r/>
    </w:p>
    <w:tbl>
      <w:tblPr>
        <w:tblStyle w:val="1025"/>
        <w:tblW w:w="8292" w:type="dxa"/>
        <w:tblInd w:w="-108" w:type="dxa"/>
        <w:tblLayout w:type="fixed"/>
        <w:tblCellMar>
          <w:left w:w="108" w:type="dxa"/>
          <w:top w:w="0" w:type="dxa"/>
          <w:right w:w="108" w:type="dxa"/>
          <w:bottom w:w="0" w:type="dxa"/>
        </w:tblCellMar>
        <w:tblLook w:val="04A0" w:firstRow="1" w:lastRow="0" w:firstColumn="1" w:lastColumn="0" w:noHBand="0" w:noVBand="1"/>
      </w:tblPr>
      <w:tblGrid>
        <w:gridCol w:w="7220"/>
        <w:gridCol w:w="1072"/>
      </w:tblGrid>
      <w:tr>
        <w:trPr>
          <w:trHeight w:val="284"/>
        </w:trPr>
        <w:tc>
          <w:tcPr>
            <w:tcBorders>
              <w:top w:val="single" w:color="000000" w:sz="2" w:space="0"/>
              <w:left w:val="single" w:color="000000" w:sz="2" w:space="0"/>
              <w:bottom w:val="single" w:color="000000" w:sz="2" w:space="0"/>
              <w:right w:val="single" w:color="000000" w:sz="2" w:space="0"/>
            </w:tcBorders>
            <w:tcW w:w="722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颅脑损伤导致植物状态</w:t>
            </w:r>
            <w:r/>
          </w:p>
        </w:tc>
        <w:tc>
          <w:tcPr>
            <w:tcBorders>
              <w:top w:val="single" w:color="000000" w:sz="2" w:space="0"/>
              <w:left w:val="single" w:color="000000" w:sz="2" w:space="0"/>
              <w:bottom w:val="single" w:color="000000" w:sz="2" w:space="0"/>
              <w:right w:val="single" w:color="000000" w:sz="2" w:space="0"/>
            </w:tcBorders>
            <w:tcW w:w="1072"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1级</w:t>
            </w:r>
            <w:r/>
          </w:p>
        </w:tc>
      </w:tr>
    </w:tbl>
    <w:p>
      <w:pPr>
        <w:pStyle w:val="1199"/>
        <w:widowControl/>
        <w:rPr>
          <w:rFonts w:hint="eastAsia" w:ascii="宋体" w:hAnsi="宋体" w:eastAsia="宋体" w:cs="宋体"/>
          <w:sz w:val="24"/>
        </w:rPr>
      </w:pPr>
      <w:r>
        <w:rPr>
          <w:rFonts w:hint="eastAsia" w:ascii="宋体" w:hAnsi="宋体" w:eastAsia="宋体" w:cs="宋体"/>
          <w:sz w:val="24"/>
          <w:lang w:val="zh-CN"/>
        </w:rPr>
        <w:t xml:space="preserve">注：植物状态指由于严重颅脑损伤造成认知功能丧失，无意识活动，不能执行命令，保持自主呼吸和血压，有睡眠-醒觉周期，不能理解和表达语言，能自动睁眼或刺激下睁眼，可有无目的性眼球跟踪运动，丘脑下部及脑干功能基本保存。</w:t>
      </w:r>
      <w:r/>
    </w:p>
    <w:p>
      <w:pPr>
        <w:pStyle w:val="1199"/>
        <w:numPr>
          <w:ilvl w:val="0"/>
          <w:numId w:val="2"/>
        </w:numPr>
        <w:ind w:firstLine="482"/>
        <w:rPr>
          <w:rFonts w:hint="eastAsia" w:ascii="宋体" w:hAnsi="宋体" w:eastAsia="宋体" w:cs="宋体"/>
          <w:b/>
          <w:sz w:val="24"/>
          <w:lang w:val="zh-CN"/>
        </w:rPr>
      </w:pPr>
      <w:r>
        <w:rPr>
          <w:rFonts w:hint="eastAsia" w:ascii="宋体" w:hAnsi="宋体" w:eastAsia="宋体" w:cs="宋体"/>
          <w:b/>
          <w:sz w:val="24"/>
          <w:lang w:val="zh-CN"/>
        </w:rPr>
        <w:t xml:space="preserve">眼，耳和有关的结构和功能</w:t>
      </w:r>
      <w:r/>
    </w:p>
    <w:p>
      <w:pPr>
        <w:pStyle w:val="1199"/>
        <w:numPr>
          <w:ilvl w:val="0"/>
          <w:numId w:val="2"/>
        </w:numPr>
        <w:ind w:firstLine="482"/>
        <w:rPr>
          <w:rFonts w:hint="eastAsia" w:ascii="宋体" w:hAnsi="宋体" w:eastAsia="宋体" w:cs="宋体"/>
          <w:b/>
          <w:sz w:val="24"/>
          <w:lang w:val="zh-CN"/>
        </w:rPr>
      </w:pPr>
      <w:r>
        <w:rPr>
          <w:rFonts w:hint="eastAsia" w:ascii="宋体" w:hAnsi="宋体" w:eastAsia="宋体" w:cs="宋体"/>
          <w:b/>
          <w:sz w:val="24"/>
          <w:lang w:val="zh-CN"/>
        </w:rPr>
        <w:t xml:space="preserve">眼球损伤或视功能障碍</w:t>
      </w:r>
      <w:r/>
    </w:p>
    <w:p>
      <w:pPr>
        <w:pStyle w:val="1199"/>
        <w:ind w:firstLine="480"/>
        <w:widowControl/>
        <w:rPr>
          <w:rFonts w:hint="eastAsia" w:ascii="宋体" w:hAnsi="宋体" w:eastAsia="宋体" w:cs="宋体"/>
          <w:sz w:val="24"/>
        </w:rPr>
      </w:pPr>
      <w:r>
        <w:rPr>
          <w:rFonts w:hint="eastAsia" w:ascii="宋体" w:hAnsi="宋体" w:eastAsia="宋体" w:cs="宋体"/>
          <w:sz w:val="24"/>
          <w:lang w:val="zh-CN"/>
        </w:rPr>
        <w:t xml:space="preserve">视功能是指与感受存在的光线和感受视觉刺激的形式、大小、形状和颜色等有关的感觉功能。本标准中的视功能障碍是指眼盲目或低视力。</w:t>
      </w:r>
      <w:r/>
    </w:p>
    <w:tbl>
      <w:tblPr>
        <w:tblStyle w:val="1025"/>
        <w:tblW w:w="8329"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99"/>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双侧眼球缺失</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一侧眼球缺失，且另一侧眼盲目5级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一侧眼球缺失，且另一侧眼盲目4级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一侧眼球缺失，且另一侧眼盲目3级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一侧眼球缺失，且另一侧眼低视力2级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一侧眼球缺失，且另一侧眼低视力1级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一侧眼球缺失</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bl>
    <w:p>
      <w:pPr>
        <w:pStyle w:val="1199"/>
        <w:ind w:firstLine="482"/>
        <w:jc w:val="left"/>
        <w:rPr>
          <w:rFonts w:hint="eastAsia" w:ascii="宋体" w:hAnsi="宋体" w:eastAsia="宋体" w:cs="宋体"/>
          <w:b/>
          <w:bCs/>
          <w:sz w:val="24"/>
        </w:rPr>
      </w:pPr>
      <w:r>
        <w:rPr>
          <w:rFonts w:hint="eastAsia" w:ascii="宋体" w:hAnsi="宋体" w:eastAsia="宋体" w:cs="宋体"/>
          <w:b/>
          <w:bCs/>
          <w:sz w:val="24"/>
          <w:lang w:val="zh-CN"/>
        </w:rPr>
        <w:t xml:space="preserve">视功能障碍</w:t>
      </w:r>
      <w:r/>
    </w:p>
    <w:p>
      <w:pPr>
        <w:pStyle w:val="1199"/>
        <w:ind w:firstLine="480"/>
        <w:widowControl/>
        <w:rPr>
          <w:rFonts w:hint="eastAsia" w:ascii="宋体" w:hAnsi="宋体" w:eastAsia="宋体" w:cs="宋体"/>
          <w:sz w:val="24"/>
        </w:rPr>
      </w:pPr>
      <w:r>
        <w:rPr>
          <w:rFonts w:hint="eastAsia" w:ascii="宋体" w:hAnsi="宋体" w:eastAsia="宋体" w:cs="宋体"/>
          <w:sz w:val="24"/>
          <w:lang w:val="zh-CN"/>
        </w:rPr>
        <w:t xml:space="preserve">除眼盲目和低视力外，本标准中的视功能障碍还包括视野缺损。</w:t>
      </w:r>
      <w:r/>
    </w:p>
    <w:tbl>
      <w:tblPr>
        <w:tblStyle w:val="1025"/>
        <w:tblW w:w="8289" w:type="dxa"/>
        <w:tblInd w:w="-108" w:type="dxa"/>
        <w:tblLayout w:type="fixed"/>
        <w:tblCellMar>
          <w:left w:w="108" w:type="dxa"/>
          <w:top w:w="0" w:type="dxa"/>
          <w:right w:w="108" w:type="dxa"/>
          <w:bottom w:w="0" w:type="dxa"/>
        </w:tblCellMar>
        <w:tblLook w:val="04A0" w:firstRow="1" w:lastRow="0" w:firstColumn="1" w:lastColumn="0" w:noHBand="0" w:noVBand="1"/>
      </w:tblPr>
      <w:tblGrid>
        <w:gridCol w:w="7219"/>
        <w:gridCol w:w="1070"/>
      </w:tblGrid>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双眼盲目5级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双眼视野缺损，直径小于5°</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双眼盲目大于等于4级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双眼视野缺损，直径小于10°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双眼盲目大于等于3级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双眼视野缺损，直径小于20°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双眼低视力大于等于2级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双眼低视力大于等于1级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双眼视野缺损，直径小于60°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一眼盲目5级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一眼视野缺损，直径小于5°</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一眼盲目大于等于4级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一眼视野缺损，直径小于10°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一眼盲目大于等于3级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一眼视野缺损，直径小于20°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一眼低视力大于等于1级。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一眼视野缺损，直径小于60°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bl>
    <w:p>
      <w:pPr>
        <w:pStyle w:val="1199"/>
        <w:widowControl/>
        <w:rPr>
          <w:rFonts w:hint="eastAsia" w:ascii="宋体" w:hAnsi="宋体" w:eastAsia="宋体" w:cs="宋体"/>
          <w:sz w:val="24"/>
          <w:lang w:val="zh-CN"/>
        </w:rPr>
      </w:pPr>
      <w:r>
        <w:rPr>
          <w:rFonts w:hint="eastAsia" w:ascii="宋体" w:hAnsi="宋体" w:eastAsia="宋体" w:cs="宋体"/>
          <w:sz w:val="24"/>
          <w:lang w:val="zh-CN"/>
        </w:rPr>
        <w:t xml:space="preserve">注：①视力和视野</w:t>
      </w:r>
      <w:r/>
    </w:p>
    <w:tbl>
      <w:tblPr>
        <w:tblStyle w:val="1025"/>
        <w:tblW w:w="8322" w:type="dxa"/>
        <w:tblInd w:w="-108" w:type="dxa"/>
        <w:tblLayout w:type="fixed"/>
        <w:tblCellMar>
          <w:left w:w="108" w:type="dxa"/>
          <w:top w:w="0" w:type="dxa"/>
          <w:right w:w="108" w:type="dxa"/>
          <w:bottom w:w="0" w:type="dxa"/>
        </w:tblCellMar>
        <w:tblLook w:val="04A0" w:firstRow="1" w:lastRow="0" w:firstColumn="1" w:lastColumn="0" w:noHBand="0" w:noVBand="1"/>
      </w:tblPr>
      <w:tblGrid>
        <w:gridCol w:w="1776"/>
        <w:gridCol w:w="772"/>
        <w:gridCol w:w="2552"/>
        <w:gridCol w:w="3222"/>
      </w:tblGrid>
      <w:tr>
        <w:trPr>
          <w:trHeight w:val="70"/>
        </w:trPr>
        <w:tc>
          <w:tcPr>
            <w:gridSpan w:val="2"/>
            <w:tcBorders>
              <w:top w:val="single" w:color="000000" w:sz="2" w:space="0"/>
              <w:left w:val="single" w:color="000000" w:sz="2" w:space="0"/>
              <w:bottom w:val="single" w:color="000000" w:sz="2" w:space="0"/>
              <w:right w:val="single" w:color="000000" w:sz="2" w:space="0"/>
            </w:tcBorders>
            <w:tcW w:w="2548" w:type="dxa"/>
            <w:vAlign w:val="center"/>
            <w:vMerge w:val="restart"/>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级别</w:t>
            </w:r>
            <w:r/>
          </w:p>
        </w:tc>
        <w:tc>
          <w:tcPr>
            <w:gridSpan w:val="2"/>
            <w:tcBorders>
              <w:top w:val="single" w:color="000000" w:sz="2" w:space="0"/>
              <w:left w:val="single" w:color="000000" w:sz="2" w:space="0"/>
              <w:bottom w:val="single" w:color="000000" w:sz="2" w:space="0"/>
              <w:right w:val="single" w:color="000000" w:sz="2" w:space="0"/>
            </w:tcBorders>
            <w:tcW w:w="5774"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低视力及盲目分级标准</w:t>
            </w:r>
            <w:r/>
          </w:p>
        </w:tc>
      </w:tr>
      <w:tr>
        <w:trPr>
          <w:trHeight w:val="193"/>
        </w:trPr>
        <w:tc>
          <w:tcPr>
            <w:gridSpan w:val="2"/>
            <w:tcBorders>
              <w:top w:val="single" w:color="000000" w:sz="2" w:space="0"/>
              <w:left w:val="single" w:color="000000" w:sz="2" w:space="0"/>
              <w:bottom w:val="single" w:color="000000" w:sz="2" w:space="0"/>
              <w:right w:val="single" w:color="000000" w:sz="2" w:space="0"/>
            </w:tcBorders>
            <w:tcW w:w="2548" w:type="dxa"/>
            <w:vAlign w:val="center"/>
            <w:vMerge w:val="continue"/>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r>
            <w:r/>
          </w:p>
        </w:tc>
        <w:tc>
          <w:tcPr>
            <w:gridSpan w:val="2"/>
            <w:tcBorders>
              <w:top w:val="single" w:color="000000" w:sz="2" w:space="0"/>
              <w:left w:val="single" w:color="000000" w:sz="2" w:space="0"/>
              <w:bottom w:val="single" w:color="000000" w:sz="2" w:space="0"/>
              <w:right w:val="single" w:color="000000" w:sz="2" w:space="0"/>
            </w:tcBorders>
            <w:tcW w:w="5774"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最好矫正视力</w:t>
            </w:r>
            <w:r/>
          </w:p>
        </w:tc>
      </w:tr>
      <w:tr>
        <w:trPr>
          <w:trHeight w:val="70"/>
        </w:trPr>
        <w:tc>
          <w:tcPr>
            <w:gridSpan w:val="2"/>
            <w:tcBorders>
              <w:top w:val="single" w:color="000000" w:sz="2" w:space="0"/>
              <w:left w:val="single" w:color="000000" w:sz="2" w:space="0"/>
              <w:bottom w:val="single" w:color="000000" w:sz="2" w:space="0"/>
              <w:right w:val="single" w:color="000000" w:sz="2" w:space="0"/>
            </w:tcBorders>
            <w:tcW w:w="2548" w:type="dxa"/>
            <w:vAlign w:val="center"/>
            <w:vMerge w:val="continue"/>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最好矫正视力低于</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最低矫正视力等于或优于</w:t>
            </w:r>
            <w:r/>
          </w:p>
        </w:tc>
      </w:tr>
      <w:tr>
        <w:trPr>
          <w:trHeight w:val="70"/>
        </w:trPr>
        <w:tc>
          <w:tcPr>
            <w:tcBorders>
              <w:top w:val="single" w:color="000000" w:sz="2" w:space="0"/>
              <w:left w:val="single" w:color="000000" w:sz="2" w:space="0"/>
              <w:bottom w:val="single" w:color="000000" w:sz="2" w:space="0"/>
              <w:right w:val="single" w:color="000000" w:sz="2" w:space="0"/>
            </w:tcBorders>
            <w:tcW w:w="1776" w:type="dxa"/>
            <w:vAlign w:val="center"/>
            <w:vMerge w:val="restart"/>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低视力</w:t>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w:t>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0.3</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0.1</w:t>
            </w:r>
            <w:r/>
          </w:p>
        </w:tc>
      </w:tr>
      <w:tr>
        <w:trPr>
          <w:trHeight w:val="66"/>
        </w:trPr>
        <w:tc>
          <w:tcPr>
            <w:tcBorders>
              <w:top w:val="single" w:color="000000" w:sz="2" w:space="0"/>
              <w:left w:val="single" w:color="000000" w:sz="2" w:space="0"/>
              <w:bottom w:val="single" w:color="000000" w:sz="2" w:space="0"/>
              <w:right w:val="single" w:color="000000" w:sz="2" w:space="0"/>
            </w:tcBorders>
            <w:tcW w:w="1776" w:type="dxa"/>
            <w:vAlign w:val="center"/>
            <w:vMerge w:val="continue"/>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w:t>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0.1</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0.05（三米指数）</w:t>
            </w:r>
            <w:r/>
          </w:p>
        </w:tc>
      </w:tr>
      <w:tr>
        <w:trPr>
          <w:trHeight w:val="66"/>
        </w:trPr>
        <w:tc>
          <w:tcPr>
            <w:tcBorders>
              <w:top w:val="single" w:color="000000" w:sz="2" w:space="0"/>
              <w:left w:val="single" w:color="000000" w:sz="2" w:space="0"/>
              <w:bottom w:val="single" w:color="000000" w:sz="2" w:space="0"/>
              <w:right w:val="single" w:color="000000" w:sz="2" w:space="0"/>
            </w:tcBorders>
            <w:tcW w:w="1776" w:type="dxa"/>
            <w:vAlign w:val="center"/>
            <w:vMerge w:val="restart"/>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盲目</w:t>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w:t>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0.05</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0.02（一米指数）</w:t>
            </w:r>
            <w:r/>
          </w:p>
        </w:tc>
      </w:tr>
      <w:tr>
        <w:trPr>
          <w:trHeight w:val="70"/>
        </w:trPr>
        <w:tc>
          <w:tcPr>
            <w:tcBorders>
              <w:top w:val="single" w:color="000000" w:sz="2" w:space="0"/>
              <w:left w:val="single" w:color="000000" w:sz="2" w:space="0"/>
              <w:bottom w:val="single" w:color="000000" w:sz="2" w:space="0"/>
              <w:right w:val="single" w:color="000000" w:sz="2" w:space="0"/>
            </w:tcBorders>
            <w:tcW w:w="1776" w:type="dxa"/>
            <w:vAlign w:val="center"/>
            <w:vMerge w:val="continue"/>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w:t>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0.02</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光感</w:t>
            </w:r>
            <w:r/>
          </w:p>
        </w:tc>
      </w:tr>
      <w:tr>
        <w:trPr>
          <w:trHeight w:val="70"/>
        </w:trPr>
        <w:tc>
          <w:tcPr>
            <w:tcBorders>
              <w:top w:val="single" w:color="000000" w:sz="2" w:space="0"/>
              <w:left w:val="single" w:color="000000" w:sz="2" w:space="0"/>
              <w:bottom w:val="single" w:color="000000" w:sz="2" w:space="0"/>
              <w:right w:val="single" w:color="000000" w:sz="2" w:space="0"/>
            </w:tcBorders>
            <w:tcW w:w="1776" w:type="dxa"/>
            <w:vAlign w:val="center"/>
            <w:vMerge w:val="continue"/>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w:t>
            </w:r>
            <w:r/>
          </w:p>
        </w:tc>
        <w:tc>
          <w:tcPr>
            <w:gridSpan w:val="2"/>
            <w:tcBorders>
              <w:top w:val="single" w:color="000000" w:sz="2" w:space="0"/>
              <w:left w:val="single" w:color="000000" w:sz="2" w:space="0"/>
              <w:bottom w:val="single" w:color="000000" w:sz="2" w:space="0"/>
              <w:right w:val="single" w:color="000000" w:sz="2" w:space="0"/>
            </w:tcBorders>
            <w:tcW w:w="5774"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无光感</w:t>
            </w:r>
            <w:r/>
          </w:p>
        </w:tc>
      </w:tr>
    </w:tbl>
    <w:p>
      <w:pPr>
        <w:pStyle w:val="1199"/>
        <w:ind w:firstLine="480"/>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如果中心视力好而视野缩小，以中央注视点为中心，视野直径小于20°而大于10°者为盲目3级；如直径小于10°者为盲目4级。</w:t>
      </w:r>
      <w:r/>
    </w:p>
    <w:p>
      <w:pPr>
        <w:pStyle w:val="1199"/>
        <w:ind w:firstLine="480"/>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本标准视力以矫正视力为准，经治疗而无法恢复者。</w:t>
      </w:r>
      <w:r/>
    </w:p>
    <w:p>
      <w:pPr>
        <w:pStyle w:val="1199"/>
        <w:ind w:firstLine="480"/>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②视野缺损指因损伤导致眼球注视前方而不转动所能看到的空间范围缩窄，以致难以从事正常工作、学习或其他活动。</w:t>
      </w:r>
      <w:r/>
    </w:p>
    <w:p>
      <w:pPr>
        <w:pStyle w:val="1199"/>
        <w:ind w:firstLine="482"/>
        <w:jc w:val="left"/>
        <w:rPr>
          <w:rFonts w:hint="eastAsia" w:ascii="宋体" w:hAnsi="宋体" w:eastAsia="宋体" w:cs="宋体"/>
          <w:b/>
          <w:bCs/>
          <w:sz w:val="24"/>
        </w:rPr>
      </w:pPr>
      <w:r>
        <w:rPr>
          <w:rFonts w:hint="eastAsia" w:ascii="宋体" w:hAnsi="宋体" w:eastAsia="宋体" w:cs="宋体"/>
          <w:b/>
          <w:bCs/>
          <w:sz w:val="24"/>
          <w:lang w:val="zh-CN"/>
        </w:rPr>
        <w:t xml:space="preserve">眼球的晶状体结构损伤</w:t>
      </w:r>
      <w:r/>
    </w:p>
    <w:tbl>
      <w:tblPr>
        <w:tblStyle w:val="1025"/>
        <w:tblW w:w="8289" w:type="dxa"/>
        <w:tblInd w:w="-108" w:type="dxa"/>
        <w:tblLayout w:type="fixed"/>
        <w:tblCellMar>
          <w:left w:w="108" w:type="dxa"/>
          <w:top w:w="0" w:type="dxa"/>
          <w:right w:w="108" w:type="dxa"/>
          <w:bottom w:w="0" w:type="dxa"/>
        </w:tblCellMar>
        <w:tblLook w:val="04A0" w:firstRow="1" w:lastRow="0" w:firstColumn="1" w:lastColumn="0" w:noHBand="0" w:noVBand="1"/>
      </w:tblPr>
      <w:tblGrid>
        <w:gridCol w:w="7219"/>
        <w:gridCol w:w="1070"/>
      </w:tblGrid>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外伤性白内障</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bl>
    <w:p>
      <w:pPr>
        <w:pStyle w:val="1199"/>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注：外伤性白内障：凡未做手术者，均适用本条；外伤性白内障术后遗留相关视功能障碍，参照有关条款评定伤残等级。</w:t>
      </w:r>
      <w:r/>
    </w:p>
    <w:p>
      <w:pPr>
        <w:pStyle w:val="1199"/>
        <w:ind w:firstLine="482"/>
        <w:jc w:val="left"/>
        <w:rPr>
          <w:rFonts w:hint="eastAsia" w:ascii="宋体" w:hAnsi="宋体" w:eastAsia="宋体" w:cs="宋体"/>
          <w:b/>
          <w:bCs/>
          <w:sz w:val="24"/>
        </w:rPr>
      </w:pPr>
      <w:r>
        <w:rPr>
          <w:rFonts w:hint="eastAsia" w:ascii="宋体" w:hAnsi="宋体" w:eastAsia="宋体" w:cs="宋体"/>
          <w:b/>
          <w:bCs/>
          <w:sz w:val="24"/>
          <w:lang w:val="zh-CN"/>
        </w:rPr>
        <w:t xml:space="preserve">眼睑结构损伤</w:t>
      </w:r>
      <w:r/>
    </w:p>
    <w:tbl>
      <w:tblPr>
        <w:tblStyle w:val="1025"/>
        <w:tblW w:w="8359" w:type="dxa"/>
        <w:tblInd w:w="-108" w:type="dxa"/>
        <w:tblLayout w:type="fixed"/>
        <w:tblCellMar>
          <w:left w:w="108" w:type="dxa"/>
          <w:top w:w="0" w:type="dxa"/>
          <w:right w:w="108" w:type="dxa"/>
          <w:bottom w:w="0" w:type="dxa"/>
        </w:tblCellMar>
        <w:tblLook w:val="04A0" w:firstRow="1" w:lastRow="0" w:firstColumn="1" w:lastColumn="0" w:noHBand="0" w:noVBand="1"/>
      </w:tblPr>
      <w:tblGrid>
        <w:gridCol w:w="7254"/>
        <w:gridCol w:w="1105"/>
      </w:tblGrid>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双侧眼睑显著缺损</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双侧眼睑外翻</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双侧眼睑闭合不全</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一侧眼睑显著缺损</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一侧眼睑外翻</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一侧眼睑闭合不全</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bl>
    <w:p>
      <w:pPr>
        <w:pStyle w:val="1199"/>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注：眼睑显著缺损指闭眼时眼睑不能完全覆盖角膜。</w:t>
      </w:r>
      <w:r/>
    </w:p>
    <w:p>
      <w:pPr>
        <w:pStyle w:val="1199"/>
        <w:ind w:firstLine="482"/>
        <w:jc w:val="left"/>
        <w:rPr>
          <w:rFonts w:hint="eastAsia" w:ascii="宋体" w:hAnsi="宋体" w:eastAsia="宋体" w:cs="宋体"/>
          <w:b/>
          <w:bCs/>
          <w:sz w:val="24"/>
        </w:rPr>
      </w:pPr>
      <w:r>
        <w:rPr>
          <w:rFonts w:hint="eastAsia" w:ascii="宋体" w:hAnsi="宋体" w:eastAsia="宋体" w:cs="宋体"/>
          <w:b/>
          <w:bCs/>
          <w:sz w:val="24"/>
          <w:lang w:val="zh-CN"/>
        </w:rPr>
        <w:t xml:space="preserve">耳廓结构损伤或听功能障碍</w:t>
      </w:r>
      <w:r/>
    </w:p>
    <w:p>
      <w:pPr>
        <w:pStyle w:val="1199"/>
        <w:ind w:firstLine="480"/>
        <w:widowControl/>
        <w:rPr>
          <w:rFonts w:hint="eastAsia" w:ascii="宋体" w:hAnsi="宋体" w:eastAsia="宋体" w:cs="宋体"/>
          <w:sz w:val="24"/>
        </w:rPr>
      </w:pPr>
      <w:r>
        <w:rPr>
          <w:rFonts w:hint="eastAsia" w:ascii="宋体" w:hAnsi="宋体" w:eastAsia="宋体" w:cs="宋体"/>
          <w:sz w:val="24"/>
          <w:lang w:val="zh-CN"/>
        </w:rPr>
        <w:t xml:space="preserve">听功能是指与感受存在的声音和辨别方位、音调、音量和音质有关的感觉功能。</w:t>
      </w:r>
      <w:r/>
    </w:p>
    <w:tbl>
      <w:tblPr>
        <w:tblStyle w:val="1025"/>
        <w:tblW w:w="8329" w:type="dxa"/>
        <w:tblInd w:w="-108" w:type="dxa"/>
        <w:tblLayout w:type="fixed"/>
        <w:tblCellMar>
          <w:left w:w="108" w:type="dxa"/>
          <w:top w:w="0" w:type="dxa"/>
          <w:right w:w="108" w:type="dxa"/>
          <w:bottom w:w="0" w:type="dxa"/>
        </w:tblCellMar>
        <w:tblLook w:val="04A0" w:firstRow="1" w:lastRow="0" w:firstColumn="1" w:lastColumn="0" w:noHBand="0" w:noVBand="1"/>
      </w:tblPr>
      <w:tblGrid>
        <w:gridCol w:w="7239"/>
        <w:gridCol w:w="1090"/>
      </w:tblGrid>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双耳听力损失大于等于91dB，且双侧耳廓缺失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双耳听力损失大于等于91dB，且一侧耳廓缺失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510"/>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一耳听力损失大于等于91dB，另一耳听力损失大于等于71dB，且一侧耳廓缺失，另一侧耳廓缺失大于等于50%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双耳听力损失大于等于71dB，且双侧耳廓缺失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双耳听力损失大于等于71dB，且一侧耳廓缺失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双耳听力损失大于等于56dB，且双侧耳廓缺失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510"/>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一耳听力损失大于等于91dB，另一耳听力损失大于等于71dB，且一侧耳廓缺失大于等于50%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双耳听力损失大于等于71dB，且一侧耳廓缺失大于等于50%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双耳听力损失大于等于56dB，且一侧耳廓缺失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一侧耳廓缺失，且另一侧耳廓缺失大于等于50%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bl>
    <w:p>
      <w:pPr>
        <w:pStyle w:val="1199"/>
        <w:ind w:firstLine="482"/>
        <w:jc w:val="left"/>
        <w:rPr>
          <w:rFonts w:hint="eastAsia" w:ascii="宋体" w:hAnsi="宋体" w:eastAsia="宋体" w:cs="宋体"/>
          <w:b/>
          <w:bCs/>
          <w:sz w:val="24"/>
        </w:rPr>
      </w:pPr>
      <w:r>
        <w:rPr>
          <w:rFonts w:hint="eastAsia" w:ascii="宋体" w:hAnsi="宋体" w:eastAsia="宋体" w:cs="宋体"/>
          <w:b/>
          <w:bCs/>
          <w:sz w:val="24"/>
          <w:lang w:val="zh-CN"/>
        </w:rPr>
        <w:t xml:space="preserve">听功能障碍</w:t>
      </w:r>
      <w:r/>
    </w:p>
    <w:tbl>
      <w:tblPr>
        <w:tblStyle w:val="1025"/>
        <w:tblW w:w="8271" w:type="dxa"/>
        <w:tblInd w:w="-108" w:type="dxa"/>
        <w:tblLayout w:type="fixed"/>
        <w:tblCellMar>
          <w:left w:w="108" w:type="dxa"/>
          <w:top w:w="0" w:type="dxa"/>
          <w:right w:w="108" w:type="dxa"/>
          <w:bottom w:w="0" w:type="dxa"/>
        </w:tblCellMar>
        <w:tblLook w:val="04A0" w:firstRow="1" w:lastRow="0" w:firstColumn="1" w:lastColumn="0" w:noHBand="0" w:noVBand="1"/>
      </w:tblPr>
      <w:tblGrid>
        <w:gridCol w:w="7210"/>
        <w:gridCol w:w="1061"/>
      </w:tblGrid>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双耳听力损失大于等于91dB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双耳听力损失大于等于81dB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一耳听力损失大于等于91dB，且另一耳听力损失大于等于71dB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双耳听力损失大于等于71dB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一耳听力损失大于等于91dB，且另一耳听力损失大于等于56dB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一耳听力损失大于等于91dB，且另一耳听力损失大于等于41dB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一耳听力损失大于等于71dB，且另一耳听力损失大于等于56dB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一耳听力损失大于等于71dB，且另一耳听力损失大于等于41dB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一耳听力损失大于等于91dB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一耳听力损失大于等于56dB，且另一耳听力损失大于等于41dB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一耳听力损失大于等于71dB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双耳听力损失大于等于26dB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一耳听力损失大于等于56dB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bl>
    <w:p>
      <w:pPr>
        <w:pStyle w:val="1199"/>
        <w:numPr>
          <w:ilvl w:val="0"/>
          <w:numId w:val="2"/>
        </w:numPr>
        <w:ind w:firstLine="482"/>
        <w:rPr>
          <w:rFonts w:hint="eastAsia" w:ascii="宋体" w:hAnsi="宋体" w:eastAsia="宋体" w:cs="宋体"/>
          <w:b/>
          <w:sz w:val="24"/>
          <w:lang w:val="zh-CN"/>
        </w:rPr>
      </w:pPr>
      <w:r>
        <w:rPr>
          <w:rFonts w:hint="eastAsia" w:ascii="宋体" w:hAnsi="宋体" w:eastAsia="宋体" w:cs="宋体"/>
          <w:b/>
          <w:sz w:val="24"/>
          <w:lang w:val="zh-CN"/>
        </w:rPr>
        <w:t xml:space="preserve">发声和言语的结构和功能</w:t>
      </w:r>
      <w:r/>
    </w:p>
    <w:p>
      <w:pPr>
        <w:pStyle w:val="1199"/>
        <w:ind w:firstLine="482"/>
        <w:jc w:val="left"/>
        <w:rPr>
          <w:rFonts w:hint="eastAsia" w:ascii="宋体" w:hAnsi="宋体" w:eastAsia="宋体" w:cs="宋体"/>
          <w:b/>
          <w:bCs/>
          <w:sz w:val="24"/>
        </w:rPr>
      </w:pPr>
      <w:r>
        <w:rPr>
          <w:rFonts w:hint="eastAsia" w:ascii="宋体" w:hAnsi="宋体" w:eastAsia="宋体" w:cs="宋体"/>
          <w:b/>
          <w:bCs/>
          <w:sz w:val="24"/>
          <w:lang w:val="zh-CN"/>
        </w:rPr>
        <w:t xml:space="preserve">鼻的结构损伤</w:t>
      </w:r>
      <w:r/>
    </w:p>
    <w:tbl>
      <w:tblPr>
        <w:tblStyle w:val="1025"/>
        <w:tblW w:w="8245" w:type="dxa"/>
        <w:tblInd w:w="-108" w:type="dxa"/>
        <w:tblLayout w:type="fixed"/>
        <w:tblCellMar>
          <w:left w:w="108" w:type="dxa"/>
          <w:top w:w="0" w:type="dxa"/>
          <w:right w:w="108" w:type="dxa"/>
          <w:bottom w:w="0" w:type="dxa"/>
        </w:tblCellMar>
        <w:tblLook w:val="04A0" w:firstRow="1" w:lastRow="0" w:firstColumn="1" w:lastColumn="0" w:noHBand="0" w:noVBand="1"/>
      </w:tblPr>
      <w:tblGrid>
        <w:gridCol w:w="7202"/>
        <w:gridCol w:w="1043"/>
      </w:tblGrid>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外鼻部完全缺失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外鼻部大部分缺损</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鼻尖及一侧鼻翼缺损</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双侧鼻腔或鼻咽部闭锁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一侧鼻翼缺损</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单侧鼻腔或鼻孔闭锁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bl>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口腔的结构损伤</w:t>
      </w:r>
      <w:r/>
    </w:p>
    <w:tbl>
      <w:tblPr>
        <w:tblStyle w:val="1025"/>
        <w:tblW w:w="8259" w:type="dxa"/>
        <w:tblInd w:w="-108" w:type="dxa"/>
        <w:tblLayout w:type="fixed"/>
        <w:tblCellMar>
          <w:left w:w="108" w:type="dxa"/>
          <w:top w:w="0" w:type="dxa"/>
          <w:right w:w="108" w:type="dxa"/>
          <w:bottom w:w="0" w:type="dxa"/>
        </w:tblCellMar>
        <w:tblLook w:val="04A0" w:firstRow="1" w:lastRow="0" w:firstColumn="1" w:lastColumn="0" w:noHBand="0" w:noVBand="1"/>
      </w:tblPr>
      <w:tblGrid>
        <w:gridCol w:w="7216"/>
        <w:gridCol w:w="1043"/>
      </w:tblGrid>
      <w:tr>
        <w:trPr>
          <w:trHeight w:val="284"/>
        </w:trPr>
        <w:tc>
          <w:tcPr>
            <w:tcBorders>
              <w:top w:val="single" w:color="000000" w:sz="2" w:space="0"/>
              <w:left w:val="single" w:color="000000" w:sz="2" w:space="0"/>
              <w:bottom w:val="single" w:color="000000" w:sz="2" w:space="0"/>
              <w:right w:val="single" w:color="000000" w:sz="2" w:space="0"/>
            </w:tcBorders>
            <w:tcW w:w="7216"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舌缺损大于全舌的2/3</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16"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舌缺损大于全舌的1/3</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6"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口腔损伤导致牙齿脱落大于等于16枚</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6"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口腔损伤导致牙齿脱落大于等于8枚</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bl>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发声和言语的功能障碍</w:t>
      </w:r>
      <w:r/>
    </w:p>
    <w:p>
      <w:pPr>
        <w:pStyle w:val="1199"/>
        <w:ind w:firstLine="480"/>
        <w:widowControl/>
        <w:rPr>
          <w:rFonts w:hint="eastAsia" w:ascii="宋体" w:hAnsi="宋体" w:eastAsia="宋体" w:cs="宋体"/>
          <w:sz w:val="24"/>
        </w:rPr>
      </w:pPr>
      <w:r>
        <w:rPr>
          <w:rFonts w:hint="eastAsia" w:ascii="宋体" w:hAnsi="宋体" w:eastAsia="宋体" w:cs="宋体"/>
          <w:sz w:val="24"/>
          <w:lang w:val="zh-CN"/>
        </w:rPr>
        <w:t xml:space="preserve">本标准中的发声和言语的功能障碍是指语言功能丧失。</w:t>
      </w:r>
      <w:r/>
    </w:p>
    <w:tbl>
      <w:tblPr>
        <w:tblStyle w:val="1025"/>
        <w:tblW w:w="8273"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43"/>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语言功能完全丧失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bl>
    <w:p>
      <w:pPr>
        <w:pStyle w:val="1199"/>
        <w:widowControl/>
        <w:rPr>
          <w:rFonts w:hint="eastAsia" w:ascii="宋体" w:hAnsi="宋体" w:eastAsia="宋体" w:cs="宋体"/>
          <w:sz w:val="22"/>
          <w:szCs w:val="22"/>
        </w:rPr>
      </w:pPr>
      <w:r>
        <w:rPr>
          <w:rFonts w:hint="eastAsia" w:ascii="宋体" w:hAnsi="宋体" w:eastAsia="宋体" w:cs="宋体"/>
          <w:sz w:val="22"/>
          <w:szCs w:val="22"/>
          <w:lang w:val="zh-CN"/>
        </w:rPr>
        <w:t xml:space="preserve">注：语言功能完全丧失指构成语言的口唇音、齿舌音、口盖音和喉头音的四种语言功能中，有三种以上不能构声、或声带全部切除，或因大脑语言中枢受伤害而患失语症，并须有资格的耳鼻喉科医师出具医疗诊断证明，但不包括任何心理障碍引致的失语。</w:t>
      </w:r>
      <w:r/>
    </w:p>
    <w:p>
      <w:pPr>
        <w:pStyle w:val="1199"/>
        <w:numPr>
          <w:ilvl w:val="0"/>
          <w:numId w:val="2"/>
        </w:numPr>
        <w:ind w:firstLine="482"/>
        <w:rPr>
          <w:rFonts w:hint="eastAsia" w:ascii="宋体" w:hAnsi="宋体" w:eastAsia="宋体" w:cs="宋体"/>
          <w:b/>
          <w:sz w:val="24"/>
          <w:lang w:val="zh-CN"/>
        </w:rPr>
      </w:pPr>
      <w:r>
        <w:rPr>
          <w:rFonts w:hint="eastAsia" w:ascii="宋体" w:hAnsi="宋体" w:eastAsia="宋体" w:cs="宋体"/>
          <w:b/>
          <w:sz w:val="24"/>
          <w:lang w:val="zh-CN"/>
        </w:rPr>
        <w:t xml:space="preserve">心血管，免疫和呼吸系统的结构和功能</w:t>
      </w:r>
      <w:r/>
    </w:p>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心脏的结构损伤或功能障碍</w:t>
      </w:r>
      <w:r/>
    </w:p>
    <w:tbl>
      <w:tblPr>
        <w:tblStyle w:val="1025"/>
        <w:tblW w:w="8287"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43"/>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胸部损伤导致心肺联合移植</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胸部损伤导致心脏贯通伤修补术后，心电图有明显改变</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胸部损伤导致心肌破裂修补</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bl>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脾结构损伤</w:t>
      </w:r>
      <w:r/>
    </w:p>
    <w:tbl>
      <w:tblPr>
        <w:tblStyle w:val="1025"/>
        <w:tblW w:w="8287"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43"/>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腹部损伤导致脾切除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腹部损伤导致脾部分切除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腹部损伤导致脾破裂修补</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bl>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肺的结构损伤</w:t>
      </w:r>
      <w:r/>
    </w:p>
    <w:tbl>
      <w:tblPr>
        <w:tblStyle w:val="1025"/>
        <w:tblW w:w="828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4"/>
        <w:gridCol w:w="1043"/>
      </w:tblGrid>
      <w:tr>
        <w:trPr>
          <w:trHeight w:val="284"/>
        </w:trPr>
        <w:tc>
          <w:tcPr>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胸部损伤导致一侧全肺切除</w:t>
            </w:r>
            <w:r/>
          </w:p>
        </w:tc>
        <w:tc>
          <w:tcPr>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胸部损伤导致双侧肺叶切除</w:t>
            </w:r>
            <w:r/>
          </w:p>
        </w:tc>
        <w:tc>
          <w:tcPr>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胸部损伤导致同侧双肺叶切除</w:t>
            </w:r>
            <w:r/>
          </w:p>
        </w:tc>
        <w:tc>
          <w:tcPr>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胸部损伤导致肺叶切除</w:t>
            </w:r>
            <w:r/>
          </w:p>
        </w:tc>
        <w:tc>
          <w:tcPr>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bl>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胸廓的结构损伤</w:t>
      </w:r>
      <w:r/>
    </w:p>
    <w:p>
      <w:pPr>
        <w:pStyle w:val="1199"/>
        <w:ind w:firstLine="480"/>
        <w:widowControl/>
        <w:rPr>
          <w:rFonts w:hint="eastAsia" w:ascii="宋体" w:hAnsi="宋体" w:eastAsia="宋体" w:cs="宋体"/>
          <w:sz w:val="24"/>
        </w:rPr>
      </w:pPr>
      <w:r>
        <w:rPr>
          <w:rFonts w:hint="eastAsia" w:ascii="宋体" w:hAnsi="宋体" w:eastAsia="宋体" w:cs="宋体"/>
          <w:sz w:val="24"/>
          <w:lang w:val="zh-CN"/>
        </w:rPr>
        <w:t xml:space="preserve">本标准中的胸廓的结构损伤是指肋骨骨折或缺失。</w:t>
      </w:r>
      <w:r/>
    </w:p>
    <w:tbl>
      <w:tblPr>
        <w:tblStyle w:val="1025"/>
        <w:tblW w:w="8315"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71"/>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胸部损伤导致大于等于12根肋骨骨折</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胸部损伤导致大于等于8根肋骨骨折</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胸部损伤导致大于等于4根肋骨缺失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胸部损伤导致大于等于4根肋骨骨折</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胸部损伤导致大于等于2根肋骨缺失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bl>
    <w:p>
      <w:pPr>
        <w:pStyle w:val="1199"/>
        <w:numPr>
          <w:ilvl w:val="0"/>
          <w:numId w:val="2"/>
        </w:numPr>
        <w:ind w:firstLine="482"/>
        <w:rPr>
          <w:rFonts w:hint="eastAsia" w:ascii="宋体" w:hAnsi="宋体" w:eastAsia="宋体" w:cs="宋体"/>
          <w:b/>
          <w:sz w:val="24"/>
          <w:lang w:val="zh-CN"/>
        </w:rPr>
      </w:pPr>
      <w:r>
        <w:rPr>
          <w:rFonts w:hint="eastAsia" w:ascii="宋体" w:hAnsi="宋体" w:eastAsia="宋体" w:cs="宋体"/>
          <w:b/>
          <w:sz w:val="24"/>
          <w:lang w:val="zh-CN"/>
        </w:rPr>
        <w:t xml:space="preserve">消化、代谢和内分泌系统有关的结构和功能</w:t>
      </w:r>
      <w:r/>
    </w:p>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咀嚼和吞咽功能障碍</w:t>
      </w:r>
      <w:r/>
    </w:p>
    <w:p>
      <w:pPr>
        <w:pStyle w:val="1199"/>
        <w:ind w:firstLine="480"/>
        <w:widowControl/>
        <w:rPr>
          <w:rFonts w:hint="eastAsia" w:ascii="宋体" w:hAnsi="宋体" w:eastAsia="宋体" w:cs="宋体"/>
          <w:sz w:val="24"/>
        </w:rPr>
      </w:pPr>
      <w:r>
        <w:rPr>
          <w:rFonts w:hint="eastAsia" w:ascii="宋体" w:hAnsi="宋体" w:eastAsia="宋体" w:cs="宋体"/>
          <w:sz w:val="24"/>
          <w:lang w:val="zh-CN"/>
        </w:rPr>
        <w:t xml:space="preserve">咀嚼是指用后牙（如磨牙）碾、磨或咀嚼食物的功能。吞咽是指通过口腔、咽和食道把食物和饮料以适宜的频率和速度送入胃中的功能。</w:t>
      </w:r>
      <w:r/>
    </w:p>
    <w:tbl>
      <w:tblPr>
        <w:tblStyle w:val="1025"/>
        <w:tblW w:w="8287"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43"/>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ind w:firstLine="480"/>
              <w:widowControl/>
              <w:rPr>
                <w:rFonts w:hint="eastAsia" w:ascii="宋体" w:hAnsi="宋体" w:eastAsia="宋体" w:cs="宋体"/>
                <w:sz w:val="24"/>
                <w:lang w:val="zh-CN"/>
              </w:rPr>
            </w:pPr>
            <w:r>
              <w:rPr>
                <w:rFonts w:hint="eastAsia" w:ascii="宋体" w:hAnsi="宋体" w:eastAsia="宋体" w:cs="宋体"/>
                <w:sz w:val="24"/>
                <w:lang w:val="zh-CN"/>
              </w:rPr>
              <w:t xml:space="preserve">咀嚼、吞咽功能完全丧失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ind w:firstLine="480"/>
              <w:widowControl/>
              <w:rPr>
                <w:rFonts w:hint="eastAsia" w:ascii="宋体" w:hAnsi="宋体" w:eastAsia="宋体" w:cs="宋体"/>
                <w:sz w:val="24"/>
                <w:lang w:val="zh-CN"/>
              </w:rPr>
            </w:pPr>
            <w:r>
              <w:rPr>
                <w:rFonts w:hint="eastAsia" w:ascii="宋体" w:hAnsi="宋体" w:eastAsia="宋体" w:cs="宋体"/>
                <w:sz w:val="24"/>
                <w:lang w:val="zh-CN"/>
              </w:rPr>
              <w:t xml:space="preserve">1级</w:t>
            </w:r>
            <w:r/>
          </w:p>
        </w:tc>
      </w:tr>
    </w:tbl>
    <w:p>
      <w:pPr>
        <w:pStyle w:val="1199"/>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注：咀嚼、吞咽功能丧失指由于牙齿以外的原因引起器质障碍或机能障碍，以致不能作咀嚼、吞咽运动，除流质食物外不能摄取或吞咽的状态。</w:t>
      </w:r>
      <w:r/>
    </w:p>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肠的结构损伤</w:t>
      </w:r>
      <w:r/>
    </w:p>
    <w:tbl>
      <w:tblPr>
        <w:tblStyle w:val="1025"/>
        <w:tblW w:w="83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8"/>
        <w:gridCol w:w="1088"/>
      </w:tblGrid>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腹部损伤导致小肠切除大于等于90%</w:t>
            </w:r>
            <w:r/>
          </w:p>
        </w:tc>
        <w:tc>
          <w:tcPr>
            <w:tcW w:w="1088"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腹部损伤导致小肠切除大于等于75%，合并短肠综合症</w:t>
            </w:r>
            <w:r/>
          </w:p>
        </w:tc>
        <w:tc>
          <w:tcPr>
            <w:tcW w:w="1088"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腹部损伤导致小肠切除大于等于75%</w:t>
            </w:r>
            <w:r/>
          </w:p>
        </w:tc>
        <w:tc>
          <w:tcPr>
            <w:tcW w:w="1088"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腹部或骨盆部损伤导致全结肠、直肠、肛门结构切除，回肠造瘘</w:t>
            </w:r>
            <w:r/>
          </w:p>
        </w:tc>
        <w:tc>
          <w:tcPr>
            <w:tcW w:w="1088"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腹部或骨盆部损伤导致直肠、肛门切除，且结肠部分切除，结肠造瘘</w:t>
            </w:r>
            <w:r/>
          </w:p>
        </w:tc>
        <w:tc>
          <w:tcPr>
            <w:tcW w:w="1088"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腹部损伤导致小肠切除大于等于50%,且包括回盲部切除</w:t>
            </w:r>
            <w:r/>
          </w:p>
        </w:tc>
        <w:tc>
          <w:tcPr>
            <w:tcW w:w="1088"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腹部损伤导致小肠切除大于等于50%</w:t>
            </w:r>
            <w:r/>
          </w:p>
        </w:tc>
        <w:tc>
          <w:tcPr>
            <w:tcW w:w="1088"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腹部损伤导致结肠切除大于等于50%</w:t>
            </w:r>
            <w:r/>
          </w:p>
        </w:tc>
        <w:tc>
          <w:tcPr>
            <w:tcW w:w="1088"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腹部损伤导致结肠部分切除</w:t>
            </w:r>
            <w:r/>
          </w:p>
        </w:tc>
        <w:tc>
          <w:tcPr>
            <w:tcW w:w="1088"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骨盆部损伤导致直肠、肛门损伤，且遗留永久性乙状结肠造口</w:t>
            </w:r>
            <w:r/>
          </w:p>
        </w:tc>
        <w:tc>
          <w:tcPr>
            <w:tcW w:w="1088"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骨盆部损伤导致直肠、肛门损伤，且瘢痕形成</w:t>
            </w:r>
            <w:r/>
          </w:p>
        </w:tc>
        <w:tc>
          <w:tcPr>
            <w:tcW w:w="1088"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bl>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胃结构损伤</w:t>
      </w:r>
      <w:r/>
    </w:p>
    <w:tbl>
      <w:tblPr>
        <w:tblStyle w:val="1025"/>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58"/>
        <w:gridCol w:w="1043"/>
      </w:tblGrid>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腹部损伤导致全胃切除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腹部损伤导致胃切除大于等于50%</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bl>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胰结构损伤或代谢功能障碍</w:t>
      </w:r>
      <w:r/>
    </w:p>
    <w:p>
      <w:pPr>
        <w:pStyle w:val="1199"/>
        <w:ind w:firstLine="480"/>
        <w:widowControl/>
        <w:rPr>
          <w:rFonts w:hint="eastAsia" w:ascii="宋体" w:hAnsi="宋体" w:eastAsia="宋体" w:cs="宋体"/>
          <w:sz w:val="24"/>
        </w:rPr>
      </w:pPr>
      <w:r>
        <w:rPr>
          <w:rFonts w:hint="eastAsia" w:ascii="宋体" w:hAnsi="宋体" w:eastAsia="宋体" w:cs="宋体"/>
          <w:sz w:val="24"/>
          <w:lang w:val="zh-CN"/>
        </w:rPr>
        <w:t xml:space="preserve">本标准中的代谢功能障碍是指胰岛素依赖。</w:t>
      </w:r>
      <w:r/>
    </w:p>
    <w:tbl>
      <w:tblPr>
        <w:tblStyle w:val="1025"/>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58"/>
        <w:gridCol w:w="1043"/>
      </w:tblGrid>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腹部损伤导致胰完全切除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腹部损伤导致胰切除大于等于50%，且伴有胰岛素依赖</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腹部损伤导致胰头、十二指肠切除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腹部损伤导致胰切除大于等于50%</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腹部损伤导致胰部分切除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bl>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肝结构损伤</w:t>
      </w:r>
      <w:r/>
    </w:p>
    <w:tbl>
      <w:tblPr>
        <w:tblStyle w:val="1025"/>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58"/>
        <w:gridCol w:w="1043"/>
      </w:tblGrid>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腹部损伤导致肝切除大于等于75%</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腹部损伤导致肝切除大于等于50%</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腹部损伤导致肝部分切除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bl>
    <w:p>
      <w:pPr>
        <w:pStyle w:val="1199"/>
        <w:numPr>
          <w:ilvl w:val="0"/>
          <w:numId w:val="2"/>
        </w:numPr>
        <w:ind w:firstLine="482"/>
        <w:rPr>
          <w:rFonts w:hint="eastAsia" w:ascii="宋体" w:hAnsi="宋体" w:eastAsia="宋体" w:cs="宋体"/>
          <w:b/>
          <w:sz w:val="24"/>
          <w:lang w:val="zh-CN"/>
        </w:rPr>
      </w:pPr>
      <w:r>
        <w:rPr>
          <w:rFonts w:hint="eastAsia" w:ascii="宋体" w:hAnsi="宋体" w:eastAsia="宋体" w:cs="宋体"/>
          <w:b/>
          <w:sz w:val="24"/>
          <w:lang w:val="zh-CN"/>
        </w:rPr>
        <w:t xml:space="preserve">泌尿和生殖系统有关的结构和功能</w:t>
      </w:r>
      <w:r/>
    </w:p>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泌尿系统的结构损伤</w:t>
      </w:r>
      <w:r/>
    </w:p>
    <w:tbl>
      <w:tblPr>
        <w:tblStyle w:val="1025"/>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58"/>
        <w:gridCol w:w="1043"/>
      </w:tblGrid>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腹部损伤导致双侧肾切除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腹部损伤导致孤肾切除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骨盆部损伤导致双侧输尿管缺失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骨盆部损伤导致双侧输尿管闭锁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骨盆部损伤导致一侧输尿管缺失，另一侧输尿管闭锁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骨盆部损伤导致膀胱切除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骨盆部损伤导致尿道闭锁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骨盆部损伤导致一侧输尿管缺失，另一侧输尿管严重狭窄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骨盆部损伤导致一侧输尿管闭锁，另一侧输尿管严重狭窄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腹部损伤导致一侧肾切除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骨盆部损伤导致双侧输尿管严重狭窄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骨盆部损伤导致一侧输尿管缺失，另一侧输尿管狭窄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骨盆部损伤导致一侧输尿管闭锁，另一侧输尿管狭窄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腹部损伤导致一侧肾部分切除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骨盆部损伤导致一侧输尿管缺失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骨盆部损伤导致一侧输尿管闭锁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骨盆部损伤导致尿道狭窄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骨盆部损伤导致膀胱部分切除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腹部损伤导致肾破裂修补</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骨盆部损伤导致一侧输尿管严重狭窄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骨盆部损伤导致膀胱破裂修补</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bl>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生殖系统的结构损伤</w:t>
      </w:r>
      <w:r/>
    </w:p>
    <w:tbl>
      <w:tblPr>
        <w:tblStyle w:val="1025"/>
        <w:tblW w:w="83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8"/>
        <w:gridCol w:w="1071"/>
      </w:tblGrid>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会阴部损伤导致双侧睾丸缺失</w:t>
            </w:r>
            <w:r/>
          </w:p>
        </w:tc>
        <w:tc>
          <w:tcPr>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会阴部损伤导致双侧睾丸完全萎缩</w:t>
            </w:r>
            <w:r/>
          </w:p>
        </w:tc>
        <w:tc>
          <w:tcPr>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会阴部损伤导致一侧睾丸缺失，另一侧睾丸完全萎缩</w:t>
            </w:r>
            <w:r/>
          </w:p>
        </w:tc>
        <w:tc>
          <w:tcPr>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会阴部损伤导致阴茎体完全缺失</w:t>
            </w:r>
            <w:r/>
          </w:p>
        </w:tc>
        <w:tc>
          <w:tcPr>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会阴部损伤导致阴道闭锁</w:t>
            </w:r>
            <w:r/>
          </w:p>
        </w:tc>
        <w:tc>
          <w:tcPr>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会阴部损伤导致阴茎体缺失大于50%</w:t>
            </w:r>
            <w:r/>
          </w:p>
        </w:tc>
        <w:tc>
          <w:tcPr>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会阴部损伤导致双侧输精管缺失</w:t>
            </w:r>
            <w:r/>
          </w:p>
        </w:tc>
        <w:tc>
          <w:tcPr>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会阴部损伤导致双侧输精管闭锁</w:t>
            </w:r>
            <w:r/>
          </w:p>
        </w:tc>
        <w:tc>
          <w:tcPr>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会阴部损伤导致一侧输精管缺失，另一侧输精管闭锁</w:t>
            </w:r>
            <w:r/>
          </w:p>
        </w:tc>
        <w:tc>
          <w:tcPr>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胸部损伤导致女性双侧乳房缺失</w:t>
            </w:r>
            <w:r/>
          </w:p>
        </w:tc>
        <w:tc>
          <w:tcPr>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骨盆部损伤导致子宫切除</w:t>
            </w:r>
            <w:r/>
          </w:p>
        </w:tc>
        <w:tc>
          <w:tcPr>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胸部损伤导致女性一侧乳房缺失，另一侧乳房部分缺失</w:t>
            </w:r>
            <w:r/>
          </w:p>
        </w:tc>
        <w:tc>
          <w:tcPr>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胸部损伤导致女性一侧乳房缺失</w:t>
            </w:r>
            <w:r/>
          </w:p>
        </w:tc>
        <w:tc>
          <w:tcPr>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骨盆部损伤导致子宫部分切除</w:t>
            </w:r>
            <w:r/>
          </w:p>
        </w:tc>
        <w:tc>
          <w:tcPr>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骨盆部损伤导致子宫破裂修补</w:t>
            </w:r>
            <w:r/>
          </w:p>
        </w:tc>
        <w:tc>
          <w:tcPr>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会阴部损伤导致一侧睾丸缺失</w:t>
            </w:r>
            <w:r/>
          </w:p>
        </w:tc>
        <w:tc>
          <w:tcPr>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会阴部损伤导致一侧睾丸完全萎缩</w:t>
            </w:r>
            <w:r/>
          </w:p>
        </w:tc>
        <w:tc>
          <w:tcPr>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会阴部损伤导致一侧输精管缺失</w:t>
            </w:r>
            <w:r/>
          </w:p>
        </w:tc>
        <w:tc>
          <w:tcPr>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r>
        <w:trPr>
          <w:trHeight w:val="284"/>
        </w:trPr>
        <w:tc>
          <w:tcPr>
            <w:tcW w:w="725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会阴部损伤导致一侧输精管闭锁</w:t>
            </w:r>
            <w:r/>
          </w:p>
        </w:tc>
        <w:tc>
          <w:tcPr>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bl>
    <w:p>
      <w:pPr>
        <w:pStyle w:val="1199"/>
        <w:numPr>
          <w:ilvl w:val="0"/>
          <w:numId w:val="2"/>
        </w:numPr>
        <w:ind w:firstLine="482"/>
        <w:rPr>
          <w:rFonts w:hint="eastAsia" w:ascii="宋体" w:hAnsi="宋体" w:eastAsia="宋体" w:cs="宋体"/>
          <w:b/>
          <w:sz w:val="24"/>
          <w:lang w:val="zh-CN"/>
        </w:rPr>
      </w:pPr>
      <w:r>
        <w:rPr>
          <w:rFonts w:hint="eastAsia" w:ascii="宋体" w:hAnsi="宋体" w:eastAsia="宋体" w:cs="宋体"/>
          <w:b/>
          <w:sz w:val="24"/>
          <w:lang w:val="zh-CN"/>
        </w:rPr>
        <w:t xml:space="preserve">神经肌肉骨骼和运动有关的结构和功能</w:t>
      </w:r>
      <w:r/>
    </w:p>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头颈部的结构损伤</w:t>
      </w:r>
      <w:r/>
    </w:p>
    <w:tbl>
      <w:tblPr>
        <w:tblStyle w:val="1025"/>
        <w:tblW w:w="8315"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71"/>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双侧上颌骨完全缺失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双侧下颌骨完全缺失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一侧上颌骨及对侧下颌骨完全缺失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同侧上、下颌骨完全缺失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上颌骨、下颌骨缺损，且牙齿脱落大于等于24枚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一侧上颌骨完全缺失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一侧下颌骨完全缺失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一侧上颌骨缺损大于等于50%，且口腔、颜面部软组织缺损大于20cm2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一侧下颌骨缺损大于等于6cm，且口腔、颜面部软组织缺损大于20cm2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面颊部洞穿性缺损大于20cm2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上颌骨、下颌骨缺损，且牙齿脱落大于等于20枚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一侧上颌骨缺损大于25%，小于50%，且口腔、颜面部软组织缺损大于10cm2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一侧下颌骨缺损大于等于4cm，且口腔、颜面部软组织缺损大于10cm2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一侧上颌骨缺损等于25%，且口腔、颜面部软组织缺损大于10cm2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面部软组织缺损大于20cm2，且伴发涎瘘</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上颌骨、下颌骨缺损，且牙齿脱落大于等于16枚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上颌骨、下颌骨缺损，且牙齿脱落大于等于12枚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上颌骨、下颌骨缺损，且牙齿脱落大于等于8枚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上颌骨、下颌骨缺损，且牙齿脱落大于等于4枚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颅骨缺损大于等于6cm2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bl>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头颈部关节功能障碍</w:t>
      </w:r>
      <w:r/>
    </w:p>
    <w:tbl>
      <w:tblPr>
        <w:tblStyle w:val="1025"/>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088"/>
        <w:gridCol w:w="1213"/>
      </w:tblGrid>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单侧颞下颌关节强直，张口困难Ⅲ度</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双侧颞下颌关节强直，张口困难Ⅲ度</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双侧颞下颌关节强直，张口困难Ⅱ度</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一侧颞下颌关节强直，张口困难I度</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bl>
    <w:p>
      <w:pPr>
        <w:pStyle w:val="1199"/>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注：张口困难判定及测量方法是以患者自身的食指、中指、无名指并列垂直置入上、下中切牙切缘间测量。正常张口度指张口时上述三指可垂直置入上、下切牙切缘间（相当于4.5cm左右）；张口困难I度指大张口时，只能垂直置入食指和中指（相当于3cm左右）；张口困难II度指大张口时，只能垂直置入食指（相当于1.7cm左右）；张口困难Ⅲ度指大张口时，上、下切牙间距小于食指之横径。</w:t>
      </w:r>
      <w:r/>
    </w:p>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上肢的结构损伤，手功能或关节功能障碍</w:t>
      </w:r>
      <w:r/>
    </w:p>
    <w:tbl>
      <w:tblPr>
        <w:tblStyle w:val="1025"/>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088"/>
        <w:gridCol w:w="1213"/>
      </w:tblGrid>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双手完全缺失</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双手完全丧失功能</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一手完全缺失，另一手完全丧失功能</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双手缺失（或丧失功能）大于等于90%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双手缺失（或丧失功能）大于等于70%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双手缺失（或丧失功能）大于等于50%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一上肢三大关节中，有两个关节完全丧失功能</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一上肢三大关节中，有一个关节完全丧失功能</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双手缺失（或丧失功能）大于等于30%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双手缺失（或丧失功能）大于等于10%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双上肢长度相差大于等于10cm</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双上肢长度相差大于等于4cm</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一上肢三大关节中，因骨折累及关节面导致一个关节功能部分丧失</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bl>
    <w:p>
      <w:pPr>
        <w:pStyle w:val="1199"/>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注：手缺失和丧失功能的计算：一手拇指占一手功能的36%，其中末节和近节指节各占18%；食指、中指各占一手功能的18%，其中末节指节占8%，中节指节占7%，近节指节占3%；无名指和小指各占一手功能的9%，其中末节指节占4%，中节指节占3%，近节指节占2%。一手掌占一手功能的10%，其中第一掌骨占4%，第二、第三掌骨各占2%，第四、第五掌骨各占1%。本标准中，双手缺失或丧失功能的程度是按前面方式累加计算的结果。</w:t>
      </w:r>
      <w:r/>
    </w:p>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骨盆部的结构损伤</w:t>
      </w:r>
      <w:r/>
    </w:p>
    <w:tbl>
      <w:tblPr>
        <w:tblStyle w:val="1025"/>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71"/>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骨盆环骨折，且两下肢相对长度相差大于等于8cm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髋臼骨折，且两下肢相对长度相差大于等于8cm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骨盆环骨折，且两下肢相对长度相差大于等于6cm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髋臼骨折，且两下肢相对长度相差大于等于6cm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骨盆环骨折，且两下肢相对长度相差大于等于4cm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髋臼骨折，且两下肢相对长度相差大于等于4cm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骨盆环骨折，且两下肢相对长度相差大于等于2cm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髋臼骨折，且两下肢相对长度相差大于等于2cm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bl>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下肢的结构损伤，足功能或关节功能障碍</w:t>
      </w:r>
      <w:r/>
    </w:p>
    <w:tbl>
      <w:tblPr>
        <w:tblStyle w:val="1025"/>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71"/>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双足跗跖关节以上缺失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双下肢长度相差大于等于8cm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一下肢三大关节中，有两个关节完全丧失功能</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双足足弓结构完全破坏</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一足跗跖关节以上缺失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双下肢长度相差大于等于6cm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一足足弓结构完全破坏，另一足足弓结构破坏大于等于1/3</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双足十趾完全缺失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一下肢三大关节中，有一个关节完全丧失功能</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双足十趾完全丧失功能</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双下肢长度相差大于等于4cm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一足足弓结构完全破坏</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双足十趾中，大于等于五趾缺失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一足五趾完全丧失功能</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一足足弓结构破坏大于等于1/3</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双足十趾中，大于等于两趾缺失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双下肢长度相差大于等于2cm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一下肢三大关节中，因骨折累及关节面导致一个关节功能部分丧失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bl>
    <w:p>
      <w:pPr>
        <w:pStyle w:val="1199"/>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注：①足弓结构破坏：指意外损伤导致的足弓缺失或丧失功能。</w:t>
      </w:r>
      <w:r/>
    </w:p>
    <w:p>
      <w:pPr>
        <w:pStyle w:val="1199"/>
        <w:ind w:firstLine="480"/>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②足弓结构完全破坏指足的内、外侧纵弓和横弓结构完全破坏，包括缺失和丧失功能；足弓1/3结构破坏指足三弓的任一弓的结构破坏。</w:t>
      </w:r>
      <w:r/>
    </w:p>
    <w:p>
      <w:pPr>
        <w:pStyle w:val="1199"/>
        <w:ind w:firstLine="480"/>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③足趾缺失：指自趾关节以上完全切断。</w:t>
      </w:r>
      <w:r/>
    </w:p>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四肢的结构损伤，肢体功能或关节功能障碍</w:t>
      </w:r>
      <w:r/>
    </w:p>
    <w:tbl>
      <w:tblPr>
        <w:tblStyle w:val="1025"/>
        <w:tblW w:w="8315" w:type="dxa"/>
        <w:tblInd w:w="-108" w:type="dxa"/>
        <w:tblLayout w:type="fixed"/>
        <w:tblCellMar>
          <w:left w:w="108" w:type="dxa"/>
          <w:top w:w="0" w:type="dxa"/>
          <w:right w:w="108" w:type="dxa"/>
          <w:bottom w:w="0" w:type="dxa"/>
        </w:tblCellMar>
        <w:tblLook w:val="04A0" w:firstRow="1" w:lastRow="0" w:firstColumn="1" w:lastColumn="0" w:noHBand="0" w:noVBand="1"/>
      </w:tblPr>
      <w:tblGrid>
        <w:gridCol w:w="7385"/>
        <w:gridCol w:w="930"/>
      </w:tblGrid>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三肢以上缺失(上肢在腕关节以上,下肢在踝关节以上)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三肢以上完全丧失功能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二肢缺失（上肢在腕关节以上，下肢在踝关节以上），且第三肢完全丧失功能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一肢缺失（上肢在腕关节以上，下肢在踝关节以上），且另二肢完全丧失功能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二肢缺失(上肢在肘关节以上，下肢在膝关节以上)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一肢缺失（上肢在肘关节以上，下肢在膝关节以上），且另一肢完全丧失功能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二肢完全丧失功能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一肢缺失（上肢在腕关节以上，下肢在踝关节以上），且另一肢完全丧失功能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二肢缺失(上肢在腕关节以上，下肢在踝关节以上)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两上肢、或两下肢、或一上肢及一下肢，各有三大关节中的两个关节完全丧失功能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一肢缺失(上肢在肘关节以上，下肢在膝关节以上)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一肢缺失(上肢在腕关节以上，下肢在踝关节以上)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四肢长骨一骺板以上粉碎性骨折</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bl>
    <w:p>
      <w:pPr>
        <w:pStyle w:val="1199"/>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注：①骺板：骺板的定义只适用于儿童，四肢长骨骺板骨折可能影响肢体发育，如果存在肢体发育障碍的，应当另行评定伤残等级。</w:t>
      </w:r>
      <w:r/>
    </w:p>
    <w:p>
      <w:pPr>
        <w:pStyle w:val="1199"/>
        <w:ind w:firstLine="480"/>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②肢体丧失功能指意外损伤导致肢体三大关节（上肢腕关节、肘关节、肩关节或下肢踝关节、膝关节、髋关节）功能的丧失。</w:t>
      </w:r>
      <w:r/>
    </w:p>
    <w:p>
      <w:pPr>
        <w:pStyle w:val="1199"/>
        <w:ind w:firstLine="480"/>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③关节功能的丧失指关节永久完全僵硬、或麻痹、或关节不能随意识活动。</w:t>
      </w:r>
      <w:r/>
    </w:p>
    <w:p>
      <w:pPr>
        <w:pStyle w:val="1199"/>
        <w:ind w:firstLine="482"/>
        <w:jc w:val="left"/>
        <w:rPr>
          <w:rFonts w:hint="eastAsia" w:ascii="宋体" w:hAnsi="宋体" w:eastAsia="宋体" w:cs="宋体"/>
          <w:b/>
          <w:bCs/>
          <w:sz w:val="24"/>
        </w:rPr>
      </w:pPr>
      <w:r>
        <w:rPr>
          <w:rFonts w:hint="eastAsia" w:ascii="宋体" w:hAnsi="宋体" w:eastAsia="宋体" w:cs="宋体"/>
          <w:b/>
          <w:bCs/>
          <w:sz w:val="24"/>
          <w:lang w:val="zh-CN"/>
        </w:rPr>
        <w:t xml:space="preserve">脊柱结构损伤和关节活动功能障碍</w:t>
      </w:r>
      <w:r/>
    </w:p>
    <w:p>
      <w:pPr>
        <w:pStyle w:val="1199"/>
        <w:ind w:firstLine="480"/>
        <w:jc w:val="left"/>
        <w:rPr>
          <w:rFonts w:hint="eastAsia" w:ascii="宋体" w:hAnsi="宋体" w:eastAsia="宋体" w:cs="宋体"/>
          <w:sz w:val="24"/>
        </w:rPr>
      </w:pPr>
      <w:r>
        <w:rPr>
          <w:rFonts w:hint="eastAsia" w:ascii="宋体" w:hAnsi="宋体" w:eastAsia="宋体" w:cs="宋体"/>
          <w:sz w:val="24"/>
          <w:lang w:val="zh-CN"/>
        </w:rPr>
        <w:t xml:space="preserve">本标准中的脊柱结构损伤是指颈椎或腰椎的骨折脱位，本标准中的关节活动功能障碍是指颈部或腰部活动度丧失。</w:t>
      </w:r>
      <w:r/>
    </w:p>
    <w:tbl>
      <w:tblPr>
        <w:tblStyle w:val="1025"/>
        <w:tblW w:w="8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6"/>
        <w:gridCol w:w="902"/>
      </w:tblGrid>
      <w:tr>
        <w:trPr>
          <w:trHeight w:val="284"/>
        </w:trPr>
        <w:tc>
          <w:tcPr>
            <w:tcW w:w="7386"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脊柱骨折脱位导致颈椎或腰椎畸形愈合，且颈部或腰部活动度丧失大于等于75%</w:t>
            </w:r>
            <w:r/>
          </w:p>
        </w:tc>
        <w:tc>
          <w:tcPr>
            <w:tcW w:w="902"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W w:w="7386"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脊柱骨折脱位导致颈椎或腰椎畸形愈合，且颈部或腰部活动度丧失大于等于50%</w:t>
            </w:r>
            <w:r/>
          </w:p>
        </w:tc>
        <w:tc>
          <w:tcPr>
            <w:tcW w:w="902"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W w:w="7386"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脊柱骨折脱位导致颈椎或腰椎畸形愈合，且颈部或腰部活动度丧失大于等于25%</w:t>
            </w:r>
            <w:r/>
          </w:p>
        </w:tc>
        <w:tc>
          <w:tcPr>
            <w:tcW w:w="902"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bl>
    <w:p>
      <w:pPr>
        <w:pStyle w:val="1199"/>
        <w:ind w:firstLine="482"/>
        <w:jc w:val="left"/>
        <w:rPr>
          <w:rFonts w:hint="eastAsia" w:ascii="宋体" w:hAnsi="宋体" w:eastAsia="宋体" w:cs="宋体"/>
          <w:b/>
          <w:bCs/>
          <w:sz w:val="24"/>
        </w:rPr>
      </w:pPr>
      <w:r>
        <w:rPr>
          <w:rFonts w:hint="eastAsia" w:ascii="宋体" w:hAnsi="宋体" w:eastAsia="宋体" w:cs="宋体"/>
          <w:b/>
          <w:bCs/>
          <w:sz w:val="24"/>
          <w:lang w:val="zh-CN"/>
        </w:rPr>
        <w:t xml:space="preserve">肌肉力量功能障碍</w:t>
      </w:r>
      <w:r/>
    </w:p>
    <w:p>
      <w:pPr>
        <w:pStyle w:val="1199"/>
        <w:ind w:firstLine="480"/>
        <w:widowControl/>
        <w:rPr>
          <w:rFonts w:hint="eastAsia" w:ascii="宋体" w:hAnsi="宋体" w:eastAsia="宋体" w:cs="宋体"/>
          <w:sz w:val="24"/>
        </w:rPr>
      </w:pPr>
      <w:r>
        <w:rPr>
          <w:rFonts w:hint="eastAsia" w:ascii="宋体" w:hAnsi="宋体" w:eastAsia="宋体" w:cs="宋体"/>
          <w:sz w:val="24"/>
          <w:lang w:val="zh-CN"/>
        </w:rPr>
        <w:t xml:space="preserve">肌肉力量功能是指与肌肉或肌群收缩产生力量有关的功能。本标准中的肌肉力量功能障碍是指四肢瘫、偏瘫、截瘫或单瘫。</w:t>
      </w:r>
      <w:r/>
    </w:p>
    <w:tbl>
      <w:tblPr>
        <w:tblStyle w:val="1025"/>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71"/>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四肢瘫（三肢以上肌力小于等于3级)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截瘫(肌力小于等于2级)且大便和小便失禁</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四肢瘫（二肢以上肌力小于等于2级)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偏瘫（肌力小于等于2级)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截瘫（肌力小于等于2级)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四肢瘫（二肢以上肌力小于等于3级)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偏瘫（肌力小于等于3级)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截瘫（肌力小于等于3级)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四肢瘫（二肢以上肌力小于等于4级)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偏瘫（一肢肌力小于等于2级)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截瘫（一肢肌力小于等于2级)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单瘫（肌力小于等于2级)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偏瘫（一肢肌力小于等于3级)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截瘫（一肢肌力小于等于3级)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单瘫（肌力小于等于3级)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偏瘫（一肢肌力小于等于4级)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截瘫（一肢肌力小于等于4级)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单瘫（肌力小于等于4级)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bl>
    <w:p>
      <w:pPr>
        <w:pStyle w:val="1199"/>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注：①偏瘫指一侧上下肢的瘫痪。</w:t>
      </w:r>
      <w:r/>
    </w:p>
    <w:p>
      <w:pPr>
        <w:pStyle w:val="1199"/>
        <w:ind w:firstLine="480"/>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②截瘫指脊髓损伤后，受伤平面以下双侧肢体感觉、运动、反射等消失和膀胱、肛门括约肌功能丧失的病症。</w:t>
      </w:r>
      <w:r/>
    </w:p>
    <w:p>
      <w:pPr>
        <w:pStyle w:val="1199"/>
        <w:ind w:firstLine="480"/>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③单瘫指一个肢体或肢体的某一部分瘫痪。</w:t>
      </w:r>
      <w:r/>
    </w:p>
    <w:p>
      <w:pPr>
        <w:pStyle w:val="1199"/>
        <w:ind w:firstLine="480"/>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④肌力：为判断肢体瘫痪程度，将肌力分级划分为0-5级。</w:t>
      </w:r>
      <w:r/>
    </w:p>
    <w:p>
      <w:pPr>
        <w:pStyle w:val="1199"/>
        <w:ind w:firstLine="480"/>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0级：肌肉完全瘫痪，毫无收缩。</w:t>
      </w:r>
      <w:r/>
    </w:p>
    <w:p>
      <w:pPr>
        <w:pStyle w:val="1199"/>
        <w:ind w:firstLine="480"/>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1级：可看到或触及肌肉轻微收缩，但不能产生动作。</w:t>
      </w:r>
      <w:r/>
    </w:p>
    <w:p>
      <w:pPr>
        <w:pStyle w:val="1199"/>
        <w:ind w:firstLine="480"/>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2级：肌肉在不受重力影响下，可进行运动，即肢体能在床面上移动，但不能抬高。</w:t>
      </w:r>
      <w:r/>
    </w:p>
    <w:p>
      <w:pPr>
        <w:pStyle w:val="1199"/>
        <w:ind w:firstLine="480"/>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3级：在和地心引力相反的方向中尚能完成其动作，但不能对抗外加的阻力。</w:t>
      </w:r>
      <w:r/>
    </w:p>
    <w:p>
      <w:pPr>
        <w:pStyle w:val="1199"/>
        <w:ind w:firstLine="480"/>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4级：能对抗一定的阻力，但较正常人为低。</w:t>
      </w:r>
      <w:r/>
    </w:p>
    <w:p>
      <w:pPr>
        <w:pStyle w:val="1199"/>
        <w:ind w:firstLine="480"/>
        <w:widowControl/>
        <w:rPr>
          <w:rFonts w:hint="eastAsia" w:ascii="宋体" w:hAnsi="宋体" w:eastAsia="宋体" w:cs="宋体"/>
          <w:sz w:val="24"/>
        </w:rPr>
      </w:pPr>
      <w:r>
        <w:rPr>
          <w:rFonts w:hint="eastAsia" w:ascii="宋体" w:hAnsi="宋体" w:eastAsia="宋体" w:cs="宋体"/>
          <w:sz w:val="22"/>
          <w:szCs w:val="22"/>
          <w:lang w:val="zh-CN"/>
        </w:rPr>
        <w:t xml:space="preserve">5级：正常肌力。</w:t>
      </w:r>
      <w:r/>
    </w:p>
    <w:p>
      <w:pPr>
        <w:pStyle w:val="1199"/>
        <w:numPr>
          <w:ilvl w:val="0"/>
          <w:numId w:val="2"/>
        </w:numPr>
        <w:ind w:firstLine="482"/>
        <w:rPr>
          <w:rFonts w:hint="eastAsia" w:ascii="宋体" w:hAnsi="宋体" w:eastAsia="宋体" w:cs="宋体"/>
          <w:b/>
          <w:sz w:val="24"/>
          <w:lang w:val="zh-CN"/>
        </w:rPr>
      </w:pPr>
      <w:r>
        <w:rPr>
          <w:rFonts w:hint="eastAsia" w:ascii="宋体" w:hAnsi="宋体" w:eastAsia="宋体" w:cs="宋体"/>
          <w:b/>
          <w:sz w:val="24"/>
          <w:lang w:val="zh-CN"/>
        </w:rPr>
        <w:t xml:space="preserve">皮肤和有关的结构和功能</w:t>
      </w:r>
      <w:r/>
    </w:p>
    <w:p>
      <w:pPr>
        <w:pStyle w:val="1199"/>
        <w:ind w:firstLine="482"/>
        <w:jc w:val="left"/>
        <w:rPr>
          <w:rFonts w:hint="eastAsia" w:ascii="宋体" w:hAnsi="宋体" w:eastAsia="宋体" w:cs="宋体"/>
          <w:b/>
          <w:bCs/>
          <w:sz w:val="24"/>
        </w:rPr>
      </w:pPr>
      <w:r>
        <w:rPr>
          <w:rFonts w:hint="eastAsia" w:ascii="宋体" w:hAnsi="宋体" w:eastAsia="宋体" w:cs="宋体"/>
          <w:b/>
          <w:bCs/>
          <w:sz w:val="24"/>
          <w:lang w:val="zh-CN"/>
        </w:rPr>
        <w:t xml:space="preserve">头颈部皮肤结构损伤和修复功能障碍</w:t>
      </w:r>
      <w:r/>
    </w:p>
    <w:p>
      <w:pPr>
        <w:pStyle w:val="1199"/>
        <w:ind w:firstLine="480"/>
        <w:widowControl/>
        <w:rPr>
          <w:rFonts w:hint="eastAsia" w:ascii="宋体" w:hAnsi="宋体" w:eastAsia="宋体" w:cs="宋体"/>
          <w:sz w:val="24"/>
        </w:rPr>
      </w:pPr>
      <w:r>
        <w:rPr>
          <w:rFonts w:hint="eastAsia" w:ascii="宋体" w:hAnsi="宋体" w:eastAsia="宋体" w:cs="宋体"/>
          <w:sz w:val="24"/>
          <w:lang w:val="zh-CN"/>
        </w:rPr>
        <w:t xml:space="preserve">皮肤的修复功能是指修复皮肤破损和其他损伤的功能。本标准中的皮肤修复功能障碍是指瘢痕形成。</w:t>
      </w:r>
      <w:r/>
    </w:p>
    <w:tbl>
      <w:tblPr>
        <w:tblStyle w:val="1025"/>
        <w:tblW w:w="8288" w:type="dxa"/>
        <w:tblInd w:w="-108" w:type="dxa"/>
        <w:tblLayout w:type="fixed"/>
        <w:tblCellMar>
          <w:left w:w="108" w:type="dxa"/>
          <w:top w:w="0" w:type="dxa"/>
          <w:right w:w="108" w:type="dxa"/>
          <w:bottom w:w="0" w:type="dxa"/>
        </w:tblCellMar>
        <w:tblLook w:val="04A0" w:firstRow="1" w:lastRow="0" w:firstColumn="1" w:lastColumn="0" w:noHBand="0" w:noVBand="1"/>
      </w:tblPr>
      <w:tblGrid>
        <w:gridCol w:w="7323"/>
        <w:gridCol w:w="965"/>
      </w:tblGrid>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头颈部Ⅲ度烧伤，面积大于等于全身体表面积的8%</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面部皮肤损伤导致瘢痕形成，且瘢痕面积大于等于面部皮肤面积的90%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颈部皮肤损伤导致瘢痕形成，颈部活动度完全丧失</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面部皮肤损伤导致瘢痕形成，且瘢痕面积大于等于面部皮肤面积的80%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颈部皮肤损伤导致瘢痕形成，颈部活动度丧失大于等于75%</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面部皮肤损伤导致瘢痕形成，且瘢痕面积大于等于面部皮肤面积的60%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头颈部Ⅲ度烧伤，面积大于等于全身体表面积的5%，且小于8%</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颈部皮肤损伤导致瘢痕形成，颈部活动度丧失大于等于50%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面部皮肤损伤导致瘢痕形成，且瘢痕面积大于等于面部皮肤面积的40%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面部皮肤损伤导致瘢痕形成，且瘢痕面积大于等于面部皮肤面积的20%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头部撕脱伤后导致头皮缺失，面积大于等于头皮面积的20%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510"/>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颈部皮肤损伤导致颈前三角区瘢痕形成，且瘢痕面积大于等于颈前三角区面积的75%</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面部皮肤损伤导致瘢痕形成，且瘢痕面积大于等于24cm2</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头颈部Ⅲ度烧伤，面积大于等于全身体表面积的2%，且小于5%</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510"/>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颈部皮肤损伤导致颈前三角区瘢痕形成，且瘢痕面积大于等于颈前三角区面积的50%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面部皮肤损伤导致瘢痕形成，且瘢痕面积大于等于18cm2</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510"/>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面部皮肤损伤导致瘢痕形成，且瘢痕面积大于等于12cm2或面部线条状瘢痕大于等于20cm</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r>
        <w:trPr>
          <w:trHeight w:val="510"/>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面部皮肤损伤导致瘢痕形成，且瘢痕面积大于等于6cm2或面部线条状瘢痕大于等于10cm</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10级</w:t>
            </w:r>
            <w:r/>
          </w:p>
        </w:tc>
      </w:tr>
    </w:tbl>
    <w:p>
      <w:pPr>
        <w:pStyle w:val="1199"/>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注：①瘢痕：指创面愈合后的增生性瘢痕，不包括皮肤平整、无明显质地改变的萎缩性瘢痕或疤痕。</w:t>
      </w:r>
      <w:r/>
    </w:p>
    <w:p>
      <w:pPr>
        <w:pStyle w:val="1199"/>
        <w:ind w:firstLine="480"/>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②面部的范围和瘢痕面积的计算：面部的范围指上至发际、下至下颌下缘、两侧至下颌支后缘之间的区域，包括额部、眼部、眶部、鼻部、口唇部、颏部、颧部、颊部和腮腺咬肌部。面部瘢痕面积的计算采用全面部和5等分面部以及实测瘢痕面积的方法，分别计算瘢痕面积。面部多处瘢痕，其面积可以累加计算。</w:t>
      </w:r>
      <w:r/>
    </w:p>
    <w:p>
      <w:pPr>
        <w:pStyle w:val="1199"/>
        <w:ind w:firstLine="480"/>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③颈前三角区：两边为胸锁乳突肌前缘，底为舌骨体上缘及下颌骨下缘。</w:t>
      </w:r>
      <w:r/>
    </w:p>
    <w:p>
      <w:pPr>
        <w:pStyle w:val="1199"/>
        <w:ind w:firstLine="482"/>
        <w:jc w:val="left"/>
        <w:rPr>
          <w:rFonts w:hint="eastAsia" w:ascii="宋体" w:hAnsi="宋体" w:eastAsia="宋体" w:cs="宋体"/>
          <w:b/>
          <w:bCs/>
          <w:sz w:val="24"/>
          <w:lang w:val="zh-CN"/>
        </w:rPr>
      </w:pPr>
      <w:r>
        <w:rPr>
          <w:rFonts w:hint="eastAsia" w:ascii="宋体" w:hAnsi="宋体" w:eastAsia="宋体" w:cs="宋体"/>
          <w:b/>
          <w:bCs/>
          <w:sz w:val="24"/>
          <w:lang w:val="zh-CN"/>
        </w:rPr>
        <w:t xml:space="preserve">各部位皮肤结构损伤和修复功能障碍</w:t>
      </w:r>
      <w:r/>
    </w:p>
    <w:tbl>
      <w:tblPr>
        <w:tblStyle w:val="1025"/>
        <w:tblW w:w="8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5"/>
        <w:gridCol w:w="1043"/>
      </w:tblGrid>
      <w:tr>
        <w:trPr>
          <w:trHeight w:val="284"/>
        </w:trPr>
        <w:tc>
          <w:tcPr>
            <w:tcW w:w="724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皮肤损伤导致瘢痕形成，且瘢痕面积大于等于全身体表面积的90%</w:t>
            </w:r>
            <w:r/>
          </w:p>
        </w:tc>
        <w:tc>
          <w:tcPr>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1级</w:t>
            </w:r>
            <w:r/>
          </w:p>
        </w:tc>
      </w:tr>
      <w:tr>
        <w:trPr>
          <w:trHeight w:val="284"/>
        </w:trPr>
        <w:tc>
          <w:tcPr>
            <w:tcW w:w="724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躯干及四肢Ⅲ度烧伤，面积大于等于全身皮肤面积的60%</w:t>
            </w:r>
            <w:r/>
          </w:p>
        </w:tc>
        <w:tc>
          <w:tcPr>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1级</w:t>
            </w:r>
            <w:r/>
          </w:p>
        </w:tc>
      </w:tr>
      <w:tr>
        <w:trPr>
          <w:trHeight w:val="284"/>
        </w:trPr>
        <w:tc>
          <w:tcPr>
            <w:tcW w:w="724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皮肤损伤导致瘢痕形成，且瘢痕面积大于等于全身体表面积的80%</w:t>
            </w:r>
            <w:r/>
          </w:p>
        </w:tc>
        <w:tc>
          <w:tcPr>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2级</w:t>
            </w:r>
            <w:r/>
          </w:p>
        </w:tc>
      </w:tr>
      <w:tr>
        <w:trPr>
          <w:trHeight w:val="284"/>
        </w:trPr>
        <w:tc>
          <w:tcPr>
            <w:tcW w:w="724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皮肤损伤导致瘢痕形成，且瘢痕面积大于等于全身体表面积的70%</w:t>
            </w:r>
            <w:r/>
          </w:p>
        </w:tc>
        <w:tc>
          <w:tcPr>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W w:w="724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躯干及四肢Ⅲ度烧伤，面积大于等于全身皮肤面积的40%</w:t>
            </w:r>
            <w:r/>
          </w:p>
        </w:tc>
        <w:tc>
          <w:tcPr>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3级</w:t>
            </w:r>
            <w:r/>
          </w:p>
        </w:tc>
      </w:tr>
      <w:tr>
        <w:trPr>
          <w:trHeight w:val="284"/>
        </w:trPr>
        <w:tc>
          <w:tcPr>
            <w:tcW w:w="724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皮肤损伤导致瘢痕形成，且瘢痕面积大于等于全身体表面积的60%</w:t>
            </w:r>
            <w:r/>
          </w:p>
        </w:tc>
        <w:tc>
          <w:tcPr>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4级</w:t>
            </w:r>
            <w:r/>
          </w:p>
        </w:tc>
      </w:tr>
      <w:tr>
        <w:trPr>
          <w:trHeight w:val="284"/>
        </w:trPr>
        <w:tc>
          <w:tcPr>
            <w:tcW w:w="724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皮肤损伤导致瘢痕形成，且瘢痕面积大于等于全身体表面积的50%</w:t>
            </w:r>
            <w:r/>
          </w:p>
        </w:tc>
        <w:tc>
          <w:tcPr>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W w:w="724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躯干及四肢Ⅲ度烧伤，面积大于等于全身皮肤面积的20%</w:t>
            </w:r>
            <w:r/>
          </w:p>
        </w:tc>
        <w:tc>
          <w:tcPr>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5级</w:t>
            </w:r>
            <w:r/>
          </w:p>
        </w:tc>
      </w:tr>
      <w:tr>
        <w:trPr>
          <w:trHeight w:val="284"/>
        </w:trPr>
        <w:tc>
          <w:tcPr>
            <w:tcW w:w="724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皮肤损伤导致瘢痕形成，且瘢痕面积大于等于全身体表面积的40%</w:t>
            </w:r>
            <w:r/>
          </w:p>
        </w:tc>
        <w:tc>
          <w:tcPr>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W w:w="724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腹部损伤导致腹壁缺损面积大于等于腹壁面积的25%</w:t>
            </w:r>
            <w:r/>
          </w:p>
        </w:tc>
        <w:tc>
          <w:tcPr>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6级</w:t>
            </w:r>
            <w:r/>
          </w:p>
        </w:tc>
      </w:tr>
      <w:tr>
        <w:trPr>
          <w:trHeight w:val="284"/>
        </w:trPr>
        <w:tc>
          <w:tcPr>
            <w:tcW w:w="724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皮肤损伤导致瘢痕形成，且瘢痕面积大于等于全身体表面积的30%</w:t>
            </w:r>
            <w:r/>
          </w:p>
        </w:tc>
        <w:tc>
          <w:tcPr>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W w:w="724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躯干及四肢Ⅲ度烧伤，面积大于等于全身皮肤面积的10%</w:t>
            </w:r>
            <w:r/>
          </w:p>
        </w:tc>
        <w:tc>
          <w:tcPr>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7级</w:t>
            </w:r>
            <w:r/>
          </w:p>
        </w:tc>
      </w:tr>
      <w:tr>
        <w:trPr>
          <w:trHeight w:val="284"/>
        </w:trPr>
        <w:tc>
          <w:tcPr>
            <w:tcW w:w="724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皮肤损伤导致瘢痕形成，且瘢痕面积大于等于全身体表面积的20%</w:t>
            </w:r>
            <w:r/>
          </w:p>
        </w:tc>
        <w:tc>
          <w:tcPr>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8级</w:t>
            </w:r>
            <w:r/>
          </w:p>
        </w:tc>
      </w:tr>
      <w:tr>
        <w:trPr>
          <w:trHeight w:val="284"/>
        </w:trPr>
        <w:tc>
          <w:tcPr>
            <w:tcW w:w="7245" w:type="dxa"/>
            <w:vAlign w:val="center"/>
            <w:textDirection w:val="lrTb"/>
            <w:noWrap w:val="false"/>
          </w:tcPr>
          <w:p>
            <w:pPr>
              <w:pStyle w:val="1199"/>
              <w:jc w:val="left"/>
              <w:rPr>
                <w:rFonts w:hint="eastAsia" w:ascii="宋体" w:hAnsi="宋体" w:eastAsia="宋体" w:cs="宋体"/>
                <w:sz w:val="24"/>
                <w:lang w:val="zh-CN"/>
              </w:rPr>
            </w:pPr>
            <w:r>
              <w:rPr>
                <w:rFonts w:hint="eastAsia" w:ascii="宋体" w:hAnsi="宋体" w:eastAsia="宋体" w:cs="宋体"/>
                <w:sz w:val="24"/>
                <w:lang w:val="zh-CN"/>
              </w:rPr>
              <w:t xml:space="preserve">皮肤损伤导致瘢痕形成，且瘢痕面积大于等于全身体表面积的5%</w:t>
            </w:r>
            <w:r/>
          </w:p>
        </w:tc>
        <w:tc>
          <w:tcPr>
            <w:tcW w:w="1043" w:type="dxa"/>
            <w:vAlign w:val="center"/>
            <w:textDirection w:val="lrTb"/>
            <w:noWrap w:val="false"/>
          </w:tcPr>
          <w:p>
            <w:pPr>
              <w:pStyle w:val="1199"/>
              <w:jc w:val="center"/>
              <w:rPr>
                <w:rFonts w:hint="eastAsia" w:ascii="宋体" w:hAnsi="宋体" w:eastAsia="宋体" w:cs="宋体"/>
                <w:sz w:val="24"/>
                <w:lang w:val="zh-CN"/>
              </w:rPr>
            </w:pPr>
            <w:r>
              <w:rPr>
                <w:rFonts w:hint="eastAsia" w:ascii="宋体" w:hAnsi="宋体" w:eastAsia="宋体" w:cs="宋体"/>
                <w:sz w:val="24"/>
                <w:lang w:val="zh-CN"/>
              </w:rPr>
              <w:t xml:space="preserve">9级</w:t>
            </w:r>
            <w:r/>
          </w:p>
        </w:tc>
      </w:tr>
    </w:tbl>
    <w:p>
      <w:pPr>
        <w:pStyle w:val="1199"/>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注：①全身皮肤瘢痕面积的计算：按皮肤瘢痕面积占全身体表面积的百分数来计算，即中国新九分法：在100%的体表总面积中：头颈部占9%（9×1）（头部、面部、颈部各占3%）；双上肢占18%（9×2）（双上臂7%，双前臂6%，双手5%）；躯干前后包括会阴占27%（9×3）（前躯13%，后躯13%，会阴1%）；双下肢（含臀部）占46%（双臀5%，双大腿21%，双小腿13%，双足7%）（9×5+1）（女性双足和臀各占6%）。</w:t>
      </w:r>
      <w:r/>
    </w:p>
    <w:p>
      <w:pPr>
        <w:pStyle w:val="1199"/>
        <w:ind w:firstLine="480"/>
        <w:widowControl/>
        <w:rPr>
          <w:rFonts w:hint="eastAsia" w:ascii="宋体" w:hAnsi="宋体" w:eastAsia="宋体" w:cs="宋体"/>
          <w:sz w:val="22"/>
          <w:szCs w:val="22"/>
        </w:rPr>
      </w:pPr>
      <w:r>
        <w:rPr>
          <w:rFonts w:hint="eastAsia" w:ascii="宋体" w:hAnsi="宋体" w:eastAsia="宋体" w:cs="宋体"/>
          <w:sz w:val="22"/>
          <w:szCs w:val="22"/>
          <w:lang w:val="zh-CN"/>
        </w:rPr>
        <w:t xml:space="preserve">②烧伤面积和烧伤深度：烧伤面积的计算按中国新九分法，烧伤深度按三度四分法。Ⅲ度烧伤指烧伤深达皮肤全层甚至达到皮下、肌肉和骨骼。烧伤事故不包括冻伤、吸入性损伤（又称呼吸道烧伤）和电击伤。烧伤后按烧伤面积、深度评定伤残等级，待医疗终结后，可以依据造成的功能障碍程度、皮肤瘢痕面积大小评定伤残等级，最终的伤残等级以严重者为准。</w:t>
      </w:r>
      <w:r/>
    </w:p>
    <w:p>
      <w:pPr>
        <w:pStyle w:val="1200"/>
        <w:numPr>
          <w:ilvl w:val="0"/>
          <w:numId w:val="0"/>
        </w:numPr>
        <w:rPr>
          <w:rFonts w:hint="eastAsia" w:ascii="宋体" w:hAnsi="宋体" w:eastAsia="宋体" w:cs="宋体"/>
        </w:rPr>
      </w:pPr>
      <w:r>
        <w:rPr>
          <w:rFonts w:hint="eastAsia" w:ascii="宋体" w:hAnsi="宋体" w:eastAsia="宋体" w:cs="宋体"/>
        </w:rPr>
      </w:r>
      <w:r/>
    </w:p>
    <w:p>
      <w:pPr>
        <w:pStyle w:val="1201"/>
        <w:keepLines/>
        <w:keepNext/>
        <w:pageBreakBefore/>
        <w:spacing w:line="579" w:lineRule="auto"/>
        <w:widowControl w:val="off"/>
        <w:rPr>
          <w:rFonts w:hint="eastAsia" w:ascii="宋体" w:hAnsi="宋体" w:eastAsia="宋体" w:cs="宋体"/>
        </w:rPr>
        <w:outlineLvl w:val="0"/>
      </w:pPr>
      <w:r/>
      <w:bookmarkStart w:id="157" w:name="_Toc5230"/>
      <w:r/>
      <w:bookmarkStart w:id="158" w:name="_Toc32645"/>
      <w:r/>
      <w:bookmarkStart w:id="159" w:name="_Toc16492_WPSOffice_Level1"/>
      <w:r/>
      <w:bookmarkStart w:id="160" w:name="_Toc13480"/>
      <w:r/>
      <w:bookmarkStart w:id="161" w:name="_Toc27472"/>
      <w:r>
        <w:rPr>
          <w:rFonts w:hint="eastAsia" w:ascii="宋体" w:hAnsi="宋体" w:eastAsia="宋体" w:cs="宋体"/>
        </w:rPr>
        <w:t xml:space="preserve">第七章 投标文件相关格式</w:t>
      </w:r>
      <w:bookmarkEnd w:id="157"/>
      <w:r/>
      <w:bookmarkEnd w:id="158"/>
      <w:r/>
      <w:bookmarkEnd w:id="159"/>
      <w:r/>
      <w:bookmarkEnd w:id="160"/>
      <w:r/>
      <w:bookmarkEnd w:id="161"/>
      <w:r/>
      <w:r/>
    </w:p>
    <w:p>
      <w:pPr>
        <w:pStyle w:val="1199"/>
        <w:jc w:val="center"/>
        <w:rPr>
          <w:rFonts w:hint="eastAsia" w:ascii="宋体" w:hAnsi="宋体" w:eastAsia="宋体" w:cs="宋体"/>
          <w:sz w:val="24"/>
        </w:rPr>
      </w:pPr>
      <w:r>
        <w:rPr>
          <w:rFonts w:hint="eastAsia" w:ascii="宋体" w:hAnsi="宋体" w:eastAsia="宋体" w:cs="宋体"/>
          <w:sz w:val="24"/>
        </w:rPr>
      </w:r>
      <w:r/>
    </w:p>
    <w:p>
      <w:pPr>
        <w:pStyle w:val="1199"/>
        <w:jc w:val="center"/>
        <w:rPr>
          <w:rFonts w:hint="eastAsia" w:ascii="宋体" w:hAnsi="宋体" w:eastAsia="宋体" w:cs="宋体"/>
          <w:sz w:val="24"/>
          <w:szCs w:val="24"/>
        </w:rPr>
      </w:pPr>
      <w:r>
        <w:rPr>
          <w:rFonts w:hint="eastAsia" w:ascii="宋体" w:hAnsi="宋体" w:eastAsia="宋体" w:cs="宋体"/>
          <w:sz w:val="24"/>
          <w:szCs w:val="24"/>
        </w:rPr>
        <w:t xml:space="preserve">目录</w:t>
      </w:r>
      <w:r/>
    </w:p>
    <w:p>
      <w:pPr>
        <w:pStyle w:val="1199"/>
        <w:rPr>
          <w:rFonts w:hint="eastAsia" w:ascii="宋体" w:hAnsi="宋体" w:eastAsia="宋体" w:cs="宋体"/>
          <w:sz w:val="24"/>
        </w:rPr>
      </w:pPr>
      <w:r>
        <w:rPr>
          <w:rFonts w:hint="eastAsia" w:ascii="宋体" w:hAnsi="宋体" w:eastAsia="宋体" w:cs="宋体"/>
          <w:sz w:val="24"/>
        </w:rPr>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1.投标函</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2.授权委托书</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3.投标人基本信息</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4.开标一览表</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5.分项价格表</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6.报价承诺书</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7.投标人参加政府采购活动前3年内在经营活动中没有重大违法记录的书面声明</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8.偏离表</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9.具备履行合同所必需的设备和专业技术能力的书面声明</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10.投标人相关承诺</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11.中小企业声明函</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12.残疾人福利性单位声明函</w:t>
      </w:r>
      <w:r/>
    </w:p>
    <w:p>
      <w:pPr>
        <w:pStyle w:val="1199"/>
        <w:ind w:firstLine="560"/>
        <w:jc w:val="center"/>
        <w:keepLines w:val="0"/>
        <w:keepNext w:val="0"/>
        <w:pageBreakBefore/>
        <w:spacing w:line="360" w:lineRule="auto"/>
        <w:widowControl w:val="off"/>
        <w:rPr>
          <w:rFonts w:hint="eastAsia" w:ascii="宋体" w:hAnsi="宋体" w:eastAsia="宋体" w:cs="宋体"/>
          <w:sz w:val="28"/>
          <w:szCs w:val="28"/>
        </w:rPr>
        <w:outlineLvl w:val="9"/>
      </w:pPr>
      <w:r>
        <w:rPr>
          <w:rFonts w:hint="eastAsia" w:ascii="宋体" w:hAnsi="宋体" w:eastAsia="宋体" w:cs="宋体"/>
          <w:bCs/>
          <w:sz w:val="28"/>
          <w:szCs w:val="28"/>
        </w:rPr>
        <w:t xml:space="preserve">1.投标函</w:t>
      </w:r>
      <w:r/>
    </w:p>
    <w:p>
      <w:pPr>
        <w:pStyle w:val="1199"/>
        <w:spacing w:line="360" w:lineRule="auto"/>
        <w:rPr>
          <w:rFonts w:hint="eastAsia" w:ascii="宋体" w:hAnsi="宋体" w:eastAsia="宋体" w:cs="宋体"/>
          <w:sz w:val="24"/>
          <w:lang w:eastAsia="zh-CN"/>
        </w:rPr>
      </w:pPr>
      <w:r>
        <w:rPr>
          <w:rFonts w:hint="eastAsia" w:ascii="宋体" w:hAnsi="宋体" w:eastAsia="宋体" w:cs="宋体"/>
          <w:sz w:val="24"/>
        </w:rPr>
        <w:t xml:space="preserve">致：</w:t>
      </w:r>
      <w:r>
        <w:rPr>
          <w:rFonts w:hint="eastAsia" w:ascii="宋体" w:hAnsi="宋体" w:eastAsia="宋体" w:cs="宋体"/>
          <w:sz w:val="24"/>
          <w:u w:val="single"/>
          <w:lang w:eastAsia="zh-CN"/>
        </w:rPr>
        <w:t xml:space="preserve">徐州众信项目管理咨询有限公司</w:t>
      </w:r>
      <w:r/>
    </w:p>
    <w:p>
      <w:pPr>
        <w:pStyle w:val="1199"/>
        <w:ind w:firstLine="480"/>
        <w:spacing w:line="360" w:lineRule="auto"/>
        <w:rPr>
          <w:rFonts w:hint="eastAsia" w:ascii="宋体" w:hAnsi="宋体" w:eastAsia="宋体" w:cs="宋体"/>
          <w:sz w:val="24"/>
        </w:rPr>
      </w:pPr>
      <w:r>
        <w:rPr>
          <w:rFonts w:hint="eastAsia" w:ascii="宋体" w:hAnsi="宋体" w:eastAsia="宋体" w:cs="宋体"/>
          <w:sz w:val="24"/>
        </w:rPr>
        <w:t xml:space="preserve">根据</w:t>
      </w:r>
      <w:r>
        <w:rPr>
          <w:rFonts w:hint="eastAsia" w:ascii="宋体" w:hAnsi="宋体" w:cs="宋体"/>
          <w:sz w:val="24"/>
          <w:u w:val="single"/>
          <w:lang w:eastAsia="zh-CN"/>
        </w:rPr>
        <w:t xml:space="preserve">丰县残疾人团体专属保险项目</w:t>
      </w:r>
      <w:r>
        <w:rPr>
          <w:rFonts w:hint="eastAsia" w:ascii="宋体" w:hAnsi="宋体" w:eastAsia="宋体" w:cs="宋体"/>
          <w:sz w:val="24"/>
        </w:rPr>
        <w:t xml:space="preserve">[项目编号：</w:t>
      </w:r>
      <w:r>
        <w:rPr>
          <w:rFonts w:hint="eastAsia" w:ascii="宋体" w:hAnsi="宋体" w:cs="宋体"/>
          <w:sz w:val="24"/>
          <w:lang w:eastAsia="zh-CN"/>
        </w:rPr>
        <w:t xml:space="preserve">JSZC-320321-XZZX-G2025-0012</w:t>
      </w:r>
      <w:r>
        <w:rPr>
          <w:rFonts w:hint="eastAsia" w:ascii="宋体" w:hAnsi="宋体" w:eastAsia="宋体" w:cs="宋体"/>
          <w:sz w:val="24"/>
        </w:rPr>
        <w:t xml:space="preserve">]招标文件，</w:t>
      </w:r>
      <w:r>
        <w:rPr>
          <w:rFonts w:hint="eastAsia" w:ascii="宋体" w:hAnsi="宋体" w:eastAsia="宋体" w:cs="宋体"/>
          <w:sz w:val="21"/>
          <w:szCs w:val="21"/>
        </w:rPr>
        <w:t xml:space="preserve">______________(</w:t>
      </w:r>
      <w:r>
        <w:rPr>
          <w:rFonts w:hint="eastAsia" w:ascii="宋体" w:hAnsi="宋体" w:eastAsia="宋体" w:cs="宋体"/>
          <w:sz w:val="24"/>
        </w:rPr>
        <w:t xml:space="preserve">姓名)代表我方</w:t>
      </w:r>
      <w:r>
        <w:rPr>
          <w:rFonts w:hint="eastAsia" w:ascii="宋体" w:hAnsi="宋体" w:eastAsia="宋体" w:cs="宋体"/>
          <w:sz w:val="21"/>
          <w:szCs w:val="21"/>
        </w:rPr>
        <w:t xml:space="preserve">______________</w:t>
      </w:r>
      <w:r>
        <w:rPr>
          <w:rFonts w:hint="eastAsia" w:ascii="宋体" w:hAnsi="宋体" w:eastAsia="宋体" w:cs="宋体"/>
          <w:sz w:val="24"/>
        </w:rPr>
        <w:t xml:space="preserve">（投标人的名称）全权处理本次投标的有关事宜。</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据此函，投标人承诺并同意如下： </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 投标人唯一投标报价见《</w:t>
      </w:r>
      <w:r>
        <w:rPr>
          <w:rFonts w:hint="eastAsia" w:ascii="宋体" w:hAnsi="宋体" w:eastAsia="宋体" w:cs="宋体"/>
          <w:color w:val="000000"/>
          <w:sz w:val="24"/>
          <w:lang w:val="en-US" w:eastAsia="zh-CN"/>
        </w:rPr>
        <w:t xml:space="preserve">分项价格表</w:t>
      </w:r>
      <w:r>
        <w:rPr>
          <w:rFonts w:hint="eastAsia" w:ascii="宋体" w:hAnsi="宋体" w:eastAsia="宋体" w:cs="宋体"/>
          <w:color w:val="000000"/>
          <w:sz w:val="24"/>
        </w:rPr>
        <w:t xml:space="preserve">》。</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 投标人将按招标文件的规定履行合同责任和义务。</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 投标人已详细审查全部招标文件，包括第[插入编号] [补遗书][如果有的话]。投标人完全理解并同意放弃对这方面有不明及误解的权力。</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 投标有效期为90天。</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5. 投标人同意</w:t>
      </w:r>
      <w:r>
        <w:rPr>
          <w:rFonts w:hint="eastAsia" w:ascii="宋体" w:hAnsi="宋体" w:eastAsia="宋体" w:cs="宋体"/>
          <w:color w:val="000000"/>
          <w:sz w:val="24"/>
          <w:highlight w:val="none"/>
        </w:rPr>
        <w:t xml:space="preserve">提供按照贵方可能要求的与其投标有关的一切数据或资料，完全理解贵方不一定接受最</w:t>
      </w:r>
      <w:r>
        <w:rPr>
          <w:rFonts w:hint="eastAsia" w:ascii="宋体" w:hAnsi="宋体" w:eastAsia="宋体" w:cs="宋体"/>
          <w:color w:val="000000"/>
          <w:sz w:val="24"/>
          <w:highlight w:val="none"/>
          <w:lang w:val="en-US" w:eastAsia="zh-CN"/>
        </w:rPr>
        <w:t xml:space="preserve">高</w:t>
      </w:r>
      <w:r>
        <w:rPr>
          <w:rFonts w:hint="eastAsia" w:ascii="宋体" w:hAnsi="宋体" w:eastAsia="宋体" w:cs="宋体"/>
          <w:color w:val="000000"/>
          <w:sz w:val="24"/>
          <w:highlight w:val="none"/>
        </w:rPr>
        <w:t xml:space="preserve">价的投标或</w:t>
      </w:r>
      <w:r>
        <w:rPr>
          <w:rFonts w:hint="eastAsia" w:ascii="宋体" w:hAnsi="宋体" w:eastAsia="宋体" w:cs="宋体"/>
          <w:color w:val="000000"/>
          <w:sz w:val="24"/>
        </w:rPr>
        <w:t xml:space="preserve">收到的任何投标。</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6. </w:t>
      </w:r>
      <w:r>
        <w:rPr>
          <w:rFonts w:hint="eastAsia" w:ascii="宋体" w:hAnsi="宋体" w:eastAsia="宋体" w:cs="宋体"/>
          <w:sz w:val="24"/>
          <w:highlight w:val="none"/>
        </w:rPr>
        <w:t xml:space="preserve">投标人同意在授予合同后，按照有关规定支付招标代理服务费。</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 </w:t>
      </w:r>
      <w:r>
        <w:rPr>
          <w:rFonts w:hint="eastAsia" w:ascii="宋体" w:hAnsi="宋体" w:eastAsia="宋体" w:cs="宋体"/>
          <w:color w:val="000000"/>
          <w:sz w:val="24"/>
          <w:lang w:eastAsia="zh-CN"/>
        </w:rPr>
        <w:t xml:space="preserve">徐州众信项目管理咨询有限公司</w:t>
      </w:r>
      <w:r>
        <w:rPr>
          <w:rFonts w:hint="eastAsia" w:ascii="宋体" w:hAnsi="宋体" w:eastAsia="宋体" w:cs="宋体"/>
          <w:color w:val="000000"/>
          <w:sz w:val="24"/>
        </w:rPr>
        <w:t xml:space="preserve">有权将我单位本项目的《开标一览表》和《分项价格表》予以公示，公示的方式由</w:t>
      </w:r>
      <w:r>
        <w:rPr>
          <w:rFonts w:hint="eastAsia" w:ascii="宋体" w:hAnsi="宋体" w:eastAsia="宋体" w:cs="宋体"/>
          <w:color w:val="000000"/>
          <w:sz w:val="24"/>
          <w:lang w:eastAsia="zh-CN"/>
        </w:rPr>
        <w:t xml:space="preserve">徐州众信项目管理咨询有限公司</w:t>
      </w:r>
      <w:r>
        <w:rPr>
          <w:rFonts w:hint="eastAsia" w:ascii="宋体" w:hAnsi="宋体" w:eastAsia="宋体" w:cs="宋体"/>
          <w:color w:val="000000"/>
          <w:sz w:val="24"/>
        </w:rPr>
        <w:t xml:space="preserve">确定。</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1199"/>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9. 与本投标有关的一切正式往来信函请寄：</w:t>
      </w:r>
      <w:r/>
    </w:p>
    <w:p>
      <w:pPr>
        <w:pStyle w:val="1199"/>
        <w:spacing w:line="360" w:lineRule="auto"/>
        <w:rPr>
          <w:rFonts w:hint="eastAsia" w:ascii="宋体" w:hAnsi="宋体" w:eastAsia="宋体" w:cs="宋体"/>
          <w:sz w:val="24"/>
        </w:rPr>
      </w:pPr>
      <w:r>
        <w:rPr>
          <w:rFonts w:hint="eastAsia" w:ascii="宋体" w:hAnsi="宋体" w:eastAsia="宋体" w:cs="宋体"/>
          <w:sz w:val="24"/>
        </w:rPr>
        <w:t xml:space="preserve">地址：</w:t>
      </w:r>
      <w:r/>
    </w:p>
    <w:p>
      <w:pPr>
        <w:pStyle w:val="1199"/>
        <w:spacing w:line="360" w:lineRule="auto"/>
        <w:rPr>
          <w:rFonts w:hint="eastAsia" w:ascii="宋体" w:hAnsi="宋体" w:eastAsia="宋体" w:cs="宋体"/>
          <w:sz w:val="24"/>
        </w:rPr>
      </w:pPr>
      <w:r>
        <w:rPr>
          <w:rFonts w:hint="eastAsia" w:ascii="宋体" w:hAnsi="宋体" w:eastAsia="宋体" w:cs="宋体"/>
          <w:sz w:val="24"/>
        </w:rPr>
        <w:t xml:space="preserve">电话：            手机号码：</w:t>
      </w:r>
      <w:r/>
    </w:p>
    <w:p>
      <w:pPr>
        <w:pStyle w:val="1199"/>
        <w:spacing w:line="360" w:lineRule="auto"/>
        <w:rPr>
          <w:rFonts w:hint="eastAsia" w:ascii="宋体" w:hAnsi="宋体" w:eastAsia="宋体" w:cs="宋体"/>
          <w:sz w:val="24"/>
        </w:rPr>
      </w:pPr>
      <w:r>
        <w:rPr>
          <w:rFonts w:hint="eastAsia" w:ascii="宋体" w:hAnsi="宋体" w:eastAsia="宋体" w:cs="宋体"/>
          <w:sz w:val="24"/>
        </w:rPr>
        <w:t xml:space="preserve">传真：</w:t>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pStyle w:val="1226"/>
        <w:ind w:firstLine="3120"/>
        <w:spacing w:line="360" w:lineRule="auto"/>
        <w:rPr>
          <w:rFonts w:hint="eastAsia" w:ascii="宋体" w:hAnsi="宋体" w:eastAsia="宋体" w:cs="宋体"/>
          <w:sz w:val="24"/>
        </w:rPr>
      </w:pPr>
      <w:r>
        <w:rPr>
          <w:rFonts w:hint="eastAsia" w:ascii="宋体" w:hAnsi="宋体" w:eastAsia="宋体" w:cs="宋体"/>
          <w:sz w:val="24"/>
        </w:rPr>
        <w:t xml:space="preserve">日期：   </w:t>
      </w:r>
      <w:r>
        <w:rPr>
          <w:rFonts w:hint="eastAsia" w:ascii="宋体" w:hAnsi="宋体" w:eastAsia="宋体" w:cs="宋体"/>
          <w:sz w:val="24"/>
          <w:lang w:val="en-US" w:eastAsia="zh-CN"/>
        </w:rPr>
        <w:t xml:space="preserve"> </w:t>
      </w:r>
      <w:r>
        <w:rPr>
          <w:rFonts w:hint="eastAsia" w:ascii="宋体" w:hAnsi="宋体" w:eastAsia="宋体" w:cs="宋体"/>
          <w:sz w:val="24"/>
        </w:rPr>
        <w:t xml:space="preserve">年 </w:t>
      </w:r>
      <w:r>
        <w:rPr>
          <w:rFonts w:hint="eastAsia" w:ascii="宋体" w:hAnsi="宋体" w:eastAsia="宋体" w:cs="宋体"/>
          <w:sz w:val="24"/>
          <w:lang w:val="en-US" w:eastAsia="zh-CN"/>
        </w:rPr>
        <w:t xml:space="preserve">  </w:t>
      </w:r>
      <w:r>
        <w:rPr>
          <w:rFonts w:hint="eastAsia" w:ascii="宋体" w:hAnsi="宋体" w:eastAsia="宋体" w:cs="宋体"/>
          <w:sz w:val="24"/>
        </w:rPr>
        <w:t xml:space="preserve"> 月  </w:t>
      </w:r>
      <w:r>
        <w:rPr>
          <w:rFonts w:hint="eastAsia" w:ascii="宋体" w:hAnsi="宋体" w:eastAsia="宋体" w:cs="宋体"/>
          <w:sz w:val="24"/>
          <w:lang w:val="en-US" w:eastAsia="zh-CN"/>
        </w:rPr>
        <w:t xml:space="preserve">  </w:t>
      </w:r>
      <w:r>
        <w:rPr>
          <w:rFonts w:hint="eastAsia" w:ascii="宋体" w:hAnsi="宋体" w:eastAsia="宋体" w:cs="宋体"/>
          <w:sz w:val="24"/>
        </w:rPr>
        <w:t xml:space="preserve">日</w:t>
      </w:r>
      <w:r/>
    </w:p>
    <w:p>
      <w:pPr>
        <w:pStyle w:val="1199"/>
        <w:jc w:val="center"/>
        <w:rPr>
          <w:rFonts w:hint="eastAsia" w:ascii="宋体" w:hAnsi="宋体" w:eastAsia="宋体" w:cs="宋体"/>
          <w:bCs/>
          <w:sz w:val="28"/>
          <w:szCs w:val="28"/>
        </w:rPr>
      </w:pPr>
      <w:r>
        <w:rPr>
          <w:rFonts w:hint="eastAsia" w:ascii="宋体" w:hAnsi="宋体" w:eastAsia="宋体" w:cs="宋体"/>
          <w:bCs/>
          <w:sz w:val="28"/>
          <w:szCs w:val="28"/>
        </w:rPr>
      </w:r>
      <w:r/>
    </w:p>
    <w:p>
      <w:pPr>
        <w:pStyle w:val="1199"/>
        <w:jc w:val="center"/>
        <w:rPr>
          <w:rFonts w:hint="eastAsia" w:ascii="宋体" w:hAnsi="宋体" w:eastAsia="宋体" w:cs="宋体"/>
          <w:bCs/>
          <w:sz w:val="28"/>
          <w:szCs w:val="28"/>
        </w:rPr>
      </w:pPr>
      <w:r>
        <w:rPr>
          <w:rFonts w:hint="eastAsia" w:ascii="宋体" w:hAnsi="宋体" w:eastAsia="宋体" w:cs="宋体"/>
          <w:bCs/>
          <w:sz w:val="28"/>
          <w:szCs w:val="28"/>
        </w:rPr>
      </w:r>
      <w:r/>
    </w:p>
    <w:p>
      <w:pPr>
        <w:pStyle w:val="1199"/>
        <w:jc w:val="center"/>
        <w:rPr>
          <w:rFonts w:hint="eastAsia" w:ascii="宋体" w:hAnsi="宋体" w:eastAsia="宋体" w:cs="宋体"/>
          <w:bCs/>
          <w:sz w:val="28"/>
          <w:szCs w:val="28"/>
        </w:rPr>
      </w:pPr>
      <w:r>
        <w:rPr>
          <w:rFonts w:hint="eastAsia" w:ascii="宋体" w:hAnsi="宋体" w:eastAsia="宋体" w:cs="宋体"/>
          <w:bCs/>
          <w:sz w:val="28"/>
          <w:szCs w:val="28"/>
        </w:rPr>
      </w:r>
      <w:r/>
    </w:p>
    <w:p>
      <w:pPr>
        <w:pStyle w:val="1199"/>
        <w:jc w:val="center"/>
        <w:rPr>
          <w:rFonts w:hint="eastAsia" w:ascii="宋体" w:hAnsi="宋体" w:eastAsia="宋体" w:cs="宋体"/>
          <w:bCs/>
          <w:sz w:val="28"/>
          <w:szCs w:val="28"/>
        </w:rPr>
      </w:pPr>
      <w:r>
        <w:rPr>
          <w:rFonts w:hint="eastAsia" w:ascii="宋体" w:hAnsi="宋体" w:eastAsia="宋体" w:cs="宋体"/>
          <w:bCs/>
          <w:sz w:val="28"/>
          <w:szCs w:val="28"/>
        </w:rPr>
      </w:r>
      <w:r/>
    </w:p>
    <w:p>
      <w:pPr>
        <w:pStyle w:val="1199"/>
        <w:ind w:firstLine="560"/>
        <w:jc w:val="center"/>
        <w:keepLines w:val="0"/>
        <w:keepNext w:val="0"/>
        <w:pageBreakBefore/>
        <w:spacing w:line="360" w:lineRule="auto"/>
        <w:widowControl w:val="off"/>
        <w:rPr>
          <w:rFonts w:hint="eastAsia" w:ascii="宋体" w:hAnsi="宋体" w:eastAsia="宋体" w:cs="宋体"/>
          <w:bCs/>
          <w:sz w:val="28"/>
          <w:szCs w:val="28"/>
        </w:rPr>
        <w:outlineLvl w:val="9"/>
      </w:pPr>
      <w:r>
        <w:rPr>
          <w:rFonts w:hint="eastAsia" w:ascii="宋体" w:hAnsi="宋体" w:eastAsia="宋体" w:cs="宋体"/>
          <w:bCs/>
          <w:sz w:val="28"/>
          <w:szCs w:val="28"/>
        </w:rPr>
        <w:t xml:space="preserve">2.授权委托书</w:t>
      </w:r>
      <w:r/>
    </w:p>
    <w:p>
      <w:pPr>
        <w:pStyle w:val="1199"/>
        <w:rPr>
          <w:rFonts w:hint="eastAsia" w:ascii="宋体" w:hAnsi="宋体" w:eastAsia="宋体" w:cs="宋体"/>
          <w:sz w:val="24"/>
        </w:rPr>
      </w:pPr>
      <w:r>
        <w:rPr>
          <w:rFonts w:hint="eastAsia" w:ascii="宋体" w:hAnsi="宋体" w:eastAsia="宋体" w:cs="宋体"/>
          <w:sz w:val="24"/>
        </w:rPr>
        <w:t xml:space="preserve">委托人：</w:t>
      </w:r>
      <w:r/>
    </w:p>
    <w:p>
      <w:pPr>
        <w:pStyle w:val="1199"/>
        <w:rPr>
          <w:rFonts w:hint="eastAsia" w:ascii="宋体" w:hAnsi="宋体" w:eastAsia="宋体" w:cs="宋体"/>
          <w:sz w:val="24"/>
        </w:rPr>
      </w:pPr>
      <w:r>
        <w:rPr>
          <w:rFonts w:hint="eastAsia" w:ascii="宋体" w:hAnsi="宋体" w:eastAsia="宋体" w:cs="宋体"/>
          <w:sz w:val="24"/>
        </w:rPr>
        <w:t xml:space="preserve">地址：</w:t>
      </w:r>
      <w:r/>
    </w:p>
    <w:p>
      <w:pPr>
        <w:pStyle w:val="1199"/>
        <w:rPr>
          <w:rFonts w:hint="eastAsia" w:ascii="宋体" w:hAnsi="宋体" w:eastAsia="宋体" w:cs="宋体"/>
          <w:sz w:val="24"/>
        </w:rPr>
      </w:pPr>
      <w:r>
        <w:rPr>
          <w:rFonts w:hint="eastAsia" w:ascii="宋体" w:hAnsi="宋体" w:eastAsia="宋体" w:cs="宋体"/>
          <w:sz w:val="24"/>
        </w:rPr>
        <w:t xml:space="preserve">法定代表人或负责人：                        职务：</w:t>
      </w:r>
      <w:r/>
    </w:p>
    <w:p>
      <w:pPr>
        <w:pStyle w:val="1199"/>
        <w:rPr>
          <w:rFonts w:hint="eastAsia" w:ascii="宋体" w:hAnsi="宋体" w:eastAsia="宋体" w:cs="宋体"/>
          <w:sz w:val="24"/>
        </w:rPr>
      </w:pPr>
      <w:r>
        <w:rPr>
          <w:rFonts w:hint="eastAsia" w:ascii="宋体" w:hAnsi="宋体" w:eastAsia="宋体" w:cs="宋体"/>
          <w:sz w:val="24"/>
        </w:rPr>
        <w:t xml:space="preserve">统一社会信用代码：</w:t>
      </w:r>
      <w:r/>
    </w:p>
    <w:p>
      <w:pPr>
        <w:pStyle w:val="1199"/>
        <w:rPr>
          <w:rFonts w:hint="eastAsia" w:ascii="宋体" w:hAnsi="宋体" w:eastAsia="宋体" w:cs="宋体"/>
          <w:sz w:val="24"/>
        </w:rPr>
      </w:pPr>
      <w:r>
        <w:rPr>
          <w:rFonts w:hint="eastAsia" w:ascii="宋体" w:hAnsi="宋体" w:eastAsia="宋体" w:cs="宋体"/>
          <w:sz w:val="24"/>
        </w:rPr>
      </w:r>
      <w:r/>
    </w:p>
    <w:p>
      <w:pPr>
        <w:pStyle w:val="1199"/>
        <w:rPr>
          <w:rFonts w:hint="eastAsia" w:ascii="宋体" w:hAnsi="宋体" w:eastAsia="宋体" w:cs="宋体"/>
          <w:sz w:val="24"/>
        </w:rPr>
      </w:pPr>
      <w:r>
        <w:rPr>
          <w:rFonts w:hint="eastAsia" w:ascii="宋体" w:hAnsi="宋体" w:eastAsia="宋体" w:cs="宋体"/>
          <w:sz w:val="24"/>
        </w:rPr>
        <w:t xml:space="preserve">受托人：                                    性别：男（女）</w:t>
      </w:r>
      <w:r/>
    </w:p>
    <w:p>
      <w:pPr>
        <w:pStyle w:val="1199"/>
        <w:rPr>
          <w:rFonts w:hint="eastAsia" w:ascii="宋体" w:hAnsi="宋体" w:eastAsia="宋体" w:cs="宋体"/>
          <w:sz w:val="24"/>
        </w:rPr>
      </w:pPr>
      <w:r>
        <w:rPr>
          <w:rFonts w:hint="eastAsia" w:ascii="宋体" w:hAnsi="宋体" w:eastAsia="宋体" w:cs="宋体"/>
          <w:sz w:val="24"/>
        </w:rPr>
        <w:t xml:space="preserve">年龄：    岁                                民族：族</w:t>
      </w:r>
      <w:r/>
    </w:p>
    <w:p>
      <w:pPr>
        <w:pStyle w:val="1199"/>
        <w:rPr>
          <w:rFonts w:hint="eastAsia" w:ascii="宋体" w:hAnsi="宋体" w:eastAsia="宋体" w:cs="宋体"/>
          <w:sz w:val="24"/>
        </w:rPr>
      </w:pPr>
      <w:r>
        <w:rPr>
          <w:rFonts w:hint="eastAsia" w:ascii="宋体" w:hAnsi="宋体" w:eastAsia="宋体" w:cs="宋体"/>
          <w:sz w:val="24"/>
        </w:rPr>
        <w:t xml:space="preserve">职务：</w:t>
      </w:r>
      <w:r/>
    </w:p>
    <w:p>
      <w:pPr>
        <w:pStyle w:val="1199"/>
        <w:rPr>
          <w:rFonts w:hint="eastAsia" w:ascii="宋体" w:hAnsi="宋体" w:eastAsia="宋体" w:cs="宋体"/>
          <w:sz w:val="24"/>
        </w:rPr>
      </w:pPr>
      <w:r>
        <w:rPr>
          <w:rFonts w:hint="eastAsia" w:ascii="宋体" w:hAnsi="宋体" w:eastAsia="宋体" w:cs="宋体"/>
          <w:sz w:val="24"/>
        </w:rPr>
        <w:t xml:space="preserve">身份证号：</w:t>
      </w:r>
      <w:r/>
    </w:p>
    <w:p>
      <w:pPr>
        <w:pStyle w:val="1199"/>
        <w:rPr>
          <w:rFonts w:hint="eastAsia" w:ascii="宋体" w:hAnsi="宋体" w:eastAsia="宋体" w:cs="宋体"/>
          <w:sz w:val="24"/>
        </w:rPr>
      </w:pPr>
      <w:r>
        <w:rPr>
          <w:rFonts w:hint="eastAsia" w:ascii="宋体" w:hAnsi="宋体" w:eastAsia="宋体" w:cs="宋体"/>
          <w:sz w:val="24"/>
        </w:rPr>
      </w:r>
      <w:r/>
    </w:p>
    <w:p>
      <w:pPr>
        <w:pStyle w:val="1199"/>
        <w:ind w:firstLine="480"/>
        <w:rPr>
          <w:rFonts w:hint="eastAsia" w:ascii="宋体" w:hAnsi="宋体" w:eastAsia="宋体" w:cs="宋体"/>
          <w:sz w:val="24"/>
        </w:rPr>
      </w:pPr>
      <w:r>
        <w:rPr>
          <w:rFonts w:hint="eastAsia" w:ascii="宋体" w:hAnsi="宋体" w:eastAsia="宋体" w:cs="宋体"/>
          <w:sz w:val="24"/>
        </w:rPr>
        <w:t xml:space="preserve">兹委托（      ）全权代表我公司参与</w:t>
      </w:r>
      <w:r>
        <w:rPr>
          <w:rFonts w:hint="eastAsia" w:ascii="宋体" w:hAnsi="宋体" w:cs="宋体"/>
          <w:sz w:val="24"/>
          <w:lang w:eastAsia="zh-CN"/>
        </w:rPr>
        <w:t xml:space="preserve">丰县残疾人团体专属保险项目</w:t>
      </w:r>
      <w:r>
        <w:rPr>
          <w:rFonts w:hint="eastAsia" w:ascii="宋体" w:hAnsi="宋体" w:eastAsia="宋体" w:cs="宋体"/>
          <w:sz w:val="24"/>
        </w:rPr>
        <w:t xml:space="preserve">（项目编号：</w:t>
      </w:r>
      <w:r>
        <w:rPr>
          <w:rFonts w:hint="eastAsia" w:ascii="宋体" w:hAnsi="宋体" w:cs="宋体"/>
          <w:sz w:val="24"/>
          <w:lang w:eastAsia="zh-CN"/>
        </w:rPr>
        <w:t xml:space="preserve">JSZC-320321-XZZX-G2025-0012</w:t>
      </w:r>
      <w:r>
        <w:rPr>
          <w:rFonts w:hint="eastAsia" w:ascii="宋体" w:hAnsi="宋体" w:eastAsia="宋体" w:cs="宋体"/>
          <w:sz w:val="24"/>
        </w:rPr>
        <w:t xml:space="preserve">）的招、投标活动及签订合同。（      ）以我公司名义所为的法律行为及签署的文件，我公司均予以认可。有关法律责任均由我公司承担。（      ）无转委托权。委托期限自   年   月   日起至   年   月  日止。</w:t>
      </w:r>
      <w:r/>
    </w:p>
    <w:p>
      <w:pPr>
        <w:pStyle w:val="1199"/>
        <w:ind w:firstLine="480"/>
        <w:rPr>
          <w:rFonts w:hint="eastAsia" w:ascii="宋体" w:hAnsi="宋体" w:eastAsia="宋体" w:cs="宋体"/>
          <w:sz w:val="24"/>
        </w:rPr>
      </w:pPr>
      <w:r>
        <w:rPr>
          <w:rFonts w:hint="eastAsia" w:ascii="宋体" w:hAnsi="宋体" w:eastAsia="宋体" w:cs="宋体"/>
          <w:sz w:val="24"/>
        </w:rPr>
        <w:t xml:space="preserve">特此授权委托。</w:t>
      </w:r>
      <w:r/>
    </w:p>
    <w:p>
      <w:pPr>
        <w:pStyle w:val="1199"/>
        <w:rPr>
          <w:rFonts w:hint="eastAsia" w:ascii="宋体" w:hAnsi="宋体" w:eastAsia="宋体" w:cs="宋体"/>
          <w:sz w:val="24"/>
        </w:rPr>
      </w:pPr>
      <w:r>
        <w:rPr>
          <w:rFonts w:hint="eastAsia" w:ascii="宋体" w:hAnsi="宋体" w:eastAsia="宋体" w:cs="宋体"/>
          <w:sz w:val="24"/>
        </w:rPr>
      </w:r>
      <w:r/>
    </w:p>
    <w:p>
      <w:pPr>
        <w:pStyle w:val="1199"/>
        <w:rPr>
          <w:rFonts w:hint="eastAsia" w:ascii="宋体" w:hAnsi="宋体" w:eastAsia="宋体" w:cs="宋体"/>
          <w:sz w:val="24"/>
        </w:rPr>
      </w:pPr>
      <w:r>
        <w:rPr>
          <w:rFonts w:hint="eastAsia" w:ascii="宋体" w:hAnsi="宋体" w:eastAsia="宋体" w:cs="宋体"/>
          <w:sz w:val="24"/>
        </w:rPr>
        <w:t xml:space="preserve">委托人（公章）：                         受托人（签字）：</w:t>
      </w:r>
      <w:r/>
    </w:p>
    <w:p>
      <w:pPr>
        <w:pStyle w:val="1199"/>
        <w:rPr>
          <w:rFonts w:hint="eastAsia" w:ascii="宋体" w:hAnsi="宋体" w:eastAsia="宋体" w:cs="宋体"/>
          <w:sz w:val="24"/>
        </w:rPr>
      </w:pPr>
      <w:r>
        <w:rPr>
          <w:rFonts w:hint="eastAsia" w:ascii="宋体" w:hAnsi="宋体" w:eastAsia="宋体" w:cs="宋体"/>
          <w:sz w:val="24"/>
        </w:rPr>
        <w:t xml:space="preserve">法定代表人或负责人（签字或签章）：</w:t>
      </w:r>
      <w:r/>
    </w:p>
    <w:p>
      <w:pPr>
        <w:pStyle w:val="1199"/>
        <w:ind w:firstLine="5520"/>
        <w:spacing w:line="360" w:lineRule="auto"/>
        <w:rPr>
          <w:rFonts w:hint="eastAsia" w:ascii="宋体" w:hAnsi="宋体" w:eastAsia="宋体" w:cs="宋体"/>
          <w:u w:val="single"/>
        </w:rPr>
      </w:pPr>
      <w:r>
        <w:rPr>
          <w:rFonts w:hint="eastAsia" w:ascii="宋体" w:hAnsi="宋体" w:eastAsia="宋体" w:cs="宋体"/>
          <w:sz w:val="24"/>
        </w:rPr>
        <w:t xml:space="preserve">年   月   日</w:t>
      </w:r>
      <w:r/>
    </w:p>
    <w:p>
      <w:pPr>
        <w:pStyle w:val="1199"/>
        <w:rPr>
          <w:rFonts w:hint="eastAsia" w:ascii="宋体" w:hAnsi="宋体" w:eastAsia="宋体" w:cs="宋体"/>
          <w:sz w:val="24"/>
        </w:rPr>
      </w:pPr>
      <w:r>
        <w:rPr>
          <w:rFonts w:hint="eastAsia" w:ascii="宋体" w:hAnsi="宋体" w:eastAsia="宋体" w:cs="宋体"/>
          <w:sz w:val="24"/>
        </w:rPr>
      </w:r>
      <w:r/>
    </w:p>
    <w:p>
      <w:pPr>
        <w:pStyle w:val="1199"/>
        <w:rPr>
          <w:rFonts w:hint="eastAsia" w:ascii="宋体" w:hAnsi="宋体" w:eastAsia="宋体" w:cs="宋体"/>
          <w:sz w:val="24"/>
        </w:rPr>
      </w:pPr>
      <w:r>
        <w:rPr>
          <w:rFonts w:hint="eastAsia" w:ascii="宋体" w:hAnsi="宋体" w:eastAsia="宋体" w:cs="宋体"/>
          <w:sz w:val="24"/>
        </w:rPr>
        <w:t xml:space="preserve">(受托人身份证原件扫描件附后)</w:t>
      </w:r>
      <w:r/>
    </w:p>
    <w:p>
      <w:pPr>
        <w:pStyle w:val="1199"/>
        <w:spacing w:line="360" w:lineRule="auto"/>
        <w:rPr>
          <w:rFonts w:hint="eastAsia" w:ascii="宋体" w:hAnsi="宋体" w:eastAsia="宋体" w:cs="宋体"/>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709930</wp:posOffset>
                </wp:positionH>
                <wp:positionV relativeFrom="paragraph">
                  <wp:posOffset>7148830</wp:posOffset>
                </wp:positionV>
                <wp:extent cx="2867025" cy="158496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1199"/>
                              <w:jc w:val="center"/>
                              <w:rPr>
                                <w:rFonts w:ascii="黑体" w:hAnsi="Times New Roman" w:eastAsia="黑体"/>
                                <w:sz w:val="32"/>
                              </w:rPr>
                            </w:pPr>
                            <w:r>
                              <w:rPr>
                                <w:rFonts w:ascii="黑体" w:hAnsi="Times New Roman" w:eastAsia="黑体"/>
                                <w:sz w:val="32"/>
                              </w:rPr>
                            </w:r>
                            <w:r/>
                          </w:p>
                          <w:p>
                            <w:pPr>
                              <w:pStyle w:val="1199"/>
                              <w:jc w:val="center"/>
                              <w:rPr>
                                <w:rFonts w:ascii="黑体" w:hAnsi="Times New Roman" w:eastAsia="黑体"/>
                                <w:sz w:val="32"/>
                              </w:rPr>
                            </w:pPr>
                            <w:r>
                              <w:rPr>
                                <w:rFonts w:ascii="黑体" w:hAnsi="Times New Roman" w:eastAsia="黑体"/>
                                <w:sz w:val="32"/>
                              </w:rPr>
                              <w:t xml:space="preserve">法定代表人或负责人</w:t>
                            </w:r>
                            <w:r/>
                          </w:p>
                          <w:p>
                            <w:pPr>
                              <w:pStyle w:val="1199"/>
                              <w:jc w:val="center"/>
                              <w:rPr>
                                <w:rFonts w:ascii="黑体" w:hAnsi="Times New Roman" w:eastAsia="黑体"/>
                                <w:sz w:val="32"/>
                              </w:rPr>
                            </w:pPr>
                            <w:r>
                              <w:rPr>
                                <w:rFonts w:ascii="黑体" w:hAnsi="Times New Roman" w:eastAsia="黑体"/>
                                <w:sz w:val="32"/>
                              </w:rPr>
                              <w:t xml:space="preserve">身份证复印件</w:t>
                            </w:r>
                            <w:r/>
                          </w:p>
                          <w:p>
                            <w:pPr>
                              <w:pStyle w:val="1199"/>
                            </w:pPr>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55.9pt;mso-position-horizontal:absolute;mso-position-vertical-relative:text;margin-top:562.9pt;mso-position-vertical:absolute;width:225.8pt;height:124.8pt;mso-wrap-distance-left:9.0pt;mso-wrap-distance-top:0.0pt;mso-wrap-distance-right:9.0pt;mso-wrap-distance-bottom:0.0pt;visibility:visible;" fillcolor="#FFFFFF" strokecolor="#000000">
                <v:textbox inset="0,0,0,0">
                  <w:txbxContent>
                    <w:p>
                      <w:pPr>
                        <w:pStyle w:val="1199"/>
                        <w:jc w:val="center"/>
                        <w:rPr>
                          <w:rFonts w:ascii="黑体" w:hAnsi="Times New Roman" w:eastAsia="黑体"/>
                          <w:sz w:val="32"/>
                        </w:rPr>
                      </w:pPr>
                      <w:r>
                        <w:rPr>
                          <w:rFonts w:ascii="黑体" w:hAnsi="Times New Roman" w:eastAsia="黑体"/>
                          <w:sz w:val="32"/>
                        </w:rPr>
                      </w:r>
                      <w:r/>
                    </w:p>
                    <w:p>
                      <w:pPr>
                        <w:pStyle w:val="1199"/>
                        <w:jc w:val="center"/>
                        <w:rPr>
                          <w:rFonts w:ascii="黑体" w:hAnsi="Times New Roman" w:eastAsia="黑体"/>
                          <w:sz w:val="32"/>
                        </w:rPr>
                      </w:pPr>
                      <w:r>
                        <w:rPr>
                          <w:rFonts w:ascii="黑体" w:hAnsi="Times New Roman" w:eastAsia="黑体"/>
                          <w:sz w:val="32"/>
                        </w:rPr>
                        <w:t xml:space="preserve">法定代表人或负责人</w:t>
                      </w:r>
                      <w:r/>
                    </w:p>
                    <w:p>
                      <w:pPr>
                        <w:pStyle w:val="1199"/>
                        <w:jc w:val="center"/>
                        <w:rPr>
                          <w:rFonts w:ascii="黑体" w:hAnsi="Times New Roman" w:eastAsia="黑体"/>
                          <w:sz w:val="32"/>
                        </w:rPr>
                      </w:pPr>
                      <w:r>
                        <w:rPr>
                          <w:rFonts w:ascii="黑体" w:hAnsi="Times New Roman" w:eastAsia="黑体"/>
                          <w:sz w:val="32"/>
                        </w:rPr>
                        <w:t xml:space="preserve">身份证复印件</w:t>
                      </w:r>
                      <w:r/>
                    </w:p>
                    <w:p>
                      <w:pPr>
                        <w:pStyle w:val="1199"/>
                      </w:pPr>
                      <w:r/>
                      <w:r/>
                    </w:p>
                  </w:txbxContent>
                </v:textbox>
              </v:shape>
            </w:pict>
          </mc:Fallback>
        </mc:AlternateContent>
      </w:r>
      <w:r/>
    </w:p>
    <w:p>
      <w:pPr>
        <w:pStyle w:val="1199"/>
        <w:spacing w:line="360" w:lineRule="auto"/>
        <w:tabs>
          <w:tab w:val="center" w:pos="4564" w:leader="none"/>
        </w:tabs>
        <w:rPr>
          <w:rFonts w:hint="eastAsia" w:ascii="宋体" w:hAnsi="宋体" w:eastAsia="宋体" w:cs="宋体"/>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1014730</wp:posOffset>
                </wp:positionH>
                <wp:positionV relativeFrom="paragraph">
                  <wp:posOffset>7453630</wp:posOffset>
                </wp:positionV>
                <wp:extent cx="2867025" cy="158496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1199"/>
                              <w:jc w:val="center"/>
                              <w:rPr>
                                <w:rFonts w:ascii="黑体" w:hAnsi="Times New Roman" w:eastAsia="黑体"/>
                                <w:sz w:val="32"/>
                              </w:rPr>
                            </w:pPr>
                            <w:r>
                              <w:rPr>
                                <w:rFonts w:ascii="黑体" w:hAnsi="Times New Roman" w:eastAsia="黑体"/>
                                <w:sz w:val="32"/>
                              </w:rPr>
                            </w:r>
                            <w:r/>
                          </w:p>
                          <w:p>
                            <w:pPr>
                              <w:pStyle w:val="1199"/>
                              <w:jc w:val="center"/>
                              <w:rPr>
                                <w:rFonts w:ascii="黑体" w:hAnsi="Times New Roman" w:eastAsia="黑体"/>
                                <w:sz w:val="32"/>
                              </w:rPr>
                            </w:pPr>
                            <w:r>
                              <w:rPr>
                                <w:rFonts w:ascii="黑体" w:hAnsi="Times New Roman" w:eastAsia="黑体"/>
                                <w:sz w:val="32"/>
                              </w:rPr>
                              <w:t xml:space="preserve">法定代表人或负责人</w:t>
                            </w:r>
                            <w:r/>
                          </w:p>
                          <w:p>
                            <w:pPr>
                              <w:pStyle w:val="1199"/>
                              <w:jc w:val="center"/>
                              <w:rPr>
                                <w:rFonts w:ascii="黑体" w:hAnsi="Times New Roman" w:eastAsia="黑体"/>
                                <w:sz w:val="32"/>
                              </w:rPr>
                            </w:pPr>
                            <w:r>
                              <w:rPr>
                                <w:rFonts w:ascii="黑体" w:hAnsi="Times New Roman" w:eastAsia="黑体"/>
                                <w:sz w:val="32"/>
                              </w:rPr>
                              <w:t xml:space="preserve">身份证复印件</w:t>
                            </w:r>
                            <w:r/>
                          </w:p>
                          <w:p>
                            <w:pPr>
                              <w:pStyle w:val="1199"/>
                            </w:pPr>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79.9pt;mso-position-horizontal:absolute;mso-position-vertical-relative:text;margin-top:586.9pt;mso-position-vertical:absolute;width:225.8pt;height:124.8pt;mso-wrap-distance-left:9.0pt;mso-wrap-distance-top:0.0pt;mso-wrap-distance-right:9.0pt;mso-wrap-distance-bottom:0.0pt;visibility:visible;" fillcolor="#FFFFFF" strokecolor="#000000">
                <v:textbox inset="0,0,0,0">
                  <w:txbxContent>
                    <w:p>
                      <w:pPr>
                        <w:pStyle w:val="1199"/>
                        <w:jc w:val="center"/>
                        <w:rPr>
                          <w:rFonts w:ascii="黑体" w:hAnsi="Times New Roman" w:eastAsia="黑体"/>
                          <w:sz w:val="32"/>
                        </w:rPr>
                      </w:pPr>
                      <w:r>
                        <w:rPr>
                          <w:rFonts w:ascii="黑体" w:hAnsi="Times New Roman" w:eastAsia="黑体"/>
                          <w:sz w:val="32"/>
                        </w:rPr>
                      </w:r>
                      <w:r/>
                    </w:p>
                    <w:p>
                      <w:pPr>
                        <w:pStyle w:val="1199"/>
                        <w:jc w:val="center"/>
                        <w:rPr>
                          <w:rFonts w:ascii="黑体" w:hAnsi="Times New Roman" w:eastAsia="黑体"/>
                          <w:sz w:val="32"/>
                        </w:rPr>
                      </w:pPr>
                      <w:r>
                        <w:rPr>
                          <w:rFonts w:ascii="黑体" w:hAnsi="Times New Roman" w:eastAsia="黑体"/>
                          <w:sz w:val="32"/>
                        </w:rPr>
                        <w:t xml:space="preserve">法定代表人或负责人</w:t>
                      </w:r>
                      <w:r/>
                    </w:p>
                    <w:p>
                      <w:pPr>
                        <w:pStyle w:val="1199"/>
                        <w:jc w:val="center"/>
                        <w:rPr>
                          <w:rFonts w:ascii="黑体" w:hAnsi="Times New Roman" w:eastAsia="黑体"/>
                          <w:sz w:val="32"/>
                        </w:rPr>
                      </w:pPr>
                      <w:r>
                        <w:rPr>
                          <w:rFonts w:ascii="黑体" w:hAnsi="Times New Roman" w:eastAsia="黑体"/>
                          <w:sz w:val="32"/>
                        </w:rPr>
                        <w:t xml:space="preserve">身份证复印件</w:t>
                      </w:r>
                      <w:r/>
                    </w:p>
                    <w:p>
                      <w:pPr>
                        <w:pStyle w:val="1199"/>
                      </w:pPr>
                      <w:r/>
                      <w:r/>
                    </w:p>
                  </w:txbxContent>
                </v:textbox>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862330</wp:posOffset>
                </wp:positionH>
                <wp:positionV relativeFrom="paragraph">
                  <wp:posOffset>7301230</wp:posOffset>
                </wp:positionV>
                <wp:extent cx="2867025" cy="158496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1199"/>
                              <w:jc w:val="center"/>
                              <w:rPr>
                                <w:rFonts w:ascii="黑体" w:hAnsi="Times New Roman" w:eastAsia="黑体"/>
                                <w:sz w:val="32"/>
                              </w:rPr>
                            </w:pPr>
                            <w:r>
                              <w:rPr>
                                <w:rFonts w:ascii="黑体" w:hAnsi="Times New Roman" w:eastAsia="黑体"/>
                                <w:sz w:val="32"/>
                              </w:rPr>
                            </w:r>
                            <w:r/>
                          </w:p>
                          <w:p>
                            <w:pPr>
                              <w:pStyle w:val="1199"/>
                              <w:jc w:val="center"/>
                              <w:rPr>
                                <w:rFonts w:ascii="黑体" w:hAnsi="Times New Roman" w:eastAsia="黑体"/>
                                <w:sz w:val="32"/>
                              </w:rPr>
                            </w:pPr>
                            <w:r>
                              <w:rPr>
                                <w:rFonts w:ascii="黑体" w:hAnsi="Times New Roman" w:eastAsia="黑体"/>
                                <w:sz w:val="32"/>
                              </w:rPr>
                              <w:t xml:space="preserve">法定代表人或负责人</w:t>
                            </w:r>
                            <w:r/>
                          </w:p>
                          <w:p>
                            <w:pPr>
                              <w:pStyle w:val="1199"/>
                              <w:jc w:val="center"/>
                              <w:rPr>
                                <w:rFonts w:ascii="黑体" w:hAnsi="Times New Roman" w:eastAsia="黑体"/>
                                <w:sz w:val="32"/>
                              </w:rPr>
                            </w:pPr>
                            <w:r>
                              <w:rPr>
                                <w:rFonts w:ascii="黑体" w:hAnsi="Times New Roman" w:eastAsia="黑体"/>
                                <w:sz w:val="32"/>
                              </w:rPr>
                              <w:t xml:space="preserve">身份证复印件</w:t>
                            </w:r>
                            <w:r/>
                          </w:p>
                          <w:p>
                            <w:pPr>
                              <w:pStyle w:val="1199"/>
                            </w:pPr>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67.9pt;mso-position-horizontal:absolute;mso-position-vertical-relative:text;margin-top:574.9pt;mso-position-vertical:absolute;width:225.8pt;height:124.8pt;mso-wrap-distance-left:9.0pt;mso-wrap-distance-top:0.0pt;mso-wrap-distance-right:9.0pt;mso-wrap-distance-bottom:0.0pt;visibility:visible;" fillcolor="#FFFFFF" strokecolor="#000000">
                <v:textbox inset="0,0,0,0">
                  <w:txbxContent>
                    <w:p>
                      <w:pPr>
                        <w:pStyle w:val="1199"/>
                        <w:jc w:val="center"/>
                        <w:rPr>
                          <w:rFonts w:ascii="黑体" w:hAnsi="Times New Roman" w:eastAsia="黑体"/>
                          <w:sz w:val="32"/>
                        </w:rPr>
                      </w:pPr>
                      <w:r>
                        <w:rPr>
                          <w:rFonts w:ascii="黑体" w:hAnsi="Times New Roman" w:eastAsia="黑体"/>
                          <w:sz w:val="32"/>
                        </w:rPr>
                      </w:r>
                      <w:r/>
                    </w:p>
                    <w:p>
                      <w:pPr>
                        <w:pStyle w:val="1199"/>
                        <w:jc w:val="center"/>
                        <w:rPr>
                          <w:rFonts w:ascii="黑体" w:hAnsi="Times New Roman" w:eastAsia="黑体"/>
                          <w:sz w:val="32"/>
                        </w:rPr>
                      </w:pPr>
                      <w:r>
                        <w:rPr>
                          <w:rFonts w:ascii="黑体" w:hAnsi="Times New Roman" w:eastAsia="黑体"/>
                          <w:sz w:val="32"/>
                        </w:rPr>
                        <w:t xml:space="preserve">法定代表人或负责人</w:t>
                      </w:r>
                      <w:r/>
                    </w:p>
                    <w:p>
                      <w:pPr>
                        <w:pStyle w:val="1199"/>
                        <w:jc w:val="center"/>
                        <w:rPr>
                          <w:rFonts w:ascii="黑体" w:hAnsi="Times New Roman" w:eastAsia="黑体"/>
                          <w:sz w:val="32"/>
                        </w:rPr>
                      </w:pPr>
                      <w:r>
                        <w:rPr>
                          <w:rFonts w:ascii="黑体" w:hAnsi="Times New Roman" w:eastAsia="黑体"/>
                          <w:sz w:val="32"/>
                        </w:rPr>
                        <w:t xml:space="preserve">身份证复印件</w:t>
                      </w:r>
                      <w:r/>
                    </w:p>
                    <w:p>
                      <w:pPr>
                        <w:pStyle w:val="1199"/>
                      </w:pPr>
                      <w:r/>
                      <w:r/>
                    </w:p>
                  </w:txbxContent>
                </v:textbox>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709930</wp:posOffset>
                </wp:positionH>
                <wp:positionV relativeFrom="paragraph">
                  <wp:posOffset>7148830</wp:posOffset>
                </wp:positionV>
                <wp:extent cx="2867025" cy="158496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1199"/>
                              <w:jc w:val="center"/>
                              <w:rPr>
                                <w:rFonts w:ascii="黑体" w:hAnsi="Times New Roman" w:eastAsia="黑体"/>
                                <w:sz w:val="32"/>
                              </w:rPr>
                            </w:pPr>
                            <w:r>
                              <w:rPr>
                                <w:rFonts w:ascii="黑体" w:hAnsi="Times New Roman" w:eastAsia="黑体"/>
                                <w:sz w:val="32"/>
                              </w:rPr>
                            </w:r>
                            <w:r/>
                          </w:p>
                          <w:p>
                            <w:pPr>
                              <w:pStyle w:val="1199"/>
                              <w:jc w:val="center"/>
                              <w:rPr>
                                <w:rFonts w:ascii="黑体" w:hAnsi="Times New Roman" w:eastAsia="黑体"/>
                                <w:sz w:val="32"/>
                              </w:rPr>
                            </w:pPr>
                            <w:r>
                              <w:rPr>
                                <w:rFonts w:ascii="黑体" w:hAnsi="Times New Roman" w:eastAsia="黑体"/>
                                <w:sz w:val="32"/>
                              </w:rPr>
                              <w:t xml:space="preserve">法定代表人或负责人</w:t>
                            </w:r>
                            <w:r/>
                          </w:p>
                          <w:p>
                            <w:pPr>
                              <w:pStyle w:val="1199"/>
                              <w:jc w:val="center"/>
                              <w:rPr>
                                <w:rFonts w:ascii="黑体" w:hAnsi="Times New Roman" w:eastAsia="黑体"/>
                                <w:sz w:val="32"/>
                              </w:rPr>
                            </w:pPr>
                            <w:r>
                              <w:rPr>
                                <w:rFonts w:ascii="黑体" w:hAnsi="Times New Roman" w:eastAsia="黑体"/>
                                <w:sz w:val="32"/>
                              </w:rPr>
                              <w:t xml:space="preserve">身份证复印件</w:t>
                            </w:r>
                            <w:r/>
                          </w:p>
                          <w:p>
                            <w:pPr>
                              <w:pStyle w:val="1199"/>
                            </w:pPr>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55.9pt;mso-position-horizontal:absolute;mso-position-vertical-relative:text;margin-top:562.9pt;mso-position-vertical:absolute;width:225.8pt;height:124.8pt;mso-wrap-distance-left:9.0pt;mso-wrap-distance-top:0.0pt;mso-wrap-distance-right:9.0pt;mso-wrap-distance-bottom:0.0pt;visibility:visible;" fillcolor="#FFFFFF" strokecolor="#000000">
                <v:textbox inset="0,0,0,0">
                  <w:txbxContent>
                    <w:p>
                      <w:pPr>
                        <w:pStyle w:val="1199"/>
                        <w:jc w:val="center"/>
                        <w:rPr>
                          <w:rFonts w:ascii="黑体" w:hAnsi="Times New Roman" w:eastAsia="黑体"/>
                          <w:sz w:val="32"/>
                        </w:rPr>
                      </w:pPr>
                      <w:r>
                        <w:rPr>
                          <w:rFonts w:ascii="黑体" w:hAnsi="Times New Roman" w:eastAsia="黑体"/>
                          <w:sz w:val="32"/>
                        </w:rPr>
                      </w:r>
                      <w:r/>
                    </w:p>
                    <w:p>
                      <w:pPr>
                        <w:pStyle w:val="1199"/>
                        <w:jc w:val="center"/>
                        <w:rPr>
                          <w:rFonts w:ascii="黑体" w:hAnsi="Times New Roman" w:eastAsia="黑体"/>
                          <w:sz w:val="32"/>
                        </w:rPr>
                      </w:pPr>
                      <w:r>
                        <w:rPr>
                          <w:rFonts w:ascii="黑体" w:hAnsi="Times New Roman" w:eastAsia="黑体"/>
                          <w:sz w:val="32"/>
                        </w:rPr>
                        <w:t xml:space="preserve">法定代表人或负责人</w:t>
                      </w:r>
                      <w:r/>
                    </w:p>
                    <w:p>
                      <w:pPr>
                        <w:pStyle w:val="1199"/>
                        <w:jc w:val="center"/>
                        <w:rPr>
                          <w:rFonts w:ascii="黑体" w:hAnsi="Times New Roman" w:eastAsia="黑体"/>
                          <w:sz w:val="32"/>
                        </w:rPr>
                      </w:pPr>
                      <w:r>
                        <w:rPr>
                          <w:rFonts w:ascii="黑体" w:hAnsi="Times New Roman" w:eastAsia="黑体"/>
                          <w:sz w:val="32"/>
                        </w:rPr>
                        <w:t xml:space="preserve">身份证复印件</w:t>
                      </w:r>
                      <w:r/>
                    </w:p>
                    <w:p>
                      <w:pPr>
                        <w:pStyle w:val="1199"/>
                      </w:pPr>
                      <w:r/>
                      <w:r/>
                    </w:p>
                  </w:txbxContent>
                </v:textbox>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3910330</wp:posOffset>
                </wp:positionH>
                <wp:positionV relativeFrom="paragraph">
                  <wp:posOffset>7148830</wp:posOffset>
                </wp:positionV>
                <wp:extent cx="2867025" cy="158496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round/>
                        </a:ln>
                      </wps:spPr>
                      <wps:txbx>
                        <w:txbxContent>
                          <w:p>
                            <w:pPr>
                              <w:pStyle w:val="1199"/>
                              <w:jc w:val="center"/>
                              <w:rPr>
                                <w:rFonts w:ascii="黑体" w:hAnsi="Times New Roman" w:eastAsia="黑体"/>
                                <w:sz w:val="32"/>
                              </w:rPr>
                            </w:pPr>
                            <w:r>
                              <w:rPr>
                                <w:rFonts w:ascii="黑体" w:hAnsi="Times New Roman" w:eastAsia="黑体"/>
                                <w:sz w:val="32"/>
                              </w:rPr>
                            </w:r>
                            <w:r/>
                          </w:p>
                          <w:p>
                            <w:pPr>
                              <w:pStyle w:val="1199"/>
                              <w:jc w:val="center"/>
                              <w:rPr>
                                <w:rFonts w:ascii="黑体" w:hAnsi="Times New Roman" w:eastAsia="黑体"/>
                                <w:sz w:val="32"/>
                              </w:rPr>
                            </w:pPr>
                            <w:r>
                              <w:rPr>
                                <w:rFonts w:ascii="黑体" w:hAnsi="Times New Roman" w:eastAsia="黑体"/>
                                <w:sz w:val="32"/>
                              </w:rPr>
                              <w:t xml:space="preserve">被授权代表身份证复印件</w:t>
                            </w:r>
                            <w:r/>
                          </w:p>
                          <w:p>
                            <w:pPr>
                              <w:pStyle w:val="1199"/>
                            </w:pPr>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307.9pt;mso-position-horizontal:absolute;mso-position-vertical-relative:text;margin-top:562.9pt;mso-position-vertical:absolute;width:225.8pt;height:124.8pt;mso-wrap-distance-left:9.0pt;mso-wrap-distance-top:0.0pt;mso-wrap-distance-right:9.0pt;mso-wrap-distance-bottom:0.0pt;visibility:visible;" fillcolor="#FFFFFF" strokecolor="#000000">
                <v:textbox inset="0,0,0,0">
                  <w:txbxContent>
                    <w:p>
                      <w:pPr>
                        <w:pStyle w:val="1199"/>
                        <w:jc w:val="center"/>
                        <w:rPr>
                          <w:rFonts w:ascii="黑体" w:hAnsi="Times New Roman" w:eastAsia="黑体"/>
                          <w:sz w:val="32"/>
                        </w:rPr>
                      </w:pPr>
                      <w:r>
                        <w:rPr>
                          <w:rFonts w:ascii="黑体" w:hAnsi="Times New Roman" w:eastAsia="黑体"/>
                          <w:sz w:val="32"/>
                        </w:rPr>
                      </w:r>
                      <w:r/>
                    </w:p>
                    <w:p>
                      <w:pPr>
                        <w:pStyle w:val="1199"/>
                        <w:jc w:val="center"/>
                        <w:rPr>
                          <w:rFonts w:ascii="黑体" w:hAnsi="Times New Roman" w:eastAsia="黑体"/>
                          <w:sz w:val="32"/>
                        </w:rPr>
                      </w:pPr>
                      <w:r>
                        <w:rPr>
                          <w:rFonts w:ascii="黑体" w:hAnsi="Times New Roman" w:eastAsia="黑体"/>
                          <w:sz w:val="32"/>
                        </w:rPr>
                        <w:t xml:space="preserve">被授权代表身份证复印件</w:t>
                      </w:r>
                      <w:r/>
                    </w:p>
                    <w:p>
                      <w:pPr>
                        <w:pStyle w:val="1199"/>
                      </w:pPr>
                      <w:r/>
                      <w:r/>
                    </w:p>
                  </w:txbxContent>
                </v:textbox>
              </v:shape>
            </w:pict>
          </mc:Fallback>
        </mc:AlternateContent>
      </w:r>
      <w:r/>
    </w:p>
    <w:p>
      <w:pPr>
        <w:pStyle w:val="1199"/>
        <w:spacing w:line="360" w:lineRule="auto"/>
        <w:rPr>
          <w:rFonts w:hint="eastAsia" w:ascii="宋体" w:hAnsi="宋体" w:eastAsia="宋体" w:cs="宋体"/>
        </w:rPr>
      </w:pPr>
      <w:r>
        <w:rPr>
          <w:rFonts w:hint="eastAsia" w:ascii="宋体" w:hAnsi="宋体" w:eastAsia="宋体" w:cs="宋体"/>
        </w:rPr>
      </w:r>
      <w:r/>
    </w:p>
    <w:p>
      <w:pPr>
        <w:pStyle w:val="1199"/>
        <w:spacing w:line="360" w:lineRule="auto"/>
        <w:rPr>
          <w:rFonts w:hint="eastAsia" w:ascii="宋体" w:hAnsi="宋体" w:eastAsia="宋体" w:cs="宋体"/>
        </w:rPr>
      </w:pPr>
      <w:r>
        <w:rPr>
          <w:rFonts w:hint="eastAsia" w:ascii="宋体" w:hAnsi="宋体" w:eastAsia="宋体" w:cs="宋体"/>
        </w:rPr>
      </w:r>
      <w:r/>
    </w:p>
    <w:p>
      <w:pPr>
        <w:pStyle w:val="1199"/>
        <w:spacing w:line="360" w:lineRule="auto"/>
        <w:rPr>
          <w:rFonts w:hint="eastAsia" w:ascii="宋体" w:hAnsi="宋体" w:eastAsia="宋体" w:cs="宋体"/>
        </w:rPr>
      </w:pPr>
      <w:r>
        <w:rPr>
          <w:rFonts w:hint="eastAsia" w:ascii="宋体" w:hAnsi="宋体" w:eastAsia="宋体" w:cs="宋体"/>
        </w:rPr>
      </w:r>
      <w:r/>
    </w:p>
    <w:p>
      <w:pPr>
        <w:pStyle w:val="1199"/>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1199"/>
        <w:jc w:val="center"/>
        <w:spacing w:before="100" w:beforeAutospacing="1" w:after="100" w:afterAutospacing="1" w:line="450" w:lineRule="atLeast"/>
        <w:widowControl/>
        <w:rPr>
          <w:rFonts w:hint="eastAsia" w:ascii="宋体" w:hAnsi="宋体" w:eastAsia="宋体" w:cs="宋体"/>
          <w:sz w:val="28"/>
          <w:szCs w:val="28"/>
        </w:rPr>
      </w:pPr>
      <w:r>
        <w:rPr>
          <w:rFonts w:hint="eastAsia" w:ascii="宋体" w:hAnsi="宋体" w:eastAsia="宋体" w:cs="宋体"/>
          <w:sz w:val="28"/>
          <w:szCs w:val="28"/>
        </w:rPr>
      </w:r>
      <w:r/>
    </w:p>
    <w:p>
      <w:pPr>
        <w:pStyle w:val="1199"/>
        <w:jc w:val="center"/>
        <w:spacing w:before="100" w:beforeAutospacing="1" w:after="100" w:afterAutospacing="1" w:line="450" w:lineRule="atLeast"/>
        <w:widowControl/>
        <w:rPr>
          <w:rFonts w:hint="eastAsia" w:ascii="宋体" w:hAnsi="宋体" w:eastAsia="宋体" w:cs="宋体"/>
          <w:sz w:val="28"/>
          <w:szCs w:val="28"/>
        </w:rPr>
      </w:pPr>
      <w:r>
        <w:rPr>
          <w:rFonts w:hint="eastAsia" w:ascii="宋体" w:hAnsi="宋体" w:eastAsia="宋体" w:cs="宋体"/>
          <w:sz w:val="28"/>
          <w:szCs w:val="28"/>
        </w:rPr>
      </w:r>
      <w:r/>
    </w:p>
    <w:p>
      <w:pPr>
        <w:pStyle w:val="1199"/>
        <w:jc w:val="center"/>
        <w:spacing w:before="100" w:beforeAutospacing="1" w:after="100" w:afterAutospacing="1" w:line="450" w:lineRule="atLeast"/>
        <w:widowControl/>
        <w:rPr>
          <w:rFonts w:hint="eastAsia" w:ascii="宋体" w:hAnsi="宋体" w:eastAsia="宋体" w:cs="宋体"/>
          <w:sz w:val="28"/>
          <w:szCs w:val="28"/>
        </w:rPr>
      </w:pPr>
      <w:r>
        <w:rPr>
          <w:rFonts w:hint="eastAsia" w:ascii="宋体" w:hAnsi="宋体" w:eastAsia="宋体" w:cs="宋体"/>
          <w:sz w:val="28"/>
          <w:szCs w:val="28"/>
        </w:rPr>
      </w:r>
      <w:r/>
    </w:p>
    <w:p>
      <w:pPr>
        <w:pStyle w:val="1199"/>
        <w:ind w:firstLine="560"/>
        <w:jc w:val="center"/>
        <w:keepLines w:val="0"/>
        <w:keepNext w:val="0"/>
        <w:pageBreakBefore/>
        <w:spacing w:line="360" w:lineRule="auto"/>
        <w:widowControl w:val="off"/>
        <w:rPr>
          <w:rFonts w:hint="eastAsia" w:ascii="宋体" w:hAnsi="宋体" w:eastAsia="宋体" w:cs="宋体"/>
          <w:bCs/>
          <w:sz w:val="28"/>
          <w:szCs w:val="28"/>
        </w:rPr>
        <w:outlineLvl w:val="9"/>
      </w:pP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rPr>
        <w:t xml:space="preserve">.投标人基本信息</w:t>
      </w:r>
      <w:r/>
    </w:p>
    <w:p>
      <w:pPr>
        <w:pStyle w:val="1199"/>
        <w:jc w:val="left"/>
        <w:keepLines w:val="0"/>
        <w:keepNext w:val="0"/>
        <w:pageBreakBefore w:val="0"/>
        <w:spacing w:beforeAutospacing="0" w:after="100" w:afterAutospacing="1" w:line="450" w:lineRule="atLeast"/>
        <w:widowControl/>
        <w:rPr>
          <w:rFonts w:hint="eastAsia" w:ascii="宋体" w:hAnsi="宋体" w:eastAsia="宋体" w:cs="宋体"/>
          <w:sz w:val="24"/>
        </w:rPr>
        <w:outlineLvl w:val="9"/>
      </w:pPr>
      <w:r>
        <w:rPr>
          <w:rFonts w:hint="eastAsia" w:ascii="宋体" w:hAnsi="宋体" w:eastAsia="宋体" w:cs="宋体"/>
          <w:sz w:val="24"/>
          <w:lang w:eastAsia="zh-CN"/>
        </w:rPr>
        <w:t xml:space="preserve">徐州众信项目管理咨询有限公司</w:t>
      </w:r>
      <w:r>
        <w:rPr>
          <w:rFonts w:hint="eastAsia" w:ascii="宋体" w:hAnsi="宋体" w:eastAsia="宋体" w:cs="宋体"/>
          <w:sz w:val="24"/>
        </w:rPr>
        <w:t xml:space="preserve">：</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投标人名称：</w:t>
      </w:r>
      <w:r>
        <w:rPr>
          <w:rFonts w:hint="eastAsia" w:ascii="宋体" w:hAnsi="宋体" w:eastAsia="宋体" w:cs="宋体"/>
          <w:sz w:val="24"/>
          <w:lang w:val="en-US" w:eastAsia="zh-CN"/>
        </w:rPr>
        <w:tab/>
      </w:r>
      <w:r>
        <w:rPr>
          <w:rFonts w:hint="eastAsia" w:ascii="宋体" w:hAnsi="宋体" w:eastAsia="宋体" w:cs="宋体"/>
          <w:sz w:val="24"/>
          <w:lang w:val="en-US" w:eastAsia="zh-CN"/>
        </w:rPr>
        <w:t xml:space="preserve">                                    </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统一社会信用代码：</w:t>
      </w:r>
      <w:r>
        <w:rPr>
          <w:rFonts w:hint="eastAsia" w:ascii="宋体" w:hAnsi="宋体" w:eastAsia="宋体" w:cs="宋体"/>
          <w:sz w:val="24"/>
          <w:lang w:val="en-US" w:eastAsia="zh-CN"/>
        </w:rPr>
        <w:tab/>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地址：</w:t>
      </w:r>
      <w:r>
        <w:rPr>
          <w:rFonts w:hint="eastAsia" w:ascii="宋体" w:hAnsi="宋体" w:eastAsia="宋体" w:cs="宋体"/>
          <w:sz w:val="24"/>
          <w:lang w:val="en-US" w:eastAsia="zh-CN"/>
        </w:rPr>
        <w:tab/>
      </w:r>
      <w:r/>
    </w:p>
    <w:p>
      <w:pPr>
        <w:pStyle w:val="1199"/>
        <w:ind w:firstLine="3120"/>
        <w:rPr>
          <w:rFonts w:hint="eastAsia" w:ascii="宋体" w:hAnsi="宋体" w:eastAsia="宋体" w:cs="宋体"/>
          <w:sz w:val="24"/>
          <w:lang w:val="en-US" w:eastAsia="zh-CN"/>
        </w:rPr>
      </w:pPr>
      <w:r>
        <w:rPr>
          <w:rFonts w:hint="eastAsia" w:ascii="宋体" w:hAnsi="宋体" w:eastAsia="宋体" w:cs="宋体"/>
          <w:sz w:val="24"/>
          <w:lang w:val="en-US" w:eastAsia="zh-CN"/>
        </w:rPr>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法定代表人或负责人：姓名</w:t>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 xml:space="preserve"> 电话</w:t>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 xml:space="preserve"> 邮箱</w:t>
      </w:r>
      <w:r>
        <w:rPr>
          <w:rFonts w:hint="eastAsia" w:ascii="宋体" w:hAnsi="宋体" w:eastAsia="宋体" w:cs="宋体"/>
          <w:sz w:val="24"/>
          <w:lang w:val="en-US" w:eastAsia="zh-CN"/>
        </w:rPr>
        <w:tab/>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授权代表：姓名</w:t>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 xml:space="preserve"> 电话</w:t>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 xml:space="preserve"> 邮箱</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交接人：姓名</w:t>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 xml:space="preserve"> 电话</w:t>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 xml:space="preserve"> 邮箱</w:t>
      </w:r>
      <w:r>
        <w:rPr>
          <w:rFonts w:hint="eastAsia" w:ascii="宋体" w:hAnsi="宋体" w:eastAsia="宋体" w:cs="宋体"/>
          <w:sz w:val="24"/>
          <w:lang w:val="en-US" w:eastAsia="zh-CN"/>
        </w:rPr>
        <w:tab/>
      </w:r>
      <w:r>
        <w:rPr>
          <w:rFonts w:hint="eastAsia" w:ascii="宋体" w:hAnsi="宋体" w:eastAsia="宋体" w:cs="宋体"/>
          <w:sz w:val="24"/>
          <w:lang w:val="en-US" w:eastAsia="zh-CN"/>
        </w:rPr>
        <w:tab/>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1、我单位用于收取保费的专用银行账户：</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账  户：</w:t>
      </w:r>
      <w:r>
        <w:rPr>
          <w:rFonts w:hint="eastAsia" w:ascii="宋体" w:hAnsi="宋体" w:eastAsia="宋体" w:cs="宋体"/>
          <w:sz w:val="24"/>
          <w:lang w:val="en-US" w:eastAsia="zh-CN"/>
        </w:rPr>
        <w:tab/>
      </w:r>
      <w:r>
        <w:rPr>
          <w:rFonts w:hint="eastAsia" w:ascii="宋体" w:hAnsi="宋体" w:eastAsia="宋体" w:cs="宋体"/>
          <w:sz w:val="24"/>
          <w:lang w:val="en-US" w:eastAsia="zh-CN"/>
        </w:rPr>
        <w:t xml:space="preserve">                                                       </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开户行：</w:t>
      </w:r>
      <w:r>
        <w:rPr>
          <w:rFonts w:hint="eastAsia" w:ascii="宋体" w:hAnsi="宋体" w:eastAsia="宋体" w:cs="宋体"/>
          <w:sz w:val="24"/>
          <w:lang w:val="en-US" w:eastAsia="zh-CN"/>
        </w:rPr>
        <w:tab/>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账  号：</w:t>
      </w:r>
      <w:r>
        <w:rPr>
          <w:rFonts w:hint="eastAsia" w:ascii="宋体" w:hAnsi="宋体" w:eastAsia="宋体" w:cs="宋体"/>
          <w:sz w:val="24"/>
          <w:lang w:val="en-US" w:eastAsia="zh-CN"/>
        </w:rPr>
        <w:tab/>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2、我单位专用发票信息</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名  称：</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纳税人识别号：</w:t>
      </w:r>
      <w:r>
        <w:rPr>
          <w:rFonts w:hint="eastAsia" w:ascii="宋体" w:hAnsi="宋体" w:eastAsia="宋体" w:cs="宋体"/>
          <w:sz w:val="24"/>
          <w:lang w:val="en-US" w:eastAsia="zh-CN"/>
        </w:rPr>
        <w:tab/>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地  址：</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电  话：</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开户行：</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账  号：</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联行号/CNAPS：</w:t>
      </w:r>
      <w:r/>
    </w:p>
    <w:p>
      <w:pPr>
        <w:pStyle w:val="1199"/>
        <w:rPr>
          <w:rFonts w:hint="eastAsia" w:ascii="宋体" w:hAnsi="宋体" w:eastAsia="宋体" w:cs="宋体"/>
          <w:sz w:val="24"/>
        </w:rPr>
      </w:pPr>
      <w:r>
        <w:rPr>
          <w:rFonts w:hint="eastAsia" w:ascii="宋体" w:hAnsi="宋体" w:eastAsia="宋体" w:cs="宋体"/>
          <w:sz w:val="24"/>
        </w:rPr>
      </w:r>
      <w:r/>
    </w:p>
    <w:p>
      <w:pPr>
        <w:pStyle w:val="1199"/>
        <w:rPr>
          <w:rFonts w:hint="eastAsia" w:ascii="宋体" w:hAnsi="宋体" w:eastAsia="宋体" w:cs="宋体"/>
          <w:sz w:val="24"/>
        </w:rPr>
      </w:pPr>
      <w:r>
        <w:rPr>
          <w:rFonts w:hint="eastAsia" w:ascii="宋体" w:hAnsi="宋体" w:eastAsia="宋体" w:cs="宋体"/>
          <w:sz w:val="24"/>
        </w:rPr>
        <w:t xml:space="preserve">注：</w:t>
      </w:r>
      <w:r/>
    </w:p>
    <w:p>
      <w:pPr>
        <w:pStyle w:val="1199"/>
        <w:ind w:firstLine="480"/>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1、交接人是签订中标合同、承保、理赔人员（写1名即可）。</w:t>
      </w:r>
      <w:r/>
    </w:p>
    <w:p>
      <w:pPr>
        <w:pStyle w:val="1199"/>
        <w:ind w:firstLine="482"/>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2、请务必仔细核对以上信息，如后期因为信息错误，自行承担相关责任。</w:t>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pStyle w:val="1226"/>
        <w:ind w:firstLine="3120"/>
        <w:spacing w:line="360" w:lineRule="auto"/>
        <w:rPr>
          <w:rFonts w:hint="eastAsia" w:ascii="宋体" w:hAnsi="宋体" w:eastAsia="宋体" w:cs="宋体"/>
          <w:sz w:val="24"/>
        </w:rPr>
      </w:pPr>
      <w:r>
        <w:rPr>
          <w:rFonts w:hint="eastAsia" w:ascii="宋体" w:hAnsi="宋体" w:eastAsia="宋体" w:cs="宋体"/>
          <w:sz w:val="24"/>
        </w:rPr>
        <w:t xml:space="preserve">日期：   </w:t>
      </w:r>
      <w:r>
        <w:rPr>
          <w:rFonts w:hint="eastAsia" w:ascii="宋体" w:hAnsi="宋体" w:eastAsia="宋体" w:cs="宋体"/>
          <w:sz w:val="24"/>
          <w:lang w:val="en-US" w:eastAsia="zh-CN"/>
        </w:rPr>
        <w:t xml:space="preserve"> </w:t>
      </w:r>
      <w:r>
        <w:rPr>
          <w:rFonts w:hint="eastAsia" w:ascii="宋体" w:hAnsi="宋体" w:eastAsia="宋体" w:cs="宋体"/>
          <w:sz w:val="24"/>
        </w:rPr>
        <w:t xml:space="preserve">年 </w:t>
      </w:r>
      <w:r>
        <w:rPr>
          <w:rFonts w:hint="eastAsia" w:ascii="宋体" w:hAnsi="宋体" w:eastAsia="宋体" w:cs="宋体"/>
          <w:sz w:val="24"/>
          <w:lang w:val="en-US" w:eastAsia="zh-CN"/>
        </w:rPr>
        <w:t xml:space="preserve">  </w:t>
      </w:r>
      <w:r>
        <w:rPr>
          <w:rFonts w:hint="eastAsia" w:ascii="宋体" w:hAnsi="宋体" w:eastAsia="宋体" w:cs="宋体"/>
          <w:sz w:val="24"/>
        </w:rPr>
        <w:t xml:space="preserve"> 月  </w:t>
      </w:r>
      <w:r>
        <w:rPr>
          <w:rFonts w:hint="eastAsia" w:ascii="宋体" w:hAnsi="宋体" w:eastAsia="宋体" w:cs="宋体"/>
          <w:sz w:val="24"/>
          <w:lang w:val="en-US" w:eastAsia="zh-CN"/>
        </w:rPr>
        <w:t xml:space="preserve">  </w:t>
      </w:r>
      <w:r>
        <w:rPr>
          <w:rFonts w:hint="eastAsia" w:ascii="宋体" w:hAnsi="宋体" w:eastAsia="宋体" w:cs="宋体"/>
          <w:sz w:val="24"/>
        </w:rPr>
        <w:t xml:space="preserve">日</w:t>
      </w:r>
      <w:r/>
    </w:p>
    <w:p>
      <w:pPr>
        <w:pStyle w:val="1199"/>
        <w:ind w:firstLine="560"/>
        <w:jc w:val="center"/>
        <w:keepLines w:val="0"/>
        <w:keepNext w:val="0"/>
        <w:pageBreakBefore/>
        <w:spacing w:line="360" w:lineRule="auto"/>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4．开标一览表</w:t>
      </w:r>
      <w:r/>
    </w:p>
    <w:p>
      <w:pPr>
        <w:pStyle w:val="1199"/>
        <w:rPr>
          <w:rFonts w:hint="eastAsia" w:ascii="宋体" w:hAnsi="宋体" w:eastAsia="宋体" w:cs="宋体"/>
          <w:sz w:val="24"/>
          <w:u w:val="single"/>
          <w:lang w:eastAsia="zh-CN"/>
        </w:rPr>
      </w:pPr>
      <w:r>
        <w:rPr>
          <w:rFonts w:hint="eastAsia" w:ascii="宋体" w:hAnsi="宋体" w:eastAsia="宋体" w:cs="宋体"/>
          <w:sz w:val="24"/>
        </w:rPr>
        <w:t xml:space="preserve">项目名称：</w:t>
      </w:r>
      <w:r>
        <w:rPr>
          <w:rFonts w:hint="eastAsia" w:ascii="宋体" w:hAnsi="宋体" w:cs="宋体"/>
          <w:sz w:val="24"/>
          <w:u w:val="single"/>
          <w:lang w:eastAsia="zh-CN"/>
        </w:rPr>
        <w:t xml:space="preserve">丰县残疾人团体专属保险项目</w:t>
      </w:r>
      <w:r/>
    </w:p>
    <w:p>
      <w:pPr>
        <w:pStyle w:val="1199"/>
        <w:rPr>
          <w:rFonts w:hint="eastAsia" w:ascii="宋体" w:hAnsi="宋体" w:eastAsia="宋体" w:cs="宋体"/>
          <w:sz w:val="24"/>
          <w:u w:val="single"/>
          <w:lang w:eastAsia="zh-CN"/>
        </w:rPr>
      </w:pPr>
      <w:r>
        <w:rPr>
          <w:rFonts w:hint="eastAsia" w:ascii="宋体" w:hAnsi="宋体" w:eastAsia="宋体" w:cs="宋体"/>
          <w:sz w:val="24"/>
        </w:rPr>
        <w:t xml:space="preserve">项目编号：</w:t>
      </w:r>
      <w:r>
        <w:rPr>
          <w:rFonts w:hint="eastAsia" w:ascii="宋体" w:hAnsi="宋体" w:cs="宋体"/>
          <w:sz w:val="24"/>
          <w:u w:val="single"/>
          <w:lang w:eastAsia="zh-CN"/>
        </w:rPr>
        <w:t xml:space="preserve">JSZC-320321-XZZX-G2025-0012</w:t>
      </w:r>
      <w:r/>
    </w:p>
    <w:p>
      <w:pPr>
        <w:pStyle w:val="1199"/>
        <w:ind w:firstLine="6240"/>
        <w:spacing w:line="360" w:lineRule="auto"/>
        <w:rPr>
          <w:rFonts w:hint="eastAsia" w:ascii="宋体" w:hAnsi="宋体" w:eastAsia="宋体" w:cs="宋体"/>
          <w:sz w:val="24"/>
        </w:rPr>
      </w:pPr>
      <w:r>
        <w:rPr>
          <w:rFonts w:hint="eastAsia" w:ascii="宋体" w:hAnsi="宋体" w:eastAsia="宋体" w:cs="宋体"/>
          <w:sz w:val="24"/>
        </w:rPr>
        <w:t xml:space="preserve">货币单位：人民币</w:t>
      </w:r>
      <w:r/>
    </w:p>
    <w:tbl>
      <w:tblPr>
        <w:tblStyle w:val="1025"/>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W w:w="3289" w:type="dxa"/>
            <w:vAlign w:val="center"/>
            <w:textDirection w:val="lrTb"/>
            <w:noWrap w:val="false"/>
          </w:tcPr>
          <w:p>
            <w:pPr>
              <w:pStyle w:val="1050"/>
              <w:jc w:val="center"/>
              <w:rPr>
                <w:rFonts w:hint="eastAsia" w:ascii="宋体" w:hAnsi="宋体" w:eastAsia="宋体" w:cs="宋体"/>
                <w:sz w:val="24"/>
              </w:rPr>
            </w:pPr>
            <w:r>
              <w:rPr>
                <w:rFonts w:hint="eastAsia" w:ascii="宋体" w:hAnsi="宋体" w:eastAsia="宋体" w:cs="宋体"/>
                <w:sz w:val="24"/>
              </w:rPr>
              <w:t xml:space="preserve">项目名称</w:t>
            </w:r>
            <w:r/>
          </w:p>
        </w:tc>
        <w:tc>
          <w:tcPr>
            <w:tcW w:w="3855" w:type="dxa"/>
            <w:vAlign w:val="center"/>
            <w:textDirection w:val="lrTb"/>
            <w:noWrap w:val="false"/>
          </w:tcPr>
          <w:p>
            <w:pPr>
              <w:pStyle w:val="1050"/>
              <w:jc w:val="center"/>
              <w:rPr>
                <w:rFonts w:hint="eastAsia" w:ascii="宋体" w:hAnsi="宋体" w:eastAsia="宋体" w:cs="宋体"/>
                <w:sz w:val="24"/>
              </w:rPr>
            </w:pPr>
            <w:r>
              <w:rPr>
                <w:rFonts w:hint="eastAsia" w:ascii="宋体" w:hAnsi="宋体" w:eastAsia="宋体" w:cs="宋体"/>
                <w:sz w:val="24"/>
              </w:rPr>
              <w:t xml:space="preserve">项目内容</w:t>
            </w:r>
            <w:r/>
          </w:p>
        </w:tc>
        <w:tc>
          <w:tcPr>
            <w:tcW w:w="1770" w:type="dxa"/>
            <w:vAlign w:val="center"/>
            <w:textDirection w:val="lrTb"/>
            <w:noWrap w:val="false"/>
          </w:tcPr>
          <w:p>
            <w:pPr>
              <w:pStyle w:val="1050"/>
              <w:jc w:val="center"/>
              <w:rPr>
                <w:rFonts w:hint="eastAsia" w:ascii="宋体" w:hAnsi="宋体" w:eastAsia="宋体" w:cs="宋体"/>
                <w:sz w:val="24"/>
              </w:rPr>
            </w:pPr>
            <w:r>
              <w:rPr>
                <w:rFonts w:hint="eastAsia" w:ascii="宋体" w:hAnsi="宋体" w:eastAsia="宋体" w:cs="宋体"/>
                <w:sz w:val="24"/>
                <w:lang w:val="en-US" w:eastAsia="zh-CN"/>
              </w:rPr>
              <w:t xml:space="preserve">总</w:t>
            </w:r>
            <w:r>
              <w:rPr>
                <w:rFonts w:hint="eastAsia" w:ascii="宋体" w:hAnsi="宋体" w:eastAsia="宋体" w:cs="宋体"/>
                <w:sz w:val="24"/>
              </w:rPr>
              <w:t xml:space="preserve">价（小写）</w:t>
            </w:r>
            <w:r/>
          </w:p>
        </w:tc>
      </w:tr>
      <w:tr>
        <w:trPr>
          <w:cantSplit/>
          <w:jc w:val="center"/>
          <w:trHeight w:val="923"/>
        </w:trPr>
        <w:tc>
          <w:tcPr>
            <w:tcW w:w="3289" w:type="dxa"/>
            <w:vAlign w:val="center"/>
            <w:textDirection w:val="lrTb"/>
            <w:noWrap w:val="false"/>
          </w:tcPr>
          <w:p>
            <w:pPr>
              <w:pStyle w:val="1050"/>
              <w:jc w:val="center"/>
              <w:rPr>
                <w:rFonts w:hint="eastAsia" w:ascii="宋体" w:hAnsi="宋体" w:eastAsia="宋体" w:cs="宋体"/>
                <w:sz w:val="24"/>
              </w:rPr>
            </w:pPr>
            <w:r>
              <w:rPr>
                <w:rFonts w:hint="eastAsia" w:ascii="宋体" w:hAnsi="宋体" w:cs="宋体"/>
                <w:sz w:val="24"/>
                <w:lang w:eastAsia="zh-CN"/>
              </w:rPr>
              <w:t xml:space="preserve">丰县残疾人团体专属保险项目</w:t>
            </w:r>
            <w:r>
              <w:rPr>
                <w:rFonts w:hint="eastAsia" w:ascii="宋体" w:hAnsi="宋体" w:eastAsia="宋体" w:cs="宋体"/>
                <w:sz w:val="24"/>
              </w:rPr>
              <w:t xml:space="preserve"> </w:t>
            </w:r>
            <w:r/>
          </w:p>
        </w:tc>
        <w:tc>
          <w:tcPr>
            <w:tcW w:w="3855" w:type="dxa"/>
            <w:vAlign w:val="center"/>
            <w:textDirection w:val="lrTb"/>
            <w:noWrap w:val="false"/>
          </w:tcPr>
          <w:p>
            <w:pPr>
              <w:pStyle w:val="1050"/>
              <w:jc w:val="center"/>
              <w:rPr>
                <w:rFonts w:hint="eastAsia" w:ascii="宋体" w:hAnsi="宋体" w:eastAsia="宋体" w:cs="宋体"/>
                <w:sz w:val="24"/>
                <w:lang w:val="en-US" w:eastAsia="zh-CN"/>
              </w:rPr>
            </w:pPr>
            <w:r>
              <w:rPr>
                <w:rFonts w:hint="eastAsia" w:ascii="宋体" w:hAnsi="宋体" w:cs="宋体"/>
                <w:sz w:val="24"/>
                <w:lang w:eastAsia="zh-CN"/>
              </w:rPr>
              <w:t xml:space="preserve">丰县残疾人团体专属保险</w:t>
            </w:r>
            <w:r/>
          </w:p>
        </w:tc>
        <w:tc>
          <w:tcPr>
            <w:tcW w:w="1770" w:type="dxa"/>
            <w:vAlign w:val="center"/>
            <w:textDirection w:val="lrTb"/>
            <w:noWrap w:val="false"/>
          </w:tcPr>
          <w:p>
            <w:pPr>
              <w:pStyle w:val="1050"/>
              <w:jc w:val="center"/>
              <w:rPr>
                <w:rFonts w:hint="eastAsia" w:ascii="宋体" w:hAnsi="宋体" w:eastAsia="宋体" w:cs="宋体"/>
                <w:sz w:val="24"/>
                <w:lang w:val="en-US" w:eastAsia="zh-CN"/>
              </w:rPr>
            </w:pPr>
            <w:r>
              <w:rPr>
                <w:rFonts w:hint="eastAsia" w:ascii="宋体" w:hAnsi="宋体" w:cs="宋体"/>
                <w:sz w:val="24"/>
                <w:lang w:val="en-US" w:eastAsia="zh-CN"/>
              </w:rPr>
              <w:t xml:space="preserve">70</w:t>
            </w:r>
            <w:r>
              <w:rPr>
                <w:rFonts w:hint="eastAsia" w:ascii="宋体" w:hAnsi="宋体" w:eastAsia="宋体" w:cs="宋体"/>
                <w:sz w:val="24"/>
                <w:lang w:val="en-US" w:eastAsia="zh-CN"/>
              </w:rPr>
              <w:t xml:space="preserve">0000</w:t>
            </w:r>
            <w:r/>
          </w:p>
        </w:tc>
      </w:tr>
      <w:tr>
        <w:trPr>
          <w:cantSplit/>
          <w:jc w:val="center"/>
          <w:trHeight w:val="1047"/>
        </w:trPr>
        <w:tc>
          <w:tcPr>
            <w:gridSpan w:val="3"/>
            <w:tcW w:w="8914" w:type="dxa"/>
            <w:vAlign w:val="center"/>
            <w:textDirection w:val="lrTb"/>
            <w:noWrap w:val="false"/>
          </w:tcPr>
          <w:p>
            <w:pPr>
              <w:pStyle w:val="1050"/>
              <w:jc w:val="left"/>
              <w:rPr>
                <w:rFonts w:hint="eastAsia" w:ascii="宋体" w:hAnsi="宋体" w:eastAsia="宋体" w:cs="宋体"/>
                <w:sz w:val="24"/>
                <w:lang w:val="en-US" w:eastAsia="zh-CN"/>
              </w:rPr>
            </w:pPr>
            <w:r>
              <w:rPr>
                <w:rFonts w:hint="eastAsia" w:ascii="宋体" w:hAnsi="宋体" w:eastAsia="宋体" w:cs="宋体"/>
                <w:sz w:val="24"/>
                <w:lang w:val="en-US" w:eastAsia="zh-CN"/>
              </w:rPr>
              <w:t xml:space="preserve">总</w:t>
            </w:r>
            <w:r>
              <w:rPr>
                <w:rFonts w:hint="eastAsia" w:ascii="宋体" w:hAnsi="宋体" w:eastAsia="宋体" w:cs="宋体"/>
                <w:sz w:val="24"/>
              </w:rPr>
              <w:t xml:space="preserve">价（大写）：</w:t>
            </w:r>
            <w:r>
              <w:rPr>
                <w:rFonts w:hint="eastAsia" w:ascii="宋体" w:hAnsi="宋体" w:cs="宋体"/>
                <w:sz w:val="24"/>
                <w:lang w:val="en-US" w:eastAsia="zh-CN"/>
              </w:rPr>
              <w:t xml:space="preserve">柒拾万元整</w:t>
            </w:r>
            <w:r/>
          </w:p>
        </w:tc>
      </w:tr>
    </w:tbl>
    <w:p>
      <w:pPr>
        <w:pStyle w:val="1199"/>
        <w:ind w:firstLine="6240"/>
        <w:spacing w:line="360" w:lineRule="auto"/>
        <w:rPr>
          <w:rFonts w:hint="eastAsia" w:ascii="宋体" w:hAnsi="宋体" w:eastAsia="宋体" w:cs="宋体"/>
          <w:sz w:val="24"/>
        </w:rPr>
      </w:pPr>
      <w:r>
        <w:rPr>
          <w:rFonts w:hint="eastAsia" w:ascii="宋体" w:hAnsi="宋体" w:eastAsia="宋体" w:cs="宋体"/>
          <w:sz w:val="24"/>
        </w:rPr>
      </w:r>
      <w:r/>
    </w:p>
    <w:p>
      <w:pPr>
        <w:pStyle w:val="1199"/>
        <w:rPr>
          <w:rFonts w:hint="eastAsia" w:ascii="宋体" w:hAnsi="宋体" w:eastAsia="宋体" w:cs="宋体"/>
          <w:sz w:val="24"/>
        </w:rPr>
      </w:pPr>
      <w:r>
        <w:rPr>
          <w:rFonts w:hint="eastAsia" w:ascii="宋体" w:hAnsi="宋体" w:eastAsia="宋体" w:cs="宋体"/>
          <w:sz w:val="24"/>
        </w:rPr>
        <w:t xml:space="preserve">注：</w:t>
      </w:r>
      <w:r/>
    </w:p>
    <w:p>
      <w:pPr>
        <w:pStyle w:val="1199"/>
        <w:ind w:firstLine="480"/>
        <w:rPr>
          <w:rFonts w:hint="eastAsia" w:ascii="宋体" w:hAnsi="宋体" w:eastAsia="宋体" w:cs="宋体"/>
          <w:sz w:val="24"/>
          <w:lang w:val="en-US" w:eastAsia="zh-CN"/>
        </w:rPr>
      </w:pPr>
      <w:r>
        <w:rPr>
          <w:rFonts w:hint="eastAsia" w:ascii="宋体" w:hAnsi="宋体" w:eastAsia="宋体" w:cs="宋体"/>
          <w:sz w:val="24"/>
        </w:rPr>
        <w:t xml:space="preserve">不得</w:t>
      </w:r>
      <w:r>
        <w:rPr>
          <w:rFonts w:hint="eastAsia" w:ascii="宋体" w:hAnsi="宋体" w:eastAsia="宋体" w:cs="宋体"/>
          <w:sz w:val="24"/>
          <w:lang w:val="en-US" w:eastAsia="zh-CN"/>
        </w:rPr>
        <w:t xml:space="preserve">以任何形式</w:t>
      </w:r>
      <w:r>
        <w:rPr>
          <w:rFonts w:hint="eastAsia" w:ascii="宋体" w:hAnsi="宋体" w:eastAsia="宋体" w:cs="宋体"/>
          <w:sz w:val="24"/>
        </w:rPr>
        <w:t xml:space="preserve">修改开标一览表中方案</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本项价格仅为预算价格，最终价格以实际投保人数为准，投标人价格分计算以分项价格表为准。</w:t>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pStyle w:val="1226"/>
        <w:ind w:firstLine="3120"/>
        <w:spacing w:line="360" w:lineRule="auto"/>
        <w:rPr>
          <w:rFonts w:hint="eastAsia" w:ascii="宋体" w:hAnsi="宋体" w:eastAsia="宋体" w:cs="宋体"/>
          <w:sz w:val="24"/>
        </w:rPr>
      </w:pPr>
      <w:r>
        <w:rPr>
          <w:rFonts w:hint="eastAsia" w:ascii="宋体" w:hAnsi="宋体" w:eastAsia="宋体" w:cs="宋体"/>
          <w:sz w:val="24"/>
        </w:rPr>
        <w:t xml:space="preserve">日期：   </w:t>
      </w:r>
      <w:r>
        <w:rPr>
          <w:rFonts w:hint="eastAsia" w:ascii="宋体" w:hAnsi="宋体" w:eastAsia="宋体" w:cs="宋体"/>
          <w:sz w:val="24"/>
          <w:lang w:val="en-US" w:eastAsia="zh-CN"/>
        </w:rPr>
        <w:t xml:space="preserve"> </w:t>
      </w:r>
      <w:r>
        <w:rPr>
          <w:rFonts w:hint="eastAsia" w:ascii="宋体" w:hAnsi="宋体" w:eastAsia="宋体" w:cs="宋体"/>
          <w:sz w:val="24"/>
        </w:rPr>
        <w:t xml:space="preserve">年 </w:t>
      </w:r>
      <w:r>
        <w:rPr>
          <w:rFonts w:hint="eastAsia" w:ascii="宋体" w:hAnsi="宋体" w:eastAsia="宋体" w:cs="宋体"/>
          <w:sz w:val="24"/>
          <w:lang w:val="en-US" w:eastAsia="zh-CN"/>
        </w:rPr>
        <w:t xml:space="preserve">  </w:t>
      </w:r>
      <w:r>
        <w:rPr>
          <w:rFonts w:hint="eastAsia" w:ascii="宋体" w:hAnsi="宋体" w:eastAsia="宋体" w:cs="宋体"/>
          <w:sz w:val="24"/>
        </w:rPr>
        <w:t xml:space="preserve"> 月  </w:t>
      </w:r>
      <w:r>
        <w:rPr>
          <w:rFonts w:hint="eastAsia" w:ascii="宋体" w:hAnsi="宋体" w:eastAsia="宋体" w:cs="宋体"/>
          <w:sz w:val="24"/>
          <w:lang w:val="en-US" w:eastAsia="zh-CN"/>
        </w:rPr>
        <w:t xml:space="preserve">  </w:t>
      </w:r>
      <w:r>
        <w:rPr>
          <w:rFonts w:hint="eastAsia" w:ascii="宋体" w:hAnsi="宋体" w:eastAsia="宋体" w:cs="宋体"/>
          <w:sz w:val="24"/>
        </w:rPr>
        <w:t xml:space="preserve">日</w:t>
      </w:r>
      <w:r/>
    </w:p>
    <w:p>
      <w:pPr>
        <w:pStyle w:val="1199"/>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99"/>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99"/>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99"/>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99"/>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9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200"/>
        <w:rPr>
          <w:rFonts w:hint="eastAsia" w:ascii="宋体" w:hAnsi="宋体" w:eastAsia="宋体" w:cs="宋体"/>
          <w:lang w:val="en-US" w:eastAsia="zh-CN"/>
        </w:rPr>
      </w:pPr>
      <w:r>
        <w:rPr>
          <w:rFonts w:hint="eastAsia" w:ascii="宋体" w:hAnsi="宋体" w:eastAsia="宋体" w:cs="宋体"/>
          <w:lang w:val="en-US" w:eastAsia="zh-CN"/>
        </w:rPr>
      </w:r>
      <w:r/>
    </w:p>
    <w:p>
      <w:pPr>
        <w:pStyle w:val="1199"/>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99"/>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99"/>
        <w:ind w:firstLine="560"/>
        <w:jc w:val="center"/>
        <w:keepLines w:val="0"/>
        <w:keepNext w:val="0"/>
        <w:pageBreakBefore/>
        <w:spacing w:line="360" w:lineRule="auto"/>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5．分项价格表</w:t>
      </w:r>
      <w:r/>
    </w:p>
    <w:p>
      <w:pPr>
        <w:pStyle w:val="1199"/>
        <w:rPr>
          <w:rFonts w:hint="eastAsia" w:ascii="宋体" w:hAnsi="宋体" w:eastAsia="宋体" w:cs="宋体"/>
          <w:sz w:val="24"/>
          <w:u w:val="single"/>
          <w:lang w:eastAsia="zh-CN"/>
        </w:rPr>
      </w:pPr>
      <w:r>
        <w:rPr>
          <w:rFonts w:hint="eastAsia" w:ascii="宋体" w:hAnsi="宋体" w:eastAsia="宋体" w:cs="宋体"/>
          <w:sz w:val="24"/>
        </w:rPr>
        <w:t xml:space="preserve">项目名称：</w:t>
      </w:r>
      <w:r>
        <w:rPr>
          <w:rFonts w:hint="eastAsia" w:ascii="宋体" w:hAnsi="宋体" w:cs="宋体"/>
          <w:sz w:val="24"/>
          <w:u w:val="single"/>
          <w:lang w:eastAsia="zh-CN"/>
        </w:rPr>
        <w:t xml:space="preserve">丰县残疾人团体专属保险项目</w:t>
      </w:r>
      <w:r/>
    </w:p>
    <w:p>
      <w:pPr>
        <w:pStyle w:val="1199"/>
        <w:rPr>
          <w:rFonts w:hint="eastAsia" w:ascii="宋体" w:hAnsi="宋体" w:eastAsia="宋体" w:cs="宋体"/>
          <w:sz w:val="24"/>
          <w:u w:val="single"/>
          <w:lang w:eastAsia="zh-CN"/>
        </w:rPr>
      </w:pPr>
      <w:r>
        <w:rPr>
          <w:rFonts w:hint="eastAsia" w:ascii="宋体" w:hAnsi="宋体" w:eastAsia="宋体" w:cs="宋体"/>
          <w:sz w:val="24"/>
        </w:rPr>
        <w:t xml:space="preserve">项目编号：</w:t>
      </w:r>
      <w:r>
        <w:rPr>
          <w:rFonts w:hint="eastAsia" w:ascii="宋体" w:hAnsi="宋体" w:cs="宋体"/>
          <w:sz w:val="24"/>
          <w:u w:val="single"/>
          <w:lang w:eastAsia="zh-CN"/>
        </w:rPr>
        <w:t xml:space="preserve">JSZC-320321-XZZX-G2025-0012</w:t>
      </w:r>
      <w:r/>
    </w:p>
    <w:p>
      <w:pPr>
        <w:pStyle w:val="1199"/>
        <w:ind w:firstLine="6240"/>
        <w:spacing w:line="360" w:lineRule="auto"/>
        <w:rPr>
          <w:rFonts w:hint="eastAsia" w:ascii="宋体" w:hAnsi="宋体" w:eastAsia="宋体" w:cs="宋体"/>
          <w:sz w:val="24"/>
        </w:rPr>
      </w:pPr>
      <w:r>
        <w:rPr>
          <w:rFonts w:hint="eastAsia" w:ascii="宋体" w:hAnsi="宋体" w:eastAsia="宋体" w:cs="宋体"/>
          <w:sz w:val="24"/>
        </w:rPr>
        <w:t xml:space="preserve">货币单位：人民币</w:t>
      </w:r>
      <w:r/>
    </w:p>
    <w:tbl>
      <w:tblPr>
        <w:tblStyle w:val="1025"/>
        <w:tblW w:w="84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2071"/>
        <w:gridCol w:w="5039"/>
      </w:tblGrid>
      <w:tr>
        <w:trPr>
          <w:cantSplit/>
          <w:jc w:val="center"/>
          <w:trHeight w:val="510"/>
        </w:trPr>
        <w:tc>
          <w:tcPr>
            <w:gridSpan w:val="2"/>
            <w:tcW w:w="3409" w:type="dxa"/>
            <w:vAlign w:val="center"/>
            <w:textDirection w:val="lrTb"/>
            <w:noWrap w:val="false"/>
          </w:tcPr>
          <w:p>
            <w:pPr>
              <w:pStyle w:val="1199"/>
              <w:jc w:val="center"/>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保险责任</w:t>
            </w:r>
            <w:r/>
          </w:p>
        </w:tc>
        <w:tc>
          <w:tcPr>
            <w:tcW w:w="5039" w:type="dxa"/>
            <w:vAlign w:val="center"/>
            <w:textDirection w:val="lrTb"/>
            <w:noWrap w:val="false"/>
          </w:tcPr>
          <w:p>
            <w:pPr>
              <w:pStyle w:val="1199"/>
              <w:jc w:val="center"/>
              <w:rPr>
                <w:rFonts w:hint="eastAsia" w:ascii="宋体" w:hAnsi="宋体" w:eastAsia="宋体" w:cs="宋体"/>
              </w:rPr>
            </w:pPr>
            <w:r>
              <w:rPr>
                <w:rFonts w:hint="eastAsia" w:ascii="宋体" w:hAnsi="宋体" w:eastAsia="宋体" w:cs="宋体"/>
                <w:sz w:val="24"/>
                <w:lang w:val="zh"/>
              </w:rPr>
              <w:t xml:space="preserve">每人保险金额（限额）</w:t>
            </w:r>
            <w:r/>
          </w:p>
        </w:tc>
      </w:tr>
      <w:tr>
        <w:trPr>
          <w:cantSplit/>
          <w:jc w:val="center"/>
          <w:trHeight w:val="510"/>
        </w:trPr>
        <w:tc>
          <w:tcPr>
            <w:tcW w:w="1338" w:type="dxa"/>
            <w:vAlign w:val="center"/>
            <w:vMerge w:val="restart"/>
            <w:textDirection w:val="lrTb"/>
            <w:noWrap w:val="false"/>
          </w:tcPr>
          <w:p>
            <w:pPr>
              <w:pStyle w:val="1199"/>
              <w:jc w:val="left"/>
              <w:rPr>
                <w:rFonts w:hint="eastAsia" w:ascii="宋体" w:hAnsi="宋体" w:eastAsia="宋体" w:cs="宋体"/>
                <w:sz w:val="24"/>
              </w:rPr>
            </w:pPr>
            <w:r>
              <w:rPr>
                <w:rFonts w:hint="eastAsia" w:ascii="宋体" w:hAnsi="宋体" w:eastAsia="宋体" w:cs="宋体"/>
                <w:sz w:val="24"/>
                <w:szCs w:val="32"/>
                <w:lang w:val="zh"/>
              </w:rPr>
              <w:t xml:space="preserve">意外伤害</w:t>
            </w:r>
            <w:r/>
          </w:p>
        </w:tc>
        <w:tc>
          <w:tcPr>
            <w:tcW w:w="2071" w:type="dxa"/>
            <w:vAlign w:val="center"/>
            <w:textDirection w:val="lrTb"/>
            <w:noWrap w:val="false"/>
          </w:tcPr>
          <w:p>
            <w:pPr>
              <w:pStyle w:val="1199"/>
              <w:jc w:val="left"/>
              <w:rPr>
                <w:rFonts w:hint="eastAsia" w:ascii="宋体" w:hAnsi="宋体" w:eastAsia="宋体" w:cs="宋体"/>
              </w:rPr>
            </w:pPr>
            <w:r>
              <w:rPr>
                <w:rFonts w:hint="eastAsia" w:ascii="宋体" w:hAnsi="宋体" w:eastAsia="宋体" w:cs="宋体"/>
                <w:sz w:val="24"/>
                <w:szCs w:val="32"/>
                <w:lang w:val="zh"/>
              </w:rPr>
              <w:t xml:space="preserve">意外身故</w:t>
            </w:r>
            <w:r/>
          </w:p>
        </w:tc>
        <w:tc>
          <w:tcPr>
            <w:tcW w:w="5039" w:type="dxa"/>
            <w:vAlign w:val="center"/>
            <w:textDirection w:val="lrTb"/>
            <w:noWrap w:val="false"/>
          </w:tcPr>
          <w:p>
            <w:pPr>
              <w:pStyle w:val="1234"/>
              <w:ind w:left="0" w:firstLine="0"/>
              <w:rPr>
                <w:rFonts w:hint="eastAsia" w:ascii="宋体" w:hAnsi="宋体" w:eastAsia="宋体" w:cs="宋体"/>
              </w:rPr>
            </w:pPr>
            <w:r>
              <w:rPr>
                <w:rFonts w:hint="eastAsia" w:ascii="宋体" w:hAnsi="宋体" w:cs="宋体"/>
                <w:sz w:val="24"/>
                <w:lang w:val="en-US" w:eastAsia="zh-CN"/>
              </w:rPr>
              <w:t xml:space="preserve">1</w:t>
            </w:r>
            <w:r>
              <w:rPr>
                <w:rFonts w:hint="eastAsia" w:ascii="宋体" w:hAnsi="宋体" w:eastAsia="宋体" w:cs="宋体"/>
                <w:sz w:val="24"/>
              </w:rPr>
              <w:t xml:space="preserve">万元</w:t>
            </w:r>
            <w:r/>
          </w:p>
        </w:tc>
      </w:tr>
      <w:tr>
        <w:trPr>
          <w:cantSplit/>
          <w:jc w:val="center"/>
          <w:trHeight w:val="510"/>
        </w:trPr>
        <w:tc>
          <w:tcPr>
            <w:tcW w:w="1338" w:type="dxa"/>
            <w:vAlign w:val="center"/>
            <w:vMerge w:val="continue"/>
            <w:textDirection w:val="lrTb"/>
            <w:noWrap w:val="false"/>
          </w:tcPr>
          <w:p>
            <w:pPr>
              <w:pStyle w:val="1199"/>
              <w:jc w:val="left"/>
              <w:rPr>
                <w:rFonts w:hint="eastAsia" w:ascii="宋体" w:hAnsi="宋体" w:eastAsia="宋体" w:cs="宋体"/>
                <w:sz w:val="24"/>
              </w:rPr>
            </w:pPr>
            <w:r>
              <w:rPr>
                <w:rFonts w:hint="eastAsia" w:ascii="宋体" w:hAnsi="宋体" w:eastAsia="宋体" w:cs="宋体"/>
                <w:sz w:val="24"/>
              </w:rPr>
            </w:r>
            <w:r/>
          </w:p>
        </w:tc>
        <w:tc>
          <w:tcPr>
            <w:tcW w:w="2071" w:type="dxa"/>
            <w:vAlign w:val="center"/>
            <w:textDirection w:val="lrTb"/>
            <w:noWrap w:val="false"/>
          </w:tcPr>
          <w:p>
            <w:pPr>
              <w:pStyle w:val="1199"/>
              <w:jc w:val="left"/>
              <w:rPr>
                <w:rFonts w:hint="eastAsia" w:ascii="宋体" w:hAnsi="宋体" w:eastAsia="宋体" w:cs="宋体"/>
              </w:rPr>
            </w:pPr>
            <w:r>
              <w:rPr>
                <w:rFonts w:hint="eastAsia" w:ascii="宋体" w:hAnsi="宋体" w:eastAsia="宋体" w:cs="宋体"/>
                <w:sz w:val="24"/>
                <w:szCs w:val="32"/>
                <w:lang w:val="zh"/>
              </w:rPr>
              <w:t xml:space="preserve">意外残疾</w:t>
            </w:r>
            <w:r/>
          </w:p>
        </w:tc>
        <w:tc>
          <w:tcPr>
            <w:tcW w:w="5039" w:type="dxa"/>
            <w:vAlign w:val="center"/>
            <w:textDirection w:val="lrTb"/>
            <w:noWrap w:val="false"/>
          </w:tcPr>
          <w:p>
            <w:pPr>
              <w:pStyle w:val="1234"/>
              <w:ind w:left="0" w:firstLine="0"/>
              <w:rPr>
                <w:rFonts w:hint="eastAsia" w:ascii="宋体" w:hAnsi="宋体" w:eastAsia="宋体" w:cs="宋体"/>
              </w:rPr>
            </w:pPr>
            <w:r>
              <w:rPr>
                <w:rFonts w:hint="eastAsia" w:ascii="宋体" w:hAnsi="宋体" w:cs="宋体"/>
                <w:sz w:val="24"/>
                <w:u w:val="none"/>
                <w:lang w:val="en-US" w:eastAsia="zh-CN"/>
              </w:rPr>
              <w:t xml:space="preserve">3</w:t>
            </w:r>
            <w:r>
              <w:rPr>
                <w:rFonts w:hint="eastAsia" w:ascii="宋体" w:hAnsi="宋体" w:eastAsia="宋体" w:cs="宋体"/>
                <w:sz w:val="24"/>
              </w:rPr>
              <w:t xml:space="preserve">万元</w:t>
            </w:r>
            <w:r/>
          </w:p>
        </w:tc>
      </w:tr>
      <w:tr>
        <w:trPr>
          <w:cantSplit/>
          <w:jc w:val="center"/>
          <w:trHeight w:val="957"/>
        </w:trPr>
        <w:tc>
          <w:tcPr>
            <w:tcW w:w="1338" w:type="dxa"/>
            <w:vAlign w:val="center"/>
            <w:textDirection w:val="lrTb"/>
            <w:noWrap w:val="false"/>
          </w:tcPr>
          <w:p>
            <w:pPr>
              <w:pStyle w:val="1199"/>
              <w:jc w:val="left"/>
              <w:rPr>
                <w:rFonts w:hint="eastAsia" w:ascii="宋体" w:hAnsi="宋体" w:eastAsia="宋体" w:cs="宋体"/>
                <w:sz w:val="24"/>
              </w:rPr>
            </w:pPr>
            <w:r>
              <w:rPr>
                <w:rFonts w:hint="eastAsia" w:ascii="宋体" w:hAnsi="宋体" w:eastAsia="宋体" w:cs="宋体"/>
                <w:sz w:val="24"/>
                <w:szCs w:val="32"/>
                <w:lang w:val="zh"/>
              </w:rPr>
              <w:t xml:space="preserve">意外医疗</w:t>
            </w:r>
            <w:r/>
          </w:p>
        </w:tc>
        <w:tc>
          <w:tcPr>
            <w:tcW w:w="2071" w:type="dxa"/>
            <w:vAlign w:val="center"/>
            <w:textDirection w:val="lrTb"/>
            <w:noWrap w:val="false"/>
          </w:tcPr>
          <w:p>
            <w:pPr>
              <w:pStyle w:val="1199"/>
              <w:jc w:val="left"/>
              <w:rPr>
                <w:rFonts w:hint="eastAsia" w:ascii="宋体" w:hAnsi="宋体" w:eastAsia="宋体" w:cs="宋体"/>
              </w:rPr>
            </w:pPr>
            <w:r>
              <w:rPr>
                <w:rFonts w:hint="eastAsia" w:ascii="宋体" w:hAnsi="宋体" w:eastAsia="宋体" w:cs="宋体"/>
                <w:sz w:val="24"/>
                <w:szCs w:val="32"/>
                <w:lang w:val="zh"/>
              </w:rPr>
              <w:t xml:space="preserve">因意外导致的医疗费用补偿</w:t>
            </w:r>
            <w:r/>
          </w:p>
        </w:tc>
        <w:tc>
          <w:tcPr>
            <w:tcW w:w="5039" w:type="dxa"/>
            <w:vAlign w:val="center"/>
            <w:textDirection w:val="lrTb"/>
            <w:noWrap w:val="false"/>
          </w:tcPr>
          <w:p>
            <w:pPr>
              <w:pStyle w:val="1234"/>
              <w:jc w:val="center"/>
              <w:rPr>
                <w:rFonts w:hint="eastAsia" w:ascii="宋体" w:hAnsi="宋体" w:eastAsia="宋体" w:cs="宋体"/>
                <w:sz w:val="24"/>
              </w:rPr>
            </w:pPr>
            <w:r>
              <w:rPr>
                <w:rFonts w:hint="eastAsia" w:ascii="宋体" w:hAnsi="宋体" w:eastAsia="宋体" w:cs="宋体"/>
                <w:sz w:val="24"/>
                <w:u w:val="none"/>
              </w:rPr>
              <w:t xml:space="preserve">2万元</w:t>
            </w:r>
            <w:r>
              <w:rPr>
                <w:rFonts w:hint="eastAsia" w:ascii="宋体" w:hAnsi="宋体" w:eastAsia="宋体" w:cs="宋体"/>
                <w:sz w:val="24"/>
              </w:rPr>
              <w:br/>
            </w:r>
            <w:r>
              <w:rPr>
                <w:rFonts w:hint="eastAsia" w:ascii="宋体" w:hAnsi="宋体" w:eastAsia="宋体" w:cs="宋体"/>
                <w:sz w:val="24"/>
              </w:rPr>
              <w:t xml:space="preserve">无免赔天数，按</w:t>
            </w:r>
            <w:r>
              <w:rPr>
                <w:rFonts w:hint="eastAsia" w:ascii="宋体" w:hAnsi="宋体" w:eastAsia="宋体" w:cs="宋体"/>
                <w:sz w:val="24"/>
                <w:lang w:val="en-US" w:eastAsia="zh-CN"/>
              </w:rPr>
              <w:t xml:space="preserve">100</w:t>
            </w:r>
            <w:r>
              <w:rPr>
                <w:rFonts w:hint="eastAsia" w:ascii="宋体" w:hAnsi="宋体" w:eastAsia="宋体" w:cs="宋体"/>
                <w:sz w:val="24"/>
              </w:rPr>
              <w:t xml:space="preserve">％赔付</w:t>
            </w:r>
            <w:r/>
          </w:p>
          <w:p>
            <w:pPr>
              <w:pStyle w:val="1234"/>
              <w:ind w:left="0" w:firstLine="0"/>
              <w:jc w:val="center"/>
              <w:rPr>
                <w:rFonts w:hint="eastAsia" w:ascii="宋体" w:hAnsi="宋体" w:eastAsia="宋体" w:cs="宋体"/>
              </w:rPr>
            </w:pPr>
            <w:r>
              <w:rPr>
                <w:rFonts w:hint="eastAsia" w:ascii="宋体" w:hAnsi="宋体" w:eastAsia="宋体" w:cs="宋体"/>
                <w:sz w:val="24"/>
              </w:rPr>
              <w:t xml:space="preserve">（社保用药范围内）。</w:t>
            </w:r>
            <w:r/>
          </w:p>
        </w:tc>
      </w:tr>
      <w:tr>
        <w:trPr>
          <w:cantSplit/>
          <w:jc w:val="center"/>
          <w:trHeight w:val="841"/>
        </w:trPr>
        <w:tc>
          <w:tcPr>
            <w:tcW w:w="1338" w:type="dxa"/>
            <w:vAlign w:val="center"/>
            <w:textDirection w:val="lrTb"/>
            <w:noWrap w:val="false"/>
          </w:tcPr>
          <w:p>
            <w:pPr>
              <w:pStyle w:val="1199"/>
              <w:jc w:val="left"/>
              <w:rPr>
                <w:rFonts w:hint="eastAsia" w:ascii="宋体" w:hAnsi="宋体" w:eastAsia="宋体" w:cs="宋体"/>
                <w:sz w:val="24"/>
              </w:rPr>
            </w:pPr>
            <w:r>
              <w:rPr>
                <w:rFonts w:hint="eastAsia" w:ascii="宋体" w:hAnsi="宋体" w:eastAsia="宋体" w:cs="宋体"/>
                <w:sz w:val="24"/>
                <w:szCs w:val="32"/>
                <w:lang w:val="zh"/>
              </w:rPr>
              <w:t xml:space="preserve">意外住院津贴</w:t>
            </w:r>
            <w:r/>
          </w:p>
        </w:tc>
        <w:tc>
          <w:tcPr>
            <w:tcW w:w="2071" w:type="dxa"/>
            <w:vAlign w:val="center"/>
            <w:textDirection w:val="lrTb"/>
            <w:noWrap w:val="false"/>
          </w:tcPr>
          <w:p>
            <w:pPr>
              <w:pStyle w:val="1199"/>
              <w:jc w:val="left"/>
              <w:rPr>
                <w:rFonts w:hint="eastAsia" w:ascii="宋体" w:hAnsi="宋体" w:eastAsia="宋体" w:cs="宋体"/>
              </w:rPr>
            </w:pPr>
            <w:r>
              <w:rPr>
                <w:rFonts w:hint="eastAsia" w:ascii="宋体" w:hAnsi="宋体" w:eastAsia="宋体" w:cs="宋体"/>
                <w:sz w:val="24"/>
                <w:szCs w:val="32"/>
                <w:lang w:val="zh"/>
              </w:rPr>
              <w:t xml:space="preserve">意外伤害住院医疗定额补贴</w:t>
            </w:r>
            <w:r/>
          </w:p>
        </w:tc>
        <w:tc>
          <w:tcPr>
            <w:tcW w:w="5039" w:type="dxa"/>
            <w:vAlign w:val="center"/>
            <w:textDirection w:val="lrTb"/>
            <w:noWrap w:val="false"/>
          </w:tcPr>
          <w:p>
            <w:pPr>
              <w:pStyle w:val="1234"/>
              <w:ind w:left="0" w:firstLine="0"/>
              <w:jc w:val="center"/>
              <w:rPr>
                <w:rFonts w:hint="eastAsia" w:ascii="宋体" w:hAnsi="宋体" w:eastAsia="宋体" w:cs="宋体"/>
              </w:rPr>
            </w:pPr>
            <w:r>
              <w:rPr>
                <w:rFonts w:hint="eastAsia" w:ascii="宋体" w:hAnsi="宋体" w:cs="宋体"/>
                <w:sz w:val="24"/>
                <w:lang w:val="en-US" w:eastAsia="zh-CN"/>
              </w:rPr>
              <w:t xml:space="preserve">65</w:t>
            </w:r>
            <w:r>
              <w:rPr>
                <w:rFonts w:hint="eastAsia" w:ascii="宋体" w:hAnsi="宋体" w:eastAsia="宋体" w:cs="宋体"/>
                <w:sz w:val="24"/>
              </w:rPr>
              <w:t xml:space="preserve">元/天，无免赔天数，全年最高赔付180天。</w:t>
            </w:r>
            <w:r/>
          </w:p>
        </w:tc>
      </w:tr>
      <w:tr>
        <w:trPr>
          <w:cantSplit/>
          <w:jc w:val="center"/>
          <w:trHeight w:val="1134"/>
        </w:trPr>
        <w:tc>
          <w:tcPr>
            <w:tcW w:w="1338" w:type="dxa"/>
            <w:vAlign w:val="center"/>
            <w:textDirection w:val="lrTb"/>
            <w:noWrap w:val="false"/>
          </w:tcPr>
          <w:p>
            <w:pPr>
              <w:pStyle w:val="1199"/>
              <w:jc w:val="left"/>
              <w:rPr>
                <w:rFonts w:hint="eastAsia" w:ascii="宋体" w:hAnsi="宋体" w:eastAsia="宋体" w:cs="宋体"/>
                <w:sz w:val="24"/>
              </w:rPr>
            </w:pPr>
            <w:r>
              <w:rPr>
                <w:rFonts w:hint="eastAsia" w:ascii="宋体" w:hAnsi="宋体" w:eastAsia="宋体" w:cs="宋体"/>
                <w:sz w:val="24"/>
                <w:szCs w:val="32"/>
                <w:lang w:val="zh"/>
              </w:rPr>
              <w:t xml:space="preserve">重大疾病</w:t>
            </w:r>
            <w:r/>
          </w:p>
        </w:tc>
        <w:tc>
          <w:tcPr>
            <w:tcW w:w="2071" w:type="dxa"/>
            <w:vAlign w:val="center"/>
            <w:textDirection w:val="lrTb"/>
            <w:noWrap w:val="false"/>
          </w:tcPr>
          <w:p>
            <w:pPr>
              <w:pStyle w:val="1199"/>
              <w:jc w:val="left"/>
              <w:rPr>
                <w:rFonts w:hint="eastAsia" w:ascii="宋体" w:hAnsi="宋体" w:eastAsia="宋体" w:cs="宋体"/>
                <w:sz w:val="24"/>
                <w:szCs w:val="32"/>
                <w:lang w:val="zh"/>
              </w:rPr>
            </w:pPr>
            <w:r>
              <w:rPr>
                <w:rFonts w:hint="eastAsia" w:ascii="宋体" w:hAnsi="宋体" w:eastAsia="宋体" w:cs="宋体"/>
                <w:sz w:val="24"/>
                <w:szCs w:val="32"/>
                <w:lang w:val="zh"/>
              </w:rPr>
              <w:t xml:space="preserve">重大疾病</w:t>
            </w:r>
            <w:r/>
          </w:p>
          <w:p>
            <w:pPr>
              <w:pStyle w:val="1199"/>
              <w:jc w:val="left"/>
              <w:rPr>
                <w:rFonts w:hint="eastAsia" w:ascii="宋体" w:hAnsi="宋体" w:eastAsia="宋体" w:cs="宋体"/>
              </w:rPr>
            </w:pPr>
            <w:r>
              <w:rPr>
                <w:rFonts w:hint="eastAsia" w:ascii="宋体" w:hAnsi="宋体" w:eastAsia="宋体" w:cs="宋体"/>
                <w:sz w:val="24"/>
                <w:szCs w:val="32"/>
                <w:lang w:val="zh"/>
              </w:rPr>
              <w:t xml:space="preserve">（首次确诊）</w:t>
            </w:r>
            <w:r/>
          </w:p>
        </w:tc>
        <w:tc>
          <w:tcPr>
            <w:tcW w:w="5039" w:type="dxa"/>
            <w:vAlign w:val="center"/>
            <w:textDirection w:val="lrTb"/>
            <w:noWrap w:val="false"/>
          </w:tcPr>
          <w:p>
            <w:pPr>
              <w:pStyle w:val="1234"/>
              <w:ind w:left="0" w:firstLine="0"/>
              <w:jc w:val="center"/>
              <w:rPr>
                <w:rFonts w:hint="eastAsia" w:ascii="宋体" w:hAnsi="宋体" w:eastAsia="宋体" w:cs="宋体"/>
                <w:u w:val="none"/>
              </w:rPr>
            </w:pPr>
            <w:r>
              <w:rPr>
                <w:rFonts w:hint="eastAsia" w:ascii="宋体" w:hAnsi="宋体" w:eastAsia="宋体" w:cs="宋体"/>
                <w:sz w:val="24"/>
                <w:szCs w:val="32"/>
                <w:u w:val="none"/>
                <w:lang w:val="zh"/>
              </w:rPr>
              <w:t xml:space="preserve">罹患</w:t>
            </w:r>
            <w:r>
              <w:rPr>
                <w:rFonts w:hint="eastAsia" w:ascii="宋体" w:hAnsi="宋体" w:eastAsia="宋体" w:cs="宋体"/>
                <w:sz w:val="24"/>
                <w:szCs w:val="32"/>
                <w:u w:val="none"/>
                <w:lang w:val="en-US" w:eastAsia="zh-CN"/>
              </w:rPr>
              <w:t xml:space="preserve">30</w:t>
            </w:r>
            <w:r>
              <w:rPr>
                <w:rFonts w:hint="eastAsia" w:ascii="宋体" w:hAnsi="宋体" w:eastAsia="宋体" w:cs="宋体"/>
                <w:sz w:val="24"/>
                <w:szCs w:val="32"/>
                <w:u w:val="none"/>
                <w:lang w:val="zh"/>
              </w:rPr>
              <w:t xml:space="preserve">种重大疾病定额给付</w:t>
            </w:r>
            <w:r>
              <w:rPr>
                <w:rFonts w:hint="eastAsia" w:ascii="宋体" w:hAnsi="宋体" w:cs="宋体"/>
                <w:sz w:val="24"/>
                <w:szCs w:val="32"/>
                <w:u w:val="none"/>
                <w:lang w:val="en-US" w:eastAsia="zh-CN"/>
              </w:rPr>
              <w:t xml:space="preserve">2</w:t>
            </w:r>
            <w:r>
              <w:rPr>
                <w:rFonts w:hint="eastAsia" w:ascii="宋体" w:hAnsi="宋体" w:eastAsia="宋体" w:cs="宋体"/>
                <w:sz w:val="24"/>
                <w:u w:val="none"/>
              </w:rPr>
              <w:t xml:space="preserve">万元</w:t>
            </w:r>
            <w:r>
              <w:rPr>
                <w:rFonts w:hint="eastAsia" w:ascii="宋体" w:hAnsi="宋体" w:eastAsia="宋体" w:cs="宋体"/>
                <w:sz w:val="24"/>
                <w:szCs w:val="32"/>
                <w:u w:val="none"/>
                <w:lang w:val="zh"/>
              </w:rPr>
              <w:t xml:space="preserve">，3种轻度疾病定额给付</w:t>
            </w:r>
            <w:r>
              <w:rPr>
                <w:rFonts w:hint="eastAsia" w:ascii="宋体" w:hAnsi="宋体" w:cs="宋体"/>
                <w:sz w:val="24"/>
                <w:szCs w:val="32"/>
                <w:u w:val="none"/>
                <w:lang w:val="en-US" w:eastAsia="zh-CN"/>
              </w:rPr>
              <w:t xml:space="preserve">5</w:t>
            </w:r>
            <w:r>
              <w:rPr>
                <w:rFonts w:hint="eastAsia" w:ascii="宋体" w:hAnsi="宋体" w:eastAsia="宋体" w:cs="宋体"/>
                <w:sz w:val="24"/>
                <w:szCs w:val="32"/>
                <w:u w:val="none"/>
                <w:lang w:val="en-US" w:eastAsia="zh-CN"/>
              </w:rPr>
              <w:t xml:space="preserve">000</w:t>
            </w:r>
            <w:r>
              <w:rPr>
                <w:rFonts w:hint="eastAsia" w:ascii="宋体" w:hAnsi="宋体" w:eastAsia="宋体" w:cs="宋体"/>
                <w:sz w:val="24"/>
                <w:u w:val="none"/>
              </w:rPr>
              <w:t xml:space="preserve">元</w:t>
            </w:r>
            <w:r/>
          </w:p>
        </w:tc>
      </w:tr>
      <w:tr>
        <w:trPr>
          <w:cantSplit/>
          <w:jc w:val="center"/>
          <w:trHeight w:val="818"/>
        </w:trPr>
        <w:tc>
          <w:tcPr>
            <w:tcW w:w="1338" w:type="dxa"/>
            <w:vAlign w:val="center"/>
            <w:textDirection w:val="lrTb"/>
            <w:noWrap w:val="false"/>
          </w:tcPr>
          <w:p>
            <w:pPr>
              <w:pStyle w:val="1199"/>
              <w:jc w:val="left"/>
              <w:rPr>
                <w:rFonts w:hint="eastAsia" w:ascii="宋体" w:hAnsi="宋体" w:eastAsia="宋体" w:cs="宋体"/>
                <w:sz w:val="24"/>
              </w:rPr>
            </w:pPr>
            <w:r>
              <w:rPr>
                <w:rFonts w:hint="eastAsia" w:ascii="宋体" w:hAnsi="宋体" w:eastAsia="宋体" w:cs="宋体"/>
                <w:sz w:val="24"/>
                <w:szCs w:val="32"/>
                <w:lang w:val="zh"/>
              </w:rPr>
              <w:t xml:space="preserve">重疾住院津贴</w:t>
            </w:r>
            <w:r/>
          </w:p>
        </w:tc>
        <w:tc>
          <w:tcPr>
            <w:tcW w:w="2071" w:type="dxa"/>
            <w:vAlign w:val="center"/>
            <w:textDirection w:val="lrTb"/>
            <w:noWrap w:val="false"/>
          </w:tcPr>
          <w:p>
            <w:pPr>
              <w:pStyle w:val="1199"/>
              <w:jc w:val="left"/>
              <w:rPr>
                <w:rFonts w:hint="eastAsia" w:ascii="宋体" w:hAnsi="宋体" w:eastAsia="宋体" w:cs="宋体"/>
              </w:rPr>
            </w:pPr>
            <w:r>
              <w:rPr>
                <w:rFonts w:hint="eastAsia" w:ascii="宋体" w:hAnsi="宋体" w:eastAsia="宋体" w:cs="宋体"/>
                <w:sz w:val="24"/>
                <w:szCs w:val="32"/>
                <w:lang w:val="zh"/>
              </w:rPr>
              <w:t xml:space="preserve">重大疾病住院医疗定额补贴（首次确诊）</w:t>
            </w:r>
            <w:r/>
          </w:p>
        </w:tc>
        <w:tc>
          <w:tcPr>
            <w:tcW w:w="5039" w:type="dxa"/>
            <w:vAlign w:val="center"/>
            <w:textDirection w:val="lrTb"/>
            <w:noWrap w:val="false"/>
          </w:tcPr>
          <w:p>
            <w:pPr>
              <w:pStyle w:val="1199"/>
              <w:jc w:val="center"/>
              <w:widowControl/>
              <w:rPr>
                <w:rFonts w:hint="eastAsia" w:ascii="宋体" w:hAnsi="宋体" w:eastAsia="宋体" w:cs="宋体"/>
              </w:rPr>
            </w:pPr>
            <w:r>
              <w:rPr>
                <w:rFonts w:hint="eastAsia" w:ascii="宋体" w:hAnsi="宋体" w:eastAsia="宋体" w:cs="宋体"/>
                <w:sz w:val="24"/>
                <w:u w:val="single"/>
                <w:lang w:val="en-US" w:eastAsia="zh-CN"/>
              </w:rPr>
              <w:t xml:space="preserve">填写</w:t>
            </w:r>
            <w:r>
              <w:rPr>
                <w:rFonts w:hint="eastAsia" w:ascii="宋体" w:hAnsi="宋体" w:eastAsia="宋体" w:cs="宋体"/>
                <w:sz w:val="24"/>
              </w:rPr>
              <w:t xml:space="preserve">元/天，无免赔天数，全年最高赔付180天。</w:t>
            </w:r>
            <w:r/>
          </w:p>
        </w:tc>
      </w:tr>
    </w:tbl>
    <w:p>
      <w:pPr>
        <w:keepLines w:val="0"/>
        <w:keepNext w:val="0"/>
        <w:pageBreakBefore w:val="0"/>
        <w:spacing w:before="181" w:line="360" w:lineRule="auto"/>
        <w:widowControl/>
        <w:rPr>
          <w:rFonts w:hint="default" w:ascii="宋体" w:hAnsi="宋体" w:eastAsia="宋体" w:cs="宋体"/>
          <w:sz w:val="24"/>
          <w:szCs w:val="24"/>
          <w:lang w:val="en-US" w:eastAsia="zh-CN"/>
        </w:rPr>
        <w:outlineLvl w:val="9"/>
      </w:pPr>
      <w:r>
        <w:rPr>
          <w:rFonts w:hint="eastAsia" w:ascii="宋体" w:hAnsi="宋体" w:cs="宋体"/>
          <w:sz w:val="24"/>
          <w:szCs w:val="24"/>
          <w:lang w:val="en-US" w:eastAsia="zh-CN"/>
        </w:rPr>
        <w:t xml:space="preserve">以上为方案内容，报价填写下表：</w:t>
      </w:r>
      <w:r/>
    </w:p>
    <w:tbl>
      <w:tblPr>
        <w:tblStyle w:val="1025"/>
        <w:tblW w:w="84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09"/>
        <w:gridCol w:w="5039"/>
      </w:tblGrid>
      <w:tr>
        <w:trPr>
          <w:cantSplit/>
          <w:jc w:val="center"/>
          <w:trHeight w:val="818"/>
        </w:trPr>
        <w:tc>
          <w:tcPr>
            <w:tcW w:w="3409" w:type="dxa"/>
            <w:vAlign w:val="center"/>
            <w:textDirection w:val="lrTb"/>
            <w:noWrap w:val="false"/>
          </w:tcPr>
          <w:p>
            <w:pPr>
              <w:pStyle w:val="1199"/>
              <w:jc w:val="left"/>
              <w:rPr>
                <w:rFonts w:hint="eastAsia" w:ascii="宋体" w:hAnsi="宋体" w:eastAsia="宋体" w:cs="宋体"/>
                <w:sz w:val="24"/>
                <w:szCs w:val="32"/>
                <w:lang w:val="zh"/>
              </w:rPr>
            </w:pPr>
            <w:r>
              <w:rPr>
                <w:rFonts w:hint="eastAsia" w:ascii="宋体" w:hAnsi="宋体" w:eastAsia="宋体" w:cs="宋体"/>
                <w:sz w:val="24"/>
                <w:lang w:val="en-US" w:eastAsia="zh-CN"/>
              </w:rPr>
              <w:t xml:space="preserve">重疾住院津贴报价（小写）：</w:t>
            </w:r>
            <w:r/>
          </w:p>
        </w:tc>
        <w:tc>
          <w:tcPr>
            <w:tcW w:w="5039" w:type="dxa"/>
            <w:vAlign w:val="center"/>
            <w:textDirection w:val="lrTb"/>
            <w:noWrap w:val="false"/>
          </w:tcPr>
          <w:p>
            <w:pPr>
              <w:pStyle w:val="1199"/>
              <w:jc w:val="left"/>
              <w:widowControl/>
              <w:rPr>
                <w:rFonts w:hint="eastAsia" w:ascii="宋体" w:hAnsi="宋体" w:eastAsia="宋体" w:cs="宋体"/>
                <w:sz w:val="24"/>
                <w:u w:val="single"/>
                <w:lang w:val="en-US" w:eastAsia="zh-CN"/>
              </w:rPr>
            </w:pPr>
            <w:r>
              <w:rPr>
                <w:rFonts w:hint="eastAsia" w:ascii="宋体" w:hAnsi="宋体" w:eastAsia="宋体" w:cs="宋体"/>
                <w:sz w:val="24"/>
                <w:u w:val="single"/>
                <w:lang w:val="en-US" w:eastAsia="zh-CN"/>
              </w:rPr>
              <w:t xml:space="preserve">填写</w:t>
            </w:r>
            <w:r>
              <w:rPr>
                <w:rFonts w:hint="eastAsia" w:ascii="宋体" w:hAnsi="宋体" w:eastAsia="宋体" w:cs="宋体"/>
                <w:sz w:val="24"/>
              </w:rPr>
              <w:t xml:space="preserve">元/天</w:t>
            </w:r>
            <w:r/>
          </w:p>
        </w:tc>
      </w:tr>
      <w:tr>
        <w:trPr>
          <w:cantSplit/>
          <w:jc w:val="center"/>
          <w:trHeight w:val="818"/>
        </w:trPr>
        <w:tc>
          <w:tcPr>
            <w:tcW w:w="3409" w:type="dxa"/>
            <w:vAlign w:val="center"/>
            <w:textDirection w:val="lrTb"/>
            <w:noWrap w:val="false"/>
          </w:tcPr>
          <w:p>
            <w:pPr>
              <w:pStyle w:val="1199"/>
              <w:jc w:val="left"/>
              <w:rPr>
                <w:rFonts w:hint="eastAsia" w:ascii="宋体" w:hAnsi="宋体" w:eastAsia="宋体" w:cs="宋体"/>
                <w:sz w:val="24"/>
                <w:lang w:val="en-US" w:eastAsia="zh-CN"/>
              </w:rPr>
            </w:pPr>
            <w:r>
              <w:rPr>
                <w:rFonts w:hint="eastAsia" w:ascii="宋体" w:hAnsi="宋体" w:eastAsia="宋体" w:cs="宋体"/>
                <w:sz w:val="24"/>
                <w:lang w:val="en-US" w:eastAsia="zh-CN"/>
              </w:rPr>
              <w:t xml:space="preserve">重疾住院津贴报价（大写）：</w:t>
            </w:r>
            <w:r/>
          </w:p>
        </w:tc>
        <w:tc>
          <w:tcPr>
            <w:tcW w:w="5039" w:type="dxa"/>
            <w:vAlign w:val="center"/>
            <w:textDirection w:val="lrTb"/>
            <w:noWrap w:val="false"/>
          </w:tcPr>
          <w:p>
            <w:pPr>
              <w:pStyle w:val="1199"/>
              <w:jc w:val="left"/>
              <w:widowControl/>
              <w:rPr>
                <w:rFonts w:hint="eastAsia" w:ascii="宋体" w:hAnsi="宋体" w:eastAsia="宋体" w:cs="宋体"/>
                <w:sz w:val="24"/>
                <w:u w:val="single"/>
                <w:lang w:val="en-US" w:eastAsia="zh-CN"/>
              </w:rPr>
            </w:pPr>
            <w:r>
              <w:rPr>
                <w:rFonts w:hint="eastAsia" w:ascii="宋体" w:hAnsi="宋体" w:eastAsia="宋体" w:cs="宋体"/>
                <w:sz w:val="24"/>
                <w:u w:val="single"/>
                <w:lang w:val="en-US" w:eastAsia="zh-CN"/>
              </w:rPr>
              <w:t xml:space="preserve">填写</w:t>
            </w:r>
            <w:r>
              <w:rPr>
                <w:rFonts w:hint="eastAsia" w:ascii="宋体" w:hAnsi="宋体" w:eastAsia="宋体" w:cs="宋体"/>
                <w:sz w:val="24"/>
              </w:rPr>
              <w:t xml:space="preserve">元/天</w:t>
            </w:r>
            <w:r/>
          </w:p>
        </w:tc>
      </w:tr>
    </w:tbl>
    <w:p>
      <w:pPr>
        <w:pStyle w:val="1199"/>
        <w:rPr>
          <w:rFonts w:hint="eastAsia" w:ascii="宋体" w:hAnsi="宋体" w:eastAsia="宋体" w:cs="宋体"/>
          <w:sz w:val="24"/>
        </w:rPr>
      </w:pPr>
      <w:r>
        <w:rPr>
          <w:rFonts w:hint="eastAsia" w:ascii="宋体" w:hAnsi="宋体" w:eastAsia="宋体" w:cs="宋体"/>
          <w:sz w:val="24"/>
        </w:rPr>
      </w:r>
      <w:r/>
    </w:p>
    <w:p>
      <w:pPr>
        <w:pStyle w:val="1199"/>
        <w:rPr>
          <w:rFonts w:hint="eastAsia" w:ascii="宋体" w:hAnsi="宋体" w:eastAsia="宋体" w:cs="宋体"/>
          <w:sz w:val="24"/>
        </w:rPr>
      </w:pPr>
      <w:r>
        <w:rPr>
          <w:rFonts w:hint="eastAsia" w:ascii="宋体" w:hAnsi="宋体" w:eastAsia="宋体" w:cs="宋体"/>
          <w:sz w:val="24"/>
        </w:rPr>
        <w:t xml:space="preserve">注：</w:t>
      </w:r>
      <w:r/>
    </w:p>
    <w:p>
      <w:pPr>
        <w:pStyle w:val="1199"/>
        <w:ind w:firstLine="480"/>
        <w:rPr>
          <w:rFonts w:hint="eastAsia" w:ascii="宋体" w:hAnsi="宋体" w:eastAsia="宋体" w:cs="宋体"/>
          <w:sz w:val="24"/>
        </w:rPr>
      </w:pPr>
      <w:r>
        <w:rPr>
          <w:rFonts w:hint="eastAsia" w:ascii="宋体" w:hAnsi="宋体" w:eastAsia="宋体" w:cs="宋体"/>
          <w:sz w:val="24"/>
        </w:rPr>
        <w:t xml:space="preserve">1、投标人所报保额明显高于其他通过符合性审查投标人的保额，有可能影响诚信履约的，必须在评标现场合理的时间内提供书面说明，必要时须提交相关证明材料；投标人不能证明其所报保额合理性的，评标委员会将其作为无效投标处理。</w:t>
      </w:r>
      <w:r/>
    </w:p>
    <w:p>
      <w:pPr>
        <w:pStyle w:val="1199"/>
        <w:ind w:firstLine="480"/>
        <w:rPr>
          <w:rFonts w:hint="eastAsia" w:ascii="宋体" w:hAnsi="宋体" w:eastAsia="宋体" w:cs="宋体"/>
          <w:sz w:val="24"/>
          <w:szCs w:val="32"/>
          <w:lang w:val="en-US" w:eastAsia="zh-CN"/>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投标人的投标报价</w:t>
      </w:r>
      <w:r>
        <w:rPr>
          <w:rFonts w:hint="eastAsia" w:ascii="宋体" w:hAnsi="宋体" w:eastAsia="宋体" w:cs="宋体"/>
          <w:sz w:val="24"/>
        </w:rPr>
        <w:t xml:space="preserve">=</w:t>
      </w:r>
      <w:r>
        <w:rPr>
          <w:rFonts w:hint="eastAsia" w:ascii="宋体" w:hAnsi="宋体" w:eastAsia="宋体" w:cs="宋体"/>
          <w:sz w:val="24"/>
          <w:szCs w:val="32"/>
          <w:lang w:val="zh"/>
        </w:rPr>
        <w:t xml:space="preserve">重大疾病住院医疗定额补贴</w:t>
      </w:r>
      <w:r>
        <w:rPr>
          <w:rFonts w:hint="eastAsia" w:ascii="宋体" w:hAnsi="宋体" w:cs="宋体"/>
          <w:sz w:val="24"/>
          <w:szCs w:val="32"/>
          <w:lang w:val="zh" w:eastAsia="zh-CN"/>
        </w:rPr>
        <w:t xml:space="preserve">（</w:t>
      </w:r>
      <w:r>
        <w:rPr>
          <w:rFonts w:hint="eastAsia" w:ascii="宋体" w:hAnsi="宋体" w:eastAsia="宋体" w:cs="宋体"/>
          <w:sz w:val="24"/>
          <w:szCs w:val="32"/>
          <w:lang w:val="zh"/>
        </w:rPr>
        <w:t xml:space="preserve">元/天</w:t>
      </w:r>
      <w:r>
        <w:rPr>
          <w:rFonts w:hint="eastAsia" w:ascii="宋体" w:hAnsi="宋体" w:cs="宋体"/>
          <w:sz w:val="24"/>
          <w:szCs w:val="32"/>
          <w:lang w:val="en-US" w:eastAsia="zh-CN"/>
        </w:rPr>
        <w:t xml:space="preserve">/人）</w:t>
      </w:r>
      <w:r/>
    </w:p>
    <w:p>
      <w:pPr>
        <w:pStyle w:val="1199"/>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4、因苏采云系统以最低价优先算法自动生成价格分，暂未考虑保险保额报价计算情况，故系统开标时仅显示开标一览表，不显示分项价格表，分项价格表待中标结束后向所有投标人公开。</w:t>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pStyle w:val="1226"/>
        <w:ind w:firstLine="3120"/>
        <w:spacing w:line="360" w:lineRule="auto"/>
        <w:rPr>
          <w:rFonts w:hint="eastAsia" w:ascii="宋体" w:hAnsi="宋体" w:eastAsia="宋体" w:cs="宋体"/>
          <w:sz w:val="24"/>
        </w:rPr>
      </w:pPr>
      <w:r>
        <w:rPr>
          <w:rFonts w:hint="eastAsia" w:ascii="宋体" w:hAnsi="宋体" w:eastAsia="宋体" w:cs="宋体"/>
          <w:sz w:val="24"/>
        </w:rPr>
        <w:t xml:space="preserve">日期：   </w:t>
      </w:r>
      <w:r>
        <w:rPr>
          <w:rFonts w:hint="eastAsia" w:ascii="宋体" w:hAnsi="宋体" w:eastAsia="宋体" w:cs="宋体"/>
          <w:sz w:val="24"/>
          <w:lang w:val="en-US" w:eastAsia="zh-CN"/>
        </w:rPr>
        <w:t xml:space="preserve"> </w:t>
      </w:r>
      <w:r>
        <w:rPr>
          <w:rFonts w:hint="eastAsia" w:ascii="宋体" w:hAnsi="宋体" w:eastAsia="宋体" w:cs="宋体"/>
          <w:sz w:val="24"/>
        </w:rPr>
        <w:t xml:space="preserve">年 </w:t>
      </w:r>
      <w:r>
        <w:rPr>
          <w:rFonts w:hint="eastAsia" w:ascii="宋体" w:hAnsi="宋体" w:eastAsia="宋体" w:cs="宋体"/>
          <w:sz w:val="24"/>
          <w:lang w:val="en-US" w:eastAsia="zh-CN"/>
        </w:rPr>
        <w:t xml:space="preserve">  </w:t>
      </w:r>
      <w:r>
        <w:rPr>
          <w:rFonts w:hint="eastAsia" w:ascii="宋体" w:hAnsi="宋体" w:eastAsia="宋体" w:cs="宋体"/>
          <w:sz w:val="24"/>
        </w:rPr>
        <w:t xml:space="preserve"> 月  </w:t>
      </w:r>
      <w:r>
        <w:rPr>
          <w:rFonts w:hint="eastAsia" w:ascii="宋体" w:hAnsi="宋体" w:eastAsia="宋体" w:cs="宋体"/>
          <w:sz w:val="24"/>
          <w:lang w:val="en-US" w:eastAsia="zh-CN"/>
        </w:rPr>
        <w:t xml:space="preserve">  </w:t>
      </w:r>
      <w:r>
        <w:rPr>
          <w:rFonts w:hint="eastAsia" w:ascii="宋体" w:hAnsi="宋体" w:eastAsia="宋体" w:cs="宋体"/>
          <w:sz w:val="24"/>
        </w:rPr>
        <w:t xml:space="preserve">日</w:t>
      </w:r>
      <w:r/>
    </w:p>
    <w:p>
      <w:pPr>
        <w:pStyle w:val="1199"/>
        <w:ind w:firstLine="560"/>
        <w:jc w:val="center"/>
        <w:keepLines w:val="0"/>
        <w:keepNext w:val="0"/>
        <w:pageBreakBefore/>
        <w:spacing w:line="360" w:lineRule="auto"/>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6.报价承诺书</w:t>
      </w:r>
      <w:r/>
    </w:p>
    <w:p>
      <w:pPr>
        <w:pStyle w:val="1199"/>
        <w:spacing w:line="588" w:lineRule="exact"/>
        <w:rPr>
          <w:rFonts w:hint="eastAsia" w:ascii="宋体" w:hAnsi="宋体" w:eastAsia="宋体" w:cs="宋体"/>
          <w:sz w:val="24"/>
        </w:rPr>
      </w:pPr>
      <w:r>
        <w:rPr>
          <w:rFonts w:hint="eastAsia" w:ascii="宋体" w:hAnsi="宋体" w:eastAsia="宋体" w:cs="宋体"/>
          <w:sz w:val="24"/>
          <w:lang w:eastAsia="zh-CN"/>
        </w:rPr>
        <w:t xml:space="preserve">徐州众信项目管理咨询有限公司</w:t>
      </w:r>
      <w:r>
        <w:rPr>
          <w:rFonts w:hint="eastAsia" w:ascii="宋体" w:hAnsi="宋体" w:eastAsia="宋体" w:cs="宋体"/>
          <w:sz w:val="24"/>
        </w:rPr>
        <w:t xml:space="preserve">：</w:t>
      </w:r>
      <w:r/>
    </w:p>
    <w:p>
      <w:pPr>
        <w:pStyle w:val="1199"/>
        <w:ind w:firstLine="480"/>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文件中涉及的险种条款、费率及相关措辞，均已按照中国银保监会有关规定履行过报批、报备手续。我单位对投标文件中所报保额及费率完全遵循省公司、总公司、中国银保监会或徐州银保监分局的相关规章制度、法律文件及报批、报备手续，特此承诺！</w:t>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pStyle w:val="1226"/>
        <w:ind w:firstLine="3120"/>
        <w:spacing w:line="360" w:lineRule="auto"/>
        <w:rPr>
          <w:rFonts w:hint="eastAsia" w:ascii="宋体" w:hAnsi="宋体" w:eastAsia="宋体" w:cs="宋体"/>
          <w:sz w:val="24"/>
        </w:rPr>
      </w:pPr>
      <w:r>
        <w:rPr>
          <w:rFonts w:hint="eastAsia" w:ascii="宋体" w:hAnsi="宋体" w:eastAsia="宋体" w:cs="宋体"/>
          <w:sz w:val="24"/>
        </w:rPr>
        <w:t xml:space="preserve">日期：   </w:t>
      </w:r>
      <w:r>
        <w:rPr>
          <w:rFonts w:hint="eastAsia" w:ascii="宋体" w:hAnsi="宋体" w:eastAsia="宋体" w:cs="宋体"/>
          <w:sz w:val="24"/>
          <w:lang w:val="en-US" w:eastAsia="zh-CN"/>
        </w:rPr>
        <w:t xml:space="preserve"> </w:t>
      </w:r>
      <w:r>
        <w:rPr>
          <w:rFonts w:hint="eastAsia" w:ascii="宋体" w:hAnsi="宋体" w:eastAsia="宋体" w:cs="宋体"/>
          <w:sz w:val="24"/>
        </w:rPr>
        <w:t xml:space="preserve">年 </w:t>
      </w:r>
      <w:r>
        <w:rPr>
          <w:rFonts w:hint="eastAsia" w:ascii="宋体" w:hAnsi="宋体" w:eastAsia="宋体" w:cs="宋体"/>
          <w:sz w:val="24"/>
          <w:lang w:val="en-US" w:eastAsia="zh-CN"/>
        </w:rPr>
        <w:t xml:space="preserve">  </w:t>
      </w:r>
      <w:r>
        <w:rPr>
          <w:rFonts w:hint="eastAsia" w:ascii="宋体" w:hAnsi="宋体" w:eastAsia="宋体" w:cs="宋体"/>
          <w:sz w:val="24"/>
        </w:rPr>
        <w:t xml:space="preserve"> 月  </w:t>
      </w:r>
      <w:r>
        <w:rPr>
          <w:rFonts w:hint="eastAsia" w:ascii="宋体" w:hAnsi="宋体" w:eastAsia="宋体" w:cs="宋体"/>
          <w:sz w:val="24"/>
          <w:lang w:val="en-US" w:eastAsia="zh-CN"/>
        </w:rPr>
        <w:t xml:space="preserve">  </w:t>
      </w:r>
      <w:r>
        <w:rPr>
          <w:rFonts w:hint="eastAsia" w:ascii="宋体" w:hAnsi="宋体" w:eastAsia="宋体" w:cs="宋体"/>
          <w:sz w:val="24"/>
        </w:rPr>
        <w:t xml:space="preserve">日</w:t>
      </w:r>
      <w:r/>
    </w:p>
    <w:p>
      <w:pPr>
        <w:pStyle w:val="1199"/>
        <w:ind w:firstLine="480"/>
        <w:spacing w:line="588" w:lineRule="exact"/>
        <w:rPr>
          <w:rFonts w:hint="eastAsia" w:ascii="宋体" w:hAnsi="宋体" w:eastAsia="宋体" w:cs="宋体"/>
          <w:sz w:val="24"/>
        </w:rPr>
      </w:pPr>
      <w:r>
        <w:rPr>
          <w:rFonts w:hint="eastAsia" w:ascii="宋体" w:hAnsi="宋体" w:eastAsia="宋体" w:cs="宋体"/>
          <w:sz w:val="24"/>
        </w:rPr>
      </w:r>
      <w:r/>
    </w:p>
    <w:p>
      <w:pPr>
        <w:pStyle w:val="1199"/>
        <w:ind w:firstLine="480"/>
        <w:spacing w:line="588" w:lineRule="exact"/>
        <w:rPr>
          <w:rFonts w:hint="eastAsia" w:ascii="宋体" w:hAnsi="宋体" w:eastAsia="宋体" w:cs="宋体"/>
          <w:sz w:val="24"/>
        </w:rPr>
      </w:pPr>
      <w:r>
        <w:rPr>
          <w:rFonts w:hint="eastAsia" w:ascii="宋体" w:hAnsi="宋体" w:eastAsia="宋体" w:cs="宋体"/>
          <w:sz w:val="24"/>
        </w:rPr>
      </w:r>
      <w:r/>
    </w:p>
    <w:p>
      <w:pPr>
        <w:pStyle w:val="1199"/>
        <w:ind w:firstLine="480"/>
        <w:spacing w:line="588" w:lineRule="exact"/>
        <w:rPr>
          <w:rFonts w:hint="eastAsia" w:ascii="宋体" w:hAnsi="宋体" w:eastAsia="宋体" w:cs="宋体"/>
          <w:sz w:val="24"/>
        </w:rPr>
      </w:pPr>
      <w:r>
        <w:rPr>
          <w:rFonts w:hint="eastAsia" w:ascii="宋体" w:hAnsi="宋体" w:eastAsia="宋体" w:cs="宋体"/>
          <w:sz w:val="24"/>
        </w:rPr>
      </w:r>
      <w:r/>
    </w:p>
    <w:p>
      <w:pPr>
        <w:pStyle w:val="1199"/>
        <w:ind w:firstLine="480"/>
        <w:spacing w:line="588" w:lineRule="exact"/>
        <w:rPr>
          <w:rFonts w:hint="eastAsia" w:ascii="宋体" w:hAnsi="宋体" w:eastAsia="宋体" w:cs="宋体"/>
          <w:sz w:val="24"/>
        </w:rPr>
      </w:pPr>
      <w:r>
        <w:rPr>
          <w:rFonts w:hint="eastAsia" w:ascii="宋体" w:hAnsi="宋体" w:eastAsia="宋体" w:cs="宋体"/>
          <w:sz w:val="24"/>
        </w:rPr>
      </w:r>
      <w:r/>
    </w:p>
    <w:p>
      <w:pPr>
        <w:pStyle w:val="1199"/>
        <w:ind w:firstLine="480"/>
        <w:spacing w:line="588" w:lineRule="exact"/>
        <w:rPr>
          <w:rFonts w:hint="eastAsia" w:ascii="宋体" w:hAnsi="宋体" w:eastAsia="宋体" w:cs="宋体"/>
          <w:sz w:val="24"/>
        </w:rPr>
      </w:pPr>
      <w:r>
        <w:rPr>
          <w:rFonts w:hint="eastAsia" w:ascii="宋体" w:hAnsi="宋体" w:eastAsia="宋体" w:cs="宋体"/>
          <w:sz w:val="24"/>
        </w:rPr>
      </w:r>
      <w:r/>
    </w:p>
    <w:p>
      <w:pPr>
        <w:pStyle w:val="1199"/>
        <w:ind w:firstLine="480"/>
        <w:spacing w:line="588" w:lineRule="exact"/>
        <w:rPr>
          <w:rFonts w:hint="eastAsia" w:ascii="宋体" w:hAnsi="宋体" w:eastAsia="宋体" w:cs="宋体"/>
          <w:sz w:val="24"/>
        </w:rPr>
      </w:pPr>
      <w:r>
        <w:rPr>
          <w:rFonts w:hint="eastAsia" w:ascii="宋体" w:hAnsi="宋体" w:eastAsia="宋体" w:cs="宋体"/>
          <w:sz w:val="24"/>
        </w:rPr>
      </w:r>
      <w:r/>
    </w:p>
    <w:p>
      <w:pPr>
        <w:pStyle w:val="1199"/>
        <w:ind w:firstLine="480"/>
        <w:spacing w:line="588" w:lineRule="exact"/>
        <w:rPr>
          <w:rFonts w:hint="eastAsia" w:ascii="宋体" w:hAnsi="宋体" w:eastAsia="宋体" w:cs="宋体"/>
          <w:sz w:val="24"/>
        </w:rPr>
      </w:pPr>
      <w:r>
        <w:rPr>
          <w:rFonts w:hint="eastAsia" w:ascii="宋体" w:hAnsi="宋体" w:eastAsia="宋体" w:cs="宋体"/>
          <w:sz w:val="24"/>
        </w:rPr>
      </w:r>
      <w:r/>
    </w:p>
    <w:p>
      <w:pPr>
        <w:pStyle w:val="1199"/>
        <w:ind w:firstLine="480"/>
        <w:spacing w:line="588" w:lineRule="exact"/>
        <w:rPr>
          <w:rFonts w:hint="eastAsia" w:ascii="宋体" w:hAnsi="宋体" w:eastAsia="宋体" w:cs="宋体"/>
          <w:sz w:val="24"/>
        </w:rPr>
      </w:pPr>
      <w:r>
        <w:rPr>
          <w:rFonts w:hint="eastAsia" w:ascii="宋体" w:hAnsi="宋体" w:eastAsia="宋体" w:cs="宋体"/>
          <w:sz w:val="24"/>
        </w:rPr>
      </w:r>
      <w:r/>
    </w:p>
    <w:p>
      <w:pPr>
        <w:pStyle w:val="1199"/>
        <w:ind w:firstLine="480"/>
        <w:spacing w:line="588" w:lineRule="exact"/>
        <w:rPr>
          <w:rFonts w:hint="eastAsia" w:ascii="宋体" w:hAnsi="宋体" w:eastAsia="宋体" w:cs="宋体"/>
          <w:sz w:val="24"/>
        </w:rPr>
      </w:pPr>
      <w:r>
        <w:rPr>
          <w:rFonts w:hint="eastAsia" w:ascii="宋体" w:hAnsi="宋体" w:eastAsia="宋体" w:cs="宋体"/>
          <w:sz w:val="24"/>
        </w:rPr>
      </w:r>
      <w:r/>
    </w:p>
    <w:p>
      <w:pPr>
        <w:pStyle w:val="1199"/>
        <w:ind w:firstLine="480"/>
        <w:spacing w:line="588" w:lineRule="exact"/>
        <w:rPr>
          <w:rFonts w:hint="eastAsia" w:ascii="宋体" w:hAnsi="宋体" w:eastAsia="宋体" w:cs="宋体"/>
          <w:sz w:val="24"/>
        </w:rPr>
      </w:pPr>
      <w:r>
        <w:rPr>
          <w:rFonts w:hint="eastAsia" w:ascii="宋体" w:hAnsi="宋体" w:eastAsia="宋体" w:cs="宋体"/>
          <w:sz w:val="24"/>
        </w:rPr>
      </w:r>
      <w:r/>
    </w:p>
    <w:p>
      <w:pPr>
        <w:pStyle w:val="1199"/>
        <w:ind w:firstLine="480"/>
        <w:spacing w:line="588" w:lineRule="exact"/>
        <w:rPr>
          <w:rFonts w:hint="eastAsia" w:ascii="宋体" w:hAnsi="宋体" w:eastAsia="宋体" w:cs="宋体"/>
          <w:sz w:val="24"/>
        </w:rPr>
      </w:pPr>
      <w:r>
        <w:rPr>
          <w:rFonts w:hint="eastAsia" w:ascii="宋体" w:hAnsi="宋体" w:eastAsia="宋体" w:cs="宋体"/>
          <w:sz w:val="24"/>
        </w:rPr>
      </w:r>
      <w:r/>
    </w:p>
    <w:p>
      <w:pPr>
        <w:pStyle w:val="1199"/>
        <w:ind w:firstLine="480"/>
        <w:spacing w:line="588" w:lineRule="exact"/>
        <w:rPr>
          <w:rFonts w:hint="eastAsia" w:ascii="宋体" w:hAnsi="宋体" w:eastAsia="宋体" w:cs="宋体"/>
          <w:sz w:val="24"/>
        </w:rPr>
      </w:pPr>
      <w:r>
        <w:rPr>
          <w:rFonts w:hint="eastAsia" w:ascii="宋体" w:hAnsi="宋体" w:eastAsia="宋体" w:cs="宋体"/>
          <w:sz w:val="24"/>
        </w:rPr>
      </w:r>
      <w:r/>
    </w:p>
    <w:p>
      <w:pPr>
        <w:pStyle w:val="1199"/>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99"/>
        <w:ind w:firstLine="560"/>
        <w:jc w:val="center"/>
        <w:keepLines w:val="0"/>
        <w:keepNext w:val="0"/>
        <w:pageBreakBefore/>
        <w:spacing w:line="360" w:lineRule="auto"/>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7.投标人参加政府采购活动前3年内在经营活动中没有重大违法记录的书面声明</w:t>
      </w:r>
      <w:r/>
    </w:p>
    <w:p>
      <w:pPr>
        <w:pStyle w:val="1219"/>
        <w:ind w:firstLine="480"/>
        <w:keepLines w:val="0"/>
        <w:keepNext w:val="0"/>
        <w:pageBreakBefore w:val="0"/>
        <w:spacing w:before="0" w:beforeAutospacing="0" w:after="0" w:afterAutospacing="0" w:line="450" w:lineRule="exact"/>
        <w:widowControl/>
        <w:rPr>
          <w:rFonts w:hint="eastAsia" w:ascii="宋体" w:hAnsi="宋体" w:eastAsia="宋体" w:cs="宋体"/>
        </w:rPr>
      </w:pPr>
      <w:r>
        <w:rPr>
          <w:rFonts w:hint="eastAsia" w:ascii="宋体" w:hAnsi="宋体" w:eastAsia="宋体" w:cs="宋体"/>
        </w:rPr>
      </w:r>
      <w:r/>
    </w:p>
    <w:p>
      <w:pPr>
        <w:pStyle w:val="1219"/>
        <w:ind w:firstLine="480"/>
        <w:keepLines w:val="0"/>
        <w:keepNext w:val="0"/>
        <w:pageBreakBefore w:val="0"/>
        <w:spacing w:before="0" w:beforeAutospacing="0" w:after="0" w:afterAutospacing="0" w:line="450" w:lineRule="exact"/>
        <w:widowControl/>
        <w:rPr>
          <w:rFonts w:hint="eastAsia" w:ascii="宋体" w:hAnsi="宋体" w:eastAsia="宋体" w:cs="宋体"/>
        </w:rPr>
      </w:pPr>
      <w:r>
        <w:rPr>
          <w:rFonts w:hint="eastAsia" w:ascii="宋体" w:hAnsi="宋体" w:eastAsia="宋体" w:cs="宋体"/>
        </w:rPr>
        <w:t xml:space="preserve">我单位在参加</w:t>
      </w:r>
      <w:r>
        <w:rPr>
          <w:rFonts w:hint="eastAsia" w:cs="宋体"/>
          <w:lang w:eastAsia="zh-CN"/>
        </w:rPr>
        <w:t xml:space="preserve">丰县残疾人团体专属保险</w:t>
      </w:r>
      <w:r>
        <w:rPr>
          <w:rFonts w:hint="eastAsia" w:ascii="宋体" w:hAnsi="宋体" w:eastAsia="宋体" w:cs="宋体"/>
        </w:rPr>
        <w:t xml:space="preserve">项目（项目编号：</w:t>
      </w:r>
      <w:r>
        <w:rPr>
          <w:rFonts w:hint="eastAsia" w:cs="宋体"/>
          <w:lang w:eastAsia="zh-CN"/>
        </w:rPr>
        <w:t xml:space="preserve">JSZC-320321-XZZX-G2025-0012</w:t>
      </w:r>
      <w:r>
        <w:rPr>
          <w:rFonts w:hint="eastAsia" w:ascii="宋体" w:hAnsi="宋体" w:eastAsia="宋体" w:cs="宋体"/>
        </w:rPr>
        <w:t xml:space="preserve">）政府采购活动前3年内在经营活动中没有重大违法记录。重大违法记录是指因违法经营受到刑事处罚或者责令停产停业、吊销许可证或者执照、较大数额罚款等行政处罚。</w:t>
      </w:r>
      <w:r/>
    </w:p>
    <w:p>
      <w:pPr>
        <w:pStyle w:val="1219"/>
        <w:ind w:firstLine="480"/>
        <w:keepLines w:val="0"/>
        <w:keepNext w:val="0"/>
        <w:pageBreakBefore w:val="0"/>
        <w:spacing w:before="0" w:beforeAutospacing="0" w:after="0" w:afterAutospacing="0" w:line="450" w:lineRule="exact"/>
        <w:widowControl/>
        <w:rPr>
          <w:rFonts w:hint="eastAsia" w:ascii="宋体" w:hAnsi="宋体" w:eastAsia="宋体" w:cs="宋体"/>
        </w:rPr>
      </w:pPr>
      <w:r>
        <w:rPr>
          <w:rFonts w:hint="eastAsia" w:ascii="宋体" w:hAnsi="宋体" w:eastAsia="宋体" w:cs="宋体"/>
        </w:rPr>
        <w:t xml:space="preserve">我单位对上述声明的真实性负责。如有虚假，将依法承担相应责任。</w:t>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pStyle w:val="1226"/>
        <w:ind w:firstLine="3120"/>
        <w:spacing w:line="360" w:lineRule="auto"/>
        <w:rPr>
          <w:rFonts w:hint="eastAsia" w:ascii="宋体" w:hAnsi="宋体" w:eastAsia="宋体" w:cs="宋体"/>
          <w:sz w:val="24"/>
        </w:rPr>
      </w:pPr>
      <w:r>
        <w:rPr>
          <w:rFonts w:hint="eastAsia" w:ascii="宋体" w:hAnsi="宋体" w:eastAsia="宋体" w:cs="宋体"/>
          <w:sz w:val="24"/>
        </w:rPr>
        <w:t xml:space="preserve">日期：   </w:t>
      </w:r>
      <w:r>
        <w:rPr>
          <w:rFonts w:hint="eastAsia" w:ascii="宋体" w:hAnsi="宋体" w:eastAsia="宋体" w:cs="宋体"/>
          <w:sz w:val="24"/>
          <w:lang w:val="en-US" w:eastAsia="zh-CN"/>
        </w:rPr>
        <w:t xml:space="preserve"> </w:t>
      </w:r>
      <w:r>
        <w:rPr>
          <w:rFonts w:hint="eastAsia" w:ascii="宋体" w:hAnsi="宋体" w:eastAsia="宋体" w:cs="宋体"/>
          <w:sz w:val="24"/>
        </w:rPr>
        <w:t xml:space="preserve">年 </w:t>
      </w:r>
      <w:r>
        <w:rPr>
          <w:rFonts w:hint="eastAsia" w:ascii="宋体" w:hAnsi="宋体" w:eastAsia="宋体" w:cs="宋体"/>
          <w:sz w:val="24"/>
          <w:lang w:val="en-US" w:eastAsia="zh-CN"/>
        </w:rPr>
        <w:t xml:space="preserve">  </w:t>
      </w:r>
      <w:r>
        <w:rPr>
          <w:rFonts w:hint="eastAsia" w:ascii="宋体" w:hAnsi="宋体" w:eastAsia="宋体" w:cs="宋体"/>
          <w:sz w:val="24"/>
        </w:rPr>
        <w:t xml:space="preserve"> 月  </w:t>
      </w:r>
      <w:r>
        <w:rPr>
          <w:rFonts w:hint="eastAsia" w:ascii="宋体" w:hAnsi="宋体" w:eastAsia="宋体" w:cs="宋体"/>
          <w:sz w:val="24"/>
          <w:lang w:val="en-US" w:eastAsia="zh-CN"/>
        </w:rPr>
        <w:t xml:space="preserve">  </w:t>
      </w:r>
      <w:r>
        <w:rPr>
          <w:rFonts w:hint="eastAsia" w:ascii="宋体" w:hAnsi="宋体" w:eastAsia="宋体" w:cs="宋体"/>
          <w:sz w:val="24"/>
        </w:rPr>
        <w:t xml:space="preserve">日</w:t>
      </w:r>
      <w:r/>
    </w:p>
    <w:p>
      <w:pPr>
        <w:pStyle w:val="1199"/>
        <w:ind w:firstLine="3990"/>
        <w:spacing w:line="360" w:lineRule="auto"/>
        <w:rPr>
          <w:rFonts w:hint="eastAsia" w:ascii="宋体" w:hAnsi="宋体" w:eastAsia="宋体" w:cs="宋体"/>
        </w:rPr>
      </w:pPr>
      <w:r>
        <w:rPr>
          <w:rFonts w:hint="eastAsia" w:ascii="宋体" w:hAnsi="宋体" w:eastAsia="宋体" w:cs="宋体"/>
        </w:rPr>
      </w:r>
      <w:r/>
    </w:p>
    <w:p>
      <w:pPr>
        <w:pStyle w:val="1199"/>
        <w:ind w:firstLine="3990"/>
        <w:spacing w:line="360" w:lineRule="auto"/>
        <w:rPr>
          <w:rFonts w:hint="eastAsia" w:ascii="宋体" w:hAnsi="宋体" w:eastAsia="宋体" w:cs="宋体"/>
        </w:rPr>
      </w:pPr>
      <w:r>
        <w:rPr>
          <w:rFonts w:hint="eastAsia" w:ascii="宋体" w:hAnsi="宋体" w:eastAsia="宋体" w:cs="宋体"/>
        </w:rPr>
      </w:r>
      <w:r/>
    </w:p>
    <w:p>
      <w:pPr>
        <w:pStyle w:val="1199"/>
        <w:ind w:firstLine="3990"/>
        <w:spacing w:line="360" w:lineRule="auto"/>
        <w:rPr>
          <w:rFonts w:hint="eastAsia" w:ascii="宋体" w:hAnsi="宋体" w:eastAsia="宋体" w:cs="宋体"/>
        </w:rPr>
      </w:pPr>
      <w:r>
        <w:rPr>
          <w:rFonts w:hint="eastAsia" w:ascii="宋体" w:hAnsi="宋体" w:eastAsia="宋体" w:cs="宋体"/>
        </w:rPr>
      </w:r>
      <w:r/>
    </w:p>
    <w:p>
      <w:pPr>
        <w:pStyle w:val="1199"/>
        <w:ind w:firstLine="3990"/>
        <w:spacing w:line="360" w:lineRule="auto"/>
        <w:rPr>
          <w:rFonts w:hint="eastAsia" w:ascii="宋体" w:hAnsi="宋体" w:eastAsia="宋体" w:cs="宋体"/>
        </w:rPr>
      </w:pPr>
      <w:r>
        <w:rPr>
          <w:rFonts w:hint="eastAsia" w:ascii="宋体" w:hAnsi="宋体" w:eastAsia="宋体" w:cs="宋体"/>
        </w:rPr>
      </w:r>
      <w:r/>
    </w:p>
    <w:p>
      <w:pPr>
        <w:pStyle w:val="1199"/>
        <w:jc w:val="center"/>
        <w:spacing w:line="588" w:lineRule="exact"/>
        <w:rPr>
          <w:rFonts w:hint="eastAsia" w:ascii="宋体" w:hAnsi="宋体" w:eastAsia="宋体" w:cs="宋体"/>
          <w:sz w:val="28"/>
          <w:szCs w:val="28"/>
        </w:rPr>
      </w:pPr>
      <w:r>
        <w:rPr>
          <w:rFonts w:hint="eastAsia" w:ascii="宋体" w:hAnsi="宋体" w:eastAsia="宋体" w:cs="宋体"/>
          <w:sz w:val="28"/>
          <w:szCs w:val="28"/>
        </w:rPr>
      </w:r>
      <w:r/>
    </w:p>
    <w:p>
      <w:pPr>
        <w:pStyle w:val="1199"/>
        <w:spacing w:line="588" w:lineRule="exact"/>
        <w:rPr>
          <w:rFonts w:hint="eastAsia" w:ascii="宋体" w:hAnsi="宋体" w:eastAsia="宋体" w:cs="宋体"/>
          <w:sz w:val="28"/>
          <w:szCs w:val="28"/>
        </w:rPr>
      </w:pPr>
      <w:r>
        <w:rPr>
          <w:rFonts w:hint="eastAsia" w:ascii="宋体" w:hAnsi="宋体" w:eastAsia="宋体" w:cs="宋体"/>
          <w:sz w:val="28"/>
          <w:szCs w:val="28"/>
        </w:rPr>
      </w:r>
      <w:r/>
    </w:p>
    <w:p>
      <w:pPr>
        <w:pStyle w:val="1199"/>
        <w:spacing w:line="588" w:lineRule="exact"/>
        <w:rPr>
          <w:rFonts w:hint="eastAsia" w:ascii="宋体" w:hAnsi="宋体" w:eastAsia="宋体" w:cs="宋体"/>
          <w:sz w:val="28"/>
          <w:szCs w:val="28"/>
        </w:rPr>
      </w:pPr>
      <w:r>
        <w:rPr>
          <w:rFonts w:hint="eastAsia" w:ascii="宋体" w:hAnsi="宋体" w:eastAsia="宋体" w:cs="宋体"/>
          <w:sz w:val="28"/>
          <w:szCs w:val="28"/>
        </w:rPr>
      </w:r>
      <w:r/>
    </w:p>
    <w:p>
      <w:pPr>
        <w:pStyle w:val="1199"/>
        <w:jc w:val="center"/>
        <w:spacing w:line="588" w:lineRule="exact"/>
        <w:rPr>
          <w:rFonts w:hint="eastAsia" w:ascii="宋体" w:hAnsi="宋体" w:eastAsia="宋体" w:cs="宋体"/>
          <w:sz w:val="28"/>
          <w:szCs w:val="28"/>
        </w:rPr>
      </w:pPr>
      <w:r>
        <w:rPr>
          <w:rFonts w:hint="eastAsia" w:ascii="宋体" w:hAnsi="宋体" w:eastAsia="宋体" w:cs="宋体"/>
          <w:sz w:val="28"/>
          <w:szCs w:val="28"/>
        </w:rPr>
      </w:r>
      <w:r/>
    </w:p>
    <w:p>
      <w:pPr>
        <w:pStyle w:val="1199"/>
        <w:jc w:val="center"/>
        <w:spacing w:line="588" w:lineRule="exact"/>
        <w:rPr>
          <w:rFonts w:hint="eastAsia" w:ascii="宋体" w:hAnsi="宋体" w:eastAsia="宋体" w:cs="宋体"/>
          <w:sz w:val="28"/>
          <w:szCs w:val="28"/>
        </w:rPr>
      </w:pPr>
      <w:r>
        <w:rPr>
          <w:rFonts w:hint="eastAsia" w:ascii="宋体" w:hAnsi="宋体" w:eastAsia="宋体" w:cs="宋体"/>
          <w:sz w:val="28"/>
          <w:szCs w:val="28"/>
        </w:rPr>
      </w:r>
      <w:r/>
    </w:p>
    <w:p>
      <w:pPr>
        <w:pStyle w:val="1199"/>
        <w:jc w:val="center"/>
        <w:spacing w:line="588" w:lineRule="exact"/>
        <w:rPr>
          <w:rFonts w:hint="eastAsia" w:ascii="宋体" w:hAnsi="宋体" w:eastAsia="宋体" w:cs="宋体"/>
          <w:sz w:val="28"/>
          <w:szCs w:val="28"/>
        </w:rPr>
      </w:pPr>
      <w:r>
        <w:rPr>
          <w:rFonts w:hint="eastAsia" w:ascii="宋体" w:hAnsi="宋体" w:eastAsia="宋体" w:cs="宋体"/>
          <w:sz w:val="28"/>
          <w:szCs w:val="28"/>
        </w:rPr>
      </w:r>
      <w:r/>
    </w:p>
    <w:p>
      <w:pPr>
        <w:pStyle w:val="1199"/>
        <w:jc w:val="center"/>
        <w:spacing w:line="588" w:lineRule="exact"/>
        <w:rPr>
          <w:rFonts w:hint="eastAsia" w:ascii="宋体" w:hAnsi="宋体" w:eastAsia="宋体" w:cs="宋体"/>
          <w:sz w:val="28"/>
          <w:szCs w:val="28"/>
        </w:rPr>
      </w:pPr>
      <w:r>
        <w:rPr>
          <w:rFonts w:hint="eastAsia" w:ascii="宋体" w:hAnsi="宋体" w:eastAsia="宋体" w:cs="宋体"/>
          <w:sz w:val="28"/>
          <w:szCs w:val="28"/>
        </w:rPr>
      </w:r>
      <w:r/>
    </w:p>
    <w:p>
      <w:pPr>
        <w:pStyle w:val="1199"/>
        <w:jc w:val="center"/>
        <w:spacing w:line="588" w:lineRule="exact"/>
        <w:rPr>
          <w:rFonts w:hint="eastAsia" w:ascii="宋体" w:hAnsi="宋体" w:eastAsia="宋体" w:cs="宋体"/>
          <w:sz w:val="28"/>
          <w:szCs w:val="28"/>
        </w:rPr>
      </w:pPr>
      <w:r>
        <w:rPr>
          <w:rFonts w:hint="eastAsia" w:ascii="宋体" w:hAnsi="宋体" w:eastAsia="宋体" w:cs="宋体"/>
          <w:sz w:val="28"/>
          <w:szCs w:val="28"/>
        </w:rPr>
      </w:r>
      <w:r/>
    </w:p>
    <w:p>
      <w:pPr>
        <w:pStyle w:val="1199"/>
        <w:jc w:val="center"/>
        <w:spacing w:line="588" w:lineRule="exact"/>
        <w:rPr>
          <w:rFonts w:hint="eastAsia" w:ascii="宋体" w:hAnsi="宋体" w:eastAsia="宋体" w:cs="宋体"/>
          <w:sz w:val="28"/>
          <w:szCs w:val="28"/>
        </w:rPr>
      </w:pPr>
      <w:r>
        <w:rPr>
          <w:rFonts w:hint="eastAsia" w:ascii="宋体" w:hAnsi="宋体" w:eastAsia="宋体" w:cs="宋体"/>
          <w:sz w:val="28"/>
          <w:szCs w:val="28"/>
        </w:rPr>
      </w:r>
      <w:r/>
    </w:p>
    <w:p>
      <w:pPr>
        <w:pStyle w:val="1199"/>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99"/>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99"/>
        <w:ind w:firstLine="560"/>
        <w:jc w:val="center"/>
        <w:keepLines w:val="0"/>
        <w:keepNext w:val="0"/>
        <w:pageBreakBefore/>
        <w:spacing w:line="360" w:lineRule="auto"/>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8．偏离表</w:t>
      </w:r>
      <w:r/>
    </w:p>
    <w:p>
      <w:pPr>
        <w:pStyle w:val="1199"/>
        <w:rPr>
          <w:rFonts w:hint="eastAsia" w:ascii="宋体" w:hAnsi="宋体" w:eastAsia="宋体" w:cs="宋体"/>
          <w:sz w:val="24"/>
          <w:u w:val="single"/>
          <w:lang w:eastAsia="zh-CN"/>
        </w:rPr>
      </w:pPr>
      <w:r>
        <w:rPr>
          <w:rFonts w:hint="eastAsia" w:ascii="宋体" w:hAnsi="宋体" w:eastAsia="宋体" w:cs="宋体"/>
          <w:sz w:val="24"/>
        </w:rPr>
        <w:t xml:space="preserve">项目名称：</w:t>
      </w:r>
      <w:r>
        <w:rPr>
          <w:rFonts w:hint="eastAsia" w:ascii="宋体" w:hAnsi="宋体" w:cs="宋体"/>
          <w:sz w:val="24"/>
          <w:u w:val="single"/>
          <w:lang w:eastAsia="zh-CN"/>
        </w:rPr>
        <w:t xml:space="preserve">丰县残疾人团体专属保险项目</w:t>
      </w:r>
      <w:r/>
    </w:p>
    <w:p>
      <w:pPr>
        <w:pStyle w:val="1199"/>
        <w:rPr>
          <w:rFonts w:hint="eastAsia" w:ascii="宋体" w:hAnsi="宋体" w:eastAsia="宋体" w:cs="宋体"/>
          <w:sz w:val="24"/>
          <w:u w:val="single"/>
          <w:lang w:eastAsia="zh-CN"/>
        </w:rPr>
      </w:pPr>
      <w:r>
        <w:rPr>
          <w:rFonts w:hint="eastAsia" w:ascii="宋体" w:hAnsi="宋体" w:eastAsia="宋体" w:cs="宋体"/>
          <w:sz w:val="24"/>
        </w:rPr>
        <w:t xml:space="preserve">项目编号：</w:t>
      </w:r>
      <w:r>
        <w:rPr>
          <w:rFonts w:hint="eastAsia" w:ascii="宋体" w:hAnsi="宋体" w:cs="宋体"/>
          <w:sz w:val="24"/>
          <w:u w:val="single"/>
          <w:lang w:eastAsia="zh-CN"/>
        </w:rPr>
        <w:t xml:space="preserve">JSZC-320321-XZZX-G2025-0012</w:t>
      </w:r>
      <w:r/>
    </w:p>
    <w:p>
      <w:pPr>
        <w:pStyle w:val="1199"/>
        <w:rPr>
          <w:rFonts w:hint="eastAsia" w:ascii="宋体" w:hAnsi="宋体" w:eastAsia="宋体" w:cs="宋体"/>
          <w:sz w:val="24"/>
          <w:u w:val="single"/>
        </w:rPr>
      </w:pPr>
      <w:r>
        <w:rPr>
          <w:rFonts w:hint="eastAsia" w:ascii="宋体" w:hAnsi="宋体" w:eastAsia="宋体" w:cs="宋体"/>
          <w:sz w:val="24"/>
          <w:u w:val="single"/>
        </w:rPr>
      </w:r>
      <w:r/>
    </w:p>
    <w:tbl>
      <w:tblPr>
        <w:tblStyle w:val="1025"/>
        <w:tblW w:w="89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pStyle w:val="1199"/>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序号</w:t>
            </w:r>
            <w:r/>
          </w:p>
        </w:tc>
        <w:tc>
          <w:tcPr>
            <w:tcW w:w="1404" w:type="dxa"/>
            <w:vAlign w:val="center"/>
            <w:textDirection w:val="lrTb"/>
            <w:noWrap w:val="false"/>
          </w:tcPr>
          <w:p>
            <w:pPr>
              <w:pStyle w:val="1199"/>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偏离内容</w:t>
            </w:r>
            <w:r/>
          </w:p>
        </w:tc>
        <w:tc>
          <w:tcPr>
            <w:tcW w:w="1476" w:type="dxa"/>
            <w:vAlign w:val="center"/>
            <w:textDirection w:val="lrTb"/>
            <w:noWrap w:val="false"/>
          </w:tcPr>
          <w:p>
            <w:pPr>
              <w:pStyle w:val="1199"/>
              <w:jc w:val="center"/>
              <w:rPr>
                <w:rFonts w:hint="eastAsia" w:ascii="宋体" w:hAnsi="宋体" w:eastAsia="宋体" w:cs="宋体"/>
                <w:caps/>
                <w:color w:val="000000"/>
                <w:sz w:val="24"/>
              </w:rPr>
            </w:pPr>
            <w:r>
              <w:rPr>
                <w:rFonts w:hint="eastAsia" w:ascii="宋体" w:hAnsi="宋体" w:eastAsia="宋体" w:cs="宋体"/>
                <w:color w:val="000000"/>
                <w:sz w:val="24"/>
              </w:rPr>
              <w:t xml:space="preserve">招标文件的要求</w:t>
            </w:r>
            <w:r/>
          </w:p>
        </w:tc>
        <w:tc>
          <w:tcPr>
            <w:tcW w:w="1620" w:type="dxa"/>
            <w:vAlign w:val="center"/>
            <w:textDirection w:val="lrTb"/>
            <w:noWrap w:val="false"/>
          </w:tcPr>
          <w:p>
            <w:pPr>
              <w:pStyle w:val="1199"/>
              <w:jc w:val="center"/>
              <w:rPr>
                <w:rFonts w:hint="eastAsia" w:ascii="宋体" w:hAnsi="宋体" w:eastAsia="宋体" w:cs="宋体"/>
                <w:caps/>
                <w:color w:val="000000"/>
                <w:sz w:val="24"/>
              </w:rPr>
            </w:pPr>
            <w:r>
              <w:rPr>
                <w:rFonts w:hint="eastAsia" w:ascii="宋体" w:hAnsi="宋体" w:eastAsia="宋体" w:cs="宋体"/>
                <w:color w:val="000000"/>
                <w:sz w:val="24"/>
              </w:rPr>
              <w:t xml:space="preserve">投标文件中的内容</w:t>
            </w:r>
            <w:r/>
          </w:p>
        </w:tc>
        <w:tc>
          <w:tcPr>
            <w:tcW w:w="1260" w:type="dxa"/>
            <w:vAlign w:val="center"/>
            <w:textDirection w:val="lrTb"/>
            <w:noWrap w:val="false"/>
          </w:tcPr>
          <w:p>
            <w:pPr>
              <w:pStyle w:val="1199"/>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（正/负/无）偏离</w:t>
            </w:r>
            <w:r/>
          </w:p>
        </w:tc>
        <w:tc>
          <w:tcPr>
            <w:tcW w:w="2340" w:type="dxa"/>
            <w:vAlign w:val="center"/>
            <w:textDirection w:val="lrTb"/>
            <w:noWrap w:val="false"/>
          </w:tcPr>
          <w:p>
            <w:pPr>
              <w:pStyle w:val="1199"/>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说明</w:t>
            </w:r>
            <w:r/>
          </w:p>
        </w:tc>
      </w:tr>
      <w:tr>
        <w:trPr>
          <w:trHeight w:val="794"/>
        </w:trPr>
        <w:tc>
          <w:tcPr>
            <w:tcW w:w="828"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234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234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234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234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234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234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234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c>
          <w:tcPr>
            <w:tcW w:w="2340" w:type="dxa"/>
            <w:vAlign w:val="top"/>
            <w:textDirection w:val="lrTb"/>
            <w:noWrap w:val="false"/>
          </w:tcPr>
          <w:p>
            <w:pPr>
              <w:pStyle w:val="1199"/>
              <w:rPr>
                <w:rFonts w:hint="eastAsia" w:ascii="宋体" w:hAnsi="宋体" w:eastAsia="宋体" w:cs="宋体"/>
                <w:color w:val="000000"/>
                <w:sz w:val="24"/>
              </w:rPr>
            </w:pPr>
            <w:r>
              <w:rPr>
                <w:rFonts w:hint="eastAsia" w:ascii="宋体" w:hAnsi="宋体" w:eastAsia="宋体" w:cs="宋体"/>
                <w:color w:val="000000"/>
                <w:sz w:val="24"/>
              </w:rPr>
            </w:r>
            <w:r/>
          </w:p>
        </w:tc>
      </w:tr>
    </w:tbl>
    <w:p>
      <w:pPr>
        <w:pStyle w:val="1199"/>
        <w:jc w:val="center"/>
        <w:rPr>
          <w:rFonts w:hint="eastAsia" w:ascii="宋体" w:hAnsi="宋体" w:eastAsia="宋体" w:cs="宋体"/>
          <w:sz w:val="24"/>
          <w:u w:val="single"/>
        </w:rPr>
      </w:pPr>
      <w:r>
        <w:rPr>
          <w:rFonts w:hint="eastAsia" w:ascii="宋体" w:hAnsi="宋体" w:eastAsia="宋体" w:cs="宋体"/>
          <w:sz w:val="24"/>
          <w:u w:val="single"/>
        </w:rPr>
      </w:r>
      <w:r/>
    </w:p>
    <w:p>
      <w:pPr>
        <w:pStyle w:val="1199"/>
        <w:rPr>
          <w:rFonts w:hint="eastAsia" w:ascii="宋体" w:hAnsi="宋体" w:eastAsia="宋体" w:cs="宋体"/>
          <w:sz w:val="24"/>
          <w:u w:val="single"/>
        </w:rPr>
      </w:pPr>
      <w:r>
        <w:rPr>
          <w:rFonts w:hint="eastAsia" w:ascii="宋体" w:hAnsi="宋体" w:eastAsia="宋体" w:cs="宋体"/>
          <w:sz w:val="24"/>
          <w:u w:val="single"/>
        </w:rPr>
        <w:t xml:space="preserve">注：</w:t>
      </w:r>
      <w:r/>
    </w:p>
    <w:p>
      <w:pPr>
        <w:pStyle w:val="1199"/>
        <w:numPr>
          <w:ilvl w:val="0"/>
          <w:numId w:val="0"/>
        </w:numPr>
        <w:rPr>
          <w:rFonts w:hint="eastAsia" w:ascii="宋体" w:hAnsi="宋体" w:eastAsia="宋体" w:cs="宋体"/>
          <w:sz w:val="24"/>
          <w:u w:val="single"/>
        </w:rPr>
      </w:pPr>
      <w:r>
        <w:rPr>
          <w:rFonts w:hint="eastAsia" w:ascii="宋体" w:hAnsi="宋体" w:eastAsia="宋体" w:cs="宋体"/>
          <w:b/>
          <w:bCs/>
          <w:sz w:val="24"/>
          <w:u w:val="none"/>
          <w:lang w:val="en-US" w:eastAsia="zh-CN"/>
        </w:rPr>
        <w:t xml:space="preserve">1、</w:t>
      </w:r>
      <w:r>
        <w:rPr>
          <w:rFonts w:hint="eastAsia" w:ascii="宋体" w:hAnsi="宋体" w:eastAsia="宋体" w:cs="宋体"/>
          <w:b/>
          <w:bCs/>
          <w:sz w:val="24"/>
          <w:u w:val="single"/>
          <w:lang w:val="en-US" w:eastAsia="zh-CN"/>
        </w:rPr>
        <w:t xml:space="preserve">请仔细查看参考性条款，投标人的保险条款与参考性条款不一致时，必须</w:t>
      </w:r>
      <w:r>
        <w:rPr>
          <w:rFonts w:hint="eastAsia" w:ascii="宋体" w:hAnsi="宋体" w:eastAsia="宋体" w:cs="宋体"/>
          <w:b/>
          <w:bCs/>
          <w:sz w:val="24"/>
          <w:u w:val="single"/>
        </w:rPr>
        <w:t xml:space="preserve">逐条列在偏离表中，</w:t>
      </w:r>
      <w:r>
        <w:rPr>
          <w:rFonts w:hint="eastAsia" w:ascii="宋体" w:hAnsi="宋体" w:eastAsia="宋体" w:cs="宋体"/>
          <w:b/>
          <w:bCs/>
          <w:sz w:val="24"/>
          <w:u w:val="single"/>
          <w:lang w:val="en-US" w:eastAsia="zh-CN"/>
        </w:rPr>
        <w:t xml:space="preserve">否则按照投标无效处理。</w:t>
      </w:r>
      <w:r>
        <w:rPr>
          <w:rFonts w:hint="eastAsia" w:ascii="宋体" w:hAnsi="宋体" w:eastAsia="宋体" w:cs="宋体"/>
          <w:sz w:val="24"/>
          <w:u w:val="single"/>
          <w:lang w:val="en-US" w:eastAsia="zh-CN"/>
        </w:rPr>
        <w:t xml:space="preserve">若产生负偏离，在说明中以扩展条款或增加特别约定，将偏离改为无偏离。</w:t>
      </w:r>
      <w:r/>
    </w:p>
    <w:p>
      <w:pPr>
        <w:pStyle w:val="1199"/>
        <w:numPr>
          <w:ilvl w:val="0"/>
          <w:numId w:val="0"/>
        </w:numPr>
        <w:rPr>
          <w:rFonts w:hint="eastAsia" w:ascii="宋体" w:hAnsi="宋体" w:eastAsia="宋体" w:cs="宋体"/>
          <w:sz w:val="24"/>
          <w:u w:val="single"/>
        </w:rPr>
      </w:pPr>
      <w:r>
        <w:rPr>
          <w:rFonts w:hint="eastAsia" w:ascii="宋体" w:hAnsi="宋体" w:eastAsia="宋体" w:cs="宋体"/>
          <w:sz w:val="24"/>
          <w:u w:val="single"/>
          <w:lang w:val="en-US" w:eastAsia="zh-CN"/>
        </w:rPr>
        <w:t xml:space="preserve">2、</w:t>
      </w:r>
      <w:r>
        <w:rPr>
          <w:rFonts w:hint="eastAsia" w:ascii="宋体" w:hAnsi="宋体" w:eastAsia="宋体" w:cs="宋体"/>
          <w:sz w:val="24"/>
          <w:u w:val="single"/>
        </w:rPr>
        <w:t xml:space="preserve">投标人的投标文件中的内容与招标文件（含招标文件的澄清或者修改的内容，下同）的要求不同时，逐条列在偏离表中，否则将认为投标人接受招标文件的要求。</w:t>
      </w:r>
      <w:r/>
    </w:p>
    <w:p>
      <w:pPr>
        <w:pStyle w:val="1199"/>
        <w:rPr>
          <w:rFonts w:hint="eastAsia" w:ascii="宋体" w:hAnsi="宋体" w:eastAsia="宋体" w:cs="宋体"/>
          <w:sz w:val="24"/>
          <w:u w:val="single"/>
        </w:rPr>
      </w:pPr>
      <w:r>
        <w:rPr>
          <w:rFonts w:hint="eastAsia" w:ascii="宋体" w:hAnsi="宋体" w:eastAsia="宋体" w:cs="宋体"/>
          <w:sz w:val="24"/>
          <w:u w:val="single"/>
          <w:lang w:val="en-US" w:eastAsia="zh-CN"/>
        </w:rPr>
        <w:t xml:space="preserve">3</w:t>
      </w:r>
      <w:r>
        <w:rPr>
          <w:rFonts w:hint="eastAsia" w:ascii="宋体" w:hAnsi="宋体" w:eastAsia="宋体" w:cs="宋体"/>
          <w:sz w:val="24"/>
          <w:u w:val="single"/>
        </w:rPr>
        <w:t xml:space="preserve">、表格自行拆分扩展。</w:t>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pStyle w:val="1226"/>
        <w:ind w:firstLine="3120"/>
        <w:spacing w:line="360" w:lineRule="auto"/>
        <w:rPr>
          <w:rFonts w:hint="eastAsia" w:ascii="宋体" w:hAnsi="宋体" w:eastAsia="宋体" w:cs="宋体"/>
          <w:sz w:val="24"/>
        </w:rPr>
      </w:pPr>
      <w:r>
        <w:rPr>
          <w:rFonts w:hint="eastAsia" w:ascii="宋体" w:hAnsi="宋体" w:eastAsia="宋体" w:cs="宋体"/>
          <w:sz w:val="24"/>
        </w:rPr>
        <w:t xml:space="preserve">日期：   </w:t>
      </w:r>
      <w:r>
        <w:rPr>
          <w:rFonts w:hint="eastAsia" w:ascii="宋体" w:hAnsi="宋体" w:eastAsia="宋体" w:cs="宋体"/>
          <w:sz w:val="24"/>
          <w:lang w:val="en-US" w:eastAsia="zh-CN"/>
        </w:rPr>
        <w:t xml:space="preserve"> </w:t>
      </w:r>
      <w:r>
        <w:rPr>
          <w:rFonts w:hint="eastAsia" w:ascii="宋体" w:hAnsi="宋体" w:eastAsia="宋体" w:cs="宋体"/>
          <w:sz w:val="24"/>
        </w:rPr>
        <w:t xml:space="preserve">年 </w:t>
      </w:r>
      <w:r>
        <w:rPr>
          <w:rFonts w:hint="eastAsia" w:ascii="宋体" w:hAnsi="宋体" w:eastAsia="宋体" w:cs="宋体"/>
          <w:sz w:val="24"/>
          <w:lang w:val="en-US" w:eastAsia="zh-CN"/>
        </w:rPr>
        <w:t xml:space="preserve">  </w:t>
      </w:r>
      <w:r>
        <w:rPr>
          <w:rFonts w:hint="eastAsia" w:ascii="宋体" w:hAnsi="宋体" w:eastAsia="宋体" w:cs="宋体"/>
          <w:sz w:val="24"/>
        </w:rPr>
        <w:t xml:space="preserve"> 月  </w:t>
      </w:r>
      <w:r>
        <w:rPr>
          <w:rFonts w:hint="eastAsia" w:ascii="宋体" w:hAnsi="宋体" w:eastAsia="宋体" w:cs="宋体"/>
          <w:sz w:val="24"/>
          <w:lang w:val="en-US" w:eastAsia="zh-CN"/>
        </w:rPr>
        <w:t xml:space="preserve">  </w:t>
      </w:r>
      <w:r>
        <w:rPr>
          <w:rFonts w:hint="eastAsia" w:ascii="宋体" w:hAnsi="宋体" w:eastAsia="宋体" w:cs="宋体"/>
          <w:sz w:val="24"/>
        </w:rPr>
        <w:t xml:space="preserve">日</w:t>
      </w:r>
      <w:r/>
    </w:p>
    <w:p>
      <w:pPr>
        <w:pStyle w:val="1199"/>
        <w:jc w:val="center"/>
        <w:rPr>
          <w:rFonts w:hint="eastAsia" w:ascii="宋体" w:hAnsi="宋体" w:eastAsia="宋体" w:cs="宋体"/>
          <w:bCs/>
          <w:sz w:val="28"/>
          <w:szCs w:val="28"/>
        </w:rPr>
      </w:pPr>
      <w:r>
        <w:rPr>
          <w:rFonts w:hint="eastAsia" w:ascii="宋体" w:hAnsi="宋体" w:eastAsia="宋体" w:cs="宋体"/>
          <w:bCs/>
          <w:sz w:val="28"/>
          <w:szCs w:val="28"/>
        </w:rPr>
      </w:r>
      <w:r/>
    </w:p>
    <w:p>
      <w:pPr>
        <w:pStyle w:val="1199"/>
        <w:ind w:firstLine="560"/>
        <w:jc w:val="center"/>
        <w:keepLines w:val="0"/>
        <w:keepNext w:val="0"/>
        <w:pageBreakBefore/>
        <w:spacing w:line="360" w:lineRule="auto"/>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9.具备履行合同所必需的设备和专业技术能力的书面声明</w:t>
      </w:r>
      <w:r>
        <w:rPr>
          <w:rFonts w:hint="eastAsia" w:ascii="宋体" w:hAnsi="宋体" w:eastAsia="宋体" w:cs="宋体"/>
          <w:bCs/>
          <w:sz w:val="28"/>
          <w:szCs w:val="28"/>
          <w:lang w:val="en-US" w:eastAsia="zh-CN"/>
        </w:rPr>
        <w:br/>
      </w:r>
      <w:r>
        <w:rPr>
          <w:rFonts w:hint="eastAsia" w:ascii="宋体" w:hAnsi="宋体" w:eastAsia="宋体" w:cs="宋体"/>
          <w:bCs/>
          <w:sz w:val="28"/>
          <w:szCs w:val="28"/>
          <w:lang w:val="en-US" w:eastAsia="zh-CN"/>
        </w:rPr>
        <w:t xml:space="preserve">（附证明材料原件的扫描件）</w:t>
      </w:r>
      <w:r/>
    </w:p>
    <w:p>
      <w:pPr>
        <w:pStyle w:val="1050"/>
        <w:rPr>
          <w:rFonts w:hint="eastAsia" w:ascii="宋体" w:hAnsi="宋体" w:eastAsia="宋体" w:cs="宋体"/>
          <w:sz w:val="24"/>
        </w:rPr>
      </w:pPr>
      <w:r>
        <w:rPr>
          <w:rFonts w:hint="eastAsia" w:ascii="宋体" w:hAnsi="宋体" w:eastAsia="宋体" w:cs="宋体"/>
          <w:sz w:val="24"/>
        </w:rPr>
      </w:r>
      <w:r/>
    </w:p>
    <w:p>
      <w:pPr>
        <w:pStyle w:val="1199"/>
        <w:rPr>
          <w:rFonts w:hint="eastAsia" w:ascii="宋体" w:hAnsi="宋体" w:eastAsia="宋体" w:cs="宋体"/>
          <w:sz w:val="24"/>
          <w:u w:val="single"/>
          <w:lang w:eastAsia="zh-CN"/>
        </w:rPr>
      </w:pPr>
      <w:r>
        <w:rPr>
          <w:rFonts w:hint="eastAsia" w:ascii="宋体" w:hAnsi="宋体" w:eastAsia="宋体" w:cs="宋体"/>
          <w:sz w:val="24"/>
        </w:rPr>
        <w:t xml:space="preserve">项目名称：</w:t>
      </w:r>
      <w:r>
        <w:rPr>
          <w:rFonts w:hint="eastAsia" w:ascii="宋体" w:hAnsi="宋体" w:cs="宋体"/>
          <w:sz w:val="24"/>
          <w:u w:val="single"/>
          <w:lang w:eastAsia="zh-CN"/>
        </w:rPr>
        <w:t xml:space="preserve">丰县残疾人团体专属保险项目</w:t>
      </w:r>
      <w:r/>
    </w:p>
    <w:p>
      <w:pPr>
        <w:pStyle w:val="1199"/>
        <w:rPr>
          <w:rFonts w:hint="eastAsia" w:ascii="宋体" w:hAnsi="宋体" w:eastAsia="宋体" w:cs="宋体"/>
          <w:sz w:val="24"/>
          <w:u w:val="single"/>
          <w:lang w:eastAsia="zh-CN"/>
        </w:rPr>
      </w:pPr>
      <w:r>
        <w:rPr>
          <w:rFonts w:hint="eastAsia" w:ascii="宋体" w:hAnsi="宋体" w:eastAsia="宋体" w:cs="宋体"/>
          <w:sz w:val="24"/>
        </w:rPr>
        <w:t xml:space="preserve">项目编号：</w:t>
      </w:r>
      <w:r>
        <w:rPr>
          <w:rFonts w:hint="eastAsia" w:ascii="宋体" w:hAnsi="宋体" w:cs="宋体"/>
          <w:sz w:val="24"/>
          <w:u w:val="single"/>
          <w:lang w:eastAsia="zh-CN"/>
        </w:rPr>
        <w:t xml:space="preserve">JSZC-320321-XZZX-G2025-0012</w:t>
      </w:r>
      <w:r/>
    </w:p>
    <w:p>
      <w:pPr>
        <w:pStyle w:val="1050"/>
        <w:rPr>
          <w:rFonts w:hint="eastAsia" w:ascii="宋体" w:hAnsi="宋体" w:eastAsia="宋体" w:cs="宋体"/>
          <w:sz w:val="24"/>
          <w:u w:val="single"/>
        </w:rPr>
      </w:pPr>
      <w:r>
        <w:rPr>
          <w:rFonts w:hint="eastAsia" w:ascii="宋体" w:hAnsi="宋体" w:eastAsia="宋体" w:cs="宋体"/>
          <w:sz w:val="24"/>
        </w:rPr>
        <w:t xml:space="preserve"> </w:t>
      </w:r>
      <w:r/>
    </w:p>
    <w:p>
      <w:pPr>
        <w:pStyle w:val="1050"/>
        <w:ind w:firstLine="480"/>
        <w:jc w:val="left"/>
        <w:widowControl/>
        <w:rPr>
          <w:rFonts w:hint="eastAsia" w:ascii="宋体" w:hAnsi="宋体" w:eastAsia="宋体" w:cs="宋体"/>
          <w:sz w:val="24"/>
        </w:rPr>
      </w:pPr>
      <w:r>
        <w:rPr>
          <w:rFonts w:hint="eastAsia" w:ascii="宋体" w:hAnsi="宋体" w:eastAsia="宋体" w:cs="宋体"/>
          <w:sz w:val="24"/>
        </w:rPr>
      </w:r>
      <w:r/>
    </w:p>
    <w:p>
      <w:pPr>
        <w:pStyle w:val="1050"/>
        <w:rPr>
          <w:rFonts w:hint="eastAsia" w:ascii="宋体" w:hAnsi="宋体" w:eastAsia="宋体" w:cs="宋体"/>
          <w:sz w:val="24"/>
        </w:rPr>
      </w:pPr>
      <w:r>
        <w:rPr>
          <w:rFonts w:hint="eastAsia" w:ascii="宋体" w:hAnsi="宋体" w:eastAsia="宋体" w:cs="宋体"/>
          <w:sz w:val="24"/>
        </w:rPr>
        <w:t xml:space="preserve">投标人郑重声明：投标人具备履行合同（项目名称：</w:t>
      </w:r>
      <w:r>
        <w:rPr>
          <w:rFonts w:hint="eastAsia" w:ascii="宋体" w:hAnsi="宋体" w:cs="宋体"/>
          <w:sz w:val="24"/>
          <w:lang w:eastAsia="zh-CN"/>
        </w:rPr>
        <w:t xml:space="preserve">丰县残疾人团体专属保险</w:t>
      </w:r>
      <w:r>
        <w:rPr>
          <w:rFonts w:hint="eastAsia" w:ascii="宋体" w:hAnsi="宋体" w:eastAsia="宋体" w:cs="宋体"/>
          <w:sz w:val="24"/>
        </w:rPr>
        <w:t xml:space="preserve">项目，项目编号：</w:t>
      </w:r>
      <w:r>
        <w:rPr>
          <w:rFonts w:hint="eastAsia" w:ascii="宋体" w:hAnsi="宋体" w:cs="宋体"/>
          <w:sz w:val="24"/>
          <w:lang w:eastAsia="zh-CN"/>
        </w:rPr>
        <w:t xml:space="preserve">JSZC-320321-XZZX-G2025-0012</w:t>
      </w:r>
      <w:r>
        <w:rPr>
          <w:rFonts w:hint="eastAsia" w:ascii="宋体" w:hAnsi="宋体" w:eastAsia="宋体" w:cs="宋体"/>
          <w:sz w:val="24"/>
        </w:rPr>
        <w:t xml:space="preserve">）所必需的设备和专业技术能力，具体为：</w:t>
      </w:r>
      <w:r/>
    </w:p>
    <w:p>
      <w:pPr>
        <w:pStyle w:val="1050"/>
        <w:ind w:firstLine="480"/>
        <w:rPr>
          <w:rFonts w:hint="eastAsia" w:ascii="宋体" w:hAnsi="宋体" w:eastAsia="宋体" w:cs="宋体"/>
          <w:sz w:val="24"/>
        </w:rPr>
      </w:pPr>
      <w:r>
        <w:rPr>
          <w:rFonts w:hint="eastAsia" w:ascii="宋体" w:hAnsi="宋体" w:eastAsia="宋体" w:cs="宋体"/>
          <w:sz w:val="24"/>
        </w:rPr>
        <w:t xml:space="preserve">设备：</w:t>
      </w:r>
      <w:r/>
    </w:p>
    <w:p>
      <w:pPr>
        <w:pStyle w:val="1050"/>
        <w:ind w:firstLine="480"/>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pStyle w:val="1050"/>
        <w:ind w:firstLine="480"/>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pStyle w:val="1050"/>
        <w:ind w:firstLine="480"/>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pStyle w:val="1050"/>
        <w:ind w:firstLine="480"/>
        <w:rPr>
          <w:rFonts w:hint="eastAsia" w:ascii="宋体" w:hAnsi="宋体" w:eastAsia="宋体" w:cs="宋体"/>
          <w:sz w:val="24"/>
        </w:rPr>
      </w:pPr>
      <w:r>
        <w:rPr>
          <w:rFonts w:hint="eastAsia" w:ascii="宋体" w:hAnsi="宋体" w:eastAsia="宋体" w:cs="宋体"/>
          <w:sz w:val="24"/>
        </w:rPr>
        <w:t xml:space="preserve">…………</w:t>
      </w:r>
      <w:r/>
    </w:p>
    <w:p>
      <w:pPr>
        <w:pStyle w:val="1050"/>
        <w:ind w:firstLine="480"/>
        <w:rPr>
          <w:rFonts w:hint="eastAsia" w:ascii="宋体" w:hAnsi="宋体" w:eastAsia="宋体" w:cs="宋体"/>
          <w:sz w:val="24"/>
        </w:rPr>
      </w:pPr>
      <w:r>
        <w:rPr>
          <w:rFonts w:hint="eastAsia" w:ascii="宋体" w:hAnsi="宋体" w:eastAsia="宋体" w:cs="宋体"/>
          <w:sz w:val="24"/>
        </w:rPr>
      </w:r>
      <w:r/>
    </w:p>
    <w:p>
      <w:pPr>
        <w:pStyle w:val="1050"/>
        <w:ind w:firstLine="480"/>
        <w:rPr>
          <w:rFonts w:hint="eastAsia" w:ascii="宋体" w:hAnsi="宋体" w:eastAsia="宋体" w:cs="宋体"/>
          <w:sz w:val="24"/>
        </w:rPr>
      </w:pPr>
      <w:r>
        <w:rPr>
          <w:rFonts w:hint="eastAsia" w:ascii="宋体" w:hAnsi="宋体" w:eastAsia="宋体" w:cs="宋体"/>
          <w:sz w:val="24"/>
        </w:rPr>
        <w:t xml:space="preserve">专业技术能力：</w:t>
      </w:r>
      <w:r/>
    </w:p>
    <w:p>
      <w:pPr>
        <w:pStyle w:val="1050"/>
        <w:ind w:firstLine="480"/>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pStyle w:val="1050"/>
        <w:ind w:firstLine="480"/>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pStyle w:val="1050"/>
        <w:ind w:firstLine="480"/>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pStyle w:val="1050"/>
        <w:ind w:firstLine="480"/>
        <w:rPr>
          <w:rFonts w:hint="eastAsia" w:ascii="宋体" w:hAnsi="宋体" w:eastAsia="宋体" w:cs="宋体"/>
          <w:sz w:val="24"/>
        </w:rPr>
      </w:pPr>
      <w:r>
        <w:rPr>
          <w:rFonts w:hint="eastAsia" w:ascii="宋体" w:hAnsi="宋体" w:eastAsia="宋体" w:cs="宋体"/>
          <w:sz w:val="24"/>
        </w:rPr>
        <w:t xml:space="preserve">…………</w:t>
      </w:r>
      <w:r/>
    </w:p>
    <w:p>
      <w:pPr>
        <w:pStyle w:val="1050"/>
        <w:ind w:firstLine="480"/>
        <w:rPr>
          <w:rFonts w:hint="eastAsia" w:ascii="宋体" w:hAnsi="宋体" w:eastAsia="宋体" w:cs="宋体"/>
          <w:sz w:val="24"/>
        </w:rPr>
      </w:pPr>
      <w:r>
        <w:rPr>
          <w:rFonts w:hint="eastAsia" w:ascii="宋体" w:hAnsi="宋体" w:eastAsia="宋体" w:cs="宋体"/>
          <w:sz w:val="24"/>
        </w:rPr>
      </w:r>
      <w:r/>
    </w:p>
    <w:p>
      <w:pPr>
        <w:pStyle w:val="1050"/>
        <w:ind w:firstLine="480"/>
        <w:rPr>
          <w:rFonts w:hint="eastAsia" w:ascii="宋体" w:hAnsi="宋体" w:eastAsia="宋体" w:cs="宋体"/>
          <w:sz w:val="24"/>
        </w:rPr>
      </w:pPr>
      <w:r>
        <w:rPr>
          <w:rFonts w:hint="eastAsia" w:ascii="宋体" w:hAnsi="宋体" w:eastAsia="宋体" w:cs="宋体"/>
          <w:sz w:val="24"/>
        </w:rPr>
        <w:t xml:space="preserve">特此声明。</w:t>
      </w:r>
      <w:r/>
    </w:p>
    <w:p>
      <w:pPr>
        <w:pStyle w:val="1050"/>
        <w:ind w:firstLine="480"/>
        <w:rPr>
          <w:rFonts w:hint="eastAsia" w:ascii="宋体" w:hAnsi="宋体" w:eastAsia="宋体" w:cs="宋体"/>
          <w:sz w:val="24"/>
        </w:rPr>
      </w:pPr>
      <w:r>
        <w:rPr>
          <w:rFonts w:hint="eastAsia" w:ascii="宋体" w:hAnsi="宋体" w:eastAsia="宋体" w:cs="宋体"/>
          <w:sz w:val="24"/>
        </w:rPr>
        <w:t xml:space="preserve">投标人对上述声明的真实性负责。如有虚假，将依法承担相应责任。</w:t>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pStyle w:val="1226"/>
        <w:ind w:firstLine="3120"/>
        <w:spacing w:line="360" w:lineRule="auto"/>
        <w:rPr>
          <w:rFonts w:hint="eastAsia" w:ascii="宋体" w:hAnsi="宋体" w:eastAsia="宋体" w:cs="宋体"/>
          <w:sz w:val="24"/>
        </w:rPr>
      </w:pPr>
      <w:r>
        <w:rPr>
          <w:rFonts w:hint="eastAsia" w:ascii="宋体" w:hAnsi="宋体" w:eastAsia="宋体" w:cs="宋体"/>
          <w:sz w:val="24"/>
        </w:rPr>
        <w:t xml:space="preserve">日期：   </w:t>
      </w:r>
      <w:r>
        <w:rPr>
          <w:rFonts w:hint="eastAsia" w:ascii="宋体" w:hAnsi="宋体" w:eastAsia="宋体" w:cs="宋体"/>
          <w:sz w:val="24"/>
          <w:lang w:val="en-US" w:eastAsia="zh-CN"/>
        </w:rPr>
        <w:t xml:space="preserve"> </w:t>
      </w:r>
      <w:r>
        <w:rPr>
          <w:rFonts w:hint="eastAsia" w:ascii="宋体" w:hAnsi="宋体" w:eastAsia="宋体" w:cs="宋体"/>
          <w:sz w:val="24"/>
        </w:rPr>
        <w:t xml:space="preserve">年 </w:t>
      </w:r>
      <w:r>
        <w:rPr>
          <w:rFonts w:hint="eastAsia" w:ascii="宋体" w:hAnsi="宋体" w:eastAsia="宋体" w:cs="宋体"/>
          <w:sz w:val="24"/>
          <w:lang w:val="en-US" w:eastAsia="zh-CN"/>
        </w:rPr>
        <w:t xml:space="preserve">  </w:t>
      </w:r>
      <w:r>
        <w:rPr>
          <w:rFonts w:hint="eastAsia" w:ascii="宋体" w:hAnsi="宋体" w:eastAsia="宋体" w:cs="宋体"/>
          <w:sz w:val="24"/>
        </w:rPr>
        <w:t xml:space="preserve"> 月  </w:t>
      </w:r>
      <w:r>
        <w:rPr>
          <w:rFonts w:hint="eastAsia" w:ascii="宋体" w:hAnsi="宋体" w:eastAsia="宋体" w:cs="宋体"/>
          <w:sz w:val="24"/>
          <w:lang w:val="en-US" w:eastAsia="zh-CN"/>
        </w:rPr>
        <w:t xml:space="preserve">  </w:t>
      </w:r>
      <w:r>
        <w:rPr>
          <w:rFonts w:hint="eastAsia" w:ascii="宋体" w:hAnsi="宋体" w:eastAsia="宋体" w:cs="宋体"/>
          <w:sz w:val="24"/>
        </w:rPr>
        <w:t xml:space="preserve">日</w:t>
      </w:r>
      <w:r/>
    </w:p>
    <w:p>
      <w:pPr>
        <w:pStyle w:val="1199"/>
        <w:ind w:firstLine="480"/>
        <w:jc w:val="center"/>
        <w:rPr>
          <w:rFonts w:hint="eastAsia" w:ascii="宋体" w:hAnsi="宋体" w:eastAsia="宋体" w:cs="宋体"/>
          <w:sz w:val="24"/>
        </w:rPr>
      </w:pPr>
      <w:r>
        <w:rPr>
          <w:rFonts w:hint="eastAsia" w:ascii="宋体" w:hAnsi="宋体" w:eastAsia="宋体" w:cs="宋体"/>
          <w:sz w:val="24"/>
        </w:rPr>
        <w:br/>
      </w:r>
      <w:r/>
    </w:p>
    <w:p>
      <w:pPr>
        <w:pStyle w:val="1199"/>
        <w:jc w:val="center"/>
        <w:widowControl/>
        <w:rPr>
          <w:rFonts w:hint="eastAsia" w:ascii="宋体" w:hAnsi="宋体" w:eastAsia="宋体" w:cs="宋体"/>
          <w:sz w:val="30"/>
          <w:szCs w:val="30"/>
        </w:rPr>
      </w:pPr>
      <w:r>
        <w:rPr>
          <w:rFonts w:hint="eastAsia" w:ascii="宋体" w:hAnsi="宋体" w:eastAsia="宋体" w:cs="宋体"/>
          <w:sz w:val="30"/>
          <w:szCs w:val="30"/>
        </w:rPr>
      </w:r>
      <w:r/>
    </w:p>
    <w:p>
      <w:pPr>
        <w:pStyle w:val="1199"/>
        <w:jc w:val="center"/>
        <w:widowControl/>
        <w:rPr>
          <w:rFonts w:hint="eastAsia" w:ascii="宋体" w:hAnsi="宋体" w:eastAsia="宋体" w:cs="宋体"/>
          <w:sz w:val="30"/>
          <w:szCs w:val="30"/>
        </w:rPr>
      </w:pPr>
      <w:r>
        <w:rPr>
          <w:rFonts w:hint="eastAsia" w:ascii="宋体" w:hAnsi="宋体" w:eastAsia="宋体" w:cs="宋体"/>
          <w:sz w:val="30"/>
          <w:szCs w:val="30"/>
        </w:rPr>
      </w:r>
      <w:r/>
    </w:p>
    <w:p>
      <w:pPr>
        <w:pStyle w:val="1199"/>
        <w:jc w:val="center"/>
        <w:widowControl/>
        <w:rPr>
          <w:rFonts w:hint="eastAsia" w:ascii="宋体" w:hAnsi="宋体" w:eastAsia="宋体" w:cs="宋体"/>
          <w:sz w:val="30"/>
          <w:szCs w:val="30"/>
        </w:rPr>
      </w:pPr>
      <w:r>
        <w:rPr>
          <w:rFonts w:hint="eastAsia" w:ascii="宋体" w:hAnsi="宋体" w:eastAsia="宋体" w:cs="宋体"/>
          <w:sz w:val="30"/>
          <w:szCs w:val="30"/>
        </w:rPr>
      </w:r>
      <w:r/>
    </w:p>
    <w:p>
      <w:pPr>
        <w:pStyle w:val="1199"/>
        <w:jc w:val="center"/>
        <w:widowControl/>
        <w:rPr>
          <w:rFonts w:hint="eastAsia" w:ascii="宋体" w:hAnsi="宋体" w:eastAsia="宋体" w:cs="宋体"/>
          <w:sz w:val="30"/>
          <w:szCs w:val="30"/>
        </w:rPr>
      </w:pPr>
      <w:r>
        <w:rPr>
          <w:rFonts w:hint="eastAsia" w:ascii="宋体" w:hAnsi="宋体" w:eastAsia="宋体" w:cs="宋体"/>
          <w:sz w:val="30"/>
          <w:szCs w:val="30"/>
        </w:rPr>
      </w:r>
      <w:r/>
    </w:p>
    <w:p>
      <w:pPr>
        <w:pStyle w:val="1199"/>
        <w:spacing w:line="588" w:lineRule="exact"/>
        <w:rPr>
          <w:rFonts w:hint="eastAsia" w:ascii="宋体" w:hAnsi="宋体" w:eastAsia="宋体" w:cs="宋体"/>
          <w:sz w:val="24"/>
        </w:rPr>
      </w:pPr>
      <w:r>
        <w:rPr>
          <w:rFonts w:hint="eastAsia" w:ascii="宋体" w:hAnsi="宋体" w:eastAsia="宋体" w:cs="宋体"/>
          <w:sz w:val="24"/>
        </w:rPr>
      </w:r>
      <w:r/>
    </w:p>
    <w:p>
      <w:pPr>
        <w:pStyle w:val="1199"/>
        <w:spacing w:line="588" w:lineRule="exact"/>
        <w:rPr>
          <w:rFonts w:hint="eastAsia" w:ascii="宋体" w:hAnsi="宋体" w:eastAsia="宋体" w:cs="宋体"/>
          <w:sz w:val="24"/>
        </w:rPr>
      </w:pPr>
      <w:r>
        <w:rPr>
          <w:rFonts w:hint="eastAsia" w:ascii="宋体" w:hAnsi="宋体" w:eastAsia="宋体" w:cs="宋体"/>
          <w:sz w:val="24"/>
        </w:rPr>
      </w:r>
      <w:r/>
    </w:p>
    <w:p>
      <w:pPr>
        <w:pStyle w:val="1199"/>
        <w:spacing w:line="588" w:lineRule="exact"/>
        <w:rPr>
          <w:rFonts w:hint="eastAsia" w:ascii="宋体" w:hAnsi="宋体" w:eastAsia="宋体" w:cs="宋体"/>
          <w:sz w:val="24"/>
        </w:rPr>
      </w:pPr>
      <w:r>
        <w:rPr>
          <w:rFonts w:hint="eastAsia" w:ascii="宋体" w:hAnsi="宋体" w:eastAsia="宋体" w:cs="宋体"/>
          <w:sz w:val="24"/>
        </w:rPr>
      </w:r>
      <w:r/>
    </w:p>
    <w:p>
      <w:pPr>
        <w:pStyle w:val="1199"/>
        <w:ind w:firstLine="560"/>
        <w:jc w:val="center"/>
        <w:keepLines w:val="0"/>
        <w:keepNext w:val="0"/>
        <w:pageBreakBefore/>
        <w:spacing w:line="360" w:lineRule="auto"/>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10.投标人相关承诺</w:t>
      </w:r>
      <w:r/>
    </w:p>
    <w:p>
      <w:pPr>
        <w:pStyle w:val="1199"/>
        <w:rPr>
          <w:rFonts w:hint="eastAsia" w:ascii="宋体" w:hAnsi="宋体" w:eastAsia="宋体" w:cs="宋体"/>
          <w:sz w:val="24"/>
          <w:u w:val="single"/>
          <w:lang w:eastAsia="zh-CN"/>
        </w:rPr>
      </w:pPr>
      <w:r>
        <w:rPr>
          <w:rFonts w:hint="eastAsia" w:ascii="宋体" w:hAnsi="宋体" w:eastAsia="宋体" w:cs="宋体"/>
          <w:sz w:val="24"/>
        </w:rPr>
        <w:t xml:space="preserve">项目名称：</w:t>
      </w:r>
      <w:r>
        <w:rPr>
          <w:rFonts w:hint="eastAsia" w:ascii="宋体" w:hAnsi="宋体" w:cs="宋体"/>
          <w:sz w:val="24"/>
          <w:u w:val="single"/>
          <w:lang w:eastAsia="zh-CN"/>
        </w:rPr>
        <w:t xml:space="preserve">丰县残疾人团体专属保险项目</w:t>
      </w:r>
      <w:r/>
    </w:p>
    <w:p>
      <w:pPr>
        <w:pStyle w:val="1199"/>
        <w:rPr>
          <w:rFonts w:hint="eastAsia" w:ascii="宋体" w:hAnsi="宋体" w:eastAsia="宋体" w:cs="宋体"/>
          <w:sz w:val="24"/>
          <w:u w:val="single"/>
          <w:lang w:eastAsia="zh-CN"/>
        </w:rPr>
      </w:pPr>
      <w:r>
        <w:rPr>
          <w:rFonts w:hint="eastAsia" w:ascii="宋体" w:hAnsi="宋体" w:eastAsia="宋体" w:cs="宋体"/>
          <w:sz w:val="24"/>
        </w:rPr>
        <w:t xml:space="preserve">项目编号：</w:t>
      </w:r>
      <w:r>
        <w:rPr>
          <w:rFonts w:hint="eastAsia" w:ascii="宋体" w:hAnsi="宋体" w:cs="宋体"/>
          <w:sz w:val="24"/>
          <w:u w:val="single"/>
          <w:lang w:eastAsia="zh-CN"/>
        </w:rPr>
        <w:t xml:space="preserve">JSZC-320321-XZZX-G2025-0012</w:t>
      </w:r>
      <w:r/>
    </w:p>
    <w:p>
      <w:pPr>
        <w:pStyle w:val="1199"/>
        <w:ind w:firstLine="480"/>
        <w:keepLines w:val="0"/>
        <w:keepNext w:val="0"/>
        <w:pageBreakBefore w:val="0"/>
        <w:spacing w:line="45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1199"/>
        <w:ind w:firstLine="480"/>
        <w:keepLines w:val="0"/>
        <w:keepNext w:val="0"/>
        <w:pageBreakBefore w:val="0"/>
        <w:spacing w:line="45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我单位承诺：</w:t>
      </w:r>
      <w:r/>
    </w:p>
    <w:p>
      <w:pPr>
        <w:pStyle w:val="1199"/>
        <w:ind w:firstLine="480"/>
        <w:keepLines w:val="0"/>
        <w:keepNext w:val="0"/>
        <w:pageBreakBefore w:val="0"/>
        <w:spacing w:line="45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如有参与同一合同项下政府采购活动的投标人与我单位存在负责人为同一人的情况或者存在直接控股、管理关系，我单位不再参加该同一合同项下的政府采购活动。</w:t>
      </w:r>
      <w:r/>
    </w:p>
    <w:p>
      <w:pPr>
        <w:pStyle w:val="1199"/>
        <w:ind w:firstLine="480"/>
        <w:keepLines w:val="0"/>
        <w:keepNext w:val="0"/>
        <w:pageBreakBefore w:val="0"/>
        <w:spacing w:line="45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1199"/>
        <w:ind w:firstLine="480"/>
        <w:keepLines w:val="0"/>
        <w:keepNext w:val="0"/>
        <w:pageBreakBefore w:val="0"/>
        <w:spacing w:line="45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我单位对上述承诺负责，并依法承担相应责任。</w:t>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pStyle w:val="1226"/>
        <w:ind w:firstLine="3120"/>
        <w:spacing w:line="360" w:lineRule="auto"/>
        <w:rPr>
          <w:rFonts w:hint="eastAsia" w:ascii="宋体" w:hAnsi="宋体" w:eastAsia="宋体" w:cs="宋体"/>
          <w:sz w:val="24"/>
        </w:rPr>
      </w:pPr>
      <w:r>
        <w:rPr>
          <w:rFonts w:hint="eastAsia" w:ascii="宋体" w:hAnsi="宋体" w:eastAsia="宋体" w:cs="宋体"/>
          <w:sz w:val="24"/>
        </w:rPr>
        <w:t xml:space="preserve">日期：   </w:t>
      </w:r>
      <w:r>
        <w:rPr>
          <w:rFonts w:hint="eastAsia" w:ascii="宋体" w:hAnsi="宋体" w:eastAsia="宋体" w:cs="宋体"/>
          <w:sz w:val="24"/>
          <w:lang w:val="en-US" w:eastAsia="zh-CN"/>
        </w:rPr>
        <w:t xml:space="preserve"> </w:t>
      </w:r>
      <w:r>
        <w:rPr>
          <w:rFonts w:hint="eastAsia" w:ascii="宋体" w:hAnsi="宋体" w:eastAsia="宋体" w:cs="宋体"/>
          <w:sz w:val="24"/>
        </w:rPr>
        <w:t xml:space="preserve">年 </w:t>
      </w:r>
      <w:r>
        <w:rPr>
          <w:rFonts w:hint="eastAsia" w:ascii="宋体" w:hAnsi="宋体" w:eastAsia="宋体" w:cs="宋体"/>
          <w:sz w:val="24"/>
          <w:lang w:val="en-US" w:eastAsia="zh-CN"/>
        </w:rPr>
        <w:t xml:space="preserve">  </w:t>
      </w:r>
      <w:r>
        <w:rPr>
          <w:rFonts w:hint="eastAsia" w:ascii="宋体" w:hAnsi="宋体" w:eastAsia="宋体" w:cs="宋体"/>
          <w:sz w:val="24"/>
        </w:rPr>
        <w:t xml:space="preserve"> 月  </w:t>
      </w:r>
      <w:r>
        <w:rPr>
          <w:rFonts w:hint="eastAsia" w:ascii="宋体" w:hAnsi="宋体" w:eastAsia="宋体" w:cs="宋体"/>
          <w:sz w:val="24"/>
          <w:lang w:val="en-US" w:eastAsia="zh-CN"/>
        </w:rPr>
        <w:t xml:space="preserve">  </w:t>
      </w:r>
      <w:r>
        <w:rPr>
          <w:rFonts w:hint="eastAsia" w:ascii="宋体" w:hAnsi="宋体" w:eastAsia="宋体" w:cs="宋体"/>
          <w:sz w:val="24"/>
        </w:rPr>
        <w:t xml:space="preserve">日</w:t>
      </w:r>
      <w:r/>
    </w:p>
    <w:p>
      <w:pPr>
        <w:pStyle w:val="1199"/>
        <w:spacing w:line="588" w:lineRule="exact"/>
        <w:rPr>
          <w:rFonts w:hint="eastAsia" w:ascii="宋体" w:hAnsi="宋体" w:eastAsia="宋体" w:cs="宋体"/>
          <w:sz w:val="24"/>
        </w:rPr>
      </w:pPr>
      <w:r>
        <w:rPr>
          <w:rFonts w:hint="eastAsia" w:ascii="宋体" w:hAnsi="宋体" w:eastAsia="宋体" w:cs="宋体"/>
          <w:sz w:val="24"/>
        </w:rPr>
      </w:r>
      <w:r/>
    </w:p>
    <w:p>
      <w:pPr>
        <w:pStyle w:val="1199"/>
        <w:ind w:firstLine="560"/>
        <w:jc w:val="center"/>
        <w:keepLines w:val="0"/>
        <w:keepNext w:val="0"/>
        <w:pageBreakBefore/>
        <w:spacing w:line="360" w:lineRule="auto"/>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11.中小企业声明函</w:t>
      </w:r>
      <w:r/>
    </w:p>
    <w:p>
      <w:pPr>
        <w:pStyle w:val="1199"/>
        <w:rPr>
          <w:rFonts w:hint="eastAsia" w:ascii="宋体" w:hAnsi="宋体" w:eastAsia="宋体" w:cs="宋体"/>
          <w:sz w:val="24"/>
          <w:u w:val="single"/>
          <w:lang w:eastAsia="zh-CN"/>
        </w:rPr>
      </w:pPr>
      <w:r>
        <w:rPr>
          <w:rFonts w:hint="eastAsia" w:ascii="宋体" w:hAnsi="宋体" w:eastAsia="宋体" w:cs="宋体"/>
          <w:sz w:val="24"/>
        </w:rPr>
        <w:t xml:space="preserve">项目名称：</w:t>
      </w:r>
      <w:r>
        <w:rPr>
          <w:rFonts w:hint="eastAsia" w:ascii="宋体" w:hAnsi="宋体" w:cs="宋体"/>
          <w:sz w:val="24"/>
          <w:u w:val="single"/>
          <w:lang w:eastAsia="zh-CN"/>
        </w:rPr>
        <w:t xml:space="preserve">丰县残疾人团体专属保险项目</w:t>
      </w:r>
      <w:r/>
    </w:p>
    <w:p>
      <w:pPr>
        <w:pStyle w:val="1199"/>
        <w:rPr>
          <w:rFonts w:hint="eastAsia" w:ascii="宋体" w:hAnsi="宋体" w:eastAsia="宋体" w:cs="宋体"/>
          <w:sz w:val="24"/>
          <w:u w:val="single"/>
          <w:lang w:eastAsia="zh-CN"/>
        </w:rPr>
      </w:pPr>
      <w:r>
        <w:rPr>
          <w:rFonts w:hint="eastAsia" w:ascii="宋体" w:hAnsi="宋体" w:eastAsia="宋体" w:cs="宋体"/>
          <w:sz w:val="24"/>
        </w:rPr>
        <w:t xml:space="preserve">项目编号：</w:t>
      </w:r>
      <w:r>
        <w:rPr>
          <w:rFonts w:hint="eastAsia" w:ascii="宋体" w:hAnsi="宋体" w:cs="宋体"/>
          <w:sz w:val="24"/>
          <w:u w:val="single"/>
          <w:lang w:eastAsia="zh-CN"/>
        </w:rPr>
        <w:t xml:space="preserve">JSZC-320321-XZZX-G2025-0012</w:t>
      </w:r>
      <w:r/>
    </w:p>
    <w:p>
      <w:pPr>
        <w:pStyle w:val="1199"/>
        <w:ind w:firstLine="480"/>
        <w:keepLines w:val="0"/>
        <w:keepNext w:val="0"/>
        <w:pageBreakBefore w:val="0"/>
        <w:spacing w:line="45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1199"/>
        <w:ind w:firstLine="480"/>
        <w:keepLines w:val="0"/>
        <w:keepNext w:val="0"/>
        <w:pageBreakBefore w:val="0"/>
        <w:spacing w:line="45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本公司郑重声明，根据《政府采购促进中小企业发展管理办法》（财库﹝2020﹞46 号）的规定，本公司参加</w:t>
      </w:r>
      <w:r>
        <w:rPr>
          <w:rFonts w:hint="eastAsia" w:ascii="宋体" w:hAnsi="宋体" w:eastAsia="宋体" w:cs="宋体"/>
          <w:sz w:val="24"/>
          <w:szCs w:val="24"/>
          <w:u w:val="single"/>
          <w:lang w:val="en-US" w:eastAsia="zh-CN" w:bidi="ar-SA"/>
        </w:rPr>
        <w:t xml:space="preserve">（单位名称）</w:t>
      </w:r>
      <w:r>
        <w:rPr>
          <w:rFonts w:hint="eastAsia" w:ascii="宋体" w:hAnsi="宋体" w:eastAsia="宋体" w:cs="宋体"/>
          <w:sz w:val="24"/>
          <w:szCs w:val="24"/>
          <w:lang w:val="en-US" w:eastAsia="zh-CN" w:bidi="ar-SA"/>
        </w:rPr>
        <w:t xml:space="preserve">的</w:t>
      </w:r>
      <w:r>
        <w:rPr>
          <w:rFonts w:hint="eastAsia" w:ascii="宋体" w:hAnsi="宋体" w:eastAsia="宋体" w:cs="宋体"/>
          <w:sz w:val="24"/>
          <w:szCs w:val="24"/>
          <w:u w:val="single"/>
          <w:lang w:val="en-US" w:eastAsia="zh-CN" w:bidi="ar-SA"/>
        </w:rPr>
        <w:t xml:space="preserve">（项目名称）</w:t>
      </w:r>
      <w:r>
        <w:rPr>
          <w:rFonts w:hint="eastAsia" w:ascii="宋体" w:hAnsi="宋体" w:eastAsia="宋体" w:cs="宋体"/>
          <w:sz w:val="24"/>
          <w:szCs w:val="24"/>
          <w:lang w:val="en-US" w:eastAsia="zh-CN" w:bidi="ar-SA"/>
        </w:rPr>
        <w:t xml:space="preserve">采购活动，提供的货物全部由符合政策要求的中小企业制造。相关企业的具体情况如下：</w:t>
      </w:r>
      <w:r/>
    </w:p>
    <w:p>
      <w:pPr>
        <w:pStyle w:val="1199"/>
        <w:ind w:firstLine="480"/>
        <w:keepLines w:val="0"/>
        <w:keepNext w:val="0"/>
        <w:pageBreakBefore w:val="0"/>
        <w:spacing w:line="45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u w:val="single"/>
          <w:lang w:val="en-US" w:eastAsia="zh-CN" w:bidi="ar-SA"/>
        </w:rPr>
        <w:t xml:space="preserve">（标的名称）</w:t>
      </w:r>
      <w:r>
        <w:rPr>
          <w:rFonts w:hint="eastAsia" w:ascii="宋体" w:hAnsi="宋体" w:eastAsia="宋体" w:cs="宋体"/>
          <w:sz w:val="24"/>
          <w:szCs w:val="24"/>
          <w:lang w:val="en-US" w:eastAsia="zh-CN" w:bidi="ar-SA"/>
        </w:rPr>
        <w:t xml:space="preserve">，属于</w:t>
      </w:r>
      <w:r>
        <w:rPr>
          <w:rFonts w:hint="eastAsia" w:ascii="宋体" w:hAnsi="宋体" w:eastAsia="宋体" w:cs="宋体"/>
          <w:sz w:val="24"/>
          <w:szCs w:val="24"/>
          <w:u w:val="single"/>
          <w:lang w:val="en-US" w:eastAsia="zh-CN" w:bidi="ar-SA"/>
        </w:rPr>
        <w:t xml:space="preserve">（采购文件中明确的所属行业）</w:t>
      </w:r>
      <w:r>
        <w:rPr>
          <w:rFonts w:hint="eastAsia" w:ascii="宋体" w:hAnsi="宋体" w:eastAsia="宋体" w:cs="宋体"/>
          <w:sz w:val="24"/>
          <w:szCs w:val="24"/>
          <w:lang w:val="en-US" w:eastAsia="zh-CN" w:bidi="ar-SA"/>
        </w:rPr>
        <w:t xml:space="preserve">；制造商为</w:t>
      </w:r>
      <w:r>
        <w:rPr>
          <w:rFonts w:hint="eastAsia" w:ascii="宋体" w:hAnsi="宋体" w:eastAsia="宋体" w:cs="宋体"/>
          <w:sz w:val="24"/>
          <w:szCs w:val="24"/>
          <w:u w:val="single"/>
          <w:lang w:val="en-US" w:eastAsia="zh-CN" w:bidi="ar-SA"/>
        </w:rPr>
        <w:t xml:space="preserve">（企业名称）</w:t>
      </w:r>
      <w:r>
        <w:rPr>
          <w:rFonts w:hint="eastAsia" w:ascii="宋体" w:hAnsi="宋体" w:eastAsia="宋体" w:cs="宋体"/>
          <w:sz w:val="24"/>
          <w:szCs w:val="24"/>
          <w:lang w:val="en-US" w:eastAsia="zh-CN" w:bidi="ar-SA"/>
        </w:rPr>
        <w:t xml:space="preserve">，从业人员</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人，营业收入为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万元，资产总额为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万元，属于</w:t>
      </w:r>
      <w:r>
        <w:rPr>
          <w:rFonts w:hint="eastAsia" w:ascii="宋体" w:hAnsi="宋体" w:eastAsia="宋体" w:cs="宋体"/>
          <w:sz w:val="24"/>
          <w:szCs w:val="24"/>
          <w:u w:val="single"/>
          <w:lang w:val="en-US" w:eastAsia="zh-CN" w:bidi="ar-SA"/>
        </w:rPr>
        <w:t xml:space="preserve">（中型企业、小型企业、微型企业）</w:t>
      </w:r>
      <w:r>
        <w:rPr>
          <w:rFonts w:hint="eastAsia" w:ascii="宋体" w:hAnsi="宋体" w:eastAsia="宋体" w:cs="宋体"/>
          <w:sz w:val="24"/>
          <w:szCs w:val="24"/>
          <w:lang w:val="en-US" w:eastAsia="zh-CN" w:bidi="ar-SA"/>
        </w:rPr>
        <w:t xml:space="preserve">；</w:t>
      </w:r>
      <w:r/>
    </w:p>
    <w:p>
      <w:pPr>
        <w:pStyle w:val="1199"/>
        <w:ind w:firstLine="480"/>
        <w:keepLines w:val="0"/>
        <w:keepNext w:val="0"/>
        <w:pageBreakBefore w:val="0"/>
        <w:spacing w:line="45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u w:val="single"/>
          <w:lang w:val="en-US" w:eastAsia="zh-CN" w:bidi="ar-SA"/>
        </w:rPr>
        <w:t xml:space="preserve">（标的名称）</w:t>
      </w:r>
      <w:r>
        <w:rPr>
          <w:rFonts w:hint="eastAsia" w:ascii="宋体" w:hAnsi="宋体" w:eastAsia="宋体" w:cs="宋体"/>
          <w:sz w:val="24"/>
          <w:szCs w:val="24"/>
          <w:lang w:val="en-US" w:eastAsia="zh-CN" w:bidi="ar-SA"/>
        </w:rPr>
        <w:t xml:space="preserve">，属于</w:t>
      </w:r>
      <w:r>
        <w:rPr>
          <w:rFonts w:hint="eastAsia" w:ascii="宋体" w:hAnsi="宋体" w:eastAsia="宋体" w:cs="宋体"/>
          <w:sz w:val="24"/>
          <w:szCs w:val="24"/>
          <w:u w:val="single"/>
          <w:lang w:val="en-US" w:eastAsia="zh-CN" w:bidi="ar-SA"/>
        </w:rPr>
        <w:t xml:space="preserve">（采购文件中明确的所属行业）</w:t>
      </w:r>
      <w:r>
        <w:rPr>
          <w:rFonts w:hint="eastAsia" w:ascii="宋体" w:hAnsi="宋体" w:eastAsia="宋体" w:cs="宋体"/>
          <w:sz w:val="24"/>
          <w:szCs w:val="24"/>
          <w:lang w:val="en-US" w:eastAsia="zh-CN" w:bidi="ar-SA"/>
        </w:rPr>
        <w:t xml:space="preserve">；制造商为</w:t>
      </w:r>
      <w:r>
        <w:rPr>
          <w:rFonts w:hint="eastAsia" w:ascii="宋体" w:hAnsi="宋体" w:eastAsia="宋体" w:cs="宋体"/>
          <w:sz w:val="24"/>
          <w:szCs w:val="24"/>
          <w:u w:val="single"/>
          <w:lang w:val="en-US" w:eastAsia="zh-CN" w:bidi="ar-SA"/>
        </w:rPr>
        <w:t xml:space="preserve">（企业名称）</w:t>
      </w:r>
      <w:r>
        <w:rPr>
          <w:rFonts w:hint="eastAsia" w:ascii="宋体" w:hAnsi="宋体" w:eastAsia="宋体" w:cs="宋体"/>
          <w:sz w:val="24"/>
          <w:szCs w:val="24"/>
          <w:lang w:val="en-US" w:eastAsia="zh-CN" w:bidi="ar-SA"/>
        </w:rPr>
        <w:t xml:space="preserve">，从业人员</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人，营业收入为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万元，资产总额为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万元，属于</w:t>
      </w:r>
      <w:r>
        <w:rPr>
          <w:rFonts w:hint="eastAsia" w:ascii="宋体" w:hAnsi="宋体" w:eastAsia="宋体" w:cs="宋体"/>
          <w:sz w:val="24"/>
          <w:szCs w:val="24"/>
          <w:u w:val="single"/>
          <w:lang w:val="en-US" w:eastAsia="zh-CN" w:bidi="ar-SA"/>
        </w:rPr>
        <w:t xml:space="preserve">（中型企业、小型企业、微型企业）</w:t>
      </w:r>
      <w:r>
        <w:rPr>
          <w:rFonts w:hint="eastAsia" w:ascii="宋体" w:hAnsi="宋体" w:eastAsia="宋体" w:cs="宋体"/>
          <w:sz w:val="24"/>
          <w:szCs w:val="24"/>
          <w:lang w:val="en-US" w:eastAsia="zh-CN" w:bidi="ar-SA"/>
        </w:rPr>
        <w:t xml:space="preserve">；</w:t>
      </w:r>
      <w:r/>
    </w:p>
    <w:p>
      <w:pPr>
        <w:pStyle w:val="1199"/>
        <w:ind w:firstLine="480"/>
        <w:keepLines w:val="0"/>
        <w:keepNext w:val="0"/>
        <w:pageBreakBefore w:val="0"/>
        <w:spacing w:line="45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以上企业，不属于大企业的分支机构，不存在控股股东为大企业的情形，也不存在与大企业的负责人为同一人的情形。</w:t>
      </w:r>
      <w:r/>
    </w:p>
    <w:p>
      <w:pPr>
        <w:pStyle w:val="1199"/>
        <w:ind w:firstLine="480"/>
        <w:keepLines w:val="0"/>
        <w:keepNext w:val="0"/>
        <w:pageBreakBefore w:val="0"/>
        <w:spacing w:line="45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本企业对上述声明内容的真实性负责。如有虚假，将依法承担相应责任。</w:t>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pStyle w:val="1226"/>
        <w:ind w:firstLine="3120"/>
        <w:spacing w:line="360" w:lineRule="auto"/>
        <w:rPr>
          <w:rFonts w:hint="eastAsia" w:ascii="宋体" w:hAnsi="宋体" w:eastAsia="宋体" w:cs="宋体"/>
          <w:sz w:val="24"/>
        </w:rPr>
      </w:pPr>
      <w:r>
        <w:rPr>
          <w:rFonts w:hint="eastAsia" w:ascii="宋体" w:hAnsi="宋体" w:eastAsia="宋体" w:cs="宋体"/>
          <w:sz w:val="24"/>
        </w:rPr>
        <w:t xml:space="preserve">日期：   </w:t>
      </w:r>
      <w:r>
        <w:rPr>
          <w:rFonts w:hint="eastAsia" w:ascii="宋体" w:hAnsi="宋体" w:eastAsia="宋体" w:cs="宋体"/>
          <w:sz w:val="24"/>
          <w:lang w:val="en-US" w:eastAsia="zh-CN"/>
        </w:rPr>
        <w:t xml:space="preserve"> </w:t>
      </w:r>
      <w:r>
        <w:rPr>
          <w:rFonts w:hint="eastAsia" w:ascii="宋体" w:hAnsi="宋体" w:eastAsia="宋体" w:cs="宋体"/>
          <w:sz w:val="24"/>
        </w:rPr>
        <w:t xml:space="preserve">年 </w:t>
      </w:r>
      <w:r>
        <w:rPr>
          <w:rFonts w:hint="eastAsia" w:ascii="宋体" w:hAnsi="宋体" w:eastAsia="宋体" w:cs="宋体"/>
          <w:sz w:val="24"/>
          <w:lang w:val="en-US" w:eastAsia="zh-CN"/>
        </w:rPr>
        <w:t xml:space="preserve">  </w:t>
      </w:r>
      <w:r>
        <w:rPr>
          <w:rFonts w:hint="eastAsia" w:ascii="宋体" w:hAnsi="宋体" w:eastAsia="宋体" w:cs="宋体"/>
          <w:sz w:val="24"/>
        </w:rPr>
        <w:t xml:space="preserve"> 月  </w:t>
      </w:r>
      <w:r>
        <w:rPr>
          <w:rFonts w:hint="eastAsia" w:ascii="宋体" w:hAnsi="宋体" w:eastAsia="宋体" w:cs="宋体"/>
          <w:sz w:val="24"/>
          <w:lang w:val="en-US" w:eastAsia="zh-CN"/>
        </w:rPr>
        <w:t xml:space="preserve">  </w:t>
      </w:r>
      <w:r>
        <w:rPr>
          <w:rFonts w:hint="eastAsia" w:ascii="宋体" w:hAnsi="宋体" w:eastAsia="宋体" w:cs="宋体"/>
          <w:sz w:val="24"/>
        </w:rPr>
        <w:t xml:space="preserve">日</w:t>
      </w:r>
      <w:r/>
    </w:p>
    <w:p>
      <w:pPr>
        <w:pStyle w:val="1199"/>
        <w:ind w:firstLine="420"/>
        <w:spacing w:line="480" w:lineRule="exact"/>
        <w:rPr>
          <w:rFonts w:hint="eastAsia" w:ascii="宋体" w:hAnsi="宋体" w:eastAsia="宋体" w:cs="宋体"/>
          <w:b w:val="0"/>
          <w:bCs/>
          <w:sz w:val="30"/>
          <w:szCs w:val="30"/>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2058670</wp:posOffset>
                </wp:positionH>
                <wp:positionV relativeFrom="paragraph">
                  <wp:posOffset>391160</wp:posOffset>
                </wp:positionV>
                <wp:extent cx="1761490" cy="2815590"/>
                <wp:effectExtent l="0" t="0" r="10160" b="3810"/>
                <wp:wrapNone/>
                <wp:docPr id="7" name="图片 8"/>
                <wp:cNvGraphicFramePr/>
                <a:graphic xmlns:a="http://schemas.openxmlformats.org/drawingml/2006/main">
                  <a:graphicData uri="http://schemas.openxmlformats.org/drawingml/2006/picture">
                    <pic:pic xmlns:pic="http://schemas.openxmlformats.org/drawingml/2006/picture">
                      <pic:nvPicPr>
                        <pic:cNvPr id="7" name="图片 8"/>
                        <pic:cNvPicPr/>
                        <pic:nvPr/>
                      </pic:nvPicPr>
                      <pic:blipFill>
                        <a:blip r:embed="rId15"/>
                        <a:stretch/>
                      </pic:blipFill>
                      <pic:spPr bwMode="auto">
                        <a:xfrm>
                          <a:off x="0" y="0"/>
                          <a:ext cx="1761490" cy="28155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162.1pt;mso-position-horizontal:absolute;mso-position-vertical-relative:text;margin-top:30.8pt;mso-position-vertical:absolute;width:138.7pt;height:221.7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val="0"/>
          <w:bCs/>
          <w:sz w:val="24"/>
        </w:rPr>
        <w:t xml:space="preserve">备注：从业人员、营业收入、资产总额填报上一年度数据，无上一年度数据的新成立企业可不填报。</w:t>
      </w:r>
      <w:r/>
    </w:p>
    <w:p>
      <w:pPr>
        <w:pStyle w:val="1199"/>
        <w:spacing w:line="360" w:lineRule="auto"/>
        <w:rPr>
          <w:rFonts w:hint="eastAsia" w:ascii="宋体" w:hAnsi="宋体" w:eastAsia="宋体" w:cs="宋体"/>
          <w:sz w:val="24"/>
        </w:rPr>
      </w:pPr>
      <w:r>
        <w:rPr>
          <w:rFonts w:hint="eastAsia" w:ascii="宋体" w:hAnsi="宋体" w:eastAsia="宋体" w:cs="宋体"/>
          <w:sz w:val="24"/>
        </w:rPr>
      </w:r>
      <w:r/>
    </w:p>
    <w:p>
      <w:pPr>
        <w:pStyle w:val="1199"/>
        <w:ind w:firstLine="3600"/>
        <w:spacing w:line="360" w:lineRule="auto"/>
        <w:rPr>
          <w:rFonts w:hint="eastAsia" w:ascii="宋体" w:hAnsi="宋体" w:eastAsia="宋体" w:cs="宋体"/>
          <w:sz w:val="24"/>
        </w:rPr>
      </w:pPr>
      <w:r>
        <w:rPr>
          <w:rFonts w:hint="eastAsia" w:ascii="宋体" w:hAnsi="宋体" w:eastAsia="宋体" w:cs="宋体"/>
          <w:sz w:val="24"/>
        </w:rPr>
      </w:r>
      <w:r/>
    </w:p>
    <w:p>
      <w:pPr>
        <w:pStyle w:val="1199"/>
        <w:rPr>
          <w:rFonts w:hint="eastAsia" w:ascii="宋体" w:hAnsi="宋体" w:eastAsia="宋体" w:cs="宋体"/>
          <w:sz w:val="24"/>
        </w:rPr>
      </w:pPr>
      <w:r>
        <w:rPr>
          <w:rFonts w:hint="eastAsia" w:ascii="宋体" w:hAnsi="宋体" w:eastAsia="宋体" w:cs="宋体"/>
          <w:sz w:val="24"/>
        </w:rPr>
      </w:r>
      <w:r/>
    </w:p>
    <w:p>
      <w:pPr>
        <w:pStyle w:val="1199"/>
        <w:rPr>
          <w:rFonts w:hint="eastAsia" w:ascii="宋体" w:hAnsi="宋体" w:eastAsia="宋体" w:cs="宋体"/>
          <w:sz w:val="28"/>
          <w:szCs w:val="28"/>
        </w:rPr>
      </w:pPr>
      <w:r>
        <w:rPr>
          <w:rFonts w:hint="eastAsia" w:ascii="宋体" w:hAnsi="宋体" w:eastAsia="宋体" w:cs="宋体"/>
          <w:sz w:val="28"/>
          <w:szCs w:val="28"/>
        </w:rPr>
      </w:r>
      <w:r/>
    </w:p>
    <w:p>
      <w:pPr>
        <w:pStyle w:val="1199"/>
        <w:spacing w:line="588" w:lineRule="exact"/>
        <w:rPr>
          <w:rFonts w:hint="eastAsia" w:ascii="宋体" w:hAnsi="宋体" w:eastAsia="宋体" w:cs="宋体"/>
          <w:sz w:val="24"/>
        </w:rPr>
      </w:pPr>
      <w:r>
        <w:rPr>
          <w:rFonts w:hint="eastAsia" w:ascii="宋体" w:hAnsi="宋体" w:eastAsia="宋体" w:cs="宋体"/>
          <w:sz w:val="24"/>
        </w:rPr>
      </w:r>
      <w:r/>
    </w:p>
    <w:p>
      <w:pPr>
        <w:pStyle w:val="1200"/>
        <w:rPr>
          <w:rFonts w:hint="eastAsia" w:ascii="宋体" w:hAnsi="宋体" w:eastAsia="宋体" w:cs="宋体"/>
          <w:sz w:val="24"/>
        </w:rPr>
      </w:pPr>
      <w:r>
        <w:rPr>
          <w:rFonts w:hint="eastAsia" w:ascii="宋体" w:hAnsi="宋体" w:eastAsia="宋体" w:cs="宋体"/>
          <w:sz w:val="24"/>
        </w:rPr>
      </w:r>
      <w:r/>
    </w:p>
    <w:p>
      <w:pPr>
        <w:pStyle w:val="1199"/>
        <w:rPr>
          <w:rFonts w:hint="eastAsia" w:ascii="宋体" w:hAnsi="宋体" w:eastAsia="宋体" w:cs="宋体"/>
          <w:sz w:val="24"/>
        </w:rPr>
      </w:pPr>
      <w:r>
        <w:rPr>
          <w:rFonts w:hint="eastAsia" w:ascii="宋体" w:hAnsi="宋体" w:eastAsia="宋体" w:cs="宋体"/>
          <w:sz w:val="24"/>
        </w:rPr>
      </w:r>
      <w:r/>
    </w:p>
    <w:p>
      <w:pPr>
        <w:pStyle w:val="1200"/>
        <w:rPr>
          <w:rFonts w:hint="eastAsia" w:ascii="宋体" w:hAnsi="宋体" w:eastAsia="宋体" w:cs="宋体"/>
          <w:sz w:val="24"/>
        </w:rPr>
      </w:pPr>
      <w:r>
        <w:rPr>
          <w:rFonts w:hint="eastAsia" w:ascii="宋体" w:hAnsi="宋体" w:eastAsia="宋体" w:cs="宋体"/>
          <w:sz w:val="24"/>
        </w:rPr>
      </w:r>
      <w:r/>
    </w:p>
    <w:p>
      <w:pPr>
        <w:pStyle w:val="1199"/>
        <w:ind w:firstLine="560"/>
        <w:jc w:val="center"/>
        <w:keepLines w:val="0"/>
        <w:keepNext w:val="0"/>
        <w:pageBreakBefore/>
        <w:spacing w:line="360" w:lineRule="auto"/>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12.</w:t>
      </w:r>
      <w:bookmarkStart w:id="162" w:name="OLE_LINK14"/>
      <w:r/>
      <w:bookmarkStart w:id="163" w:name="OLE_LINK13"/>
      <w:r>
        <w:rPr>
          <w:rFonts w:hint="eastAsia" w:ascii="宋体" w:hAnsi="宋体" w:eastAsia="宋体" w:cs="宋体"/>
          <w:bCs/>
          <w:sz w:val="28"/>
          <w:szCs w:val="28"/>
          <w:lang w:val="en-US" w:eastAsia="zh-CN"/>
        </w:rPr>
        <w:t xml:space="preserve"> 残疾人福利性单位声明函</w:t>
      </w:r>
      <w:bookmarkEnd w:id="162"/>
      <w:r/>
      <w:bookmarkEnd w:id="163"/>
      <w:r/>
      <w:r/>
    </w:p>
    <w:p>
      <w:pPr>
        <w:pStyle w:val="1199"/>
        <w:rPr>
          <w:rFonts w:hint="eastAsia" w:ascii="宋体" w:hAnsi="宋体" w:eastAsia="宋体" w:cs="宋体"/>
          <w:sz w:val="24"/>
          <w:u w:val="single"/>
          <w:lang w:eastAsia="zh-CN"/>
        </w:rPr>
      </w:pPr>
      <w:r>
        <w:rPr>
          <w:rFonts w:hint="eastAsia" w:ascii="宋体" w:hAnsi="宋体" w:eastAsia="宋体" w:cs="宋体"/>
          <w:sz w:val="24"/>
        </w:rPr>
        <w:t xml:space="preserve">项目名称：</w:t>
      </w:r>
      <w:r>
        <w:rPr>
          <w:rFonts w:hint="eastAsia" w:ascii="宋体" w:hAnsi="宋体" w:cs="宋体"/>
          <w:sz w:val="24"/>
          <w:u w:val="single"/>
          <w:lang w:eastAsia="zh-CN"/>
        </w:rPr>
        <w:t xml:space="preserve">丰县残疾人团体专属保险项目</w:t>
      </w:r>
      <w:r/>
    </w:p>
    <w:p>
      <w:pPr>
        <w:pStyle w:val="1199"/>
        <w:rPr>
          <w:rFonts w:hint="eastAsia" w:ascii="宋体" w:hAnsi="宋体" w:eastAsia="宋体" w:cs="宋体"/>
          <w:sz w:val="24"/>
          <w:u w:val="single"/>
          <w:lang w:eastAsia="zh-CN"/>
        </w:rPr>
      </w:pPr>
      <w:r>
        <w:rPr>
          <w:rFonts w:hint="eastAsia" w:ascii="宋体" w:hAnsi="宋体" w:eastAsia="宋体" w:cs="宋体"/>
          <w:sz w:val="24"/>
        </w:rPr>
        <w:t xml:space="preserve">项目编号：</w:t>
      </w:r>
      <w:r>
        <w:rPr>
          <w:rFonts w:hint="eastAsia" w:ascii="宋体" w:hAnsi="宋体" w:cs="宋体"/>
          <w:sz w:val="24"/>
          <w:u w:val="single"/>
          <w:lang w:eastAsia="zh-CN"/>
        </w:rPr>
        <w:t xml:space="preserve">JSZC-320321-XZZX-G2025-0012</w:t>
      </w:r>
      <w:r/>
    </w:p>
    <w:p>
      <w:pPr>
        <w:pStyle w:val="1199"/>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1199"/>
        <w:ind w:firstLine="480"/>
        <w:keepLines w:val="0"/>
        <w:keepNext w:val="0"/>
        <w:pageBreakBefore w:val="0"/>
        <w:spacing w:line="45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sz w:val="24"/>
          <w:szCs w:val="24"/>
          <w:u w:val="single"/>
          <w:lang w:val="en-US" w:eastAsia="zh-CN" w:bidi="ar-SA"/>
        </w:rPr>
        <w:t xml:space="preserve">（单位名称）</w:t>
      </w:r>
      <w:r>
        <w:rPr>
          <w:rFonts w:hint="eastAsia" w:ascii="宋体" w:hAnsi="宋体" w:eastAsia="宋体" w:cs="宋体"/>
          <w:sz w:val="24"/>
          <w:szCs w:val="24"/>
          <w:lang w:val="en-US" w:eastAsia="zh-CN" w:bidi="ar-SA"/>
        </w:rPr>
        <w:t xml:space="preserve">的</w:t>
      </w:r>
      <w:r>
        <w:rPr>
          <w:rFonts w:hint="eastAsia" w:ascii="宋体" w:hAnsi="宋体" w:eastAsia="宋体" w:cs="宋体"/>
          <w:sz w:val="24"/>
          <w:szCs w:val="24"/>
          <w:u w:val="single"/>
          <w:lang w:val="en-US" w:eastAsia="zh-CN" w:bidi="ar-SA"/>
        </w:rPr>
        <w:t xml:space="preserve">（项目名称）</w:t>
      </w:r>
      <w:r>
        <w:rPr>
          <w:rFonts w:hint="eastAsia" w:ascii="宋体" w:hAnsi="宋体" w:eastAsia="宋体" w:cs="宋体"/>
          <w:sz w:val="24"/>
          <w:szCs w:val="24"/>
          <w:lang w:val="en-US" w:eastAsia="zh-CN" w:bidi="ar-SA"/>
        </w:rPr>
        <w:t xml:space="preserve">采购活动提供服务，或者提供其他残疾人福利性单位制造的货物（不包括使用非残疾人福利性单位注册商标的货物）。</w:t>
      </w:r>
      <w:r/>
    </w:p>
    <w:p>
      <w:pPr>
        <w:pStyle w:val="1199"/>
        <w:ind w:firstLine="480"/>
        <w:keepLines w:val="0"/>
        <w:keepNext w:val="0"/>
        <w:pageBreakBefore w:val="0"/>
        <w:spacing w:line="45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本单位对上述声明的真实性负责。如有虚假，将依法承担相应责任。</w:t>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1226"/>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pStyle w:val="1226"/>
        <w:ind w:firstLine="3120"/>
        <w:spacing w:line="360" w:lineRule="auto"/>
        <w:rPr>
          <w:rFonts w:hint="eastAsia" w:ascii="宋体" w:hAnsi="宋体" w:eastAsia="宋体" w:cs="宋体"/>
          <w:sz w:val="24"/>
        </w:rPr>
      </w:pPr>
      <w:r>
        <w:rPr>
          <w:rFonts w:hint="eastAsia" w:ascii="宋体" w:hAnsi="宋体" w:eastAsia="宋体" w:cs="宋体"/>
          <w:sz w:val="24"/>
        </w:rPr>
        <w:t xml:space="preserve">日期：   </w:t>
      </w:r>
      <w:r>
        <w:rPr>
          <w:rFonts w:hint="eastAsia" w:ascii="宋体" w:hAnsi="宋体" w:eastAsia="宋体" w:cs="宋体"/>
          <w:sz w:val="24"/>
          <w:lang w:val="en-US" w:eastAsia="zh-CN"/>
        </w:rPr>
        <w:t xml:space="preserve"> </w:t>
      </w:r>
      <w:r>
        <w:rPr>
          <w:rFonts w:hint="eastAsia" w:ascii="宋体" w:hAnsi="宋体" w:eastAsia="宋体" w:cs="宋体"/>
          <w:sz w:val="24"/>
        </w:rPr>
        <w:t xml:space="preserve">年 </w:t>
      </w:r>
      <w:r>
        <w:rPr>
          <w:rFonts w:hint="eastAsia" w:ascii="宋体" w:hAnsi="宋体" w:eastAsia="宋体" w:cs="宋体"/>
          <w:sz w:val="24"/>
          <w:lang w:val="en-US" w:eastAsia="zh-CN"/>
        </w:rPr>
        <w:t xml:space="preserve">  </w:t>
      </w:r>
      <w:r>
        <w:rPr>
          <w:rFonts w:hint="eastAsia" w:ascii="宋体" w:hAnsi="宋体" w:eastAsia="宋体" w:cs="宋体"/>
          <w:sz w:val="24"/>
        </w:rPr>
        <w:t xml:space="preserve"> 月  </w:t>
      </w:r>
      <w:r>
        <w:rPr>
          <w:rFonts w:hint="eastAsia" w:ascii="宋体" w:hAnsi="宋体" w:eastAsia="宋体" w:cs="宋体"/>
          <w:sz w:val="24"/>
          <w:lang w:val="en-US" w:eastAsia="zh-CN"/>
        </w:rPr>
        <w:t xml:space="preserve">  </w:t>
      </w:r>
      <w:r>
        <w:rPr>
          <w:rFonts w:hint="eastAsia" w:ascii="宋体" w:hAnsi="宋体" w:eastAsia="宋体" w:cs="宋体"/>
          <w:sz w:val="24"/>
        </w:rPr>
        <w:t xml:space="preserve">日</w:t>
      </w:r>
      <w:r/>
    </w:p>
    <w:p>
      <w:pPr>
        <w:pStyle w:val="1199"/>
        <w:ind w:firstLine="480"/>
        <w:spacing w:line="480" w:lineRule="exact"/>
        <w:rPr>
          <w:rFonts w:hint="eastAsia" w:ascii="宋体" w:hAnsi="宋体" w:eastAsia="宋体" w:cs="宋体"/>
          <w:b w:val="0"/>
          <w:bCs/>
          <w:sz w:val="24"/>
        </w:rPr>
      </w:pPr>
      <w:r>
        <w:rPr>
          <w:rFonts w:hint="eastAsia" w:ascii="宋体" w:hAnsi="宋体" w:eastAsia="宋体" w:cs="宋体"/>
          <w:b w:val="0"/>
          <w:bCs/>
          <w:sz w:val="24"/>
        </w:rPr>
        <w:t xml:space="preserve">说明：</w:t>
      </w:r>
      <w:r/>
    </w:p>
    <w:p>
      <w:pPr>
        <w:pStyle w:val="1199"/>
        <w:ind w:firstLine="480"/>
        <w:spacing w:line="480" w:lineRule="exact"/>
        <w:rPr>
          <w:rFonts w:hint="eastAsia" w:ascii="宋体" w:hAnsi="宋体" w:eastAsia="宋体" w:cs="宋体"/>
          <w:b w:val="0"/>
          <w:bCs/>
          <w:sz w:val="24"/>
        </w:rPr>
      </w:pPr>
      <w:r>
        <w:rPr>
          <w:rFonts w:hint="eastAsia" w:ascii="宋体" w:hAnsi="宋体" w:eastAsia="宋体" w:cs="宋体"/>
          <w:b w:val="0"/>
          <w:bCs/>
          <w:sz w:val="24"/>
        </w:rPr>
        <w:t xml:space="preserve">中标、成交供应商为残疾人福利性单位的，采购人或者其委托的采购代理机构应当随中标、成交结果同时公告其《残疾人福利性单位声明函》，接受社会监督。</w:t>
      </w:r>
      <w:r/>
    </w:p>
    <w:p>
      <w:pPr>
        <w:pStyle w:val="1199"/>
        <w:ind w:firstLine="480"/>
        <w:spacing w:line="480" w:lineRule="exact"/>
        <w:rPr>
          <w:rFonts w:hint="eastAsia" w:ascii="宋体" w:hAnsi="宋体" w:eastAsia="宋体" w:cs="宋体"/>
          <w:b w:val="0"/>
          <w:bCs/>
          <w:sz w:val="24"/>
        </w:rPr>
      </w:pPr>
      <w:r>
        <w:rPr>
          <w:rFonts w:hint="eastAsia" w:ascii="宋体" w:hAnsi="宋体" w:eastAsia="宋体" w:cs="宋体"/>
          <w:b w:val="0"/>
          <w:bCs/>
          <w:sz w:val="24"/>
        </w:rPr>
        <w:t xml:space="preserve">供应商提供的《残疾人福利性单位声明函》与事实不符的，依照《政府采购法》第七十七条第一款的规定追究法律责任。</w:t>
      </w:r>
      <w:r/>
    </w:p>
    <w:p>
      <w:pPr>
        <w:pStyle w:val="1199"/>
        <w:ind w:firstLine="480"/>
        <w:widowControl/>
        <w:rPr>
          <w:rFonts w:hint="eastAsia" w:ascii="宋体" w:hAnsi="宋体" w:eastAsia="宋体" w:cs="宋体"/>
          <w:sz w:val="22"/>
          <w:szCs w:val="22"/>
        </w:rPr>
      </w:pPr>
      <w:r>
        <w:rPr>
          <w:rFonts w:hint="eastAsia" w:ascii="宋体" w:hAnsi="宋体" w:eastAsia="宋体" w:cs="宋体"/>
          <w:sz w:val="22"/>
          <w:szCs w:val="22"/>
        </w:rPr>
      </w:r>
      <w:r/>
    </w:p>
    <w:sectPr>
      <w:footerReference w:type="default" r:id="rId12"/>
      <w:footnotePr/>
      <w:endnotePr/>
      <w:type w:val="nextPage"/>
      <w:pgSz w:w="11906" w:h="16838" w:orient="portrait"/>
      <w:pgMar w:top="1440" w:right="1800" w:bottom="1440" w:left="1800" w:header="851" w:footer="567" w:gutter="0"/>
      <w:pgNumType w:start="1"/>
      <w:rtlGutter/>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Tahoma">
    <w:panose1 w:val="020B0604030504040204"/>
  </w:font>
  <w:font w:name="Symbol">
    <w:panose1 w:val="05050102010706020507"/>
  </w:font>
  <w:font w:name="楷体">
    <w:panose1 w:val="02010609060101010101"/>
  </w:font>
  <w:font w:name="Cambria">
    <w:panose1 w:val="02040503050406030204"/>
  </w:font>
  <w:font w:name="仿宋_GB2312">
    <w:panose1 w:val="02010609060101010101"/>
  </w:font>
  <w:font w:name="黑体">
    <w:panose1 w:val="02010609060101010101"/>
  </w:font>
  <w:font w:name="仿宋">
    <w:panose1 w:val="02010609060101010101"/>
  </w:font>
  <w:font w:name="微软雅黑">
    <w:panose1 w:val="020B05030202040202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pPr>
    <w:r>
      <w:fldChar w:fldCharType="begin"/>
    </w:r>
    <w:r>
      <w:instrText xml:space="preserve">PAGE \* MERGEFORMAT</w:instrText>
    </w:r>
    <w:r>
      <w:fldChar w:fldCharType="separate"/>
    </w:r>
    <w:r>
      <w:t xml:space="preserve">1</w:t>
    </w:r>
    <w:r>
      <w:fldChar w:fldCharType="end"/>
    </w:r>
    <w:r/>
  </w:p>
  <w:p>
    <w:pPr>
      <w:pStyle w:val="10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199"/>
        <w:keepLines/>
        <w:keepNext/>
        <w:spacing w:before="0" w:after="0" w:line="240" w:lineRule="auto"/>
        <w:widowControl w:val="off"/>
        <w:rPr>
          <w:rFonts w:ascii="微软雅黑" w:hAnsi="微软雅黑" w:eastAsia="微软雅黑"/>
          <w:b w:val="0"/>
          <w:bCs/>
          <w:sz w:val="18"/>
          <w:szCs w:val="32"/>
          <w:lang w:val="en-US" w:eastAsia="zh-CN" w:bidi="ar-SA"/>
        </w:rPr>
        <w:outlineLvl w:val="1"/>
      </w:pPr>
      <w:r>
        <w:rPr>
          <w:rStyle w:val="1208"/>
          <w:rFonts w:ascii="微软雅黑" w:hAnsi="微软雅黑" w:eastAsia="微软雅黑" w:cstheme="minorBidi"/>
          <w:b/>
          <w:bCs/>
          <w:sz w:val="18"/>
          <w:szCs w:val="32"/>
          <w:lang w:val="en-US" w:eastAsia="en-US" w:bidi="ar-SA"/>
        </w:rPr>
        <w:footnoteRef/>
      </w:r>
      <w:r>
        <w:rPr>
          <w:rFonts w:ascii="微软雅黑" w:hAnsi="微软雅黑" w:eastAsia="微软雅黑"/>
          <w:b/>
          <w:bCs/>
          <w:sz w:val="18"/>
          <w:szCs w:val="32"/>
          <w:lang w:val="en-US" w:eastAsia="zh-CN" w:bidi="ar-SA"/>
        </w:rPr>
        <w:t xml:space="preserve"> 组织病理学检查：</w:t>
      </w:r>
      <w:r>
        <w:rPr>
          <w:rFonts w:ascii="微软雅黑" w:hAnsi="微软雅黑" w:eastAsia="微软雅黑"/>
          <w:b w:val="0"/>
          <w:bCs/>
          <w:sz w:val="18"/>
          <w:szCs w:val="32"/>
          <w:lang w:val="en-US" w:eastAsia="zh-CN" w:bidi="ar-SA"/>
        </w:rPr>
        <w:t xml:space="preserve">组织病理学检查是通过局部切除、钳取、穿刺等手术方法，从患者机体采取病变组织块，经过包埋、切片后，进行病理检查的方法。</w:t>
      </w:r>
      <w:r>
        <w:rPr>
          <w:rFonts w:ascii="微软雅黑" w:hAnsi="微软雅黑" w:eastAsia="微软雅黑"/>
          <w:b/>
          <w:bCs/>
          <w:sz w:val="18"/>
          <w:szCs w:val="32"/>
          <w:lang w:val="en-US" w:eastAsia="zh-CN" w:bidi="ar-SA"/>
        </w:rPr>
        <w:t xml:space="preserve">通过采集病变部位脱落细胞、细针吸取病变部位细胞、体腔积液分离病变细胞等方式获取病变细胞，制成涂片，进行病理检查的方法，属于细胞病理学检查，不属于组织病理学检查。</w:t>
      </w:r>
      <w:r>
        <w:rPr>
          <w:rFonts w:ascii="微软雅黑" w:hAnsi="微软雅黑" w:eastAsia="微软雅黑"/>
          <w:b w:val="0"/>
          <w:bCs/>
          <w:sz w:val="18"/>
          <w:szCs w:val="32"/>
          <w:lang w:val="en-US" w:eastAsia="zh-CN" w:bidi="ar-SA"/>
        </w:rPr>
        <w:t xml:space="preserve">如无特别说明，本合同下文提及处，意思相同。</w:t>
      </w:r>
      <w:r/>
    </w:p>
  </w:footnote>
  <w:footnote w:id="3">
    <w:p>
      <w:pPr>
        <w:pStyle w:val="1246"/>
        <w:ind w:left="0" w:firstLine="0"/>
        <w:rPr>
          <w:rFonts w:ascii="微软雅黑" w:hAnsi="微软雅黑" w:eastAsia="微软雅黑"/>
          <w:b/>
          <w:sz w:val="18"/>
          <w:szCs w:val="21"/>
          <w:lang w:eastAsia="zh-CN"/>
        </w:rPr>
      </w:pPr>
      <w:r>
        <w:rPr>
          <w:rStyle w:val="1208"/>
          <w:rFonts w:ascii="微软雅黑" w:hAnsi="微软雅黑" w:eastAsia="微软雅黑" w:cstheme="minorBidi"/>
          <w:b/>
          <w:sz w:val="18"/>
        </w:rPr>
        <w:footnoteRef/>
      </w:r>
      <w:r>
        <w:rPr>
          <w:rFonts w:ascii="微软雅黑" w:hAnsi="微软雅黑" w:eastAsia="微软雅黑"/>
          <w:b/>
          <w:sz w:val="18"/>
          <w:szCs w:val="21"/>
          <w:lang w:eastAsia="zh-CN"/>
        </w:rPr>
        <w:t xml:space="preserve"> ICD-10与ICD-O-3:</w:t>
      </w:r>
      <w:r>
        <w:rPr>
          <w:rFonts w:ascii="微软雅黑" w:hAnsi="微软雅黑" w:eastAsia="微软雅黑"/>
          <w:sz w:val="18"/>
          <w:szCs w:val="21"/>
          <w:lang w:eastAsia="zh-CN"/>
        </w:rPr>
        <w:t xml:space="preserve">《疾病和有关健康问题的国际统计分类》第十次修订版（ICD-10），是世界卫生组织（WHO）发布的国际通用的疾病分类方法。《国际疾病分类肿瘤学专辑》第三版（ICD-O-3），是WHO发布的针对ICD中肿瘤形态学组织学细胞类型、动态、分化程度的补充编码。其中形态学编码：0代表良性肿瘤；1代表动态未定性肿瘤；2代表原位癌和非侵袭性癌；3代表恶性肿瘤（原发性）；6代表恶性肿瘤（转移性）；9代表恶性肿瘤（原发性或转移性未肯定）。</w:t>
      </w:r>
      <w:r>
        <w:rPr>
          <w:rFonts w:ascii="微软雅黑" w:hAnsi="微软雅黑" w:eastAsia="微软雅黑"/>
          <w:b/>
          <w:sz w:val="18"/>
          <w:szCs w:val="21"/>
          <w:lang w:eastAsia="zh-CN"/>
        </w:rPr>
        <w:t xml:space="preserve">如果出现ICD-10与ICD-O-3不一致的情况，以ICD-O-3为准。</w:t>
      </w:r>
      <w:r>
        <w:rPr>
          <w:rFonts w:ascii="微软雅黑" w:hAnsi="微软雅黑" w:eastAsia="微软雅黑"/>
          <w:sz w:val="18"/>
          <w:szCs w:val="21"/>
          <w:lang w:eastAsia="zh-CN"/>
        </w:rPr>
        <w:t xml:space="preserve">如无特别说明，本合同下文提及处，意思相同。</w:t>
      </w:r>
      <w:r/>
    </w:p>
  </w:footnote>
  <w:footnote w:id="4">
    <w:p>
      <w:pPr>
        <w:pStyle w:val="1246"/>
        <w:ind w:left="0" w:firstLine="2"/>
        <w:rPr>
          <w:rFonts w:ascii="微软雅黑" w:hAnsi="微软雅黑" w:eastAsia="微软雅黑"/>
          <w:b/>
          <w:sz w:val="18"/>
          <w:szCs w:val="21"/>
          <w:lang w:eastAsia="zh-CN"/>
        </w:rPr>
      </w:pPr>
      <w:r>
        <w:rPr>
          <w:rStyle w:val="1208"/>
          <w:rFonts w:ascii="微软雅黑" w:hAnsi="微软雅黑" w:eastAsia="微软雅黑" w:cstheme="minorBidi"/>
          <w:b/>
          <w:sz w:val="18"/>
          <w:szCs w:val="21"/>
        </w:rPr>
        <w:footnoteRef/>
      </w:r>
      <w:r>
        <w:rPr>
          <w:rFonts w:ascii="微软雅黑" w:hAnsi="微软雅黑" w:eastAsia="微软雅黑"/>
          <w:b/>
          <w:sz w:val="18"/>
          <w:szCs w:val="21"/>
          <w:lang w:eastAsia="zh-CN"/>
        </w:rPr>
        <w:t xml:space="preserve"> TNM分期、甲状腺癌的TNM分期：TNM分期</w:t>
      </w:r>
      <w:r>
        <w:rPr>
          <w:rFonts w:ascii="微软雅黑" w:hAnsi="微软雅黑" w:eastAsia="微软雅黑"/>
          <w:sz w:val="18"/>
          <w:szCs w:val="21"/>
          <w:lang w:eastAsia="zh-CN"/>
        </w:rPr>
        <w:t xml:space="preserve">采用AJCC癌症分期手册标准。该标准由美国癌症联合委员会与国际抗癌联合会TNM委员会联合制定，是目前肿瘤医学分期的国际通用标准。T指原发肿瘤的大小、形态等；N指淋巴结的转移情况；M指有无其他脏器的转移情况。</w:t>
      </w:r>
      <w:r>
        <w:rPr>
          <w:rFonts w:ascii="微软雅黑" w:hAnsi="微软雅黑" w:eastAsia="微软雅黑"/>
          <w:b/>
          <w:sz w:val="18"/>
          <w:szCs w:val="21"/>
          <w:lang w:eastAsia="zh-CN"/>
        </w:rPr>
        <w:t xml:space="preserve">甲状腺癌的TNM分期</w:t>
      </w:r>
      <w:r>
        <w:rPr>
          <w:rFonts w:ascii="微软雅黑" w:hAnsi="微软雅黑" w:eastAsia="微软雅黑"/>
          <w:sz w:val="18"/>
          <w:szCs w:val="21"/>
          <w:lang w:eastAsia="zh-CN"/>
        </w:rPr>
        <w:t xml:space="preserve">采用目前现行的AJCC第八版定义标准，我国国家卫生健康委员会2018年发布的《甲状腺癌诊疗规范（2018年版）》也采用此定义标准，具体见</w:t>
      </w:r>
      <w:r>
        <w:rPr>
          <w:rFonts w:ascii="微软雅黑" w:hAnsi="微软雅黑" w:eastAsia="微软雅黑"/>
          <w:b/>
          <w:sz w:val="18"/>
          <w:szCs w:val="21"/>
          <w:lang w:eastAsia="zh-CN"/>
        </w:rPr>
        <w:t xml:space="preserve">附录</w:t>
      </w:r>
      <w:r>
        <w:rPr>
          <w:rFonts w:ascii="微软雅黑" w:hAnsi="微软雅黑" w:eastAsia="微软雅黑"/>
          <w:sz w:val="18"/>
          <w:szCs w:val="21"/>
          <w:lang w:eastAsia="zh-CN"/>
        </w:rPr>
        <w:t xml:space="preserve">。如无特别说明，本合同下文提及处，意思相同。</w:t>
      </w:r>
      <w:r/>
    </w:p>
  </w:footnote>
  <w:footnote w:id="5">
    <w:p>
      <w:pPr>
        <w:pStyle w:val="1246"/>
        <w:ind w:left="0" w:firstLine="0"/>
        <w:rPr>
          <w:rFonts w:ascii="宋体" w:hAnsi="宋体"/>
          <w:b/>
          <w:sz w:val="18"/>
          <w:szCs w:val="21"/>
          <w:lang w:eastAsia="zh-CN"/>
        </w:rPr>
      </w:pPr>
      <w:r>
        <w:rPr>
          <w:rStyle w:val="1208"/>
          <w:rFonts w:ascii="宋体" w:hAnsi="宋体" w:eastAsia="宋体" w:cstheme="minorBidi"/>
          <w:b/>
          <w:sz w:val="18"/>
          <w:szCs w:val="21"/>
        </w:rPr>
        <w:footnoteRef/>
      </w:r>
      <w:r>
        <w:rPr>
          <w:rFonts w:ascii="宋体" w:hAnsi="宋体"/>
          <w:b/>
          <w:sz w:val="18"/>
          <w:szCs w:val="21"/>
          <w:lang w:eastAsia="zh-CN"/>
        </w:rPr>
        <w:t xml:space="preserve"> 肢体：</w:t>
      </w:r>
      <w:r>
        <w:rPr>
          <w:rFonts w:ascii="宋体" w:hAnsi="宋体"/>
          <w:sz w:val="18"/>
          <w:szCs w:val="21"/>
          <w:lang w:eastAsia="zh-CN"/>
        </w:rPr>
        <w:t xml:space="preserve">指包括肩关节的整个上肢或包括髋关节的整个下肢。如无特别说明，本合同下文提及处，意思相同。</w:t>
      </w:r>
      <w:r/>
    </w:p>
  </w:footnote>
  <w:footnote w:id="6">
    <w:p>
      <w:pPr>
        <w:pStyle w:val="1246"/>
        <w:ind w:left="0" w:firstLine="0"/>
        <w:rPr>
          <w:rFonts w:ascii="宋体" w:hAnsi="宋体"/>
          <w:sz w:val="18"/>
          <w:szCs w:val="21"/>
          <w:lang w:eastAsia="zh-CN"/>
        </w:rPr>
      </w:pPr>
      <w:r>
        <w:rPr>
          <w:rStyle w:val="1208"/>
          <w:rFonts w:ascii="宋体" w:hAnsi="宋体" w:eastAsia="宋体" w:cstheme="minorBidi"/>
          <w:b/>
          <w:sz w:val="18"/>
          <w:szCs w:val="21"/>
        </w:rPr>
        <w:footnoteRef/>
      </w:r>
      <w:r>
        <w:rPr>
          <w:rFonts w:ascii="宋体" w:hAnsi="宋体"/>
          <w:b/>
          <w:sz w:val="18"/>
          <w:szCs w:val="21"/>
          <w:lang w:eastAsia="zh-CN"/>
        </w:rPr>
        <w:t xml:space="preserve"> 肌力：</w:t>
      </w:r>
      <w:r>
        <w:rPr>
          <w:rFonts w:ascii="宋体" w:hAnsi="宋体"/>
          <w:sz w:val="18"/>
          <w:szCs w:val="21"/>
          <w:lang w:eastAsia="zh-CN"/>
        </w:rPr>
        <w:t xml:space="preserve">指肌肉收缩时的力量。肌力划分为0-5级，具体为：</w:t>
      </w:r>
      <w:r/>
    </w:p>
    <w:p>
      <w:pPr>
        <w:pStyle w:val="1246"/>
        <w:ind w:left="0" w:firstLine="0"/>
        <w:spacing w:line="204" w:lineRule="auto"/>
        <w:rPr>
          <w:rFonts w:ascii="宋体" w:hAnsi="宋体"/>
          <w:sz w:val="18"/>
          <w:szCs w:val="21"/>
          <w:lang w:eastAsia="zh-CN"/>
        </w:rPr>
      </w:pPr>
      <w:r>
        <w:rPr>
          <w:rFonts w:ascii="宋体" w:hAnsi="宋体"/>
          <w:sz w:val="18"/>
          <w:szCs w:val="21"/>
          <w:lang w:eastAsia="zh-CN"/>
        </w:rPr>
        <w:t xml:space="preserve">0级：肌肉完全瘫痪，毫无收缩。</w:t>
      </w:r>
      <w:r/>
    </w:p>
    <w:p>
      <w:pPr>
        <w:pStyle w:val="1246"/>
        <w:ind w:left="0" w:firstLine="0"/>
        <w:spacing w:line="204" w:lineRule="auto"/>
        <w:rPr>
          <w:rFonts w:ascii="宋体" w:hAnsi="宋体"/>
          <w:sz w:val="18"/>
          <w:szCs w:val="21"/>
          <w:lang w:eastAsia="zh-CN"/>
        </w:rPr>
      </w:pPr>
      <w:r>
        <w:rPr>
          <w:rFonts w:ascii="宋体" w:hAnsi="宋体"/>
          <w:sz w:val="18"/>
          <w:szCs w:val="21"/>
          <w:lang w:eastAsia="zh-CN"/>
        </w:rPr>
        <w:t xml:space="preserve">1级：可看到或者触及肌肉轻微收缩，但不能产生动作。</w:t>
      </w:r>
      <w:r/>
    </w:p>
    <w:p>
      <w:pPr>
        <w:pStyle w:val="1246"/>
        <w:ind w:left="0" w:firstLine="0"/>
        <w:spacing w:line="204" w:lineRule="auto"/>
        <w:rPr>
          <w:rFonts w:ascii="宋体" w:hAnsi="宋体"/>
          <w:sz w:val="18"/>
          <w:szCs w:val="21"/>
          <w:lang w:eastAsia="zh-CN"/>
        </w:rPr>
      </w:pPr>
      <w:r>
        <w:rPr>
          <w:rFonts w:ascii="宋体" w:hAnsi="宋体"/>
          <w:sz w:val="18"/>
          <w:szCs w:val="21"/>
          <w:lang w:eastAsia="zh-CN"/>
        </w:rPr>
        <w:t xml:space="preserve">2级：肌肉在不受重力影响下，可进行运动，即肢体能在床面上移动，但不能抬高。</w:t>
      </w:r>
      <w:r/>
    </w:p>
    <w:p>
      <w:pPr>
        <w:pStyle w:val="1246"/>
        <w:ind w:left="0" w:firstLine="0"/>
        <w:spacing w:line="204" w:lineRule="auto"/>
        <w:rPr>
          <w:rFonts w:ascii="宋体" w:hAnsi="宋体"/>
          <w:sz w:val="18"/>
          <w:szCs w:val="21"/>
          <w:lang w:eastAsia="zh-CN"/>
        </w:rPr>
      </w:pPr>
      <w:r>
        <w:rPr>
          <w:rFonts w:ascii="宋体" w:hAnsi="宋体"/>
          <w:sz w:val="18"/>
          <w:szCs w:val="21"/>
          <w:lang w:eastAsia="zh-CN"/>
        </w:rPr>
        <w:t xml:space="preserve">3级：在和地心引力相反的方向中尚能完成其动作，但不能对抗外加阻力。</w:t>
      </w:r>
      <w:r/>
    </w:p>
    <w:p>
      <w:pPr>
        <w:pStyle w:val="1246"/>
        <w:ind w:left="0" w:firstLine="0"/>
        <w:spacing w:line="204" w:lineRule="auto"/>
        <w:rPr>
          <w:rFonts w:ascii="宋体" w:hAnsi="宋体"/>
          <w:sz w:val="18"/>
          <w:szCs w:val="21"/>
          <w:lang w:eastAsia="zh-CN"/>
        </w:rPr>
      </w:pPr>
      <w:r>
        <w:rPr>
          <w:rFonts w:ascii="宋体" w:hAnsi="宋体"/>
          <w:sz w:val="18"/>
          <w:szCs w:val="21"/>
          <w:lang w:eastAsia="zh-CN"/>
        </w:rPr>
        <w:t xml:space="preserve">4级：能对抗一定的阻力，但较正常人为低。</w:t>
      </w:r>
      <w:r/>
    </w:p>
    <w:p>
      <w:pPr>
        <w:pStyle w:val="1246"/>
        <w:ind w:left="0" w:firstLine="0"/>
        <w:spacing w:line="204" w:lineRule="auto"/>
        <w:rPr>
          <w:rFonts w:ascii="宋体" w:hAnsi="宋体"/>
          <w:sz w:val="18"/>
          <w:szCs w:val="21"/>
          <w:lang w:eastAsia="zh-CN"/>
        </w:rPr>
      </w:pPr>
      <w:r>
        <w:rPr>
          <w:rFonts w:ascii="宋体" w:hAnsi="宋体"/>
          <w:sz w:val="18"/>
          <w:szCs w:val="21"/>
          <w:lang w:eastAsia="zh-CN"/>
        </w:rPr>
        <w:t xml:space="preserve">5级：正常肌力。</w:t>
      </w:r>
      <w:r/>
    </w:p>
    <w:p>
      <w:pPr>
        <w:pStyle w:val="1246"/>
        <w:ind w:left="0" w:firstLine="0"/>
        <w:rPr>
          <w:rFonts w:ascii="宋体" w:hAnsi="宋体"/>
          <w:b/>
          <w:sz w:val="18"/>
          <w:szCs w:val="21"/>
          <w:lang w:eastAsia="zh-CN"/>
        </w:rPr>
      </w:pPr>
      <w:r>
        <w:rPr>
          <w:rFonts w:ascii="宋体" w:hAnsi="宋体"/>
          <w:sz w:val="18"/>
          <w:szCs w:val="21"/>
          <w:lang w:eastAsia="zh-CN"/>
        </w:rPr>
        <w:t xml:space="preserve">如无特别说明，本合同下文提及处，意思相同。</w:t>
      </w:r>
      <w:r/>
    </w:p>
  </w:footnote>
  <w:footnote w:id="7">
    <w:p>
      <w:pPr>
        <w:pStyle w:val="1246"/>
        <w:ind w:left="0" w:firstLine="0"/>
        <w:rPr>
          <w:rFonts w:ascii="宋体" w:hAnsi="宋体"/>
          <w:b/>
          <w:sz w:val="18"/>
          <w:szCs w:val="21"/>
          <w:lang w:eastAsia="zh-CN"/>
        </w:rPr>
      </w:pPr>
      <w:r>
        <w:rPr>
          <w:rStyle w:val="1208"/>
          <w:rFonts w:ascii="宋体" w:hAnsi="宋体" w:eastAsia="宋体" w:cstheme="minorBidi"/>
          <w:b/>
          <w:sz w:val="18"/>
          <w:szCs w:val="21"/>
        </w:rPr>
        <w:footnoteRef/>
      </w:r>
      <w:r>
        <w:rPr>
          <w:rFonts w:ascii="宋体" w:hAnsi="宋体"/>
          <w:b/>
          <w:sz w:val="18"/>
          <w:szCs w:val="21"/>
          <w:lang w:eastAsia="zh-CN"/>
        </w:rPr>
        <w:t xml:space="preserve"> 语言能力完全丧失：</w:t>
      </w:r>
      <w:r>
        <w:rPr>
          <w:rFonts w:ascii="宋体" w:hAnsi="宋体"/>
          <w:sz w:val="18"/>
          <w:szCs w:val="21"/>
          <w:lang w:eastAsia="zh-CN"/>
        </w:rPr>
        <w:t xml:space="preserve">指无法发出四种语音（包括口唇音、齿舌音、口盖音和喉头音）中的任何三种、或声带全部切除，或因大脑语言中枢受伤害而患失语症。如无特别说明，本合同下文提及处，意思相同。</w:t>
      </w:r>
      <w:r/>
    </w:p>
  </w:footnote>
  <w:footnote w:id="8">
    <w:p>
      <w:pPr>
        <w:pStyle w:val="1246"/>
        <w:ind w:left="0" w:firstLine="0"/>
        <w:rPr>
          <w:rFonts w:ascii="宋体" w:hAnsi="宋体"/>
          <w:b/>
          <w:sz w:val="18"/>
          <w:szCs w:val="21"/>
          <w:lang w:eastAsia="zh-CN"/>
        </w:rPr>
      </w:pPr>
      <w:r>
        <w:rPr>
          <w:rStyle w:val="1208"/>
          <w:rFonts w:ascii="宋体" w:hAnsi="宋体" w:eastAsia="宋体" w:cstheme="minorBidi"/>
          <w:b/>
          <w:sz w:val="18"/>
          <w:szCs w:val="21"/>
        </w:rPr>
        <w:footnoteRef/>
      </w:r>
      <w:r>
        <w:rPr>
          <w:rFonts w:ascii="宋体" w:hAnsi="宋体"/>
          <w:b/>
          <w:sz w:val="18"/>
          <w:szCs w:val="21"/>
          <w:lang w:eastAsia="zh-CN"/>
        </w:rPr>
        <w:t xml:space="preserve"> 严重咀嚼吞咽功能障碍：</w:t>
      </w:r>
      <w:r>
        <w:rPr>
          <w:rFonts w:ascii="宋体" w:hAnsi="宋体"/>
          <w:sz w:val="18"/>
          <w:szCs w:val="21"/>
          <w:lang w:eastAsia="zh-CN"/>
        </w:rPr>
        <w:t xml:space="preserve">指因牙齿以外的原因导致器质障碍或机能障碍，以致不能作咀嚼吞咽运动，除流质食物外不能摄取或吞咽的状态。如无特别说明，本合同下文提及处，意思相同。</w:t>
      </w:r>
      <w:r/>
    </w:p>
  </w:footnote>
  <w:footnote w:id="9">
    <w:p>
      <w:pPr>
        <w:pStyle w:val="1246"/>
        <w:ind w:left="0" w:firstLine="0"/>
        <w:rPr>
          <w:rFonts w:ascii="宋体" w:hAnsi="宋体"/>
          <w:b/>
          <w:sz w:val="18"/>
          <w:szCs w:val="21"/>
          <w:lang w:eastAsia="zh-CN"/>
        </w:rPr>
      </w:pPr>
      <w:r>
        <w:rPr>
          <w:rStyle w:val="1208"/>
          <w:rFonts w:ascii="宋体" w:hAnsi="宋体" w:eastAsia="宋体" w:cstheme="minorBidi"/>
          <w:b/>
          <w:sz w:val="18"/>
        </w:rPr>
        <w:footnoteRef/>
      </w:r>
      <w:r>
        <w:rPr>
          <w:rFonts w:ascii="宋体" w:hAnsi="宋体"/>
          <w:b/>
          <w:sz w:val="18"/>
          <w:szCs w:val="21"/>
          <w:lang w:eastAsia="zh-CN"/>
        </w:rPr>
        <w:t xml:space="preserve"> 六项基本日常生活活动</w:t>
      </w:r>
      <w:r>
        <w:rPr>
          <w:rFonts w:ascii="宋体" w:hAnsi="宋体"/>
          <w:sz w:val="18"/>
          <w:szCs w:val="21"/>
          <w:lang w:eastAsia="zh-CN"/>
        </w:rPr>
        <w:t xml:space="preserve">：是指：（1）穿衣：自己能够穿衣及脱衣；（2）移动：自己从一个房间到另一个房间；（3）行动：自己上下床或上下轮椅；（4）如厕：自己控制进行大小便；（5）进食：自己从已准备好的碗或碟中取食物放入口中；（6）洗澡：自己进行淋浴或盆浴。</w:t>
      </w:r>
      <w:r>
        <w:rPr>
          <w:rFonts w:ascii="宋体" w:hAnsi="宋体"/>
          <w:b/>
          <w:sz w:val="18"/>
          <w:szCs w:val="21"/>
          <w:lang w:eastAsia="zh-CN"/>
        </w:rPr>
        <w:t xml:space="preserve">六项基本日常生活活动能力的鉴定不适用于0-3周岁幼儿。</w:t>
      </w:r>
      <w:r>
        <w:rPr>
          <w:rFonts w:ascii="宋体" w:hAnsi="宋体"/>
          <w:sz w:val="18"/>
          <w:szCs w:val="21"/>
          <w:lang w:eastAsia="zh-CN"/>
        </w:rPr>
        <w:t xml:space="preserve">如无特别说明，本合同下文提及处，意思相同。</w:t>
      </w:r>
      <w:r/>
    </w:p>
  </w:footnote>
  <w:footnote w:id="10">
    <w:p>
      <w:pPr>
        <w:pStyle w:val="1246"/>
        <w:ind w:left="0" w:firstLine="0"/>
        <w:rPr>
          <w:rFonts w:ascii="宋体" w:hAnsi="宋体"/>
          <w:b/>
          <w:sz w:val="21"/>
          <w:szCs w:val="21"/>
          <w:lang w:eastAsia="zh-CN"/>
        </w:rPr>
      </w:pPr>
      <w:r>
        <w:rPr>
          <w:rStyle w:val="1208"/>
          <w:rFonts w:ascii="宋体" w:hAnsi="宋体" w:eastAsia="宋体" w:cstheme="minorBidi"/>
          <w:b/>
          <w:sz w:val="18"/>
        </w:rPr>
        <w:footnoteRef/>
      </w:r>
      <w:r>
        <w:rPr>
          <w:rFonts w:ascii="宋体" w:hAnsi="宋体"/>
          <w:b/>
          <w:sz w:val="18"/>
          <w:szCs w:val="21"/>
          <w:lang w:eastAsia="zh-CN"/>
        </w:rPr>
        <w:t xml:space="preserve"> 永久不可逆：</w:t>
      </w:r>
      <w:r>
        <w:rPr>
          <w:rFonts w:ascii="宋体" w:hAnsi="宋体"/>
          <w:sz w:val="18"/>
          <w:szCs w:val="21"/>
          <w:lang w:eastAsia="zh-CN"/>
        </w:rPr>
        <w:t xml:space="preserve">指自疾病确诊或意外伤害发生之日起，经过积极治疗180天后，仍无法通过现有医疗手段恢复。如无特别说明，本合同下文提及处，意思相同。</w:t>
      </w:r>
      <w:r/>
    </w:p>
  </w:footnote>
  <w:footnote w:id="11">
    <w:p>
      <w:pPr>
        <w:pStyle w:val="1246"/>
        <w:ind w:left="0" w:firstLine="0"/>
        <w:rPr>
          <w:rFonts w:ascii="宋体" w:hAnsi="宋体"/>
          <w:b/>
          <w:sz w:val="18"/>
          <w:szCs w:val="21"/>
        </w:rPr>
      </w:pPr>
      <w:r>
        <w:rPr>
          <w:rStyle w:val="1208"/>
          <w:rFonts w:ascii="宋体" w:hAnsi="宋体" w:eastAsia="宋体" w:cstheme="minorBidi"/>
          <w:b/>
          <w:sz w:val="18"/>
        </w:rPr>
        <w:footnoteRef/>
      </w:r>
      <w:r>
        <w:rPr>
          <w:rFonts w:ascii="宋体" w:hAnsi="宋体"/>
          <w:b/>
          <w:sz w:val="18"/>
          <w:szCs w:val="21"/>
        </w:rPr>
        <w:t xml:space="preserve"> 美国纽约心脏病学会（New York Heart Association，NYHA）心功能状态分级：</w:t>
      </w:r>
      <w:r>
        <w:rPr>
          <w:rFonts w:ascii="宋体" w:hAnsi="宋体"/>
          <w:sz w:val="18"/>
          <w:szCs w:val="21"/>
        </w:rPr>
        <w:t xml:space="preserve">美国纽约心脏病学会（New York Heart Association，NYHA）将心功能状态分为四级：</w:t>
      </w:r>
      <w:r/>
    </w:p>
    <w:p>
      <w:pPr>
        <w:pStyle w:val="1246"/>
        <w:ind w:left="0" w:firstLine="0"/>
        <w:rPr>
          <w:rFonts w:ascii="宋体" w:hAnsi="宋体"/>
          <w:sz w:val="18"/>
          <w:szCs w:val="21"/>
          <w:lang w:eastAsia="zh-CN"/>
        </w:rPr>
      </w:pPr>
      <w:r>
        <w:rPr>
          <w:rFonts w:ascii="宋体" w:hAnsi="宋体"/>
          <w:sz w:val="18"/>
          <w:szCs w:val="21"/>
          <w:lang w:eastAsia="zh-CN"/>
        </w:rPr>
        <w:t xml:space="preserve">Ⅰ级：心脏病病人日常活动量不受限制，一般活动不引起乏力、呼吸困难等心衰症状。</w:t>
      </w:r>
      <w:r/>
    </w:p>
    <w:p>
      <w:pPr>
        <w:pStyle w:val="1246"/>
        <w:ind w:left="0" w:firstLine="0"/>
        <w:rPr>
          <w:rFonts w:ascii="宋体" w:hAnsi="宋体"/>
          <w:sz w:val="18"/>
          <w:szCs w:val="21"/>
          <w:lang w:eastAsia="zh-CN"/>
        </w:rPr>
      </w:pPr>
      <w:r>
        <w:rPr>
          <w:rFonts w:ascii="宋体" w:hAnsi="宋体"/>
          <w:sz w:val="18"/>
          <w:szCs w:val="21"/>
          <w:lang w:eastAsia="zh-CN"/>
        </w:rPr>
        <w:t xml:space="preserve">Ⅱ级：心脏病病人体力活动轻度受限制，休息时无自觉症状，一般活动下可出现心衰症状。</w:t>
      </w:r>
      <w:r/>
    </w:p>
    <w:p>
      <w:pPr>
        <w:pStyle w:val="1246"/>
        <w:ind w:left="0" w:firstLine="0"/>
        <w:rPr>
          <w:rFonts w:ascii="宋体" w:hAnsi="宋体"/>
          <w:sz w:val="18"/>
          <w:szCs w:val="21"/>
          <w:lang w:eastAsia="zh-CN"/>
        </w:rPr>
      </w:pPr>
      <w:r>
        <w:rPr>
          <w:rFonts w:ascii="宋体" w:hAnsi="宋体"/>
          <w:sz w:val="18"/>
          <w:szCs w:val="21"/>
          <w:lang w:eastAsia="zh-CN"/>
        </w:rPr>
        <w:t xml:space="preserve">Ⅲ级：心脏病病人体力活动明显受限，低于平时一般活动即引起心衰症状。</w:t>
      </w:r>
      <w:r/>
    </w:p>
    <w:p>
      <w:pPr>
        <w:pStyle w:val="1246"/>
        <w:ind w:left="0" w:firstLine="0"/>
        <w:rPr>
          <w:rFonts w:ascii="宋体" w:hAnsi="宋体"/>
          <w:sz w:val="21"/>
          <w:szCs w:val="21"/>
          <w:lang w:eastAsia="zh-CN"/>
        </w:rPr>
      </w:pPr>
      <w:r>
        <w:rPr>
          <w:rFonts w:ascii="宋体" w:hAnsi="宋体"/>
          <w:sz w:val="18"/>
          <w:szCs w:val="21"/>
          <w:lang w:eastAsia="zh-CN"/>
        </w:rPr>
        <w:t xml:space="preserve">Ⅳ级：心脏病病人不能从事任何体力活动，休息状态下也存在心衰症状，活动后加重。</w:t>
      </w:r>
      <w:r/>
    </w:p>
  </w:footnote>
  <w:footnote w:id="12">
    <w:p>
      <w:pPr>
        <w:pStyle w:val="1199"/>
        <w:keepLines/>
        <w:keepNext/>
        <w:spacing w:before="0" w:after="0" w:line="240" w:lineRule="auto"/>
        <w:widowControl w:val="off"/>
        <w:rPr>
          <w:rFonts w:ascii="宋体" w:hAnsi="宋体" w:eastAsia="宋体"/>
          <w:b w:val="0"/>
          <w:bCs/>
          <w:sz w:val="18"/>
          <w:szCs w:val="32"/>
          <w:lang w:val="en-US" w:eastAsia="zh-CN" w:bidi="ar-SA"/>
        </w:rPr>
        <w:outlineLvl w:val="1"/>
      </w:pPr>
      <w:r>
        <w:rPr>
          <w:rStyle w:val="1208"/>
          <w:rFonts w:ascii="宋体" w:hAnsi="宋体" w:eastAsia="宋体" w:cstheme="minorBidi"/>
          <w:b/>
          <w:bCs/>
          <w:sz w:val="18"/>
          <w:szCs w:val="32"/>
          <w:lang w:val="en-US" w:eastAsia="en-US" w:bidi="ar-SA"/>
        </w:rPr>
        <w:footnoteRef/>
      </w:r>
      <w:r>
        <w:rPr>
          <w:rFonts w:ascii="宋体" w:hAnsi="宋体" w:eastAsia="宋体"/>
          <w:b/>
          <w:bCs/>
          <w:sz w:val="18"/>
          <w:szCs w:val="32"/>
          <w:lang w:val="en-US" w:eastAsia="zh-CN" w:bidi="ar-SA"/>
        </w:rPr>
        <w:t xml:space="preserve"> 组织病理学检查：</w:t>
      </w:r>
      <w:r>
        <w:rPr>
          <w:rFonts w:ascii="宋体" w:hAnsi="宋体" w:eastAsia="宋体"/>
          <w:b w:val="0"/>
          <w:bCs/>
          <w:sz w:val="18"/>
          <w:szCs w:val="32"/>
          <w:lang w:val="en-US" w:eastAsia="zh-CN" w:bidi="ar-SA"/>
        </w:rPr>
        <w:t xml:space="preserve">组织病理学检查是通过局部切除、钳取、穿刺等手术方法，从患者机体采取病变组织块，经过包埋、切片后，进行病理检查的方法。</w:t>
      </w:r>
      <w:r>
        <w:rPr>
          <w:rFonts w:ascii="宋体" w:hAnsi="宋体" w:eastAsia="宋体"/>
          <w:b/>
          <w:bCs/>
          <w:sz w:val="18"/>
          <w:szCs w:val="32"/>
          <w:lang w:val="en-US" w:eastAsia="zh-CN" w:bidi="ar-SA"/>
        </w:rPr>
        <w:t xml:space="preserve">通过采集病变部位脱落细胞、细针吸取病变部位细胞、体腔积液分离病变细胞等方式获取病变细胞，制成涂片，进行病理检查的方法，属于细胞病理学检查，不属于组织病理学检查。</w:t>
      </w:r>
      <w:r>
        <w:rPr>
          <w:rFonts w:ascii="宋体" w:hAnsi="宋体" w:eastAsia="宋体"/>
          <w:b w:val="0"/>
          <w:bCs/>
          <w:sz w:val="18"/>
          <w:szCs w:val="32"/>
          <w:lang w:val="en-US" w:eastAsia="zh-CN" w:bidi="ar-SA"/>
        </w:rPr>
        <w:t xml:space="preserve">如无特别说明，本合同下文提及处，意思相同。</w:t>
      </w:r>
      <w:r/>
    </w:p>
  </w:footnote>
  <w:footnote w:id="13">
    <w:p>
      <w:pPr>
        <w:pStyle w:val="1246"/>
        <w:ind w:left="0" w:firstLine="0"/>
        <w:rPr>
          <w:rFonts w:ascii="宋体" w:hAnsi="宋体"/>
          <w:b/>
          <w:sz w:val="18"/>
          <w:szCs w:val="21"/>
          <w:lang w:eastAsia="zh-CN"/>
        </w:rPr>
      </w:pPr>
      <w:r>
        <w:rPr>
          <w:rStyle w:val="1208"/>
          <w:rFonts w:ascii="宋体" w:hAnsi="宋体" w:eastAsia="宋体" w:cstheme="minorBidi"/>
          <w:b/>
          <w:sz w:val="18"/>
        </w:rPr>
        <w:footnoteRef/>
      </w:r>
      <w:r>
        <w:rPr>
          <w:rFonts w:ascii="宋体" w:hAnsi="宋体"/>
          <w:b/>
          <w:sz w:val="18"/>
          <w:szCs w:val="21"/>
          <w:lang w:eastAsia="zh-CN"/>
        </w:rPr>
        <w:t xml:space="preserve"> ICD-10与ICD-O-3:</w:t>
      </w:r>
      <w:r>
        <w:rPr>
          <w:rFonts w:ascii="宋体" w:hAnsi="宋体"/>
          <w:sz w:val="18"/>
          <w:szCs w:val="21"/>
          <w:lang w:eastAsia="zh-CN"/>
        </w:rPr>
        <w:t xml:space="preserve">《疾病和有关健康问题的国际统计分类》第十次修订版（ICD-10），是世界卫生组织（WHO）发布的国际通用的疾病分类方法。《国际疾病分类肿瘤学专辑》第三版（ICD-O-3），是WHO发布的针对ICD中肿瘤形态学组织学细胞类型、动态、分化程度的补充编码。其中形态学编码：0代表良性肿瘤；1代表动态未定性肿瘤；2代表原位癌和非侵袭性癌；3代表恶性肿瘤（原发性）；6代表恶性肿瘤（转移性）；9代表恶性肿瘤（原发性或转移性未肯定）。</w:t>
      </w:r>
      <w:r>
        <w:rPr>
          <w:rFonts w:ascii="宋体" w:hAnsi="宋体"/>
          <w:b/>
          <w:sz w:val="18"/>
          <w:szCs w:val="21"/>
          <w:lang w:eastAsia="zh-CN"/>
        </w:rPr>
        <w:t xml:space="preserve">如果出现ICD-10与ICD-O-3不一致的情况，以ICD-O-3为准。</w:t>
      </w:r>
      <w:r>
        <w:rPr>
          <w:rFonts w:ascii="宋体" w:hAnsi="宋体"/>
          <w:sz w:val="18"/>
          <w:szCs w:val="21"/>
          <w:lang w:eastAsia="zh-CN"/>
        </w:rPr>
        <w:t xml:space="preserve">如无特别说明，本合同下文提及处，意思相同。</w:t>
      </w:r>
      <w:r/>
    </w:p>
  </w:footnote>
  <w:footnote w:id="14">
    <w:p>
      <w:pPr>
        <w:pStyle w:val="1246"/>
        <w:ind w:left="0" w:firstLine="2"/>
        <w:rPr>
          <w:rFonts w:ascii="宋体" w:hAnsi="宋体"/>
          <w:b/>
          <w:sz w:val="18"/>
          <w:szCs w:val="21"/>
          <w:lang w:eastAsia="zh-CN"/>
        </w:rPr>
      </w:pPr>
      <w:r>
        <w:rPr>
          <w:rStyle w:val="1208"/>
          <w:rFonts w:ascii="宋体" w:hAnsi="宋体" w:eastAsia="宋体" w:cstheme="minorBidi"/>
          <w:b/>
          <w:sz w:val="18"/>
          <w:szCs w:val="21"/>
        </w:rPr>
        <w:footnoteRef/>
      </w:r>
      <w:r>
        <w:rPr>
          <w:rFonts w:ascii="宋体" w:hAnsi="宋体"/>
          <w:b/>
          <w:sz w:val="18"/>
          <w:szCs w:val="21"/>
          <w:lang w:eastAsia="zh-CN"/>
        </w:rPr>
        <w:t xml:space="preserve"> TNM分期、甲状腺癌的TNM分期：TNM分期</w:t>
      </w:r>
      <w:r>
        <w:rPr>
          <w:rFonts w:ascii="宋体" w:hAnsi="宋体"/>
          <w:sz w:val="18"/>
          <w:szCs w:val="21"/>
          <w:lang w:eastAsia="zh-CN"/>
        </w:rPr>
        <w:t xml:space="preserve">采用AJCC癌症分期手册标准。该标准由美国癌症联合委员会与国际抗癌联合会TNM委员会联合制定，是目前肿瘤医学分期的国际通用标准。T指原发肿瘤的大小、形态等；N指淋巴结的转移情况；M指有无其他脏器的转移情况。</w:t>
      </w:r>
      <w:r>
        <w:rPr>
          <w:rFonts w:ascii="宋体" w:hAnsi="宋体"/>
          <w:b/>
          <w:sz w:val="18"/>
          <w:szCs w:val="21"/>
          <w:lang w:eastAsia="zh-CN"/>
        </w:rPr>
        <w:t xml:space="preserve">甲状腺癌的TNM分期</w:t>
      </w:r>
      <w:r>
        <w:rPr>
          <w:rFonts w:ascii="宋体" w:hAnsi="宋体"/>
          <w:sz w:val="18"/>
          <w:szCs w:val="21"/>
          <w:lang w:eastAsia="zh-CN"/>
        </w:rPr>
        <w:t xml:space="preserve">采用目前现行的AJCC第八版定义标准，我国国家卫生健康委员会2018年发布的《甲状腺癌诊疗规范（2018年版）》也采用此定义标准，具体见</w:t>
      </w:r>
      <w:r>
        <w:rPr>
          <w:rFonts w:ascii="宋体" w:hAnsi="宋体"/>
          <w:b/>
          <w:sz w:val="18"/>
          <w:szCs w:val="21"/>
          <w:lang w:eastAsia="zh-CN"/>
        </w:rPr>
        <w:t xml:space="preserve">附录</w:t>
      </w:r>
      <w:r>
        <w:rPr>
          <w:rFonts w:ascii="宋体" w:hAnsi="宋体"/>
          <w:sz w:val="18"/>
          <w:szCs w:val="21"/>
          <w:lang w:eastAsia="zh-CN"/>
        </w:rPr>
        <w:t xml:space="preserve">。如无特别说明，本合同下文提及处，意思相同。</w:t>
      </w:r>
      <w:r/>
    </w:p>
  </w:footnote>
  <w:footnote w:id="15">
    <w:p>
      <w:pPr>
        <w:pStyle w:val="1246"/>
        <w:ind w:left="0" w:firstLine="0"/>
        <w:rPr>
          <w:rFonts w:ascii="宋体" w:hAnsi="宋体"/>
          <w:b/>
          <w:sz w:val="18"/>
          <w:szCs w:val="21"/>
          <w:lang w:eastAsia="zh-CN"/>
        </w:rPr>
      </w:pPr>
      <w:r>
        <w:rPr>
          <w:rStyle w:val="1208"/>
          <w:rFonts w:ascii="宋体" w:hAnsi="宋体" w:eastAsia="宋体" w:cstheme="minorBidi"/>
          <w:b/>
          <w:sz w:val="18"/>
          <w:szCs w:val="21"/>
        </w:rPr>
        <w:footnoteRef/>
      </w:r>
      <w:r>
        <w:rPr>
          <w:rFonts w:ascii="宋体" w:hAnsi="宋体"/>
          <w:b/>
          <w:sz w:val="18"/>
          <w:szCs w:val="21"/>
          <w:lang w:eastAsia="zh-CN"/>
        </w:rPr>
        <w:t xml:space="preserve"> 肢体：</w:t>
      </w:r>
      <w:r>
        <w:rPr>
          <w:rFonts w:ascii="宋体" w:hAnsi="宋体"/>
          <w:sz w:val="18"/>
          <w:szCs w:val="21"/>
          <w:lang w:eastAsia="zh-CN"/>
        </w:rPr>
        <w:t xml:space="preserve">指包括肩关节的整个上肢或包括髋关节的整个下肢。如无特别说明，本合同下文提及处，意思相同。</w:t>
      </w:r>
      <w:r/>
    </w:p>
  </w:footnote>
  <w:footnote w:id="16">
    <w:p>
      <w:pPr>
        <w:pStyle w:val="1246"/>
        <w:ind w:left="0" w:firstLine="0"/>
        <w:rPr>
          <w:rFonts w:ascii="宋体" w:hAnsi="宋体"/>
          <w:sz w:val="18"/>
          <w:szCs w:val="21"/>
          <w:lang w:eastAsia="zh-CN"/>
        </w:rPr>
      </w:pPr>
      <w:r>
        <w:rPr>
          <w:rStyle w:val="1208"/>
          <w:rFonts w:ascii="宋体" w:hAnsi="宋体" w:eastAsia="宋体" w:cstheme="minorBidi"/>
          <w:b/>
          <w:sz w:val="18"/>
          <w:szCs w:val="21"/>
        </w:rPr>
        <w:footnoteRef/>
      </w:r>
      <w:r>
        <w:rPr>
          <w:rFonts w:ascii="宋体" w:hAnsi="宋体"/>
          <w:b/>
          <w:sz w:val="18"/>
          <w:szCs w:val="21"/>
          <w:lang w:eastAsia="zh-CN"/>
        </w:rPr>
        <w:t xml:space="preserve"> 肌力：</w:t>
      </w:r>
      <w:r>
        <w:rPr>
          <w:rFonts w:ascii="宋体" w:hAnsi="宋体"/>
          <w:sz w:val="18"/>
          <w:szCs w:val="21"/>
          <w:lang w:eastAsia="zh-CN"/>
        </w:rPr>
        <w:t xml:space="preserve">指肌肉收缩时的力量。肌力划分为0-5级，具体为：</w:t>
      </w:r>
      <w:r/>
    </w:p>
    <w:p>
      <w:pPr>
        <w:pStyle w:val="1246"/>
        <w:ind w:left="0" w:firstLine="0"/>
        <w:spacing w:line="204" w:lineRule="auto"/>
        <w:rPr>
          <w:rFonts w:ascii="宋体" w:hAnsi="宋体"/>
          <w:sz w:val="18"/>
          <w:szCs w:val="21"/>
          <w:lang w:eastAsia="zh-CN"/>
        </w:rPr>
      </w:pPr>
      <w:r>
        <w:rPr>
          <w:rFonts w:ascii="宋体" w:hAnsi="宋体"/>
          <w:sz w:val="18"/>
          <w:szCs w:val="21"/>
          <w:lang w:eastAsia="zh-CN"/>
        </w:rPr>
        <w:t xml:space="preserve">0级：肌肉完全瘫痪，毫无收缩。</w:t>
      </w:r>
      <w:r/>
    </w:p>
    <w:p>
      <w:pPr>
        <w:pStyle w:val="1246"/>
        <w:ind w:left="0" w:firstLine="0"/>
        <w:spacing w:line="204" w:lineRule="auto"/>
        <w:rPr>
          <w:rFonts w:ascii="宋体" w:hAnsi="宋体"/>
          <w:sz w:val="18"/>
          <w:szCs w:val="21"/>
          <w:lang w:eastAsia="zh-CN"/>
        </w:rPr>
      </w:pPr>
      <w:r>
        <w:rPr>
          <w:rFonts w:ascii="宋体" w:hAnsi="宋体"/>
          <w:sz w:val="18"/>
          <w:szCs w:val="21"/>
          <w:lang w:eastAsia="zh-CN"/>
        </w:rPr>
        <w:t xml:space="preserve">1级：可看到或者触及肌肉轻微收缩，但不能产生动作。</w:t>
      </w:r>
      <w:r/>
    </w:p>
    <w:p>
      <w:pPr>
        <w:pStyle w:val="1246"/>
        <w:ind w:left="0" w:firstLine="0"/>
        <w:spacing w:line="204" w:lineRule="auto"/>
        <w:rPr>
          <w:rFonts w:ascii="宋体" w:hAnsi="宋体"/>
          <w:sz w:val="18"/>
          <w:szCs w:val="21"/>
          <w:lang w:eastAsia="zh-CN"/>
        </w:rPr>
      </w:pPr>
      <w:r>
        <w:rPr>
          <w:rFonts w:ascii="宋体" w:hAnsi="宋体"/>
          <w:sz w:val="18"/>
          <w:szCs w:val="21"/>
          <w:lang w:eastAsia="zh-CN"/>
        </w:rPr>
        <w:t xml:space="preserve">2级：肌肉在不受重力影响下，可进行运动，即肢体能在床面上移动，但不能抬高。</w:t>
      </w:r>
      <w:r/>
    </w:p>
    <w:p>
      <w:pPr>
        <w:pStyle w:val="1246"/>
        <w:ind w:left="0" w:firstLine="0"/>
        <w:spacing w:line="204" w:lineRule="auto"/>
        <w:rPr>
          <w:rFonts w:ascii="宋体" w:hAnsi="宋体"/>
          <w:sz w:val="18"/>
          <w:szCs w:val="21"/>
          <w:lang w:eastAsia="zh-CN"/>
        </w:rPr>
      </w:pPr>
      <w:r>
        <w:rPr>
          <w:rFonts w:ascii="宋体" w:hAnsi="宋体"/>
          <w:sz w:val="18"/>
          <w:szCs w:val="21"/>
          <w:lang w:eastAsia="zh-CN"/>
        </w:rPr>
        <w:t xml:space="preserve">3级：在和地心引力相反的方向中尚能完成其动作，但不能对抗外加阻力。</w:t>
      </w:r>
      <w:r/>
    </w:p>
    <w:p>
      <w:pPr>
        <w:pStyle w:val="1246"/>
        <w:ind w:left="0" w:firstLine="0"/>
        <w:spacing w:line="204" w:lineRule="auto"/>
        <w:rPr>
          <w:rFonts w:ascii="宋体" w:hAnsi="宋体"/>
          <w:sz w:val="18"/>
          <w:szCs w:val="21"/>
          <w:lang w:eastAsia="zh-CN"/>
        </w:rPr>
      </w:pPr>
      <w:r>
        <w:rPr>
          <w:rFonts w:ascii="宋体" w:hAnsi="宋体"/>
          <w:sz w:val="18"/>
          <w:szCs w:val="21"/>
          <w:lang w:eastAsia="zh-CN"/>
        </w:rPr>
        <w:t xml:space="preserve">4级：能对抗一定的阻力，但较正常人为低。</w:t>
      </w:r>
      <w:r/>
    </w:p>
    <w:p>
      <w:pPr>
        <w:pStyle w:val="1246"/>
        <w:ind w:left="0" w:firstLine="0"/>
        <w:spacing w:line="204" w:lineRule="auto"/>
        <w:rPr>
          <w:rFonts w:ascii="宋体" w:hAnsi="宋体"/>
          <w:sz w:val="18"/>
          <w:szCs w:val="21"/>
          <w:lang w:eastAsia="zh-CN"/>
        </w:rPr>
      </w:pPr>
      <w:r>
        <w:rPr>
          <w:rFonts w:ascii="宋体" w:hAnsi="宋体"/>
          <w:sz w:val="18"/>
          <w:szCs w:val="21"/>
          <w:lang w:eastAsia="zh-CN"/>
        </w:rPr>
        <w:t xml:space="preserve">5级：正常肌力。</w:t>
      </w:r>
      <w:r/>
    </w:p>
    <w:p>
      <w:pPr>
        <w:pStyle w:val="1246"/>
        <w:ind w:left="0" w:firstLine="0"/>
        <w:rPr>
          <w:rFonts w:ascii="宋体" w:hAnsi="宋体"/>
          <w:b/>
          <w:sz w:val="18"/>
          <w:szCs w:val="21"/>
          <w:lang w:eastAsia="zh-CN"/>
        </w:rPr>
      </w:pPr>
      <w:r>
        <w:rPr>
          <w:rFonts w:ascii="宋体" w:hAnsi="宋体"/>
          <w:sz w:val="18"/>
          <w:szCs w:val="21"/>
          <w:lang w:eastAsia="zh-CN"/>
        </w:rPr>
        <w:t xml:space="preserve">如无特别说明，本合同下文提及处，意思相同。</w:t>
      </w:r>
      <w:r/>
    </w:p>
  </w:footnote>
  <w:footnote w:id="17">
    <w:p>
      <w:pPr>
        <w:pStyle w:val="1246"/>
        <w:ind w:left="0" w:firstLine="0"/>
        <w:rPr>
          <w:rFonts w:ascii="宋体" w:hAnsi="宋体"/>
          <w:b/>
          <w:sz w:val="18"/>
          <w:szCs w:val="21"/>
          <w:lang w:eastAsia="zh-CN"/>
        </w:rPr>
      </w:pPr>
      <w:r>
        <w:rPr>
          <w:rStyle w:val="1208"/>
          <w:rFonts w:ascii="宋体" w:hAnsi="宋体" w:eastAsia="宋体" w:cstheme="minorBidi"/>
          <w:b/>
          <w:sz w:val="18"/>
          <w:szCs w:val="21"/>
        </w:rPr>
        <w:footnoteRef/>
      </w:r>
      <w:r>
        <w:rPr>
          <w:rFonts w:ascii="宋体" w:hAnsi="宋体"/>
          <w:b/>
          <w:sz w:val="18"/>
          <w:szCs w:val="21"/>
          <w:lang w:eastAsia="zh-CN"/>
        </w:rPr>
        <w:t xml:space="preserve"> 语言能力完全丧失：</w:t>
      </w:r>
      <w:r>
        <w:rPr>
          <w:rFonts w:ascii="宋体" w:hAnsi="宋体"/>
          <w:sz w:val="18"/>
          <w:szCs w:val="21"/>
          <w:lang w:eastAsia="zh-CN"/>
        </w:rPr>
        <w:t xml:space="preserve">指无法发出四种语音（包括口唇音、齿舌音、口盖音和喉头音）中的任何三种、或声带全部切除，或因大脑语言中枢受伤害而患失语症。如无特别说明，本合同下文提及处，意思相同。</w:t>
      </w:r>
      <w:r/>
    </w:p>
  </w:footnote>
  <w:footnote w:id="18">
    <w:p>
      <w:pPr>
        <w:pStyle w:val="1246"/>
        <w:ind w:left="0" w:firstLine="0"/>
        <w:rPr>
          <w:rFonts w:ascii="宋体" w:hAnsi="宋体"/>
          <w:b/>
          <w:sz w:val="18"/>
          <w:szCs w:val="21"/>
          <w:lang w:eastAsia="zh-CN"/>
        </w:rPr>
      </w:pPr>
      <w:r>
        <w:rPr>
          <w:rStyle w:val="1208"/>
          <w:rFonts w:ascii="宋体" w:hAnsi="宋体" w:eastAsia="宋体" w:cstheme="minorBidi"/>
          <w:b/>
          <w:sz w:val="18"/>
          <w:szCs w:val="21"/>
        </w:rPr>
        <w:footnoteRef/>
      </w:r>
      <w:r>
        <w:rPr>
          <w:rFonts w:ascii="宋体" w:hAnsi="宋体"/>
          <w:b/>
          <w:sz w:val="18"/>
          <w:szCs w:val="21"/>
          <w:lang w:eastAsia="zh-CN"/>
        </w:rPr>
        <w:t xml:space="preserve"> 严重咀嚼吞咽功能障碍：</w:t>
      </w:r>
      <w:r>
        <w:rPr>
          <w:rFonts w:ascii="宋体" w:hAnsi="宋体"/>
          <w:sz w:val="18"/>
          <w:szCs w:val="21"/>
          <w:lang w:eastAsia="zh-CN"/>
        </w:rPr>
        <w:t xml:space="preserve">指因牙齿以外的原因导致器质障碍或机能障碍，以致不能作咀嚼吞咽运动，除流质食物外不能摄取或吞咽的状态。如无特别说明，本合同下文提及处，意思相同。</w:t>
      </w:r>
      <w:r/>
    </w:p>
  </w:footnote>
  <w:footnote w:id="19">
    <w:p>
      <w:pPr>
        <w:pStyle w:val="1246"/>
        <w:ind w:left="0" w:firstLine="0"/>
        <w:rPr>
          <w:rFonts w:ascii="宋体" w:hAnsi="宋体"/>
          <w:b/>
          <w:sz w:val="18"/>
          <w:szCs w:val="21"/>
          <w:lang w:eastAsia="zh-CN"/>
        </w:rPr>
      </w:pPr>
      <w:r>
        <w:rPr>
          <w:rStyle w:val="1208"/>
          <w:rFonts w:ascii="宋体" w:hAnsi="宋体" w:eastAsia="宋体" w:cstheme="minorBidi"/>
          <w:b/>
          <w:sz w:val="18"/>
        </w:rPr>
        <w:footnoteRef/>
      </w:r>
      <w:r>
        <w:rPr>
          <w:rFonts w:ascii="宋体" w:hAnsi="宋体"/>
          <w:b/>
          <w:sz w:val="18"/>
          <w:szCs w:val="21"/>
          <w:lang w:eastAsia="zh-CN"/>
        </w:rPr>
        <w:t xml:space="preserve"> 六项基本日常生活活动</w:t>
      </w:r>
      <w:r>
        <w:rPr>
          <w:rFonts w:ascii="宋体" w:hAnsi="宋体"/>
          <w:sz w:val="18"/>
          <w:szCs w:val="21"/>
          <w:lang w:eastAsia="zh-CN"/>
        </w:rPr>
        <w:t xml:space="preserve">：是指：（1）穿衣：自己能够穿衣及脱衣；（2）移动：自己从一个房间到另一个房间；（3）行动：自己上下床或上下轮椅；（4）如厕：自己控制进行大小便；（5）进食：自己从已准备好的碗或碟中取食物放入口中；（6）洗澡：自己进行淋浴或盆浴。</w:t>
      </w:r>
      <w:r>
        <w:rPr>
          <w:rFonts w:ascii="宋体" w:hAnsi="宋体"/>
          <w:b/>
          <w:sz w:val="18"/>
          <w:szCs w:val="21"/>
          <w:lang w:eastAsia="zh-CN"/>
        </w:rPr>
        <w:t xml:space="preserve">六项基本日常生活活动能力的鉴定不适用于0-3周岁幼儿。</w:t>
      </w:r>
      <w:r>
        <w:rPr>
          <w:rFonts w:ascii="宋体" w:hAnsi="宋体"/>
          <w:sz w:val="18"/>
          <w:szCs w:val="21"/>
          <w:lang w:eastAsia="zh-CN"/>
        </w:rPr>
        <w:t xml:space="preserve">如无特别说明，本合同下文提及处，意思相同。</w:t>
      </w:r>
      <w:r/>
    </w:p>
  </w:footnote>
  <w:footnote w:id="20">
    <w:p>
      <w:pPr>
        <w:pStyle w:val="1246"/>
        <w:ind w:left="0" w:firstLine="0"/>
        <w:rPr>
          <w:rFonts w:ascii="宋体" w:hAnsi="宋体"/>
          <w:b/>
          <w:sz w:val="21"/>
          <w:szCs w:val="21"/>
          <w:lang w:eastAsia="zh-CN"/>
        </w:rPr>
      </w:pPr>
      <w:r>
        <w:rPr>
          <w:rStyle w:val="1208"/>
          <w:rFonts w:ascii="宋体" w:hAnsi="宋体" w:eastAsia="宋体" w:cstheme="minorBidi"/>
          <w:b/>
          <w:sz w:val="18"/>
        </w:rPr>
        <w:footnoteRef/>
      </w:r>
      <w:r>
        <w:rPr>
          <w:rFonts w:ascii="宋体" w:hAnsi="宋体"/>
          <w:b/>
          <w:sz w:val="18"/>
          <w:szCs w:val="21"/>
          <w:lang w:eastAsia="zh-CN"/>
        </w:rPr>
        <w:t xml:space="preserve"> 永久不可逆：</w:t>
      </w:r>
      <w:r>
        <w:rPr>
          <w:rFonts w:ascii="宋体" w:hAnsi="宋体"/>
          <w:sz w:val="18"/>
          <w:szCs w:val="21"/>
          <w:lang w:eastAsia="zh-CN"/>
        </w:rPr>
        <w:t xml:space="preserve">指自疾病确诊或意外伤害发生之日起，经过积极治疗180天后，仍无法通过现有医疗手段恢复。如无特别说明，本合同下文提及处，意思相同。</w:t>
      </w:r>
      <w:r/>
    </w:p>
  </w:footnote>
  <w:footnote w:id="21">
    <w:p>
      <w:pPr>
        <w:pStyle w:val="1246"/>
        <w:ind w:left="0" w:firstLine="0"/>
        <w:rPr>
          <w:rFonts w:ascii="宋体" w:hAnsi="宋体"/>
          <w:b/>
          <w:sz w:val="18"/>
          <w:szCs w:val="21"/>
        </w:rPr>
      </w:pPr>
      <w:r>
        <w:rPr>
          <w:rStyle w:val="1208"/>
          <w:rFonts w:ascii="宋体" w:hAnsi="宋体" w:eastAsia="宋体" w:cstheme="minorBidi"/>
          <w:b/>
          <w:sz w:val="18"/>
        </w:rPr>
        <w:footnoteRef/>
      </w:r>
      <w:r>
        <w:rPr>
          <w:rFonts w:ascii="宋体" w:hAnsi="宋体"/>
          <w:b/>
          <w:sz w:val="18"/>
          <w:szCs w:val="21"/>
        </w:rPr>
        <w:t xml:space="preserve"> 美国纽约心脏病学会（New York Heart Association，NYHA）心功能状态分级：</w:t>
      </w:r>
      <w:r>
        <w:rPr>
          <w:rFonts w:ascii="宋体" w:hAnsi="宋体"/>
          <w:sz w:val="18"/>
          <w:szCs w:val="21"/>
        </w:rPr>
        <w:t xml:space="preserve">美国纽约心脏病学会（New York Heart Association，NYHA）将心功能状态分为四级：</w:t>
      </w:r>
      <w:r/>
    </w:p>
    <w:p>
      <w:pPr>
        <w:pStyle w:val="1246"/>
        <w:ind w:left="0" w:firstLine="0"/>
        <w:rPr>
          <w:rFonts w:ascii="宋体" w:hAnsi="宋体"/>
          <w:sz w:val="18"/>
          <w:szCs w:val="21"/>
          <w:lang w:eastAsia="zh-CN"/>
        </w:rPr>
      </w:pPr>
      <w:r>
        <w:rPr>
          <w:rFonts w:ascii="宋体" w:hAnsi="宋体"/>
          <w:sz w:val="18"/>
          <w:szCs w:val="21"/>
          <w:lang w:eastAsia="zh-CN"/>
        </w:rPr>
        <w:t xml:space="preserve">Ⅰ级：心脏病病人日常活动量不受限制，一般活动不引起乏力、呼吸困难等心衰症状。</w:t>
      </w:r>
      <w:r/>
    </w:p>
    <w:p>
      <w:pPr>
        <w:pStyle w:val="1246"/>
        <w:ind w:left="0" w:firstLine="0"/>
        <w:rPr>
          <w:rFonts w:ascii="宋体" w:hAnsi="宋体"/>
          <w:sz w:val="18"/>
          <w:szCs w:val="21"/>
          <w:lang w:eastAsia="zh-CN"/>
        </w:rPr>
      </w:pPr>
      <w:r>
        <w:rPr>
          <w:rFonts w:ascii="宋体" w:hAnsi="宋体"/>
          <w:sz w:val="18"/>
          <w:szCs w:val="21"/>
          <w:lang w:eastAsia="zh-CN"/>
        </w:rPr>
        <w:t xml:space="preserve">Ⅱ级：心脏病病人体力活动轻度受限制，休息时无自觉症状，一般活动下可出现心衰症状。</w:t>
      </w:r>
      <w:r/>
    </w:p>
    <w:p>
      <w:pPr>
        <w:pStyle w:val="1246"/>
        <w:ind w:left="0" w:firstLine="0"/>
        <w:rPr>
          <w:rFonts w:ascii="宋体" w:hAnsi="宋体"/>
          <w:sz w:val="18"/>
          <w:szCs w:val="21"/>
          <w:lang w:eastAsia="zh-CN"/>
        </w:rPr>
      </w:pPr>
      <w:r>
        <w:rPr>
          <w:rFonts w:ascii="宋体" w:hAnsi="宋体"/>
          <w:sz w:val="18"/>
          <w:szCs w:val="21"/>
          <w:lang w:eastAsia="zh-CN"/>
        </w:rPr>
        <w:t xml:space="preserve">Ⅲ级：心脏病病人体力活动明显受限，低于平时一般活动即引起心衰症状。</w:t>
      </w:r>
      <w:r/>
    </w:p>
    <w:p>
      <w:pPr>
        <w:pStyle w:val="1246"/>
        <w:ind w:left="0" w:firstLine="0"/>
        <w:rPr>
          <w:rFonts w:ascii="宋体" w:hAnsi="宋体"/>
          <w:sz w:val="21"/>
          <w:szCs w:val="21"/>
          <w:lang w:eastAsia="zh-CN"/>
        </w:rPr>
      </w:pPr>
      <w:r>
        <w:rPr>
          <w:rFonts w:ascii="宋体" w:hAnsi="宋体"/>
          <w:sz w:val="18"/>
          <w:szCs w:val="21"/>
          <w:lang w:eastAsia="zh-CN"/>
        </w:rPr>
        <w:t xml:space="preserve">Ⅳ级：心脏病病人不能从事任何体力活动，休息状态下也存在心衰症状，活动后加重。</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jc w:val="right"/>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rPr>
        <w:rFonts w:ascii="隶书" w:eastAsia="隶书"/>
        <w:color w:val="ff0000"/>
        <w:sz w:val="21"/>
        <w:szCs w:val="21"/>
        <w:u w:val="single"/>
        <w:lang w:eastAsia="zh-CN"/>
      </w:rPr>
    </w:pPr>
    <w:r>
      <w:rPr>
        <w:rFonts w:ascii="隶书" w:eastAsia="隶书"/>
        <w:color w:val="ff0000"/>
        <w:sz w:val="21"/>
        <w:szCs w:val="21"/>
        <w:u w:val="single"/>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0"/>
      <w:numFmt w:val="bullet"/>
      <w:isLgl w:val="false"/>
      <w:suff w:val="tab"/>
      <w:lvlText w:val=""/>
      <w:lvlJc w:val="left"/>
      <w:pPr>
        <w:tabs>
          <w:tab w:val="left" w:pos="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部分"/>
      <w:lvlJc w:val="center"/>
      <w:pPr>
        <w:ind w:left="252" w:firstLine="288"/>
      </w:pPr>
      <w:rPr>
        <w:sz w:val="28"/>
        <w:szCs w:val="28"/>
      </w:rPr>
    </w:lvl>
    <w:lvl w:ilvl="1">
      <w:start w:val="1"/>
      <w:numFmt w:val="chineseCountingThousand"/>
      <w:isLgl w:val="false"/>
      <w:suff w:val="nothing"/>
      <w:lvlText w:val="%2、"/>
      <w:lvlJc w:val="left"/>
      <w:pPr>
        <w:ind w:left="543" w:firstLine="177"/>
      </w:pPr>
      <w:rPr>
        <w:rFonts w:ascii="仿宋_GB2312" w:hAnsi="宋体" w:eastAsia="仿宋_GB2312"/>
        <w:sz w:val="32"/>
        <w:szCs w:val="32"/>
      </w:rPr>
    </w:lvl>
    <w:lvl w:ilvl="2">
      <w:start w:val="1"/>
      <w:numFmt w:val="chineseCountingThousand"/>
      <w:pStyle w:val="1203"/>
      <w:isLgl w:val="false"/>
      <w:suff w:val="nothing"/>
      <w:lvlText w:val="(%3)"/>
      <w:lvlJc w:val="left"/>
      <w:pPr>
        <w:ind w:left="252"/>
      </w:pPr>
      <w:rPr>
        <w:rFonts w:ascii="Times New Roman" w:hAnsi="Times New Roman" w:eastAsia="宋体"/>
        <w:b/>
        <w:i w:val="0"/>
        <w:spacing w:val="0"/>
        <w:position w:val="0"/>
        <w:sz w:val="21"/>
        <w:szCs w:val="21"/>
      </w:rPr>
    </w:lvl>
    <w:lvl w:ilvl="3">
      <w:start w:val="1"/>
      <w:numFmt w:val="decimal"/>
      <w:isLgl w:val="false"/>
      <w:suff w:val="nothing"/>
      <w:lvlText w:val="%4、"/>
      <w:lvlJc w:val="left"/>
      <w:pPr>
        <w:ind w:left="252"/>
      </w:pPr>
    </w:lvl>
    <w:lvl w:ilvl="4">
      <w:start w:val="1"/>
      <w:numFmt w:val="upperLetter"/>
      <w:isLgl w:val="false"/>
      <w:suff w:val="nothing"/>
      <w:lvlText w:val="%5、"/>
      <w:lvlJc w:val="left"/>
      <w:pPr>
        <w:ind w:left="252"/>
      </w:pPr>
    </w:lvl>
    <w:lvl w:ilvl="5">
      <w:start w:val="1"/>
      <w:numFmt w:val="decimal"/>
      <w:isLgl w:val="false"/>
      <w:suff w:val="nothing"/>
      <w:lvlText w:val=""/>
      <w:lvlJc w:val="left"/>
      <w:pPr>
        <w:ind w:left="252"/>
      </w:pPr>
    </w:lvl>
    <w:lvl w:ilvl="6">
      <w:start w:val="1"/>
      <w:numFmt w:val="decimal"/>
      <w:isLgl w:val="false"/>
      <w:suff w:val="nothing"/>
      <w:lvlText w:val=""/>
      <w:lvlJc w:val="left"/>
      <w:pPr>
        <w:ind w:left="252"/>
      </w:pPr>
    </w:lvl>
    <w:lvl w:ilvl="7">
      <w:start w:val="1"/>
      <w:numFmt w:val="decimal"/>
      <w:isLgl w:val="false"/>
      <w:suff w:val="nothing"/>
      <w:lvlText w:val=""/>
      <w:lvlJc w:val="left"/>
      <w:pPr>
        <w:ind w:left="252"/>
      </w:pPr>
    </w:lvl>
    <w:lvl w:ilvl="8">
      <w:start w:val="1"/>
      <w:numFmt w:val="decimal"/>
      <w:isLgl w:val="false"/>
      <w:suff w:val="nothing"/>
      <w:lvlText w:val=""/>
      <w:lvlJc w:val="left"/>
      <w:pPr>
        <w:ind w:left="252"/>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4" w:default="1">
    <w:name w:val="Normal"/>
    <w:uiPriority w:val="0"/>
    <w:qFormat/>
    <w:rPr>
      <w:rFonts w:hint="default" w:ascii="Times New Roman" w:hAnsi="Times New Roman" w:eastAsia="宋体" w:cs="Times New Roman"/>
    </w:rPr>
  </w:style>
  <w:style w:type="paragraph" w:styleId="1015">
    <w:name w:val="Heading 1"/>
    <w:next w:val="1014"/>
    <w:link w:val="1051"/>
    <w:uiPriority w:val="9"/>
    <w:qFormat/>
    <w:pPr>
      <w:keepLines/>
      <w:keepNext/>
      <w:spacing w:before="480" w:after="200"/>
      <w:outlineLvl w:val="0"/>
    </w:pPr>
    <w:rPr>
      <w:rFonts w:hint="default" w:ascii="Arial" w:hAnsi="Arial" w:eastAsia="Arial" w:cs="Arial"/>
      <w:sz w:val="40"/>
      <w:szCs w:val="40"/>
    </w:rPr>
  </w:style>
  <w:style w:type="paragraph" w:styleId="1016">
    <w:name w:val="Heading 2"/>
    <w:next w:val="1014"/>
    <w:link w:val="1052"/>
    <w:uiPriority w:val="9"/>
    <w:unhideWhenUsed/>
    <w:qFormat/>
    <w:pPr>
      <w:keepLines/>
      <w:keepNext/>
      <w:spacing w:before="360" w:after="200"/>
      <w:outlineLvl w:val="1"/>
    </w:pPr>
    <w:rPr>
      <w:rFonts w:hint="default" w:ascii="Arial" w:hAnsi="Arial" w:eastAsia="Arial" w:cs="Arial"/>
      <w:sz w:val="34"/>
    </w:rPr>
  </w:style>
  <w:style w:type="paragraph" w:styleId="1017">
    <w:name w:val="Heading 3"/>
    <w:next w:val="1014"/>
    <w:link w:val="1053"/>
    <w:uiPriority w:val="9"/>
    <w:unhideWhenUsed/>
    <w:qFormat/>
    <w:pPr>
      <w:keepLines/>
      <w:keepNext/>
      <w:spacing w:before="320" w:after="200"/>
      <w:outlineLvl w:val="2"/>
    </w:pPr>
    <w:rPr>
      <w:rFonts w:hint="default" w:ascii="Arial" w:hAnsi="Arial" w:eastAsia="Arial" w:cs="Arial"/>
      <w:sz w:val="30"/>
      <w:szCs w:val="30"/>
    </w:rPr>
  </w:style>
  <w:style w:type="paragraph" w:styleId="1018">
    <w:name w:val="Heading 4"/>
    <w:next w:val="1014"/>
    <w:link w:val="1054"/>
    <w:uiPriority w:val="9"/>
    <w:unhideWhenUsed/>
    <w:qFormat/>
    <w:pPr>
      <w:keepLines/>
      <w:keepNext/>
      <w:spacing w:before="320" w:after="200"/>
      <w:outlineLvl w:val="3"/>
    </w:pPr>
    <w:rPr>
      <w:rFonts w:hint="default" w:ascii="Arial" w:hAnsi="Arial" w:eastAsia="Arial" w:cs="Arial"/>
      <w:b/>
      <w:bCs/>
      <w:sz w:val="26"/>
      <w:szCs w:val="26"/>
    </w:rPr>
  </w:style>
  <w:style w:type="paragraph" w:styleId="1019">
    <w:name w:val="Heading 5"/>
    <w:next w:val="1014"/>
    <w:link w:val="1055"/>
    <w:uiPriority w:val="9"/>
    <w:unhideWhenUsed/>
    <w:qFormat/>
    <w:pPr>
      <w:keepLines/>
      <w:keepNext/>
      <w:spacing w:before="320" w:after="200"/>
      <w:outlineLvl w:val="4"/>
    </w:pPr>
    <w:rPr>
      <w:rFonts w:hint="default" w:ascii="Arial" w:hAnsi="Arial" w:eastAsia="Arial" w:cs="Arial"/>
      <w:b/>
      <w:bCs/>
      <w:sz w:val="24"/>
      <w:szCs w:val="24"/>
    </w:rPr>
  </w:style>
  <w:style w:type="paragraph" w:styleId="1020">
    <w:name w:val="Heading 6"/>
    <w:next w:val="1014"/>
    <w:link w:val="1056"/>
    <w:uiPriority w:val="9"/>
    <w:unhideWhenUsed/>
    <w:qFormat/>
    <w:pPr>
      <w:keepLines/>
      <w:keepNext/>
      <w:spacing w:before="320" w:after="200"/>
      <w:outlineLvl w:val="5"/>
    </w:pPr>
    <w:rPr>
      <w:rFonts w:hint="default" w:ascii="Arial" w:hAnsi="Arial" w:eastAsia="Arial" w:cs="Arial"/>
      <w:b/>
      <w:bCs/>
      <w:sz w:val="22"/>
      <w:szCs w:val="22"/>
    </w:rPr>
  </w:style>
  <w:style w:type="paragraph" w:styleId="1021">
    <w:name w:val="Heading 7"/>
    <w:next w:val="1014"/>
    <w:link w:val="1057"/>
    <w:uiPriority w:val="9"/>
    <w:unhideWhenUsed/>
    <w:qFormat/>
    <w:pPr>
      <w:keepLines/>
      <w:keepNext/>
      <w:spacing w:before="320" w:after="200"/>
      <w:outlineLvl w:val="6"/>
    </w:pPr>
    <w:rPr>
      <w:rFonts w:hint="default" w:ascii="Arial" w:hAnsi="Arial" w:eastAsia="Arial" w:cs="Arial"/>
      <w:b/>
      <w:bCs/>
      <w:i/>
      <w:iCs/>
      <w:sz w:val="22"/>
      <w:szCs w:val="22"/>
    </w:rPr>
  </w:style>
  <w:style w:type="paragraph" w:styleId="1022">
    <w:name w:val="Heading 8"/>
    <w:next w:val="1014"/>
    <w:link w:val="1058"/>
    <w:uiPriority w:val="9"/>
    <w:unhideWhenUsed/>
    <w:qFormat/>
    <w:pPr>
      <w:keepLines/>
      <w:keepNext/>
      <w:spacing w:before="320" w:after="200"/>
      <w:outlineLvl w:val="7"/>
    </w:pPr>
    <w:rPr>
      <w:rFonts w:hint="default" w:ascii="Arial" w:hAnsi="Arial" w:eastAsia="Arial" w:cs="Arial"/>
      <w:i/>
      <w:iCs/>
      <w:sz w:val="22"/>
      <w:szCs w:val="22"/>
    </w:rPr>
  </w:style>
  <w:style w:type="paragraph" w:styleId="1023">
    <w:name w:val="Heading 9"/>
    <w:next w:val="1014"/>
    <w:link w:val="1059"/>
    <w:uiPriority w:val="9"/>
    <w:unhideWhenUsed/>
    <w:qFormat/>
    <w:pPr>
      <w:keepLines/>
      <w:keepNext/>
      <w:spacing w:before="320" w:after="200"/>
      <w:outlineLvl w:val="8"/>
    </w:pPr>
    <w:rPr>
      <w:rFonts w:hint="default" w:ascii="Arial" w:hAnsi="Arial" w:eastAsia="Arial" w:cs="Arial"/>
      <w:i/>
      <w:iCs/>
      <w:sz w:val="21"/>
      <w:szCs w:val="21"/>
    </w:rPr>
  </w:style>
  <w:style w:type="character" w:styleId="1024" w:default="1">
    <w:name w:val="Default Paragraph Font"/>
    <w:uiPriority w:val="1"/>
    <w:semiHidden/>
    <w:unhideWhenUsed/>
    <w:qFormat/>
  </w:style>
  <w:style w:type="table" w:styleId="1025" w:default="1">
    <w:name w:val="Normal Table"/>
    <w:uiPriority w:val="99"/>
    <w:semiHidden/>
    <w:unhideWhenUsed/>
    <w:qFormat/>
    <w:tblPr>
      <w:tblCellMar>
        <w:left w:w="108" w:type="dxa"/>
        <w:top w:w="0" w:type="dxa"/>
        <w:right w:w="108" w:type="dxa"/>
        <w:bottom w:w="0" w:type="dxa"/>
      </w:tblCellMar>
    </w:tblPr>
  </w:style>
  <w:style w:type="paragraph" w:styleId="1026">
    <w:name w:val="toc 7"/>
    <w:next w:val="1014"/>
    <w:uiPriority w:val="39"/>
    <w:unhideWhenUsed/>
    <w:qFormat/>
    <w:pPr>
      <w:ind w:left="1701" w:right="0" w:firstLine="0"/>
      <w:spacing w:after="57"/>
    </w:pPr>
    <w:rPr>
      <w:rFonts w:hint="default" w:ascii="Times New Roman" w:hAnsi="Times New Roman" w:eastAsia="宋体" w:cs="Times New Roman"/>
    </w:rPr>
  </w:style>
  <w:style w:type="paragraph" w:styleId="1027">
    <w:name w:val="Caption"/>
    <w:next w:val="1014"/>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1028">
    <w:name w:val="Body Text Indent"/>
    <w:basedOn w:val="1014"/>
    <w:uiPriority w:val="0"/>
    <w:qFormat/>
    <w:pPr>
      <w:ind w:left="420"/>
      <w:spacing w:after="120"/>
    </w:pPr>
  </w:style>
  <w:style w:type="paragraph" w:styleId="1029">
    <w:name w:val="Block Text"/>
    <w:basedOn w:val="1014"/>
    <w:uiPriority w:val="99"/>
    <w:unhideWhenUsed/>
    <w:qFormat/>
    <w:pPr>
      <w:ind w:left="1440" w:right="1440"/>
      <w:spacing w:after="120"/>
    </w:pPr>
  </w:style>
  <w:style w:type="paragraph" w:styleId="1030">
    <w:name w:val="toc 5"/>
    <w:next w:val="1014"/>
    <w:uiPriority w:val="39"/>
    <w:unhideWhenUsed/>
    <w:qFormat/>
    <w:pPr>
      <w:ind w:left="1134" w:right="0" w:firstLine="0"/>
      <w:spacing w:after="57"/>
    </w:pPr>
    <w:rPr>
      <w:rFonts w:hint="default" w:ascii="Times New Roman" w:hAnsi="Times New Roman" w:eastAsia="宋体" w:cs="Times New Roman"/>
    </w:rPr>
  </w:style>
  <w:style w:type="paragraph" w:styleId="1031">
    <w:name w:val="toc 3"/>
    <w:next w:val="1014"/>
    <w:uiPriority w:val="39"/>
    <w:unhideWhenUsed/>
    <w:qFormat/>
    <w:pPr>
      <w:ind w:left="567" w:right="0" w:firstLine="0"/>
      <w:spacing w:after="57"/>
    </w:pPr>
    <w:rPr>
      <w:rFonts w:hint="default" w:ascii="Times New Roman" w:hAnsi="Times New Roman" w:eastAsia="宋体" w:cs="Times New Roman"/>
    </w:rPr>
  </w:style>
  <w:style w:type="paragraph" w:styleId="1032">
    <w:name w:val="toc 8"/>
    <w:next w:val="1014"/>
    <w:uiPriority w:val="39"/>
    <w:unhideWhenUsed/>
    <w:qFormat/>
    <w:pPr>
      <w:ind w:left="1984" w:right="0" w:firstLine="0"/>
      <w:spacing w:after="57"/>
    </w:pPr>
    <w:rPr>
      <w:rFonts w:hint="default" w:ascii="Times New Roman" w:hAnsi="Times New Roman" w:eastAsia="宋体" w:cs="Times New Roman"/>
    </w:rPr>
  </w:style>
  <w:style w:type="paragraph" w:styleId="1033">
    <w:name w:val="endnote text"/>
    <w:link w:val="1197"/>
    <w:uiPriority w:val="99"/>
    <w:semiHidden/>
    <w:unhideWhenUsed/>
    <w:qFormat/>
    <w:pPr>
      <w:spacing w:after="0" w:line="240" w:lineRule="auto"/>
    </w:pPr>
    <w:rPr>
      <w:rFonts w:hint="default" w:ascii="Times New Roman" w:hAnsi="Times New Roman" w:eastAsia="宋体" w:cs="Times New Roman"/>
      <w:sz w:val="20"/>
    </w:rPr>
  </w:style>
  <w:style w:type="paragraph" w:styleId="1034">
    <w:name w:val="Footer"/>
    <w:link w:val="107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35">
    <w:name w:val="Header"/>
    <w:link w:val="106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36">
    <w:name w:val="toc 1"/>
    <w:basedOn w:val="1014"/>
    <w:next w:val="1014"/>
    <w:uiPriority w:val="39"/>
    <w:unhideWhenUsed/>
    <w:qFormat/>
    <w:pPr>
      <w:ind w:left="0" w:right="0" w:firstLine="0"/>
      <w:spacing w:after="57"/>
    </w:pPr>
    <w:rPr>
      <w:rFonts w:hint="default" w:ascii="Times New Roman" w:hAnsi="Times New Roman" w:eastAsia="宋体" w:cs="Times New Roman"/>
    </w:rPr>
  </w:style>
  <w:style w:type="paragraph" w:styleId="1037">
    <w:name w:val="toc 4"/>
    <w:next w:val="1014"/>
    <w:uiPriority w:val="39"/>
    <w:unhideWhenUsed/>
    <w:qFormat/>
    <w:pPr>
      <w:ind w:left="850" w:right="0" w:firstLine="0"/>
      <w:spacing w:after="57"/>
    </w:pPr>
    <w:rPr>
      <w:rFonts w:hint="default" w:ascii="Times New Roman" w:hAnsi="Times New Roman" w:eastAsia="宋体" w:cs="Times New Roman"/>
    </w:rPr>
  </w:style>
  <w:style w:type="paragraph" w:styleId="1038">
    <w:name w:val="Subtitle"/>
    <w:link w:val="1063"/>
    <w:uiPriority w:val="11"/>
    <w:qFormat/>
    <w:pPr>
      <w:spacing w:before="200" w:after="200"/>
    </w:pPr>
    <w:rPr>
      <w:rFonts w:hint="default" w:ascii="Times New Roman" w:hAnsi="Times New Roman" w:eastAsia="宋体" w:cs="Times New Roman"/>
      <w:sz w:val="24"/>
      <w:szCs w:val="24"/>
    </w:rPr>
  </w:style>
  <w:style w:type="paragraph" w:styleId="1039">
    <w:name w:val="footnote text"/>
    <w:link w:val="1196"/>
    <w:uiPriority w:val="99"/>
    <w:semiHidden/>
    <w:unhideWhenUsed/>
    <w:qFormat/>
    <w:pPr>
      <w:spacing w:after="40" w:line="240" w:lineRule="auto"/>
    </w:pPr>
    <w:rPr>
      <w:rFonts w:hint="default" w:ascii="Times New Roman" w:hAnsi="Times New Roman" w:eastAsia="宋体" w:cs="Times New Roman"/>
      <w:sz w:val="18"/>
    </w:rPr>
  </w:style>
  <w:style w:type="paragraph" w:styleId="1040">
    <w:name w:val="toc 6"/>
    <w:next w:val="1014"/>
    <w:uiPriority w:val="39"/>
    <w:unhideWhenUsed/>
    <w:qFormat/>
    <w:pPr>
      <w:ind w:left="1417" w:right="0" w:firstLine="0"/>
      <w:spacing w:after="57"/>
    </w:pPr>
    <w:rPr>
      <w:rFonts w:hint="default" w:ascii="Times New Roman" w:hAnsi="Times New Roman" w:eastAsia="宋体" w:cs="Times New Roman"/>
    </w:rPr>
  </w:style>
  <w:style w:type="paragraph" w:styleId="1041">
    <w:name w:val="table of figures"/>
    <w:next w:val="1014"/>
    <w:uiPriority w:val="99"/>
    <w:unhideWhenUsed/>
    <w:qFormat/>
    <w:pPr>
      <w:spacing w:after="0" w:afterAutospacing="0"/>
    </w:pPr>
    <w:rPr>
      <w:rFonts w:hint="default" w:ascii="Times New Roman" w:hAnsi="Times New Roman" w:eastAsia="宋体" w:cs="Times New Roman"/>
    </w:rPr>
  </w:style>
  <w:style w:type="paragraph" w:styleId="1042">
    <w:name w:val="toc 2"/>
    <w:next w:val="1014"/>
    <w:uiPriority w:val="39"/>
    <w:unhideWhenUsed/>
    <w:qFormat/>
    <w:pPr>
      <w:ind w:left="283" w:right="0" w:firstLine="0"/>
      <w:spacing w:after="57"/>
    </w:pPr>
    <w:rPr>
      <w:rFonts w:hint="default" w:ascii="Times New Roman" w:hAnsi="Times New Roman" w:eastAsia="宋体" w:cs="Times New Roman"/>
    </w:rPr>
  </w:style>
  <w:style w:type="paragraph" w:styleId="1043">
    <w:name w:val="toc 9"/>
    <w:next w:val="1014"/>
    <w:uiPriority w:val="39"/>
    <w:unhideWhenUsed/>
    <w:qFormat/>
    <w:pPr>
      <w:ind w:left="2268" w:right="0" w:firstLine="0"/>
      <w:spacing w:after="57"/>
    </w:pPr>
    <w:rPr>
      <w:rFonts w:hint="default" w:ascii="Times New Roman" w:hAnsi="Times New Roman" w:eastAsia="宋体" w:cs="Times New Roman"/>
    </w:rPr>
  </w:style>
  <w:style w:type="paragraph" w:styleId="1044">
    <w:name w:val="Title"/>
    <w:link w:val="1062"/>
    <w:uiPriority w:val="10"/>
    <w:qFormat/>
    <w:pPr>
      <w:contextualSpacing/>
      <w:spacing w:before="300" w:after="200"/>
    </w:pPr>
    <w:rPr>
      <w:rFonts w:hint="default" w:ascii="Times New Roman" w:hAnsi="Times New Roman" w:eastAsia="宋体" w:cs="Times New Roman"/>
      <w:sz w:val="48"/>
      <w:szCs w:val="48"/>
    </w:rPr>
  </w:style>
  <w:style w:type="table" w:styleId="10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6">
    <w:name w:val="endnote reference"/>
    <w:uiPriority w:val="99"/>
    <w:semiHidden/>
    <w:unhideWhenUsed/>
    <w:qFormat/>
    <w:rPr>
      <w:vertAlign w:val="superscript"/>
    </w:rPr>
  </w:style>
  <w:style w:type="character" w:styleId="1047">
    <w:name w:val="Hyperlink"/>
    <w:uiPriority w:val="99"/>
    <w:unhideWhenUsed/>
    <w:qFormat/>
    <w:rPr>
      <w:color w:val="0000ff" w:themeColor="hyperlink"/>
      <w:u w:val="single"/>
      <w14:textFill>
        <w14:solidFill>
          <w14:schemeClr w14:val="hlink"/>
        </w14:solidFill>
      </w14:textFill>
    </w:rPr>
  </w:style>
  <w:style w:type="character" w:styleId="1048">
    <w:name w:val="footnote reference"/>
    <w:uiPriority w:val="99"/>
    <w:unhideWhenUsed/>
    <w:qFormat/>
    <w:rPr>
      <w:vertAlign w:val="superscript"/>
    </w:rPr>
  </w:style>
  <w:style w:type="paragraph" w:styleId="1049" w:customStyle="1">
    <w:name w:val="目录 111"/>
    <w:basedOn w:val="1050"/>
    <w:next w:val="1014"/>
    <w:uiPriority w:val="0"/>
    <w:qFormat/>
    <w:pPr>
      <w:jc w:val="left"/>
      <w:spacing w:after="100" w:line="259" w:lineRule="auto"/>
      <w:widowControl/>
    </w:pPr>
    <w:rPr>
      <w:rFonts w:ascii="Calibri" w:hAnsi="Calibri" w:eastAsia="宋体"/>
      <w:sz w:val="22"/>
      <w:szCs w:val="22"/>
    </w:rPr>
  </w:style>
  <w:style w:type="paragraph" w:styleId="1050" w:customStyle="1">
    <w:name w:val="正文111"/>
    <w:next w:val="104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1" w:customStyle="1">
    <w:name w:val="Heading 1 Char"/>
    <w:link w:val="1015"/>
    <w:uiPriority w:val="9"/>
    <w:qFormat/>
    <w:rPr>
      <w:rFonts w:ascii="Arial" w:hAnsi="Arial" w:eastAsia="Arial" w:cs="Arial"/>
      <w:sz w:val="40"/>
      <w:szCs w:val="40"/>
    </w:rPr>
  </w:style>
  <w:style w:type="character" w:styleId="1052" w:customStyle="1">
    <w:name w:val="Heading 2 Char"/>
    <w:link w:val="1016"/>
    <w:uiPriority w:val="9"/>
    <w:qFormat/>
    <w:rPr>
      <w:rFonts w:ascii="Arial" w:hAnsi="Arial" w:eastAsia="Arial" w:cs="Arial"/>
      <w:sz w:val="34"/>
    </w:rPr>
  </w:style>
  <w:style w:type="character" w:styleId="1053" w:customStyle="1">
    <w:name w:val="Heading 3 Char"/>
    <w:link w:val="1017"/>
    <w:uiPriority w:val="9"/>
    <w:qFormat/>
    <w:rPr>
      <w:rFonts w:ascii="Arial" w:hAnsi="Arial" w:eastAsia="Arial" w:cs="Arial"/>
      <w:sz w:val="30"/>
      <w:szCs w:val="30"/>
    </w:rPr>
  </w:style>
  <w:style w:type="character" w:styleId="1054" w:customStyle="1">
    <w:name w:val="Heading 4 Char"/>
    <w:link w:val="1018"/>
    <w:uiPriority w:val="9"/>
    <w:qFormat/>
    <w:rPr>
      <w:rFonts w:ascii="Arial" w:hAnsi="Arial" w:eastAsia="Arial" w:cs="Arial"/>
      <w:b/>
      <w:bCs/>
      <w:sz w:val="26"/>
      <w:szCs w:val="26"/>
    </w:rPr>
  </w:style>
  <w:style w:type="character" w:styleId="1055" w:customStyle="1">
    <w:name w:val="Heading 5 Char"/>
    <w:link w:val="1019"/>
    <w:uiPriority w:val="9"/>
    <w:qFormat/>
    <w:rPr>
      <w:rFonts w:ascii="Arial" w:hAnsi="Arial" w:eastAsia="Arial" w:cs="Arial"/>
      <w:b/>
      <w:bCs/>
      <w:sz w:val="24"/>
      <w:szCs w:val="24"/>
    </w:rPr>
  </w:style>
  <w:style w:type="character" w:styleId="1056" w:customStyle="1">
    <w:name w:val="Heading 6 Char"/>
    <w:link w:val="1020"/>
    <w:uiPriority w:val="9"/>
    <w:qFormat/>
    <w:rPr>
      <w:rFonts w:ascii="Arial" w:hAnsi="Arial" w:eastAsia="Arial" w:cs="Arial"/>
      <w:b/>
      <w:bCs/>
      <w:sz w:val="22"/>
      <w:szCs w:val="22"/>
    </w:rPr>
  </w:style>
  <w:style w:type="character" w:styleId="1057" w:customStyle="1">
    <w:name w:val="Heading 7 Char"/>
    <w:link w:val="1021"/>
    <w:uiPriority w:val="9"/>
    <w:qFormat/>
    <w:rPr>
      <w:rFonts w:ascii="Arial" w:hAnsi="Arial" w:eastAsia="Arial" w:cs="Arial"/>
      <w:b/>
      <w:bCs/>
      <w:i/>
      <w:iCs/>
      <w:sz w:val="22"/>
      <w:szCs w:val="22"/>
    </w:rPr>
  </w:style>
  <w:style w:type="character" w:styleId="1058" w:customStyle="1">
    <w:name w:val="Heading 8 Char"/>
    <w:link w:val="1022"/>
    <w:uiPriority w:val="9"/>
    <w:qFormat/>
    <w:rPr>
      <w:rFonts w:ascii="Arial" w:hAnsi="Arial" w:eastAsia="Arial" w:cs="Arial"/>
      <w:i/>
      <w:iCs/>
      <w:sz w:val="22"/>
      <w:szCs w:val="22"/>
    </w:rPr>
  </w:style>
  <w:style w:type="character" w:styleId="1059" w:customStyle="1">
    <w:name w:val="Heading 9 Char"/>
    <w:link w:val="1023"/>
    <w:uiPriority w:val="9"/>
    <w:qFormat/>
    <w:rPr>
      <w:rFonts w:ascii="Arial" w:hAnsi="Arial" w:eastAsia="Arial" w:cs="Arial"/>
      <w:i/>
      <w:iCs/>
      <w:sz w:val="21"/>
      <w:szCs w:val="21"/>
    </w:rPr>
  </w:style>
  <w:style w:type="paragraph" w:styleId="1060">
    <w:name w:val="List Paragraph"/>
    <w:uiPriority w:val="34"/>
    <w:qFormat/>
    <w:pPr>
      <w:contextualSpacing/>
      <w:ind w:left="720"/>
    </w:pPr>
    <w:rPr>
      <w:rFonts w:hint="default" w:ascii="Times New Roman" w:hAnsi="Times New Roman" w:eastAsia="宋体" w:cs="Times New Roman"/>
    </w:rPr>
  </w:style>
  <w:style w:type="paragraph" w:styleId="1061">
    <w:name w:val="No Spacing"/>
    <w:uiPriority w:val="1"/>
    <w:qFormat/>
    <w:pPr>
      <w:spacing w:before="0" w:after="0" w:line="240" w:lineRule="auto"/>
    </w:pPr>
    <w:rPr>
      <w:rFonts w:hint="default" w:ascii="Times New Roman" w:hAnsi="Times New Roman" w:eastAsia="宋体" w:cs="Times New Roman"/>
    </w:rPr>
  </w:style>
  <w:style w:type="character" w:styleId="1062" w:customStyle="1">
    <w:name w:val="Title Char"/>
    <w:link w:val="1044"/>
    <w:uiPriority w:val="10"/>
    <w:qFormat/>
    <w:rPr>
      <w:sz w:val="48"/>
      <w:szCs w:val="48"/>
    </w:rPr>
  </w:style>
  <w:style w:type="character" w:styleId="1063" w:customStyle="1">
    <w:name w:val="Subtitle Char"/>
    <w:link w:val="1038"/>
    <w:uiPriority w:val="11"/>
    <w:qFormat/>
    <w:rPr>
      <w:sz w:val="24"/>
      <w:szCs w:val="24"/>
    </w:rPr>
  </w:style>
  <w:style w:type="paragraph" w:styleId="1064">
    <w:name w:val="Quote"/>
    <w:link w:val="1065"/>
    <w:uiPriority w:val="29"/>
    <w:qFormat/>
    <w:pPr>
      <w:ind w:left="720" w:right="720"/>
    </w:pPr>
    <w:rPr>
      <w:rFonts w:hint="default" w:ascii="Times New Roman" w:hAnsi="Times New Roman" w:eastAsia="宋体" w:cs="Times New Roman"/>
      <w:i/>
    </w:rPr>
  </w:style>
  <w:style w:type="character" w:styleId="1065" w:customStyle="1">
    <w:name w:val="Quote Char"/>
    <w:link w:val="1064"/>
    <w:uiPriority w:val="29"/>
    <w:qFormat/>
    <w:rPr>
      <w:i/>
    </w:rPr>
  </w:style>
  <w:style w:type="paragraph" w:styleId="1066">
    <w:name w:val="Intense Quote"/>
    <w:link w:val="10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1067" w:customStyle="1">
    <w:name w:val="Intense Quote Char"/>
    <w:link w:val="1066"/>
    <w:uiPriority w:val="30"/>
    <w:qFormat/>
    <w:rPr>
      <w:i/>
    </w:rPr>
  </w:style>
  <w:style w:type="character" w:styleId="1068" w:customStyle="1">
    <w:name w:val="Header Char"/>
    <w:link w:val="1035"/>
    <w:uiPriority w:val="99"/>
    <w:qFormat/>
  </w:style>
  <w:style w:type="character" w:styleId="1069" w:customStyle="1">
    <w:name w:val="Footer Char"/>
    <w:link w:val="1034"/>
    <w:uiPriority w:val="99"/>
    <w:qFormat/>
  </w:style>
  <w:style w:type="character" w:styleId="1070" w:customStyle="1">
    <w:name w:val="Caption Char"/>
    <w:link w:val="1034"/>
    <w:uiPriority w:val="99"/>
    <w:qFormat/>
  </w:style>
  <w:style w:type="table" w:styleId="10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6" w:customStyle="1">
    <w:name w:val="Footnote Text Char"/>
    <w:link w:val="1039"/>
    <w:uiPriority w:val="99"/>
    <w:qFormat/>
    <w:rPr>
      <w:sz w:val="18"/>
    </w:rPr>
  </w:style>
  <w:style w:type="character" w:styleId="1197" w:customStyle="1">
    <w:name w:val="Endnote Text Char"/>
    <w:link w:val="1033"/>
    <w:uiPriority w:val="99"/>
    <w:qFormat/>
    <w:rPr>
      <w:sz w:val="20"/>
    </w:rPr>
  </w:style>
  <w:style w:type="paragraph" w:styleId="1198" w:customStyle="1">
    <w:name w:val="TOC Heading"/>
    <w:uiPriority w:val="39"/>
    <w:unhideWhenUsed/>
    <w:qFormat/>
    <w:rPr>
      <w:rFonts w:hint="default" w:ascii="Times New Roman" w:hAnsi="Times New Roman" w:eastAsia="宋体" w:cs="Times New Roman"/>
    </w:rPr>
  </w:style>
  <w:style w:type="paragraph" w:styleId="1199" w:customStyle="1">
    <w:name w:val="正文1111"/>
    <w:next w:val="1200"/>
    <w:link w:val="12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0" w:customStyle="1">
    <w:name w:val="目录 112"/>
    <w:basedOn w:val="1199"/>
    <w:next w:val="1199"/>
    <w:uiPriority w:val="0"/>
    <w:qFormat/>
  </w:style>
  <w:style w:type="paragraph" w:styleId="1201" w:customStyle="1">
    <w:name w:val="标题 11"/>
    <w:basedOn w:val="1199"/>
    <w:next w:val="1199"/>
    <w:link w:val="1212"/>
    <w:uiPriority w:val="0"/>
    <w:qFormat/>
    <w:pPr>
      <w:jc w:val="center"/>
      <w:keepLines/>
      <w:keepNext/>
      <w:pageBreakBefore/>
      <w:spacing w:before="120" w:line="579" w:lineRule="auto"/>
      <w:outlineLvl w:val="0"/>
    </w:pPr>
    <w:rPr>
      <w:rFonts w:ascii="Times New Roman" w:hAnsi="Times New Roman" w:eastAsia="仿宋"/>
      <w:b/>
      <w:bCs/>
      <w:sz w:val="30"/>
      <w:szCs w:val="30"/>
    </w:rPr>
  </w:style>
  <w:style w:type="paragraph" w:styleId="1202" w:customStyle="1">
    <w:name w:val="标题 21"/>
    <w:basedOn w:val="1199"/>
    <w:next w:val="1199"/>
    <w:uiPriority w:val="0"/>
    <w:qFormat/>
    <w:pPr>
      <w:keepLines/>
      <w:keepNext/>
      <w:spacing w:before="360" w:after="200"/>
      <w:outlineLvl w:val="1"/>
    </w:pPr>
    <w:rPr>
      <w:rFonts w:ascii="Arial" w:hAnsi="Arial" w:eastAsia="Arial"/>
      <w:sz w:val="34"/>
    </w:rPr>
  </w:style>
  <w:style w:type="paragraph" w:styleId="1203" w:customStyle="1">
    <w:name w:val="标题 31"/>
    <w:basedOn w:val="1199"/>
    <w:next w:val="1199"/>
    <w:uiPriority w:val="0"/>
    <w:qFormat/>
    <w:pPr>
      <w:numPr>
        <w:ilvl w:val="2"/>
        <w:numId w:val="1"/>
      </w:numPr>
      <w:jc w:val="left"/>
      <w:keepLines/>
      <w:keepNext/>
      <w:spacing w:before="260" w:after="260" w:line="416" w:lineRule="atLeast"/>
      <w:outlineLvl w:val="2"/>
    </w:pPr>
    <w:rPr>
      <w:b/>
      <w:bCs/>
      <w:sz w:val="32"/>
      <w:szCs w:val="32"/>
    </w:rPr>
  </w:style>
  <w:style w:type="paragraph" w:styleId="1204" w:customStyle="1">
    <w:name w:val="标题 41"/>
    <w:basedOn w:val="1199"/>
    <w:next w:val="1205"/>
    <w:uiPriority w:val="0"/>
    <w:qFormat/>
    <w:pPr>
      <w:ind w:left="864" w:hanging="864"/>
      <w:keepLines/>
      <w:keepNext/>
      <w:spacing w:before="60" w:after="20" w:line="376" w:lineRule="auto"/>
      <w:tabs>
        <w:tab w:val="left" w:pos="864" w:leader="none"/>
      </w:tabs>
      <w:outlineLvl w:val="3"/>
    </w:pPr>
    <w:rPr>
      <w:rFonts w:ascii="黑体" w:hAnsi="Arial" w:eastAsia="黑体"/>
      <w:sz w:val="24"/>
      <w:szCs w:val="20"/>
    </w:rPr>
  </w:style>
  <w:style w:type="paragraph" w:styleId="1205" w:customStyle="1">
    <w:name w:val="正文缩进1"/>
    <w:basedOn w:val="1199"/>
    <w:uiPriority w:val="0"/>
    <w:qFormat/>
    <w:pPr>
      <w:ind w:firstLine="420"/>
    </w:pPr>
  </w:style>
  <w:style w:type="character" w:styleId="1206" w:customStyle="1">
    <w:name w:val="默认段落字体1"/>
    <w:link w:val="1199"/>
    <w:uiPriority w:val="0"/>
    <w:semiHidden/>
    <w:qFormat/>
  </w:style>
  <w:style w:type="table" w:styleId="1207" w:customStyle="1">
    <w:name w:val="普通表格1"/>
    <w:uiPriority w:val="0"/>
    <w:semiHidden/>
    <w:qFormat/>
    <w:tblPr/>
  </w:style>
  <w:style w:type="character" w:styleId="1208" w:customStyle="1">
    <w:name w:val="脚注引用1"/>
    <w:link w:val="1199"/>
    <w:uiPriority w:val="0"/>
    <w:qFormat/>
    <w:rPr>
      <w:vertAlign w:val="superscript"/>
    </w:rPr>
  </w:style>
  <w:style w:type="character" w:styleId="1209" w:customStyle="1">
    <w:name w:val="超链接1"/>
    <w:basedOn w:val="1206"/>
    <w:link w:val="1199"/>
    <w:uiPriority w:val="0"/>
    <w:qFormat/>
    <w:rPr>
      <w:color w:val="0000ff"/>
      <w:u w:val="single"/>
    </w:rPr>
  </w:style>
  <w:style w:type="character" w:styleId="1210" w:customStyle="1">
    <w:name w:val="页码1"/>
    <w:link w:val="1199"/>
    <w:uiPriority w:val="0"/>
    <w:qFormat/>
  </w:style>
  <w:style w:type="character" w:styleId="1211" w:customStyle="1">
    <w:name w:val="强调1"/>
    <w:basedOn w:val="1206"/>
    <w:link w:val="1199"/>
    <w:uiPriority w:val="0"/>
    <w:qFormat/>
    <w:rPr>
      <w:i/>
    </w:rPr>
  </w:style>
  <w:style w:type="character" w:styleId="1212" w:customStyle="1">
    <w:name w:val="标题 1 Char"/>
    <w:link w:val="1201"/>
    <w:uiPriority w:val="0"/>
    <w:qFormat/>
    <w:rPr>
      <w:rFonts w:ascii="Times New Roman" w:hAnsi="Times New Roman" w:eastAsia="仿宋"/>
      <w:b/>
      <w:bCs/>
      <w:sz w:val="30"/>
      <w:szCs w:val="30"/>
    </w:rPr>
  </w:style>
  <w:style w:type="paragraph" w:styleId="1213" w:customStyle="1">
    <w:name w:val="日期1"/>
    <w:basedOn w:val="1199"/>
    <w:next w:val="1199"/>
    <w:uiPriority w:val="0"/>
    <w:qFormat/>
    <w:rPr>
      <w:rFonts w:eastAsia="仿宋_GB2312"/>
      <w:sz w:val="28"/>
      <w:szCs w:val="20"/>
    </w:rPr>
  </w:style>
  <w:style w:type="paragraph" w:styleId="1214" w:customStyle="1">
    <w:name w:val="文本块11"/>
    <w:basedOn w:val="1199"/>
    <w:uiPriority w:val="0"/>
    <w:qFormat/>
    <w:pPr>
      <w:ind w:left="256" w:right="6" w:firstLine="624"/>
    </w:pPr>
    <w:rPr>
      <w:rFonts w:ascii="Times New Roman" w:hAnsi="Times New Roman" w:eastAsia="仿宋"/>
      <w:sz w:val="28"/>
      <w:szCs w:val="20"/>
    </w:rPr>
  </w:style>
  <w:style w:type="paragraph" w:styleId="1215" w:customStyle="1">
    <w:name w:val="正文文本 31"/>
    <w:basedOn w:val="1199"/>
    <w:uiPriority w:val="0"/>
    <w:qFormat/>
    <w:pPr>
      <w:spacing w:after="120"/>
    </w:pPr>
    <w:rPr>
      <w:rFonts w:ascii="Times New Roman" w:hAnsi="Times New Roman" w:eastAsia="宋体"/>
      <w:sz w:val="16"/>
      <w:szCs w:val="16"/>
    </w:rPr>
  </w:style>
  <w:style w:type="paragraph" w:styleId="1216" w:customStyle="1">
    <w:name w:val="页眉1"/>
    <w:basedOn w:val="1199"/>
    <w:uiPriority w:val="0"/>
    <w:qFormat/>
    <w:pPr>
      <w:jc w:val="center"/>
      <w:tabs>
        <w:tab w:val="center" w:pos="4153" w:leader="none"/>
        <w:tab w:val="right" w:pos="8306" w:leader="none"/>
      </w:tabs>
      <w:pBdr>
        <w:bottom w:val="single" w:color="000000" w:sz="6" w:space="1"/>
      </w:pBdr>
    </w:pPr>
    <w:rPr>
      <w:sz w:val="18"/>
      <w:szCs w:val="18"/>
    </w:rPr>
  </w:style>
  <w:style w:type="paragraph" w:styleId="1217" w:customStyle="1">
    <w:name w:val="索引 51"/>
    <w:basedOn w:val="1199"/>
    <w:next w:val="1199"/>
    <w:uiPriority w:val="0"/>
    <w:qFormat/>
    <w:pPr>
      <w:ind w:left="798"/>
      <w:jc w:val="left"/>
    </w:pPr>
    <w:rPr>
      <w:rFonts w:ascii="Calibri" w:hAnsi="Calibri"/>
    </w:rPr>
  </w:style>
  <w:style w:type="paragraph" w:styleId="1218" w:customStyle="1">
    <w:name w:val="标题1"/>
    <w:next w:val="1199"/>
    <w:uiPriority w:val="0"/>
    <w:qFormat/>
    <w:pPr>
      <w:jc w:val="center"/>
      <w:spacing w:before="240" w:beforeAutospacing="0" w:after="60" w:afterAutospacing="0"/>
      <w:widowControl w:val="off"/>
      <w:outlineLvl w:val="0"/>
    </w:pPr>
    <w:rPr>
      <w:rFonts w:hint="default" w:ascii="Cambria" w:hAnsi="Cambria" w:eastAsia="宋体" w:cs="Times New Roman"/>
      <w:b/>
      <w:sz w:val="32"/>
      <w:lang w:val="en-US" w:eastAsia="zh-CN" w:bidi="ar-SA"/>
    </w:rPr>
  </w:style>
  <w:style w:type="paragraph" w:styleId="1219" w:customStyle="1">
    <w:name w:val="普通(网站)11"/>
    <w:basedOn w:val="1199"/>
    <w:uiPriority w:val="0"/>
    <w:qFormat/>
    <w:pPr>
      <w:jc w:val="left"/>
      <w:spacing w:before="100" w:beforeAutospacing="1" w:after="100" w:afterAutospacing="1"/>
      <w:widowControl/>
    </w:pPr>
    <w:rPr>
      <w:rFonts w:ascii="宋体" w:hAnsi="宋体"/>
      <w:sz w:val="24"/>
    </w:rPr>
  </w:style>
  <w:style w:type="paragraph" w:styleId="1220" w:customStyle="1">
    <w:name w:val="正文文本1"/>
    <w:basedOn w:val="1199"/>
    <w:uiPriority w:val="0"/>
    <w:qFormat/>
    <w:pPr>
      <w:ind w:left="532"/>
      <w:spacing w:before="37"/>
    </w:pPr>
    <w:rPr>
      <w:rFonts w:ascii="微软雅黑" w:hAnsi="微软雅黑" w:eastAsia="微软雅黑"/>
      <w:sz w:val="21"/>
      <w:szCs w:val="21"/>
    </w:rPr>
  </w:style>
  <w:style w:type="paragraph" w:styleId="1221" w:customStyle="1">
    <w:name w:val="脚注文本1"/>
    <w:basedOn w:val="1199"/>
    <w:next w:val="1217"/>
    <w:uiPriority w:val="0"/>
    <w:qFormat/>
    <w:pPr>
      <w:jc w:val="left"/>
    </w:pPr>
    <w:rPr>
      <w:rFonts w:ascii="宋体" w:eastAsia="Times New Roman"/>
      <w:sz w:val="18"/>
      <w:szCs w:val="18"/>
    </w:rPr>
  </w:style>
  <w:style w:type="paragraph" w:styleId="1222" w:customStyle="1">
    <w:name w:val="正文文本缩进 21"/>
    <w:basedOn w:val="1199"/>
    <w:uiPriority w:val="0"/>
    <w:qFormat/>
    <w:pPr>
      <w:ind w:firstLine="475"/>
      <w:spacing w:line="10" w:lineRule="atLeast"/>
    </w:pPr>
    <w:rPr>
      <w:rFonts w:ascii="仿宋_GB2312" w:eastAsia="仿宋_GB2312"/>
      <w:sz w:val="24"/>
    </w:rPr>
  </w:style>
  <w:style w:type="paragraph" w:styleId="1223" w:customStyle="1">
    <w:name w:val="页脚1"/>
    <w:basedOn w:val="1199"/>
    <w:uiPriority w:val="0"/>
    <w:qFormat/>
    <w:pPr>
      <w:jc w:val="left"/>
      <w:tabs>
        <w:tab w:val="center" w:pos="4153" w:leader="none"/>
        <w:tab w:val="right" w:pos="8306" w:leader="none"/>
      </w:tabs>
    </w:pPr>
    <w:rPr>
      <w:sz w:val="18"/>
      <w:szCs w:val="18"/>
    </w:rPr>
  </w:style>
  <w:style w:type="paragraph" w:styleId="1224" w:customStyle="1">
    <w:name w:val="列表1"/>
    <w:basedOn w:val="1199"/>
    <w:uiPriority w:val="0"/>
    <w:qFormat/>
    <w:pPr>
      <w:ind w:left="200" w:hanging="200"/>
    </w:pPr>
    <w:rPr>
      <w:rFonts w:ascii="Times New Roman" w:hAnsi="Times New Roman" w:eastAsia="宋体"/>
    </w:rPr>
  </w:style>
  <w:style w:type="paragraph" w:styleId="1225" w:customStyle="1">
    <w:name w:val="正文文本11"/>
    <w:basedOn w:val="1226"/>
    <w:uiPriority w:val="0"/>
    <w:qFormat/>
    <w:pPr>
      <w:spacing w:after="120"/>
    </w:pPr>
    <w:rPr>
      <w:rFonts w:ascii="Calibri" w:hAnsi="Calibri"/>
    </w:rPr>
  </w:style>
  <w:style w:type="paragraph" w:styleId="1226" w:customStyle="1">
    <w:name w:val="正文11"/>
    <w:next w:val="12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7" w:customStyle="1">
    <w:name w:val="正文首行缩进1"/>
    <w:basedOn w:val="1225"/>
    <w:next w:val="1228"/>
    <w:uiPriority w:val="0"/>
    <w:qFormat/>
    <w:pPr>
      <w:ind w:firstLine="420"/>
    </w:pPr>
    <w:rPr>
      <w:rFonts w:ascii="仿宋_GB2312" w:hAnsi="Times New Roman" w:eastAsia="仿宋_GB2312"/>
      <w:sz w:val="30"/>
      <w:szCs w:val="30"/>
    </w:rPr>
  </w:style>
  <w:style w:type="paragraph" w:styleId="1228" w:customStyle="1">
    <w:name w:val="正文首行缩进 21"/>
    <w:basedOn w:val="1229"/>
    <w:uiPriority w:val="0"/>
    <w:qFormat/>
    <w:pPr>
      <w:ind w:firstLine="420"/>
    </w:pPr>
  </w:style>
  <w:style w:type="paragraph" w:styleId="1229" w:customStyle="1">
    <w:name w:val="正文文本缩进1"/>
    <w:basedOn w:val="1226"/>
    <w:uiPriority w:val="0"/>
    <w:qFormat/>
    <w:pPr>
      <w:ind w:left="420"/>
      <w:spacing w:after="120"/>
    </w:pPr>
  </w:style>
  <w:style w:type="paragraph" w:styleId="1230" w:customStyle="1">
    <w:name w:val="p0"/>
    <w:basedOn w:val="1226"/>
    <w:uiPriority w:val="0"/>
    <w:qFormat/>
    <w:pPr>
      <w:widowControl/>
    </w:pPr>
    <w:rPr>
      <w:sz w:val="21"/>
      <w:szCs w:val="21"/>
    </w:rPr>
  </w:style>
  <w:style w:type="paragraph" w:styleId="1231" w:customStyle="1">
    <w:name w:val="表格2居中"/>
    <w:basedOn w:val="1232"/>
    <w:uiPriority w:val="0"/>
    <w:qFormat/>
    <w:pPr>
      <w:jc w:val="center"/>
    </w:pPr>
    <w:rPr>
      <w:rFonts w:ascii="Times New Roman" w:hAnsi="Times New Roman" w:eastAsia="楷体"/>
    </w:rPr>
  </w:style>
  <w:style w:type="paragraph" w:styleId="1232" w:customStyle="1">
    <w:name w:val="表格2居左"/>
    <w:basedOn w:val="1233"/>
    <w:uiPriority w:val="0"/>
    <w:qFormat/>
    <w:pPr>
      <w:spacing w:line="240" w:lineRule="auto"/>
    </w:pPr>
    <w:rPr>
      <w:rFonts w:ascii="Times New Roman" w:hAnsi="Times New Roman" w:eastAsia="宋体"/>
      <w:sz w:val="21"/>
      <w:szCs w:val="21"/>
    </w:rPr>
  </w:style>
  <w:style w:type="paragraph" w:styleId="1233" w:customStyle="1">
    <w:name w:val="表格1居左"/>
    <w:basedOn w:val="1234"/>
    <w:uiPriority w:val="0"/>
    <w:qFormat/>
    <w:pPr>
      <w:jc w:val="left"/>
    </w:pPr>
    <w:rPr>
      <w:rFonts w:ascii="Times New Roman" w:hAnsi="Times New Roman" w:eastAsia="宋体"/>
    </w:rPr>
  </w:style>
  <w:style w:type="paragraph" w:styleId="1234" w:customStyle="1">
    <w:name w:val="表格1居中"/>
    <w:basedOn w:val="1224"/>
    <w:uiPriority w:val="0"/>
    <w:qFormat/>
    <w:pPr>
      <w:ind w:left="0" w:firstLine="0"/>
      <w:jc w:val="center"/>
    </w:pPr>
    <w:rPr>
      <w:rFonts w:ascii="Times New Roman" w:hAnsi="Times New Roman" w:eastAsia="宋体"/>
      <w:sz w:val="24"/>
      <w:szCs w:val="24"/>
    </w:rPr>
  </w:style>
  <w:style w:type="paragraph" w:styleId="1235" w:customStyle="1">
    <w:name w:val="首页2标题"/>
    <w:basedOn w:val="1199"/>
    <w:uiPriority w:val="0"/>
    <w:qFormat/>
    <w:pPr>
      <w:ind w:firstLine="0"/>
      <w:jc w:val="center"/>
      <w:spacing w:line="360" w:lineRule="auto"/>
    </w:pPr>
    <w:rPr>
      <w:rFonts w:ascii="Times New Roman" w:hAnsi="Times New Roman" w:eastAsia="宋体"/>
      <w:b/>
      <w:sz w:val="86"/>
    </w:rPr>
  </w:style>
  <w:style w:type="paragraph" w:styleId="1236" w:customStyle="1">
    <w:name w:val="样式1楷体"/>
    <w:basedOn w:val="1237"/>
    <w:uiPriority w:val="0"/>
    <w:qFormat/>
    <w:pPr>
      <w:spacing w:line="280" w:lineRule="exact"/>
    </w:pPr>
    <w:rPr>
      <w:rFonts w:ascii="Times New Roman" w:hAnsi="Times New Roman" w:eastAsia="楷体"/>
      <w:sz w:val="21"/>
      <w:szCs w:val="21"/>
    </w:rPr>
  </w:style>
  <w:style w:type="paragraph" w:styleId="1237" w:customStyle="1">
    <w:name w:val="样式1宋体"/>
    <w:basedOn w:val="1238"/>
    <w:uiPriority w:val="0"/>
    <w:qFormat/>
    <w:pPr>
      <w:ind w:firstLine="480"/>
      <w:spacing w:line="240" w:lineRule="auto"/>
    </w:pPr>
    <w:rPr>
      <w:rFonts w:ascii="Times New Roman" w:hAnsi="Times New Roman" w:eastAsia="宋体"/>
      <w:sz w:val="21"/>
      <w:szCs w:val="21"/>
    </w:rPr>
  </w:style>
  <w:style w:type="paragraph" w:styleId="1238" w:customStyle="1">
    <w:name w:val="1"/>
    <w:basedOn w:val="1199"/>
    <w:next w:val="1215"/>
    <w:uiPriority w:val="0"/>
    <w:qFormat/>
    <w:pPr>
      <w:widowControl/>
    </w:pPr>
    <w:rPr>
      <w:rFonts w:ascii="Arial" w:hAnsi="Arial" w:eastAsia="宋体"/>
      <w:sz w:val="20"/>
      <w:szCs w:val="20"/>
    </w:rPr>
  </w:style>
  <w:style w:type="paragraph" w:styleId="1239" w:customStyle="1">
    <w:name w:val="正文1"/>
    <w:next w:val="12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文本块1"/>
    <w:basedOn w:val="1239"/>
    <w:uiPriority w:val="0"/>
    <w:qFormat/>
    <w:pPr>
      <w:ind w:left="1440" w:right="1440"/>
      <w:spacing w:after="120"/>
    </w:pPr>
  </w:style>
  <w:style w:type="paragraph" w:styleId="1241" w:customStyle="1">
    <w:name w:val="首页3标题"/>
    <w:basedOn w:val="1199"/>
    <w:uiPriority w:val="0"/>
    <w:qFormat/>
    <w:pPr>
      <w:ind w:firstLine="0"/>
      <w:jc w:val="center"/>
      <w:spacing w:line="360" w:lineRule="auto"/>
    </w:pPr>
    <w:rPr>
      <w:rFonts w:ascii="Times New Roman" w:hAnsi="Times New Roman" w:eastAsia="宋体"/>
      <w:b/>
      <w:sz w:val="32"/>
    </w:rPr>
  </w:style>
  <w:style w:type="paragraph" w:styleId="1242" w:customStyle="1">
    <w:name w:val="Char"/>
    <w:basedOn w:val="1199"/>
    <w:uiPriority w:val="0"/>
    <w:qFormat/>
    <w:pPr>
      <w:tabs>
        <w:tab w:val="left" w:pos="360" w:leader="none"/>
      </w:tabs>
    </w:pPr>
    <w:rPr>
      <w:sz w:val="24"/>
    </w:rPr>
  </w:style>
  <w:style w:type="paragraph" w:styleId="1243" w:customStyle="1">
    <w:name w:val="普通正文"/>
    <w:basedOn w:val="1199"/>
    <w:uiPriority w:val="0"/>
    <w:qFormat/>
    <w:pPr>
      <w:ind w:firstLine="480"/>
      <w:jc w:val="left"/>
      <w:spacing w:before="120" w:after="120" w:line="360" w:lineRule="auto"/>
    </w:pPr>
    <w:rPr>
      <w:rFonts w:ascii="Arial" w:hAnsi="Arial"/>
      <w:sz w:val="24"/>
    </w:rPr>
  </w:style>
  <w:style w:type="paragraph" w:styleId="1244" w:customStyle="1">
    <w:name w:val="目录 11"/>
    <w:basedOn w:val="1226"/>
    <w:next w:val="1226"/>
    <w:uiPriority w:val="0"/>
    <w:qFormat/>
    <w:pPr>
      <w:jc w:val="left"/>
      <w:spacing w:after="100" w:line="259" w:lineRule="auto"/>
      <w:widowControl/>
    </w:pPr>
    <w:rPr>
      <w:rFonts w:ascii="Calibri" w:hAnsi="Calibri" w:eastAsia="宋体"/>
      <w:sz w:val="22"/>
      <w:szCs w:val="22"/>
    </w:rPr>
  </w:style>
  <w:style w:type="paragraph" w:styleId="1245" w:customStyle="1">
    <w:name w:val="首页1标题"/>
    <w:basedOn w:val="1199"/>
    <w:uiPriority w:val="0"/>
    <w:qFormat/>
    <w:pPr>
      <w:ind w:firstLine="0"/>
      <w:jc w:val="center"/>
      <w:spacing w:line="360" w:lineRule="auto"/>
    </w:pPr>
    <w:rPr>
      <w:rFonts w:ascii="Times New Roman" w:hAnsi="Times New Roman" w:eastAsia="隶书"/>
      <w:b/>
      <w:sz w:val="52"/>
    </w:rPr>
  </w:style>
  <w:style w:type="paragraph" w:styleId="1246" w:customStyle="1">
    <w:name w:val="条款正文"/>
    <w:uiPriority w:val="0"/>
    <w:qFormat/>
    <w:pPr>
      <w:ind w:left="840" w:firstLine="420"/>
      <w:spacing w:after="200" w:line="240" w:lineRule="auto"/>
      <w:widowControl w:val="off"/>
    </w:pPr>
    <w:rPr>
      <w:rFonts w:hint="default" w:ascii="Times New Roman" w:hAnsi="Times New Roman" w:eastAsia="Calibri" w:cs="Times New Roman"/>
      <w:sz w:val="21"/>
      <w:szCs w:val="20"/>
      <w:lang w:val="en-US" w:eastAsia="en-US" w:bidi="ar-SA"/>
    </w:rPr>
  </w:style>
  <w:style w:type="paragraph" w:styleId="1247" w:customStyle="1">
    <w:name w:val="普通(网站)1"/>
    <w:basedOn w:val="1050"/>
    <w:uiPriority w:val="0"/>
    <w:qFormat/>
    <w:pPr>
      <w:jc w:val="left"/>
      <w:spacing w:before="100" w:beforeAutospacing="1" w:after="100" w:afterAutospacing="1"/>
      <w:widowControl/>
    </w:pPr>
    <w:rPr>
      <w:rFonts w:ascii="宋体" w:hAnsi="宋体"/>
      <w:sz w:val="24"/>
    </w:rPr>
  </w:style>
  <w:style w:type="paragraph" w:styleId="1248" w:customStyle="1">
    <w:name w:val="p15"/>
    <w:basedOn w:val="1199"/>
    <w:uiPriority w:val="0"/>
    <w:qFormat/>
    <w:pPr>
      <w:widowControl/>
    </w:pPr>
    <w:rPr>
      <w:sz w:val="21"/>
      <w:szCs w:val="21"/>
    </w:rPr>
  </w:style>
  <w:style w:type="paragraph" w:styleId="1249" w:customStyle="1">
    <w:name w:val="样式1标题"/>
    <w:basedOn w:val="1199"/>
    <w:uiPriority w:val="0"/>
    <w:qFormat/>
    <w:pPr>
      <w:ind w:firstLine="480"/>
      <w:spacing w:before="260" w:after="260" w:line="320" w:lineRule="exact"/>
    </w:pPr>
    <w:rPr>
      <w:rFonts w:ascii="Times New Roman" w:hAnsi="Times New Roman" w:eastAsia="宋体"/>
      <w:b/>
      <w:sz w:val="21"/>
      <w:szCs w:val="21"/>
    </w:rPr>
  </w:style>
  <w:style w:type="paragraph" w:styleId="1250" w:customStyle="1">
    <w:name w:val="首页4标题"/>
    <w:basedOn w:val="1199"/>
    <w:uiPriority w:val="0"/>
    <w:qFormat/>
    <w:pPr>
      <w:ind w:firstLine="0"/>
      <w:jc w:val="center"/>
      <w:spacing w:line="360" w:lineRule="auto"/>
    </w:pPr>
    <w:rPr>
      <w:rFonts w:ascii="Times New Roman" w:hAnsi="Times New Roman" w:eastAsia="宋体"/>
      <w:b/>
      <w:sz w:val="28"/>
    </w:rPr>
  </w:style>
  <w:style w:type="paragraph" w:styleId="1251" w:customStyle="1">
    <w:name w:val="Style"/>
    <w:uiPriority w:val="0"/>
    <w:qFormat/>
    <w:pPr>
      <w:widowControl w:val="off"/>
    </w:pPr>
    <w:rPr>
      <w:rFonts w:hint="default" w:ascii="Times New Roman" w:hAnsi="Times New Roman" w:eastAsia="宋体" w:cs="Times New Roman"/>
      <w:sz w:val="24"/>
      <w:szCs w:val="24"/>
    </w:rPr>
  </w:style>
  <w:style w:type="paragraph" w:styleId="1252" w:customStyle="1">
    <w:name w:val="表格名称"/>
    <w:basedOn w:val="1199"/>
    <w:uiPriority w:val="0"/>
    <w:qFormat/>
    <w:pPr>
      <w:ind w:firstLine="0"/>
      <w:jc w:val="center"/>
      <w:spacing w:line="360" w:lineRule="auto"/>
    </w:pPr>
    <w:rPr>
      <w:rFonts w:ascii="Times New Roman" w:hAnsi="Times New Roman" w:eastAsia="宋体"/>
      <w:b/>
      <w:sz w:val="28"/>
    </w:rPr>
  </w:style>
  <w:style w:type="paragraph" w:styleId="1253" w:customStyle="1">
    <w:name w:val="默认段落字体 Para Char Char Char Char Char Char Char"/>
    <w:basedOn w:val="1199"/>
    <w:uiPriority w:val="0"/>
    <w:qFormat/>
    <w:rPr>
      <w:rFonts w:ascii="Tahoma" w:hAnsi="Tahoma"/>
      <w:sz w:val="24"/>
      <w:szCs w:val="20"/>
    </w:rPr>
  </w:style>
  <w:style w:type="paragraph" w:styleId="1254" w:customStyle="1">
    <w:name w:val="WPSOffice手动目录 1"/>
    <w:uiPriority w:val="0"/>
    <w:qFormat/>
    <w:rPr>
      <w:rFonts w:hint="default" w:ascii="Times New Roman" w:hAnsi="Times New Roman" w:eastAsia="宋体" w:cs="Times New Roman"/>
      <w:sz w:val="20"/>
      <w:szCs w:val="20"/>
    </w:rPr>
  </w:style>
  <w:style w:type="paragraph" w:styleId="1255" w:customStyle="1">
    <w:name w:val="正文12"/>
    <w:next w:val="124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256" w:customStyle="1">
    <w:name w:val="网格型1"/>
    <w:uiPriority w:val="0"/>
    <w:qFormat/>
    <w:pPr>
      <w:jc w:val="both"/>
      <w:widowControl w:val="off"/>
    </w:pPr>
    <w:tblPr/>
  </w:style>
  <w:style w:type="paragraph" w:styleId="1257" w:customStyle="1">
    <w:name w:val="无格式"/>
    <w:uiPriority w:val="0"/>
    <w:qFormat/>
    <w:pPr>
      <w:jc w:val="both"/>
    </w:pPr>
    <w:rPr>
      <w:rFonts w:hint="default" w:ascii="宋体" w:hAnsi="宋体" w:eastAsia="宋体" w:cs="Times New Roman"/>
      <w:sz w:val="24"/>
      <w:szCs w:val="22"/>
      <w:lang w:val="en-US" w:eastAsia="zh-CN" w:bidi="ar-SA"/>
    </w:rPr>
  </w:style>
  <w:style w:type="table" w:styleId="1258" w:customStyle="1">
    <w:name w:val="Table Normal"/>
    <w:uiPriority w:val="0"/>
    <w:unhideWhenUsed/>
    <w:qFormat/>
    <w:tblPr>
      <w:tblCellMar>
        <w:left w:w="0" w:type="dxa"/>
        <w:top w:w="0" w:type="dxa"/>
        <w:right w:w="0" w:type="dxa"/>
        <w:bottom w:w="0" w:type="dxa"/>
      </w:tblCellMar>
    </w:tblPr>
  </w:style>
  <w:style w:type="numbering" w:styleId="12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Emiliana</dc:creator>
  <cp:lastModifiedBy>郭志云</cp:lastModifiedBy>
  <cp:revision>28</cp:revision>
  <dcterms:created xsi:type="dcterms:W3CDTF">2022-07-27T02:57:00Z</dcterms:created>
  <dcterms:modified xsi:type="dcterms:W3CDTF">2025-08-06T06:54:20Z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CDF34044A9DC4BC291CB340C4A0F44FD_12</vt:lpwstr>
  </property>
  <property fmtid="{D5CDD505-2E9C-101B-9397-08002B2CF9AE}" pid="4" name="KSOTemplateDocerSaveRecord">
    <vt:lpwstr>eyJoZGlkIjoiZTUzZWY5NDc3ZTAxMjI1ZTFlNWRjNTllODFhZTA4YTYiLCJ1c2VySWQiOiIxNjY0MjY4MjIzIn0=</vt:lpwstr>
  </property>
</Properties>
</file>