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A66B20">
      <w:pPr>
        <w:pStyle w:val="39"/>
        <w:spacing w:before="120" w:beforeAutospacing="0" w:after="120" w:afterAutospacing="0" w:line="360" w:lineRule="auto"/>
        <w:rPr>
          <w:rFonts w:hint="eastAsia" w:ascii="宋体" w:hAnsi="宋体" w:eastAsia="宋体" w:cs="宋体"/>
          <w:color w:val="auto"/>
        </w:rPr>
      </w:pPr>
    </w:p>
    <w:p w14:paraId="54E692A4">
      <w:pPr>
        <w:pStyle w:val="39"/>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w:t>
      </w:r>
    </w:p>
    <w:p w14:paraId="25FDCE24">
      <w:pPr>
        <w:jc w:val="center"/>
        <w:rPr>
          <w:rFonts w:hint="eastAsia" w:ascii="宋体" w:hAnsi="宋体" w:eastAsia="宋体" w:cs="宋体"/>
          <w:b/>
          <w:color w:val="auto"/>
          <w:sz w:val="84"/>
        </w:rPr>
      </w:pPr>
      <w:r>
        <w:rPr>
          <w:rFonts w:hint="eastAsia" w:ascii="宋体" w:hAnsi="宋体" w:eastAsia="宋体" w:cs="宋体"/>
          <w:b/>
          <w:color w:val="auto"/>
          <w:sz w:val="84"/>
        </w:rPr>
        <w:t>招标文件</w:t>
      </w:r>
    </w:p>
    <w:p w14:paraId="4505748B">
      <w:pPr>
        <w:rPr>
          <w:rFonts w:hint="eastAsia" w:ascii="宋体" w:hAnsi="宋体" w:eastAsia="宋体" w:cs="宋体"/>
          <w:b/>
          <w:color w:val="auto"/>
          <w:sz w:val="32"/>
        </w:rPr>
      </w:pPr>
    </w:p>
    <w:p w14:paraId="513CA25F">
      <w:pPr>
        <w:jc w:val="center"/>
        <w:rPr>
          <w:rFonts w:hint="eastAsia" w:ascii="宋体" w:hAnsi="宋体" w:eastAsia="宋体" w:cs="宋体"/>
          <w:b/>
          <w:color w:val="auto"/>
          <w:sz w:val="32"/>
        </w:rPr>
      </w:pPr>
    </w:p>
    <w:p w14:paraId="14DECC74">
      <w:pPr>
        <w:ind w:firstLine="2692"/>
        <w:rPr>
          <w:rFonts w:hint="eastAsia" w:ascii="宋体" w:hAnsi="宋体" w:eastAsia="宋体" w:cs="宋体"/>
          <w:b/>
          <w:color w:val="auto"/>
          <w:sz w:val="36"/>
        </w:rPr>
      </w:pPr>
    </w:p>
    <w:p w14:paraId="73E077EA">
      <w:pPr>
        <w:jc w:val="left"/>
        <w:rPr>
          <w:rFonts w:hint="eastAsia" w:ascii="宋体" w:hAnsi="宋体" w:eastAsia="宋体" w:cs="宋体"/>
          <w:b/>
          <w:color w:val="auto"/>
          <w:sz w:val="32"/>
          <w:szCs w:val="32"/>
        </w:rPr>
      </w:pPr>
    </w:p>
    <w:p w14:paraId="2F047B01">
      <w:pPr>
        <w:jc w:val="left"/>
        <w:rPr>
          <w:rFonts w:hint="default" w:ascii="宋体" w:hAnsi="宋体" w:eastAsia="宋体" w:cs="宋体"/>
          <w:b/>
          <w:color w:val="auto"/>
          <w:sz w:val="36"/>
          <w:szCs w:val="36"/>
          <w:lang w:val="en-US"/>
        </w:rPr>
      </w:pPr>
      <w:r>
        <w:rPr>
          <w:rFonts w:hint="eastAsia" w:ascii="宋体" w:hAnsi="宋体" w:eastAsia="宋体" w:cs="宋体"/>
          <w:b/>
          <w:color w:val="auto"/>
          <w:sz w:val="32"/>
          <w:szCs w:val="32"/>
        </w:rPr>
        <w:t>项目编号：</w:t>
      </w:r>
      <w:r>
        <w:rPr>
          <w:rFonts w:hint="eastAsia" w:ascii="宋体" w:hAnsi="宋体" w:eastAsia="宋体" w:cs="宋体"/>
          <w:b/>
          <w:color w:val="auto"/>
          <w:sz w:val="32"/>
          <w:szCs w:val="32"/>
          <w:lang w:eastAsia="zh-CN"/>
        </w:rPr>
        <w:t>JSZC-320903-YYHH-G2025-0001</w:t>
      </w:r>
    </w:p>
    <w:p w14:paraId="67FF6A18">
      <w:pPr>
        <w:jc w:val="center"/>
        <w:rPr>
          <w:rFonts w:hint="eastAsia" w:ascii="宋体" w:hAnsi="宋体" w:eastAsia="宋体" w:cs="宋体"/>
          <w:b/>
          <w:color w:val="auto"/>
          <w:sz w:val="32"/>
        </w:rPr>
      </w:pPr>
    </w:p>
    <w:p w14:paraId="5F84544E">
      <w:pPr>
        <w:ind w:left="1606" w:hanging="1606" w:hangingChars="500"/>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项目名称：</w:t>
      </w:r>
      <w:r>
        <w:rPr>
          <w:rFonts w:hint="eastAsia" w:ascii="宋体" w:hAnsi="宋体" w:eastAsia="宋体" w:cs="宋体"/>
          <w:b/>
          <w:color w:val="auto"/>
          <w:sz w:val="32"/>
          <w:szCs w:val="32"/>
          <w:lang w:eastAsia="zh-CN"/>
        </w:rPr>
        <w:t>盐都区高标准农田调查摸底上图入库全过程技术服务项目</w:t>
      </w:r>
    </w:p>
    <w:p w14:paraId="31FB0E4B">
      <w:pPr>
        <w:jc w:val="center"/>
        <w:rPr>
          <w:rFonts w:hint="eastAsia" w:ascii="宋体" w:hAnsi="宋体" w:eastAsia="宋体" w:cs="宋体"/>
          <w:b/>
          <w:color w:val="auto"/>
          <w:sz w:val="32"/>
          <w:szCs w:val="32"/>
        </w:rPr>
      </w:pPr>
    </w:p>
    <w:p w14:paraId="793BE1D9">
      <w:pPr>
        <w:pStyle w:val="12"/>
        <w:rPr>
          <w:color w:val="auto"/>
        </w:rPr>
      </w:pPr>
    </w:p>
    <w:p w14:paraId="1B9F5422">
      <w:pPr>
        <w:rPr>
          <w:color w:val="auto"/>
        </w:rPr>
      </w:pPr>
    </w:p>
    <w:p w14:paraId="57D7E2F7">
      <w:pPr>
        <w:pStyle w:val="12"/>
        <w:rPr>
          <w:color w:val="auto"/>
        </w:rPr>
      </w:pPr>
    </w:p>
    <w:p w14:paraId="331FC4DA">
      <w:pPr>
        <w:rPr>
          <w:color w:val="auto"/>
        </w:rPr>
      </w:pPr>
    </w:p>
    <w:p w14:paraId="47BB5A1F">
      <w:pPr>
        <w:pStyle w:val="12"/>
        <w:rPr>
          <w:color w:val="auto"/>
        </w:rPr>
      </w:pPr>
    </w:p>
    <w:p w14:paraId="3CE2313F">
      <w:pPr>
        <w:rPr>
          <w:color w:val="auto"/>
        </w:rPr>
      </w:pPr>
    </w:p>
    <w:p w14:paraId="7D49DE12">
      <w:pPr>
        <w:pStyle w:val="12"/>
        <w:rPr>
          <w:color w:val="auto"/>
        </w:rPr>
      </w:pPr>
    </w:p>
    <w:p w14:paraId="424D6E36">
      <w:pPr>
        <w:rPr>
          <w:color w:val="auto"/>
        </w:rPr>
      </w:pPr>
    </w:p>
    <w:p w14:paraId="31FE89F0">
      <w:pPr>
        <w:pStyle w:val="12"/>
        <w:rPr>
          <w:color w:val="auto"/>
        </w:rPr>
      </w:pPr>
    </w:p>
    <w:p w14:paraId="5EB2F119">
      <w:pPr>
        <w:rPr>
          <w:color w:val="auto"/>
        </w:rPr>
      </w:pPr>
    </w:p>
    <w:p w14:paraId="1033531D">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盐城市</w:t>
      </w:r>
      <w:r>
        <w:rPr>
          <w:rFonts w:hint="eastAsia" w:ascii="宋体" w:hAnsi="宋体" w:eastAsia="宋体" w:cs="宋体"/>
          <w:b/>
          <w:color w:val="auto"/>
          <w:sz w:val="32"/>
          <w:szCs w:val="32"/>
          <w:lang w:val="en-US" w:eastAsia="zh-CN"/>
        </w:rPr>
        <w:t>盐都区</w:t>
      </w:r>
      <w:r>
        <w:rPr>
          <w:rFonts w:hint="eastAsia" w:ascii="宋体" w:hAnsi="宋体" w:eastAsia="宋体" w:cs="宋体"/>
          <w:b/>
          <w:color w:val="auto"/>
          <w:sz w:val="32"/>
          <w:szCs w:val="32"/>
        </w:rPr>
        <w:t>农业农村局</w:t>
      </w:r>
    </w:p>
    <w:p w14:paraId="70CAEE77">
      <w:pPr>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江苏永和工程管理咨询有限公司</w:t>
      </w:r>
    </w:p>
    <w:p w14:paraId="36D57830">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202</w:t>
      </w:r>
      <w:r>
        <w:rPr>
          <w:rFonts w:hint="eastAsia" w:ascii="宋体" w:hAnsi="宋体" w:eastAsia="宋体" w:cs="宋体"/>
          <w:b/>
          <w:color w:val="auto"/>
          <w:sz w:val="32"/>
          <w:szCs w:val="32"/>
          <w:lang w:val="en-US" w:eastAsia="zh-CN"/>
        </w:rPr>
        <w:t>5</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月</w:t>
      </w:r>
    </w:p>
    <w:p w14:paraId="63E89798">
      <w:pPr>
        <w:rPr>
          <w:rFonts w:hint="eastAsia" w:ascii="宋体" w:hAnsi="宋体" w:eastAsia="宋体" w:cs="宋体"/>
          <w:color w:val="auto"/>
          <w:szCs w:val="21"/>
        </w:rPr>
      </w:pPr>
      <w:r>
        <w:rPr>
          <w:rFonts w:hint="eastAsia" w:ascii="宋体" w:hAnsi="宋体" w:eastAsia="宋体" w:cs="宋体"/>
          <w:color w:val="auto"/>
          <w:szCs w:val="21"/>
        </w:rPr>
        <w:br w:type="page" w:clear="all"/>
      </w:r>
    </w:p>
    <w:p w14:paraId="7F0C5387">
      <w:pPr>
        <w:pStyle w:val="39"/>
        <w:spacing w:beforeAutospacing="0" w:afterAutospacing="0" w:line="480" w:lineRule="auto"/>
        <w:jc w:val="center"/>
        <w:rPr>
          <w:rFonts w:hint="eastAsia" w:ascii="宋体" w:hAnsi="宋体" w:eastAsia="宋体" w:cs="宋体"/>
          <w:color w:val="auto"/>
        </w:rPr>
      </w:pPr>
      <w:bookmarkStart w:id="0" w:name="_Toc513029200"/>
      <w:bookmarkStart w:id="1" w:name="_Toc120614210"/>
      <w:bookmarkStart w:id="2" w:name="_Toc20823272"/>
      <w:bookmarkStart w:id="3" w:name="_Toc479757206"/>
      <w:bookmarkStart w:id="4" w:name="_Toc523127445"/>
      <w:bookmarkStart w:id="5" w:name="_Toc16938516"/>
      <w:r>
        <w:rPr>
          <w:rFonts w:hint="eastAsia" w:ascii="宋体" w:hAnsi="宋体" w:eastAsia="宋体" w:cs="宋体"/>
          <w:b/>
          <w:color w:val="auto"/>
          <w:sz w:val="44"/>
          <w:szCs w:val="44"/>
        </w:rPr>
        <w:t>总  目  录</w:t>
      </w:r>
      <w:bookmarkEnd w:id="0"/>
      <w:bookmarkEnd w:id="1"/>
      <w:bookmarkEnd w:id="2"/>
      <w:bookmarkEnd w:id="3"/>
      <w:bookmarkEnd w:id="4"/>
      <w:bookmarkEnd w:id="5"/>
    </w:p>
    <w:p w14:paraId="52C69629">
      <w:pPr>
        <w:pStyle w:val="39"/>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rPr>
        <w:t> </w:t>
      </w:r>
    </w:p>
    <w:p w14:paraId="2A5EABBF">
      <w:pPr>
        <w:pStyle w:val="39"/>
        <w:tabs>
          <w:tab w:val="left" w:pos="1441"/>
        </w:tabs>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sz w:val="36"/>
          <w:szCs w:val="36"/>
        </w:rPr>
        <w:t>第一章 招标公告………………………………1</w:t>
      </w:r>
    </w:p>
    <w:p w14:paraId="3C6EFAC3">
      <w:pPr>
        <w:pStyle w:val="39"/>
        <w:tabs>
          <w:tab w:val="left" w:pos="1441"/>
        </w:tabs>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sz w:val="36"/>
          <w:szCs w:val="36"/>
        </w:rPr>
        <w:t xml:space="preserve">第二章 投标人须知……………………………5  </w:t>
      </w:r>
    </w:p>
    <w:p w14:paraId="276F39AF">
      <w:pPr>
        <w:pStyle w:val="39"/>
        <w:tabs>
          <w:tab w:val="left" w:pos="1441"/>
        </w:tabs>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sz w:val="36"/>
          <w:szCs w:val="36"/>
        </w:rPr>
        <w:t>第三章 合同条款及格式………………………17</w:t>
      </w:r>
    </w:p>
    <w:p w14:paraId="556E06CD">
      <w:pPr>
        <w:pStyle w:val="39"/>
        <w:tabs>
          <w:tab w:val="left" w:pos="1441"/>
        </w:tabs>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sz w:val="36"/>
          <w:szCs w:val="36"/>
        </w:rPr>
        <w:t>第四章 采购需求………………………………23</w:t>
      </w:r>
    </w:p>
    <w:p w14:paraId="13250954">
      <w:pPr>
        <w:pStyle w:val="39"/>
        <w:tabs>
          <w:tab w:val="left" w:pos="1441"/>
        </w:tabs>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sz w:val="36"/>
          <w:szCs w:val="36"/>
        </w:rPr>
        <w:t>第五章 评标方法与评标标准…………………29</w:t>
      </w:r>
    </w:p>
    <w:p w14:paraId="78FE41DA">
      <w:pPr>
        <w:pStyle w:val="39"/>
        <w:tabs>
          <w:tab w:val="left" w:pos="1441"/>
        </w:tabs>
        <w:spacing w:beforeAutospacing="0" w:afterAutospacing="0" w:line="480" w:lineRule="auto"/>
        <w:jc w:val="both"/>
        <w:rPr>
          <w:rFonts w:hint="eastAsia" w:ascii="宋体" w:hAnsi="宋体" w:eastAsia="宋体" w:cs="宋体"/>
          <w:color w:val="auto"/>
          <w:lang w:val="en-US" w:eastAsia="zh-CN"/>
        </w:rPr>
      </w:pPr>
      <w:r>
        <w:rPr>
          <w:rFonts w:hint="eastAsia" w:ascii="宋体" w:hAnsi="宋体" w:eastAsia="宋体" w:cs="宋体"/>
          <w:color w:val="auto"/>
          <w:sz w:val="36"/>
          <w:szCs w:val="36"/>
        </w:rPr>
        <w:t>第六章 投标文件格式…………………………3</w:t>
      </w:r>
      <w:r>
        <w:rPr>
          <w:rFonts w:hint="eastAsia" w:ascii="宋体" w:hAnsi="宋体" w:eastAsia="宋体" w:cs="宋体"/>
          <w:color w:val="auto"/>
          <w:sz w:val="36"/>
          <w:szCs w:val="36"/>
          <w:lang w:val="en-US" w:eastAsia="zh-CN"/>
        </w:rPr>
        <w:t>4</w:t>
      </w:r>
    </w:p>
    <w:p w14:paraId="24185FE7">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10452480">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05DBC4CD">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C38FC8F">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772B024E">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44B59F93">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70F32E6">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538D4F1">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03666B93">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60F590AC">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19170260">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545B5DA9">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83EA786">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792F6968">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72E2107">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09B980F">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C3EC702">
      <w:pPr>
        <w:pStyle w:val="39"/>
        <w:spacing w:beforeAutospacing="0" w:afterAutospacing="0"/>
        <w:jc w:val="both"/>
        <w:rPr>
          <w:rFonts w:hint="eastAsia" w:ascii="宋体" w:hAnsi="宋体" w:eastAsia="宋体" w:cs="宋体"/>
          <w:color w:val="auto"/>
        </w:rPr>
        <w:sectPr>
          <w:pgSz w:w="11906" w:h="16838"/>
          <w:pgMar w:top="1440" w:right="1800" w:bottom="1440" w:left="1800" w:header="851" w:footer="992" w:gutter="0"/>
          <w:cols w:space="425" w:num="1"/>
          <w:docGrid w:linePitch="360" w:charSpace="0"/>
        </w:sectPr>
      </w:pPr>
    </w:p>
    <w:p w14:paraId="003B2483">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center"/>
        <w:textAlignment w:val="auto"/>
        <w:outlineLvl w:val="0"/>
        <w:rPr>
          <w:rFonts w:hint="eastAsia" w:ascii="宋体" w:hAnsi="宋体" w:eastAsia="宋体" w:cs="宋体"/>
          <w:color w:val="auto"/>
          <w:sz w:val="24"/>
          <w:szCs w:val="24"/>
        </w:rPr>
      </w:pPr>
      <w:r>
        <w:rPr>
          <w:rFonts w:hint="eastAsia" w:ascii="宋体" w:hAnsi="宋体" w:eastAsia="宋体" w:cs="宋体"/>
          <w:b/>
          <w:bCs/>
          <w:color w:val="auto"/>
          <w:sz w:val="24"/>
          <w:szCs w:val="24"/>
        </w:rPr>
        <w:t>第一章 招标公告</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440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9288" w:type="dxa"/>
          </w:tcPr>
          <w:p w14:paraId="7258DB80">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14:paraId="3166A3C7">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rPr>
              <w:t>盐都区高标准农田调查摸底上图入库全过程技术服务项目</w:t>
            </w:r>
            <w:r>
              <w:rPr>
                <w:rFonts w:hint="eastAsia" w:ascii="宋体" w:hAnsi="宋体" w:eastAsia="宋体" w:cs="宋体"/>
                <w:color w:val="auto"/>
                <w:sz w:val="24"/>
                <w:szCs w:val="24"/>
              </w:rPr>
              <w:t>的潜在投标人应在</w:t>
            </w:r>
            <w:r>
              <w:rPr>
                <w:rFonts w:hint="eastAsia" w:ascii="宋体" w:hAnsi="宋体" w:eastAsia="宋体" w:cs="宋体"/>
                <w:color w:val="auto"/>
                <w:sz w:val="24"/>
                <w:szCs w:val="24"/>
                <w:u w:val="single"/>
              </w:rPr>
              <w:t>“苏采云”系统内免费下载（投标人必须在苏采云系统中获取采购文件，方能参与政府采购项目）</w:t>
            </w:r>
            <w:r>
              <w:rPr>
                <w:rFonts w:hint="eastAsia" w:ascii="宋体" w:hAnsi="宋体" w:eastAsia="宋体" w:cs="宋体"/>
                <w:color w:val="auto"/>
                <w:sz w:val="24"/>
                <w:szCs w:val="24"/>
              </w:rPr>
              <w:t>获取招标文件，</w:t>
            </w:r>
            <w:r>
              <w:rPr>
                <w:rFonts w:hint="eastAsia" w:ascii="宋体" w:hAnsi="宋体" w:eastAsia="宋体" w:cs="宋体"/>
                <w:color w:val="auto"/>
                <w:sz w:val="24"/>
                <w:szCs w:val="24"/>
                <w:u w:val="single"/>
              </w:rPr>
              <w:t>并于202</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10</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u w:val="single"/>
                <w:lang w:val="en-US" w:eastAsia="zh-CN"/>
              </w:rPr>
              <w:t>09</w:t>
            </w:r>
            <w:r>
              <w:rPr>
                <w:rFonts w:hint="eastAsia" w:ascii="宋体" w:hAnsi="宋体" w:eastAsia="宋体" w:cs="宋体"/>
                <w:color w:val="auto"/>
                <w:sz w:val="24"/>
                <w:szCs w:val="24"/>
                <w:u w:val="single"/>
              </w:rPr>
              <w:t>点00分</w:t>
            </w:r>
            <w:r>
              <w:rPr>
                <w:rFonts w:hint="eastAsia" w:ascii="宋体" w:hAnsi="宋体" w:eastAsia="宋体" w:cs="宋体"/>
                <w:color w:val="auto"/>
                <w:sz w:val="24"/>
                <w:szCs w:val="24"/>
              </w:rPr>
              <w:t>（北京时间）前递交投标文件。</w:t>
            </w:r>
          </w:p>
        </w:tc>
      </w:tr>
    </w:tbl>
    <w:p w14:paraId="50536942">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color w:val="auto"/>
          <w:sz w:val="24"/>
          <w:szCs w:val="24"/>
        </w:rPr>
      </w:pPr>
      <w:bookmarkStart w:id="6" w:name="_Toc38985263"/>
      <w:bookmarkStart w:id="7" w:name="_Toc35393790"/>
      <w:bookmarkStart w:id="8" w:name="_Toc28359079"/>
      <w:bookmarkStart w:id="9" w:name="_Toc35393621"/>
      <w:bookmarkStart w:id="10" w:name="_Toc28359002"/>
      <w:bookmarkStart w:id="11" w:name="_Hlk24379207"/>
      <w:r>
        <w:rPr>
          <w:rFonts w:hint="eastAsia" w:ascii="宋体" w:hAnsi="宋体" w:eastAsia="宋体" w:cs="宋体"/>
          <w:b/>
          <w:color w:val="auto"/>
          <w:sz w:val="24"/>
          <w:szCs w:val="24"/>
        </w:rPr>
        <w:t>一、项目基本情况</w:t>
      </w:r>
      <w:bookmarkEnd w:id="6"/>
      <w:bookmarkEnd w:id="7"/>
      <w:bookmarkEnd w:id="8"/>
      <w:bookmarkEnd w:id="9"/>
      <w:bookmarkEnd w:id="10"/>
      <w:bookmarkEnd w:id="11"/>
    </w:p>
    <w:p w14:paraId="43AFD345">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1.项目编号：</w:t>
      </w:r>
      <w:r>
        <w:rPr>
          <w:rFonts w:hint="eastAsia" w:ascii="宋体" w:hAnsi="宋体" w:eastAsia="宋体" w:cs="宋体"/>
          <w:color w:val="auto"/>
          <w:sz w:val="24"/>
          <w:szCs w:val="24"/>
          <w:lang w:eastAsia="zh-CN"/>
        </w:rPr>
        <w:t>JSZC-320903-YYHH-G2025-0001</w:t>
      </w:r>
    </w:p>
    <w:p w14:paraId="47DF2F00">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2.项目名称：</w:t>
      </w:r>
      <w:r>
        <w:rPr>
          <w:rFonts w:hint="eastAsia" w:ascii="宋体" w:hAnsi="宋体" w:eastAsia="宋体" w:cs="宋体"/>
          <w:color w:val="auto"/>
          <w:sz w:val="24"/>
          <w:szCs w:val="24"/>
          <w:lang w:eastAsia="zh-CN"/>
        </w:rPr>
        <w:t>盐都区高标准农田调查摸底上图入库全过程技术服务项目</w:t>
      </w:r>
    </w:p>
    <w:p w14:paraId="7DAA9ADF">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3.采购方式：公开招标</w:t>
      </w:r>
    </w:p>
    <w:p w14:paraId="2E11B431">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4.预算金额：</w:t>
      </w:r>
      <w:r>
        <w:rPr>
          <w:rFonts w:hint="eastAsia" w:ascii="宋体" w:hAnsi="宋体" w:eastAsia="宋体" w:cs="宋体"/>
          <w:color w:val="auto"/>
          <w:sz w:val="24"/>
          <w:szCs w:val="24"/>
          <w:lang w:val="en-US" w:eastAsia="zh-CN"/>
        </w:rPr>
        <w:t>392</w:t>
      </w:r>
      <w:r>
        <w:rPr>
          <w:rFonts w:hint="eastAsia" w:ascii="宋体" w:hAnsi="宋体" w:eastAsia="宋体" w:cs="宋体"/>
          <w:color w:val="auto"/>
          <w:sz w:val="24"/>
          <w:szCs w:val="24"/>
        </w:rPr>
        <w:t>万元</w:t>
      </w:r>
    </w:p>
    <w:p w14:paraId="19DBE32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5.最高限价：本项目最高限价为</w:t>
      </w:r>
      <w:r>
        <w:rPr>
          <w:rFonts w:hint="eastAsia" w:ascii="宋体" w:hAnsi="宋体" w:eastAsia="宋体" w:cs="宋体"/>
          <w:color w:val="auto"/>
          <w:sz w:val="24"/>
          <w:szCs w:val="24"/>
          <w:lang w:val="en-US" w:eastAsia="zh-CN"/>
        </w:rPr>
        <w:t>392</w:t>
      </w:r>
      <w:r>
        <w:rPr>
          <w:rFonts w:hint="eastAsia" w:ascii="宋体" w:hAnsi="宋体" w:eastAsia="宋体" w:cs="宋体"/>
          <w:color w:val="auto"/>
          <w:sz w:val="24"/>
          <w:szCs w:val="24"/>
        </w:rPr>
        <w:t>万元</w:t>
      </w:r>
      <w:r>
        <w:rPr>
          <w:rFonts w:hint="eastAsia" w:ascii="宋体" w:hAnsi="宋体" w:eastAsia="宋体" w:cs="宋体"/>
          <w:color w:val="auto"/>
          <w:sz w:val="24"/>
          <w:szCs w:val="24"/>
          <w:lang w:eastAsia="zh-CN"/>
        </w:rPr>
        <w:t>，投标报价超过最高限价均为无效报价，按照无效处理</w:t>
      </w:r>
      <w:r>
        <w:rPr>
          <w:rFonts w:hint="eastAsia" w:ascii="宋体" w:hAnsi="宋体" w:eastAsia="宋体" w:cs="宋体"/>
          <w:color w:val="auto"/>
          <w:sz w:val="24"/>
          <w:szCs w:val="24"/>
        </w:rPr>
        <w:t>；</w:t>
      </w:r>
    </w:p>
    <w:p w14:paraId="766481B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6.采购需求：盐都区高标准农田调查摸底上图入库全过程技术服务项目</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具体内容详见第四章采购需求。</w:t>
      </w:r>
    </w:p>
    <w:p w14:paraId="5BD07B1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7.服务期：</w:t>
      </w:r>
      <w:r>
        <w:rPr>
          <w:rFonts w:hint="eastAsia" w:ascii="宋体" w:hAnsi="宋体" w:eastAsia="宋体" w:cs="宋体"/>
          <w:color w:val="auto"/>
          <w:sz w:val="24"/>
          <w:szCs w:val="24"/>
          <w:lang w:val="zh-CN"/>
        </w:rPr>
        <w:t>自合同签订之日起，2025年12月底前配合完成项目验收等后续工作。（具体结束时间以省厅部署为准）</w:t>
      </w:r>
      <w:r>
        <w:rPr>
          <w:rFonts w:hint="eastAsia" w:ascii="宋体" w:hAnsi="宋体" w:eastAsia="宋体" w:cs="宋体"/>
          <w:color w:val="auto"/>
          <w:sz w:val="24"/>
          <w:szCs w:val="24"/>
        </w:rPr>
        <w:t>。</w:t>
      </w:r>
    </w:p>
    <w:p w14:paraId="4AC4567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8.本项目不接受联合体投标。</w:t>
      </w:r>
    </w:p>
    <w:p w14:paraId="29AC9CF2">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color w:val="auto"/>
          <w:sz w:val="24"/>
          <w:szCs w:val="24"/>
        </w:rPr>
      </w:pPr>
      <w:bookmarkStart w:id="12" w:name="_Toc28359003"/>
      <w:bookmarkStart w:id="13" w:name="_Toc35393791"/>
      <w:bookmarkStart w:id="14" w:name="_Toc28359080"/>
      <w:bookmarkStart w:id="15" w:name="_Toc35393622"/>
      <w:bookmarkStart w:id="16" w:name="_Toc38985264"/>
      <w:r>
        <w:rPr>
          <w:rFonts w:hint="eastAsia" w:ascii="宋体" w:hAnsi="宋体" w:eastAsia="宋体" w:cs="宋体"/>
          <w:b/>
          <w:color w:val="auto"/>
          <w:sz w:val="24"/>
          <w:szCs w:val="24"/>
        </w:rPr>
        <w:t>二、申请人的资格要求</w:t>
      </w:r>
      <w:bookmarkEnd w:id="12"/>
      <w:bookmarkEnd w:id="13"/>
      <w:bookmarkEnd w:id="14"/>
      <w:bookmarkEnd w:id="15"/>
      <w:bookmarkEnd w:id="16"/>
    </w:p>
    <w:p w14:paraId="2E97B470">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1.满足《中华人民共和国政府采购法》第二十二条规定，并提供下列材料：</w:t>
      </w:r>
    </w:p>
    <w:p w14:paraId="607FFB58">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1.1法人或者其他组织的营业执照等证明文件，自然人的身份证明；</w:t>
      </w:r>
    </w:p>
    <w:p w14:paraId="3656B8BD">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1.2上一年度的财务报表（成立不满一年无需提供）；</w:t>
      </w:r>
    </w:p>
    <w:p w14:paraId="7AAE5B29">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1.3具备履行合同所必需的设备和专业技术能力的书面声明；</w:t>
      </w:r>
    </w:p>
    <w:p w14:paraId="4BC934D2">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38F2B666">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1.5参加政府采购活动前3年内在经营活动中没有重大违法记录的书面声明。</w:t>
      </w:r>
    </w:p>
    <w:p w14:paraId="59E18181">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1.6法律、行政法规规定的其他条件。</w:t>
      </w:r>
    </w:p>
    <w:p w14:paraId="1119811E">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DBC808C">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1.8单位负责人为同一人或者存在直接控股、管理关系的不同供应商，不得参加同一合同项下的政府采购活动。</w:t>
      </w:r>
    </w:p>
    <w:p w14:paraId="3142C060">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r>
        <w:rPr>
          <w:rFonts w:hint="eastAsia" w:ascii="宋体" w:hAnsi="宋体" w:eastAsia="宋体" w:cs="宋体"/>
          <w:b/>
          <w:bCs/>
          <w:color w:val="auto"/>
          <w:sz w:val="24"/>
          <w:szCs w:val="24"/>
        </w:rPr>
        <w:t>本项目非专门面向中小企业采购，执行价格扣除优惠政策，对小微企业报价给20%的扣除(残疾人福利性单位、监狱企业视同小型、微型企业)。采购标的所属行业为其他未列明行业，投标人需按照采购文件的要求提供相应的《企业声明函》。企业标准请参照《关于印发中小企业划型标准规定的通知》（工信部联企业[2011]300号）文件规定自行填写。</w:t>
      </w:r>
    </w:p>
    <w:p w14:paraId="65181F7C">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3.本项目的特定资格要求：投标人须具有</w:t>
      </w:r>
      <w:r>
        <w:rPr>
          <w:rFonts w:hint="eastAsia" w:ascii="宋体" w:hAnsi="宋体" w:eastAsia="宋体" w:cs="宋体"/>
          <w:color w:val="auto"/>
          <w:sz w:val="24"/>
          <w:szCs w:val="24"/>
          <w:lang w:val="en-US" w:eastAsia="zh-CN"/>
        </w:rPr>
        <w:t>行政主管部门颁发的</w:t>
      </w:r>
      <w:r>
        <w:rPr>
          <w:rFonts w:hint="eastAsia" w:ascii="宋体" w:hAnsi="宋体" w:eastAsia="宋体" w:cs="宋体"/>
          <w:color w:val="auto"/>
          <w:sz w:val="24"/>
          <w:szCs w:val="24"/>
        </w:rPr>
        <w:t>测绘类</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级</w:t>
      </w:r>
      <w:r>
        <w:rPr>
          <w:rFonts w:hint="eastAsia" w:ascii="宋体" w:hAnsi="宋体" w:eastAsia="宋体" w:cs="宋体"/>
          <w:color w:val="auto"/>
          <w:sz w:val="24"/>
          <w:szCs w:val="24"/>
          <w:lang w:val="en-US" w:eastAsia="zh-CN"/>
        </w:rPr>
        <w:t>及以上</w:t>
      </w:r>
      <w:r>
        <w:rPr>
          <w:rFonts w:hint="eastAsia" w:ascii="宋体" w:hAnsi="宋体" w:eastAsia="宋体" w:cs="宋体"/>
          <w:color w:val="auto"/>
          <w:sz w:val="24"/>
          <w:szCs w:val="24"/>
        </w:rPr>
        <w:t>资质（含地理信息系统和工程测量）</w:t>
      </w:r>
      <w:r>
        <w:rPr>
          <w:rFonts w:hint="eastAsia" w:ascii="宋体" w:hAnsi="宋体" w:eastAsia="宋体" w:cs="宋体"/>
          <w:color w:val="auto"/>
          <w:sz w:val="24"/>
          <w:szCs w:val="24"/>
          <w:lang w:val="en-US" w:eastAsia="zh-CN"/>
        </w:rPr>
        <w:t>证书</w:t>
      </w:r>
      <w:r>
        <w:rPr>
          <w:rFonts w:hint="eastAsia" w:ascii="宋体" w:hAnsi="宋体" w:eastAsia="宋体" w:cs="宋体"/>
          <w:color w:val="auto"/>
          <w:sz w:val="24"/>
          <w:szCs w:val="24"/>
        </w:rPr>
        <w:t>。</w:t>
      </w:r>
    </w:p>
    <w:p w14:paraId="4C2E5A13">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三、获取招标文件</w:t>
      </w:r>
    </w:p>
    <w:p w14:paraId="45CEC132">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时间：自招标文件公告发布之日起5个工作日 </w:t>
      </w:r>
    </w:p>
    <w:p w14:paraId="0061C809">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地点：“苏采云”系统内免费下载（投标人必须在苏采云系统中获取采购文件，方能参与政府采购项目） </w:t>
      </w:r>
    </w:p>
    <w:p w14:paraId="6380B43D">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方式：本项目采用网上注册登记方式。 3.1 潜在供应商访问电子招标响应交易平台的网络地址和方法： “苏采云”系统用户注册--获取“CA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3.2 潜在投标人访问“苏采云”系统方法：江苏省政府采购网首页-“苏采云”链接。 3.3 采购文件（后缀名为“.kedt”）、供应商操作手册及政府采购客户端 工具可通过“苏采云”系统相应链接进行下载。 3.4 采购代理机构将数据电文形式的采购文件加载至“苏采云”系统，供潜在供应商下载或者查阅。 3.5 请潜在投标单位提前安装相应的控件（详见《“苏采云”系统供应商操作手册》）并使用谷歌浏览器登录“苏采云”系统参与不见面开评标。 如潜在投标人未按上述要求操作，将自行承担所产生的风险。 </w:t>
      </w:r>
    </w:p>
    <w:p w14:paraId="63FB6C8A">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 </w:t>
      </w:r>
    </w:p>
    <w:p w14:paraId="4BEBFAF3">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四、提交投标文件截止时间、开标时间和地点</w:t>
      </w:r>
    </w:p>
    <w:p w14:paraId="1355ECC2">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1.时间：</w:t>
      </w:r>
      <w:r>
        <w:rPr>
          <w:rFonts w:hint="eastAsia" w:ascii="宋体" w:hAnsi="宋体" w:eastAsia="宋体" w:cs="宋体"/>
          <w:color w:val="auto"/>
          <w:sz w:val="24"/>
          <w:szCs w:val="24"/>
          <w:u w:val="single"/>
        </w:rPr>
        <w:t>202</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10</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u w:val="single"/>
          <w:lang w:val="en-US" w:eastAsia="zh-CN"/>
        </w:rPr>
        <w:t>09</w:t>
      </w:r>
      <w:r>
        <w:rPr>
          <w:rFonts w:hint="eastAsia" w:ascii="宋体" w:hAnsi="宋体" w:eastAsia="宋体" w:cs="宋体"/>
          <w:color w:val="auto"/>
          <w:sz w:val="24"/>
          <w:szCs w:val="24"/>
          <w:u w:val="single"/>
        </w:rPr>
        <w:t>点</w:t>
      </w:r>
      <w:r>
        <w:rPr>
          <w:rFonts w:hint="eastAsia" w:ascii="宋体" w:hAnsi="宋体" w:eastAsia="宋体" w:cs="宋体"/>
          <w:color w:val="auto"/>
          <w:sz w:val="24"/>
          <w:szCs w:val="24"/>
          <w:u w:val="single"/>
          <w:lang w:val="en-US" w:eastAsia="zh-CN"/>
        </w:rPr>
        <w:t>00</w:t>
      </w:r>
      <w:r>
        <w:rPr>
          <w:rFonts w:hint="eastAsia" w:ascii="宋体" w:hAnsi="宋体" w:eastAsia="宋体" w:cs="宋体"/>
          <w:color w:val="auto"/>
          <w:sz w:val="24"/>
          <w:szCs w:val="24"/>
          <w:u w:val="single"/>
        </w:rPr>
        <w:t>分</w:t>
      </w:r>
      <w:r>
        <w:rPr>
          <w:rFonts w:hint="eastAsia" w:ascii="宋体" w:hAnsi="宋体" w:eastAsia="宋体" w:cs="宋体"/>
          <w:color w:val="auto"/>
          <w:sz w:val="24"/>
          <w:szCs w:val="24"/>
        </w:rPr>
        <w:t>（北京时间）</w:t>
      </w:r>
    </w:p>
    <w:p w14:paraId="15294C04">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2.地点：“苏采云”政府采购交易系统网上开标大厅</w:t>
      </w:r>
    </w:p>
    <w:p w14:paraId="483FB3E7">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color w:val="auto"/>
          <w:sz w:val="24"/>
          <w:szCs w:val="24"/>
        </w:rPr>
      </w:pPr>
      <w:bookmarkStart w:id="17" w:name="_Toc28359007"/>
      <w:bookmarkStart w:id="18" w:name="_Toc35393794"/>
      <w:bookmarkStart w:id="19" w:name="_Toc38985267"/>
      <w:bookmarkStart w:id="20" w:name="_Toc35393625"/>
      <w:bookmarkStart w:id="21" w:name="_Toc28359084"/>
      <w:r>
        <w:rPr>
          <w:rFonts w:hint="eastAsia" w:ascii="宋体" w:hAnsi="宋体" w:eastAsia="宋体" w:cs="宋体"/>
          <w:b/>
          <w:color w:val="auto"/>
          <w:sz w:val="24"/>
          <w:szCs w:val="24"/>
        </w:rPr>
        <w:t>五、公告期限</w:t>
      </w:r>
      <w:bookmarkEnd w:id="17"/>
      <w:bookmarkEnd w:id="18"/>
      <w:bookmarkEnd w:id="19"/>
      <w:bookmarkEnd w:id="20"/>
      <w:bookmarkEnd w:id="21"/>
    </w:p>
    <w:p w14:paraId="41433BEA">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bookmarkStart w:id="22" w:name="_Toc35393626"/>
      <w:bookmarkStart w:id="23" w:name="_Toc35393795"/>
      <w:bookmarkStart w:id="24" w:name="_Toc38985268"/>
      <w:r>
        <w:rPr>
          <w:rFonts w:hint="eastAsia" w:ascii="宋体" w:hAnsi="宋体" w:eastAsia="宋体" w:cs="宋体"/>
          <w:color w:val="auto"/>
          <w:sz w:val="24"/>
          <w:szCs w:val="24"/>
        </w:rPr>
        <w:t>自本公告发布之日起5个工作日</w:t>
      </w:r>
      <w:bookmarkEnd w:id="22"/>
      <w:bookmarkEnd w:id="23"/>
      <w:bookmarkEnd w:id="24"/>
      <w:r>
        <w:rPr>
          <w:rFonts w:hint="eastAsia" w:ascii="宋体" w:hAnsi="宋体" w:eastAsia="宋体" w:cs="宋体"/>
          <w:color w:val="auto"/>
          <w:sz w:val="24"/>
          <w:szCs w:val="24"/>
        </w:rPr>
        <w:t>。</w:t>
      </w:r>
    </w:p>
    <w:p w14:paraId="05B937BF">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六、其他补充事宜</w:t>
      </w:r>
    </w:p>
    <w:p w14:paraId="3A7FB440">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bookmarkStart w:id="25" w:name="_Toc28359018"/>
      <w:r>
        <w:rPr>
          <w:rFonts w:hint="eastAsia" w:ascii="宋体" w:hAnsi="宋体" w:eastAsia="宋体" w:cs="宋体"/>
          <w:color w:val="auto"/>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8F14BE5">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DEEDF5F">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2.有关本次招标的事项若存在变动或修改，敬请及时关注盐城市政府采购中心在“中国政府采购网”、“江苏政府采购网”、“盐城市政府采购网”发布的更正公告。</w:t>
      </w:r>
    </w:p>
    <w:p w14:paraId="48BBE389">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3.本次招标不收取投标保证金，不收取质量保证金。</w:t>
      </w:r>
    </w:p>
    <w:p w14:paraId="4F7DF618">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4.电子投标文件一份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通过系统提交</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；纸质投标文件正本一份，副本四份（评审结束后由中标候选人提供，未中标单位不需要提供）。</w:t>
      </w:r>
    </w:p>
    <w:p w14:paraId="00114988">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七、对本次招标提出询问，请按以下方式联系</w:t>
      </w:r>
      <w:bookmarkEnd w:id="25"/>
    </w:p>
    <w:p w14:paraId="6F87DD12">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bookmarkStart w:id="26" w:name="_Toc28359009"/>
      <w:r>
        <w:rPr>
          <w:rFonts w:hint="eastAsia" w:ascii="宋体" w:hAnsi="宋体" w:eastAsia="宋体" w:cs="宋体"/>
          <w:color w:val="auto"/>
          <w:sz w:val="24"/>
          <w:szCs w:val="24"/>
        </w:rPr>
        <w:t>1.采购人信息</w:t>
      </w:r>
    </w:p>
    <w:p w14:paraId="0D00B657">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单位名称：盐城市</w:t>
      </w:r>
      <w:r>
        <w:rPr>
          <w:rFonts w:hint="eastAsia" w:ascii="宋体" w:hAnsi="宋体" w:eastAsia="宋体" w:cs="宋体"/>
          <w:color w:val="auto"/>
          <w:sz w:val="24"/>
          <w:szCs w:val="24"/>
          <w:lang w:val="en-US" w:eastAsia="zh-CN"/>
        </w:rPr>
        <w:t>盐都区</w:t>
      </w:r>
      <w:r>
        <w:rPr>
          <w:rFonts w:hint="eastAsia" w:ascii="宋体" w:hAnsi="宋体" w:eastAsia="宋体" w:cs="宋体"/>
          <w:color w:val="auto"/>
          <w:sz w:val="24"/>
          <w:szCs w:val="24"/>
        </w:rPr>
        <w:t>农业农村局</w:t>
      </w:r>
    </w:p>
    <w:p w14:paraId="29026209">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单位地址：</w:t>
      </w:r>
      <w:r>
        <w:rPr>
          <w:rFonts w:hint="eastAsia" w:ascii="宋体" w:hAnsi="宋体" w:eastAsia="宋体" w:cs="宋体"/>
          <w:color w:val="auto"/>
          <w:sz w:val="24"/>
          <w:szCs w:val="24"/>
          <w:lang w:eastAsia="zh-CN"/>
        </w:rPr>
        <w:t>盐都区盐龙街道鹿鸣路、益民路路口，市中小文化企业产业园B1楼</w:t>
      </w:r>
    </w:p>
    <w:p w14:paraId="0685F410">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联系人：梁女士</w:t>
      </w:r>
    </w:p>
    <w:p w14:paraId="4922D6FB">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联系方式：0515-69669767          </w:t>
      </w:r>
    </w:p>
    <w:p w14:paraId="2D2F46BC">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6076D79A">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lang w:eastAsia="zh-CN"/>
        </w:rPr>
        <w:t>江苏永和工程管理咨询有限公司</w:t>
      </w:r>
    </w:p>
    <w:p w14:paraId="70FD03B5">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单位地址：</w:t>
      </w:r>
      <w:r>
        <w:rPr>
          <w:rFonts w:hint="eastAsia" w:ascii="宋体" w:hAnsi="宋体" w:eastAsia="宋体" w:cs="宋体"/>
          <w:color w:val="auto"/>
          <w:sz w:val="24"/>
          <w:szCs w:val="24"/>
          <w:lang w:eastAsia="zh-CN"/>
        </w:rPr>
        <w:t>盐城市盐都区世纪大道中远世纪广场C幢东单元3楼301</w:t>
      </w:r>
    </w:p>
    <w:p w14:paraId="68AAE777">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bookmarkStart w:id="27" w:name="_Toc28359010"/>
      <w:bookmarkStart w:id="28" w:name="_Toc28359087"/>
      <w:r>
        <w:rPr>
          <w:rFonts w:hint="eastAsia" w:ascii="宋体" w:hAnsi="宋体" w:eastAsia="宋体" w:cs="宋体"/>
          <w:color w:val="auto"/>
          <w:sz w:val="24"/>
          <w:szCs w:val="24"/>
        </w:rPr>
        <w:t>联 系 人：</w:t>
      </w:r>
      <w:r>
        <w:rPr>
          <w:rFonts w:hint="eastAsia" w:ascii="宋体" w:hAnsi="宋体" w:eastAsia="宋体" w:cs="宋体"/>
          <w:color w:val="auto"/>
          <w:sz w:val="24"/>
          <w:szCs w:val="24"/>
          <w:lang w:val="en-US" w:eastAsia="zh-CN"/>
        </w:rPr>
        <w:t>王女士</w:t>
      </w:r>
      <w:r>
        <w:rPr>
          <w:rFonts w:hint="eastAsia" w:ascii="宋体" w:hAnsi="宋体" w:eastAsia="宋体" w:cs="宋体"/>
          <w:color w:val="auto"/>
          <w:sz w:val="24"/>
          <w:szCs w:val="24"/>
        </w:rPr>
        <w:t xml:space="preserve"> </w:t>
      </w:r>
      <w:bookmarkStart w:id="205" w:name="_GoBack"/>
      <w:bookmarkEnd w:id="205"/>
    </w:p>
    <w:p w14:paraId="63B36FCD">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lang w:eastAsia="zh-CN"/>
        </w:rPr>
        <w:t>18662029242</w:t>
      </w:r>
      <w:r>
        <w:rPr>
          <w:rFonts w:hint="eastAsia" w:ascii="宋体" w:hAnsi="宋体" w:eastAsia="宋体" w:cs="宋体"/>
          <w:color w:val="auto"/>
          <w:sz w:val="24"/>
          <w:szCs w:val="24"/>
        </w:rPr>
        <w:t>    </w:t>
      </w:r>
      <w:bookmarkEnd w:id="27"/>
      <w:bookmarkEnd w:id="28"/>
    </w:p>
    <w:p w14:paraId="58724743">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bookmarkStart w:id="29" w:name="_Toc28359021"/>
      <w:r>
        <w:rPr>
          <w:rFonts w:hint="eastAsia" w:ascii="宋体" w:hAnsi="宋体" w:eastAsia="宋体" w:cs="宋体"/>
          <w:color w:val="auto"/>
          <w:sz w:val="24"/>
          <w:szCs w:val="24"/>
        </w:rPr>
        <w:t>3.</w:t>
      </w:r>
      <w:bookmarkEnd w:id="29"/>
      <w:r>
        <w:rPr>
          <w:rFonts w:hint="eastAsia" w:ascii="宋体" w:hAnsi="宋体" w:eastAsia="宋体" w:cs="宋体"/>
          <w:color w:val="auto"/>
          <w:sz w:val="24"/>
          <w:szCs w:val="24"/>
        </w:rPr>
        <w:t>项目联系方式</w:t>
      </w:r>
    </w:p>
    <w:p w14:paraId="52FD3418">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项目联系人：梁女士</w:t>
      </w:r>
    </w:p>
    <w:p w14:paraId="4520CB03">
      <w:pPr>
        <w:pStyle w:val="39"/>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rPr>
        <w:t>联系电话：0515-69669767  </w:t>
      </w:r>
      <w:r>
        <w:rPr>
          <w:rFonts w:hint="eastAsia" w:ascii="宋体" w:hAnsi="宋体" w:eastAsia="宋体" w:cs="宋体"/>
          <w:color w:val="auto"/>
          <w:sz w:val="24"/>
          <w:szCs w:val="24"/>
          <w:shd w:val="clear" w:color="auto" w:fill="FFFFFF"/>
        </w:rPr>
        <w:t>　　　　　　　　</w:t>
      </w:r>
    </w:p>
    <w:p w14:paraId="09A4F45F">
      <w:pPr>
        <w:rPr>
          <w:rFonts w:hint="eastAsia" w:ascii="宋体" w:hAnsi="宋体" w:eastAsia="宋体" w:cs="宋体"/>
          <w:color w:val="auto"/>
        </w:rPr>
      </w:pPr>
      <w:r>
        <w:rPr>
          <w:rFonts w:hint="eastAsia" w:ascii="宋体" w:hAnsi="宋体" w:eastAsia="宋体" w:cs="宋体"/>
          <w:color w:val="auto"/>
        </w:rPr>
        <w:t> </w:t>
      </w:r>
    </w:p>
    <w:p w14:paraId="27A1116F">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jc w:val="center"/>
        <w:textAlignment w:val="auto"/>
        <w:outlineLvl w:val="0"/>
        <w:rPr>
          <w:rFonts w:hint="eastAsia" w:ascii="宋体" w:hAnsi="宋体" w:eastAsia="宋体" w:cs="宋体"/>
          <w:color w:val="auto"/>
          <w:sz w:val="24"/>
          <w:szCs w:val="24"/>
        </w:rPr>
      </w:pPr>
      <w:r>
        <w:rPr>
          <w:rFonts w:hint="eastAsia" w:ascii="宋体" w:hAnsi="宋体" w:eastAsia="宋体" w:cs="宋体"/>
          <w:color w:val="auto"/>
        </w:rPr>
        <w:br w:type="page" w:clear="all"/>
      </w:r>
      <w:bookmarkStart w:id="30" w:name="_Toc120614211"/>
      <w:r>
        <w:rPr>
          <w:rFonts w:hint="eastAsia" w:ascii="宋体" w:hAnsi="宋体" w:eastAsia="宋体" w:cs="宋体"/>
          <w:b/>
          <w:bCs/>
          <w:color w:val="auto"/>
          <w:sz w:val="24"/>
          <w:szCs w:val="24"/>
        </w:rPr>
        <w:t xml:space="preserve">第二章  </w:t>
      </w:r>
      <w:bookmarkEnd w:id="30"/>
      <w:bookmarkStart w:id="31" w:name="_Toc16938518"/>
      <w:bookmarkStart w:id="32" w:name="_Toc20823274"/>
      <w:bookmarkStart w:id="33" w:name="_Toc120614213"/>
      <w:bookmarkStart w:id="34" w:name="_Toc513029202"/>
      <w:r>
        <w:rPr>
          <w:rFonts w:hint="eastAsia" w:ascii="宋体" w:hAnsi="宋体" w:eastAsia="宋体" w:cs="宋体"/>
          <w:b/>
          <w:bCs/>
          <w:color w:val="auto"/>
          <w:sz w:val="24"/>
          <w:szCs w:val="24"/>
        </w:rPr>
        <w:t>投标人须知</w:t>
      </w:r>
      <w:bookmarkEnd w:id="31"/>
      <w:bookmarkEnd w:id="32"/>
      <w:bookmarkEnd w:id="33"/>
      <w:bookmarkEnd w:id="34"/>
    </w:p>
    <w:p w14:paraId="4194E6CB">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color w:val="auto"/>
          <w:sz w:val="24"/>
          <w:szCs w:val="24"/>
        </w:rPr>
      </w:pPr>
      <w:bookmarkStart w:id="35" w:name="_Toc16938519"/>
      <w:bookmarkStart w:id="36" w:name="_Toc513029203"/>
      <w:bookmarkStart w:id="37" w:name="_Toc120614214"/>
      <w:bookmarkStart w:id="38" w:name="_Toc20823275"/>
      <w:r>
        <w:rPr>
          <w:rFonts w:hint="eastAsia" w:ascii="宋体" w:hAnsi="宋体" w:eastAsia="宋体" w:cs="宋体"/>
          <w:b/>
          <w:color w:val="auto"/>
          <w:sz w:val="24"/>
          <w:szCs w:val="24"/>
        </w:rPr>
        <w:t>一、总则</w:t>
      </w:r>
      <w:bookmarkEnd w:id="35"/>
      <w:bookmarkEnd w:id="36"/>
      <w:bookmarkEnd w:id="37"/>
      <w:bookmarkEnd w:id="38"/>
    </w:p>
    <w:p w14:paraId="6383EFE7">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39" w:name="_Toc16938520"/>
      <w:bookmarkStart w:id="40" w:name="_Toc458694821"/>
      <w:bookmarkStart w:id="41" w:name="_Toc20823276"/>
      <w:bookmarkStart w:id="42" w:name="_Toc513029204"/>
      <w:bookmarkStart w:id="43" w:name="_Hlt16619475"/>
      <w:r>
        <w:rPr>
          <w:rFonts w:hint="eastAsia" w:ascii="宋体" w:hAnsi="宋体" w:eastAsia="宋体" w:cs="宋体"/>
          <w:color w:val="auto"/>
          <w:sz w:val="24"/>
          <w:szCs w:val="24"/>
        </w:rPr>
        <w:t>1</w:t>
      </w:r>
      <w:bookmarkEnd w:id="39"/>
      <w:r>
        <w:rPr>
          <w:rFonts w:hint="eastAsia" w:ascii="宋体" w:hAnsi="宋体" w:eastAsia="宋体" w:cs="宋体"/>
          <w:color w:val="auto"/>
          <w:sz w:val="24"/>
          <w:szCs w:val="24"/>
        </w:rPr>
        <w:t>、招标方式</w:t>
      </w:r>
      <w:bookmarkEnd w:id="40"/>
      <w:bookmarkEnd w:id="41"/>
      <w:bookmarkEnd w:id="42"/>
    </w:p>
    <w:p w14:paraId="10DEB40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1.1本次招标采取公开招标方式，本招标文件仅适用于招标公告中所述项目。</w:t>
      </w:r>
    </w:p>
    <w:p w14:paraId="0EDA713C">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44" w:name="_Toc513029205"/>
      <w:bookmarkStart w:id="45" w:name="_Toc20823277"/>
      <w:bookmarkStart w:id="46" w:name="_Toc16938521"/>
      <w:r>
        <w:rPr>
          <w:rFonts w:hint="eastAsia" w:ascii="宋体" w:hAnsi="宋体" w:eastAsia="宋体" w:cs="宋体"/>
          <w:color w:val="auto"/>
          <w:sz w:val="24"/>
          <w:szCs w:val="24"/>
        </w:rPr>
        <w:t>2、合格的投标人</w:t>
      </w:r>
      <w:bookmarkEnd w:id="44"/>
      <w:bookmarkEnd w:id="45"/>
      <w:bookmarkEnd w:id="46"/>
    </w:p>
    <w:p w14:paraId="69693EE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2.1满足招标公告中供应商的资格要求的规定。</w:t>
      </w:r>
    </w:p>
    <w:p w14:paraId="5C4906A1">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2.2满足本文件实质性要求和条件的规定。</w:t>
      </w:r>
    </w:p>
    <w:p w14:paraId="360BBEDC">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47" w:name="_Toc20823278"/>
      <w:bookmarkStart w:id="48" w:name="_Toc513029206"/>
      <w:bookmarkStart w:id="49" w:name="_Toc16938522"/>
      <w:r>
        <w:rPr>
          <w:rFonts w:hint="eastAsia" w:ascii="宋体" w:hAnsi="宋体" w:eastAsia="宋体" w:cs="宋体"/>
          <w:color w:val="auto"/>
          <w:sz w:val="24"/>
          <w:szCs w:val="24"/>
        </w:rPr>
        <w:t>3、适用法律</w:t>
      </w:r>
      <w:bookmarkEnd w:id="47"/>
      <w:bookmarkEnd w:id="48"/>
      <w:bookmarkEnd w:id="49"/>
    </w:p>
    <w:p w14:paraId="01C4838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3.1本次招标及由此产生的合同受中华人民共和国有关的法律法规制约和保护。</w:t>
      </w:r>
    </w:p>
    <w:p w14:paraId="2BFCDD3A">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50" w:name="_Toc513029207"/>
      <w:bookmarkStart w:id="51" w:name="_Toc20823279"/>
      <w:bookmarkStart w:id="52" w:name="_Toc16938523"/>
      <w:bookmarkStart w:id="53" w:name="_Toc462564067"/>
      <w:r>
        <w:rPr>
          <w:rFonts w:hint="eastAsia" w:ascii="宋体" w:hAnsi="宋体" w:eastAsia="宋体" w:cs="宋体"/>
          <w:color w:val="auto"/>
          <w:sz w:val="24"/>
          <w:szCs w:val="24"/>
        </w:rPr>
        <w:t>4、投标费用</w:t>
      </w:r>
      <w:bookmarkEnd w:id="50"/>
      <w:bookmarkEnd w:id="51"/>
      <w:bookmarkEnd w:id="52"/>
      <w:bookmarkEnd w:id="53"/>
    </w:p>
    <w:p w14:paraId="46F4284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 投标人应自行承担所有与参加投标有关的费用，无论投标过程中的做法和结果如何，采购人和代理机构在任何情况下均无义务和责任承担这些费用。</w:t>
      </w:r>
    </w:p>
    <w:p w14:paraId="1C40152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w:t>
      </w:r>
      <w:r>
        <w:rPr>
          <w:rFonts w:hint="eastAsia" w:ascii="宋体" w:hAnsi="宋体" w:eastAsia="宋体" w:cs="宋体"/>
          <w:color w:val="auto"/>
          <w:sz w:val="24"/>
          <w:szCs w:val="24"/>
        </w:rPr>
        <w:t>本项目的招标代理服务费由中标人承担，根据项目中标金额按《关于印发江苏省招标代理服务收费的指导意见的通知》（苏招协（2022）002号）的服务类取费方式*</w:t>
      </w:r>
      <w:r>
        <w:rPr>
          <w:rFonts w:hint="eastAsia" w:ascii="宋体" w:hAnsi="宋体" w:eastAsia="宋体" w:cs="宋体"/>
          <w:color w:val="auto"/>
          <w:sz w:val="24"/>
          <w:szCs w:val="24"/>
          <w:u w:val="single"/>
          <w:lang w:val="en-US" w:eastAsia="zh-CN"/>
        </w:rPr>
        <w:t xml:space="preserve"> 80</w:t>
      </w:r>
      <w:r>
        <w:rPr>
          <w:rFonts w:hint="eastAsia" w:ascii="宋体" w:hAnsi="宋体" w:eastAsia="宋体" w:cs="宋体"/>
          <w:color w:val="auto"/>
          <w:sz w:val="24"/>
          <w:szCs w:val="24"/>
        </w:rPr>
        <w:t>%计取。投标人在投标时应将此费用自行考虑在投标报价中，不单列，中标后由中标单位在领取中标通知书之前直接向代理机构一次性付清</w:t>
      </w:r>
      <w:r>
        <w:rPr>
          <w:rFonts w:hint="eastAsia" w:ascii="宋体" w:hAnsi="宋体" w:eastAsia="宋体" w:cs="宋体"/>
          <w:color w:val="auto"/>
          <w:sz w:val="24"/>
          <w:szCs w:val="24"/>
        </w:rPr>
        <w:t>。</w:t>
      </w:r>
    </w:p>
    <w:p w14:paraId="679C4537">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5、招标文件的约束力</w:t>
      </w:r>
    </w:p>
    <w:p w14:paraId="7CC289C3">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5.1投标人一旦参加本项目采购活动，即被认为接受了本招标文件的规定和约束。</w:t>
      </w:r>
    </w:p>
    <w:p w14:paraId="602D7ABE">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color w:val="auto"/>
          <w:sz w:val="24"/>
          <w:szCs w:val="24"/>
        </w:rPr>
      </w:pPr>
      <w:bookmarkStart w:id="54" w:name="_Toc16938525"/>
      <w:bookmarkStart w:id="55" w:name="_Toc20823281"/>
      <w:bookmarkStart w:id="56" w:name="_Toc513029209"/>
      <w:bookmarkStart w:id="57" w:name="_Toc120614215"/>
      <w:r>
        <w:rPr>
          <w:rFonts w:hint="eastAsia" w:ascii="宋体" w:hAnsi="宋体" w:eastAsia="宋体" w:cs="宋体"/>
          <w:b/>
          <w:color w:val="auto"/>
          <w:sz w:val="24"/>
          <w:szCs w:val="24"/>
        </w:rPr>
        <w:t>二、招标文件</w:t>
      </w:r>
      <w:bookmarkEnd w:id="54"/>
      <w:bookmarkEnd w:id="55"/>
      <w:bookmarkEnd w:id="56"/>
      <w:bookmarkEnd w:id="57"/>
    </w:p>
    <w:p w14:paraId="35E3751A">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58" w:name="_Toc513029210"/>
      <w:bookmarkStart w:id="59" w:name="_Toc20823282"/>
      <w:bookmarkStart w:id="60" w:name="_Toc16938526"/>
      <w:r>
        <w:rPr>
          <w:rFonts w:hint="eastAsia" w:ascii="宋体" w:hAnsi="宋体" w:eastAsia="宋体" w:cs="宋体"/>
          <w:color w:val="auto"/>
          <w:sz w:val="24"/>
          <w:szCs w:val="24"/>
        </w:rPr>
        <w:t>6、招标文件构成</w:t>
      </w:r>
      <w:bookmarkEnd w:id="58"/>
      <w:bookmarkEnd w:id="59"/>
      <w:bookmarkEnd w:id="60"/>
    </w:p>
    <w:p w14:paraId="06FDD1BF">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 招标文件由以下部分组成：</w:t>
      </w:r>
    </w:p>
    <w:p w14:paraId="320BE483">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（1）招标公告</w:t>
      </w:r>
    </w:p>
    <w:p w14:paraId="714B6693">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（2）投标人须知</w:t>
      </w:r>
    </w:p>
    <w:p w14:paraId="6D6219B3">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（3）合同条款及格式</w:t>
      </w:r>
    </w:p>
    <w:p w14:paraId="2AB33A1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（4）采购需求</w:t>
      </w:r>
    </w:p>
    <w:p w14:paraId="7C50C166">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（5）评标方法与评标标准</w:t>
      </w:r>
    </w:p>
    <w:p w14:paraId="6C5EF541">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（6）投标文件格式</w:t>
      </w:r>
    </w:p>
    <w:p w14:paraId="750B755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请仔细检查招标文件是否齐全，如有缺漏请立即与招标代理机构联系解决。</w:t>
      </w:r>
    </w:p>
    <w:p w14:paraId="1763578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88F6D0E">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61" w:name="_Toc20823283"/>
      <w:bookmarkStart w:id="62" w:name="_Toc462564070"/>
      <w:bookmarkStart w:id="63" w:name="_Toc16938527"/>
      <w:bookmarkStart w:id="64" w:name="_Toc513029211"/>
      <w:r>
        <w:rPr>
          <w:rFonts w:hint="eastAsia" w:ascii="宋体" w:hAnsi="宋体" w:eastAsia="宋体" w:cs="宋体"/>
          <w:color w:val="auto"/>
          <w:sz w:val="24"/>
          <w:szCs w:val="24"/>
        </w:rPr>
        <w:t>7、招标文件的澄清</w:t>
      </w:r>
      <w:bookmarkEnd w:id="61"/>
      <w:bookmarkEnd w:id="62"/>
      <w:bookmarkEnd w:id="63"/>
      <w:bookmarkEnd w:id="64"/>
    </w:p>
    <w:p w14:paraId="6EF0AB9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7.1任何要求对招标文件进行澄清的投标人，应在投标截止期</w:t>
      </w:r>
      <w:r>
        <w:rPr>
          <w:rFonts w:hint="eastAsia" w:ascii="宋体" w:hAnsi="宋体" w:eastAsia="宋体" w:cs="宋体"/>
          <w:b/>
          <w:color w:val="auto"/>
          <w:sz w:val="24"/>
          <w:szCs w:val="24"/>
        </w:rPr>
        <w:t>十日</w:t>
      </w:r>
      <w:r>
        <w:rPr>
          <w:rFonts w:hint="eastAsia" w:ascii="宋体" w:hAnsi="宋体" w:eastAsia="宋体" w:cs="宋体"/>
          <w:color w:val="auto"/>
          <w:sz w:val="24"/>
          <w:szCs w:val="24"/>
        </w:rPr>
        <w:t>前按招标公告中的通讯地址，以书面形式通知招标代理机构。</w:t>
      </w:r>
    </w:p>
    <w:p w14:paraId="5D792AB0">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65" w:name="_Toc16938528"/>
      <w:bookmarkStart w:id="66" w:name="_Toc462564071"/>
      <w:bookmarkStart w:id="67" w:name="_Toc20823284"/>
      <w:bookmarkStart w:id="68" w:name="_Toc513029212"/>
      <w:r>
        <w:rPr>
          <w:rFonts w:hint="eastAsia" w:ascii="宋体" w:hAnsi="宋体" w:eastAsia="宋体" w:cs="宋体"/>
          <w:color w:val="auto"/>
          <w:sz w:val="24"/>
          <w:szCs w:val="24"/>
        </w:rPr>
        <w:t>8、招标文件的修改</w:t>
      </w:r>
      <w:bookmarkEnd w:id="65"/>
      <w:bookmarkEnd w:id="66"/>
      <w:bookmarkEnd w:id="67"/>
      <w:bookmarkEnd w:id="68"/>
    </w:p>
    <w:p w14:paraId="64DF029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8.1在投标截止时间前，采购人可以对招标文件进行修改。</w:t>
      </w:r>
    </w:p>
    <w:p w14:paraId="4BB7732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8.2采购人有权按照法定的要求推迟投标截止日期和开标日期。</w:t>
      </w:r>
    </w:p>
    <w:p w14:paraId="41EF1C5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8.3招标文件的修改将在中国政府采购网</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rPr>
        <w:t>江苏政府采购网、盐城市政府采购网公布，补充文件将作为招标文件的组成部分，并对投标人具有约束力。</w:t>
      </w:r>
    </w:p>
    <w:p w14:paraId="49BE1169">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color w:val="auto"/>
          <w:sz w:val="24"/>
          <w:szCs w:val="24"/>
        </w:rPr>
      </w:pPr>
      <w:bookmarkStart w:id="69" w:name="_Toc513029213"/>
      <w:bookmarkStart w:id="70" w:name="_Toc462564072"/>
      <w:bookmarkStart w:id="71" w:name="_Toc120614216"/>
      <w:bookmarkStart w:id="72" w:name="_Toc20823285"/>
      <w:bookmarkStart w:id="73" w:name="_Toc16938529"/>
      <w:r>
        <w:rPr>
          <w:rFonts w:hint="eastAsia" w:ascii="宋体" w:hAnsi="宋体" w:eastAsia="宋体" w:cs="宋体"/>
          <w:b/>
          <w:color w:val="auto"/>
          <w:sz w:val="24"/>
          <w:szCs w:val="24"/>
        </w:rPr>
        <w:t>三、投标文件的编制</w:t>
      </w:r>
      <w:bookmarkEnd w:id="69"/>
      <w:bookmarkEnd w:id="70"/>
      <w:bookmarkEnd w:id="71"/>
      <w:bookmarkEnd w:id="72"/>
      <w:bookmarkEnd w:id="73"/>
    </w:p>
    <w:p w14:paraId="35CCE29C">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74" w:name="_Toc513029214"/>
      <w:bookmarkStart w:id="75" w:name="_Toc20823286"/>
      <w:bookmarkStart w:id="76" w:name="_Toc462564073"/>
      <w:bookmarkStart w:id="77" w:name="_Toc16938530"/>
      <w:r>
        <w:rPr>
          <w:rFonts w:hint="eastAsia" w:ascii="宋体" w:hAnsi="宋体" w:eastAsia="宋体" w:cs="宋体"/>
          <w:color w:val="auto"/>
          <w:sz w:val="24"/>
          <w:szCs w:val="24"/>
        </w:rPr>
        <w:t>9、投标文件的语言及度量衡单位</w:t>
      </w:r>
      <w:bookmarkEnd w:id="74"/>
      <w:bookmarkEnd w:id="75"/>
      <w:bookmarkEnd w:id="76"/>
      <w:bookmarkEnd w:id="77"/>
    </w:p>
    <w:p w14:paraId="2AF2C18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9.1投标人提交的投标文件以及投标人与招标代理机构就有关投标的所有来往通知、函件和文件均应使用</w:t>
      </w:r>
      <w:r>
        <w:rPr>
          <w:rFonts w:hint="eastAsia" w:ascii="宋体" w:hAnsi="宋体" w:eastAsia="宋体" w:cs="宋体"/>
          <w:b/>
          <w:color w:val="auto"/>
          <w:sz w:val="24"/>
          <w:szCs w:val="24"/>
        </w:rPr>
        <w:t>简体中文</w:t>
      </w:r>
      <w:r>
        <w:rPr>
          <w:rFonts w:hint="eastAsia" w:ascii="宋体" w:hAnsi="宋体" w:eastAsia="宋体" w:cs="宋体"/>
          <w:color w:val="auto"/>
          <w:sz w:val="24"/>
          <w:szCs w:val="24"/>
        </w:rPr>
        <w:t>。</w:t>
      </w:r>
    </w:p>
    <w:p w14:paraId="362459C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9.2除技术性能另有规定外，投标文件所使用的度量衡单位，均须采用国家法定计量单位。</w:t>
      </w:r>
    </w:p>
    <w:p w14:paraId="3CF99C16">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78" w:name="_Toc513029215"/>
      <w:bookmarkStart w:id="79" w:name="_Toc462564074"/>
      <w:bookmarkStart w:id="80" w:name="_Toc20823287"/>
      <w:bookmarkStart w:id="81" w:name="_Toc16938531"/>
      <w:r>
        <w:rPr>
          <w:rFonts w:hint="eastAsia" w:ascii="宋体" w:hAnsi="宋体" w:eastAsia="宋体" w:cs="宋体"/>
          <w:color w:val="auto"/>
          <w:sz w:val="24"/>
          <w:szCs w:val="24"/>
        </w:rPr>
        <w:t>10、投标文件构成</w:t>
      </w:r>
      <w:bookmarkEnd w:id="78"/>
      <w:bookmarkEnd w:id="79"/>
      <w:bookmarkEnd w:id="80"/>
      <w:bookmarkEnd w:id="81"/>
    </w:p>
    <w:p w14:paraId="297D7B5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10.1投标人编写的投标文件应包括资格证明文件、符合性证明文件、投标分项报价表、技术要求响应及偏离表、商务要求响应及偏离表、其他证明文件、投标函、开标一览表等部分。</w:t>
      </w:r>
    </w:p>
    <w:p w14:paraId="3055280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10.2如标书制作工具中格式和内容与</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rPr>
        <w:t>中国政府采购网</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rPr>
        <w:t>“江苏政府采购网”、“盐城市政府采购网”发布的招标文件不一致，请以</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rPr>
        <w:t>中国政府采购网</w:t>
      </w:r>
      <w:r>
        <w:rPr>
          <w:rFonts w:hint="eastAsia" w:ascii="宋体" w:hAnsi="宋体" w:eastAsia="宋体" w:cs="宋体"/>
          <w:color w:val="auto"/>
          <w:sz w:val="24"/>
          <w:szCs w:val="24"/>
          <w:shd w:val="clear" w:color="auto" w:fill="FFFFFF"/>
        </w:rPr>
        <w:t>”、</w:t>
      </w:r>
      <w:r>
        <w:rPr>
          <w:rFonts w:hint="eastAsia" w:ascii="宋体" w:hAnsi="宋体" w:eastAsia="宋体" w:cs="宋体"/>
          <w:color w:val="auto"/>
          <w:sz w:val="24"/>
          <w:szCs w:val="24"/>
        </w:rPr>
        <w:t>“江苏政府采购网”、“盐城市政府采购网”发布的招标文件为准。</w:t>
      </w:r>
    </w:p>
    <w:p w14:paraId="38CECB13">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82" w:name="_Toc49090509"/>
      <w:bookmarkStart w:id="83" w:name="_Toc14577357"/>
      <w:bookmarkStart w:id="84" w:name="_Toc49090507"/>
      <w:bookmarkStart w:id="85" w:name="_Toc513029219"/>
      <w:bookmarkStart w:id="86" w:name="_Toc513029216"/>
      <w:bookmarkStart w:id="87" w:name="_Toc14577354"/>
      <w:bookmarkStart w:id="88" w:name="_Hlt26954838"/>
      <w:bookmarkStart w:id="89" w:name="_Hlt26668975"/>
      <w:bookmarkStart w:id="90" w:name="_Hlt26670360"/>
      <w:r>
        <w:rPr>
          <w:rFonts w:hint="eastAsia" w:ascii="宋体" w:hAnsi="宋体" w:eastAsia="宋体" w:cs="宋体"/>
          <w:color w:val="auto"/>
          <w:sz w:val="24"/>
          <w:szCs w:val="24"/>
        </w:rPr>
        <w:t>11、证明投标人及投标标的符合招标文件规定的文件</w:t>
      </w:r>
      <w:bookmarkEnd w:id="82"/>
      <w:bookmarkEnd w:id="83"/>
      <w:bookmarkEnd w:id="84"/>
      <w:bookmarkEnd w:id="85"/>
      <w:bookmarkEnd w:id="86"/>
      <w:bookmarkEnd w:id="87"/>
    </w:p>
    <w:p w14:paraId="621A5BE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91" w:name="_Toc49090508"/>
      <w:bookmarkStart w:id="92" w:name="_Toc14577355"/>
      <w:r>
        <w:rPr>
          <w:rFonts w:hint="eastAsia" w:ascii="宋体" w:hAnsi="宋体" w:eastAsia="宋体" w:cs="宋体"/>
          <w:color w:val="auto"/>
          <w:sz w:val="24"/>
          <w:szCs w:val="24"/>
        </w:rPr>
        <w:t>11.1投标人应按照法律、法规、规章和规范性文件以及招标文件要求提交证明文件，证明其及投标标的符合招标文件规定。</w:t>
      </w:r>
      <w:bookmarkEnd w:id="91"/>
      <w:bookmarkEnd w:id="92"/>
    </w:p>
    <w:p w14:paraId="5BC894C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11.2招标文件对证明文件无明确形式要求的，证明文件可以以文字资料、图纸和数据等形式提交。</w:t>
      </w:r>
    </w:p>
    <w:p w14:paraId="20093261">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12、投标分项报价</w:t>
      </w:r>
      <w:bookmarkStart w:id="93" w:name="_Hlt26670373"/>
      <w:r>
        <w:rPr>
          <w:rFonts w:hint="eastAsia" w:ascii="宋体" w:hAnsi="宋体" w:eastAsia="宋体" w:cs="宋体"/>
          <w:color w:val="auto"/>
          <w:sz w:val="24"/>
          <w:szCs w:val="24"/>
        </w:rPr>
        <w:t>表</w:t>
      </w:r>
    </w:p>
    <w:p w14:paraId="281E91E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12.1投</w:t>
      </w:r>
      <w:bookmarkStart w:id="94" w:name="_Hlt26954840"/>
      <w:r>
        <w:rPr>
          <w:rFonts w:hint="eastAsia" w:ascii="宋体" w:hAnsi="宋体" w:eastAsia="宋体" w:cs="宋体"/>
          <w:color w:val="auto"/>
          <w:sz w:val="24"/>
          <w:szCs w:val="24"/>
        </w:rPr>
        <w:t>标人应按照招标文件规定格式填报投标分项报价表</w:t>
      </w:r>
      <w:bookmarkStart w:id="95" w:name="_Hlt26670399"/>
      <w:r>
        <w:rPr>
          <w:rFonts w:hint="eastAsia" w:ascii="宋体" w:hAnsi="宋体" w:eastAsia="宋体" w:cs="宋体"/>
          <w:color w:val="auto"/>
          <w:sz w:val="24"/>
          <w:szCs w:val="24"/>
        </w:rPr>
        <w:t>。</w:t>
      </w:r>
    </w:p>
    <w:p w14:paraId="4CA41F4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12.2投标货币。投标文件中的单价和总价无特殊规定的采用人民币报价，以元为单位标注。招标文件中另有规定的按规定执行。</w:t>
      </w:r>
    </w:p>
    <w:p w14:paraId="04446645">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96" w:name="_Hlt26670486"/>
      <w:bookmarkStart w:id="97" w:name="_Hlt26670403"/>
      <w:bookmarkStart w:id="98" w:name="_Hlt26954842"/>
      <w:bookmarkStart w:id="99" w:name="_Hlt26954848"/>
      <w:bookmarkStart w:id="100" w:name="_Hlt26954846"/>
      <w:bookmarkStart w:id="101" w:name="_Hlt26954731"/>
      <w:bookmarkStart w:id="102" w:name="_Hlt26668983"/>
      <w:bookmarkStart w:id="103" w:name="_Hlt26954844"/>
      <w:bookmarkStart w:id="104" w:name="_Hlt26670425"/>
      <w:bookmarkStart w:id="105" w:name="_Hlt26670482"/>
      <w:r>
        <w:rPr>
          <w:rFonts w:hint="eastAsia" w:ascii="宋体" w:hAnsi="宋体" w:eastAsia="宋体" w:cs="宋体"/>
          <w:color w:val="auto"/>
          <w:sz w:val="24"/>
          <w:szCs w:val="24"/>
        </w:rPr>
        <w:t>13、技术要求响应及偏离表、商务要求响应及偏离表</w:t>
      </w:r>
    </w:p>
    <w:p w14:paraId="096CD71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13.1投标人需对招标文件中的技术要求与商务要求逐项作出响应或偏离，并说明原因。</w:t>
      </w:r>
    </w:p>
    <w:p w14:paraId="2F678393">
      <w:pPr>
        <w:pStyle w:val="39"/>
        <w:pageBreakBefore w:val="0"/>
        <w:widowControl w:val="0"/>
        <w:tabs>
          <w:tab w:val="left" w:pos="1036"/>
        </w:tabs>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13.2投标人可在投标文件中提供认为需要的其他技术文件或说明。</w:t>
      </w:r>
    </w:p>
    <w:p w14:paraId="2AC50BCC">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06" w:name="_Toc49090510"/>
      <w:bookmarkStart w:id="107" w:name="_Toc14577359"/>
      <w:r>
        <w:rPr>
          <w:rFonts w:hint="eastAsia" w:ascii="宋体" w:hAnsi="宋体" w:eastAsia="宋体" w:cs="宋体"/>
          <w:color w:val="auto"/>
          <w:sz w:val="24"/>
          <w:szCs w:val="24"/>
        </w:rPr>
        <w:t>14、投标函和开标一览表</w:t>
      </w:r>
      <w:bookmarkEnd w:id="106"/>
      <w:bookmarkEnd w:id="107"/>
    </w:p>
    <w:p w14:paraId="5B7EB7B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14.1投标人应按照招标文件中提供的格式完整、正确填写投标函、开标一览表。</w:t>
      </w:r>
    </w:p>
    <w:p w14:paraId="0AAD3CB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rPr>
        <w:t>。</w:t>
      </w:r>
    </w:p>
    <w:p w14:paraId="2F325B10">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08" w:name="_Toc14577360"/>
      <w:bookmarkStart w:id="109" w:name="_Toc49090511"/>
      <w:bookmarkStart w:id="110" w:name="_Hlt26954734"/>
      <w:bookmarkStart w:id="111" w:name="_Hlt26954850"/>
      <w:bookmarkStart w:id="112" w:name="_Hlt26670489"/>
      <w:r>
        <w:rPr>
          <w:rFonts w:hint="eastAsia" w:ascii="宋体" w:hAnsi="宋体" w:eastAsia="宋体" w:cs="宋体"/>
          <w:color w:val="auto"/>
          <w:sz w:val="24"/>
          <w:szCs w:val="24"/>
        </w:rPr>
        <w:t>15、投标有效期</w:t>
      </w:r>
      <w:bookmarkEnd w:id="108"/>
      <w:bookmarkEnd w:id="109"/>
    </w:p>
    <w:p w14:paraId="4AB9899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15.1投标有效期为开标之日后</w:t>
      </w:r>
      <w:r>
        <w:rPr>
          <w:rFonts w:hint="eastAsia" w:ascii="宋体" w:hAnsi="宋体" w:eastAsia="宋体" w:cs="宋体"/>
          <w:b/>
          <w:color w:val="auto"/>
          <w:sz w:val="24"/>
          <w:szCs w:val="24"/>
          <w:u w:val="single"/>
        </w:rPr>
        <w:t>六十（60）天</w:t>
      </w:r>
      <w:r>
        <w:rPr>
          <w:rFonts w:hint="eastAsia" w:ascii="宋体" w:hAnsi="宋体" w:eastAsia="宋体" w:cs="宋体"/>
          <w:color w:val="auto"/>
          <w:sz w:val="24"/>
          <w:szCs w:val="24"/>
        </w:rPr>
        <w:t>。投标有效期比规定短的将被视为未实质性响应招标文件而予以拒绝。</w:t>
      </w:r>
    </w:p>
    <w:p w14:paraId="5A05887F">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16、投标有效期的延长</w:t>
      </w:r>
    </w:p>
    <w:p w14:paraId="1755A04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304B06FE">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color w:val="auto"/>
          <w:sz w:val="24"/>
          <w:szCs w:val="24"/>
        </w:rPr>
      </w:pPr>
      <w:bookmarkStart w:id="113" w:name="_Toc20823296"/>
      <w:bookmarkStart w:id="114" w:name="_Toc513029224"/>
      <w:bookmarkStart w:id="115" w:name="_Toc120614217"/>
      <w:bookmarkStart w:id="116" w:name="_Toc16938540"/>
      <w:bookmarkStart w:id="117" w:name="_Hlt26954852"/>
      <w:bookmarkStart w:id="118" w:name="_Hlt26954739"/>
      <w:r>
        <w:rPr>
          <w:rFonts w:hint="eastAsia" w:ascii="宋体" w:hAnsi="宋体" w:eastAsia="宋体" w:cs="宋体"/>
          <w:b/>
          <w:color w:val="auto"/>
          <w:sz w:val="24"/>
          <w:szCs w:val="24"/>
        </w:rPr>
        <w:t>四、投标文件的递交</w:t>
      </w:r>
      <w:bookmarkEnd w:id="113"/>
      <w:bookmarkEnd w:id="114"/>
      <w:bookmarkEnd w:id="115"/>
      <w:bookmarkEnd w:id="116"/>
    </w:p>
    <w:p w14:paraId="1F5C81FE">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19" w:name="_Toc462564084"/>
      <w:bookmarkStart w:id="120" w:name="_Toc20823297"/>
      <w:bookmarkStart w:id="121" w:name="_Toc16938541"/>
      <w:bookmarkStart w:id="122" w:name="_Toc513029225"/>
      <w:r>
        <w:rPr>
          <w:rFonts w:hint="eastAsia" w:ascii="宋体" w:hAnsi="宋体" w:eastAsia="宋体" w:cs="宋体"/>
          <w:color w:val="auto"/>
          <w:sz w:val="24"/>
          <w:szCs w:val="24"/>
        </w:rPr>
        <w:t>17、投标文件</w:t>
      </w:r>
      <w:bookmarkEnd w:id="119"/>
      <w:bookmarkEnd w:id="120"/>
      <w:bookmarkEnd w:id="121"/>
      <w:bookmarkEnd w:id="122"/>
      <w:r>
        <w:rPr>
          <w:rFonts w:hint="eastAsia" w:ascii="宋体" w:hAnsi="宋体" w:eastAsia="宋体" w:cs="宋体"/>
          <w:color w:val="auto"/>
          <w:sz w:val="24"/>
          <w:szCs w:val="24"/>
        </w:rPr>
        <w:t>的递交</w:t>
      </w:r>
    </w:p>
    <w:p w14:paraId="6C878A2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17.1 电子投标文件的递交</w:t>
      </w:r>
    </w:p>
    <w:p w14:paraId="101665F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投标人应当按照《操作手册》规定，在投标截止时间前制作并上传电子投标文件。</w:t>
      </w:r>
      <w:bookmarkStart w:id="123" w:name="_Toc16938542"/>
      <w:bookmarkEnd w:id="123"/>
      <w:bookmarkStart w:id="124" w:name="_Toc20823298"/>
      <w:bookmarkEnd w:id="124"/>
      <w:bookmarkStart w:id="125" w:name="_Toc513029226"/>
    </w:p>
    <w:p w14:paraId="1A1A4621">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18、投标截止时间</w:t>
      </w:r>
    </w:p>
    <w:p w14:paraId="7A8F294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i w:val="0"/>
          <w:iCs/>
          <w:color w:val="auto"/>
          <w:sz w:val="24"/>
          <w:szCs w:val="24"/>
        </w:rPr>
      </w:pPr>
      <w:r>
        <w:rPr>
          <w:rFonts w:hint="eastAsia" w:ascii="宋体" w:hAnsi="宋体" w:eastAsia="宋体" w:cs="宋体"/>
          <w:i w:val="0"/>
          <w:iCs/>
          <w:color w:val="auto"/>
          <w:sz w:val="24"/>
          <w:szCs w:val="24"/>
          <w:u w:val="single"/>
        </w:rPr>
        <w:t>18.1投标人上传电子投标文件的时间不得迟于招标公告中规定的投标截止时间。</w:t>
      </w:r>
    </w:p>
    <w:p w14:paraId="2DC5985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投标人应充分考虑到网络环境、网络带宽等风险因素，如因投标人自身原因造成的电子投标文件上传不成功的按照本招标文件第二章第26.1.2条规定做无效投标处理。</w:t>
      </w:r>
    </w:p>
    <w:p w14:paraId="756BB9A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18.2采购人可以按照规定，通过修改招标文件酌情延长投标截止时间，在此情况下，投标人的所有权利和义务以及投标人受制的截止时间均应以延长后新的截止时间为准。</w:t>
      </w:r>
    </w:p>
    <w:p w14:paraId="3CEC1910">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26" w:name="_Toc16938543"/>
      <w:bookmarkStart w:id="127" w:name="_Toc20823299"/>
      <w:bookmarkStart w:id="128" w:name="_Toc513029227"/>
      <w:r>
        <w:rPr>
          <w:rFonts w:hint="eastAsia" w:ascii="宋体" w:hAnsi="宋体" w:eastAsia="宋体" w:cs="宋体"/>
          <w:color w:val="auto"/>
          <w:sz w:val="24"/>
          <w:szCs w:val="24"/>
        </w:rPr>
        <w:t>19、投标文件</w:t>
      </w:r>
      <w:bookmarkEnd w:id="126"/>
      <w:bookmarkEnd w:id="127"/>
      <w:bookmarkEnd w:id="128"/>
      <w:r>
        <w:rPr>
          <w:rFonts w:hint="eastAsia" w:ascii="宋体" w:hAnsi="宋体" w:eastAsia="宋体" w:cs="宋体"/>
          <w:color w:val="auto"/>
          <w:sz w:val="24"/>
          <w:szCs w:val="24"/>
        </w:rPr>
        <w:t>的拒收</w:t>
      </w:r>
    </w:p>
    <w:p w14:paraId="2B93735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19.1采购人拒绝接收在其规定的投标截止时间后上传的任何投标文件。</w:t>
      </w:r>
    </w:p>
    <w:p w14:paraId="46F91549">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29" w:name="_Toc16938544"/>
      <w:bookmarkStart w:id="130" w:name="_Toc20823300"/>
      <w:bookmarkStart w:id="131" w:name="_Toc513029228"/>
      <w:r>
        <w:rPr>
          <w:rFonts w:hint="eastAsia" w:ascii="宋体" w:hAnsi="宋体" w:eastAsia="宋体" w:cs="宋体"/>
          <w:color w:val="auto"/>
          <w:sz w:val="24"/>
          <w:szCs w:val="24"/>
        </w:rPr>
        <w:t>20、投标文件的撤回和修改</w:t>
      </w:r>
      <w:bookmarkEnd w:id="129"/>
      <w:bookmarkEnd w:id="130"/>
      <w:bookmarkEnd w:id="131"/>
    </w:p>
    <w:p w14:paraId="219CB4C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20.1投标文件的撤回</w:t>
      </w:r>
    </w:p>
    <w:p w14:paraId="621D8C4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20.1.1电子投标文件的撤回</w:t>
      </w:r>
    </w:p>
    <w:p w14:paraId="50D8942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投标人可在投标截止时间前，撤回其电子投标文件，具体操作方法见《操作手册》。</w:t>
      </w:r>
    </w:p>
    <w:p w14:paraId="039B82D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20.1.2投标人撤回电子投标文件，则认为其不再参与本项目投标活动。</w:t>
      </w:r>
    </w:p>
    <w:p w14:paraId="37909D6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 投标文件的修改</w:t>
      </w:r>
    </w:p>
    <w:p w14:paraId="49B5D5F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20.2.1投标人可在投标截止时间前，对其电子投标文件进行修改，具体操作方法见《操作手册》。</w:t>
      </w:r>
    </w:p>
    <w:p w14:paraId="185BC00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20.2.2在投标截止时间之后，投标人不得对其电子投标文件作任何修改。</w:t>
      </w:r>
    </w:p>
    <w:p w14:paraId="2CA25A83">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20.3在投标截止时间至招标文件中规定的投标有效期满之间的这段时间内，投标人不得撤回其投标。</w:t>
      </w:r>
    </w:p>
    <w:p w14:paraId="05F53117">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color w:val="auto"/>
          <w:sz w:val="24"/>
          <w:szCs w:val="24"/>
        </w:rPr>
      </w:pPr>
      <w:bookmarkStart w:id="132" w:name="_Toc20823301"/>
      <w:bookmarkStart w:id="133" w:name="_Toc16938545"/>
      <w:bookmarkStart w:id="134" w:name="_Toc513029229"/>
      <w:bookmarkStart w:id="135" w:name="_Toc120614218"/>
      <w:r>
        <w:rPr>
          <w:rFonts w:hint="eastAsia" w:ascii="宋体" w:hAnsi="宋体" w:eastAsia="宋体" w:cs="宋体"/>
          <w:b/>
          <w:color w:val="auto"/>
          <w:sz w:val="24"/>
          <w:szCs w:val="24"/>
        </w:rPr>
        <w:t>五、开标与评标</w:t>
      </w:r>
      <w:bookmarkEnd w:id="132"/>
      <w:bookmarkEnd w:id="133"/>
      <w:bookmarkEnd w:id="134"/>
      <w:bookmarkEnd w:id="135"/>
    </w:p>
    <w:p w14:paraId="6E6C34FD">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36" w:name="_Toc513029230"/>
      <w:bookmarkStart w:id="137" w:name="_Toc16938546"/>
      <w:bookmarkStart w:id="138" w:name="_Toc20823302"/>
      <w:r>
        <w:rPr>
          <w:rFonts w:hint="eastAsia" w:ascii="宋体" w:hAnsi="宋体" w:eastAsia="宋体" w:cs="宋体"/>
          <w:color w:val="auto"/>
          <w:sz w:val="24"/>
          <w:szCs w:val="24"/>
        </w:rPr>
        <w:t>21、开标</w:t>
      </w:r>
      <w:bookmarkEnd w:id="136"/>
      <w:bookmarkEnd w:id="137"/>
      <w:bookmarkEnd w:id="138"/>
    </w:p>
    <w:p w14:paraId="34818BDF">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21.1招标代理机构将在招标公告中规定的时间和地点组织公开开标。投标人应当按照《操作手册》规定，参加开标活动和在苏采云系统规定的时间内对投标文件进行解密。</w:t>
      </w:r>
    </w:p>
    <w:p w14:paraId="43FF89A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21.2开标仪式由招标代理机构组织。苏采云系统将自动对项目进行开标，并宣布各投标人名称和投标价格。</w:t>
      </w:r>
    </w:p>
    <w:p w14:paraId="23C3FF3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21.3投标人在开标过程中涉及到的投标文件解密、开标结果确认等工作，应按照《操作手册》规定执行。</w:t>
      </w:r>
    </w:p>
    <w:p w14:paraId="26E865C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21.4投标人如果对开标过程和开标记录有疑义，应当根据《操作手册》规定提出，如苏采云系统中《开标记录表》宣布后5分钟内未提出的，视同认可开标结果。</w:t>
      </w:r>
    </w:p>
    <w:p w14:paraId="41C1DABB">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39" w:name="_Toc20823303"/>
      <w:bookmarkStart w:id="140" w:name="_Toc513029231"/>
      <w:bookmarkStart w:id="141" w:name="_Toc16938547"/>
      <w:r>
        <w:rPr>
          <w:rFonts w:hint="eastAsia" w:ascii="宋体" w:hAnsi="宋体" w:eastAsia="宋体" w:cs="宋体"/>
          <w:color w:val="auto"/>
          <w:sz w:val="24"/>
          <w:szCs w:val="24"/>
        </w:rPr>
        <w:t>22、评标委员会</w:t>
      </w:r>
      <w:bookmarkEnd w:id="139"/>
      <w:bookmarkEnd w:id="140"/>
      <w:bookmarkEnd w:id="141"/>
    </w:p>
    <w:p w14:paraId="411E552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22.1开标后，招标代理机构将立即组织评标委员会（以下简称评委会）进行评标。</w:t>
      </w:r>
    </w:p>
    <w:p w14:paraId="55DB7C0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22.2评委会由采购人代表和有关技术、经济等方面的专家组成，且人员构成符合政府采购有关规定。</w:t>
      </w:r>
    </w:p>
    <w:p w14:paraId="5FE16513">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22.3评委会独立工作，负责评审所有投标文件并确定中标候选人。</w:t>
      </w:r>
    </w:p>
    <w:p w14:paraId="06F56D43">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23、评标过程的保密与公正</w:t>
      </w:r>
    </w:p>
    <w:p w14:paraId="51D45E4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23.1凡是与审查、澄清、评价和比较投标的有关资料以及授标建议等，采购人、评委、招标代理机构均不得向投标人或与评标无关的其他人员透露。</w:t>
      </w:r>
    </w:p>
    <w:p w14:paraId="58E4CCB6">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23.2在评标过程中，投标人不得以任何行为影响评标过程，否则其投标文件将被作为无效投标文件。</w:t>
      </w:r>
    </w:p>
    <w:p w14:paraId="362DC14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23.3招标代理机构和评标委员会不向未中标的投标人解释未中标原因，也不公布评标过程中的相关细节。</w:t>
      </w:r>
    </w:p>
    <w:p w14:paraId="6D56ACC3">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23.4采用综合评分法的项目，未中标的投标人可于中标结果公告期限届满之日起通过苏采云系统查看自己的评审得分及排序情况。</w:t>
      </w:r>
    </w:p>
    <w:p w14:paraId="0275FD0E">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42" w:name="_Toc16938548"/>
      <w:bookmarkStart w:id="143" w:name="_Toc513029232"/>
      <w:bookmarkStart w:id="144" w:name="_Toc20823304"/>
      <w:r>
        <w:rPr>
          <w:rFonts w:hint="eastAsia" w:ascii="宋体" w:hAnsi="宋体" w:eastAsia="宋体" w:cs="宋体"/>
          <w:color w:val="auto"/>
          <w:sz w:val="24"/>
          <w:szCs w:val="24"/>
        </w:rPr>
        <w:t>24、投标文件的澄清</w:t>
      </w:r>
      <w:bookmarkEnd w:id="142"/>
      <w:bookmarkEnd w:id="143"/>
      <w:bookmarkEnd w:id="144"/>
    </w:p>
    <w:p w14:paraId="32EE126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24.1评标期间，评委会对投标文件中含义不明确、同类问题表述不一致或者有明显文字和计算错误的内容，有权要求投标人作出必要的澄清、说明或者补正。</w:t>
      </w:r>
    </w:p>
    <w:p w14:paraId="263D7EA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投标人的澄清、说明或者补正不得超出投标文件的范围或者改变投标文件的实质性内容。</w:t>
      </w:r>
    </w:p>
    <w:p w14:paraId="7BE2C84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评标委员会并非对每个投标人都做澄清要求。</w:t>
      </w:r>
    </w:p>
    <w:p w14:paraId="7C9B564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3804CC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24.3接到评委会澄清、说明和补正要求的投标人如未按规定做出澄清、说明和补正，其风险由投标人自行承担。</w:t>
      </w:r>
    </w:p>
    <w:p w14:paraId="04B91B7F">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45" w:name="_Toc20823305"/>
      <w:bookmarkStart w:id="146" w:name="_Toc16938549"/>
      <w:bookmarkStart w:id="147" w:name="_Toc513029233"/>
      <w:r>
        <w:rPr>
          <w:rFonts w:hint="eastAsia" w:ascii="宋体" w:hAnsi="宋体" w:eastAsia="宋体" w:cs="宋体"/>
          <w:color w:val="auto"/>
          <w:sz w:val="24"/>
          <w:szCs w:val="24"/>
        </w:rPr>
        <w:t>25、对投标文件的初审</w:t>
      </w:r>
      <w:bookmarkEnd w:id="145"/>
      <w:bookmarkEnd w:id="146"/>
      <w:bookmarkEnd w:id="147"/>
    </w:p>
    <w:p w14:paraId="4E82EB7A">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25.1投标文件初审分为资格审查和符合性审查。</w:t>
      </w:r>
    </w:p>
    <w:p w14:paraId="7EFB45A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25.1.1资格审查：依据法律法规和招标文件的规定，由采购人对投标文件中的资格证明文件进行审查。资格审查的结论，采购人以书面形式向评委会进行反馈。</w:t>
      </w:r>
    </w:p>
    <w:p w14:paraId="57BA129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采购人在进行资格性审查的同时，将在“信用中国”网站（www.creditchina.gov.cn）查询投标人的信用记录，以确定投标人是否具备投标资格,查询结果留存并归档。</w:t>
      </w:r>
    </w:p>
    <w:p w14:paraId="55F83A76">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7A235A16">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25.1.2符合性审查：依据招标文件的规定，由评委会从投标文件的有效性、完整性和对招标文件的响应程度进行审查，以确定是否对招标文件的实质性要求作出响应。</w:t>
      </w:r>
    </w:p>
    <w:p w14:paraId="4C98A491">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25.1.3未通过资格审查或符合性审查的投标人，招标代理机构将在苏采云系统中告知未通过资格审查或符合性审查的原因，评标结束后，招标代理机构将不再告知未通过资格审查和符合性审查的原因。</w:t>
      </w:r>
    </w:p>
    <w:p w14:paraId="6805B43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7954DF46">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9CA76D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25.3如果投标文件实质上没有响应招标文件的要求，评委会将予以拒绝，投标人不得通过修改或撤销不合要求的偏离或保留而使其投标成为实质性响应的投标。</w:t>
      </w:r>
    </w:p>
    <w:p w14:paraId="31327B7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25.4评委会将对确定为实质性响应的投标进行进一步审核，确定其是否有计算上或累加上的算术错误，修正错误的原则如下：</w:t>
      </w:r>
    </w:p>
    <w:p w14:paraId="335F04D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（1）投标文件中开标一览表内容与投标文件中相应内容不一致的，以开标一览表为准。</w:t>
      </w:r>
    </w:p>
    <w:p w14:paraId="32035D8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（2）大写金额和小写金额不一致的，以大写金额为准。</w:t>
      </w:r>
    </w:p>
    <w:p w14:paraId="5725F95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（3）单价金额小数点或者百分比有明显错位的，以开标一览表的总价为准，并修改单价。</w:t>
      </w:r>
    </w:p>
    <w:p w14:paraId="421F342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（4）总价金额与按单价汇总金额不一致的，以单价金额计算结果为准。</w:t>
      </w:r>
    </w:p>
    <w:p w14:paraId="4B54898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同时出现两种以上错误的，按照前款规定的顺序修正。</w:t>
      </w:r>
    </w:p>
    <w:p w14:paraId="5D6E028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25.5评委会将按上述修正错误的方法调整投标文件中的投标报价，并通过苏采云系统告知投标人，调整后的价格应对投标人具有约束力。如果投标人不接受修正后的价格，则其投标将被拒绝。</w:t>
      </w:r>
    </w:p>
    <w:p w14:paraId="781743E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48" w:name="_Toc20823306"/>
      <w:bookmarkStart w:id="149" w:name="_Toc513029234"/>
      <w:bookmarkStart w:id="150" w:name="_Toc16938550"/>
      <w:r>
        <w:rPr>
          <w:rFonts w:hint="eastAsia" w:ascii="宋体" w:hAnsi="宋体" w:eastAsia="宋体" w:cs="宋体"/>
          <w:color w:val="auto"/>
          <w:sz w:val="24"/>
          <w:szCs w:val="24"/>
        </w:rPr>
        <w:t>25.6投标人在开、评标全过程中应保持通讯畅通，及时登录苏采云系统查阅、答复相关信息，并安排专人与招标代理机构及评标委员会联系。</w:t>
      </w:r>
      <w:bookmarkEnd w:id="148"/>
      <w:bookmarkEnd w:id="149"/>
      <w:bookmarkEnd w:id="150"/>
    </w:p>
    <w:p w14:paraId="237B374F">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26、无效投标条款和废标条款</w:t>
      </w:r>
    </w:p>
    <w:p w14:paraId="6CF7F66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51" w:name="_Toc16938551"/>
      <w:bookmarkStart w:id="152" w:name="_Toc513029235"/>
      <w:bookmarkStart w:id="153" w:name="_Toc20823307"/>
      <w:r>
        <w:rPr>
          <w:rFonts w:hint="eastAsia" w:ascii="宋体" w:hAnsi="宋体" w:eastAsia="宋体" w:cs="宋体"/>
          <w:color w:val="auto"/>
          <w:sz w:val="24"/>
          <w:szCs w:val="24"/>
        </w:rPr>
        <w:t>26.1无效投标条款</w:t>
      </w:r>
      <w:bookmarkEnd w:id="151"/>
      <w:bookmarkEnd w:id="152"/>
      <w:bookmarkEnd w:id="153"/>
    </w:p>
    <w:p w14:paraId="3D02195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26.1.1投标人在苏采云系统规定的时间内未成功解密电子投标文件的。</w:t>
      </w:r>
    </w:p>
    <w:p w14:paraId="38C62CB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26.1.2投标人未按照招标文件要求上传电子投标文件的。</w:t>
      </w:r>
    </w:p>
    <w:p w14:paraId="5A5DC80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26.1.3同一投标人提交两个（含两个）以上不同的投标报价的。</w:t>
      </w:r>
    </w:p>
    <w:p w14:paraId="3497624A">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26.1.4投标人不具备招标文件中规定资格要求的。</w:t>
      </w:r>
    </w:p>
    <w:p w14:paraId="4E4C17E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26.1.5投标人的报价超过了采购预算或最高限价的。</w:t>
      </w:r>
    </w:p>
    <w:p w14:paraId="0473330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26.1.6未通过符合性审查的。</w:t>
      </w:r>
    </w:p>
    <w:p w14:paraId="63ADFCC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26.1.7不符合招标文件中规定的实质性要求和条件的</w:t>
      </w:r>
      <w:r>
        <w:rPr>
          <w:rFonts w:hint="eastAsia" w:ascii="宋体" w:hAnsi="宋体" w:eastAsia="宋体" w:cs="宋体"/>
          <w:i/>
          <w:color w:val="auto"/>
          <w:sz w:val="24"/>
          <w:szCs w:val="24"/>
          <w:u w:val="none"/>
        </w:rPr>
        <w:t>。</w:t>
      </w:r>
    </w:p>
    <w:p w14:paraId="5CE613A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4FE4AE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26.1.9投标文件含有采购人不能接受的附加条件的。</w:t>
      </w:r>
    </w:p>
    <w:p w14:paraId="3848CEDC">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751970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26.1.11投标文件未按照招标文件要求加盖CA电子公章的。</w:t>
      </w:r>
    </w:p>
    <w:p w14:paraId="704A96D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26.1.12其他法律、法规及本招标文件规定的属无效投标的情形。</w:t>
      </w:r>
    </w:p>
    <w:p w14:paraId="16057A6F">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26.2废标条款</w:t>
      </w:r>
    </w:p>
    <w:p w14:paraId="036E3C1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26.2.1符合专业条件的供应商或者对招标文件作实质响应的供应商不足三家的。</w:t>
      </w:r>
    </w:p>
    <w:p w14:paraId="16F6A80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26.2.2出现影响采购公正的违法、违规行为的。</w:t>
      </w:r>
    </w:p>
    <w:p w14:paraId="357464F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26.2.3因重大变故，采购任务取消的。</w:t>
      </w:r>
    </w:p>
    <w:p w14:paraId="3D2DF3C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26.2.4评标委员会认定招标文件存在歧义、重大缺陷导致评审工作无法进行。</w:t>
      </w:r>
    </w:p>
    <w:p w14:paraId="0906014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26.2.5因苏采云系统系统故障原因造成开标不成功的。</w:t>
      </w:r>
    </w:p>
    <w:p w14:paraId="7BCAAE7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26.3 投标截止时间结束后参加投标的供应商不足三家的处理：</w:t>
      </w:r>
    </w:p>
    <w:p w14:paraId="6672CBB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26.3.1如出现投标截止时间结束后参加投标的供应商或者在评标期间对招标文件做出实质响应的供应商不足三家情况，按政府采购相关规定执行。</w:t>
      </w:r>
    </w:p>
    <w:p w14:paraId="13A49288">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color w:val="auto"/>
          <w:sz w:val="24"/>
          <w:szCs w:val="24"/>
        </w:rPr>
      </w:pPr>
      <w:bookmarkStart w:id="154" w:name="_Toc120614219"/>
      <w:r>
        <w:rPr>
          <w:rFonts w:hint="eastAsia" w:ascii="宋体" w:hAnsi="宋体" w:eastAsia="宋体" w:cs="宋体"/>
          <w:b/>
          <w:color w:val="auto"/>
          <w:sz w:val="24"/>
          <w:szCs w:val="24"/>
        </w:rPr>
        <w:t>六、定标</w:t>
      </w:r>
      <w:bookmarkEnd w:id="154"/>
    </w:p>
    <w:p w14:paraId="0AD9FFC3">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55" w:name="_Toc20823310"/>
      <w:bookmarkStart w:id="156" w:name="_Toc513029238"/>
      <w:bookmarkStart w:id="157" w:name="_Toc16938554"/>
      <w:r>
        <w:rPr>
          <w:rFonts w:hint="eastAsia" w:ascii="宋体" w:hAnsi="宋体" w:eastAsia="宋体" w:cs="宋体"/>
          <w:color w:val="auto"/>
          <w:sz w:val="24"/>
          <w:szCs w:val="24"/>
        </w:rPr>
        <w:t>27、</w:t>
      </w:r>
      <w:bookmarkEnd w:id="155"/>
      <w:r>
        <w:rPr>
          <w:rFonts w:hint="eastAsia" w:ascii="宋体" w:hAnsi="宋体" w:eastAsia="宋体" w:cs="宋体"/>
          <w:color w:val="auto"/>
          <w:sz w:val="24"/>
          <w:szCs w:val="24"/>
        </w:rPr>
        <w:t>确定</w:t>
      </w:r>
      <w:bookmarkEnd w:id="156"/>
      <w:bookmarkEnd w:id="157"/>
      <w:r>
        <w:rPr>
          <w:rFonts w:hint="eastAsia" w:ascii="宋体" w:hAnsi="宋体" w:eastAsia="宋体" w:cs="宋体"/>
          <w:color w:val="auto"/>
          <w:sz w:val="24"/>
          <w:szCs w:val="24"/>
        </w:rPr>
        <w:t>中标单位</w:t>
      </w:r>
    </w:p>
    <w:p w14:paraId="2C4B28E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27.1中标候选人的选取原则和数量见招标文件第五章规定。</w:t>
      </w:r>
    </w:p>
    <w:p w14:paraId="62DEACA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27.2采购人应根据评委会推荐的中标候选人确定中标人。</w:t>
      </w:r>
    </w:p>
    <w:p w14:paraId="31C0E7CA">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27.3招标代理机构将在“中国政府采购网”、“江苏政府采购网”、“盐城市政府采购网”发布中标公告，公告期限为1个工作日。</w:t>
      </w:r>
    </w:p>
    <w:p w14:paraId="39ED213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27.4若有充分证据证明，中标人出现下列情况之一的，一经查实，将被取消中标资格：</w:t>
      </w:r>
    </w:p>
    <w:p w14:paraId="46DF9A2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27.4.1提供虚假材料谋取中标的。</w:t>
      </w:r>
    </w:p>
    <w:p w14:paraId="762C102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27.4.2向采购人、招标代理机构行贿或者提供其他不正当利益的。</w:t>
      </w:r>
    </w:p>
    <w:p w14:paraId="1FC1BD9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27.4.3属于本文件规定的无效条件，但在评标过程中又未被评委会发现的。</w:t>
      </w:r>
    </w:p>
    <w:p w14:paraId="036D517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27.4.4与采购人或者其他供应商恶意串通的。</w:t>
      </w:r>
    </w:p>
    <w:p w14:paraId="74B3349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27.4.5采取不正当手段诋毁、排挤其他供应商的。</w:t>
      </w:r>
    </w:p>
    <w:p w14:paraId="318A75D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58" w:name="_Toc200451960"/>
      <w:r>
        <w:rPr>
          <w:rFonts w:hint="eastAsia" w:ascii="宋体" w:hAnsi="宋体" w:eastAsia="宋体" w:cs="宋体"/>
          <w:color w:val="auto"/>
          <w:sz w:val="24"/>
          <w:szCs w:val="24"/>
        </w:rPr>
        <w:t>27.5 有下列情形之一的，视为投标人串通投标，投标无效：</w:t>
      </w:r>
      <w:bookmarkEnd w:id="158"/>
    </w:p>
    <w:p w14:paraId="3B9DF65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27.5.1不同投标人的投标文件由同一单位或者个人编制。</w:t>
      </w:r>
    </w:p>
    <w:p w14:paraId="754EDBCF">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27.5.2不同投标人委托同一单位或者个人办理投标事宜。</w:t>
      </w:r>
    </w:p>
    <w:p w14:paraId="2604C7B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27.5.3不同投标人的投标文件载明的项目管理成员或者联系人员为同一人。</w:t>
      </w:r>
    </w:p>
    <w:p w14:paraId="226152A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27.5.4不同投标人的投标文件异常一致或者投标报价呈规律性差异。</w:t>
      </w:r>
    </w:p>
    <w:p w14:paraId="66687EF7">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28、质疑处理</w:t>
      </w:r>
    </w:p>
    <w:p w14:paraId="0844AB7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28.1提出质疑的供应商应当是参与所质疑项目采购活动的供应商。潜在供应商依法获取其可质疑的采购文件的，可以对采购文件提出质疑。</w:t>
      </w:r>
    </w:p>
    <w:p w14:paraId="3E16EE40">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p>
    <w:p w14:paraId="7EF0C5F1">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28.2.1对可以质疑的采购文件提出质疑的，为收到采购文件之日或者采购文件公告期限届满之日；</w:t>
      </w:r>
    </w:p>
    <w:p w14:paraId="18B71CB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28.2.2对采购过程提出质疑的，为各采购程序环节结束之日；</w:t>
      </w:r>
    </w:p>
    <w:p w14:paraId="1120144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28.2.3对中标或者成交结果提出质疑的，为中标或者成交结果公告期限届满之日。</w:t>
      </w:r>
    </w:p>
    <w:p w14:paraId="103C8C31">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供应商应当在法定质疑期内一次性提出针对同一采购程序环节的质疑。供应商如在法定期限内对同一采购程序环节提出多次质疑的，采购人、招标代理机构将只对供应商第一次质疑作出答复。</w:t>
      </w:r>
    </w:p>
    <w:p w14:paraId="4837DDB6">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D3C825F">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28.4供应商（含潜在供应商）对采购方式、采购需求、供应商资格条件及审查结果、评标方法和评标标准、合同条款及格式的询问、质疑请向采购人提出，由采购人负责答复。供应商对除上述事项以外其他事项的询问、质疑请向招标代理机构提出，由招标代理机构负责答复。</w:t>
      </w:r>
    </w:p>
    <w:p w14:paraId="5FBBFCB5">
      <w:pPr>
        <w:pageBreakBefore w:val="0"/>
        <w:widowControl w:val="0"/>
        <w:tabs>
          <w:tab w:val="left" w:pos="1331"/>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采购人及招标代理机构只接收以纸质原件形式送达的质疑,采购人及招标代理机构不接受未填写快递运单的快件。联系地址及联系方式同招标公告。</w:t>
      </w:r>
    </w:p>
    <w:p w14:paraId="24700B4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28.5 以下情形的质疑不予受理</w:t>
      </w:r>
    </w:p>
    <w:p w14:paraId="25C2002B">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28.5.1内容不符合《政府采购质疑和投诉办法》第十二条规定的质疑。</w:t>
      </w:r>
    </w:p>
    <w:p w14:paraId="2CB1AF3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28.5.2超出政府采购法定期限的质疑。</w:t>
      </w:r>
    </w:p>
    <w:p w14:paraId="29F435F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28.5.3以传真、电子邮件等方式递交的非原件形式的质疑。</w:t>
      </w:r>
    </w:p>
    <w:p w14:paraId="37B1A33D">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28.5.4未参加投标活动的供应商或在投标活动中自身权益未受到损害的供应商所提出的质疑。</w:t>
      </w:r>
    </w:p>
    <w:p w14:paraId="0ED78769">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28.5.5供应商组成联合体参加投标，联合体中任何一方或多方未按要求签字、盖章、加盖公章的质疑。</w:t>
      </w:r>
    </w:p>
    <w:p w14:paraId="39A1C212">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C7BCFDA">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29、中标通知书</w:t>
      </w:r>
    </w:p>
    <w:p w14:paraId="3D8FE3B8">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29.l中标结果确定后，招标代理机构将向中标人发出中标通知书。</w:t>
      </w:r>
    </w:p>
    <w:p w14:paraId="02494C16">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29.2中标通知书将是合同的一个组成部分。对采购人和中标人均具有法律效力。中标通知书发出后，采购人改变中标结果的，或者中标人放弃中标项目的，应当依法承担法律责任。</w:t>
      </w:r>
    </w:p>
    <w:p w14:paraId="3CEB0361">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2" w:firstLineChars="200"/>
        <w:jc w:val="both"/>
        <w:textAlignment w:val="auto"/>
        <w:rPr>
          <w:rFonts w:hint="eastAsia" w:ascii="宋体" w:hAnsi="宋体" w:eastAsia="宋体" w:cs="宋体"/>
          <w:color w:val="auto"/>
          <w:sz w:val="24"/>
          <w:szCs w:val="24"/>
        </w:rPr>
      </w:pPr>
      <w:bookmarkStart w:id="159" w:name="_Toc20823308"/>
      <w:bookmarkStart w:id="160" w:name="_Toc513029236"/>
      <w:bookmarkStart w:id="161" w:name="_Toc120614220"/>
      <w:bookmarkStart w:id="162" w:name="_Toc16938552"/>
      <w:r>
        <w:rPr>
          <w:rFonts w:hint="eastAsia" w:ascii="宋体" w:hAnsi="宋体" w:eastAsia="宋体" w:cs="宋体"/>
          <w:b/>
          <w:color w:val="auto"/>
          <w:sz w:val="24"/>
          <w:szCs w:val="24"/>
        </w:rPr>
        <w:t>七、授予合同</w:t>
      </w:r>
      <w:bookmarkEnd w:id="159"/>
      <w:bookmarkEnd w:id="160"/>
      <w:bookmarkEnd w:id="161"/>
      <w:bookmarkEnd w:id="162"/>
    </w:p>
    <w:p w14:paraId="63FD8151">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63" w:name="_Toc16938553"/>
      <w:bookmarkStart w:id="164" w:name="_Toc20823309"/>
      <w:bookmarkStart w:id="165" w:name="_Toc513029237"/>
      <w:r>
        <w:rPr>
          <w:rFonts w:hint="eastAsia" w:ascii="宋体" w:hAnsi="宋体" w:eastAsia="宋体" w:cs="宋体"/>
          <w:color w:val="auto"/>
          <w:sz w:val="24"/>
          <w:szCs w:val="24"/>
        </w:rPr>
        <w:t>30.签订合同</w:t>
      </w:r>
      <w:bookmarkEnd w:id="163"/>
      <w:bookmarkEnd w:id="164"/>
      <w:bookmarkEnd w:id="165"/>
    </w:p>
    <w:p w14:paraId="74AC0C4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30.l中标人应当在中标通知书发出之日起三十日内，按照招标文件确定的事项与采购人签订政府采购合同。</w:t>
      </w:r>
    </w:p>
    <w:p w14:paraId="044AC745">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30.2招标文件、中标人的投标文件及招标过程中有关澄清、承诺文件均应作为合同附件。</w:t>
      </w:r>
    </w:p>
    <w:p w14:paraId="666B31B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30.3签订合</w:t>
      </w:r>
      <w:r>
        <w:rPr>
          <w:rFonts w:hint="eastAsia" w:ascii="宋体" w:hAnsi="宋体" w:eastAsia="宋体" w:cs="宋体"/>
          <w:i w:val="0"/>
          <w:iCs w:val="0"/>
          <w:color w:val="auto"/>
          <w:sz w:val="24"/>
          <w:szCs w:val="24"/>
        </w:rPr>
        <w:t>同后，</w:t>
      </w:r>
      <w:r>
        <w:rPr>
          <w:rFonts w:hint="eastAsia" w:ascii="宋体" w:hAnsi="宋体" w:eastAsia="宋体" w:cs="宋体"/>
          <w:i w:val="0"/>
          <w:iCs w:val="0"/>
          <w:color w:val="auto"/>
          <w:sz w:val="24"/>
          <w:szCs w:val="24"/>
          <w:u w:val="single"/>
        </w:rPr>
        <w:t>中标人不得将合同标的进行转包</w:t>
      </w:r>
      <w:r>
        <w:rPr>
          <w:rFonts w:hint="eastAsia" w:ascii="宋体" w:hAnsi="宋体" w:eastAsia="宋体" w:cs="宋体"/>
          <w:i w:val="0"/>
          <w:iCs w:val="0"/>
          <w:color w:val="auto"/>
          <w:sz w:val="24"/>
          <w:szCs w:val="24"/>
        </w:rPr>
        <w:t>。</w:t>
      </w:r>
      <w:r>
        <w:rPr>
          <w:rFonts w:hint="eastAsia" w:ascii="宋体" w:hAnsi="宋体" w:eastAsia="宋体" w:cs="宋体"/>
          <w:color w:val="auto"/>
          <w:sz w:val="24"/>
          <w:szCs w:val="24"/>
        </w:rPr>
        <w:t>未经采购人同意，中标人也不得采用分包的形式履行合同，否则采购人有权终止合同。转包或分包造成采购人损失的，中标人应承担相应赔偿责任。</w:t>
      </w:r>
    </w:p>
    <w:p w14:paraId="4A2D65C6">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31、服务（包含与服务相关的货物）的追加</w:t>
      </w:r>
    </w:p>
    <w:p w14:paraId="4506D41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2D0C7EB">
      <w:pPr>
        <w:pStyle w:val="39"/>
        <w:keepNext/>
        <w:keepLines/>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bookmarkStart w:id="166" w:name="_Toc120614221"/>
      <w:bookmarkStart w:id="167" w:name="_Toc479757207"/>
      <w:bookmarkStart w:id="168" w:name="_Toc20823314"/>
      <w:bookmarkStart w:id="169" w:name="_Toc16938558"/>
      <w:bookmarkStart w:id="170" w:name="_Toc513029242"/>
      <w:r>
        <w:rPr>
          <w:rFonts w:hint="eastAsia" w:ascii="宋体" w:hAnsi="宋体" w:eastAsia="宋体" w:cs="宋体"/>
          <w:color w:val="auto"/>
          <w:sz w:val="24"/>
          <w:szCs w:val="24"/>
        </w:rPr>
        <w:t>32、</w:t>
      </w:r>
      <w:bookmarkEnd w:id="166"/>
      <w:bookmarkEnd w:id="167"/>
      <w:bookmarkEnd w:id="168"/>
      <w:bookmarkEnd w:id="169"/>
      <w:bookmarkEnd w:id="170"/>
      <w:r>
        <w:rPr>
          <w:rFonts w:hint="eastAsia" w:ascii="宋体" w:hAnsi="宋体" w:eastAsia="宋体" w:cs="宋体"/>
          <w:color w:val="auto"/>
          <w:sz w:val="24"/>
          <w:szCs w:val="24"/>
        </w:rPr>
        <w:t>政府采购线上合同信用融资政策</w:t>
      </w:r>
    </w:p>
    <w:p w14:paraId="6BB17889">
      <w:pPr>
        <w:pStyle w:val="39"/>
        <w:keepNext/>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4F8A3247">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33、其他</w:t>
      </w:r>
    </w:p>
    <w:p w14:paraId="6F3465B3">
      <w:pPr>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33.1供应商对于投标产品的商品包装、快递包装应按照《关于印发《商品包装政府采购需求标准（试行）》、《快递包装政府采购需求标准（试行）》的通知》（财办库〔2020〕123号）执行。</w:t>
      </w:r>
    </w:p>
    <w:p w14:paraId="558909DB">
      <w:pPr>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33.2本文件中若涉及到数据中心采购，应按照《&lt;绿色数据中心政府采购需求标准（试行）&gt;的通知》（财库〔2023〕7号）执行。</w:t>
      </w:r>
    </w:p>
    <w:p w14:paraId="4AB12A6A">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33.3 本项目落实预付款制度，预付款比例为30%。在签订合同时，中标、成交供应商明确书面表示无需预付款或者主动要求降低预付款比例的，采购人可就预付款比例作相应调整。</w:t>
      </w:r>
    </w:p>
    <w:p w14:paraId="5B0B124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33.4 履约保证金：</w:t>
      </w:r>
    </w:p>
    <w:p w14:paraId="3A1C5A01">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在签订合同时，须向采购人</w:t>
      </w:r>
      <w:r>
        <w:rPr>
          <w:rFonts w:hint="eastAsia" w:ascii="宋体" w:hAnsi="宋体" w:eastAsia="宋体" w:cs="宋体"/>
          <w:color w:val="auto"/>
          <w:sz w:val="24"/>
          <w:szCs w:val="24"/>
          <w:lang w:eastAsia="zh-CN"/>
        </w:rPr>
        <w:t>缴纳</w:t>
      </w:r>
      <w:r>
        <w:rPr>
          <w:rFonts w:hint="eastAsia" w:ascii="宋体" w:hAnsi="宋体" w:eastAsia="宋体" w:cs="宋体"/>
          <w:color w:val="auto"/>
          <w:sz w:val="24"/>
          <w:szCs w:val="24"/>
        </w:rPr>
        <w:t>履约保证金,于合同履行后，验收合格且采购人收到发票后30日内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本项目履约保证金为合同价的10%，采购人对AA评级及以上政府采购供应商（需提供信用管理部门备案的第三方信用报告</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免收</w:t>
      </w:r>
      <w:r>
        <w:rPr>
          <w:rFonts w:hint="eastAsia" w:ascii="宋体" w:hAnsi="宋体" w:eastAsia="宋体" w:cs="宋体"/>
          <w:color w:val="auto"/>
          <w:sz w:val="24"/>
          <w:szCs w:val="24"/>
        </w:rPr>
        <w:t>履约保证金。</w:t>
      </w:r>
    </w:p>
    <w:p w14:paraId="49C97874">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供应商应当以支票、汇票、本票或者金融机构、担保机构出具的保函等非现金形</w:t>
      </w:r>
      <w:r>
        <w:rPr>
          <w:rFonts w:hint="eastAsia" w:ascii="宋体" w:hAnsi="宋体" w:eastAsia="宋体" w:cs="宋体"/>
          <w:color w:val="auto"/>
          <w:sz w:val="24"/>
          <w:szCs w:val="24"/>
        </w:rPr>
        <w:t>式提交履约保证金。依据《关于在全省政府采购领域推行电子履约保函（保险）的通知》，鼓励供应商自愿使用电子履约保函（保险）代替缴纳履约保证金。</w:t>
      </w:r>
    </w:p>
    <w:p w14:paraId="5B6A947E">
      <w:pPr>
        <w:pStyle w:val="39"/>
        <w:pageBreakBefore w:val="0"/>
        <w:widowControl w:val="0"/>
        <w:kinsoku/>
        <w:wordWrap/>
        <w:overflowPunct/>
        <w:topLinePunct w:val="0"/>
        <w:autoSpaceDE/>
        <w:autoSpaceDN/>
        <w:bidi w:val="0"/>
        <w:adjustRightInd w:val="0"/>
        <w:snapToGrid w:val="0"/>
        <w:spacing w:beforeAutospacing="0" w:afterAutospacing="0" w:line="360" w:lineRule="auto"/>
        <w:ind w:right="0" w:firstLine="480" w:firstLineChars="200"/>
        <w:jc w:val="both"/>
        <w:textAlignment w:val="auto"/>
        <w:rPr>
          <w:rFonts w:hint="eastAsia" w:ascii="宋体" w:hAnsi="宋体" w:eastAsia="宋体" w:cs="宋体"/>
          <w:color w:val="auto"/>
        </w:rPr>
      </w:pPr>
      <w:r>
        <w:rPr>
          <w:rFonts w:hint="eastAsia" w:ascii="宋体" w:hAnsi="宋体" w:eastAsia="宋体" w:cs="宋体"/>
          <w:color w:val="auto"/>
          <w:sz w:val="24"/>
          <w:szCs w:val="24"/>
        </w:rPr>
        <w:t>如以履约保函（保险）形式缴纳履约保证金，供应商可通过政府采购电子履约保函（保险）平台（www.jsdzbh.com）在线申请履约保函（保险）。</w:t>
      </w:r>
    </w:p>
    <w:p w14:paraId="47AA8656">
      <w:pPr>
        <w:pStyle w:val="39"/>
        <w:spacing w:beforeAutospacing="0" w:afterAutospacing="0" w:line="0" w:lineRule="atLeast"/>
        <w:ind w:firstLine="480"/>
        <w:jc w:val="both"/>
        <w:rPr>
          <w:rFonts w:hint="eastAsia" w:ascii="宋体" w:hAnsi="宋体" w:eastAsia="宋体" w:cs="宋体"/>
          <w:color w:val="auto"/>
        </w:rPr>
      </w:pPr>
      <w:r>
        <w:rPr>
          <w:rFonts w:hint="eastAsia" w:ascii="宋体" w:hAnsi="宋体" w:eastAsia="宋体" w:cs="宋体"/>
          <w:color w:val="auto"/>
        </w:rPr>
        <w:t> </w:t>
      </w:r>
    </w:p>
    <w:p w14:paraId="2CA398BE">
      <w:pPr>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p>
    <w:p w14:paraId="0D6711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第三章  合同条款及格式</w:t>
      </w:r>
    </w:p>
    <w:p w14:paraId="5AEE904E">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以下为成交后签定本项目合同的通用条款，中标单位不得提出实质性的修改，关于专用条款将由采购人与中标单位结合本项目具体情况协商后签订。</w:t>
      </w:r>
    </w:p>
    <w:p w14:paraId="6F49F82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4"/>
          <w:szCs w:val="24"/>
        </w:rPr>
      </w:pPr>
      <w:bookmarkStart w:id="171" w:name="_Toc479757211"/>
      <w:bookmarkStart w:id="172" w:name="_Toc20823346"/>
      <w:bookmarkStart w:id="173" w:name="_Hlt16619350"/>
      <w:bookmarkStart w:id="174" w:name="_Toc16938590"/>
      <w:bookmarkStart w:id="175" w:name="_Toc462564139"/>
      <w:bookmarkStart w:id="176" w:name="_Toc120614244"/>
      <w:bookmarkStart w:id="177" w:name="_Hlt16619369"/>
      <w:r>
        <w:rPr>
          <w:rFonts w:hint="eastAsia" w:ascii="宋体" w:hAnsi="宋体" w:eastAsia="宋体" w:cs="宋体"/>
          <w:b/>
          <w:color w:val="auto"/>
          <w:sz w:val="24"/>
          <w:szCs w:val="24"/>
        </w:rPr>
        <w:t>政府采购合同（服务类）</w:t>
      </w:r>
    </w:p>
    <w:p w14:paraId="6C8FBE8F">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盐都区高标准农田调查摸底上图入库全过程技术服务项目</w:t>
      </w:r>
      <w:r>
        <w:rPr>
          <w:rFonts w:hint="eastAsia" w:ascii="宋体" w:hAnsi="宋体" w:eastAsia="宋体" w:cs="宋体"/>
          <w:color w:val="auto"/>
          <w:sz w:val="24"/>
          <w:szCs w:val="24"/>
        </w:rPr>
        <w:t>      </w:t>
      </w:r>
    </w:p>
    <w:p w14:paraId="24FAB078">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JSZC-320903-YYHH-G2025-0001</w:t>
      </w:r>
    </w:p>
    <w:p w14:paraId="11923599">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甲方：（买方）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盐城市</w:t>
      </w:r>
      <w:r>
        <w:rPr>
          <w:rFonts w:hint="eastAsia" w:ascii="宋体" w:hAnsi="宋体" w:eastAsia="宋体" w:cs="宋体"/>
          <w:color w:val="auto"/>
          <w:sz w:val="24"/>
          <w:szCs w:val="24"/>
          <w:u w:val="single"/>
          <w:lang w:val="en-US" w:eastAsia="zh-CN"/>
        </w:rPr>
        <w:t xml:space="preserve">盐都区农业农村局 </w:t>
      </w:r>
    </w:p>
    <w:p w14:paraId="1EBED9C4">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乙方：（卖方）</w:t>
      </w:r>
      <w:r>
        <w:rPr>
          <w:rFonts w:hint="eastAsia" w:ascii="宋体" w:hAnsi="宋体" w:eastAsia="宋体" w:cs="宋体"/>
          <w:color w:val="auto"/>
          <w:sz w:val="24"/>
          <w:szCs w:val="24"/>
          <w:u w:val="single"/>
          <w:lang w:val="en-US" w:eastAsia="zh-CN"/>
        </w:rPr>
        <w:t xml:space="preserve">                  </w:t>
      </w:r>
    </w:p>
    <w:p w14:paraId="7AC9233F">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根据《中华人民共和国政府采购法》、《中华人民共和国民法典》等法律法规的规定，甲乙双方按照中标（成交）通知书及采购文件要求，按照平等、自愿的原则，经友好协商，签订本合同。</w:t>
      </w:r>
    </w:p>
    <w:p w14:paraId="0B7F6065">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一、合同标的 </w:t>
      </w:r>
    </w:p>
    <w:p w14:paraId="28FE2172">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1.项目名称：</w:t>
      </w:r>
      <w:r>
        <w:rPr>
          <w:rFonts w:hint="eastAsia" w:ascii="宋体" w:hAnsi="宋体" w:eastAsia="宋体" w:cs="宋体"/>
          <w:color w:val="auto"/>
          <w:sz w:val="24"/>
          <w:szCs w:val="24"/>
          <w:lang w:eastAsia="zh-CN"/>
        </w:rPr>
        <w:t>盐都区高标准农田调查摸底上图入库全过程技术服务项目</w:t>
      </w:r>
    </w:p>
    <w:p w14:paraId="204BC6D7">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2.服务期限：</w:t>
      </w:r>
      <w:r>
        <w:rPr>
          <w:rFonts w:hint="eastAsia" w:ascii="宋体" w:hAnsi="宋体" w:eastAsia="宋体" w:cs="宋体"/>
          <w:color w:val="auto"/>
          <w:sz w:val="24"/>
          <w:szCs w:val="24"/>
          <w:lang w:val="zh-CN"/>
        </w:rPr>
        <w:t>自合同签订之日起，2025年12月底前配合完成项目验收等后续工作。（具体结束时间以省厅部署为准）</w:t>
      </w:r>
      <w:r>
        <w:rPr>
          <w:rFonts w:hint="eastAsia" w:ascii="宋体" w:hAnsi="宋体" w:eastAsia="宋体" w:cs="宋体"/>
          <w:color w:val="auto"/>
          <w:sz w:val="24"/>
          <w:szCs w:val="24"/>
        </w:rPr>
        <w:t>。</w:t>
      </w:r>
    </w:p>
    <w:p w14:paraId="2E99D48B">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3.服务地点：采购人指定地点 </w:t>
      </w:r>
    </w:p>
    <w:p w14:paraId="07327023">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4.合同总价：人民币（大写）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337A1A74">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此价格包含但不限于人员工资、加班费、各项福利、劳动保险、餐费、住宿费、交通费、会务费、技术评审论证费用、成果鉴定验收费用、劳务费、管理费和仪器设备、各类耗材耗能以及利润、税金、招标代理费等为完成服务并通过验收所需承担的全部费用，包含政策调整导致成本增加等不可预见性费用，甲方不再支付报价以外的任何费用。</w:t>
      </w:r>
    </w:p>
    <w:p w14:paraId="56EAEDDA">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二、服务内容及要求</w:t>
      </w:r>
    </w:p>
    <w:p w14:paraId="05F0111E">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具体内容及要求详见第四章项目需求。</w:t>
      </w:r>
    </w:p>
    <w:p w14:paraId="27DE2E53">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三、合同文件</w:t>
      </w:r>
    </w:p>
    <w:p w14:paraId="1CE1EA6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下列文件为本合同不可分割部分：</w:t>
      </w:r>
    </w:p>
    <w:p w14:paraId="1E9C87E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1.中标通知书；</w:t>
      </w:r>
    </w:p>
    <w:p w14:paraId="71B03ED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2.乙方响应文件；</w:t>
      </w:r>
    </w:p>
    <w:p w14:paraId="66CEF68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3.采购文件；</w:t>
      </w:r>
    </w:p>
    <w:p w14:paraId="593085D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4.乙方在采购过程中所作的其他承诺、声明、书面澄清等。</w:t>
      </w:r>
    </w:p>
    <w:p w14:paraId="05B5B7F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上述合同文件内容互为补充，如有不明确，由甲方负责解释。</w:t>
      </w:r>
    </w:p>
    <w:p w14:paraId="428AB8CF">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四、双方权利与义务</w:t>
      </w:r>
    </w:p>
    <w:p w14:paraId="582FC2B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（一）甲方的权利和义务：</w:t>
      </w:r>
    </w:p>
    <w:p w14:paraId="6731CC9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1.甲方应当为乙方履行合同提供必要的支持。</w:t>
      </w:r>
    </w:p>
    <w:p w14:paraId="0672106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2.甲方有权对乙方选派的服务人员进行资格审查。</w:t>
      </w:r>
    </w:p>
    <w:p w14:paraId="4D4D367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3.甲方有权对乙方的服务过程进行监督。</w:t>
      </w:r>
    </w:p>
    <w:p w14:paraId="4FE01CE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4.甲方应按照本合同约定按时向乙方支付费用。</w:t>
      </w:r>
    </w:p>
    <w:p w14:paraId="2DA690D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（二）乙方的权利和义务：</w:t>
      </w:r>
    </w:p>
    <w:p w14:paraId="6237783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1.乙方应按照采购文件、投标文件及服务合同的要求，组织足够的技术力量，按时保质保量地完成任务。未经甲方同意，不得随意调换服务人员。</w:t>
      </w:r>
    </w:p>
    <w:p w14:paraId="5053A31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2.乙方严格按照有关技术规程规范和省、市有关要求开展工作,有关技术规程规范或上级要求发生变化时，供应商需及时响应，确保项目实施和形成的成果满足现行规范和最新要求。</w:t>
      </w:r>
    </w:p>
    <w:p w14:paraId="7DC1C03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3.乙方对采集数据和质控检查的规范性、准确性负责，应充分发挥自身专业优势，确保服务具有较高的专业水准，满足全部项目需求。</w:t>
      </w:r>
    </w:p>
    <w:p w14:paraId="105D88F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4.乙方应保证甲方在使用、接受本合同中的服务时不受第三方提出侵犯其专利权、版权、商标权和工业设计权等知识产权的起诉。一旦出现侵权，由乙方负全部责任，并承担因此给甲方或第三方造成的全部损失。</w:t>
      </w:r>
    </w:p>
    <w:p w14:paraId="7012C58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5.乙方不得以任何形式对承包项目进行分包或转让。</w:t>
      </w:r>
    </w:p>
    <w:p w14:paraId="7EBA413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6.乙方对服务人员的人身和财产安全负责。</w:t>
      </w:r>
    </w:p>
    <w:p w14:paraId="6FBDC877">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五、保密条款</w:t>
      </w:r>
    </w:p>
    <w:p w14:paraId="4DF1A0A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乙双方对在本合同签订、履行过程中知悉的对方资料和信息，除该方作相反的书面说明外，均应视为该方的商业秘密，未经该方书面同意，不得向任何第三方泄露。甲方提供和本项目实施过程中产生的涉及国家秘密的资料，乙方应按照涉密有关规定做好保密工作。任何一方因违反保密义务而给另一方造成损失的，应负相应的赔偿责任。无论合同是否变更、解除或终止，合同的保密条款不受其限制而继续有效，双方都应继续承担保密条款约定的保密义务。</w:t>
      </w:r>
    </w:p>
    <w:p w14:paraId="38164A0D">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六、履约保证金</w:t>
      </w:r>
    </w:p>
    <w:p w14:paraId="57A37E5C">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 乙方</w:t>
      </w:r>
      <w:r>
        <w:rPr>
          <w:rFonts w:hint="eastAsia" w:ascii="宋体" w:hAnsi="宋体" w:eastAsia="宋体" w:cs="宋体"/>
          <w:color w:val="auto"/>
          <w:sz w:val="24"/>
          <w:szCs w:val="24"/>
          <w:lang w:eastAsia="zh-CN"/>
        </w:rPr>
        <w:t>缴纳</w:t>
      </w: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圆整（¥</w:t>
      </w:r>
      <w:r>
        <w:rPr>
          <w:rFonts w:hint="eastAsia" w:ascii="宋体" w:hAnsi="宋体" w:eastAsia="宋体" w:cs="宋体"/>
          <w:color w:val="auto"/>
          <w:sz w:val="24"/>
          <w:szCs w:val="24"/>
          <w:u w:val="single"/>
        </w:rPr>
        <w:t xml:space="preserve">         元</w:t>
      </w:r>
      <w:r>
        <w:rPr>
          <w:rFonts w:hint="eastAsia" w:ascii="宋体" w:hAnsi="宋体" w:eastAsia="宋体" w:cs="宋体"/>
          <w:color w:val="auto"/>
          <w:sz w:val="24"/>
          <w:szCs w:val="24"/>
        </w:rPr>
        <w:t>）作为本合同的履约保证金（合同金额的10%）；于合同履行完毕，验收合格且采购人收到发票后30日内无息退还。引用盐城信用办推行的第三方信用报</w:t>
      </w:r>
      <w:r>
        <w:rPr>
          <w:rFonts w:hint="eastAsia" w:ascii="宋体" w:hAnsi="宋体" w:eastAsia="宋体" w:cs="宋体"/>
          <w:color w:val="auto"/>
          <w:sz w:val="24"/>
          <w:szCs w:val="24"/>
        </w:rPr>
        <w:t>告，</w:t>
      </w:r>
      <w:r>
        <w:rPr>
          <w:rFonts w:hint="eastAsia" w:ascii="宋体" w:hAnsi="宋体" w:eastAsia="宋体" w:cs="宋体"/>
          <w:color w:val="auto"/>
          <w:sz w:val="24"/>
          <w:szCs w:val="24"/>
          <w:lang w:val="en-US" w:eastAsia="zh-CN"/>
        </w:rPr>
        <w:t>对A</w:t>
      </w:r>
      <w:r>
        <w:rPr>
          <w:rFonts w:hint="eastAsia" w:ascii="宋体" w:hAnsi="宋体" w:eastAsia="宋体" w:cs="宋体"/>
          <w:color w:val="auto"/>
          <w:sz w:val="24"/>
          <w:szCs w:val="24"/>
        </w:rPr>
        <w:t>A及以上的供应商</w:t>
      </w:r>
      <w:r>
        <w:rPr>
          <w:rFonts w:hint="eastAsia" w:ascii="宋体" w:hAnsi="宋体" w:eastAsia="宋体" w:cs="宋体"/>
          <w:color w:val="auto"/>
          <w:sz w:val="24"/>
          <w:szCs w:val="24"/>
          <w:lang w:val="en-US" w:eastAsia="zh-CN"/>
        </w:rPr>
        <w:t>免收</w:t>
      </w:r>
      <w:r>
        <w:rPr>
          <w:rFonts w:hint="eastAsia" w:ascii="宋体" w:hAnsi="宋体" w:eastAsia="宋体" w:cs="宋体"/>
          <w:color w:val="auto"/>
          <w:sz w:val="24"/>
          <w:szCs w:val="24"/>
        </w:rPr>
        <w:t>履约保证金(需提供信用管理部门备案的第三方信用报告)。</w:t>
      </w:r>
    </w:p>
    <w:p w14:paraId="5555C97E">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6.2确需收取履约保证金的，履约保证金的缴纳形式：</w:t>
      </w:r>
    </w:p>
    <w:p w14:paraId="3F570732">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F4817FC">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6.2.2 如以履约保函（保险）形式缴纳履约保证金，供应商可通过政府采购电子履约保函（保险）平台（www.jsdzbh.com）在线申请履约保函（保险）。</w:t>
      </w:r>
    </w:p>
    <w:p w14:paraId="3DE4C21C">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6.3合同履行结束后，甲方应及时退还</w:t>
      </w:r>
      <w:r>
        <w:rPr>
          <w:rFonts w:hint="eastAsia" w:ascii="宋体" w:hAnsi="宋体" w:eastAsia="宋体" w:cs="宋体"/>
          <w:color w:val="auto"/>
          <w:sz w:val="24"/>
          <w:szCs w:val="24"/>
          <w:lang w:eastAsia="zh-CN"/>
        </w:rPr>
        <w:t>缴纳</w:t>
      </w:r>
      <w:r>
        <w:rPr>
          <w:rFonts w:hint="eastAsia" w:ascii="宋体" w:hAnsi="宋体" w:eastAsia="宋体" w:cs="宋体"/>
          <w:color w:val="auto"/>
          <w:sz w:val="24"/>
          <w:szCs w:val="24"/>
        </w:rPr>
        <w:t>的履约保证金。</w:t>
      </w:r>
    </w:p>
    <w:p w14:paraId="5994AA4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6.4履约保证金的退还：</w:t>
      </w:r>
    </w:p>
    <w:p w14:paraId="4BEC8C8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6.4.1方式：无息退还至投标人缴纳履约保证金的账户。如为保函，在到期时自行失效。</w:t>
      </w:r>
    </w:p>
    <w:p w14:paraId="4754DCA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6.4.2时间：验收合格且采购人收到发票后30日内。</w:t>
      </w:r>
    </w:p>
    <w:p w14:paraId="59F2963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6.4.3条件：按合同要求全部履约完成并经采购人验收合格，且采购人收到中标人出具的发票。</w:t>
      </w:r>
    </w:p>
    <w:p w14:paraId="4E6E4BD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6.4.4不予退还情形：</w:t>
      </w:r>
    </w:p>
    <w:p w14:paraId="2695635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除不可抗力情况外，投标人出现下列情形之一的，其履约保证金，招标人将视情节决定不予退还或部分不予退还。</w:t>
      </w:r>
    </w:p>
    <w:p w14:paraId="222932D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（1）中标人无正当理由拒绝签订合同的，或者在签订合同时向采购人提出附加条件或者更改合同实质性内容要求的；</w:t>
      </w:r>
    </w:p>
    <w:p w14:paraId="32FBE9A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（2）中标人不履行与采购人订立的合同的；</w:t>
      </w:r>
    </w:p>
    <w:p w14:paraId="13242B9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（3）中标人所供货物或服务不符合招标文件规定要求的；</w:t>
      </w:r>
    </w:p>
    <w:p w14:paraId="370B9AA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（4）中标人采取欺骗、弄虚作假方式投标的或与其它投标人串通投标的；</w:t>
      </w:r>
    </w:p>
    <w:p w14:paraId="72207B5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（5）中标人将合同内容转包、违法分包的；</w:t>
      </w:r>
    </w:p>
    <w:p w14:paraId="133313C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（6）中标人故意捏造事实或伪造证明材料，进行虚假恶意投诉或反映的。</w:t>
      </w:r>
    </w:p>
    <w:p w14:paraId="2D63CD6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6.4.5逾期退还的违约责任：采购人逾期无故未退还履约保证金的，按中国人民银行同期贷款基准利率上浮20%后的利率支付超期资金占用费，但因供应商自身原因导致无法及时退还的除外。</w:t>
      </w:r>
    </w:p>
    <w:p w14:paraId="4FF37585">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七、合同款支付</w:t>
      </w:r>
    </w:p>
    <w:p w14:paraId="26629D5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1.付款方式</w:t>
      </w:r>
    </w:p>
    <w:p w14:paraId="1F7AF33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（1）合同签订且乙方向甲方出具预付款保函</w:t>
      </w:r>
      <w:r>
        <w:rPr>
          <w:rFonts w:hint="eastAsia" w:ascii="宋体" w:hAnsi="宋体" w:eastAsia="宋体" w:cs="宋体"/>
          <w:color w:val="auto"/>
          <w:sz w:val="24"/>
          <w:szCs w:val="24"/>
          <w:lang w:val="en-US" w:eastAsia="zh-CN"/>
        </w:rPr>
        <w:t>和发票</w:t>
      </w:r>
      <w:r>
        <w:rPr>
          <w:rFonts w:hint="eastAsia" w:ascii="宋体" w:hAnsi="宋体" w:eastAsia="宋体" w:cs="宋体"/>
          <w:color w:val="auto"/>
          <w:sz w:val="24"/>
          <w:szCs w:val="24"/>
        </w:rPr>
        <w:t>后</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个工作日内，甲方应</w:t>
      </w:r>
      <w:r>
        <w:rPr>
          <w:rFonts w:hint="eastAsia" w:ascii="宋体" w:hAnsi="宋体" w:eastAsia="宋体" w:cs="宋体"/>
          <w:color w:val="auto"/>
          <w:sz w:val="24"/>
          <w:szCs w:val="24"/>
          <w:lang w:val="en-US" w:eastAsia="zh-CN"/>
        </w:rPr>
        <w:t>向乙方</w:t>
      </w:r>
      <w:r>
        <w:rPr>
          <w:rFonts w:hint="eastAsia" w:ascii="宋体" w:hAnsi="宋体" w:eastAsia="宋体" w:cs="宋体"/>
          <w:color w:val="auto"/>
          <w:sz w:val="24"/>
          <w:szCs w:val="24"/>
        </w:rPr>
        <w:t>支付合同价款的30%。</w:t>
      </w:r>
    </w:p>
    <w:p w14:paraId="28BC47D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本项目服务完成且提供的成果文件通过市级审查合格后，甲方向乙方支付至合同价款的80%。</w:t>
      </w:r>
    </w:p>
    <w:p w14:paraId="0B5ACE0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）本项目服务完成且提供的成果文件通过</w:t>
      </w:r>
      <w:r>
        <w:rPr>
          <w:rFonts w:hint="eastAsia" w:ascii="宋体" w:hAnsi="宋体" w:eastAsia="宋体" w:cs="宋体"/>
          <w:color w:val="auto"/>
          <w:sz w:val="24"/>
          <w:szCs w:val="24"/>
          <w:lang w:val="en-US" w:eastAsia="zh-CN"/>
        </w:rPr>
        <w:t>省</w:t>
      </w:r>
      <w:r>
        <w:rPr>
          <w:rFonts w:hint="eastAsia" w:ascii="宋体" w:hAnsi="宋体" w:eastAsia="宋体" w:cs="宋体"/>
          <w:color w:val="auto"/>
          <w:sz w:val="24"/>
          <w:szCs w:val="24"/>
        </w:rPr>
        <w:t>级审查合格后30个工作日内，甲方应</w:t>
      </w:r>
      <w:r>
        <w:rPr>
          <w:rFonts w:hint="eastAsia" w:ascii="宋体" w:hAnsi="宋体" w:eastAsia="宋体" w:cs="宋体"/>
          <w:color w:val="auto"/>
          <w:sz w:val="24"/>
          <w:szCs w:val="24"/>
          <w:lang w:val="en-US" w:eastAsia="zh-CN"/>
        </w:rPr>
        <w:t>向乙方</w:t>
      </w:r>
      <w:r>
        <w:rPr>
          <w:rFonts w:hint="eastAsia" w:ascii="宋体" w:hAnsi="宋体" w:eastAsia="宋体" w:cs="宋体"/>
          <w:color w:val="auto"/>
          <w:sz w:val="24"/>
          <w:szCs w:val="24"/>
        </w:rPr>
        <w:t>一次性付清余款。</w:t>
      </w:r>
    </w:p>
    <w:p w14:paraId="66DF8E2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注：</w:t>
      </w:r>
      <w:r>
        <w:rPr>
          <w:rFonts w:hint="eastAsia" w:ascii="宋体" w:hAnsi="宋体" w:eastAsia="宋体" w:cs="宋体"/>
          <w:color w:val="auto"/>
          <w:sz w:val="24"/>
          <w:szCs w:val="24"/>
        </w:rPr>
        <w:t>在签订合同时，中标、成交供应商明确书面表示无需预付款或者主动要求降低预付款比例的，采购人可就预付款比例作相应调整。</w:t>
      </w:r>
    </w:p>
    <w:p w14:paraId="480E95A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2.乙方应在甲方办理支付手续5个工作日前提供相应金额的正式发票给甲方，以便甲方及时办理支付手续，否则甲方有权拒绝付款，乙方不得因上述原因导致的付款延迟追究甲方的责任。</w:t>
      </w:r>
    </w:p>
    <w:p w14:paraId="0D85586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3.如乙方未按甲方要求完成本合同所包括工作内容或考核不合格的，甲方有权扣减服务费用。</w:t>
      </w:r>
    </w:p>
    <w:p w14:paraId="659E4E40">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auto"/>
          <w:sz w:val="24"/>
          <w:szCs w:val="24"/>
        </w:rPr>
      </w:pPr>
      <w:bookmarkStart w:id="178" w:name="_Hlk184029506"/>
      <w:r>
        <w:rPr>
          <w:rFonts w:hint="eastAsia" w:ascii="宋体" w:hAnsi="宋体" w:eastAsia="宋体" w:cs="宋体"/>
          <w:b/>
          <w:color w:val="auto"/>
          <w:sz w:val="24"/>
          <w:szCs w:val="24"/>
        </w:rPr>
        <w:t>八、违约责任</w:t>
      </w:r>
      <w:r>
        <w:rPr>
          <w:rFonts w:hint="eastAsia" w:ascii="宋体" w:hAnsi="宋体" w:eastAsia="宋体" w:cs="宋体"/>
          <w:b/>
          <w:color w:val="auto"/>
          <w:sz w:val="24"/>
          <w:szCs w:val="24"/>
        </w:rPr>
        <w:tab/>
      </w:r>
    </w:p>
    <w:p w14:paraId="3885B7F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1.甲方无正当理由拒绝验收或拒付款的，甲方应向乙方偿付合同总价的2%，作为违约金。</w:t>
      </w:r>
    </w:p>
    <w:p w14:paraId="570C521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2.甲方无正当理由要求终止服务的，甲方应向乙方偿付合同总价的1%，作为违约金。违约金不足以补偿损失的，乙方有权要求甲方补足。</w:t>
      </w:r>
    </w:p>
    <w:p w14:paraId="6D72C90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3.乙方不能提供服务的，应向甲方偿付合同总价的2%，作为违约金。违约金不足以补偿损失的，甲方有权要求乙方补足。</w:t>
      </w:r>
    </w:p>
    <w:p w14:paraId="24AEAB8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4.乙方提供的服务质量不符合要求的，应按照甲方要求立即整改。乙方不能及时整改的，甲方有权解除合同。</w:t>
      </w:r>
    </w:p>
    <w:p w14:paraId="5A5CDF7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.乙方投标文件中</w:t>
      </w:r>
      <w:r>
        <w:rPr>
          <w:rFonts w:hint="eastAsia" w:ascii="宋体" w:hAnsi="宋体" w:eastAsia="宋体" w:cs="宋体"/>
          <w:color w:val="auto"/>
          <w:sz w:val="24"/>
          <w:szCs w:val="24"/>
          <w:lang w:val="en-US" w:eastAsia="zh-CN"/>
        </w:rPr>
        <w:t>需明确一</w:t>
      </w:r>
      <w:r>
        <w:rPr>
          <w:rFonts w:hint="eastAsia" w:ascii="宋体" w:hAnsi="宋体" w:eastAsia="宋体" w:cs="宋体"/>
          <w:color w:val="auto"/>
          <w:sz w:val="24"/>
          <w:szCs w:val="24"/>
        </w:rPr>
        <w:t>名全程负责的技术领队</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相当于项目负责人或技术负责人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技术领队及项目组成员</w:t>
      </w:r>
      <w:r>
        <w:rPr>
          <w:rFonts w:hint="eastAsia" w:ascii="宋体" w:hAnsi="宋体" w:eastAsia="宋体" w:cs="宋体"/>
          <w:color w:val="auto"/>
          <w:sz w:val="24"/>
          <w:szCs w:val="24"/>
        </w:rPr>
        <w:t>不得擅自更换，如有更换，必须征得甲方同意，替换人员业务水平不得低于被替换人员，同时进行必要的罚款，更换技术</w:t>
      </w:r>
      <w:r>
        <w:rPr>
          <w:rFonts w:hint="eastAsia" w:ascii="宋体" w:hAnsi="宋体" w:eastAsia="宋体" w:cs="宋体"/>
          <w:color w:val="auto"/>
          <w:sz w:val="24"/>
          <w:szCs w:val="24"/>
          <w:lang w:val="en-US" w:eastAsia="zh-CN"/>
        </w:rPr>
        <w:t>领队</w:t>
      </w:r>
      <w:r>
        <w:rPr>
          <w:rFonts w:hint="eastAsia" w:ascii="宋体" w:hAnsi="宋体" w:eastAsia="宋体" w:cs="宋体"/>
          <w:color w:val="auto"/>
          <w:sz w:val="24"/>
          <w:szCs w:val="24"/>
        </w:rPr>
        <w:t>罚款人民币</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0000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/人次</w:t>
      </w:r>
      <w:r>
        <w:rPr>
          <w:rFonts w:hint="eastAsia" w:ascii="宋体" w:hAnsi="宋体" w:eastAsia="宋体" w:cs="宋体"/>
          <w:color w:val="auto"/>
          <w:sz w:val="24"/>
          <w:szCs w:val="24"/>
          <w:highlight w:val="none"/>
        </w:rPr>
        <w:t>、更换</w:t>
      </w:r>
      <w:r>
        <w:rPr>
          <w:rFonts w:hint="eastAsia" w:ascii="宋体" w:hAnsi="宋体" w:eastAsia="宋体" w:cs="宋体"/>
          <w:color w:val="auto"/>
          <w:sz w:val="24"/>
          <w:szCs w:val="24"/>
          <w:highlight w:val="none"/>
          <w:lang w:val="en-US" w:eastAsia="zh-CN"/>
        </w:rPr>
        <w:t>项目组其他</w:t>
      </w:r>
      <w:r>
        <w:rPr>
          <w:rFonts w:hint="eastAsia" w:ascii="宋体" w:hAnsi="宋体" w:eastAsia="宋体" w:cs="宋体"/>
          <w:color w:val="auto"/>
          <w:sz w:val="24"/>
          <w:szCs w:val="24"/>
          <w:highlight w:val="none"/>
        </w:rPr>
        <w:t>成员罚款人民币</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/人次</w:t>
      </w:r>
      <w:r>
        <w:rPr>
          <w:rFonts w:hint="eastAsia" w:ascii="宋体" w:hAnsi="宋体" w:eastAsia="宋体" w:cs="宋体"/>
          <w:color w:val="auto"/>
          <w:sz w:val="24"/>
          <w:szCs w:val="24"/>
        </w:rPr>
        <w:t>，该项罚款直接从项目合同款中扣除。</w:t>
      </w:r>
    </w:p>
    <w:p w14:paraId="4AF604B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w:t>
      </w:r>
      <w:r>
        <w:rPr>
          <w:rFonts w:hint="eastAsia" w:ascii="宋体" w:hAnsi="宋体" w:eastAsia="宋体" w:cs="宋体"/>
          <w:color w:val="auto"/>
          <w:sz w:val="24"/>
          <w:szCs w:val="24"/>
        </w:rPr>
        <w:t>技术领队</w:t>
      </w:r>
      <w:r>
        <w:rPr>
          <w:rFonts w:hint="eastAsia" w:ascii="宋体" w:hAnsi="宋体" w:eastAsia="宋体" w:cs="宋体"/>
          <w:color w:val="auto"/>
          <w:sz w:val="24"/>
          <w:szCs w:val="24"/>
          <w:lang w:val="en-US" w:eastAsia="zh-CN"/>
        </w:rPr>
        <w:t>及项目组成员</w:t>
      </w:r>
      <w:r>
        <w:rPr>
          <w:rFonts w:hint="eastAsia" w:ascii="宋体" w:hAnsi="宋体" w:eastAsia="宋体" w:cs="宋体"/>
          <w:color w:val="auto"/>
          <w:sz w:val="24"/>
          <w:szCs w:val="24"/>
        </w:rPr>
        <w:t>在接到甲方通知后30分钟内响应，</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小时内需到达甲方指定地点处理问题，如没有按时到达视为投标人违约，违约金1000元/人次。</w:t>
      </w:r>
    </w:p>
    <w:p w14:paraId="6FEDA2E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7.乙方应当服从甲方的约定时间安排组织开展调查摸底数据</w:t>
      </w:r>
      <w:r>
        <w:rPr>
          <w:rFonts w:hint="eastAsia" w:ascii="宋体" w:hAnsi="宋体" w:eastAsia="宋体" w:cs="宋体"/>
          <w:color w:val="auto"/>
          <w:sz w:val="24"/>
          <w:szCs w:val="24"/>
          <w:lang w:val="en-US" w:eastAsia="zh-CN"/>
        </w:rPr>
        <w:t>汇总、质检及抽查等</w:t>
      </w:r>
      <w:r>
        <w:rPr>
          <w:rFonts w:hint="eastAsia" w:ascii="宋体" w:hAnsi="宋体" w:eastAsia="宋体" w:cs="宋体"/>
          <w:color w:val="auto"/>
          <w:sz w:val="24"/>
          <w:szCs w:val="24"/>
        </w:rPr>
        <w:t>活动，如不服从配合，每次罚款人民币1</w:t>
      </w:r>
      <w:r>
        <w:rPr>
          <w:rFonts w:hint="eastAsia" w:ascii="宋体" w:hAnsi="宋体" w:eastAsia="宋体" w:cs="宋体"/>
          <w:color w:val="auto"/>
          <w:sz w:val="24"/>
          <w:szCs w:val="24"/>
          <w:lang w:val="en-US" w:eastAsia="zh-CN"/>
        </w:rPr>
        <w:t>0000</w:t>
      </w:r>
      <w:r>
        <w:rPr>
          <w:rFonts w:hint="eastAsia" w:ascii="宋体" w:hAnsi="宋体" w:eastAsia="宋体" w:cs="宋体"/>
          <w:color w:val="auto"/>
          <w:sz w:val="24"/>
          <w:szCs w:val="24"/>
        </w:rPr>
        <w:t>元，该项罚款直接从项目合同款中扣除。三次不配合，甲方有权解除合同并且追究乙方责任。</w:t>
      </w:r>
    </w:p>
    <w:p w14:paraId="31D28DB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highlight w:val="none"/>
        </w:rPr>
        <w:t xml:space="preserve"> 甲方将</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项目乙方的履约全过程中，</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lang w:eastAsia="zh-CN"/>
        </w:rPr>
        <w:t>技术领队</w:t>
      </w:r>
      <w:r>
        <w:rPr>
          <w:rFonts w:hint="eastAsia" w:ascii="宋体" w:hAnsi="宋体" w:eastAsia="宋体" w:cs="宋体"/>
          <w:color w:val="auto"/>
          <w:sz w:val="24"/>
          <w:szCs w:val="24"/>
        </w:rPr>
        <w:t>及</w:t>
      </w:r>
      <w:r>
        <w:rPr>
          <w:rFonts w:hint="eastAsia" w:ascii="宋体" w:hAnsi="宋体" w:eastAsia="宋体" w:cs="宋体"/>
          <w:color w:val="auto"/>
          <w:sz w:val="24"/>
          <w:szCs w:val="24"/>
          <w:lang w:val="en-US" w:eastAsia="zh-CN"/>
        </w:rPr>
        <w:t>项目组</w:t>
      </w:r>
      <w:r>
        <w:rPr>
          <w:rFonts w:hint="eastAsia" w:ascii="宋体" w:hAnsi="宋体" w:eastAsia="宋体" w:cs="宋体"/>
          <w:color w:val="auto"/>
          <w:sz w:val="24"/>
          <w:szCs w:val="24"/>
        </w:rPr>
        <w:t>成员实行严格的现场督查考核制度，</w:t>
      </w:r>
      <w:r>
        <w:rPr>
          <w:rFonts w:hint="eastAsia" w:ascii="宋体" w:hAnsi="宋体" w:eastAsia="宋体" w:cs="宋体"/>
          <w:color w:val="auto"/>
          <w:sz w:val="24"/>
          <w:szCs w:val="24"/>
          <w:lang w:eastAsia="zh-CN"/>
        </w:rPr>
        <w:t>技术领队</w:t>
      </w:r>
      <w:r>
        <w:rPr>
          <w:rFonts w:hint="eastAsia" w:ascii="宋体" w:hAnsi="宋体" w:eastAsia="宋体" w:cs="宋体"/>
          <w:color w:val="auto"/>
          <w:sz w:val="24"/>
          <w:szCs w:val="24"/>
        </w:rPr>
        <w:t>及</w:t>
      </w:r>
      <w:r>
        <w:rPr>
          <w:rFonts w:hint="eastAsia" w:ascii="宋体" w:hAnsi="宋体" w:eastAsia="宋体" w:cs="宋体"/>
          <w:color w:val="auto"/>
          <w:sz w:val="24"/>
          <w:szCs w:val="24"/>
          <w:lang w:val="en-US" w:eastAsia="zh-CN"/>
        </w:rPr>
        <w:t>项目组</w:t>
      </w:r>
      <w:r>
        <w:rPr>
          <w:rFonts w:hint="eastAsia" w:ascii="宋体" w:hAnsi="宋体" w:eastAsia="宋体" w:cs="宋体"/>
          <w:color w:val="auto"/>
          <w:sz w:val="24"/>
          <w:szCs w:val="24"/>
        </w:rPr>
        <w:t>成员中途不得无故离场缺席工作。经现场督查考核，</w:t>
      </w:r>
      <w:r>
        <w:rPr>
          <w:rFonts w:hint="eastAsia" w:ascii="宋体" w:hAnsi="宋体" w:eastAsia="宋体" w:cs="宋体"/>
          <w:color w:val="auto"/>
          <w:sz w:val="24"/>
          <w:szCs w:val="24"/>
          <w:lang w:eastAsia="zh-CN"/>
        </w:rPr>
        <w:t>技术领队</w:t>
      </w:r>
      <w:r>
        <w:rPr>
          <w:rFonts w:hint="eastAsia" w:ascii="宋体" w:hAnsi="宋体" w:eastAsia="宋体" w:cs="宋体"/>
          <w:color w:val="auto"/>
          <w:sz w:val="24"/>
          <w:szCs w:val="24"/>
        </w:rPr>
        <w:t>中途未经批</w:t>
      </w:r>
      <w:r>
        <w:rPr>
          <w:rFonts w:hint="eastAsia" w:ascii="宋体" w:hAnsi="宋体" w:eastAsia="宋体" w:cs="宋体"/>
          <w:color w:val="auto"/>
          <w:sz w:val="24"/>
          <w:szCs w:val="24"/>
          <w:lang w:val="en-US" w:eastAsia="zh-CN"/>
        </w:rPr>
        <w:t>准</w:t>
      </w:r>
      <w:r>
        <w:rPr>
          <w:rFonts w:hint="eastAsia" w:ascii="宋体" w:hAnsi="宋体" w:eastAsia="宋体" w:cs="宋体"/>
          <w:color w:val="auto"/>
          <w:sz w:val="24"/>
          <w:szCs w:val="24"/>
        </w:rPr>
        <w:t>，擅自离场（超过半天）一次罚款人民币5000元，</w:t>
      </w:r>
      <w:r>
        <w:rPr>
          <w:rFonts w:hint="eastAsia" w:ascii="宋体" w:hAnsi="宋体" w:eastAsia="宋体" w:cs="宋体"/>
          <w:color w:val="auto"/>
          <w:sz w:val="24"/>
          <w:szCs w:val="24"/>
          <w:lang w:val="en-US" w:eastAsia="zh-CN"/>
        </w:rPr>
        <w:t>项目组</w:t>
      </w:r>
      <w:r>
        <w:rPr>
          <w:rFonts w:hint="eastAsia" w:ascii="宋体" w:hAnsi="宋体" w:eastAsia="宋体" w:cs="宋体"/>
          <w:color w:val="auto"/>
          <w:sz w:val="24"/>
          <w:szCs w:val="24"/>
        </w:rPr>
        <w:t>成员中途擅自离场（超过半天）一次罚款人民币2000元，该项罚款直接从项目合同款中扣除。</w:t>
      </w:r>
    </w:p>
    <w:p w14:paraId="2AEC21D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经乙方质检通过的</w:t>
      </w:r>
      <w:r>
        <w:rPr>
          <w:rFonts w:hint="eastAsia" w:ascii="宋体" w:hAnsi="宋体" w:eastAsia="宋体" w:cs="宋体"/>
          <w:color w:val="auto"/>
          <w:sz w:val="24"/>
          <w:szCs w:val="24"/>
          <w:lang w:eastAsia="zh-CN"/>
        </w:rPr>
        <w:t>摸底调查上图入库</w:t>
      </w:r>
      <w:r>
        <w:rPr>
          <w:rFonts w:hint="eastAsia" w:ascii="宋体" w:hAnsi="宋体" w:eastAsia="宋体" w:cs="宋体"/>
          <w:color w:val="auto"/>
          <w:sz w:val="24"/>
          <w:szCs w:val="24"/>
        </w:rPr>
        <w:t>相关数据、材料，被</w:t>
      </w:r>
      <w:r>
        <w:rPr>
          <w:rFonts w:hint="eastAsia" w:ascii="宋体" w:hAnsi="宋体" w:eastAsia="宋体" w:cs="宋体"/>
          <w:color w:val="auto"/>
          <w:sz w:val="24"/>
          <w:szCs w:val="24"/>
          <w:lang w:val="en-US" w:eastAsia="zh-CN"/>
        </w:rPr>
        <w:t>市级、</w:t>
      </w:r>
      <w:r>
        <w:rPr>
          <w:rFonts w:hint="eastAsia" w:ascii="宋体" w:hAnsi="宋体" w:eastAsia="宋体" w:cs="宋体"/>
          <w:color w:val="auto"/>
          <w:sz w:val="24"/>
          <w:szCs w:val="24"/>
        </w:rPr>
        <w:t>省级</w:t>
      </w:r>
      <w:r>
        <w:rPr>
          <w:rFonts w:hint="eastAsia" w:ascii="宋体" w:hAnsi="宋体" w:eastAsia="宋体" w:cs="宋体"/>
          <w:color w:val="auto"/>
          <w:sz w:val="24"/>
          <w:szCs w:val="24"/>
          <w:lang w:val="en-US" w:eastAsia="zh-CN"/>
        </w:rPr>
        <w:t>等各类</w:t>
      </w:r>
      <w:r>
        <w:rPr>
          <w:rFonts w:hint="eastAsia" w:ascii="宋体" w:hAnsi="宋体" w:eastAsia="宋体" w:cs="宋体"/>
          <w:color w:val="auto"/>
          <w:sz w:val="24"/>
          <w:szCs w:val="24"/>
        </w:rPr>
        <w:t>检</w:t>
      </w:r>
      <w:r>
        <w:rPr>
          <w:rFonts w:hint="eastAsia" w:ascii="宋体" w:hAnsi="宋体" w:eastAsia="宋体" w:cs="宋体"/>
          <w:color w:val="auto"/>
          <w:sz w:val="24"/>
          <w:szCs w:val="24"/>
        </w:rPr>
        <w:t>查发现存在明显的、较大比例不合格情况的，乙方应依法承担责任，并根据甲方要求开展</w:t>
      </w:r>
      <w:r>
        <w:rPr>
          <w:rFonts w:hint="eastAsia" w:ascii="宋体" w:hAnsi="宋体" w:eastAsia="宋体" w:cs="宋体"/>
          <w:color w:val="auto"/>
          <w:sz w:val="24"/>
          <w:szCs w:val="24"/>
          <w:lang w:val="en-US" w:eastAsia="zh-CN"/>
        </w:rPr>
        <w:t>整改</w:t>
      </w:r>
      <w:r>
        <w:rPr>
          <w:rFonts w:hint="eastAsia" w:ascii="宋体" w:hAnsi="宋体" w:eastAsia="宋体" w:cs="宋体"/>
          <w:color w:val="auto"/>
          <w:sz w:val="24"/>
          <w:szCs w:val="24"/>
        </w:rPr>
        <w:t>工作，且每发生一起将罚款人民币5000元，该项罚款直接从项目合同款中扣除。</w:t>
      </w:r>
    </w:p>
    <w:p w14:paraId="1C055A7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rPr>
        <w:t xml:space="preserve"> 乙方未按时提交调查摸底上图入库的相关成果，每晚于甲方要求时间1天，罚款人民币</w:t>
      </w:r>
      <w:r>
        <w:rPr>
          <w:rFonts w:hint="eastAsia" w:ascii="宋体" w:hAnsi="宋体" w:eastAsia="宋体" w:cs="宋体"/>
          <w:color w:val="auto"/>
          <w:sz w:val="24"/>
          <w:szCs w:val="24"/>
          <w:lang w:val="en-US" w:eastAsia="zh-CN"/>
        </w:rPr>
        <w:t>5000</w:t>
      </w:r>
      <w:r>
        <w:rPr>
          <w:rFonts w:hint="eastAsia" w:ascii="宋体" w:hAnsi="宋体" w:eastAsia="宋体" w:cs="宋体"/>
          <w:color w:val="auto"/>
          <w:sz w:val="24"/>
          <w:szCs w:val="24"/>
        </w:rPr>
        <w:t>元，该项罚款直接从项目合同款中扣除。提交成果多次补正不齐全、不准确、质量不高等情况，视情节予以罚款，罚款数额为人民币5000元及以上不等，同时承担甲方因此遭致的损失费用</w:t>
      </w:r>
      <w:r>
        <w:rPr>
          <w:rFonts w:hint="eastAsia" w:ascii="宋体" w:hAnsi="宋体" w:eastAsia="宋体" w:cs="宋体"/>
          <w:color w:val="auto"/>
          <w:sz w:val="24"/>
          <w:szCs w:val="24"/>
          <w:lang w:eastAsia="zh-CN"/>
        </w:rPr>
        <w:t>，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或从应付服务费中扣除，直至按照采购人的要求增派（和/或更换）的人员到岗为止，</w:t>
      </w:r>
      <w:r>
        <w:rPr>
          <w:rFonts w:hint="eastAsia" w:ascii="宋体" w:hAnsi="宋体" w:eastAsia="宋体" w:cs="宋体"/>
          <w:color w:val="auto"/>
          <w:sz w:val="24"/>
          <w:szCs w:val="24"/>
        </w:rPr>
        <w:t>该项罚款直接从项目合同款中扣除。</w:t>
      </w:r>
    </w:p>
    <w:p w14:paraId="7C42AF4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 若乙方的成果文件未通过省、市检查的，乙方须承担相应整改及省、市重复质检费用。</w:t>
      </w:r>
    </w:p>
    <w:p w14:paraId="6C1FD24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乙方在履行合同中产生的一切非因甲方过错导致的损失，均由乙方自行承担责任。</w:t>
      </w:r>
    </w:p>
    <w:p w14:paraId="7D9DD5B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若乙方违反知识产权、保密条款的，应当在发现时立即停止侵权行为、消除影响，甲方有权追究侵权责任。</w:t>
      </w:r>
    </w:p>
    <w:p w14:paraId="7A5C58E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其他违约责任按《中华人民共和国民法典》处理。</w:t>
      </w:r>
    </w:p>
    <w:bookmarkEnd w:id="178"/>
    <w:p w14:paraId="3BCC3BF2">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九、不可抗力</w:t>
      </w:r>
    </w:p>
    <w:p w14:paraId="5C64806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1.因不可抗力不能履行合同的，根据不可抗力的影响，部分或者全部免除责任。但合同一方延迟履行后发生不可抗力的，不能免除责任。</w:t>
      </w:r>
    </w:p>
    <w:p w14:paraId="79563B2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2.合同一方因不可抗力不能履行合同的，应当及时通知对方，以减轻可能给对方造成的损失，并应当在合理期限内提供证明。</w:t>
      </w:r>
    </w:p>
    <w:p w14:paraId="0C5B8DE9">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十、不可抗力事件处理</w:t>
      </w:r>
    </w:p>
    <w:p w14:paraId="4D30F4AD">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12.1 在合同有效期内，任何一方因不可抗力事件导致不能履行合同，则合同履行期可延长，其延长期与不可抗力影响期相同。</w:t>
      </w:r>
    </w:p>
    <w:p w14:paraId="745BB274">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12.2 不可抗力事件发生后，应立即通知对方，并寄送有关权威机构出具的证明。</w:t>
      </w:r>
    </w:p>
    <w:p w14:paraId="5BBF98DB">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 不可抗力事件延续120天以上，双方应通过友好协商，确定是否继续履行合同。</w:t>
      </w:r>
    </w:p>
    <w:p w14:paraId="5727BA9D">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十一、解决争议的方法</w:t>
      </w:r>
    </w:p>
    <w:p w14:paraId="3D658281">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13.1双方在签订、履行合同中所发生的一切争议，应通过友好协商解决。如协商不成，双方均可向甲方所在地人民法院起诉。</w:t>
      </w:r>
    </w:p>
    <w:p w14:paraId="2968CAEB">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十二、合同生效及其它</w:t>
      </w:r>
    </w:p>
    <w:p w14:paraId="36CD5EEF">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14.1 合同经双方法定代表人或授权委托代表人签字并加盖单位公章后生效。</w:t>
      </w:r>
    </w:p>
    <w:p w14:paraId="273367C3">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14.2本合同未尽事宜，遵照《民法典》、《政府采购法》有关条文执行。</w:t>
      </w:r>
    </w:p>
    <w:p w14:paraId="7FF8B093">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14.3 本合同正本一式肆份，具有同等法律效力，甲方、乙方各执贰份。</w:t>
      </w:r>
    </w:p>
    <w:p w14:paraId="39E65216">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5FE6962">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p>
    <w:p w14:paraId="76FDF2A1">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乙方： </w:t>
      </w:r>
    </w:p>
    <w:p w14:paraId="63346E25">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地址： </w:t>
      </w:r>
    </w:p>
    <w:p w14:paraId="657712B0">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法定代表人或授权代表：        法定代表人或授权代表：</w:t>
      </w:r>
    </w:p>
    <w:p w14:paraId="140ECFDC">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联系电话：          </w:t>
      </w:r>
    </w:p>
    <w:p w14:paraId="1A458B66">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C57B1BB">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right"/>
        <w:textAlignment w:val="auto"/>
        <w:rPr>
          <w:rFonts w:ascii="Times New Roman" w:hAnsi="Times New Roman"/>
          <w:color w:val="auto"/>
        </w:rPr>
      </w:pPr>
      <w:r>
        <w:rPr>
          <w:rFonts w:hint="eastAsia" w:ascii="宋体" w:hAnsi="宋体" w:eastAsia="宋体" w:cs="宋体"/>
          <w:color w:val="auto"/>
          <w:sz w:val="24"/>
          <w:szCs w:val="24"/>
        </w:rPr>
        <w:t>签订日期：   年    月   日</w:t>
      </w:r>
    </w:p>
    <w:p w14:paraId="1371A9D8">
      <w:pPr>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p>
    <w:p w14:paraId="0469DB5F">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outlineLvl w:val="0"/>
        <w:rPr>
          <w:rFonts w:hint="eastAsia" w:ascii="宋体" w:hAnsi="宋体" w:eastAsia="宋体" w:cs="宋体"/>
          <w:b/>
          <w:bCs/>
          <w:color w:val="auto"/>
          <w:sz w:val="24"/>
          <w:szCs w:val="24"/>
        </w:rPr>
      </w:pPr>
      <w:r>
        <w:rPr>
          <w:rFonts w:hint="eastAsia" w:ascii="宋体" w:hAnsi="宋体" w:eastAsia="宋体" w:cs="宋体"/>
          <w:b/>
          <w:bCs/>
          <w:color w:val="auto"/>
          <w:sz w:val="24"/>
          <w:szCs w:val="24"/>
        </w:rPr>
        <w:t>第</w:t>
      </w:r>
      <w:bookmarkEnd w:id="171"/>
      <w:r>
        <w:rPr>
          <w:rFonts w:hint="eastAsia" w:ascii="宋体" w:hAnsi="宋体" w:eastAsia="宋体" w:cs="宋体"/>
          <w:b/>
          <w:bCs/>
          <w:color w:val="auto"/>
          <w:sz w:val="24"/>
          <w:szCs w:val="24"/>
        </w:rPr>
        <w:t>四章   采购需求</w:t>
      </w:r>
      <w:bookmarkEnd w:id="172"/>
      <w:bookmarkEnd w:id="173"/>
      <w:bookmarkEnd w:id="174"/>
      <w:bookmarkEnd w:id="175"/>
      <w:bookmarkEnd w:id="176"/>
    </w:p>
    <w:p w14:paraId="192D70F4">
      <w:pPr>
        <w:pStyle w:val="39"/>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eastAsia" w:ascii="宋体" w:hAnsi="宋体" w:eastAsia="宋体" w:cs="宋体"/>
          <w:color w:val="auto"/>
          <w:sz w:val="24"/>
          <w:szCs w:val="24"/>
        </w:rPr>
      </w:pPr>
      <w:bookmarkStart w:id="179" w:name="_Toc49090575"/>
      <w:bookmarkStart w:id="180" w:name="_Toc26554093"/>
      <w:r>
        <w:rPr>
          <w:rFonts w:hint="eastAsia" w:ascii="宋体" w:hAnsi="宋体" w:eastAsia="宋体" w:cs="宋体"/>
          <w:b/>
          <w:bCs/>
          <w:color w:val="auto"/>
          <w:sz w:val="24"/>
          <w:szCs w:val="24"/>
        </w:rPr>
        <w:t>项目属性:服务类项目。</w:t>
      </w:r>
    </w:p>
    <w:p w14:paraId="06D8EA99">
      <w:pPr>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采购标的对应的小微企业划分标准所属行业一览表</w:t>
      </w:r>
    </w:p>
    <w:tbl>
      <w:tblPr>
        <w:tblStyle w:val="42"/>
        <w:tblW w:w="9474"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395"/>
        <w:gridCol w:w="3738"/>
      </w:tblGrid>
      <w:tr w14:paraId="2D9B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341" w:type="dxa"/>
            <w:noWrap/>
            <w:vAlign w:val="center"/>
          </w:tcPr>
          <w:p w14:paraId="0B5EA21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4395" w:type="dxa"/>
            <w:noWrap/>
            <w:vAlign w:val="center"/>
          </w:tcPr>
          <w:p w14:paraId="53176E7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采购标的</w:t>
            </w:r>
          </w:p>
        </w:tc>
        <w:tc>
          <w:tcPr>
            <w:tcW w:w="3738" w:type="dxa"/>
            <w:noWrap/>
            <w:vAlign w:val="center"/>
          </w:tcPr>
          <w:p w14:paraId="66CA709C">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对应小微企业划分标准所属行业</w:t>
            </w:r>
          </w:p>
        </w:tc>
      </w:tr>
      <w:tr w14:paraId="5C79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341" w:type="dxa"/>
            <w:noWrap/>
            <w:vAlign w:val="center"/>
          </w:tcPr>
          <w:p w14:paraId="6C1CA70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395" w:type="dxa"/>
            <w:noWrap/>
            <w:vAlign w:val="center"/>
          </w:tcPr>
          <w:p w14:paraId="36D4BD8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盐都区高标准农田调查摸底上图入库全过程技术服务项目</w:t>
            </w:r>
          </w:p>
        </w:tc>
        <w:tc>
          <w:tcPr>
            <w:tcW w:w="3738" w:type="dxa"/>
            <w:noWrap/>
            <w:vAlign w:val="center"/>
          </w:tcPr>
          <w:p w14:paraId="367ED78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其他未列明行业</w:t>
            </w:r>
          </w:p>
        </w:tc>
      </w:tr>
      <w:bookmarkEnd w:id="179"/>
      <w:bookmarkEnd w:id="180"/>
    </w:tbl>
    <w:p w14:paraId="0D36089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bookmarkStart w:id="181" w:name="_Toc120614281"/>
      <w:r>
        <w:rPr>
          <w:rFonts w:hint="eastAsia" w:ascii="宋体" w:hAnsi="宋体" w:eastAsia="宋体" w:cs="宋体"/>
          <w:color w:val="auto"/>
          <w:sz w:val="24"/>
          <w:szCs w:val="24"/>
        </w:rPr>
        <w:t>一、项目概述</w:t>
      </w:r>
    </w:p>
    <w:p w14:paraId="4DEED35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（一）项目名称：盐都区高标准农田调查摸底上图入库全过程技术服务项目</w:t>
      </w:r>
    </w:p>
    <w:p w14:paraId="0CF2FFB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（二）项目最高限价：本项目最高限价为</w:t>
      </w:r>
      <w:r>
        <w:rPr>
          <w:rFonts w:hint="eastAsia" w:eastAsia="宋体" w:cs="宋体"/>
          <w:color w:val="auto"/>
          <w:sz w:val="24"/>
          <w:szCs w:val="24"/>
          <w:lang w:val="en-US" w:eastAsia="zh-CN"/>
        </w:rPr>
        <w:t>392</w:t>
      </w:r>
      <w:r>
        <w:rPr>
          <w:rFonts w:hint="eastAsia" w:ascii="宋体" w:hAnsi="宋体" w:eastAsia="宋体" w:cs="宋体"/>
          <w:color w:val="auto"/>
          <w:sz w:val="24"/>
          <w:szCs w:val="24"/>
        </w:rPr>
        <w:t>万元，投标报价超过最高限价均为无效报价，按照无效处理</w:t>
      </w:r>
    </w:p>
    <w:p w14:paraId="4C3190B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（三）服务期限：自合同签订之日起，2025年12月底前配合完成项目验收等后续工作。（具体结束时间以省厅部署为准）</w:t>
      </w:r>
    </w:p>
    <w:p w14:paraId="4E37BF4C">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采购需求：盐都区高标准农田建成面积约65.01万亩，耕地面积约74.3万亩，根据农业农村厅印发的江苏省高标准农田调查摸底上图入库工作指南，现在盐都区对高标准农田进行调查摸底上图入库工作，包括对位置面积复查与校核比对、数据采集与调查、成果汇交等，以及对耕地内未建高标准农田区域地块进行宜建性评估。</w:t>
      </w:r>
    </w:p>
    <w:p w14:paraId="51561E8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（五）付款方式：</w:t>
      </w:r>
    </w:p>
    <w:p w14:paraId="148A728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eastAsia="宋体" w:cs="宋体"/>
          <w:color w:val="auto"/>
          <w:sz w:val="24"/>
          <w:szCs w:val="24"/>
          <w:lang w:val="en-US" w:eastAsia="zh-CN"/>
        </w:rPr>
        <w:t>1、</w:t>
      </w:r>
      <w:r>
        <w:rPr>
          <w:rFonts w:hint="eastAsia" w:ascii="宋体" w:hAnsi="宋体" w:eastAsia="宋体" w:cs="宋体"/>
          <w:color w:val="auto"/>
          <w:sz w:val="24"/>
          <w:szCs w:val="24"/>
        </w:rPr>
        <w:t>合同签订且乙方向甲方出具预付款保函和发票后10个工作日内，甲方应向乙方支付合同价款的30%。</w:t>
      </w:r>
    </w:p>
    <w:p w14:paraId="12121FA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eastAsia="宋体" w:cs="宋体"/>
          <w:color w:val="auto"/>
          <w:sz w:val="24"/>
          <w:szCs w:val="24"/>
          <w:lang w:val="en-US" w:eastAsia="zh-CN"/>
        </w:rPr>
        <w:t>2、</w:t>
      </w:r>
      <w:r>
        <w:rPr>
          <w:rFonts w:hint="eastAsia" w:ascii="宋体" w:hAnsi="宋体" w:eastAsia="宋体" w:cs="宋体"/>
          <w:color w:val="auto"/>
          <w:sz w:val="24"/>
          <w:szCs w:val="24"/>
        </w:rPr>
        <w:t>本项目服务完成且提供的成果文件通过市级审查合格后，甲方向乙方支付至合同价款的80%。</w:t>
      </w:r>
    </w:p>
    <w:p w14:paraId="240826B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eastAsia="宋体" w:cs="宋体"/>
          <w:color w:val="auto"/>
          <w:sz w:val="24"/>
          <w:szCs w:val="24"/>
          <w:lang w:val="en-US" w:eastAsia="zh-CN"/>
        </w:rPr>
        <w:t>3、</w:t>
      </w:r>
      <w:r>
        <w:rPr>
          <w:rFonts w:hint="eastAsia" w:ascii="宋体" w:hAnsi="宋体" w:eastAsia="宋体" w:cs="宋体"/>
          <w:color w:val="auto"/>
          <w:sz w:val="24"/>
          <w:szCs w:val="24"/>
        </w:rPr>
        <w:t>本项目服务完成且提供的成果文件通过省级审查合格后30个工作日内，甲方应向乙方一次性付清余款。</w:t>
      </w:r>
    </w:p>
    <w:p w14:paraId="2C46C80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二、采购内容</w:t>
      </w:r>
    </w:p>
    <w:p w14:paraId="0F9282F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（一）项目背景</w:t>
      </w:r>
    </w:p>
    <w:p w14:paraId="7D2F9A0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对盐都区已建高标准农田开展全面调查摸底工作，查清盐都区高标准农田数量、质量、分布、利用状况和未建区域宜建性，推动相关信息“上图入库”，实现“底数清、位置准、情况明”的目标。为加快推进农田数字化建设，实现“以图管田”、分类管理、精准施策，提供科学准确的数据信息支撑，对夯实盐都区高标准农田高水平建设管理基础，高质量推进耕地建设与利用，保障粮食安全具有重要意义。</w:t>
      </w:r>
    </w:p>
    <w:p w14:paraId="380E549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（二）项目范围</w:t>
      </w:r>
    </w:p>
    <w:p w14:paraId="3DDC1664">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高标准农田建成面积约65.01万亩，耕地面积约74.3万亩。根据农业农村厅印发的江苏省高标准农田调查摸底上图入库工作指南，对盐都区2011年以来已建成并完成上图入库的高标准农田项目，包括：清查评估入库的2011–2018年各级各有关部门建设管理的高标准农田建设项目，2019–2023年农业农村局统一建设管理并纳入全国农田建设综合监测监管平台的高标准农田建设项目，</w:t>
      </w:r>
      <w:r>
        <w:rPr>
          <w:rFonts w:hint="eastAsia" w:ascii="宋体" w:hAnsi="宋体" w:eastAsia="宋体" w:cs="宋体"/>
          <w:color w:val="auto"/>
          <w:sz w:val="24"/>
          <w:szCs w:val="24"/>
        </w:rPr>
        <w:t>本项目工作底图中补录上图入库的高标准农田项目</w:t>
      </w:r>
      <w:r>
        <w:rPr>
          <w:rFonts w:hint="eastAsia" w:eastAsia="宋体" w:cs="宋体"/>
          <w:color w:val="auto"/>
          <w:sz w:val="24"/>
          <w:szCs w:val="24"/>
          <w:lang w:eastAsia="zh-CN"/>
        </w:rPr>
        <w:t>，</w:t>
      </w:r>
      <w:r>
        <w:rPr>
          <w:rFonts w:hint="eastAsia" w:ascii="宋体" w:hAnsi="宋体" w:eastAsia="宋体" w:cs="宋体"/>
          <w:color w:val="auto"/>
          <w:sz w:val="24"/>
          <w:szCs w:val="24"/>
        </w:rPr>
        <w:t>同时，对耕地内未建高标准农田区域进行宜建情况评估。</w:t>
      </w:r>
    </w:p>
    <w:p w14:paraId="0E8FFD3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（三）服务内容</w:t>
      </w:r>
    </w:p>
    <w:p w14:paraId="3FFEECA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1、项目工作准备</w:t>
      </w:r>
    </w:p>
    <w:p w14:paraId="4C80BE8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统筹落实调查摸底工作相关的人财物等资源保障安排，包括开展方案编制、硬件保障、数据清查、人员培训等</w:t>
      </w:r>
      <w:r>
        <w:rPr>
          <w:rFonts w:hint="eastAsia" w:eastAsia="宋体" w:cs="宋体"/>
          <w:color w:val="auto"/>
          <w:sz w:val="24"/>
          <w:szCs w:val="24"/>
          <w:lang w:eastAsia="zh-CN"/>
        </w:rPr>
        <w:t>，</w:t>
      </w:r>
      <w:r>
        <w:rPr>
          <w:rFonts w:hint="eastAsia" w:eastAsia="宋体" w:cs="宋体"/>
          <w:color w:val="auto"/>
          <w:sz w:val="24"/>
          <w:szCs w:val="24"/>
          <w:lang w:eastAsia="zh-CN"/>
        </w:rPr>
        <w:t>根据省级下发的工作底图对区级高标准农田项目位置面积完成复查与校核，并完成数据质检与汇交；对区级耕地范围内已建高标准农田和未建区域完成调查摸底数据审核、质检与汇交（按照调查单元划分）；完成全区数据成果汇总、文本成果编制工作；配合区级工作专班完成工作督导和全过程管理等相关工作</w:t>
      </w:r>
      <w:r>
        <w:rPr>
          <w:rFonts w:hint="eastAsia" w:ascii="宋体" w:hAnsi="宋体" w:eastAsia="宋体" w:cs="宋体"/>
          <w:color w:val="auto"/>
          <w:sz w:val="24"/>
          <w:szCs w:val="24"/>
        </w:rPr>
        <w:t>。</w:t>
      </w:r>
    </w:p>
    <w:p w14:paraId="0BCD283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（1）方案编制</w:t>
      </w:r>
    </w:p>
    <w:p w14:paraId="41944A8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实际需求编制本级调查摸底工作的预算方案及工作（含技术）方案，符合自身实际、切实可行、量化清晰的调查摸底工作方案，明确调查摸底工作的目标、内容、步骤、技术路线、进度安排、责任分工、工作措施、工作保障等。</w:t>
      </w:r>
    </w:p>
    <w:p w14:paraId="2E17471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（2）硬件保障</w:t>
      </w:r>
    </w:p>
    <w:p w14:paraId="5A24623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需具备满足调查摸底工具（WEB）系统单机运行的PC终端。</w:t>
      </w:r>
    </w:p>
    <w:p w14:paraId="3CE6AC1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（3）人员培训</w:t>
      </w:r>
    </w:p>
    <w:p w14:paraId="44645E2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根据工作需要组织做好工作动员和人员培训工作，协调组织培训单位和参会人员，包含对本级及下属乡镇调查摸底的工作指导，确保各级人员全面了解本次调查摸底工作，保障工作顺利进行。</w:t>
      </w:r>
    </w:p>
    <w:p w14:paraId="2167FB0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（4）数据收集整理</w:t>
      </w:r>
    </w:p>
    <w:p w14:paraId="0D96CFCA">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在当地农业农村局领导的协调配合下，收集项目区历史数据，包含高标准农田竣工图纸、工程设施定点定位表、工程设施矢量数据、种植经营情况、产量情况等基础资料，并对收集的资料进行综合分析和初步整理</w:t>
      </w:r>
      <w:r>
        <w:rPr>
          <w:rFonts w:hint="eastAsia" w:eastAsia="宋体" w:cs="宋体"/>
          <w:color w:val="auto"/>
          <w:sz w:val="24"/>
          <w:szCs w:val="24"/>
          <w:lang w:eastAsia="zh-CN"/>
        </w:rPr>
        <w:t>，</w:t>
      </w:r>
      <w:r>
        <w:rPr>
          <w:rFonts w:hint="eastAsia" w:eastAsia="宋体" w:cs="宋体"/>
          <w:color w:val="auto"/>
          <w:sz w:val="24"/>
          <w:szCs w:val="24"/>
          <w:lang w:eastAsia="zh-CN"/>
        </w:rPr>
        <w:t>包括资料的可利用性分析、匹配性分析和综合分析，将整理分析后的纸质图件成果扫描矢量化，按省级相关技术规程完成内业数据处理</w:t>
      </w:r>
      <w:r>
        <w:rPr>
          <w:rFonts w:hint="eastAsia" w:ascii="宋体" w:hAnsi="宋体" w:eastAsia="宋体" w:cs="宋体"/>
          <w:color w:val="auto"/>
          <w:sz w:val="24"/>
          <w:szCs w:val="24"/>
        </w:rPr>
        <w:t>。</w:t>
      </w:r>
    </w:p>
    <w:p w14:paraId="0997D699">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2、位置面积复查与校核比对</w:t>
      </w:r>
    </w:p>
    <w:p w14:paraId="77B7D8E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（1）项目范围修订和划定</w:t>
      </w:r>
    </w:p>
    <w:p w14:paraId="66CC88DA">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p>
    <w:p w14:paraId="76132F3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（2）项目区专题重叠核实确认</w:t>
      </w:r>
    </w:p>
    <w:p w14:paraId="212B6B4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区级对2011-2023年高标准农田项目图斑与林地区划数据、城镇开发边界、生态保护红线、水源地保护范围线、河道湖泊管理范围线等部门专题数据的重叠成果进行核实确认。</w:t>
      </w:r>
    </w:p>
    <w:p w14:paraId="3D29C582">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（3）耕地与永久基本农田建设情况分析</w:t>
      </w:r>
    </w:p>
    <w:p w14:paraId="2090970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w:t>
      </w:r>
    </w:p>
    <w:p w14:paraId="5284391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3、数据采集与调查</w:t>
      </w:r>
    </w:p>
    <w:p w14:paraId="48603DD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（1）工程设施评估与上图</w:t>
      </w:r>
    </w:p>
    <w:p w14:paraId="78A2F222">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1）工程信息内业处理上图</w:t>
      </w:r>
    </w:p>
    <w:p w14:paraId="44EA587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针对有定点定位表和矢量位置的工程设施，首先将定点定位表换为矢量图层，进而叠加遥感影像底图修正工程设施点位，作为后续工程设施信息调查的基础。针对缺少定点点位表的工程设施，参考竣工验收图纸、竣工验收工程清单等信息，按项目区形成各类工程设施表单，基于遥感影像勾画部分工程设施矢量点位。</w:t>
      </w:r>
    </w:p>
    <w:p w14:paraId="573BC73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2）工程信息外业调查</w:t>
      </w:r>
    </w:p>
    <w:p w14:paraId="4BC693F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确定的高标准农田项目范围为调查单元，对农田配套设施工程进行信息采集和评估。外业调查评估内容包括各类田间工程和其他关联工作，具体涉及灌溉与排水设施、田间道路、农田防护与生态环境防护、智能科技装备、农业生产服务设施5大类。调查确认工程数量、所属项目、质量情况、运行情况、管护情况，校核已有信息的准确性，补充完善缺失信息。</w:t>
      </w:r>
    </w:p>
    <w:p w14:paraId="223DB83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（2）产量信息采集与产能评估</w:t>
      </w:r>
    </w:p>
    <w:p w14:paraId="5F6C2AB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p>
    <w:p w14:paraId="0EEAC7B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（3）种植经营模式调查</w:t>
      </w:r>
    </w:p>
    <w:p w14:paraId="2261F059">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p>
    <w:p w14:paraId="0A2090F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（4）未建区域地块调查</w:t>
      </w:r>
    </w:p>
    <w:p w14:paraId="62EE5ED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以地块为调查单元，对耕地内未建区域的连片度、道路通达情况、地块平整度、是否位于灌区内、宜机化、种植与利用情况进行调查，作为宜建性评估数据来源。</w:t>
      </w:r>
    </w:p>
    <w:p w14:paraId="5B9E700C">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4、数据建库及汇交</w:t>
      </w:r>
    </w:p>
    <w:p w14:paraId="0C32CB7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设标准化、规范化的盐都区高标准农田多源综合数据库，主要分为项目区数据库、工程设施数据库和专题数据库三类，对数据成果进行汇总和动态管理。根据省级工作要求，将质检完成后的盐都区调查摸底成果数据汇交到市级和省级。</w:t>
      </w:r>
    </w:p>
    <w:p w14:paraId="5A45013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5、质量控制</w:t>
      </w:r>
    </w:p>
    <w:p w14:paraId="389E2CF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p>
    <w:p w14:paraId="4804317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6、成果编制</w:t>
      </w:r>
    </w:p>
    <w:p w14:paraId="69525BE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编写相关报告和图表成果，包含：</w:t>
      </w:r>
    </w:p>
    <w:p w14:paraId="02BB1C4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（1）报告编制</w:t>
      </w:r>
    </w:p>
    <w:p w14:paraId="219C0F7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盐都区高标准农田调查摸底工作总结报告；</w:t>
      </w:r>
    </w:p>
    <w:p w14:paraId="21B7BC5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盐都区高标准农田调查摸底技术报告；</w:t>
      </w:r>
    </w:p>
    <w:p w14:paraId="2C71D7E9">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盐都区高标准农田调查摸底质量控制报告。</w:t>
      </w:r>
    </w:p>
    <w:p w14:paraId="38A1593A">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（2）图表编制</w:t>
      </w:r>
    </w:p>
    <w:p w14:paraId="6964708C">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盐都区行政区内已建高标准农田工程设施数据；</w:t>
      </w:r>
    </w:p>
    <w:p w14:paraId="1C27EC9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盐都区行政区内已建高标准农田粮食产能数据；</w:t>
      </w:r>
    </w:p>
    <w:p w14:paraId="13D63D52">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盐都区行政区内已建高标准农田耕地流转数据；</w:t>
      </w:r>
    </w:p>
    <w:p w14:paraId="19B8632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盐都区行政区内未建高标准农田宜建性评估数据。</w:t>
      </w:r>
    </w:p>
    <w:p w14:paraId="16976C4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三、技术要求</w:t>
      </w:r>
    </w:p>
    <w:p w14:paraId="252DF1C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1、技术指标</w:t>
      </w:r>
    </w:p>
    <w:p w14:paraId="3EA4CD8A">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（1）空间定位</w:t>
      </w:r>
    </w:p>
    <w:p w14:paraId="219CA7F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坐标系统：采用2000国家大地坐标系；</w:t>
      </w:r>
    </w:p>
    <w:p w14:paraId="4B722029">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投影系统：采用高斯-克吕格投影，采用标准3度分带平面直角坐标系；</w:t>
      </w:r>
    </w:p>
    <w:p w14:paraId="60E3ACD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高程系统：采用1985国家高程基准。</w:t>
      </w:r>
    </w:p>
    <w:p w14:paraId="1CEE2E4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（2）计量单位</w:t>
      </w:r>
    </w:p>
    <w:p w14:paraId="6A051794">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采用法定计量单位，数据精度在各项调查摸底工作技术规程规范中做详细说明：</w:t>
      </w:r>
    </w:p>
    <w:p w14:paraId="53782CA4">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长度单位根据需要采用千米（km）或米（m）计量；</w:t>
      </w:r>
    </w:p>
    <w:p w14:paraId="477D4FE2">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面积计算单位采用公顷，面积统计汇总单位采用公顷，万亩、亩作为辅助单位；</w:t>
      </w:r>
    </w:p>
    <w:p w14:paraId="4CED5C2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坐标单位采用米（m）；</w:t>
      </w:r>
    </w:p>
    <w:p w14:paraId="44C5034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日期采用公元纪年，时间采用北京时间；</w:t>
      </w:r>
    </w:p>
    <w:p w14:paraId="6F126A3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比例计算采用百分比（%）的形式。</w:t>
      </w:r>
    </w:p>
    <w:p w14:paraId="7518E11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2、政策文件</w:t>
      </w:r>
    </w:p>
    <w:p w14:paraId="79332DF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（1）《国土资源部 国家发展改革委 财政部 水利部 农业部关于切实做好高标准农田建设统一上图入库工作的通知》（国土资发〔2017〕115号）</w:t>
      </w:r>
    </w:p>
    <w:p w14:paraId="17D6526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（2）《省政府办公厅关于印发江苏省高标准农田建设标准的通知》（苏政办发〔2021〕21号）</w:t>
      </w:r>
    </w:p>
    <w:p w14:paraId="1D484D44">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（3）《全国高标准农田建设规划（2021-2030年）》</w:t>
      </w:r>
    </w:p>
    <w:p w14:paraId="3E450BF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（4）《关于做好全省高标准农田调查摸底、“上图入库”工作的通知》（苏农建〔2024〕6号）</w:t>
      </w:r>
    </w:p>
    <w:p w14:paraId="560BAD8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（5）《高标准农田建设评价规范》（GB/T 33130-2016）</w:t>
      </w:r>
    </w:p>
    <w:p w14:paraId="52C500E2">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（6）《耕地质量等级》（GB/T 33469-2016）</w:t>
      </w:r>
    </w:p>
    <w:p w14:paraId="1771D26C">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（7）《土地利用现状分类》（GB/T 21010-2017）</w:t>
      </w:r>
    </w:p>
    <w:p w14:paraId="0B4D371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（8）《灌溉与排水工程设计标准》（GB 50288-2018）</w:t>
      </w:r>
    </w:p>
    <w:p w14:paraId="14D82E1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（9）《信息安全技术 数据库管理系统安全技术要求》（GB/T 20273-2019）</w:t>
      </w:r>
    </w:p>
    <w:p w14:paraId="419251D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（10）《基础地理信息数字成果元数据》（GB/T 39608-2020）</w:t>
      </w:r>
    </w:p>
    <w:p w14:paraId="6A78DBA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（11）《渠道防渗衬砌工程技术标准》（GB/T 50600-2020）</w:t>
      </w:r>
    </w:p>
    <w:p w14:paraId="52AFEAB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（12）《高标准农田建设通则》（GB/T 30600-2022）</w:t>
      </w:r>
    </w:p>
    <w:p w14:paraId="13E48CCD">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（13）《全国耕地类型区、耕地地力等级划分》（NY/T 309—1996）</w:t>
      </w:r>
    </w:p>
    <w:p w14:paraId="283181D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（14）《耕地地力调查与质量评价技术规程》（NY/T 1634—2008）</w:t>
      </w:r>
    </w:p>
    <w:p w14:paraId="05D9E50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（15）《高标准农田建设项目制图及其图例规范》（DB32/T 3721-2020）</w:t>
      </w:r>
    </w:p>
    <w:p w14:paraId="10F39599">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（16）《高标准农田建设评价规范》（讨论稿）</w:t>
      </w:r>
    </w:p>
    <w:p w14:paraId="356D8D09">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四、进度要求</w:t>
      </w:r>
    </w:p>
    <w:p w14:paraId="5C86C0E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1、第一阶段</w:t>
      </w:r>
      <w:r>
        <w:rPr>
          <w:rFonts w:hint="eastAsia" w:eastAsia="宋体" w:cs="宋体"/>
          <w:color w:val="auto"/>
          <w:sz w:val="24"/>
          <w:szCs w:val="24"/>
          <w:lang w:eastAsia="zh-CN"/>
        </w:rPr>
        <w:t>（</w:t>
      </w:r>
      <w:r>
        <w:rPr>
          <w:rFonts w:hint="eastAsia" w:eastAsia="宋体" w:cs="宋体"/>
          <w:color w:val="auto"/>
          <w:sz w:val="24"/>
          <w:szCs w:val="24"/>
          <w:lang w:val="en-US" w:eastAsia="zh-CN"/>
        </w:rPr>
        <w:t>2025年2月底前</w:t>
      </w:r>
      <w:r>
        <w:rPr>
          <w:rFonts w:hint="eastAsia" w:eastAsia="宋体" w:cs="宋体"/>
          <w:color w:val="auto"/>
          <w:sz w:val="24"/>
          <w:szCs w:val="24"/>
          <w:lang w:eastAsia="zh-CN"/>
        </w:rPr>
        <w:t>）</w:t>
      </w:r>
    </w:p>
    <w:p w14:paraId="4CFB1F6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做好相关方案编制工作，包括本级的调查摸底工作方案、实施方案、预算方案等；组织开展相关培训工作；配合省、市级要求组织开展项目信息清查，基本信息核实工作；组织开展边界范围划定工作；</w:t>
      </w:r>
    </w:p>
    <w:p w14:paraId="42832EF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2、第二阶段（2025年</w:t>
      </w:r>
      <w:r>
        <w:rPr>
          <w:rFonts w:hint="eastAsia" w:eastAsia="宋体" w:cs="宋体"/>
          <w:color w:val="auto"/>
          <w:sz w:val="24"/>
          <w:szCs w:val="24"/>
          <w:lang w:val="en-US" w:eastAsia="zh-CN"/>
        </w:rPr>
        <w:t>5</w:t>
      </w:r>
      <w:r>
        <w:rPr>
          <w:rFonts w:hint="eastAsia" w:ascii="宋体" w:hAnsi="宋体" w:eastAsia="宋体" w:cs="宋体"/>
          <w:color w:val="auto"/>
          <w:sz w:val="24"/>
          <w:szCs w:val="24"/>
        </w:rPr>
        <w:t>月底前）</w:t>
      </w:r>
    </w:p>
    <w:p w14:paraId="67BC08C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学习省级编制下发的各项操作规程；根据省、市计划按时完成实地的外业调查工作、成果汇总及质检核查，确保数据填报的完整性和真实性；</w:t>
      </w:r>
    </w:p>
    <w:p w14:paraId="36322D9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3、第三阶段（2025年</w:t>
      </w:r>
      <w:r>
        <w:rPr>
          <w:rFonts w:hint="eastAsia" w:eastAsia="宋体" w:cs="宋体"/>
          <w:color w:val="auto"/>
          <w:sz w:val="24"/>
          <w:szCs w:val="24"/>
          <w:lang w:val="en-US" w:eastAsia="zh-CN"/>
        </w:rPr>
        <w:t>8</w:t>
      </w:r>
      <w:r>
        <w:rPr>
          <w:rFonts w:hint="eastAsia" w:ascii="宋体" w:hAnsi="宋体" w:eastAsia="宋体" w:cs="宋体"/>
          <w:color w:val="auto"/>
          <w:sz w:val="24"/>
          <w:szCs w:val="24"/>
        </w:rPr>
        <w:t>月底前）</w:t>
      </w:r>
    </w:p>
    <w:p w14:paraId="02B555FA">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汇总区域内的数据成果；编制本级的工作总结、工作技术（含质量控制）报告，做好项目验收相关工作。</w:t>
      </w:r>
    </w:p>
    <w:p w14:paraId="2F3CD174">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具体时间安排根据省、市最新文件要求进行调整。</w:t>
      </w:r>
    </w:p>
    <w:p w14:paraId="2DC0E53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五、成果要求</w:t>
      </w:r>
    </w:p>
    <w:p w14:paraId="2690AC0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1、数据成果</w:t>
      </w:r>
    </w:p>
    <w:p w14:paraId="6F92E36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汇总盐都区范围内已建高标准农田工程设施、粮食产能、耕地流转和耕地内未建高标准农田区域等调查摸底数据。</w:t>
      </w:r>
    </w:p>
    <w:p w14:paraId="37D7245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（1）盐都区内已建高标准农田工程设施数据；</w:t>
      </w:r>
    </w:p>
    <w:p w14:paraId="206DE48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（2）盐都区内已建高标准农田粮食产能数据；</w:t>
      </w:r>
    </w:p>
    <w:p w14:paraId="5B88334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（3）盐都区内已建高标准农田耕地流转数据；</w:t>
      </w:r>
    </w:p>
    <w:p w14:paraId="22E443F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（4）盐都区内未建高标准农田宜建性评估数据。</w:t>
      </w:r>
    </w:p>
    <w:p w14:paraId="7202531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2、文字成果</w:t>
      </w:r>
    </w:p>
    <w:p w14:paraId="29F6705A">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编制盐都区高标准农田调查摸底工作分析报告。</w:t>
      </w:r>
    </w:p>
    <w:p w14:paraId="3B8B6A5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（1）盐都区高标准农田调查摸底工作总结报告；</w:t>
      </w:r>
    </w:p>
    <w:p w14:paraId="6850F162">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（2）盐都区高标准农田调查摸底工作技术报告；</w:t>
      </w:r>
    </w:p>
    <w:p w14:paraId="47BA647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（3）盐都区高标准农田调查摸底工作质量控制报告。</w:t>
      </w:r>
    </w:p>
    <w:p w14:paraId="2B549D3F">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六、售后服务</w:t>
      </w:r>
    </w:p>
    <w:p w14:paraId="2B87654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项目通过验收后，成交供应商须为本项目提供1年免费维保。</w:t>
      </w:r>
    </w:p>
    <w:p w14:paraId="1871BEA7">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供应商应按照采购内容，规划设计合理可行的售后服务方案，售后服务方案包括售后服务承诺、售后服务内容、响应时间、响应方式等内容。</w:t>
      </w:r>
    </w:p>
    <w:p w14:paraId="13B72CF1">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七、验收服务</w:t>
      </w:r>
    </w:p>
    <w:p w14:paraId="3588685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项目符合国家、行业、地方相关规定，并满足采购人要求。</w:t>
      </w:r>
    </w:p>
    <w:p w14:paraId="253CFF8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1、文字类成果需通过工作专班的评审；</w:t>
      </w:r>
    </w:p>
    <w:p w14:paraId="1E0FA9C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2、数据类成果需满足规程规范，通过软件质检并满足质量控制标准；</w:t>
      </w:r>
    </w:p>
    <w:p w14:paraId="32EDA1E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3、需提供年度阶段性工作成果，每年的工作成果需通过采购人组织的评审，并出具验收报告。</w:t>
      </w:r>
    </w:p>
    <w:p w14:paraId="6686B22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八、服务期限</w:t>
      </w:r>
    </w:p>
    <w:p w14:paraId="3BC8FA1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自合同签订之日起，2025年12月底前配合完成项目验收等后续工作。（具体结束时间以省厅部署为准）。</w:t>
      </w:r>
    </w:p>
    <w:p w14:paraId="0D90727B">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eastAsia="宋体" w:cs="宋体"/>
          <w:color w:val="auto"/>
          <w:sz w:val="24"/>
          <w:szCs w:val="24"/>
          <w:lang w:val="en-US" w:eastAsia="zh-CN"/>
        </w:rPr>
        <w:t>九、</w:t>
      </w:r>
      <w:r>
        <w:rPr>
          <w:rFonts w:hint="eastAsia" w:ascii="宋体" w:hAnsi="宋体" w:eastAsia="宋体" w:cs="宋体"/>
          <w:color w:val="auto"/>
          <w:sz w:val="24"/>
          <w:szCs w:val="24"/>
          <w:lang w:val="en-US" w:eastAsia="zh-CN"/>
        </w:rPr>
        <w:t>补充说明</w:t>
      </w:r>
    </w:p>
    <w:p w14:paraId="373E53A2">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1、完成的所有成果要求数量齐全、质量有保证，须通过上级部门质量检查。若中标人提供的成果质量不合格造成返工的，由中标人自行承担相关费用。</w:t>
      </w:r>
    </w:p>
    <w:p w14:paraId="564619A5">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2</w:t>
      </w:r>
      <w:r>
        <w:rPr>
          <w:rFonts w:hint="default" w:ascii="宋体" w:hAnsi="宋体" w:eastAsia="宋体" w:cs="宋体"/>
          <w:color w:val="auto"/>
          <w:sz w:val="24"/>
          <w:szCs w:val="24"/>
          <w:lang w:val="en-US" w:eastAsia="zh-CN"/>
        </w:rPr>
        <w:t xml:space="preserve">、投标人提供本地化服务承诺函，承诺中标后5日内将在本地设立服务机构（或办公地点）并派驻服务人员。 </w:t>
      </w:r>
    </w:p>
    <w:p w14:paraId="321864C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3</w:t>
      </w:r>
      <w:r>
        <w:rPr>
          <w:rFonts w:hint="default" w:ascii="宋体" w:hAnsi="宋体" w:eastAsia="宋体" w:cs="宋体"/>
          <w:color w:val="auto"/>
          <w:sz w:val="24"/>
          <w:szCs w:val="24"/>
          <w:lang w:val="en-US" w:eastAsia="zh-CN"/>
        </w:rPr>
        <w:t>、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中标单位不得再要求追加任何费用。同时，除非合同条款中另有规定，否则，中标单位所报价格在合同实施期间不因市场变化因素而变动。</w:t>
      </w:r>
    </w:p>
    <w:p w14:paraId="6AAA25D8">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4</w:t>
      </w:r>
      <w:r>
        <w:rPr>
          <w:rFonts w:hint="default" w:ascii="宋体" w:hAnsi="宋体" w:eastAsia="宋体" w:cs="宋体"/>
          <w:color w:val="auto"/>
          <w:sz w:val="24"/>
          <w:szCs w:val="24"/>
          <w:lang w:val="en-US" w:eastAsia="zh-CN"/>
        </w:rPr>
        <w:t>、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p>
    <w:p w14:paraId="4702D30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5</w:t>
      </w:r>
      <w:r>
        <w:rPr>
          <w:rFonts w:hint="default" w:ascii="宋体" w:hAnsi="宋体" w:eastAsia="宋体" w:cs="宋体"/>
          <w:color w:val="auto"/>
          <w:sz w:val="24"/>
          <w:szCs w:val="24"/>
          <w:lang w:val="en-US" w:eastAsia="zh-CN"/>
        </w:rPr>
        <w:t>、投标单位必须承诺采购文件中提出的全部服务要求；如果以其中某些条款不响应时，应在文件中逐条列出，未列出的视同响应。</w:t>
      </w:r>
    </w:p>
    <w:p w14:paraId="5FF3F980">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6</w:t>
      </w:r>
      <w:r>
        <w:rPr>
          <w:rFonts w:hint="default" w:ascii="宋体" w:hAnsi="宋体" w:eastAsia="宋体" w:cs="宋体"/>
          <w:color w:val="auto"/>
          <w:sz w:val="24"/>
          <w:szCs w:val="24"/>
          <w:lang w:val="en-US" w:eastAsia="zh-CN"/>
        </w:rPr>
        <w:t>、中标单位工作人员在岗履行职责期间（包括上下班途中），发生自身的人身伤害、伤亡，均由成交单位负责处理并承担经济和道义上的责任，采购单位不承担任何责任。</w:t>
      </w:r>
    </w:p>
    <w:p w14:paraId="48A3C58E">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7</w:t>
      </w:r>
      <w:r>
        <w:rPr>
          <w:rFonts w:hint="default" w:ascii="宋体" w:hAnsi="宋体" w:eastAsia="宋体" w:cs="宋体"/>
          <w:color w:val="auto"/>
          <w:sz w:val="24"/>
          <w:szCs w:val="24"/>
          <w:lang w:val="en-US" w:eastAsia="zh-CN"/>
        </w:rPr>
        <w:t>、投标单位必须保证全部响应资料的真实性，在中标结果公示期间，中标单位须提供相关响应原件资料以供与复印件资料核对。如有虚假或对招标文件所要求说明的情况故意隐瞒或虚报，采购人将依法取消其成交的资格，并将按照《中华人民共和国政府采购法》相关条款给予处罚。</w:t>
      </w:r>
    </w:p>
    <w:p w14:paraId="7CCFBBE3">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8</w:t>
      </w:r>
      <w:r>
        <w:rPr>
          <w:rFonts w:hint="default" w:ascii="宋体" w:hAnsi="宋体" w:eastAsia="宋体" w:cs="宋体"/>
          <w:color w:val="auto"/>
          <w:sz w:val="24"/>
          <w:szCs w:val="24"/>
          <w:lang w:val="en-US" w:eastAsia="zh-CN"/>
        </w:rPr>
        <w:t>、知识产权：中标单位应保证采购方免除且供方承担由于采购方在使用其投标的产品或其任何一部分时而引起第三方提出的侵犯专利权、商标权或工业设计权的起诉、行动、行政程序索赔、请求等以及需方为此而产生的损失和损害、费用和支出（包括律师费）。投标人对投标文件涉及到专利、软著、著作权等知识产权负责，保证在任何情况下，不伤害采购人利益。本招标项目凡涉及投标人需使用他人专利或专有技术而需支付相关费用的，由投标人自行考虑其相关费用并列入投标总价，招标人在项目结算时不另行支付该项费用。</w:t>
      </w:r>
    </w:p>
    <w:p w14:paraId="03189246">
      <w:pPr>
        <w:pStyle w:val="203"/>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auto"/>
          <w:sz w:val="24"/>
          <w:szCs w:val="24"/>
          <w:lang w:val="en-US" w:eastAsia="zh-CN"/>
        </w:rPr>
      </w:pPr>
      <w:r>
        <w:rPr>
          <w:rFonts w:hint="eastAsia" w:eastAsia="宋体" w:cs="宋体"/>
          <w:color w:val="auto"/>
          <w:sz w:val="24"/>
          <w:szCs w:val="24"/>
          <w:lang w:val="en-US" w:eastAsia="zh-CN"/>
        </w:rPr>
        <w:t>9</w:t>
      </w:r>
      <w:r>
        <w:rPr>
          <w:rFonts w:hint="default" w:ascii="宋体" w:hAnsi="宋体" w:eastAsia="宋体" w:cs="宋体"/>
          <w:color w:val="auto"/>
          <w:sz w:val="24"/>
          <w:szCs w:val="24"/>
          <w:lang w:val="en-US" w:eastAsia="zh-CN"/>
        </w:rPr>
        <w:t>、投标人应对本项目内容具有一定的认知，并可以提供针对本项目的技术方案和质量保证措施，且根据自身的理解和实力提供有效的合理化建议和后续服务。</w:t>
      </w:r>
    </w:p>
    <w:p w14:paraId="54A31D4D">
      <w:pPr>
        <w:pStyle w:val="203"/>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jc w:val="both"/>
        <w:textAlignment w:val="auto"/>
        <w:rPr>
          <w:rFonts w:hint="default" w:ascii="宋体" w:hAnsi="宋体" w:eastAsia="宋体" w:cs="宋体"/>
          <w:color w:val="auto"/>
          <w:sz w:val="24"/>
          <w:szCs w:val="24"/>
          <w:lang w:val="en-US" w:eastAsia="zh-CN"/>
        </w:rPr>
      </w:pPr>
    </w:p>
    <w:p w14:paraId="19122778">
      <w:pPr>
        <w:pStyle w:val="203"/>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jc w:val="both"/>
        <w:textAlignment w:val="auto"/>
        <w:rPr>
          <w:rFonts w:hint="default" w:ascii="宋体" w:hAnsi="宋体" w:eastAsia="宋体" w:cs="宋体"/>
          <w:color w:val="auto"/>
          <w:sz w:val="24"/>
          <w:szCs w:val="24"/>
          <w:lang w:val="en-US" w:eastAsia="zh-CN"/>
        </w:rPr>
        <w:sectPr>
          <w:footerReference r:id="rId3" w:type="default"/>
          <w:pgSz w:w="11906" w:h="16838"/>
          <w:pgMar w:top="1417" w:right="1247" w:bottom="1417" w:left="1247" w:header="851" w:footer="992" w:gutter="0"/>
          <w:pgNumType w:start="1"/>
          <w:cols w:space="425" w:num="1"/>
          <w:docGrid w:linePitch="360" w:charSpace="0"/>
        </w:sectPr>
      </w:pPr>
    </w:p>
    <w:p w14:paraId="03095D0A">
      <w:pPr>
        <w:pStyle w:val="39"/>
        <w:keepNext/>
        <w:keepLines w:val="0"/>
        <w:pageBreakBefore w:val="0"/>
        <w:widowControl w:val="0"/>
        <w:kinsoku/>
        <w:wordWrap/>
        <w:overflowPunct/>
        <w:topLinePunct w:val="0"/>
        <w:autoSpaceDE/>
        <w:autoSpaceDN/>
        <w:bidi w:val="0"/>
        <w:adjustRightInd w:val="0"/>
        <w:snapToGrid w:val="0"/>
        <w:spacing w:beforeAutospacing="0" w:afterAutospacing="0" w:line="360" w:lineRule="auto"/>
        <w:jc w:val="center"/>
        <w:textAlignment w:val="auto"/>
        <w:outlineLvl w:val="0"/>
        <w:rPr>
          <w:rFonts w:hint="eastAsia" w:ascii="宋体" w:hAnsi="宋体" w:eastAsia="宋体" w:cs="宋体"/>
          <w:color w:val="auto"/>
          <w:sz w:val="24"/>
          <w:szCs w:val="24"/>
        </w:rPr>
      </w:pPr>
      <w:r>
        <w:rPr>
          <w:rFonts w:hint="eastAsia" w:ascii="宋体" w:hAnsi="宋体" w:eastAsia="宋体" w:cs="宋体"/>
          <w:b/>
          <w:bCs/>
          <w:color w:val="auto"/>
          <w:sz w:val="24"/>
          <w:szCs w:val="24"/>
        </w:rPr>
        <w:t>第五章  评标方法与评标标准</w:t>
      </w:r>
    </w:p>
    <w:p w14:paraId="1F7DF674">
      <w:pPr>
        <w:pStyle w:val="39"/>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textAlignment w:val="auto"/>
        <w:rPr>
          <w:rFonts w:hint="eastAsia" w:ascii="宋体" w:hAnsi="宋体" w:eastAsia="宋体" w:cs="宋体"/>
          <w:bCs/>
          <w:color w:val="auto"/>
          <w:sz w:val="24"/>
          <w:szCs w:val="24"/>
        </w:rPr>
      </w:pPr>
      <w:r>
        <w:rPr>
          <w:rFonts w:hint="eastAsia" w:ascii="宋体" w:hAnsi="宋体" w:eastAsia="宋体" w:cs="宋体"/>
          <w:b/>
          <w:bCs/>
          <w:color w:val="auto"/>
          <w:sz w:val="24"/>
          <w:szCs w:val="24"/>
        </w:rPr>
        <w:t>一、评标方法与定标原则</w:t>
      </w:r>
    </w:p>
    <w:p w14:paraId="44403FA8">
      <w:pPr>
        <w:pStyle w:val="39"/>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本项目采用综合评分法。</w:t>
      </w:r>
      <w:r>
        <w:rPr>
          <w:rFonts w:hint="eastAsia" w:ascii="宋体" w:hAnsi="宋体" w:eastAsia="宋体" w:cs="宋体"/>
          <w:color w:val="auto"/>
          <w:sz w:val="24"/>
          <w:szCs w:val="24"/>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50A1A0E2">
      <w:pPr>
        <w:pStyle w:val="39"/>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政府采购政策功能落实</w:t>
      </w:r>
    </w:p>
    <w:p w14:paraId="5DD5B77C">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1、小微型企业价格扣除</w:t>
      </w:r>
    </w:p>
    <w:p w14:paraId="24519CC8">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（1）本项目对小型和微型企业提供的服务给予20%的扣除价格，用扣除后的价格参与评审。</w:t>
      </w:r>
    </w:p>
    <w:p w14:paraId="1B7C12A6">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（2）供应商需按照采购文件的要求提供相应的《小微企业声明函》。</w:t>
      </w:r>
    </w:p>
    <w:p w14:paraId="0D465E7D">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（3）企业标准请参照《关于印发中小企业划型标准规定的通知》（工信部联企业[2011]300号）文件规定自行填写。</w:t>
      </w:r>
    </w:p>
    <w:p w14:paraId="661FCC36">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2、残疾人福利单位价格扣除</w:t>
      </w:r>
    </w:p>
    <w:p w14:paraId="07BF32C1">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（1）本项目对残疾人福利性单位视同小型、微型企业，给予20%的扣除价格，用扣除后的价格参与评审。</w:t>
      </w:r>
    </w:p>
    <w:p w14:paraId="6D4E6599">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（2）残疾人福利单位需按照采购文件的要求提供《残疾人福利性单位声明函》。</w:t>
      </w:r>
    </w:p>
    <w:p w14:paraId="4A2CE3D8">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（3）残疾人福利单位标准请参照《关于促进残疾人就业政府采购政策的通知》（财库〔2017〕141号）。</w:t>
      </w:r>
    </w:p>
    <w:p w14:paraId="16775C5E">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3、监狱和戒毒企业价格扣除</w:t>
      </w:r>
    </w:p>
    <w:p w14:paraId="67AE147D">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（1）本项目对监狱和戒毒企业（简称监狱企业）视同小型、微型企业，给予20%的扣除价格，用扣除后的价格参与评审。</w:t>
      </w:r>
    </w:p>
    <w:p w14:paraId="47F3F3FA">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5D22083E">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（3）监狱企业标准请参照《关于政府采购支持监狱企业发展有关问题的通知》（财库[2014]68号）。</w:t>
      </w:r>
    </w:p>
    <w:p w14:paraId="055EE68C">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4、残疾人福利单位、监狱企业属于小型、微型企业的，不重复享受政策。</w:t>
      </w:r>
    </w:p>
    <w:p w14:paraId="6469F4EB">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4F7976F8">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6、联合体各方均为小型、微型企业（残疾人福利单位、监狱企业）的，联合体享受20%的扣除价格，用扣除后的价格参与评审。</w:t>
      </w:r>
    </w:p>
    <w:p w14:paraId="43719E19">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rPr>
        <w:t>如属政府强制采购产品未提供认证证书的或认证证书提供不全的将视为未实质性响应采购要求</w:t>
      </w:r>
      <w:r>
        <w:rPr>
          <w:rFonts w:hint="eastAsia" w:ascii="宋体" w:hAnsi="宋体" w:eastAsia="宋体" w:cs="宋体"/>
          <w:i w:val="0"/>
          <w:iCs/>
          <w:color w:val="auto"/>
          <w:sz w:val="24"/>
          <w:szCs w:val="24"/>
        </w:rPr>
        <w:t>。</w:t>
      </w:r>
      <w:r>
        <w:rPr>
          <w:rFonts w:hint="eastAsia" w:ascii="宋体" w:hAnsi="宋体" w:eastAsia="宋体" w:cs="宋体"/>
          <w:color w:val="auto"/>
          <w:sz w:val="24"/>
          <w:szCs w:val="24"/>
        </w:rPr>
        <w:t>其他条件相同情况下，应当优先采购节能产品、环境标志产品。</w:t>
      </w:r>
    </w:p>
    <w:p w14:paraId="7A07F124">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6、供应商对于投标产品的商品包装、快递包装应按照“财办库〔2020〕123号《关于印发《商品包装政府采购需求标准（试行）》、《快递包装政府采购需求标准（试行）》的通知》”执行。</w:t>
      </w:r>
    </w:p>
    <w:p w14:paraId="796ADC46">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7、本文件中若涉及到数据中心采购，应按照《&lt;绿色数据中心政府采购需求标准（试行）&gt;的通知》（财库〔2023〕7号）执行。</w:t>
      </w:r>
    </w:p>
    <w:p w14:paraId="4A681CF1">
      <w:pPr>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8、根据《江苏省政府采购信用管理暂行办法》的规定，供应商信用评价结果为三星的扣2分，评价结果为二星的扣3分，评价结果为一星的扣4分。</w:t>
      </w:r>
    </w:p>
    <w:p w14:paraId="4DB2747F">
      <w:pPr>
        <w:pStyle w:val="39"/>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二、评标方法与评标标准</w:t>
      </w:r>
    </w:p>
    <w:p w14:paraId="230BCFDC">
      <w:pPr>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rPr>
      </w:pPr>
    </w:p>
    <w:p w14:paraId="58E6E0C6">
      <w:pPr>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p>
    <w:tbl>
      <w:tblPr>
        <w:tblStyle w:val="2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269"/>
        <w:gridCol w:w="1133"/>
        <w:gridCol w:w="6433"/>
      </w:tblGrid>
      <w:tr w14:paraId="373F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Borders>
              <w:top w:val="single" w:color="auto" w:sz="4" w:space="0"/>
              <w:left w:val="single" w:color="auto" w:sz="4" w:space="0"/>
              <w:bottom w:val="single" w:color="auto" w:sz="4" w:space="0"/>
              <w:right w:val="single" w:color="auto" w:sz="4" w:space="0"/>
            </w:tcBorders>
            <w:vAlign w:val="center"/>
          </w:tcPr>
          <w:p w14:paraId="00995970">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lang w:eastAsia="en-US"/>
                <w14:ligatures w14:val="none"/>
              </w:rPr>
            </w:pPr>
            <w:r>
              <w:rPr>
                <w:rFonts w:hint="eastAsia" w:ascii="宋体" w:hAnsi="宋体" w:eastAsia="宋体" w:cs="宋体"/>
                <w:b w:val="0"/>
                <w:bCs w:val="0"/>
                <w:color w:val="auto"/>
                <w:kern w:val="0"/>
                <w:sz w:val="21"/>
                <w:szCs w:val="21"/>
                <w14:ligatures w14:val="none"/>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1608BCEF">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lang w:eastAsia="en-US"/>
                <w14:ligatures w14:val="none"/>
              </w:rPr>
            </w:pPr>
            <w:r>
              <w:rPr>
                <w:rFonts w:hint="eastAsia" w:ascii="宋体" w:hAnsi="宋体" w:eastAsia="宋体" w:cs="宋体"/>
                <w:b w:val="0"/>
                <w:bCs w:val="0"/>
                <w:color w:val="auto"/>
                <w:kern w:val="0"/>
                <w:sz w:val="21"/>
                <w:szCs w:val="21"/>
                <w14:ligatures w14:val="none"/>
              </w:rPr>
              <w:t>评审因素</w:t>
            </w:r>
          </w:p>
        </w:tc>
        <w:tc>
          <w:tcPr>
            <w:tcW w:w="7566" w:type="dxa"/>
            <w:gridSpan w:val="2"/>
            <w:tcBorders>
              <w:top w:val="single" w:color="auto" w:sz="4" w:space="0"/>
              <w:left w:val="single" w:color="auto" w:sz="4" w:space="0"/>
              <w:bottom w:val="single" w:color="auto" w:sz="4" w:space="0"/>
              <w:right w:val="single" w:color="auto" w:sz="4" w:space="0"/>
            </w:tcBorders>
            <w:vAlign w:val="center"/>
          </w:tcPr>
          <w:p w14:paraId="6844ECD9">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评审标准</w:t>
            </w:r>
          </w:p>
        </w:tc>
      </w:tr>
      <w:tr w14:paraId="0AA83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Borders>
              <w:top w:val="single" w:color="auto" w:sz="4" w:space="0"/>
              <w:left w:val="single" w:color="auto" w:sz="4" w:space="0"/>
              <w:bottom w:val="single" w:color="auto" w:sz="4" w:space="0"/>
              <w:right w:val="single" w:color="auto" w:sz="4" w:space="0"/>
            </w:tcBorders>
            <w:vAlign w:val="center"/>
          </w:tcPr>
          <w:p w14:paraId="0C9CC6DD">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1</w:t>
            </w:r>
          </w:p>
        </w:tc>
        <w:tc>
          <w:tcPr>
            <w:tcW w:w="1269" w:type="dxa"/>
            <w:tcBorders>
              <w:top w:val="single" w:color="auto" w:sz="4" w:space="0"/>
              <w:left w:val="single" w:color="auto" w:sz="4" w:space="0"/>
              <w:bottom w:val="single" w:color="auto" w:sz="4" w:space="0"/>
              <w:right w:val="single" w:color="auto" w:sz="4" w:space="0"/>
            </w:tcBorders>
            <w:vAlign w:val="center"/>
          </w:tcPr>
          <w:p w14:paraId="13D81B3D">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投标报价</w:t>
            </w:r>
          </w:p>
          <w:p w14:paraId="7585C082">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1</w:t>
            </w:r>
            <w:r>
              <w:rPr>
                <w:rFonts w:hint="eastAsia" w:ascii="宋体" w:hAnsi="宋体" w:eastAsia="宋体" w:cs="宋体"/>
                <w:b w:val="0"/>
                <w:bCs w:val="0"/>
                <w:color w:val="auto"/>
                <w:kern w:val="0"/>
                <w:sz w:val="21"/>
                <w:szCs w:val="21"/>
                <w14:ligatures w14:val="none"/>
              </w:rPr>
              <w:t>0分）</w:t>
            </w:r>
          </w:p>
        </w:tc>
        <w:tc>
          <w:tcPr>
            <w:tcW w:w="7566" w:type="dxa"/>
            <w:gridSpan w:val="2"/>
            <w:tcBorders>
              <w:top w:val="single" w:color="auto" w:sz="4" w:space="0"/>
              <w:left w:val="single" w:color="auto" w:sz="4" w:space="0"/>
              <w:bottom w:val="single" w:color="auto" w:sz="4" w:space="0"/>
              <w:right w:val="single" w:color="auto" w:sz="4" w:space="0"/>
            </w:tcBorders>
            <w:vAlign w:val="center"/>
          </w:tcPr>
          <w:p w14:paraId="27372C38">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满足招标文件要求且价格最低的有效报价为评审基准价A值，A值为价格分的满分，即</w:t>
            </w:r>
            <w:r>
              <w:rPr>
                <w:rFonts w:hint="eastAsia" w:ascii="宋体" w:hAnsi="宋体" w:eastAsia="宋体" w:cs="宋体"/>
                <w:b w:val="0"/>
                <w:bCs w:val="0"/>
                <w:color w:val="auto"/>
                <w:kern w:val="0"/>
                <w:sz w:val="21"/>
                <w:szCs w:val="21"/>
                <w:lang w:val="en-US" w:eastAsia="zh-CN"/>
                <w14:ligatures w14:val="none"/>
              </w:rPr>
              <w:t>1</w:t>
            </w:r>
            <w:r>
              <w:rPr>
                <w:rFonts w:hint="eastAsia" w:ascii="宋体" w:hAnsi="宋体" w:eastAsia="宋体" w:cs="宋体"/>
                <w:b w:val="0"/>
                <w:bCs w:val="0"/>
                <w:color w:val="auto"/>
                <w:kern w:val="0"/>
                <w:sz w:val="21"/>
                <w:szCs w:val="21"/>
                <w14:ligatures w14:val="none"/>
              </w:rPr>
              <w:t>0分。其他投标人的价格分统一按照以下公式计算：报价得分=（A值/该投标人的最终报价）×</w:t>
            </w:r>
            <w:r>
              <w:rPr>
                <w:rFonts w:hint="eastAsia" w:ascii="宋体" w:hAnsi="宋体" w:eastAsia="宋体" w:cs="宋体"/>
                <w:b w:val="0"/>
                <w:bCs w:val="0"/>
                <w:color w:val="auto"/>
                <w:kern w:val="0"/>
                <w:sz w:val="21"/>
                <w:szCs w:val="21"/>
                <w:lang w:val="en-US" w:eastAsia="zh-CN"/>
                <w14:ligatures w14:val="none"/>
              </w:rPr>
              <w:t>1</w:t>
            </w:r>
            <w:r>
              <w:rPr>
                <w:rFonts w:hint="eastAsia" w:ascii="宋体" w:hAnsi="宋体" w:eastAsia="宋体" w:cs="宋体"/>
                <w:b w:val="0"/>
                <w:bCs w:val="0"/>
                <w:color w:val="auto"/>
                <w:kern w:val="0"/>
                <w:sz w:val="21"/>
                <w:szCs w:val="21"/>
                <w14:ligatures w14:val="none"/>
              </w:rPr>
              <w:t>0分。分值保留小数点后2位。（有效报价为未被评委会判定为废标的响应文件）</w:t>
            </w:r>
          </w:p>
        </w:tc>
      </w:tr>
      <w:tr w14:paraId="5D25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restart"/>
            <w:tcBorders>
              <w:top w:val="single" w:color="auto" w:sz="4" w:space="0"/>
              <w:left w:val="single" w:color="auto" w:sz="4" w:space="0"/>
              <w:right w:val="single" w:color="auto" w:sz="4" w:space="0"/>
            </w:tcBorders>
            <w:vAlign w:val="center"/>
          </w:tcPr>
          <w:p w14:paraId="724E746F">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lang w:val="en-US" w:eastAsia="zh-CN"/>
                <w14:ligatures w14:val="none"/>
              </w:rPr>
            </w:pPr>
            <w:r>
              <w:rPr>
                <w:rFonts w:hint="eastAsia" w:ascii="宋体" w:hAnsi="宋体" w:eastAsia="宋体" w:cs="宋体"/>
                <w:b w:val="0"/>
                <w:bCs w:val="0"/>
                <w:color w:val="auto"/>
                <w:kern w:val="0"/>
                <w:sz w:val="21"/>
                <w:szCs w:val="21"/>
                <w:lang w:val="en-US" w:eastAsia="zh-CN"/>
                <w14:ligatures w14:val="none"/>
              </w:rPr>
              <w:t>2</w:t>
            </w:r>
          </w:p>
        </w:tc>
        <w:tc>
          <w:tcPr>
            <w:tcW w:w="1269" w:type="dxa"/>
            <w:vMerge w:val="restart"/>
            <w:tcBorders>
              <w:top w:val="single" w:color="auto" w:sz="4" w:space="0"/>
              <w:left w:val="single" w:color="auto" w:sz="4" w:space="0"/>
              <w:right w:val="single" w:color="auto" w:sz="4" w:space="0"/>
            </w:tcBorders>
            <w:shd w:val="clear" w:color="auto" w:fill="auto"/>
            <w:vAlign w:val="center"/>
          </w:tcPr>
          <w:p w14:paraId="46D5BB96">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宋体" w:hAnsi="宋体" w:eastAsia="宋体" w:cs="宋体"/>
                <w:b w:val="0"/>
                <w:bCs w:val="0"/>
                <w:color w:val="auto"/>
                <w:kern w:val="0"/>
                <w:sz w:val="21"/>
                <w:szCs w:val="21"/>
                <w:lang w:val="en-US" w:eastAsia="zh-CN"/>
                <w14:ligatures w14:val="none"/>
              </w:rPr>
            </w:pPr>
            <w:r>
              <w:rPr>
                <w:rFonts w:hint="eastAsia" w:ascii="宋体" w:hAnsi="宋体" w:eastAsia="宋体" w:cs="宋体"/>
                <w:b w:val="0"/>
                <w:bCs w:val="0"/>
                <w:color w:val="auto"/>
                <w:kern w:val="0"/>
                <w:sz w:val="21"/>
                <w:szCs w:val="21"/>
                <w:lang w:val="en-US" w:eastAsia="zh-CN"/>
                <w14:ligatures w14:val="none"/>
              </w:rPr>
              <w:t>服务方案（62分）</w:t>
            </w: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17900797">
            <w:pPr>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项目理解（</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7A169BC9">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lang w:val="en-US" w:eastAsia="zh-CN"/>
                <w14:ligatures w14:val="none"/>
              </w:rPr>
              <w:t>评标委员会根据</w:t>
            </w:r>
            <w:r>
              <w:rPr>
                <w:rFonts w:hint="eastAsia" w:ascii="宋体" w:hAnsi="宋体" w:eastAsia="宋体" w:cs="宋体"/>
                <w:b w:val="0"/>
                <w:bCs w:val="0"/>
                <w:color w:val="auto"/>
                <w:kern w:val="0"/>
                <w:sz w:val="21"/>
                <w:szCs w:val="21"/>
                <w14:ligatures w14:val="none"/>
              </w:rPr>
              <w:t>投标人</w:t>
            </w:r>
            <w:r>
              <w:rPr>
                <w:rFonts w:hint="eastAsia" w:ascii="宋体" w:hAnsi="宋体" w:eastAsia="宋体" w:cs="宋体"/>
                <w:b w:val="0"/>
                <w:bCs w:val="0"/>
                <w:color w:val="auto"/>
                <w:kern w:val="0"/>
                <w:sz w:val="21"/>
                <w:szCs w:val="21"/>
                <w:lang w:val="en-US" w:eastAsia="zh-CN"/>
                <w14:ligatures w14:val="none"/>
              </w:rPr>
              <w:t>提供的</w:t>
            </w:r>
            <w:r>
              <w:rPr>
                <w:rFonts w:hint="eastAsia" w:ascii="宋体" w:hAnsi="宋体" w:eastAsia="宋体" w:cs="宋体"/>
                <w:b w:val="0"/>
                <w:bCs w:val="0"/>
                <w:color w:val="auto"/>
                <w:kern w:val="0"/>
                <w:sz w:val="21"/>
                <w:szCs w:val="21"/>
                <w14:ligatures w14:val="none"/>
              </w:rPr>
              <w:t>项目理解</w:t>
            </w:r>
            <w:r>
              <w:rPr>
                <w:rFonts w:hint="eastAsia" w:ascii="宋体" w:hAnsi="宋体" w:eastAsia="宋体" w:cs="宋体"/>
                <w:b w:val="0"/>
                <w:bCs w:val="0"/>
                <w:color w:val="auto"/>
                <w:kern w:val="0"/>
                <w:sz w:val="21"/>
                <w:szCs w:val="21"/>
                <w:lang w:val="en-US" w:eastAsia="zh-CN"/>
                <w14:ligatures w14:val="none"/>
              </w:rPr>
              <w:t>的全面性、理解的深度等进行评审，优于招标文件要求的得6分，符合招标文件要求的得5分，不符合招标文件要求或未提供的不得分</w:t>
            </w:r>
            <w:r>
              <w:rPr>
                <w:rFonts w:hint="eastAsia" w:ascii="宋体" w:hAnsi="宋体" w:eastAsia="宋体" w:cs="宋体"/>
                <w:b w:val="0"/>
                <w:bCs w:val="0"/>
                <w:color w:val="auto"/>
                <w:kern w:val="0"/>
                <w:sz w:val="21"/>
                <w:szCs w:val="21"/>
                <w14:ligatures w14:val="none"/>
              </w:rPr>
              <w:t>。</w:t>
            </w:r>
          </w:p>
        </w:tc>
      </w:tr>
      <w:tr w14:paraId="333F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0BB31D07">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716D3D41">
            <w:pPr>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3767239C">
            <w:pPr>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重难点</w:t>
            </w:r>
          </w:p>
          <w:p w14:paraId="1D7ABAA5">
            <w:pPr>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分析</w:t>
            </w:r>
          </w:p>
          <w:p w14:paraId="1820E5EF">
            <w:pPr>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544DA2E2">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评标委员会根据投标人提供的项目的重难点分析</w:t>
            </w:r>
            <w:r>
              <w:rPr>
                <w:rFonts w:hint="eastAsia" w:ascii="宋体" w:hAnsi="宋体" w:eastAsia="宋体" w:cs="宋体"/>
                <w:b w:val="0"/>
                <w:bCs w:val="0"/>
                <w:color w:val="auto"/>
                <w:kern w:val="0"/>
                <w:sz w:val="21"/>
                <w:szCs w:val="21"/>
                <w:lang w:val="en-US" w:eastAsia="zh-CN"/>
                <w14:ligatures w14:val="none"/>
              </w:rPr>
              <w:t>的</w:t>
            </w:r>
            <w:r>
              <w:rPr>
                <w:rFonts w:hint="eastAsia" w:ascii="宋体" w:hAnsi="宋体" w:eastAsia="宋体" w:cs="宋体"/>
                <w:b w:val="0"/>
                <w:bCs w:val="0"/>
                <w:color w:val="auto"/>
                <w:kern w:val="0"/>
                <w:sz w:val="21"/>
                <w:szCs w:val="21"/>
                <w14:ligatures w14:val="none"/>
              </w:rPr>
              <w:t>全面</w:t>
            </w:r>
            <w:r>
              <w:rPr>
                <w:rFonts w:hint="eastAsia" w:ascii="宋体" w:hAnsi="宋体" w:eastAsia="宋体" w:cs="宋体"/>
                <w:b w:val="0"/>
                <w:bCs w:val="0"/>
                <w:color w:val="auto"/>
                <w:kern w:val="0"/>
                <w:sz w:val="21"/>
                <w:szCs w:val="21"/>
                <w:lang w:val="en-US" w:eastAsia="zh-CN"/>
                <w14:ligatures w14:val="none"/>
              </w:rPr>
              <w:t>性</w:t>
            </w:r>
            <w:r>
              <w:rPr>
                <w:rFonts w:hint="eastAsia" w:ascii="宋体" w:hAnsi="宋体" w:eastAsia="宋体" w:cs="宋体"/>
                <w:b w:val="0"/>
                <w:bCs w:val="0"/>
                <w:color w:val="auto"/>
                <w:kern w:val="0"/>
                <w:sz w:val="21"/>
                <w:szCs w:val="21"/>
                <w14:ligatures w14:val="none"/>
              </w:rPr>
              <w:t>、合理</w:t>
            </w:r>
            <w:r>
              <w:rPr>
                <w:rFonts w:hint="eastAsia" w:ascii="宋体" w:hAnsi="宋体" w:eastAsia="宋体" w:cs="宋体"/>
                <w:b w:val="0"/>
                <w:bCs w:val="0"/>
                <w:color w:val="auto"/>
                <w:kern w:val="0"/>
                <w:sz w:val="21"/>
                <w:szCs w:val="21"/>
                <w:lang w:val="en-US" w:eastAsia="zh-CN"/>
                <w14:ligatures w14:val="none"/>
              </w:rPr>
              <w:t>性</w:t>
            </w:r>
            <w:r>
              <w:rPr>
                <w:rFonts w:hint="eastAsia" w:ascii="宋体" w:hAnsi="宋体" w:eastAsia="宋体" w:cs="宋体"/>
                <w:b w:val="0"/>
                <w:bCs w:val="0"/>
                <w:color w:val="auto"/>
                <w:kern w:val="0"/>
                <w:sz w:val="21"/>
                <w:szCs w:val="21"/>
                <w14:ligatures w14:val="none"/>
              </w:rPr>
              <w:t>、科学</w:t>
            </w:r>
            <w:r>
              <w:rPr>
                <w:rFonts w:hint="eastAsia" w:ascii="宋体" w:hAnsi="宋体" w:eastAsia="宋体" w:cs="宋体"/>
                <w:b w:val="0"/>
                <w:bCs w:val="0"/>
                <w:color w:val="auto"/>
                <w:kern w:val="0"/>
                <w:sz w:val="21"/>
                <w:szCs w:val="21"/>
                <w:lang w:val="en-US" w:eastAsia="zh-CN"/>
                <w14:ligatures w14:val="none"/>
              </w:rPr>
              <w:t>性</w:t>
            </w:r>
            <w:r>
              <w:rPr>
                <w:rFonts w:hint="eastAsia" w:ascii="宋体" w:hAnsi="宋体" w:eastAsia="宋体" w:cs="宋体"/>
                <w:b w:val="0"/>
                <w:bCs w:val="0"/>
                <w:color w:val="auto"/>
                <w:kern w:val="0"/>
                <w:sz w:val="21"/>
                <w:szCs w:val="21"/>
                <w14:ligatures w14:val="none"/>
              </w:rPr>
              <w:t>、可行</w:t>
            </w:r>
            <w:r>
              <w:rPr>
                <w:rFonts w:hint="eastAsia" w:ascii="宋体" w:hAnsi="宋体" w:eastAsia="宋体" w:cs="宋体"/>
                <w:b w:val="0"/>
                <w:bCs w:val="0"/>
                <w:color w:val="auto"/>
                <w:kern w:val="0"/>
                <w:sz w:val="21"/>
                <w:szCs w:val="21"/>
                <w:lang w:val="en-US" w:eastAsia="zh-CN"/>
                <w14:ligatures w14:val="none"/>
              </w:rPr>
              <w:t>性</w:t>
            </w:r>
            <w:r>
              <w:rPr>
                <w:rFonts w:hint="eastAsia" w:ascii="宋体" w:hAnsi="宋体" w:eastAsia="宋体" w:cs="宋体"/>
                <w:b w:val="0"/>
                <w:bCs w:val="0"/>
                <w:color w:val="auto"/>
                <w:kern w:val="0"/>
                <w:sz w:val="21"/>
                <w:szCs w:val="21"/>
                <w14:ligatures w14:val="none"/>
              </w:rPr>
              <w:t>、针对性等进行评审，优于招标文件要求的得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5AABF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3D794086">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6FAD303D">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5D686C81">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项目工作准备</w:t>
            </w:r>
          </w:p>
          <w:p w14:paraId="1FC1AEE0">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16A9D601">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评标委员会根据投标人提供的项目工作准备</w:t>
            </w:r>
            <w:r>
              <w:rPr>
                <w:rFonts w:hint="eastAsia" w:ascii="宋体" w:hAnsi="宋体" w:eastAsia="宋体" w:cs="宋体"/>
                <w:b w:val="0"/>
                <w:bCs w:val="0"/>
                <w:color w:val="auto"/>
                <w:kern w:val="0"/>
                <w:sz w:val="21"/>
                <w:szCs w:val="21"/>
                <w:lang w:val="en-US" w:eastAsia="zh-CN"/>
                <w14:ligatures w14:val="none"/>
              </w:rPr>
              <w:t>的</w:t>
            </w:r>
            <w:r>
              <w:rPr>
                <w:rFonts w:hint="eastAsia" w:ascii="宋体" w:hAnsi="宋体" w:eastAsia="宋体" w:cs="宋体"/>
                <w:b w:val="0"/>
                <w:bCs w:val="0"/>
                <w:color w:val="auto"/>
                <w:kern w:val="0"/>
                <w:sz w:val="21"/>
                <w:szCs w:val="21"/>
                <w14:ligatures w14:val="none"/>
              </w:rPr>
              <w:t>科学合理</w:t>
            </w:r>
            <w:r>
              <w:rPr>
                <w:rFonts w:hint="eastAsia" w:ascii="宋体" w:hAnsi="宋体" w:eastAsia="宋体" w:cs="宋体"/>
                <w:b w:val="0"/>
                <w:bCs w:val="0"/>
                <w:color w:val="auto"/>
                <w:kern w:val="0"/>
                <w:sz w:val="21"/>
                <w:szCs w:val="21"/>
                <w:lang w:val="en-US" w:eastAsia="zh-CN"/>
                <w14:ligatures w14:val="none"/>
              </w:rPr>
              <w:t>性</w:t>
            </w:r>
            <w:r>
              <w:rPr>
                <w:rFonts w:hint="eastAsia" w:ascii="宋体" w:hAnsi="宋体" w:eastAsia="宋体" w:cs="宋体"/>
                <w:b w:val="0"/>
                <w:bCs w:val="0"/>
                <w:color w:val="auto"/>
                <w:kern w:val="0"/>
                <w:sz w:val="21"/>
                <w:szCs w:val="21"/>
                <w14:ligatures w14:val="none"/>
              </w:rPr>
              <w:t>、技术可行性、描述思路清晰</w:t>
            </w:r>
            <w:r>
              <w:rPr>
                <w:rFonts w:hint="eastAsia" w:ascii="宋体" w:hAnsi="宋体" w:eastAsia="宋体" w:cs="宋体"/>
                <w:b w:val="0"/>
                <w:bCs w:val="0"/>
                <w:color w:val="auto"/>
                <w:kern w:val="0"/>
                <w:sz w:val="21"/>
                <w:szCs w:val="21"/>
                <w:lang w:val="en-US" w:eastAsia="zh-CN"/>
                <w14:ligatures w14:val="none"/>
              </w:rPr>
              <w:t>性</w:t>
            </w:r>
            <w:r>
              <w:rPr>
                <w:rFonts w:hint="eastAsia" w:ascii="宋体" w:hAnsi="宋体" w:eastAsia="宋体" w:cs="宋体"/>
                <w:b w:val="0"/>
                <w:bCs w:val="0"/>
                <w:color w:val="auto"/>
                <w:kern w:val="0"/>
                <w:sz w:val="21"/>
                <w:szCs w:val="21"/>
                <w14:ligatures w14:val="none"/>
              </w:rPr>
              <w:t>、工作流程合理</w:t>
            </w:r>
            <w:r>
              <w:rPr>
                <w:rFonts w:hint="eastAsia" w:ascii="宋体" w:hAnsi="宋体" w:eastAsia="宋体" w:cs="宋体"/>
                <w:b w:val="0"/>
                <w:bCs w:val="0"/>
                <w:color w:val="auto"/>
                <w:kern w:val="0"/>
                <w:sz w:val="21"/>
                <w:szCs w:val="21"/>
                <w:lang w:val="en-US" w:eastAsia="zh-CN"/>
                <w14:ligatures w14:val="none"/>
              </w:rPr>
              <w:t>性</w:t>
            </w:r>
            <w:r>
              <w:rPr>
                <w:rFonts w:hint="eastAsia" w:ascii="宋体" w:hAnsi="宋体" w:eastAsia="宋体" w:cs="宋体"/>
                <w:b w:val="0"/>
                <w:bCs w:val="0"/>
                <w:color w:val="auto"/>
                <w:kern w:val="0"/>
                <w:sz w:val="21"/>
                <w:szCs w:val="21"/>
                <w14:ligatures w14:val="none"/>
              </w:rPr>
              <w:t>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21D87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0ACED575">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3BDFA393">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7E8F720A">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位置面积复查与校核比对</w:t>
            </w:r>
          </w:p>
          <w:p w14:paraId="2B8F9BE8">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38E48425">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评标委员会根据投标人提供的项目的位置面积复查与校核比对</w:t>
            </w:r>
            <w:r>
              <w:rPr>
                <w:rFonts w:hint="eastAsia" w:ascii="宋体" w:hAnsi="宋体" w:eastAsia="宋体" w:cs="宋体"/>
                <w:b w:val="0"/>
                <w:bCs w:val="0"/>
                <w:color w:val="auto"/>
                <w:kern w:val="0"/>
                <w:sz w:val="21"/>
                <w:szCs w:val="21"/>
                <w:lang w:val="en-US" w:eastAsia="zh-CN"/>
                <w14:ligatures w14:val="none"/>
              </w:rPr>
              <w:t>的内容、技术可行性、描述思路、工作流程</w:t>
            </w:r>
            <w:r>
              <w:rPr>
                <w:rFonts w:hint="eastAsia" w:ascii="宋体" w:hAnsi="宋体" w:eastAsia="宋体" w:cs="宋体"/>
                <w:b w:val="0"/>
                <w:bCs w:val="0"/>
                <w:color w:val="auto"/>
                <w:kern w:val="0"/>
                <w:sz w:val="21"/>
                <w:szCs w:val="21"/>
                <w14:ligatures w14:val="none"/>
              </w:rPr>
              <w:t>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13B6E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7D4BF658">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66367D16">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53699D37">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数据采集与调查（</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1FA3F24C">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评标委员会根据投标人提供的数据采集与调查</w:t>
            </w:r>
            <w:r>
              <w:rPr>
                <w:rFonts w:hint="eastAsia" w:ascii="宋体" w:hAnsi="宋体" w:eastAsia="宋体" w:cs="宋体"/>
                <w:b w:val="0"/>
                <w:bCs w:val="0"/>
                <w:color w:val="auto"/>
                <w:kern w:val="0"/>
                <w:sz w:val="21"/>
                <w:szCs w:val="21"/>
                <w:lang w:val="en-US" w:eastAsia="zh-CN"/>
                <w14:ligatures w14:val="none"/>
              </w:rPr>
              <w:t>的结构严谨性、思路清晰性、描述是否详细、转化落地的可实施性</w:t>
            </w:r>
            <w:r>
              <w:rPr>
                <w:rFonts w:hint="eastAsia" w:ascii="宋体" w:hAnsi="宋体" w:eastAsia="宋体" w:cs="宋体"/>
                <w:b w:val="0"/>
                <w:bCs w:val="0"/>
                <w:color w:val="auto"/>
                <w:kern w:val="0"/>
                <w:sz w:val="21"/>
                <w:szCs w:val="21"/>
                <w14:ligatures w14:val="none"/>
              </w:rPr>
              <w:t>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47DC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30E35E1F">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1D9E94B2">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436152C7">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数据建库与汇交</w:t>
            </w:r>
          </w:p>
          <w:p w14:paraId="67BB2470">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314A5529">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评标委员会根据投标人提供的数据建库与汇交</w:t>
            </w:r>
            <w:r>
              <w:rPr>
                <w:rFonts w:hint="eastAsia" w:ascii="宋体" w:hAnsi="宋体" w:eastAsia="宋体" w:cs="宋体"/>
                <w:b w:val="0"/>
                <w:bCs w:val="0"/>
                <w:color w:val="auto"/>
                <w:kern w:val="0"/>
                <w:sz w:val="21"/>
                <w:szCs w:val="21"/>
                <w:lang w:val="en-US" w:eastAsia="zh-CN"/>
                <w14:ligatures w14:val="none"/>
              </w:rPr>
              <w:t>的内容、技术可行性、描述思路是否清晰、工作流程是否合理</w:t>
            </w:r>
            <w:r>
              <w:rPr>
                <w:rFonts w:hint="eastAsia" w:ascii="宋体" w:hAnsi="宋体" w:eastAsia="宋体" w:cs="宋体"/>
                <w:b w:val="0"/>
                <w:bCs w:val="0"/>
                <w:color w:val="auto"/>
                <w:kern w:val="0"/>
                <w:sz w:val="21"/>
                <w:szCs w:val="21"/>
                <w14:ligatures w14:val="none"/>
              </w:rPr>
              <w:t>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12F3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556828B3">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17EE511E">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371FBF1C">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质量控制措施</w:t>
            </w:r>
          </w:p>
          <w:p w14:paraId="2CAAA991">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295033D5">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w:t>
            </w:r>
            <w:r>
              <w:rPr>
                <w:rFonts w:hint="eastAsia" w:ascii="宋体" w:hAnsi="宋体" w:eastAsia="宋体" w:cs="宋体"/>
                <w:b w:val="0"/>
                <w:bCs w:val="0"/>
                <w:color w:val="auto"/>
                <w:kern w:val="0"/>
                <w:sz w:val="21"/>
                <w:szCs w:val="21"/>
                <w:lang w:val="en-US" w:eastAsia="zh-CN"/>
                <w14:ligatures w14:val="none"/>
              </w:rPr>
              <w:t>质量控制措施的质量控制重点事项、控制节点、控制措施、控制目标</w:t>
            </w:r>
            <w:r>
              <w:rPr>
                <w:rFonts w:hint="eastAsia" w:ascii="宋体" w:hAnsi="宋体" w:eastAsia="宋体" w:cs="宋体"/>
                <w:b w:val="0"/>
                <w:bCs w:val="0"/>
                <w:color w:val="auto"/>
                <w:kern w:val="0"/>
                <w:sz w:val="21"/>
                <w:szCs w:val="21"/>
                <w14:ligatures w14:val="none"/>
              </w:rPr>
              <w:t>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2116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3D7DD061">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1EAFF40E">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3C7ED7AA">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项目工作组织及进度安排</w:t>
            </w:r>
          </w:p>
          <w:p w14:paraId="667FD034">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739307F5">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评标委员会根据投标人提供的项目工作组织及进度安排</w:t>
            </w:r>
            <w:r>
              <w:rPr>
                <w:rFonts w:hint="eastAsia" w:ascii="宋体" w:hAnsi="宋体" w:eastAsia="宋体" w:cs="宋体"/>
                <w:b w:val="0"/>
                <w:bCs w:val="0"/>
                <w:color w:val="auto"/>
                <w:kern w:val="0"/>
                <w:sz w:val="21"/>
                <w:szCs w:val="21"/>
                <w:lang w:val="en-US" w:eastAsia="zh-CN"/>
                <w14:ligatures w14:val="none"/>
              </w:rPr>
              <w:t>的总体进度安排是否涵盖重要环节、管理措施是否得当、各项进度保证措施是否详实具体</w:t>
            </w:r>
            <w:r>
              <w:rPr>
                <w:rFonts w:hint="eastAsia" w:ascii="宋体" w:hAnsi="宋体" w:eastAsia="宋体" w:cs="宋体"/>
                <w:b w:val="0"/>
                <w:bCs w:val="0"/>
                <w:color w:val="auto"/>
                <w:kern w:val="0"/>
                <w:sz w:val="21"/>
                <w:szCs w:val="21"/>
                <w14:ligatures w14:val="none"/>
              </w:rPr>
              <w:t>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7382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left w:val="single" w:color="auto" w:sz="4" w:space="0"/>
              <w:right w:val="single" w:color="auto" w:sz="4" w:space="0"/>
            </w:tcBorders>
            <w:vAlign w:val="center"/>
          </w:tcPr>
          <w:p w14:paraId="59E0ADA0">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right w:val="single" w:color="auto" w:sz="4" w:space="0"/>
            </w:tcBorders>
            <w:shd w:val="clear" w:color="auto" w:fill="auto"/>
            <w:vAlign w:val="center"/>
          </w:tcPr>
          <w:p w14:paraId="1B71BDD3">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07CE52CC">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项目安全保密方案及措施</w:t>
            </w:r>
          </w:p>
          <w:p w14:paraId="2CE27600">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084ECFB3">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评标委员会根据投标人提供的项目安全保密方案及措施的安全责任制度、信息资料</w:t>
            </w:r>
            <w:r>
              <w:rPr>
                <w:rFonts w:hint="eastAsia" w:ascii="宋体" w:hAnsi="宋体" w:eastAsia="宋体" w:cs="宋体"/>
                <w:b w:val="0"/>
                <w:bCs w:val="0"/>
                <w:color w:val="auto"/>
                <w:kern w:val="0"/>
                <w:sz w:val="21"/>
                <w:szCs w:val="21"/>
                <w:lang w:val="en-US" w:eastAsia="zh-CN"/>
                <w14:ligatures w14:val="none"/>
              </w:rPr>
              <w:t>及</w:t>
            </w:r>
            <w:r>
              <w:rPr>
                <w:rFonts w:hint="eastAsia" w:ascii="宋体" w:hAnsi="宋体" w:eastAsia="宋体" w:cs="宋体"/>
                <w:b w:val="0"/>
                <w:bCs w:val="0"/>
                <w:color w:val="auto"/>
                <w:kern w:val="0"/>
                <w:sz w:val="21"/>
                <w:szCs w:val="21"/>
                <w14:ligatures w14:val="none"/>
              </w:rPr>
              <w:t>档案的保密措施等进行评审，优于招标文件要求的得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71FB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trPr>
        <w:tc>
          <w:tcPr>
            <w:tcW w:w="658" w:type="dxa"/>
            <w:vMerge w:val="continue"/>
            <w:tcBorders>
              <w:left w:val="single" w:color="auto" w:sz="4" w:space="0"/>
              <w:bottom w:val="single" w:color="auto" w:sz="4" w:space="0"/>
              <w:right w:val="single" w:color="auto" w:sz="4" w:space="0"/>
            </w:tcBorders>
            <w:vAlign w:val="center"/>
          </w:tcPr>
          <w:p w14:paraId="382E1233">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bottom w:val="single" w:color="auto" w:sz="4" w:space="0"/>
              <w:right w:val="single" w:color="auto" w:sz="4" w:space="0"/>
            </w:tcBorders>
            <w:shd w:val="clear" w:color="auto" w:fill="auto"/>
            <w:vAlign w:val="center"/>
          </w:tcPr>
          <w:p w14:paraId="5A7CEF1D">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0B5C5650">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售后服务方案</w:t>
            </w:r>
          </w:p>
          <w:p w14:paraId="05EE1B68">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03839437">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kern w:val="0"/>
                <w:sz w:val="21"/>
                <w:szCs w:val="21"/>
                <w14:ligatures w14:val="none"/>
              </w:rPr>
              <w:t>评标委员会根据投标人提供的售后服务方案的售后服务承诺及售后服务内容、响应时间及响应方式等进行评审，优于招标文件要求的得</w:t>
            </w:r>
            <w:r>
              <w:rPr>
                <w:rFonts w:hint="eastAsia" w:ascii="宋体" w:hAnsi="宋体" w:eastAsia="宋体" w:cs="宋体"/>
                <w:b w:val="0"/>
                <w:bCs w:val="0"/>
                <w:color w:val="auto"/>
                <w:kern w:val="0"/>
                <w:sz w:val="21"/>
                <w:szCs w:val="21"/>
                <w:lang w:val="en-US" w:eastAsia="zh-CN"/>
                <w14:ligatures w14:val="none"/>
              </w:rPr>
              <w:t>6</w:t>
            </w:r>
            <w:r>
              <w:rPr>
                <w:rFonts w:hint="eastAsia" w:ascii="宋体" w:hAnsi="宋体" w:eastAsia="宋体" w:cs="宋体"/>
                <w:b w:val="0"/>
                <w:bCs w:val="0"/>
                <w:color w:val="auto"/>
                <w:kern w:val="0"/>
                <w:sz w:val="21"/>
                <w:szCs w:val="21"/>
                <w14:ligatures w14:val="none"/>
              </w:rPr>
              <w:t>分，符合招标文件要求的得</w:t>
            </w:r>
            <w:r>
              <w:rPr>
                <w:rFonts w:hint="eastAsia" w:ascii="宋体" w:hAnsi="宋体" w:eastAsia="宋体" w:cs="宋体"/>
                <w:b w:val="0"/>
                <w:bCs w:val="0"/>
                <w:color w:val="auto"/>
                <w:kern w:val="0"/>
                <w:sz w:val="21"/>
                <w:szCs w:val="21"/>
                <w:lang w:val="en-US" w:eastAsia="zh-CN"/>
                <w14:ligatures w14:val="none"/>
              </w:rPr>
              <w:t>5</w:t>
            </w:r>
            <w:r>
              <w:rPr>
                <w:rFonts w:hint="eastAsia" w:ascii="宋体" w:hAnsi="宋体" w:eastAsia="宋体" w:cs="宋体"/>
                <w:b w:val="0"/>
                <w:bCs w:val="0"/>
                <w:color w:val="auto"/>
                <w:kern w:val="0"/>
                <w:sz w:val="21"/>
                <w:szCs w:val="21"/>
                <w14:ligatures w14:val="none"/>
              </w:rPr>
              <w:t>分，不符合招标文件要求或未提供的不得分。</w:t>
            </w:r>
          </w:p>
        </w:tc>
      </w:tr>
      <w:tr w14:paraId="02DB5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658" w:type="dxa"/>
            <w:vMerge w:val="continue"/>
            <w:tcBorders>
              <w:left w:val="single" w:color="auto" w:sz="4" w:space="0"/>
              <w:bottom w:val="single" w:color="auto" w:sz="4" w:space="0"/>
              <w:right w:val="single" w:color="auto" w:sz="4" w:space="0"/>
            </w:tcBorders>
            <w:vAlign w:val="center"/>
          </w:tcPr>
          <w:p w14:paraId="524CBEE6">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269" w:type="dxa"/>
            <w:vMerge w:val="continue"/>
            <w:tcBorders>
              <w:left w:val="single" w:color="auto" w:sz="4" w:space="0"/>
              <w:bottom w:val="single" w:color="auto" w:sz="4" w:space="0"/>
              <w:right w:val="single" w:color="auto" w:sz="4" w:space="0"/>
            </w:tcBorders>
            <w:shd w:val="clear" w:color="auto" w:fill="auto"/>
            <w:vAlign w:val="center"/>
          </w:tcPr>
          <w:p w14:paraId="10F0F52A">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p>
        </w:tc>
        <w:tc>
          <w:tcPr>
            <w:tcW w:w="1133" w:type="dxa"/>
            <w:tcBorders>
              <w:top w:val="single" w:color="auto" w:sz="4" w:space="0"/>
              <w:left w:val="single" w:color="auto" w:sz="4" w:space="0"/>
              <w:bottom w:val="single" w:color="auto" w:sz="4" w:space="0"/>
              <w:right w:val="single" w:color="auto" w:sz="4" w:space="0"/>
            </w:tcBorders>
            <w:shd w:val="clear" w:color="auto" w:fill="auto"/>
            <w:vAlign w:val="center"/>
          </w:tcPr>
          <w:p w14:paraId="4BC21CBC">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default" w:ascii="宋体" w:hAnsi="宋体" w:eastAsia="宋体" w:cs="宋体"/>
                <w:b w:val="0"/>
                <w:bCs w:val="0"/>
                <w:color w:val="auto"/>
                <w:kern w:val="0"/>
                <w:sz w:val="21"/>
                <w:szCs w:val="21"/>
                <w:lang w:val="en-US" w:eastAsia="zh-CN"/>
                <w14:ligatures w14:val="none"/>
              </w:rPr>
            </w:pPr>
            <w:r>
              <w:rPr>
                <w:rFonts w:hint="eastAsia" w:ascii="宋体" w:hAnsi="宋体" w:eastAsia="宋体" w:cs="宋体"/>
                <w:b w:val="0"/>
                <w:bCs w:val="0"/>
                <w:color w:val="auto"/>
                <w:kern w:val="0"/>
                <w:sz w:val="21"/>
                <w:szCs w:val="21"/>
                <w:lang w:val="en-US" w:eastAsia="zh-CN"/>
                <w14:ligatures w14:val="none"/>
              </w:rPr>
              <w:t>服务承诺（2分）</w:t>
            </w:r>
          </w:p>
        </w:tc>
        <w:tc>
          <w:tcPr>
            <w:tcW w:w="6433" w:type="dxa"/>
            <w:tcBorders>
              <w:top w:val="single" w:color="auto" w:sz="4" w:space="0"/>
              <w:left w:val="single" w:color="auto" w:sz="4" w:space="0"/>
              <w:bottom w:val="single" w:color="auto" w:sz="4" w:space="0"/>
              <w:right w:val="single" w:color="auto" w:sz="4" w:space="0"/>
            </w:tcBorders>
            <w:shd w:val="clear" w:color="auto" w:fill="auto"/>
            <w:vAlign w:val="center"/>
          </w:tcPr>
          <w:p w14:paraId="50193704">
            <w:pPr>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default" w:ascii="宋体" w:hAnsi="宋体" w:eastAsia="宋体" w:cs="宋体"/>
                <w:b w:val="0"/>
                <w:bCs w:val="0"/>
                <w:color w:val="auto"/>
                <w:kern w:val="0"/>
                <w:sz w:val="21"/>
                <w:szCs w:val="21"/>
                <w:lang w:val="en-US" w:eastAsia="zh-CN"/>
                <w14:ligatures w14:val="none"/>
              </w:rPr>
            </w:pPr>
            <w:r>
              <w:rPr>
                <w:rFonts w:hint="eastAsia" w:ascii="宋体" w:hAnsi="宋体" w:eastAsia="宋体" w:cs="宋体"/>
                <w:b w:val="0"/>
                <w:bCs w:val="0"/>
                <w:color w:val="auto"/>
                <w:kern w:val="0"/>
                <w:sz w:val="21"/>
                <w:szCs w:val="21"/>
                <w14:ligatures w14:val="none"/>
              </w:rPr>
              <w:t>投标人提供本地化服务承诺函，承诺中标后5日内将在本地设立服务机构（或办公地点）并派驻服务人员</w:t>
            </w:r>
            <w:r>
              <w:rPr>
                <w:rFonts w:hint="eastAsia" w:ascii="宋体" w:hAnsi="宋体" w:eastAsia="宋体" w:cs="宋体"/>
                <w:b w:val="0"/>
                <w:bCs w:val="0"/>
                <w:color w:val="auto"/>
                <w:kern w:val="0"/>
                <w:sz w:val="21"/>
                <w:szCs w:val="21"/>
                <w:lang w:eastAsia="zh-CN"/>
                <w14:ligatures w14:val="none"/>
              </w:rPr>
              <w:t>。</w:t>
            </w:r>
            <w:r>
              <w:rPr>
                <w:rFonts w:hint="eastAsia" w:ascii="宋体" w:hAnsi="宋体" w:eastAsia="宋体" w:cs="宋体"/>
                <w:b w:val="0"/>
                <w:bCs w:val="0"/>
                <w:color w:val="auto"/>
                <w:kern w:val="0"/>
                <w:sz w:val="21"/>
                <w:szCs w:val="21"/>
                <w:lang w:val="en-US" w:eastAsia="zh-CN"/>
                <w14:ligatures w14:val="none"/>
              </w:rPr>
              <w:t>格式自拟，未提供不得分。</w:t>
            </w:r>
          </w:p>
        </w:tc>
      </w:tr>
      <w:tr w14:paraId="58F1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Borders>
              <w:top w:val="single" w:color="auto" w:sz="4" w:space="0"/>
              <w:left w:val="single" w:color="auto" w:sz="4" w:space="0"/>
              <w:bottom w:val="single" w:color="auto" w:sz="4" w:space="0"/>
              <w:right w:val="single" w:color="auto" w:sz="4" w:space="0"/>
            </w:tcBorders>
            <w:vAlign w:val="center"/>
          </w:tcPr>
          <w:p w14:paraId="3F2C411B">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lang w:eastAsia="zh-CN"/>
                <w14:ligatures w14:val="none"/>
              </w:rPr>
            </w:pPr>
            <w:r>
              <w:rPr>
                <w:rFonts w:hint="eastAsia" w:ascii="宋体" w:hAnsi="宋体" w:eastAsia="宋体" w:cs="宋体"/>
                <w:b w:val="0"/>
                <w:bCs w:val="0"/>
                <w:color w:val="auto"/>
                <w:kern w:val="0"/>
                <w:sz w:val="21"/>
                <w:szCs w:val="21"/>
                <w:lang w:val="en-US" w:eastAsia="zh-CN"/>
                <w14:ligatures w14:val="none"/>
              </w:rPr>
              <w:t>3</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FCA7217">
            <w:pPr>
              <w:keepLines w:val="0"/>
              <w:pageBreakBefore w:val="0"/>
              <w:widowControl w:val="0"/>
              <w:tabs>
                <w:tab w:val="left" w:pos="2870"/>
              </w:tabs>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sz w:val="21"/>
                <w:szCs w:val="21"/>
                <w:lang w:val="en-US" w:eastAsia="zh-CN"/>
              </w:rPr>
              <w:t>拟投入项目组成员</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val="en-US" w:eastAsia="zh-CN"/>
              </w:rPr>
              <w:t>17</w:t>
            </w:r>
            <w:r>
              <w:rPr>
                <w:rFonts w:hint="eastAsia" w:ascii="宋体" w:hAnsi="宋体" w:eastAsia="宋体" w:cs="宋体"/>
                <w:b w:val="0"/>
                <w:bCs w:val="0"/>
                <w:color w:val="auto"/>
                <w:sz w:val="21"/>
                <w:szCs w:val="21"/>
              </w:rPr>
              <w:t>分）</w:t>
            </w:r>
          </w:p>
        </w:tc>
        <w:tc>
          <w:tcPr>
            <w:tcW w:w="7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9FF3F7">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1、项目负责人（</w:t>
            </w:r>
            <w:r>
              <w:rPr>
                <w:rFonts w:hint="eastAsia" w:ascii="宋体" w:hAnsi="宋体" w:eastAsia="宋体" w:cs="宋体"/>
                <w:b w:val="0"/>
                <w:bCs w:val="0"/>
                <w:color w:val="auto"/>
                <w:sz w:val="21"/>
                <w:szCs w:val="21"/>
                <w:lang w:val="en-US" w:eastAsia="zh-CN"/>
              </w:rPr>
              <w:t>3</w:t>
            </w:r>
            <w:r>
              <w:rPr>
                <w:rFonts w:hint="eastAsia" w:ascii="宋体" w:hAnsi="宋体" w:eastAsia="宋体" w:cs="宋体"/>
                <w:b w:val="0"/>
                <w:bCs w:val="0"/>
                <w:color w:val="auto"/>
                <w:sz w:val="21"/>
                <w:szCs w:val="21"/>
              </w:rPr>
              <w:t>分）</w:t>
            </w:r>
          </w:p>
          <w:p w14:paraId="7B5F0013">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（1）具有注册测绘师资格证书</w:t>
            </w:r>
            <w:r>
              <w:rPr>
                <w:rFonts w:hint="eastAsia" w:ascii="宋体" w:hAnsi="宋体" w:eastAsia="宋体" w:cs="宋体"/>
                <w:b w:val="0"/>
                <w:bCs w:val="0"/>
                <w:color w:val="auto"/>
                <w:sz w:val="21"/>
                <w:szCs w:val="21"/>
                <w:lang w:val="en-US" w:eastAsia="zh-CN"/>
              </w:rPr>
              <w:t>的得1分；</w:t>
            </w:r>
            <w:r>
              <w:rPr>
                <w:rFonts w:hint="eastAsia" w:ascii="宋体" w:hAnsi="宋体" w:eastAsia="宋体" w:cs="宋体"/>
                <w:b w:val="0"/>
                <w:bCs w:val="0"/>
                <w:color w:val="auto"/>
                <w:sz w:val="21"/>
                <w:szCs w:val="21"/>
              </w:rPr>
              <w:t>具有高级</w:t>
            </w:r>
            <w:r>
              <w:rPr>
                <w:rFonts w:hint="eastAsia" w:ascii="宋体" w:hAnsi="宋体" w:eastAsia="宋体" w:cs="宋体"/>
                <w:b w:val="0"/>
                <w:bCs w:val="0"/>
                <w:color w:val="auto"/>
                <w:sz w:val="21"/>
                <w:szCs w:val="21"/>
                <w:lang w:val="en-US" w:eastAsia="zh-CN"/>
              </w:rPr>
              <w:t>及以上</w:t>
            </w:r>
            <w:r>
              <w:rPr>
                <w:rFonts w:hint="eastAsia" w:ascii="宋体" w:hAnsi="宋体" w:eastAsia="宋体" w:cs="宋体"/>
                <w:b w:val="0"/>
                <w:bCs w:val="0"/>
                <w:color w:val="auto"/>
                <w:sz w:val="21"/>
                <w:szCs w:val="21"/>
              </w:rPr>
              <w:t>工程师职称证书的</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分；具有测绘技术与质量管理培训合格证书的得1分；本项最高得</w:t>
            </w:r>
            <w:r>
              <w:rPr>
                <w:rFonts w:hint="eastAsia" w:ascii="宋体" w:hAnsi="宋体" w:eastAsia="宋体" w:cs="宋体"/>
                <w:b w:val="0"/>
                <w:bCs w:val="0"/>
                <w:color w:val="auto"/>
                <w:sz w:val="21"/>
                <w:szCs w:val="21"/>
                <w:lang w:val="en-US" w:eastAsia="zh-CN"/>
              </w:rPr>
              <w:t>3</w:t>
            </w:r>
            <w:r>
              <w:rPr>
                <w:rFonts w:hint="eastAsia" w:ascii="宋体" w:hAnsi="宋体" w:eastAsia="宋体" w:cs="宋体"/>
                <w:b w:val="0"/>
                <w:bCs w:val="0"/>
                <w:color w:val="auto"/>
                <w:sz w:val="21"/>
                <w:szCs w:val="21"/>
              </w:rPr>
              <w:t>分。</w:t>
            </w:r>
          </w:p>
          <w:p w14:paraId="4C829CD4">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2、技术负责人（</w:t>
            </w: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分）</w:t>
            </w:r>
          </w:p>
          <w:p w14:paraId="49C74F93">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（1）具有注册测绘师资格证书的得1分；具有高级及以上工程师职称证书的1分；本项最高得</w:t>
            </w: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分。</w:t>
            </w:r>
          </w:p>
          <w:p w14:paraId="294B10F0">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w:t>
            </w:r>
            <w:r>
              <w:rPr>
                <w:rFonts w:hint="eastAsia" w:ascii="宋体" w:hAnsi="宋体" w:eastAsia="宋体" w:cs="宋体"/>
                <w:b w:val="0"/>
                <w:bCs w:val="0"/>
                <w:color w:val="auto"/>
                <w:sz w:val="21"/>
                <w:szCs w:val="21"/>
                <w:lang w:val="en-US" w:eastAsia="zh-CN"/>
              </w:rPr>
              <w:t>项目组成</w:t>
            </w:r>
            <w:r>
              <w:rPr>
                <w:rFonts w:hint="eastAsia" w:ascii="宋体" w:hAnsi="宋体" w:eastAsia="宋体" w:cs="宋体"/>
                <w:b w:val="0"/>
                <w:bCs w:val="0"/>
                <w:color w:val="auto"/>
                <w:sz w:val="21"/>
                <w:szCs w:val="21"/>
              </w:rPr>
              <w:t>员（除项目负责人、技术负责人之外）(1</w:t>
            </w: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分)</w:t>
            </w:r>
          </w:p>
          <w:p w14:paraId="3FD586A7">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w:t>
            </w:r>
            <w:r>
              <w:rPr>
                <w:rFonts w:hint="eastAsia" w:ascii="宋体" w:hAnsi="宋体" w:eastAsia="宋体" w:cs="宋体"/>
                <w:b w:val="0"/>
                <w:bCs w:val="0"/>
                <w:color w:val="auto"/>
                <w:sz w:val="21"/>
                <w:szCs w:val="21"/>
                <w:lang w:val="en-US" w:eastAsia="zh-CN"/>
              </w:rPr>
              <w:t>项目组成员具有注册测绘师资格证书</w:t>
            </w:r>
            <w:r>
              <w:rPr>
                <w:rFonts w:hint="eastAsia" w:ascii="宋体" w:hAnsi="宋体" w:eastAsia="宋体" w:cs="宋体"/>
                <w:b w:val="0"/>
                <w:bCs w:val="0"/>
                <w:color w:val="auto"/>
                <w:sz w:val="21"/>
                <w:szCs w:val="21"/>
              </w:rPr>
              <w:t>的，每有1人得</w:t>
            </w:r>
            <w:r>
              <w:rPr>
                <w:rFonts w:hint="eastAsia" w:ascii="宋体" w:hAnsi="宋体" w:eastAsia="宋体" w:cs="宋体"/>
                <w:b w:val="0"/>
                <w:bCs w:val="0"/>
                <w:color w:val="auto"/>
                <w:sz w:val="21"/>
                <w:szCs w:val="21"/>
                <w:lang w:val="en-US" w:eastAsia="zh-CN"/>
              </w:rPr>
              <w:t>0.5</w:t>
            </w:r>
            <w:r>
              <w:rPr>
                <w:rFonts w:hint="eastAsia" w:ascii="宋体" w:hAnsi="宋体" w:eastAsia="宋体" w:cs="宋体"/>
                <w:b w:val="0"/>
                <w:bCs w:val="0"/>
                <w:color w:val="auto"/>
                <w:sz w:val="21"/>
                <w:szCs w:val="21"/>
              </w:rPr>
              <w:t>分，本项最高得</w:t>
            </w:r>
            <w:r>
              <w:rPr>
                <w:rFonts w:hint="eastAsia" w:ascii="宋体" w:hAnsi="宋体" w:eastAsia="宋体" w:cs="宋体"/>
                <w:b w:val="0"/>
                <w:bCs w:val="0"/>
                <w:color w:val="auto"/>
                <w:sz w:val="21"/>
                <w:szCs w:val="21"/>
                <w:lang w:val="en-US" w:eastAsia="zh-CN"/>
              </w:rPr>
              <w:t>5</w:t>
            </w:r>
            <w:r>
              <w:rPr>
                <w:rFonts w:hint="eastAsia" w:ascii="宋体" w:hAnsi="宋体" w:eastAsia="宋体" w:cs="宋体"/>
                <w:b w:val="0"/>
                <w:bCs w:val="0"/>
                <w:color w:val="auto"/>
                <w:sz w:val="21"/>
                <w:szCs w:val="21"/>
              </w:rPr>
              <w:t>分；</w:t>
            </w:r>
          </w:p>
          <w:p w14:paraId="7D9B88BC">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w:t>
            </w:r>
            <w:r>
              <w:rPr>
                <w:rFonts w:hint="eastAsia" w:ascii="宋体" w:hAnsi="宋体" w:eastAsia="宋体" w:cs="宋体"/>
                <w:b w:val="0"/>
                <w:bCs w:val="0"/>
                <w:color w:val="auto"/>
                <w:sz w:val="21"/>
                <w:szCs w:val="21"/>
                <w:lang w:val="en-US" w:eastAsia="zh-CN"/>
              </w:rPr>
              <w:t>项目组成员具有</w:t>
            </w:r>
            <w:r>
              <w:rPr>
                <w:rFonts w:hint="eastAsia" w:ascii="宋体" w:hAnsi="宋体" w:eastAsia="宋体" w:cs="宋体"/>
                <w:b w:val="0"/>
                <w:bCs w:val="0"/>
                <w:color w:val="auto"/>
                <w:sz w:val="21"/>
                <w:szCs w:val="21"/>
              </w:rPr>
              <w:t>高级信息系统项目管理师的，每有1人得</w:t>
            </w:r>
            <w:r>
              <w:rPr>
                <w:rFonts w:hint="eastAsia" w:ascii="宋体" w:hAnsi="宋体" w:eastAsia="宋体" w:cs="宋体"/>
                <w:b w:val="0"/>
                <w:bCs w:val="0"/>
                <w:color w:val="auto"/>
                <w:sz w:val="21"/>
                <w:szCs w:val="21"/>
                <w:lang w:val="en-US" w:eastAsia="zh-CN"/>
              </w:rPr>
              <w:t>0.5</w:t>
            </w:r>
            <w:r>
              <w:rPr>
                <w:rFonts w:hint="eastAsia" w:ascii="宋体" w:hAnsi="宋体" w:eastAsia="宋体" w:cs="宋体"/>
                <w:b w:val="0"/>
                <w:bCs w:val="0"/>
                <w:color w:val="auto"/>
                <w:sz w:val="21"/>
                <w:szCs w:val="21"/>
              </w:rPr>
              <w:t>分，本项最高得</w:t>
            </w: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分；</w:t>
            </w:r>
          </w:p>
          <w:p w14:paraId="52D98CDB">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w:t>
            </w:r>
            <w:r>
              <w:rPr>
                <w:rFonts w:hint="eastAsia" w:ascii="宋体" w:hAnsi="宋体" w:eastAsia="宋体" w:cs="宋体"/>
                <w:b w:val="0"/>
                <w:bCs w:val="0"/>
                <w:color w:val="auto"/>
                <w:sz w:val="21"/>
                <w:szCs w:val="21"/>
                <w:lang w:val="en-US" w:eastAsia="zh-CN"/>
              </w:rPr>
              <w:t>项目组成员具有</w:t>
            </w:r>
            <w:r>
              <w:rPr>
                <w:rFonts w:hint="eastAsia" w:ascii="宋体" w:hAnsi="宋体" w:eastAsia="宋体" w:cs="宋体"/>
                <w:b w:val="0"/>
                <w:bCs w:val="0"/>
                <w:color w:val="auto"/>
                <w:sz w:val="21"/>
                <w:szCs w:val="21"/>
              </w:rPr>
              <w:t>一级工程测量员证书的，每</w:t>
            </w:r>
            <w:r>
              <w:rPr>
                <w:rFonts w:hint="eastAsia" w:ascii="宋体" w:hAnsi="宋体" w:eastAsia="宋体" w:cs="宋体"/>
                <w:b w:val="0"/>
                <w:bCs w:val="0"/>
                <w:color w:val="auto"/>
                <w:sz w:val="21"/>
                <w:szCs w:val="21"/>
                <w:lang w:val="en-US" w:eastAsia="zh-CN"/>
              </w:rPr>
              <w:t>有</w:t>
            </w:r>
            <w:r>
              <w:rPr>
                <w:rFonts w:hint="eastAsia" w:ascii="宋体" w:hAnsi="宋体" w:eastAsia="宋体" w:cs="宋体"/>
                <w:b w:val="0"/>
                <w:bCs w:val="0"/>
                <w:color w:val="auto"/>
                <w:sz w:val="21"/>
                <w:szCs w:val="21"/>
              </w:rPr>
              <w:t>1人得</w:t>
            </w:r>
            <w:r>
              <w:rPr>
                <w:rFonts w:hint="eastAsia" w:ascii="宋体" w:hAnsi="宋体" w:eastAsia="宋体" w:cs="宋体"/>
                <w:b w:val="0"/>
                <w:bCs w:val="0"/>
                <w:color w:val="auto"/>
                <w:sz w:val="21"/>
                <w:szCs w:val="21"/>
                <w:lang w:val="en-US" w:eastAsia="zh-CN"/>
              </w:rPr>
              <w:t>0.5</w:t>
            </w:r>
            <w:r>
              <w:rPr>
                <w:rFonts w:hint="eastAsia" w:ascii="宋体" w:hAnsi="宋体" w:eastAsia="宋体" w:cs="宋体"/>
                <w:b w:val="0"/>
                <w:bCs w:val="0"/>
                <w:color w:val="auto"/>
                <w:sz w:val="21"/>
                <w:szCs w:val="21"/>
              </w:rPr>
              <w:t>分，本项最高得</w:t>
            </w: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分。</w:t>
            </w:r>
          </w:p>
          <w:p w14:paraId="7EFD916F">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（4）</w:t>
            </w:r>
            <w:r>
              <w:rPr>
                <w:rFonts w:hint="eastAsia" w:ascii="宋体" w:hAnsi="宋体" w:eastAsia="宋体" w:cs="宋体"/>
                <w:b w:val="0"/>
                <w:bCs w:val="0"/>
                <w:color w:val="auto"/>
                <w:sz w:val="21"/>
                <w:szCs w:val="21"/>
                <w:lang w:val="en-US" w:eastAsia="zh-CN"/>
              </w:rPr>
              <w:t>项目组成员</w:t>
            </w:r>
            <w:r>
              <w:rPr>
                <w:rFonts w:hint="eastAsia" w:ascii="宋体" w:hAnsi="宋体" w:eastAsia="宋体" w:cs="宋体"/>
                <w:b w:val="0"/>
                <w:bCs w:val="0"/>
                <w:color w:val="auto"/>
                <w:sz w:val="21"/>
                <w:szCs w:val="21"/>
              </w:rPr>
              <w:t>具有数据库系统工程师证书的，每有1人得</w:t>
            </w:r>
            <w:r>
              <w:rPr>
                <w:rFonts w:hint="eastAsia" w:ascii="宋体" w:hAnsi="宋体" w:eastAsia="宋体" w:cs="宋体"/>
                <w:b w:val="0"/>
                <w:bCs w:val="0"/>
                <w:color w:val="auto"/>
                <w:sz w:val="21"/>
                <w:szCs w:val="21"/>
                <w:lang w:val="en-US" w:eastAsia="zh-CN"/>
              </w:rPr>
              <w:t>0.5</w:t>
            </w:r>
            <w:r>
              <w:rPr>
                <w:rFonts w:hint="eastAsia" w:ascii="宋体" w:hAnsi="宋体" w:eastAsia="宋体" w:cs="宋体"/>
                <w:b w:val="0"/>
                <w:bCs w:val="0"/>
                <w:color w:val="auto"/>
                <w:sz w:val="21"/>
                <w:szCs w:val="21"/>
              </w:rPr>
              <w:t>分，</w:t>
            </w:r>
            <w:r>
              <w:rPr>
                <w:rFonts w:hint="eastAsia" w:ascii="宋体" w:hAnsi="宋体" w:eastAsia="宋体" w:cs="宋体"/>
                <w:b w:val="0"/>
                <w:bCs w:val="0"/>
                <w:color w:val="auto"/>
                <w:sz w:val="21"/>
                <w:szCs w:val="21"/>
                <w:lang w:val="en-US" w:eastAsia="zh-CN"/>
              </w:rPr>
              <w:t>本项</w:t>
            </w:r>
            <w:r>
              <w:rPr>
                <w:rFonts w:hint="eastAsia" w:ascii="宋体" w:hAnsi="宋体" w:eastAsia="宋体" w:cs="宋体"/>
                <w:b w:val="0"/>
                <w:bCs w:val="0"/>
                <w:color w:val="auto"/>
                <w:sz w:val="21"/>
                <w:szCs w:val="21"/>
              </w:rPr>
              <w:t>最高得</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分；</w:t>
            </w:r>
          </w:p>
          <w:p w14:paraId="60C15465">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（5）</w:t>
            </w:r>
            <w:r>
              <w:rPr>
                <w:rFonts w:hint="eastAsia" w:ascii="宋体" w:hAnsi="宋体" w:eastAsia="宋体" w:cs="宋体"/>
                <w:b w:val="0"/>
                <w:bCs w:val="0"/>
                <w:color w:val="auto"/>
                <w:sz w:val="21"/>
                <w:szCs w:val="21"/>
                <w:lang w:val="en-US" w:eastAsia="zh-CN"/>
              </w:rPr>
              <w:t>项目组成员</w:t>
            </w:r>
            <w:r>
              <w:rPr>
                <w:rFonts w:hint="eastAsia" w:ascii="宋体" w:hAnsi="宋体" w:eastAsia="宋体" w:cs="宋体"/>
                <w:b w:val="0"/>
                <w:bCs w:val="0"/>
                <w:color w:val="auto"/>
                <w:sz w:val="21"/>
                <w:szCs w:val="21"/>
              </w:rPr>
              <w:t>具有高级软件工程师证书的，每</w:t>
            </w:r>
            <w:r>
              <w:rPr>
                <w:rFonts w:hint="eastAsia" w:ascii="宋体" w:hAnsi="宋体" w:eastAsia="宋体" w:cs="宋体"/>
                <w:b w:val="0"/>
                <w:bCs w:val="0"/>
                <w:color w:val="auto"/>
                <w:sz w:val="21"/>
                <w:szCs w:val="21"/>
                <w:lang w:val="en-US" w:eastAsia="zh-CN"/>
              </w:rPr>
              <w:t>有</w:t>
            </w:r>
            <w:r>
              <w:rPr>
                <w:rFonts w:hint="eastAsia" w:ascii="宋体" w:hAnsi="宋体" w:eastAsia="宋体" w:cs="宋体"/>
                <w:b w:val="0"/>
                <w:bCs w:val="0"/>
                <w:color w:val="auto"/>
                <w:sz w:val="21"/>
                <w:szCs w:val="21"/>
              </w:rPr>
              <w:t>1人得</w:t>
            </w:r>
            <w:r>
              <w:rPr>
                <w:rFonts w:hint="eastAsia" w:ascii="宋体" w:hAnsi="宋体" w:eastAsia="宋体" w:cs="宋体"/>
                <w:b w:val="0"/>
                <w:bCs w:val="0"/>
                <w:color w:val="auto"/>
                <w:sz w:val="21"/>
                <w:szCs w:val="21"/>
                <w:lang w:val="en-US" w:eastAsia="zh-CN"/>
              </w:rPr>
              <w:t>0.5</w:t>
            </w:r>
            <w:r>
              <w:rPr>
                <w:rFonts w:hint="eastAsia" w:ascii="宋体" w:hAnsi="宋体" w:eastAsia="宋体" w:cs="宋体"/>
                <w:b w:val="0"/>
                <w:bCs w:val="0"/>
                <w:color w:val="auto"/>
                <w:sz w:val="21"/>
                <w:szCs w:val="21"/>
              </w:rPr>
              <w:t>分，本项最高得</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分；</w:t>
            </w:r>
          </w:p>
          <w:p w14:paraId="73CF974E">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（6）</w:t>
            </w:r>
            <w:r>
              <w:rPr>
                <w:rFonts w:hint="eastAsia" w:ascii="宋体" w:hAnsi="宋体" w:eastAsia="宋体" w:cs="宋体"/>
                <w:b w:val="0"/>
                <w:bCs w:val="0"/>
                <w:color w:val="auto"/>
                <w:sz w:val="21"/>
                <w:szCs w:val="21"/>
                <w:lang w:val="en-US" w:eastAsia="zh-CN"/>
              </w:rPr>
              <w:t>项目组成员</w:t>
            </w:r>
            <w:r>
              <w:rPr>
                <w:rFonts w:hint="eastAsia" w:ascii="宋体" w:hAnsi="宋体" w:eastAsia="宋体" w:cs="宋体"/>
                <w:b w:val="0"/>
                <w:bCs w:val="0"/>
                <w:color w:val="auto"/>
                <w:sz w:val="21"/>
                <w:szCs w:val="21"/>
              </w:rPr>
              <w:t>具有无人机驾驶合格证的，每</w:t>
            </w:r>
            <w:r>
              <w:rPr>
                <w:rFonts w:hint="eastAsia" w:ascii="宋体" w:hAnsi="宋体" w:eastAsia="宋体" w:cs="宋体"/>
                <w:b w:val="0"/>
                <w:bCs w:val="0"/>
                <w:color w:val="auto"/>
                <w:sz w:val="21"/>
                <w:szCs w:val="21"/>
                <w:lang w:val="en-US" w:eastAsia="zh-CN"/>
              </w:rPr>
              <w:t>有</w:t>
            </w:r>
            <w:r>
              <w:rPr>
                <w:rFonts w:hint="eastAsia" w:ascii="宋体" w:hAnsi="宋体" w:eastAsia="宋体" w:cs="宋体"/>
                <w:b w:val="0"/>
                <w:bCs w:val="0"/>
                <w:color w:val="auto"/>
                <w:sz w:val="21"/>
                <w:szCs w:val="21"/>
              </w:rPr>
              <w:t>1人得</w:t>
            </w:r>
            <w:r>
              <w:rPr>
                <w:rFonts w:hint="eastAsia" w:ascii="宋体" w:hAnsi="宋体" w:eastAsia="宋体" w:cs="宋体"/>
                <w:b w:val="0"/>
                <w:bCs w:val="0"/>
                <w:color w:val="auto"/>
                <w:sz w:val="21"/>
                <w:szCs w:val="21"/>
                <w:lang w:val="en-US" w:eastAsia="zh-CN"/>
              </w:rPr>
              <w:t>0.5</w:t>
            </w:r>
            <w:r>
              <w:rPr>
                <w:rFonts w:hint="eastAsia" w:ascii="宋体" w:hAnsi="宋体" w:eastAsia="宋体" w:cs="宋体"/>
                <w:b w:val="0"/>
                <w:bCs w:val="0"/>
                <w:color w:val="auto"/>
                <w:sz w:val="21"/>
                <w:szCs w:val="21"/>
              </w:rPr>
              <w:t>分，本项最高得</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分；</w:t>
            </w:r>
          </w:p>
          <w:p w14:paraId="559F3CEC">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default" w:ascii="宋体" w:hAnsi="宋体" w:eastAsia="宋体" w:cs="宋体"/>
                <w:b w:val="0"/>
                <w:bCs w:val="0"/>
                <w:color w:val="auto"/>
                <w:kern w:val="0"/>
                <w:sz w:val="21"/>
                <w:szCs w:val="21"/>
                <w:lang w:val="en-US" w:eastAsia="zh-CN"/>
                <w14:ligatures w14:val="none"/>
              </w:rPr>
            </w:pPr>
            <w:r>
              <w:rPr>
                <w:rFonts w:hint="eastAsia" w:ascii="宋体" w:hAnsi="宋体" w:eastAsia="宋体" w:cs="宋体"/>
                <w:b w:val="0"/>
                <w:bCs w:val="0"/>
                <w:color w:val="auto"/>
                <w:kern w:val="0"/>
                <w:sz w:val="21"/>
                <w:szCs w:val="21"/>
                <w:lang w:val="en-US" w:eastAsia="zh-CN"/>
                <w14:ligatures w14:val="none"/>
              </w:rPr>
              <w:t>注：</w:t>
            </w:r>
            <w:r>
              <w:rPr>
                <w:rFonts w:hint="eastAsia" w:ascii="宋体" w:hAnsi="宋体" w:eastAsia="宋体" w:cs="宋体"/>
                <w:b w:val="0"/>
                <w:bCs w:val="0"/>
                <w:color w:val="auto"/>
                <w:kern w:val="0"/>
                <w:sz w:val="21"/>
                <w:szCs w:val="21"/>
                <w:lang w:val="en-US" w:eastAsia="zh-CN"/>
                <w14:ligatures w14:val="none"/>
              </w:rPr>
              <w:t>1、项目组成员同一人员提供多个证书不可重复得分</w:t>
            </w:r>
            <w:r>
              <w:rPr>
                <w:rFonts w:hint="eastAsia" w:ascii="宋体" w:hAnsi="宋体" w:eastAsia="宋体" w:cs="宋体"/>
                <w:b w:val="0"/>
                <w:bCs w:val="0"/>
                <w:color w:val="auto"/>
                <w:kern w:val="0"/>
                <w:sz w:val="21"/>
                <w:szCs w:val="21"/>
                <w:lang w:val="en-US" w:eastAsia="zh-CN"/>
                <w14:ligatures w14:val="none"/>
              </w:rPr>
              <w:t>；2、投标时须同时提供上述人员证书的彩色扫描件及相应人员从2024年10月开始至投标截止之日当月内至少1个月在本单位缴纳养老保险缴费记录证明，否则不计分。</w:t>
            </w:r>
          </w:p>
        </w:tc>
      </w:tr>
      <w:tr w14:paraId="43791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2" w:hRule="atLeast"/>
        </w:trPr>
        <w:tc>
          <w:tcPr>
            <w:tcW w:w="658" w:type="dxa"/>
            <w:tcBorders>
              <w:top w:val="single" w:color="auto" w:sz="4" w:space="0"/>
              <w:left w:val="single" w:color="auto" w:sz="4" w:space="0"/>
              <w:bottom w:val="single" w:color="auto" w:sz="4" w:space="0"/>
              <w:right w:val="single" w:color="auto" w:sz="4" w:space="0"/>
            </w:tcBorders>
            <w:vAlign w:val="center"/>
          </w:tcPr>
          <w:p w14:paraId="3516C28D">
            <w:pPr>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lang w:eastAsia="zh-CN"/>
                <w14:ligatures w14:val="none"/>
              </w:rPr>
            </w:pPr>
            <w:r>
              <w:rPr>
                <w:rFonts w:hint="eastAsia" w:ascii="宋体" w:hAnsi="宋体" w:eastAsia="宋体" w:cs="宋体"/>
                <w:b w:val="0"/>
                <w:bCs w:val="0"/>
                <w:color w:val="auto"/>
                <w:kern w:val="0"/>
                <w:sz w:val="21"/>
                <w:szCs w:val="21"/>
                <w:lang w:val="en-US" w:eastAsia="zh-CN"/>
                <w14:ligatures w14:val="none"/>
              </w:rPr>
              <w:t>4</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EF04462">
            <w:pPr>
              <w:keepLines w:val="0"/>
              <w:pageBreakBefore w:val="0"/>
              <w:widowControl w:val="0"/>
              <w:tabs>
                <w:tab w:val="left" w:pos="2870"/>
              </w:tabs>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企业实力</w:t>
            </w:r>
          </w:p>
          <w:p w14:paraId="45327BCE">
            <w:pPr>
              <w:keepLines w:val="0"/>
              <w:pageBreakBefore w:val="0"/>
              <w:widowControl w:val="0"/>
              <w:tabs>
                <w:tab w:val="left" w:pos="2870"/>
              </w:tabs>
              <w:kinsoku/>
              <w:wordWrap/>
              <w:overflowPunct/>
              <w:topLinePunct w:val="0"/>
              <w:autoSpaceDE/>
              <w:autoSpaceDN/>
              <w:bidi w:val="0"/>
              <w:adjustRightInd w:val="0"/>
              <w:snapToGrid w:val="0"/>
              <w:spacing w:line="360" w:lineRule="auto"/>
              <w:ind w:firstLine="0" w:firstLineChars="0"/>
              <w:jc w:val="center"/>
              <w:textAlignment w:val="auto"/>
              <w:rPr>
                <w:rFonts w:hint="eastAsia" w:ascii="宋体" w:hAnsi="宋体" w:eastAsia="宋体" w:cs="宋体"/>
                <w:b w:val="0"/>
                <w:bCs w:val="0"/>
                <w:color w:val="auto"/>
                <w:kern w:val="0"/>
                <w:sz w:val="21"/>
                <w:szCs w:val="21"/>
                <w14:ligatures w14:val="none"/>
              </w:rPr>
            </w:pPr>
            <w:r>
              <w:rPr>
                <w:rFonts w:hint="eastAsia" w:ascii="宋体" w:hAnsi="宋体" w:eastAsia="宋体" w:cs="宋体"/>
                <w:b w:val="0"/>
                <w:bCs w:val="0"/>
                <w:color w:val="auto"/>
                <w:sz w:val="21"/>
                <w:szCs w:val="21"/>
              </w:rPr>
              <w:t>（1</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分）</w:t>
            </w:r>
          </w:p>
        </w:tc>
        <w:tc>
          <w:tcPr>
            <w:tcW w:w="75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FE4BE0">
            <w:pPr>
              <w:keepLines w:val="0"/>
              <w:pageBreakBefore w:val="0"/>
              <w:widowControl w:val="0"/>
              <w:numPr>
                <w:ilvl w:val="0"/>
                <w:numId w:val="0"/>
              </w:numPr>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bidi="ar-SA"/>
              </w:rPr>
              <w:t>1、</w:t>
            </w:r>
            <w:r>
              <w:rPr>
                <w:rFonts w:hint="eastAsia" w:ascii="宋体" w:hAnsi="宋体" w:eastAsia="宋体" w:cs="宋体"/>
                <w:b w:val="0"/>
                <w:bCs w:val="0"/>
                <w:color w:val="auto"/>
                <w:sz w:val="21"/>
                <w:szCs w:val="21"/>
                <w:lang w:val="en-US" w:eastAsia="zh-CN"/>
              </w:rPr>
              <w:t>投标</w:t>
            </w:r>
            <w:r>
              <w:rPr>
                <w:rFonts w:hint="eastAsia" w:ascii="宋体" w:hAnsi="宋体" w:eastAsia="宋体" w:cs="宋体"/>
                <w:b w:val="0"/>
                <w:bCs w:val="0"/>
                <w:color w:val="auto"/>
                <w:sz w:val="21"/>
                <w:szCs w:val="21"/>
              </w:rPr>
              <w:t>单位具有有效期内质量管理体系证书、环境管理体系认证证书、职业健康管理体系认证证书、知识产权管理体系认证证书、信息安全管理体系认证证书、信息技术服务管理体系认证证书的，每</w:t>
            </w:r>
            <w:r>
              <w:rPr>
                <w:rFonts w:hint="eastAsia" w:ascii="宋体" w:hAnsi="宋体" w:eastAsia="宋体" w:cs="宋体"/>
                <w:b w:val="0"/>
                <w:bCs w:val="0"/>
                <w:color w:val="auto"/>
                <w:sz w:val="21"/>
                <w:szCs w:val="21"/>
                <w:lang w:val="en-US" w:eastAsia="zh-CN"/>
              </w:rPr>
              <w:t>提供</w:t>
            </w:r>
            <w:r>
              <w:rPr>
                <w:rFonts w:hint="eastAsia" w:ascii="宋体" w:hAnsi="宋体" w:eastAsia="宋体" w:cs="宋体"/>
                <w:b w:val="0"/>
                <w:bCs w:val="0"/>
                <w:color w:val="auto"/>
                <w:sz w:val="21"/>
                <w:szCs w:val="21"/>
              </w:rPr>
              <w:t>一项得0.5分，</w:t>
            </w:r>
            <w:r>
              <w:rPr>
                <w:rFonts w:hint="eastAsia" w:ascii="宋体" w:hAnsi="宋体" w:eastAsia="宋体" w:cs="宋体"/>
                <w:b w:val="0"/>
                <w:bCs w:val="0"/>
                <w:color w:val="auto"/>
                <w:sz w:val="21"/>
                <w:szCs w:val="21"/>
                <w:lang w:val="en-US" w:eastAsia="zh-CN"/>
              </w:rPr>
              <w:t>本项目</w:t>
            </w:r>
            <w:r>
              <w:rPr>
                <w:rFonts w:hint="eastAsia" w:ascii="宋体" w:hAnsi="宋体" w:eastAsia="宋体" w:cs="宋体"/>
                <w:b w:val="0"/>
                <w:bCs w:val="0"/>
                <w:color w:val="auto"/>
                <w:sz w:val="21"/>
                <w:szCs w:val="21"/>
              </w:rPr>
              <w:t>最高</w:t>
            </w:r>
            <w:r>
              <w:rPr>
                <w:rFonts w:hint="eastAsia" w:ascii="宋体" w:hAnsi="宋体" w:eastAsia="宋体" w:cs="宋体"/>
                <w:b w:val="0"/>
                <w:bCs w:val="0"/>
                <w:color w:val="auto"/>
                <w:sz w:val="21"/>
                <w:szCs w:val="21"/>
                <w:lang w:val="en-US" w:eastAsia="zh-CN"/>
              </w:rPr>
              <w:t>得</w:t>
            </w:r>
            <w:r>
              <w:rPr>
                <w:rFonts w:hint="eastAsia" w:ascii="宋体" w:hAnsi="宋体" w:eastAsia="宋体" w:cs="宋体"/>
                <w:b w:val="0"/>
                <w:bCs w:val="0"/>
                <w:color w:val="auto"/>
                <w:sz w:val="21"/>
                <w:szCs w:val="21"/>
              </w:rPr>
              <w:t>3分。</w:t>
            </w:r>
          </w:p>
          <w:p w14:paraId="499B30B6">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val="en-US" w:eastAsia="zh-CN"/>
              </w:rPr>
              <w:t>投标</w:t>
            </w:r>
            <w:r>
              <w:rPr>
                <w:rFonts w:hint="eastAsia" w:ascii="宋体" w:hAnsi="宋体" w:eastAsia="宋体" w:cs="宋体"/>
                <w:b w:val="0"/>
                <w:bCs w:val="0"/>
                <w:color w:val="auto"/>
                <w:sz w:val="21"/>
                <w:szCs w:val="21"/>
              </w:rPr>
              <w:t>单位具有农田管理类、地理信息类、测绘类、耕地保护类、耕地变化监测类、数据质检工作类、一体化数据整合类相关的计算机软件著作权登记证书的，每</w:t>
            </w:r>
            <w:r>
              <w:rPr>
                <w:rFonts w:hint="eastAsia" w:ascii="宋体" w:hAnsi="宋体" w:eastAsia="宋体" w:cs="宋体"/>
                <w:b w:val="0"/>
                <w:bCs w:val="0"/>
                <w:color w:val="auto"/>
                <w:sz w:val="21"/>
                <w:szCs w:val="21"/>
                <w:lang w:val="en-US" w:eastAsia="zh-CN"/>
              </w:rPr>
              <w:t>提供</w:t>
            </w:r>
            <w:r>
              <w:rPr>
                <w:rFonts w:hint="eastAsia" w:ascii="宋体" w:hAnsi="宋体" w:eastAsia="宋体" w:cs="宋体"/>
                <w:b w:val="0"/>
                <w:bCs w:val="0"/>
                <w:color w:val="auto"/>
                <w:sz w:val="21"/>
                <w:szCs w:val="21"/>
              </w:rPr>
              <w:t>一项得1分，最高为4分。</w:t>
            </w:r>
          </w:p>
          <w:p w14:paraId="0C71254F">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3</w:t>
            </w:r>
            <w:r>
              <w:rPr>
                <w:rFonts w:hint="eastAsia" w:ascii="宋体" w:hAnsi="宋体" w:eastAsia="宋体" w:cs="宋体"/>
                <w:b w:val="0"/>
                <w:bCs w:val="0"/>
                <w:color w:val="auto"/>
                <w:sz w:val="21"/>
                <w:szCs w:val="21"/>
              </w:rPr>
              <w:t>、类似业绩：投标人202</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年1月1日以来</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以合同签订时间为准</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承担过与本项目相关的类似业绩（类似业绩是指与高标准农田等相关的测绘、检测、调查入库项目；农业、林业、水利等自然资源调查项目；农业用地调查项目；农村土地经营承包权项目等），每有1个得</w:t>
            </w:r>
            <w:r>
              <w:rPr>
                <w:rFonts w:hint="eastAsia" w:ascii="宋体" w:hAnsi="宋体" w:eastAsia="宋体" w:cs="宋体"/>
                <w:b w:val="0"/>
                <w:bCs w:val="0"/>
                <w:color w:val="auto"/>
                <w:sz w:val="21"/>
                <w:szCs w:val="21"/>
                <w:lang w:val="en-US" w:eastAsia="zh-CN"/>
              </w:rPr>
              <w:t>1</w:t>
            </w:r>
            <w:r>
              <w:rPr>
                <w:rFonts w:hint="eastAsia" w:ascii="宋体" w:hAnsi="宋体" w:eastAsia="宋体" w:cs="宋体"/>
                <w:b w:val="0"/>
                <w:bCs w:val="0"/>
                <w:color w:val="auto"/>
                <w:sz w:val="21"/>
                <w:szCs w:val="21"/>
              </w:rPr>
              <w:t>分，最多得</w:t>
            </w:r>
            <w:r>
              <w:rPr>
                <w:rFonts w:hint="eastAsia" w:ascii="宋体" w:hAnsi="宋体" w:eastAsia="宋体" w:cs="宋体"/>
                <w:b w:val="0"/>
                <w:bCs w:val="0"/>
                <w:color w:val="auto"/>
                <w:sz w:val="21"/>
                <w:szCs w:val="21"/>
                <w:lang w:val="en-US" w:eastAsia="zh-CN"/>
              </w:rPr>
              <w:t>4</w:t>
            </w:r>
            <w:r>
              <w:rPr>
                <w:rFonts w:hint="eastAsia" w:ascii="宋体" w:hAnsi="宋体" w:eastAsia="宋体" w:cs="宋体"/>
                <w:b w:val="0"/>
                <w:bCs w:val="0"/>
                <w:color w:val="auto"/>
                <w:sz w:val="21"/>
                <w:szCs w:val="21"/>
              </w:rPr>
              <w:t>分。</w:t>
            </w:r>
          </w:p>
          <w:p w14:paraId="0FDD9A67">
            <w:pPr>
              <w:keepLines w:val="0"/>
              <w:pageBreakBefore w:val="0"/>
              <w:widowControl w:val="0"/>
              <w:tabs>
                <w:tab w:val="left" w:pos="315"/>
                <w:tab w:val="left" w:pos="720"/>
              </w:tabs>
              <w:kinsoku/>
              <w:wordWrap/>
              <w:overflowPunct/>
              <w:topLinePunct w:val="0"/>
              <w:autoSpaceDE/>
              <w:autoSpaceDN/>
              <w:bidi w:val="0"/>
              <w:adjustRightInd w:val="0"/>
              <w:snapToGrid w:val="0"/>
              <w:spacing w:line="360" w:lineRule="auto"/>
              <w:textAlignment w:val="auto"/>
              <w:rPr>
                <w:rFonts w:hint="default" w:ascii="宋体" w:hAnsi="宋体" w:eastAsia="宋体" w:cs="宋体"/>
                <w:b w:val="0"/>
                <w:bCs w:val="0"/>
                <w:color w:val="auto"/>
                <w:kern w:val="0"/>
                <w:sz w:val="21"/>
                <w:szCs w:val="21"/>
                <w:lang w:val="en-US" w:eastAsia="zh-CN"/>
                <w14:ligatures w14:val="none"/>
              </w:rPr>
            </w:pPr>
            <w:r>
              <w:rPr>
                <w:rFonts w:hint="eastAsia" w:ascii="宋体" w:hAnsi="宋体" w:eastAsia="宋体" w:cs="宋体"/>
                <w:b w:val="0"/>
                <w:bCs w:val="0"/>
                <w:color w:val="auto"/>
                <w:kern w:val="0"/>
                <w:sz w:val="21"/>
                <w:szCs w:val="21"/>
                <w:lang w:val="en-US" w:eastAsia="zh-CN"/>
                <w14:ligatures w14:val="none"/>
              </w:rPr>
              <w:t>注：投标时须提供相应证书或合同的彩色扫描件。</w:t>
            </w:r>
          </w:p>
        </w:tc>
      </w:tr>
    </w:tbl>
    <w:p w14:paraId="253B9708">
      <w:pPr>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rPr>
      </w:pPr>
      <w:r>
        <w:rPr>
          <w:rFonts w:hint="eastAsia" w:ascii="宋体" w:hAnsi="宋体" w:eastAsia="宋体" w:cs="宋体"/>
          <w:b/>
          <w:bCs/>
          <w:color w:val="auto"/>
          <w:sz w:val="24"/>
          <w:szCs w:val="24"/>
        </w:rPr>
        <w:t>备注：1、评分过程中如出现小数点后三位，采用四舍五入法，最终保留两位小数。</w:t>
      </w:r>
    </w:p>
    <w:p w14:paraId="1B1416CA">
      <w:pPr>
        <w:pStyle w:val="39"/>
        <w:keepNext/>
        <w:spacing w:beforeAutospacing="0" w:afterAutospacing="0"/>
        <w:jc w:val="center"/>
        <w:outlineLvl w:val="0"/>
        <w:rPr>
          <w:rFonts w:hint="eastAsia" w:ascii="宋体" w:hAnsi="宋体" w:eastAsia="宋体" w:cs="宋体"/>
          <w:b/>
          <w:bCs/>
          <w:color w:val="auto"/>
          <w:sz w:val="44"/>
          <w:szCs w:val="44"/>
        </w:rPr>
        <w:sectPr>
          <w:pgSz w:w="11906" w:h="16838"/>
          <w:pgMar w:top="1559" w:right="1417" w:bottom="1440" w:left="1417" w:header="851" w:footer="992" w:gutter="0"/>
          <w:cols w:space="425" w:num="1"/>
          <w:docGrid w:linePitch="360" w:charSpace="0"/>
        </w:sectPr>
      </w:pPr>
    </w:p>
    <w:p w14:paraId="5E2F7578">
      <w:pPr>
        <w:pStyle w:val="39"/>
        <w:keepNext/>
        <w:spacing w:beforeAutospacing="0" w:afterAutospacing="0"/>
        <w:jc w:val="center"/>
        <w:outlineLvl w:val="0"/>
        <w:rPr>
          <w:rFonts w:hint="eastAsia" w:ascii="宋体" w:hAnsi="宋体" w:eastAsia="宋体" w:cs="宋体"/>
          <w:color w:val="auto"/>
        </w:rPr>
      </w:pPr>
      <w:r>
        <w:rPr>
          <w:rFonts w:hint="eastAsia" w:ascii="宋体" w:hAnsi="宋体" w:eastAsia="宋体" w:cs="宋体"/>
          <w:b/>
          <w:bCs/>
          <w:color w:val="auto"/>
          <w:sz w:val="44"/>
          <w:szCs w:val="44"/>
        </w:rPr>
        <w:t>第六章  投标文件格式</w:t>
      </w:r>
    </w:p>
    <w:p w14:paraId="4E9BEEA4">
      <w:pPr>
        <w:pStyle w:val="39"/>
        <w:spacing w:beforeAutospacing="0" w:afterAutospacing="0"/>
        <w:jc w:val="center"/>
        <w:rPr>
          <w:rFonts w:hint="eastAsia" w:ascii="宋体" w:hAnsi="宋体" w:eastAsia="宋体" w:cs="宋体"/>
          <w:b/>
          <w:color w:val="auto"/>
          <w:sz w:val="72"/>
          <w:szCs w:val="72"/>
        </w:rPr>
      </w:pPr>
      <w:bookmarkStart w:id="182" w:name="_Hlt26955039"/>
      <w:bookmarkEnd w:id="182"/>
      <w:bookmarkStart w:id="183" w:name="_Toc26554094"/>
      <w:bookmarkEnd w:id="183"/>
      <w:bookmarkStart w:id="184" w:name="_Hlt26671244"/>
      <w:bookmarkEnd w:id="184"/>
      <w:bookmarkStart w:id="185" w:name="_Toc120614282"/>
      <w:bookmarkStart w:id="186" w:name="_Toc49090576"/>
    </w:p>
    <w:p w14:paraId="607CB1B5">
      <w:pPr>
        <w:pStyle w:val="39"/>
        <w:spacing w:beforeAutospacing="0" w:afterAutospacing="0"/>
        <w:jc w:val="center"/>
        <w:rPr>
          <w:rFonts w:hint="eastAsia" w:ascii="宋体" w:hAnsi="宋体" w:eastAsia="宋体" w:cs="宋体"/>
          <w:b/>
          <w:color w:val="auto"/>
          <w:sz w:val="72"/>
          <w:szCs w:val="72"/>
        </w:rPr>
      </w:pPr>
    </w:p>
    <w:p w14:paraId="7154A4C6">
      <w:pPr>
        <w:pStyle w:val="39"/>
        <w:spacing w:beforeAutospacing="0" w:afterAutospacing="0"/>
        <w:jc w:val="center"/>
        <w:rPr>
          <w:rFonts w:hint="eastAsia" w:ascii="宋体" w:hAnsi="宋体" w:eastAsia="宋体" w:cs="宋体"/>
          <w:b/>
          <w:color w:val="auto"/>
          <w:sz w:val="72"/>
          <w:szCs w:val="72"/>
        </w:rPr>
      </w:pPr>
    </w:p>
    <w:p w14:paraId="6BFD46D9">
      <w:pPr>
        <w:pStyle w:val="39"/>
        <w:spacing w:beforeAutospacing="0" w:afterAutospacing="0"/>
        <w:jc w:val="center"/>
        <w:rPr>
          <w:rFonts w:hint="eastAsia" w:ascii="宋体" w:hAnsi="宋体" w:eastAsia="宋体" w:cs="宋体"/>
          <w:color w:val="auto"/>
        </w:rPr>
      </w:pPr>
      <w:r>
        <w:rPr>
          <w:rFonts w:hint="eastAsia" w:ascii="宋体" w:hAnsi="宋体" w:eastAsia="宋体" w:cs="宋体"/>
          <w:b/>
          <w:color w:val="auto"/>
          <w:sz w:val="72"/>
          <w:szCs w:val="72"/>
        </w:rPr>
        <w:t>投  标  文  件</w:t>
      </w:r>
    </w:p>
    <w:p w14:paraId="70E660C2">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774A3AF3">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71792BE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788C155A">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4747AD9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54B00ED7">
      <w:pPr>
        <w:pStyle w:val="39"/>
        <w:spacing w:beforeAutospacing="0" w:afterAutospacing="0"/>
        <w:ind w:firstLine="1084"/>
        <w:jc w:val="both"/>
        <w:rPr>
          <w:rFonts w:hint="eastAsia" w:ascii="宋体" w:hAnsi="宋体" w:eastAsia="宋体" w:cs="宋体"/>
          <w:color w:val="auto"/>
        </w:rPr>
      </w:pPr>
      <w:r>
        <w:rPr>
          <w:rFonts w:hint="eastAsia" w:ascii="宋体" w:hAnsi="宋体" w:eastAsia="宋体" w:cs="宋体"/>
          <w:b/>
          <w:color w:val="auto"/>
          <w:sz w:val="36"/>
          <w:szCs w:val="36"/>
        </w:rPr>
        <w:t>项目名称：</w:t>
      </w:r>
      <w:r>
        <w:rPr>
          <w:rFonts w:hint="eastAsia" w:ascii="宋体" w:hAnsi="宋体" w:eastAsia="宋体" w:cs="宋体"/>
          <w:b/>
          <w:color w:val="auto"/>
          <w:sz w:val="36"/>
          <w:szCs w:val="36"/>
          <w:u w:val="single"/>
        </w:rPr>
        <w:t xml:space="preserve">               </w:t>
      </w:r>
    </w:p>
    <w:p w14:paraId="4ACFA886">
      <w:pPr>
        <w:pStyle w:val="39"/>
        <w:spacing w:beforeAutospacing="0" w:afterAutospacing="0"/>
        <w:ind w:firstLine="1084"/>
        <w:jc w:val="both"/>
        <w:rPr>
          <w:rFonts w:hint="eastAsia" w:ascii="宋体" w:hAnsi="宋体" w:eastAsia="宋体" w:cs="宋体"/>
          <w:color w:val="auto"/>
        </w:rPr>
      </w:pPr>
      <w:r>
        <w:rPr>
          <w:rFonts w:hint="eastAsia" w:ascii="宋体" w:hAnsi="宋体" w:eastAsia="宋体" w:cs="宋体"/>
          <w:b/>
          <w:color w:val="auto"/>
          <w:sz w:val="36"/>
          <w:szCs w:val="36"/>
        </w:rPr>
        <w:t>项目编号：</w:t>
      </w:r>
      <w:r>
        <w:rPr>
          <w:rFonts w:hint="eastAsia" w:ascii="宋体" w:hAnsi="宋体" w:eastAsia="宋体" w:cs="宋体"/>
          <w:b/>
          <w:color w:val="auto"/>
          <w:sz w:val="36"/>
          <w:szCs w:val="36"/>
          <w:u w:val="single"/>
        </w:rPr>
        <w:t xml:space="preserve">               </w:t>
      </w:r>
    </w:p>
    <w:p w14:paraId="0567FB32">
      <w:pPr>
        <w:pStyle w:val="39"/>
        <w:spacing w:beforeAutospacing="0" w:afterAutospacing="0"/>
        <w:jc w:val="both"/>
        <w:rPr>
          <w:rFonts w:hint="eastAsia" w:ascii="宋体" w:hAnsi="宋体" w:eastAsia="宋体" w:cs="宋体"/>
          <w:color w:val="auto"/>
        </w:rPr>
      </w:pPr>
      <w:r>
        <w:rPr>
          <w:rFonts w:hint="eastAsia" w:ascii="宋体" w:hAnsi="宋体" w:eastAsia="宋体" w:cs="宋体"/>
          <w:b/>
          <w:color w:val="auto"/>
          <w:sz w:val="36"/>
          <w:szCs w:val="36"/>
        </w:rPr>
        <w:t>   投标人名称：</w:t>
      </w:r>
      <w:r>
        <w:rPr>
          <w:rFonts w:hint="eastAsia" w:ascii="宋体" w:hAnsi="宋体" w:eastAsia="宋体" w:cs="宋体"/>
          <w:b/>
          <w:color w:val="auto"/>
          <w:sz w:val="36"/>
          <w:szCs w:val="36"/>
          <w:u w:val="single"/>
        </w:rPr>
        <w:t>（加盖CA电子公章）</w:t>
      </w:r>
    </w:p>
    <w:p w14:paraId="1CDE0A70">
      <w:pPr>
        <w:pStyle w:val="39"/>
        <w:spacing w:beforeAutospacing="0" w:afterAutospacing="0"/>
        <w:jc w:val="both"/>
        <w:rPr>
          <w:rFonts w:hint="eastAsia" w:ascii="宋体" w:hAnsi="宋体" w:eastAsia="宋体" w:cs="宋体"/>
          <w:color w:val="auto"/>
        </w:rPr>
      </w:pPr>
      <w:r>
        <w:rPr>
          <w:rFonts w:hint="eastAsia" w:ascii="宋体" w:hAnsi="宋体" w:eastAsia="宋体" w:cs="宋体"/>
          <w:b/>
          <w:color w:val="auto"/>
          <w:sz w:val="36"/>
          <w:szCs w:val="36"/>
        </w:rPr>
        <w:t>   日   期：</w:t>
      </w:r>
      <w:r>
        <w:rPr>
          <w:rFonts w:hint="eastAsia" w:ascii="宋体" w:hAnsi="宋体" w:eastAsia="宋体" w:cs="宋体"/>
          <w:b/>
          <w:color w:val="auto"/>
          <w:sz w:val="36"/>
          <w:szCs w:val="36"/>
          <w:u w:val="single"/>
        </w:rPr>
        <w:t>                     </w:t>
      </w:r>
    </w:p>
    <w:p w14:paraId="0D5F95E9">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51446D69">
      <w:pPr>
        <w:pStyle w:val="39"/>
        <w:spacing w:beforeAutospacing="0" w:afterAutospacing="0" w:line="0" w:lineRule="atLeast"/>
        <w:jc w:val="both"/>
        <w:rPr>
          <w:rFonts w:hint="eastAsia" w:ascii="宋体" w:hAnsi="宋体" w:eastAsia="宋体" w:cs="宋体"/>
          <w:color w:val="auto"/>
        </w:rPr>
      </w:pPr>
      <w:r>
        <w:rPr>
          <w:rFonts w:hint="eastAsia" w:ascii="宋体" w:hAnsi="宋体" w:eastAsia="宋体" w:cs="宋体"/>
          <w:color w:val="auto"/>
        </w:rPr>
        <w:t> </w:t>
      </w:r>
    </w:p>
    <w:p w14:paraId="663CA0E2">
      <w:pPr>
        <w:pStyle w:val="39"/>
        <w:spacing w:beforeAutospacing="0" w:afterAutospacing="0" w:line="0" w:lineRule="atLeast"/>
        <w:jc w:val="center"/>
        <w:rPr>
          <w:rFonts w:hint="eastAsia" w:ascii="宋体" w:hAnsi="宋体" w:eastAsia="宋体" w:cs="宋体"/>
          <w:b/>
          <w:color w:val="auto"/>
          <w:sz w:val="36"/>
          <w:szCs w:val="36"/>
          <w:u w:val="single"/>
        </w:rPr>
      </w:pPr>
    </w:p>
    <w:p w14:paraId="56EFD305">
      <w:pPr>
        <w:pStyle w:val="39"/>
        <w:spacing w:beforeAutospacing="0" w:afterAutospacing="0" w:line="0" w:lineRule="atLeast"/>
        <w:jc w:val="center"/>
        <w:rPr>
          <w:rFonts w:hint="eastAsia" w:ascii="宋体" w:hAnsi="宋体" w:eastAsia="宋体" w:cs="宋体"/>
          <w:b/>
          <w:color w:val="auto"/>
          <w:sz w:val="36"/>
          <w:szCs w:val="36"/>
          <w:u w:val="single"/>
        </w:rPr>
      </w:pPr>
    </w:p>
    <w:p w14:paraId="6D131D3F">
      <w:pPr>
        <w:pStyle w:val="39"/>
        <w:spacing w:beforeAutospacing="0" w:afterAutospacing="0" w:line="0" w:lineRule="atLeast"/>
        <w:jc w:val="center"/>
        <w:rPr>
          <w:rFonts w:hint="eastAsia" w:ascii="宋体" w:hAnsi="宋体" w:eastAsia="宋体" w:cs="宋体"/>
          <w:b/>
          <w:color w:val="auto"/>
          <w:sz w:val="36"/>
          <w:szCs w:val="36"/>
          <w:u w:val="single"/>
        </w:rPr>
      </w:pPr>
    </w:p>
    <w:p w14:paraId="5FAF58B6">
      <w:pPr>
        <w:pStyle w:val="39"/>
        <w:spacing w:beforeAutospacing="0" w:afterAutospacing="0" w:line="0" w:lineRule="atLeast"/>
        <w:jc w:val="center"/>
        <w:rPr>
          <w:rFonts w:hint="eastAsia" w:ascii="宋体" w:hAnsi="宋体" w:eastAsia="宋体" w:cs="宋体"/>
          <w:b/>
          <w:color w:val="auto"/>
          <w:sz w:val="36"/>
          <w:szCs w:val="36"/>
          <w:u w:val="single"/>
        </w:rPr>
      </w:pPr>
    </w:p>
    <w:p w14:paraId="4312D991">
      <w:pPr>
        <w:pStyle w:val="39"/>
        <w:spacing w:beforeAutospacing="0" w:afterAutospacing="0" w:line="0" w:lineRule="atLeast"/>
        <w:jc w:val="center"/>
        <w:rPr>
          <w:rFonts w:hint="eastAsia" w:ascii="宋体" w:hAnsi="宋体" w:eastAsia="宋体" w:cs="宋体"/>
          <w:b/>
          <w:color w:val="auto"/>
          <w:sz w:val="36"/>
          <w:szCs w:val="36"/>
          <w:u w:val="single"/>
        </w:rPr>
      </w:pPr>
    </w:p>
    <w:p w14:paraId="725BFF93">
      <w:pPr>
        <w:pStyle w:val="39"/>
        <w:spacing w:beforeAutospacing="0" w:afterAutospacing="0" w:line="0" w:lineRule="atLeast"/>
        <w:jc w:val="center"/>
        <w:rPr>
          <w:rFonts w:hint="eastAsia" w:ascii="宋体" w:hAnsi="宋体" w:eastAsia="宋体" w:cs="宋体"/>
          <w:b/>
          <w:color w:val="auto"/>
          <w:sz w:val="36"/>
          <w:szCs w:val="36"/>
          <w:u w:val="single"/>
        </w:rPr>
      </w:pPr>
    </w:p>
    <w:p w14:paraId="3399046B">
      <w:pPr>
        <w:pStyle w:val="39"/>
        <w:spacing w:beforeAutospacing="0" w:afterAutospacing="0" w:line="0" w:lineRule="atLeast"/>
        <w:jc w:val="center"/>
        <w:rPr>
          <w:rFonts w:hint="eastAsia" w:ascii="宋体" w:hAnsi="宋体" w:eastAsia="宋体" w:cs="宋体"/>
          <w:b/>
          <w:color w:val="auto"/>
          <w:sz w:val="36"/>
          <w:szCs w:val="36"/>
          <w:u w:val="single"/>
        </w:rPr>
      </w:pPr>
    </w:p>
    <w:p w14:paraId="0B5E00CB">
      <w:pPr>
        <w:pStyle w:val="39"/>
        <w:spacing w:beforeAutospacing="0" w:afterAutospacing="0" w:line="0" w:lineRule="atLeast"/>
        <w:jc w:val="center"/>
        <w:rPr>
          <w:rFonts w:hint="eastAsia" w:ascii="宋体" w:hAnsi="宋体" w:eastAsia="宋体" w:cs="宋体"/>
          <w:b/>
          <w:color w:val="auto"/>
          <w:sz w:val="36"/>
          <w:szCs w:val="36"/>
          <w:u w:val="single"/>
        </w:rPr>
      </w:pPr>
    </w:p>
    <w:p w14:paraId="2EE82633">
      <w:pPr>
        <w:pStyle w:val="39"/>
        <w:spacing w:beforeAutospacing="0" w:afterAutospacing="0" w:line="0" w:lineRule="atLeast"/>
        <w:jc w:val="center"/>
        <w:rPr>
          <w:rFonts w:hint="eastAsia" w:ascii="宋体" w:hAnsi="宋体" w:eastAsia="宋体" w:cs="宋体"/>
          <w:b/>
          <w:color w:val="auto"/>
          <w:sz w:val="36"/>
          <w:szCs w:val="36"/>
          <w:u w:val="single"/>
        </w:rPr>
      </w:pPr>
    </w:p>
    <w:p w14:paraId="3F4CBD8B">
      <w:pPr>
        <w:pStyle w:val="39"/>
        <w:spacing w:beforeAutospacing="0" w:afterAutospacing="0" w:line="0" w:lineRule="atLeast"/>
        <w:jc w:val="center"/>
        <w:rPr>
          <w:rFonts w:hint="eastAsia" w:ascii="宋体" w:hAnsi="宋体" w:eastAsia="宋体" w:cs="宋体"/>
          <w:b/>
          <w:color w:val="auto"/>
          <w:sz w:val="36"/>
          <w:szCs w:val="36"/>
          <w:u w:val="single"/>
        </w:rPr>
      </w:pPr>
    </w:p>
    <w:p w14:paraId="05F68BB4">
      <w:pPr>
        <w:pStyle w:val="39"/>
        <w:spacing w:beforeAutospacing="0" w:afterAutospacing="0" w:line="0" w:lineRule="atLeast"/>
        <w:jc w:val="center"/>
        <w:rPr>
          <w:rFonts w:hint="eastAsia" w:ascii="宋体" w:hAnsi="宋体" w:eastAsia="宋体" w:cs="宋体"/>
          <w:b/>
          <w:color w:val="auto"/>
          <w:sz w:val="32"/>
          <w:szCs w:val="32"/>
        </w:rPr>
        <w:sectPr>
          <w:pgSz w:w="11906" w:h="16838"/>
          <w:pgMar w:top="1559" w:right="1417" w:bottom="1440" w:left="1417" w:header="851" w:footer="992" w:gutter="0"/>
          <w:cols w:space="425" w:num="1"/>
          <w:docGrid w:linePitch="360" w:charSpace="0"/>
        </w:sectPr>
      </w:pPr>
    </w:p>
    <w:p w14:paraId="593DD230">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b/>
          <w:color w:val="auto"/>
          <w:sz w:val="32"/>
          <w:szCs w:val="32"/>
        </w:rPr>
        <w:t>投标文件目录</w:t>
      </w:r>
    </w:p>
    <w:p w14:paraId="20AE8C10">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7A4B2AD5">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一、法人或者其他组织的营业执照等证明文件，自然人的身份证明</w:t>
      </w:r>
    </w:p>
    <w:p w14:paraId="66B3A718">
      <w:pPr>
        <w:tabs>
          <w:tab w:val="left" w:pos="1331"/>
        </w:tabs>
        <w:spacing w:line="500" w:lineRule="exact"/>
        <w:ind w:firstLine="480"/>
        <w:jc w:val="left"/>
        <w:rPr>
          <w:rFonts w:hint="eastAsia" w:ascii="宋体" w:hAnsi="宋体" w:eastAsia="宋体" w:cs="宋体"/>
          <w:color w:val="auto"/>
          <w:sz w:val="24"/>
          <w:u w:val="single"/>
        </w:rPr>
      </w:pPr>
      <w:r>
        <w:rPr>
          <w:rFonts w:hint="eastAsia" w:ascii="宋体" w:hAnsi="宋体" w:eastAsia="宋体" w:cs="宋体"/>
          <w:color w:val="auto"/>
          <w:sz w:val="24"/>
          <w:u w:val="single"/>
        </w:rPr>
        <w:t>二、上一年度的财务报表（至少提供资产负债表、利润表、现金流量表，</w:t>
      </w:r>
    </w:p>
    <w:p w14:paraId="5EEDB8D7">
      <w:pPr>
        <w:pStyle w:val="39"/>
        <w:spacing w:beforeAutospacing="0" w:afterAutospacing="0" w:line="500" w:lineRule="exact"/>
        <w:jc w:val="both"/>
        <w:rPr>
          <w:rFonts w:hint="eastAsia" w:ascii="宋体" w:hAnsi="宋体" w:eastAsia="宋体" w:cs="宋体"/>
          <w:color w:val="auto"/>
          <w:u w:val="single"/>
        </w:rPr>
      </w:pPr>
      <w:r>
        <w:rPr>
          <w:rFonts w:hint="eastAsia" w:ascii="宋体" w:hAnsi="宋体" w:eastAsia="宋体" w:cs="宋体"/>
          <w:color w:val="auto"/>
          <w:u w:val="single"/>
        </w:rPr>
        <w:t>投标人成立不满一年无需提供）</w:t>
      </w:r>
    </w:p>
    <w:p w14:paraId="2AA5249D">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三、具备履行合同所必需的设备和专业技术能力的书面声明</w:t>
      </w:r>
    </w:p>
    <w:p w14:paraId="24887C24">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2FEC986">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五、参加政府采购活动前 3 年内在经营活动中没有重大违法记录的书面声明</w:t>
      </w:r>
    </w:p>
    <w:p w14:paraId="316A02DD">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六、特定资格要求的证明文件</w:t>
      </w:r>
    </w:p>
    <w:p w14:paraId="0041FE56">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七、法人授权书</w:t>
      </w:r>
    </w:p>
    <w:p w14:paraId="41B19FEF">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八、投标函</w:t>
      </w:r>
    </w:p>
    <w:p w14:paraId="75D1D4B5">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九、中小企业声明函</w:t>
      </w:r>
    </w:p>
    <w:p w14:paraId="1A3E480D">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十、残疾人福利性单位声明函</w:t>
      </w:r>
    </w:p>
    <w:p w14:paraId="73B635EC">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十一、投标分项报价表</w:t>
      </w:r>
    </w:p>
    <w:p w14:paraId="49B4F9EE">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十二、技术要求响应及偏离表</w:t>
      </w:r>
    </w:p>
    <w:p w14:paraId="717D47B5">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十三、商务要求响应及偏离表</w:t>
      </w:r>
    </w:p>
    <w:p w14:paraId="437EBD39">
      <w:pPr>
        <w:pStyle w:val="39"/>
        <w:spacing w:beforeAutospacing="0" w:afterAutospacing="0" w:line="500" w:lineRule="exact"/>
        <w:ind w:firstLine="480"/>
        <w:jc w:val="both"/>
        <w:rPr>
          <w:rFonts w:hint="eastAsia" w:ascii="宋体" w:hAnsi="宋体" w:eastAsia="宋体" w:cs="宋体"/>
          <w:color w:val="auto"/>
          <w:u w:val="single"/>
        </w:rPr>
      </w:pPr>
      <w:r>
        <w:rPr>
          <w:rFonts w:hint="eastAsia" w:ascii="宋体" w:hAnsi="宋体" w:eastAsia="宋体" w:cs="宋体"/>
          <w:color w:val="auto"/>
          <w:u w:val="single"/>
        </w:rPr>
        <w:t>十四、开标一览表</w:t>
      </w:r>
    </w:p>
    <w:p w14:paraId="42097BB2">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十五、项目团队人员一览表</w:t>
      </w:r>
    </w:p>
    <w:p w14:paraId="0AB54A1E">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十六、类似项目业绩一览表</w:t>
      </w:r>
    </w:p>
    <w:p w14:paraId="31F8EAB6">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十七、技术方案等</w:t>
      </w:r>
    </w:p>
    <w:p w14:paraId="38D02612">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十八、招标文件要求提供或投标人认为需要提供的其他材料等</w:t>
      </w:r>
    </w:p>
    <w:p w14:paraId="10076578">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十九、盐城市政府采购事前信用承诺书</w:t>
      </w:r>
    </w:p>
    <w:p w14:paraId="7201715A">
      <w:pPr>
        <w:pStyle w:val="39"/>
        <w:spacing w:beforeAutospacing="0" w:afterAutospacing="0" w:line="0" w:lineRule="atLeast"/>
        <w:ind w:firstLine="480"/>
        <w:jc w:val="both"/>
        <w:rPr>
          <w:rFonts w:hint="eastAsia" w:ascii="宋体" w:hAnsi="宋体" w:eastAsia="宋体" w:cs="宋体"/>
          <w:color w:val="auto"/>
        </w:rPr>
      </w:pPr>
    </w:p>
    <w:p w14:paraId="6CE9F626">
      <w:pPr>
        <w:pStyle w:val="39"/>
        <w:spacing w:beforeAutospacing="0" w:afterAutospacing="0" w:line="0" w:lineRule="atLeast"/>
        <w:ind w:firstLine="480"/>
        <w:jc w:val="both"/>
        <w:rPr>
          <w:rFonts w:hint="eastAsia" w:ascii="宋体" w:hAnsi="宋体" w:eastAsia="宋体" w:cs="宋体"/>
          <w:color w:val="auto"/>
        </w:rPr>
      </w:pPr>
    </w:p>
    <w:p w14:paraId="6A14E8BC">
      <w:pPr>
        <w:pStyle w:val="39"/>
        <w:spacing w:beforeAutospacing="0" w:afterAutospacing="0" w:line="0" w:lineRule="atLeast"/>
        <w:ind w:firstLine="480"/>
        <w:jc w:val="both"/>
        <w:rPr>
          <w:rFonts w:hint="eastAsia" w:ascii="宋体" w:hAnsi="宋体" w:eastAsia="宋体" w:cs="宋体"/>
          <w:color w:val="auto"/>
        </w:rPr>
      </w:pPr>
      <w:r>
        <w:rPr>
          <w:rFonts w:hint="eastAsia" w:ascii="宋体" w:hAnsi="宋体" w:eastAsia="宋体" w:cs="宋体"/>
          <w:color w:val="auto"/>
        </w:rPr>
        <w:t> </w:t>
      </w:r>
    </w:p>
    <w:p w14:paraId="3871106F">
      <w:pPr>
        <w:pStyle w:val="39"/>
        <w:spacing w:beforeAutospacing="0" w:afterAutospacing="0" w:line="0" w:lineRule="atLeast"/>
        <w:ind w:firstLine="480"/>
        <w:jc w:val="both"/>
        <w:rPr>
          <w:rFonts w:hint="eastAsia" w:ascii="宋体" w:hAnsi="宋体" w:eastAsia="宋体" w:cs="宋体"/>
          <w:color w:val="auto"/>
        </w:rPr>
      </w:pPr>
      <w:r>
        <w:rPr>
          <w:rFonts w:hint="eastAsia" w:ascii="宋体" w:hAnsi="宋体" w:eastAsia="宋体" w:cs="宋体"/>
          <w:color w:val="auto"/>
        </w:rPr>
        <w:t> </w:t>
      </w:r>
    </w:p>
    <w:p w14:paraId="439B180A">
      <w:pPr>
        <w:pStyle w:val="39"/>
        <w:spacing w:beforeAutospacing="0" w:afterAutospacing="0" w:line="0" w:lineRule="atLeast"/>
        <w:ind w:firstLine="480"/>
        <w:jc w:val="both"/>
        <w:rPr>
          <w:rFonts w:hint="eastAsia" w:ascii="宋体" w:hAnsi="宋体" w:eastAsia="宋体" w:cs="宋体"/>
          <w:color w:val="auto"/>
        </w:rPr>
      </w:pPr>
      <w:r>
        <w:rPr>
          <w:rFonts w:hint="eastAsia" w:ascii="宋体" w:hAnsi="宋体" w:eastAsia="宋体" w:cs="宋体"/>
          <w:color w:val="auto"/>
        </w:rPr>
        <w:t> </w:t>
      </w:r>
    </w:p>
    <w:p w14:paraId="1BE7A773">
      <w:pPr>
        <w:pStyle w:val="39"/>
        <w:spacing w:beforeAutospacing="0" w:afterAutospacing="0" w:line="0" w:lineRule="atLeast"/>
        <w:ind w:firstLine="480"/>
        <w:jc w:val="both"/>
        <w:rPr>
          <w:rFonts w:hint="eastAsia" w:ascii="宋体" w:hAnsi="宋体" w:eastAsia="宋体" w:cs="宋体"/>
          <w:color w:val="auto"/>
        </w:rPr>
      </w:pPr>
      <w:r>
        <w:rPr>
          <w:rFonts w:hint="eastAsia" w:ascii="宋体" w:hAnsi="宋体" w:eastAsia="宋体" w:cs="宋体"/>
          <w:color w:val="auto"/>
        </w:rPr>
        <w:t> </w:t>
      </w:r>
    </w:p>
    <w:p w14:paraId="1BD1EA95">
      <w:pPr>
        <w:pStyle w:val="39"/>
        <w:spacing w:beforeAutospacing="0" w:afterAutospacing="0" w:line="0" w:lineRule="atLeast"/>
        <w:ind w:firstLine="480"/>
        <w:jc w:val="both"/>
        <w:rPr>
          <w:rFonts w:hint="eastAsia" w:ascii="宋体" w:hAnsi="宋体" w:eastAsia="宋体" w:cs="宋体"/>
          <w:color w:val="auto"/>
        </w:rPr>
      </w:pPr>
    </w:p>
    <w:p w14:paraId="21611884">
      <w:pPr>
        <w:pStyle w:val="39"/>
        <w:spacing w:beforeAutospacing="0" w:afterAutospacing="0" w:line="0" w:lineRule="atLeast"/>
        <w:ind w:firstLine="480"/>
        <w:jc w:val="both"/>
        <w:rPr>
          <w:rFonts w:hint="eastAsia" w:ascii="宋体" w:hAnsi="宋体" w:eastAsia="宋体" w:cs="宋体"/>
          <w:color w:val="auto"/>
        </w:rPr>
      </w:pPr>
    </w:p>
    <w:p w14:paraId="423D1B89">
      <w:pPr>
        <w:rPr>
          <w:rFonts w:hint="eastAsia" w:ascii="宋体" w:hAnsi="宋体" w:eastAsia="宋体" w:cs="宋体"/>
          <w:iCs/>
          <w:color w:val="auto"/>
        </w:rPr>
      </w:pPr>
      <w:r>
        <w:rPr>
          <w:rFonts w:hint="eastAsia" w:ascii="宋体" w:hAnsi="宋体" w:eastAsia="宋体" w:cs="宋体"/>
          <w:iCs/>
          <w:color w:val="auto"/>
          <w:sz w:val="32"/>
          <w:szCs w:val="32"/>
          <w:u w:val="single"/>
        </w:rPr>
        <w:t>一、法人或者其他组织的营业执照等证明文件，自然人的身份证明</w:t>
      </w:r>
    </w:p>
    <w:p w14:paraId="59ECCDC7">
      <w:pPr>
        <w:pStyle w:val="39"/>
        <w:spacing w:beforeAutospacing="0" w:afterAutospacing="0" w:line="0" w:lineRule="atLeast"/>
        <w:ind w:firstLine="480"/>
        <w:jc w:val="both"/>
        <w:rPr>
          <w:rFonts w:hint="eastAsia" w:ascii="宋体" w:hAnsi="宋体" w:eastAsia="宋体" w:cs="宋体"/>
          <w:iCs/>
          <w:color w:val="auto"/>
        </w:rPr>
      </w:pPr>
      <w:r>
        <w:rPr>
          <w:rFonts w:hint="eastAsia" w:ascii="宋体" w:hAnsi="宋体" w:eastAsia="宋体" w:cs="宋体"/>
          <w:iCs/>
          <w:color w:val="auto"/>
        </w:rPr>
        <w:t> </w:t>
      </w:r>
    </w:p>
    <w:p w14:paraId="2BC4C2CA">
      <w:pPr>
        <w:pStyle w:val="39"/>
        <w:spacing w:beforeAutospacing="0" w:afterAutospacing="0"/>
        <w:jc w:val="both"/>
        <w:outlineLvl w:val="1"/>
        <w:rPr>
          <w:rFonts w:hint="eastAsia" w:ascii="宋体" w:hAnsi="宋体" w:eastAsia="宋体" w:cs="宋体"/>
          <w:iCs/>
          <w:color w:val="auto"/>
        </w:rPr>
      </w:pPr>
      <w:r>
        <w:rPr>
          <w:rFonts w:hint="eastAsia" w:ascii="宋体" w:hAnsi="宋体" w:eastAsia="宋体" w:cs="宋体"/>
          <w:iCs/>
          <w:color w:val="auto"/>
          <w:sz w:val="32"/>
          <w:szCs w:val="32"/>
          <w:u w:val="single"/>
        </w:rPr>
        <w:t>二、上一年度的财务状况报表</w:t>
      </w:r>
    </w:p>
    <w:p w14:paraId="1E91BCCD">
      <w:pPr>
        <w:pStyle w:val="39"/>
        <w:spacing w:beforeAutospacing="0" w:afterAutospacing="0" w:line="0" w:lineRule="atLeast"/>
        <w:ind w:firstLine="480"/>
        <w:jc w:val="both"/>
        <w:rPr>
          <w:rFonts w:hint="eastAsia" w:ascii="宋体" w:hAnsi="宋体" w:eastAsia="宋体" w:cs="宋体"/>
          <w:iCs/>
          <w:color w:val="auto"/>
        </w:rPr>
      </w:pPr>
      <w:r>
        <w:rPr>
          <w:rFonts w:hint="eastAsia" w:ascii="宋体" w:hAnsi="宋体" w:eastAsia="宋体" w:cs="宋体"/>
          <w:iCs/>
          <w:color w:val="auto"/>
        </w:rPr>
        <w:t>投标人成立不满一年不需提供</w:t>
      </w:r>
    </w:p>
    <w:p w14:paraId="0FA31242">
      <w:pPr>
        <w:pStyle w:val="39"/>
        <w:spacing w:beforeAutospacing="0" w:afterAutospacing="0"/>
        <w:jc w:val="both"/>
        <w:rPr>
          <w:rFonts w:hint="eastAsia" w:ascii="宋体" w:hAnsi="宋体" w:eastAsia="宋体" w:cs="宋体"/>
          <w:iCs/>
          <w:color w:val="auto"/>
        </w:rPr>
      </w:pPr>
      <w:r>
        <w:rPr>
          <w:rFonts w:hint="eastAsia" w:ascii="宋体" w:hAnsi="宋体" w:eastAsia="宋体" w:cs="宋体"/>
          <w:iCs/>
          <w:color w:val="auto"/>
        </w:rPr>
        <w:t> </w:t>
      </w:r>
    </w:p>
    <w:p w14:paraId="26537CB7">
      <w:pPr>
        <w:pStyle w:val="39"/>
        <w:spacing w:beforeAutospacing="0" w:afterAutospacing="0"/>
        <w:jc w:val="both"/>
        <w:outlineLvl w:val="1"/>
        <w:rPr>
          <w:rFonts w:hint="eastAsia" w:ascii="宋体" w:hAnsi="宋体" w:eastAsia="宋体" w:cs="宋体"/>
          <w:iCs/>
          <w:color w:val="auto"/>
        </w:rPr>
      </w:pPr>
      <w:r>
        <w:rPr>
          <w:rFonts w:hint="eastAsia" w:ascii="宋体" w:hAnsi="宋体" w:eastAsia="宋体" w:cs="宋体"/>
          <w:iCs/>
          <w:color w:val="auto"/>
          <w:sz w:val="32"/>
          <w:szCs w:val="32"/>
          <w:u w:val="single"/>
        </w:rPr>
        <w:t>三、具备履行合同所必需的设备和专业技术能力的书面声明</w:t>
      </w:r>
    </w:p>
    <w:p w14:paraId="511F5F55">
      <w:pPr>
        <w:pStyle w:val="39"/>
        <w:spacing w:beforeAutospacing="0" w:afterAutospacing="0" w:line="0" w:lineRule="atLeast"/>
        <w:ind w:firstLine="492"/>
        <w:jc w:val="both"/>
        <w:rPr>
          <w:rFonts w:hint="eastAsia" w:ascii="宋体" w:hAnsi="宋体" w:eastAsia="宋体" w:cs="宋体"/>
          <w:iCs/>
          <w:color w:val="auto"/>
        </w:rPr>
      </w:pPr>
      <w:r>
        <w:rPr>
          <w:rFonts w:hint="eastAsia" w:ascii="宋体" w:hAnsi="宋体" w:eastAsia="宋体" w:cs="宋体"/>
          <w:iCs/>
          <w:color w:val="auto"/>
        </w:rPr>
        <w:t>我单位郑重声明：我单位具备履行本项采购合同所必需的设备和专业技术能力，为履行本项采购合同我公司具备如下主要设备和主要专业技术能力：</w:t>
      </w:r>
    </w:p>
    <w:p w14:paraId="6B3F63AA">
      <w:pPr>
        <w:pStyle w:val="39"/>
        <w:spacing w:beforeAutospacing="0" w:afterAutospacing="0" w:line="0" w:lineRule="atLeast"/>
        <w:ind w:firstLine="492"/>
        <w:jc w:val="both"/>
        <w:rPr>
          <w:rFonts w:hint="eastAsia" w:ascii="宋体" w:hAnsi="宋体" w:eastAsia="宋体" w:cs="宋体"/>
          <w:iCs/>
          <w:color w:val="auto"/>
        </w:rPr>
      </w:pPr>
      <w:r>
        <w:rPr>
          <w:rFonts w:hint="eastAsia" w:ascii="宋体" w:hAnsi="宋体" w:eastAsia="宋体" w:cs="宋体"/>
          <w:iCs/>
          <w:color w:val="auto"/>
        </w:rPr>
        <w:t>主要设备有：</w:t>
      </w:r>
      <w:r>
        <w:rPr>
          <w:rFonts w:hint="eastAsia" w:ascii="宋体" w:hAnsi="宋体" w:eastAsia="宋体" w:cs="宋体"/>
          <w:iCs/>
          <w:color w:val="auto"/>
          <w:u w:val="single"/>
        </w:rPr>
        <w:t xml:space="preserve">  </w:t>
      </w:r>
      <w:r>
        <w:rPr>
          <w:rFonts w:hint="eastAsia" w:ascii="宋体" w:hAnsi="宋体" w:eastAsia="宋体" w:cs="宋体"/>
          <w:iCs/>
          <w:color w:val="auto"/>
        </w:rPr>
        <w:t>。</w:t>
      </w:r>
    </w:p>
    <w:p w14:paraId="22422762">
      <w:pPr>
        <w:pStyle w:val="39"/>
        <w:spacing w:beforeAutospacing="0" w:afterAutospacing="0"/>
        <w:ind w:firstLine="480"/>
        <w:jc w:val="both"/>
        <w:rPr>
          <w:rFonts w:hint="eastAsia" w:ascii="宋体" w:hAnsi="宋体" w:eastAsia="宋体" w:cs="宋体"/>
          <w:iCs/>
          <w:color w:val="auto"/>
        </w:rPr>
      </w:pPr>
      <w:r>
        <w:rPr>
          <w:rFonts w:hint="eastAsia" w:ascii="宋体" w:hAnsi="宋体" w:eastAsia="宋体" w:cs="宋体"/>
          <w:iCs/>
          <w:color w:val="auto"/>
        </w:rPr>
        <w:t>主要专业技术能力有：</w:t>
      </w:r>
      <w:r>
        <w:rPr>
          <w:rFonts w:hint="eastAsia" w:ascii="宋体" w:hAnsi="宋体" w:eastAsia="宋体" w:cs="宋体"/>
          <w:iCs/>
          <w:color w:val="auto"/>
          <w:u w:val="single"/>
        </w:rPr>
        <w:t xml:space="preserve">   </w:t>
      </w:r>
      <w:r>
        <w:rPr>
          <w:rFonts w:hint="eastAsia" w:ascii="宋体" w:hAnsi="宋体" w:eastAsia="宋体" w:cs="宋体"/>
          <w:iCs/>
          <w:color w:val="auto"/>
        </w:rPr>
        <w:t>。</w:t>
      </w:r>
    </w:p>
    <w:p w14:paraId="4AAC73B6">
      <w:pPr>
        <w:pStyle w:val="39"/>
        <w:spacing w:beforeAutospacing="0" w:afterAutospacing="0"/>
        <w:jc w:val="both"/>
        <w:rPr>
          <w:rFonts w:hint="eastAsia" w:ascii="宋体" w:hAnsi="宋体" w:eastAsia="宋体" w:cs="宋体"/>
          <w:iCs/>
          <w:color w:val="auto"/>
          <w:sz w:val="32"/>
          <w:szCs w:val="32"/>
          <w:u w:val="single"/>
        </w:rPr>
      </w:pPr>
    </w:p>
    <w:p w14:paraId="2C7DFE26">
      <w:pPr>
        <w:pStyle w:val="39"/>
        <w:spacing w:beforeAutospacing="0" w:afterAutospacing="0"/>
        <w:jc w:val="both"/>
        <w:outlineLvl w:val="1"/>
        <w:rPr>
          <w:rFonts w:hint="eastAsia" w:ascii="宋体" w:hAnsi="宋体" w:eastAsia="宋体" w:cs="宋体"/>
          <w:iCs/>
          <w:color w:val="auto"/>
        </w:rPr>
      </w:pPr>
      <w:r>
        <w:rPr>
          <w:rFonts w:hint="eastAsia" w:ascii="宋体" w:hAnsi="宋体" w:eastAsia="宋体" w:cs="宋体"/>
          <w:iCs/>
          <w:color w:val="auto"/>
          <w:sz w:val="32"/>
          <w:szCs w:val="32"/>
          <w:u w:val="single"/>
        </w:rPr>
        <w:t>四、依法缴纳税收和社会保障资金的相关材料</w:t>
      </w:r>
    </w:p>
    <w:p w14:paraId="229A5AE8">
      <w:pPr>
        <w:pStyle w:val="39"/>
        <w:spacing w:beforeAutospacing="0" w:afterAutospacing="0"/>
        <w:ind w:firstLine="480"/>
        <w:jc w:val="both"/>
        <w:rPr>
          <w:rFonts w:hint="eastAsia" w:ascii="宋体" w:hAnsi="宋体" w:eastAsia="宋体" w:cs="宋体"/>
          <w:iCs/>
          <w:color w:val="auto"/>
        </w:rPr>
      </w:pPr>
      <w:bookmarkStart w:id="187" w:name="_Toc120614284"/>
      <w:r>
        <w:rPr>
          <w:rFonts w:hint="eastAsia" w:ascii="宋体" w:hAnsi="宋体" w:eastAsia="宋体" w:cs="宋体"/>
          <w:iCs/>
          <w:color w:val="auto"/>
        </w:rPr>
        <w:t>提供提交投标文件截止时间前一年内至少一个月依法缴纳税收及缴纳社会保障资金的证明材料。投标人依法享受缓缴、免缴税收、社会保障资金的提供证明材料。</w:t>
      </w:r>
      <w:bookmarkEnd w:id="187"/>
    </w:p>
    <w:p w14:paraId="0A80DA45">
      <w:pPr>
        <w:pStyle w:val="39"/>
        <w:spacing w:beforeAutospacing="0" w:afterAutospacing="0"/>
        <w:jc w:val="both"/>
        <w:rPr>
          <w:rFonts w:hint="eastAsia" w:ascii="宋体" w:hAnsi="宋体" w:eastAsia="宋体" w:cs="宋体"/>
          <w:iCs/>
          <w:color w:val="auto"/>
          <w:sz w:val="32"/>
          <w:szCs w:val="32"/>
          <w:u w:val="single"/>
        </w:rPr>
      </w:pPr>
    </w:p>
    <w:p w14:paraId="54CECC46">
      <w:pPr>
        <w:pStyle w:val="39"/>
        <w:spacing w:beforeAutospacing="0" w:afterAutospacing="0"/>
        <w:jc w:val="both"/>
        <w:outlineLvl w:val="1"/>
        <w:rPr>
          <w:rFonts w:hint="eastAsia" w:ascii="宋体" w:hAnsi="宋体" w:eastAsia="宋体" w:cs="宋体"/>
          <w:iCs/>
          <w:color w:val="auto"/>
        </w:rPr>
      </w:pPr>
      <w:r>
        <w:rPr>
          <w:rFonts w:hint="eastAsia" w:ascii="宋体" w:hAnsi="宋体" w:eastAsia="宋体" w:cs="宋体"/>
          <w:iCs/>
          <w:color w:val="auto"/>
          <w:sz w:val="32"/>
          <w:szCs w:val="32"/>
          <w:u w:val="single"/>
        </w:rPr>
        <w:t>五、参加政府采购活动前 3 年内在经营活动中没有重大违法记录的书面声明</w:t>
      </w:r>
    </w:p>
    <w:p w14:paraId="77D7FC4F">
      <w:pPr>
        <w:pStyle w:val="39"/>
        <w:spacing w:beforeAutospacing="0" w:afterAutospacing="0" w:line="0" w:lineRule="atLeast"/>
        <w:jc w:val="both"/>
        <w:rPr>
          <w:rFonts w:hint="eastAsia" w:ascii="宋体" w:hAnsi="宋体" w:eastAsia="宋体" w:cs="宋体"/>
          <w:iCs/>
          <w:color w:val="auto"/>
        </w:rPr>
      </w:pPr>
      <w:r>
        <w:rPr>
          <w:rFonts w:hint="eastAsia" w:ascii="宋体" w:hAnsi="宋体" w:eastAsia="宋体" w:cs="宋体"/>
          <w:b/>
          <w:iCs/>
          <w:color w:val="auto"/>
          <w:sz w:val="44"/>
          <w:szCs w:val="44"/>
        </w:rPr>
        <w:t>       声  明</w:t>
      </w:r>
    </w:p>
    <w:p w14:paraId="7093F6E7">
      <w:pPr>
        <w:pStyle w:val="39"/>
        <w:spacing w:beforeAutospacing="0" w:afterAutospacing="0" w:line="0" w:lineRule="atLeast"/>
        <w:jc w:val="both"/>
        <w:rPr>
          <w:rFonts w:hint="eastAsia" w:ascii="宋体" w:hAnsi="宋体" w:eastAsia="宋体" w:cs="宋体"/>
          <w:iCs/>
          <w:color w:val="auto"/>
        </w:rPr>
      </w:pPr>
      <w:r>
        <w:rPr>
          <w:rFonts w:hint="eastAsia" w:ascii="宋体" w:hAnsi="宋体" w:eastAsia="宋体" w:cs="宋体"/>
          <w:b/>
          <w:iCs/>
          <w:color w:val="auto"/>
        </w:rPr>
        <w:t>  </w:t>
      </w:r>
      <w:r>
        <w:rPr>
          <w:rFonts w:hint="eastAsia" w:ascii="宋体" w:hAnsi="宋体" w:eastAsia="宋体" w:cs="宋体"/>
          <w:iCs/>
          <w:color w:val="auto"/>
        </w:rPr>
        <w:t>我单位郑重声明：参加本次政府采购活动前 3 年内，我单位在经营活动中没有因违法经营受到刑事处罚或者责令停产停业、吊销许可证或者执照、较大数额罚款等行政处罚。</w:t>
      </w:r>
    </w:p>
    <w:p w14:paraId="0D74735C">
      <w:pPr>
        <w:pStyle w:val="39"/>
        <w:spacing w:beforeAutospacing="0" w:afterAutospacing="0"/>
        <w:jc w:val="both"/>
        <w:rPr>
          <w:rFonts w:hint="eastAsia" w:ascii="宋体" w:hAnsi="宋体" w:eastAsia="宋体" w:cs="宋体"/>
          <w:iCs/>
          <w:color w:val="auto"/>
        </w:rPr>
      </w:pPr>
      <w:r>
        <w:rPr>
          <w:rFonts w:hint="eastAsia" w:ascii="宋体" w:hAnsi="宋体" w:eastAsia="宋体" w:cs="宋体"/>
          <w:iCs/>
          <w:color w:val="auto"/>
        </w:rPr>
        <w:t> </w:t>
      </w:r>
    </w:p>
    <w:p w14:paraId="5A7311D7">
      <w:pPr>
        <w:pStyle w:val="39"/>
        <w:spacing w:beforeAutospacing="0" w:afterAutospacing="0"/>
        <w:jc w:val="both"/>
        <w:outlineLvl w:val="1"/>
        <w:rPr>
          <w:rFonts w:hint="eastAsia" w:ascii="宋体" w:hAnsi="宋体" w:eastAsia="宋体" w:cs="宋体"/>
          <w:iCs/>
          <w:color w:val="auto"/>
        </w:rPr>
      </w:pPr>
      <w:r>
        <w:rPr>
          <w:rFonts w:hint="eastAsia" w:ascii="宋体" w:hAnsi="宋体" w:eastAsia="宋体" w:cs="宋体"/>
          <w:iCs/>
          <w:color w:val="auto"/>
          <w:sz w:val="32"/>
          <w:szCs w:val="32"/>
          <w:u w:val="single"/>
        </w:rPr>
        <w:t>六、特定资格要求的证明文件</w:t>
      </w:r>
    </w:p>
    <w:p w14:paraId="6A9910A2">
      <w:pPr>
        <w:pStyle w:val="39"/>
        <w:spacing w:beforeAutospacing="0" w:afterAutospacing="0" w:line="0" w:lineRule="atLeast"/>
        <w:jc w:val="both"/>
        <w:rPr>
          <w:rFonts w:hint="eastAsia" w:ascii="宋体" w:hAnsi="宋体" w:eastAsia="宋体" w:cs="宋体"/>
          <w:iCs/>
          <w:color w:val="auto"/>
        </w:rPr>
      </w:pPr>
      <w:r>
        <w:rPr>
          <w:rFonts w:hint="eastAsia" w:ascii="宋体" w:hAnsi="宋体" w:eastAsia="宋体" w:cs="宋体"/>
          <w:iCs/>
          <w:color w:val="auto"/>
        </w:rPr>
        <w:t>   如果本项目申请人的特定资格要求中要求提供的，必须提供。</w:t>
      </w:r>
    </w:p>
    <w:p w14:paraId="3E4294E5">
      <w:pPr>
        <w:pStyle w:val="39"/>
        <w:spacing w:beforeAutospacing="0" w:afterAutospacing="0" w:line="0" w:lineRule="atLeast"/>
        <w:jc w:val="both"/>
        <w:rPr>
          <w:rFonts w:hint="eastAsia" w:ascii="宋体" w:hAnsi="宋体" w:eastAsia="宋体" w:cs="宋体"/>
          <w:iCs/>
          <w:color w:val="auto"/>
        </w:rPr>
      </w:pPr>
      <w:r>
        <w:rPr>
          <w:rFonts w:hint="eastAsia" w:ascii="宋体" w:hAnsi="宋体" w:eastAsia="宋体" w:cs="宋体"/>
          <w:iCs/>
          <w:color w:val="auto"/>
        </w:rPr>
        <w:t> </w:t>
      </w:r>
    </w:p>
    <w:p w14:paraId="6FB6C019">
      <w:pPr>
        <w:pStyle w:val="39"/>
        <w:spacing w:beforeAutospacing="0" w:afterAutospacing="0"/>
        <w:jc w:val="center"/>
        <w:rPr>
          <w:rFonts w:hint="eastAsia" w:ascii="宋体" w:hAnsi="宋体" w:eastAsia="宋体" w:cs="宋体"/>
          <w:iCs/>
          <w:color w:val="auto"/>
          <w:sz w:val="32"/>
          <w:szCs w:val="32"/>
          <w:u w:val="single"/>
        </w:rPr>
      </w:pPr>
    </w:p>
    <w:p w14:paraId="2A656794">
      <w:pPr>
        <w:pStyle w:val="39"/>
        <w:spacing w:beforeAutospacing="0" w:afterAutospacing="0"/>
        <w:jc w:val="center"/>
        <w:rPr>
          <w:rFonts w:hint="eastAsia" w:ascii="宋体" w:hAnsi="宋体" w:eastAsia="宋体" w:cs="宋体"/>
          <w:iCs/>
          <w:color w:val="auto"/>
          <w:sz w:val="32"/>
          <w:szCs w:val="32"/>
          <w:u w:val="single"/>
        </w:rPr>
      </w:pPr>
    </w:p>
    <w:p w14:paraId="44120543">
      <w:pPr>
        <w:jc w:val="center"/>
        <w:rPr>
          <w:rFonts w:hint="eastAsia" w:ascii="宋体" w:hAnsi="宋体" w:eastAsia="宋体" w:cs="宋体"/>
          <w:iCs/>
          <w:color w:val="auto"/>
          <w:sz w:val="32"/>
          <w:szCs w:val="32"/>
          <w:u w:val="single"/>
        </w:rPr>
        <w:sectPr>
          <w:pgSz w:w="11906" w:h="16838"/>
          <w:pgMar w:top="1559" w:right="1417" w:bottom="1440" w:left="1417" w:header="851" w:footer="992" w:gutter="0"/>
          <w:cols w:space="425" w:num="1"/>
          <w:docGrid w:linePitch="360" w:charSpace="0"/>
        </w:sectPr>
      </w:pPr>
    </w:p>
    <w:p w14:paraId="28C68F90">
      <w:pPr>
        <w:jc w:val="center"/>
        <w:rPr>
          <w:rFonts w:hint="eastAsia" w:ascii="宋体" w:hAnsi="宋体" w:eastAsia="宋体" w:cs="宋体"/>
          <w:iCs/>
          <w:color w:val="auto"/>
        </w:rPr>
      </w:pPr>
      <w:r>
        <w:rPr>
          <w:rFonts w:hint="eastAsia" w:ascii="宋体" w:hAnsi="宋体" w:eastAsia="宋体" w:cs="宋体"/>
          <w:iCs/>
          <w:color w:val="auto"/>
          <w:sz w:val="32"/>
          <w:szCs w:val="32"/>
          <w:u w:val="single"/>
        </w:rPr>
        <w:t>七、法人授权书</w:t>
      </w:r>
    </w:p>
    <w:p w14:paraId="1E0D4746">
      <w:pPr>
        <w:pStyle w:val="39"/>
        <w:tabs>
          <w:tab w:val="left" w:pos="360"/>
        </w:tabs>
        <w:spacing w:beforeAutospacing="0" w:afterAutospacing="0" w:line="360" w:lineRule="auto"/>
        <w:ind w:firstLine="480"/>
        <w:jc w:val="both"/>
        <w:rPr>
          <w:rFonts w:hint="eastAsia" w:ascii="宋体" w:hAnsi="宋体" w:eastAsia="宋体" w:cs="宋体"/>
          <w:color w:val="auto"/>
        </w:rPr>
      </w:pPr>
    </w:p>
    <w:p w14:paraId="1D740B9F">
      <w:pPr>
        <w:pStyle w:val="39"/>
        <w:tabs>
          <w:tab w:val="left" w:pos="360"/>
        </w:tabs>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本授权书声明：____________（投标人名称）授权________________（被授权人的姓名）为我方就</w:t>
      </w:r>
      <w:r>
        <w:rPr>
          <w:rFonts w:hint="eastAsia" w:ascii="宋体" w:hAnsi="宋体" w:eastAsia="宋体" w:cs="宋体"/>
          <w:color w:val="auto"/>
          <w:u w:val="single"/>
        </w:rPr>
        <w:t xml:space="preserve">                     号</w:t>
      </w:r>
      <w:r>
        <w:rPr>
          <w:rFonts w:hint="eastAsia" w:ascii="宋体" w:hAnsi="宋体" w:eastAsia="宋体" w:cs="宋体"/>
          <w:color w:val="auto"/>
          <w:u w:val="single"/>
          <w:lang w:eastAsia="zh-CN"/>
        </w:rPr>
        <w:t>盐都区高标准农田调查摸底上图入库全过程技术服务项目</w:t>
      </w:r>
      <w:r>
        <w:rPr>
          <w:rFonts w:hint="eastAsia" w:ascii="宋体" w:hAnsi="宋体" w:eastAsia="宋体" w:cs="宋体"/>
          <w:color w:val="auto"/>
        </w:rPr>
        <w:t>采购活动的合法代理人，以本单位名义全权处理一切与该项目采购有关的事务。</w:t>
      </w:r>
    </w:p>
    <w:p w14:paraId="1207F997">
      <w:pPr>
        <w:pStyle w:val="39"/>
        <w:tabs>
          <w:tab w:val="left" w:pos="360"/>
        </w:tabs>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本授权书于______年____月____日起生效，特此声明。</w:t>
      </w:r>
    </w:p>
    <w:p w14:paraId="3B1787DD">
      <w:pPr>
        <w:pStyle w:val="39"/>
        <w:tabs>
          <w:tab w:val="left" w:pos="360"/>
        </w:tabs>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被授权人身份证号码：</w:t>
      </w:r>
      <w:r>
        <w:rPr>
          <w:rFonts w:hint="eastAsia" w:ascii="宋体" w:hAnsi="宋体" w:eastAsia="宋体" w:cs="宋体"/>
          <w:color w:val="auto"/>
          <w:u w:val="single"/>
        </w:rPr>
        <w:t xml:space="preserve">                 </w:t>
      </w:r>
    </w:p>
    <w:p w14:paraId="536AA61D">
      <w:pPr>
        <w:pStyle w:val="39"/>
        <w:tabs>
          <w:tab w:val="left" w:pos="360"/>
        </w:tabs>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被授权人联系电话：（手机）</w:t>
      </w:r>
      <w:r>
        <w:rPr>
          <w:rFonts w:hint="eastAsia" w:ascii="宋体" w:hAnsi="宋体" w:eastAsia="宋体" w:cs="宋体"/>
          <w:color w:val="auto"/>
          <w:u w:val="single"/>
        </w:rPr>
        <w:t xml:space="preserve">                </w:t>
      </w:r>
    </w:p>
    <w:p w14:paraId="02FF27A8">
      <w:pPr>
        <w:pStyle w:val="39"/>
        <w:tabs>
          <w:tab w:val="left" w:pos="360"/>
        </w:tabs>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授权单位名称：</w:t>
      </w:r>
      <w:r>
        <w:rPr>
          <w:rFonts w:hint="eastAsia" w:ascii="宋体" w:hAnsi="宋体" w:eastAsia="宋体" w:cs="宋体"/>
          <w:color w:val="auto"/>
          <w:u w:val="single"/>
        </w:rPr>
        <w:t>（加盖CA电子公章）</w:t>
      </w:r>
    </w:p>
    <w:p w14:paraId="45F19976">
      <w:pPr>
        <w:pStyle w:val="39"/>
        <w:tabs>
          <w:tab w:val="left" w:pos="360"/>
        </w:tabs>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单位地址：</w:t>
      </w:r>
      <w:r>
        <w:rPr>
          <w:rFonts w:hint="eastAsia" w:ascii="宋体" w:hAnsi="宋体" w:eastAsia="宋体" w:cs="宋体"/>
          <w:color w:val="auto"/>
          <w:u w:val="single"/>
        </w:rPr>
        <w:t xml:space="preserve">                          </w:t>
      </w:r>
    </w:p>
    <w:p w14:paraId="1287F5D2">
      <w:pPr>
        <w:pStyle w:val="39"/>
        <w:tabs>
          <w:tab w:val="left" w:pos="360"/>
        </w:tabs>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日期：</w:t>
      </w:r>
      <w:bookmarkStart w:id="188" w:name="_Hlt26955070"/>
      <w:bookmarkStart w:id="189" w:name="_格式3__银行出具的资信证明"/>
      <w:bookmarkStart w:id="190" w:name="_Hlt26671380"/>
      <w:r>
        <w:rPr>
          <w:rFonts w:hint="eastAsia" w:ascii="宋体" w:hAnsi="宋体" w:eastAsia="宋体" w:cs="宋体"/>
          <w:color w:val="auto"/>
          <w:u w:val="single"/>
        </w:rPr>
        <w:t xml:space="preserve">                                </w:t>
      </w:r>
    </w:p>
    <w:p w14:paraId="0905D340">
      <w:pPr>
        <w:pStyle w:val="39"/>
        <w:spacing w:beforeAutospacing="0" w:afterAutospacing="0"/>
        <w:ind w:firstLine="420"/>
        <w:jc w:val="both"/>
        <w:rPr>
          <w:rFonts w:hint="eastAsia" w:ascii="宋体" w:hAnsi="宋体" w:eastAsia="宋体" w:cs="宋体"/>
          <w:color w:val="auto"/>
        </w:rPr>
      </w:pPr>
      <w:r>
        <w:rPr>
          <w:rFonts w:hint="eastAsia" w:ascii="宋体" w:hAnsi="宋体" w:eastAsia="宋体" w:cs="宋体"/>
          <w:color w:val="auto"/>
        </w:rPr>
        <w:t> </w:t>
      </w:r>
    </w:p>
    <w:p w14:paraId="65D1AF01">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48033B2C">
      <w:pPr>
        <w:pStyle w:val="39"/>
        <w:spacing w:beforeAutospacing="0" w:afterAutospacing="0" w:line="0" w:lineRule="atLeast"/>
        <w:jc w:val="both"/>
        <w:rPr>
          <w:rFonts w:hint="eastAsia" w:ascii="宋体" w:hAnsi="宋体" w:eastAsia="宋体" w:cs="宋体"/>
          <w:color w:val="auto"/>
        </w:rPr>
      </w:pPr>
      <w:r>
        <w:rPr>
          <w:rFonts w:hint="eastAsia" w:ascii="宋体" w:hAnsi="宋体" w:eastAsia="宋体" w:cs="宋体"/>
          <w:color w:val="auto"/>
        </w:rPr>
        <w:t> </w:t>
      </w:r>
    </w:p>
    <w:p w14:paraId="30C6B4C6">
      <w:pPr>
        <w:pStyle w:val="39"/>
        <w:widowControl/>
        <w:tabs>
          <w:tab w:val="left" w:pos="360"/>
        </w:tabs>
        <w:spacing w:beforeAutospacing="0" w:afterAutospacing="0" w:line="500" w:lineRule="exact"/>
        <w:jc w:val="both"/>
        <w:rPr>
          <w:rFonts w:ascii="Times New Roman" w:hAnsi="Times New Roman"/>
          <w:color w:val="auto"/>
        </w:rPr>
      </w:pPr>
      <w:r>
        <w:rPr>
          <w:rFonts w:hint="eastAsia" w:ascii="宋体" w:hAnsi="宋体" w:eastAsia="宋体" w:cs="宋体"/>
          <w:color w:val="auto"/>
        </w:rPr>
        <w:t> </w:t>
      </w:r>
      <w:r>
        <w:rPr>
          <w:rFonts w:ascii="Times New Roman" w:hAnsi="Times New Roman"/>
          <w:color w:val="auto"/>
        </w:rPr>
        <w:t>法定代表人及被授权人身份证</w:t>
      </w:r>
      <w:r>
        <w:rPr>
          <w:rFonts w:hint="eastAsia" w:ascii="Times New Roman" w:hAnsi="Times New Roman"/>
          <w:color w:val="auto"/>
        </w:rPr>
        <w:t>复印件</w:t>
      </w:r>
      <w:r>
        <w:rPr>
          <w:rFonts w:ascii="Times New Roman" w:hAnsi="Times New Roman"/>
          <w:color w:val="auto"/>
        </w:rPr>
        <w:t>：</w:t>
      </w:r>
    </w:p>
    <w:p w14:paraId="2866AE63">
      <w:pPr>
        <w:pStyle w:val="39"/>
        <w:spacing w:beforeAutospacing="0" w:afterAutospacing="0" w:line="0" w:lineRule="atLeast"/>
        <w:jc w:val="both"/>
        <w:rPr>
          <w:rFonts w:hint="eastAsia" w:ascii="宋体" w:hAnsi="宋体" w:eastAsia="宋体" w:cs="宋体"/>
          <w:color w:val="auto"/>
        </w:rPr>
      </w:pPr>
    </w:p>
    <w:p w14:paraId="1CA16126">
      <w:pPr>
        <w:pStyle w:val="39"/>
        <w:keepNext/>
        <w:keepLines/>
        <w:spacing w:before="260" w:beforeAutospacing="0" w:after="260" w:afterAutospacing="0" w:line="415" w:lineRule="auto"/>
        <w:jc w:val="center"/>
        <w:outlineLvl w:val="1"/>
        <w:rPr>
          <w:rFonts w:hint="eastAsia" w:ascii="宋体" w:hAnsi="宋体" w:eastAsia="宋体" w:cs="宋体"/>
          <w:b/>
          <w:color w:val="auto"/>
          <w:sz w:val="32"/>
          <w:szCs w:val="32"/>
        </w:rPr>
      </w:pPr>
      <w:r>
        <w:rPr>
          <w:rFonts w:hint="eastAsia" w:ascii="宋体" w:hAnsi="宋体" w:eastAsia="宋体" w:cs="宋体"/>
          <w:b/>
          <w:color w:val="auto"/>
        </w:rPr>
        <w:br w:type="page" w:clear="all"/>
      </w:r>
      <w:r>
        <w:rPr>
          <w:rFonts w:hint="eastAsia" w:ascii="宋体" w:hAnsi="宋体" w:eastAsia="宋体" w:cs="宋体"/>
          <w:b/>
          <w:color w:val="auto"/>
          <w:sz w:val="32"/>
          <w:szCs w:val="32"/>
        </w:rPr>
        <w:t>八、投标函</w:t>
      </w:r>
    </w:p>
    <w:p w14:paraId="4EBDC887">
      <w:pPr>
        <w:pStyle w:val="39"/>
        <w:spacing w:beforeAutospacing="0" w:afterAutospacing="0" w:line="460" w:lineRule="exact"/>
        <w:rPr>
          <w:rFonts w:hint="eastAsia" w:ascii="宋体" w:hAnsi="宋体" w:eastAsia="宋体" w:cs="宋体"/>
          <w:color w:val="auto"/>
        </w:rPr>
      </w:pPr>
      <w:r>
        <w:rPr>
          <w:rFonts w:hint="eastAsia" w:ascii="宋体" w:hAnsi="宋体" w:eastAsia="宋体" w:cs="宋体"/>
          <w:color w:val="auto"/>
        </w:rPr>
        <w:t>致：盐城市</w:t>
      </w:r>
      <w:r>
        <w:rPr>
          <w:rFonts w:hint="eastAsia" w:ascii="宋体" w:hAnsi="宋体" w:eastAsia="宋体" w:cs="宋体"/>
          <w:color w:val="auto"/>
          <w:lang w:val="en-US" w:eastAsia="zh-CN"/>
        </w:rPr>
        <w:t>盐都区</w:t>
      </w:r>
      <w:r>
        <w:rPr>
          <w:rFonts w:hint="eastAsia" w:ascii="宋体" w:hAnsi="宋体" w:eastAsia="宋体" w:cs="宋体"/>
          <w:color w:val="auto"/>
        </w:rPr>
        <w:t>农业农村局</w:t>
      </w:r>
    </w:p>
    <w:p w14:paraId="27BBF0F3">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根据贵方的</w:t>
      </w:r>
      <w:r>
        <w:rPr>
          <w:rFonts w:hint="eastAsia" w:ascii="宋体" w:hAnsi="宋体" w:eastAsia="宋体" w:cs="宋体"/>
          <w:color w:val="auto"/>
          <w:u w:val="single"/>
        </w:rPr>
        <w:t xml:space="preserve"> JSZC-320903-YYHH-G2025-0001 </w:t>
      </w:r>
      <w:r>
        <w:rPr>
          <w:rFonts w:hint="eastAsia" w:ascii="宋体" w:hAnsi="宋体" w:eastAsia="宋体" w:cs="宋体"/>
          <w:color w:val="auto"/>
        </w:rPr>
        <w:t>号招标文件，正式授权下述签字人______(姓名)代表我方______________（投标人的名称），全权处理本次项目投标的有关事宜。</w:t>
      </w:r>
    </w:p>
    <w:p w14:paraId="651C18A9">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据此函，__________签字人兹宣布同意如下：</w:t>
      </w:r>
    </w:p>
    <w:p w14:paraId="45C120F9">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1.按招标文件规定的各项要求，向买方提供所需服务（包含与服务相关的货物）。</w:t>
      </w:r>
    </w:p>
    <w:p w14:paraId="2E2A35DC">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2.我们完全理解贵方不一定将合同授予最低报价的投标人。</w:t>
      </w:r>
    </w:p>
    <w:p w14:paraId="3384CCB5">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3.我们已详细审核全部招标文件及其有效补充文件，我们知道必须放弃提出含糊不清或误解问题的权利。</w:t>
      </w:r>
    </w:p>
    <w:p w14:paraId="184F27AD">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4.我们同意从规定的开标日期起遵循本投标文件，并在规定的投标有效期期满之前均具有约束力。</w:t>
      </w:r>
    </w:p>
    <w:p w14:paraId="250B908A">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5.同意向贵方提供贵方可能另外要求的与投标有关的任何证据或资料，并保证我方已提供和将要提供的文件是真实的、准确的。</w:t>
      </w:r>
    </w:p>
    <w:p w14:paraId="5BFB8046">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6.一旦我方中标,我方将根据招标文件的规定，严格履行合同的责任和义务,并保证在招标文件规定的时间完成项目，交付买方验收、使用。</w:t>
      </w:r>
    </w:p>
    <w:p w14:paraId="17D02759">
      <w:pPr>
        <w:pStyle w:val="39"/>
        <w:spacing w:beforeAutospacing="0" w:afterAutospacing="0" w:line="460" w:lineRule="exact"/>
        <w:ind w:firstLine="480"/>
        <w:rPr>
          <w:rFonts w:hint="eastAsia" w:ascii="宋体" w:hAnsi="宋体" w:eastAsia="宋体" w:cs="宋体"/>
          <w:color w:val="auto"/>
        </w:rPr>
      </w:pPr>
      <w:r>
        <w:rPr>
          <w:rFonts w:hint="eastAsia" w:ascii="宋体" w:hAnsi="宋体" w:eastAsia="宋体" w:cs="宋体"/>
          <w:color w:val="auto"/>
        </w:rPr>
        <w:t>7.与本投标有关的正式通讯地址为：</w:t>
      </w:r>
    </w:p>
    <w:p w14:paraId="3535F019">
      <w:pPr>
        <w:pStyle w:val="39"/>
        <w:spacing w:beforeAutospacing="0" w:afterAutospacing="0" w:line="460" w:lineRule="exact"/>
        <w:ind w:left="420" w:firstLine="480"/>
        <w:rPr>
          <w:rFonts w:hint="eastAsia" w:ascii="宋体" w:hAnsi="宋体" w:eastAsia="宋体" w:cs="宋体"/>
          <w:color w:val="auto"/>
        </w:rPr>
      </w:pPr>
      <w:r>
        <w:rPr>
          <w:rFonts w:hint="eastAsia" w:ascii="宋体" w:hAnsi="宋体" w:eastAsia="宋体" w:cs="宋体"/>
          <w:color w:val="auto"/>
        </w:rPr>
        <w:t>地          址：</w:t>
      </w:r>
    </w:p>
    <w:p w14:paraId="5EC4207F">
      <w:pPr>
        <w:pStyle w:val="39"/>
        <w:spacing w:beforeAutospacing="0" w:afterAutospacing="0" w:line="460" w:lineRule="exact"/>
        <w:ind w:left="420" w:firstLine="480"/>
        <w:rPr>
          <w:rFonts w:hint="eastAsia" w:ascii="宋体" w:hAnsi="宋体" w:eastAsia="宋体" w:cs="宋体"/>
          <w:color w:val="auto"/>
        </w:rPr>
      </w:pPr>
      <w:r>
        <w:rPr>
          <w:rFonts w:hint="eastAsia" w:ascii="宋体" w:hAnsi="宋体" w:eastAsia="宋体" w:cs="宋体"/>
          <w:color w:val="auto"/>
        </w:rPr>
        <w:t>邮          编：</w:t>
      </w:r>
    </w:p>
    <w:p w14:paraId="04A19EA8">
      <w:pPr>
        <w:pStyle w:val="39"/>
        <w:spacing w:beforeAutospacing="0" w:afterAutospacing="0" w:line="460" w:lineRule="exact"/>
        <w:ind w:left="420" w:firstLine="480"/>
        <w:rPr>
          <w:rFonts w:hint="eastAsia" w:ascii="宋体" w:hAnsi="宋体" w:eastAsia="宋体" w:cs="宋体"/>
          <w:color w:val="auto"/>
        </w:rPr>
      </w:pPr>
      <w:r>
        <w:rPr>
          <w:rFonts w:hint="eastAsia" w:ascii="宋体" w:hAnsi="宋体" w:eastAsia="宋体" w:cs="宋体"/>
          <w:color w:val="auto"/>
        </w:rPr>
        <w:t>电          话：</w:t>
      </w:r>
    </w:p>
    <w:p w14:paraId="5AB6C3D3">
      <w:pPr>
        <w:pStyle w:val="39"/>
        <w:spacing w:beforeAutospacing="0" w:afterAutospacing="0" w:line="460" w:lineRule="exact"/>
        <w:ind w:left="420" w:firstLine="480"/>
        <w:rPr>
          <w:rFonts w:hint="eastAsia" w:ascii="宋体" w:hAnsi="宋体" w:eastAsia="宋体" w:cs="宋体"/>
          <w:color w:val="auto"/>
        </w:rPr>
      </w:pPr>
      <w:r>
        <w:rPr>
          <w:rFonts w:hint="eastAsia" w:ascii="宋体" w:hAnsi="宋体" w:eastAsia="宋体" w:cs="宋体"/>
          <w:color w:val="auto"/>
        </w:rPr>
        <w:t>传          真：</w:t>
      </w:r>
    </w:p>
    <w:p w14:paraId="7B64C720">
      <w:pPr>
        <w:pStyle w:val="39"/>
        <w:spacing w:beforeAutospacing="0" w:afterAutospacing="0" w:line="460" w:lineRule="exact"/>
        <w:ind w:left="420" w:firstLine="480"/>
        <w:rPr>
          <w:rFonts w:hint="eastAsia" w:ascii="宋体" w:hAnsi="宋体" w:eastAsia="宋体" w:cs="宋体"/>
          <w:color w:val="auto"/>
        </w:rPr>
      </w:pPr>
      <w:r>
        <w:rPr>
          <w:rFonts w:hint="eastAsia" w:ascii="宋体" w:hAnsi="宋体" w:eastAsia="宋体" w:cs="宋体"/>
          <w:color w:val="auto"/>
        </w:rPr>
        <w:t>投标人开户行：</w:t>
      </w:r>
    </w:p>
    <w:p w14:paraId="3A88EAD4">
      <w:pPr>
        <w:pStyle w:val="39"/>
        <w:spacing w:beforeAutospacing="0" w:afterAutospacing="0" w:line="460" w:lineRule="exact"/>
        <w:ind w:left="420" w:firstLine="480"/>
        <w:rPr>
          <w:rFonts w:hint="eastAsia" w:ascii="宋体" w:hAnsi="宋体" w:eastAsia="宋体" w:cs="宋体"/>
          <w:color w:val="auto"/>
        </w:rPr>
      </w:pPr>
      <w:r>
        <w:rPr>
          <w:rFonts w:hint="eastAsia" w:ascii="宋体" w:hAnsi="宋体" w:eastAsia="宋体" w:cs="宋体"/>
          <w:color w:val="auto"/>
        </w:rPr>
        <w:t>账          号：</w:t>
      </w:r>
    </w:p>
    <w:p w14:paraId="0449C028">
      <w:pPr>
        <w:pStyle w:val="39"/>
        <w:spacing w:beforeAutospacing="0" w:afterAutospacing="0" w:line="460" w:lineRule="exact"/>
        <w:ind w:left="420" w:firstLine="480"/>
        <w:rPr>
          <w:rFonts w:hint="eastAsia" w:ascii="宋体" w:hAnsi="宋体" w:eastAsia="宋体" w:cs="宋体"/>
          <w:color w:val="auto"/>
        </w:rPr>
      </w:pPr>
      <w:r>
        <w:rPr>
          <w:rFonts w:hint="eastAsia" w:ascii="宋体" w:hAnsi="宋体" w:eastAsia="宋体" w:cs="宋体"/>
          <w:color w:val="auto"/>
        </w:rPr>
        <w:t>日           期：________年____月____日</w:t>
      </w:r>
    </w:p>
    <w:p w14:paraId="3BDBA8E1">
      <w:pPr>
        <w:pStyle w:val="39"/>
        <w:spacing w:beforeAutospacing="0" w:afterAutospacing="0" w:line="460" w:lineRule="exact"/>
        <w:ind w:firstLine="240"/>
        <w:jc w:val="center"/>
        <w:rPr>
          <w:rFonts w:hint="eastAsia" w:ascii="宋体" w:hAnsi="宋体" w:eastAsia="宋体" w:cs="宋体"/>
          <w:color w:val="auto"/>
        </w:rPr>
      </w:pPr>
      <w:r>
        <w:rPr>
          <w:rFonts w:hint="eastAsia" w:ascii="宋体" w:hAnsi="宋体" w:eastAsia="宋体" w:cs="宋体"/>
          <w:color w:val="auto"/>
        </w:rPr>
        <w:t> </w:t>
      </w:r>
    </w:p>
    <w:p w14:paraId="1062A7D2">
      <w:pPr>
        <w:pStyle w:val="39"/>
        <w:spacing w:beforeAutospacing="0" w:afterAutospacing="0" w:line="460" w:lineRule="exact"/>
        <w:ind w:firstLine="240"/>
        <w:jc w:val="center"/>
        <w:rPr>
          <w:rFonts w:hint="eastAsia" w:ascii="宋体" w:hAnsi="宋体" w:eastAsia="宋体" w:cs="宋体"/>
          <w:color w:val="auto"/>
        </w:rPr>
      </w:pPr>
      <w:r>
        <w:rPr>
          <w:rFonts w:hint="eastAsia" w:ascii="宋体" w:hAnsi="宋体" w:eastAsia="宋体" w:cs="宋体"/>
          <w:color w:val="auto"/>
        </w:rPr>
        <w:t> </w:t>
      </w:r>
    </w:p>
    <w:p w14:paraId="43E6C9BB">
      <w:pPr>
        <w:pStyle w:val="39"/>
        <w:spacing w:beforeAutospacing="0" w:afterAutospacing="0" w:line="460" w:lineRule="exact"/>
        <w:ind w:firstLine="240"/>
        <w:jc w:val="center"/>
        <w:rPr>
          <w:rFonts w:hint="eastAsia" w:ascii="宋体" w:hAnsi="宋体" w:eastAsia="宋体" w:cs="宋体"/>
          <w:color w:val="auto"/>
        </w:rPr>
      </w:pPr>
      <w:r>
        <w:rPr>
          <w:rFonts w:hint="eastAsia" w:ascii="宋体" w:hAnsi="宋体" w:eastAsia="宋体" w:cs="宋体"/>
          <w:color w:val="auto"/>
        </w:rPr>
        <w:t> </w:t>
      </w:r>
    </w:p>
    <w:p w14:paraId="28F3F8AC">
      <w:pPr>
        <w:pStyle w:val="39"/>
        <w:spacing w:beforeAutospacing="0" w:afterAutospacing="0" w:line="0" w:lineRule="atLeast"/>
        <w:ind w:firstLine="240"/>
        <w:jc w:val="center"/>
        <w:rPr>
          <w:rFonts w:hint="eastAsia" w:ascii="宋体" w:hAnsi="宋体" w:eastAsia="宋体" w:cs="宋体"/>
          <w:color w:val="auto"/>
        </w:rPr>
      </w:pPr>
    </w:p>
    <w:p w14:paraId="4F059E21">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5CCEA9DF">
      <w:pPr>
        <w:pStyle w:val="39"/>
        <w:spacing w:beforeAutospacing="0" w:afterAutospacing="0" w:line="0" w:lineRule="atLeast"/>
        <w:jc w:val="center"/>
        <w:outlineLvl w:val="1"/>
        <w:rPr>
          <w:rFonts w:hint="eastAsia" w:ascii="宋体" w:hAnsi="宋体" w:eastAsia="宋体" w:cs="宋体"/>
          <w:b/>
          <w:bCs/>
          <w:color w:val="auto"/>
          <w:sz w:val="32"/>
          <w:szCs w:val="32"/>
        </w:rPr>
        <w:sectPr>
          <w:pgSz w:w="11906" w:h="16838"/>
          <w:pgMar w:top="1559" w:right="1417" w:bottom="1440" w:left="1417" w:header="851" w:footer="992" w:gutter="0"/>
          <w:cols w:space="425" w:num="1"/>
          <w:docGrid w:linePitch="360" w:charSpace="0"/>
        </w:sectPr>
      </w:pPr>
    </w:p>
    <w:p w14:paraId="35477BBE">
      <w:pPr>
        <w:pStyle w:val="39"/>
        <w:spacing w:beforeAutospacing="0" w:afterAutospacing="0" w:line="0" w:lineRule="atLeast"/>
        <w:jc w:val="center"/>
        <w:outlineLvl w:val="1"/>
        <w:rPr>
          <w:rFonts w:hint="eastAsia" w:ascii="宋体" w:hAnsi="宋体" w:eastAsia="宋体" w:cs="宋体"/>
          <w:b/>
          <w:bCs/>
          <w:color w:val="auto"/>
          <w:sz w:val="32"/>
          <w:szCs w:val="32"/>
        </w:rPr>
      </w:pPr>
      <w:r>
        <w:rPr>
          <w:rFonts w:hint="eastAsia" w:ascii="宋体" w:hAnsi="宋体" w:eastAsia="宋体" w:cs="宋体"/>
          <w:b/>
          <w:bCs/>
          <w:color w:val="auto"/>
          <w:sz w:val="32"/>
          <w:szCs w:val="32"/>
        </w:rPr>
        <w:t>九、中小企业声明函（服务）</w:t>
      </w:r>
    </w:p>
    <w:p w14:paraId="38EEC606">
      <w:pPr>
        <w:spacing w:line="360" w:lineRule="auto"/>
        <w:rPr>
          <w:rFonts w:ascii="宋体" w:hAnsi="宋体" w:cs="宋体"/>
          <w:b/>
          <w:bCs/>
          <w:color w:val="auto"/>
          <w:sz w:val="24"/>
        </w:rPr>
      </w:pPr>
    </w:p>
    <w:p w14:paraId="643AABD7">
      <w:pPr>
        <w:widowControl/>
        <w:spacing w:before="100" w:after="100" w:line="500" w:lineRule="exact"/>
        <w:ind w:firstLine="480"/>
        <w:rPr>
          <w:rFonts w:ascii="宋体" w:hAnsi="宋体" w:cs="宋体"/>
          <w:color w:val="auto"/>
          <w:sz w:val="24"/>
        </w:rPr>
      </w:pPr>
      <w:r>
        <w:rPr>
          <w:rFonts w:hint="eastAsia" w:ascii="宋体" w:hAnsi="宋体" w:cs="宋体"/>
          <w:color w:val="auto"/>
          <w:sz w:val="24"/>
        </w:rPr>
        <w:t>本公司（联合体）郑重声明，根据《政府采购促进中小企业发展管理办法》(财库[2020]46号)的规定，本公司（联合体）参加</w:t>
      </w:r>
      <w:r>
        <w:rPr>
          <w:rFonts w:hint="eastAsia" w:ascii="宋体" w:hAnsi="宋体" w:cs="宋体"/>
          <w:bCs/>
          <w:color w:val="auto"/>
          <w:sz w:val="24"/>
          <w:u w:val="single"/>
        </w:rPr>
        <w:t xml:space="preserve"> （采购人名称）</w:t>
      </w:r>
      <w:r>
        <w:rPr>
          <w:rFonts w:ascii="宋体" w:hAnsi="宋体" w:cs="宋体"/>
          <w:bCs/>
          <w:color w:val="auto"/>
          <w:sz w:val="24"/>
          <w:u w:val="single"/>
        </w:rPr>
        <w:t xml:space="preserve"> </w:t>
      </w:r>
      <w:r>
        <w:rPr>
          <w:rFonts w:hint="eastAsia" w:ascii="宋体" w:hAnsi="宋体" w:cs="宋体"/>
          <w:color w:val="auto"/>
          <w:sz w:val="24"/>
        </w:rPr>
        <w:t>单位的采购文件编号为</w:t>
      </w:r>
      <w:r>
        <w:rPr>
          <w:rFonts w:hint="eastAsia" w:ascii="宋体" w:hAnsi="宋体" w:cs="宋体"/>
          <w:color w:val="auto"/>
          <w:sz w:val="24"/>
          <w:u w:val="single"/>
        </w:rPr>
        <w:t xml:space="preserve">         </w:t>
      </w:r>
      <w:r>
        <w:rPr>
          <w:rFonts w:hint="eastAsia" w:ascii="宋体" w:hAnsi="宋体" w:cs="宋体"/>
          <w:color w:val="auto"/>
          <w:sz w:val="24"/>
        </w:rPr>
        <w:t>，</w:t>
      </w:r>
      <w:r>
        <w:rPr>
          <w:rFonts w:hint="eastAsia" w:ascii="宋体" w:hAnsi="宋体" w:cs="宋体"/>
          <w:bCs/>
          <w:color w:val="auto"/>
          <w:sz w:val="24"/>
          <w:u w:val="single"/>
        </w:rPr>
        <w:t xml:space="preserve"> （项目名称）</w:t>
      </w:r>
      <w:r>
        <w:rPr>
          <w:rFonts w:hint="eastAsia" w:ascii="宋体" w:hAnsi="宋体" w:cs="宋体"/>
          <w:color w:val="auto"/>
          <w:sz w:val="24"/>
        </w:rPr>
        <w:t>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p>
    <w:p w14:paraId="385FC305">
      <w:pPr>
        <w:widowControl/>
        <w:spacing w:before="100" w:after="100" w:line="500" w:lineRule="exact"/>
        <w:ind w:firstLine="36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u w:val="single"/>
        </w:rPr>
        <w:t>（标的名称）</w:t>
      </w:r>
      <w:r>
        <w:rPr>
          <w:rFonts w:hint="eastAsia" w:ascii="宋体" w:hAnsi="宋体" w:cs="宋体"/>
          <w:color w:val="auto"/>
          <w:sz w:val="24"/>
        </w:rPr>
        <w:t>，属于</w:t>
      </w:r>
      <w:r>
        <w:rPr>
          <w:rFonts w:hint="eastAsia" w:ascii="宋体" w:hAnsi="宋体" w:cs="宋体"/>
          <w:color w:val="auto"/>
          <w:sz w:val="24"/>
          <w:u w:val="single"/>
        </w:rPr>
        <w:t xml:space="preserve">       </w:t>
      </w:r>
      <w:r>
        <w:rPr>
          <w:rFonts w:hint="eastAsia" w:ascii="宋体" w:hAnsi="宋体" w:cs="宋体"/>
          <w:color w:val="auto"/>
          <w:sz w:val="24"/>
        </w:rPr>
        <w:t>行业；承接企业为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w:t>
      </w:r>
      <w:r>
        <w:rPr>
          <w:rFonts w:hint="eastAsia" w:ascii="宋体" w:hAnsi="宋体" w:cs="宋体"/>
          <w:color w:val="auto"/>
          <w:sz w:val="24"/>
          <w:vertAlign w:val="superscript"/>
        </w:rPr>
        <w:t>1</w:t>
      </w:r>
      <w:r>
        <w:rPr>
          <w:rFonts w:hint="eastAsia" w:ascii="宋体" w:hAnsi="宋体" w:cs="宋体"/>
          <w:color w:val="auto"/>
          <w:sz w:val="24"/>
        </w:rPr>
        <w:t>，属于</w:t>
      </w:r>
      <w:r>
        <w:rPr>
          <w:rFonts w:hint="eastAsia" w:ascii="宋体" w:hAnsi="宋体" w:cs="宋体"/>
          <w:color w:val="auto"/>
          <w:sz w:val="24"/>
          <w:u w:val="single"/>
        </w:rPr>
        <w:t>（中型企业、小型企业、微型企业）；</w:t>
      </w:r>
    </w:p>
    <w:p w14:paraId="45D798CD">
      <w:pPr>
        <w:widowControl/>
        <w:spacing w:before="100" w:after="100" w:line="500" w:lineRule="exact"/>
        <w:ind w:firstLine="36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（标的名称）</w:t>
      </w:r>
      <w:r>
        <w:rPr>
          <w:rFonts w:hint="eastAsia" w:ascii="宋体" w:hAnsi="宋体" w:cs="宋体"/>
          <w:color w:val="auto"/>
          <w:sz w:val="24"/>
        </w:rPr>
        <w:t>，属于</w:t>
      </w:r>
      <w:r>
        <w:rPr>
          <w:rFonts w:hint="eastAsia" w:ascii="宋体" w:hAnsi="宋体" w:cs="宋体"/>
          <w:color w:val="auto"/>
          <w:sz w:val="24"/>
          <w:u w:val="single"/>
        </w:rPr>
        <w:t xml:space="preserve">       </w:t>
      </w:r>
      <w:r>
        <w:rPr>
          <w:rFonts w:hint="eastAsia" w:ascii="宋体" w:hAnsi="宋体" w:cs="宋体"/>
          <w:color w:val="auto"/>
          <w:sz w:val="24"/>
        </w:rPr>
        <w:t>行业；承接企业为</w:t>
      </w:r>
      <w:r>
        <w:rPr>
          <w:rFonts w:hint="eastAsia" w:ascii="宋体" w:hAnsi="宋体" w:cs="宋体"/>
          <w:color w:val="auto"/>
          <w:sz w:val="24"/>
          <w:u w:val="single"/>
        </w:rPr>
        <w:t>（企业名称）</w:t>
      </w:r>
      <w:r>
        <w:rPr>
          <w:rFonts w:hint="eastAsia" w:ascii="宋体" w:hAnsi="宋体" w:cs="宋体"/>
          <w:color w:val="auto"/>
          <w:sz w:val="24"/>
        </w:rPr>
        <w:t>，从业人员</w:t>
      </w:r>
      <w:r>
        <w:rPr>
          <w:rFonts w:hint="eastAsia" w:ascii="宋体" w:hAnsi="宋体" w:cs="宋体"/>
          <w:color w:val="auto"/>
          <w:sz w:val="24"/>
          <w:u w:val="single"/>
        </w:rPr>
        <w:t xml:space="preserve">      </w:t>
      </w:r>
      <w:r>
        <w:rPr>
          <w:rFonts w:hint="eastAsia" w:ascii="宋体" w:hAnsi="宋体" w:cs="宋体"/>
          <w:color w:val="auto"/>
          <w:sz w:val="24"/>
        </w:rPr>
        <w:t>人，营业收入为</w:t>
      </w:r>
      <w:r>
        <w:rPr>
          <w:rFonts w:hint="eastAsia" w:ascii="宋体" w:hAnsi="宋体" w:cs="宋体"/>
          <w:color w:val="auto"/>
          <w:sz w:val="24"/>
          <w:u w:val="single"/>
        </w:rPr>
        <w:t xml:space="preserve">     </w:t>
      </w:r>
      <w:r>
        <w:rPr>
          <w:rFonts w:hint="eastAsia" w:ascii="宋体" w:hAnsi="宋体" w:cs="宋体"/>
          <w:color w:val="auto"/>
          <w:sz w:val="24"/>
        </w:rPr>
        <w:t>万元，资产总额为</w:t>
      </w:r>
      <w:r>
        <w:rPr>
          <w:rFonts w:hint="eastAsia" w:ascii="宋体" w:hAnsi="宋体" w:cs="宋体"/>
          <w:color w:val="auto"/>
          <w:sz w:val="24"/>
          <w:u w:val="single"/>
        </w:rPr>
        <w:t xml:space="preserve">      </w:t>
      </w:r>
      <w:r>
        <w:rPr>
          <w:rFonts w:hint="eastAsia" w:ascii="宋体" w:hAnsi="宋体" w:cs="宋体"/>
          <w:color w:val="auto"/>
          <w:sz w:val="24"/>
        </w:rPr>
        <w:t>万元</w:t>
      </w:r>
      <w:r>
        <w:rPr>
          <w:rFonts w:hint="eastAsia" w:ascii="宋体" w:hAnsi="宋体" w:cs="宋体"/>
          <w:color w:val="auto"/>
          <w:sz w:val="24"/>
          <w:vertAlign w:val="superscript"/>
        </w:rPr>
        <w:t>1</w:t>
      </w:r>
      <w:r>
        <w:rPr>
          <w:rFonts w:hint="eastAsia" w:ascii="宋体" w:hAnsi="宋体" w:cs="宋体"/>
          <w:color w:val="auto"/>
          <w:sz w:val="24"/>
        </w:rPr>
        <w:t>，属于</w:t>
      </w:r>
      <w:r>
        <w:rPr>
          <w:rFonts w:hint="eastAsia" w:ascii="宋体" w:hAnsi="宋体" w:cs="宋体"/>
          <w:color w:val="auto"/>
          <w:sz w:val="24"/>
          <w:u w:val="single"/>
        </w:rPr>
        <w:t>（中型企业、小型企业、微型企业）；</w:t>
      </w:r>
    </w:p>
    <w:p w14:paraId="77837703">
      <w:pPr>
        <w:widowControl/>
        <w:spacing w:before="100" w:after="100" w:line="500" w:lineRule="exact"/>
        <w:ind w:firstLine="360"/>
        <w:rPr>
          <w:rFonts w:ascii="宋体" w:hAnsi="宋体" w:cs="宋体"/>
          <w:color w:val="auto"/>
          <w:sz w:val="24"/>
        </w:rPr>
      </w:pPr>
      <w:r>
        <w:rPr>
          <w:rFonts w:hint="eastAsia" w:ascii="宋体" w:hAnsi="宋体" w:cs="宋体"/>
          <w:color w:val="auto"/>
          <w:sz w:val="24"/>
        </w:rPr>
        <w:t>……</w:t>
      </w:r>
    </w:p>
    <w:p w14:paraId="3E930A68">
      <w:pPr>
        <w:widowControl/>
        <w:spacing w:before="100" w:after="100" w:line="500" w:lineRule="exact"/>
        <w:ind w:firstLine="360"/>
        <w:rPr>
          <w:rFonts w:ascii="宋体" w:hAnsi="宋体" w:cs="宋体"/>
          <w:color w:val="auto"/>
          <w:sz w:val="24"/>
        </w:rPr>
      </w:pPr>
      <w:r>
        <w:rPr>
          <w:rFonts w:hint="eastAsia" w:ascii="宋体" w:hAnsi="宋体" w:cs="宋体"/>
          <w:color w:val="auto"/>
          <w:sz w:val="24"/>
        </w:rPr>
        <w:t>以上企业，不属于大企业的分支机构，不存在控股股东为大企业的情形，也不存在与大企业的负责人为同一人的情形。</w:t>
      </w:r>
    </w:p>
    <w:p w14:paraId="2352AE62">
      <w:pPr>
        <w:widowControl/>
        <w:spacing w:before="100" w:after="100" w:line="500" w:lineRule="exact"/>
        <w:ind w:firstLine="360"/>
        <w:rPr>
          <w:rFonts w:ascii="宋体" w:hAnsi="宋体" w:cs="宋体"/>
          <w:color w:val="auto"/>
          <w:sz w:val="24"/>
        </w:rPr>
      </w:pPr>
      <w:r>
        <w:rPr>
          <w:rFonts w:hint="eastAsia" w:ascii="宋体" w:hAnsi="宋体" w:cs="宋体"/>
          <w:color w:val="auto"/>
          <w:sz w:val="24"/>
        </w:rPr>
        <w:t>本企业对上述声明内容的真实性负责。如有虚假，将依法承担相应责任。</w:t>
      </w:r>
    </w:p>
    <w:p w14:paraId="19A12421">
      <w:pPr>
        <w:widowControl/>
        <w:spacing w:before="100" w:after="100" w:line="500" w:lineRule="exact"/>
        <w:ind w:right="720"/>
        <w:rPr>
          <w:rFonts w:ascii="宋体" w:hAnsi="宋体" w:cs="宋体"/>
          <w:color w:val="auto"/>
          <w:sz w:val="24"/>
        </w:rPr>
      </w:pPr>
      <w:r>
        <w:rPr>
          <w:rFonts w:ascii="宋体" w:hAnsi="宋体" w:cs="宋体"/>
          <w:color w:val="auto"/>
          <w:sz w:val="24"/>
        </w:rPr>
        <w:t> </w:t>
      </w:r>
    </w:p>
    <w:p w14:paraId="0106DFEC">
      <w:pPr>
        <w:widowControl/>
        <w:spacing w:before="100" w:after="100" w:line="500" w:lineRule="exact"/>
        <w:ind w:right="180" w:firstLine="360"/>
        <w:jc w:val="right"/>
        <w:rPr>
          <w:rFonts w:ascii="宋体" w:hAnsi="宋体" w:cs="宋体"/>
          <w:color w:val="auto"/>
          <w:sz w:val="24"/>
        </w:rPr>
      </w:pPr>
      <w:r>
        <w:rPr>
          <w:rFonts w:hint="eastAsia" w:ascii="宋体" w:hAnsi="宋体" w:cs="宋体"/>
          <w:color w:val="auto"/>
          <w:sz w:val="24"/>
        </w:rPr>
        <w:t>企业名称（公章）：</w:t>
      </w:r>
    </w:p>
    <w:p w14:paraId="32E5B963">
      <w:pPr>
        <w:widowControl/>
        <w:spacing w:before="100" w:after="100" w:line="500" w:lineRule="exact"/>
        <w:ind w:right="480"/>
        <w:jc w:val="right"/>
        <w:rPr>
          <w:rFonts w:ascii="宋体" w:hAnsi="宋体" w:cs="宋体"/>
          <w:color w:val="auto"/>
          <w:sz w:val="24"/>
        </w:rPr>
      </w:pPr>
      <w:r>
        <w:rPr>
          <w:rFonts w:hint="eastAsia" w:ascii="宋体" w:hAnsi="宋体" w:cs="宋体"/>
          <w:color w:val="auto"/>
          <w:sz w:val="24"/>
        </w:rPr>
        <w:t>日  期：</w:t>
      </w:r>
    </w:p>
    <w:p w14:paraId="0DAEA054">
      <w:pPr>
        <w:spacing w:line="500" w:lineRule="exact"/>
        <w:ind w:firstLine="480" w:firstLineChars="200"/>
        <w:rPr>
          <w:color w:val="auto"/>
          <w:sz w:val="24"/>
        </w:rPr>
      </w:pPr>
      <w:r>
        <w:rPr>
          <w:rFonts w:hint="eastAsia"/>
          <w:color w:val="auto"/>
          <w:sz w:val="24"/>
        </w:rPr>
        <w:t>备注1：从业人员、营业收入、资产总额填报上一年度数据，无上一年度数据的新成立企业可不填报。</w:t>
      </w:r>
    </w:p>
    <w:p w14:paraId="5C0FC7FA">
      <w:pPr>
        <w:pStyle w:val="39"/>
        <w:widowControl/>
        <w:spacing w:beforeAutospacing="0" w:afterAutospacing="0" w:line="440" w:lineRule="exact"/>
        <w:ind w:firstLine="480" w:firstLineChars="200"/>
        <w:rPr>
          <w:color w:val="auto"/>
        </w:rPr>
      </w:pPr>
      <w:r>
        <w:rPr>
          <w:rFonts w:hint="eastAsia"/>
          <w:color w:val="auto"/>
        </w:rPr>
        <w:t>备注2：供应商如不提供此声明函，价格将不做相应扣除（如项目全面面向中小企业，则资格审查不通过）。</w:t>
      </w:r>
    </w:p>
    <w:p w14:paraId="2E7C1A6F">
      <w:pPr>
        <w:spacing w:line="460" w:lineRule="exact"/>
        <w:rPr>
          <w:rFonts w:ascii="宋体" w:hAnsi="宋体" w:cs="宋体"/>
          <w:color w:val="auto"/>
          <w:sz w:val="32"/>
          <w:szCs w:val="32"/>
        </w:rPr>
      </w:pPr>
    </w:p>
    <w:p w14:paraId="307FA01C">
      <w:pPr>
        <w:pStyle w:val="39"/>
        <w:spacing w:beforeAutospacing="0" w:afterAutospacing="0" w:line="0" w:lineRule="atLeast"/>
        <w:jc w:val="center"/>
        <w:outlineLvl w:val="1"/>
        <w:rPr>
          <w:rFonts w:hint="eastAsia" w:ascii="宋体" w:hAnsi="宋体" w:eastAsia="宋体" w:cs="宋体"/>
          <w:color w:val="auto"/>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十、残疾人福利性单位声明函</w:t>
      </w:r>
    </w:p>
    <w:p w14:paraId="6147C013">
      <w:pPr>
        <w:pStyle w:val="39"/>
        <w:spacing w:beforeAutospacing="0" w:afterAutospacing="0" w:line="480" w:lineRule="exact"/>
        <w:ind w:firstLine="480"/>
        <w:jc w:val="both"/>
        <w:rPr>
          <w:rFonts w:hint="eastAsia" w:ascii="宋体" w:hAnsi="宋体" w:eastAsia="宋体" w:cs="宋体"/>
          <w:color w:val="auto"/>
        </w:rPr>
      </w:pPr>
      <w:r>
        <w:rPr>
          <w:rFonts w:hint="eastAsia" w:ascii="宋体" w:hAnsi="宋体" w:eastAsia="宋体" w:cs="宋体"/>
          <w:color w:val="auto"/>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auto"/>
          <w:u w:val="single"/>
        </w:rPr>
        <w:t>盐城市</w:t>
      </w:r>
      <w:r>
        <w:rPr>
          <w:rFonts w:hint="eastAsia" w:ascii="宋体" w:hAnsi="宋体" w:eastAsia="宋体" w:cs="宋体"/>
          <w:color w:val="auto"/>
          <w:u w:val="single"/>
          <w:lang w:val="en-US" w:eastAsia="zh-CN"/>
        </w:rPr>
        <w:t>盐都区</w:t>
      </w:r>
      <w:r>
        <w:rPr>
          <w:rFonts w:hint="eastAsia" w:ascii="宋体" w:hAnsi="宋体" w:eastAsia="宋体" w:cs="宋体"/>
          <w:color w:val="auto"/>
          <w:u w:val="single"/>
        </w:rPr>
        <w:t>农业农村局</w:t>
      </w:r>
      <w:r>
        <w:rPr>
          <w:rFonts w:hint="eastAsia" w:ascii="宋体" w:hAnsi="宋体" w:eastAsia="宋体" w:cs="宋体"/>
          <w:color w:val="auto"/>
        </w:rPr>
        <w:t>的采购文件编号为</w:t>
      </w:r>
      <w:r>
        <w:rPr>
          <w:rFonts w:hint="eastAsia" w:ascii="宋体" w:hAnsi="宋体" w:eastAsia="宋体" w:cs="宋体"/>
          <w:color w:val="auto"/>
          <w:u w:val="single"/>
        </w:rPr>
        <w:t xml:space="preserve">    </w:t>
      </w:r>
      <w:r>
        <w:rPr>
          <w:rFonts w:hint="eastAsia" w:ascii="宋体" w:hAnsi="宋体" w:eastAsia="宋体" w:cs="宋体"/>
          <w:color w:val="auto"/>
        </w:rPr>
        <w:t>的</w:t>
      </w:r>
      <w:r>
        <w:rPr>
          <w:rFonts w:hint="eastAsia" w:ascii="宋体" w:hAnsi="宋体" w:eastAsia="宋体" w:cs="宋体"/>
          <w:color w:val="auto"/>
          <w:u w:val="single"/>
          <w:lang w:eastAsia="zh-CN"/>
        </w:rPr>
        <w:t>盐都区高标准农田调查摸底上图入库全过程技术服务项目</w:t>
      </w:r>
      <w:r>
        <w:rPr>
          <w:rFonts w:hint="eastAsia" w:ascii="宋体" w:hAnsi="宋体" w:eastAsia="宋体" w:cs="宋体"/>
          <w:color w:val="auto"/>
        </w:rPr>
        <w:t>采购活动由本单位提供服务。</w:t>
      </w:r>
    </w:p>
    <w:p w14:paraId="5EC30B2A">
      <w:pPr>
        <w:pStyle w:val="39"/>
        <w:spacing w:beforeAutospacing="0" w:afterAutospacing="0" w:line="480" w:lineRule="exact"/>
        <w:ind w:firstLine="480"/>
        <w:jc w:val="both"/>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1E23C6FB">
      <w:pPr>
        <w:pStyle w:val="39"/>
        <w:spacing w:beforeAutospacing="0" w:afterAutospacing="0" w:line="480" w:lineRule="exact"/>
        <w:ind w:firstLine="480"/>
        <w:jc w:val="both"/>
        <w:rPr>
          <w:rFonts w:hint="eastAsia" w:ascii="宋体" w:hAnsi="宋体" w:eastAsia="宋体" w:cs="宋体"/>
          <w:color w:val="auto"/>
        </w:rPr>
      </w:pPr>
      <w:r>
        <w:rPr>
          <w:rFonts w:hint="eastAsia" w:ascii="宋体" w:hAnsi="宋体" w:eastAsia="宋体" w:cs="宋体"/>
          <w:color w:val="auto"/>
        </w:rPr>
        <w:t> </w:t>
      </w:r>
    </w:p>
    <w:p w14:paraId="3D250220">
      <w:pPr>
        <w:pStyle w:val="39"/>
        <w:spacing w:beforeAutospacing="0" w:afterAutospacing="0" w:line="480" w:lineRule="exact"/>
        <w:ind w:firstLine="480"/>
        <w:jc w:val="both"/>
        <w:rPr>
          <w:rFonts w:hint="eastAsia" w:ascii="宋体" w:hAnsi="宋体" w:eastAsia="宋体" w:cs="宋体"/>
          <w:color w:val="auto"/>
        </w:rPr>
      </w:pPr>
      <w:r>
        <w:rPr>
          <w:rFonts w:hint="eastAsia" w:ascii="宋体" w:hAnsi="宋体" w:eastAsia="宋体" w:cs="宋体"/>
          <w:color w:val="auto"/>
        </w:rPr>
        <w:t>备注：1、供应商如不提供此声明函，价格将不做相应扣除（如项目全面面向中小企业，则资格审查不通过）。</w:t>
      </w:r>
    </w:p>
    <w:p w14:paraId="796115A7">
      <w:pPr>
        <w:pStyle w:val="39"/>
        <w:spacing w:beforeAutospacing="0" w:afterAutospacing="0" w:line="480" w:lineRule="exact"/>
        <w:ind w:firstLine="480"/>
        <w:jc w:val="both"/>
        <w:rPr>
          <w:rFonts w:hint="eastAsia" w:ascii="宋体" w:hAnsi="宋体" w:eastAsia="宋体" w:cs="宋体"/>
          <w:color w:val="auto"/>
        </w:rPr>
      </w:pPr>
      <w:r>
        <w:rPr>
          <w:rFonts w:hint="eastAsia" w:ascii="宋体" w:hAnsi="宋体" w:eastAsia="宋体" w:cs="宋体"/>
          <w:color w:val="auto"/>
        </w:rPr>
        <w:t>2、中标人为残疾人福利单位的，此声明函将随中标结果同时公告，接受社会监督</w:t>
      </w:r>
    </w:p>
    <w:p w14:paraId="40A5B5D7">
      <w:pPr>
        <w:pStyle w:val="39"/>
        <w:spacing w:beforeAutospacing="0" w:afterAutospacing="0" w:line="480" w:lineRule="exact"/>
        <w:ind w:firstLine="624"/>
        <w:jc w:val="both"/>
        <w:rPr>
          <w:rFonts w:hint="eastAsia" w:ascii="宋体" w:hAnsi="宋体" w:eastAsia="宋体" w:cs="宋体"/>
          <w:color w:val="auto"/>
        </w:rPr>
      </w:pPr>
      <w:r>
        <w:rPr>
          <w:rFonts w:hint="eastAsia" w:ascii="宋体" w:hAnsi="宋体" w:eastAsia="宋体" w:cs="宋体"/>
          <w:color w:val="auto"/>
        </w:rPr>
        <w:t> </w:t>
      </w:r>
    </w:p>
    <w:p w14:paraId="1B7F6262">
      <w:pPr>
        <w:pStyle w:val="39"/>
        <w:tabs>
          <w:tab w:val="left" w:pos="4864"/>
        </w:tabs>
        <w:spacing w:beforeAutospacing="0" w:afterAutospacing="0" w:line="480" w:lineRule="exact"/>
        <w:ind w:right="1560" w:firstLine="624"/>
        <w:jc w:val="center"/>
        <w:rPr>
          <w:rFonts w:hint="eastAsia" w:ascii="宋体" w:hAnsi="宋体" w:eastAsia="宋体" w:cs="宋体"/>
          <w:color w:val="auto"/>
        </w:rPr>
      </w:pPr>
      <w:r>
        <w:rPr>
          <w:rFonts w:hint="eastAsia" w:ascii="宋体" w:hAnsi="宋体" w:eastAsia="宋体" w:cs="宋体"/>
          <w:color w:val="auto"/>
          <w:sz w:val="30"/>
          <w:szCs w:val="30"/>
        </w:rPr>
        <w:t xml:space="preserve">               </w:t>
      </w:r>
      <w:r>
        <w:rPr>
          <w:rFonts w:hint="eastAsia" w:ascii="宋体" w:hAnsi="宋体" w:eastAsia="宋体" w:cs="宋体"/>
          <w:color w:val="auto"/>
        </w:rPr>
        <w:t>供应商全称（加盖CA电子公章）：</w:t>
      </w:r>
    </w:p>
    <w:p w14:paraId="13946354">
      <w:pPr>
        <w:pStyle w:val="39"/>
        <w:tabs>
          <w:tab w:val="left" w:pos="4864"/>
        </w:tabs>
        <w:spacing w:beforeAutospacing="0" w:afterAutospacing="0" w:line="480" w:lineRule="exact"/>
        <w:ind w:right="1560" w:firstLine="480"/>
        <w:jc w:val="center"/>
        <w:rPr>
          <w:rFonts w:hint="eastAsia" w:ascii="宋体" w:hAnsi="宋体" w:eastAsia="宋体" w:cs="宋体"/>
          <w:color w:val="auto"/>
        </w:rPr>
      </w:pPr>
      <w:r>
        <w:rPr>
          <w:rFonts w:hint="eastAsia" w:ascii="宋体" w:hAnsi="宋体" w:eastAsia="宋体" w:cs="宋体"/>
          <w:color w:val="auto"/>
        </w:rPr>
        <w:t>       日  期：</w:t>
      </w:r>
    </w:p>
    <w:p w14:paraId="4402A9E0">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6C51D901">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304D39A7">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685611AD">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4DB99792">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092AF63D">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72FADC3B">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06A6B300">
      <w:pPr>
        <w:pStyle w:val="39"/>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 </w:t>
      </w:r>
    </w:p>
    <w:p w14:paraId="184EC202">
      <w:pPr>
        <w:pStyle w:val="39"/>
        <w:spacing w:beforeAutospacing="0" w:afterAutospacing="0" w:line="0" w:lineRule="atLeast"/>
        <w:jc w:val="center"/>
        <w:rPr>
          <w:rFonts w:hint="eastAsia" w:ascii="宋体" w:hAnsi="宋体" w:eastAsia="宋体" w:cs="宋体"/>
          <w:color w:val="auto"/>
        </w:rPr>
      </w:pPr>
    </w:p>
    <w:p w14:paraId="76326D03">
      <w:pPr>
        <w:pStyle w:val="39"/>
        <w:spacing w:beforeAutospacing="0" w:afterAutospacing="0" w:line="0" w:lineRule="atLeast"/>
        <w:jc w:val="center"/>
        <w:rPr>
          <w:rFonts w:hint="eastAsia" w:ascii="宋体" w:hAnsi="宋体" w:eastAsia="宋体" w:cs="宋体"/>
          <w:color w:val="auto"/>
        </w:rPr>
      </w:pPr>
    </w:p>
    <w:p w14:paraId="34B7B2A9">
      <w:pPr>
        <w:pStyle w:val="39"/>
        <w:spacing w:beforeAutospacing="0" w:afterAutospacing="0" w:line="0" w:lineRule="atLeast"/>
        <w:jc w:val="center"/>
        <w:rPr>
          <w:rFonts w:hint="eastAsia" w:ascii="宋体" w:hAnsi="宋体" w:eastAsia="宋体" w:cs="宋体"/>
          <w:color w:val="auto"/>
        </w:rPr>
      </w:pPr>
    </w:p>
    <w:p w14:paraId="607E030E">
      <w:pPr>
        <w:pStyle w:val="39"/>
        <w:spacing w:beforeAutospacing="0" w:afterAutospacing="0" w:line="0" w:lineRule="atLeast"/>
        <w:jc w:val="center"/>
        <w:rPr>
          <w:rFonts w:hint="eastAsia" w:ascii="宋体" w:hAnsi="宋体" w:eastAsia="宋体" w:cs="宋体"/>
          <w:color w:val="auto"/>
        </w:rPr>
      </w:pPr>
    </w:p>
    <w:p w14:paraId="45170942">
      <w:pPr>
        <w:pStyle w:val="39"/>
        <w:spacing w:beforeAutospacing="0" w:afterAutospacing="0" w:line="0" w:lineRule="atLeast"/>
        <w:jc w:val="center"/>
        <w:rPr>
          <w:rFonts w:hint="eastAsia" w:ascii="宋体" w:hAnsi="宋体" w:eastAsia="宋体" w:cs="宋体"/>
          <w:color w:val="auto"/>
        </w:rPr>
      </w:pPr>
    </w:p>
    <w:p w14:paraId="636B8808">
      <w:pPr>
        <w:pStyle w:val="39"/>
        <w:spacing w:beforeAutospacing="0" w:afterAutospacing="0" w:line="0" w:lineRule="atLeast"/>
        <w:jc w:val="center"/>
        <w:rPr>
          <w:rFonts w:hint="eastAsia" w:ascii="宋体" w:hAnsi="宋体" w:eastAsia="宋体" w:cs="宋体"/>
          <w:color w:val="auto"/>
        </w:rPr>
      </w:pPr>
    </w:p>
    <w:p w14:paraId="187A8428">
      <w:pPr>
        <w:pStyle w:val="39"/>
        <w:spacing w:beforeAutospacing="0" w:afterAutospacing="0" w:line="0" w:lineRule="atLeast"/>
        <w:jc w:val="center"/>
        <w:rPr>
          <w:rFonts w:hint="eastAsia" w:ascii="宋体" w:hAnsi="宋体" w:eastAsia="宋体" w:cs="宋体"/>
          <w:color w:val="auto"/>
        </w:rPr>
      </w:pPr>
    </w:p>
    <w:p w14:paraId="01215DB9">
      <w:pPr>
        <w:pStyle w:val="39"/>
        <w:spacing w:beforeAutospacing="0" w:afterAutospacing="0" w:line="0" w:lineRule="atLeast"/>
        <w:jc w:val="center"/>
        <w:rPr>
          <w:rFonts w:hint="eastAsia" w:ascii="宋体" w:hAnsi="宋体" w:eastAsia="宋体" w:cs="宋体"/>
          <w:color w:val="auto"/>
        </w:rPr>
      </w:pPr>
    </w:p>
    <w:p w14:paraId="718DCE93">
      <w:pPr>
        <w:pStyle w:val="39"/>
        <w:spacing w:beforeAutospacing="0" w:afterAutospacing="0" w:line="0" w:lineRule="atLeast"/>
        <w:jc w:val="center"/>
        <w:rPr>
          <w:rFonts w:hint="eastAsia" w:ascii="宋体" w:hAnsi="宋体" w:eastAsia="宋体" w:cs="宋体"/>
          <w:color w:val="auto"/>
        </w:rPr>
      </w:pPr>
    </w:p>
    <w:p w14:paraId="652E3407">
      <w:pPr>
        <w:pStyle w:val="39"/>
        <w:spacing w:beforeAutospacing="0" w:afterAutospacing="0" w:line="0" w:lineRule="atLeast"/>
        <w:jc w:val="center"/>
        <w:rPr>
          <w:rFonts w:hint="eastAsia" w:ascii="宋体" w:hAnsi="宋体" w:eastAsia="宋体" w:cs="宋体"/>
          <w:color w:val="auto"/>
        </w:rPr>
      </w:pPr>
    </w:p>
    <w:p w14:paraId="53EBD67C">
      <w:pPr>
        <w:pStyle w:val="39"/>
        <w:spacing w:beforeAutospacing="0" w:afterAutospacing="0" w:line="0" w:lineRule="atLeast"/>
        <w:jc w:val="center"/>
        <w:rPr>
          <w:rFonts w:hint="eastAsia" w:ascii="宋体" w:hAnsi="宋体" w:eastAsia="宋体" w:cs="宋体"/>
          <w:color w:val="auto"/>
        </w:rPr>
      </w:pPr>
    </w:p>
    <w:p w14:paraId="70BB9856">
      <w:pPr>
        <w:pStyle w:val="39"/>
        <w:spacing w:beforeAutospacing="0" w:afterAutospacing="0" w:line="0" w:lineRule="atLeast"/>
        <w:jc w:val="center"/>
        <w:rPr>
          <w:rFonts w:hint="eastAsia" w:ascii="宋体" w:hAnsi="宋体" w:eastAsia="宋体" w:cs="宋体"/>
          <w:color w:val="auto"/>
        </w:rPr>
      </w:pPr>
    </w:p>
    <w:p w14:paraId="4B86E2B0">
      <w:pPr>
        <w:pStyle w:val="39"/>
        <w:spacing w:beforeAutospacing="0" w:afterAutospacing="0" w:line="0" w:lineRule="atLeast"/>
        <w:jc w:val="center"/>
        <w:rPr>
          <w:rFonts w:hint="eastAsia" w:ascii="宋体" w:hAnsi="宋体" w:eastAsia="宋体" w:cs="宋体"/>
          <w:color w:val="auto"/>
        </w:rPr>
      </w:pPr>
    </w:p>
    <w:p w14:paraId="11313C2C">
      <w:pPr>
        <w:pStyle w:val="39"/>
        <w:spacing w:beforeAutospacing="0" w:afterAutospacing="0" w:line="0" w:lineRule="atLeast"/>
        <w:jc w:val="center"/>
        <w:rPr>
          <w:rFonts w:hint="eastAsia" w:ascii="宋体" w:hAnsi="宋体" w:eastAsia="宋体" w:cs="宋体"/>
          <w:color w:val="auto"/>
        </w:rPr>
      </w:pPr>
    </w:p>
    <w:p w14:paraId="2973CF31">
      <w:pPr>
        <w:pStyle w:val="39"/>
        <w:spacing w:beforeAutospacing="0" w:afterAutospacing="0" w:line="0" w:lineRule="atLeast"/>
        <w:jc w:val="center"/>
        <w:rPr>
          <w:rFonts w:hint="eastAsia" w:ascii="宋体" w:hAnsi="宋体" w:eastAsia="宋体" w:cs="宋体"/>
          <w:color w:val="auto"/>
        </w:rPr>
      </w:pPr>
    </w:p>
    <w:p w14:paraId="507D3856">
      <w:pPr>
        <w:pStyle w:val="39"/>
        <w:spacing w:beforeAutospacing="0" w:afterAutospacing="0" w:line="0" w:lineRule="atLeast"/>
        <w:jc w:val="center"/>
        <w:rPr>
          <w:rFonts w:hint="eastAsia" w:ascii="宋体" w:hAnsi="宋体" w:eastAsia="宋体" w:cs="宋体"/>
          <w:color w:val="auto"/>
        </w:rPr>
      </w:pPr>
    </w:p>
    <w:p w14:paraId="1F4B167B">
      <w:pPr>
        <w:pStyle w:val="39"/>
        <w:spacing w:beforeAutospacing="0" w:afterAutospacing="0"/>
        <w:jc w:val="center"/>
        <w:outlineLvl w:val="1"/>
        <w:rPr>
          <w:rFonts w:hint="eastAsia" w:ascii="宋体" w:hAnsi="宋体" w:eastAsia="宋体" w:cs="宋体"/>
          <w:color w:val="auto"/>
        </w:rPr>
      </w:pPr>
      <w:r>
        <w:rPr>
          <w:rFonts w:hint="eastAsia" w:ascii="宋体" w:hAnsi="宋体" w:eastAsia="宋体" w:cs="宋体"/>
          <w:b/>
          <w:color w:val="auto"/>
          <w:sz w:val="32"/>
          <w:szCs w:val="32"/>
        </w:rPr>
        <w:t>十一、投标报价表</w:t>
      </w:r>
    </w:p>
    <w:p w14:paraId="0AB844D7">
      <w:pPr>
        <w:pStyle w:val="39"/>
        <w:spacing w:beforeAutospacing="0" w:afterAutospacing="0"/>
        <w:jc w:val="center"/>
        <w:outlineLvl w:val="1"/>
        <w:rPr>
          <w:rFonts w:hint="eastAsia" w:ascii="宋体" w:hAnsi="宋体" w:eastAsia="宋体" w:cs="宋体"/>
          <w:b/>
          <w:color w:val="auto"/>
          <w:sz w:val="32"/>
          <w:szCs w:val="32"/>
        </w:rPr>
      </w:pPr>
    </w:p>
    <w:p w14:paraId="0D727F23">
      <w:pPr>
        <w:pBdr>
          <w:top w:val="none" w:color="000000" w:sz="0" w:space="0"/>
          <w:left w:val="none" w:color="000000" w:sz="0" w:space="0"/>
          <w:bottom w:val="none" w:color="000000" w:sz="0" w:space="0"/>
          <w:right w:val="none" w:color="000000" w:sz="0" w:space="0"/>
        </w:pBdr>
        <w:spacing w:line="499" w:lineRule="atLeast"/>
        <w:rPr>
          <w:rFonts w:ascii="黑体" w:eastAsia="黑体" w:cs="黑体"/>
          <w:b/>
          <w:bCs/>
          <w:color w:val="auto"/>
          <w:sz w:val="32"/>
          <w:szCs w:val="32"/>
        </w:rPr>
      </w:pPr>
      <w:r>
        <w:rPr>
          <w:rFonts w:ascii="宋体" w:hAnsi="宋体" w:eastAsia="宋体" w:cs="宋体"/>
          <w:color w:val="auto"/>
          <w:sz w:val="24"/>
        </w:rPr>
        <w:t>投标人全称：（加盖</w:t>
      </w:r>
      <w:r>
        <w:rPr>
          <w:rFonts w:hint="eastAsia" w:ascii="宋体" w:hAnsi="宋体" w:cs="宋体"/>
          <w:color w:val="auto"/>
          <w:sz w:val="24"/>
        </w:rPr>
        <w:t>投标人CA</w:t>
      </w:r>
      <w:r>
        <w:rPr>
          <w:rFonts w:ascii="宋体" w:hAnsi="宋体" w:eastAsia="宋体" w:cs="宋体"/>
          <w:color w:val="auto"/>
          <w:sz w:val="24"/>
        </w:rPr>
        <w:t>公章）</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2104"/>
        <w:gridCol w:w="1575"/>
        <w:gridCol w:w="930"/>
        <w:gridCol w:w="955"/>
        <w:gridCol w:w="1426"/>
        <w:gridCol w:w="1450"/>
      </w:tblGrid>
      <w:tr w14:paraId="2F644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 w:type="dxa"/>
          </w:tcPr>
          <w:p w14:paraId="33081B24">
            <w:pPr>
              <w:spacing w:line="360" w:lineRule="auto"/>
              <w:rPr>
                <w:rFonts w:hint="eastAsia"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序号</w:t>
            </w:r>
          </w:p>
        </w:tc>
        <w:tc>
          <w:tcPr>
            <w:tcW w:w="2104" w:type="dxa"/>
          </w:tcPr>
          <w:p w14:paraId="28F63330">
            <w:pPr>
              <w:spacing w:line="360" w:lineRule="auto"/>
              <w:rPr>
                <w:rFonts w:hint="default"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项目名称</w:t>
            </w:r>
          </w:p>
        </w:tc>
        <w:tc>
          <w:tcPr>
            <w:tcW w:w="1575" w:type="dxa"/>
          </w:tcPr>
          <w:p w14:paraId="6E126425">
            <w:pPr>
              <w:spacing w:line="360" w:lineRule="auto"/>
              <w:rPr>
                <w:rFonts w:hint="default"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技术要求</w:t>
            </w:r>
          </w:p>
        </w:tc>
        <w:tc>
          <w:tcPr>
            <w:tcW w:w="930" w:type="dxa"/>
          </w:tcPr>
          <w:p w14:paraId="3237887E">
            <w:pPr>
              <w:spacing w:line="360" w:lineRule="auto"/>
              <w:rPr>
                <w:rFonts w:hint="default"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单位</w:t>
            </w:r>
          </w:p>
        </w:tc>
        <w:tc>
          <w:tcPr>
            <w:tcW w:w="955" w:type="dxa"/>
          </w:tcPr>
          <w:p w14:paraId="680F4731">
            <w:pPr>
              <w:spacing w:line="360" w:lineRule="auto"/>
              <w:rPr>
                <w:rFonts w:hint="default"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数量</w:t>
            </w:r>
          </w:p>
        </w:tc>
        <w:tc>
          <w:tcPr>
            <w:tcW w:w="1426" w:type="dxa"/>
          </w:tcPr>
          <w:p w14:paraId="58D6BA14">
            <w:pPr>
              <w:spacing w:line="360" w:lineRule="auto"/>
              <w:rPr>
                <w:rFonts w:hint="default"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单价（元）</w:t>
            </w:r>
          </w:p>
        </w:tc>
        <w:tc>
          <w:tcPr>
            <w:tcW w:w="1450" w:type="dxa"/>
          </w:tcPr>
          <w:p w14:paraId="6687C5DB">
            <w:pPr>
              <w:spacing w:line="360" w:lineRule="auto"/>
              <w:rPr>
                <w:rFonts w:hint="eastAsia" w:ascii="宋体" w:hAnsi="宋体" w:eastAsia="宋体" w:cs="宋体"/>
                <w:b/>
                <w:color w:val="auto"/>
                <w:sz w:val="24"/>
                <w:vertAlign w:val="baseline"/>
              </w:rPr>
            </w:pPr>
            <w:r>
              <w:rPr>
                <w:rFonts w:hint="eastAsia" w:ascii="宋体" w:hAnsi="宋体" w:eastAsia="宋体" w:cs="宋体"/>
                <w:b/>
                <w:color w:val="auto"/>
                <w:sz w:val="24"/>
                <w:vertAlign w:val="baseline"/>
                <w:lang w:val="en-US" w:eastAsia="zh-CN"/>
              </w:rPr>
              <w:t>合价（元）</w:t>
            </w:r>
          </w:p>
        </w:tc>
      </w:tr>
      <w:tr w14:paraId="0744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 w:type="dxa"/>
          </w:tcPr>
          <w:p w14:paraId="3C539E66">
            <w:pPr>
              <w:spacing w:line="360" w:lineRule="auto"/>
              <w:rPr>
                <w:rFonts w:hint="eastAsia"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1</w:t>
            </w:r>
          </w:p>
        </w:tc>
        <w:tc>
          <w:tcPr>
            <w:tcW w:w="2104" w:type="dxa"/>
          </w:tcPr>
          <w:p w14:paraId="459767EA">
            <w:pPr>
              <w:spacing w:line="360" w:lineRule="auto"/>
              <w:rPr>
                <w:rFonts w:hint="eastAsia" w:ascii="宋体" w:hAnsi="宋体" w:eastAsia="宋体" w:cs="宋体"/>
                <w:b/>
                <w:color w:val="auto"/>
                <w:sz w:val="24"/>
                <w:vertAlign w:val="baseline"/>
              </w:rPr>
            </w:pPr>
            <w:r>
              <w:rPr>
                <w:rFonts w:hint="eastAsia" w:ascii="宋体" w:hAnsi="宋体" w:eastAsia="宋体" w:cs="宋体"/>
                <w:b/>
                <w:color w:val="auto"/>
                <w:sz w:val="24"/>
                <w:vertAlign w:val="baseline"/>
              </w:rPr>
              <w:t>盐都区高标准农田调查摸底上图入库全过程技术服务项目</w:t>
            </w:r>
          </w:p>
        </w:tc>
        <w:tc>
          <w:tcPr>
            <w:tcW w:w="1575" w:type="dxa"/>
          </w:tcPr>
          <w:p w14:paraId="629B0C25">
            <w:pPr>
              <w:spacing w:line="360" w:lineRule="auto"/>
              <w:rPr>
                <w:rFonts w:hint="default"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详见招标文件第四章采购需求</w:t>
            </w:r>
          </w:p>
        </w:tc>
        <w:tc>
          <w:tcPr>
            <w:tcW w:w="930" w:type="dxa"/>
          </w:tcPr>
          <w:p w14:paraId="73DF2FFA">
            <w:pPr>
              <w:spacing w:line="360" w:lineRule="auto"/>
              <w:rPr>
                <w:rFonts w:hint="eastAsia"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项</w:t>
            </w:r>
          </w:p>
        </w:tc>
        <w:tc>
          <w:tcPr>
            <w:tcW w:w="955" w:type="dxa"/>
          </w:tcPr>
          <w:p w14:paraId="3D7749CB">
            <w:pPr>
              <w:spacing w:line="360" w:lineRule="auto"/>
              <w:rPr>
                <w:rFonts w:hint="eastAsia"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1</w:t>
            </w:r>
          </w:p>
        </w:tc>
        <w:tc>
          <w:tcPr>
            <w:tcW w:w="1426" w:type="dxa"/>
          </w:tcPr>
          <w:p w14:paraId="4FD04492">
            <w:pPr>
              <w:spacing w:line="360" w:lineRule="auto"/>
              <w:rPr>
                <w:rFonts w:hint="eastAsia" w:ascii="宋体" w:hAnsi="宋体" w:eastAsia="宋体" w:cs="宋体"/>
                <w:b/>
                <w:color w:val="auto"/>
                <w:sz w:val="24"/>
                <w:vertAlign w:val="baseline"/>
              </w:rPr>
            </w:pPr>
          </w:p>
        </w:tc>
        <w:tc>
          <w:tcPr>
            <w:tcW w:w="1450" w:type="dxa"/>
          </w:tcPr>
          <w:p w14:paraId="28B01D24">
            <w:pPr>
              <w:spacing w:line="360" w:lineRule="auto"/>
              <w:rPr>
                <w:rFonts w:hint="eastAsia" w:ascii="宋体" w:hAnsi="宋体" w:eastAsia="宋体" w:cs="宋体"/>
                <w:b/>
                <w:color w:val="auto"/>
                <w:sz w:val="24"/>
                <w:vertAlign w:val="baseline"/>
              </w:rPr>
            </w:pPr>
          </w:p>
        </w:tc>
      </w:tr>
      <w:tr w14:paraId="3A78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8" w:type="dxa"/>
          </w:tcPr>
          <w:p w14:paraId="737EC667">
            <w:pPr>
              <w:spacing w:line="360" w:lineRule="auto"/>
              <w:rPr>
                <w:rFonts w:hint="eastAsia"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2</w:t>
            </w:r>
          </w:p>
        </w:tc>
        <w:tc>
          <w:tcPr>
            <w:tcW w:w="5564" w:type="dxa"/>
            <w:gridSpan w:val="4"/>
          </w:tcPr>
          <w:p w14:paraId="01881522">
            <w:pPr>
              <w:spacing w:line="360" w:lineRule="auto"/>
              <w:jc w:val="center"/>
              <w:rPr>
                <w:rFonts w:hint="eastAsia"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总计</w:t>
            </w:r>
          </w:p>
        </w:tc>
        <w:tc>
          <w:tcPr>
            <w:tcW w:w="2876" w:type="dxa"/>
            <w:gridSpan w:val="2"/>
          </w:tcPr>
          <w:p w14:paraId="4AF25F8F">
            <w:pPr>
              <w:spacing w:line="360" w:lineRule="auto"/>
              <w:jc w:val="right"/>
              <w:rPr>
                <w:rFonts w:hint="eastAsia" w:ascii="宋体" w:hAnsi="宋体" w:eastAsia="宋体" w:cs="宋体"/>
                <w:b/>
                <w:color w:val="auto"/>
                <w:sz w:val="24"/>
                <w:vertAlign w:val="baseline"/>
                <w:lang w:val="en-US" w:eastAsia="zh-CN"/>
              </w:rPr>
            </w:pPr>
            <w:r>
              <w:rPr>
                <w:rFonts w:hint="eastAsia" w:ascii="宋体" w:hAnsi="宋体" w:eastAsia="宋体" w:cs="宋体"/>
                <w:b/>
                <w:color w:val="auto"/>
                <w:sz w:val="24"/>
                <w:vertAlign w:val="baseline"/>
                <w:lang w:val="en-US" w:eastAsia="zh-CN"/>
              </w:rPr>
              <w:t>元</w:t>
            </w:r>
          </w:p>
        </w:tc>
      </w:tr>
    </w:tbl>
    <w:p w14:paraId="0AA782F6">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eastAsia="宋体" w:cs="宋体"/>
          <w:b/>
          <w:color w:val="auto"/>
          <w:sz w:val="24"/>
        </w:rPr>
      </w:pPr>
    </w:p>
    <w:p w14:paraId="18C1B37F">
      <w:pPr>
        <w:pBdr>
          <w:top w:val="none" w:color="000000" w:sz="0" w:space="0"/>
          <w:left w:val="none" w:color="000000" w:sz="0" w:space="0"/>
          <w:bottom w:val="none" w:color="000000" w:sz="0" w:space="0"/>
          <w:right w:val="none" w:color="000000" w:sz="0" w:space="0"/>
        </w:pBdr>
        <w:spacing w:line="360" w:lineRule="auto"/>
        <w:ind w:firstLine="482" w:firstLineChars="200"/>
        <w:rPr>
          <w:color w:val="auto"/>
        </w:rPr>
      </w:pPr>
      <w:r>
        <w:rPr>
          <w:rFonts w:ascii="宋体" w:hAnsi="宋体" w:eastAsia="宋体" w:cs="宋体"/>
          <w:b/>
          <w:color w:val="auto"/>
          <w:sz w:val="24"/>
        </w:rPr>
        <w:t>法定代表人或授权代表签字：</w:t>
      </w:r>
    </w:p>
    <w:p w14:paraId="65E8A6CA">
      <w:pPr>
        <w:pStyle w:val="39"/>
        <w:spacing w:beforeAutospacing="0" w:afterAutospacing="0" w:line="500" w:lineRule="exact"/>
        <w:ind w:firstLine="480"/>
        <w:jc w:val="both"/>
        <w:rPr>
          <w:rFonts w:hint="eastAsia" w:ascii="宋体" w:hAnsi="宋体" w:eastAsia="宋体" w:cs="宋体"/>
          <w:color w:val="auto"/>
        </w:rPr>
      </w:pPr>
      <w:r>
        <w:rPr>
          <w:rFonts w:hint="eastAsia" w:ascii="宋体" w:hAnsi="宋体" w:eastAsia="宋体" w:cs="宋体"/>
          <w:color w:val="auto"/>
        </w:rPr>
        <w:t>注：投标人的报价应包括完成本次招标范围内全部服务工作内容所发生的一切费用。即主要包括(但不限于):人员工资、加班费、各项福利、劳动保险、餐费、住宿费、交通费、会务费、技术评审论证费用、成果鉴定验收费用、劳务费、管理费和仪器设备、各类耗材耗能以及利润、税金、招标代理费等为完成服务并通过验收所需承担的全部费用，包含政策调整导致成本增加等不可预见性费用，甲方不再支付报价以外的任何费用。</w:t>
      </w:r>
    </w:p>
    <w:p w14:paraId="64AF0B47">
      <w:pPr>
        <w:pStyle w:val="39"/>
        <w:spacing w:beforeAutospacing="0" w:afterAutospacing="0" w:line="500" w:lineRule="exact"/>
        <w:ind w:firstLine="480"/>
        <w:jc w:val="both"/>
        <w:rPr>
          <w:rFonts w:hint="eastAsia" w:ascii="宋体" w:hAnsi="宋体" w:eastAsia="宋体" w:cs="宋体"/>
          <w:b/>
          <w:bCs/>
          <w:color w:val="auto"/>
        </w:rPr>
        <w:sectPr>
          <w:pgSz w:w="11906" w:h="16838"/>
          <w:pgMar w:top="1559" w:right="1417" w:bottom="1440" w:left="1417" w:header="851" w:footer="992" w:gutter="0"/>
          <w:cols w:space="425" w:num="1"/>
          <w:docGrid w:linePitch="360" w:charSpace="0"/>
        </w:sectPr>
      </w:pPr>
      <w:r>
        <w:rPr>
          <w:rFonts w:hint="eastAsia" w:ascii="宋体" w:hAnsi="宋体" w:eastAsia="宋体" w:cs="宋体"/>
          <w:b/>
          <w:bCs/>
          <w:color w:val="auto"/>
        </w:rPr>
        <w:t>投标报价不得高于最高限价，否则投标文件无效。 </w:t>
      </w:r>
    </w:p>
    <w:p w14:paraId="15109695">
      <w:pPr>
        <w:pStyle w:val="39"/>
        <w:spacing w:beforeAutospacing="0" w:afterAutospacing="0"/>
        <w:jc w:val="center"/>
        <w:outlineLvl w:val="1"/>
        <w:rPr>
          <w:rFonts w:hint="eastAsia" w:ascii="宋体" w:hAnsi="宋体" w:eastAsia="宋体" w:cs="宋体"/>
          <w:color w:val="auto"/>
        </w:rPr>
      </w:pPr>
      <w:r>
        <w:rPr>
          <w:rFonts w:hint="eastAsia" w:ascii="宋体" w:hAnsi="宋体" w:eastAsia="宋体" w:cs="宋体"/>
          <w:b/>
          <w:color w:val="auto"/>
          <w:sz w:val="32"/>
          <w:szCs w:val="32"/>
        </w:rPr>
        <w:t>十二、技术要求响应及偏离表</w:t>
      </w:r>
    </w:p>
    <w:tbl>
      <w:tblPr>
        <w:tblStyle w:val="4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0C3CBC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7048">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B658">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DB4E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4E9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7508">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证明</w:t>
            </w:r>
          </w:p>
          <w:p w14:paraId="2BDD4B2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材料</w:t>
            </w:r>
          </w:p>
        </w:tc>
      </w:tr>
      <w:tr w14:paraId="7E41C4E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E342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E76F">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6778A">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A12A">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43E6">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35444C6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95E2">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A6CD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0776">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8433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98BA">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2D8EE4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0FC7">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1A4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58C3">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331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ED9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138829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0192">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7C2F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D719">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1FE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CC411">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350749B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CF06">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687F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C251">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F624F">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79B1">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07C6F5C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C637">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27C1">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B648">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CE9A7">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4988">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4BC392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3B867">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0486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BF9C">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349BC">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AE76">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615C47A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30FF">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A6641">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539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343A">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DC23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bl>
    <w:p w14:paraId="7D05E1B0">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注：行数不够，可自行添加。</w:t>
      </w:r>
    </w:p>
    <w:p w14:paraId="1B4CE69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2C73CEC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4EEB276F">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2759421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p w14:paraId="3C1ACD0D">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63D25910">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62BE3CB9">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20084278">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3DF57108">
      <w:pPr>
        <w:pStyle w:val="39"/>
        <w:spacing w:beforeAutospacing="0" w:afterAutospacing="0"/>
        <w:jc w:val="both"/>
        <w:rPr>
          <w:rFonts w:hint="eastAsia" w:ascii="宋体" w:hAnsi="宋体" w:eastAsia="宋体" w:cs="宋体"/>
          <w:color w:val="auto"/>
        </w:rPr>
      </w:pPr>
    </w:p>
    <w:p w14:paraId="357CC866">
      <w:pPr>
        <w:pStyle w:val="39"/>
        <w:spacing w:beforeAutospacing="0" w:afterAutospacing="0"/>
        <w:jc w:val="both"/>
        <w:rPr>
          <w:rFonts w:hint="eastAsia" w:ascii="宋体" w:hAnsi="宋体" w:eastAsia="宋体" w:cs="宋体"/>
          <w:color w:val="auto"/>
        </w:rPr>
      </w:pPr>
    </w:p>
    <w:p w14:paraId="4A9F32C5">
      <w:pPr>
        <w:pStyle w:val="39"/>
        <w:spacing w:beforeAutospacing="0" w:afterAutospacing="0"/>
        <w:jc w:val="both"/>
        <w:rPr>
          <w:rFonts w:hint="eastAsia" w:ascii="宋体" w:hAnsi="宋体" w:eastAsia="宋体" w:cs="宋体"/>
          <w:color w:val="auto"/>
        </w:rPr>
      </w:pPr>
    </w:p>
    <w:p w14:paraId="3AA09A01">
      <w:pPr>
        <w:pStyle w:val="39"/>
        <w:spacing w:beforeAutospacing="0" w:afterAutospacing="0"/>
        <w:jc w:val="both"/>
        <w:rPr>
          <w:rFonts w:hint="eastAsia" w:ascii="宋体" w:hAnsi="宋体" w:eastAsia="宋体" w:cs="宋体"/>
          <w:color w:val="auto"/>
        </w:rPr>
      </w:pPr>
    </w:p>
    <w:p w14:paraId="367D06FA">
      <w:pPr>
        <w:pStyle w:val="39"/>
        <w:spacing w:beforeAutospacing="0" w:afterAutospacing="0"/>
        <w:jc w:val="both"/>
        <w:rPr>
          <w:rFonts w:hint="eastAsia" w:ascii="宋体" w:hAnsi="宋体" w:eastAsia="宋体" w:cs="宋体"/>
          <w:color w:val="auto"/>
        </w:rPr>
      </w:pPr>
    </w:p>
    <w:p w14:paraId="690FB204">
      <w:pPr>
        <w:pStyle w:val="39"/>
        <w:spacing w:beforeAutospacing="0" w:afterAutospacing="0"/>
        <w:jc w:val="both"/>
        <w:rPr>
          <w:rFonts w:hint="eastAsia" w:ascii="宋体" w:hAnsi="宋体" w:eastAsia="宋体" w:cs="宋体"/>
          <w:color w:val="auto"/>
        </w:rPr>
      </w:pPr>
    </w:p>
    <w:p w14:paraId="79405097">
      <w:pPr>
        <w:pStyle w:val="39"/>
        <w:spacing w:beforeAutospacing="0" w:afterAutospacing="0"/>
        <w:jc w:val="both"/>
        <w:rPr>
          <w:rFonts w:hint="eastAsia" w:ascii="宋体" w:hAnsi="宋体" w:eastAsia="宋体" w:cs="宋体"/>
          <w:color w:val="auto"/>
        </w:rPr>
      </w:pPr>
    </w:p>
    <w:p w14:paraId="0B568E8E">
      <w:pPr>
        <w:pStyle w:val="39"/>
        <w:spacing w:beforeAutospacing="0" w:afterAutospacing="0"/>
        <w:jc w:val="both"/>
        <w:rPr>
          <w:rFonts w:hint="eastAsia" w:ascii="宋体" w:hAnsi="宋体" w:eastAsia="宋体" w:cs="宋体"/>
          <w:color w:val="auto"/>
        </w:rPr>
      </w:pPr>
    </w:p>
    <w:p w14:paraId="59AE4BBF">
      <w:pPr>
        <w:pStyle w:val="39"/>
        <w:spacing w:beforeAutospacing="0" w:afterAutospacing="0"/>
        <w:jc w:val="both"/>
        <w:rPr>
          <w:rFonts w:hint="eastAsia" w:ascii="宋体" w:hAnsi="宋体" w:eastAsia="宋体" w:cs="宋体"/>
          <w:color w:val="auto"/>
        </w:rPr>
      </w:pPr>
    </w:p>
    <w:p w14:paraId="76D65164">
      <w:pPr>
        <w:pStyle w:val="39"/>
        <w:spacing w:beforeAutospacing="0" w:afterAutospacing="0"/>
        <w:jc w:val="both"/>
        <w:rPr>
          <w:rFonts w:hint="eastAsia" w:ascii="宋体" w:hAnsi="宋体" w:eastAsia="宋体" w:cs="宋体"/>
          <w:color w:val="auto"/>
        </w:rPr>
      </w:pPr>
    </w:p>
    <w:p w14:paraId="79C76A0C">
      <w:pPr>
        <w:pStyle w:val="39"/>
        <w:spacing w:beforeAutospacing="0" w:afterAutospacing="0"/>
        <w:jc w:val="both"/>
        <w:rPr>
          <w:rFonts w:hint="eastAsia" w:ascii="宋体" w:hAnsi="宋体" w:eastAsia="宋体" w:cs="宋体"/>
          <w:color w:val="auto"/>
        </w:rPr>
      </w:pPr>
    </w:p>
    <w:p w14:paraId="6AD02DB9">
      <w:pPr>
        <w:pStyle w:val="39"/>
        <w:spacing w:beforeAutospacing="0" w:afterAutospacing="0"/>
        <w:jc w:val="both"/>
        <w:rPr>
          <w:rFonts w:hint="eastAsia" w:ascii="宋体" w:hAnsi="宋体" w:eastAsia="宋体" w:cs="宋体"/>
          <w:color w:val="auto"/>
        </w:rPr>
      </w:pPr>
    </w:p>
    <w:p w14:paraId="42525AF0">
      <w:pPr>
        <w:pStyle w:val="39"/>
        <w:spacing w:beforeAutospacing="0" w:afterAutospacing="0"/>
        <w:jc w:val="both"/>
        <w:rPr>
          <w:rFonts w:hint="eastAsia" w:ascii="宋体" w:hAnsi="宋体" w:eastAsia="宋体" w:cs="宋体"/>
          <w:color w:val="auto"/>
        </w:rPr>
      </w:pPr>
    </w:p>
    <w:p w14:paraId="62B33A0E">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7574CB70">
      <w:pPr>
        <w:pStyle w:val="39"/>
        <w:spacing w:beforeAutospacing="0" w:afterAutospacing="0"/>
        <w:jc w:val="center"/>
        <w:outlineLvl w:val="1"/>
        <w:rPr>
          <w:rFonts w:hint="eastAsia" w:ascii="宋体" w:hAnsi="宋体" w:eastAsia="宋体" w:cs="宋体"/>
          <w:color w:val="auto"/>
        </w:rPr>
      </w:pPr>
      <w:bookmarkStart w:id="191" w:name="_Hlt26955054"/>
      <w:r>
        <w:rPr>
          <w:rFonts w:hint="eastAsia" w:ascii="宋体" w:hAnsi="宋体" w:eastAsia="宋体" w:cs="宋体"/>
          <w:b/>
          <w:color w:val="auto"/>
          <w:sz w:val="32"/>
          <w:szCs w:val="32"/>
        </w:rPr>
        <w:t>十三、商务要求响应及偏离表</w:t>
      </w:r>
    </w:p>
    <w:tbl>
      <w:tblPr>
        <w:tblStyle w:val="42"/>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676BE980">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35CC3">
            <w:pPr>
              <w:pStyle w:val="39"/>
              <w:spacing w:beforeAutospacing="0" w:afterAutospacing="0"/>
              <w:jc w:val="center"/>
              <w:rPr>
                <w:rFonts w:hint="eastAsia" w:ascii="宋体" w:hAnsi="宋体" w:eastAsia="宋体" w:cs="宋体"/>
                <w:color w:val="auto"/>
              </w:rPr>
            </w:pPr>
            <w:bookmarkStart w:id="192" w:name="_Hlt26782999"/>
            <w:bookmarkStart w:id="193" w:name="_Hlt26955056"/>
            <w:bookmarkStart w:id="194" w:name="_Hlt26955064"/>
            <w:bookmarkStart w:id="195" w:name="_Hlt24879081"/>
            <w:bookmarkStart w:id="196" w:name="_Hlt26671372"/>
            <w:bookmarkStart w:id="197" w:name="_Hlt26609391"/>
            <w:bookmarkStart w:id="198" w:name="_Hlt26580838"/>
            <w:bookmarkStart w:id="199" w:name="_Hlt26671343"/>
            <w:r>
              <w:rPr>
                <w:rFonts w:hint="eastAsia" w:ascii="宋体" w:hAnsi="宋体" w:eastAsia="宋体" w:cs="宋体"/>
                <w:color w:val="auto"/>
              </w:rPr>
              <w:t>序号</w:t>
            </w:r>
            <w:bookmarkEnd w:id="192"/>
            <w:bookmarkEnd w:id="193"/>
            <w:bookmarkEnd w:id="194"/>
            <w:bookmarkEnd w:id="195"/>
            <w:bookmarkEnd w:id="196"/>
            <w:bookmarkEnd w:id="197"/>
            <w:bookmarkEnd w:id="198"/>
            <w:bookmarkEnd w:id="199"/>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DB18">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1EB4">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CBEC">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0E5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证明</w:t>
            </w:r>
          </w:p>
          <w:p w14:paraId="596A120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材料</w:t>
            </w:r>
          </w:p>
        </w:tc>
      </w:tr>
      <w:tr w14:paraId="298592A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AE79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18F7">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ACF4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F7E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96184">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302F112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2CC8F">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DC89">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9A03">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CF7C">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BACC">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39257A2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1CF6">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199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83391">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DA522">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D9B3">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573249A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ECE02">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F8BE">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8E228">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ECB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C404">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31D955F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5058B">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92FFA">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ECBB">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7086">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EF2C">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4BCA485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0D5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856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0E40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79B97">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33782">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1AFCC15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822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98D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3F7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E455">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7E74">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r w14:paraId="47F9C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2356">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E5B1F">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04ABD">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7600">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98121">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w:t>
            </w:r>
          </w:p>
        </w:tc>
      </w:tr>
    </w:tbl>
    <w:p w14:paraId="6083E982">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注：行数不够，可自行添加。</w:t>
      </w:r>
    </w:p>
    <w:p w14:paraId="144538A2">
      <w:pPr>
        <w:pStyle w:val="39"/>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rPr>
        <w:t> </w:t>
      </w:r>
    </w:p>
    <w:p w14:paraId="7AAA373F">
      <w:pPr>
        <w:pStyle w:val="39"/>
        <w:spacing w:beforeAutospacing="0" w:afterAutospacing="0" w:line="480" w:lineRule="auto"/>
        <w:jc w:val="both"/>
        <w:rPr>
          <w:rFonts w:hint="eastAsia" w:ascii="宋体" w:hAnsi="宋体" w:eastAsia="宋体" w:cs="宋体"/>
          <w:color w:val="auto"/>
        </w:rPr>
      </w:pPr>
      <w:r>
        <w:rPr>
          <w:rFonts w:hint="eastAsia" w:ascii="宋体" w:hAnsi="宋体" w:eastAsia="宋体" w:cs="宋体"/>
          <w:color w:val="auto"/>
        </w:rPr>
        <w:t> </w:t>
      </w:r>
    </w:p>
    <w:p w14:paraId="1E85D9E8">
      <w:pPr>
        <w:pStyle w:val="39"/>
        <w:spacing w:beforeAutospacing="0" w:afterAutospacing="0"/>
        <w:jc w:val="center"/>
        <w:rPr>
          <w:rFonts w:hint="eastAsia" w:ascii="宋体" w:hAnsi="宋体" w:eastAsia="宋体" w:cs="宋体"/>
          <w:color w:val="auto"/>
        </w:rPr>
      </w:pPr>
      <w:bookmarkStart w:id="200" w:name="_Toc462564146"/>
      <w:bookmarkStart w:id="201" w:name="_格式2__法定代表人授权书"/>
      <w:bookmarkStart w:id="202" w:name="_Hlt26609389"/>
      <w:bookmarkStart w:id="203" w:name="_Hlt26955066"/>
      <w:bookmarkStart w:id="204" w:name="_Hlt26671374"/>
      <w:r>
        <w:rPr>
          <w:rFonts w:hint="eastAsia" w:ascii="宋体" w:hAnsi="宋体" w:eastAsia="宋体" w:cs="宋体"/>
          <w:color w:val="auto"/>
        </w:rPr>
        <w:t> </w:t>
      </w:r>
    </w:p>
    <w:p w14:paraId="1A95481F">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1B6C1FAE">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w:t>
      </w:r>
    </w:p>
    <w:p w14:paraId="5EC59514">
      <w:pPr>
        <w:pStyle w:val="39"/>
        <w:spacing w:beforeAutospacing="0" w:afterAutospacing="0"/>
        <w:jc w:val="both"/>
        <w:rPr>
          <w:rFonts w:hint="eastAsia" w:ascii="宋体" w:hAnsi="宋体" w:eastAsia="宋体" w:cs="宋体"/>
          <w:color w:val="auto"/>
        </w:rPr>
      </w:pPr>
    </w:p>
    <w:p w14:paraId="4794FBA2">
      <w:pPr>
        <w:pStyle w:val="39"/>
        <w:spacing w:beforeAutospacing="0" w:afterAutospacing="0"/>
        <w:jc w:val="both"/>
        <w:rPr>
          <w:rFonts w:hint="eastAsia" w:ascii="宋体" w:hAnsi="宋体" w:eastAsia="宋体" w:cs="宋体"/>
          <w:color w:val="auto"/>
        </w:rPr>
      </w:pPr>
    </w:p>
    <w:p w14:paraId="3E29F746">
      <w:pPr>
        <w:pStyle w:val="39"/>
        <w:spacing w:beforeAutospacing="0" w:afterAutospacing="0"/>
        <w:jc w:val="both"/>
        <w:rPr>
          <w:rFonts w:hint="eastAsia" w:ascii="宋体" w:hAnsi="宋体" w:eastAsia="宋体" w:cs="宋体"/>
          <w:color w:val="auto"/>
        </w:rPr>
      </w:pPr>
    </w:p>
    <w:p w14:paraId="7B158ADF">
      <w:pPr>
        <w:pStyle w:val="39"/>
        <w:spacing w:beforeAutospacing="0" w:afterAutospacing="0"/>
        <w:jc w:val="both"/>
        <w:rPr>
          <w:rFonts w:hint="eastAsia" w:ascii="宋体" w:hAnsi="宋体" w:eastAsia="宋体" w:cs="宋体"/>
          <w:color w:val="auto"/>
        </w:rPr>
      </w:pPr>
    </w:p>
    <w:p w14:paraId="05FA4077">
      <w:pPr>
        <w:pStyle w:val="39"/>
        <w:spacing w:beforeAutospacing="0" w:afterAutospacing="0"/>
        <w:jc w:val="both"/>
        <w:rPr>
          <w:rFonts w:hint="eastAsia" w:ascii="宋体" w:hAnsi="宋体" w:eastAsia="宋体" w:cs="宋体"/>
          <w:color w:val="auto"/>
        </w:rPr>
      </w:pPr>
    </w:p>
    <w:p w14:paraId="60D806F5">
      <w:pPr>
        <w:pStyle w:val="39"/>
        <w:spacing w:beforeAutospacing="0" w:afterAutospacing="0"/>
        <w:jc w:val="both"/>
        <w:rPr>
          <w:rFonts w:hint="eastAsia" w:ascii="宋体" w:hAnsi="宋体" w:eastAsia="宋体" w:cs="宋体"/>
          <w:color w:val="auto"/>
        </w:rPr>
      </w:pPr>
    </w:p>
    <w:p w14:paraId="79596978">
      <w:pPr>
        <w:pStyle w:val="39"/>
        <w:spacing w:beforeAutospacing="0" w:afterAutospacing="0"/>
        <w:jc w:val="both"/>
        <w:rPr>
          <w:rFonts w:hint="eastAsia" w:ascii="宋体" w:hAnsi="宋体" w:eastAsia="宋体" w:cs="宋体"/>
          <w:color w:val="auto"/>
        </w:rPr>
      </w:pPr>
    </w:p>
    <w:p w14:paraId="729E0C2C">
      <w:pPr>
        <w:pStyle w:val="39"/>
        <w:spacing w:beforeAutospacing="0" w:afterAutospacing="0"/>
        <w:jc w:val="both"/>
        <w:rPr>
          <w:rFonts w:hint="eastAsia" w:ascii="宋体" w:hAnsi="宋体" w:eastAsia="宋体" w:cs="宋体"/>
          <w:color w:val="auto"/>
        </w:rPr>
      </w:pPr>
    </w:p>
    <w:p w14:paraId="5278BA12">
      <w:pPr>
        <w:pStyle w:val="39"/>
        <w:spacing w:beforeAutospacing="0" w:afterAutospacing="0"/>
        <w:jc w:val="both"/>
        <w:rPr>
          <w:rFonts w:hint="eastAsia" w:ascii="宋体" w:hAnsi="宋体" w:eastAsia="宋体" w:cs="宋体"/>
          <w:color w:val="auto"/>
        </w:rPr>
      </w:pPr>
    </w:p>
    <w:p w14:paraId="3F5B21C6">
      <w:pPr>
        <w:pStyle w:val="39"/>
        <w:spacing w:beforeAutospacing="0" w:afterAutospacing="0"/>
        <w:jc w:val="both"/>
        <w:rPr>
          <w:rFonts w:hint="eastAsia" w:ascii="宋体" w:hAnsi="宋体" w:eastAsia="宋体" w:cs="宋体"/>
          <w:color w:val="auto"/>
        </w:rPr>
      </w:pPr>
    </w:p>
    <w:p w14:paraId="06F5B795">
      <w:pPr>
        <w:pStyle w:val="39"/>
        <w:spacing w:beforeAutospacing="0" w:afterAutospacing="0"/>
        <w:jc w:val="both"/>
        <w:rPr>
          <w:rFonts w:hint="eastAsia" w:ascii="宋体" w:hAnsi="宋体" w:eastAsia="宋体" w:cs="宋体"/>
          <w:color w:val="auto"/>
        </w:rPr>
      </w:pPr>
    </w:p>
    <w:p w14:paraId="44A0B5DF">
      <w:pPr>
        <w:pStyle w:val="39"/>
        <w:spacing w:beforeAutospacing="0" w:afterAutospacing="0"/>
        <w:jc w:val="both"/>
        <w:rPr>
          <w:rFonts w:hint="eastAsia" w:ascii="宋体" w:hAnsi="宋体" w:eastAsia="宋体" w:cs="宋体"/>
          <w:color w:val="auto"/>
        </w:rPr>
      </w:pPr>
    </w:p>
    <w:p w14:paraId="1A35AA74">
      <w:pPr>
        <w:pStyle w:val="39"/>
        <w:spacing w:beforeAutospacing="0" w:afterAutospacing="0"/>
        <w:jc w:val="both"/>
        <w:rPr>
          <w:rFonts w:hint="eastAsia" w:ascii="宋体" w:hAnsi="宋体" w:eastAsia="宋体" w:cs="宋体"/>
          <w:color w:val="auto"/>
        </w:rPr>
      </w:pPr>
    </w:p>
    <w:p w14:paraId="1B00E565">
      <w:pPr>
        <w:pStyle w:val="39"/>
        <w:spacing w:beforeAutospacing="0" w:afterAutospacing="0"/>
        <w:jc w:val="both"/>
        <w:rPr>
          <w:rFonts w:hint="eastAsia" w:ascii="宋体" w:hAnsi="宋体" w:eastAsia="宋体" w:cs="宋体"/>
          <w:color w:val="auto"/>
        </w:rPr>
      </w:pPr>
    </w:p>
    <w:p w14:paraId="0B82CC94">
      <w:pPr>
        <w:pStyle w:val="39"/>
        <w:spacing w:beforeAutospacing="0" w:afterAutospacing="0"/>
        <w:jc w:val="both"/>
        <w:rPr>
          <w:rFonts w:hint="eastAsia" w:ascii="宋体" w:hAnsi="宋体" w:eastAsia="宋体" w:cs="宋体"/>
          <w:color w:val="auto"/>
        </w:rPr>
      </w:pPr>
    </w:p>
    <w:p w14:paraId="242CB941">
      <w:pPr>
        <w:pStyle w:val="39"/>
        <w:spacing w:beforeAutospacing="0" w:afterAutospacing="0"/>
        <w:jc w:val="center"/>
        <w:outlineLvl w:val="1"/>
        <w:rPr>
          <w:rFonts w:hint="eastAsia" w:ascii="宋体" w:hAnsi="宋体" w:eastAsia="宋体" w:cs="宋体"/>
          <w:iCs/>
          <w:color w:val="auto"/>
        </w:rPr>
      </w:pPr>
      <w:r>
        <w:rPr>
          <w:rFonts w:hint="eastAsia" w:ascii="宋体" w:hAnsi="宋体" w:eastAsia="宋体" w:cs="宋体"/>
          <w:b/>
          <w:iCs/>
          <w:color w:val="auto"/>
          <w:sz w:val="32"/>
          <w:szCs w:val="32"/>
          <w:u w:val="single"/>
        </w:rPr>
        <w:t>十四、开标一览表</w:t>
      </w:r>
    </w:p>
    <w:p w14:paraId="18B4AB73">
      <w:pPr>
        <w:pStyle w:val="39"/>
        <w:spacing w:beforeAutospacing="0" w:afterAutospacing="0"/>
        <w:jc w:val="both"/>
        <w:rPr>
          <w:rFonts w:hint="eastAsia" w:ascii="宋体" w:hAnsi="宋体" w:eastAsia="宋体" w:cs="宋体"/>
          <w:color w:val="auto"/>
        </w:rPr>
      </w:pPr>
    </w:p>
    <w:tbl>
      <w:tblPr>
        <w:tblStyle w:val="42"/>
        <w:tblW w:w="9619"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05"/>
        <w:gridCol w:w="7414"/>
      </w:tblGrid>
      <w:tr w14:paraId="3EBDF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6" w:hRule="atLeast"/>
        </w:trPr>
        <w:tc>
          <w:tcPr>
            <w:tcW w:w="2205" w:type="dxa"/>
            <w:vAlign w:val="center"/>
          </w:tcPr>
          <w:p w14:paraId="130F9C09">
            <w:pPr>
              <w:jc w:val="center"/>
              <w:rPr>
                <w:rFonts w:hint="eastAsia" w:ascii="宋体" w:hAnsi="宋体" w:eastAsia="宋体" w:cs="宋体"/>
                <w:b/>
                <w:bCs/>
                <w:color w:val="auto"/>
                <w:sz w:val="24"/>
              </w:rPr>
            </w:pPr>
            <w:r>
              <w:rPr>
                <w:rFonts w:hint="eastAsia" w:ascii="宋体" w:hAnsi="宋体" w:eastAsia="宋体" w:cs="宋体"/>
                <w:b/>
                <w:bCs/>
                <w:color w:val="auto"/>
                <w:sz w:val="24"/>
              </w:rPr>
              <w:t>项 目 编 号</w:t>
            </w:r>
          </w:p>
        </w:tc>
        <w:tc>
          <w:tcPr>
            <w:tcW w:w="7414" w:type="dxa"/>
            <w:vAlign w:val="center"/>
          </w:tcPr>
          <w:p w14:paraId="106F100D">
            <w:pPr>
              <w:jc w:val="left"/>
              <w:rPr>
                <w:rFonts w:hint="default" w:ascii="宋体" w:hAnsi="宋体" w:eastAsia="宋体" w:cs="宋体"/>
                <w:b/>
                <w:bCs/>
                <w:color w:val="auto"/>
                <w:sz w:val="24"/>
                <w:lang w:val="en-US"/>
              </w:rPr>
            </w:pPr>
            <w:r>
              <w:rPr>
                <w:rFonts w:hint="default" w:ascii="宋体" w:hAnsi="宋体" w:eastAsia="宋体" w:cs="宋体"/>
                <w:b/>
                <w:bCs/>
                <w:color w:val="auto"/>
                <w:sz w:val="24"/>
                <w:lang w:val="en-US"/>
              </w:rPr>
              <w:t>JSZC-320903-YYHH-G2025-0001</w:t>
            </w:r>
          </w:p>
        </w:tc>
      </w:tr>
      <w:tr w14:paraId="66651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2" w:hRule="atLeast"/>
        </w:trPr>
        <w:tc>
          <w:tcPr>
            <w:tcW w:w="2205" w:type="dxa"/>
            <w:vAlign w:val="center"/>
          </w:tcPr>
          <w:p w14:paraId="5203894F">
            <w:pPr>
              <w:jc w:val="center"/>
              <w:rPr>
                <w:rFonts w:ascii="宋体" w:hAnsi="宋体" w:cs="宋体"/>
                <w:b/>
                <w:bCs/>
                <w:color w:val="auto"/>
                <w:sz w:val="24"/>
              </w:rPr>
            </w:pPr>
            <w:r>
              <w:rPr>
                <w:rFonts w:hint="eastAsia" w:ascii="宋体" w:hAnsi="宋体" w:cs="宋体"/>
                <w:b/>
                <w:bCs/>
                <w:color w:val="auto"/>
                <w:sz w:val="24"/>
              </w:rPr>
              <w:t>项 目 名 称</w:t>
            </w:r>
          </w:p>
        </w:tc>
        <w:tc>
          <w:tcPr>
            <w:tcW w:w="7414" w:type="dxa"/>
            <w:vAlign w:val="center"/>
          </w:tcPr>
          <w:p w14:paraId="6A1795EC">
            <w:pPr>
              <w:pStyle w:val="209"/>
              <w:jc w:val="both"/>
              <w:rPr>
                <w:rFonts w:hint="eastAsia" w:ascii="宋体" w:hAnsi="宋体" w:eastAsia="宋体" w:cs="Times New Roman"/>
                <w:b w:val="0"/>
                <w:bCs w:val="0"/>
                <w:color w:val="auto"/>
                <w:sz w:val="24"/>
                <w:szCs w:val="24"/>
                <w:lang w:eastAsia="zh-CN"/>
              </w:rPr>
            </w:pPr>
            <w:r>
              <w:rPr>
                <w:rFonts w:hint="eastAsia" w:ascii="宋体" w:hAnsi="宋体" w:eastAsia="宋体" w:cs="宋体"/>
                <w:bCs w:val="0"/>
                <w:color w:val="auto"/>
                <w:sz w:val="24"/>
                <w:szCs w:val="24"/>
                <w:lang w:eastAsia="zh-CN"/>
              </w:rPr>
              <w:t>盐都区高标准农田调查摸底上图入库全过程技术服务项目</w:t>
            </w:r>
          </w:p>
        </w:tc>
      </w:tr>
      <w:tr w14:paraId="05B29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7" w:hRule="atLeast"/>
        </w:trPr>
        <w:tc>
          <w:tcPr>
            <w:tcW w:w="9619" w:type="dxa"/>
            <w:gridSpan w:val="2"/>
            <w:vAlign w:val="center"/>
          </w:tcPr>
          <w:p w14:paraId="10681C20">
            <w:pPr>
              <w:rPr>
                <w:rFonts w:ascii="宋体" w:hAnsi="宋体" w:cs="宋体"/>
                <w:color w:val="auto"/>
                <w:sz w:val="24"/>
              </w:rPr>
            </w:pPr>
            <w:r>
              <w:rPr>
                <w:rFonts w:hint="eastAsia" w:ascii="宋体" w:hAnsi="宋体" w:cs="宋体"/>
                <w:b/>
                <w:bCs/>
                <w:color w:val="auto"/>
                <w:sz w:val="24"/>
              </w:rPr>
              <w:t>项目投标</w:t>
            </w:r>
            <w:r>
              <w:rPr>
                <w:rFonts w:hint="eastAsia" w:ascii="宋体" w:hAnsi="宋体" w:eastAsia="宋体" w:cs="宋体"/>
                <w:b/>
                <w:bCs/>
                <w:color w:val="auto"/>
                <w:sz w:val="24"/>
              </w:rPr>
              <w:t>总</w:t>
            </w:r>
            <w:r>
              <w:rPr>
                <w:rFonts w:hint="eastAsia" w:ascii="宋体" w:hAnsi="宋体" w:cs="宋体"/>
                <w:b/>
                <w:bCs/>
                <w:color w:val="auto"/>
                <w:sz w:val="24"/>
              </w:rPr>
              <w:t>报价：（大写）</w:t>
            </w:r>
            <w:r>
              <w:rPr>
                <w:rFonts w:hint="eastAsia" w:ascii="宋体" w:hAnsi="宋体" w:cs="宋体"/>
                <w:b/>
                <w:bCs/>
                <w:color w:val="auto"/>
                <w:sz w:val="24"/>
                <w:u w:val="single"/>
              </w:rPr>
              <w:t xml:space="preserve">                       </w:t>
            </w:r>
            <w:r>
              <w:rPr>
                <w:rFonts w:hint="eastAsia" w:ascii="宋体" w:hAnsi="宋体" w:cs="宋体"/>
                <w:b/>
                <w:bCs/>
                <w:color w:val="auto"/>
                <w:sz w:val="24"/>
              </w:rPr>
              <w:t>，小写：</w:t>
            </w:r>
            <w:r>
              <w:rPr>
                <w:rFonts w:hint="eastAsia" w:ascii="宋体" w:hAnsi="宋体" w:cs="宋体"/>
                <w:b/>
                <w:bCs/>
                <w:color w:val="auto"/>
                <w:sz w:val="24"/>
                <w:u w:val="single"/>
              </w:rPr>
              <w:t xml:space="preserve">                     </w:t>
            </w:r>
            <w:r>
              <w:rPr>
                <w:rFonts w:hint="eastAsia" w:ascii="宋体" w:hAnsi="宋体" w:cs="宋体"/>
                <w:b/>
                <w:bCs/>
                <w:color w:val="auto"/>
                <w:sz w:val="24"/>
              </w:rPr>
              <w:t xml:space="preserve"> </w:t>
            </w:r>
          </w:p>
        </w:tc>
      </w:tr>
      <w:tr w14:paraId="0A516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7" w:hRule="atLeast"/>
        </w:trPr>
        <w:tc>
          <w:tcPr>
            <w:tcW w:w="9619" w:type="dxa"/>
            <w:gridSpan w:val="2"/>
            <w:vAlign w:val="center"/>
          </w:tcPr>
          <w:p w14:paraId="42674818">
            <w:pPr>
              <w:rPr>
                <w:rFonts w:ascii="宋体" w:hAnsi="宋体" w:cs="宋体"/>
                <w:b/>
                <w:bCs/>
                <w:color w:val="auto"/>
                <w:sz w:val="24"/>
              </w:rPr>
            </w:pPr>
            <w:r>
              <w:rPr>
                <w:rFonts w:hint="eastAsia" w:ascii="宋体" w:hAnsi="宋体" w:cs="宋体"/>
                <w:b/>
                <w:bCs/>
                <w:color w:val="auto"/>
                <w:sz w:val="24"/>
              </w:rPr>
              <w:t>是否提供《企业类型声明函》：</w:t>
            </w:r>
            <w:r>
              <w:rPr>
                <w:rFonts w:hint="eastAsia" w:ascii="宋体" w:hAnsi="宋体" w:cs="宋体"/>
                <w:b/>
                <w:bCs/>
                <w:color w:val="auto"/>
                <w:sz w:val="24"/>
                <w:u w:val="single"/>
              </w:rPr>
              <w:t xml:space="preserve">  是/否   </w:t>
            </w:r>
            <w:r>
              <w:rPr>
                <w:rFonts w:hint="eastAsia" w:ascii="宋体" w:hAnsi="宋体" w:cs="宋体"/>
                <w:b/>
                <w:bCs/>
                <w:color w:val="auto"/>
                <w:sz w:val="24"/>
              </w:rPr>
              <w:t xml:space="preserve">           见</w:t>
            </w:r>
            <w:r>
              <w:rPr>
                <w:rFonts w:hint="eastAsia" w:ascii="宋体" w:hAnsi="宋体" w:cs="宋体"/>
                <w:b/>
                <w:bCs/>
                <w:color w:val="auto"/>
                <w:sz w:val="24"/>
                <w:u w:val="single"/>
              </w:rPr>
              <w:t>（          ）</w:t>
            </w:r>
            <w:r>
              <w:rPr>
                <w:rFonts w:hint="eastAsia" w:ascii="宋体" w:hAnsi="宋体" w:cs="宋体"/>
                <w:b/>
                <w:bCs/>
                <w:color w:val="auto"/>
                <w:sz w:val="24"/>
              </w:rPr>
              <w:t>页</w:t>
            </w:r>
          </w:p>
        </w:tc>
      </w:tr>
      <w:tr w14:paraId="77A69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2" w:hRule="atLeast"/>
        </w:trPr>
        <w:tc>
          <w:tcPr>
            <w:tcW w:w="9619" w:type="dxa"/>
            <w:gridSpan w:val="2"/>
            <w:vAlign w:val="center"/>
          </w:tcPr>
          <w:p w14:paraId="5C9EDF01">
            <w:pPr>
              <w:rPr>
                <w:rFonts w:ascii="宋体" w:hAnsi="宋体" w:cs="宋体"/>
                <w:b/>
                <w:bCs/>
                <w:color w:val="auto"/>
                <w:sz w:val="24"/>
              </w:rPr>
            </w:pPr>
            <w:r>
              <w:rPr>
                <w:rFonts w:hint="eastAsia" w:ascii="宋体" w:hAnsi="宋体" w:cs="宋体"/>
                <w:b/>
                <w:bCs/>
                <w:color w:val="auto"/>
                <w:sz w:val="24"/>
              </w:rPr>
              <w:t>合同履行期限：</w:t>
            </w:r>
          </w:p>
        </w:tc>
      </w:tr>
    </w:tbl>
    <w:p w14:paraId="2BE66D19">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sz w:val="24"/>
        </w:rPr>
      </w:pPr>
    </w:p>
    <w:p w14:paraId="6F430AD1">
      <w:pPr>
        <w:pBdr>
          <w:top w:val="none" w:color="000000" w:sz="0" w:space="0"/>
          <w:left w:val="none" w:color="000000" w:sz="0" w:space="0"/>
          <w:bottom w:val="none" w:color="000000" w:sz="0" w:space="0"/>
          <w:right w:val="none" w:color="000000" w:sz="0" w:space="0"/>
        </w:pBdr>
        <w:spacing w:line="499" w:lineRule="atLeast"/>
        <w:rPr>
          <w:color w:val="auto"/>
        </w:rPr>
      </w:pPr>
      <w:r>
        <w:rPr>
          <w:rFonts w:ascii="宋体" w:hAnsi="宋体" w:eastAsia="宋体" w:cs="宋体"/>
          <w:color w:val="auto"/>
          <w:sz w:val="24"/>
        </w:rPr>
        <w:t>填写说明：</w:t>
      </w:r>
    </w:p>
    <w:p w14:paraId="49F85AF8">
      <w:pPr>
        <w:numPr>
          <w:ilvl w:val="0"/>
          <w:numId w:val="1"/>
        </w:numPr>
        <w:pBdr>
          <w:top w:val="none" w:color="000000" w:sz="0" w:space="0"/>
          <w:left w:val="none" w:color="000000" w:sz="0" w:space="0"/>
          <w:bottom w:val="none" w:color="000000" w:sz="0" w:space="0"/>
          <w:right w:val="none" w:color="000000" w:sz="0" w:space="0"/>
        </w:pBdr>
        <w:spacing w:line="499" w:lineRule="atLeast"/>
        <w:rPr>
          <w:b/>
          <w:bCs/>
          <w:color w:val="auto"/>
        </w:rPr>
      </w:pPr>
      <w:r>
        <w:rPr>
          <w:rFonts w:ascii="宋体" w:hAnsi="宋体" w:eastAsia="宋体" w:cs="宋体"/>
          <w:b/>
          <w:bCs/>
          <w:color w:val="auto"/>
          <w:sz w:val="24"/>
        </w:rPr>
        <w:t>开标一览表不得填报选择性报价，否则将作为无效投标；</w:t>
      </w:r>
    </w:p>
    <w:p w14:paraId="311E0BBC">
      <w:pPr>
        <w:numPr>
          <w:ilvl w:val="0"/>
          <w:numId w:val="1"/>
        </w:numPr>
        <w:pBdr>
          <w:top w:val="none" w:color="000000" w:sz="0" w:space="0"/>
          <w:left w:val="none" w:color="000000" w:sz="0" w:space="0"/>
          <w:bottom w:val="none" w:color="000000" w:sz="0" w:space="0"/>
          <w:right w:val="none" w:color="000000" w:sz="0" w:space="0"/>
        </w:pBdr>
        <w:spacing w:line="499" w:lineRule="atLeast"/>
        <w:rPr>
          <w:color w:val="auto"/>
        </w:rPr>
      </w:pPr>
      <w:r>
        <w:rPr>
          <w:rFonts w:ascii="宋体" w:hAnsi="宋体" w:eastAsia="宋体" w:cs="宋体"/>
          <w:color w:val="auto"/>
          <w:sz w:val="24"/>
        </w:rPr>
        <w:t>开标一览表中报价与</w:t>
      </w:r>
      <w:r>
        <w:rPr>
          <w:rFonts w:hint="eastAsia" w:ascii="宋体" w:hAnsi="宋体" w:eastAsia="宋体" w:cs="宋体"/>
          <w:color w:val="auto"/>
          <w:sz w:val="24"/>
        </w:rPr>
        <w:t>分项</w:t>
      </w:r>
      <w:r>
        <w:rPr>
          <w:rFonts w:ascii="宋体" w:hAnsi="宋体" w:eastAsia="宋体" w:cs="宋体"/>
          <w:color w:val="auto"/>
          <w:sz w:val="24"/>
        </w:rPr>
        <w:t>报价清单中不符时，以开标一览表为准；</w:t>
      </w:r>
    </w:p>
    <w:p w14:paraId="7021C08C">
      <w:pPr>
        <w:pBdr>
          <w:top w:val="none" w:color="000000" w:sz="0" w:space="0"/>
          <w:left w:val="none" w:color="000000" w:sz="0" w:space="0"/>
          <w:bottom w:val="none" w:color="000000" w:sz="0" w:space="0"/>
          <w:right w:val="none" w:color="000000" w:sz="0" w:space="0"/>
        </w:pBdr>
        <w:spacing w:line="499" w:lineRule="atLeast"/>
        <w:ind w:firstLine="1440"/>
        <w:rPr>
          <w:color w:val="auto"/>
        </w:rPr>
      </w:pPr>
      <w:r>
        <w:rPr>
          <w:rFonts w:ascii="宋体" w:hAnsi="宋体" w:eastAsia="宋体" w:cs="宋体"/>
          <w:color w:val="auto"/>
          <w:sz w:val="24"/>
        </w:rPr>
        <w:t> </w:t>
      </w:r>
    </w:p>
    <w:p w14:paraId="11FD18D1">
      <w:pPr>
        <w:pBdr>
          <w:top w:val="none" w:color="000000" w:sz="0" w:space="0"/>
          <w:left w:val="none" w:color="000000" w:sz="0" w:space="0"/>
          <w:bottom w:val="none" w:color="000000" w:sz="0" w:space="0"/>
          <w:right w:val="none" w:color="000000" w:sz="0" w:space="0"/>
        </w:pBdr>
        <w:spacing w:line="499" w:lineRule="atLeast"/>
        <w:rPr>
          <w:color w:val="auto"/>
        </w:rPr>
      </w:pPr>
      <w:r>
        <w:rPr>
          <w:rFonts w:ascii="宋体" w:hAnsi="宋体" w:eastAsia="宋体" w:cs="宋体"/>
          <w:color w:val="auto"/>
          <w:sz w:val="24"/>
        </w:rPr>
        <w:t> </w:t>
      </w:r>
    </w:p>
    <w:p w14:paraId="0050CC19">
      <w:pPr>
        <w:pBdr>
          <w:top w:val="none" w:color="000000" w:sz="0" w:space="0"/>
          <w:left w:val="none" w:color="000000" w:sz="0" w:space="0"/>
          <w:bottom w:val="none" w:color="000000" w:sz="0" w:space="0"/>
          <w:right w:val="none" w:color="000000" w:sz="0" w:space="0"/>
        </w:pBdr>
        <w:spacing w:line="499" w:lineRule="atLeast"/>
        <w:rPr>
          <w:color w:val="auto"/>
        </w:rPr>
      </w:pPr>
      <w:r>
        <w:rPr>
          <w:rFonts w:ascii="宋体" w:hAnsi="宋体" w:eastAsia="宋体" w:cs="宋体"/>
          <w:color w:val="auto"/>
          <w:sz w:val="24"/>
        </w:rPr>
        <w:t> </w:t>
      </w:r>
    </w:p>
    <w:p w14:paraId="2E259CC9">
      <w:pPr>
        <w:pStyle w:val="39"/>
        <w:spacing w:beforeAutospacing="0" w:afterAutospacing="0"/>
        <w:jc w:val="center"/>
        <w:rPr>
          <w:rFonts w:hint="eastAsia" w:ascii="宋体" w:hAnsi="宋体" w:eastAsia="宋体" w:cs="宋体"/>
          <w:color w:val="auto"/>
        </w:rPr>
      </w:pPr>
      <w:r>
        <w:rPr>
          <w:rFonts w:hint="eastAsia" w:ascii="宋体" w:hAnsi="宋体" w:eastAsia="宋体" w:cs="宋体"/>
          <w:color w:val="auto"/>
        </w:rPr>
        <w:t xml:space="preserve">                            投标人全称（加盖CA电子签章）：</w:t>
      </w:r>
    </w:p>
    <w:p w14:paraId="06A6931D">
      <w:pPr>
        <w:pBdr>
          <w:top w:val="none" w:color="000000" w:sz="0" w:space="0"/>
          <w:left w:val="none" w:color="000000" w:sz="0" w:space="0"/>
          <w:bottom w:val="none" w:color="000000" w:sz="0" w:space="0"/>
          <w:right w:val="none" w:color="000000" w:sz="0" w:space="0"/>
        </w:pBdr>
        <w:spacing w:line="113" w:lineRule="atLeast"/>
        <w:ind w:firstLine="4320"/>
        <w:rPr>
          <w:rFonts w:hint="eastAsia" w:ascii="新宋体" w:hAnsi="新宋体" w:eastAsia="新宋体" w:cs="新宋体"/>
          <w:color w:val="auto"/>
          <w:sz w:val="24"/>
        </w:rPr>
      </w:pPr>
    </w:p>
    <w:p w14:paraId="081B0C61">
      <w:pPr>
        <w:pBdr>
          <w:top w:val="none" w:color="000000" w:sz="0" w:space="0"/>
          <w:left w:val="none" w:color="000000" w:sz="0" w:space="0"/>
          <w:bottom w:val="none" w:color="000000" w:sz="0" w:space="0"/>
          <w:right w:val="none" w:color="000000" w:sz="0" w:space="0"/>
        </w:pBdr>
        <w:spacing w:line="113" w:lineRule="atLeast"/>
        <w:ind w:firstLine="4320"/>
        <w:rPr>
          <w:color w:val="auto"/>
        </w:rPr>
      </w:pPr>
      <w:r>
        <w:rPr>
          <w:rFonts w:ascii="新宋体" w:hAnsi="新宋体" w:eastAsia="新宋体" w:cs="新宋体"/>
          <w:color w:val="auto"/>
          <w:sz w:val="24"/>
        </w:rPr>
        <w:t>法定代表人或授权代表（签字或盖章）：</w:t>
      </w:r>
    </w:p>
    <w:p w14:paraId="569B305C">
      <w:pPr>
        <w:pBdr>
          <w:top w:val="none" w:color="000000" w:sz="0" w:space="0"/>
          <w:left w:val="none" w:color="000000" w:sz="0" w:space="0"/>
          <w:bottom w:val="none" w:color="000000" w:sz="0" w:space="0"/>
          <w:right w:val="none" w:color="000000" w:sz="0" w:space="0"/>
        </w:pBdr>
        <w:spacing w:line="113" w:lineRule="atLeast"/>
        <w:ind w:firstLine="645"/>
        <w:rPr>
          <w:rFonts w:hint="eastAsia" w:ascii="新宋体" w:hAnsi="新宋体" w:eastAsia="新宋体" w:cs="新宋体"/>
          <w:color w:val="auto"/>
          <w:sz w:val="24"/>
        </w:rPr>
      </w:pPr>
      <w:r>
        <w:rPr>
          <w:rFonts w:ascii="新宋体" w:hAnsi="新宋体" w:eastAsia="新宋体" w:cs="新宋体"/>
          <w:color w:val="auto"/>
          <w:sz w:val="24"/>
        </w:rPr>
        <w:t>               </w:t>
      </w:r>
      <w:r>
        <w:rPr>
          <w:rFonts w:hint="eastAsia" w:ascii="新宋体" w:hAnsi="新宋体" w:eastAsia="新宋体" w:cs="新宋体"/>
          <w:color w:val="auto"/>
          <w:sz w:val="24"/>
        </w:rPr>
        <w:t xml:space="preserve"> </w:t>
      </w:r>
    </w:p>
    <w:p w14:paraId="4C32FCB3">
      <w:pPr>
        <w:pBdr>
          <w:top w:val="none" w:color="000000" w:sz="0" w:space="0"/>
          <w:left w:val="none" w:color="000000" w:sz="0" w:space="0"/>
          <w:bottom w:val="none" w:color="000000" w:sz="0" w:space="0"/>
          <w:right w:val="none" w:color="000000" w:sz="0" w:space="0"/>
        </w:pBdr>
        <w:spacing w:line="113" w:lineRule="atLeast"/>
        <w:ind w:firstLine="976" w:firstLineChars="407"/>
        <w:jc w:val="center"/>
        <w:rPr>
          <w:color w:val="auto"/>
        </w:rPr>
      </w:pPr>
      <w:r>
        <w:rPr>
          <w:rFonts w:hint="eastAsia" w:ascii="新宋体" w:hAnsi="新宋体" w:eastAsia="新宋体" w:cs="新宋体"/>
          <w:color w:val="auto"/>
          <w:sz w:val="24"/>
        </w:rPr>
        <w:t xml:space="preserve">       </w:t>
      </w:r>
      <w:r>
        <w:rPr>
          <w:rFonts w:ascii="新宋体" w:hAnsi="新宋体" w:eastAsia="新宋体" w:cs="新宋体"/>
          <w:color w:val="auto"/>
          <w:sz w:val="24"/>
        </w:rPr>
        <w:t>日期：</w:t>
      </w:r>
      <w:r>
        <w:rPr>
          <w:rFonts w:hint="eastAsia" w:ascii="新宋体" w:hAnsi="新宋体" w:eastAsia="新宋体" w:cs="新宋体"/>
          <w:color w:val="auto"/>
          <w:sz w:val="24"/>
        </w:rPr>
        <w:t xml:space="preserve">  </w:t>
      </w:r>
      <w:r>
        <w:rPr>
          <w:rFonts w:ascii="新宋体" w:hAnsi="新宋体" w:eastAsia="新宋体" w:cs="新宋体"/>
          <w:color w:val="auto"/>
          <w:sz w:val="24"/>
        </w:rPr>
        <w:t>年</w:t>
      </w:r>
      <w:r>
        <w:rPr>
          <w:rFonts w:hint="eastAsia" w:ascii="新宋体" w:hAnsi="新宋体" w:eastAsia="新宋体" w:cs="新宋体"/>
          <w:color w:val="auto"/>
          <w:sz w:val="24"/>
        </w:rPr>
        <w:t xml:space="preserve">  </w:t>
      </w:r>
      <w:r>
        <w:rPr>
          <w:rFonts w:ascii="新宋体" w:hAnsi="新宋体" w:eastAsia="新宋体" w:cs="新宋体"/>
          <w:color w:val="auto"/>
          <w:sz w:val="24"/>
        </w:rPr>
        <w:t>月</w:t>
      </w:r>
      <w:r>
        <w:rPr>
          <w:rFonts w:hint="eastAsia" w:ascii="新宋体" w:hAnsi="新宋体" w:eastAsia="新宋体" w:cs="新宋体"/>
          <w:color w:val="auto"/>
          <w:sz w:val="24"/>
        </w:rPr>
        <w:t xml:space="preserve">   </w:t>
      </w:r>
      <w:r>
        <w:rPr>
          <w:rFonts w:ascii="新宋体" w:hAnsi="新宋体" w:eastAsia="新宋体" w:cs="新宋体"/>
          <w:color w:val="auto"/>
          <w:sz w:val="24"/>
        </w:rPr>
        <w:t>日</w:t>
      </w:r>
    </w:p>
    <w:p w14:paraId="2E2CC9CA">
      <w:pPr>
        <w:pStyle w:val="39"/>
        <w:spacing w:beforeAutospacing="0" w:afterAutospacing="0"/>
        <w:jc w:val="center"/>
        <w:rPr>
          <w:rFonts w:hint="eastAsia" w:ascii="宋体" w:hAnsi="宋体" w:eastAsia="宋体" w:cs="宋体"/>
          <w:color w:val="auto"/>
        </w:rPr>
      </w:pPr>
    </w:p>
    <w:p w14:paraId="5C23AE10">
      <w:pPr>
        <w:widowControl/>
        <w:spacing w:before="50" w:after="50"/>
        <w:jc w:val="center"/>
        <w:rPr>
          <w:rFonts w:hint="eastAsia" w:ascii="宋体" w:hAnsi="宋体" w:eastAsia="宋体" w:cs="宋体"/>
          <w:color w:val="auto"/>
        </w:rPr>
      </w:pPr>
      <w:r>
        <w:rPr>
          <w:rFonts w:hint="eastAsia" w:ascii="宋体" w:hAnsi="宋体" w:eastAsia="宋体" w:cs="宋体"/>
          <w:color w:val="auto"/>
        </w:rPr>
        <w:tab/>
      </w:r>
    </w:p>
    <w:p w14:paraId="10E7B339">
      <w:pPr>
        <w:widowControl/>
        <w:spacing w:before="50" w:after="50"/>
        <w:jc w:val="center"/>
        <w:rPr>
          <w:rFonts w:hint="eastAsia" w:ascii="宋体" w:hAnsi="宋体" w:eastAsia="宋体" w:cs="宋体"/>
          <w:color w:val="auto"/>
        </w:rPr>
      </w:pPr>
    </w:p>
    <w:p w14:paraId="0DCF656D">
      <w:pPr>
        <w:widowControl/>
        <w:spacing w:before="50" w:after="50"/>
        <w:jc w:val="center"/>
        <w:rPr>
          <w:rFonts w:hint="eastAsia" w:ascii="宋体" w:hAnsi="宋体" w:eastAsia="宋体" w:cs="宋体"/>
          <w:color w:val="auto"/>
        </w:rPr>
      </w:pPr>
    </w:p>
    <w:p w14:paraId="1AABABCD">
      <w:pPr>
        <w:widowControl/>
        <w:spacing w:before="50" w:after="50"/>
        <w:jc w:val="center"/>
        <w:rPr>
          <w:rFonts w:hint="eastAsia" w:ascii="宋体" w:hAnsi="宋体" w:eastAsia="宋体" w:cs="宋体"/>
          <w:color w:val="auto"/>
        </w:rPr>
      </w:pPr>
    </w:p>
    <w:p w14:paraId="5DBFC5D1">
      <w:pPr>
        <w:widowControl/>
        <w:spacing w:before="50" w:after="50"/>
        <w:jc w:val="center"/>
        <w:rPr>
          <w:rFonts w:hint="eastAsia" w:ascii="宋体" w:hAnsi="宋体" w:eastAsia="宋体" w:cs="宋体"/>
          <w:color w:val="auto"/>
        </w:rPr>
      </w:pPr>
    </w:p>
    <w:p w14:paraId="30C36178">
      <w:pPr>
        <w:widowControl/>
        <w:spacing w:before="50" w:after="50"/>
        <w:jc w:val="center"/>
        <w:rPr>
          <w:rFonts w:hint="eastAsia" w:ascii="宋体" w:hAnsi="宋体" w:eastAsia="宋体" w:cs="宋体"/>
          <w:color w:val="auto"/>
        </w:rPr>
      </w:pPr>
    </w:p>
    <w:p w14:paraId="35E65E04">
      <w:pPr>
        <w:widowControl/>
        <w:spacing w:before="50" w:after="50"/>
        <w:jc w:val="center"/>
        <w:rPr>
          <w:rFonts w:hint="eastAsia" w:ascii="宋体" w:hAnsi="宋体" w:eastAsia="宋体" w:cs="宋体"/>
          <w:color w:val="auto"/>
        </w:rPr>
      </w:pPr>
    </w:p>
    <w:p w14:paraId="14724D10">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p>
    <w:p w14:paraId="0F4F8BEB">
      <w:pPr>
        <w:pStyle w:val="41"/>
        <w:ind w:left="0" w:firstLine="0"/>
        <w:jc w:val="center"/>
        <w:outlineLvl w:val="1"/>
        <w:rPr>
          <w:rFonts w:hint="eastAsia" w:ascii="宋体" w:hAnsi="宋体" w:eastAsia="宋体" w:cs="宋体"/>
          <w:b/>
          <w:color w:val="auto"/>
          <w:sz w:val="32"/>
          <w:szCs w:val="32"/>
        </w:rPr>
      </w:pPr>
      <w:r>
        <w:rPr>
          <w:rFonts w:hint="eastAsia" w:ascii="宋体" w:hAnsi="宋体" w:eastAsia="宋体" w:cs="宋体"/>
          <w:b/>
          <w:color w:val="auto"/>
          <w:sz w:val="32"/>
          <w:szCs w:val="32"/>
        </w:rPr>
        <w:t>十五、项目团队人员一览表</w:t>
      </w:r>
    </w:p>
    <w:p w14:paraId="12307F93">
      <w:pPr>
        <w:pStyle w:val="41"/>
        <w:ind w:left="0" w:firstLine="0"/>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项目名称：</w:t>
      </w:r>
      <w:r>
        <w:rPr>
          <w:rFonts w:hint="eastAsia" w:ascii="宋体" w:hAnsi="宋体" w:eastAsia="宋体" w:cs="宋体"/>
          <w:b/>
          <w:color w:val="auto"/>
          <w:sz w:val="24"/>
          <w:szCs w:val="24"/>
          <w:lang w:eastAsia="zh-CN"/>
        </w:rPr>
        <w:t>盐都区高标准农田调查摸底上图入库全过程技术服务项目</w:t>
      </w:r>
    </w:p>
    <w:tbl>
      <w:tblPr>
        <w:tblStyle w:val="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6"/>
        <w:gridCol w:w="2154"/>
        <w:gridCol w:w="3334"/>
        <w:gridCol w:w="2384"/>
      </w:tblGrid>
      <w:tr w14:paraId="1C73B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300" w:type="dxa"/>
            <w:vAlign w:val="center"/>
          </w:tcPr>
          <w:p w14:paraId="21167D68">
            <w:pPr>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1976" w:type="dxa"/>
            <w:vAlign w:val="center"/>
          </w:tcPr>
          <w:p w14:paraId="48BD5123">
            <w:pPr>
              <w:jc w:val="center"/>
              <w:rPr>
                <w:rFonts w:hint="eastAsia" w:ascii="宋体" w:hAnsi="宋体" w:eastAsia="宋体" w:cs="宋体"/>
                <w:color w:val="auto"/>
                <w:sz w:val="24"/>
              </w:rPr>
            </w:pPr>
            <w:r>
              <w:rPr>
                <w:rFonts w:hint="eastAsia" w:ascii="宋体" w:hAnsi="宋体" w:eastAsia="宋体" w:cs="宋体"/>
                <w:color w:val="auto"/>
                <w:sz w:val="24"/>
              </w:rPr>
              <w:t>本项目拟担任职务</w:t>
            </w:r>
          </w:p>
        </w:tc>
        <w:tc>
          <w:tcPr>
            <w:tcW w:w="3059" w:type="dxa"/>
            <w:vAlign w:val="center"/>
          </w:tcPr>
          <w:p w14:paraId="206D89C7">
            <w:pPr>
              <w:jc w:val="center"/>
              <w:rPr>
                <w:rFonts w:hint="eastAsia" w:ascii="宋体" w:hAnsi="宋体" w:eastAsia="宋体" w:cs="宋体"/>
                <w:color w:val="auto"/>
                <w:sz w:val="24"/>
              </w:rPr>
            </w:pPr>
            <w:r>
              <w:rPr>
                <w:rFonts w:hint="eastAsia" w:ascii="宋体" w:hAnsi="宋体" w:eastAsia="宋体" w:cs="宋体"/>
                <w:color w:val="auto"/>
                <w:sz w:val="24"/>
              </w:rPr>
              <w:t>技术职称、专业资质</w:t>
            </w:r>
          </w:p>
        </w:tc>
        <w:tc>
          <w:tcPr>
            <w:tcW w:w="2187" w:type="dxa"/>
            <w:vAlign w:val="center"/>
          </w:tcPr>
          <w:p w14:paraId="5E718B11">
            <w:pPr>
              <w:jc w:val="center"/>
              <w:rPr>
                <w:rFonts w:hint="eastAsia" w:ascii="宋体" w:hAnsi="宋体" w:eastAsia="宋体" w:cs="宋体"/>
                <w:color w:val="auto"/>
                <w:sz w:val="24"/>
              </w:rPr>
            </w:pPr>
            <w:r>
              <w:rPr>
                <w:rFonts w:hint="eastAsia" w:ascii="宋体" w:hAnsi="宋体" w:eastAsia="宋体" w:cs="宋体"/>
                <w:color w:val="auto"/>
                <w:sz w:val="24"/>
              </w:rPr>
              <w:t>主要资历及担任过的职务</w:t>
            </w:r>
          </w:p>
        </w:tc>
      </w:tr>
      <w:tr w14:paraId="22534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247475C2">
            <w:pPr>
              <w:jc w:val="center"/>
              <w:rPr>
                <w:rFonts w:hint="eastAsia" w:ascii="宋体" w:hAnsi="宋体" w:eastAsia="宋体" w:cs="宋体"/>
                <w:color w:val="auto"/>
                <w:sz w:val="24"/>
              </w:rPr>
            </w:pPr>
          </w:p>
        </w:tc>
        <w:tc>
          <w:tcPr>
            <w:tcW w:w="1976" w:type="dxa"/>
            <w:vAlign w:val="center"/>
          </w:tcPr>
          <w:p w14:paraId="36CF1276">
            <w:pPr>
              <w:jc w:val="center"/>
              <w:rPr>
                <w:rFonts w:hint="eastAsia" w:ascii="宋体" w:hAnsi="宋体" w:eastAsia="宋体" w:cs="宋体"/>
                <w:color w:val="auto"/>
                <w:sz w:val="24"/>
              </w:rPr>
            </w:pPr>
          </w:p>
        </w:tc>
        <w:tc>
          <w:tcPr>
            <w:tcW w:w="3059" w:type="dxa"/>
          </w:tcPr>
          <w:p w14:paraId="3C124804">
            <w:pPr>
              <w:jc w:val="center"/>
              <w:rPr>
                <w:rFonts w:hint="eastAsia" w:ascii="宋体" w:hAnsi="宋体" w:eastAsia="宋体" w:cs="宋体"/>
                <w:color w:val="auto"/>
                <w:sz w:val="24"/>
              </w:rPr>
            </w:pPr>
          </w:p>
        </w:tc>
        <w:tc>
          <w:tcPr>
            <w:tcW w:w="2187" w:type="dxa"/>
            <w:vAlign w:val="center"/>
          </w:tcPr>
          <w:p w14:paraId="1993868F">
            <w:pPr>
              <w:jc w:val="center"/>
              <w:rPr>
                <w:rFonts w:hint="eastAsia" w:ascii="宋体" w:hAnsi="宋体" w:eastAsia="宋体" w:cs="宋体"/>
                <w:color w:val="auto"/>
                <w:sz w:val="24"/>
              </w:rPr>
            </w:pPr>
          </w:p>
        </w:tc>
      </w:tr>
      <w:tr w14:paraId="442D8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4B28D090">
            <w:pPr>
              <w:jc w:val="center"/>
              <w:rPr>
                <w:rFonts w:hint="eastAsia" w:ascii="宋体" w:hAnsi="宋体" w:eastAsia="宋体" w:cs="宋体"/>
                <w:color w:val="auto"/>
                <w:sz w:val="24"/>
              </w:rPr>
            </w:pPr>
          </w:p>
        </w:tc>
        <w:tc>
          <w:tcPr>
            <w:tcW w:w="1976" w:type="dxa"/>
            <w:vAlign w:val="center"/>
          </w:tcPr>
          <w:p w14:paraId="25DEFC46">
            <w:pPr>
              <w:jc w:val="center"/>
              <w:rPr>
                <w:rFonts w:hint="eastAsia" w:ascii="宋体" w:hAnsi="宋体" w:eastAsia="宋体" w:cs="宋体"/>
                <w:color w:val="auto"/>
                <w:sz w:val="24"/>
              </w:rPr>
            </w:pPr>
          </w:p>
        </w:tc>
        <w:tc>
          <w:tcPr>
            <w:tcW w:w="3059" w:type="dxa"/>
          </w:tcPr>
          <w:p w14:paraId="6E6AA2B6">
            <w:pPr>
              <w:jc w:val="center"/>
              <w:rPr>
                <w:rFonts w:hint="eastAsia" w:ascii="宋体" w:hAnsi="宋体" w:eastAsia="宋体" w:cs="宋体"/>
                <w:color w:val="auto"/>
                <w:sz w:val="24"/>
              </w:rPr>
            </w:pPr>
          </w:p>
        </w:tc>
        <w:tc>
          <w:tcPr>
            <w:tcW w:w="2187" w:type="dxa"/>
            <w:vAlign w:val="center"/>
          </w:tcPr>
          <w:p w14:paraId="6FD961CD">
            <w:pPr>
              <w:jc w:val="center"/>
              <w:rPr>
                <w:rFonts w:hint="eastAsia" w:ascii="宋体" w:hAnsi="宋体" w:eastAsia="宋体" w:cs="宋体"/>
                <w:color w:val="auto"/>
                <w:sz w:val="24"/>
              </w:rPr>
            </w:pPr>
          </w:p>
        </w:tc>
      </w:tr>
      <w:tr w14:paraId="70FBE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3DE5ED90">
            <w:pPr>
              <w:jc w:val="center"/>
              <w:rPr>
                <w:rFonts w:hint="eastAsia" w:ascii="宋体" w:hAnsi="宋体" w:eastAsia="宋体" w:cs="宋体"/>
                <w:color w:val="auto"/>
                <w:sz w:val="24"/>
              </w:rPr>
            </w:pPr>
          </w:p>
        </w:tc>
        <w:tc>
          <w:tcPr>
            <w:tcW w:w="1976" w:type="dxa"/>
            <w:vAlign w:val="center"/>
          </w:tcPr>
          <w:p w14:paraId="37F05552">
            <w:pPr>
              <w:jc w:val="center"/>
              <w:rPr>
                <w:rFonts w:hint="eastAsia" w:ascii="宋体" w:hAnsi="宋体" w:eastAsia="宋体" w:cs="宋体"/>
                <w:color w:val="auto"/>
                <w:sz w:val="24"/>
              </w:rPr>
            </w:pPr>
          </w:p>
        </w:tc>
        <w:tc>
          <w:tcPr>
            <w:tcW w:w="3059" w:type="dxa"/>
          </w:tcPr>
          <w:p w14:paraId="224126CA">
            <w:pPr>
              <w:jc w:val="center"/>
              <w:rPr>
                <w:rFonts w:hint="eastAsia" w:ascii="宋体" w:hAnsi="宋体" w:eastAsia="宋体" w:cs="宋体"/>
                <w:color w:val="auto"/>
                <w:sz w:val="24"/>
              </w:rPr>
            </w:pPr>
          </w:p>
        </w:tc>
        <w:tc>
          <w:tcPr>
            <w:tcW w:w="2187" w:type="dxa"/>
            <w:vAlign w:val="center"/>
          </w:tcPr>
          <w:p w14:paraId="2C9C70E4">
            <w:pPr>
              <w:jc w:val="center"/>
              <w:rPr>
                <w:rFonts w:hint="eastAsia" w:ascii="宋体" w:hAnsi="宋体" w:eastAsia="宋体" w:cs="宋体"/>
                <w:color w:val="auto"/>
                <w:sz w:val="24"/>
              </w:rPr>
            </w:pPr>
          </w:p>
        </w:tc>
      </w:tr>
      <w:tr w14:paraId="6B412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573B5B37">
            <w:pPr>
              <w:jc w:val="center"/>
              <w:rPr>
                <w:rFonts w:hint="eastAsia" w:ascii="宋体" w:hAnsi="宋体" w:eastAsia="宋体" w:cs="宋体"/>
                <w:color w:val="auto"/>
                <w:sz w:val="24"/>
              </w:rPr>
            </w:pPr>
          </w:p>
        </w:tc>
        <w:tc>
          <w:tcPr>
            <w:tcW w:w="1976" w:type="dxa"/>
            <w:vAlign w:val="center"/>
          </w:tcPr>
          <w:p w14:paraId="2C3A6EC9">
            <w:pPr>
              <w:jc w:val="center"/>
              <w:rPr>
                <w:rFonts w:hint="eastAsia" w:ascii="宋体" w:hAnsi="宋体" w:eastAsia="宋体" w:cs="宋体"/>
                <w:color w:val="auto"/>
                <w:sz w:val="24"/>
              </w:rPr>
            </w:pPr>
          </w:p>
        </w:tc>
        <w:tc>
          <w:tcPr>
            <w:tcW w:w="3059" w:type="dxa"/>
          </w:tcPr>
          <w:p w14:paraId="5A0BA74B">
            <w:pPr>
              <w:jc w:val="center"/>
              <w:rPr>
                <w:rFonts w:hint="eastAsia" w:ascii="宋体" w:hAnsi="宋体" w:eastAsia="宋体" w:cs="宋体"/>
                <w:color w:val="auto"/>
                <w:sz w:val="24"/>
              </w:rPr>
            </w:pPr>
          </w:p>
        </w:tc>
        <w:tc>
          <w:tcPr>
            <w:tcW w:w="2187" w:type="dxa"/>
            <w:vAlign w:val="center"/>
          </w:tcPr>
          <w:p w14:paraId="175623DF">
            <w:pPr>
              <w:jc w:val="center"/>
              <w:rPr>
                <w:rFonts w:hint="eastAsia" w:ascii="宋体" w:hAnsi="宋体" w:eastAsia="宋体" w:cs="宋体"/>
                <w:color w:val="auto"/>
                <w:sz w:val="24"/>
              </w:rPr>
            </w:pPr>
          </w:p>
        </w:tc>
      </w:tr>
      <w:tr w14:paraId="7A770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2DFBA5E9">
            <w:pPr>
              <w:jc w:val="center"/>
              <w:rPr>
                <w:rFonts w:hint="eastAsia" w:ascii="宋体" w:hAnsi="宋体" w:eastAsia="宋体" w:cs="宋体"/>
                <w:color w:val="auto"/>
                <w:sz w:val="24"/>
              </w:rPr>
            </w:pPr>
          </w:p>
        </w:tc>
        <w:tc>
          <w:tcPr>
            <w:tcW w:w="1976" w:type="dxa"/>
            <w:vAlign w:val="center"/>
          </w:tcPr>
          <w:p w14:paraId="5D907677">
            <w:pPr>
              <w:jc w:val="center"/>
              <w:rPr>
                <w:rFonts w:hint="eastAsia" w:ascii="宋体" w:hAnsi="宋体" w:eastAsia="宋体" w:cs="宋体"/>
                <w:color w:val="auto"/>
                <w:sz w:val="24"/>
              </w:rPr>
            </w:pPr>
          </w:p>
        </w:tc>
        <w:tc>
          <w:tcPr>
            <w:tcW w:w="3059" w:type="dxa"/>
          </w:tcPr>
          <w:p w14:paraId="09D3BDD1">
            <w:pPr>
              <w:jc w:val="center"/>
              <w:rPr>
                <w:rFonts w:hint="eastAsia" w:ascii="宋体" w:hAnsi="宋体" w:eastAsia="宋体" w:cs="宋体"/>
                <w:color w:val="auto"/>
                <w:sz w:val="24"/>
              </w:rPr>
            </w:pPr>
          </w:p>
        </w:tc>
        <w:tc>
          <w:tcPr>
            <w:tcW w:w="2187" w:type="dxa"/>
            <w:vAlign w:val="center"/>
          </w:tcPr>
          <w:p w14:paraId="78E1BA71">
            <w:pPr>
              <w:jc w:val="center"/>
              <w:rPr>
                <w:rFonts w:hint="eastAsia" w:ascii="宋体" w:hAnsi="宋体" w:eastAsia="宋体" w:cs="宋体"/>
                <w:color w:val="auto"/>
                <w:sz w:val="24"/>
              </w:rPr>
            </w:pPr>
          </w:p>
        </w:tc>
      </w:tr>
      <w:tr w14:paraId="7156C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7E444EC2">
            <w:pPr>
              <w:jc w:val="center"/>
              <w:rPr>
                <w:rFonts w:hint="eastAsia" w:ascii="宋体" w:hAnsi="宋体" w:eastAsia="宋体" w:cs="宋体"/>
                <w:color w:val="auto"/>
                <w:sz w:val="24"/>
              </w:rPr>
            </w:pPr>
          </w:p>
        </w:tc>
        <w:tc>
          <w:tcPr>
            <w:tcW w:w="1976" w:type="dxa"/>
            <w:vAlign w:val="center"/>
          </w:tcPr>
          <w:p w14:paraId="7435CCF4">
            <w:pPr>
              <w:jc w:val="center"/>
              <w:rPr>
                <w:rFonts w:hint="eastAsia" w:ascii="宋体" w:hAnsi="宋体" w:eastAsia="宋体" w:cs="宋体"/>
                <w:color w:val="auto"/>
                <w:sz w:val="24"/>
              </w:rPr>
            </w:pPr>
          </w:p>
        </w:tc>
        <w:tc>
          <w:tcPr>
            <w:tcW w:w="3059" w:type="dxa"/>
          </w:tcPr>
          <w:p w14:paraId="7FEF7751">
            <w:pPr>
              <w:jc w:val="center"/>
              <w:rPr>
                <w:rFonts w:hint="eastAsia" w:ascii="宋体" w:hAnsi="宋体" w:eastAsia="宋体" w:cs="宋体"/>
                <w:color w:val="auto"/>
                <w:sz w:val="24"/>
              </w:rPr>
            </w:pPr>
          </w:p>
        </w:tc>
        <w:tc>
          <w:tcPr>
            <w:tcW w:w="2187" w:type="dxa"/>
            <w:vAlign w:val="center"/>
          </w:tcPr>
          <w:p w14:paraId="3781B9BE">
            <w:pPr>
              <w:jc w:val="center"/>
              <w:rPr>
                <w:rFonts w:hint="eastAsia" w:ascii="宋体" w:hAnsi="宋体" w:eastAsia="宋体" w:cs="宋体"/>
                <w:color w:val="auto"/>
                <w:sz w:val="24"/>
              </w:rPr>
            </w:pPr>
          </w:p>
        </w:tc>
      </w:tr>
      <w:tr w14:paraId="6F7E5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66B05B6C">
            <w:pPr>
              <w:jc w:val="center"/>
              <w:rPr>
                <w:rFonts w:hint="eastAsia" w:ascii="宋体" w:hAnsi="宋体" w:eastAsia="宋体" w:cs="宋体"/>
                <w:color w:val="auto"/>
                <w:sz w:val="24"/>
              </w:rPr>
            </w:pPr>
          </w:p>
        </w:tc>
        <w:tc>
          <w:tcPr>
            <w:tcW w:w="1976" w:type="dxa"/>
            <w:vAlign w:val="center"/>
          </w:tcPr>
          <w:p w14:paraId="690BEBF8">
            <w:pPr>
              <w:jc w:val="center"/>
              <w:rPr>
                <w:rFonts w:hint="eastAsia" w:ascii="宋体" w:hAnsi="宋体" w:eastAsia="宋体" w:cs="宋体"/>
                <w:color w:val="auto"/>
                <w:sz w:val="24"/>
              </w:rPr>
            </w:pPr>
          </w:p>
        </w:tc>
        <w:tc>
          <w:tcPr>
            <w:tcW w:w="3059" w:type="dxa"/>
          </w:tcPr>
          <w:p w14:paraId="578816D8">
            <w:pPr>
              <w:jc w:val="center"/>
              <w:rPr>
                <w:rFonts w:hint="eastAsia" w:ascii="宋体" w:hAnsi="宋体" w:eastAsia="宋体" w:cs="宋体"/>
                <w:color w:val="auto"/>
                <w:sz w:val="24"/>
              </w:rPr>
            </w:pPr>
          </w:p>
        </w:tc>
        <w:tc>
          <w:tcPr>
            <w:tcW w:w="2187" w:type="dxa"/>
            <w:vAlign w:val="center"/>
          </w:tcPr>
          <w:p w14:paraId="18366CFC">
            <w:pPr>
              <w:jc w:val="center"/>
              <w:rPr>
                <w:rFonts w:hint="eastAsia" w:ascii="宋体" w:hAnsi="宋体" w:eastAsia="宋体" w:cs="宋体"/>
                <w:color w:val="auto"/>
                <w:sz w:val="24"/>
              </w:rPr>
            </w:pPr>
          </w:p>
        </w:tc>
      </w:tr>
      <w:tr w14:paraId="321F3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0336C20E">
            <w:pPr>
              <w:jc w:val="center"/>
              <w:rPr>
                <w:rFonts w:hint="eastAsia" w:ascii="宋体" w:hAnsi="宋体" w:eastAsia="宋体" w:cs="宋体"/>
                <w:color w:val="auto"/>
                <w:sz w:val="24"/>
              </w:rPr>
            </w:pPr>
          </w:p>
        </w:tc>
        <w:tc>
          <w:tcPr>
            <w:tcW w:w="1976" w:type="dxa"/>
            <w:vAlign w:val="center"/>
          </w:tcPr>
          <w:p w14:paraId="54D7E6CB">
            <w:pPr>
              <w:jc w:val="center"/>
              <w:rPr>
                <w:rFonts w:hint="eastAsia" w:ascii="宋体" w:hAnsi="宋体" w:eastAsia="宋体" w:cs="宋体"/>
                <w:color w:val="auto"/>
                <w:sz w:val="24"/>
              </w:rPr>
            </w:pPr>
          </w:p>
        </w:tc>
        <w:tc>
          <w:tcPr>
            <w:tcW w:w="3059" w:type="dxa"/>
          </w:tcPr>
          <w:p w14:paraId="0618715F">
            <w:pPr>
              <w:jc w:val="center"/>
              <w:rPr>
                <w:rFonts w:hint="eastAsia" w:ascii="宋体" w:hAnsi="宋体" w:eastAsia="宋体" w:cs="宋体"/>
                <w:color w:val="auto"/>
                <w:sz w:val="24"/>
              </w:rPr>
            </w:pPr>
          </w:p>
        </w:tc>
        <w:tc>
          <w:tcPr>
            <w:tcW w:w="2187" w:type="dxa"/>
            <w:vAlign w:val="center"/>
          </w:tcPr>
          <w:p w14:paraId="4F90B361">
            <w:pPr>
              <w:jc w:val="center"/>
              <w:rPr>
                <w:rFonts w:hint="eastAsia" w:ascii="宋体" w:hAnsi="宋体" w:eastAsia="宋体" w:cs="宋体"/>
                <w:color w:val="auto"/>
                <w:sz w:val="24"/>
              </w:rPr>
            </w:pPr>
          </w:p>
        </w:tc>
      </w:tr>
      <w:tr w14:paraId="66FF3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54" w:hRule="atLeast"/>
          <w:jc w:val="center"/>
        </w:trPr>
        <w:tc>
          <w:tcPr>
            <w:tcW w:w="1300" w:type="dxa"/>
            <w:vAlign w:val="center"/>
          </w:tcPr>
          <w:p w14:paraId="1DC365F5">
            <w:pPr>
              <w:jc w:val="center"/>
              <w:rPr>
                <w:rFonts w:hint="eastAsia" w:ascii="宋体" w:hAnsi="宋体" w:eastAsia="宋体" w:cs="宋体"/>
                <w:color w:val="auto"/>
                <w:sz w:val="24"/>
              </w:rPr>
            </w:pPr>
          </w:p>
        </w:tc>
        <w:tc>
          <w:tcPr>
            <w:tcW w:w="1976" w:type="dxa"/>
            <w:vAlign w:val="center"/>
          </w:tcPr>
          <w:p w14:paraId="17425883">
            <w:pPr>
              <w:jc w:val="center"/>
              <w:rPr>
                <w:rFonts w:hint="eastAsia" w:ascii="宋体" w:hAnsi="宋体" w:eastAsia="宋体" w:cs="宋体"/>
                <w:color w:val="auto"/>
                <w:sz w:val="24"/>
              </w:rPr>
            </w:pPr>
          </w:p>
        </w:tc>
        <w:tc>
          <w:tcPr>
            <w:tcW w:w="3059" w:type="dxa"/>
          </w:tcPr>
          <w:p w14:paraId="25CF92F1">
            <w:pPr>
              <w:jc w:val="center"/>
              <w:rPr>
                <w:rFonts w:hint="eastAsia" w:ascii="宋体" w:hAnsi="宋体" w:eastAsia="宋体" w:cs="宋体"/>
                <w:color w:val="auto"/>
                <w:sz w:val="24"/>
              </w:rPr>
            </w:pPr>
          </w:p>
        </w:tc>
        <w:tc>
          <w:tcPr>
            <w:tcW w:w="2187" w:type="dxa"/>
            <w:vAlign w:val="center"/>
          </w:tcPr>
          <w:p w14:paraId="4FF132FB">
            <w:pPr>
              <w:jc w:val="center"/>
              <w:rPr>
                <w:rFonts w:hint="eastAsia" w:ascii="宋体" w:hAnsi="宋体" w:eastAsia="宋体" w:cs="宋体"/>
                <w:color w:val="auto"/>
                <w:sz w:val="24"/>
              </w:rPr>
            </w:pPr>
          </w:p>
        </w:tc>
      </w:tr>
      <w:tr w14:paraId="0FCFD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446EEDA9">
            <w:pPr>
              <w:jc w:val="center"/>
              <w:rPr>
                <w:rFonts w:hint="eastAsia" w:ascii="宋体" w:hAnsi="宋体" w:eastAsia="宋体" w:cs="宋体"/>
                <w:color w:val="auto"/>
                <w:sz w:val="24"/>
              </w:rPr>
            </w:pPr>
          </w:p>
        </w:tc>
        <w:tc>
          <w:tcPr>
            <w:tcW w:w="1976" w:type="dxa"/>
            <w:vAlign w:val="center"/>
          </w:tcPr>
          <w:p w14:paraId="2FF809DF">
            <w:pPr>
              <w:jc w:val="center"/>
              <w:rPr>
                <w:rFonts w:hint="eastAsia" w:ascii="宋体" w:hAnsi="宋体" w:eastAsia="宋体" w:cs="宋体"/>
                <w:color w:val="auto"/>
                <w:sz w:val="24"/>
              </w:rPr>
            </w:pPr>
          </w:p>
        </w:tc>
        <w:tc>
          <w:tcPr>
            <w:tcW w:w="3059" w:type="dxa"/>
          </w:tcPr>
          <w:p w14:paraId="64051D2A">
            <w:pPr>
              <w:jc w:val="center"/>
              <w:rPr>
                <w:rFonts w:hint="eastAsia" w:ascii="宋体" w:hAnsi="宋体" w:eastAsia="宋体" w:cs="宋体"/>
                <w:color w:val="auto"/>
                <w:sz w:val="24"/>
              </w:rPr>
            </w:pPr>
          </w:p>
        </w:tc>
        <w:tc>
          <w:tcPr>
            <w:tcW w:w="2187" w:type="dxa"/>
            <w:vAlign w:val="center"/>
          </w:tcPr>
          <w:p w14:paraId="5372DF2B">
            <w:pPr>
              <w:jc w:val="center"/>
              <w:rPr>
                <w:rFonts w:hint="eastAsia" w:ascii="宋体" w:hAnsi="宋体" w:eastAsia="宋体" w:cs="宋体"/>
                <w:color w:val="auto"/>
                <w:sz w:val="24"/>
              </w:rPr>
            </w:pPr>
          </w:p>
        </w:tc>
      </w:tr>
      <w:tr w14:paraId="7927F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5EA691B8">
            <w:pPr>
              <w:jc w:val="center"/>
              <w:rPr>
                <w:rFonts w:hint="eastAsia" w:ascii="宋体" w:hAnsi="宋体" w:eastAsia="宋体" w:cs="宋体"/>
                <w:color w:val="auto"/>
                <w:sz w:val="24"/>
              </w:rPr>
            </w:pPr>
          </w:p>
        </w:tc>
        <w:tc>
          <w:tcPr>
            <w:tcW w:w="1976" w:type="dxa"/>
            <w:vAlign w:val="center"/>
          </w:tcPr>
          <w:p w14:paraId="6E134BEE">
            <w:pPr>
              <w:jc w:val="center"/>
              <w:rPr>
                <w:rFonts w:hint="eastAsia" w:ascii="宋体" w:hAnsi="宋体" w:eastAsia="宋体" w:cs="宋体"/>
                <w:color w:val="auto"/>
                <w:sz w:val="24"/>
              </w:rPr>
            </w:pPr>
          </w:p>
        </w:tc>
        <w:tc>
          <w:tcPr>
            <w:tcW w:w="3059" w:type="dxa"/>
          </w:tcPr>
          <w:p w14:paraId="2F13BFBE">
            <w:pPr>
              <w:jc w:val="center"/>
              <w:rPr>
                <w:rFonts w:hint="eastAsia" w:ascii="宋体" w:hAnsi="宋体" w:eastAsia="宋体" w:cs="宋体"/>
                <w:color w:val="auto"/>
                <w:sz w:val="24"/>
              </w:rPr>
            </w:pPr>
          </w:p>
        </w:tc>
        <w:tc>
          <w:tcPr>
            <w:tcW w:w="2187" w:type="dxa"/>
            <w:vAlign w:val="center"/>
          </w:tcPr>
          <w:p w14:paraId="33955BD7">
            <w:pPr>
              <w:jc w:val="center"/>
              <w:rPr>
                <w:rFonts w:hint="eastAsia" w:ascii="宋体" w:hAnsi="宋体" w:eastAsia="宋体" w:cs="宋体"/>
                <w:color w:val="auto"/>
                <w:sz w:val="24"/>
              </w:rPr>
            </w:pPr>
          </w:p>
        </w:tc>
      </w:tr>
      <w:tr w14:paraId="25E51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43427441">
            <w:pPr>
              <w:jc w:val="center"/>
              <w:rPr>
                <w:rFonts w:hint="eastAsia" w:ascii="宋体" w:hAnsi="宋体" w:eastAsia="宋体" w:cs="宋体"/>
                <w:color w:val="auto"/>
                <w:sz w:val="24"/>
              </w:rPr>
            </w:pPr>
          </w:p>
        </w:tc>
        <w:tc>
          <w:tcPr>
            <w:tcW w:w="1976" w:type="dxa"/>
            <w:vAlign w:val="center"/>
          </w:tcPr>
          <w:p w14:paraId="6923057A">
            <w:pPr>
              <w:jc w:val="center"/>
              <w:rPr>
                <w:rFonts w:hint="eastAsia" w:ascii="宋体" w:hAnsi="宋体" w:eastAsia="宋体" w:cs="宋体"/>
                <w:color w:val="auto"/>
                <w:sz w:val="24"/>
              </w:rPr>
            </w:pPr>
          </w:p>
        </w:tc>
        <w:tc>
          <w:tcPr>
            <w:tcW w:w="3059" w:type="dxa"/>
          </w:tcPr>
          <w:p w14:paraId="688BE780">
            <w:pPr>
              <w:jc w:val="center"/>
              <w:rPr>
                <w:rFonts w:hint="eastAsia" w:ascii="宋体" w:hAnsi="宋体" w:eastAsia="宋体" w:cs="宋体"/>
                <w:color w:val="auto"/>
                <w:sz w:val="24"/>
              </w:rPr>
            </w:pPr>
          </w:p>
        </w:tc>
        <w:tc>
          <w:tcPr>
            <w:tcW w:w="2187" w:type="dxa"/>
            <w:vAlign w:val="center"/>
          </w:tcPr>
          <w:p w14:paraId="0BE86F0E">
            <w:pPr>
              <w:jc w:val="center"/>
              <w:rPr>
                <w:rFonts w:hint="eastAsia" w:ascii="宋体" w:hAnsi="宋体" w:eastAsia="宋体" w:cs="宋体"/>
                <w:color w:val="auto"/>
                <w:sz w:val="24"/>
              </w:rPr>
            </w:pPr>
          </w:p>
        </w:tc>
      </w:tr>
      <w:tr w14:paraId="67173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30433993">
            <w:pPr>
              <w:jc w:val="center"/>
              <w:rPr>
                <w:rFonts w:hint="eastAsia" w:ascii="宋体" w:hAnsi="宋体" w:eastAsia="宋体" w:cs="宋体"/>
                <w:color w:val="auto"/>
                <w:sz w:val="24"/>
              </w:rPr>
            </w:pPr>
          </w:p>
        </w:tc>
        <w:tc>
          <w:tcPr>
            <w:tcW w:w="1976" w:type="dxa"/>
            <w:vAlign w:val="center"/>
          </w:tcPr>
          <w:p w14:paraId="50855B01">
            <w:pPr>
              <w:jc w:val="center"/>
              <w:rPr>
                <w:rFonts w:hint="eastAsia" w:ascii="宋体" w:hAnsi="宋体" w:eastAsia="宋体" w:cs="宋体"/>
                <w:color w:val="auto"/>
                <w:sz w:val="24"/>
              </w:rPr>
            </w:pPr>
          </w:p>
        </w:tc>
        <w:tc>
          <w:tcPr>
            <w:tcW w:w="3059" w:type="dxa"/>
          </w:tcPr>
          <w:p w14:paraId="3096781A">
            <w:pPr>
              <w:jc w:val="center"/>
              <w:rPr>
                <w:rFonts w:hint="eastAsia" w:ascii="宋体" w:hAnsi="宋体" w:eastAsia="宋体" w:cs="宋体"/>
                <w:color w:val="auto"/>
                <w:sz w:val="24"/>
              </w:rPr>
            </w:pPr>
          </w:p>
        </w:tc>
        <w:tc>
          <w:tcPr>
            <w:tcW w:w="2187" w:type="dxa"/>
            <w:vAlign w:val="center"/>
          </w:tcPr>
          <w:p w14:paraId="580B2637">
            <w:pPr>
              <w:jc w:val="center"/>
              <w:rPr>
                <w:rFonts w:hint="eastAsia" w:ascii="宋体" w:hAnsi="宋体" w:eastAsia="宋体" w:cs="宋体"/>
                <w:color w:val="auto"/>
                <w:sz w:val="24"/>
              </w:rPr>
            </w:pPr>
          </w:p>
        </w:tc>
      </w:tr>
      <w:tr w14:paraId="5AD5C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2187B833">
            <w:pPr>
              <w:jc w:val="center"/>
              <w:rPr>
                <w:rFonts w:hint="eastAsia" w:ascii="宋体" w:hAnsi="宋体" w:eastAsia="宋体" w:cs="宋体"/>
                <w:color w:val="auto"/>
                <w:sz w:val="24"/>
              </w:rPr>
            </w:pPr>
          </w:p>
        </w:tc>
        <w:tc>
          <w:tcPr>
            <w:tcW w:w="1976" w:type="dxa"/>
            <w:vAlign w:val="center"/>
          </w:tcPr>
          <w:p w14:paraId="1D484DD5">
            <w:pPr>
              <w:jc w:val="center"/>
              <w:rPr>
                <w:rFonts w:hint="eastAsia" w:ascii="宋体" w:hAnsi="宋体" w:eastAsia="宋体" w:cs="宋体"/>
                <w:color w:val="auto"/>
                <w:sz w:val="24"/>
              </w:rPr>
            </w:pPr>
          </w:p>
        </w:tc>
        <w:tc>
          <w:tcPr>
            <w:tcW w:w="3059" w:type="dxa"/>
          </w:tcPr>
          <w:p w14:paraId="3EA2AEF9">
            <w:pPr>
              <w:jc w:val="center"/>
              <w:rPr>
                <w:rFonts w:hint="eastAsia" w:ascii="宋体" w:hAnsi="宋体" w:eastAsia="宋体" w:cs="宋体"/>
                <w:color w:val="auto"/>
                <w:sz w:val="24"/>
              </w:rPr>
            </w:pPr>
          </w:p>
        </w:tc>
        <w:tc>
          <w:tcPr>
            <w:tcW w:w="2187" w:type="dxa"/>
            <w:vAlign w:val="center"/>
          </w:tcPr>
          <w:p w14:paraId="3DEF34D4">
            <w:pPr>
              <w:jc w:val="center"/>
              <w:rPr>
                <w:rFonts w:hint="eastAsia" w:ascii="宋体" w:hAnsi="宋体" w:eastAsia="宋体" w:cs="宋体"/>
                <w:color w:val="auto"/>
                <w:sz w:val="24"/>
              </w:rPr>
            </w:pPr>
          </w:p>
        </w:tc>
      </w:tr>
      <w:tr w14:paraId="7E8D8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00C3DD5E">
            <w:pPr>
              <w:jc w:val="center"/>
              <w:rPr>
                <w:rFonts w:hint="eastAsia" w:ascii="宋体" w:hAnsi="宋体" w:eastAsia="宋体" w:cs="宋体"/>
                <w:color w:val="auto"/>
                <w:sz w:val="24"/>
              </w:rPr>
            </w:pPr>
          </w:p>
        </w:tc>
        <w:tc>
          <w:tcPr>
            <w:tcW w:w="1976" w:type="dxa"/>
            <w:vAlign w:val="center"/>
          </w:tcPr>
          <w:p w14:paraId="6D03F3DE">
            <w:pPr>
              <w:jc w:val="center"/>
              <w:rPr>
                <w:rFonts w:hint="eastAsia" w:ascii="宋体" w:hAnsi="宋体" w:eastAsia="宋体" w:cs="宋体"/>
                <w:color w:val="auto"/>
                <w:sz w:val="24"/>
              </w:rPr>
            </w:pPr>
          </w:p>
        </w:tc>
        <w:tc>
          <w:tcPr>
            <w:tcW w:w="3059" w:type="dxa"/>
          </w:tcPr>
          <w:p w14:paraId="343A5802">
            <w:pPr>
              <w:jc w:val="center"/>
              <w:rPr>
                <w:rFonts w:hint="eastAsia" w:ascii="宋体" w:hAnsi="宋体" w:eastAsia="宋体" w:cs="宋体"/>
                <w:color w:val="auto"/>
                <w:sz w:val="24"/>
              </w:rPr>
            </w:pPr>
          </w:p>
        </w:tc>
        <w:tc>
          <w:tcPr>
            <w:tcW w:w="2187" w:type="dxa"/>
            <w:vAlign w:val="center"/>
          </w:tcPr>
          <w:p w14:paraId="0926C133">
            <w:pPr>
              <w:jc w:val="center"/>
              <w:rPr>
                <w:rFonts w:hint="eastAsia" w:ascii="宋体" w:hAnsi="宋体" w:eastAsia="宋体" w:cs="宋体"/>
                <w:color w:val="auto"/>
                <w:sz w:val="24"/>
              </w:rPr>
            </w:pPr>
          </w:p>
        </w:tc>
      </w:tr>
      <w:tr w14:paraId="3DD39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56FC11DC">
            <w:pPr>
              <w:jc w:val="center"/>
              <w:rPr>
                <w:rFonts w:hint="eastAsia" w:ascii="宋体" w:hAnsi="宋体" w:eastAsia="宋体" w:cs="宋体"/>
                <w:color w:val="auto"/>
                <w:sz w:val="24"/>
              </w:rPr>
            </w:pPr>
          </w:p>
        </w:tc>
        <w:tc>
          <w:tcPr>
            <w:tcW w:w="1976" w:type="dxa"/>
            <w:vAlign w:val="center"/>
          </w:tcPr>
          <w:p w14:paraId="1FA25E39">
            <w:pPr>
              <w:jc w:val="center"/>
              <w:rPr>
                <w:rFonts w:hint="eastAsia" w:ascii="宋体" w:hAnsi="宋体" w:eastAsia="宋体" w:cs="宋体"/>
                <w:color w:val="auto"/>
                <w:sz w:val="24"/>
              </w:rPr>
            </w:pPr>
          </w:p>
        </w:tc>
        <w:tc>
          <w:tcPr>
            <w:tcW w:w="3059" w:type="dxa"/>
          </w:tcPr>
          <w:p w14:paraId="56B1A10B">
            <w:pPr>
              <w:jc w:val="center"/>
              <w:rPr>
                <w:rFonts w:hint="eastAsia" w:ascii="宋体" w:hAnsi="宋体" w:eastAsia="宋体" w:cs="宋体"/>
                <w:color w:val="auto"/>
                <w:sz w:val="24"/>
              </w:rPr>
            </w:pPr>
          </w:p>
        </w:tc>
        <w:tc>
          <w:tcPr>
            <w:tcW w:w="2187" w:type="dxa"/>
            <w:vAlign w:val="center"/>
          </w:tcPr>
          <w:p w14:paraId="3B0D5679">
            <w:pPr>
              <w:jc w:val="center"/>
              <w:rPr>
                <w:rFonts w:hint="eastAsia" w:ascii="宋体" w:hAnsi="宋体" w:eastAsia="宋体" w:cs="宋体"/>
                <w:color w:val="auto"/>
                <w:sz w:val="24"/>
              </w:rPr>
            </w:pPr>
          </w:p>
        </w:tc>
      </w:tr>
      <w:tr w14:paraId="0FED2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5E6EA3B8">
            <w:pPr>
              <w:jc w:val="center"/>
              <w:rPr>
                <w:rFonts w:hint="eastAsia" w:ascii="宋体" w:hAnsi="宋体" w:eastAsia="宋体" w:cs="宋体"/>
                <w:color w:val="auto"/>
                <w:sz w:val="24"/>
              </w:rPr>
            </w:pPr>
          </w:p>
        </w:tc>
        <w:tc>
          <w:tcPr>
            <w:tcW w:w="1976" w:type="dxa"/>
            <w:vAlign w:val="center"/>
          </w:tcPr>
          <w:p w14:paraId="35170116">
            <w:pPr>
              <w:jc w:val="center"/>
              <w:rPr>
                <w:rFonts w:hint="eastAsia" w:ascii="宋体" w:hAnsi="宋体" w:eastAsia="宋体" w:cs="宋体"/>
                <w:color w:val="auto"/>
                <w:sz w:val="24"/>
              </w:rPr>
            </w:pPr>
          </w:p>
        </w:tc>
        <w:tc>
          <w:tcPr>
            <w:tcW w:w="3059" w:type="dxa"/>
          </w:tcPr>
          <w:p w14:paraId="41C6D32A">
            <w:pPr>
              <w:jc w:val="center"/>
              <w:rPr>
                <w:rFonts w:hint="eastAsia" w:ascii="宋体" w:hAnsi="宋体" w:eastAsia="宋体" w:cs="宋体"/>
                <w:color w:val="auto"/>
                <w:sz w:val="24"/>
              </w:rPr>
            </w:pPr>
          </w:p>
        </w:tc>
        <w:tc>
          <w:tcPr>
            <w:tcW w:w="2187" w:type="dxa"/>
            <w:vAlign w:val="center"/>
          </w:tcPr>
          <w:p w14:paraId="34A38D95">
            <w:pPr>
              <w:jc w:val="center"/>
              <w:rPr>
                <w:rFonts w:hint="eastAsia" w:ascii="宋体" w:hAnsi="宋体" w:eastAsia="宋体" w:cs="宋体"/>
                <w:color w:val="auto"/>
                <w:sz w:val="24"/>
              </w:rPr>
            </w:pPr>
          </w:p>
        </w:tc>
      </w:tr>
      <w:tr w14:paraId="281BB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21C9E691">
            <w:pPr>
              <w:jc w:val="center"/>
              <w:rPr>
                <w:rFonts w:hint="eastAsia" w:ascii="宋体" w:hAnsi="宋体" w:eastAsia="宋体" w:cs="宋体"/>
                <w:color w:val="auto"/>
                <w:sz w:val="24"/>
              </w:rPr>
            </w:pPr>
          </w:p>
        </w:tc>
        <w:tc>
          <w:tcPr>
            <w:tcW w:w="1976" w:type="dxa"/>
            <w:vAlign w:val="center"/>
          </w:tcPr>
          <w:p w14:paraId="04BC1EF8">
            <w:pPr>
              <w:jc w:val="center"/>
              <w:rPr>
                <w:rFonts w:hint="eastAsia" w:ascii="宋体" w:hAnsi="宋体" w:eastAsia="宋体" w:cs="宋体"/>
                <w:color w:val="auto"/>
                <w:sz w:val="24"/>
              </w:rPr>
            </w:pPr>
          </w:p>
        </w:tc>
        <w:tc>
          <w:tcPr>
            <w:tcW w:w="3059" w:type="dxa"/>
          </w:tcPr>
          <w:p w14:paraId="57A0B60D">
            <w:pPr>
              <w:jc w:val="center"/>
              <w:rPr>
                <w:rFonts w:hint="eastAsia" w:ascii="宋体" w:hAnsi="宋体" w:eastAsia="宋体" w:cs="宋体"/>
                <w:color w:val="auto"/>
                <w:sz w:val="24"/>
              </w:rPr>
            </w:pPr>
          </w:p>
        </w:tc>
        <w:tc>
          <w:tcPr>
            <w:tcW w:w="2187" w:type="dxa"/>
            <w:vAlign w:val="center"/>
          </w:tcPr>
          <w:p w14:paraId="1E27DCA7">
            <w:pPr>
              <w:jc w:val="center"/>
              <w:rPr>
                <w:rFonts w:hint="eastAsia" w:ascii="宋体" w:hAnsi="宋体" w:eastAsia="宋体" w:cs="宋体"/>
                <w:color w:val="auto"/>
                <w:sz w:val="24"/>
              </w:rPr>
            </w:pPr>
          </w:p>
        </w:tc>
      </w:tr>
      <w:tr w14:paraId="11A69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54" w:hRule="atLeast"/>
          <w:jc w:val="center"/>
        </w:trPr>
        <w:tc>
          <w:tcPr>
            <w:tcW w:w="1300" w:type="dxa"/>
            <w:vAlign w:val="center"/>
          </w:tcPr>
          <w:p w14:paraId="417EB1B8">
            <w:pPr>
              <w:jc w:val="center"/>
              <w:rPr>
                <w:rFonts w:hint="eastAsia" w:ascii="宋体" w:hAnsi="宋体" w:eastAsia="宋体" w:cs="宋体"/>
                <w:color w:val="auto"/>
                <w:sz w:val="24"/>
              </w:rPr>
            </w:pPr>
          </w:p>
        </w:tc>
        <w:tc>
          <w:tcPr>
            <w:tcW w:w="1976" w:type="dxa"/>
            <w:vAlign w:val="center"/>
          </w:tcPr>
          <w:p w14:paraId="17429BFE">
            <w:pPr>
              <w:jc w:val="center"/>
              <w:rPr>
                <w:rFonts w:hint="eastAsia" w:ascii="宋体" w:hAnsi="宋体" w:eastAsia="宋体" w:cs="宋体"/>
                <w:color w:val="auto"/>
                <w:sz w:val="24"/>
              </w:rPr>
            </w:pPr>
          </w:p>
        </w:tc>
        <w:tc>
          <w:tcPr>
            <w:tcW w:w="3059" w:type="dxa"/>
          </w:tcPr>
          <w:p w14:paraId="5F2DF8E5">
            <w:pPr>
              <w:jc w:val="center"/>
              <w:rPr>
                <w:rFonts w:hint="eastAsia" w:ascii="宋体" w:hAnsi="宋体" w:eastAsia="宋体" w:cs="宋体"/>
                <w:color w:val="auto"/>
                <w:sz w:val="24"/>
              </w:rPr>
            </w:pPr>
          </w:p>
        </w:tc>
        <w:tc>
          <w:tcPr>
            <w:tcW w:w="2187" w:type="dxa"/>
            <w:vAlign w:val="center"/>
          </w:tcPr>
          <w:p w14:paraId="78D7EDF5">
            <w:pPr>
              <w:jc w:val="center"/>
              <w:rPr>
                <w:rFonts w:hint="eastAsia" w:ascii="宋体" w:hAnsi="宋体" w:eastAsia="宋体" w:cs="宋体"/>
                <w:color w:val="auto"/>
                <w:sz w:val="24"/>
              </w:rPr>
            </w:pPr>
          </w:p>
        </w:tc>
      </w:tr>
      <w:tr w14:paraId="4646F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300" w:type="dxa"/>
            <w:vAlign w:val="center"/>
          </w:tcPr>
          <w:p w14:paraId="5AC86D8E">
            <w:pPr>
              <w:jc w:val="center"/>
              <w:rPr>
                <w:rFonts w:hint="eastAsia" w:ascii="宋体" w:hAnsi="宋体" w:eastAsia="宋体" w:cs="宋体"/>
                <w:color w:val="auto"/>
                <w:sz w:val="24"/>
              </w:rPr>
            </w:pPr>
          </w:p>
        </w:tc>
        <w:tc>
          <w:tcPr>
            <w:tcW w:w="1976" w:type="dxa"/>
            <w:vAlign w:val="center"/>
          </w:tcPr>
          <w:p w14:paraId="38DD71AE">
            <w:pPr>
              <w:jc w:val="center"/>
              <w:rPr>
                <w:rFonts w:hint="eastAsia" w:ascii="宋体" w:hAnsi="宋体" w:eastAsia="宋体" w:cs="宋体"/>
                <w:color w:val="auto"/>
                <w:sz w:val="24"/>
              </w:rPr>
            </w:pPr>
          </w:p>
        </w:tc>
        <w:tc>
          <w:tcPr>
            <w:tcW w:w="3059" w:type="dxa"/>
          </w:tcPr>
          <w:p w14:paraId="51D39CAD">
            <w:pPr>
              <w:jc w:val="center"/>
              <w:rPr>
                <w:rFonts w:hint="eastAsia" w:ascii="宋体" w:hAnsi="宋体" w:eastAsia="宋体" w:cs="宋体"/>
                <w:color w:val="auto"/>
                <w:sz w:val="24"/>
              </w:rPr>
            </w:pPr>
          </w:p>
        </w:tc>
        <w:tc>
          <w:tcPr>
            <w:tcW w:w="2187" w:type="dxa"/>
            <w:vAlign w:val="center"/>
          </w:tcPr>
          <w:p w14:paraId="501A6B1A">
            <w:pPr>
              <w:jc w:val="center"/>
              <w:rPr>
                <w:rFonts w:hint="eastAsia" w:ascii="宋体" w:hAnsi="宋体" w:eastAsia="宋体" w:cs="宋体"/>
                <w:color w:val="auto"/>
                <w:sz w:val="24"/>
              </w:rPr>
            </w:pPr>
          </w:p>
        </w:tc>
      </w:tr>
    </w:tbl>
    <w:p w14:paraId="3E651DF1">
      <w:pPr>
        <w:spacing w:line="360" w:lineRule="auto"/>
        <w:ind w:firstLine="480"/>
        <w:rPr>
          <w:rFonts w:hint="eastAsia" w:ascii="宋体" w:hAnsi="宋体" w:eastAsia="宋体" w:cs="宋体"/>
          <w:color w:val="auto"/>
          <w:sz w:val="24"/>
        </w:rPr>
      </w:pPr>
    </w:p>
    <w:p w14:paraId="5DE773D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供应商（加盖CA电子公章）：</w:t>
      </w:r>
    </w:p>
    <w:p w14:paraId="3A127A4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法定代表人或委托代理人（签字或签章）：</w:t>
      </w:r>
    </w:p>
    <w:p w14:paraId="70657BD7">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日期：    年     月     日</w:t>
      </w:r>
    </w:p>
    <w:p w14:paraId="26C75D26">
      <w:pPr>
        <w:rPr>
          <w:rFonts w:hint="eastAsia" w:ascii="宋体" w:hAnsi="宋体" w:eastAsia="宋体" w:cs="宋体"/>
          <w:b/>
          <w:color w:val="auto"/>
          <w:sz w:val="24"/>
        </w:rPr>
      </w:pPr>
      <w:r>
        <w:rPr>
          <w:rFonts w:hint="eastAsia" w:ascii="宋体" w:hAnsi="宋体" w:eastAsia="宋体" w:cs="宋体"/>
          <w:b/>
          <w:color w:val="auto"/>
          <w:sz w:val="24"/>
        </w:rPr>
        <w:br w:type="page" w:clear="all"/>
      </w:r>
    </w:p>
    <w:p w14:paraId="5FAFB941">
      <w:pPr>
        <w:keepNext/>
        <w:keepLines/>
        <w:spacing w:before="360" w:after="200" w:line="360" w:lineRule="auto"/>
        <w:jc w:val="center"/>
        <w:outlineLvl w:val="1"/>
        <w:rPr>
          <w:rFonts w:hint="eastAsia" w:ascii="宋体" w:hAnsi="宋体" w:eastAsia="宋体" w:cs="宋体"/>
          <w:iCs/>
          <w:color w:val="auto"/>
          <w:sz w:val="36"/>
        </w:rPr>
      </w:pPr>
      <w:r>
        <w:rPr>
          <w:rFonts w:hint="eastAsia" w:ascii="宋体" w:hAnsi="宋体" w:eastAsia="宋体" w:cs="宋体"/>
          <w:b/>
          <w:color w:val="auto"/>
          <w:sz w:val="32"/>
          <w:szCs w:val="32"/>
        </w:rPr>
        <w:t>十六、类似项目业绩一览表</w:t>
      </w:r>
    </w:p>
    <w:p w14:paraId="19EE2F03">
      <w:pPr>
        <w:tabs>
          <w:tab w:val="left" w:pos="360"/>
        </w:tabs>
        <w:spacing w:line="360" w:lineRule="auto"/>
        <w:rPr>
          <w:rFonts w:hint="eastAsia" w:ascii="宋体" w:hAnsi="宋体" w:eastAsia="宋体" w:cs="宋体"/>
          <w:bCs/>
          <w:color w:val="auto"/>
          <w:sz w:val="36"/>
          <w:szCs w:val="28"/>
        </w:rPr>
      </w:pPr>
      <w:r>
        <w:rPr>
          <w:rFonts w:hint="eastAsia" w:ascii="宋体" w:hAnsi="宋体" w:eastAsia="宋体" w:cs="宋体"/>
          <w:b/>
          <w:color w:val="auto"/>
          <w:sz w:val="24"/>
        </w:rPr>
        <w:t>项目名称：</w:t>
      </w:r>
      <w:r>
        <w:rPr>
          <w:rFonts w:hint="eastAsia" w:ascii="宋体" w:hAnsi="宋体" w:eastAsia="宋体" w:cs="宋体"/>
          <w:b/>
          <w:color w:val="auto"/>
          <w:sz w:val="24"/>
          <w:lang w:eastAsia="zh-CN"/>
        </w:rPr>
        <w:t>盐都区高标准农田调查摸底上图入库全过程技术服务项目</w:t>
      </w:r>
    </w:p>
    <w:tbl>
      <w:tblPr>
        <w:tblStyle w:val="4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1C35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675" w:type="dxa"/>
            <w:vAlign w:val="center"/>
          </w:tcPr>
          <w:p w14:paraId="7EA1DD11">
            <w:pP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2686" w:type="dxa"/>
            <w:vAlign w:val="center"/>
          </w:tcPr>
          <w:p w14:paraId="3F7E0DE6">
            <w:pPr>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1850" w:type="dxa"/>
            <w:vAlign w:val="center"/>
          </w:tcPr>
          <w:p w14:paraId="115519E3">
            <w:pPr>
              <w:jc w:val="center"/>
              <w:rPr>
                <w:rFonts w:hint="eastAsia" w:ascii="宋体" w:hAnsi="宋体" w:eastAsia="宋体" w:cs="宋体"/>
                <w:color w:val="auto"/>
                <w:sz w:val="24"/>
              </w:rPr>
            </w:pPr>
            <w:r>
              <w:rPr>
                <w:rFonts w:hint="eastAsia" w:ascii="宋体" w:hAnsi="宋体" w:eastAsia="宋体" w:cs="宋体"/>
                <w:color w:val="auto"/>
                <w:sz w:val="24"/>
              </w:rPr>
              <w:t>签订时间</w:t>
            </w:r>
          </w:p>
        </w:tc>
        <w:tc>
          <w:tcPr>
            <w:tcW w:w="1985" w:type="dxa"/>
            <w:vAlign w:val="center"/>
          </w:tcPr>
          <w:p w14:paraId="5D24D905">
            <w:pPr>
              <w:jc w:val="center"/>
              <w:rPr>
                <w:rFonts w:hint="eastAsia" w:ascii="宋体" w:hAnsi="宋体" w:eastAsia="宋体" w:cs="宋体"/>
                <w:color w:val="auto"/>
                <w:sz w:val="24"/>
              </w:rPr>
            </w:pPr>
            <w:r>
              <w:rPr>
                <w:rFonts w:hint="eastAsia" w:ascii="宋体" w:hAnsi="宋体" w:eastAsia="宋体" w:cs="宋体"/>
                <w:color w:val="auto"/>
                <w:sz w:val="24"/>
              </w:rPr>
              <w:t>采购单位</w:t>
            </w:r>
          </w:p>
        </w:tc>
        <w:tc>
          <w:tcPr>
            <w:tcW w:w="1309" w:type="dxa"/>
            <w:vAlign w:val="center"/>
          </w:tcPr>
          <w:p w14:paraId="40929D9D">
            <w:pPr>
              <w:jc w:val="center"/>
              <w:rPr>
                <w:rFonts w:hint="eastAsia" w:ascii="宋体" w:hAnsi="宋体" w:eastAsia="宋体" w:cs="宋体"/>
                <w:color w:val="auto"/>
                <w:sz w:val="24"/>
              </w:rPr>
            </w:pPr>
            <w:r>
              <w:rPr>
                <w:rFonts w:hint="eastAsia" w:ascii="宋体" w:hAnsi="宋体" w:eastAsia="宋体" w:cs="宋体"/>
                <w:color w:val="auto"/>
                <w:sz w:val="24"/>
              </w:rPr>
              <w:t>主要标的</w:t>
            </w:r>
          </w:p>
        </w:tc>
      </w:tr>
      <w:tr w14:paraId="72276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7BCBCF89">
            <w:pPr>
              <w:jc w:val="center"/>
              <w:rPr>
                <w:rFonts w:hint="eastAsia" w:ascii="宋体" w:hAnsi="宋体" w:eastAsia="宋体" w:cs="宋体"/>
                <w:color w:val="auto"/>
                <w:sz w:val="24"/>
              </w:rPr>
            </w:pPr>
          </w:p>
        </w:tc>
        <w:tc>
          <w:tcPr>
            <w:tcW w:w="2686" w:type="dxa"/>
            <w:vAlign w:val="center"/>
          </w:tcPr>
          <w:p w14:paraId="4E57D0B8">
            <w:pPr>
              <w:jc w:val="center"/>
              <w:rPr>
                <w:rFonts w:hint="eastAsia" w:ascii="宋体" w:hAnsi="宋体" w:eastAsia="宋体" w:cs="宋体"/>
                <w:color w:val="auto"/>
                <w:sz w:val="24"/>
              </w:rPr>
            </w:pPr>
          </w:p>
        </w:tc>
        <w:tc>
          <w:tcPr>
            <w:tcW w:w="1850" w:type="dxa"/>
          </w:tcPr>
          <w:p w14:paraId="502F896C">
            <w:pPr>
              <w:jc w:val="center"/>
              <w:rPr>
                <w:rFonts w:hint="eastAsia" w:ascii="宋体" w:hAnsi="宋体" w:eastAsia="宋体" w:cs="宋体"/>
                <w:color w:val="auto"/>
                <w:sz w:val="24"/>
              </w:rPr>
            </w:pPr>
          </w:p>
        </w:tc>
        <w:tc>
          <w:tcPr>
            <w:tcW w:w="1985" w:type="dxa"/>
            <w:vAlign w:val="center"/>
          </w:tcPr>
          <w:p w14:paraId="00105128">
            <w:pPr>
              <w:jc w:val="center"/>
              <w:rPr>
                <w:rFonts w:hint="eastAsia" w:ascii="宋体" w:hAnsi="宋体" w:eastAsia="宋体" w:cs="宋体"/>
                <w:color w:val="auto"/>
                <w:sz w:val="24"/>
              </w:rPr>
            </w:pPr>
          </w:p>
        </w:tc>
        <w:tc>
          <w:tcPr>
            <w:tcW w:w="1309" w:type="dxa"/>
            <w:vAlign w:val="center"/>
          </w:tcPr>
          <w:p w14:paraId="72ECF904">
            <w:pPr>
              <w:jc w:val="center"/>
              <w:rPr>
                <w:rFonts w:hint="eastAsia" w:ascii="宋体" w:hAnsi="宋体" w:eastAsia="宋体" w:cs="宋体"/>
                <w:color w:val="auto"/>
                <w:sz w:val="24"/>
              </w:rPr>
            </w:pPr>
          </w:p>
        </w:tc>
      </w:tr>
      <w:tr w14:paraId="096E6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5F1EEFBC">
            <w:pPr>
              <w:jc w:val="center"/>
              <w:rPr>
                <w:rFonts w:hint="eastAsia" w:ascii="宋体" w:hAnsi="宋体" w:eastAsia="宋体" w:cs="宋体"/>
                <w:color w:val="auto"/>
                <w:sz w:val="24"/>
              </w:rPr>
            </w:pPr>
          </w:p>
        </w:tc>
        <w:tc>
          <w:tcPr>
            <w:tcW w:w="2686" w:type="dxa"/>
            <w:vAlign w:val="center"/>
          </w:tcPr>
          <w:p w14:paraId="5EBB00A3">
            <w:pPr>
              <w:jc w:val="center"/>
              <w:rPr>
                <w:rFonts w:hint="eastAsia" w:ascii="宋体" w:hAnsi="宋体" w:eastAsia="宋体" w:cs="宋体"/>
                <w:color w:val="auto"/>
                <w:sz w:val="24"/>
              </w:rPr>
            </w:pPr>
          </w:p>
        </w:tc>
        <w:tc>
          <w:tcPr>
            <w:tcW w:w="1850" w:type="dxa"/>
          </w:tcPr>
          <w:p w14:paraId="11CD825D">
            <w:pPr>
              <w:jc w:val="center"/>
              <w:rPr>
                <w:rFonts w:hint="eastAsia" w:ascii="宋体" w:hAnsi="宋体" w:eastAsia="宋体" w:cs="宋体"/>
                <w:color w:val="auto"/>
                <w:sz w:val="24"/>
              </w:rPr>
            </w:pPr>
          </w:p>
        </w:tc>
        <w:tc>
          <w:tcPr>
            <w:tcW w:w="1985" w:type="dxa"/>
            <w:vAlign w:val="center"/>
          </w:tcPr>
          <w:p w14:paraId="3E640247">
            <w:pPr>
              <w:jc w:val="center"/>
              <w:rPr>
                <w:rFonts w:hint="eastAsia" w:ascii="宋体" w:hAnsi="宋体" w:eastAsia="宋体" w:cs="宋体"/>
                <w:color w:val="auto"/>
                <w:sz w:val="24"/>
              </w:rPr>
            </w:pPr>
          </w:p>
        </w:tc>
        <w:tc>
          <w:tcPr>
            <w:tcW w:w="1309" w:type="dxa"/>
            <w:vAlign w:val="center"/>
          </w:tcPr>
          <w:p w14:paraId="23538145">
            <w:pPr>
              <w:jc w:val="center"/>
              <w:rPr>
                <w:rFonts w:hint="eastAsia" w:ascii="宋体" w:hAnsi="宋体" w:eastAsia="宋体" w:cs="宋体"/>
                <w:color w:val="auto"/>
                <w:sz w:val="24"/>
              </w:rPr>
            </w:pPr>
          </w:p>
        </w:tc>
      </w:tr>
      <w:tr w14:paraId="05BB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5BFE1C17">
            <w:pPr>
              <w:jc w:val="center"/>
              <w:rPr>
                <w:rFonts w:hint="eastAsia" w:ascii="宋体" w:hAnsi="宋体" w:eastAsia="宋体" w:cs="宋体"/>
                <w:color w:val="auto"/>
                <w:sz w:val="24"/>
              </w:rPr>
            </w:pPr>
          </w:p>
        </w:tc>
        <w:tc>
          <w:tcPr>
            <w:tcW w:w="2686" w:type="dxa"/>
            <w:vAlign w:val="center"/>
          </w:tcPr>
          <w:p w14:paraId="344C77AF">
            <w:pPr>
              <w:jc w:val="center"/>
              <w:rPr>
                <w:rFonts w:hint="eastAsia" w:ascii="宋体" w:hAnsi="宋体" w:eastAsia="宋体" w:cs="宋体"/>
                <w:color w:val="auto"/>
                <w:sz w:val="24"/>
              </w:rPr>
            </w:pPr>
          </w:p>
        </w:tc>
        <w:tc>
          <w:tcPr>
            <w:tcW w:w="1850" w:type="dxa"/>
          </w:tcPr>
          <w:p w14:paraId="4B0BC111">
            <w:pPr>
              <w:jc w:val="center"/>
              <w:rPr>
                <w:rFonts w:hint="eastAsia" w:ascii="宋体" w:hAnsi="宋体" w:eastAsia="宋体" w:cs="宋体"/>
                <w:color w:val="auto"/>
                <w:sz w:val="24"/>
              </w:rPr>
            </w:pPr>
          </w:p>
        </w:tc>
        <w:tc>
          <w:tcPr>
            <w:tcW w:w="1985" w:type="dxa"/>
            <w:vAlign w:val="center"/>
          </w:tcPr>
          <w:p w14:paraId="05CE1F3B">
            <w:pPr>
              <w:jc w:val="center"/>
              <w:rPr>
                <w:rFonts w:hint="eastAsia" w:ascii="宋体" w:hAnsi="宋体" w:eastAsia="宋体" w:cs="宋体"/>
                <w:color w:val="auto"/>
                <w:sz w:val="24"/>
              </w:rPr>
            </w:pPr>
          </w:p>
        </w:tc>
        <w:tc>
          <w:tcPr>
            <w:tcW w:w="1309" w:type="dxa"/>
            <w:vAlign w:val="center"/>
          </w:tcPr>
          <w:p w14:paraId="30CAA8B4">
            <w:pPr>
              <w:jc w:val="center"/>
              <w:rPr>
                <w:rFonts w:hint="eastAsia" w:ascii="宋体" w:hAnsi="宋体" w:eastAsia="宋体" w:cs="宋体"/>
                <w:color w:val="auto"/>
                <w:sz w:val="24"/>
              </w:rPr>
            </w:pPr>
          </w:p>
        </w:tc>
      </w:tr>
    </w:tbl>
    <w:p w14:paraId="62414BF2">
      <w:pPr>
        <w:spacing w:line="360" w:lineRule="auto"/>
        <w:ind w:firstLine="480"/>
        <w:rPr>
          <w:rFonts w:hint="eastAsia" w:ascii="宋体" w:hAnsi="宋体" w:eastAsia="宋体" w:cs="宋体"/>
          <w:color w:val="auto"/>
          <w:sz w:val="24"/>
        </w:rPr>
      </w:pPr>
    </w:p>
    <w:p w14:paraId="36AED55F">
      <w:pPr>
        <w:spacing w:line="360" w:lineRule="auto"/>
        <w:ind w:firstLine="480"/>
        <w:rPr>
          <w:rFonts w:hint="eastAsia" w:ascii="宋体" w:hAnsi="宋体" w:eastAsia="宋体" w:cs="宋体"/>
          <w:color w:val="auto"/>
          <w:sz w:val="24"/>
        </w:rPr>
      </w:pPr>
    </w:p>
    <w:p w14:paraId="154E2DA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供应商（加盖CA电子公章）：</w:t>
      </w:r>
    </w:p>
    <w:p w14:paraId="0758559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法定代表人或委托代理人（签字或签章）：</w:t>
      </w:r>
    </w:p>
    <w:p w14:paraId="43698984">
      <w:pPr>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日期：    年     月     日</w:t>
      </w:r>
    </w:p>
    <w:p w14:paraId="31557496">
      <w:pPr>
        <w:rPr>
          <w:rFonts w:hint="eastAsia" w:ascii="宋体" w:hAnsi="宋体" w:eastAsia="宋体" w:cs="宋体"/>
          <w:b/>
          <w:color w:val="auto"/>
          <w:sz w:val="24"/>
        </w:rPr>
      </w:pPr>
      <w:r>
        <w:rPr>
          <w:rFonts w:hint="eastAsia" w:ascii="宋体" w:hAnsi="宋体" w:eastAsia="宋体" w:cs="宋体"/>
          <w:b/>
          <w:color w:val="auto"/>
          <w:sz w:val="24"/>
        </w:rPr>
        <w:br w:type="page" w:clear="all"/>
      </w:r>
    </w:p>
    <w:p w14:paraId="7F8B1AB2">
      <w:pPr>
        <w:keepNext/>
        <w:keepLines/>
        <w:spacing w:before="360" w:after="200" w:line="360" w:lineRule="auto"/>
        <w:jc w:val="center"/>
        <w:outlineLvl w:val="1"/>
        <w:rPr>
          <w:rFonts w:hint="eastAsia" w:ascii="宋体" w:hAnsi="宋体" w:eastAsia="宋体" w:cs="宋体"/>
          <w:b/>
          <w:color w:val="auto"/>
          <w:sz w:val="32"/>
          <w:szCs w:val="32"/>
        </w:rPr>
      </w:pPr>
      <w:r>
        <w:rPr>
          <w:rFonts w:hint="eastAsia" w:ascii="宋体" w:hAnsi="宋体" w:eastAsia="宋体" w:cs="宋体"/>
          <w:b/>
          <w:color w:val="auto"/>
          <w:sz w:val="32"/>
          <w:szCs w:val="32"/>
        </w:rPr>
        <w:t>十七、技术方案等</w:t>
      </w:r>
    </w:p>
    <w:p w14:paraId="72908C62">
      <w:pPr>
        <w:pStyle w:val="41"/>
        <w:ind w:left="0" w:firstLine="0"/>
        <w:jc w:val="center"/>
        <w:outlineLvl w:val="1"/>
        <w:rPr>
          <w:rFonts w:hint="eastAsia" w:ascii="宋体" w:hAnsi="宋体" w:eastAsia="宋体" w:cs="宋体"/>
          <w:color w:val="auto"/>
          <w:sz w:val="28"/>
          <w:szCs w:val="24"/>
        </w:rPr>
      </w:pPr>
      <w:r>
        <w:rPr>
          <w:rFonts w:hint="eastAsia" w:ascii="宋体" w:hAnsi="宋体" w:eastAsia="宋体" w:cs="宋体"/>
          <w:color w:val="auto"/>
          <w:sz w:val="28"/>
          <w:szCs w:val="24"/>
        </w:rPr>
        <w:t>（内容主要为评分要素的相关技术资料等）</w:t>
      </w:r>
    </w:p>
    <w:p w14:paraId="28B93CF0">
      <w:pPr>
        <w:rPr>
          <w:rFonts w:hint="eastAsia" w:ascii="宋体" w:hAnsi="宋体" w:eastAsia="宋体" w:cs="宋体"/>
          <w:color w:val="auto"/>
          <w:sz w:val="28"/>
        </w:rPr>
      </w:pPr>
      <w:r>
        <w:rPr>
          <w:rFonts w:hint="eastAsia" w:ascii="宋体" w:hAnsi="宋体" w:eastAsia="宋体" w:cs="宋体"/>
          <w:color w:val="auto"/>
          <w:sz w:val="28"/>
        </w:rPr>
        <w:br w:type="page" w:clear="all"/>
      </w:r>
    </w:p>
    <w:p w14:paraId="668DD46F">
      <w:pPr>
        <w:widowControl/>
        <w:spacing w:before="50" w:after="50"/>
        <w:jc w:val="center"/>
        <w:rPr>
          <w:rFonts w:hint="eastAsia" w:ascii="宋体" w:hAnsi="宋体" w:eastAsia="宋体" w:cs="宋体"/>
          <w:color w:val="auto"/>
          <w:sz w:val="32"/>
          <w:szCs w:val="32"/>
        </w:rPr>
      </w:pPr>
    </w:p>
    <w:p w14:paraId="0CA4EEDB">
      <w:pPr>
        <w:widowControl/>
        <w:spacing w:before="50" w:after="50"/>
        <w:jc w:val="center"/>
        <w:outlineLvl w:val="1"/>
        <w:rPr>
          <w:rFonts w:hint="eastAsia" w:ascii="宋体" w:hAnsi="宋体" w:eastAsia="宋体" w:cs="宋体"/>
          <w:color w:val="auto"/>
          <w:sz w:val="24"/>
        </w:rPr>
      </w:pPr>
      <w:r>
        <w:rPr>
          <w:rFonts w:hint="eastAsia" w:ascii="宋体" w:hAnsi="宋体" w:eastAsia="宋体" w:cs="宋体"/>
          <w:b/>
          <w:color w:val="auto"/>
          <w:sz w:val="32"/>
          <w:szCs w:val="32"/>
        </w:rPr>
        <w:t>十八、招标文件要求提供或投标人认为需要提供的其他材料等</w:t>
      </w:r>
    </w:p>
    <w:p w14:paraId="4980E831">
      <w:pPr>
        <w:pStyle w:val="39"/>
        <w:tabs>
          <w:tab w:val="left" w:pos="2160"/>
        </w:tabs>
        <w:spacing w:beforeAutospacing="0" w:afterAutospacing="0"/>
        <w:jc w:val="both"/>
        <w:rPr>
          <w:rFonts w:hint="eastAsia" w:ascii="宋体" w:hAnsi="宋体" w:eastAsia="宋体" w:cs="宋体"/>
          <w:color w:val="auto"/>
        </w:rPr>
      </w:pPr>
    </w:p>
    <w:p w14:paraId="34E65838">
      <w:pPr>
        <w:widowControl/>
        <w:spacing w:line="499" w:lineRule="atLeast"/>
        <w:ind w:firstLine="1600"/>
        <w:rPr>
          <w:rFonts w:hint="eastAsia" w:ascii="宋体" w:hAnsi="宋体" w:eastAsia="宋体" w:cs="宋体"/>
          <w:color w:val="auto"/>
          <w:sz w:val="32"/>
          <w:szCs w:val="32"/>
        </w:rPr>
      </w:pPr>
    </w:p>
    <w:p w14:paraId="0D495EA7">
      <w:pPr>
        <w:widowControl/>
        <w:spacing w:line="499" w:lineRule="atLeast"/>
        <w:ind w:firstLine="1600"/>
        <w:rPr>
          <w:rFonts w:hint="eastAsia" w:ascii="宋体" w:hAnsi="宋体" w:eastAsia="宋体" w:cs="宋体"/>
          <w:color w:val="auto"/>
          <w:sz w:val="32"/>
          <w:szCs w:val="32"/>
        </w:rPr>
      </w:pPr>
    </w:p>
    <w:p w14:paraId="738F2E0F">
      <w:pPr>
        <w:widowControl/>
        <w:spacing w:line="499" w:lineRule="atLeast"/>
        <w:ind w:firstLine="1600"/>
        <w:rPr>
          <w:rFonts w:hint="eastAsia" w:ascii="宋体" w:hAnsi="宋体" w:eastAsia="宋体" w:cs="宋体"/>
          <w:color w:val="auto"/>
          <w:sz w:val="32"/>
          <w:szCs w:val="32"/>
        </w:rPr>
      </w:pPr>
    </w:p>
    <w:p w14:paraId="591D009F">
      <w:pPr>
        <w:widowControl/>
        <w:spacing w:line="499" w:lineRule="atLeast"/>
        <w:ind w:firstLine="1600"/>
        <w:rPr>
          <w:rFonts w:hint="eastAsia" w:ascii="宋体" w:hAnsi="宋体" w:eastAsia="宋体" w:cs="宋体"/>
          <w:color w:val="auto"/>
          <w:sz w:val="32"/>
          <w:szCs w:val="32"/>
        </w:rPr>
      </w:pPr>
    </w:p>
    <w:p w14:paraId="45F92E0C">
      <w:pPr>
        <w:widowControl/>
        <w:spacing w:line="499" w:lineRule="atLeast"/>
        <w:ind w:firstLine="1600"/>
        <w:rPr>
          <w:rFonts w:hint="eastAsia" w:ascii="宋体" w:hAnsi="宋体" w:eastAsia="宋体" w:cs="宋体"/>
          <w:color w:val="auto"/>
          <w:sz w:val="32"/>
          <w:szCs w:val="32"/>
        </w:rPr>
      </w:pPr>
    </w:p>
    <w:p w14:paraId="1557C768">
      <w:pPr>
        <w:widowControl/>
        <w:spacing w:line="499" w:lineRule="atLeast"/>
        <w:ind w:firstLine="1600"/>
        <w:rPr>
          <w:rFonts w:hint="eastAsia" w:ascii="宋体" w:hAnsi="宋体" w:eastAsia="宋体" w:cs="宋体"/>
          <w:color w:val="auto"/>
          <w:sz w:val="32"/>
          <w:szCs w:val="32"/>
        </w:rPr>
      </w:pPr>
    </w:p>
    <w:p w14:paraId="7FB55EB5">
      <w:pPr>
        <w:widowControl/>
        <w:spacing w:line="499" w:lineRule="atLeast"/>
        <w:ind w:firstLine="1600"/>
        <w:rPr>
          <w:rFonts w:hint="eastAsia" w:ascii="宋体" w:hAnsi="宋体" w:eastAsia="宋体" w:cs="宋体"/>
          <w:color w:val="auto"/>
          <w:sz w:val="32"/>
          <w:szCs w:val="32"/>
        </w:rPr>
      </w:pPr>
    </w:p>
    <w:p w14:paraId="1E2B46D9">
      <w:pPr>
        <w:widowControl/>
        <w:spacing w:line="499" w:lineRule="atLeast"/>
        <w:ind w:firstLine="1600"/>
        <w:rPr>
          <w:rFonts w:hint="eastAsia" w:ascii="宋体" w:hAnsi="宋体" w:eastAsia="宋体" w:cs="宋体"/>
          <w:color w:val="auto"/>
          <w:sz w:val="32"/>
          <w:szCs w:val="32"/>
        </w:rPr>
      </w:pPr>
    </w:p>
    <w:p w14:paraId="17CABB86">
      <w:pPr>
        <w:widowControl/>
        <w:spacing w:line="499" w:lineRule="atLeast"/>
        <w:ind w:firstLine="1600"/>
        <w:rPr>
          <w:rFonts w:hint="eastAsia" w:ascii="宋体" w:hAnsi="宋体" w:eastAsia="宋体" w:cs="宋体"/>
          <w:color w:val="auto"/>
          <w:sz w:val="32"/>
          <w:szCs w:val="32"/>
        </w:rPr>
      </w:pPr>
    </w:p>
    <w:p w14:paraId="4783EF61">
      <w:pPr>
        <w:widowControl/>
        <w:spacing w:line="499" w:lineRule="atLeast"/>
        <w:ind w:firstLine="1600"/>
        <w:rPr>
          <w:rFonts w:hint="eastAsia" w:ascii="宋体" w:hAnsi="宋体" w:eastAsia="宋体" w:cs="宋体"/>
          <w:color w:val="auto"/>
          <w:sz w:val="32"/>
          <w:szCs w:val="32"/>
        </w:rPr>
      </w:pPr>
    </w:p>
    <w:p w14:paraId="6B3FA20E">
      <w:pPr>
        <w:widowControl/>
        <w:spacing w:line="499" w:lineRule="atLeast"/>
        <w:ind w:firstLine="1600"/>
        <w:rPr>
          <w:rFonts w:hint="eastAsia" w:ascii="宋体" w:hAnsi="宋体" w:eastAsia="宋体" w:cs="宋体"/>
          <w:color w:val="auto"/>
          <w:sz w:val="32"/>
          <w:szCs w:val="32"/>
        </w:rPr>
      </w:pPr>
    </w:p>
    <w:p w14:paraId="0D711130">
      <w:pPr>
        <w:widowControl/>
        <w:spacing w:line="499" w:lineRule="atLeast"/>
        <w:ind w:firstLine="1600"/>
        <w:rPr>
          <w:rFonts w:hint="eastAsia" w:ascii="宋体" w:hAnsi="宋体" w:eastAsia="宋体" w:cs="宋体"/>
          <w:color w:val="auto"/>
          <w:sz w:val="32"/>
          <w:szCs w:val="32"/>
        </w:rPr>
      </w:pPr>
    </w:p>
    <w:p w14:paraId="4D5C4512">
      <w:pPr>
        <w:widowControl/>
        <w:spacing w:line="499" w:lineRule="atLeast"/>
        <w:ind w:firstLine="1600"/>
        <w:rPr>
          <w:rFonts w:hint="eastAsia" w:ascii="宋体" w:hAnsi="宋体" w:eastAsia="宋体" w:cs="宋体"/>
          <w:color w:val="auto"/>
          <w:sz w:val="32"/>
          <w:szCs w:val="32"/>
        </w:rPr>
      </w:pPr>
    </w:p>
    <w:p w14:paraId="2754BB4E">
      <w:pPr>
        <w:widowControl/>
        <w:spacing w:line="499" w:lineRule="atLeast"/>
        <w:ind w:firstLine="1600"/>
        <w:rPr>
          <w:rFonts w:hint="eastAsia" w:ascii="宋体" w:hAnsi="宋体" w:eastAsia="宋体" w:cs="宋体"/>
          <w:color w:val="auto"/>
          <w:sz w:val="32"/>
          <w:szCs w:val="32"/>
        </w:rPr>
      </w:pPr>
    </w:p>
    <w:p w14:paraId="7C23AEAB">
      <w:pPr>
        <w:widowControl/>
        <w:spacing w:line="499" w:lineRule="atLeast"/>
        <w:ind w:firstLine="1600"/>
        <w:rPr>
          <w:rFonts w:hint="eastAsia" w:ascii="宋体" w:hAnsi="宋体" w:eastAsia="宋体" w:cs="宋体"/>
          <w:color w:val="auto"/>
          <w:sz w:val="32"/>
          <w:szCs w:val="32"/>
        </w:rPr>
      </w:pPr>
    </w:p>
    <w:p w14:paraId="6678E993">
      <w:pPr>
        <w:widowControl/>
        <w:spacing w:line="499" w:lineRule="atLeast"/>
        <w:ind w:firstLine="1600"/>
        <w:rPr>
          <w:rFonts w:hint="eastAsia" w:ascii="宋体" w:hAnsi="宋体" w:eastAsia="宋体" w:cs="宋体"/>
          <w:color w:val="auto"/>
          <w:sz w:val="32"/>
          <w:szCs w:val="32"/>
        </w:rPr>
      </w:pPr>
    </w:p>
    <w:p w14:paraId="01B0FF04">
      <w:pPr>
        <w:widowControl/>
        <w:spacing w:line="499" w:lineRule="atLeast"/>
        <w:ind w:firstLine="1600"/>
        <w:rPr>
          <w:rFonts w:hint="eastAsia" w:ascii="宋体" w:hAnsi="宋体" w:eastAsia="宋体" w:cs="宋体"/>
          <w:color w:val="auto"/>
          <w:sz w:val="32"/>
          <w:szCs w:val="32"/>
        </w:rPr>
      </w:pPr>
    </w:p>
    <w:p w14:paraId="6E1ACE16">
      <w:pPr>
        <w:widowControl/>
        <w:spacing w:line="499" w:lineRule="atLeast"/>
        <w:ind w:firstLine="1600"/>
        <w:rPr>
          <w:rFonts w:hint="eastAsia" w:ascii="宋体" w:hAnsi="宋体" w:eastAsia="宋体" w:cs="宋体"/>
          <w:color w:val="auto"/>
          <w:sz w:val="32"/>
          <w:szCs w:val="32"/>
        </w:rPr>
      </w:pPr>
    </w:p>
    <w:p w14:paraId="436F76BC">
      <w:pPr>
        <w:widowControl/>
        <w:spacing w:line="499" w:lineRule="atLeast"/>
        <w:ind w:firstLine="1600"/>
        <w:rPr>
          <w:rFonts w:hint="eastAsia" w:ascii="宋体" w:hAnsi="宋体" w:eastAsia="宋体" w:cs="宋体"/>
          <w:color w:val="auto"/>
          <w:sz w:val="32"/>
          <w:szCs w:val="32"/>
        </w:rPr>
      </w:pPr>
    </w:p>
    <w:p w14:paraId="59F73110">
      <w:pPr>
        <w:widowControl/>
        <w:spacing w:line="499" w:lineRule="atLeast"/>
        <w:ind w:firstLine="1600"/>
        <w:outlineLvl w:val="1"/>
        <w:rPr>
          <w:rFonts w:ascii="黑体" w:hAnsi="Times New Roman" w:eastAsia="黑体" w:cs="黑体"/>
          <w:b/>
          <w:color w:val="auto"/>
          <w:sz w:val="32"/>
          <w:szCs w:val="32"/>
        </w:rPr>
        <w:sectPr>
          <w:pgSz w:w="11906" w:h="16838"/>
          <w:pgMar w:top="1559" w:right="1417" w:bottom="1440" w:left="1417" w:header="851" w:footer="992" w:gutter="0"/>
          <w:cols w:space="425" w:num="1"/>
          <w:docGrid w:linePitch="360" w:charSpace="0"/>
        </w:sectPr>
      </w:pPr>
    </w:p>
    <w:p w14:paraId="01F23C91">
      <w:pPr>
        <w:widowControl/>
        <w:spacing w:line="499" w:lineRule="atLeast"/>
        <w:ind w:firstLine="1600"/>
        <w:outlineLvl w:val="1"/>
        <w:rPr>
          <w:rFonts w:hint="eastAsia" w:ascii="宋体" w:hAnsi="宋体" w:eastAsia="宋体" w:cs="宋体"/>
          <w:color w:val="auto"/>
          <w:sz w:val="24"/>
        </w:rPr>
      </w:pPr>
      <w:r>
        <w:rPr>
          <w:rFonts w:hint="eastAsia" w:ascii="宋体" w:hAnsi="宋体" w:eastAsia="宋体" w:cs="宋体"/>
          <w:b/>
          <w:color w:val="auto"/>
          <w:sz w:val="32"/>
          <w:szCs w:val="32"/>
        </w:rPr>
        <w:t>十九、盐城市政府采购事前信用承诺书</w:t>
      </w:r>
    </w:p>
    <w:p w14:paraId="0A1F0B6C">
      <w:pPr>
        <w:widowControl/>
        <w:spacing w:line="499" w:lineRule="atLeast"/>
        <w:ind w:firstLine="640"/>
        <w:jc w:val="left"/>
        <w:rPr>
          <w:rFonts w:hint="eastAsia" w:ascii="宋体" w:hAnsi="宋体" w:eastAsia="宋体" w:cs="宋体"/>
          <w:color w:val="auto"/>
          <w:sz w:val="24"/>
        </w:rPr>
      </w:pPr>
      <w:r>
        <w:rPr>
          <w:rFonts w:hint="eastAsia" w:ascii="宋体" w:hAnsi="宋体" w:eastAsia="宋体" w:cs="宋体"/>
          <w:color w:val="auto"/>
          <w:sz w:val="32"/>
          <w:szCs w:val="32"/>
        </w:rPr>
        <w:t> </w:t>
      </w:r>
    </w:p>
    <w:p w14:paraId="55E7C455">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为营造我市公开、公平、公正、诚实守信的政府采购交易环境，树立诚信守法的投标人形象，本人代表本单位作出以下承诺：</w:t>
      </w:r>
    </w:p>
    <w:p w14:paraId="75B944FC">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（一）本单位对所提交的企（事）业单位基本信息、企（事）业负责人、</w:t>
      </w:r>
      <w:r>
        <w:rPr>
          <w:rFonts w:hint="eastAsia" w:ascii="宋体" w:hAnsi="宋体" w:eastAsia="宋体" w:cs="宋体"/>
          <w:color w:val="auto"/>
          <w:sz w:val="24"/>
          <w:lang w:eastAsia="zh-CN"/>
        </w:rPr>
        <w:t>技术领队</w:t>
      </w:r>
      <w:r>
        <w:rPr>
          <w:rFonts w:hint="eastAsia" w:ascii="宋体" w:hAnsi="宋体" w:eastAsia="宋体" w:cs="宋体"/>
          <w:color w:val="auto"/>
          <w:sz w:val="24"/>
        </w:rPr>
        <w:t>、从业资质和资格、业绩、财务状况、信誉等所有资料，均合法、真实、准确、有效，无任何伪造、修改、虚假成份，并对所提供资料的真实性负责；</w:t>
      </w:r>
    </w:p>
    <w:p w14:paraId="4BAA9F78">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70BCD8E">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（三）严格依照国家和省、市关于政府采购的法律、法规、规章、规范性文件，参加政府采购投标活动；积极履行社会责任，促进廉政建设；</w:t>
      </w:r>
    </w:p>
    <w:p w14:paraId="652C2CCE">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（四）严格遵守即时信息公示规定，及时维护和更新维护和更新盐城市政府采购网中与本单位相关的信息；</w:t>
      </w:r>
    </w:p>
    <w:p w14:paraId="0059015E">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3C4C6D6">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（六）自觉接受政府、行业组织、社会公众、新闻舆论的监督；</w:t>
      </w:r>
    </w:p>
    <w:p w14:paraId="6140C483">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75C5858">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（八）本人已认真阅读了上述承诺，并向本单位员工作了宣传教育。</w:t>
      </w:r>
    </w:p>
    <w:p w14:paraId="7A46E27E">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法定代表人签名：</w:t>
      </w:r>
    </w:p>
    <w:p w14:paraId="2AA01183">
      <w:pPr>
        <w:widowControl/>
        <w:spacing w:line="499" w:lineRule="atLeast"/>
        <w:jc w:val="center"/>
        <w:rPr>
          <w:rFonts w:hint="eastAsia" w:ascii="宋体" w:hAnsi="宋体" w:eastAsia="宋体" w:cs="宋体"/>
          <w:color w:val="auto"/>
          <w:sz w:val="24"/>
        </w:rPr>
      </w:pPr>
      <w:r>
        <w:rPr>
          <w:rFonts w:hint="eastAsia" w:ascii="宋体" w:hAnsi="宋体" w:eastAsia="宋体" w:cs="宋体"/>
          <w:color w:val="auto"/>
          <w:sz w:val="24"/>
        </w:rPr>
        <w:t>                   单位名称（盖章）：</w:t>
      </w:r>
    </w:p>
    <w:p w14:paraId="2F4BFFA3">
      <w:pPr>
        <w:widowControl/>
        <w:spacing w:line="499" w:lineRule="atLeast"/>
        <w:jc w:val="center"/>
        <w:rPr>
          <w:rFonts w:hint="eastAsia" w:ascii="宋体" w:hAnsi="宋体" w:eastAsia="宋体" w:cs="宋体"/>
          <w:color w:val="auto"/>
          <w:sz w:val="24"/>
        </w:rPr>
      </w:pPr>
      <w:r>
        <w:rPr>
          <w:rFonts w:hint="eastAsia" w:ascii="宋体" w:hAnsi="宋体" w:eastAsia="宋体" w:cs="宋体"/>
          <w:color w:val="auto"/>
          <w:sz w:val="24"/>
        </w:rPr>
        <w:t>                      年月日</w:t>
      </w:r>
    </w:p>
    <w:bookmarkEnd w:id="26"/>
    <w:bookmarkEnd w:id="43"/>
    <w:bookmarkEnd w:id="88"/>
    <w:bookmarkEnd w:id="89"/>
    <w:bookmarkEnd w:id="90"/>
    <w:bookmarkEnd w:id="93"/>
    <w:bookmarkEnd w:id="94"/>
    <w:bookmarkEnd w:id="95"/>
    <w:bookmarkEnd w:id="96"/>
    <w:bookmarkEnd w:id="97"/>
    <w:bookmarkEnd w:id="98"/>
    <w:bookmarkEnd w:id="99"/>
    <w:bookmarkEnd w:id="100"/>
    <w:bookmarkEnd w:id="101"/>
    <w:bookmarkEnd w:id="102"/>
    <w:bookmarkEnd w:id="103"/>
    <w:bookmarkEnd w:id="104"/>
    <w:bookmarkEnd w:id="105"/>
    <w:bookmarkEnd w:id="110"/>
    <w:bookmarkEnd w:id="111"/>
    <w:bookmarkEnd w:id="112"/>
    <w:bookmarkEnd w:id="117"/>
    <w:bookmarkEnd w:id="118"/>
    <w:bookmarkEnd w:id="125"/>
    <w:bookmarkEnd w:id="177"/>
    <w:bookmarkEnd w:id="181"/>
    <w:bookmarkEnd w:id="185"/>
    <w:bookmarkEnd w:id="186"/>
    <w:bookmarkEnd w:id="188"/>
    <w:bookmarkEnd w:id="189"/>
    <w:bookmarkEnd w:id="190"/>
    <w:bookmarkEnd w:id="191"/>
    <w:bookmarkEnd w:id="200"/>
    <w:bookmarkEnd w:id="201"/>
    <w:bookmarkEnd w:id="202"/>
    <w:bookmarkEnd w:id="203"/>
    <w:bookmarkEnd w:id="204"/>
    <w:p w14:paraId="6DA638D1">
      <w:pPr>
        <w:pStyle w:val="39"/>
        <w:spacing w:beforeAutospacing="0" w:afterAutospacing="0"/>
        <w:jc w:val="center"/>
        <w:rPr>
          <w:rFonts w:hint="eastAsia" w:ascii="宋体" w:hAnsi="宋体" w:eastAsia="宋体" w:cs="宋体"/>
          <w:color w:val="auto"/>
        </w:rPr>
      </w:pPr>
    </w:p>
    <w:p w14:paraId="76F77046">
      <w:pPr>
        <w:rPr>
          <w:rFonts w:hint="eastAsia" w:ascii="宋体" w:hAnsi="宋体" w:eastAsia="宋体" w:cs="宋体"/>
          <w:color w:val="auto"/>
        </w:rPr>
      </w:pPr>
    </w:p>
    <w:p w14:paraId="1734D762">
      <w:pPr>
        <w:pStyle w:val="39"/>
        <w:spacing w:beforeAutospacing="0" w:afterAutospacing="0"/>
        <w:jc w:val="center"/>
        <w:rPr>
          <w:rFonts w:hint="eastAsia" w:ascii="宋体" w:hAnsi="宋体" w:eastAsia="宋体" w:cs="宋体"/>
          <w:b/>
          <w:color w:val="auto"/>
          <w:sz w:val="32"/>
          <w:szCs w:val="32"/>
        </w:rPr>
        <w:sectPr>
          <w:pgSz w:w="11906" w:h="16838"/>
          <w:pgMar w:top="1559" w:right="1417" w:bottom="1440" w:left="1417" w:header="851" w:footer="992" w:gutter="0"/>
          <w:cols w:space="425" w:num="1"/>
          <w:docGrid w:linePitch="360" w:charSpace="0"/>
        </w:sectPr>
      </w:pPr>
    </w:p>
    <w:p w14:paraId="1421BB92">
      <w:pPr>
        <w:pStyle w:val="39"/>
        <w:spacing w:beforeAutospacing="0" w:afterAutospacing="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质疑函范本</w:t>
      </w:r>
    </w:p>
    <w:p w14:paraId="68A7A13F">
      <w:pPr>
        <w:pStyle w:val="39"/>
        <w:spacing w:before="290"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一、质疑供应商基本信息</w:t>
      </w:r>
    </w:p>
    <w:p w14:paraId="17AAC32C">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质疑供应商：</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0618F981">
      <w:pPr>
        <w:pStyle w:val="39"/>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w:t>
      </w:r>
    </w:p>
    <w:p w14:paraId="08B36D54">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邮编：</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69E6CBA4">
      <w:pPr>
        <w:pStyle w:val="39"/>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联系人：</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443B7DB7">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联系电话：</w:t>
      </w:r>
      <w:r>
        <w:rPr>
          <w:rFonts w:hint="eastAsia" w:ascii="宋体" w:hAnsi="宋体" w:eastAsia="宋体" w:cs="宋体"/>
          <w:color w:val="auto"/>
          <w:u w:val="single"/>
        </w:rPr>
        <w:t xml:space="preserve">                                           </w:t>
      </w:r>
    </w:p>
    <w:p w14:paraId="2A590566">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授权代表：</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5E5E8CE4">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联系电话：</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5987EBD7">
      <w:pPr>
        <w:pStyle w:val="39"/>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地址： </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0BDB2189">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邮编：</w:t>
      </w:r>
      <w:r>
        <w:rPr>
          <w:rFonts w:hint="eastAsia" w:ascii="宋体" w:hAnsi="宋体" w:eastAsia="宋体" w:cs="宋体"/>
          <w:color w:val="auto"/>
          <w:u w:val="single"/>
        </w:rPr>
        <w:t xml:space="preserve">                                </w:t>
      </w:r>
    </w:p>
    <w:p w14:paraId="3527BD51">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二、质疑项目基本情况</w:t>
      </w:r>
    </w:p>
    <w:p w14:paraId="2CD30502">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质疑项目的名称：</w:t>
      </w:r>
      <w:r>
        <w:rPr>
          <w:rFonts w:hint="eastAsia" w:ascii="宋体" w:hAnsi="宋体" w:eastAsia="宋体" w:cs="宋体"/>
          <w:color w:val="auto"/>
          <w:u w:val="single"/>
        </w:rPr>
        <w:t xml:space="preserve">                            </w:t>
      </w:r>
    </w:p>
    <w:p w14:paraId="7B6721C3">
      <w:pPr>
        <w:pStyle w:val="39"/>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质疑项目的编号：</w:t>
      </w:r>
      <w:r>
        <w:rPr>
          <w:rFonts w:hint="eastAsia" w:ascii="宋体" w:hAnsi="宋体" w:eastAsia="宋体" w:cs="宋体"/>
          <w:color w:val="auto"/>
          <w:u w:val="single"/>
        </w:rPr>
        <w:t xml:space="preserve">                          </w:t>
      </w:r>
    </w:p>
    <w:p w14:paraId="4EFEBB4C">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40BFAB6C">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采购人名称：</w:t>
      </w:r>
      <w:r>
        <w:rPr>
          <w:rFonts w:hint="eastAsia" w:ascii="宋体" w:hAnsi="宋体" w:eastAsia="宋体" w:cs="宋体"/>
          <w:color w:val="auto"/>
          <w:u w:val="single"/>
        </w:rPr>
        <w:t xml:space="preserve">                            </w:t>
      </w:r>
    </w:p>
    <w:p w14:paraId="1ED687C3">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采购文件获取日期：</w:t>
      </w:r>
      <w:r>
        <w:rPr>
          <w:rFonts w:hint="eastAsia" w:ascii="宋体" w:hAnsi="宋体" w:eastAsia="宋体" w:cs="宋体"/>
          <w:color w:val="auto"/>
          <w:u w:val="single"/>
        </w:rPr>
        <w:t xml:space="preserve">                             </w:t>
      </w:r>
    </w:p>
    <w:p w14:paraId="35CF26AE">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三、质疑事项具体内容</w:t>
      </w:r>
    </w:p>
    <w:p w14:paraId="1BF27924">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质疑事项1：</w:t>
      </w:r>
      <w:r>
        <w:rPr>
          <w:rFonts w:hint="eastAsia" w:ascii="宋体" w:hAnsi="宋体" w:eastAsia="宋体" w:cs="宋体"/>
          <w:color w:val="auto"/>
          <w:u w:val="single"/>
        </w:rPr>
        <w:t xml:space="preserve">                             </w:t>
      </w:r>
    </w:p>
    <w:p w14:paraId="6F1E238A">
      <w:pPr>
        <w:pStyle w:val="39"/>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事实依据：</w:t>
      </w:r>
      <w:r>
        <w:rPr>
          <w:rFonts w:hint="eastAsia" w:ascii="宋体" w:hAnsi="宋体" w:eastAsia="宋体" w:cs="宋体"/>
          <w:color w:val="auto"/>
          <w:u w:val="single"/>
        </w:rPr>
        <w:t xml:space="preserve">                                                   </w:t>
      </w:r>
    </w:p>
    <w:p w14:paraId="1E769014">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法律依据：</w:t>
      </w:r>
      <w:r>
        <w:rPr>
          <w:rFonts w:hint="eastAsia" w:ascii="宋体" w:hAnsi="宋体" w:eastAsia="宋体" w:cs="宋体"/>
          <w:color w:val="auto"/>
          <w:u w:val="single"/>
        </w:rPr>
        <w:t xml:space="preserve">                                                    </w:t>
      </w:r>
    </w:p>
    <w:p w14:paraId="5E2A3096">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质疑事项2</w:t>
      </w:r>
    </w:p>
    <w:p w14:paraId="4067D11E">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w:t>
      </w:r>
    </w:p>
    <w:p w14:paraId="7EEE838F">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四、与质疑事项相关的质疑请求</w:t>
      </w:r>
    </w:p>
    <w:p w14:paraId="5B445B87">
      <w:pPr>
        <w:pStyle w:val="39"/>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请求：</w:t>
      </w:r>
      <w:r>
        <w:rPr>
          <w:rFonts w:hint="eastAsia" w:ascii="宋体" w:hAnsi="宋体" w:eastAsia="宋体" w:cs="宋体"/>
          <w:color w:val="auto"/>
          <w:u w:val="single"/>
        </w:rPr>
        <w:t xml:space="preserve">                                                          </w:t>
      </w:r>
    </w:p>
    <w:p w14:paraId="7AAEA38B">
      <w:pPr>
        <w:pStyle w:val="39"/>
        <w:spacing w:beforeAutospacing="0" w:afterAutospacing="0"/>
        <w:jc w:val="both"/>
        <w:rPr>
          <w:rFonts w:hint="eastAsia" w:ascii="宋体" w:hAnsi="宋体" w:eastAsia="宋体" w:cs="宋体"/>
          <w:color w:val="auto"/>
        </w:rPr>
      </w:pPr>
      <w:r>
        <w:rPr>
          <w:rFonts w:hint="eastAsia" w:ascii="宋体" w:hAnsi="宋体" w:eastAsia="宋体" w:cs="宋体"/>
          <w:color w:val="auto"/>
        </w:rPr>
        <w:t xml:space="preserve">签字(签章)：                 公章：               日期：    </w:t>
      </w:r>
    </w:p>
    <w:p w14:paraId="459309F2">
      <w:pPr>
        <w:pStyle w:val="39"/>
        <w:spacing w:beforeAutospacing="0" w:afterAutospacing="0" w:line="0" w:lineRule="atLeast"/>
        <w:jc w:val="both"/>
        <w:rPr>
          <w:rFonts w:hint="eastAsia" w:ascii="宋体" w:hAnsi="宋体" w:eastAsia="宋体" w:cs="宋体"/>
          <w:color w:val="auto"/>
        </w:rPr>
      </w:pPr>
      <w:r>
        <w:rPr>
          <w:rFonts w:hint="eastAsia" w:ascii="宋体" w:hAnsi="宋体" w:eastAsia="宋体" w:cs="宋体"/>
          <w:b/>
          <w:color w:val="auto"/>
        </w:rPr>
        <w:t>质疑函制作说明：</w:t>
      </w:r>
    </w:p>
    <w:p w14:paraId="64D2DD8B">
      <w:pPr>
        <w:pStyle w:val="39"/>
        <w:widowControl/>
        <w:spacing w:beforeAutospacing="0" w:afterAutospacing="0" w:line="0" w:lineRule="atLeast"/>
        <w:ind w:firstLine="480"/>
        <w:rPr>
          <w:rFonts w:hint="eastAsia" w:ascii="宋体" w:hAnsi="宋体" w:eastAsia="宋体" w:cs="宋体"/>
          <w:color w:val="auto"/>
        </w:rPr>
      </w:pPr>
      <w:r>
        <w:rPr>
          <w:rFonts w:hint="eastAsia" w:ascii="宋体" w:hAnsi="宋体" w:eastAsia="宋体" w:cs="宋体"/>
          <w:color w:val="auto"/>
        </w:rPr>
        <w:t>1.供应商提出质疑时，应提交质疑函和必要的证明材料。</w:t>
      </w:r>
    </w:p>
    <w:p w14:paraId="0E925DAF">
      <w:pPr>
        <w:pStyle w:val="39"/>
        <w:widowControl/>
        <w:spacing w:beforeAutospacing="0" w:afterAutospacing="0" w:line="0" w:lineRule="atLeast"/>
        <w:ind w:firstLine="480"/>
        <w:rPr>
          <w:rFonts w:hint="eastAsia" w:ascii="宋体" w:hAnsi="宋体" w:eastAsia="宋体" w:cs="宋体"/>
          <w:color w:val="auto"/>
        </w:rPr>
      </w:pPr>
      <w:r>
        <w:rPr>
          <w:rFonts w:hint="eastAsia" w:ascii="宋体" w:hAnsi="宋体" w:eastAsia="宋体" w:cs="宋体"/>
          <w:color w:va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BD9D543">
      <w:pPr>
        <w:pStyle w:val="39"/>
        <w:widowControl/>
        <w:spacing w:beforeAutospacing="0" w:afterAutospacing="0" w:line="0" w:lineRule="atLeast"/>
        <w:ind w:firstLine="480"/>
        <w:rPr>
          <w:rFonts w:hint="eastAsia" w:ascii="宋体" w:hAnsi="宋体" w:eastAsia="宋体" w:cs="宋体"/>
          <w:color w:val="auto"/>
        </w:rPr>
      </w:pPr>
      <w:r>
        <w:rPr>
          <w:rFonts w:hint="eastAsia" w:ascii="宋体" w:hAnsi="宋体" w:eastAsia="宋体" w:cs="宋体"/>
          <w:color w:val="auto"/>
        </w:rPr>
        <w:t>3.质疑供应商若对项目的某一分包进行质疑，质疑函中应列明具体分包号。</w:t>
      </w:r>
    </w:p>
    <w:p w14:paraId="35BC8EBA">
      <w:pPr>
        <w:pStyle w:val="39"/>
        <w:widowControl/>
        <w:spacing w:beforeAutospacing="0" w:afterAutospacing="0" w:line="0" w:lineRule="atLeast"/>
        <w:ind w:firstLine="480"/>
        <w:rPr>
          <w:rFonts w:hint="eastAsia" w:ascii="宋体" w:hAnsi="宋体" w:eastAsia="宋体" w:cs="宋体"/>
          <w:color w:val="auto"/>
        </w:rPr>
      </w:pPr>
      <w:r>
        <w:rPr>
          <w:rFonts w:hint="eastAsia" w:ascii="宋体" w:hAnsi="宋体" w:eastAsia="宋体" w:cs="宋体"/>
          <w:color w:val="auto"/>
        </w:rPr>
        <w:t>4.质疑函的质疑事项应具体、明确，并有必要的事实依据和法律依据。</w:t>
      </w:r>
    </w:p>
    <w:p w14:paraId="421C09F0">
      <w:pPr>
        <w:pStyle w:val="39"/>
        <w:widowControl/>
        <w:spacing w:beforeAutospacing="0" w:afterAutospacing="0" w:line="0" w:lineRule="atLeast"/>
        <w:ind w:firstLine="480"/>
        <w:rPr>
          <w:rFonts w:hint="eastAsia" w:ascii="宋体" w:hAnsi="宋体" w:eastAsia="宋体" w:cs="宋体"/>
          <w:color w:val="auto"/>
        </w:rPr>
      </w:pPr>
      <w:r>
        <w:rPr>
          <w:rFonts w:hint="eastAsia" w:ascii="宋体" w:hAnsi="宋体" w:eastAsia="宋体" w:cs="宋体"/>
          <w:color w:val="auto"/>
        </w:rPr>
        <w:t>5.质疑函的质疑请求应与质疑事项相关。</w:t>
      </w:r>
    </w:p>
    <w:p w14:paraId="108DA050">
      <w:pPr>
        <w:pStyle w:val="39"/>
        <w:widowControl/>
        <w:spacing w:beforeAutospacing="0" w:afterAutospacing="0" w:line="0" w:lineRule="atLeast"/>
        <w:ind w:firstLine="480"/>
        <w:rPr>
          <w:rFonts w:hint="eastAsia" w:ascii="宋体" w:hAnsi="宋体" w:eastAsia="宋体" w:cs="宋体"/>
          <w:color w:val="auto"/>
        </w:rPr>
      </w:pPr>
      <w:r>
        <w:rPr>
          <w:rFonts w:hint="eastAsia" w:ascii="宋体" w:hAnsi="宋体" w:eastAsia="宋体" w:cs="宋体"/>
          <w:color w:val="auto"/>
        </w:rPr>
        <w:t>6.质疑供应商为自然人的，质疑函应由本人签字；质疑供应商为法人或者其他组织的，质疑函应由法定代表人、主要负责人，或者其授权代表签字或者盖章，并加盖公章。</w:t>
      </w:r>
    </w:p>
    <w:p w14:paraId="44F01FBB">
      <w:pPr>
        <w:pStyle w:val="39"/>
        <w:spacing w:beforeAutospacing="0" w:afterAutospacing="0"/>
        <w:ind w:firstLine="420"/>
        <w:jc w:val="both"/>
        <w:rPr>
          <w:rFonts w:hint="eastAsia" w:ascii="宋体" w:hAnsi="宋体" w:eastAsia="宋体" w:cs="宋体"/>
          <w:color w:val="auto"/>
        </w:rPr>
      </w:pPr>
      <w:r>
        <w:rPr>
          <w:rFonts w:hint="eastAsia" w:ascii="宋体" w:hAnsi="宋体" w:eastAsia="宋体" w:cs="宋体"/>
          <w:color w:val="auto"/>
        </w:rPr>
        <w:t> </w:t>
      </w:r>
    </w:p>
    <w:p w14:paraId="32F07340">
      <w:pPr>
        <w:rPr>
          <w:rFonts w:hint="eastAsia" w:ascii="宋体" w:hAnsi="宋体" w:eastAsia="宋体" w:cs="宋体"/>
          <w:color w:val="auto"/>
        </w:rPr>
      </w:pPr>
    </w:p>
    <w:sectPr>
      <w:pgSz w:w="11906" w:h="16838"/>
      <w:pgMar w:top="1559" w:right="1417" w:bottom="1440" w:left="141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11523">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6496CC">
                          <w:pPr>
                            <w:pStyle w:val="2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D6496CC">
                    <w:pPr>
                      <w:pStyle w:val="28"/>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B902"/>
    <w:multiLevelType w:val="multilevel"/>
    <w:tmpl w:val="9288B902"/>
    <w:lvl w:ilvl="0" w:tentative="0">
      <w:start w:val="1"/>
      <w:numFmt w:val="decimal"/>
      <w:lvlText w:val="%1、"/>
      <w:lvlJc w:val="left"/>
      <w:pPr>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5528E"/>
    <w:rsid w:val="00365EF3"/>
    <w:rsid w:val="00424650"/>
    <w:rsid w:val="004378B9"/>
    <w:rsid w:val="007852D0"/>
    <w:rsid w:val="008252F5"/>
    <w:rsid w:val="009D570A"/>
    <w:rsid w:val="00B3419C"/>
    <w:rsid w:val="00B34E72"/>
    <w:rsid w:val="00C4171E"/>
    <w:rsid w:val="00CD5A5B"/>
    <w:rsid w:val="00DF4D5D"/>
    <w:rsid w:val="01083069"/>
    <w:rsid w:val="04F613E7"/>
    <w:rsid w:val="05014C42"/>
    <w:rsid w:val="050339C8"/>
    <w:rsid w:val="05BC4ED6"/>
    <w:rsid w:val="06091AAC"/>
    <w:rsid w:val="0690109C"/>
    <w:rsid w:val="06C93DA0"/>
    <w:rsid w:val="06FB7EA8"/>
    <w:rsid w:val="07227628"/>
    <w:rsid w:val="076D6F60"/>
    <w:rsid w:val="07844961"/>
    <w:rsid w:val="07A42198"/>
    <w:rsid w:val="0A5C798D"/>
    <w:rsid w:val="0A945272"/>
    <w:rsid w:val="0B3E1E23"/>
    <w:rsid w:val="0BFC291F"/>
    <w:rsid w:val="0C422A16"/>
    <w:rsid w:val="0C9561C7"/>
    <w:rsid w:val="0CB64922"/>
    <w:rsid w:val="0DA44727"/>
    <w:rsid w:val="0E0B47F4"/>
    <w:rsid w:val="0E183F30"/>
    <w:rsid w:val="0E752FC5"/>
    <w:rsid w:val="0F1E4205"/>
    <w:rsid w:val="0F4448BA"/>
    <w:rsid w:val="0FB56DA3"/>
    <w:rsid w:val="0FEB19AA"/>
    <w:rsid w:val="10700523"/>
    <w:rsid w:val="11865C8A"/>
    <w:rsid w:val="119F0DBE"/>
    <w:rsid w:val="12505591"/>
    <w:rsid w:val="12795645"/>
    <w:rsid w:val="12FF0327"/>
    <w:rsid w:val="1324790A"/>
    <w:rsid w:val="13ED1A3D"/>
    <w:rsid w:val="14372CAA"/>
    <w:rsid w:val="1444244B"/>
    <w:rsid w:val="146A33AA"/>
    <w:rsid w:val="14716E2B"/>
    <w:rsid w:val="17AE3BEC"/>
    <w:rsid w:val="17C1670D"/>
    <w:rsid w:val="17EC4792"/>
    <w:rsid w:val="187901D2"/>
    <w:rsid w:val="1906049B"/>
    <w:rsid w:val="197779E3"/>
    <w:rsid w:val="1997062A"/>
    <w:rsid w:val="1B3A1E71"/>
    <w:rsid w:val="1B404A63"/>
    <w:rsid w:val="1B6B1C7B"/>
    <w:rsid w:val="1B8864C9"/>
    <w:rsid w:val="1BA67FAE"/>
    <w:rsid w:val="1C7601C2"/>
    <w:rsid w:val="1C87045D"/>
    <w:rsid w:val="1CB82E2A"/>
    <w:rsid w:val="1CC97E75"/>
    <w:rsid w:val="1CFF7692"/>
    <w:rsid w:val="1D4D0154"/>
    <w:rsid w:val="1E2223FC"/>
    <w:rsid w:val="1E8345A4"/>
    <w:rsid w:val="1ED335EA"/>
    <w:rsid w:val="1F014240"/>
    <w:rsid w:val="20074B9B"/>
    <w:rsid w:val="20A379C0"/>
    <w:rsid w:val="20FB203D"/>
    <w:rsid w:val="22517D69"/>
    <w:rsid w:val="22E24F49"/>
    <w:rsid w:val="22EA2355"/>
    <w:rsid w:val="23AC43F0"/>
    <w:rsid w:val="23CE7442"/>
    <w:rsid w:val="24B8590D"/>
    <w:rsid w:val="24EA44C6"/>
    <w:rsid w:val="252E4B0E"/>
    <w:rsid w:val="25454733"/>
    <w:rsid w:val="25D21D98"/>
    <w:rsid w:val="25F51053"/>
    <w:rsid w:val="26054179"/>
    <w:rsid w:val="263715EA"/>
    <w:rsid w:val="273E6B9B"/>
    <w:rsid w:val="27636CAC"/>
    <w:rsid w:val="278E4F1E"/>
    <w:rsid w:val="27DA59F1"/>
    <w:rsid w:val="27DC1F8E"/>
    <w:rsid w:val="284260D5"/>
    <w:rsid w:val="28D64338"/>
    <w:rsid w:val="2AF41038"/>
    <w:rsid w:val="2B936055"/>
    <w:rsid w:val="2C01198A"/>
    <w:rsid w:val="2C165923"/>
    <w:rsid w:val="2C5C51D5"/>
    <w:rsid w:val="2D991E91"/>
    <w:rsid w:val="2DE60624"/>
    <w:rsid w:val="2EB21EA1"/>
    <w:rsid w:val="2EBA75EB"/>
    <w:rsid w:val="2F2D0876"/>
    <w:rsid w:val="2F383D49"/>
    <w:rsid w:val="2F691389"/>
    <w:rsid w:val="2FDC027B"/>
    <w:rsid w:val="305C46B5"/>
    <w:rsid w:val="30E16343"/>
    <w:rsid w:val="312241A9"/>
    <w:rsid w:val="312A4579"/>
    <w:rsid w:val="313C4A71"/>
    <w:rsid w:val="31705800"/>
    <w:rsid w:val="31CD77D5"/>
    <w:rsid w:val="31EC7A2C"/>
    <w:rsid w:val="32D12874"/>
    <w:rsid w:val="339C35B9"/>
    <w:rsid w:val="33CC1B89"/>
    <w:rsid w:val="34880513"/>
    <w:rsid w:val="34AD0E0D"/>
    <w:rsid w:val="34BA183E"/>
    <w:rsid w:val="35225BD7"/>
    <w:rsid w:val="359C61EC"/>
    <w:rsid w:val="35D46B3A"/>
    <w:rsid w:val="36B81841"/>
    <w:rsid w:val="37097DD6"/>
    <w:rsid w:val="3715513B"/>
    <w:rsid w:val="377138BD"/>
    <w:rsid w:val="386A108F"/>
    <w:rsid w:val="38AF2D20"/>
    <w:rsid w:val="38D07EDA"/>
    <w:rsid w:val="394A5D8E"/>
    <w:rsid w:val="39566956"/>
    <w:rsid w:val="39651C54"/>
    <w:rsid w:val="39A27B7F"/>
    <w:rsid w:val="39A43E9E"/>
    <w:rsid w:val="39AC298C"/>
    <w:rsid w:val="3A007B82"/>
    <w:rsid w:val="3A6F78AF"/>
    <w:rsid w:val="3A943C28"/>
    <w:rsid w:val="3B9D404A"/>
    <w:rsid w:val="3C790192"/>
    <w:rsid w:val="3CB834AB"/>
    <w:rsid w:val="3CCB71F7"/>
    <w:rsid w:val="3CE86FA5"/>
    <w:rsid w:val="3DF022AF"/>
    <w:rsid w:val="3F42102A"/>
    <w:rsid w:val="3F553510"/>
    <w:rsid w:val="3F68045C"/>
    <w:rsid w:val="40035191"/>
    <w:rsid w:val="40205E84"/>
    <w:rsid w:val="41C460DF"/>
    <w:rsid w:val="42A335BC"/>
    <w:rsid w:val="42E71A52"/>
    <w:rsid w:val="42EE35DB"/>
    <w:rsid w:val="433125CD"/>
    <w:rsid w:val="433575D3"/>
    <w:rsid w:val="43494E9E"/>
    <w:rsid w:val="434A053E"/>
    <w:rsid w:val="4436015C"/>
    <w:rsid w:val="447A2F20"/>
    <w:rsid w:val="44B95392"/>
    <w:rsid w:val="452A31DF"/>
    <w:rsid w:val="45391DA3"/>
    <w:rsid w:val="46321853"/>
    <w:rsid w:val="46415F51"/>
    <w:rsid w:val="46CC7AD8"/>
    <w:rsid w:val="46E0667A"/>
    <w:rsid w:val="47956706"/>
    <w:rsid w:val="48242B78"/>
    <w:rsid w:val="48AE4A70"/>
    <w:rsid w:val="48CB07F4"/>
    <w:rsid w:val="496164BA"/>
    <w:rsid w:val="4A0C520E"/>
    <w:rsid w:val="4AA429EA"/>
    <w:rsid w:val="4ABD16FD"/>
    <w:rsid w:val="4ACA50C0"/>
    <w:rsid w:val="4AD65834"/>
    <w:rsid w:val="4ADC40E1"/>
    <w:rsid w:val="4B30028E"/>
    <w:rsid w:val="4B554205"/>
    <w:rsid w:val="4B6D350A"/>
    <w:rsid w:val="4B937BFB"/>
    <w:rsid w:val="4BBB7ECB"/>
    <w:rsid w:val="4BCC331B"/>
    <w:rsid w:val="4D8D1302"/>
    <w:rsid w:val="4EA97B3B"/>
    <w:rsid w:val="4EE82601"/>
    <w:rsid w:val="4F29184C"/>
    <w:rsid w:val="4F431D5C"/>
    <w:rsid w:val="500D4962"/>
    <w:rsid w:val="501B03CC"/>
    <w:rsid w:val="502E6FE9"/>
    <w:rsid w:val="50C73B1A"/>
    <w:rsid w:val="51AD3E4C"/>
    <w:rsid w:val="51C53C0B"/>
    <w:rsid w:val="51FB5272"/>
    <w:rsid w:val="52501836"/>
    <w:rsid w:val="52C164D5"/>
    <w:rsid w:val="52DD6CFF"/>
    <w:rsid w:val="53103702"/>
    <w:rsid w:val="5314246F"/>
    <w:rsid w:val="53B36CF6"/>
    <w:rsid w:val="55555A7A"/>
    <w:rsid w:val="55867B74"/>
    <w:rsid w:val="55C45E2B"/>
    <w:rsid w:val="56200587"/>
    <w:rsid w:val="566C007F"/>
    <w:rsid w:val="5768381C"/>
    <w:rsid w:val="58A37A7F"/>
    <w:rsid w:val="59771A9C"/>
    <w:rsid w:val="598E2572"/>
    <w:rsid w:val="5A1A1BDF"/>
    <w:rsid w:val="5B056E5D"/>
    <w:rsid w:val="5B351432"/>
    <w:rsid w:val="5B650A58"/>
    <w:rsid w:val="5BB26369"/>
    <w:rsid w:val="5BFB0CBB"/>
    <w:rsid w:val="5C533E08"/>
    <w:rsid w:val="5D3B2A81"/>
    <w:rsid w:val="5DAC5BCA"/>
    <w:rsid w:val="5DDA0055"/>
    <w:rsid w:val="5EEF5505"/>
    <w:rsid w:val="5F324C8B"/>
    <w:rsid w:val="5F4C2F89"/>
    <w:rsid w:val="5FF857FE"/>
    <w:rsid w:val="600F3F1A"/>
    <w:rsid w:val="60DD4245"/>
    <w:rsid w:val="60F606DC"/>
    <w:rsid w:val="61785BBC"/>
    <w:rsid w:val="62B603DC"/>
    <w:rsid w:val="63295453"/>
    <w:rsid w:val="63957059"/>
    <w:rsid w:val="639B000C"/>
    <w:rsid w:val="64292D58"/>
    <w:rsid w:val="64A4332E"/>
    <w:rsid w:val="65CE70EA"/>
    <w:rsid w:val="66682C0E"/>
    <w:rsid w:val="66A5454B"/>
    <w:rsid w:val="66B36B95"/>
    <w:rsid w:val="670113BB"/>
    <w:rsid w:val="6828170F"/>
    <w:rsid w:val="687E5AF0"/>
    <w:rsid w:val="68914086"/>
    <w:rsid w:val="693C511D"/>
    <w:rsid w:val="69A62CAD"/>
    <w:rsid w:val="6A800FD0"/>
    <w:rsid w:val="6AEA2CB9"/>
    <w:rsid w:val="6B570828"/>
    <w:rsid w:val="6B730171"/>
    <w:rsid w:val="6BA90428"/>
    <w:rsid w:val="6CBF4BEE"/>
    <w:rsid w:val="6CC71984"/>
    <w:rsid w:val="6DD53A8B"/>
    <w:rsid w:val="6E2D5DD3"/>
    <w:rsid w:val="6E386D7E"/>
    <w:rsid w:val="6E6B0A03"/>
    <w:rsid w:val="6E9D5809"/>
    <w:rsid w:val="6EAA2897"/>
    <w:rsid w:val="6EEF2B3F"/>
    <w:rsid w:val="6F7076E4"/>
    <w:rsid w:val="70514307"/>
    <w:rsid w:val="709427D5"/>
    <w:rsid w:val="70A11980"/>
    <w:rsid w:val="70DB0B53"/>
    <w:rsid w:val="711527F6"/>
    <w:rsid w:val="722868B6"/>
    <w:rsid w:val="72301CED"/>
    <w:rsid w:val="72AA7EE7"/>
    <w:rsid w:val="730A4E0B"/>
    <w:rsid w:val="730C20CE"/>
    <w:rsid w:val="73BF6014"/>
    <w:rsid w:val="73F46B48"/>
    <w:rsid w:val="740142A1"/>
    <w:rsid w:val="74877556"/>
    <w:rsid w:val="752F2B2A"/>
    <w:rsid w:val="754170B0"/>
    <w:rsid w:val="756845CD"/>
    <w:rsid w:val="75726569"/>
    <w:rsid w:val="76450616"/>
    <w:rsid w:val="76B2689A"/>
    <w:rsid w:val="77FD2B68"/>
    <w:rsid w:val="7812701B"/>
    <w:rsid w:val="797A69A3"/>
    <w:rsid w:val="7999518A"/>
    <w:rsid w:val="79AC1167"/>
    <w:rsid w:val="79D57D57"/>
    <w:rsid w:val="79DD23FB"/>
    <w:rsid w:val="7A0C1EEE"/>
    <w:rsid w:val="7A1524D6"/>
    <w:rsid w:val="7B070BE4"/>
    <w:rsid w:val="7B110369"/>
    <w:rsid w:val="7B171055"/>
    <w:rsid w:val="7B406801"/>
    <w:rsid w:val="7C0A6A36"/>
    <w:rsid w:val="7C5E1196"/>
    <w:rsid w:val="7D633A18"/>
    <w:rsid w:val="7E4671B1"/>
    <w:rsid w:val="7E4B2F3F"/>
    <w:rsid w:val="7EA810DB"/>
    <w:rsid w:val="7F3670CE"/>
    <w:rsid w:val="7FB34360"/>
    <w:rsid w:val="7FE758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iPriority="99" w:semiHidden="0" w:name="Note Heading"/>
    <w:lsdException w:uiPriority="99" w:name="Body Text 2"/>
    <w:lsdException w:uiPriority="99" w:name="Body Text 3"/>
    <w:lsdException w:uiPriority="99" w:name="Body Text Indent 2"/>
    <w:lsdException w:uiPriority="99" w:name="Body Text Indent 3"/>
    <w:lsdException w:qFormat="1" w:unhideWhenUsed="0" w:uiPriority="6"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te Heading"/>
    <w:basedOn w:val="1"/>
    <w:next w:val="1"/>
    <w:unhideWhenUsed/>
    <w:qFormat/>
    <w:uiPriority w:val="99"/>
    <w:rPr>
      <w:rFonts w:ascii="Verdana" w:hAnsi="Verdana" w:eastAsia="等线" w:cs="Times New Roman"/>
      <w:szCs w:val="20"/>
    </w:rPr>
  </w:style>
  <w:style w:type="paragraph" w:styleId="13">
    <w:name w:val="Normal Indent"/>
    <w:basedOn w:val="1"/>
    <w:unhideWhenUsed/>
    <w:qFormat/>
    <w:uiPriority w:val="99"/>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ascii="Cambria" w:hAnsi="Cambria"/>
      <w:sz w:val="24"/>
    </w:rPr>
  </w:style>
  <w:style w:type="paragraph" w:styleId="16">
    <w:name w:val="annotation text"/>
    <w:basedOn w:val="1"/>
    <w:qFormat/>
    <w:uiPriority w:val="0"/>
    <w:pPr>
      <w:jc w:val="left"/>
    </w:pPr>
  </w:style>
  <w:style w:type="paragraph" w:styleId="17">
    <w:name w:val="Body Text"/>
    <w:basedOn w:val="1"/>
    <w:next w:val="18"/>
    <w:qFormat/>
    <w:uiPriority w:val="0"/>
    <w:rPr>
      <w:rFonts w:ascii="楷体_GB2312" w:hAnsi="Arial" w:eastAsia="楷体_GB2312"/>
      <w:sz w:val="28"/>
      <w:szCs w:val="28"/>
    </w:rPr>
  </w:style>
  <w:style w:type="paragraph" w:styleId="18">
    <w:name w:val="Body Text First Indent"/>
    <w:basedOn w:val="17"/>
    <w:next w:val="19"/>
    <w:qFormat/>
    <w:uiPriority w:val="0"/>
    <w:pPr>
      <w:spacing w:line="360" w:lineRule="auto"/>
      <w:ind w:firstLine="200"/>
    </w:pPr>
    <w:rPr>
      <w:rFonts w:ascii="仿宋_GB2312" w:eastAsia="仿宋_GB2312"/>
      <w:sz w:val="30"/>
      <w:szCs w:val="30"/>
    </w:rPr>
  </w:style>
  <w:style w:type="paragraph" w:styleId="19">
    <w:name w:val="toc 6"/>
    <w:basedOn w:val="1"/>
    <w:next w:val="1"/>
    <w:unhideWhenUsed/>
    <w:qFormat/>
    <w:uiPriority w:val="39"/>
    <w:pPr>
      <w:spacing w:after="57"/>
      <w:ind w:left="1417"/>
    </w:pPr>
  </w:style>
  <w:style w:type="paragraph" w:styleId="20">
    <w:name w:val="Body Text Indent"/>
    <w:basedOn w:val="2"/>
    <w:next w:val="1"/>
    <w:qFormat/>
    <w:uiPriority w:val="0"/>
    <w:pPr>
      <w:ind w:firstLine="645"/>
    </w:pPr>
    <w:rPr>
      <w:rFonts w:ascii="楷体_GB2312" w:eastAsia="楷体_GB2312"/>
      <w:sz w:val="32"/>
      <w:szCs w:val="20"/>
    </w:rPr>
  </w:style>
  <w:style w:type="paragraph" w:styleId="21">
    <w:name w:val="Block Text"/>
    <w:basedOn w:val="1"/>
    <w:qFormat/>
    <w:uiPriority w:val="6"/>
    <w:pPr>
      <w:ind w:left="420" w:right="33"/>
      <w:jc w:val="left"/>
    </w:pPr>
    <w:rPr>
      <w:sz w:val="24"/>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0"/>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5"/>
    <w:semiHidden/>
    <w:unhideWhenUsed/>
    <w:qFormat/>
    <w:uiPriority w:val="99"/>
    <w:rPr>
      <w:sz w:val="20"/>
    </w:rPr>
  </w:style>
  <w:style w:type="paragraph" w:styleId="27">
    <w:name w:val="Balloon Text"/>
    <w:basedOn w:val="1"/>
    <w:link w:val="201"/>
    <w:qFormat/>
    <w:uiPriority w:val="0"/>
    <w:rPr>
      <w:sz w:val="18"/>
      <w:szCs w:val="18"/>
    </w:rPr>
  </w:style>
  <w:style w:type="paragraph" w:styleId="28">
    <w:name w:val="footer"/>
    <w:basedOn w:val="1"/>
    <w:link w:val="198"/>
    <w:qFormat/>
    <w:uiPriority w:val="0"/>
    <w:pPr>
      <w:tabs>
        <w:tab w:val="center" w:pos="4153"/>
        <w:tab w:val="right" w:pos="8306"/>
      </w:tabs>
      <w:jc w:val="left"/>
    </w:pPr>
    <w:rPr>
      <w:sz w:val="18"/>
      <w:szCs w:val="18"/>
    </w:rPr>
  </w:style>
  <w:style w:type="paragraph" w:styleId="29">
    <w:name w:val="envelope return"/>
    <w:basedOn w:val="1"/>
    <w:qFormat/>
    <w:uiPriority w:val="99"/>
    <w:rPr>
      <w:rFonts w:ascii="Arial" w:hAnsi="Arial" w:cs="Arial"/>
    </w:rPr>
  </w:style>
  <w:style w:type="paragraph" w:styleId="30">
    <w:name w:val="header"/>
    <w:basedOn w:val="1"/>
    <w:link w:val="197"/>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1"/>
    <w:qFormat/>
    <w:uiPriority w:val="11"/>
    <w:pPr>
      <w:spacing w:before="200" w:after="200"/>
    </w:pPr>
    <w:rPr>
      <w:sz w:val="24"/>
    </w:rPr>
  </w:style>
  <w:style w:type="paragraph" w:styleId="34">
    <w:name w:val="footnote text"/>
    <w:basedOn w:val="1"/>
    <w:link w:val="194"/>
    <w:semiHidden/>
    <w:unhideWhenUsed/>
    <w:qFormat/>
    <w:uiPriority w:val="99"/>
    <w:pPr>
      <w:spacing w:after="40"/>
    </w:pPr>
    <w:rPr>
      <w:sz w:val="18"/>
    </w:r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39">
    <w:name w:val="Normal (Web)"/>
    <w:basedOn w:val="1"/>
    <w:qFormat/>
    <w:uiPriority w:val="0"/>
    <w:pPr>
      <w:spacing w:beforeAutospacing="1" w:afterAutospacing="1"/>
      <w:jc w:val="left"/>
    </w:pPr>
    <w:rPr>
      <w:rFonts w:cs="Times New Roman"/>
      <w:sz w:val="24"/>
    </w:rPr>
  </w:style>
  <w:style w:type="paragraph" w:styleId="40">
    <w:name w:val="Title"/>
    <w:basedOn w:val="1"/>
    <w:next w:val="1"/>
    <w:link w:val="60"/>
    <w:qFormat/>
    <w:uiPriority w:val="10"/>
    <w:pPr>
      <w:spacing w:before="300" w:after="200"/>
      <w:contextualSpacing/>
    </w:pPr>
    <w:rPr>
      <w:sz w:val="48"/>
      <w:szCs w:val="48"/>
    </w:rPr>
  </w:style>
  <w:style w:type="paragraph" w:styleId="41">
    <w:name w:val="Body Text First Indent 2"/>
    <w:basedOn w:val="20"/>
    <w:qFormat/>
    <w:uiPriority w:val="0"/>
    <w:pPr>
      <w:spacing w:after="120"/>
      <w:ind w:left="420" w:firstLine="420"/>
    </w:pPr>
    <w:rPr>
      <w:sz w:val="21"/>
    </w:rPr>
  </w:style>
  <w:style w:type="table" w:styleId="43">
    <w:name w:val="Table Grid"/>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22"/>
    <w:rPr>
      <w:b/>
    </w:rPr>
  </w:style>
  <w:style w:type="character" w:styleId="46">
    <w:name w:val="endnote reference"/>
    <w:basedOn w:val="44"/>
    <w:semiHidden/>
    <w:unhideWhenUsed/>
    <w:qFormat/>
    <w:uiPriority w:val="99"/>
    <w:rPr>
      <w:vertAlign w:val="superscript"/>
    </w:rPr>
  </w:style>
  <w:style w:type="character" w:styleId="47">
    <w:name w:val="FollowedHyperlink"/>
    <w:basedOn w:val="44"/>
    <w:qFormat/>
    <w:uiPriority w:val="0"/>
    <w:rPr>
      <w:color w:val="000000"/>
      <w:u w:val="none"/>
    </w:rPr>
  </w:style>
  <w:style w:type="character" w:styleId="48">
    <w:name w:val="Hyperlink"/>
    <w:basedOn w:val="44"/>
    <w:qFormat/>
    <w:uiPriority w:val="0"/>
    <w:rPr>
      <w:color w:val="000000"/>
      <w:u w:val="none"/>
    </w:rPr>
  </w:style>
  <w:style w:type="character" w:styleId="49">
    <w:name w:val="footnote reference"/>
    <w:basedOn w:val="44"/>
    <w:unhideWhenUsed/>
    <w:qFormat/>
    <w:uiPriority w:val="99"/>
    <w:rPr>
      <w:vertAlign w:val="superscript"/>
    </w:rPr>
  </w:style>
  <w:style w:type="character" w:customStyle="1" w:styleId="50">
    <w:name w:val="标题 1 字符"/>
    <w:basedOn w:val="44"/>
    <w:link w:val="2"/>
    <w:qFormat/>
    <w:uiPriority w:val="9"/>
    <w:rPr>
      <w:rFonts w:ascii="Arial" w:hAnsi="Arial" w:eastAsia="Arial" w:cs="Arial"/>
      <w:sz w:val="40"/>
      <w:szCs w:val="40"/>
    </w:rPr>
  </w:style>
  <w:style w:type="character" w:customStyle="1" w:styleId="51">
    <w:name w:val="Heading 2 Char"/>
    <w:basedOn w:val="44"/>
    <w:qFormat/>
    <w:uiPriority w:val="9"/>
    <w:rPr>
      <w:rFonts w:ascii="Arial" w:hAnsi="Arial" w:eastAsia="Arial" w:cs="Arial"/>
      <w:sz w:val="34"/>
    </w:rPr>
  </w:style>
  <w:style w:type="character" w:customStyle="1" w:styleId="52">
    <w:name w:val="标题 3 字符"/>
    <w:basedOn w:val="44"/>
    <w:link w:val="4"/>
    <w:qFormat/>
    <w:uiPriority w:val="9"/>
    <w:rPr>
      <w:rFonts w:ascii="Arial" w:hAnsi="Arial" w:eastAsia="Arial" w:cs="Arial"/>
      <w:sz w:val="30"/>
      <w:szCs w:val="30"/>
    </w:rPr>
  </w:style>
  <w:style w:type="character" w:customStyle="1" w:styleId="53">
    <w:name w:val="标题 4 字符"/>
    <w:basedOn w:val="44"/>
    <w:link w:val="5"/>
    <w:qFormat/>
    <w:uiPriority w:val="9"/>
    <w:rPr>
      <w:rFonts w:ascii="Arial" w:hAnsi="Arial" w:eastAsia="Arial" w:cs="Arial"/>
      <w:b/>
      <w:bCs/>
      <w:sz w:val="26"/>
      <w:szCs w:val="26"/>
    </w:rPr>
  </w:style>
  <w:style w:type="character" w:customStyle="1" w:styleId="54">
    <w:name w:val="标题 5 字符"/>
    <w:basedOn w:val="44"/>
    <w:link w:val="6"/>
    <w:qFormat/>
    <w:uiPriority w:val="9"/>
    <w:rPr>
      <w:rFonts w:ascii="Arial" w:hAnsi="Arial" w:eastAsia="Arial" w:cs="Arial"/>
      <w:b/>
      <w:bCs/>
      <w:sz w:val="24"/>
      <w:szCs w:val="24"/>
    </w:rPr>
  </w:style>
  <w:style w:type="character" w:customStyle="1" w:styleId="55">
    <w:name w:val="标题 6 字符"/>
    <w:basedOn w:val="44"/>
    <w:link w:val="7"/>
    <w:qFormat/>
    <w:uiPriority w:val="9"/>
    <w:rPr>
      <w:rFonts w:ascii="Arial" w:hAnsi="Arial" w:eastAsia="Arial" w:cs="Arial"/>
      <w:b/>
      <w:bCs/>
      <w:sz w:val="22"/>
      <w:szCs w:val="22"/>
    </w:rPr>
  </w:style>
  <w:style w:type="character" w:customStyle="1" w:styleId="56">
    <w:name w:val="标题 7 字符"/>
    <w:basedOn w:val="44"/>
    <w:link w:val="8"/>
    <w:qFormat/>
    <w:uiPriority w:val="9"/>
    <w:rPr>
      <w:rFonts w:ascii="Arial" w:hAnsi="Arial" w:eastAsia="Arial" w:cs="Arial"/>
      <w:b/>
      <w:bCs/>
      <w:i/>
      <w:iCs/>
      <w:sz w:val="22"/>
      <w:szCs w:val="22"/>
    </w:rPr>
  </w:style>
  <w:style w:type="character" w:customStyle="1" w:styleId="57">
    <w:name w:val="标题 8 字符"/>
    <w:basedOn w:val="44"/>
    <w:link w:val="9"/>
    <w:qFormat/>
    <w:uiPriority w:val="9"/>
    <w:rPr>
      <w:rFonts w:ascii="Arial" w:hAnsi="Arial" w:eastAsia="Arial" w:cs="Arial"/>
      <w:i/>
      <w:iCs/>
      <w:sz w:val="22"/>
      <w:szCs w:val="22"/>
    </w:rPr>
  </w:style>
  <w:style w:type="character" w:customStyle="1" w:styleId="58">
    <w:name w:val="标题 9 字符"/>
    <w:basedOn w:val="44"/>
    <w:link w:val="10"/>
    <w:qFormat/>
    <w:uiPriority w:val="9"/>
    <w:rPr>
      <w:rFonts w:ascii="Arial" w:hAnsi="Arial" w:eastAsia="Arial" w:cs="Arial"/>
      <w:i/>
      <w:iCs/>
      <w:sz w:val="21"/>
      <w:szCs w:val="21"/>
    </w:rPr>
  </w:style>
  <w:style w:type="paragraph" w:styleId="59">
    <w:name w:val="No Spacing"/>
    <w:qFormat/>
    <w:uiPriority w:val="1"/>
    <w:rPr>
      <w:rFonts w:ascii="Times New Roman" w:hAnsi="Times New Roman" w:eastAsia="宋体" w:cs="Times New Roman"/>
      <w:lang w:val="en-US" w:eastAsia="zh-CN" w:bidi="ar-SA"/>
    </w:rPr>
  </w:style>
  <w:style w:type="character" w:customStyle="1" w:styleId="60">
    <w:name w:val="标题 字符"/>
    <w:basedOn w:val="44"/>
    <w:link w:val="40"/>
    <w:qFormat/>
    <w:uiPriority w:val="10"/>
    <w:rPr>
      <w:sz w:val="48"/>
      <w:szCs w:val="48"/>
    </w:rPr>
  </w:style>
  <w:style w:type="character" w:customStyle="1" w:styleId="61">
    <w:name w:val="副标题 字符"/>
    <w:basedOn w:val="44"/>
    <w:link w:val="33"/>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引用 字符"/>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字符"/>
    <w:link w:val="64"/>
    <w:qFormat/>
    <w:uiPriority w:val="30"/>
    <w:rPr>
      <w:i/>
    </w:rPr>
  </w:style>
  <w:style w:type="character" w:customStyle="1" w:styleId="66">
    <w:name w:val="Header Char"/>
    <w:basedOn w:val="44"/>
    <w:qFormat/>
    <w:uiPriority w:val="99"/>
  </w:style>
  <w:style w:type="character" w:customStyle="1" w:styleId="67">
    <w:name w:val="Footer Char"/>
    <w:basedOn w:val="44"/>
    <w:qFormat/>
    <w:uiPriority w:val="99"/>
  </w:style>
  <w:style w:type="character" w:customStyle="1" w:styleId="68">
    <w:name w:val="Caption Char"/>
    <w:qFormat/>
    <w:uiPriority w:val="99"/>
  </w:style>
  <w:style w:type="table" w:customStyle="1" w:styleId="69">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0">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4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4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4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2"/>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4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4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4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42"/>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4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2"/>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4">
    <w:name w:val="Grid Table 6 Colorful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2"/>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4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2"/>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1">
    <w:name w:val="Grid Table 7 Colorful - Accent 4"/>
    <w:basedOn w:val="4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2"/>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4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2"/>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4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4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4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42"/>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4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2"/>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4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4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4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42"/>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4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2"/>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4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42"/>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4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2"/>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4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4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4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42"/>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4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2"/>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4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4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4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42"/>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4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2"/>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4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2"/>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2"/>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2"/>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2"/>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42"/>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2"/>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2"/>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2"/>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2"/>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2"/>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4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4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4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42"/>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4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2"/>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4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4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4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42"/>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4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4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脚注文本 字符"/>
    <w:link w:val="34"/>
    <w:qFormat/>
    <w:uiPriority w:val="99"/>
    <w:rPr>
      <w:sz w:val="18"/>
    </w:rPr>
  </w:style>
  <w:style w:type="character" w:customStyle="1" w:styleId="195">
    <w:name w:val="尾注文本 字符"/>
    <w:link w:val="26"/>
    <w:qFormat/>
    <w:uiPriority w:val="99"/>
    <w:rPr>
      <w:sz w:val="20"/>
    </w:rPr>
  </w:style>
  <w:style w:type="paragraph" w:customStyle="1" w:styleId="196">
    <w:name w:val="TOC 标题1"/>
    <w:unhideWhenUsed/>
    <w:qFormat/>
    <w:uiPriority w:val="39"/>
    <w:rPr>
      <w:rFonts w:ascii="Times New Roman" w:hAnsi="Times New Roman" w:eastAsia="宋体" w:cs="Times New Roman"/>
      <w:lang w:val="en-US" w:eastAsia="zh-CN" w:bidi="ar-SA"/>
    </w:rPr>
  </w:style>
  <w:style w:type="character" w:customStyle="1" w:styleId="197">
    <w:name w:val="页眉 字符"/>
    <w:basedOn w:val="44"/>
    <w:link w:val="30"/>
    <w:qFormat/>
    <w:uiPriority w:val="0"/>
    <w:rPr>
      <w:rFonts w:asciiTheme="minorHAnsi" w:hAnsiTheme="minorHAnsi" w:eastAsiaTheme="minorEastAsia" w:cstheme="minorBidi"/>
      <w:sz w:val="18"/>
      <w:szCs w:val="18"/>
    </w:rPr>
  </w:style>
  <w:style w:type="character" w:customStyle="1" w:styleId="198">
    <w:name w:val="页脚 字符"/>
    <w:basedOn w:val="44"/>
    <w:link w:val="28"/>
    <w:qFormat/>
    <w:uiPriority w:val="0"/>
    <w:rPr>
      <w:rFonts w:asciiTheme="minorHAnsi" w:hAnsiTheme="minorHAnsi" w:eastAsiaTheme="minorEastAsia" w:cstheme="minorBidi"/>
      <w:sz w:val="18"/>
      <w:szCs w:val="18"/>
    </w:rPr>
  </w:style>
  <w:style w:type="paragraph" w:customStyle="1" w:styleId="199">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00">
    <w:name w:val="列出段落3"/>
    <w:basedOn w:val="1"/>
    <w:qFormat/>
    <w:uiPriority w:val="0"/>
    <w:pPr>
      <w:ind w:firstLine="420"/>
    </w:pPr>
    <w:rPr>
      <w:rFonts w:ascii="Calibri" w:hAnsi="Calibri"/>
      <w:szCs w:val="22"/>
    </w:rPr>
  </w:style>
  <w:style w:type="character" w:customStyle="1" w:styleId="201">
    <w:name w:val="批注框文本 字符"/>
    <w:basedOn w:val="44"/>
    <w:link w:val="27"/>
    <w:qFormat/>
    <w:uiPriority w:val="0"/>
    <w:rPr>
      <w:rFonts w:asciiTheme="minorHAnsi" w:hAnsiTheme="minorHAnsi" w:eastAsiaTheme="minorEastAsia" w:cstheme="minorBidi"/>
      <w:sz w:val="18"/>
      <w:szCs w:val="18"/>
    </w:rPr>
  </w:style>
  <w:style w:type="paragraph" w:styleId="202">
    <w:name w:val="List Paragraph"/>
    <w:basedOn w:val="1"/>
    <w:unhideWhenUsed/>
    <w:qFormat/>
    <w:uiPriority w:val="99"/>
    <w:pPr>
      <w:ind w:firstLine="420"/>
    </w:pPr>
  </w:style>
  <w:style w:type="paragraph" w:customStyle="1" w:styleId="203">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04">
    <w:name w:val="纯文本1"/>
    <w:basedOn w:val="1"/>
    <w:qFormat/>
    <w:uiPriority w:val="0"/>
    <w:rPr>
      <w:rFonts w:ascii="宋体" w:hAnsi="Courier New"/>
      <w:szCs w:val="20"/>
    </w:rPr>
  </w:style>
  <w:style w:type="character" w:customStyle="1" w:styleId="205">
    <w:name w:val="font11"/>
    <w:basedOn w:val="44"/>
    <w:qFormat/>
    <w:uiPriority w:val="0"/>
    <w:rPr>
      <w:rFonts w:hint="eastAsia" w:ascii="仿宋" w:hAnsi="仿宋" w:eastAsia="仿宋" w:cs="仿宋"/>
      <w:b/>
      <w:bCs/>
      <w:color w:val="000000"/>
      <w:sz w:val="22"/>
      <w:szCs w:val="22"/>
      <w:u w:val="none"/>
    </w:rPr>
  </w:style>
  <w:style w:type="character" w:customStyle="1" w:styleId="206">
    <w:name w:val="font31"/>
    <w:basedOn w:val="44"/>
    <w:qFormat/>
    <w:uiPriority w:val="0"/>
    <w:rPr>
      <w:rFonts w:hint="eastAsia" w:ascii="仿宋" w:hAnsi="仿宋" w:eastAsia="仿宋" w:cs="仿宋"/>
      <w:color w:val="000000"/>
      <w:sz w:val="24"/>
      <w:szCs w:val="24"/>
      <w:u w:val="none"/>
    </w:rPr>
  </w:style>
  <w:style w:type="paragraph" w:customStyle="1" w:styleId="207">
    <w:name w:val="正文首行缩进 21"/>
    <w:basedOn w:val="20"/>
    <w:semiHidden/>
    <w:qFormat/>
    <w:uiPriority w:val="0"/>
    <w:pPr>
      <w:ind w:firstLine="420"/>
    </w:pPr>
  </w:style>
  <w:style w:type="character" w:customStyle="1" w:styleId="208">
    <w:name w:val="font21"/>
    <w:basedOn w:val="44"/>
    <w:qFormat/>
    <w:uiPriority w:val="0"/>
    <w:rPr>
      <w:rFonts w:hint="eastAsia" w:ascii="仿宋" w:hAnsi="仿宋" w:eastAsia="仿宋" w:cs="仿宋"/>
      <w:color w:val="000000"/>
      <w:sz w:val="24"/>
      <w:szCs w:val="24"/>
      <w:u w:val="none"/>
    </w:rPr>
  </w:style>
  <w:style w:type="paragraph" w:customStyle="1" w:styleId="209">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10">
    <w:name w:val="表内"/>
    <w:basedOn w:val="59"/>
    <w:qFormat/>
    <w:uiPriority w:val="0"/>
    <w:pPr>
      <w:spacing w:line="360" w:lineRule="exact"/>
      <w:jc w:val="center"/>
    </w:pPr>
    <w:rPr>
      <w:rFonts w:eastAsia="仿宋_GB2312"/>
      <w:sz w:val="24"/>
    </w:rPr>
  </w:style>
  <w:style w:type="paragraph" w:customStyle="1" w:styleId="211">
    <w:name w:val="Table Paragraph"/>
    <w:basedOn w:val="1"/>
    <w:qFormat/>
    <w:uiPriority w:val="1"/>
    <w:pPr>
      <w:jc w:val="left"/>
    </w:pPr>
    <w:rPr>
      <w:rFonts w:ascii="Calibri" w:hAnsi="Calibri"/>
      <w:kern w:val="0"/>
      <w:sz w:val="22"/>
      <w:szCs w:val="22"/>
      <w:lang w:eastAsia="en-US"/>
    </w:rPr>
  </w:style>
  <w:style w:type="table" w:customStyle="1" w:styleId="212">
    <w:name w:val="网格型1"/>
    <w:basedOn w:val="4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54</Pages>
  <Words>21015</Words>
  <Characters>22289</Characters>
  <Lines>221</Lines>
  <Paragraphs>62</Paragraphs>
  <TotalTime>130</TotalTime>
  <ScaleCrop>false</ScaleCrop>
  <LinksUpToDate>false</LinksUpToDate>
  <CharactersWithSpaces>22633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2024-12-02T02:29:00Z</dcterms:created>
  <dc:creator>正式环境陈艳测试账号</dc:creator>
  <cp:lastModifiedBy>奇酱</cp:lastModifiedBy>
  <dcterms:modified xsi:type="dcterms:W3CDTF">2025-01-10T06:01:38Z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2BF15978982C49A3BFAEF0BC41250A11_13</vt:lpwstr>
  </property>
  <property fmtid="{D5CDD505-2E9C-101B-9397-08002B2CF9AE}" pid="4" name="KSOTemplateDocerSaveRecord">
    <vt:lpwstr>eyJoZGlkIjoiNDAwZWRjYjQxMjVkNThlNjIyY2EyMzgyYjdjNmE1MjIiLCJ1c2VySWQiOiIyMDE2OTA4NDUifQ==</vt:lpwstr>
  </property>
</Properties>
</file>